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399F" w14:textId="72A0AE97" w:rsidR="00542D32" w:rsidRDefault="005C4D2A" w:rsidP="00E42AA2">
      <w:r>
        <w:t xml:space="preserve"> </w:t>
      </w:r>
      <w:r w:rsidR="00542D32">
        <w:t xml:space="preserve"> </w:t>
      </w:r>
      <w:bookmarkStart w:id="0" w:name="_Ref148619194"/>
      <w:bookmarkEnd w:id="0"/>
    </w:p>
    <w:sdt>
      <w:sdtPr>
        <w:id w:val="-1206409104"/>
        <w:docPartObj>
          <w:docPartGallery w:val="Cover Pages"/>
          <w:docPartUnique/>
        </w:docPartObj>
      </w:sdtPr>
      <w:sdtEndPr/>
      <w:sdtContent>
        <w:p w14:paraId="3A95EB16" w14:textId="4BFF8063" w:rsidR="00A652B8" w:rsidRPr="006D0240" w:rsidRDefault="00A652B8" w:rsidP="00E42AA2">
          <w:r>
            <w:rPr>
              <w:noProof/>
              <w:lang w:eastAsia="zh-CN"/>
            </w:rPr>
            <w:drawing>
              <wp:anchor distT="0" distB="0" distL="114300" distR="114300" simplePos="0" relativeHeight="251658240" behindDoc="1" locked="0" layoutInCell="1" allowOverlap="1" wp14:anchorId="0435DF0E" wp14:editId="48A496B3">
                <wp:simplePos x="0" y="0"/>
                <wp:positionH relativeFrom="page">
                  <wp:align>right</wp:align>
                </wp:positionH>
                <wp:positionV relativeFrom="page">
                  <wp:align>top</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24687A32" w14:textId="77777777" w:rsidR="00A652B8" w:rsidRPr="006D0240" w:rsidRDefault="00A652B8" w:rsidP="00E42AA2">
          <w:pPr>
            <w:pStyle w:val="Header"/>
          </w:pPr>
        </w:p>
        <w:p w14:paraId="5724836A" w14:textId="7F942F0E" w:rsidR="00A652B8" w:rsidRPr="001D4EAA" w:rsidRDefault="0025632E" w:rsidP="00E42AA2">
          <w:pPr>
            <w:pStyle w:val="Title"/>
          </w:pPr>
          <w:r>
            <w:t xml:space="preserve">Payments System </w:t>
          </w:r>
          <w:r w:rsidR="00565630">
            <w:t>Modernisation</w:t>
          </w:r>
          <w:r w:rsidR="009F218D">
            <w:t>:</w:t>
          </w:r>
          <w:r w:rsidR="00565630">
            <w:t xml:space="preserve"> Regulation</w:t>
          </w:r>
          <w:r w:rsidR="00EE4149">
            <w:t xml:space="preserve"> of payment service providers</w:t>
          </w:r>
          <w:r w:rsidR="003F7643">
            <w:t xml:space="preserve"> </w:t>
          </w:r>
        </w:p>
        <w:p w14:paraId="2ED25CA4" w14:textId="77777777" w:rsidR="00A652B8" w:rsidRPr="001D4EAA" w:rsidRDefault="00A652B8" w:rsidP="00E42AA2">
          <w:pPr>
            <w:pStyle w:val="Subtitle"/>
          </w:pPr>
          <w:r>
            <w:t>Consultation paper</w:t>
          </w:r>
        </w:p>
        <w:p w14:paraId="795F8F16" w14:textId="2B4347BD" w:rsidR="00A652B8" w:rsidRDefault="00796A81" w:rsidP="00E42AA2">
          <w:pPr>
            <w:pStyle w:val="ReportDate"/>
          </w:pPr>
          <w:r>
            <w:rPr>
              <w:rStyle w:val="ReportDateChar"/>
            </w:rPr>
            <w:t>D</w:t>
          </w:r>
          <w:r w:rsidR="001C716C">
            <w:rPr>
              <w:rStyle w:val="ReportDateChar"/>
            </w:rPr>
            <w:t>ecember</w:t>
          </w:r>
          <w:r w:rsidR="00CD4BDE">
            <w:rPr>
              <w:rStyle w:val="ReportDateChar"/>
            </w:rPr>
            <w:t xml:space="preserve"> 2023</w:t>
          </w:r>
        </w:p>
        <w:p w14:paraId="62013D3F" w14:textId="77777777" w:rsidR="00A652B8" w:rsidRDefault="00A652B8" w:rsidP="00E42AA2"/>
        <w:p w14:paraId="64977645" w14:textId="77777777" w:rsidR="00A652B8" w:rsidRDefault="00A652B8" w:rsidP="00E42AA2">
          <w:r>
            <w:br w:type="page"/>
          </w:r>
        </w:p>
      </w:sdtContent>
    </w:sdt>
    <w:p w14:paraId="21A133D9" w14:textId="77777777" w:rsidR="000E0B74" w:rsidRDefault="000E0B74" w:rsidP="00E42AA2">
      <w:pPr>
        <w:sectPr w:rsidR="000E0B74" w:rsidSect="00555D14">
          <w:pgSz w:w="11906" w:h="16838" w:code="9"/>
          <w:pgMar w:top="1843" w:right="1418" w:bottom="1418" w:left="1418" w:header="709" w:footer="709" w:gutter="0"/>
          <w:pgNumType w:fmt="lowerRoman" w:start="0"/>
          <w:cols w:space="720"/>
          <w:titlePg/>
          <w:docGrid w:linePitch="299"/>
        </w:sectPr>
      </w:pPr>
    </w:p>
    <w:p w14:paraId="35FF3399" w14:textId="1A9A973A" w:rsidR="000E0B74" w:rsidRDefault="000E0B74" w:rsidP="00E42AA2">
      <w:r w:rsidRPr="00661BF0">
        <w:lastRenderedPageBreak/>
        <w:t xml:space="preserve">© Commonwealth of Australia </w:t>
      </w:r>
      <w:r w:rsidRPr="00F55C42">
        <w:t>20</w:t>
      </w:r>
      <w:r w:rsidR="00F55C42" w:rsidRPr="00F55C42">
        <w:t>23</w:t>
      </w:r>
    </w:p>
    <w:p w14:paraId="1A6B3B3E" w14:textId="49E7D6FF" w:rsidR="000E0B74" w:rsidRPr="00E42AA2" w:rsidRDefault="000E0B74" w:rsidP="00E42AA2">
      <w:r w:rsidRPr="002F1BC2">
        <w:t>This publication is available for your use under a</w:t>
      </w:r>
      <w:r w:rsidRPr="00E42AA2">
        <w:t xml:space="preserve"> </w:t>
      </w:r>
      <w:hyperlink r:id="rId9" w:history="1">
        <w:r w:rsidRPr="00E42AA2">
          <w:rPr>
            <w:rStyle w:val="Hyperlink"/>
            <w:color w:val="auto"/>
            <w:u w:val="none"/>
          </w:rPr>
          <w:t>Creative Commons Attribution 3.0 Australia</w:t>
        </w:r>
      </w:hyperlink>
      <w:r w:rsidRPr="00E42AA2">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E42AA2">
        <w:t xml:space="preserve"> </w:t>
      </w:r>
      <w:hyperlink r:id="rId10" w:history="1">
        <w:r w:rsidRPr="00E42AA2">
          <w:rPr>
            <w:rStyle w:val="Hyperlink"/>
            <w:color w:val="auto"/>
            <w:u w:val="none"/>
          </w:rPr>
          <w:t>http://creativecommons.org/licenses/by/3.0/au/legalcode</w:t>
        </w:r>
      </w:hyperlink>
      <w:r w:rsidRPr="00E42AA2">
        <w:rPr>
          <w:rStyle w:val="Hyperlink"/>
          <w:color w:val="auto"/>
          <w:u w:val="none"/>
        </w:rPr>
        <w:t>.</w:t>
      </w:r>
      <w:r w:rsidRPr="00E42AA2">
        <w:t xml:space="preserve"> </w:t>
      </w:r>
    </w:p>
    <w:p w14:paraId="1ECC7804" w14:textId="77777777" w:rsidR="000E0B74" w:rsidRDefault="000E0B74" w:rsidP="00E42AA2">
      <w:pPr>
        <w:pStyle w:val="ChartGraphic"/>
      </w:pPr>
      <w:r w:rsidRPr="00E56DFB">
        <w:rPr>
          <w:noProof/>
          <w:lang w:eastAsia="zh-CN"/>
        </w:rPr>
        <w:drawing>
          <wp:inline distT="0" distB="0" distL="0" distR="0" wp14:anchorId="32C2C6E7" wp14:editId="75555A5D">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524F7AA" w14:textId="6E07CDD9" w:rsidR="000E0B74" w:rsidRPr="006627B4" w:rsidRDefault="000E0B74" w:rsidP="00E42AA2">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00474693">
        <w:t xml:space="preserve"> l</w:t>
      </w:r>
      <w:r w:rsidRPr="006627B4">
        <w:t>icence requires you to attribute the work (but not in any way that suggests that the Treasury endorse</w:t>
      </w:r>
      <w:r>
        <w:t>s you or your use of the work).</w:t>
      </w:r>
    </w:p>
    <w:p w14:paraId="163DEFCE" w14:textId="77777777" w:rsidR="000E0B74" w:rsidRPr="0031276E" w:rsidRDefault="000E0B74" w:rsidP="00E42AA2">
      <w:r w:rsidRPr="0031276E">
        <w:t>Treasury material used ‘as supplied’</w:t>
      </w:r>
    </w:p>
    <w:p w14:paraId="61256A68" w14:textId="77777777" w:rsidR="000E0B74" w:rsidRPr="00476F09" w:rsidRDefault="000E0B74" w:rsidP="00E42AA2">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736FF6F0" w14:textId="005636C5" w:rsidR="000E0B74" w:rsidRPr="00A13A11" w:rsidRDefault="000E0B74" w:rsidP="00E42AA2">
      <w:r w:rsidRPr="002F1BC2">
        <w:t>Source: The Australian Government the Treasury</w:t>
      </w:r>
      <w:r>
        <w:t>.</w:t>
      </w:r>
    </w:p>
    <w:p w14:paraId="29614941" w14:textId="77777777" w:rsidR="000E0B74" w:rsidRPr="006627B4" w:rsidRDefault="000E0B74" w:rsidP="00E42AA2">
      <w:r w:rsidRPr="00CC63CC">
        <w:t>Derivative</w:t>
      </w:r>
      <w:r w:rsidRPr="006627B4">
        <w:t xml:space="preserve"> </w:t>
      </w:r>
      <w:r w:rsidRPr="00CC63CC">
        <w:t>material</w:t>
      </w:r>
    </w:p>
    <w:p w14:paraId="14440407" w14:textId="77777777" w:rsidR="000E0B74" w:rsidRPr="006627B4" w:rsidRDefault="000E0B74" w:rsidP="00E42AA2">
      <w:r w:rsidRPr="006627B4">
        <w:t xml:space="preserve">If you have modified or transformed Treasury material, or derived new material from those of the Treasury in any way, then Treasury prefers the following attribution: </w:t>
      </w:r>
    </w:p>
    <w:p w14:paraId="105B49FA" w14:textId="014D3F46" w:rsidR="000E0B74" w:rsidRPr="006627B4" w:rsidRDefault="000E0B74" w:rsidP="00E42AA2">
      <w:r w:rsidRPr="002F1BC2">
        <w:t>Based on The Australian Government the Treasury data</w:t>
      </w:r>
      <w:r>
        <w:t>.</w:t>
      </w:r>
    </w:p>
    <w:p w14:paraId="1931AF99" w14:textId="77777777" w:rsidR="000E0B74" w:rsidRPr="006627B4" w:rsidRDefault="000E0B74" w:rsidP="00E42AA2">
      <w:r w:rsidRPr="006627B4">
        <w:t>Use of the Coat of Arms</w:t>
      </w:r>
    </w:p>
    <w:p w14:paraId="222A47C4" w14:textId="53AC4996" w:rsidR="000E0B74" w:rsidRPr="006627B4" w:rsidRDefault="004A7BC2" w:rsidP="00E42AA2">
      <w:r w:rsidRPr="004A7BC2">
        <w:t>The terms under which the Coat of Arms can be used are set out</w:t>
      </w:r>
      <w:r>
        <w:t xml:space="preserve"> on the Department of the Prime </w:t>
      </w:r>
      <w:r w:rsidRPr="004A7BC2">
        <w:t xml:space="preserve">Minister and Cabinet website (see </w:t>
      </w:r>
      <w:hyperlink r:id="rId13" w:history="1">
        <w:r w:rsidR="00474693" w:rsidRPr="00770ED6">
          <w:rPr>
            <w:rStyle w:val="Hyperlink"/>
          </w:rPr>
          <w:t>www.pmc.gov.au/government/commonwealth-coat-arms</w:t>
        </w:r>
      </w:hyperlink>
      <w:r w:rsidRPr="004A7BC2">
        <w:t>).</w:t>
      </w:r>
    </w:p>
    <w:p w14:paraId="4B0FF31C" w14:textId="77777777" w:rsidR="000E0B74" w:rsidRPr="006627B4" w:rsidRDefault="000E0B74" w:rsidP="00E42AA2">
      <w:r>
        <w:t>Other u</w:t>
      </w:r>
      <w:r w:rsidRPr="006627B4">
        <w:t>ses</w:t>
      </w:r>
    </w:p>
    <w:p w14:paraId="3DEE48E5" w14:textId="77777777" w:rsidR="000E0B74" w:rsidRPr="006627B4" w:rsidRDefault="000E0B74" w:rsidP="00E42AA2">
      <w:r>
        <w:t>E</w:t>
      </w:r>
      <w:r w:rsidRPr="006627B4">
        <w:t>nquiries regarding this licence and any other use of this document are welcome at:</w:t>
      </w:r>
    </w:p>
    <w:p w14:paraId="796F5D38" w14:textId="13E71D25" w:rsidR="000E0B74" w:rsidRPr="002F1BC2" w:rsidRDefault="000E0B74" w:rsidP="00E42AA2">
      <w:pPr>
        <w:rPr>
          <w:rStyle w:val="Hyperlink"/>
        </w:rPr>
      </w:pPr>
      <w:r w:rsidRPr="006627B4">
        <w:t>Manager</w:t>
      </w:r>
      <w:r w:rsidR="009A668A">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4" w:history="1">
        <w:r w:rsidR="004A077D" w:rsidRPr="000951A5">
          <w:rPr>
            <w:rStyle w:val="Hyperlink"/>
          </w:rPr>
          <w:t>media@treasury.gov.au</w:t>
        </w:r>
      </w:hyperlink>
      <w:r w:rsidR="004A077D">
        <w:t xml:space="preserve"> </w:t>
      </w:r>
    </w:p>
    <w:p w14:paraId="405819FD" w14:textId="77777777" w:rsidR="000E0B74" w:rsidRDefault="000E0B74" w:rsidP="00E42AA2">
      <w:pPr>
        <w:pStyle w:val="SingleParagraph"/>
        <w:sectPr w:rsidR="000E0B74" w:rsidSect="008043EA">
          <w:headerReference w:type="even" r:id="rId15"/>
          <w:headerReference w:type="default" r:id="rId16"/>
          <w:footerReference w:type="even" r:id="rId17"/>
          <w:pgSz w:w="11906" w:h="16838" w:code="9"/>
          <w:pgMar w:top="1843" w:right="1418" w:bottom="1418" w:left="1418" w:header="709" w:footer="709" w:gutter="0"/>
          <w:pgNumType w:fmt="lowerRoman"/>
          <w:cols w:space="708"/>
          <w:titlePg/>
          <w:docGrid w:linePitch="360"/>
        </w:sectPr>
      </w:pPr>
    </w:p>
    <w:p w14:paraId="21A3E0A8" w14:textId="08787DC2" w:rsidR="004924DD" w:rsidRDefault="006E737C" w:rsidP="004924DD">
      <w:pPr>
        <w:pStyle w:val="TOC1"/>
        <w:rPr>
          <w:rFonts w:asciiTheme="minorHAnsi" w:eastAsiaTheme="minorEastAsia" w:hAnsiTheme="minorHAnsi" w:cstheme="minorBidi"/>
          <w:color w:val="auto"/>
        </w:rPr>
      </w:pPr>
      <w:r>
        <w:lastRenderedPageBreak/>
        <w:fldChar w:fldCharType="begin"/>
      </w:r>
      <w:r>
        <w:instrText xml:space="preserve"> TOC \o "1-2" \h \z \u </w:instrText>
      </w:r>
      <w:r>
        <w:fldChar w:fldCharType="separate"/>
      </w:r>
      <w:r w:rsidR="004924DD">
        <w:t>Table of Contents</w:t>
      </w:r>
    </w:p>
    <w:p w14:paraId="5232FF4C" w14:textId="0469A270" w:rsidR="004924DD" w:rsidRDefault="007F1859">
      <w:pPr>
        <w:pStyle w:val="TOC1"/>
        <w:rPr>
          <w:rFonts w:asciiTheme="minorHAnsi" w:eastAsiaTheme="minorEastAsia" w:hAnsiTheme="minorHAnsi" w:cstheme="minorBidi"/>
          <w:b w:val="0"/>
          <w:color w:val="auto"/>
        </w:rPr>
      </w:pPr>
      <w:hyperlink w:anchor="_Toc152847617" w:history="1">
        <w:r w:rsidR="004924DD" w:rsidRPr="00E72B16">
          <w:rPr>
            <w:rStyle w:val="Hyperlink"/>
          </w:rPr>
          <w:t>1.</w:t>
        </w:r>
        <w:r w:rsidR="004924DD">
          <w:rPr>
            <w:rFonts w:asciiTheme="minorHAnsi" w:eastAsiaTheme="minorEastAsia" w:hAnsiTheme="minorHAnsi" w:cstheme="minorBidi"/>
            <w:b w:val="0"/>
            <w:color w:val="auto"/>
          </w:rPr>
          <w:tab/>
        </w:r>
        <w:r w:rsidR="004924DD" w:rsidRPr="00E72B16">
          <w:rPr>
            <w:rStyle w:val="Hyperlink"/>
          </w:rPr>
          <w:t>Introduction</w:t>
        </w:r>
        <w:r w:rsidR="004924DD">
          <w:rPr>
            <w:webHidden/>
          </w:rPr>
          <w:tab/>
        </w:r>
        <w:r w:rsidR="004924DD">
          <w:rPr>
            <w:webHidden/>
          </w:rPr>
          <w:fldChar w:fldCharType="begin"/>
        </w:r>
        <w:r w:rsidR="004924DD">
          <w:rPr>
            <w:webHidden/>
          </w:rPr>
          <w:instrText xml:space="preserve"> PAGEREF _Toc152847617 \h </w:instrText>
        </w:r>
        <w:r w:rsidR="004924DD">
          <w:rPr>
            <w:webHidden/>
          </w:rPr>
        </w:r>
        <w:r w:rsidR="004924DD">
          <w:rPr>
            <w:webHidden/>
          </w:rPr>
          <w:fldChar w:fldCharType="separate"/>
        </w:r>
        <w:r w:rsidR="00F42255">
          <w:rPr>
            <w:webHidden/>
          </w:rPr>
          <w:t>5</w:t>
        </w:r>
        <w:r w:rsidR="004924DD">
          <w:rPr>
            <w:webHidden/>
          </w:rPr>
          <w:fldChar w:fldCharType="end"/>
        </w:r>
      </w:hyperlink>
    </w:p>
    <w:p w14:paraId="0978F462" w14:textId="55D8BF40" w:rsidR="004924DD" w:rsidRDefault="007F1859">
      <w:pPr>
        <w:pStyle w:val="TOC2"/>
        <w:rPr>
          <w:rFonts w:asciiTheme="minorHAnsi" w:eastAsiaTheme="minorEastAsia" w:hAnsiTheme="minorHAnsi" w:cstheme="minorBidi"/>
          <w:color w:val="auto"/>
          <w:szCs w:val="22"/>
        </w:rPr>
      </w:pPr>
      <w:hyperlink w:anchor="_Toc152847618" w:history="1">
        <w:r w:rsidR="004924DD" w:rsidRPr="00E72B16">
          <w:rPr>
            <w:rStyle w:val="Hyperlink"/>
          </w:rPr>
          <w:t>1.1.</w:t>
        </w:r>
        <w:r w:rsidR="004924DD">
          <w:rPr>
            <w:rFonts w:asciiTheme="minorHAnsi" w:eastAsiaTheme="minorEastAsia" w:hAnsiTheme="minorHAnsi" w:cstheme="minorBidi"/>
            <w:color w:val="auto"/>
            <w:szCs w:val="22"/>
          </w:rPr>
          <w:tab/>
        </w:r>
        <w:r w:rsidR="004924DD" w:rsidRPr="00E72B16">
          <w:rPr>
            <w:rStyle w:val="Hyperlink"/>
          </w:rPr>
          <w:t>Background</w:t>
        </w:r>
        <w:r w:rsidR="004924DD">
          <w:rPr>
            <w:webHidden/>
          </w:rPr>
          <w:tab/>
        </w:r>
        <w:r w:rsidR="004924DD">
          <w:rPr>
            <w:webHidden/>
          </w:rPr>
          <w:fldChar w:fldCharType="begin"/>
        </w:r>
        <w:r w:rsidR="004924DD">
          <w:rPr>
            <w:webHidden/>
          </w:rPr>
          <w:instrText xml:space="preserve"> PAGEREF _Toc152847618 \h </w:instrText>
        </w:r>
        <w:r w:rsidR="004924DD">
          <w:rPr>
            <w:webHidden/>
          </w:rPr>
        </w:r>
        <w:r w:rsidR="004924DD">
          <w:rPr>
            <w:webHidden/>
          </w:rPr>
          <w:fldChar w:fldCharType="separate"/>
        </w:r>
        <w:r w:rsidR="00F42255">
          <w:rPr>
            <w:webHidden/>
          </w:rPr>
          <w:t>5</w:t>
        </w:r>
        <w:r w:rsidR="004924DD">
          <w:rPr>
            <w:webHidden/>
          </w:rPr>
          <w:fldChar w:fldCharType="end"/>
        </w:r>
      </w:hyperlink>
    </w:p>
    <w:p w14:paraId="00440B0D" w14:textId="6A96B127" w:rsidR="004924DD" w:rsidRDefault="007F1859">
      <w:pPr>
        <w:pStyle w:val="TOC2"/>
        <w:rPr>
          <w:rFonts w:asciiTheme="minorHAnsi" w:eastAsiaTheme="minorEastAsia" w:hAnsiTheme="minorHAnsi" w:cstheme="minorBidi"/>
          <w:color w:val="auto"/>
          <w:szCs w:val="22"/>
        </w:rPr>
      </w:pPr>
      <w:hyperlink w:anchor="_Toc152847619" w:history="1">
        <w:r w:rsidR="004924DD" w:rsidRPr="00E72B16">
          <w:rPr>
            <w:rStyle w:val="Hyperlink"/>
          </w:rPr>
          <w:t>1.2.</w:t>
        </w:r>
        <w:r w:rsidR="004924DD">
          <w:rPr>
            <w:rFonts w:asciiTheme="minorHAnsi" w:eastAsiaTheme="minorEastAsia" w:hAnsiTheme="minorHAnsi" w:cstheme="minorBidi"/>
            <w:color w:val="auto"/>
            <w:szCs w:val="22"/>
          </w:rPr>
          <w:tab/>
        </w:r>
        <w:r w:rsidR="004924DD" w:rsidRPr="00E72B16">
          <w:rPr>
            <w:rStyle w:val="Hyperlink"/>
          </w:rPr>
          <w:t>Summary of proposed reforms</w:t>
        </w:r>
        <w:r w:rsidR="004924DD">
          <w:rPr>
            <w:webHidden/>
          </w:rPr>
          <w:tab/>
        </w:r>
        <w:r w:rsidR="004924DD">
          <w:rPr>
            <w:webHidden/>
          </w:rPr>
          <w:fldChar w:fldCharType="begin"/>
        </w:r>
        <w:r w:rsidR="004924DD">
          <w:rPr>
            <w:webHidden/>
          </w:rPr>
          <w:instrText xml:space="preserve"> PAGEREF _Toc152847619 \h </w:instrText>
        </w:r>
        <w:r w:rsidR="004924DD">
          <w:rPr>
            <w:webHidden/>
          </w:rPr>
        </w:r>
        <w:r w:rsidR="004924DD">
          <w:rPr>
            <w:webHidden/>
          </w:rPr>
          <w:fldChar w:fldCharType="separate"/>
        </w:r>
        <w:r w:rsidR="00F42255">
          <w:rPr>
            <w:webHidden/>
          </w:rPr>
          <w:t>5</w:t>
        </w:r>
        <w:r w:rsidR="004924DD">
          <w:rPr>
            <w:webHidden/>
          </w:rPr>
          <w:fldChar w:fldCharType="end"/>
        </w:r>
      </w:hyperlink>
    </w:p>
    <w:p w14:paraId="4D68B515" w14:textId="0790B4E9" w:rsidR="004924DD" w:rsidRDefault="007F1859">
      <w:pPr>
        <w:pStyle w:val="TOC2"/>
        <w:rPr>
          <w:rFonts w:asciiTheme="minorHAnsi" w:eastAsiaTheme="minorEastAsia" w:hAnsiTheme="minorHAnsi" w:cstheme="minorBidi"/>
          <w:color w:val="auto"/>
          <w:szCs w:val="22"/>
        </w:rPr>
      </w:pPr>
      <w:hyperlink w:anchor="_Toc152847620" w:history="1">
        <w:r w:rsidR="004924DD" w:rsidRPr="00E72B16">
          <w:rPr>
            <w:rStyle w:val="Hyperlink"/>
          </w:rPr>
          <w:t>1.3.</w:t>
        </w:r>
        <w:r w:rsidR="004924DD">
          <w:rPr>
            <w:rFonts w:asciiTheme="minorHAnsi" w:eastAsiaTheme="minorEastAsia" w:hAnsiTheme="minorHAnsi" w:cstheme="minorBidi"/>
            <w:color w:val="auto"/>
            <w:szCs w:val="22"/>
          </w:rPr>
          <w:tab/>
        </w:r>
        <w:r w:rsidR="004924DD" w:rsidRPr="00E72B16">
          <w:rPr>
            <w:rStyle w:val="Hyperlink"/>
          </w:rPr>
          <w:t>Objectives of reforms</w:t>
        </w:r>
        <w:r w:rsidR="004924DD">
          <w:rPr>
            <w:webHidden/>
          </w:rPr>
          <w:tab/>
        </w:r>
        <w:r w:rsidR="004924DD">
          <w:rPr>
            <w:webHidden/>
          </w:rPr>
          <w:fldChar w:fldCharType="begin"/>
        </w:r>
        <w:r w:rsidR="004924DD">
          <w:rPr>
            <w:webHidden/>
          </w:rPr>
          <w:instrText xml:space="preserve"> PAGEREF _Toc152847620 \h </w:instrText>
        </w:r>
        <w:r w:rsidR="004924DD">
          <w:rPr>
            <w:webHidden/>
          </w:rPr>
        </w:r>
        <w:r w:rsidR="004924DD">
          <w:rPr>
            <w:webHidden/>
          </w:rPr>
          <w:fldChar w:fldCharType="separate"/>
        </w:r>
        <w:r w:rsidR="00F42255">
          <w:rPr>
            <w:webHidden/>
          </w:rPr>
          <w:t>6</w:t>
        </w:r>
        <w:r w:rsidR="004924DD">
          <w:rPr>
            <w:webHidden/>
          </w:rPr>
          <w:fldChar w:fldCharType="end"/>
        </w:r>
      </w:hyperlink>
    </w:p>
    <w:p w14:paraId="44F7CBC9" w14:textId="0F2772E4" w:rsidR="004924DD" w:rsidRDefault="007F1859">
      <w:pPr>
        <w:pStyle w:val="TOC2"/>
        <w:rPr>
          <w:rFonts w:asciiTheme="minorHAnsi" w:eastAsiaTheme="minorEastAsia" w:hAnsiTheme="minorHAnsi" w:cstheme="minorBidi"/>
          <w:color w:val="auto"/>
          <w:szCs w:val="22"/>
        </w:rPr>
      </w:pPr>
      <w:hyperlink w:anchor="_Toc152847621" w:history="1">
        <w:r w:rsidR="004924DD" w:rsidRPr="00E72B16">
          <w:rPr>
            <w:rStyle w:val="Hyperlink"/>
          </w:rPr>
          <w:t>1.4.</w:t>
        </w:r>
        <w:r w:rsidR="004924DD">
          <w:rPr>
            <w:rFonts w:asciiTheme="minorHAnsi" w:eastAsiaTheme="minorEastAsia" w:hAnsiTheme="minorHAnsi" w:cstheme="minorBidi"/>
            <w:color w:val="auto"/>
            <w:szCs w:val="22"/>
          </w:rPr>
          <w:tab/>
        </w:r>
        <w:r w:rsidR="004924DD" w:rsidRPr="00E72B16">
          <w:rPr>
            <w:rStyle w:val="Hyperlink"/>
          </w:rPr>
          <w:t>Risks the reforms seek to address</w:t>
        </w:r>
        <w:r w:rsidR="004924DD">
          <w:rPr>
            <w:webHidden/>
          </w:rPr>
          <w:tab/>
        </w:r>
        <w:r w:rsidR="004924DD">
          <w:rPr>
            <w:webHidden/>
          </w:rPr>
          <w:fldChar w:fldCharType="begin"/>
        </w:r>
        <w:r w:rsidR="004924DD">
          <w:rPr>
            <w:webHidden/>
          </w:rPr>
          <w:instrText xml:space="preserve"> PAGEREF _Toc152847621 \h </w:instrText>
        </w:r>
        <w:r w:rsidR="004924DD">
          <w:rPr>
            <w:webHidden/>
          </w:rPr>
        </w:r>
        <w:r w:rsidR="004924DD">
          <w:rPr>
            <w:webHidden/>
          </w:rPr>
          <w:fldChar w:fldCharType="separate"/>
        </w:r>
        <w:r w:rsidR="00F42255">
          <w:rPr>
            <w:webHidden/>
          </w:rPr>
          <w:t>6</w:t>
        </w:r>
        <w:r w:rsidR="004924DD">
          <w:rPr>
            <w:webHidden/>
          </w:rPr>
          <w:fldChar w:fldCharType="end"/>
        </w:r>
      </w:hyperlink>
    </w:p>
    <w:p w14:paraId="7151A81F" w14:textId="2343D11B" w:rsidR="004924DD" w:rsidRDefault="007F1859">
      <w:pPr>
        <w:pStyle w:val="TOC2"/>
        <w:rPr>
          <w:rFonts w:asciiTheme="minorHAnsi" w:eastAsiaTheme="minorEastAsia" w:hAnsiTheme="minorHAnsi" w:cstheme="minorBidi"/>
          <w:color w:val="auto"/>
          <w:szCs w:val="22"/>
        </w:rPr>
      </w:pPr>
      <w:hyperlink w:anchor="_Toc152847622" w:history="1">
        <w:r w:rsidR="004924DD" w:rsidRPr="00E72B16">
          <w:rPr>
            <w:rStyle w:val="Hyperlink"/>
          </w:rPr>
          <w:t>1.5.</w:t>
        </w:r>
        <w:r w:rsidR="004924DD">
          <w:rPr>
            <w:rFonts w:asciiTheme="minorHAnsi" w:eastAsiaTheme="minorEastAsia" w:hAnsiTheme="minorHAnsi" w:cstheme="minorBidi"/>
            <w:color w:val="auto"/>
            <w:szCs w:val="22"/>
          </w:rPr>
          <w:tab/>
        </w:r>
        <w:r w:rsidR="004924DD" w:rsidRPr="00E72B16">
          <w:rPr>
            <w:rStyle w:val="Hyperlink"/>
          </w:rPr>
          <w:t>Next steps</w:t>
        </w:r>
        <w:r w:rsidR="004924DD">
          <w:rPr>
            <w:webHidden/>
          </w:rPr>
          <w:tab/>
        </w:r>
        <w:r w:rsidR="004924DD">
          <w:rPr>
            <w:webHidden/>
          </w:rPr>
          <w:fldChar w:fldCharType="begin"/>
        </w:r>
        <w:r w:rsidR="004924DD">
          <w:rPr>
            <w:webHidden/>
          </w:rPr>
          <w:instrText xml:space="preserve"> PAGEREF _Toc152847622 \h </w:instrText>
        </w:r>
        <w:r w:rsidR="004924DD">
          <w:rPr>
            <w:webHidden/>
          </w:rPr>
        </w:r>
        <w:r w:rsidR="004924DD">
          <w:rPr>
            <w:webHidden/>
          </w:rPr>
          <w:fldChar w:fldCharType="separate"/>
        </w:r>
        <w:r w:rsidR="00F42255">
          <w:rPr>
            <w:webHidden/>
          </w:rPr>
          <w:t>7</w:t>
        </w:r>
        <w:r w:rsidR="004924DD">
          <w:rPr>
            <w:webHidden/>
          </w:rPr>
          <w:fldChar w:fldCharType="end"/>
        </w:r>
      </w:hyperlink>
    </w:p>
    <w:p w14:paraId="64AB9FC0" w14:textId="18D46532" w:rsidR="004924DD" w:rsidRDefault="007F1859">
      <w:pPr>
        <w:pStyle w:val="TOC1"/>
        <w:rPr>
          <w:rFonts w:asciiTheme="minorHAnsi" w:eastAsiaTheme="minorEastAsia" w:hAnsiTheme="minorHAnsi" w:cstheme="minorBidi"/>
          <w:b w:val="0"/>
          <w:color w:val="auto"/>
        </w:rPr>
      </w:pPr>
      <w:hyperlink w:anchor="_Toc152847623" w:history="1">
        <w:r w:rsidR="004924DD" w:rsidRPr="00E72B16">
          <w:rPr>
            <w:rStyle w:val="Hyperlink"/>
          </w:rPr>
          <w:t>2.</w:t>
        </w:r>
        <w:r w:rsidR="004924DD">
          <w:rPr>
            <w:rFonts w:asciiTheme="minorHAnsi" w:eastAsiaTheme="minorEastAsia" w:hAnsiTheme="minorHAnsi" w:cstheme="minorBidi"/>
            <w:b w:val="0"/>
            <w:color w:val="auto"/>
          </w:rPr>
          <w:tab/>
        </w:r>
        <w:r w:rsidR="004924DD" w:rsidRPr="00E72B16">
          <w:rPr>
            <w:rStyle w:val="Hyperlink"/>
          </w:rPr>
          <w:t>Proposed payment functions</w:t>
        </w:r>
        <w:r w:rsidR="004924DD">
          <w:rPr>
            <w:webHidden/>
          </w:rPr>
          <w:tab/>
        </w:r>
        <w:r w:rsidR="004924DD">
          <w:rPr>
            <w:webHidden/>
          </w:rPr>
          <w:fldChar w:fldCharType="begin"/>
        </w:r>
        <w:r w:rsidR="004924DD">
          <w:rPr>
            <w:webHidden/>
          </w:rPr>
          <w:instrText xml:space="preserve"> PAGEREF _Toc152847623 \h </w:instrText>
        </w:r>
        <w:r w:rsidR="004924DD">
          <w:rPr>
            <w:webHidden/>
          </w:rPr>
        </w:r>
        <w:r w:rsidR="004924DD">
          <w:rPr>
            <w:webHidden/>
          </w:rPr>
          <w:fldChar w:fldCharType="separate"/>
        </w:r>
        <w:r w:rsidR="00F42255">
          <w:rPr>
            <w:webHidden/>
          </w:rPr>
          <w:t>8</w:t>
        </w:r>
        <w:r w:rsidR="004924DD">
          <w:rPr>
            <w:webHidden/>
          </w:rPr>
          <w:fldChar w:fldCharType="end"/>
        </w:r>
      </w:hyperlink>
    </w:p>
    <w:p w14:paraId="271C7792" w14:textId="7A158667" w:rsidR="004924DD" w:rsidRDefault="007F1859">
      <w:pPr>
        <w:pStyle w:val="TOC2"/>
        <w:rPr>
          <w:rFonts w:asciiTheme="minorHAnsi" w:eastAsiaTheme="minorEastAsia" w:hAnsiTheme="minorHAnsi" w:cstheme="minorBidi"/>
          <w:color w:val="auto"/>
          <w:szCs w:val="22"/>
        </w:rPr>
      </w:pPr>
      <w:hyperlink w:anchor="_Toc152847624" w:history="1">
        <w:r w:rsidR="004924DD" w:rsidRPr="00E72B16">
          <w:rPr>
            <w:rStyle w:val="Hyperlink"/>
          </w:rPr>
          <w:t>2.1.</w:t>
        </w:r>
        <w:r w:rsidR="004924DD">
          <w:rPr>
            <w:rFonts w:asciiTheme="minorHAnsi" w:eastAsiaTheme="minorEastAsia" w:hAnsiTheme="minorHAnsi" w:cstheme="minorBidi"/>
            <w:color w:val="auto"/>
            <w:szCs w:val="22"/>
          </w:rPr>
          <w:tab/>
        </w:r>
        <w:r w:rsidR="004924DD" w:rsidRPr="00E72B16">
          <w:rPr>
            <w:rStyle w:val="Hyperlink"/>
          </w:rPr>
          <w:t>Functions summary</w:t>
        </w:r>
        <w:r w:rsidR="004924DD">
          <w:rPr>
            <w:webHidden/>
          </w:rPr>
          <w:tab/>
        </w:r>
        <w:r w:rsidR="004924DD">
          <w:rPr>
            <w:webHidden/>
          </w:rPr>
          <w:fldChar w:fldCharType="begin"/>
        </w:r>
        <w:r w:rsidR="004924DD">
          <w:rPr>
            <w:webHidden/>
          </w:rPr>
          <w:instrText xml:space="preserve"> PAGEREF _Toc152847624 \h </w:instrText>
        </w:r>
        <w:r w:rsidR="004924DD">
          <w:rPr>
            <w:webHidden/>
          </w:rPr>
        </w:r>
        <w:r w:rsidR="004924DD">
          <w:rPr>
            <w:webHidden/>
          </w:rPr>
          <w:fldChar w:fldCharType="separate"/>
        </w:r>
        <w:r w:rsidR="00F42255">
          <w:rPr>
            <w:webHidden/>
          </w:rPr>
          <w:t>8</w:t>
        </w:r>
        <w:r w:rsidR="004924DD">
          <w:rPr>
            <w:webHidden/>
          </w:rPr>
          <w:fldChar w:fldCharType="end"/>
        </w:r>
      </w:hyperlink>
    </w:p>
    <w:p w14:paraId="0A23E852" w14:textId="10EC6987" w:rsidR="004924DD" w:rsidRDefault="007F1859">
      <w:pPr>
        <w:pStyle w:val="TOC2"/>
        <w:rPr>
          <w:rFonts w:asciiTheme="minorHAnsi" w:eastAsiaTheme="minorEastAsia" w:hAnsiTheme="minorHAnsi" w:cstheme="minorBidi"/>
          <w:color w:val="auto"/>
          <w:szCs w:val="22"/>
        </w:rPr>
      </w:pPr>
      <w:hyperlink w:anchor="_Toc152847625" w:history="1">
        <w:r w:rsidR="004924DD" w:rsidRPr="00E72B16">
          <w:rPr>
            <w:rStyle w:val="Hyperlink"/>
          </w:rPr>
          <w:t>2.2.</w:t>
        </w:r>
        <w:r w:rsidR="004924DD">
          <w:rPr>
            <w:rFonts w:asciiTheme="minorHAnsi" w:eastAsiaTheme="minorEastAsia" w:hAnsiTheme="minorHAnsi" w:cstheme="minorBidi"/>
            <w:color w:val="auto"/>
            <w:szCs w:val="22"/>
          </w:rPr>
          <w:tab/>
        </w:r>
        <w:r w:rsidR="004924DD" w:rsidRPr="00E72B16">
          <w:rPr>
            <w:rStyle w:val="Hyperlink"/>
          </w:rPr>
          <w:t>Updated payment functions</w:t>
        </w:r>
        <w:r w:rsidR="004924DD">
          <w:rPr>
            <w:webHidden/>
          </w:rPr>
          <w:tab/>
        </w:r>
        <w:r w:rsidR="004924DD">
          <w:rPr>
            <w:webHidden/>
          </w:rPr>
          <w:fldChar w:fldCharType="begin"/>
        </w:r>
        <w:r w:rsidR="004924DD">
          <w:rPr>
            <w:webHidden/>
          </w:rPr>
          <w:instrText xml:space="preserve"> PAGEREF _Toc152847625 \h </w:instrText>
        </w:r>
        <w:r w:rsidR="004924DD">
          <w:rPr>
            <w:webHidden/>
          </w:rPr>
        </w:r>
        <w:r w:rsidR="004924DD">
          <w:rPr>
            <w:webHidden/>
          </w:rPr>
          <w:fldChar w:fldCharType="separate"/>
        </w:r>
        <w:r w:rsidR="00F42255">
          <w:rPr>
            <w:webHidden/>
          </w:rPr>
          <w:t>10</w:t>
        </w:r>
        <w:r w:rsidR="004924DD">
          <w:rPr>
            <w:webHidden/>
          </w:rPr>
          <w:fldChar w:fldCharType="end"/>
        </w:r>
      </w:hyperlink>
    </w:p>
    <w:p w14:paraId="1E9441D2" w14:textId="3E6B71BC" w:rsidR="004924DD" w:rsidRDefault="007F1859">
      <w:pPr>
        <w:pStyle w:val="TOC2"/>
        <w:rPr>
          <w:rFonts w:asciiTheme="minorHAnsi" w:eastAsiaTheme="minorEastAsia" w:hAnsiTheme="minorHAnsi" w:cstheme="minorBidi"/>
          <w:color w:val="auto"/>
          <w:szCs w:val="22"/>
        </w:rPr>
      </w:pPr>
      <w:hyperlink w:anchor="_Toc152847626" w:history="1">
        <w:r w:rsidR="004924DD" w:rsidRPr="00E72B16">
          <w:rPr>
            <w:rStyle w:val="Hyperlink"/>
          </w:rPr>
          <w:t>2.3.</w:t>
        </w:r>
        <w:r w:rsidR="004924DD">
          <w:rPr>
            <w:rFonts w:asciiTheme="minorHAnsi" w:eastAsiaTheme="minorEastAsia" w:hAnsiTheme="minorHAnsi" w:cstheme="minorBidi"/>
            <w:color w:val="auto"/>
            <w:szCs w:val="22"/>
          </w:rPr>
          <w:tab/>
        </w:r>
        <w:r w:rsidR="004924DD" w:rsidRPr="00E72B16">
          <w:rPr>
            <w:rStyle w:val="Hyperlink"/>
          </w:rPr>
          <w:t>Incorporating functions into law</w:t>
        </w:r>
        <w:r w:rsidR="004924DD">
          <w:rPr>
            <w:webHidden/>
          </w:rPr>
          <w:tab/>
        </w:r>
        <w:r w:rsidR="004924DD">
          <w:rPr>
            <w:webHidden/>
          </w:rPr>
          <w:fldChar w:fldCharType="begin"/>
        </w:r>
        <w:r w:rsidR="004924DD">
          <w:rPr>
            <w:webHidden/>
          </w:rPr>
          <w:instrText xml:space="preserve"> PAGEREF _Toc152847626 \h </w:instrText>
        </w:r>
        <w:r w:rsidR="004924DD">
          <w:rPr>
            <w:webHidden/>
          </w:rPr>
        </w:r>
        <w:r w:rsidR="004924DD">
          <w:rPr>
            <w:webHidden/>
          </w:rPr>
          <w:fldChar w:fldCharType="separate"/>
        </w:r>
        <w:r w:rsidR="00F42255">
          <w:rPr>
            <w:webHidden/>
          </w:rPr>
          <w:t>28</w:t>
        </w:r>
        <w:r w:rsidR="004924DD">
          <w:rPr>
            <w:webHidden/>
          </w:rPr>
          <w:fldChar w:fldCharType="end"/>
        </w:r>
      </w:hyperlink>
    </w:p>
    <w:p w14:paraId="38ADD953" w14:textId="39A827F3" w:rsidR="004924DD" w:rsidRDefault="007F1859">
      <w:pPr>
        <w:pStyle w:val="TOC2"/>
        <w:rPr>
          <w:rFonts w:asciiTheme="minorHAnsi" w:eastAsiaTheme="minorEastAsia" w:hAnsiTheme="minorHAnsi" w:cstheme="minorBidi"/>
          <w:color w:val="auto"/>
          <w:szCs w:val="22"/>
        </w:rPr>
      </w:pPr>
      <w:hyperlink w:anchor="_Toc152847627" w:history="1">
        <w:r w:rsidR="004924DD" w:rsidRPr="00E72B16">
          <w:rPr>
            <w:rStyle w:val="Hyperlink"/>
          </w:rPr>
          <w:t>2.4.</w:t>
        </w:r>
        <w:r w:rsidR="004924DD">
          <w:rPr>
            <w:rFonts w:asciiTheme="minorHAnsi" w:eastAsiaTheme="minorEastAsia" w:hAnsiTheme="minorHAnsi" w:cstheme="minorBidi"/>
            <w:color w:val="auto"/>
            <w:szCs w:val="22"/>
          </w:rPr>
          <w:tab/>
        </w:r>
        <w:r w:rsidR="004924DD" w:rsidRPr="00E72B16">
          <w:rPr>
            <w:rStyle w:val="Hyperlink"/>
          </w:rPr>
          <w:t>Overseas providers</w:t>
        </w:r>
        <w:r w:rsidR="004924DD">
          <w:rPr>
            <w:webHidden/>
          </w:rPr>
          <w:tab/>
        </w:r>
        <w:r w:rsidR="004924DD">
          <w:rPr>
            <w:webHidden/>
          </w:rPr>
          <w:fldChar w:fldCharType="begin"/>
        </w:r>
        <w:r w:rsidR="004924DD">
          <w:rPr>
            <w:webHidden/>
          </w:rPr>
          <w:instrText xml:space="preserve"> PAGEREF _Toc152847627 \h </w:instrText>
        </w:r>
        <w:r w:rsidR="004924DD">
          <w:rPr>
            <w:webHidden/>
          </w:rPr>
        </w:r>
        <w:r w:rsidR="004924DD">
          <w:rPr>
            <w:webHidden/>
          </w:rPr>
          <w:fldChar w:fldCharType="separate"/>
        </w:r>
        <w:r w:rsidR="00F42255">
          <w:rPr>
            <w:webHidden/>
          </w:rPr>
          <w:t>31</w:t>
        </w:r>
        <w:r w:rsidR="004924DD">
          <w:rPr>
            <w:webHidden/>
          </w:rPr>
          <w:fldChar w:fldCharType="end"/>
        </w:r>
      </w:hyperlink>
    </w:p>
    <w:p w14:paraId="00771C4C" w14:textId="5A052C83" w:rsidR="004924DD" w:rsidRDefault="007F1859">
      <w:pPr>
        <w:pStyle w:val="TOC1"/>
        <w:rPr>
          <w:rFonts w:asciiTheme="minorHAnsi" w:eastAsiaTheme="minorEastAsia" w:hAnsiTheme="minorHAnsi" w:cstheme="minorBidi"/>
          <w:b w:val="0"/>
          <w:color w:val="auto"/>
        </w:rPr>
      </w:pPr>
      <w:hyperlink w:anchor="_Toc152847628" w:history="1">
        <w:r w:rsidR="004924DD" w:rsidRPr="00E72B16">
          <w:rPr>
            <w:rStyle w:val="Hyperlink"/>
          </w:rPr>
          <w:t>3.</w:t>
        </w:r>
        <w:r w:rsidR="004924DD">
          <w:rPr>
            <w:rFonts w:asciiTheme="minorHAnsi" w:eastAsiaTheme="minorEastAsia" w:hAnsiTheme="minorHAnsi" w:cstheme="minorBidi"/>
            <w:b w:val="0"/>
            <w:color w:val="auto"/>
          </w:rPr>
          <w:tab/>
        </w:r>
        <w:r w:rsidR="004924DD" w:rsidRPr="00E72B16">
          <w:rPr>
            <w:rStyle w:val="Hyperlink"/>
          </w:rPr>
          <w:t>Excluded and exempted activities</w:t>
        </w:r>
        <w:r w:rsidR="004924DD">
          <w:rPr>
            <w:webHidden/>
          </w:rPr>
          <w:tab/>
        </w:r>
        <w:r w:rsidR="004924DD">
          <w:rPr>
            <w:webHidden/>
          </w:rPr>
          <w:fldChar w:fldCharType="begin"/>
        </w:r>
        <w:r w:rsidR="004924DD">
          <w:rPr>
            <w:webHidden/>
          </w:rPr>
          <w:instrText xml:space="preserve"> PAGEREF _Toc152847628 \h </w:instrText>
        </w:r>
        <w:r w:rsidR="004924DD">
          <w:rPr>
            <w:webHidden/>
          </w:rPr>
        </w:r>
        <w:r w:rsidR="004924DD">
          <w:rPr>
            <w:webHidden/>
          </w:rPr>
          <w:fldChar w:fldCharType="separate"/>
        </w:r>
        <w:r w:rsidR="00F42255">
          <w:rPr>
            <w:webHidden/>
          </w:rPr>
          <w:t>32</w:t>
        </w:r>
        <w:r w:rsidR="004924DD">
          <w:rPr>
            <w:webHidden/>
          </w:rPr>
          <w:fldChar w:fldCharType="end"/>
        </w:r>
      </w:hyperlink>
    </w:p>
    <w:p w14:paraId="74854C99" w14:textId="758A54FC" w:rsidR="004924DD" w:rsidRDefault="007F1859">
      <w:pPr>
        <w:pStyle w:val="TOC2"/>
        <w:rPr>
          <w:rFonts w:asciiTheme="minorHAnsi" w:eastAsiaTheme="minorEastAsia" w:hAnsiTheme="minorHAnsi" w:cstheme="minorBidi"/>
          <w:color w:val="auto"/>
          <w:szCs w:val="22"/>
        </w:rPr>
      </w:pPr>
      <w:hyperlink w:anchor="_Toc152847629" w:history="1">
        <w:r w:rsidR="004924DD" w:rsidRPr="00E72B16">
          <w:rPr>
            <w:rStyle w:val="Hyperlink"/>
          </w:rPr>
          <w:t>3.1.</w:t>
        </w:r>
        <w:r w:rsidR="004924DD">
          <w:rPr>
            <w:rFonts w:asciiTheme="minorHAnsi" w:eastAsiaTheme="minorEastAsia" w:hAnsiTheme="minorHAnsi" w:cstheme="minorBidi"/>
            <w:color w:val="auto"/>
            <w:szCs w:val="22"/>
          </w:rPr>
          <w:tab/>
        </w:r>
        <w:r w:rsidR="004924DD" w:rsidRPr="00E72B16">
          <w:rPr>
            <w:rStyle w:val="Hyperlink"/>
          </w:rPr>
          <w:t>Exclusions proposed to be removed or amended</w:t>
        </w:r>
        <w:r w:rsidR="004924DD">
          <w:rPr>
            <w:webHidden/>
          </w:rPr>
          <w:tab/>
        </w:r>
        <w:r w:rsidR="004924DD">
          <w:rPr>
            <w:webHidden/>
          </w:rPr>
          <w:fldChar w:fldCharType="begin"/>
        </w:r>
        <w:r w:rsidR="004924DD">
          <w:rPr>
            <w:webHidden/>
          </w:rPr>
          <w:instrText xml:space="preserve"> PAGEREF _Toc152847629 \h </w:instrText>
        </w:r>
        <w:r w:rsidR="004924DD">
          <w:rPr>
            <w:webHidden/>
          </w:rPr>
        </w:r>
        <w:r w:rsidR="004924DD">
          <w:rPr>
            <w:webHidden/>
          </w:rPr>
          <w:fldChar w:fldCharType="separate"/>
        </w:r>
        <w:r w:rsidR="00F42255">
          <w:rPr>
            <w:webHidden/>
          </w:rPr>
          <w:t>32</w:t>
        </w:r>
        <w:r w:rsidR="004924DD">
          <w:rPr>
            <w:webHidden/>
          </w:rPr>
          <w:fldChar w:fldCharType="end"/>
        </w:r>
      </w:hyperlink>
    </w:p>
    <w:p w14:paraId="38D8843E" w14:textId="2863C830" w:rsidR="004924DD" w:rsidRDefault="007F1859">
      <w:pPr>
        <w:pStyle w:val="TOC2"/>
        <w:rPr>
          <w:rFonts w:asciiTheme="minorHAnsi" w:eastAsiaTheme="minorEastAsia" w:hAnsiTheme="minorHAnsi" w:cstheme="minorBidi"/>
          <w:color w:val="auto"/>
          <w:szCs w:val="22"/>
        </w:rPr>
      </w:pPr>
      <w:hyperlink w:anchor="_Toc152847630" w:history="1">
        <w:r w:rsidR="004924DD" w:rsidRPr="00E72B16">
          <w:rPr>
            <w:rStyle w:val="Hyperlink"/>
          </w:rPr>
          <w:t>3.2.</w:t>
        </w:r>
        <w:r w:rsidR="004924DD">
          <w:rPr>
            <w:rFonts w:asciiTheme="minorHAnsi" w:eastAsiaTheme="minorEastAsia" w:hAnsiTheme="minorHAnsi" w:cstheme="minorBidi"/>
            <w:color w:val="auto"/>
            <w:szCs w:val="22"/>
          </w:rPr>
          <w:tab/>
        </w:r>
        <w:r w:rsidR="004924DD" w:rsidRPr="00E72B16">
          <w:rPr>
            <w:rStyle w:val="Hyperlink"/>
          </w:rPr>
          <w:t>New exclusions and exemptions</w:t>
        </w:r>
        <w:r w:rsidR="004924DD">
          <w:rPr>
            <w:webHidden/>
          </w:rPr>
          <w:tab/>
        </w:r>
        <w:r w:rsidR="004924DD">
          <w:rPr>
            <w:webHidden/>
          </w:rPr>
          <w:fldChar w:fldCharType="begin"/>
        </w:r>
        <w:r w:rsidR="004924DD">
          <w:rPr>
            <w:webHidden/>
          </w:rPr>
          <w:instrText xml:space="preserve"> PAGEREF _Toc152847630 \h </w:instrText>
        </w:r>
        <w:r w:rsidR="004924DD">
          <w:rPr>
            <w:webHidden/>
          </w:rPr>
        </w:r>
        <w:r w:rsidR="004924DD">
          <w:rPr>
            <w:webHidden/>
          </w:rPr>
          <w:fldChar w:fldCharType="separate"/>
        </w:r>
        <w:r w:rsidR="00F42255">
          <w:rPr>
            <w:webHidden/>
          </w:rPr>
          <w:t>34</w:t>
        </w:r>
        <w:r w:rsidR="004924DD">
          <w:rPr>
            <w:webHidden/>
          </w:rPr>
          <w:fldChar w:fldCharType="end"/>
        </w:r>
      </w:hyperlink>
    </w:p>
    <w:p w14:paraId="65560AE0" w14:textId="5788DE0D" w:rsidR="004924DD" w:rsidRDefault="007F1859">
      <w:pPr>
        <w:pStyle w:val="TOC1"/>
        <w:rPr>
          <w:rFonts w:asciiTheme="minorHAnsi" w:eastAsiaTheme="minorEastAsia" w:hAnsiTheme="minorHAnsi" w:cstheme="minorBidi"/>
          <w:b w:val="0"/>
          <w:color w:val="auto"/>
        </w:rPr>
      </w:pPr>
      <w:hyperlink w:anchor="_Toc152847631" w:history="1">
        <w:r w:rsidR="004924DD" w:rsidRPr="00E72B16">
          <w:rPr>
            <w:rStyle w:val="Hyperlink"/>
          </w:rPr>
          <w:t>4.</w:t>
        </w:r>
        <w:r w:rsidR="004924DD">
          <w:rPr>
            <w:rFonts w:asciiTheme="minorHAnsi" w:eastAsiaTheme="minorEastAsia" w:hAnsiTheme="minorHAnsi" w:cstheme="minorBidi"/>
            <w:b w:val="0"/>
            <w:color w:val="auto"/>
          </w:rPr>
          <w:tab/>
        </w:r>
        <w:r w:rsidR="004924DD" w:rsidRPr="00E72B16">
          <w:rPr>
            <w:rStyle w:val="Hyperlink"/>
          </w:rPr>
          <w:t>Licensing processes</w:t>
        </w:r>
        <w:r w:rsidR="004924DD">
          <w:rPr>
            <w:webHidden/>
          </w:rPr>
          <w:tab/>
        </w:r>
        <w:r w:rsidR="004924DD">
          <w:rPr>
            <w:webHidden/>
          </w:rPr>
          <w:fldChar w:fldCharType="begin"/>
        </w:r>
        <w:r w:rsidR="004924DD">
          <w:rPr>
            <w:webHidden/>
          </w:rPr>
          <w:instrText xml:space="preserve"> PAGEREF _Toc152847631 \h </w:instrText>
        </w:r>
        <w:r w:rsidR="004924DD">
          <w:rPr>
            <w:webHidden/>
          </w:rPr>
        </w:r>
        <w:r w:rsidR="004924DD">
          <w:rPr>
            <w:webHidden/>
          </w:rPr>
          <w:fldChar w:fldCharType="separate"/>
        </w:r>
        <w:r w:rsidR="00F42255">
          <w:rPr>
            <w:webHidden/>
          </w:rPr>
          <w:t>40</w:t>
        </w:r>
        <w:r w:rsidR="004924DD">
          <w:rPr>
            <w:webHidden/>
          </w:rPr>
          <w:fldChar w:fldCharType="end"/>
        </w:r>
      </w:hyperlink>
    </w:p>
    <w:p w14:paraId="30EC10BD" w14:textId="572C69C1" w:rsidR="004924DD" w:rsidRDefault="007F1859">
      <w:pPr>
        <w:pStyle w:val="TOC2"/>
        <w:rPr>
          <w:rFonts w:asciiTheme="minorHAnsi" w:eastAsiaTheme="minorEastAsia" w:hAnsiTheme="minorHAnsi" w:cstheme="minorBidi"/>
          <w:color w:val="auto"/>
          <w:szCs w:val="22"/>
        </w:rPr>
      </w:pPr>
      <w:hyperlink w:anchor="_Toc152847632" w:history="1">
        <w:r w:rsidR="004924DD" w:rsidRPr="00E72B16">
          <w:rPr>
            <w:rStyle w:val="Hyperlink"/>
          </w:rPr>
          <w:t>4.1.</w:t>
        </w:r>
        <w:r w:rsidR="004924DD">
          <w:rPr>
            <w:rFonts w:asciiTheme="minorHAnsi" w:eastAsiaTheme="minorEastAsia" w:hAnsiTheme="minorHAnsi" w:cstheme="minorBidi"/>
            <w:color w:val="auto"/>
            <w:szCs w:val="22"/>
          </w:rPr>
          <w:tab/>
        </w:r>
        <w:r w:rsidR="004924DD" w:rsidRPr="00E72B16">
          <w:rPr>
            <w:rStyle w:val="Hyperlink"/>
          </w:rPr>
          <w:t>AFS licensing approach</w:t>
        </w:r>
        <w:r w:rsidR="004924DD">
          <w:rPr>
            <w:webHidden/>
          </w:rPr>
          <w:tab/>
        </w:r>
        <w:r w:rsidR="004924DD">
          <w:rPr>
            <w:webHidden/>
          </w:rPr>
          <w:fldChar w:fldCharType="begin"/>
        </w:r>
        <w:r w:rsidR="004924DD">
          <w:rPr>
            <w:webHidden/>
          </w:rPr>
          <w:instrText xml:space="preserve"> PAGEREF _Toc152847632 \h </w:instrText>
        </w:r>
        <w:r w:rsidR="004924DD">
          <w:rPr>
            <w:webHidden/>
          </w:rPr>
        </w:r>
        <w:r w:rsidR="004924DD">
          <w:rPr>
            <w:webHidden/>
          </w:rPr>
          <w:fldChar w:fldCharType="separate"/>
        </w:r>
        <w:r w:rsidR="00F42255">
          <w:rPr>
            <w:webHidden/>
          </w:rPr>
          <w:t>40</w:t>
        </w:r>
        <w:r w:rsidR="004924DD">
          <w:rPr>
            <w:webHidden/>
          </w:rPr>
          <w:fldChar w:fldCharType="end"/>
        </w:r>
      </w:hyperlink>
    </w:p>
    <w:p w14:paraId="6B4AE292" w14:textId="50B322FE" w:rsidR="004924DD" w:rsidRDefault="007F1859">
      <w:pPr>
        <w:pStyle w:val="TOC2"/>
        <w:rPr>
          <w:rFonts w:asciiTheme="minorHAnsi" w:eastAsiaTheme="minorEastAsia" w:hAnsiTheme="minorHAnsi" w:cstheme="minorBidi"/>
          <w:color w:val="auto"/>
          <w:szCs w:val="22"/>
        </w:rPr>
      </w:pPr>
      <w:hyperlink w:anchor="_Toc152847633" w:history="1">
        <w:r w:rsidR="004924DD" w:rsidRPr="00E72B16">
          <w:rPr>
            <w:rStyle w:val="Hyperlink"/>
          </w:rPr>
          <w:t>4.2.</w:t>
        </w:r>
        <w:r w:rsidR="004924DD">
          <w:rPr>
            <w:rFonts w:asciiTheme="minorHAnsi" w:eastAsiaTheme="minorEastAsia" w:hAnsiTheme="minorHAnsi" w:cstheme="minorBidi"/>
            <w:color w:val="auto"/>
            <w:szCs w:val="22"/>
          </w:rPr>
          <w:tab/>
        </w:r>
        <w:r w:rsidR="004924DD" w:rsidRPr="00E72B16">
          <w:rPr>
            <w:rStyle w:val="Hyperlink"/>
          </w:rPr>
          <w:t>Streamlining licensing processes</w:t>
        </w:r>
        <w:r w:rsidR="004924DD">
          <w:rPr>
            <w:webHidden/>
          </w:rPr>
          <w:tab/>
        </w:r>
        <w:r w:rsidR="004924DD">
          <w:rPr>
            <w:webHidden/>
          </w:rPr>
          <w:fldChar w:fldCharType="begin"/>
        </w:r>
        <w:r w:rsidR="004924DD">
          <w:rPr>
            <w:webHidden/>
          </w:rPr>
          <w:instrText xml:space="preserve"> PAGEREF _Toc152847633 \h </w:instrText>
        </w:r>
        <w:r w:rsidR="004924DD">
          <w:rPr>
            <w:webHidden/>
          </w:rPr>
        </w:r>
        <w:r w:rsidR="004924DD">
          <w:rPr>
            <w:webHidden/>
          </w:rPr>
          <w:fldChar w:fldCharType="separate"/>
        </w:r>
        <w:r w:rsidR="00F42255">
          <w:rPr>
            <w:webHidden/>
          </w:rPr>
          <w:t>40</w:t>
        </w:r>
        <w:r w:rsidR="004924DD">
          <w:rPr>
            <w:webHidden/>
          </w:rPr>
          <w:fldChar w:fldCharType="end"/>
        </w:r>
      </w:hyperlink>
    </w:p>
    <w:p w14:paraId="32E2F8EB" w14:textId="5DFF3A1C" w:rsidR="004924DD" w:rsidRDefault="007F1859">
      <w:pPr>
        <w:pStyle w:val="TOC2"/>
        <w:rPr>
          <w:rFonts w:asciiTheme="minorHAnsi" w:eastAsiaTheme="minorEastAsia" w:hAnsiTheme="minorHAnsi" w:cstheme="minorBidi"/>
          <w:color w:val="auto"/>
          <w:szCs w:val="22"/>
        </w:rPr>
      </w:pPr>
      <w:hyperlink w:anchor="_Toc152847634" w:history="1">
        <w:r w:rsidR="004924DD" w:rsidRPr="00E72B16">
          <w:rPr>
            <w:rStyle w:val="Hyperlink"/>
          </w:rPr>
          <w:t>4.3.</w:t>
        </w:r>
        <w:r w:rsidR="004924DD">
          <w:rPr>
            <w:rFonts w:asciiTheme="minorHAnsi" w:eastAsiaTheme="minorEastAsia" w:hAnsiTheme="minorHAnsi" w:cstheme="minorBidi"/>
            <w:color w:val="auto"/>
            <w:szCs w:val="22"/>
          </w:rPr>
          <w:tab/>
        </w:r>
        <w:r w:rsidR="004924DD" w:rsidRPr="00E72B16">
          <w:rPr>
            <w:rStyle w:val="Hyperlink"/>
          </w:rPr>
          <w:t>Interactions with other regulatory frameworks</w:t>
        </w:r>
        <w:r w:rsidR="004924DD">
          <w:rPr>
            <w:webHidden/>
          </w:rPr>
          <w:tab/>
        </w:r>
        <w:r w:rsidR="004924DD">
          <w:rPr>
            <w:webHidden/>
          </w:rPr>
          <w:fldChar w:fldCharType="begin"/>
        </w:r>
        <w:r w:rsidR="004924DD">
          <w:rPr>
            <w:webHidden/>
          </w:rPr>
          <w:instrText xml:space="preserve"> PAGEREF _Toc152847634 \h </w:instrText>
        </w:r>
        <w:r w:rsidR="004924DD">
          <w:rPr>
            <w:webHidden/>
          </w:rPr>
        </w:r>
        <w:r w:rsidR="004924DD">
          <w:rPr>
            <w:webHidden/>
          </w:rPr>
          <w:fldChar w:fldCharType="separate"/>
        </w:r>
        <w:r w:rsidR="00F42255">
          <w:rPr>
            <w:webHidden/>
          </w:rPr>
          <w:t>42</w:t>
        </w:r>
        <w:r w:rsidR="004924DD">
          <w:rPr>
            <w:webHidden/>
          </w:rPr>
          <w:fldChar w:fldCharType="end"/>
        </w:r>
      </w:hyperlink>
    </w:p>
    <w:p w14:paraId="48742F34" w14:textId="2C54BE11" w:rsidR="004924DD" w:rsidRDefault="007F1859">
      <w:pPr>
        <w:pStyle w:val="TOC2"/>
        <w:rPr>
          <w:rFonts w:asciiTheme="minorHAnsi" w:eastAsiaTheme="minorEastAsia" w:hAnsiTheme="minorHAnsi" w:cstheme="minorBidi"/>
          <w:color w:val="auto"/>
          <w:szCs w:val="22"/>
        </w:rPr>
      </w:pPr>
      <w:hyperlink w:anchor="_Toc152847635" w:history="1">
        <w:r w:rsidR="004924DD" w:rsidRPr="00E72B16">
          <w:rPr>
            <w:rStyle w:val="Hyperlink"/>
          </w:rPr>
          <w:t>4.4.</w:t>
        </w:r>
        <w:r w:rsidR="004924DD">
          <w:rPr>
            <w:rFonts w:asciiTheme="minorHAnsi" w:eastAsiaTheme="minorEastAsia" w:hAnsiTheme="minorHAnsi" w:cstheme="minorBidi"/>
            <w:color w:val="auto"/>
            <w:szCs w:val="22"/>
          </w:rPr>
          <w:tab/>
        </w:r>
        <w:r w:rsidR="004924DD" w:rsidRPr="00E72B16">
          <w:rPr>
            <w:rStyle w:val="Hyperlink"/>
          </w:rPr>
          <w:t>Information gathering powers</w:t>
        </w:r>
        <w:r w:rsidR="004924DD">
          <w:rPr>
            <w:webHidden/>
          </w:rPr>
          <w:tab/>
        </w:r>
        <w:r w:rsidR="004924DD">
          <w:rPr>
            <w:webHidden/>
          </w:rPr>
          <w:fldChar w:fldCharType="begin"/>
        </w:r>
        <w:r w:rsidR="004924DD">
          <w:rPr>
            <w:webHidden/>
          </w:rPr>
          <w:instrText xml:space="preserve"> PAGEREF _Toc152847635 \h </w:instrText>
        </w:r>
        <w:r w:rsidR="004924DD">
          <w:rPr>
            <w:webHidden/>
          </w:rPr>
        </w:r>
        <w:r w:rsidR="004924DD">
          <w:rPr>
            <w:webHidden/>
          </w:rPr>
          <w:fldChar w:fldCharType="separate"/>
        </w:r>
        <w:r w:rsidR="00F42255">
          <w:rPr>
            <w:webHidden/>
          </w:rPr>
          <w:t>43</w:t>
        </w:r>
        <w:r w:rsidR="004924DD">
          <w:rPr>
            <w:webHidden/>
          </w:rPr>
          <w:fldChar w:fldCharType="end"/>
        </w:r>
      </w:hyperlink>
    </w:p>
    <w:p w14:paraId="2C43C3F2" w14:textId="27896EC7" w:rsidR="004924DD" w:rsidRDefault="007F1859">
      <w:pPr>
        <w:pStyle w:val="TOC1"/>
        <w:rPr>
          <w:rFonts w:asciiTheme="minorHAnsi" w:eastAsiaTheme="minorEastAsia" w:hAnsiTheme="minorHAnsi" w:cstheme="minorBidi"/>
          <w:b w:val="0"/>
          <w:color w:val="auto"/>
        </w:rPr>
      </w:pPr>
      <w:hyperlink w:anchor="_Toc152847636" w:history="1">
        <w:r w:rsidR="004924DD" w:rsidRPr="00E72B16">
          <w:rPr>
            <w:rStyle w:val="Hyperlink"/>
          </w:rPr>
          <w:t>5.</w:t>
        </w:r>
        <w:r w:rsidR="004924DD">
          <w:rPr>
            <w:rFonts w:asciiTheme="minorHAnsi" w:eastAsiaTheme="minorEastAsia" w:hAnsiTheme="minorHAnsi" w:cstheme="minorBidi"/>
            <w:b w:val="0"/>
            <w:color w:val="auto"/>
          </w:rPr>
          <w:tab/>
        </w:r>
        <w:r w:rsidR="004924DD" w:rsidRPr="00E72B16">
          <w:rPr>
            <w:rStyle w:val="Hyperlink"/>
          </w:rPr>
          <w:t>Financial services obligations</w:t>
        </w:r>
        <w:r w:rsidR="004924DD">
          <w:rPr>
            <w:webHidden/>
          </w:rPr>
          <w:tab/>
        </w:r>
        <w:r w:rsidR="004924DD">
          <w:rPr>
            <w:webHidden/>
          </w:rPr>
          <w:fldChar w:fldCharType="begin"/>
        </w:r>
        <w:r w:rsidR="004924DD">
          <w:rPr>
            <w:webHidden/>
          </w:rPr>
          <w:instrText xml:space="preserve"> PAGEREF _Toc152847636 \h </w:instrText>
        </w:r>
        <w:r w:rsidR="004924DD">
          <w:rPr>
            <w:webHidden/>
          </w:rPr>
        </w:r>
        <w:r w:rsidR="004924DD">
          <w:rPr>
            <w:webHidden/>
          </w:rPr>
          <w:fldChar w:fldCharType="separate"/>
        </w:r>
        <w:r w:rsidR="00F42255">
          <w:rPr>
            <w:webHidden/>
          </w:rPr>
          <w:t>44</w:t>
        </w:r>
        <w:r w:rsidR="004924DD">
          <w:rPr>
            <w:webHidden/>
          </w:rPr>
          <w:fldChar w:fldCharType="end"/>
        </w:r>
      </w:hyperlink>
    </w:p>
    <w:p w14:paraId="3EC0DD87" w14:textId="2B6EEA0B" w:rsidR="004924DD" w:rsidRDefault="007F1859">
      <w:pPr>
        <w:pStyle w:val="TOC2"/>
        <w:rPr>
          <w:rFonts w:asciiTheme="minorHAnsi" w:eastAsiaTheme="minorEastAsia" w:hAnsiTheme="minorHAnsi" w:cstheme="minorBidi"/>
          <w:color w:val="auto"/>
          <w:szCs w:val="22"/>
        </w:rPr>
      </w:pPr>
      <w:hyperlink w:anchor="_Toc152847637" w:history="1">
        <w:r w:rsidR="004924DD" w:rsidRPr="00E72B16">
          <w:rPr>
            <w:rStyle w:val="Hyperlink"/>
          </w:rPr>
          <w:t>5.1.</w:t>
        </w:r>
        <w:r w:rsidR="004924DD">
          <w:rPr>
            <w:rFonts w:asciiTheme="minorHAnsi" w:eastAsiaTheme="minorEastAsia" w:hAnsiTheme="minorHAnsi" w:cstheme="minorBidi"/>
            <w:color w:val="auto"/>
            <w:szCs w:val="22"/>
          </w:rPr>
          <w:tab/>
        </w:r>
        <w:r w:rsidR="004924DD" w:rsidRPr="00E72B16">
          <w:rPr>
            <w:rStyle w:val="Hyperlink"/>
          </w:rPr>
          <w:t>Overview</w:t>
        </w:r>
        <w:r w:rsidR="004924DD">
          <w:rPr>
            <w:webHidden/>
          </w:rPr>
          <w:tab/>
        </w:r>
        <w:r w:rsidR="004924DD">
          <w:rPr>
            <w:webHidden/>
          </w:rPr>
          <w:fldChar w:fldCharType="begin"/>
        </w:r>
        <w:r w:rsidR="004924DD">
          <w:rPr>
            <w:webHidden/>
          </w:rPr>
          <w:instrText xml:space="preserve"> PAGEREF _Toc152847637 \h </w:instrText>
        </w:r>
        <w:r w:rsidR="004924DD">
          <w:rPr>
            <w:webHidden/>
          </w:rPr>
        </w:r>
        <w:r w:rsidR="004924DD">
          <w:rPr>
            <w:webHidden/>
          </w:rPr>
          <w:fldChar w:fldCharType="separate"/>
        </w:r>
        <w:r w:rsidR="00F42255">
          <w:rPr>
            <w:webHidden/>
          </w:rPr>
          <w:t>44</w:t>
        </w:r>
        <w:r w:rsidR="004924DD">
          <w:rPr>
            <w:webHidden/>
          </w:rPr>
          <w:fldChar w:fldCharType="end"/>
        </w:r>
      </w:hyperlink>
    </w:p>
    <w:p w14:paraId="07FF49E1" w14:textId="3D9D5A09" w:rsidR="004924DD" w:rsidRDefault="007F1859">
      <w:pPr>
        <w:pStyle w:val="TOC2"/>
        <w:rPr>
          <w:rFonts w:asciiTheme="minorHAnsi" w:eastAsiaTheme="minorEastAsia" w:hAnsiTheme="minorHAnsi" w:cstheme="minorBidi"/>
          <w:color w:val="auto"/>
          <w:szCs w:val="22"/>
        </w:rPr>
      </w:pPr>
      <w:hyperlink w:anchor="_Toc152847638" w:history="1">
        <w:r w:rsidR="004924DD" w:rsidRPr="00E72B16">
          <w:rPr>
            <w:rStyle w:val="Hyperlink"/>
          </w:rPr>
          <w:t>5.2.</w:t>
        </w:r>
        <w:r w:rsidR="004924DD">
          <w:rPr>
            <w:rFonts w:asciiTheme="minorHAnsi" w:eastAsiaTheme="minorEastAsia" w:hAnsiTheme="minorHAnsi" w:cstheme="minorBidi"/>
            <w:color w:val="auto"/>
            <w:szCs w:val="22"/>
          </w:rPr>
          <w:tab/>
        </w:r>
        <w:r w:rsidR="004924DD" w:rsidRPr="00E72B16">
          <w:rPr>
            <w:rStyle w:val="Hyperlink"/>
          </w:rPr>
          <w:t>General obligations</w:t>
        </w:r>
        <w:r w:rsidR="004924DD">
          <w:rPr>
            <w:webHidden/>
          </w:rPr>
          <w:tab/>
        </w:r>
        <w:r w:rsidR="004924DD">
          <w:rPr>
            <w:webHidden/>
          </w:rPr>
          <w:fldChar w:fldCharType="begin"/>
        </w:r>
        <w:r w:rsidR="004924DD">
          <w:rPr>
            <w:webHidden/>
          </w:rPr>
          <w:instrText xml:space="preserve"> PAGEREF _Toc152847638 \h </w:instrText>
        </w:r>
        <w:r w:rsidR="004924DD">
          <w:rPr>
            <w:webHidden/>
          </w:rPr>
        </w:r>
        <w:r w:rsidR="004924DD">
          <w:rPr>
            <w:webHidden/>
          </w:rPr>
          <w:fldChar w:fldCharType="separate"/>
        </w:r>
        <w:r w:rsidR="00F42255">
          <w:rPr>
            <w:webHidden/>
          </w:rPr>
          <w:t>47</w:t>
        </w:r>
        <w:r w:rsidR="004924DD">
          <w:rPr>
            <w:webHidden/>
          </w:rPr>
          <w:fldChar w:fldCharType="end"/>
        </w:r>
      </w:hyperlink>
    </w:p>
    <w:p w14:paraId="67C1FB4D" w14:textId="72861109" w:rsidR="004924DD" w:rsidRDefault="007F1859">
      <w:pPr>
        <w:pStyle w:val="TOC2"/>
        <w:rPr>
          <w:rFonts w:asciiTheme="minorHAnsi" w:eastAsiaTheme="minorEastAsia" w:hAnsiTheme="minorHAnsi" w:cstheme="minorBidi"/>
          <w:color w:val="auto"/>
          <w:szCs w:val="22"/>
        </w:rPr>
      </w:pPr>
      <w:hyperlink w:anchor="_Toc152847639" w:history="1">
        <w:r w:rsidR="004924DD" w:rsidRPr="00E72B16">
          <w:rPr>
            <w:rStyle w:val="Hyperlink"/>
          </w:rPr>
          <w:t>5.3.</w:t>
        </w:r>
        <w:r w:rsidR="004924DD">
          <w:rPr>
            <w:rFonts w:asciiTheme="minorHAnsi" w:eastAsiaTheme="minorEastAsia" w:hAnsiTheme="minorHAnsi" w:cstheme="minorBidi"/>
            <w:color w:val="auto"/>
            <w:szCs w:val="22"/>
          </w:rPr>
          <w:tab/>
        </w:r>
        <w:r w:rsidR="004924DD" w:rsidRPr="00E72B16">
          <w:rPr>
            <w:rStyle w:val="Hyperlink"/>
          </w:rPr>
          <w:t>Financial requirements</w:t>
        </w:r>
        <w:r w:rsidR="004924DD">
          <w:rPr>
            <w:webHidden/>
          </w:rPr>
          <w:tab/>
        </w:r>
        <w:r w:rsidR="004924DD">
          <w:rPr>
            <w:webHidden/>
          </w:rPr>
          <w:fldChar w:fldCharType="begin"/>
        </w:r>
        <w:r w:rsidR="004924DD">
          <w:rPr>
            <w:webHidden/>
          </w:rPr>
          <w:instrText xml:space="preserve"> PAGEREF _Toc152847639 \h </w:instrText>
        </w:r>
        <w:r w:rsidR="004924DD">
          <w:rPr>
            <w:webHidden/>
          </w:rPr>
        </w:r>
        <w:r w:rsidR="004924DD">
          <w:rPr>
            <w:webHidden/>
          </w:rPr>
          <w:fldChar w:fldCharType="separate"/>
        </w:r>
        <w:r w:rsidR="00F42255">
          <w:rPr>
            <w:webHidden/>
          </w:rPr>
          <w:t>47</w:t>
        </w:r>
        <w:r w:rsidR="004924DD">
          <w:rPr>
            <w:webHidden/>
          </w:rPr>
          <w:fldChar w:fldCharType="end"/>
        </w:r>
      </w:hyperlink>
    </w:p>
    <w:p w14:paraId="17D2AC84" w14:textId="4D95D73F" w:rsidR="004924DD" w:rsidRDefault="007F1859">
      <w:pPr>
        <w:pStyle w:val="TOC2"/>
        <w:rPr>
          <w:rFonts w:asciiTheme="minorHAnsi" w:eastAsiaTheme="minorEastAsia" w:hAnsiTheme="minorHAnsi" w:cstheme="minorBidi"/>
          <w:color w:val="auto"/>
          <w:szCs w:val="22"/>
        </w:rPr>
      </w:pPr>
      <w:hyperlink w:anchor="_Toc152847640" w:history="1">
        <w:r w:rsidR="004924DD" w:rsidRPr="00E72B16">
          <w:rPr>
            <w:rStyle w:val="Hyperlink"/>
          </w:rPr>
          <w:t>5.4.</w:t>
        </w:r>
        <w:r w:rsidR="004924DD">
          <w:rPr>
            <w:rFonts w:asciiTheme="minorHAnsi" w:eastAsiaTheme="minorEastAsia" w:hAnsiTheme="minorHAnsi" w:cstheme="minorBidi"/>
            <w:color w:val="auto"/>
            <w:szCs w:val="22"/>
          </w:rPr>
          <w:tab/>
        </w:r>
        <w:r w:rsidR="004924DD" w:rsidRPr="00E72B16">
          <w:rPr>
            <w:rStyle w:val="Hyperlink"/>
          </w:rPr>
          <w:t>Compensation</w:t>
        </w:r>
        <w:r w:rsidR="004924DD">
          <w:rPr>
            <w:webHidden/>
          </w:rPr>
          <w:tab/>
        </w:r>
        <w:r w:rsidR="004924DD">
          <w:rPr>
            <w:webHidden/>
          </w:rPr>
          <w:fldChar w:fldCharType="begin"/>
        </w:r>
        <w:r w:rsidR="004924DD">
          <w:rPr>
            <w:webHidden/>
          </w:rPr>
          <w:instrText xml:space="preserve"> PAGEREF _Toc152847640 \h </w:instrText>
        </w:r>
        <w:r w:rsidR="004924DD">
          <w:rPr>
            <w:webHidden/>
          </w:rPr>
        </w:r>
        <w:r w:rsidR="004924DD">
          <w:rPr>
            <w:webHidden/>
          </w:rPr>
          <w:fldChar w:fldCharType="separate"/>
        </w:r>
        <w:r w:rsidR="00F42255">
          <w:rPr>
            <w:webHidden/>
          </w:rPr>
          <w:t>49</w:t>
        </w:r>
        <w:r w:rsidR="004924DD">
          <w:rPr>
            <w:webHidden/>
          </w:rPr>
          <w:fldChar w:fldCharType="end"/>
        </w:r>
      </w:hyperlink>
    </w:p>
    <w:p w14:paraId="0830FAE1" w14:textId="39BCE22B" w:rsidR="004924DD" w:rsidRDefault="007F1859">
      <w:pPr>
        <w:pStyle w:val="TOC2"/>
        <w:rPr>
          <w:rFonts w:asciiTheme="minorHAnsi" w:eastAsiaTheme="minorEastAsia" w:hAnsiTheme="minorHAnsi" w:cstheme="minorBidi"/>
          <w:color w:val="auto"/>
          <w:szCs w:val="22"/>
        </w:rPr>
      </w:pPr>
      <w:hyperlink w:anchor="_Toc152847641" w:history="1">
        <w:r w:rsidR="004924DD" w:rsidRPr="00E72B16">
          <w:rPr>
            <w:rStyle w:val="Hyperlink"/>
          </w:rPr>
          <w:t>5.5.</w:t>
        </w:r>
        <w:r w:rsidR="004924DD">
          <w:rPr>
            <w:rFonts w:asciiTheme="minorHAnsi" w:eastAsiaTheme="minorEastAsia" w:hAnsiTheme="minorHAnsi" w:cstheme="minorBidi"/>
            <w:color w:val="auto"/>
            <w:szCs w:val="22"/>
          </w:rPr>
          <w:tab/>
        </w:r>
        <w:r w:rsidR="004924DD" w:rsidRPr="00E72B16">
          <w:rPr>
            <w:rStyle w:val="Hyperlink"/>
          </w:rPr>
          <w:t>Design and distribution obligations</w:t>
        </w:r>
        <w:r w:rsidR="004924DD">
          <w:rPr>
            <w:webHidden/>
          </w:rPr>
          <w:tab/>
        </w:r>
        <w:r w:rsidR="004924DD">
          <w:rPr>
            <w:webHidden/>
          </w:rPr>
          <w:fldChar w:fldCharType="begin"/>
        </w:r>
        <w:r w:rsidR="004924DD">
          <w:rPr>
            <w:webHidden/>
          </w:rPr>
          <w:instrText xml:space="preserve"> PAGEREF _Toc152847641 \h </w:instrText>
        </w:r>
        <w:r w:rsidR="004924DD">
          <w:rPr>
            <w:webHidden/>
          </w:rPr>
        </w:r>
        <w:r w:rsidR="004924DD">
          <w:rPr>
            <w:webHidden/>
          </w:rPr>
          <w:fldChar w:fldCharType="separate"/>
        </w:r>
        <w:r w:rsidR="00F42255">
          <w:rPr>
            <w:webHidden/>
          </w:rPr>
          <w:t>49</w:t>
        </w:r>
        <w:r w:rsidR="004924DD">
          <w:rPr>
            <w:webHidden/>
          </w:rPr>
          <w:fldChar w:fldCharType="end"/>
        </w:r>
      </w:hyperlink>
    </w:p>
    <w:p w14:paraId="5A1542AF" w14:textId="707804E5" w:rsidR="004924DD" w:rsidRDefault="007F1859">
      <w:pPr>
        <w:pStyle w:val="TOC2"/>
        <w:rPr>
          <w:rFonts w:asciiTheme="minorHAnsi" w:eastAsiaTheme="minorEastAsia" w:hAnsiTheme="minorHAnsi" w:cstheme="minorBidi"/>
          <w:color w:val="auto"/>
          <w:szCs w:val="22"/>
        </w:rPr>
      </w:pPr>
      <w:hyperlink w:anchor="_Toc152847642" w:history="1">
        <w:r w:rsidR="004924DD" w:rsidRPr="00E72B16">
          <w:rPr>
            <w:rStyle w:val="Hyperlink"/>
          </w:rPr>
          <w:t>5.6.</w:t>
        </w:r>
        <w:r w:rsidR="004924DD">
          <w:rPr>
            <w:rFonts w:asciiTheme="minorHAnsi" w:eastAsiaTheme="minorEastAsia" w:hAnsiTheme="minorHAnsi" w:cstheme="minorBidi"/>
            <w:color w:val="auto"/>
            <w:szCs w:val="22"/>
          </w:rPr>
          <w:tab/>
        </w:r>
        <w:r w:rsidR="004924DD" w:rsidRPr="00E72B16">
          <w:rPr>
            <w:rStyle w:val="Hyperlink"/>
          </w:rPr>
          <w:t>Hawking prohibition</w:t>
        </w:r>
        <w:r w:rsidR="004924DD">
          <w:rPr>
            <w:webHidden/>
          </w:rPr>
          <w:tab/>
        </w:r>
        <w:r w:rsidR="004924DD">
          <w:rPr>
            <w:webHidden/>
          </w:rPr>
          <w:fldChar w:fldCharType="begin"/>
        </w:r>
        <w:r w:rsidR="004924DD">
          <w:rPr>
            <w:webHidden/>
          </w:rPr>
          <w:instrText xml:space="preserve"> PAGEREF _Toc152847642 \h </w:instrText>
        </w:r>
        <w:r w:rsidR="004924DD">
          <w:rPr>
            <w:webHidden/>
          </w:rPr>
        </w:r>
        <w:r w:rsidR="004924DD">
          <w:rPr>
            <w:webHidden/>
          </w:rPr>
          <w:fldChar w:fldCharType="separate"/>
        </w:r>
        <w:r w:rsidR="00F42255">
          <w:rPr>
            <w:webHidden/>
          </w:rPr>
          <w:t>49</w:t>
        </w:r>
        <w:r w:rsidR="004924DD">
          <w:rPr>
            <w:webHidden/>
          </w:rPr>
          <w:fldChar w:fldCharType="end"/>
        </w:r>
      </w:hyperlink>
    </w:p>
    <w:p w14:paraId="7CAC0F35" w14:textId="238285C8" w:rsidR="004924DD" w:rsidRDefault="007F1859">
      <w:pPr>
        <w:pStyle w:val="TOC2"/>
        <w:rPr>
          <w:rFonts w:asciiTheme="minorHAnsi" w:eastAsiaTheme="minorEastAsia" w:hAnsiTheme="minorHAnsi" w:cstheme="minorBidi"/>
          <w:color w:val="auto"/>
          <w:szCs w:val="22"/>
        </w:rPr>
      </w:pPr>
      <w:hyperlink w:anchor="_Toc152847643" w:history="1">
        <w:r w:rsidR="004924DD" w:rsidRPr="00E72B16">
          <w:rPr>
            <w:rStyle w:val="Hyperlink"/>
          </w:rPr>
          <w:t>5.7.</w:t>
        </w:r>
        <w:r w:rsidR="004924DD">
          <w:rPr>
            <w:rFonts w:asciiTheme="minorHAnsi" w:eastAsiaTheme="minorEastAsia" w:hAnsiTheme="minorHAnsi" w:cstheme="minorBidi"/>
            <w:color w:val="auto"/>
            <w:szCs w:val="22"/>
          </w:rPr>
          <w:tab/>
        </w:r>
        <w:r w:rsidR="004924DD" w:rsidRPr="00E72B16">
          <w:rPr>
            <w:rStyle w:val="Hyperlink"/>
          </w:rPr>
          <w:t>Disclosure</w:t>
        </w:r>
        <w:r w:rsidR="004924DD">
          <w:rPr>
            <w:webHidden/>
          </w:rPr>
          <w:tab/>
        </w:r>
        <w:r w:rsidR="004924DD">
          <w:rPr>
            <w:webHidden/>
          </w:rPr>
          <w:fldChar w:fldCharType="begin"/>
        </w:r>
        <w:r w:rsidR="004924DD">
          <w:rPr>
            <w:webHidden/>
          </w:rPr>
          <w:instrText xml:space="preserve"> PAGEREF _Toc152847643 \h </w:instrText>
        </w:r>
        <w:r w:rsidR="004924DD">
          <w:rPr>
            <w:webHidden/>
          </w:rPr>
        </w:r>
        <w:r w:rsidR="004924DD">
          <w:rPr>
            <w:webHidden/>
          </w:rPr>
          <w:fldChar w:fldCharType="separate"/>
        </w:r>
        <w:r w:rsidR="00F42255">
          <w:rPr>
            <w:webHidden/>
          </w:rPr>
          <w:t>50</w:t>
        </w:r>
        <w:r w:rsidR="004924DD">
          <w:rPr>
            <w:webHidden/>
          </w:rPr>
          <w:fldChar w:fldCharType="end"/>
        </w:r>
      </w:hyperlink>
    </w:p>
    <w:p w14:paraId="6FD06A13" w14:textId="319B5A80" w:rsidR="004924DD" w:rsidRDefault="007F1859">
      <w:pPr>
        <w:pStyle w:val="TOC2"/>
        <w:rPr>
          <w:rFonts w:asciiTheme="minorHAnsi" w:eastAsiaTheme="minorEastAsia" w:hAnsiTheme="minorHAnsi" w:cstheme="minorBidi"/>
          <w:color w:val="auto"/>
          <w:szCs w:val="22"/>
        </w:rPr>
      </w:pPr>
      <w:hyperlink w:anchor="_Toc152847644" w:history="1">
        <w:r w:rsidR="004924DD" w:rsidRPr="00E72B16">
          <w:rPr>
            <w:rStyle w:val="Hyperlink"/>
          </w:rPr>
          <w:t>5.8.</w:t>
        </w:r>
        <w:r w:rsidR="004924DD">
          <w:rPr>
            <w:rFonts w:asciiTheme="minorHAnsi" w:eastAsiaTheme="minorEastAsia" w:hAnsiTheme="minorHAnsi" w:cstheme="minorBidi"/>
            <w:color w:val="auto"/>
            <w:szCs w:val="22"/>
          </w:rPr>
          <w:tab/>
        </w:r>
        <w:r w:rsidR="004924DD" w:rsidRPr="00E72B16">
          <w:rPr>
            <w:rStyle w:val="Hyperlink"/>
          </w:rPr>
          <w:t>Client money rules</w:t>
        </w:r>
        <w:r w:rsidR="004924DD">
          <w:rPr>
            <w:webHidden/>
          </w:rPr>
          <w:tab/>
        </w:r>
        <w:r w:rsidR="004924DD">
          <w:rPr>
            <w:webHidden/>
          </w:rPr>
          <w:fldChar w:fldCharType="begin"/>
        </w:r>
        <w:r w:rsidR="004924DD">
          <w:rPr>
            <w:webHidden/>
          </w:rPr>
          <w:instrText xml:space="preserve"> PAGEREF _Toc152847644 \h </w:instrText>
        </w:r>
        <w:r w:rsidR="004924DD">
          <w:rPr>
            <w:webHidden/>
          </w:rPr>
        </w:r>
        <w:r w:rsidR="004924DD">
          <w:rPr>
            <w:webHidden/>
          </w:rPr>
          <w:fldChar w:fldCharType="separate"/>
        </w:r>
        <w:r w:rsidR="00F42255">
          <w:rPr>
            <w:webHidden/>
          </w:rPr>
          <w:t>50</w:t>
        </w:r>
        <w:r w:rsidR="004924DD">
          <w:rPr>
            <w:webHidden/>
          </w:rPr>
          <w:fldChar w:fldCharType="end"/>
        </w:r>
      </w:hyperlink>
    </w:p>
    <w:p w14:paraId="298244A1" w14:textId="015A6DFA" w:rsidR="004924DD" w:rsidRDefault="007F1859">
      <w:pPr>
        <w:pStyle w:val="TOC2"/>
        <w:rPr>
          <w:rFonts w:asciiTheme="minorHAnsi" w:eastAsiaTheme="minorEastAsia" w:hAnsiTheme="minorHAnsi" w:cstheme="minorBidi"/>
          <w:color w:val="auto"/>
          <w:szCs w:val="22"/>
        </w:rPr>
      </w:pPr>
      <w:hyperlink w:anchor="_Toc152847645" w:history="1">
        <w:r w:rsidR="004924DD" w:rsidRPr="00E72B16">
          <w:rPr>
            <w:rStyle w:val="Hyperlink"/>
          </w:rPr>
          <w:t>5.9.</w:t>
        </w:r>
        <w:r w:rsidR="004924DD">
          <w:rPr>
            <w:rFonts w:asciiTheme="minorHAnsi" w:eastAsiaTheme="minorEastAsia" w:hAnsiTheme="minorHAnsi" w:cstheme="minorBidi"/>
            <w:color w:val="auto"/>
            <w:szCs w:val="22"/>
          </w:rPr>
          <w:tab/>
        </w:r>
        <w:r w:rsidR="004924DD" w:rsidRPr="00E72B16">
          <w:rPr>
            <w:rStyle w:val="Hyperlink"/>
          </w:rPr>
          <w:t>Obligations for low value payment products</w:t>
        </w:r>
        <w:r w:rsidR="004924DD">
          <w:rPr>
            <w:webHidden/>
          </w:rPr>
          <w:tab/>
        </w:r>
        <w:r w:rsidR="004924DD">
          <w:rPr>
            <w:webHidden/>
          </w:rPr>
          <w:fldChar w:fldCharType="begin"/>
        </w:r>
        <w:r w:rsidR="004924DD">
          <w:rPr>
            <w:webHidden/>
          </w:rPr>
          <w:instrText xml:space="preserve"> PAGEREF _Toc152847645 \h </w:instrText>
        </w:r>
        <w:r w:rsidR="004924DD">
          <w:rPr>
            <w:webHidden/>
          </w:rPr>
        </w:r>
        <w:r w:rsidR="004924DD">
          <w:rPr>
            <w:webHidden/>
          </w:rPr>
          <w:fldChar w:fldCharType="separate"/>
        </w:r>
        <w:r w:rsidR="00F42255">
          <w:rPr>
            <w:webHidden/>
          </w:rPr>
          <w:t>52</w:t>
        </w:r>
        <w:r w:rsidR="004924DD">
          <w:rPr>
            <w:webHidden/>
          </w:rPr>
          <w:fldChar w:fldCharType="end"/>
        </w:r>
      </w:hyperlink>
    </w:p>
    <w:p w14:paraId="058F935B" w14:textId="1ECB3A44" w:rsidR="004924DD" w:rsidRDefault="007F1859">
      <w:pPr>
        <w:pStyle w:val="TOC1"/>
        <w:rPr>
          <w:rFonts w:asciiTheme="minorHAnsi" w:eastAsiaTheme="minorEastAsia" w:hAnsiTheme="minorHAnsi" w:cstheme="minorBidi"/>
          <w:b w:val="0"/>
          <w:color w:val="auto"/>
        </w:rPr>
      </w:pPr>
      <w:hyperlink w:anchor="_Toc152847646" w:history="1">
        <w:r w:rsidR="004924DD" w:rsidRPr="00E72B16">
          <w:rPr>
            <w:rStyle w:val="Hyperlink"/>
          </w:rPr>
          <w:t>6.</w:t>
        </w:r>
        <w:r w:rsidR="004924DD">
          <w:rPr>
            <w:rFonts w:asciiTheme="minorHAnsi" w:eastAsiaTheme="minorEastAsia" w:hAnsiTheme="minorHAnsi" w:cstheme="minorBidi"/>
            <w:b w:val="0"/>
            <w:color w:val="auto"/>
          </w:rPr>
          <w:tab/>
        </w:r>
        <w:r w:rsidR="004924DD" w:rsidRPr="00E72B16">
          <w:rPr>
            <w:rStyle w:val="Hyperlink"/>
          </w:rPr>
          <w:t>Regulatory framework for SVFs</w:t>
        </w:r>
        <w:r w:rsidR="004924DD">
          <w:rPr>
            <w:webHidden/>
          </w:rPr>
          <w:tab/>
        </w:r>
        <w:r w:rsidR="004924DD">
          <w:rPr>
            <w:webHidden/>
          </w:rPr>
          <w:fldChar w:fldCharType="begin"/>
        </w:r>
        <w:r w:rsidR="004924DD">
          <w:rPr>
            <w:webHidden/>
          </w:rPr>
          <w:instrText xml:space="preserve"> PAGEREF _Toc152847646 \h </w:instrText>
        </w:r>
        <w:r w:rsidR="004924DD">
          <w:rPr>
            <w:webHidden/>
          </w:rPr>
        </w:r>
        <w:r w:rsidR="004924DD">
          <w:rPr>
            <w:webHidden/>
          </w:rPr>
          <w:fldChar w:fldCharType="separate"/>
        </w:r>
        <w:r w:rsidR="00F42255">
          <w:rPr>
            <w:webHidden/>
          </w:rPr>
          <w:t>53</w:t>
        </w:r>
        <w:r w:rsidR="004924DD">
          <w:rPr>
            <w:webHidden/>
          </w:rPr>
          <w:fldChar w:fldCharType="end"/>
        </w:r>
      </w:hyperlink>
    </w:p>
    <w:p w14:paraId="7014CCBE" w14:textId="7CCFDF08" w:rsidR="004924DD" w:rsidRDefault="007F1859">
      <w:pPr>
        <w:pStyle w:val="TOC2"/>
        <w:rPr>
          <w:rFonts w:asciiTheme="minorHAnsi" w:eastAsiaTheme="minorEastAsia" w:hAnsiTheme="minorHAnsi" w:cstheme="minorBidi"/>
          <w:color w:val="auto"/>
          <w:szCs w:val="22"/>
        </w:rPr>
      </w:pPr>
      <w:hyperlink w:anchor="_Toc152847647" w:history="1">
        <w:r w:rsidR="004924DD" w:rsidRPr="00E72B16">
          <w:rPr>
            <w:rStyle w:val="Hyperlink"/>
          </w:rPr>
          <w:t>6.1.</w:t>
        </w:r>
        <w:r w:rsidR="004924DD">
          <w:rPr>
            <w:rFonts w:asciiTheme="minorHAnsi" w:eastAsiaTheme="minorEastAsia" w:hAnsiTheme="minorHAnsi" w:cstheme="minorBidi"/>
            <w:color w:val="auto"/>
            <w:szCs w:val="22"/>
          </w:rPr>
          <w:tab/>
        </w:r>
        <w:r w:rsidR="004924DD" w:rsidRPr="00E72B16">
          <w:rPr>
            <w:rStyle w:val="Hyperlink"/>
          </w:rPr>
          <w:t>Criteria for Major SVFs</w:t>
        </w:r>
        <w:r w:rsidR="004924DD">
          <w:rPr>
            <w:webHidden/>
          </w:rPr>
          <w:tab/>
        </w:r>
        <w:r w:rsidR="004924DD">
          <w:rPr>
            <w:webHidden/>
          </w:rPr>
          <w:fldChar w:fldCharType="begin"/>
        </w:r>
        <w:r w:rsidR="004924DD">
          <w:rPr>
            <w:webHidden/>
          </w:rPr>
          <w:instrText xml:space="preserve"> PAGEREF _Toc152847647 \h </w:instrText>
        </w:r>
        <w:r w:rsidR="004924DD">
          <w:rPr>
            <w:webHidden/>
          </w:rPr>
        </w:r>
        <w:r w:rsidR="004924DD">
          <w:rPr>
            <w:webHidden/>
          </w:rPr>
          <w:fldChar w:fldCharType="separate"/>
        </w:r>
        <w:r w:rsidR="00F42255">
          <w:rPr>
            <w:webHidden/>
          </w:rPr>
          <w:t>53</w:t>
        </w:r>
        <w:r w:rsidR="004924DD">
          <w:rPr>
            <w:webHidden/>
          </w:rPr>
          <w:fldChar w:fldCharType="end"/>
        </w:r>
      </w:hyperlink>
    </w:p>
    <w:p w14:paraId="68FF8830" w14:textId="288BEB7C" w:rsidR="004924DD" w:rsidRDefault="007F1859">
      <w:pPr>
        <w:pStyle w:val="TOC2"/>
        <w:rPr>
          <w:rFonts w:asciiTheme="minorHAnsi" w:eastAsiaTheme="minorEastAsia" w:hAnsiTheme="minorHAnsi" w:cstheme="minorBidi"/>
          <w:color w:val="auto"/>
          <w:szCs w:val="22"/>
        </w:rPr>
      </w:pPr>
      <w:hyperlink w:anchor="_Toc152847648" w:history="1">
        <w:r w:rsidR="004924DD" w:rsidRPr="00E72B16">
          <w:rPr>
            <w:rStyle w:val="Hyperlink"/>
          </w:rPr>
          <w:t>6.2.</w:t>
        </w:r>
        <w:r w:rsidR="004924DD">
          <w:rPr>
            <w:rFonts w:asciiTheme="minorHAnsi" w:eastAsiaTheme="minorEastAsia" w:hAnsiTheme="minorHAnsi" w:cstheme="minorBidi"/>
            <w:color w:val="auto"/>
            <w:szCs w:val="22"/>
          </w:rPr>
          <w:tab/>
        </w:r>
        <w:r w:rsidR="004924DD" w:rsidRPr="00E72B16">
          <w:rPr>
            <w:rStyle w:val="Hyperlink"/>
          </w:rPr>
          <w:t>Ministerial designation powers</w:t>
        </w:r>
        <w:r w:rsidR="004924DD">
          <w:rPr>
            <w:webHidden/>
          </w:rPr>
          <w:tab/>
        </w:r>
        <w:r w:rsidR="004924DD">
          <w:rPr>
            <w:webHidden/>
          </w:rPr>
          <w:fldChar w:fldCharType="begin"/>
        </w:r>
        <w:r w:rsidR="004924DD">
          <w:rPr>
            <w:webHidden/>
          </w:rPr>
          <w:instrText xml:space="preserve"> PAGEREF _Toc152847648 \h </w:instrText>
        </w:r>
        <w:r w:rsidR="004924DD">
          <w:rPr>
            <w:webHidden/>
          </w:rPr>
        </w:r>
        <w:r w:rsidR="004924DD">
          <w:rPr>
            <w:webHidden/>
          </w:rPr>
          <w:fldChar w:fldCharType="separate"/>
        </w:r>
        <w:r w:rsidR="00F42255">
          <w:rPr>
            <w:webHidden/>
          </w:rPr>
          <w:t>54</w:t>
        </w:r>
        <w:r w:rsidR="004924DD">
          <w:rPr>
            <w:webHidden/>
          </w:rPr>
          <w:fldChar w:fldCharType="end"/>
        </w:r>
      </w:hyperlink>
    </w:p>
    <w:p w14:paraId="2E187A52" w14:textId="3E98E93D" w:rsidR="004924DD" w:rsidRDefault="007F1859">
      <w:pPr>
        <w:pStyle w:val="TOC2"/>
        <w:rPr>
          <w:rFonts w:asciiTheme="minorHAnsi" w:eastAsiaTheme="minorEastAsia" w:hAnsiTheme="minorHAnsi" w:cstheme="minorBidi"/>
          <w:color w:val="auto"/>
          <w:szCs w:val="22"/>
        </w:rPr>
      </w:pPr>
      <w:hyperlink w:anchor="_Toc152847649" w:history="1">
        <w:r w:rsidR="004924DD" w:rsidRPr="00E72B16">
          <w:rPr>
            <w:rStyle w:val="Hyperlink"/>
          </w:rPr>
          <w:t>6.3.</w:t>
        </w:r>
        <w:r w:rsidR="004924DD">
          <w:rPr>
            <w:rFonts w:asciiTheme="minorHAnsi" w:eastAsiaTheme="minorEastAsia" w:hAnsiTheme="minorHAnsi" w:cstheme="minorBidi"/>
            <w:color w:val="auto"/>
            <w:szCs w:val="22"/>
          </w:rPr>
          <w:tab/>
        </w:r>
        <w:r w:rsidR="004924DD" w:rsidRPr="00E72B16">
          <w:rPr>
            <w:rStyle w:val="Hyperlink"/>
          </w:rPr>
          <w:t>Regulatory obligations to apply to all SVFs</w:t>
        </w:r>
        <w:r w:rsidR="004924DD">
          <w:rPr>
            <w:webHidden/>
          </w:rPr>
          <w:tab/>
        </w:r>
        <w:r w:rsidR="004924DD">
          <w:rPr>
            <w:webHidden/>
          </w:rPr>
          <w:fldChar w:fldCharType="begin"/>
        </w:r>
        <w:r w:rsidR="004924DD">
          <w:rPr>
            <w:webHidden/>
          </w:rPr>
          <w:instrText xml:space="preserve"> PAGEREF _Toc152847649 \h </w:instrText>
        </w:r>
        <w:r w:rsidR="004924DD">
          <w:rPr>
            <w:webHidden/>
          </w:rPr>
        </w:r>
        <w:r w:rsidR="004924DD">
          <w:rPr>
            <w:webHidden/>
          </w:rPr>
          <w:fldChar w:fldCharType="separate"/>
        </w:r>
        <w:r w:rsidR="00F42255">
          <w:rPr>
            <w:webHidden/>
          </w:rPr>
          <w:t>55</w:t>
        </w:r>
        <w:r w:rsidR="004924DD">
          <w:rPr>
            <w:webHidden/>
          </w:rPr>
          <w:fldChar w:fldCharType="end"/>
        </w:r>
      </w:hyperlink>
    </w:p>
    <w:p w14:paraId="7C19704E" w14:textId="1F92CAF4" w:rsidR="004924DD" w:rsidRDefault="007F1859">
      <w:pPr>
        <w:pStyle w:val="TOC2"/>
        <w:rPr>
          <w:rFonts w:asciiTheme="minorHAnsi" w:eastAsiaTheme="minorEastAsia" w:hAnsiTheme="minorHAnsi" w:cstheme="minorBidi"/>
          <w:color w:val="auto"/>
          <w:szCs w:val="22"/>
        </w:rPr>
      </w:pPr>
      <w:hyperlink w:anchor="_Toc152847650" w:history="1">
        <w:r w:rsidR="004924DD" w:rsidRPr="00E72B16">
          <w:rPr>
            <w:rStyle w:val="Hyperlink"/>
          </w:rPr>
          <w:t>6.4.</w:t>
        </w:r>
        <w:r w:rsidR="004924DD">
          <w:rPr>
            <w:rFonts w:asciiTheme="minorHAnsi" w:eastAsiaTheme="minorEastAsia" w:hAnsiTheme="minorHAnsi" w:cstheme="minorBidi"/>
            <w:color w:val="auto"/>
            <w:szCs w:val="22"/>
          </w:rPr>
          <w:tab/>
        </w:r>
        <w:r w:rsidR="004924DD" w:rsidRPr="00E72B16">
          <w:rPr>
            <w:rStyle w:val="Hyperlink"/>
          </w:rPr>
          <w:t>Regulatory obligations to apply to Major SVFs</w:t>
        </w:r>
        <w:r w:rsidR="004924DD">
          <w:rPr>
            <w:webHidden/>
          </w:rPr>
          <w:tab/>
        </w:r>
        <w:r w:rsidR="004924DD">
          <w:rPr>
            <w:webHidden/>
          </w:rPr>
          <w:fldChar w:fldCharType="begin"/>
        </w:r>
        <w:r w:rsidR="004924DD">
          <w:rPr>
            <w:webHidden/>
          </w:rPr>
          <w:instrText xml:space="preserve"> PAGEREF _Toc152847650 \h </w:instrText>
        </w:r>
        <w:r w:rsidR="004924DD">
          <w:rPr>
            <w:webHidden/>
          </w:rPr>
        </w:r>
        <w:r w:rsidR="004924DD">
          <w:rPr>
            <w:webHidden/>
          </w:rPr>
          <w:fldChar w:fldCharType="separate"/>
        </w:r>
        <w:r w:rsidR="00F42255">
          <w:rPr>
            <w:webHidden/>
          </w:rPr>
          <w:t>56</w:t>
        </w:r>
        <w:r w:rsidR="004924DD">
          <w:rPr>
            <w:webHidden/>
          </w:rPr>
          <w:fldChar w:fldCharType="end"/>
        </w:r>
      </w:hyperlink>
    </w:p>
    <w:p w14:paraId="76F65C57" w14:textId="587ECF7A" w:rsidR="004924DD" w:rsidRDefault="007F1859">
      <w:pPr>
        <w:pStyle w:val="TOC2"/>
        <w:rPr>
          <w:rFonts w:asciiTheme="minorHAnsi" w:eastAsiaTheme="minorEastAsia" w:hAnsiTheme="minorHAnsi" w:cstheme="minorBidi"/>
          <w:color w:val="auto"/>
          <w:szCs w:val="22"/>
        </w:rPr>
      </w:pPr>
      <w:hyperlink w:anchor="_Toc152847651" w:history="1">
        <w:r w:rsidR="004924DD" w:rsidRPr="00E72B16">
          <w:rPr>
            <w:rStyle w:val="Hyperlink"/>
          </w:rPr>
          <w:t>6.5.</w:t>
        </w:r>
        <w:r w:rsidR="004924DD">
          <w:rPr>
            <w:rFonts w:asciiTheme="minorHAnsi" w:eastAsiaTheme="minorEastAsia" w:hAnsiTheme="minorHAnsi" w:cstheme="minorBidi"/>
            <w:color w:val="auto"/>
            <w:szCs w:val="22"/>
          </w:rPr>
          <w:tab/>
        </w:r>
        <w:r w:rsidR="004924DD" w:rsidRPr="00E72B16">
          <w:rPr>
            <w:rStyle w:val="Hyperlink"/>
          </w:rPr>
          <w:t>Additional regulatory obligations to apply to PSCs</w:t>
        </w:r>
        <w:r w:rsidR="004924DD">
          <w:rPr>
            <w:webHidden/>
          </w:rPr>
          <w:tab/>
        </w:r>
        <w:r w:rsidR="004924DD">
          <w:rPr>
            <w:webHidden/>
          </w:rPr>
          <w:fldChar w:fldCharType="begin"/>
        </w:r>
        <w:r w:rsidR="004924DD">
          <w:rPr>
            <w:webHidden/>
          </w:rPr>
          <w:instrText xml:space="preserve"> PAGEREF _Toc152847651 \h </w:instrText>
        </w:r>
        <w:r w:rsidR="004924DD">
          <w:rPr>
            <w:webHidden/>
          </w:rPr>
        </w:r>
        <w:r w:rsidR="004924DD">
          <w:rPr>
            <w:webHidden/>
          </w:rPr>
          <w:fldChar w:fldCharType="separate"/>
        </w:r>
        <w:r w:rsidR="00F42255">
          <w:rPr>
            <w:webHidden/>
          </w:rPr>
          <w:t>58</w:t>
        </w:r>
        <w:r w:rsidR="004924DD">
          <w:rPr>
            <w:webHidden/>
          </w:rPr>
          <w:fldChar w:fldCharType="end"/>
        </w:r>
      </w:hyperlink>
    </w:p>
    <w:p w14:paraId="6441671F" w14:textId="627B4CFE" w:rsidR="004924DD" w:rsidRDefault="007F1859">
      <w:pPr>
        <w:pStyle w:val="TOC1"/>
        <w:rPr>
          <w:rFonts w:asciiTheme="minorHAnsi" w:eastAsiaTheme="minorEastAsia" w:hAnsiTheme="minorHAnsi" w:cstheme="minorBidi"/>
          <w:b w:val="0"/>
          <w:color w:val="auto"/>
        </w:rPr>
      </w:pPr>
      <w:hyperlink w:anchor="_Toc152847652" w:history="1">
        <w:r w:rsidR="004924DD" w:rsidRPr="00E72B16">
          <w:rPr>
            <w:rStyle w:val="Hyperlink"/>
          </w:rPr>
          <w:t>7.</w:t>
        </w:r>
        <w:r w:rsidR="004924DD">
          <w:rPr>
            <w:rFonts w:asciiTheme="minorHAnsi" w:eastAsiaTheme="minorEastAsia" w:hAnsiTheme="minorHAnsi" w:cstheme="minorBidi"/>
            <w:b w:val="0"/>
            <w:color w:val="auto"/>
          </w:rPr>
          <w:tab/>
        </w:r>
        <w:r w:rsidR="004924DD" w:rsidRPr="00E72B16">
          <w:rPr>
            <w:rStyle w:val="Hyperlink"/>
          </w:rPr>
          <w:t>Common access requirements</w:t>
        </w:r>
        <w:r w:rsidR="004924DD">
          <w:rPr>
            <w:webHidden/>
          </w:rPr>
          <w:tab/>
        </w:r>
        <w:r w:rsidR="004924DD">
          <w:rPr>
            <w:webHidden/>
          </w:rPr>
          <w:fldChar w:fldCharType="begin"/>
        </w:r>
        <w:r w:rsidR="004924DD">
          <w:rPr>
            <w:webHidden/>
          </w:rPr>
          <w:instrText xml:space="preserve"> PAGEREF _Toc152847652 \h </w:instrText>
        </w:r>
        <w:r w:rsidR="004924DD">
          <w:rPr>
            <w:webHidden/>
          </w:rPr>
        </w:r>
        <w:r w:rsidR="004924DD">
          <w:rPr>
            <w:webHidden/>
          </w:rPr>
          <w:fldChar w:fldCharType="separate"/>
        </w:r>
        <w:r w:rsidR="00F42255">
          <w:rPr>
            <w:webHidden/>
          </w:rPr>
          <w:t>60</w:t>
        </w:r>
        <w:r w:rsidR="004924DD">
          <w:rPr>
            <w:webHidden/>
          </w:rPr>
          <w:fldChar w:fldCharType="end"/>
        </w:r>
      </w:hyperlink>
    </w:p>
    <w:p w14:paraId="3C1DF14B" w14:textId="626A1754" w:rsidR="004924DD" w:rsidRDefault="007F1859">
      <w:pPr>
        <w:pStyle w:val="TOC2"/>
        <w:rPr>
          <w:rFonts w:asciiTheme="minorHAnsi" w:eastAsiaTheme="minorEastAsia" w:hAnsiTheme="minorHAnsi" w:cstheme="minorBidi"/>
          <w:color w:val="auto"/>
          <w:szCs w:val="22"/>
        </w:rPr>
      </w:pPr>
      <w:hyperlink w:anchor="_Toc152847653" w:history="1">
        <w:r w:rsidR="004924DD" w:rsidRPr="00E72B16">
          <w:rPr>
            <w:rStyle w:val="Hyperlink"/>
          </w:rPr>
          <w:t>7.1.</w:t>
        </w:r>
        <w:r w:rsidR="004924DD">
          <w:rPr>
            <w:rFonts w:asciiTheme="minorHAnsi" w:eastAsiaTheme="minorEastAsia" w:hAnsiTheme="minorHAnsi" w:cstheme="minorBidi"/>
            <w:color w:val="auto"/>
            <w:szCs w:val="22"/>
          </w:rPr>
          <w:tab/>
        </w:r>
        <w:r w:rsidR="004924DD" w:rsidRPr="00E72B16">
          <w:rPr>
            <w:rStyle w:val="Hyperlink"/>
          </w:rPr>
          <w:t>Background</w:t>
        </w:r>
        <w:r w:rsidR="004924DD">
          <w:rPr>
            <w:webHidden/>
          </w:rPr>
          <w:tab/>
        </w:r>
        <w:r w:rsidR="004924DD">
          <w:rPr>
            <w:webHidden/>
          </w:rPr>
          <w:fldChar w:fldCharType="begin"/>
        </w:r>
        <w:r w:rsidR="004924DD">
          <w:rPr>
            <w:webHidden/>
          </w:rPr>
          <w:instrText xml:space="preserve"> PAGEREF _Toc152847653 \h </w:instrText>
        </w:r>
        <w:r w:rsidR="004924DD">
          <w:rPr>
            <w:webHidden/>
          </w:rPr>
        </w:r>
        <w:r w:rsidR="004924DD">
          <w:rPr>
            <w:webHidden/>
          </w:rPr>
          <w:fldChar w:fldCharType="separate"/>
        </w:r>
        <w:r w:rsidR="00F42255">
          <w:rPr>
            <w:webHidden/>
          </w:rPr>
          <w:t>60</w:t>
        </w:r>
        <w:r w:rsidR="004924DD">
          <w:rPr>
            <w:webHidden/>
          </w:rPr>
          <w:fldChar w:fldCharType="end"/>
        </w:r>
      </w:hyperlink>
    </w:p>
    <w:p w14:paraId="63BEACB3" w14:textId="083ED491" w:rsidR="004924DD" w:rsidRDefault="007F1859">
      <w:pPr>
        <w:pStyle w:val="TOC2"/>
        <w:rPr>
          <w:rFonts w:asciiTheme="minorHAnsi" w:eastAsiaTheme="minorEastAsia" w:hAnsiTheme="minorHAnsi" w:cstheme="minorBidi"/>
          <w:color w:val="auto"/>
          <w:szCs w:val="22"/>
        </w:rPr>
      </w:pPr>
      <w:hyperlink w:anchor="_Toc152847654" w:history="1">
        <w:r w:rsidR="004924DD" w:rsidRPr="00E72B16">
          <w:rPr>
            <w:rStyle w:val="Hyperlink"/>
          </w:rPr>
          <w:t>7.2.</w:t>
        </w:r>
        <w:r w:rsidR="004924DD">
          <w:rPr>
            <w:rFonts w:asciiTheme="minorHAnsi" w:eastAsiaTheme="minorEastAsia" w:hAnsiTheme="minorHAnsi" w:cstheme="minorBidi"/>
            <w:color w:val="auto"/>
            <w:szCs w:val="22"/>
          </w:rPr>
          <w:tab/>
        </w:r>
        <w:r w:rsidR="004924DD" w:rsidRPr="00E72B16">
          <w:rPr>
            <w:rStyle w:val="Hyperlink"/>
          </w:rPr>
          <w:t>Application to PSPs</w:t>
        </w:r>
        <w:r w:rsidR="004924DD">
          <w:rPr>
            <w:webHidden/>
          </w:rPr>
          <w:tab/>
        </w:r>
        <w:r w:rsidR="004924DD">
          <w:rPr>
            <w:webHidden/>
          </w:rPr>
          <w:fldChar w:fldCharType="begin"/>
        </w:r>
        <w:r w:rsidR="004924DD">
          <w:rPr>
            <w:webHidden/>
          </w:rPr>
          <w:instrText xml:space="preserve"> PAGEREF _Toc152847654 \h </w:instrText>
        </w:r>
        <w:r w:rsidR="004924DD">
          <w:rPr>
            <w:webHidden/>
          </w:rPr>
        </w:r>
        <w:r w:rsidR="004924DD">
          <w:rPr>
            <w:webHidden/>
          </w:rPr>
          <w:fldChar w:fldCharType="separate"/>
        </w:r>
        <w:r w:rsidR="00F42255">
          <w:rPr>
            <w:webHidden/>
          </w:rPr>
          <w:t>61</w:t>
        </w:r>
        <w:r w:rsidR="004924DD">
          <w:rPr>
            <w:webHidden/>
          </w:rPr>
          <w:fldChar w:fldCharType="end"/>
        </w:r>
      </w:hyperlink>
    </w:p>
    <w:p w14:paraId="24F442CB" w14:textId="58B31D5E" w:rsidR="004924DD" w:rsidRDefault="007F1859">
      <w:pPr>
        <w:pStyle w:val="TOC2"/>
        <w:rPr>
          <w:rFonts w:asciiTheme="minorHAnsi" w:eastAsiaTheme="minorEastAsia" w:hAnsiTheme="minorHAnsi" w:cstheme="minorBidi"/>
          <w:color w:val="auto"/>
          <w:szCs w:val="22"/>
        </w:rPr>
      </w:pPr>
      <w:hyperlink w:anchor="_Toc152847655" w:history="1">
        <w:r w:rsidR="004924DD" w:rsidRPr="00E72B16">
          <w:rPr>
            <w:rStyle w:val="Hyperlink"/>
          </w:rPr>
          <w:t>7.3.</w:t>
        </w:r>
        <w:r w:rsidR="004924DD">
          <w:rPr>
            <w:rFonts w:asciiTheme="minorHAnsi" w:eastAsiaTheme="minorEastAsia" w:hAnsiTheme="minorHAnsi" w:cstheme="minorBidi"/>
            <w:color w:val="auto"/>
            <w:szCs w:val="22"/>
          </w:rPr>
          <w:tab/>
        </w:r>
        <w:r w:rsidR="004924DD" w:rsidRPr="00E72B16">
          <w:rPr>
            <w:rStyle w:val="Hyperlink"/>
          </w:rPr>
          <w:t>Proposed regulatory model</w:t>
        </w:r>
        <w:r w:rsidR="004924DD">
          <w:rPr>
            <w:webHidden/>
          </w:rPr>
          <w:tab/>
        </w:r>
        <w:r w:rsidR="004924DD">
          <w:rPr>
            <w:webHidden/>
          </w:rPr>
          <w:fldChar w:fldCharType="begin"/>
        </w:r>
        <w:r w:rsidR="004924DD">
          <w:rPr>
            <w:webHidden/>
          </w:rPr>
          <w:instrText xml:space="preserve"> PAGEREF _Toc152847655 \h </w:instrText>
        </w:r>
        <w:r w:rsidR="004924DD">
          <w:rPr>
            <w:webHidden/>
          </w:rPr>
        </w:r>
        <w:r w:rsidR="004924DD">
          <w:rPr>
            <w:webHidden/>
          </w:rPr>
          <w:fldChar w:fldCharType="separate"/>
        </w:r>
        <w:r w:rsidR="00F42255">
          <w:rPr>
            <w:webHidden/>
          </w:rPr>
          <w:t>62</w:t>
        </w:r>
        <w:r w:rsidR="004924DD">
          <w:rPr>
            <w:webHidden/>
          </w:rPr>
          <w:fldChar w:fldCharType="end"/>
        </w:r>
      </w:hyperlink>
    </w:p>
    <w:p w14:paraId="49B33193" w14:textId="1F2C8FFE" w:rsidR="004924DD" w:rsidRDefault="007F1859">
      <w:pPr>
        <w:pStyle w:val="TOC1"/>
        <w:rPr>
          <w:rFonts w:asciiTheme="minorHAnsi" w:eastAsiaTheme="minorEastAsia" w:hAnsiTheme="minorHAnsi" w:cstheme="minorBidi"/>
          <w:b w:val="0"/>
          <w:color w:val="auto"/>
        </w:rPr>
      </w:pPr>
      <w:hyperlink w:anchor="_Toc152847656" w:history="1">
        <w:r w:rsidR="004924DD" w:rsidRPr="00E72B16">
          <w:rPr>
            <w:rStyle w:val="Hyperlink"/>
          </w:rPr>
          <w:t>8.</w:t>
        </w:r>
        <w:r w:rsidR="004924DD">
          <w:rPr>
            <w:rFonts w:asciiTheme="minorHAnsi" w:eastAsiaTheme="minorEastAsia" w:hAnsiTheme="minorHAnsi" w:cstheme="minorBidi"/>
            <w:b w:val="0"/>
            <w:color w:val="auto"/>
          </w:rPr>
          <w:tab/>
        </w:r>
        <w:r w:rsidR="004924DD" w:rsidRPr="00E72B16">
          <w:rPr>
            <w:rStyle w:val="Hyperlink"/>
          </w:rPr>
          <w:t>Industry standard-setting framework</w:t>
        </w:r>
        <w:r w:rsidR="004924DD">
          <w:rPr>
            <w:webHidden/>
          </w:rPr>
          <w:tab/>
        </w:r>
        <w:r w:rsidR="004924DD">
          <w:rPr>
            <w:webHidden/>
          </w:rPr>
          <w:fldChar w:fldCharType="begin"/>
        </w:r>
        <w:r w:rsidR="004924DD">
          <w:rPr>
            <w:webHidden/>
          </w:rPr>
          <w:instrText xml:space="preserve"> PAGEREF _Toc152847656 \h </w:instrText>
        </w:r>
        <w:r w:rsidR="004924DD">
          <w:rPr>
            <w:webHidden/>
          </w:rPr>
        </w:r>
        <w:r w:rsidR="004924DD">
          <w:rPr>
            <w:webHidden/>
          </w:rPr>
          <w:fldChar w:fldCharType="separate"/>
        </w:r>
        <w:r w:rsidR="00F42255">
          <w:rPr>
            <w:webHidden/>
          </w:rPr>
          <w:t>65</w:t>
        </w:r>
        <w:r w:rsidR="004924DD">
          <w:rPr>
            <w:webHidden/>
          </w:rPr>
          <w:fldChar w:fldCharType="end"/>
        </w:r>
      </w:hyperlink>
    </w:p>
    <w:p w14:paraId="7A81A758" w14:textId="606DA0D5" w:rsidR="004924DD" w:rsidRDefault="007F1859">
      <w:pPr>
        <w:pStyle w:val="TOC2"/>
        <w:rPr>
          <w:rFonts w:asciiTheme="minorHAnsi" w:eastAsiaTheme="minorEastAsia" w:hAnsiTheme="minorHAnsi" w:cstheme="minorBidi"/>
          <w:color w:val="auto"/>
          <w:szCs w:val="22"/>
        </w:rPr>
      </w:pPr>
      <w:hyperlink w:anchor="_Toc152847657" w:history="1">
        <w:r w:rsidR="004924DD" w:rsidRPr="00E72B16">
          <w:rPr>
            <w:rStyle w:val="Hyperlink"/>
          </w:rPr>
          <w:t>8.1.</w:t>
        </w:r>
        <w:r w:rsidR="004924DD">
          <w:rPr>
            <w:rFonts w:asciiTheme="minorHAnsi" w:eastAsiaTheme="minorEastAsia" w:hAnsiTheme="minorHAnsi" w:cstheme="minorBidi"/>
            <w:color w:val="auto"/>
            <w:szCs w:val="22"/>
          </w:rPr>
          <w:tab/>
        </w:r>
        <w:r w:rsidR="004924DD" w:rsidRPr="00E72B16">
          <w:rPr>
            <w:rStyle w:val="Hyperlink"/>
          </w:rPr>
          <w:t>Background</w:t>
        </w:r>
        <w:r w:rsidR="004924DD">
          <w:rPr>
            <w:webHidden/>
          </w:rPr>
          <w:tab/>
        </w:r>
        <w:r w:rsidR="004924DD">
          <w:rPr>
            <w:webHidden/>
          </w:rPr>
          <w:fldChar w:fldCharType="begin"/>
        </w:r>
        <w:r w:rsidR="004924DD">
          <w:rPr>
            <w:webHidden/>
          </w:rPr>
          <w:instrText xml:space="preserve"> PAGEREF _Toc152847657 \h </w:instrText>
        </w:r>
        <w:r w:rsidR="004924DD">
          <w:rPr>
            <w:webHidden/>
          </w:rPr>
        </w:r>
        <w:r w:rsidR="004924DD">
          <w:rPr>
            <w:webHidden/>
          </w:rPr>
          <w:fldChar w:fldCharType="separate"/>
        </w:r>
        <w:r w:rsidR="00F42255">
          <w:rPr>
            <w:webHidden/>
          </w:rPr>
          <w:t>65</w:t>
        </w:r>
        <w:r w:rsidR="004924DD">
          <w:rPr>
            <w:webHidden/>
          </w:rPr>
          <w:fldChar w:fldCharType="end"/>
        </w:r>
      </w:hyperlink>
    </w:p>
    <w:p w14:paraId="5AFDDE18" w14:textId="19E7A0B4" w:rsidR="004924DD" w:rsidRDefault="007F1859">
      <w:pPr>
        <w:pStyle w:val="TOC2"/>
        <w:rPr>
          <w:rFonts w:asciiTheme="minorHAnsi" w:eastAsiaTheme="minorEastAsia" w:hAnsiTheme="minorHAnsi" w:cstheme="minorBidi"/>
          <w:color w:val="auto"/>
          <w:szCs w:val="22"/>
        </w:rPr>
      </w:pPr>
      <w:hyperlink w:anchor="_Toc152847658" w:history="1">
        <w:r w:rsidR="004924DD" w:rsidRPr="00E72B16">
          <w:rPr>
            <w:rStyle w:val="Hyperlink"/>
          </w:rPr>
          <w:t>8.2.</w:t>
        </w:r>
        <w:r w:rsidR="004924DD">
          <w:rPr>
            <w:rFonts w:asciiTheme="minorHAnsi" w:eastAsiaTheme="minorEastAsia" w:hAnsiTheme="minorHAnsi" w:cstheme="minorBidi"/>
            <w:color w:val="auto"/>
            <w:szCs w:val="22"/>
          </w:rPr>
          <w:tab/>
        </w:r>
        <w:r w:rsidR="004924DD" w:rsidRPr="00E72B16">
          <w:rPr>
            <w:rStyle w:val="Hyperlink"/>
          </w:rPr>
          <w:t>Objectives</w:t>
        </w:r>
        <w:r w:rsidR="004924DD">
          <w:rPr>
            <w:webHidden/>
          </w:rPr>
          <w:tab/>
        </w:r>
        <w:r w:rsidR="004924DD">
          <w:rPr>
            <w:webHidden/>
          </w:rPr>
          <w:fldChar w:fldCharType="begin"/>
        </w:r>
        <w:r w:rsidR="004924DD">
          <w:rPr>
            <w:webHidden/>
          </w:rPr>
          <w:instrText xml:space="preserve"> PAGEREF _Toc152847658 \h </w:instrText>
        </w:r>
        <w:r w:rsidR="004924DD">
          <w:rPr>
            <w:webHidden/>
          </w:rPr>
        </w:r>
        <w:r w:rsidR="004924DD">
          <w:rPr>
            <w:webHidden/>
          </w:rPr>
          <w:fldChar w:fldCharType="separate"/>
        </w:r>
        <w:r w:rsidR="00F42255">
          <w:rPr>
            <w:webHidden/>
          </w:rPr>
          <w:t>65</w:t>
        </w:r>
        <w:r w:rsidR="004924DD">
          <w:rPr>
            <w:webHidden/>
          </w:rPr>
          <w:fldChar w:fldCharType="end"/>
        </w:r>
      </w:hyperlink>
    </w:p>
    <w:p w14:paraId="583E13C3" w14:textId="103BD3A0" w:rsidR="004924DD" w:rsidRDefault="007F1859">
      <w:pPr>
        <w:pStyle w:val="TOC2"/>
        <w:rPr>
          <w:rFonts w:asciiTheme="minorHAnsi" w:eastAsiaTheme="minorEastAsia" w:hAnsiTheme="minorHAnsi" w:cstheme="minorBidi"/>
          <w:color w:val="auto"/>
          <w:szCs w:val="22"/>
        </w:rPr>
      </w:pPr>
      <w:hyperlink w:anchor="_Toc152847659" w:history="1">
        <w:r w:rsidR="004924DD" w:rsidRPr="00E72B16">
          <w:rPr>
            <w:rStyle w:val="Hyperlink"/>
          </w:rPr>
          <w:t>8.3.</w:t>
        </w:r>
        <w:r w:rsidR="004924DD">
          <w:rPr>
            <w:rFonts w:asciiTheme="minorHAnsi" w:eastAsiaTheme="minorEastAsia" w:hAnsiTheme="minorHAnsi" w:cstheme="minorBidi"/>
            <w:color w:val="auto"/>
            <w:szCs w:val="22"/>
          </w:rPr>
          <w:tab/>
        </w:r>
        <w:r w:rsidR="004924DD" w:rsidRPr="00E72B16">
          <w:rPr>
            <w:rStyle w:val="Hyperlink"/>
          </w:rPr>
          <w:t>Lessons from overseas jurisdictions</w:t>
        </w:r>
        <w:r w:rsidR="004924DD">
          <w:rPr>
            <w:webHidden/>
          </w:rPr>
          <w:tab/>
        </w:r>
        <w:r w:rsidR="004924DD">
          <w:rPr>
            <w:webHidden/>
          </w:rPr>
          <w:fldChar w:fldCharType="begin"/>
        </w:r>
        <w:r w:rsidR="004924DD">
          <w:rPr>
            <w:webHidden/>
          </w:rPr>
          <w:instrText xml:space="preserve"> PAGEREF _Toc152847659 \h </w:instrText>
        </w:r>
        <w:r w:rsidR="004924DD">
          <w:rPr>
            <w:webHidden/>
          </w:rPr>
        </w:r>
        <w:r w:rsidR="004924DD">
          <w:rPr>
            <w:webHidden/>
          </w:rPr>
          <w:fldChar w:fldCharType="separate"/>
        </w:r>
        <w:r w:rsidR="00F42255">
          <w:rPr>
            <w:webHidden/>
          </w:rPr>
          <w:t>66</w:t>
        </w:r>
        <w:r w:rsidR="004924DD">
          <w:rPr>
            <w:webHidden/>
          </w:rPr>
          <w:fldChar w:fldCharType="end"/>
        </w:r>
      </w:hyperlink>
    </w:p>
    <w:p w14:paraId="6088FFE5" w14:textId="26FF1BF9" w:rsidR="004924DD" w:rsidRDefault="007F1859">
      <w:pPr>
        <w:pStyle w:val="TOC2"/>
        <w:rPr>
          <w:rFonts w:asciiTheme="minorHAnsi" w:eastAsiaTheme="minorEastAsia" w:hAnsiTheme="minorHAnsi" w:cstheme="minorBidi"/>
          <w:color w:val="auto"/>
          <w:szCs w:val="22"/>
        </w:rPr>
      </w:pPr>
      <w:hyperlink w:anchor="_Toc152847660" w:history="1">
        <w:r w:rsidR="004924DD" w:rsidRPr="00E72B16">
          <w:rPr>
            <w:rStyle w:val="Hyperlink"/>
          </w:rPr>
          <w:t>8.4.</w:t>
        </w:r>
        <w:r w:rsidR="004924DD">
          <w:rPr>
            <w:rFonts w:asciiTheme="minorHAnsi" w:eastAsiaTheme="minorEastAsia" w:hAnsiTheme="minorHAnsi" w:cstheme="minorBidi"/>
            <w:color w:val="auto"/>
            <w:szCs w:val="22"/>
          </w:rPr>
          <w:tab/>
        </w:r>
        <w:r w:rsidR="004924DD" w:rsidRPr="00E72B16">
          <w:rPr>
            <w:rStyle w:val="Hyperlink"/>
          </w:rPr>
          <w:t>Standard-setting framework</w:t>
        </w:r>
        <w:r w:rsidR="004924DD">
          <w:rPr>
            <w:webHidden/>
          </w:rPr>
          <w:tab/>
        </w:r>
        <w:r w:rsidR="004924DD">
          <w:rPr>
            <w:webHidden/>
          </w:rPr>
          <w:fldChar w:fldCharType="begin"/>
        </w:r>
        <w:r w:rsidR="004924DD">
          <w:rPr>
            <w:webHidden/>
          </w:rPr>
          <w:instrText xml:space="preserve"> PAGEREF _Toc152847660 \h </w:instrText>
        </w:r>
        <w:r w:rsidR="004924DD">
          <w:rPr>
            <w:webHidden/>
          </w:rPr>
        </w:r>
        <w:r w:rsidR="004924DD">
          <w:rPr>
            <w:webHidden/>
          </w:rPr>
          <w:fldChar w:fldCharType="separate"/>
        </w:r>
        <w:r w:rsidR="00F42255">
          <w:rPr>
            <w:webHidden/>
          </w:rPr>
          <w:t>66</w:t>
        </w:r>
        <w:r w:rsidR="004924DD">
          <w:rPr>
            <w:webHidden/>
          </w:rPr>
          <w:fldChar w:fldCharType="end"/>
        </w:r>
      </w:hyperlink>
    </w:p>
    <w:p w14:paraId="02CDEF27" w14:textId="37AA705A" w:rsidR="004924DD" w:rsidRDefault="007F1859">
      <w:pPr>
        <w:pStyle w:val="TOC1"/>
        <w:rPr>
          <w:rFonts w:asciiTheme="minorHAnsi" w:eastAsiaTheme="minorEastAsia" w:hAnsiTheme="minorHAnsi" w:cstheme="minorBidi"/>
          <w:b w:val="0"/>
          <w:color w:val="auto"/>
        </w:rPr>
      </w:pPr>
      <w:hyperlink w:anchor="_Toc152847661" w:history="1">
        <w:r w:rsidR="004924DD" w:rsidRPr="00E72B16">
          <w:rPr>
            <w:rStyle w:val="Hyperlink"/>
          </w:rPr>
          <w:t>9.</w:t>
        </w:r>
        <w:r w:rsidR="004924DD">
          <w:rPr>
            <w:rFonts w:asciiTheme="minorHAnsi" w:eastAsiaTheme="minorEastAsia" w:hAnsiTheme="minorHAnsi" w:cstheme="minorBidi"/>
            <w:b w:val="0"/>
            <w:color w:val="auto"/>
          </w:rPr>
          <w:tab/>
        </w:r>
        <w:r w:rsidR="004924DD" w:rsidRPr="00E72B16">
          <w:rPr>
            <w:rStyle w:val="Hyperlink"/>
          </w:rPr>
          <w:t>ePayments Code</w:t>
        </w:r>
        <w:r w:rsidR="004924DD">
          <w:rPr>
            <w:webHidden/>
          </w:rPr>
          <w:tab/>
        </w:r>
        <w:r w:rsidR="004924DD">
          <w:rPr>
            <w:webHidden/>
          </w:rPr>
          <w:fldChar w:fldCharType="begin"/>
        </w:r>
        <w:r w:rsidR="004924DD">
          <w:rPr>
            <w:webHidden/>
          </w:rPr>
          <w:instrText xml:space="preserve"> PAGEREF _Toc152847661 \h </w:instrText>
        </w:r>
        <w:r w:rsidR="004924DD">
          <w:rPr>
            <w:webHidden/>
          </w:rPr>
        </w:r>
        <w:r w:rsidR="004924DD">
          <w:rPr>
            <w:webHidden/>
          </w:rPr>
          <w:fldChar w:fldCharType="separate"/>
        </w:r>
        <w:r w:rsidR="00F42255">
          <w:rPr>
            <w:webHidden/>
          </w:rPr>
          <w:t>73</w:t>
        </w:r>
        <w:r w:rsidR="004924DD">
          <w:rPr>
            <w:webHidden/>
          </w:rPr>
          <w:fldChar w:fldCharType="end"/>
        </w:r>
      </w:hyperlink>
    </w:p>
    <w:p w14:paraId="315C616B" w14:textId="7762A867" w:rsidR="004924DD" w:rsidRDefault="007F1859">
      <w:pPr>
        <w:pStyle w:val="TOC2"/>
        <w:rPr>
          <w:rFonts w:asciiTheme="minorHAnsi" w:eastAsiaTheme="minorEastAsia" w:hAnsiTheme="minorHAnsi" w:cstheme="minorBidi"/>
          <w:color w:val="auto"/>
          <w:szCs w:val="22"/>
        </w:rPr>
      </w:pPr>
      <w:hyperlink w:anchor="_Toc152847662" w:history="1">
        <w:r w:rsidR="004924DD" w:rsidRPr="00E72B16">
          <w:rPr>
            <w:rStyle w:val="Hyperlink"/>
          </w:rPr>
          <w:t>9.1.</w:t>
        </w:r>
        <w:r w:rsidR="004924DD">
          <w:rPr>
            <w:rFonts w:asciiTheme="minorHAnsi" w:eastAsiaTheme="minorEastAsia" w:hAnsiTheme="minorHAnsi" w:cstheme="minorBidi"/>
            <w:color w:val="auto"/>
            <w:szCs w:val="22"/>
          </w:rPr>
          <w:tab/>
        </w:r>
        <w:r w:rsidR="004924DD" w:rsidRPr="00E72B16">
          <w:rPr>
            <w:rStyle w:val="Hyperlink"/>
          </w:rPr>
          <w:t>Ministerial rule-making power</w:t>
        </w:r>
        <w:r w:rsidR="004924DD">
          <w:rPr>
            <w:webHidden/>
          </w:rPr>
          <w:tab/>
        </w:r>
        <w:r w:rsidR="004924DD">
          <w:rPr>
            <w:webHidden/>
          </w:rPr>
          <w:fldChar w:fldCharType="begin"/>
        </w:r>
        <w:r w:rsidR="004924DD">
          <w:rPr>
            <w:webHidden/>
          </w:rPr>
          <w:instrText xml:space="preserve"> PAGEREF _Toc152847662 \h </w:instrText>
        </w:r>
        <w:r w:rsidR="004924DD">
          <w:rPr>
            <w:webHidden/>
          </w:rPr>
        </w:r>
        <w:r w:rsidR="004924DD">
          <w:rPr>
            <w:webHidden/>
          </w:rPr>
          <w:fldChar w:fldCharType="separate"/>
        </w:r>
        <w:r w:rsidR="00F42255">
          <w:rPr>
            <w:webHidden/>
          </w:rPr>
          <w:t>73</w:t>
        </w:r>
        <w:r w:rsidR="004924DD">
          <w:rPr>
            <w:webHidden/>
          </w:rPr>
          <w:fldChar w:fldCharType="end"/>
        </w:r>
      </w:hyperlink>
    </w:p>
    <w:p w14:paraId="40120CD5" w14:textId="7F6B1191" w:rsidR="004924DD" w:rsidRDefault="007F1859">
      <w:pPr>
        <w:pStyle w:val="TOC2"/>
        <w:rPr>
          <w:rFonts w:asciiTheme="minorHAnsi" w:eastAsiaTheme="minorEastAsia" w:hAnsiTheme="minorHAnsi" w:cstheme="minorBidi"/>
          <w:color w:val="auto"/>
          <w:szCs w:val="22"/>
        </w:rPr>
      </w:pPr>
      <w:hyperlink w:anchor="_Toc152847663" w:history="1">
        <w:r w:rsidR="004924DD" w:rsidRPr="00E72B16">
          <w:rPr>
            <w:rStyle w:val="Hyperlink"/>
          </w:rPr>
          <w:t>9.2.</w:t>
        </w:r>
        <w:r w:rsidR="004924DD">
          <w:rPr>
            <w:rFonts w:asciiTheme="minorHAnsi" w:eastAsiaTheme="minorEastAsia" w:hAnsiTheme="minorHAnsi" w:cstheme="minorBidi"/>
            <w:color w:val="auto"/>
            <w:szCs w:val="22"/>
          </w:rPr>
          <w:tab/>
        </w:r>
        <w:r w:rsidR="004924DD" w:rsidRPr="00E72B16">
          <w:rPr>
            <w:rStyle w:val="Hyperlink"/>
          </w:rPr>
          <w:t>Future review of the ePayments Code</w:t>
        </w:r>
        <w:r w:rsidR="004924DD">
          <w:rPr>
            <w:webHidden/>
          </w:rPr>
          <w:tab/>
        </w:r>
        <w:r w:rsidR="004924DD">
          <w:rPr>
            <w:webHidden/>
          </w:rPr>
          <w:fldChar w:fldCharType="begin"/>
        </w:r>
        <w:r w:rsidR="004924DD">
          <w:rPr>
            <w:webHidden/>
          </w:rPr>
          <w:instrText xml:space="preserve"> PAGEREF _Toc152847663 \h </w:instrText>
        </w:r>
        <w:r w:rsidR="004924DD">
          <w:rPr>
            <w:webHidden/>
          </w:rPr>
        </w:r>
        <w:r w:rsidR="004924DD">
          <w:rPr>
            <w:webHidden/>
          </w:rPr>
          <w:fldChar w:fldCharType="separate"/>
        </w:r>
        <w:r w:rsidR="00F42255">
          <w:rPr>
            <w:webHidden/>
          </w:rPr>
          <w:t>74</w:t>
        </w:r>
        <w:r w:rsidR="004924DD">
          <w:rPr>
            <w:webHidden/>
          </w:rPr>
          <w:fldChar w:fldCharType="end"/>
        </w:r>
      </w:hyperlink>
    </w:p>
    <w:p w14:paraId="0F831263" w14:textId="4407E127" w:rsidR="004924DD" w:rsidRDefault="007F1859">
      <w:pPr>
        <w:pStyle w:val="TOC1"/>
        <w:rPr>
          <w:rFonts w:asciiTheme="minorHAnsi" w:eastAsiaTheme="minorEastAsia" w:hAnsiTheme="minorHAnsi" w:cstheme="minorBidi"/>
          <w:b w:val="0"/>
          <w:color w:val="auto"/>
        </w:rPr>
      </w:pPr>
      <w:hyperlink w:anchor="_Toc152847664" w:history="1">
        <w:r w:rsidR="004924DD" w:rsidRPr="00E72B16">
          <w:rPr>
            <w:rStyle w:val="Hyperlink"/>
          </w:rPr>
          <w:t>10.</w:t>
        </w:r>
        <w:r w:rsidR="004924DD">
          <w:rPr>
            <w:rFonts w:asciiTheme="minorHAnsi" w:eastAsiaTheme="minorEastAsia" w:hAnsiTheme="minorHAnsi" w:cstheme="minorBidi"/>
            <w:b w:val="0"/>
            <w:color w:val="auto"/>
          </w:rPr>
          <w:tab/>
        </w:r>
        <w:r w:rsidR="004924DD" w:rsidRPr="00E72B16">
          <w:rPr>
            <w:rStyle w:val="Hyperlink"/>
          </w:rPr>
          <w:t>Transitional arrangements</w:t>
        </w:r>
        <w:r w:rsidR="004924DD">
          <w:rPr>
            <w:webHidden/>
          </w:rPr>
          <w:tab/>
        </w:r>
        <w:r w:rsidR="004924DD">
          <w:rPr>
            <w:webHidden/>
          </w:rPr>
          <w:fldChar w:fldCharType="begin"/>
        </w:r>
        <w:r w:rsidR="004924DD">
          <w:rPr>
            <w:webHidden/>
          </w:rPr>
          <w:instrText xml:space="preserve"> PAGEREF _Toc152847664 \h </w:instrText>
        </w:r>
        <w:r w:rsidR="004924DD">
          <w:rPr>
            <w:webHidden/>
          </w:rPr>
        </w:r>
        <w:r w:rsidR="004924DD">
          <w:rPr>
            <w:webHidden/>
          </w:rPr>
          <w:fldChar w:fldCharType="separate"/>
        </w:r>
        <w:r w:rsidR="00F42255">
          <w:rPr>
            <w:webHidden/>
          </w:rPr>
          <w:t>75</w:t>
        </w:r>
        <w:r w:rsidR="004924DD">
          <w:rPr>
            <w:webHidden/>
          </w:rPr>
          <w:fldChar w:fldCharType="end"/>
        </w:r>
      </w:hyperlink>
    </w:p>
    <w:p w14:paraId="32650CA0" w14:textId="24080659" w:rsidR="004924DD" w:rsidRDefault="007F1859">
      <w:pPr>
        <w:pStyle w:val="TOC2"/>
        <w:rPr>
          <w:rFonts w:asciiTheme="minorHAnsi" w:eastAsiaTheme="minorEastAsia" w:hAnsiTheme="minorHAnsi" w:cstheme="minorBidi"/>
          <w:color w:val="auto"/>
          <w:szCs w:val="22"/>
        </w:rPr>
      </w:pPr>
      <w:hyperlink w:anchor="_Toc152847665" w:history="1">
        <w:r w:rsidR="004924DD" w:rsidRPr="00E72B16">
          <w:rPr>
            <w:rStyle w:val="Hyperlink"/>
          </w:rPr>
          <w:t>10.1.</w:t>
        </w:r>
        <w:r w:rsidR="004924DD">
          <w:rPr>
            <w:rFonts w:asciiTheme="minorHAnsi" w:eastAsiaTheme="minorEastAsia" w:hAnsiTheme="minorHAnsi" w:cstheme="minorBidi"/>
            <w:color w:val="auto"/>
            <w:szCs w:val="22"/>
          </w:rPr>
          <w:tab/>
        </w:r>
        <w:r w:rsidR="004924DD" w:rsidRPr="00E72B16">
          <w:rPr>
            <w:rStyle w:val="Hyperlink"/>
          </w:rPr>
          <w:t>AFSL transition issues</w:t>
        </w:r>
        <w:r w:rsidR="004924DD">
          <w:rPr>
            <w:webHidden/>
          </w:rPr>
          <w:tab/>
        </w:r>
        <w:r w:rsidR="004924DD">
          <w:rPr>
            <w:webHidden/>
          </w:rPr>
          <w:fldChar w:fldCharType="begin"/>
        </w:r>
        <w:r w:rsidR="004924DD">
          <w:rPr>
            <w:webHidden/>
          </w:rPr>
          <w:instrText xml:space="preserve"> PAGEREF _Toc152847665 \h </w:instrText>
        </w:r>
        <w:r w:rsidR="004924DD">
          <w:rPr>
            <w:webHidden/>
          </w:rPr>
        </w:r>
        <w:r w:rsidR="004924DD">
          <w:rPr>
            <w:webHidden/>
          </w:rPr>
          <w:fldChar w:fldCharType="separate"/>
        </w:r>
        <w:r w:rsidR="00F42255">
          <w:rPr>
            <w:webHidden/>
          </w:rPr>
          <w:t>75</w:t>
        </w:r>
        <w:r w:rsidR="004924DD">
          <w:rPr>
            <w:webHidden/>
          </w:rPr>
          <w:fldChar w:fldCharType="end"/>
        </w:r>
      </w:hyperlink>
    </w:p>
    <w:p w14:paraId="69A2137D" w14:textId="23373668" w:rsidR="004924DD" w:rsidRDefault="007F1859">
      <w:pPr>
        <w:pStyle w:val="TOC2"/>
        <w:rPr>
          <w:rFonts w:asciiTheme="minorHAnsi" w:eastAsiaTheme="minorEastAsia" w:hAnsiTheme="minorHAnsi" w:cstheme="minorBidi"/>
          <w:color w:val="auto"/>
          <w:szCs w:val="22"/>
        </w:rPr>
      </w:pPr>
      <w:hyperlink w:anchor="_Toc152847666" w:history="1">
        <w:r w:rsidR="004924DD" w:rsidRPr="00E72B16">
          <w:rPr>
            <w:rStyle w:val="Hyperlink"/>
          </w:rPr>
          <w:t>10.2.</w:t>
        </w:r>
        <w:r w:rsidR="004924DD">
          <w:rPr>
            <w:rFonts w:asciiTheme="minorHAnsi" w:eastAsiaTheme="minorEastAsia" w:hAnsiTheme="minorHAnsi" w:cstheme="minorBidi"/>
            <w:color w:val="auto"/>
            <w:szCs w:val="22"/>
          </w:rPr>
          <w:tab/>
        </w:r>
        <w:r w:rsidR="004924DD" w:rsidRPr="00E72B16">
          <w:rPr>
            <w:rStyle w:val="Hyperlink"/>
          </w:rPr>
          <w:t>Other transition issues</w:t>
        </w:r>
        <w:r w:rsidR="004924DD">
          <w:rPr>
            <w:webHidden/>
          </w:rPr>
          <w:tab/>
        </w:r>
        <w:r w:rsidR="004924DD">
          <w:rPr>
            <w:webHidden/>
          </w:rPr>
          <w:fldChar w:fldCharType="begin"/>
        </w:r>
        <w:r w:rsidR="004924DD">
          <w:rPr>
            <w:webHidden/>
          </w:rPr>
          <w:instrText xml:space="preserve"> PAGEREF _Toc152847666 \h </w:instrText>
        </w:r>
        <w:r w:rsidR="004924DD">
          <w:rPr>
            <w:webHidden/>
          </w:rPr>
        </w:r>
        <w:r w:rsidR="004924DD">
          <w:rPr>
            <w:webHidden/>
          </w:rPr>
          <w:fldChar w:fldCharType="separate"/>
        </w:r>
        <w:r w:rsidR="00F42255">
          <w:rPr>
            <w:webHidden/>
          </w:rPr>
          <w:t>75</w:t>
        </w:r>
        <w:r w:rsidR="004924DD">
          <w:rPr>
            <w:webHidden/>
          </w:rPr>
          <w:fldChar w:fldCharType="end"/>
        </w:r>
      </w:hyperlink>
    </w:p>
    <w:p w14:paraId="09D2998D" w14:textId="24C6FE2D" w:rsidR="004924DD" w:rsidRDefault="007F1859">
      <w:pPr>
        <w:pStyle w:val="TOC2"/>
        <w:rPr>
          <w:rFonts w:asciiTheme="minorHAnsi" w:eastAsiaTheme="minorEastAsia" w:hAnsiTheme="minorHAnsi" w:cstheme="minorBidi"/>
          <w:color w:val="auto"/>
          <w:szCs w:val="22"/>
        </w:rPr>
      </w:pPr>
      <w:hyperlink w:anchor="_Toc152847667" w:history="1">
        <w:r w:rsidR="004924DD" w:rsidRPr="00E72B16">
          <w:rPr>
            <w:rStyle w:val="Hyperlink"/>
          </w:rPr>
          <w:t>10.3.</w:t>
        </w:r>
        <w:r w:rsidR="004924DD">
          <w:rPr>
            <w:rFonts w:asciiTheme="minorHAnsi" w:eastAsiaTheme="minorEastAsia" w:hAnsiTheme="minorHAnsi" w:cstheme="minorBidi"/>
            <w:color w:val="auto"/>
            <w:szCs w:val="22"/>
          </w:rPr>
          <w:tab/>
        </w:r>
        <w:r w:rsidR="004924DD" w:rsidRPr="00E72B16">
          <w:rPr>
            <w:rStyle w:val="Hyperlink"/>
          </w:rPr>
          <w:t>Transition issues for PPFs</w:t>
        </w:r>
        <w:r w:rsidR="004924DD">
          <w:rPr>
            <w:webHidden/>
          </w:rPr>
          <w:tab/>
        </w:r>
        <w:r w:rsidR="004924DD">
          <w:rPr>
            <w:webHidden/>
          </w:rPr>
          <w:fldChar w:fldCharType="begin"/>
        </w:r>
        <w:r w:rsidR="004924DD">
          <w:rPr>
            <w:webHidden/>
          </w:rPr>
          <w:instrText xml:space="preserve"> PAGEREF _Toc152847667 \h </w:instrText>
        </w:r>
        <w:r w:rsidR="004924DD">
          <w:rPr>
            <w:webHidden/>
          </w:rPr>
        </w:r>
        <w:r w:rsidR="004924DD">
          <w:rPr>
            <w:webHidden/>
          </w:rPr>
          <w:fldChar w:fldCharType="separate"/>
        </w:r>
        <w:r w:rsidR="00F42255">
          <w:rPr>
            <w:webHidden/>
          </w:rPr>
          <w:t>75</w:t>
        </w:r>
        <w:r w:rsidR="004924DD">
          <w:rPr>
            <w:webHidden/>
          </w:rPr>
          <w:fldChar w:fldCharType="end"/>
        </w:r>
      </w:hyperlink>
    </w:p>
    <w:p w14:paraId="6F59625A" w14:textId="599FA890" w:rsidR="004924DD" w:rsidRDefault="007F1859">
      <w:pPr>
        <w:pStyle w:val="TOC1"/>
        <w:rPr>
          <w:rFonts w:asciiTheme="minorHAnsi" w:eastAsiaTheme="minorEastAsia" w:hAnsiTheme="minorHAnsi" w:cstheme="minorBidi"/>
          <w:b w:val="0"/>
          <w:color w:val="auto"/>
        </w:rPr>
      </w:pPr>
      <w:hyperlink w:anchor="_Toc152847668" w:history="1">
        <w:r w:rsidR="004924DD" w:rsidRPr="00E72B16">
          <w:rPr>
            <w:rStyle w:val="Hyperlink"/>
          </w:rPr>
          <w:t>Appendix 1 – Consultation questions</w:t>
        </w:r>
        <w:r w:rsidR="004924DD">
          <w:rPr>
            <w:webHidden/>
          </w:rPr>
          <w:tab/>
        </w:r>
        <w:r w:rsidR="004924DD">
          <w:rPr>
            <w:webHidden/>
          </w:rPr>
          <w:fldChar w:fldCharType="begin"/>
        </w:r>
        <w:r w:rsidR="004924DD">
          <w:rPr>
            <w:webHidden/>
          </w:rPr>
          <w:instrText xml:space="preserve"> PAGEREF _Toc152847668 \h </w:instrText>
        </w:r>
        <w:r w:rsidR="004924DD">
          <w:rPr>
            <w:webHidden/>
          </w:rPr>
        </w:r>
        <w:r w:rsidR="004924DD">
          <w:rPr>
            <w:webHidden/>
          </w:rPr>
          <w:fldChar w:fldCharType="separate"/>
        </w:r>
        <w:r w:rsidR="00F42255">
          <w:rPr>
            <w:webHidden/>
          </w:rPr>
          <w:t>77</w:t>
        </w:r>
        <w:r w:rsidR="004924DD">
          <w:rPr>
            <w:webHidden/>
          </w:rPr>
          <w:fldChar w:fldCharType="end"/>
        </w:r>
      </w:hyperlink>
    </w:p>
    <w:p w14:paraId="531F165F" w14:textId="0FB495DE" w:rsidR="004924DD" w:rsidRDefault="007F1859">
      <w:pPr>
        <w:pStyle w:val="TOC1"/>
        <w:rPr>
          <w:rFonts w:asciiTheme="minorHAnsi" w:eastAsiaTheme="minorEastAsia" w:hAnsiTheme="minorHAnsi" w:cstheme="minorBidi"/>
          <w:b w:val="0"/>
          <w:color w:val="auto"/>
        </w:rPr>
      </w:pPr>
      <w:hyperlink w:anchor="_Toc152847669" w:history="1">
        <w:r w:rsidR="004924DD" w:rsidRPr="00E72B16">
          <w:rPr>
            <w:rStyle w:val="Hyperlink"/>
          </w:rPr>
          <w:t>Appendix 2 – Glossary</w:t>
        </w:r>
        <w:r w:rsidR="004924DD">
          <w:rPr>
            <w:webHidden/>
          </w:rPr>
          <w:tab/>
        </w:r>
        <w:r w:rsidR="004924DD">
          <w:rPr>
            <w:webHidden/>
          </w:rPr>
          <w:fldChar w:fldCharType="begin"/>
        </w:r>
        <w:r w:rsidR="004924DD">
          <w:rPr>
            <w:webHidden/>
          </w:rPr>
          <w:instrText xml:space="preserve"> PAGEREF _Toc152847669 \h </w:instrText>
        </w:r>
        <w:r w:rsidR="004924DD">
          <w:rPr>
            <w:webHidden/>
          </w:rPr>
        </w:r>
        <w:r w:rsidR="004924DD">
          <w:rPr>
            <w:webHidden/>
          </w:rPr>
          <w:fldChar w:fldCharType="separate"/>
        </w:r>
        <w:r w:rsidR="00F42255">
          <w:rPr>
            <w:webHidden/>
          </w:rPr>
          <w:t>82</w:t>
        </w:r>
        <w:r w:rsidR="004924DD">
          <w:rPr>
            <w:webHidden/>
          </w:rPr>
          <w:fldChar w:fldCharType="end"/>
        </w:r>
      </w:hyperlink>
    </w:p>
    <w:p w14:paraId="5170BFCB" w14:textId="2A8340C6" w:rsidR="000E0B74" w:rsidRDefault="006E737C" w:rsidP="00E42AA2">
      <w:pPr>
        <w:pStyle w:val="SingleParagraph"/>
        <w:sectPr w:rsidR="000E0B74" w:rsidSect="008043EA">
          <w:footerReference w:type="default" r:id="rId18"/>
          <w:pgSz w:w="11906" w:h="16838" w:code="9"/>
          <w:pgMar w:top="1843" w:right="1418" w:bottom="1418" w:left="1418" w:header="709" w:footer="709" w:gutter="0"/>
          <w:pgNumType w:fmt="lowerRoman"/>
          <w:cols w:space="708"/>
          <w:titlePg/>
          <w:docGrid w:linePitch="360"/>
        </w:sectPr>
      </w:pPr>
      <w:r>
        <w:fldChar w:fldCharType="end"/>
      </w:r>
    </w:p>
    <w:p w14:paraId="6D7A9EEB" w14:textId="58AE1DB7" w:rsidR="000E0B74" w:rsidRDefault="000E0B74" w:rsidP="00EE5400">
      <w:pPr>
        <w:pStyle w:val="Heading1"/>
        <w:numPr>
          <w:ilvl w:val="0"/>
          <w:numId w:val="0"/>
        </w:numPr>
        <w:ind w:left="360" w:hanging="360"/>
        <w:jc w:val="both"/>
      </w:pPr>
      <w:bookmarkStart w:id="1" w:name="_Toc149230891"/>
      <w:bookmarkStart w:id="2" w:name="_Toc149637399"/>
      <w:bookmarkStart w:id="3" w:name="_Toc152317837"/>
      <w:bookmarkStart w:id="4" w:name="_Toc152847615"/>
      <w:bookmarkStart w:id="5" w:name="_Toc432067103"/>
      <w:r>
        <w:lastRenderedPageBreak/>
        <w:t xml:space="preserve">Consultation </w:t>
      </w:r>
      <w:bookmarkEnd w:id="1"/>
      <w:bookmarkEnd w:id="2"/>
      <w:r w:rsidR="00257B96">
        <w:t>process</w:t>
      </w:r>
      <w:bookmarkEnd w:id="3"/>
      <w:bookmarkEnd w:id="4"/>
    </w:p>
    <w:p w14:paraId="142F84DA" w14:textId="77777777" w:rsidR="000E0B74" w:rsidRDefault="000E0B74" w:rsidP="006377BA">
      <w:pPr>
        <w:pStyle w:val="Heading2"/>
        <w:numPr>
          <w:ilvl w:val="0"/>
          <w:numId w:val="0"/>
        </w:numPr>
      </w:pPr>
      <w:bookmarkStart w:id="6" w:name="_Toc148022413"/>
      <w:bookmarkStart w:id="7" w:name="_Toc149230892"/>
      <w:bookmarkStart w:id="8" w:name="_Toc149637400"/>
      <w:bookmarkStart w:id="9" w:name="_Toc152317838"/>
      <w:bookmarkStart w:id="10" w:name="_Toc152847616"/>
      <w:r>
        <w:t>Request for feedback and comments</w:t>
      </w:r>
      <w:bookmarkEnd w:id="6"/>
      <w:bookmarkEnd w:id="7"/>
      <w:bookmarkEnd w:id="8"/>
      <w:bookmarkEnd w:id="9"/>
      <w:bookmarkEnd w:id="10"/>
    </w:p>
    <w:p w14:paraId="103C0234" w14:textId="122D7F77" w:rsidR="002F4D17" w:rsidRDefault="002F4D17" w:rsidP="00F35CFD">
      <w:r w:rsidRPr="002F4D17">
        <w:t xml:space="preserve">The purpose of this consultation paper is to seek </w:t>
      </w:r>
      <w:r w:rsidR="00DD07D8">
        <w:t>feedback</w:t>
      </w:r>
      <w:r w:rsidRPr="002F4D17">
        <w:t xml:space="preserve"> </w:t>
      </w:r>
      <w:r>
        <w:t xml:space="preserve">on the proposed </w:t>
      </w:r>
      <w:r w:rsidRPr="002F4D17">
        <w:t xml:space="preserve">licensing framework for payment service providers. </w:t>
      </w:r>
    </w:p>
    <w:p w14:paraId="4287A888" w14:textId="290120F1" w:rsidR="00EE3F6E" w:rsidRDefault="00EE3F6E" w:rsidP="00F35CFD">
      <w:r>
        <w:t>While submissions may be lodged electronically or by post, electronic lodgement is preferred. For accessibility reasons, please submit responses sent via email in a Word or PDF format. An additional PDF version may also be submitted. All information (including name and address details) contained in submissions will be made available to the public on the Treasury website</w:t>
      </w:r>
      <w:r w:rsidR="00F41C1C">
        <w:t>,</w:t>
      </w:r>
      <w:r>
        <w:t xml:space="preserve"> unless you indicate that you would like all or part of your submission to remain in confidence. Automatically generated confidentiality statements in emails are not sufficient for this purpose. If you would like only part of your submission to remain confidential, please provide this information clearly marked as such in a separate attachment. </w:t>
      </w:r>
    </w:p>
    <w:p w14:paraId="37844191" w14:textId="19320506" w:rsidR="00EE3F6E" w:rsidRPr="00EE3F6E" w:rsidRDefault="00EE3F6E" w:rsidP="00F35CFD">
      <w:r>
        <w:t xml:space="preserve">Legal requirements, such as those imposed by the </w:t>
      </w:r>
      <w:r w:rsidRPr="002A601D">
        <w:rPr>
          <w:i/>
          <w:iCs/>
        </w:rPr>
        <w:t>Freedom of Information Act</w:t>
      </w:r>
      <w:r>
        <w:t xml:space="preserve"> </w:t>
      </w:r>
      <w:r w:rsidRPr="00CF33AF">
        <w:rPr>
          <w:i/>
        </w:rPr>
        <w:t>1982</w:t>
      </w:r>
      <w:r>
        <w:rPr>
          <w:i/>
        </w:rPr>
        <w:t xml:space="preserve"> </w:t>
      </w:r>
      <w:r>
        <w:rPr>
          <w:iCs/>
        </w:rPr>
        <w:t>(Cth)</w:t>
      </w:r>
      <w:r>
        <w:t>, may affect the confidentiality of your submission.</w:t>
      </w:r>
    </w:p>
    <w:p w14:paraId="1F782C3F" w14:textId="67F631C6" w:rsidR="000E0B74" w:rsidRDefault="000E0B74" w:rsidP="00F35CFD">
      <w:pPr>
        <w:pStyle w:val="Heading3"/>
        <w:numPr>
          <w:ilvl w:val="0"/>
          <w:numId w:val="0"/>
        </w:numPr>
        <w:ind w:left="505" w:hanging="505"/>
      </w:pPr>
      <w:bookmarkStart w:id="11" w:name="_Toc148022414"/>
      <w:bookmarkStart w:id="12" w:name="_Toc149230893"/>
      <w:r>
        <w:t xml:space="preserve">Closing date for submissions: </w:t>
      </w:r>
      <w:sdt>
        <w:sdtPr>
          <w:rPr>
            <w:rStyle w:val="Heading3Char"/>
          </w:rPr>
          <w:id w:val="1454836312"/>
          <w:placeholder>
            <w:docPart w:val="EF2E32C8B7A343529FBA8CF030931B02"/>
          </w:placeholder>
          <w:date w:fullDate="2024-02-02T00:00:00Z">
            <w:dateFormat w:val="dd MMMM yyyy"/>
            <w:lid w:val="en-AU"/>
            <w:storeMappedDataAs w:val="dateTime"/>
            <w:calendar w:val="gregorian"/>
          </w:date>
        </w:sdtPr>
        <w:sdtEndPr>
          <w:rPr>
            <w:rStyle w:val="DefaultParagraphFont"/>
            <w:b/>
          </w:rPr>
        </w:sdtEndPr>
        <w:sdtContent>
          <w:r w:rsidR="00B95F35">
            <w:rPr>
              <w:rStyle w:val="Heading3Char"/>
            </w:rPr>
            <w:t>02 February 2024</w:t>
          </w:r>
        </w:sdtContent>
      </w:sdt>
      <w:bookmarkEnd w:id="11"/>
      <w:bookmarkEnd w:id="12"/>
    </w:p>
    <w:tbl>
      <w:tblPr>
        <w:tblStyle w:val="TableGrid"/>
        <w:tblW w:w="0" w:type="auto"/>
        <w:tblLook w:val="04A0" w:firstRow="1" w:lastRow="0" w:firstColumn="1" w:lastColumn="0" w:noHBand="0" w:noVBand="1"/>
      </w:tblPr>
      <w:tblGrid>
        <w:gridCol w:w="1511"/>
        <w:gridCol w:w="7559"/>
      </w:tblGrid>
      <w:tr w:rsidR="004F6AD7" w:rsidRPr="00B85F47" w14:paraId="44F9B367" w14:textId="77777777">
        <w:trPr>
          <w:cnfStyle w:val="100000000000" w:firstRow="1" w:lastRow="0" w:firstColumn="0" w:lastColumn="0" w:oddVBand="0" w:evenVBand="0" w:oddHBand="0" w:evenHBand="0" w:firstRowFirstColumn="0" w:firstRowLastColumn="0" w:lastRowFirstColumn="0" w:lastRowLastColumn="0"/>
        </w:trPr>
        <w:tc>
          <w:tcPr>
            <w:tcW w:w="1526" w:type="dxa"/>
          </w:tcPr>
          <w:bookmarkEnd w:id="5"/>
          <w:p w14:paraId="35F00E68" w14:textId="77777777" w:rsidR="004F6AD7" w:rsidRPr="00B85F47" w:rsidRDefault="004F6AD7" w:rsidP="00E42AA2">
            <w:pPr>
              <w:spacing w:before="96" w:after="96"/>
            </w:pPr>
            <w:r w:rsidRPr="00B85F47">
              <w:t>Email</w:t>
            </w:r>
          </w:p>
        </w:tc>
        <w:tc>
          <w:tcPr>
            <w:tcW w:w="7654" w:type="dxa"/>
          </w:tcPr>
          <w:p w14:paraId="2EB08561" w14:textId="526157A6" w:rsidR="004F6AD7" w:rsidRPr="00B85F47" w:rsidRDefault="007F1859" w:rsidP="00E42AA2">
            <w:pPr>
              <w:spacing w:before="96" w:after="96"/>
            </w:pPr>
            <w:hyperlink r:id="rId19" w:history="1">
              <w:r w:rsidR="004F6AD7">
                <w:rPr>
                  <w:rStyle w:val="Hyperlink"/>
                </w:rPr>
                <w:t>paymentslicensingconsultation@treasury.gov.au</w:t>
              </w:r>
            </w:hyperlink>
          </w:p>
        </w:tc>
      </w:tr>
      <w:tr w:rsidR="004F6AD7" w:rsidRPr="00B85F47" w14:paraId="537E1C0C" w14:textId="77777777">
        <w:tc>
          <w:tcPr>
            <w:tcW w:w="1526" w:type="dxa"/>
          </w:tcPr>
          <w:p w14:paraId="3A64561A" w14:textId="77777777" w:rsidR="004F6AD7" w:rsidRPr="00B85F47" w:rsidRDefault="004F6AD7" w:rsidP="00E42AA2">
            <w:r w:rsidRPr="00B85F47">
              <w:t>Mail</w:t>
            </w:r>
          </w:p>
          <w:p w14:paraId="3647FB90" w14:textId="77777777" w:rsidR="004F6AD7" w:rsidRPr="00B85F47" w:rsidRDefault="004F6AD7" w:rsidP="00E42AA2"/>
          <w:p w14:paraId="028A8E2C" w14:textId="77777777" w:rsidR="004F6AD7" w:rsidRPr="00B85F47" w:rsidRDefault="004F6AD7" w:rsidP="00E42AA2"/>
        </w:tc>
        <w:tc>
          <w:tcPr>
            <w:tcW w:w="7654" w:type="dxa"/>
          </w:tcPr>
          <w:p w14:paraId="187CCCB5" w14:textId="77777777" w:rsidR="004F6AD7" w:rsidRPr="00D83CF2" w:rsidRDefault="004F6AD7" w:rsidP="00340F4D">
            <w:r w:rsidRPr="00D83CF2">
              <w:t>Director</w:t>
            </w:r>
          </w:p>
          <w:p w14:paraId="06C6015E" w14:textId="77777777" w:rsidR="004F6AD7" w:rsidRPr="007601A5" w:rsidRDefault="004F6AD7" w:rsidP="00E42AA2">
            <w:pPr>
              <w:pStyle w:val="SingleParagraph"/>
            </w:pPr>
            <w:r w:rsidRPr="007601A5">
              <w:t xml:space="preserve">Payments </w:t>
            </w:r>
            <w:r>
              <w:t>Licensing</w:t>
            </w:r>
            <w:r w:rsidRPr="007601A5">
              <w:t xml:space="preserve"> Unit</w:t>
            </w:r>
          </w:p>
          <w:p w14:paraId="752F33CF" w14:textId="77777777" w:rsidR="004F6AD7" w:rsidRPr="00B85F47" w:rsidRDefault="004F6AD7" w:rsidP="00E42AA2">
            <w:pPr>
              <w:pStyle w:val="SingleParagraph"/>
            </w:pPr>
            <w:r w:rsidRPr="007601A5">
              <w:t>Financial System Division</w:t>
            </w:r>
          </w:p>
          <w:p w14:paraId="2EE38309" w14:textId="77777777" w:rsidR="004F6AD7" w:rsidRPr="00B85F47" w:rsidRDefault="004F6AD7" w:rsidP="00E42AA2">
            <w:pPr>
              <w:pStyle w:val="SingleParagraph"/>
            </w:pPr>
            <w:r w:rsidRPr="00B85F47">
              <w:t>The Treasury</w:t>
            </w:r>
          </w:p>
          <w:p w14:paraId="6926CD67" w14:textId="77777777" w:rsidR="004F6AD7" w:rsidRPr="00B85F47" w:rsidRDefault="004F6AD7" w:rsidP="00E42AA2">
            <w:pPr>
              <w:pStyle w:val="SingleParagraph"/>
            </w:pPr>
            <w:r w:rsidRPr="00B85F47">
              <w:t>Langton Crescent</w:t>
            </w:r>
          </w:p>
          <w:p w14:paraId="10A2E028" w14:textId="77777777" w:rsidR="004F6AD7" w:rsidRPr="00B85F47" w:rsidRDefault="004F6AD7" w:rsidP="00E42AA2">
            <w:pPr>
              <w:pStyle w:val="SingleParagraph"/>
            </w:pPr>
            <w:r w:rsidRPr="00B85F47">
              <w:t>PARKES ACT 2600</w:t>
            </w:r>
          </w:p>
        </w:tc>
      </w:tr>
      <w:tr w:rsidR="004F6AD7" w:rsidRPr="00B85F47" w14:paraId="1F4D20D0" w14:textId="77777777">
        <w:tc>
          <w:tcPr>
            <w:tcW w:w="1526" w:type="dxa"/>
          </w:tcPr>
          <w:p w14:paraId="2806D712" w14:textId="77777777" w:rsidR="004F6AD7" w:rsidRPr="00B85F47" w:rsidRDefault="004F6AD7" w:rsidP="00E42AA2">
            <w:r w:rsidRPr="00B85F47">
              <w:t>Enquiries</w:t>
            </w:r>
          </w:p>
        </w:tc>
        <w:tc>
          <w:tcPr>
            <w:tcW w:w="7654" w:type="dxa"/>
          </w:tcPr>
          <w:p w14:paraId="297597CB" w14:textId="5BA8969A" w:rsidR="004F6AD7" w:rsidRPr="007601A5" w:rsidRDefault="004F6AD7" w:rsidP="00E42AA2">
            <w:r w:rsidRPr="00B85F47">
              <w:t xml:space="preserve">Enquiries can be initially directed to </w:t>
            </w:r>
            <w:r>
              <w:t>Director – Payments Licensing Unit</w:t>
            </w:r>
            <w:r w:rsidRPr="007601A5">
              <w:t xml:space="preserve"> </w:t>
            </w:r>
          </w:p>
        </w:tc>
      </w:tr>
      <w:tr w:rsidR="004F6AD7" w:rsidRPr="00B85F47" w14:paraId="21AAFF24" w14:textId="77777777">
        <w:tc>
          <w:tcPr>
            <w:tcW w:w="1526" w:type="dxa"/>
          </w:tcPr>
          <w:p w14:paraId="6CF08BC6" w14:textId="77777777" w:rsidR="004F6AD7" w:rsidRPr="00B85F47" w:rsidRDefault="004F6AD7" w:rsidP="00E42AA2"/>
        </w:tc>
        <w:tc>
          <w:tcPr>
            <w:tcW w:w="7654" w:type="dxa"/>
          </w:tcPr>
          <w:p w14:paraId="632F1E51" w14:textId="77777777" w:rsidR="004F6AD7" w:rsidRPr="00B85F47" w:rsidRDefault="004F6AD7" w:rsidP="00E42AA2"/>
        </w:tc>
      </w:tr>
    </w:tbl>
    <w:p w14:paraId="3D6FC8EA" w14:textId="327B777A" w:rsidR="00A16E03" w:rsidRDefault="00A16E03" w:rsidP="002E4E08">
      <w:pPr>
        <w:pStyle w:val="HHText"/>
      </w:pPr>
      <w:r>
        <w:t>The principles outlined in this paper have not received Government approval and are not yet law. As a consequence, this paper is merely a guide as to how the principles might operate</w:t>
      </w:r>
      <w:r w:rsidR="00A371AA">
        <w:t xml:space="preserve"> and are subject to legislative design and advice</w:t>
      </w:r>
      <w:r>
        <w:t>.</w:t>
      </w:r>
    </w:p>
    <w:p w14:paraId="3DC06118" w14:textId="5BD631E1" w:rsidR="00181CD8" w:rsidRPr="00C1072D" w:rsidRDefault="00181CD8" w:rsidP="00181CD8">
      <w:pPr>
        <w:pStyle w:val="HHText"/>
        <w:rPr>
          <w:bCs/>
        </w:rPr>
      </w:pPr>
      <w:r w:rsidRPr="004E7225">
        <w:rPr>
          <w:bCs/>
        </w:rPr>
        <w:t xml:space="preserve">The implementation of the proposed framework is subject to future legislative design and development. The focus of this paper is to seek feedback on the policy of the framework. </w:t>
      </w:r>
      <w:r w:rsidR="00BE3EE4">
        <w:rPr>
          <w:bCs/>
        </w:rPr>
        <w:t>There will be public consultation on the text of the draft legislation.</w:t>
      </w:r>
      <w:r w:rsidRPr="004E7225">
        <w:rPr>
          <w:bCs/>
        </w:rPr>
        <w:t xml:space="preserve"> </w:t>
      </w:r>
      <w:r w:rsidR="007C55A2">
        <w:rPr>
          <w:bCs/>
        </w:rPr>
        <w:t xml:space="preserve">This will provide stakeholders with the opportunity to comment on the particular wording </w:t>
      </w:r>
      <w:r w:rsidR="00A31E0C">
        <w:rPr>
          <w:bCs/>
        </w:rPr>
        <w:t>of the reforms.</w:t>
      </w:r>
    </w:p>
    <w:p w14:paraId="15D40874" w14:textId="224F37B6" w:rsidR="00E10D39" w:rsidRPr="00E369F5" w:rsidRDefault="00E10D39" w:rsidP="00E42AA2"/>
    <w:p w14:paraId="0254FDEC" w14:textId="19ED18D1" w:rsidR="000E0B74" w:rsidRDefault="00F44861" w:rsidP="00EE5400">
      <w:pPr>
        <w:pStyle w:val="Heading1"/>
        <w:jc w:val="both"/>
      </w:pPr>
      <w:bookmarkStart w:id="13" w:name="_Toc149230894"/>
      <w:bookmarkStart w:id="14" w:name="_Toc152847617"/>
      <w:r>
        <w:lastRenderedPageBreak/>
        <w:t>Introduction</w:t>
      </w:r>
      <w:bookmarkEnd w:id="13"/>
      <w:bookmarkEnd w:id="14"/>
    </w:p>
    <w:p w14:paraId="119DE78E" w14:textId="2D740B54" w:rsidR="000E0B74" w:rsidRDefault="000E0B74" w:rsidP="006377BA">
      <w:pPr>
        <w:pStyle w:val="Heading2"/>
      </w:pPr>
      <w:bookmarkStart w:id="15" w:name="_Toc306887371"/>
      <w:bookmarkStart w:id="16" w:name="_Toc432064635"/>
      <w:bookmarkStart w:id="17" w:name="_Toc149230895"/>
      <w:bookmarkStart w:id="18" w:name="_Toc152847618"/>
      <w:r w:rsidRPr="006377BA">
        <w:t>Background</w:t>
      </w:r>
      <w:bookmarkEnd w:id="15"/>
      <w:bookmarkEnd w:id="16"/>
      <w:bookmarkEnd w:id="17"/>
      <w:bookmarkEnd w:id="18"/>
    </w:p>
    <w:p w14:paraId="5E698462" w14:textId="4B0CE610" w:rsidR="000D0957" w:rsidRDefault="0010028A" w:rsidP="00F35CFD">
      <w:r>
        <w:t xml:space="preserve">As set out in the Strategic Plan for Australia’s Payment System, the </w:t>
      </w:r>
      <w:r w:rsidR="009F066C">
        <w:t xml:space="preserve">Government </w:t>
      </w:r>
      <w:r w:rsidR="00DC68E0">
        <w:t xml:space="preserve">is updating the payments regulatory framework </w:t>
      </w:r>
      <w:r w:rsidR="000A27E9">
        <w:t>to ensure it is fit</w:t>
      </w:r>
      <w:r w:rsidR="006503C7">
        <w:t xml:space="preserve"> </w:t>
      </w:r>
      <w:r w:rsidR="000A27E9">
        <w:t>for</w:t>
      </w:r>
      <w:r w:rsidR="006503C7">
        <w:t xml:space="preserve"> </w:t>
      </w:r>
      <w:r w:rsidR="000A27E9">
        <w:t xml:space="preserve">purpose for </w:t>
      </w:r>
      <w:r w:rsidR="00803FB7">
        <w:t xml:space="preserve">the modern </w:t>
      </w:r>
      <w:r w:rsidR="00DC0BC5">
        <w:t>economy.</w:t>
      </w:r>
      <w:r w:rsidR="007D5735">
        <w:t xml:space="preserve"> The Government is </w:t>
      </w:r>
      <w:r w:rsidR="00BA6521" w:rsidRPr="00BA6521">
        <w:t>address</w:t>
      </w:r>
      <w:r w:rsidR="009F3D65">
        <w:t>ing</w:t>
      </w:r>
      <w:r w:rsidR="00BA6521" w:rsidRPr="00BA6521">
        <w:t xml:space="preserve"> </w:t>
      </w:r>
      <w:r w:rsidR="000B2296">
        <w:t>policy issues</w:t>
      </w:r>
      <w:r w:rsidR="00BA6521" w:rsidRPr="00BA6521">
        <w:t xml:space="preserve"> posed by new payments technologie</w:t>
      </w:r>
      <w:r w:rsidR="00BA6521">
        <w:t>s</w:t>
      </w:r>
      <w:r w:rsidR="009F3D65">
        <w:t xml:space="preserve"> by updating the </w:t>
      </w:r>
      <w:r w:rsidR="009F3D65" w:rsidRPr="00BA6521">
        <w:rPr>
          <w:i/>
          <w:iCs/>
        </w:rPr>
        <w:t>Payments Systems (Regulation) Act 1998</w:t>
      </w:r>
      <w:r w:rsidR="009F3D65">
        <w:t xml:space="preserve"> </w:t>
      </w:r>
      <w:r w:rsidR="00924793">
        <w:t xml:space="preserve">(Cth) </w:t>
      </w:r>
      <w:r w:rsidR="00C82803">
        <w:t>(PSRA)</w:t>
      </w:r>
      <w:r w:rsidR="00784DB9">
        <w:rPr>
          <w:rStyle w:val="FootnoteReference"/>
        </w:rPr>
        <w:footnoteReference w:id="2"/>
      </w:r>
      <w:r w:rsidR="00C82803">
        <w:t xml:space="preserve"> </w:t>
      </w:r>
      <w:r w:rsidR="00DC7DE0">
        <w:t>and</w:t>
      </w:r>
      <w:r w:rsidR="00381C08">
        <w:t xml:space="preserve"> </w:t>
      </w:r>
      <w:r w:rsidR="002F5869">
        <w:t>introducing</w:t>
      </w:r>
      <w:r w:rsidR="00381C08">
        <w:t xml:space="preserve"> </w:t>
      </w:r>
      <w:r w:rsidR="00903EFD">
        <w:t>a</w:t>
      </w:r>
      <w:r w:rsidR="00E81910">
        <w:t xml:space="preserve"> </w:t>
      </w:r>
      <w:r w:rsidR="00903EFD">
        <w:t>licensing framework</w:t>
      </w:r>
      <w:r w:rsidR="002D2D7C">
        <w:t xml:space="preserve"> for payment service providers</w:t>
      </w:r>
      <w:r w:rsidR="00CF1846">
        <w:t xml:space="preserve"> </w:t>
      </w:r>
      <w:r w:rsidR="00FC3BBE">
        <w:t>(PSPs</w:t>
      </w:r>
      <w:r w:rsidR="00460DBD">
        <w:t>)</w:t>
      </w:r>
      <w:r w:rsidR="00903EFD">
        <w:t>.</w:t>
      </w:r>
      <w:r w:rsidR="0074595B">
        <w:t xml:space="preserve"> </w:t>
      </w:r>
    </w:p>
    <w:p w14:paraId="0D869B8A" w14:textId="1F424417" w:rsidR="00873478" w:rsidRDefault="004E513F" w:rsidP="00F35CFD">
      <w:r>
        <w:t>In</w:t>
      </w:r>
      <w:r w:rsidR="00F03C93">
        <w:t xml:space="preserve"> June</w:t>
      </w:r>
      <w:r w:rsidR="00955310">
        <w:t xml:space="preserve"> 2023, the Government released a consultation paper</w:t>
      </w:r>
      <w:r w:rsidR="00CA3A56">
        <w:t xml:space="preserve"> </w:t>
      </w:r>
      <w:r w:rsidR="00AA7D0E">
        <w:t>(</w:t>
      </w:r>
      <w:r w:rsidR="004D59D9">
        <w:t>CP1</w:t>
      </w:r>
      <w:r w:rsidR="00AA7D0E">
        <w:t>)</w:t>
      </w:r>
      <w:r w:rsidR="00CA3A56">
        <w:t xml:space="preserve"> i</w:t>
      </w:r>
      <w:r w:rsidR="00CA3A56" w:rsidRPr="00CA3A56">
        <w:t>nvit</w:t>
      </w:r>
      <w:r w:rsidR="002D6863">
        <w:t>ing</w:t>
      </w:r>
      <w:r w:rsidR="00CA3A56" w:rsidRPr="00CA3A56">
        <w:t xml:space="preserve"> feedback on the proposed list of payment functions that would be regulated under the licensing framework</w:t>
      </w:r>
      <w:r w:rsidR="002D6863">
        <w:t xml:space="preserve"> and preliminary feedback on the licensing framework.</w:t>
      </w:r>
      <w:r w:rsidR="0053162C">
        <w:rPr>
          <w:rStyle w:val="FootnoteReference"/>
        </w:rPr>
        <w:footnoteReference w:id="3"/>
      </w:r>
      <w:r w:rsidR="00123028">
        <w:t xml:space="preserve"> </w:t>
      </w:r>
      <w:r w:rsidR="009B7AF6">
        <w:t>S</w:t>
      </w:r>
      <w:r w:rsidR="00123028">
        <w:t xml:space="preserve">takeholder feedback has informed changes to the proposed list of functions </w:t>
      </w:r>
      <w:r w:rsidR="00D67D03">
        <w:t>(</w:t>
      </w:r>
      <w:r w:rsidR="00BA263B">
        <w:t>in</w:t>
      </w:r>
      <w:r w:rsidR="00D67D03">
        <w:t xml:space="preserve"> </w:t>
      </w:r>
      <w:r w:rsidR="00153009">
        <w:rPr>
          <w:b/>
          <w:bCs/>
        </w:rPr>
        <w:t>Section</w:t>
      </w:r>
      <w:r w:rsidR="00954501" w:rsidRPr="009D3C62">
        <w:rPr>
          <w:b/>
        </w:rPr>
        <w:t xml:space="preserve"> </w:t>
      </w:r>
      <w:r w:rsidR="00104954">
        <w:rPr>
          <w:b/>
        </w:rPr>
        <w:t>2</w:t>
      </w:r>
      <w:r w:rsidR="00641C4C" w:rsidRPr="00A11250">
        <w:t>)</w:t>
      </w:r>
      <w:r w:rsidR="006853AE">
        <w:t xml:space="preserve"> and </w:t>
      </w:r>
      <w:r w:rsidR="00BA263B">
        <w:t xml:space="preserve">the </w:t>
      </w:r>
      <w:r w:rsidR="00DA5CD9">
        <w:t xml:space="preserve">proposed </w:t>
      </w:r>
      <w:r w:rsidR="00BA263B">
        <w:t>regulatory obligations set out in this paper</w:t>
      </w:r>
      <w:r w:rsidR="00DA5CD9">
        <w:t>.</w:t>
      </w:r>
    </w:p>
    <w:p w14:paraId="153CAB5C" w14:textId="53C6D299" w:rsidR="00D63479" w:rsidRDefault="00D63479" w:rsidP="006377BA">
      <w:pPr>
        <w:pStyle w:val="Heading2"/>
      </w:pPr>
      <w:bookmarkStart w:id="19" w:name="_Toc152847619"/>
      <w:r>
        <w:t xml:space="preserve">Summary of </w:t>
      </w:r>
      <w:r w:rsidR="00ED27F9">
        <w:t>proposed</w:t>
      </w:r>
      <w:r w:rsidR="006F2755">
        <w:t xml:space="preserve"> reforms</w:t>
      </w:r>
      <w:bookmarkEnd w:id="19"/>
    </w:p>
    <w:p w14:paraId="02CE2403" w14:textId="6ED8EFEA" w:rsidR="00284DC0" w:rsidRDefault="00104954" w:rsidP="00F35CFD">
      <w:bookmarkStart w:id="20" w:name="_Ref149645159"/>
      <w:r w:rsidRPr="00104954">
        <w:rPr>
          <w:b/>
          <w:bCs/>
        </w:rPr>
        <w:t xml:space="preserve">Table </w:t>
      </w:r>
      <w:r w:rsidRPr="00104954">
        <w:rPr>
          <w:b/>
          <w:bCs/>
          <w:noProof/>
        </w:rPr>
        <w:t>1</w:t>
      </w:r>
      <w:r w:rsidR="00824FAA">
        <w:t xml:space="preserve"> </w:t>
      </w:r>
      <w:r w:rsidR="00A44955">
        <w:t xml:space="preserve">provides a summary of the structure of the proposed framework. </w:t>
      </w:r>
      <w:r w:rsidR="00E62487">
        <w:t xml:space="preserve">Financial services regulation will apply to </w:t>
      </w:r>
      <w:r w:rsidR="00506B55">
        <w:t>the proposed payment functions</w:t>
      </w:r>
      <w:r w:rsidR="002C0B33">
        <w:t xml:space="preserve">. </w:t>
      </w:r>
      <w:r w:rsidR="0062369F">
        <w:t xml:space="preserve">In addition, </w:t>
      </w:r>
      <w:r w:rsidR="002C0B33">
        <w:t xml:space="preserve">prudential regulation </w:t>
      </w:r>
      <w:r w:rsidR="0062369F">
        <w:t xml:space="preserve">by </w:t>
      </w:r>
      <w:r w:rsidR="00223972">
        <w:t>the Australian Prudential Regulation Authority</w:t>
      </w:r>
      <w:r w:rsidR="0062369F">
        <w:t xml:space="preserve"> </w:t>
      </w:r>
      <w:r w:rsidR="00223972">
        <w:t>(</w:t>
      </w:r>
      <w:r w:rsidR="002C0B33">
        <w:t>APRA</w:t>
      </w:r>
      <w:r w:rsidR="00223972">
        <w:t>)</w:t>
      </w:r>
      <w:r w:rsidR="002C0B33">
        <w:t xml:space="preserve"> will apply to Major </w:t>
      </w:r>
      <w:r w:rsidR="0062369F">
        <w:t>Stored</w:t>
      </w:r>
      <w:r w:rsidR="003564E6">
        <w:t>-</w:t>
      </w:r>
      <w:r w:rsidR="00C70407">
        <w:t>v</w:t>
      </w:r>
      <w:r w:rsidR="0062369F">
        <w:t>alue Facilities (</w:t>
      </w:r>
      <w:r w:rsidR="002C0B33">
        <w:t>SVFs</w:t>
      </w:r>
      <w:r w:rsidR="0062369F">
        <w:t>)</w:t>
      </w:r>
      <w:r w:rsidR="002C0B33">
        <w:t>, and certain designated Payment Facilitation Services. In addition</w:t>
      </w:r>
      <w:r w:rsidR="00604D6A">
        <w:t xml:space="preserve">, </w:t>
      </w:r>
      <w:r w:rsidR="00D4672F">
        <w:t xml:space="preserve">the </w:t>
      </w:r>
      <w:r w:rsidR="00854489">
        <w:t>‘common access requirements’</w:t>
      </w:r>
      <w:r w:rsidR="00604D6A">
        <w:t xml:space="preserve"> </w:t>
      </w:r>
      <w:r w:rsidR="00D4672F">
        <w:t xml:space="preserve">that provide a new pathway </w:t>
      </w:r>
      <w:r w:rsidR="00604D6A">
        <w:t xml:space="preserve">for </w:t>
      </w:r>
      <w:r w:rsidR="00854489">
        <w:t>n</w:t>
      </w:r>
      <w:r w:rsidR="00604D6A">
        <w:t>on-</w:t>
      </w:r>
      <w:r w:rsidR="00BB0FE4">
        <w:t>bank PSPs</w:t>
      </w:r>
      <w:r w:rsidR="00604D6A">
        <w:t xml:space="preserve"> </w:t>
      </w:r>
      <w:r w:rsidR="00D4672F">
        <w:t>to directly access payment system</w:t>
      </w:r>
      <w:r w:rsidR="007F054A">
        <w:t>s</w:t>
      </w:r>
      <w:r w:rsidR="00D4672F">
        <w:t xml:space="preserve"> will </w:t>
      </w:r>
      <w:r w:rsidR="008A1385">
        <w:t xml:space="preserve">be </w:t>
      </w:r>
      <w:r w:rsidR="00D4672F">
        <w:t>prudential</w:t>
      </w:r>
      <w:r w:rsidR="0001671D">
        <w:t>-</w:t>
      </w:r>
      <w:r w:rsidR="00D4672F">
        <w:t>like</w:t>
      </w:r>
      <w:r w:rsidR="00916C4C">
        <w:t xml:space="preserve"> obligations overseen by APRA.</w:t>
      </w:r>
      <w:r w:rsidR="00854489">
        <w:t xml:space="preserve"> </w:t>
      </w:r>
      <w:r w:rsidR="001E5108">
        <w:t xml:space="preserve">Technical industry standards </w:t>
      </w:r>
      <w:r w:rsidR="00566245">
        <w:t xml:space="preserve">will apply to </w:t>
      </w:r>
      <w:r w:rsidR="000D20A4">
        <w:t xml:space="preserve">a broad range of </w:t>
      </w:r>
      <w:r w:rsidR="001E5108">
        <w:t>participants and operators of payment systems</w:t>
      </w:r>
      <w:r w:rsidR="00D4672F">
        <w:t xml:space="preserve">. </w:t>
      </w:r>
    </w:p>
    <w:p w14:paraId="3682DB02" w14:textId="4E385D77" w:rsidR="00372BC3" w:rsidRPr="00951431" w:rsidRDefault="00372BC3" w:rsidP="00114206">
      <w:pPr>
        <w:pStyle w:val="ChartGraphic"/>
      </w:pPr>
      <w:bookmarkStart w:id="21" w:name="_Ref149645167"/>
      <w:bookmarkStart w:id="22" w:name="_Ref151638632"/>
      <w:r w:rsidRPr="00951431">
        <w:t xml:space="preserve">Table </w:t>
      </w:r>
      <w:fldSimple w:instr=" SEQ Table \* ARABIC ">
        <w:r w:rsidR="00104954">
          <w:rPr>
            <w:noProof/>
          </w:rPr>
          <w:t>1</w:t>
        </w:r>
      </w:fldSimple>
      <w:bookmarkEnd w:id="20"/>
      <w:bookmarkEnd w:id="21"/>
      <w:r w:rsidR="008553FA" w:rsidRPr="00951431">
        <w:t>:</w:t>
      </w:r>
      <w:r w:rsidRPr="00951431">
        <w:t xml:space="preserve"> </w:t>
      </w:r>
      <w:r w:rsidR="00754307">
        <w:t>P</w:t>
      </w:r>
      <w:r w:rsidR="003D5DD8" w:rsidRPr="00951431">
        <w:t>roposed</w:t>
      </w:r>
      <w:r w:rsidRPr="00951431">
        <w:t xml:space="preserve"> </w:t>
      </w:r>
      <w:r w:rsidR="00752F3A" w:rsidRPr="00951431">
        <w:t>regulatory framework</w:t>
      </w:r>
      <w:bookmarkEnd w:id="22"/>
    </w:p>
    <w:p w14:paraId="11BBC98F" w14:textId="4055CC89" w:rsidR="00732A87" w:rsidRDefault="00A42900" w:rsidP="00484048">
      <w:pPr>
        <w:pStyle w:val="Bullet"/>
        <w:numPr>
          <w:ilvl w:val="0"/>
          <w:numId w:val="0"/>
        </w:numPr>
      </w:pPr>
      <w:r>
        <w:rPr>
          <w:noProof/>
        </w:rPr>
        <w:drawing>
          <wp:inline distT="0" distB="0" distL="0" distR="0" wp14:anchorId="72A14DF6" wp14:editId="61050B0F">
            <wp:extent cx="5759450" cy="24333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2433320"/>
                    </a:xfrm>
                    <a:prstGeom prst="rect">
                      <a:avLst/>
                    </a:prstGeom>
                  </pic:spPr>
                </pic:pic>
              </a:graphicData>
            </a:graphic>
          </wp:inline>
        </w:drawing>
      </w:r>
    </w:p>
    <w:p w14:paraId="326ED111" w14:textId="265B1634" w:rsidR="000E447C" w:rsidRDefault="000E447C" w:rsidP="008134F0">
      <w:pPr>
        <w:pStyle w:val="Heading2"/>
      </w:pPr>
      <w:bookmarkStart w:id="23" w:name="_Toc149230896"/>
      <w:bookmarkStart w:id="24" w:name="_Toc152847620"/>
      <w:r>
        <w:lastRenderedPageBreak/>
        <w:t>Objectives</w:t>
      </w:r>
      <w:r w:rsidR="00535470">
        <w:t xml:space="preserve"> of </w:t>
      </w:r>
      <w:r w:rsidR="00514701">
        <w:t>r</w:t>
      </w:r>
      <w:r w:rsidR="00B3742C">
        <w:t>eforms</w:t>
      </w:r>
      <w:bookmarkEnd w:id="23"/>
      <w:bookmarkEnd w:id="24"/>
    </w:p>
    <w:p w14:paraId="3DD66724" w14:textId="297AE43E" w:rsidR="00CC4581" w:rsidRPr="00F951D3" w:rsidRDefault="00CC4581" w:rsidP="00E42AA2">
      <w:r>
        <w:t xml:space="preserve">As set out in </w:t>
      </w:r>
      <w:r w:rsidR="009E6B4F">
        <w:t>CP1</w:t>
      </w:r>
      <w:r>
        <w:t>, the objectives of the payments licensing framework include:</w:t>
      </w:r>
    </w:p>
    <w:p w14:paraId="653F9C5A" w14:textId="7130C187" w:rsidR="00CC4581" w:rsidRPr="00315014" w:rsidRDefault="00CC4581" w:rsidP="0050394D">
      <w:pPr>
        <w:pStyle w:val="OneLevelNumberedParagraph"/>
      </w:pPr>
      <w:r w:rsidRPr="006E2739">
        <w:t xml:space="preserve">Ensuring consistent and appropriate regulation of PSPs </w:t>
      </w:r>
    </w:p>
    <w:p w14:paraId="545E2573" w14:textId="718E0B89" w:rsidR="00CC4581" w:rsidRPr="006E2739" w:rsidRDefault="00CC4581" w:rsidP="0050394D">
      <w:pPr>
        <w:pStyle w:val="OneLevelNumberedParagraph"/>
      </w:pPr>
      <w:r w:rsidRPr="006E2739">
        <w:t xml:space="preserve">Improving regulatory certainty for PSPs </w:t>
      </w:r>
    </w:p>
    <w:p w14:paraId="48E7707D" w14:textId="4704976E" w:rsidR="00CC4581" w:rsidRDefault="00CC4581" w:rsidP="0050394D">
      <w:pPr>
        <w:pStyle w:val="OneLevelNumberedParagraph"/>
      </w:pPr>
      <w:r w:rsidRPr="006E2739">
        <w:t xml:space="preserve">Better targeting regulatory obligations based on the level of risk posed to </w:t>
      </w:r>
      <w:r w:rsidR="006C344A" w:rsidRPr="006E2739">
        <w:t>customers</w:t>
      </w:r>
      <w:r w:rsidRPr="006E2739">
        <w:t xml:space="preserve"> </w:t>
      </w:r>
      <w:r w:rsidR="001B1F53" w:rsidRPr="006E2739">
        <w:t xml:space="preserve">and the </w:t>
      </w:r>
      <w:r w:rsidR="006C344A" w:rsidRPr="006E2739">
        <w:t>wider</w:t>
      </w:r>
      <w:r w:rsidR="001B1F53" w:rsidRPr="006E2739">
        <w:t xml:space="preserve"> financial system</w:t>
      </w:r>
      <w:r w:rsidRPr="006E2739">
        <w:t xml:space="preserve"> by PSPs </w:t>
      </w:r>
    </w:p>
    <w:p w14:paraId="71D34EC3" w14:textId="45F1D16F" w:rsidR="00CC4581" w:rsidRDefault="00CC4581" w:rsidP="0050394D">
      <w:pPr>
        <w:pStyle w:val="OneLevelNumberedParagraph"/>
      </w:pPr>
      <w:r w:rsidRPr="006E2739">
        <w:t>Streamlining the process for businesses that require multiple licences</w:t>
      </w:r>
      <w:r w:rsidRPr="0058798A">
        <w:t xml:space="preserve"> </w:t>
      </w:r>
      <w:r w:rsidRPr="006E2739">
        <w:t xml:space="preserve">or </w:t>
      </w:r>
      <w:r w:rsidR="00F45071" w:rsidRPr="006E2739">
        <w:t>authorisations</w:t>
      </w:r>
    </w:p>
    <w:p w14:paraId="38BEEF75" w14:textId="0B573123" w:rsidR="00F27E9E" w:rsidRDefault="00F27E9E" w:rsidP="0050394D">
      <w:pPr>
        <w:pStyle w:val="OneLevelNumberedParagraph"/>
      </w:pPr>
      <w:r w:rsidRPr="006E2739">
        <w:t>Supporting a more level playing field for PSPs seeking to access payment systems</w:t>
      </w:r>
      <w:r>
        <w:t xml:space="preserve"> </w:t>
      </w:r>
    </w:p>
    <w:p w14:paraId="5281897F" w14:textId="4FA46599" w:rsidR="00CC4581" w:rsidRDefault="00CC4581" w:rsidP="0050394D">
      <w:pPr>
        <w:pStyle w:val="OneLevelNumberedParagraph"/>
      </w:pPr>
      <w:r w:rsidRPr="006E2739">
        <w:t>Better aligning Australia’s payments regulatory framework with international jurisdictions</w:t>
      </w:r>
    </w:p>
    <w:p w14:paraId="0CDA104D" w14:textId="2DB22392" w:rsidR="00CC4581" w:rsidRPr="00681A42" w:rsidRDefault="002E03C0" w:rsidP="00D178F3">
      <w:r>
        <w:t>The</w:t>
      </w:r>
      <w:r w:rsidR="006022B3">
        <w:t xml:space="preserve"> payments licensing framework </w:t>
      </w:r>
      <w:r w:rsidR="00767F00">
        <w:t xml:space="preserve">seeks </w:t>
      </w:r>
      <w:r w:rsidR="006022B3">
        <w:t>to set regulatory obligations that allow for sufficient flexibility, is ‘future-proofed’ for future developments, and adequately balances the objectives of the reforms.</w:t>
      </w:r>
    </w:p>
    <w:p w14:paraId="3599E030" w14:textId="60739779" w:rsidR="000417F6" w:rsidRDefault="00A53B49" w:rsidP="006377BA">
      <w:pPr>
        <w:pStyle w:val="Heading2"/>
      </w:pPr>
      <w:bookmarkStart w:id="25" w:name="_Toc149230897"/>
      <w:bookmarkStart w:id="26" w:name="_Toc152847621"/>
      <w:r>
        <w:t>Risks</w:t>
      </w:r>
      <w:r w:rsidR="009E0E88">
        <w:t xml:space="preserve"> </w:t>
      </w:r>
      <w:r w:rsidR="00857A54">
        <w:t xml:space="preserve">the </w:t>
      </w:r>
      <w:r w:rsidR="002B01D1">
        <w:t>reforms</w:t>
      </w:r>
      <w:r w:rsidR="00857A54">
        <w:t xml:space="preserve"> seek to address</w:t>
      </w:r>
      <w:bookmarkEnd w:id="25"/>
      <w:bookmarkEnd w:id="26"/>
    </w:p>
    <w:p w14:paraId="5F48C3BF" w14:textId="31981563" w:rsidR="00AF203D" w:rsidRDefault="007F28FC" w:rsidP="00777CB2">
      <w:r>
        <w:t>CP1</w:t>
      </w:r>
      <w:r w:rsidR="003C48E6">
        <w:t xml:space="preserve"> set out </w:t>
      </w:r>
      <w:r w:rsidR="00945800">
        <w:t>three categories of risk</w:t>
      </w:r>
      <w:r w:rsidR="00A631B8">
        <w:t xml:space="preserve"> – financial risks, operational risks and misconduct risks – and </w:t>
      </w:r>
      <w:r w:rsidR="00011E53">
        <w:t xml:space="preserve">a preliminary </w:t>
      </w:r>
      <w:r w:rsidR="004F579F">
        <w:t>mapping</w:t>
      </w:r>
      <w:r w:rsidR="00011E53">
        <w:t xml:space="preserve"> of the risks associated with </w:t>
      </w:r>
      <w:r w:rsidR="0059051E">
        <w:t>each</w:t>
      </w:r>
      <w:r w:rsidR="00011E53">
        <w:t xml:space="preserve"> payment function. </w:t>
      </w:r>
      <w:r w:rsidR="006F1285">
        <w:t xml:space="preserve">Stakeholder feedback largely </w:t>
      </w:r>
      <w:r w:rsidR="00AF3537">
        <w:t xml:space="preserve">supported the </w:t>
      </w:r>
      <w:r w:rsidR="006575FB">
        <w:t xml:space="preserve">presentation of </w:t>
      </w:r>
      <w:r w:rsidR="00AF3537">
        <w:t>risks in the first consultation</w:t>
      </w:r>
      <w:r w:rsidR="00C76BFF">
        <w:t xml:space="preserve">. </w:t>
      </w:r>
    </w:p>
    <w:p w14:paraId="6BA89160" w14:textId="3229514F" w:rsidR="00831B0C" w:rsidRPr="004C3DDA" w:rsidRDefault="007D61B2" w:rsidP="00777CB2">
      <w:r>
        <w:t>After</w:t>
      </w:r>
      <w:r w:rsidR="00796004">
        <w:t xml:space="preserve"> </w:t>
      </w:r>
      <w:r w:rsidR="00A914B7">
        <w:t>incorporating</w:t>
      </w:r>
      <w:r w:rsidR="00796004">
        <w:t xml:space="preserve"> feedback from stakeholders</w:t>
      </w:r>
      <w:r>
        <w:t xml:space="preserve"> and undertaking a deeper analysis of risks</w:t>
      </w:r>
      <w:r w:rsidR="00C437D3">
        <w:t xml:space="preserve">, this consultation paper </w:t>
      </w:r>
      <w:r w:rsidR="00796004">
        <w:t xml:space="preserve">outlines a </w:t>
      </w:r>
      <w:r w:rsidR="00DC6010">
        <w:t>high</w:t>
      </w:r>
      <w:r w:rsidR="00901620">
        <w:t>-</w:t>
      </w:r>
      <w:r w:rsidR="00DC6010">
        <w:t xml:space="preserve">level </w:t>
      </w:r>
      <w:r w:rsidR="00521157">
        <w:t xml:space="preserve">taxonomy of </w:t>
      </w:r>
      <w:r w:rsidR="00C735FE">
        <w:t xml:space="preserve">key </w:t>
      </w:r>
      <w:r w:rsidR="00521157">
        <w:t xml:space="preserve">risks </w:t>
      </w:r>
      <w:r w:rsidR="008C676E">
        <w:t>associated with the payment</w:t>
      </w:r>
      <w:r w:rsidR="00C437D3">
        <w:t>s ecosystem</w:t>
      </w:r>
      <w:r w:rsidR="00DD620C">
        <w:t xml:space="preserve"> that the </w:t>
      </w:r>
      <w:r w:rsidR="00370626">
        <w:t>licensing regime seeks to address</w:t>
      </w:r>
      <w:r w:rsidR="002D7FB5">
        <w:t xml:space="preserve"> (</w:t>
      </w:r>
      <w:r w:rsidR="00104954" w:rsidRPr="00104954">
        <w:rPr>
          <w:b/>
        </w:rPr>
        <w:t>Table 2</w:t>
      </w:r>
      <w:r w:rsidR="002D7FB5">
        <w:t>)</w:t>
      </w:r>
      <w:r w:rsidR="006B3DD7">
        <w:t xml:space="preserve">. </w:t>
      </w:r>
      <w:r w:rsidR="00306744">
        <w:t xml:space="preserve">This taxonomy recognises </w:t>
      </w:r>
      <w:r w:rsidR="00487F8F">
        <w:t>the</w:t>
      </w:r>
      <w:r w:rsidR="00306744">
        <w:t xml:space="preserve"> relationship between </w:t>
      </w:r>
      <w:r w:rsidR="00F370E4">
        <w:t>the target state of the payments ecosystem</w:t>
      </w:r>
      <w:r w:rsidR="00063E2B">
        <w:t xml:space="preserve"> (</w:t>
      </w:r>
      <w:r w:rsidR="00334CFE">
        <w:t>a</w:t>
      </w:r>
      <w:r w:rsidR="00C66716">
        <w:t xml:space="preserve">n </w:t>
      </w:r>
      <w:r w:rsidR="00C4231C">
        <w:t>eco</w:t>
      </w:r>
      <w:r w:rsidR="00334CFE">
        <w:t xml:space="preserve">system that </w:t>
      </w:r>
      <w:r w:rsidR="00935494">
        <w:t>is safe</w:t>
      </w:r>
      <w:r w:rsidR="00C66716">
        <w:t xml:space="preserve"> and resilient</w:t>
      </w:r>
      <w:r w:rsidR="00935494">
        <w:t xml:space="preserve">, has appropriate customer protections, and </w:t>
      </w:r>
      <w:r w:rsidR="00C253E2">
        <w:t>promotes competition)</w:t>
      </w:r>
      <w:r w:rsidR="00A86BAE">
        <w:t xml:space="preserve">, </w:t>
      </w:r>
      <w:r w:rsidR="00322DE3">
        <w:t xml:space="preserve">the risks that </w:t>
      </w:r>
      <w:r w:rsidR="00BF3DE3">
        <w:t xml:space="preserve">threaten </w:t>
      </w:r>
      <w:r w:rsidR="00AB3268">
        <w:t xml:space="preserve">the attainment of </w:t>
      </w:r>
      <w:r w:rsidR="00BF3DE3">
        <w:t xml:space="preserve">this target state, and the poor outcomes that </w:t>
      </w:r>
      <w:r w:rsidR="00F15DAE">
        <w:t>may</w:t>
      </w:r>
      <w:r w:rsidR="00BF3DE3">
        <w:t xml:space="preserve"> result if these risks are realised.</w:t>
      </w:r>
      <w:r w:rsidR="006B3DD7">
        <w:t xml:space="preserve"> Some risks are</w:t>
      </w:r>
      <w:r w:rsidR="00641399">
        <w:t xml:space="preserve"> </w:t>
      </w:r>
      <w:r w:rsidR="00BE526A">
        <w:t xml:space="preserve">addressed by other regimes </w:t>
      </w:r>
      <w:r w:rsidR="00641399">
        <w:t xml:space="preserve">(for example, </w:t>
      </w:r>
      <w:r w:rsidR="008B77F3">
        <w:t>risks associated with money laundering and terror</w:t>
      </w:r>
      <w:r w:rsidR="00124548">
        <w:t>ism financing</w:t>
      </w:r>
      <w:r w:rsidR="00641399">
        <w:t>)</w:t>
      </w:r>
      <w:r w:rsidR="00D823E8">
        <w:t xml:space="preserve">. Some risks may fall </w:t>
      </w:r>
      <w:r w:rsidR="001525AD">
        <w:t>within the scope of</w:t>
      </w:r>
      <w:r w:rsidR="004C5391">
        <w:t xml:space="preserve"> other </w:t>
      </w:r>
      <w:r w:rsidR="001525AD">
        <w:t xml:space="preserve">regimes, but </w:t>
      </w:r>
      <w:r w:rsidR="00E56587">
        <w:t>may</w:t>
      </w:r>
      <w:r w:rsidR="001525AD">
        <w:t xml:space="preserve"> </w:t>
      </w:r>
      <w:r w:rsidR="00E56587">
        <w:t>be</w:t>
      </w:r>
      <w:r w:rsidR="001525AD">
        <w:t xml:space="preserve"> </w:t>
      </w:r>
      <w:r w:rsidR="00143AD9">
        <w:t xml:space="preserve">only partly </w:t>
      </w:r>
      <w:r w:rsidR="001525AD">
        <w:t xml:space="preserve">addressed by those regimes, and are therefore included </w:t>
      </w:r>
      <w:r w:rsidR="00EF58C3">
        <w:t>for consideration</w:t>
      </w:r>
      <w:r w:rsidR="001525AD">
        <w:t xml:space="preserve"> below. </w:t>
      </w:r>
    </w:p>
    <w:p w14:paraId="44143BEC" w14:textId="1115DCF3" w:rsidR="003D5DD8" w:rsidRPr="00955036" w:rsidRDefault="003D5DD8" w:rsidP="00764703">
      <w:pPr>
        <w:pStyle w:val="ChartMainHeading"/>
      </w:pPr>
      <w:bookmarkStart w:id="27" w:name="_Ref151639086"/>
      <w:r w:rsidRPr="00955036">
        <w:lastRenderedPageBreak/>
        <w:t xml:space="preserve">Table </w:t>
      </w:r>
      <w:fldSimple w:instr=" SEQ Table \* ARABIC ">
        <w:r w:rsidR="00104954">
          <w:rPr>
            <w:noProof/>
          </w:rPr>
          <w:t>2</w:t>
        </w:r>
      </w:fldSimple>
      <w:bookmarkEnd w:id="27"/>
      <w:r w:rsidR="008553FA" w:rsidRPr="00955036">
        <w:t>:</w:t>
      </w:r>
      <w:r w:rsidRPr="00955036">
        <w:t xml:space="preserve"> Key </w:t>
      </w:r>
      <w:r w:rsidR="00657B82" w:rsidRPr="00955036">
        <w:t>r</w:t>
      </w:r>
      <w:r w:rsidRPr="00955036">
        <w:t xml:space="preserve">isks in the </w:t>
      </w:r>
      <w:r w:rsidR="00657B82" w:rsidRPr="00955036">
        <w:t>p</w:t>
      </w:r>
      <w:r w:rsidRPr="00955036">
        <w:t xml:space="preserve">ayments </w:t>
      </w:r>
      <w:r w:rsidR="00657B82" w:rsidRPr="00955036">
        <w:t>s</w:t>
      </w:r>
      <w:r w:rsidRPr="00955036">
        <w:t>ystem</w:t>
      </w:r>
    </w:p>
    <w:p w14:paraId="219BD65D" w14:textId="124A030C" w:rsidR="00296A25" w:rsidRPr="00296A25" w:rsidRDefault="00AC3ACE" w:rsidP="005742EB">
      <w:pPr>
        <w:jc w:val="center"/>
      </w:pPr>
      <w:r w:rsidRPr="00AC3ACE">
        <w:rPr>
          <w:noProof/>
        </w:rPr>
        <w:drawing>
          <wp:inline distT="0" distB="0" distL="0" distR="0" wp14:anchorId="3C63A79F" wp14:editId="089619FE">
            <wp:extent cx="3937000" cy="2534525"/>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44087" cy="2539087"/>
                    </a:xfrm>
                    <a:prstGeom prst="rect">
                      <a:avLst/>
                    </a:prstGeom>
                  </pic:spPr>
                </pic:pic>
              </a:graphicData>
            </a:graphic>
          </wp:inline>
        </w:drawing>
      </w:r>
    </w:p>
    <w:p w14:paraId="4FBBB035" w14:textId="40C5414B" w:rsidR="000E0B74" w:rsidRDefault="00F43F5E" w:rsidP="006377BA">
      <w:pPr>
        <w:pStyle w:val="Heading2"/>
      </w:pPr>
      <w:bookmarkStart w:id="28" w:name="_Toc149230899"/>
      <w:bookmarkStart w:id="29" w:name="_Toc152847622"/>
      <w:r>
        <w:t>Next steps</w:t>
      </w:r>
      <w:bookmarkEnd w:id="28"/>
      <w:bookmarkEnd w:id="29"/>
    </w:p>
    <w:p w14:paraId="6E63C56E" w14:textId="4B4FA3EF" w:rsidR="008361B4" w:rsidRDefault="00405FA1" w:rsidP="006C41B1">
      <w:r>
        <w:t xml:space="preserve">The Government </w:t>
      </w:r>
      <w:r w:rsidR="00F31304">
        <w:t xml:space="preserve">intends to </w:t>
      </w:r>
      <w:r w:rsidR="00B603CA">
        <w:t xml:space="preserve">introduce legislation for the payments licensing regime in 2024. </w:t>
      </w:r>
    </w:p>
    <w:p w14:paraId="049A078C" w14:textId="43C5B66A" w:rsidR="00E81A40" w:rsidRDefault="00B97D73" w:rsidP="006C41B1">
      <w:bookmarkStart w:id="30" w:name="_Hlk135926430"/>
      <w:r>
        <w:t xml:space="preserve">Following the passage of </w:t>
      </w:r>
      <w:r w:rsidR="00DB1FF9">
        <w:t xml:space="preserve">primary </w:t>
      </w:r>
      <w:r>
        <w:t>legislation,</w:t>
      </w:r>
      <w:r w:rsidRPr="007F0DCE">
        <w:t xml:space="preserve"> </w:t>
      </w:r>
      <w:r w:rsidR="000C7029">
        <w:t xml:space="preserve">certain </w:t>
      </w:r>
      <w:r>
        <w:t>detailed elements of the reforms will be subject to further consultation. They include the design of</w:t>
      </w:r>
      <w:r w:rsidRPr="007F0DCE">
        <w:t xml:space="preserve"> supporting regulations for </w:t>
      </w:r>
      <w:r w:rsidR="003A23FB">
        <w:t xml:space="preserve">the </w:t>
      </w:r>
      <w:r w:rsidR="00FE41C3">
        <w:t>mandat</w:t>
      </w:r>
      <w:r w:rsidR="003A23FB">
        <w:t>ory</w:t>
      </w:r>
      <w:r w:rsidR="00FE41C3">
        <w:t xml:space="preserve"> revised</w:t>
      </w:r>
      <w:r w:rsidRPr="007F0DCE">
        <w:t xml:space="preserve"> ePayments </w:t>
      </w:r>
      <w:r w:rsidR="009A5844">
        <w:t>C</w:t>
      </w:r>
      <w:r w:rsidR="009A5844" w:rsidRPr="007F0DCE">
        <w:t>ode</w:t>
      </w:r>
      <w:r w:rsidRPr="007F0DCE">
        <w:t xml:space="preserve">, </w:t>
      </w:r>
      <w:r w:rsidRPr="000D108F">
        <w:t>common access requirements,</w:t>
      </w:r>
      <w:r w:rsidRPr="007F0DCE">
        <w:t xml:space="preserve"> and mandatory </w:t>
      </w:r>
      <w:r w:rsidR="00D34CCA">
        <w:t>technical</w:t>
      </w:r>
      <w:r w:rsidR="00D34CCA" w:rsidRPr="007F0DCE">
        <w:t xml:space="preserve"> </w:t>
      </w:r>
      <w:r w:rsidRPr="007F0DCE">
        <w:t>standards</w:t>
      </w:r>
      <w:r>
        <w:t>.</w:t>
      </w:r>
      <w:bookmarkEnd w:id="30"/>
    </w:p>
    <w:p w14:paraId="450F334A" w14:textId="4C304F30" w:rsidR="00F54D56" w:rsidRDefault="00F54D56" w:rsidP="00E42AA2">
      <w:r>
        <w:br w:type="page"/>
      </w:r>
    </w:p>
    <w:p w14:paraId="27B2F805" w14:textId="42CE3026" w:rsidR="00BB086C" w:rsidRDefault="00AD02CC" w:rsidP="00EE5400">
      <w:pPr>
        <w:pStyle w:val="Heading1"/>
        <w:jc w:val="both"/>
      </w:pPr>
      <w:bookmarkStart w:id="31" w:name="_Ref151638325"/>
      <w:bookmarkStart w:id="32" w:name="_Ref151638343"/>
      <w:bookmarkStart w:id="33" w:name="_Ref151641821"/>
      <w:bookmarkStart w:id="34" w:name="_Toc152847623"/>
      <w:r>
        <w:lastRenderedPageBreak/>
        <w:t>Proposed</w:t>
      </w:r>
      <w:r w:rsidR="00456376">
        <w:t xml:space="preserve"> payment functions</w:t>
      </w:r>
      <w:bookmarkEnd w:id="31"/>
      <w:bookmarkEnd w:id="32"/>
      <w:bookmarkEnd w:id="33"/>
      <w:bookmarkEnd w:id="34"/>
    </w:p>
    <w:p w14:paraId="4D01C7FE" w14:textId="5957D81D" w:rsidR="009158D2" w:rsidRDefault="009158D2" w:rsidP="006377BA">
      <w:pPr>
        <w:pStyle w:val="Heading2"/>
      </w:pPr>
      <w:bookmarkStart w:id="35" w:name="_Toc149230901"/>
      <w:bookmarkStart w:id="36" w:name="_Toc152847624"/>
      <w:r>
        <w:t>Functions</w:t>
      </w:r>
      <w:r w:rsidR="00AF040A">
        <w:t xml:space="preserve"> </w:t>
      </w:r>
      <w:r w:rsidR="0015258A">
        <w:t>s</w:t>
      </w:r>
      <w:r w:rsidR="00AF040A">
        <w:t>ummary</w:t>
      </w:r>
      <w:bookmarkEnd w:id="35"/>
      <w:bookmarkEnd w:id="36"/>
      <w:r w:rsidR="00AF040A">
        <w:t xml:space="preserve"> </w:t>
      </w:r>
    </w:p>
    <w:p w14:paraId="6D31AD17" w14:textId="122678A9" w:rsidR="0086126D" w:rsidRDefault="0086126D" w:rsidP="006C41B1">
      <w:r>
        <w:t>Th</w:t>
      </w:r>
      <w:r w:rsidR="00ED5666">
        <w:t xml:space="preserve">is </w:t>
      </w:r>
      <w:r>
        <w:t xml:space="preserve">section </w:t>
      </w:r>
      <w:r w:rsidR="006B7A69">
        <w:t>proposes an</w:t>
      </w:r>
      <w:r>
        <w:t xml:space="preserve"> updated list of payment functions. The intent of these functions is to ensure that the regulatory perimeter reflects the nature of the industry in Australia</w:t>
      </w:r>
      <w:r w:rsidR="00B40167">
        <w:t xml:space="preserve"> and</w:t>
      </w:r>
      <w:r>
        <w:t xml:space="preserve"> appropriately addresses key risks, whilst being technology neutral and ensuring competitive neutrality. </w:t>
      </w:r>
    </w:p>
    <w:p w14:paraId="5A6025A7" w14:textId="0C506EA7" w:rsidR="0086126D" w:rsidRDefault="0086126D" w:rsidP="006C41B1">
      <w:r>
        <w:t>The functions as described below are not finalised legal definitions and are intended to demonstrate the policy</w:t>
      </w:r>
      <w:r w:rsidR="0028797A">
        <w:t xml:space="preserve"> intent</w:t>
      </w:r>
      <w:r>
        <w:t xml:space="preserve">. </w:t>
      </w:r>
      <w:r w:rsidR="00D714BA">
        <w:t xml:space="preserve">Examples are provided for illustrative purposes only and are not exhaustive. </w:t>
      </w:r>
      <w:r w:rsidR="00FF09B0">
        <w:t xml:space="preserve">It is intended that these functions will be incorporated into law as defined financial products and services, and that each will need to be individually authorised. </w:t>
      </w:r>
      <w:r w:rsidR="00AA4C77" w:rsidRPr="00AA4C77">
        <w:rPr>
          <w:b/>
          <w:bCs/>
        </w:rPr>
        <w:t>Section</w:t>
      </w:r>
      <w:r w:rsidRPr="00E97070">
        <w:rPr>
          <w:b/>
        </w:rPr>
        <w:t xml:space="preserve"> </w:t>
      </w:r>
      <w:r w:rsidR="00104954">
        <w:rPr>
          <w:b/>
        </w:rPr>
        <w:t>2.3</w:t>
      </w:r>
      <w:r>
        <w:t xml:space="preserve"> </w:t>
      </w:r>
      <w:r w:rsidR="00555CA5">
        <w:t>discusses</w:t>
      </w:r>
      <w:r w:rsidR="00AA2A35">
        <w:t xml:space="preserve"> how these functions could be operationalised into the regulatory framework</w:t>
      </w:r>
      <w:r w:rsidR="00555CA5">
        <w:t>.</w:t>
      </w:r>
      <w:r w:rsidR="00EC715F">
        <w:t xml:space="preserve"> </w:t>
      </w:r>
    </w:p>
    <w:p w14:paraId="02D5F75A" w14:textId="51DAC32A" w:rsidR="008B7BBF" w:rsidRDefault="00B130ED" w:rsidP="006C41B1">
      <w:r>
        <w:t>Compared to the functions proposed in CP1, t</w:t>
      </w:r>
      <w:r w:rsidR="00DD4BF9">
        <w:t>he following key changes have been made</w:t>
      </w:r>
      <w:r w:rsidR="00040F22">
        <w:t>:</w:t>
      </w:r>
      <w:r w:rsidR="00DD4BF9">
        <w:t xml:space="preserve"> </w:t>
      </w:r>
    </w:p>
    <w:p w14:paraId="77F08CB1" w14:textId="1106A7A7" w:rsidR="008B7BBF" w:rsidRDefault="007D5F94" w:rsidP="0044784E">
      <w:pPr>
        <w:pStyle w:val="Bullet"/>
      </w:pPr>
      <w:r>
        <w:t xml:space="preserve">The </w:t>
      </w:r>
      <w:r w:rsidR="002445CF">
        <w:t>‘</w:t>
      </w:r>
      <w:r w:rsidR="002E4C8B">
        <w:t>P</w:t>
      </w:r>
      <w:r w:rsidRPr="007D5F94">
        <w:t xml:space="preserve">ayment </w:t>
      </w:r>
      <w:r w:rsidR="002E4C8B">
        <w:t>F</w:t>
      </w:r>
      <w:r w:rsidRPr="007D5F94">
        <w:t xml:space="preserve">acilitation, </w:t>
      </w:r>
      <w:r w:rsidR="002E4C8B">
        <w:t>A</w:t>
      </w:r>
      <w:r w:rsidRPr="007D5F94">
        <w:t xml:space="preserve">uthentication, </w:t>
      </w:r>
      <w:r w:rsidR="002E4C8B">
        <w:t>A</w:t>
      </w:r>
      <w:r w:rsidRPr="007D5F94">
        <w:t xml:space="preserve">uthorisation, and </w:t>
      </w:r>
      <w:r w:rsidR="002E4C8B">
        <w:t>P</w:t>
      </w:r>
      <w:r w:rsidRPr="007D5F94">
        <w:t xml:space="preserve">rocessing </w:t>
      </w:r>
      <w:r w:rsidR="002E4C8B">
        <w:t>S</w:t>
      </w:r>
      <w:r w:rsidRPr="007D5F94">
        <w:t>ervices</w:t>
      </w:r>
      <w:r w:rsidR="00662F4F">
        <w:t>’</w:t>
      </w:r>
      <w:r>
        <w:t xml:space="preserve"> function has been split into two distinct functions</w:t>
      </w:r>
      <w:r w:rsidR="0028251D">
        <w:t>:</w:t>
      </w:r>
      <w:r w:rsidR="004C16E7">
        <w:t xml:space="preserve"> </w:t>
      </w:r>
      <w:r w:rsidR="00A33770">
        <w:t xml:space="preserve">(i) </w:t>
      </w:r>
      <w:r w:rsidR="00933E43">
        <w:t>‘</w:t>
      </w:r>
      <w:r w:rsidR="002E4C8B">
        <w:t>P</w:t>
      </w:r>
      <w:r w:rsidR="004C16E7" w:rsidRPr="00DB3533">
        <w:t xml:space="preserve">ayment </w:t>
      </w:r>
      <w:r w:rsidR="002E4C8B">
        <w:t>F</w:t>
      </w:r>
      <w:r w:rsidR="004C16E7" w:rsidRPr="00DB3533">
        <w:t xml:space="preserve">acilitation </w:t>
      </w:r>
      <w:r w:rsidR="002E4C8B">
        <w:t>S</w:t>
      </w:r>
      <w:r w:rsidR="004C16E7" w:rsidRPr="00DB3533">
        <w:t>ervices</w:t>
      </w:r>
      <w:r w:rsidR="00933E43">
        <w:t>’</w:t>
      </w:r>
      <w:r w:rsidR="00A33770" w:rsidRPr="00DB3533">
        <w:t>;</w:t>
      </w:r>
      <w:r w:rsidR="004C16E7" w:rsidRPr="00DB3533">
        <w:t xml:space="preserve"> and </w:t>
      </w:r>
      <w:r w:rsidR="00A33770" w:rsidRPr="00DB3533">
        <w:t xml:space="preserve">(ii) </w:t>
      </w:r>
      <w:r w:rsidR="00933E43">
        <w:t>‘</w:t>
      </w:r>
      <w:r w:rsidR="00DA044F">
        <w:t>P</w:t>
      </w:r>
      <w:r w:rsidR="004C16E7" w:rsidRPr="00DB3533">
        <w:t xml:space="preserve">ayment </w:t>
      </w:r>
      <w:r w:rsidR="00DA044F">
        <w:t>T</w:t>
      </w:r>
      <w:r w:rsidR="004C16E7" w:rsidRPr="00DB3533">
        <w:t xml:space="preserve">echnology and </w:t>
      </w:r>
      <w:r w:rsidR="00DA044F">
        <w:t>E</w:t>
      </w:r>
      <w:r w:rsidR="004C16E7" w:rsidRPr="00DB3533">
        <w:t>nable</w:t>
      </w:r>
      <w:r w:rsidR="00AA3535" w:rsidRPr="00DB3533">
        <w:t>ment</w:t>
      </w:r>
      <w:r w:rsidR="004C16E7" w:rsidRPr="00DB3533">
        <w:t xml:space="preserve"> </w:t>
      </w:r>
      <w:r w:rsidR="00DA044F">
        <w:t>S</w:t>
      </w:r>
      <w:r w:rsidR="004C16E7" w:rsidRPr="00DB3533">
        <w:t>ervices</w:t>
      </w:r>
      <w:r w:rsidR="00933E43">
        <w:t>’</w:t>
      </w:r>
      <w:r w:rsidR="004C16E7" w:rsidRPr="00DB3533">
        <w:t>.</w:t>
      </w:r>
      <w:r>
        <w:t xml:space="preserve"> </w:t>
      </w:r>
    </w:p>
    <w:p w14:paraId="59F5DF44" w14:textId="104AB219" w:rsidR="0025042D" w:rsidRDefault="0044784E" w:rsidP="0044784E">
      <w:pPr>
        <w:pStyle w:val="Bullet"/>
      </w:pPr>
      <w:r w:rsidRPr="0044784E">
        <w:t>T</w:t>
      </w:r>
      <w:r w:rsidR="004A0963" w:rsidRPr="0044784E">
        <w:t>he</w:t>
      </w:r>
      <w:r w:rsidR="004A0963">
        <w:t xml:space="preserve"> </w:t>
      </w:r>
      <w:r w:rsidR="000019A7">
        <w:t>‘</w:t>
      </w:r>
      <w:r w:rsidR="00DA044F">
        <w:t>P</w:t>
      </w:r>
      <w:r w:rsidR="004A0963">
        <w:t xml:space="preserve">ayments </w:t>
      </w:r>
      <w:r w:rsidR="00DA044F">
        <w:t>C</w:t>
      </w:r>
      <w:r w:rsidR="004A0963">
        <w:t xml:space="preserve">learing and </w:t>
      </w:r>
      <w:r w:rsidR="00DA044F">
        <w:t>S</w:t>
      </w:r>
      <w:r w:rsidR="004A0963">
        <w:t>ettlement</w:t>
      </w:r>
      <w:r w:rsidR="00DA044F">
        <w:t xml:space="preserve"> Services</w:t>
      </w:r>
      <w:r w:rsidR="000019A7">
        <w:t>’</w:t>
      </w:r>
      <w:r w:rsidR="004A0963">
        <w:t xml:space="preserve"> function has been removed</w:t>
      </w:r>
      <w:r w:rsidRPr="0044784E">
        <w:t>.</w:t>
      </w:r>
    </w:p>
    <w:p w14:paraId="63EC2B0D" w14:textId="2C39CB6A" w:rsidR="00CD2831" w:rsidRDefault="0044784E" w:rsidP="0044784E">
      <w:pPr>
        <w:pStyle w:val="Bullet"/>
      </w:pPr>
      <w:r w:rsidRPr="0044784E">
        <w:t>T</w:t>
      </w:r>
      <w:r w:rsidR="004A0963" w:rsidRPr="0044784E">
        <w:t>he</w:t>
      </w:r>
      <w:r w:rsidR="004A0963">
        <w:t xml:space="preserve"> </w:t>
      </w:r>
      <w:r w:rsidR="000019A7">
        <w:t>‘</w:t>
      </w:r>
      <w:r w:rsidR="00DA044F">
        <w:t>M</w:t>
      </w:r>
      <w:r w:rsidR="004A0963">
        <w:t xml:space="preserve">oney </w:t>
      </w:r>
      <w:r w:rsidR="00787E66">
        <w:t>T</w:t>
      </w:r>
      <w:r w:rsidR="00DF3394">
        <w:t xml:space="preserve">ransfer </w:t>
      </w:r>
      <w:r w:rsidR="00DA044F">
        <w:t>S</w:t>
      </w:r>
      <w:r w:rsidR="004A0963">
        <w:t>ervices</w:t>
      </w:r>
      <w:r w:rsidR="000019A7">
        <w:t>’</w:t>
      </w:r>
      <w:r w:rsidR="004A0963">
        <w:t xml:space="preserve"> function has been replaced with a </w:t>
      </w:r>
      <w:r w:rsidR="00A45A97">
        <w:t>‘</w:t>
      </w:r>
      <w:r w:rsidR="00DA044F">
        <w:t>C</w:t>
      </w:r>
      <w:r w:rsidR="004A0963">
        <w:t>ross</w:t>
      </w:r>
      <w:r w:rsidR="00DC0A93">
        <w:t>-border</w:t>
      </w:r>
      <w:r w:rsidR="004A0963">
        <w:t xml:space="preserve"> </w:t>
      </w:r>
      <w:r w:rsidR="00DA044F">
        <w:t>T</w:t>
      </w:r>
      <w:r w:rsidR="004A0963">
        <w:t xml:space="preserve">ransfer </w:t>
      </w:r>
      <w:r w:rsidR="00DA044F">
        <w:t>S</w:t>
      </w:r>
      <w:r w:rsidR="004A0963">
        <w:t>ervices</w:t>
      </w:r>
      <w:r w:rsidR="00D513DA">
        <w:t>’</w:t>
      </w:r>
      <w:r w:rsidR="004A0963">
        <w:t xml:space="preserve"> function</w:t>
      </w:r>
      <w:r w:rsidR="00040D98">
        <w:t>,</w:t>
      </w:r>
      <w:r w:rsidR="00312D78">
        <w:t xml:space="preserve"> to provide clarity and clearer delineations between functions</w:t>
      </w:r>
      <w:r w:rsidRPr="0044784E">
        <w:t>.</w:t>
      </w:r>
    </w:p>
    <w:p w14:paraId="45FAAE43" w14:textId="4997C2A1" w:rsidR="008C24A2" w:rsidRPr="008C24A2" w:rsidRDefault="0044784E" w:rsidP="0044784E">
      <w:pPr>
        <w:pStyle w:val="Bullet"/>
      </w:pPr>
      <w:r w:rsidRPr="0044784E">
        <w:t>A</w:t>
      </w:r>
      <w:r w:rsidR="0054477A" w:rsidRPr="0044784E">
        <w:t>dditional</w:t>
      </w:r>
      <w:r w:rsidR="0075628A">
        <w:t xml:space="preserve"> clarity has been provided on all functions, including </w:t>
      </w:r>
      <w:r w:rsidR="00465045">
        <w:t>on</w:t>
      </w:r>
      <w:r w:rsidR="0075628A">
        <w:t xml:space="preserve"> the interactions between </w:t>
      </w:r>
      <w:r w:rsidR="00DD550A">
        <w:t xml:space="preserve">functions. </w:t>
      </w:r>
    </w:p>
    <w:p w14:paraId="01AA2FF9" w14:textId="370AFCB8" w:rsidR="00DB181F" w:rsidRDefault="00DB181F">
      <w:pPr>
        <w:tabs>
          <w:tab w:val="clear" w:pos="1650"/>
        </w:tabs>
        <w:spacing w:before="0" w:after="160" w:line="259" w:lineRule="auto"/>
      </w:pPr>
      <w:r>
        <w:br w:type="page"/>
      </w:r>
    </w:p>
    <w:p w14:paraId="3B8DDFCF" w14:textId="77777777" w:rsidR="00DB181F" w:rsidRPr="008C24A2" w:rsidRDefault="00DB181F" w:rsidP="00DB181F">
      <w:pPr>
        <w:pStyle w:val="Bullet"/>
        <w:numPr>
          <w:ilvl w:val="0"/>
          <w:numId w:val="0"/>
        </w:numPr>
        <w:ind w:left="520"/>
      </w:pPr>
    </w:p>
    <w:p w14:paraId="5C7FF819" w14:textId="52EB9F5A" w:rsidR="002B7ADB" w:rsidRPr="00AE796A" w:rsidRDefault="002B7ADB" w:rsidP="0076699D">
      <w:pPr>
        <w:pStyle w:val="TableMainHeading"/>
        <w:numPr>
          <w:ilvl w:val="0"/>
          <w:numId w:val="0"/>
        </w:numPr>
        <w:jc w:val="center"/>
      </w:pPr>
      <w:r w:rsidRPr="002B7ADB">
        <w:t xml:space="preserve">Table </w:t>
      </w:r>
      <w:fldSimple w:instr=" SEQ Table \* ARABIC ">
        <w:r w:rsidR="00104954">
          <w:rPr>
            <w:noProof/>
          </w:rPr>
          <w:t>3</w:t>
        </w:r>
      </w:fldSimple>
      <w:r w:rsidR="00AE585A">
        <w:t>:</w:t>
      </w:r>
      <w:r w:rsidRPr="002B7ADB">
        <w:t xml:space="preserve"> List of </w:t>
      </w:r>
      <w:r w:rsidR="00657B82">
        <w:t>p</w:t>
      </w:r>
      <w:r w:rsidRPr="002B7ADB">
        <w:t xml:space="preserve">ayment </w:t>
      </w:r>
      <w:r w:rsidR="00657B82">
        <w:t>f</w:t>
      </w:r>
      <w:r w:rsidRPr="002B7ADB">
        <w:t>unctions</w:t>
      </w:r>
    </w:p>
    <w:tbl>
      <w:tblPr>
        <w:tblStyle w:val="GridTable4-Accent1"/>
        <w:tblW w:w="5000" w:type="pct"/>
        <w:tblLook w:val="04A0" w:firstRow="1" w:lastRow="0" w:firstColumn="1" w:lastColumn="0" w:noHBand="0" w:noVBand="1"/>
      </w:tblPr>
      <w:tblGrid>
        <w:gridCol w:w="3006"/>
        <w:gridCol w:w="3037"/>
        <w:gridCol w:w="3017"/>
      </w:tblGrid>
      <w:tr w:rsidR="00F52C62" w:rsidRPr="000E0C65" w14:paraId="506B5086" w14:textId="77777777" w:rsidTr="006727B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pct"/>
          </w:tcPr>
          <w:p w14:paraId="399E4ECD" w14:textId="0E2E9F36" w:rsidR="00AE796A" w:rsidRPr="0076699D" w:rsidRDefault="00AE796A" w:rsidP="00EB2E10">
            <w:pPr>
              <w:pStyle w:val="TableColumnHeadingCentred"/>
              <w:rPr>
                <w:color w:val="FFFFFF" w:themeColor="background1"/>
              </w:rPr>
            </w:pPr>
            <w:r w:rsidRPr="0076699D">
              <w:rPr>
                <w:color w:val="FFFFFF" w:themeColor="background1"/>
              </w:rPr>
              <w:t>Payment function</w:t>
            </w:r>
            <w:r w:rsidRPr="0076699D">
              <w:rPr>
                <w:color w:val="FFFFFF" w:themeColor="background1"/>
              </w:rPr>
              <w:tab/>
            </w:r>
          </w:p>
        </w:tc>
        <w:tc>
          <w:tcPr>
            <w:tcW w:w="0" w:type="pct"/>
          </w:tcPr>
          <w:p w14:paraId="0941DCC7" w14:textId="6248D4A9" w:rsidR="00AE796A" w:rsidRPr="0076699D" w:rsidRDefault="00AE796A" w:rsidP="00EB2E10">
            <w:pPr>
              <w:pStyle w:val="TableColumnHeadingCentred"/>
              <w:cnfStyle w:val="100000000000" w:firstRow="1" w:lastRow="0" w:firstColumn="0" w:lastColumn="0" w:oddVBand="0" w:evenVBand="0" w:oddHBand="0" w:evenHBand="0" w:firstRowFirstColumn="0" w:firstRowLastColumn="0" w:lastRowFirstColumn="0" w:lastRowLastColumn="0"/>
              <w:rPr>
                <w:color w:val="FFFFFF" w:themeColor="background1"/>
              </w:rPr>
            </w:pPr>
            <w:r w:rsidRPr="0076699D">
              <w:rPr>
                <w:color w:val="FFFFFF" w:themeColor="background1"/>
              </w:rPr>
              <w:t>Description</w:t>
            </w:r>
            <w:r w:rsidRPr="0076699D">
              <w:rPr>
                <w:color w:val="FFFFFF" w:themeColor="background1"/>
              </w:rPr>
              <w:tab/>
            </w:r>
          </w:p>
        </w:tc>
        <w:tc>
          <w:tcPr>
            <w:tcW w:w="0" w:type="pct"/>
          </w:tcPr>
          <w:p w14:paraId="3EBF6AA7" w14:textId="3BE454F8" w:rsidR="00AE796A" w:rsidRPr="0076699D" w:rsidRDefault="00AE796A" w:rsidP="00EB2E10">
            <w:pPr>
              <w:pStyle w:val="TableColumnHeadingCentred"/>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76699D">
              <w:rPr>
                <w:color w:val="FFFFFF" w:themeColor="background1"/>
              </w:rPr>
              <w:t>Illustrative examples</w:t>
            </w:r>
          </w:p>
        </w:tc>
      </w:tr>
      <w:tr w:rsidR="00F52C62" w:rsidRPr="000E0C65" w14:paraId="3D47A3BE" w14:textId="77777777" w:rsidTr="006727B9">
        <w:trPr>
          <w:cnfStyle w:val="000000100000" w:firstRow="0" w:lastRow="0" w:firstColumn="0" w:lastColumn="0" w:oddVBand="0" w:evenVBand="0" w:oddHBand="1" w:evenHBand="0" w:firstRowFirstColumn="0" w:firstRowLastColumn="0" w:lastRowFirstColumn="0" w:lastRowLastColumn="0"/>
          <w:trHeight w:val="1400"/>
        </w:trPr>
        <w:tc>
          <w:tcPr>
            <w:cnfStyle w:val="001000000000" w:firstRow="0" w:lastRow="0" w:firstColumn="1" w:lastColumn="0" w:oddVBand="0" w:evenVBand="0" w:oddHBand="0" w:evenHBand="0" w:firstRowFirstColumn="0" w:firstRowLastColumn="0" w:lastRowFirstColumn="0" w:lastRowLastColumn="0"/>
            <w:tcW w:w="0" w:type="pct"/>
            <w:hideMark/>
          </w:tcPr>
          <w:p w14:paraId="5C6ED2B8" w14:textId="3EF198E7" w:rsidR="00654CBB" w:rsidRPr="00F42C7B" w:rsidRDefault="00654CBB" w:rsidP="005C0B04">
            <w:pPr>
              <w:pStyle w:val="TableTextLeft"/>
            </w:pPr>
            <w:r w:rsidRPr="005C0B04">
              <w:t>Stored-</w:t>
            </w:r>
            <w:r w:rsidR="00A46407">
              <w:t>v</w:t>
            </w:r>
            <w:r w:rsidRPr="005C0B04">
              <w:t xml:space="preserve">alue </w:t>
            </w:r>
            <w:r w:rsidR="004E4458">
              <w:t>F</w:t>
            </w:r>
            <w:r w:rsidRPr="005C0B04">
              <w:t>acilities (‘traditional SVFs’) </w:t>
            </w:r>
          </w:p>
        </w:tc>
        <w:tc>
          <w:tcPr>
            <w:tcW w:w="0" w:type="pct"/>
            <w:hideMark/>
          </w:tcPr>
          <w:p w14:paraId="7243F060" w14:textId="02D7496D" w:rsidR="00654CBB" w:rsidRPr="00545A96" w:rsidRDefault="00654CBB" w:rsidP="005C0B04">
            <w:pPr>
              <w:pStyle w:val="TableTextLeft"/>
              <w:cnfStyle w:val="000000100000" w:firstRow="0" w:lastRow="0" w:firstColumn="0" w:lastColumn="0" w:oddVBand="0" w:evenVBand="0" w:oddHBand="1" w:evenHBand="0" w:firstRowFirstColumn="0" w:firstRowLastColumn="0" w:lastRowFirstColumn="0" w:lastRowLastColumn="0"/>
            </w:pPr>
            <w:r>
              <w:t>F</w:t>
            </w:r>
            <w:r w:rsidRPr="00441BBC">
              <w:t>unds loaded onto a</w:t>
            </w:r>
            <w:r w:rsidR="00B02C30">
              <w:t>n</w:t>
            </w:r>
            <w:r w:rsidRPr="00441BBC">
              <w:t xml:space="preserve"> account or facility</w:t>
            </w:r>
            <w:r>
              <w:t>.</w:t>
            </w:r>
            <w:r w:rsidRPr="00441BBC" w:rsidDel="00884670">
              <w:t xml:space="preserve"> </w:t>
            </w:r>
            <w:r w:rsidR="008320CE">
              <w:t>Customers</w:t>
            </w:r>
            <w:r w:rsidRPr="00441BBC">
              <w:t xml:space="preserve"> are able to direct the movement of these funds, for the purposes of paying for goods or services, transferring to another person, or withdrawing the funds</w:t>
            </w:r>
            <w:r>
              <w:t>.</w:t>
            </w:r>
          </w:p>
        </w:tc>
        <w:tc>
          <w:tcPr>
            <w:tcW w:w="0" w:type="pct"/>
            <w:hideMark/>
          </w:tcPr>
          <w:p w14:paraId="74CED17D" w14:textId="62191070" w:rsidR="00654CBB" w:rsidRPr="00E233C0" w:rsidRDefault="000E222E" w:rsidP="005C0B04">
            <w:pPr>
              <w:pStyle w:val="TableTextLeft"/>
              <w:cnfStyle w:val="000000100000" w:firstRow="0" w:lastRow="0" w:firstColumn="0" w:lastColumn="0" w:oddVBand="0" w:evenVBand="0" w:oddHBand="1" w:evenHBand="0" w:firstRowFirstColumn="0" w:firstRowLastColumn="0" w:lastRowFirstColumn="0" w:lastRowLastColumn="0"/>
            </w:pPr>
            <w:r>
              <w:rPr>
                <w:szCs w:val="18"/>
              </w:rPr>
              <w:t xml:space="preserve">Current </w:t>
            </w:r>
            <w:r w:rsidR="00654CBB">
              <w:rPr>
                <w:szCs w:val="18"/>
              </w:rPr>
              <w:t>Purchased Payment Facilities</w:t>
            </w:r>
            <w:r w:rsidR="00654CBB" w:rsidRPr="632CF241">
              <w:rPr>
                <w:szCs w:val="18"/>
              </w:rPr>
              <w:t>,</w:t>
            </w:r>
            <w:r w:rsidR="00654CBB" w:rsidDel="00DF3E38">
              <w:rPr>
                <w:rStyle w:val="FootnoteReference"/>
                <w:szCs w:val="18"/>
              </w:rPr>
              <w:t xml:space="preserve"> </w:t>
            </w:r>
            <w:r w:rsidR="00654CBB" w:rsidRPr="009F1F3D">
              <w:rPr>
                <w:szCs w:val="18"/>
              </w:rPr>
              <w:t xml:space="preserve">digital wallets that store value, </w:t>
            </w:r>
            <w:r w:rsidR="00654CBB">
              <w:rPr>
                <w:szCs w:val="18"/>
              </w:rPr>
              <w:t>value stored on online accounts,</w:t>
            </w:r>
            <w:r w:rsidR="00654CBB" w:rsidRPr="009F1F3D">
              <w:rPr>
                <w:szCs w:val="18"/>
              </w:rPr>
              <w:t xml:space="preserve"> </w:t>
            </w:r>
            <w:r w:rsidR="003442B7">
              <w:rPr>
                <w:szCs w:val="18"/>
              </w:rPr>
              <w:t xml:space="preserve">virtual </w:t>
            </w:r>
            <w:r w:rsidR="00F81D5B">
              <w:rPr>
                <w:szCs w:val="18"/>
              </w:rPr>
              <w:t xml:space="preserve">and physical </w:t>
            </w:r>
            <w:r w:rsidR="00654CBB" w:rsidRPr="632CF241">
              <w:rPr>
                <w:szCs w:val="18"/>
              </w:rPr>
              <w:t>pre</w:t>
            </w:r>
            <w:r w:rsidR="00182F98">
              <w:rPr>
                <w:szCs w:val="18"/>
              </w:rPr>
              <w:noBreakHyphen/>
            </w:r>
            <w:r w:rsidR="00654CBB" w:rsidRPr="632CF241">
              <w:rPr>
                <w:szCs w:val="18"/>
              </w:rPr>
              <w:t xml:space="preserve">paid </w:t>
            </w:r>
            <w:r w:rsidR="00654CBB">
              <w:rPr>
                <w:szCs w:val="18"/>
              </w:rPr>
              <w:t>cards</w:t>
            </w:r>
            <w:r w:rsidR="00F81D5B">
              <w:rPr>
                <w:szCs w:val="18"/>
              </w:rPr>
              <w:t>.</w:t>
            </w:r>
            <w:r w:rsidR="00654CBB">
              <w:rPr>
                <w:szCs w:val="18"/>
              </w:rPr>
              <w:t xml:space="preserve"> </w:t>
            </w:r>
          </w:p>
        </w:tc>
      </w:tr>
      <w:tr w:rsidR="00654CBB" w:rsidRPr="000E0C65" w14:paraId="6E8E21AE" w14:textId="77777777" w:rsidTr="0076699D">
        <w:trPr>
          <w:trHeight w:val="84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00618944" w14:textId="3D2E3282" w:rsidR="00654CBB" w:rsidRPr="005C0B04" w:rsidRDefault="00654CBB" w:rsidP="005C0B04">
            <w:pPr>
              <w:pStyle w:val="TableTextLeft"/>
            </w:pPr>
            <w:r w:rsidRPr="005C0B04">
              <w:t xml:space="preserve">Issuance of </w:t>
            </w:r>
            <w:r w:rsidR="004E4458">
              <w:t>P</w:t>
            </w:r>
            <w:r w:rsidRPr="005C0B04">
              <w:t xml:space="preserve">ayment </w:t>
            </w:r>
            <w:r w:rsidR="004E4458">
              <w:t>S</w:t>
            </w:r>
            <w:r w:rsidRPr="005C0B04">
              <w:t>tablecoins (‘</w:t>
            </w:r>
            <w:r w:rsidR="004E4458">
              <w:t>P</w:t>
            </w:r>
            <w:r w:rsidRPr="005C0B04">
              <w:t xml:space="preserve">ayment </w:t>
            </w:r>
            <w:r w:rsidR="004E4458">
              <w:t>S</w:t>
            </w:r>
            <w:r w:rsidRPr="005C0B04">
              <w:t>tablecoin SVFs’)</w:t>
            </w:r>
          </w:p>
        </w:tc>
        <w:tc>
          <w:tcPr>
            <w:tcW w:w="0" w:type="pct"/>
            <w:shd w:val="clear" w:color="auto" w:fill="FFFFFF" w:themeFill="background1"/>
          </w:tcPr>
          <w:p w14:paraId="38DBB5FE" w14:textId="5640BD18" w:rsidR="00654CBB" w:rsidRDefault="00654CBB" w:rsidP="005C0B04">
            <w:pPr>
              <w:pStyle w:val="TableTextLeft"/>
              <w:cnfStyle w:val="000000000000" w:firstRow="0" w:lastRow="0" w:firstColumn="0" w:lastColumn="0" w:oddVBand="0" w:evenVBand="0" w:oddHBand="0" w:evenHBand="0" w:firstRowFirstColumn="0" w:firstRowLastColumn="0" w:lastRowFirstColumn="0" w:lastRowLastColumn="0"/>
            </w:pPr>
            <w:r>
              <w:t xml:space="preserve">Issuers of payment stablecoins that store value and control the total supply of payment stablecoins through issuance and redemption activities. </w:t>
            </w:r>
          </w:p>
        </w:tc>
        <w:tc>
          <w:tcPr>
            <w:tcW w:w="0" w:type="pct"/>
            <w:shd w:val="clear" w:color="auto" w:fill="FFFFFF" w:themeFill="background1"/>
          </w:tcPr>
          <w:p w14:paraId="5FE1A545" w14:textId="77777777" w:rsidR="00654CBB" w:rsidRPr="632CF241" w:rsidRDefault="00654CBB" w:rsidP="005C0B04">
            <w:pPr>
              <w:pStyle w:val="TableTextLeft"/>
              <w:cnfStyle w:val="000000000000" w:firstRow="0" w:lastRow="0" w:firstColumn="0" w:lastColumn="0" w:oddVBand="0" w:evenVBand="0" w:oddHBand="0" w:evenHBand="0" w:firstRowFirstColumn="0" w:firstRowLastColumn="0" w:lastRowFirstColumn="0" w:lastRowLastColumn="0"/>
              <w:rPr>
                <w:szCs w:val="18"/>
              </w:rPr>
            </w:pPr>
            <w:r>
              <w:rPr>
                <w:szCs w:val="18"/>
              </w:rPr>
              <w:t>Payment stablecoin issuers.</w:t>
            </w:r>
          </w:p>
        </w:tc>
      </w:tr>
      <w:tr w:rsidR="00F52C62" w:rsidRPr="000E0C65" w14:paraId="4B46C993" w14:textId="77777777" w:rsidTr="006727B9">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0" w:type="pct"/>
            <w:hideMark/>
          </w:tcPr>
          <w:p w14:paraId="5DAEF357" w14:textId="233D7A73" w:rsidR="00654CBB" w:rsidRPr="005C0B04" w:rsidRDefault="00560946" w:rsidP="005C0B04">
            <w:pPr>
              <w:pStyle w:val="TableTextLeft"/>
            </w:pPr>
            <w:r w:rsidRPr="005C0B04">
              <w:t>P</w:t>
            </w:r>
            <w:r w:rsidR="00654CBB" w:rsidRPr="005C0B04">
              <w:t xml:space="preserve">ayment </w:t>
            </w:r>
            <w:r w:rsidR="004E4458">
              <w:t>I</w:t>
            </w:r>
            <w:r w:rsidR="00654CBB" w:rsidRPr="005C0B04">
              <w:t>nstruments  </w:t>
            </w:r>
          </w:p>
        </w:tc>
        <w:tc>
          <w:tcPr>
            <w:tcW w:w="0" w:type="pct"/>
            <w:hideMark/>
          </w:tcPr>
          <w:p w14:paraId="5D6638E3" w14:textId="7E60C514" w:rsidR="00654CBB" w:rsidRPr="00112425" w:rsidRDefault="00654CBB" w:rsidP="005C0B04">
            <w:pPr>
              <w:pStyle w:val="TableTextLeft"/>
              <w:cnfStyle w:val="000000100000" w:firstRow="0" w:lastRow="0" w:firstColumn="0" w:lastColumn="0" w:oddVBand="0" w:evenVBand="0" w:oddHBand="1" w:evenHBand="0" w:firstRowFirstColumn="0" w:firstRowLastColumn="0" w:lastRowFirstColumn="0" w:lastRowLastColumn="0"/>
              <w:rPr>
                <w:szCs w:val="18"/>
              </w:rPr>
            </w:pPr>
            <w:r w:rsidRPr="001A4F3E">
              <w:rPr>
                <w:szCs w:val="18"/>
              </w:rPr>
              <w:t xml:space="preserve">A personalised or individualised set of procedures that allows a payer to instruct </w:t>
            </w:r>
            <w:r>
              <w:rPr>
                <w:szCs w:val="18"/>
              </w:rPr>
              <w:t>an</w:t>
            </w:r>
            <w:r w:rsidRPr="001A4F3E">
              <w:rPr>
                <w:szCs w:val="18"/>
              </w:rPr>
              <w:t xml:space="preserve"> entity with which its </w:t>
            </w:r>
            <w:r w:rsidR="004335EB">
              <w:rPr>
                <w:szCs w:val="18"/>
              </w:rPr>
              <w:t>funds are</w:t>
            </w:r>
            <w:r w:rsidRPr="001A4F3E">
              <w:rPr>
                <w:szCs w:val="18"/>
              </w:rPr>
              <w:t xml:space="preserve"> held to initiate a transfer of funds to a payee.</w:t>
            </w:r>
          </w:p>
        </w:tc>
        <w:tc>
          <w:tcPr>
            <w:tcW w:w="0" w:type="pct"/>
            <w:hideMark/>
          </w:tcPr>
          <w:p w14:paraId="35A14045" w14:textId="737B2FCA" w:rsidR="00654CBB" w:rsidRDefault="00654CBB" w:rsidP="005C0B04">
            <w:pPr>
              <w:pStyle w:val="TableTextLeft"/>
              <w:cnfStyle w:val="000000100000" w:firstRow="0" w:lastRow="0" w:firstColumn="0" w:lastColumn="0" w:oddVBand="0" w:evenVBand="0" w:oddHBand="1" w:evenHBand="0" w:firstRowFirstColumn="0" w:firstRowLastColumn="0" w:lastRowFirstColumn="0" w:lastRowLastColumn="0"/>
              <w:rPr>
                <w:szCs w:val="18"/>
              </w:rPr>
            </w:pPr>
            <w:r w:rsidRPr="028FE4AF">
              <w:rPr>
                <w:szCs w:val="18"/>
              </w:rPr>
              <w:t>Issuers of digital and physical cards</w:t>
            </w:r>
            <w:r>
              <w:rPr>
                <w:szCs w:val="18"/>
              </w:rPr>
              <w:t xml:space="preserve"> (e.g. debit </w:t>
            </w:r>
            <w:r w:rsidR="00910F0A">
              <w:rPr>
                <w:szCs w:val="18"/>
              </w:rPr>
              <w:t xml:space="preserve">and credit </w:t>
            </w:r>
            <w:r>
              <w:rPr>
                <w:szCs w:val="18"/>
              </w:rPr>
              <w:t>cards</w:t>
            </w:r>
            <w:r w:rsidR="002606B5">
              <w:rPr>
                <w:szCs w:val="18"/>
              </w:rPr>
              <w:t>, Buy Now Pay Later cards</w:t>
            </w:r>
            <w:r w:rsidRPr="028FE4AF">
              <w:rPr>
                <w:szCs w:val="18"/>
              </w:rPr>
              <w:t>)</w:t>
            </w:r>
            <w:r>
              <w:rPr>
                <w:szCs w:val="18"/>
              </w:rPr>
              <w:t xml:space="preserve">, cheques. </w:t>
            </w:r>
          </w:p>
          <w:p w14:paraId="062B6ED0" w14:textId="77777777" w:rsidR="00654CBB" w:rsidRPr="00E233C0" w:rsidRDefault="00654CBB" w:rsidP="005C0B04">
            <w:pPr>
              <w:pStyle w:val="TableTextLeft"/>
              <w:cnfStyle w:val="000000100000" w:firstRow="0" w:lastRow="0" w:firstColumn="0" w:lastColumn="0" w:oddVBand="0" w:evenVBand="0" w:oddHBand="1" w:evenHBand="0" w:firstRowFirstColumn="0" w:firstRowLastColumn="0" w:lastRowFirstColumn="0" w:lastRowLastColumn="0"/>
            </w:pPr>
          </w:p>
        </w:tc>
      </w:tr>
      <w:tr w:rsidR="00654CBB" w:rsidRPr="000E0C65" w14:paraId="17E7887C" w14:textId="77777777" w:rsidTr="0076699D">
        <w:trPr>
          <w:trHeight w:val="495"/>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75AFE617" w14:textId="67B9694C" w:rsidR="00654CBB" w:rsidRPr="005C0B04" w:rsidRDefault="00654CBB" w:rsidP="005C0B04">
            <w:pPr>
              <w:pStyle w:val="TableTextLeft"/>
            </w:pPr>
            <w:r w:rsidRPr="005C0B04">
              <w:t xml:space="preserve">Payment </w:t>
            </w:r>
            <w:r w:rsidR="00DE7C26">
              <w:t>I</w:t>
            </w:r>
            <w:r w:rsidRPr="005C0B04">
              <w:t xml:space="preserve">nitiation </w:t>
            </w:r>
            <w:r w:rsidR="00DE7C26">
              <w:t>S</w:t>
            </w:r>
            <w:r w:rsidRPr="005C0B04">
              <w:t>ervices  </w:t>
            </w:r>
          </w:p>
        </w:tc>
        <w:tc>
          <w:tcPr>
            <w:tcW w:w="0" w:type="pct"/>
            <w:shd w:val="clear" w:color="auto" w:fill="FFFFFF" w:themeFill="background1"/>
          </w:tcPr>
          <w:p w14:paraId="34FE8A7B" w14:textId="2034CB77" w:rsidR="00654CBB" w:rsidRPr="009A0B24" w:rsidRDefault="00654CBB" w:rsidP="005C0B04">
            <w:pPr>
              <w:pStyle w:val="TableTextLeft"/>
              <w:cnfStyle w:val="000000000000" w:firstRow="0" w:lastRow="0" w:firstColumn="0" w:lastColumn="0" w:oddVBand="0" w:evenVBand="0" w:oddHBand="0" w:evenHBand="0" w:firstRowFirstColumn="0" w:firstRowLastColumn="0" w:lastRowFirstColumn="0" w:lastRowLastColumn="0"/>
              <w:rPr>
                <w:szCs w:val="18"/>
              </w:rPr>
            </w:pPr>
            <w:r w:rsidRPr="00C81A5A">
              <w:rPr>
                <w:szCs w:val="18"/>
              </w:rPr>
              <w:t xml:space="preserve">The initiation of payments from a payer to a payee by a third-party entity, at the request of a customer. The entity </w:t>
            </w:r>
            <w:r w:rsidR="00EE26B6">
              <w:rPr>
                <w:szCs w:val="18"/>
              </w:rPr>
              <w:t xml:space="preserve">initiating a </w:t>
            </w:r>
            <w:r w:rsidRPr="00C81A5A">
              <w:rPr>
                <w:szCs w:val="18"/>
              </w:rPr>
              <w:t xml:space="preserve">payment is a third party to the payment account where the payer’s funds are held. </w:t>
            </w:r>
          </w:p>
        </w:tc>
        <w:tc>
          <w:tcPr>
            <w:tcW w:w="0" w:type="pct"/>
            <w:shd w:val="clear" w:color="auto" w:fill="FFFFFF" w:themeFill="background1"/>
          </w:tcPr>
          <w:p w14:paraId="24136A73" w14:textId="65C0EC2C" w:rsidR="00654CBB" w:rsidRPr="00E233C0" w:rsidRDefault="00654CBB" w:rsidP="005C0B04">
            <w:pPr>
              <w:pStyle w:val="TableTextLeft"/>
              <w:cnfStyle w:val="000000000000" w:firstRow="0" w:lastRow="0" w:firstColumn="0" w:lastColumn="0" w:oddVBand="0" w:evenVBand="0" w:oddHBand="0" w:evenHBand="0" w:firstRowFirstColumn="0" w:firstRowLastColumn="0" w:lastRowFirstColumn="0" w:lastRowLastColumn="0"/>
              <w:rPr>
                <w:szCs w:val="18"/>
              </w:rPr>
            </w:pPr>
            <w:r>
              <w:rPr>
                <w:szCs w:val="18"/>
              </w:rPr>
              <w:t>PayTo services, recurring payments</w:t>
            </w:r>
            <w:r w:rsidR="007F3F94">
              <w:rPr>
                <w:szCs w:val="18"/>
              </w:rPr>
              <w:t xml:space="preserve"> initiated by a third party</w:t>
            </w:r>
            <w:r>
              <w:rPr>
                <w:szCs w:val="18"/>
              </w:rPr>
              <w:t>, direct debit or credit services.</w:t>
            </w:r>
          </w:p>
        </w:tc>
      </w:tr>
      <w:tr w:rsidR="00F52C62" w:rsidRPr="000E0C65" w14:paraId="72B1EBD0" w14:textId="77777777" w:rsidTr="006727B9">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0" w:type="pct"/>
          </w:tcPr>
          <w:p w14:paraId="0F98178F" w14:textId="0C1D7066" w:rsidR="00DC3D79" w:rsidRPr="005C0B04" w:rsidRDefault="00DC3D79" w:rsidP="00DC3D79">
            <w:pPr>
              <w:pStyle w:val="TableTextLeft"/>
            </w:pPr>
            <w:r w:rsidRPr="005C0B04">
              <w:t xml:space="preserve">Payment </w:t>
            </w:r>
            <w:r w:rsidR="004C0A57">
              <w:t>F</w:t>
            </w:r>
            <w:r w:rsidRPr="005C0B04">
              <w:t xml:space="preserve">acilitation </w:t>
            </w:r>
            <w:r w:rsidR="004C0A57">
              <w:t>S</w:t>
            </w:r>
            <w:r w:rsidRPr="005C0B04">
              <w:t xml:space="preserve">ervices </w:t>
            </w:r>
          </w:p>
        </w:tc>
        <w:tc>
          <w:tcPr>
            <w:tcW w:w="0" w:type="pct"/>
          </w:tcPr>
          <w:p w14:paraId="58CC7D8C" w14:textId="6C1B3A1E" w:rsidR="00DC3D79" w:rsidRPr="00C81A5A" w:rsidRDefault="00DC3D79" w:rsidP="00DC3D79">
            <w:pPr>
              <w:pStyle w:val="TableTextLeft"/>
              <w:cnfStyle w:val="000000100000" w:firstRow="0" w:lastRow="0" w:firstColumn="0" w:lastColumn="0" w:oddVBand="0" w:evenVBand="0" w:oddHBand="1" w:evenHBand="0" w:firstRowFirstColumn="0" w:firstRowLastColumn="0" w:lastRowFirstColumn="0" w:lastRowLastColumn="0"/>
              <w:rPr>
                <w:szCs w:val="18"/>
              </w:rPr>
            </w:pPr>
            <w:r>
              <w:rPr>
                <w:szCs w:val="18"/>
              </w:rPr>
              <w:t>The process of entering</w:t>
            </w:r>
            <w:r w:rsidRPr="00A267B0">
              <w:rPr>
                <w:szCs w:val="18"/>
              </w:rPr>
              <w:t xml:space="preserve"> into the possession of funds for the purpose of facilitating a transfer between a paye</w:t>
            </w:r>
            <w:r>
              <w:rPr>
                <w:szCs w:val="18"/>
              </w:rPr>
              <w:t>r</w:t>
            </w:r>
            <w:r w:rsidRPr="00A267B0">
              <w:rPr>
                <w:szCs w:val="18"/>
              </w:rPr>
              <w:t xml:space="preserve"> and paye</w:t>
            </w:r>
            <w:r>
              <w:rPr>
                <w:szCs w:val="18"/>
              </w:rPr>
              <w:t>e</w:t>
            </w:r>
            <w:r w:rsidRPr="00A267B0">
              <w:rPr>
                <w:szCs w:val="18"/>
              </w:rPr>
              <w:t xml:space="preserve">. This includes for the purpose of acquiring, aggregating, disbursing, or otherwise transferring of funds within Australia. </w:t>
            </w:r>
          </w:p>
        </w:tc>
        <w:tc>
          <w:tcPr>
            <w:tcW w:w="0" w:type="pct"/>
          </w:tcPr>
          <w:p w14:paraId="37F95155" w14:textId="6B9183FC" w:rsidR="00DC3D79" w:rsidRDefault="00DC3D79" w:rsidP="00DC3D79">
            <w:pPr>
              <w:pStyle w:val="TableTextLeft"/>
              <w:cnfStyle w:val="000000100000" w:firstRow="0" w:lastRow="0" w:firstColumn="0" w:lastColumn="0" w:oddVBand="0" w:evenVBand="0" w:oddHBand="1" w:evenHBand="0" w:firstRowFirstColumn="0" w:firstRowLastColumn="0" w:lastRowFirstColumn="0" w:lastRowLastColumn="0"/>
              <w:rPr>
                <w:szCs w:val="18"/>
              </w:rPr>
            </w:pPr>
            <w:r w:rsidRPr="00062AA9">
              <w:t>Merchant acquirers</w:t>
            </w:r>
            <w:r>
              <w:t>, p</w:t>
            </w:r>
            <w:r w:rsidRPr="00062AA9">
              <w:t>ayment facilitators and aggregators</w:t>
            </w:r>
            <w:r>
              <w:t>, c</w:t>
            </w:r>
            <w:r w:rsidRPr="00062AA9">
              <w:t>ertain marketplaces and platforms</w:t>
            </w:r>
            <w:r>
              <w:t>, p</w:t>
            </w:r>
            <w:r w:rsidRPr="00062AA9">
              <w:t>ayout providers</w:t>
            </w:r>
            <w:r>
              <w:t>, c</w:t>
            </w:r>
            <w:r w:rsidRPr="00062AA9">
              <w:t xml:space="preserve">ertain payment </w:t>
            </w:r>
            <w:r w:rsidRPr="00062AA9" w:rsidDel="00E53D56">
              <w:t>processors</w:t>
            </w:r>
            <w:r w:rsidDel="00E53D56">
              <w:t xml:space="preserve">, </w:t>
            </w:r>
            <w:r>
              <w:t>domestic money transfer service providers</w:t>
            </w:r>
            <w:r w:rsidDel="00544399">
              <w:t>.</w:t>
            </w:r>
          </w:p>
        </w:tc>
      </w:tr>
      <w:tr w:rsidR="00DC3D79" w:rsidRPr="000E0C65" w14:paraId="5DE257F6" w14:textId="77777777" w:rsidTr="0076699D">
        <w:trPr>
          <w:trHeight w:val="495"/>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79DF71EF" w14:textId="37981CC1" w:rsidR="00DC3D79" w:rsidRPr="005C0B04" w:rsidRDefault="00DC3D79" w:rsidP="00DC3D79">
            <w:pPr>
              <w:pStyle w:val="TableTextLeft"/>
            </w:pPr>
            <w:r w:rsidRPr="005C0B04">
              <w:t xml:space="preserve">Payment </w:t>
            </w:r>
            <w:r w:rsidR="005D44A3">
              <w:t>T</w:t>
            </w:r>
            <w:r w:rsidRPr="005C0B04">
              <w:t xml:space="preserve">echnology and </w:t>
            </w:r>
            <w:r w:rsidR="005D44A3">
              <w:t>E</w:t>
            </w:r>
            <w:r w:rsidRPr="005C0B04">
              <w:t xml:space="preserve">nablement </w:t>
            </w:r>
            <w:r w:rsidR="005D44A3">
              <w:t>S</w:t>
            </w:r>
            <w:r w:rsidRPr="005C0B04">
              <w:t>ervices</w:t>
            </w:r>
          </w:p>
        </w:tc>
        <w:tc>
          <w:tcPr>
            <w:tcW w:w="0" w:type="pct"/>
            <w:shd w:val="clear" w:color="auto" w:fill="FFFFFF" w:themeFill="background1"/>
          </w:tcPr>
          <w:p w14:paraId="0C22CE5F" w14:textId="25834980" w:rsidR="00DC3D79" w:rsidRPr="00C81A5A" w:rsidRDefault="00DC3D79" w:rsidP="00DC3D79">
            <w:pPr>
              <w:pStyle w:val="TableTextLeft"/>
              <w:cnfStyle w:val="000000000000" w:firstRow="0" w:lastRow="0" w:firstColumn="0" w:lastColumn="0" w:oddVBand="0" w:evenVBand="0" w:oddHBand="0" w:evenHBand="0" w:firstRowFirstColumn="0" w:firstRowLastColumn="0" w:lastRowFirstColumn="0" w:lastRowLastColumn="0"/>
              <w:rPr>
                <w:szCs w:val="18"/>
              </w:rPr>
            </w:pPr>
            <w:r>
              <w:rPr>
                <w:szCs w:val="18"/>
              </w:rPr>
              <w:t>P</w:t>
            </w:r>
            <w:r w:rsidRPr="002C6374">
              <w:rPr>
                <w:szCs w:val="18"/>
              </w:rPr>
              <w:t>ayment specific services provided by third parties that enable payments to be made. These services enable a transfer of funds to occur but do not enter into possession or control of the funds.</w:t>
            </w:r>
          </w:p>
        </w:tc>
        <w:tc>
          <w:tcPr>
            <w:tcW w:w="0" w:type="pct"/>
            <w:shd w:val="clear" w:color="auto" w:fill="FFFFFF" w:themeFill="background1"/>
          </w:tcPr>
          <w:p w14:paraId="38A76D7F" w14:textId="5F2CD130" w:rsidR="00DC3D79" w:rsidRDefault="00DC3D79" w:rsidP="00DC3D79">
            <w:pPr>
              <w:pStyle w:val="TableTextLeft"/>
              <w:cnfStyle w:val="000000000000" w:firstRow="0" w:lastRow="0" w:firstColumn="0" w:lastColumn="0" w:oddVBand="0" w:evenVBand="0" w:oddHBand="0" w:evenHBand="0" w:firstRowFirstColumn="0" w:firstRowLastColumn="0" w:lastRowFirstColumn="0" w:lastRowLastColumn="0"/>
            </w:pPr>
            <w:r>
              <w:t>Passthrough digital wallets, payment gateways</w:t>
            </w:r>
            <w:r w:rsidR="002D745F">
              <w:t>.</w:t>
            </w:r>
            <w:r>
              <w:t xml:space="preserve"> </w:t>
            </w:r>
          </w:p>
          <w:p w14:paraId="0A206B3F" w14:textId="77777777" w:rsidR="00DC3D79" w:rsidRPr="00410A8A" w:rsidRDefault="00DC3D79" w:rsidP="00DC3D79">
            <w:pPr>
              <w:pStyle w:val="TableTextLeft"/>
              <w:cnfStyle w:val="000000000000" w:firstRow="0" w:lastRow="0" w:firstColumn="0" w:lastColumn="0" w:oddVBand="0" w:evenVBand="0" w:oddHBand="0" w:evenHBand="0" w:firstRowFirstColumn="0" w:firstRowLastColumn="0" w:lastRowFirstColumn="0" w:lastRowLastColumn="0"/>
            </w:pPr>
          </w:p>
          <w:p w14:paraId="2E53BF65" w14:textId="77777777" w:rsidR="00DC3D79" w:rsidRDefault="00DC3D79" w:rsidP="00DC3D79">
            <w:pPr>
              <w:pStyle w:val="TableTextLeft"/>
              <w:cnfStyle w:val="000000000000" w:firstRow="0" w:lastRow="0" w:firstColumn="0" w:lastColumn="0" w:oddVBand="0" w:evenVBand="0" w:oddHBand="0" w:evenHBand="0" w:firstRowFirstColumn="0" w:firstRowLastColumn="0" w:lastRowFirstColumn="0" w:lastRowLastColumn="0"/>
              <w:rPr>
                <w:szCs w:val="18"/>
              </w:rPr>
            </w:pPr>
          </w:p>
        </w:tc>
      </w:tr>
      <w:tr w:rsidR="00F52C62" w:rsidRPr="000E0C65" w14:paraId="6E5E1B79" w14:textId="77777777" w:rsidTr="006727B9">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0" w:type="pct"/>
          </w:tcPr>
          <w:p w14:paraId="59C3027B" w14:textId="3DE35E9B" w:rsidR="00654CBB" w:rsidRPr="005C0B04" w:rsidRDefault="00654CBB" w:rsidP="005C0B04">
            <w:pPr>
              <w:pStyle w:val="TableTextLeft"/>
            </w:pPr>
            <w:r w:rsidRPr="005C0B04">
              <w:t>Cross</w:t>
            </w:r>
            <w:r w:rsidR="00DC0A93" w:rsidRPr="005C0B04">
              <w:t>-</w:t>
            </w:r>
            <w:r w:rsidR="00065908">
              <w:t>border</w:t>
            </w:r>
            <w:r w:rsidRPr="005C0B04">
              <w:t xml:space="preserve"> </w:t>
            </w:r>
            <w:r w:rsidR="005D44A3">
              <w:t>T</w:t>
            </w:r>
            <w:r w:rsidRPr="005C0B04">
              <w:t xml:space="preserve">ransfer </w:t>
            </w:r>
            <w:r w:rsidR="00145BC2">
              <w:t>S</w:t>
            </w:r>
            <w:r w:rsidRPr="005C0B04">
              <w:t>ervices </w:t>
            </w:r>
          </w:p>
          <w:p w14:paraId="29430406" w14:textId="77777777" w:rsidR="00654CBB" w:rsidRPr="005C0B04" w:rsidRDefault="00654CBB" w:rsidP="005C0B04">
            <w:pPr>
              <w:pStyle w:val="TableTextLeft"/>
            </w:pPr>
            <w:r w:rsidRPr="005C0B04">
              <w:t> </w:t>
            </w:r>
          </w:p>
        </w:tc>
        <w:tc>
          <w:tcPr>
            <w:tcW w:w="0" w:type="pct"/>
          </w:tcPr>
          <w:p w14:paraId="0AFE1DC5" w14:textId="2CCA335F" w:rsidR="00654CBB" w:rsidRPr="00CE6652" w:rsidRDefault="00752706" w:rsidP="005C0B04">
            <w:pPr>
              <w:pStyle w:val="TableTextLeft"/>
              <w:cnfStyle w:val="000000100000" w:firstRow="0" w:lastRow="0" w:firstColumn="0" w:lastColumn="0" w:oddVBand="0" w:evenVBand="0" w:oddHBand="1" w:evenHBand="0" w:firstRowFirstColumn="0" w:firstRowLastColumn="0" w:lastRowFirstColumn="0" w:lastRowLastColumn="0"/>
              <w:rPr>
                <w:rFonts w:cs="Calibri Light"/>
                <w:szCs w:val="18"/>
              </w:rPr>
            </w:pPr>
            <w:r w:rsidRPr="00CE6652">
              <w:rPr>
                <w:rFonts w:cs="Calibri Light"/>
                <w:szCs w:val="18"/>
              </w:rPr>
              <w:t>A service that transfers or enables the transfer of funds from Australia to a payee outside of Australia, and/or of funds from outside of Australia to a payee in Australia.</w:t>
            </w:r>
          </w:p>
        </w:tc>
        <w:tc>
          <w:tcPr>
            <w:tcW w:w="0" w:type="pct"/>
          </w:tcPr>
          <w:p w14:paraId="51C8BBE6" w14:textId="79A62FD5" w:rsidR="00654CBB" w:rsidRPr="00410A8A" w:rsidRDefault="00654CBB" w:rsidP="005C0B04">
            <w:pPr>
              <w:pStyle w:val="TableTextLeft"/>
              <w:cnfStyle w:val="000000100000" w:firstRow="0" w:lastRow="0" w:firstColumn="0" w:lastColumn="0" w:oddVBand="0" w:evenVBand="0" w:oddHBand="1" w:evenHBand="0" w:firstRowFirstColumn="0" w:firstRowLastColumn="0" w:lastRowFirstColumn="0" w:lastRowLastColumn="0"/>
            </w:pPr>
            <w:r>
              <w:t xml:space="preserve">Certain remittance providers, </w:t>
            </w:r>
            <w:r w:rsidR="003717DA">
              <w:t>or</w:t>
            </w:r>
            <w:r>
              <w:t xml:space="preserve"> international </w:t>
            </w:r>
            <w:r w:rsidR="003717DA">
              <w:t xml:space="preserve">money </w:t>
            </w:r>
            <w:r>
              <w:t xml:space="preserve">transfer </w:t>
            </w:r>
            <w:r w:rsidR="003717DA">
              <w:t>service providers.</w:t>
            </w:r>
            <w:r>
              <w:t xml:space="preserve">  </w:t>
            </w:r>
          </w:p>
          <w:p w14:paraId="1CDD3C46" w14:textId="4588854A" w:rsidR="00654CBB" w:rsidRPr="00E233C0" w:rsidRDefault="00654CBB" w:rsidP="005C0B04">
            <w:pPr>
              <w:pStyle w:val="TableTextLeft"/>
              <w:cnfStyle w:val="000000100000" w:firstRow="0" w:lastRow="0" w:firstColumn="0" w:lastColumn="0" w:oddVBand="0" w:evenVBand="0" w:oddHBand="1" w:evenHBand="0" w:firstRowFirstColumn="0" w:firstRowLastColumn="0" w:lastRowFirstColumn="0" w:lastRowLastColumn="0"/>
              <w:rPr>
                <w:szCs w:val="18"/>
              </w:rPr>
            </w:pPr>
          </w:p>
        </w:tc>
      </w:tr>
    </w:tbl>
    <w:p w14:paraId="2B50ED31" w14:textId="77777777" w:rsidR="00654CBB" w:rsidRDefault="00654CBB" w:rsidP="00E42AA2"/>
    <w:p w14:paraId="391E85A1" w14:textId="77777777" w:rsidR="00A33B5D" w:rsidRDefault="00A33B5D" w:rsidP="00E42AA2">
      <w:pPr>
        <w:rPr>
          <w:rFonts w:ascii="Calibri" w:hAnsi="Calibri" w:cs="Arial"/>
          <w:iCs/>
          <w:color w:val="2C384A"/>
          <w:kern w:val="32"/>
          <w:sz w:val="36"/>
          <w:szCs w:val="28"/>
        </w:rPr>
      </w:pPr>
      <w:bookmarkStart w:id="37" w:name="_Toc149230903"/>
      <w:r>
        <w:br w:type="page"/>
      </w:r>
    </w:p>
    <w:p w14:paraId="1F47F303" w14:textId="0A4B57BD" w:rsidR="004B45DB" w:rsidRDefault="0036666A" w:rsidP="006377BA">
      <w:pPr>
        <w:pStyle w:val="Heading2"/>
      </w:pPr>
      <w:bookmarkStart w:id="38" w:name="_Toc152847625"/>
      <w:r>
        <w:lastRenderedPageBreak/>
        <w:t>U</w:t>
      </w:r>
      <w:r w:rsidR="00AF040A" w:rsidRPr="00194368">
        <w:t>pdated</w:t>
      </w:r>
      <w:r w:rsidR="00AF040A">
        <w:t xml:space="preserve"> </w:t>
      </w:r>
      <w:r w:rsidR="00194368">
        <w:t xml:space="preserve">payment </w:t>
      </w:r>
      <w:r w:rsidR="00AF040A">
        <w:t>functions</w:t>
      </w:r>
      <w:bookmarkEnd w:id="37"/>
      <w:bookmarkEnd w:id="38"/>
      <w:r w:rsidR="00AF040A">
        <w:t xml:space="preserve"> </w:t>
      </w:r>
    </w:p>
    <w:p w14:paraId="342FE713" w14:textId="1A9A564C" w:rsidR="008B3E2F" w:rsidRDefault="00A632C1" w:rsidP="00AB3D0E">
      <w:pPr>
        <w:pStyle w:val="Heading3"/>
      </w:pPr>
      <w:bookmarkStart w:id="39" w:name="_Ref151640204"/>
      <w:r>
        <w:t>Stored-</w:t>
      </w:r>
      <w:r w:rsidR="004F0C02">
        <w:t>value</w:t>
      </w:r>
      <w:r>
        <w:t xml:space="preserve"> </w:t>
      </w:r>
      <w:r w:rsidR="000C25A7">
        <w:t>F</w:t>
      </w:r>
      <w:r>
        <w:t>acilities (SVFs)</w:t>
      </w:r>
      <w:bookmarkEnd w:id="39"/>
    </w:p>
    <w:p w14:paraId="2CC09666" w14:textId="77777777" w:rsidR="008B3E2F" w:rsidRDefault="008B3E2F" w:rsidP="00A51490">
      <w:r>
        <w:t>Submissions were broadly supportive of a standalone SVF payments function. However, further clarity on various aspects of the definition was requested. Key themes are set out in this section.</w:t>
      </w:r>
    </w:p>
    <w:p w14:paraId="7356A05E" w14:textId="5F133C7C" w:rsidR="008B3E2F" w:rsidRDefault="008B3E2F" w:rsidP="00EE5400">
      <w:pPr>
        <w:pStyle w:val="Heading4"/>
        <w:jc w:val="both"/>
      </w:pPr>
      <w:r w:rsidRPr="00565F1C">
        <w:t>Distinguishing</w:t>
      </w:r>
      <w:r>
        <w:t xml:space="preserve"> SVFs from </w:t>
      </w:r>
      <w:r w:rsidR="00C339F9">
        <w:t xml:space="preserve">banking business </w:t>
      </w:r>
    </w:p>
    <w:p w14:paraId="25A43C52" w14:textId="7ABF61D9" w:rsidR="008B3E2F" w:rsidRDefault="008B3E2F" w:rsidP="00A51490">
      <w:r>
        <w:t xml:space="preserve">Stakeholders requested that the regulatory approach to SVFs be clearly distinguished from bank deposit-taking activities. Reference was made to the </w:t>
      </w:r>
      <w:r w:rsidR="00AC50CE">
        <w:t>approach in the</w:t>
      </w:r>
      <w:r>
        <w:t xml:space="preserve"> </w:t>
      </w:r>
      <w:r w:rsidR="00384C4B">
        <w:t>United Kingdom (</w:t>
      </w:r>
      <w:r>
        <w:t>UK</w:t>
      </w:r>
      <w:r w:rsidR="00384C4B">
        <w:t>)</w:t>
      </w:r>
      <w:r>
        <w:t xml:space="preserve"> where a clear distinction is made between </w:t>
      </w:r>
      <w:r w:rsidR="001B7FE1">
        <w:t>e</w:t>
      </w:r>
      <w:r>
        <w:t>-</w:t>
      </w:r>
      <w:r w:rsidR="00607FB8">
        <w:t>m</w:t>
      </w:r>
      <w:r>
        <w:t>oney and deposit-taking activity, in view of the specific character of e</w:t>
      </w:r>
      <w:r w:rsidR="00D31DCA">
        <w:noBreakHyphen/>
      </w:r>
      <w:r>
        <w:t>money as an electronic surrogate for coins and banknotes, which is to be used for making payments, usually for a limited amount and not as a means of savings.</w:t>
      </w:r>
      <w:r w:rsidR="004D487D">
        <w:rPr>
          <w:rStyle w:val="FootnoteReference"/>
        </w:rPr>
        <w:footnoteReference w:id="4"/>
      </w:r>
      <w:r>
        <w:t xml:space="preserve"> </w:t>
      </w:r>
    </w:p>
    <w:p w14:paraId="182C12A4" w14:textId="2355B4FE" w:rsidR="00223311" w:rsidRPr="00AA345F" w:rsidRDefault="00CC54AF" w:rsidP="00A51490">
      <w:r>
        <w:t xml:space="preserve">Two </w:t>
      </w:r>
      <w:r w:rsidR="00280153">
        <w:t>o</w:t>
      </w:r>
      <w:r w:rsidR="00223311">
        <w:t xml:space="preserve">ptions </w:t>
      </w:r>
      <w:r w:rsidR="00FC4383">
        <w:t xml:space="preserve">for the treatment of SVFs </w:t>
      </w:r>
      <w:r w:rsidR="00B2790F">
        <w:t>are outline</w:t>
      </w:r>
      <w:r w:rsidR="00C566E4">
        <w:t>d</w:t>
      </w:r>
      <w:r w:rsidR="00486E2E">
        <w:t xml:space="preserve"> </w:t>
      </w:r>
      <w:r w:rsidR="00FB7A01">
        <w:t>below</w:t>
      </w:r>
      <w:r w:rsidR="00223311">
        <w:t>:</w:t>
      </w:r>
    </w:p>
    <w:p w14:paraId="59900C83" w14:textId="0CAEB37A" w:rsidR="00800B3D" w:rsidRDefault="00AC4249" w:rsidP="00A51490">
      <w:pPr>
        <w:pStyle w:val="OneLevelNumberedParagraph"/>
        <w:numPr>
          <w:ilvl w:val="0"/>
          <w:numId w:val="114"/>
        </w:numPr>
      </w:pPr>
      <w:r w:rsidRPr="00FE02F7">
        <w:rPr>
          <w:b/>
          <w:bCs/>
        </w:rPr>
        <w:t>Separate</w:t>
      </w:r>
      <w:r w:rsidR="008B3E2F" w:rsidRPr="00FE02F7">
        <w:rPr>
          <w:b/>
        </w:rPr>
        <w:t xml:space="preserve"> the definition of SVFs </w:t>
      </w:r>
      <w:r w:rsidR="008A3FF8" w:rsidRPr="00FE02F7">
        <w:rPr>
          <w:b/>
          <w:bCs/>
        </w:rPr>
        <w:t>from</w:t>
      </w:r>
      <w:r w:rsidR="008B3E2F" w:rsidRPr="00FE02F7" w:rsidDel="00DA1F02">
        <w:rPr>
          <w:b/>
        </w:rPr>
        <w:t xml:space="preserve"> </w:t>
      </w:r>
      <w:r w:rsidR="00DA1F02" w:rsidRPr="00FE02F7">
        <w:rPr>
          <w:b/>
        </w:rPr>
        <w:t>‘</w:t>
      </w:r>
      <w:r w:rsidR="008B3E2F" w:rsidRPr="00FE02F7">
        <w:rPr>
          <w:b/>
        </w:rPr>
        <w:t>banking business</w:t>
      </w:r>
      <w:r w:rsidR="00DA1F02" w:rsidRPr="00FE02F7">
        <w:rPr>
          <w:b/>
        </w:rPr>
        <w:t>’</w:t>
      </w:r>
      <w:r w:rsidR="00D90EB7">
        <w:rPr>
          <w:b/>
          <w:bCs/>
        </w:rPr>
        <w:t xml:space="preserve"> (preferred approach)</w:t>
      </w:r>
      <w:r w:rsidR="008B3E2F">
        <w:t xml:space="preserve">. Currently, </w:t>
      </w:r>
      <w:r w:rsidR="00FD73A8">
        <w:t>Purchased Payment Facilities (</w:t>
      </w:r>
      <w:r w:rsidR="008B3E2F">
        <w:t>PPFs</w:t>
      </w:r>
      <w:r w:rsidR="00FD73A8">
        <w:t>)</w:t>
      </w:r>
      <w:r w:rsidR="008B3E2F">
        <w:t xml:space="preserve"> are considered to</w:t>
      </w:r>
      <w:r w:rsidR="00DA54B8">
        <w:t xml:space="preserve"> be a special class of </w:t>
      </w:r>
      <w:r w:rsidR="00F0669E">
        <w:t xml:space="preserve">authorised </w:t>
      </w:r>
      <w:r w:rsidR="002F12D0">
        <w:t>deposit</w:t>
      </w:r>
      <w:r w:rsidR="00FF2D8E">
        <w:noBreakHyphen/>
      </w:r>
      <w:r w:rsidR="002F12D0">
        <w:t>taking institution</w:t>
      </w:r>
      <w:r w:rsidR="005B29B3">
        <w:t>s</w:t>
      </w:r>
      <w:r w:rsidR="002F12D0">
        <w:t xml:space="preserve"> (</w:t>
      </w:r>
      <w:r w:rsidR="00DA54B8">
        <w:t>ADIs</w:t>
      </w:r>
      <w:r w:rsidR="005B29B3">
        <w:t>)</w:t>
      </w:r>
      <w:r w:rsidR="00DA54B8">
        <w:t xml:space="preserve"> that</w:t>
      </w:r>
      <w:r w:rsidR="008B3E2F">
        <w:t xml:space="preserve"> undertake ‘banking business’</w:t>
      </w:r>
      <w:r w:rsidR="00256424">
        <w:t>.</w:t>
      </w:r>
      <w:r w:rsidR="008B3E2F" w:rsidRPr="00B80DDE">
        <w:rPr>
          <w:vertAlign w:val="superscript"/>
        </w:rPr>
        <w:footnoteReference w:id="5"/>
      </w:r>
      <w:r w:rsidR="008B3E2F" w:rsidRPr="00973EE6">
        <w:t xml:space="preserve"> </w:t>
      </w:r>
      <w:r w:rsidR="00F77D7D">
        <w:t xml:space="preserve">This </w:t>
      </w:r>
      <w:r w:rsidR="00C96B58">
        <w:t xml:space="preserve">preferred </w:t>
      </w:r>
      <w:r w:rsidR="00F77D7D">
        <w:t xml:space="preserve">approach </w:t>
      </w:r>
      <w:r w:rsidR="00C96B58">
        <w:t xml:space="preserve">will </w:t>
      </w:r>
      <w:r w:rsidR="00577D5D">
        <w:t>require repealing</w:t>
      </w:r>
      <w:r w:rsidR="00F77D7D">
        <w:t xml:space="preserve"> </w:t>
      </w:r>
      <w:r w:rsidR="008B3E2F" w:rsidRPr="00973EE6">
        <w:t>the</w:t>
      </w:r>
      <w:r w:rsidR="00F77D7D">
        <w:t xml:space="preserve"> current</w:t>
      </w:r>
      <w:r w:rsidR="008B3E2F" w:rsidRPr="00973EE6">
        <w:t xml:space="preserve"> PPF definition and </w:t>
      </w:r>
      <w:r w:rsidR="00BA4F8A">
        <w:t>defining</w:t>
      </w:r>
      <w:r w:rsidR="00F77D7D" w:rsidRPr="00973EE6">
        <w:t xml:space="preserve"> </w:t>
      </w:r>
      <w:r w:rsidR="008B3E2F" w:rsidRPr="00973EE6">
        <w:t>SVF</w:t>
      </w:r>
      <w:r w:rsidR="00BA4F8A">
        <w:t>s</w:t>
      </w:r>
      <w:r w:rsidR="008B3E2F" w:rsidRPr="00973EE6">
        <w:t xml:space="preserve"> as a stand-alone class of regulated entit</w:t>
      </w:r>
      <w:r w:rsidR="003C5A07">
        <w:t>ies</w:t>
      </w:r>
      <w:r w:rsidR="008B3E2F" w:rsidRPr="00973EE6">
        <w:t xml:space="preserve">. </w:t>
      </w:r>
      <w:r w:rsidR="008C5705">
        <w:t>T</w:t>
      </w:r>
      <w:r w:rsidR="00CF68FA" w:rsidRPr="00CF68FA">
        <w:t>o prevent regulatory arbitrage</w:t>
      </w:r>
      <w:r w:rsidR="00C15EF4">
        <w:t>,</w:t>
      </w:r>
      <w:r w:rsidR="00CF68FA" w:rsidRPr="00CF68FA">
        <w:t xml:space="preserve"> and reflect that SVFs are not equivalent to banking business, SVFs will be </w:t>
      </w:r>
      <w:r w:rsidR="00AB446E">
        <w:t>prohibited from</w:t>
      </w:r>
      <w:r w:rsidR="00CF68FA" w:rsidRPr="00CF68FA">
        <w:t xml:space="preserve"> paying interest on stored funds</w:t>
      </w:r>
      <w:r w:rsidR="00945522">
        <w:t xml:space="preserve"> (see </w:t>
      </w:r>
      <w:r w:rsidR="003F7EA7" w:rsidDel="004659DA">
        <w:rPr>
          <w:b/>
        </w:rPr>
        <w:t>S</w:t>
      </w:r>
      <w:r w:rsidR="003F7EA7" w:rsidRPr="000365A0">
        <w:rPr>
          <w:b/>
        </w:rPr>
        <w:t xml:space="preserve">ection </w:t>
      </w:r>
      <w:r w:rsidR="00104954">
        <w:rPr>
          <w:b/>
        </w:rPr>
        <w:t>6.3</w:t>
      </w:r>
      <w:r w:rsidR="006F280A">
        <w:t>)</w:t>
      </w:r>
      <w:r w:rsidR="00CF68FA" w:rsidRPr="00CF68FA">
        <w:t>.</w:t>
      </w:r>
    </w:p>
    <w:p w14:paraId="1389ADEE" w14:textId="123013B2" w:rsidR="00FA68BF" w:rsidRPr="00FE02F7" w:rsidRDefault="00FA68BF" w:rsidP="00A51490">
      <w:pPr>
        <w:pStyle w:val="OneLevelNumberedParagraph"/>
      </w:pPr>
      <w:r w:rsidRPr="00FE02F7">
        <w:rPr>
          <w:b/>
        </w:rPr>
        <w:t xml:space="preserve">Continue status quo </w:t>
      </w:r>
      <w:r w:rsidR="005E12D3" w:rsidRPr="00FE02F7">
        <w:rPr>
          <w:b/>
        </w:rPr>
        <w:t>approach</w:t>
      </w:r>
      <w:r w:rsidR="00DA1F02" w:rsidRPr="0054002B">
        <w:t>.</w:t>
      </w:r>
      <w:r w:rsidRPr="00FE02F7">
        <w:t xml:space="preserve"> SVFs to </w:t>
      </w:r>
      <w:r w:rsidR="00DC7DF7">
        <w:t>remain</w:t>
      </w:r>
      <w:r w:rsidRPr="00FE02F7">
        <w:t xml:space="preserve"> a </w:t>
      </w:r>
      <w:r w:rsidR="00574766">
        <w:t>special class of ADIs</w:t>
      </w:r>
      <w:r w:rsidRPr="00FE02F7">
        <w:t xml:space="preserve"> </w:t>
      </w:r>
      <w:r w:rsidR="00B33EE6">
        <w:t xml:space="preserve">that undertake ‘banking business’ </w:t>
      </w:r>
      <w:r w:rsidR="009A6CBF">
        <w:t>as is currently the case for PPFs</w:t>
      </w:r>
      <w:r w:rsidRPr="00FE02F7">
        <w:t xml:space="preserve">. </w:t>
      </w:r>
    </w:p>
    <w:p w14:paraId="4B3AA85A" w14:textId="434E3D3E" w:rsidR="0052798D" w:rsidRPr="00A51490" w:rsidRDefault="00DA1F02" w:rsidP="00A51490">
      <w:pPr>
        <w:rPr>
          <w:b/>
        </w:rPr>
      </w:pPr>
      <w:r>
        <w:t>Feedback is welcome on the above</w:t>
      </w:r>
      <w:r w:rsidR="00EE193C">
        <w:t xml:space="preserve"> options, including any</w:t>
      </w:r>
      <w:r w:rsidR="00D60D27">
        <w:t xml:space="preserve"> </w:t>
      </w:r>
      <w:r w:rsidR="00D60D27" w:rsidRPr="00F1397A">
        <w:t xml:space="preserve">unintended consequences </w:t>
      </w:r>
      <w:r w:rsidR="00EE193C">
        <w:t>that may arise</w:t>
      </w:r>
      <w:r w:rsidR="00D60D27" w:rsidRPr="00F1397A">
        <w:t xml:space="preserve">. </w:t>
      </w:r>
      <w:r w:rsidR="00C72D1E" w:rsidRPr="00C72D1E">
        <w:t>PPF</w:t>
      </w:r>
      <w:r w:rsidR="00CF5182">
        <w:t xml:space="preserve"> product</w:t>
      </w:r>
      <w:r w:rsidR="00C72D1E" w:rsidRPr="00C72D1E">
        <w:t>s are</w:t>
      </w:r>
      <w:r w:rsidR="00C72D1E" w:rsidRPr="00A51490">
        <w:t xml:space="preserve"> </w:t>
      </w:r>
      <w:r w:rsidR="004C3576">
        <w:t>currently</w:t>
      </w:r>
      <w:r w:rsidR="00C72D1E" w:rsidRPr="00C72D1E">
        <w:t xml:space="preserve"> input taxed under the </w:t>
      </w:r>
      <w:r w:rsidR="00FE5CC5">
        <w:t>Goods and Services Tax (</w:t>
      </w:r>
      <w:r w:rsidR="00C72D1E" w:rsidRPr="00C72D1E">
        <w:t>GST</w:t>
      </w:r>
      <w:r w:rsidR="00FE5CC5">
        <w:t>)</w:t>
      </w:r>
      <w:r w:rsidR="00C72D1E" w:rsidRPr="00C72D1E">
        <w:t xml:space="preserve"> framework</w:t>
      </w:r>
      <w:r w:rsidR="008F6637">
        <w:t xml:space="preserve">; </w:t>
      </w:r>
      <w:r w:rsidR="00B83B58">
        <w:t xml:space="preserve">i.e. </w:t>
      </w:r>
      <w:r w:rsidR="002F5EC2">
        <w:t xml:space="preserve">businesses do not charge customers </w:t>
      </w:r>
      <w:r w:rsidR="002F5EC2" w:rsidRPr="00A51490">
        <w:t>GST</w:t>
      </w:r>
      <w:r w:rsidR="00C72D1E" w:rsidRPr="00A51490">
        <w:t>.</w:t>
      </w:r>
      <w:r w:rsidR="00C72D1E" w:rsidRPr="00C72D1E">
        <w:t xml:space="preserve"> One potential impact of option 1 may include the classification of SVF products as non-financial supplies under the GST regulation</w:t>
      </w:r>
      <w:r w:rsidR="00187321">
        <w:t>s</w:t>
      </w:r>
      <w:r w:rsidR="00C72D1E" w:rsidRPr="00C72D1E">
        <w:t>, so that all SVF products are subject to GST.</w:t>
      </w:r>
      <w:r w:rsidR="00C72D1E" w:rsidRPr="00A51490">
        <w:rPr>
          <w:vertAlign w:val="superscript"/>
        </w:rPr>
        <w:footnoteReference w:id="6"/>
      </w:r>
      <w:r w:rsidR="00C72D1E">
        <w:t xml:space="preserve"> </w:t>
      </w:r>
      <w:r w:rsidR="000A4C07">
        <w:t>A</w:t>
      </w:r>
      <w:r w:rsidR="00D60D27" w:rsidRPr="00F1397A">
        <w:t xml:space="preserve">ny potential changes to the GST base will need to be subject to further consultation and approval by </w:t>
      </w:r>
      <w:r w:rsidR="00D60D27" w:rsidRPr="00A51490">
        <w:t>state</w:t>
      </w:r>
      <w:r w:rsidR="00D60D27" w:rsidRPr="00F1397A">
        <w:t xml:space="preserve"> and </w:t>
      </w:r>
      <w:r w:rsidR="00D60D27" w:rsidRPr="00A51490">
        <w:t>territor</w:t>
      </w:r>
      <w:r w:rsidR="00F0430C" w:rsidRPr="00A51490">
        <w:t>y</w:t>
      </w:r>
      <w:r w:rsidR="005E56AA">
        <w:t xml:space="preserve"> governments</w:t>
      </w:r>
      <w:r w:rsidR="00D60D27" w:rsidRPr="00F1397A">
        <w:t>.</w:t>
      </w:r>
    </w:p>
    <w:tbl>
      <w:tblPr>
        <w:tblStyle w:val="TableGrid"/>
        <w:tblW w:w="0" w:type="auto"/>
        <w:tblLook w:val="04A0" w:firstRow="1" w:lastRow="0" w:firstColumn="1" w:lastColumn="0" w:noHBand="0" w:noVBand="1"/>
      </w:tblPr>
      <w:tblGrid>
        <w:gridCol w:w="9070"/>
      </w:tblGrid>
      <w:tr w:rsidR="00E06BA2" w14:paraId="1C3CF136" w14:textId="77777777" w:rsidTr="003E3A84">
        <w:trPr>
          <w:cnfStyle w:val="100000000000" w:firstRow="1" w:lastRow="0" w:firstColumn="0" w:lastColumn="0" w:oddVBand="0" w:evenVBand="0" w:oddHBand="0" w:evenHBand="0" w:firstRowFirstColumn="0" w:firstRowLastColumn="0" w:lastRowFirstColumn="0" w:lastRowLastColumn="0"/>
        </w:trPr>
        <w:tc>
          <w:tcPr>
            <w:tcW w:w="9070" w:type="dxa"/>
          </w:tcPr>
          <w:p w14:paraId="6ABEE69C" w14:textId="35B8AF0F" w:rsidR="00E06BA2" w:rsidRPr="004B367A" w:rsidRDefault="00E06BA2" w:rsidP="009E1E51">
            <w:pPr>
              <w:pStyle w:val="BoxHeading"/>
            </w:pPr>
            <w:bookmarkStart w:id="40" w:name="_Hlk149590937"/>
            <w:r w:rsidRPr="00464A2E">
              <w:rPr>
                <w:b/>
              </w:rPr>
              <w:t>Consultation question</w:t>
            </w:r>
          </w:p>
          <w:p w14:paraId="3E3F44BE" w14:textId="2CEC990D" w:rsidR="00E06BA2" w:rsidRPr="001D123F" w:rsidRDefault="00B262A9" w:rsidP="001D123F">
            <w:pPr>
              <w:pStyle w:val="Consultationquestions"/>
              <w:numPr>
                <w:ilvl w:val="0"/>
                <w:numId w:val="100"/>
              </w:numPr>
            </w:pPr>
            <w:r w:rsidRPr="00B262A9">
              <w:t xml:space="preserve">Feedback is welcome on the proposed approach to distinguish SVF products from </w:t>
            </w:r>
            <w:r w:rsidR="00800ACE">
              <w:t>banking business</w:t>
            </w:r>
            <w:r w:rsidRPr="00B262A9">
              <w:t>.</w:t>
            </w:r>
            <w:r w:rsidR="00CA5DE7" w:rsidRPr="001D123F">
              <w:t xml:space="preserve"> </w:t>
            </w:r>
            <w:r w:rsidR="00FB701D">
              <w:t>Are</w:t>
            </w:r>
            <w:r w:rsidR="00D6134F" w:rsidRPr="00BA2D3E">
              <w:t xml:space="preserve"> there are any unintended consequences, </w:t>
            </w:r>
            <w:r w:rsidR="00CA20AE" w:rsidRPr="00CA20AE">
              <w:t>and</w:t>
            </w:r>
            <w:r w:rsidR="00D6134F" w:rsidRPr="00CA20AE">
              <w:t xml:space="preserve"> </w:t>
            </w:r>
            <w:r w:rsidR="005E7D50" w:rsidRPr="00BA2D3E">
              <w:t xml:space="preserve">are </w:t>
            </w:r>
            <w:r w:rsidR="00900A67" w:rsidRPr="00BA2D3E">
              <w:t xml:space="preserve">there </w:t>
            </w:r>
            <w:r w:rsidR="005E7D50" w:rsidRPr="00BA2D3E">
              <w:t>suggestions on how to mitigate those?</w:t>
            </w:r>
            <w:r w:rsidR="00FD48D5" w:rsidRPr="00BA2D3E">
              <w:t xml:space="preserve"> </w:t>
            </w:r>
            <w:r w:rsidR="00900A67" w:rsidRPr="00BA2D3E">
              <w:t xml:space="preserve"> </w:t>
            </w:r>
          </w:p>
        </w:tc>
      </w:tr>
    </w:tbl>
    <w:bookmarkEnd w:id="40"/>
    <w:p w14:paraId="4BDD90DE" w14:textId="77777777" w:rsidR="008B3E2F" w:rsidRDefault="008B3E2F" w:rsidP="00EE5400">
      <w:pPr>
        <w:pStyle w:val="Heading4"/>
        <w:jc w:val="both"/>
      </w:pPr>
      <w:r>
        <w:t>The concept of e-money</w:t>
      </w:r>
    </w:p>
    <w:p w14:paraId="0E0B64E6" w14:textId="12633B6C" w:rsidR="008B3E2F" w:rsidRDefault="008B3E2F" w:rsidP="00A51490">
      <w:r>
        <w:t xml:space="preserve">A small number of submissions noted that the term ‘SVF’ is now out of step with overseas regulatory frameworks and that ‘e-money institutions’ is the more contemporary term that better reflects the nature of the function and risks. </w:t>
      </w:r>
      <w:r w:rsidR="002220D3">
        <w:t>Some stakeholders</w:t>
      </w:r>
      <w:r>
        <w:t xml:space="preserve"> </w:t>
      </w:r>
      <w:r w:rsidR="002220D3">
        <w:t xml:space="preserve">proposed </w:t>
      </w:r>
      <w:r>
        <w:t xml:space="preserve">that the SVF definition be amended to </w:t>
      </w:r>
      <w:r>
        <w:lastRenderedPageBreak/>
        <w:t>more clearly reflect the function and purpose of a facility for making payments</w:t>
      </w:r>
      <w:r w:rsidR="00224667">
        <w:t xml:space="preserve">, </w:t>
      </w:r>
      <w:r w:rsidR="00642E16">
        <w:t>by</w:t>
      </w:r>
      <w:r w:rsidR="00791DDE">
        <w:t xml:space="preserve"> </w:t>
      </w:r>
      <w:r w:rsidR="00B0616C">
        <w:t xml:space="preserve">tying the definition to </w:t>
      </w:r>
      <w:r w:rsidR="00791DDE">
        <w:t>funds held</w:t>
      </w:r>
      <w:r w:rsidR="00702342">
        <w:t xml:space="preserve"> or using an ‘e-money’ concept</w:t>
      </w:r>
      <w:r>
        <w:t xml:space="preserve">. </w:t>
      </w:r>
    </w:p>
    <w:p w14:paraId="662A93A2" w14:textId="449C4C93" w:rsidR="008B3E2F" w:rsidRDefault="008B3E2F" w:rsidP="00A51490">
      <w:r>
        <w:t xml:space="preserve">E-money is used in a number of jurisdictions </w:t>
      </w:r>
      <w:r w:rsidR="00D53635">
        <w:t xml:space="preserve">such as the </w:t>
      </w:r>
      <w:r>
        <w:t>E</w:t>
      </w:r>
      <w:r w:rsidR="00F50011">
        <w:t xml:space="preserve">uropean </w:t>
      </w:r>
      <w:r>
        <w:t>U</w:t>
      </w:r>
      <w:r w:rsidR="00F50011">
        <w:t>nion</w:t>
      </w:r>
      <w:r w:rsidR="00D53635">
        <w:t xml:space="preserve"> (EU)</w:t>
      </w:r>
      <w:r>
        <w:t xml:space="preserve">, </w:t>
      </w:r>
      <w:r w:rsidR="00421EEC">
        <w:t xml:space="preserve">the </w:t>
      </w:r>
      <w:r>
        <w:t>UK</w:t>
      </w:r>
      <w:r w:rsidR="00D53635">
        <w:t xml:space="preserve"> and</w:t>
      </w:r>
      <w:r>
        <w:t xml:space="preserve"> Singapore. However,</w:t>
      </w:r>
      <w:r w:rsidDel="000E583C">
        <w:t xml:space="preserve"> </w:t>
      </w:r>
      <w:r>
        <w:t>the payments regulatory frameworks</w:t>
      </w:r>
      <w:r w:rsidR="00A44180">
        <w:t xml:space="preserve"> in the EU and UK</w:t>
      </w:r>
      <w:r w:rsidR="00A44180" w:rsidRPr="00A44180">
        <w:t xml:space="preserve"> </w:t>
      </w:r>
      <w:r>
        <w:t xml:space="preserve">are </w:t>
      </w:r>
      <w:r w:rsidR="00065592">
        <w:t xml:space="preserve">subject to ongoing </w:t>
      </w:r>
      <w:r w:rsidR="003D4D4A">
        <w:t>review</w:t>
      </w:r>
      <w:r>
        <w:t xml:space="preserve"> and the interactions between the ‘e-money’ framework and other payments functions have been cited as an area of ambiguity and complexity.</w:t>
      </w:r>
      <w:r w:rsidRPr="009006C0">
        <w:rPr>
          <w:vertAlign w:val="superscript"/>
        </w:rPr>
        <w:footnoteReference w:id="7"/>
      </w:r>
      <w:r>
        <w:t xml:space="preserve"> </w:t>
      </w:r>
    </w:p>
    <w:p w14:paraId="0A6EA404" w14:textId="6FE096DB" w:rsidR="008B3E2F" w:rsidRDefault="00B50925" w:rsidP="00A51490">
      <w:r>
        <w:t>Defining</w:t>
      </w:r>
      <w:r w:rsidR="002B78A8">
        <w:t xml:space="preserve"> money </w:t>
      </w:r>
      <w:r>
        <w:t>is a complex and evolving topic</w:t>
      </w:r>
      <w:r w:rsidR="00C03F60">
        <w:t xml:space="preserve">; </w:t>
      </w:r>
      <w:r w:rsidR="005B20C5">
        <w:t xml:space="preserve">recent </w:t>
      </w:r>
      <w:r w:rsidR="0084549F" w:rsidRPr="00B97F72">
        <w:t>proposed reforms</w:t>
      </w:r>
      <w:r w:rsidR="005B20C5" w:rsidRPr="00B97F72">
        <w:t xml:space="preserve"> </w:t>
      </w:r>
      <w:r w:rsidR="004F22A4">
        <w:t>to</w:t>
      </w:r>
      <w:r w:rsidR="00C03F60" w:rsidRPr="00B97F72">
        <w:t xml:space="preserve"> the PSRA </w:t>
      </w:r>
      <w:r w:rsidR="00C03F60">
        <w:t xml:space="preserve">have moved away from </w:t>
      </w:r>
      <w:r w:rsidR="00D00A15">
        <w:t>using</w:t>
      </w:r>
      <w:r w:rsidR="00162DE7">
        <w:t xml:space="preserve"> </w:t>
      </w:r>
      <w:r w:rsidR="00D00A15">
        <w:t>terms</w:t>
      </w:r>
      <w:r w:rsidR="00162DE7">
        <w:t xml:space="preserve"> such as ‘circulation of money’</w:t>
      </w:r>
      <w:r w:rsidR="00B223F7">
        <w:t>.</w:t>
      </w:r>
      <w:r w:rsidR="00AA61EE" w:rsidRPr="0097679B">
        <w:rPr>
          <w:vertAlign w:val="superscript"/>
        </w:rPr>
        <w:footnoteReference w:id="8"/>
      </w:r>
      <w:r w:rsidR="002B78A8">
        <w:t xml:space="preserve"> </w:t>
      </w:r>
      <w:r w:rsidR="008B3E2F">
        <w:t>T</w:t>
      </w:r>
      <w:r w:rsidR="00D6089B">
        <w:t>herefore, t</w:t>
      </w:r>
      <w:r w:rsidR="008B3E2F">
        <w:t xml:space="preserve">his paper proposes that the term SVF continue to be used for clarity. </w:t>
      </w:r>
    </w:p>
    <w:p w14:paraId="5196F216" w14:textId="77777777" w:rsidR="008B3E2F" w:rsidRDefault="008B3E2F" w:rsidP="00EE5400">
      <w:pPr>
        <w:pStyle w:val="Heading4"/>
        <w:jc w:val="both"/>
      </w:pPr>
      <w:r>
        <w:t>Storing funds in transit</w:t>
      </w:r>
    </w:p>
    <w:p w14:paraId="26D21E85" w14:textId="50EFED5D" w:rsidR="008B3E2F" w:rsidRDefault="008B3E2F" w:rsidP="00A51490">
      <w:r>
        <w:t xml:space="preserve">Some submissions noted the proposed definition of SVFs in </w:t>
      </w:r>
      <w:r w:rsidR="00273D04">
        <w:t>CP1</w:t>
      </w:r>
      <w:r>
        <w:t xml:space="preserve"> was overly wide and captured a range of PSP activities, including for example:</w:t>
      </w:r>
    </w:p>
    <w:p w14:paraId="65E996B3" w14:textId="39AD8CC6" w:rsidR="008B3E2F" w:rsidRDefault="008B3E2F" w:rsidP="0020029E">
      <w:pPr>
        <w:pStyle w:val="Bullet"/>
      </w:pPr>
      <w:r>
        <w:t>Merchant acquiring, where funds are commonly held by PSPs in a merchant account</w:t>
      </w:r>
      <w:r w:rsidRPr="00F25171">
        <w:t>, which are set up primarily for</w:t>
      </w:r>
      <w:r>
        <w:t>:</w:t>
      </w:r>
      <w:r w:rsidRPr="00F25171">
        <w:t xml:space="preserve"> (</w:t>
      </w:r>
      <w:r w:rsidR="00AD6C7F">
        <w:t>i</w:t>
      </w:r>
      <w:r w:rsidRPr="00F25171">
        <w:t>) the purpose of recording and receiving funds for goods</w:t>
      </w:r>
      <w:r w:rsidR="00BE5206">
        <w:t xml:space="preserve"> and </w:t>
      </w:r>
      <w:r w:rsidRPr="00F25171">
        <w:t>services provided by the merchants</w:t>
      </w:r>
      <w:r>
        <w:t>;</w:t>
      </w:r>
      <w:r w:rsidRPr="00F25171">
        <w:t xml:space="preserve"> and (</w:t>
      </w:r>
      <w:r w:rsidR="00AD6C7F">
        <w:t>ii</w:t>
      </w:r>
      <w:r w:rsidRPr="00F25171">
        <w:t>) apportionment of funds between an online marketplace and its sellers, in connection with underlying transactions</w:t>
      </w:r>
      <w:r w:rsidR="00952E89">
        <w:t xml:space="preserve"> for </w:t>
      </w:r>
      <w:r w:rsidRPr="00F25171">
        <w:t>goods</w:t>
      </w:r>
      <w:r w:rsidR="00AD4EF9">
        <w:t xml:space="preserve"> </w:t>
      </w:r>
      <w:r w:rsidR="00952E89">
        <w:t xml:space="preserve">and </w:t>
      </w:r>
      <w:r w:rsidRPr="00F25171">
        <w:t>services</w:t>
      </w:r>
      <w:r>
        <w:t xml:space="preserve">. Submissions requested that merchant acquiring be carved out from the SVF definition, through for example, a </w:t>
      </w:r>
      <w:r w:rsidR="00D56BCB">
        <w:t>criterion</w:t>
      </w:r>
      <w:r>
        <w:t xml:space="preserve"> that SVFs involve payments to ‘third parties’ </w:t>
      </w:r>
      <w:r w:rsidRPr="00F25171">
        <w:rPr>
          <w:rFonts w:eastAsia="Calibri"/>
        </w:rPr>
        <w:t>(i</w:t>
      </w:r>
      <w:r w:rsidR="00E03005">
        <w:rPr>
          <w:rFonts w:eastAsia="Calibri"/>
        </w:rPr>
        <w:t>.</w:t>
      </w:r>
      <w:r w:rsidRPr="00F25171">
        <w:rPr>
          <w:rFonts w:eastAsia="Calibri"/>
        </w:rPr>
        <w:t>e. parties other than persons providing the goods or services which the funds relate to)</w:t>
      </w:r>
      <w:r>
        <w:t>.</w:t>
      </w:r>
    </w:p>
    <w:p w14:paraId="4D474EAE" w14:textId="7EC000C9" w:rsidR="008B3E2F" w:rsidRPr="00F61C3D" w:rsidRDefault="00B043A4" w:rsidP="0020029E">
      <w:pPr>
        <w:pStyle w:val="Bullet"/>
      </w:pPr>
      <w:r>
        <w:t>PSPs</w:t>
      </w:r>
      <w:r w:rsidR="008B3E2F">
        <w:t xml:space="preserve"> that hold funds for a short period of time for the purpose of facilitating a payment. Submissions queried </w:t>
      </w:r>
      <w:r w:rsidR="005919AE">
        <w:t>whether</w:t>
      </w:r>
      <w:r w:rsidR="008B3E2F">
        <w:t xml:space="preserve"> such activities are to be captured under the SVF definition.</w:t>
      </w:r>
    </w:p>
    <w:p w14:paraId="43A25A81" w14:textId="55B7A017" w:rsidR="008B3E2F" w:rsidRPr="00F61C3D" w:rsidRDefault="008B3E2F" w:rsidP="00A51490">
      <w:r>
        <w:t xml:space="preserve">The SVF payment function does not intend to capture the above activities, which are proposed to be captured under </w:t>
      </w:r>
      <w:r w:rsidR="007052E2">
        <w:t xml:space="preserve">the </w:t>
      </w:r>
      <w:r w:rsidR="00DF1F7F">
        <w:t>s processed</w:t>
      </w:r>
      <w:r w:rsidR="007052E2">
        <w:t xml:space="preserve"> function</w:t>
      </w:r>
      <w:r>
        <w:t>. However</w:t>
      </w:r>
      <w:r w:rsidR="009A773E">
        <w:t>,</w:t>
      </w:r>
      <w:r>
        <w:t xml:space="preserve"> further defining the nature of each party (through a ‘third party’ criteria) may add unnecessary complexity and may not be sufficiently flexible to accommodate all SVF business models.</w:t>
      </w:r>
    </w:p>
    <w:p w14:paraId="578642DB" w14:textId="60E3C249" w:rsidR="008B3E2F" w:rsidRDefault="00097A6E" w:rsidP="00A51490">
      <w:r>
        <w:t xml:space="preserve">CP1 proposed </w:t>
      </w:r>
      <w:r w:rsidR="00F324CB">
        <w:t>that</w:t>
      </w:r>
      <w:r w:rsidR="0067234A">
        <w:t xml:space="preserve">, to qualify as an </w:t>
      </w:r>
      <w:r w:rsidR="008B3E2F">
        <w:t>SVF</w:t>
      </w:r>
      <w:r w:rsidR="0067234A">
        <w:t>, funds</w:t>
      </w:r>
      <w:r w:rsidR="009E18B2">
        <w:t xml:space="preserve"> need to be held for longer than 2 days</w:t>
      </w:r>
      <w:r w:rsidR="00B32713">
        <w:t>, to distinguish</w:t>
      </w:r>
      <w:r w:rsidR="00541448">
        <w:t xml:space="preserve"> SVFs</w:t>
      </w:r>
      <w:r w:rsidR="00B32713">
        <w:t xml:space="preserve"> from </w:t>
      </w:r>
      <w:r w:rsidR="00281037">
        <w:t>other PSPs that may hold funds in transit</w:t>
      </w:r>
      <w:r w:rsidR="0067234A">
        <w:t>.</w:t>
      </w:r>
      <w:r w:rsidR="00E5792D">
        <w:t xml:space="preserve"> </w:t>
      </w:r>
      <w:r w:rsidR="0067234A">
        <w:t>T</w:t>
      </w:r>
      <w:r w:rsidR="00E5792D">
        <w:t xml:space="preserve">his proposal </w:t>
      </w:r>
      <w:r w:rsidR="00F91B86">
        <w:t>received mixed views</w:t>
      </w:r>
      <w:r w:rsidR="008B3E2F">
        <w:t xml:space="preserve">. Some submissions noted </w:t>
      </w:r>
      <w:r w:rsidR="008B3E2F" w:rsidRPr="00307666">
        <w:t xml:space="preserve">2 days </w:t>
      </w:r>
      <w:r w:rsidR="008B3E2F">
        <w:t>represented a good estimate of payments processing times. Others noted the</w:t>
      </w:r>
      <w:r w:rsidR="008B3E2F" w:rsidRPr="00307666">
        <w:t xml:space="preserve"> arbitrary </w:t>
      </w:r>
      <w:r w:rsidR="008B3E2F">
        <w:t>nature of this timeframe</w:t>
      </w:r>
      <w:r w:rsidR="008B3E2F" w:rsidRPr="00307666">
        <w:t xml:space="preserve"> and </w:t>
      </w:r>
      <w:r w:rsidR="008B3E2F">
        <w:t>suggested it did</w:t>
      </w:r>
      <w:r w:rsidR="008B3E2F" w:rsidRPr="00307666">
        <w:t xml:space="preserve"> not reflect a </w:t>
      </w:r>
      <w:r w:rsidR="008B3E2F">
        <w:t xml:space="preserve">functional and </w:t>
      </w:r>
      <w:r w:rsidR="008B3E2F" w:rsidRPr="00307666">
        <w:t xml:space="preserve">risk-based approach. </w:t>
      </w:r>
      <w:r w:rsidR="008B3E2F">
        <w:t xml:space="preserve">Submissions noted that </w:t>
      </w:r>
      <w:r w:rsidR="008B3E2F" w:rsidRPr="00DA7473">
        <w:t xml:space="preserve">many </w:t>
      </w:r>
      <w:r w:rsidR="005435E7">
        <w:t>PSPs</w:t>
      </w:r>
      <w:r w:rsidR="008B3E2F" w:rsidRPr="00DA7473">
        <w:t xml:space="preserve"> </w:t>
      </w:r>
      <w:r w:rsidR="008B3E2F">
        <w:t>take</w:t>
      </w:r>
      <w:r w:rsidR="008B3E2F" w:rsidRPr="00DA7473">
        <w:t xml:space="preserve"> more than 2 days to settle transactions.</w:t>
      </w:r>
      <w:r w:rsidR="008B3E2F">
        <w:t xml:space="preserve"> Some recommended that the 2 days be extended to a longer timeframe such as 3 or </w:t>
      </w:r>
      <w:r w:rsidR="00ED2171">
        <w:t>10</w:t>
      </w:r>
      <w:r w:rsidR="008B3E2F">
        <w:t xml:space="preserve"> days.</w:t>
      </w:r>
      <w:r w:rsidR="00FC72A1">
        <w:t xml:space="preserve"> </w:t>
      </w:r>
      <w:r w:rsidR="008B3E2F">
        <w:t xml:space="preserve">This paper proposes that the </w:t>
      </w:r>
      <w:r w:rsidR="008328D3">
        <w:t>2</w:t>
      </w:r>
      <w:r w:rsidR="00613EA6">
        <w:t xml:space="preserve"> </w:t>
      </w:r>
      <w:r w:rsidR="008328D3">
        <w:t>day</w:t>
      </w:r>
      <w:r w:rsidR="008B3E2F">
        <w:t xml:space="preserve"> criteria for SVF funds be removed, and that a principles-based distinction</w:t>
      </w:r>
      <w:r w:rsidR="00284D6E">
        <w:t>, through the changes proposed</w:t>
      </w:r>
      <w:r w:rsidR="008B3E2F">
        <w:t xml:space="preserve"> </w:t>
      </w:r>
      <w:r w:rsidR="003F7660">
        <w:t>below</w:t>
      </w:r>
      <w:r w:rsidR="00284D6E">
        <w:t>,</w:t>
      </w:r>
      <w:r w:rsidR="003F7660">
        <w:t xml:space="preserve"> </w:t>
      </w:r>
      <w:r w:rsidR="008B3E2F">
        <w:t>be used to delineate between SVFs and other payment functions.</w:t>
      </w:r>
    </w:p>
    <w:p w14:paraId="54BFC252" w14:textId="04A9E4D6" w:rsidR="008B3E2F" w:rsidRPr="00A31D1B" w:rsidRDefault="00963092" w:rsidP="00EE5400">
      <w:pPr>
        <w:pStyle w:val="Heading4"/>
        <w:jc w:val="both"/>
      </w:pPr>
      <w:r>
        <w:lastRenderedPageBreak/>
        <w:t>Proposed c</w:t>
      </w:r>
      <w:r w:rsidR="008B3E2F">
        <w:t>hanges to the SVF function</w:t>
      </w:r>
    </w:p>
    <w:p w14:paraId="5B8E99CE" w14:textId="404A5FEC" w:rsidR="008B3E2F" w:rsidRDefault="008E6511" w:rsidP="00310645">
      <w:pPr>
        <w:pStyle w:val="HHText"/>
      </w:pPr>
      <w:r>
        <w:t>T</w:t>
      </w:r>
      <w:r w:rsidR="008B3E2F">
        <w:t xml:space="preserve">he following </w:t>
      </w:r>
      <w:r w:rsidR="00B241BE">
        <w:t xml:space="preserve">characteristics </w:t>
      </w:r>
      <w:r w:rsidR="008B3E2F">
        <w:t xml:space="preserve">are proposed for </w:t>
      </w:r>
      <w:r w:rsidR="00E63254">
        <w:t xml:space="preserve">describing </w:t>
      </w:r>
      <w:r w:rsidR="008B3E2F">
        <w:t xml:space="preserve">SVFs: </w:t>
      </w:r>
    </w:p>
    <w:p w14:paraId="08AF61C2" w14:textId="408E672D" w:rsidR="008B3E2F" w:rsidRPr="000F48D0" w:rsidRDefault="008B3E2F" w:rsidP="0020029E">
      <w:pPr>
        <w:pStyle w:val="Bullet"/>
      </w:pPr>
      <w:r w:rsidRPr="000F48D0">
        <w:t>involves funds loaded onto a</w:t>
      </w:r>
      <w:r w:rsidR="00E07A33">
        <w:t>n</w:t>
      </w:r>
      <w:r w:rsidRPr="000F48D0">
        <w:t xml:space="preserve"> account or facility;</w:t>
      </w:r>
    </w:p>
    <w:p w14:paraId="4B4614DC" w14:textId="4FB43EE9" w:rsidR="008B3E2F" w:rsidRPr="000F48D0" w:rsidRDefault="008B3E2F" w:rsidP="0020029E">
      <w:pPr>
        <w:pStyle w:val="Bullet"/>
      </w:pPr>
      <w:r>
        <w:t>customers</w:t>
      </w:r>
      <w:r w:rsidRPr="000F48D0">
        <w:t xml:space="preserve"> are able to direct </w:t>
      </w:r>
      <w:r>
        <w:t>the</w:t>
      </w:r>
      <w:r w:rsidRPr="000F48D0">
        <w:t xml:space="preserve"> movement of these funds, for the purposes of paying for goods or services, transferring to another person, or withdraw</w:t>
      </w:r>
      <w:r>
        <w:t>ing</w:t>
      </w:r>
      <w:r w:rsidRPr="000F48D0">
        <w:t xml:space="preserve"> the funds;</w:t>
      </w:r>
      <w:r>
        <w:t xml:space="preserve"> and</w:t>
      </w:r>
    </w:p>
    <w:p w14:paraId="5A9B1D67" w14:textId="18F31A4F" w:rsidR="008B3E2F" w:rsidRPr="000F48D0" w:rsidRDefault="008B3E2F" w:rsidP="0020029E">
      <w:pPr>
        <w:pStyle w:val="Bullet"/>
      </w:pPr>
      <w:r w:rsidRPr="000F48D0">
        <w:t xml:space="preserve">includes </w:t>
      </w:r>
      <w:r w:rsidR="00461D53">
        <w:t>funds</w:t>
      </w:r>
      <w:r w:rsidR="00461D53" w:rsidRPr="000F48D0">
        <w:t xml:space="preserve"> </w:t>
      </w:r>
      <w:r w:rsidRPr="000F48D0">
        <w:t xml:space="preserve">stored on online accounts, or on a physical </w:t>
      </w:r>
      <w:r w:rsidR="009F65C7">
        <w:t>or virtual</w:t>
      </w:r>
      <w:r w:rsidRPr="000F48D0">
        <w:t xml:space="preserve"> device or card</w:t>
      </w:r>
      <w:r>
        <w:t>.</w:t>
      </w:r>
    </w:p>
    <w:p w14:paraId="1C11BB07" w14:textId="27716EBB" w:rsidR="00D342D1" w:rsidRDefault="006048D5" w:rsidP="00994301">
      <w:r>
        <w:t xml:space="preserve">The SVF proposals refer only to ‘value’ or ‘funds’ and remain agnostic as to what is stored. It is also agnostic to the legal arrangement between a customer and the SVF. A range of legal arrangements could be accounted for under the SVF </w:t>
      </w:r>
      <w:r w:rsidRPr="006048D5">
        <w:t>function</w:t>
      </w:r>
      <w:r>
        <w:t>. For example, SVFs may involve the storage of funds pending use of those funds by the consumer for payments</w:t>
      </w:r>
      <w:r w:rsidR="00C71995">
        <w:t>,</w:t>
      </w:r>
      <w:r>
        <w:t xml:space="preserve"> or may involve a contractual promise to the consumer for the SVF provider to make payments.</w:t>
      </w:r>
    </w:p>
    <w:p w14:paraId="1423B870" w14:textId="1FF90421" w:rsidR="00E9250F" w:rsidRDefault="0042624B" w:rsidP="00994301">
      <w:r>
        <w:t>Feedback is welcome</w:t>
      </w:r>
      <w:r w:rsidR="005A4B30">
        <w:t xml:space="preserve"> on whether </w:t>
      </w:r>
      <w:r w:rsidR="00DE1D10">
        <w:t>further</w:t>
      </w:r>
      <w:r w:rsidR="005A4B30">
        <w:t xml:space="preserve"> </w:t>
      </w:r>
      <w:r w:rsidR="00B241BE">
        <w:t>characteristics</w:t>
      </w:r>
      <w:r w:rsidR="00B241BE" w:rsidRPr="0042624B">
        <w:t xml:space="preserve"> </w:t>
      </w:r>
      <w:r w:rsidRPr="0042624B">
        <w:t xml:space="preserve">should </w:t>
      </w:r>
      <w:r w:rsidR="005A4B30">
        <w:t xml:space="preserve">be included </w:t>
      </w:r>
      <w:r w:rsidR="00CF3C67">
        <w:t>in</w:t>
      </w:r>
      <w:r w:rsidR="005A4B30">
        <w:t xml:space="preserve"> the SVF </w:t>
      </w:r>
      <w:r w:rsidR="00D03E0E">
        <w:t>description</w:t>
      </w:r>
      <w:r w:rsidR="005A4B30">
        <w:t xml:space="preserve">. </w:t>
      </w:r>
      <w:r w:rsidRPr="0042624B">
        <w:t>For example, that SVFs offer the functionality where funds can be stored without an onward payment instruction or transaction</w:t>
      </w:r>
      <w:r w:rsidRPr="0042624B" w:rsidDel="001D7576">
        <w:t xml:space="preserve"> associated with the funds held</w:t>
      </w:r>
      <w:r w:rsidR="005A4B30">
        <w:t>.</w:t>
      </w:r>
      <w:r w:rsidRPr="0042624B">
        <w:t xml:space="preserve"> This could better distinguish </w:t>
      </w:r>
      <w:r w:rsidR="002D6C03">
        <w:t>SVFs</w:t>
      </w:r>
      <w:r w:rsidRPr="0042624B">
        <w:t xml:space="preserve"> from Payment Facilitation Services which will, for example, hold funds in transit for the purpose of an onwards transaction.</w:t>
      </w:r>
    </w:p>
    <w:tbl>
      <w:tblPr>
        <w:tblStyle w:val="TableGrid"/>
        <w:tblW w:w="0" w:type="auto"/>
        <w:tblLook w:val="04A0" w:firstRow="1" w:lastRow="0" w:firstColumn="1" w:lastColumn="0" w:noHBand="0" w:noVBand="1"/>
      </w:tblPr>
      <w:tblGrid>
        <w:gridCol w:w="9070"/>
      </w:tblGrid>
      <w:tr w:rsidR="0060061D" w14:paraId="0C060EC5"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0785BD23" w14:textId="66BBDB34" w:rsidR="0060061D" w:rsidRPr="007B205C" w:rsidRDefault="0060061D" w:rsidP="00275F1C">
            <w:pPr>
              <w:pStyle w:val="BoxHeading"/>
            </w:pPr>
            <w:r w:rsidRPr="00275F1C">
              <w:rPr>
                <w:b/>
              </w:rPr>
              <w:t>Consultation question</w:t>
            </w:r>
          </w:p>
          <w:p w14:paraId="3B7ED6DF" w14:textId="06490677" w:rsidR="0060061D" w:rsidRPr="007163DB" w:rsidRDefault="00E9402A" w:rsidP="001D123F">
            <w:pPr>
              <w:pStyle w:val="Consultationquestions"/>
              <w:numPr>
                <w:ilvl w:val="0"/>
                <w:numId w:val="100"/>
              </w:numPr>
            </w:pPr>
            <w:r w:rsidRPr="00484EB7">
              <w:t xml:space="preserve">What </w:t>
            </w:r>
            <w:r w:rsidR="00582492" w:rsidRPr="00484EB7">
              <w:t xml:space="preserve">are </w:t>
            </w:r>
            <w:r w:rsidRPr="00484EB7">
              <w:t>your view</w:t>
            </w:r>
            <w:r w:rsidR="00582492" w:rsidRPr="00484EB7">
              <w:t>s</w:t>
            </w:r>
            <w:r w:rsidR="0060061D" w:rsidRPr="00484EB7">
              <w:t xml:space="preserve"> on the proposed changes to the SVF function and whether additional characteristics or principles are needed to distinguish </w:t>
            </w:r>
            <w:r w:rsidR="00B77A28" w:rsidRPr="00484EB7">
              <w:t>SVF products</w:t>
            </w:r>
            <w:r w:rsidR="009B6361" w:rsidRPr="00484EB7">
              <w:t>?</w:t>
            </w:r>
            <w:r w:rsidR="0060061D" w:rsidRPr="00484EB7">
              <w:t xml:space="preserve"> </w:t>
            </w:r>
            <w:r w:rsidR="00224496" w:rsidRPr="00484EB7">
              <w:t>Should there be an additional principle that funds can be stored without any onward payment instruction?</w:t>
            </w:r>
          </w:p>
        </w:tc>
      </w:tr>
    </w:tbl>
    <w:p w14:paraId="1FC6FBD4" w14:textId="77777777" w:rsidR="008B3E2F" w:rsidRDefault="008B3E2F" w:rsidP="00EE5400">
      <w:pPr>
        <w:pStyle w:val="Heading4"/>
        <w:jc w:val="both"/>
      </w:pPr>
      <w:r>
        <w:t xml:space="preserve">Activities outside the scope of SVFs </w:t>
      </w:r>
    </w:p>
    <w:p w14:paraId="2FB7A9F7" w14:textId="4E6BA6C9" w:rsidR="008B3E2F" w:rsidRPr="00AA345F" w:rsidRDefault="008B3E2F" w:rsidP="00994301">
      <w:r>
        <w:t xml:space="preserve">To avoid doubt, the following activities </w:t>
      </w:r>
      <w:r w:rsidR="00075077">
        <w:t>are</w:t>
      </w:r>
      <w:r>
        <w:t xml:space="preserve"> out of scope of the SVF definition:</w:t>
      </w:r>
    </w:p>
    <w:p w14:paraId="34003A2E" w14:textId="3EEE2BAE" w:rsidR="008B3E2F" w:rsidRDefault="00CB046E" w:rsidP="0020029E">
      <w:pPr>
        <w:pStyle w:val="Bullet"/>
      </w:pPr>
      <w:r>
        <w:t>c</w:t>
      </w:r>
      <w:r w:rsidR="008B3E2F">
        <w:t>redit facilities;</w:t>
      </w:r>
    </w:p>
    <w:p w14:paraId="07C4BB33" w14:textId="5887132A" w:rsidR="008B3E2F" w:rsidRPr="00A85B98" w:rsidRDefault="00CB046E" w:rsidP="0020029E">
      <w:pPr>
        <w:pStyle w:val="Bullet"/>
      </w:pPr>
      <w:r>
        <w:t>f</w:t>
      </w:r>
      <w:r w:rsidR="008B3E2F">
        <w:t xml:space="preserve">acilities that store value but cannot be used as a payment, </w:t>
      </w:r>
      <w:r w:rsidR="002D6EDF">
        <w:t>for example,</w:t>
      </w:r>
      <w:r w:rsidR="008B3E2F">
        <w:t xml:space="preserve"> debentures or interests in managed investment schemes;</w:t>
      </w:r>
      <w:r w:rsidR="008B3E2F" w:rsidRPr="00A85B98">
        <w:t xml:space="preserve"> </w:t>
      </w:r>
    </w:p>
    <w:p w14:paraId="214E47C1" w14:textId="24515C02" w:rsidR="008B3E2F" w:rsidRDefault="008B3E2F" w:rsidP="0020029E">
      <w:pPr>
        <w:pStyle w:val="Bullet"/>
      </w:pPr>
      <w:r>
        <w:t xml:space="preserve">PSPs </w:t>
      </w:r>
      <w:r w:rsidR="001B373C">
        <w:t>that are intermediaries in a payment transaction</w:t>
      </w:r>
      <w:r>
        <w:t xml:space="preserve"> that hold funds for a short period of time for the purpose of facilitating a payment (these will fall within the Payment Facilitation Service</w:t>
      </w:r>
      <w:r w:rsidRPr="00061304">
        <w:t xml:space="preserve"> function</w:t>
      </w:r>
      <w:r>
        <w:t>)</w:t>
      </w:r>
      <w:r w:rsidR="00160468">
        <w:t>;</w:t>
      </w:r>
    </w:p>
    <w:p w14:paraId="532381BE" w14:textId="07435BE4" w:rsidR="008B3E2F" w:rsidRPr="00A85B98" w:rsidRDefault="00CB046E" w:rsidP="0020029E">
      <w:pPr>
        <w:pStyle w:val="Bullet"/>
      </w:pPr>
      <w:r>
        <w:t>m</w:t>
      </w:r>
      <w:r w:rsidR="008B3E2F">
        <w:t>erchant acquiring activities (a Payment Facilitation Service function)</w:t>
      </w:r>
      <w:r w:rsidR="009545C6">
        <w:t xml:space="preserve">; </w:t>
      </w:r>
    </w:p>
    <w:p w14:paraId="630E5AA9" w14:textId="18A8B563" w:rsidR="008B3E2F" w:rsidRDefault="00CB046E" w:rsidP="0020029E">
      <w:pPr>
        <w:pStyle w:val="Bullet"/>
      </w:pPr>
      <w:r>
        <w:t>t</w:t>
      </w:r>
      <w:r w:rsidR="008B3E2F">
        <w:t xml:space="preserve">he storing of </w:t>
      </w:r>
      <w:r w:rsidR="003A281A">
        <w:t xml:space="preserve">digital </w:t>
      </w:r>
      <w:r w:rsidR="008B3E2F">
        <w:t>assets</w:t>
      </w:r>
      <w:r w:rsidR="007B58D2">
        <w:t xml:space="preserve"> e</w:t>
      </w:r>
      <w:r w:rsidR="003B0BF7">
        <w:t>.</w:t>
      </w:r>
      <w:r w:rsidR="007B58D2">
        <w:t>g</w:t>
      </w:r>
      <w:r w:rsidR="003B0BF7">
        <w:t>.</w:t>
      </w:r>
      <w:r w:rsidR="007B58D2">
        <w:t xml:space="preserve"> crypto</w:t>
      </w:r>
      <w:r w:rsidR="006D2E12">
        <w:t>;</w:t>
      </w:r>
      <w:r w:rsidR="002E6868">
        <w:rPr>
          <w:rStyle w:val="FootnoteReference"/>
        </w:rPr>
        <w:footnoteReference w:id="9"/>
      </w:r>
      <w:r w:rsidR="006D2E12">
        <w:t xml:space="preserve"> and</w:t>
      </w:r>
    </w:p>
    <w:p w14:paraId="34C23831" w14:textId="1A914AD1" w:rsidR="008E6595" w:rsidRDefault="00C81B7A" w:rsidP="00E42AA2">
      <w:pPr>
        <w:pStyle w:val="Bullet"/>
      </w:pPr>
      <w:r>
        <w:lastRenderedPageBreak/>
        <w:t>d</w:t>
      </w:r>
      <w:r w:rsidR="00CB170A">
        <w:t>eposit products</w:t>
      </w:r>
      <w:r w:rsidR="005C13B0">
        <w:t>.</w:t>
      </w:r>
      <w:r w:rsidR="005C13B0">
        <w:rPr>
          <w:rStyle w:val="FootnoteReference"/>
        </w:rPr>
        <w:footnoteReference w:id="10"/>
      </w:r>
      <w:r w:rsidR="00CB170A">
        <w:t xml:space="preserve"> Note </w:t>
      </w:r>
      <w:r w:rsidR="00901207">
        <w:t>however,</w:t>
      </w:r>
      <w:r w:rsidR="00CB170A">
        <w:t xml:space="preserve"> that payments functionality attached to these products (e.g. the ability to make payments from the account) may be captured by </w:t>
      </w:r>
      <w:r w:rsidR="006C763B">
        <w:t>other</w:t>
      </w:r>
      <w:r w:rsidR="00CB170A">
        <w:t xml:space="preserve"> payment functions </w:t>
      </w:r>
      <w:r w:rsidR="00901207">
        <w:t>in this paper</w:t>
      </w:r>
      <w:r w:rsidR="00CB170A">
        <w:t>.</w:t>
      </w:r>
    </w:p>
    <w:tbl>
      <w:tblPr>
        <w:tblStyle w:val="TableGrid"/>
        <w:tblW w:w="0" w:type="auto"/>
        <w:tblLook w:val="04A0" w:firstRow="1" w:lastRow="0" w:firstColumn="1" w:lastColumn="0" w:noHBand="0" w:noVBand="1"/>
      </w:tblPr>
      <w:tblGrid>
        <w:gridCol w:w="9070"/>
      </w:tblGrid>
      <w:tr w:rsidR="00D34765" w14:paraId="06BA1DB2"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4CC9F4D3" w14:textId="54262AA4" w:rsidR="00D34765" w:rsidRPr="007B205C" w:rsidRDefault="00D34765" w:rsidP="00B11DF6">
            <w:pPr>
              <w:pStyle w:val="BoxHeading"/>
            </w:pPr>
            <w:r w:rsidRPr="00B11DF6">
              <w:rPr>
                <w:b/>
              </w:rPr>
              <w:t>Consultation question</w:t>
            </w:r>
          </w:p>
          <w:p w14:paraId="7AC2300B" w14:textId="46A36177" w:rsidR="00D34765" w:rsidRPr="00CB170A" w:rsidRDefault="008E002C" w:rsidP="001D123F">
            <w:pPr>
              <w:pStyle w:val="Consultationquestions"/>
              <w:numPr>
                <w:ilvl w:val="0"/>
                <w:numId w:val="100"/>
              </w:numPr>
            </w:pPr>
            <w:r>
              <w:t>Are there any further activities that should be out of scope of the definition of SVF?</w:t>
            </w:r>
            <w:r w:rsidRPr="001D123F">
              <w:rPr>
                <w:rStyle w:val="CommentReference"/>
                <w:b w:val="0"/>
                <w:color w:val="auto"/>
              </w:rPr>
              <w:t xml:space="preserve"> </w:t>
            </w:r>
          </w:p>
        </w:tc>
      </w:tr>
    </w:tbl>
    <w:p w14:paraId="68C9ED3A" w14:textId="7FD326E0" w:rsidR="00311E71" w:rsidRDefault="00311E71" w:rsidP="00194368">
      <w:pPr>
        <w:pStyle w:val="Heading3"/>
      </w:pPr>
      <w:bookmarkStart w:id="41" w:name="_Toc149230905"/>
      <w:bookmarkStart w:id="42" w:name="_Ref149290201"/>
      <w:bookmarkStart w:id="43" w:name="_Ref149291421"/>
      <w:bookmarkStart w:id="44" w:name="_Ref149633065"/>
      <w:r w:rsidRPr="00E9516A">
        <w:t>Payment Stablecoins (PSCs)</w:t>
      </w:r>
      <w:bookmarkEnd w:id="41"/>
      <w:bookmarkEnd w:id="42"/>
      <w:bookmarkEnd w:id="43"/>
      <w:bookmarkEnd w:id="44"/>
    </w:p>
    <w:p w14:paraId="08F32476" w14:textId="4D4C0906" w:rsidR="001015AC" w:rsidRDefault="001015AC" w:rsidP="00994301">
      <w:pPr>
        <w:rPr>
          <w:rFonts w:cs="Calibri Light"/>
          <w:szCs w:val="22"/>
        </w:rPr>
      </w:pPr>
      <w:r>
        <w:t xml:space="preserve">CP1 </w:t>
      </w:r>
      <w:r w:rsidR="00E77565">
        <w:rPr>
          <w:rFonts w:cs="Calibri Light"/>
          <w:szCs w:val="22"/>
        </w:rPr>
        <w:t>sought</w:t>
      </w:r>
      <w:r w:rsidRPr="00E9516A">
        <w:rPr>
          <w:rFonts w:cs="Calibri Light"/>
          <w:szCs w:val="22"/>
        </w:rPr>
        <w:t xml:space="preserve"> views on whether the proposed definition </w:t>
      </w:r>
      <w:r w:rsidR="007A4371">
        <w:rPr>
          <w:rFonts w:cs="Calibri Light"/>
          <w:szCs w:val="22"/>
        </w:rPr>
        <w:t>of PSCs</w:t>
      </w:r>
      <w:r w:rsidRPr="00E9516A">
        <w:rPr>
          <w:rFonts w:cs="Calibri Light"/>
          <w:szCs w:val="22"/>
        </w:rPr>
        <w:t xml:space="preserve"> appropriately separates itself from other types of stablecoins and </w:t>
      </w:r>
      <w:r>
        <w:rPr>
          <w:rFonts w:cs="Calibri Light"/>
          <w:szCs w:val="22"/>
        </w:rPr>
        <w:t>digital</w:t>
      </w:r>
      <w:r w:rsidRPr="00E9516A">
        <w:rPr>
          <w:rFonts w:cs="Calibri Light"/>
          <w:szCs w:val="22"/>
        </w:rPr>
        <w:t xml:space="preserve"> assets. </w:t>
      </w:r>
      <w:r w:rsidR="00F72EE7">
        <w:rPr>
          <w:rFonts w:cs="Calibri Light"/>
          <w:szCs w:val="22"/>
        </w:rPr>
        <w:t>CP1</w:t>
      </w:r>
      <w:r w:rsidRPr="00E9516A">
        <w:rPr>
          <w:rFonts w:cs="Calibri Light"/>
          <w:szCs w:val="22"/>
        </w:rPr>
        <w:t xml:space="preserve"> </w:t>
      </w:r>
      <w:r w:rsidRPr="003E37C2">
        <w:rPr>
          <w:rFonts w:cs="Calibri Light"/>
          <w:szCs w:val="22"/>
        </w:rPr>
        <w:t xml:space="preserve">also sought views on whether the proposed SVF framework is appropriate for the regulation of </w:t>
      </w:r>
      <w:r>
        <w:rPr>
          <w:rFonts w:cs="Calibri Light"/>
          <w:szCs w:val="22"/>
        </w:rPr>
        <w:t>‘</w:t>
      </w:r>
      <w:r w:rsidR="002C330E">
        <w:rPr>
          <w:rFonts w:cs="Calibri Light"/>
          <w:szCs w:val="22"/>
        </w:rPr>
        <w:t>P</w:t>
      </w:r>
      <w:r w:rsidR="002C330E" w:rsidRPr="003E37C2">
        <w:rPr>
          <w:rFonts w:cs="Calibri Light"/>
          <w:szCs w:val="22"/>
        </w:rPr>
        <w:t xml:space="preserve">ayment </w:t>
      </w:r>
      <w:r w:rsidR="002C330E">
        <w:rPr>
          <w:rFonts w:cs="Calibri Light"/>
          <w:szCs w:val="22"/>
        </w:rPr>
        <w:t>S</w:t>
      </w:r>
      <w:r w:rsidR="002C330E" w:rsidRPr="003E37C2">
        <w:rPr>
          <w:rFonts w:cs="Calibri Light"/>
          <w:szCs w:val="22"/>
        </w:rPr>
        <w:t>tablecoins</w:t>
      </w:r>
      <w:r w:rsidR="002C330E">
        <w:rPr>
          <w:rFonts w:cs="Calibri Light"/>
          <w:szCs w:val="22"/>
        </w:rPr>
        <w:t>’</w:t>
      </w:r>
      <w:r w:rsidRPr="003E37C2">
        <w:rPr>
          <w:rFonts w:cs="Calibri Light"/>
          <w:szCs w:val="22"/>
        </w:rPr>
        <w:t xml:space="preserve">. </w:t>
      </w:r>
    </w:p>
    <w:p w14:paraId="5D67166B" w14:textId="78032B72" w:rsidR="00311E71" w:rsidRPr="00801626" w:rsidRDefault="00311E71" w:rsidP="00EE5400">
      <w:pPr>
        <w:pStyle w:val="Heading4"/>
        <w:jc w:val="both"/>
      </w:pPr>
      <w:r>
        <w:t>D</w:t>
      </w:r>
      <w:r w:rsidRPr="00E9516A">
        <w:t>efinition of Payment Stablecoin</w:t>
      </w:r>
    </w:p>
    <w:p w14:paraId="53D643F8" w14:textId="7D6EC23D" w:rsidR="000C498B" w:rsidRDefault="000C498B" w:rsidP="00EB5716">
      <w:pPr>
        <w:rPr>
          <w:rFonts w:cs="Calibri Light"/>
          <w:szCs w:val="22"/>
        </w:rPr>
      </w:pPr>
      <w:r w:rsidRPr="00E9516A">
        <w:t>In the absence of an agreed global taxonomy of digital assets, jurisdictions have taken different approach</w:t>
      </w:r>
      <w:r>
        <w:rPr>
          <w:rFonts w:cs="Calibri Light"/>
          <w:szCs w:val="22"/>
        </w:rPr>
        <w:t>es</w:t>
      </w:r>
      <w:r w:rsidRPr="00E9516A">
        <w:rPr>
          <w:rFonts w:cs="Calibri Light"/>
          <w:szCs w:val="22"/>
        </w:rPr>
        <w:t xml:space="preserve"> to defining stablecoins that are backed by a single </w:t>
      </w:r>
      <w:r>
        <w:rPr>
          <w:rFonts w:cs="Calibri Light"/>
          <w:szCs w:val="22"/>
        </w:rPr>
        <w:t>fiat</w:t>
      </w:r>
      <w:r w:rsidRPr="00E9516A">
        <w:rPr>
          <w:rFonts w:cs="Calibri Light"/>
          <w:szCs w:val="22"/>
        </w:rPr>
        <w:t xml:space="preserve"> currency. </w:t>
      </w:r>
      <w:r>
        <w:rPr>
          <w:rFonts w:cs="Calibri Light"/>
          <w:szCs w:val="22"/>
        </w:rPr>
        <w:t>CP1 defined PSCs as:</w:t>
      </w:r>
    </w:p>
    <w:p w14:paraId="5DFA6A84" w14:textId="77777777" w:rsidR="000C498B" w:rsidRPr="00443E42" w:rsidRDefault="000C498B" w:rsidP="004A6146">
      <w:pPr>
        <w:pStyle w:val="AlphaParagraph"/>
        <w:rPr>
          <w:rFonts w:cs="Calibri Light"/>
        </w:rPr>
      </w:pPr>
      <w:r w:rsidRPr="00443E42">
        <w:rPr>
          <w:rFonts w:cs="Calibri Light"/>
        </w:rPr>
        <w:t>a digital representation of monetary value intended or purported to maintain a stable value relative to a fiat currency;</w:t>
      </w:r>
    </w:p>
    <w:p w14:paraId="6AD53998" w14:textId="77777777" w:rsidR="000C498B" w:rsidRPr="00443E42" w:rsidRDefault="000C498B" w:rsidP="004A6146">
      <w:pPr>
        <w:pStyle w:val="AlphaParagraph"/>
        <w:rPr>
          <w:rFonts w:cs="Calibri Light"/>
        </w:rPr>
      </w:pPr>
      <w:r w:rsidRPr="00443E42">
        <w:rPr>
          <w:rFonts w:cs="Calibri Light"/>
        </w:rPr>
        <w:t xml:space="preserve">issued by a </w:t>
      </w:r>
      <w:r w:rsidRPr="00443E42">
        <w:t>payment stablecoin issuer</w:t>
      </w:r>
      <w:r w:rsidRPr="00443E42">
        <w:rPr>
          <w:rFonts w:cs="Calibri Light"/>
        </w:rPr>
        <w:t xml:space="preserve">; and </w:t>
      </w:r>
    </w:p>
    <w:p w14:paraId="110F6ECA" w14:textId="77777777" w:rsidR="000C498B" w:rsidRPr="00443E42" w:rsidRDefault="000C498B" w:rsidP="004A6146">
      <w:pPr>
        <w:pStyle w:val="AlphaParagraph"/>
        <w:rPr>
          <w:rFonts w:cs="Calibri Light"/>
        </w:rPr>
      </w:pPr>
      <w:r w:rsidRPr="00443E42">
        <w:rPr>
          <w:rFonts w:cs="Calibri Light"/>
        </w:rPr>
        <w:t xml:space="preserve">capable of being redeemed for: </w:t>
      </w:r>
    </w:p>
    <w:p w14:paraId="1819E485" w14:textId="77777777" w:rsidR="000C498B" w:rsidRPr="00443E42" w:rsidRDefault="000C498B" w:rsidP="004A6146">
      <w:pPr>
        <w:pStyle w:val="AlphaParagraph"/>
        <w:numPr>
          <w:ilvl w:val="2"/>
          <w:numId w:val="10"/>
        </w:numPr>
        <w:rPr>
          <w:rFonts w:cs="Calibri Light"/>
        </w:rPr>
      </w:pPr>
      <w:r w:rsidRPr="00443E42">
        <w:rPr>
          <w:rFonts w:cs="Calibri Light"/>
        </w:rPr>
        <w:t>Australian dollars (AUD); or</w:t>
      </w:r>
    </w:p>
    <w:p w14:paraId="34609171" w14:textId="696117BF" w:rsidR="000C498B" w:rsidRDefault="000C498B" w:rsidP="004A6146">
      <w:pPr>
        <w:pStyle w:val="AlphaParagraph"/>
        <w:numPr>
          <w:ilvl w:val="2"/>
          <w:numId w:val="10"/>
        </w:numPr>
        <w:rPr>
          <w:rFonts w:cs="Calibri Light"/>
        </w:rPr>
      </w:pPr>
      <w:r w:rsidRPr="00443E42">
        <w:rPr>
          <w:rFonts w:cs="Calibri Light"/>
        </w:rPr>
        <w:t xml:space="preserve">another fiat currency only where there is active marketing or selling in Australia, </w:t>
      </w:r>
    </w:p>
    <w:p w14:paraId="77B86EB2" w14:textId="77777777" w:rsidR="000C498B" w:rsidRPr="00443E42" w:rsidRDefault="000C498B" w:rsidP="004A6146">
      <w:pPr>
        <w:pStyle w:val="AlphaParagraph"/>
        <w:numPr>
          <w:ilvl w:val="0"/>
          <w:numId w:val="0"/>
        </w:numPr>
        <w:ind w:left="720"/>
        <w:rPr>
          <w:rFonts w:cs="Calibri Light"/>
          <w:szCs w:val="22"/>
        </w:rPr>
      </w:pPr>
      <w:r w:rsidRPr="00443E42">
        <w:rPr>
          <w:rFonts w:cs="Calibri Light"/>
          <w:szCs w:val="22"/>
        </w:rPr>
        <w:t>at face value through a claim provided by a</w:t>
      </w:r>
      <w:r w:rsidRPr="00885F47">
        <w:rPr>
          <w:rFonts w:cs="Calibri Light"/>
          <w:szCs w:val="22"/>
        </w:rPr>
        <w:t xml:space="preserve"> </w:t>
      </w:r>
      <w:r w:rsidRPr="00885F47">
        <w:rPr>
          <w:rFonts w:cs="Calibri Light"/>
          <w:i/>
          <w:iCs/>
          <w:szCs w:val="22"/>
        </w:rPr>
        <w:t xml:space="preserve">payment stablecoin </w:t>
      </w:r>
      <w:r w:rsidRPr="00443E42">
        <w:rPr>
          <w:rFonts w:cs="Calibri Light"/>
          <w:i/>
          <w:iCs/>
          <w:szCs w:val="22"/>
        </w:rPr>
        <w:t>issuer</w:t>
      </w:r>
      <w:r w:rsidRPr="00443E42">
        <w:rPr>
          <w:rFonts w:cs="Calibri Light"/>
          <w:szCs w:val="22"/>
        </w:rPr>
        <w:t xml:space="preserve"> to a customer</w:t>
      </w:r>
      <w:r w:rsidRPr="00885F47">
        <w:rPr>
          <w:rFonts w:cs="Calibri Light"/>
          <w:szCs w:val="22"/>
        </w:rPr>
        <w:t xml:space="preserve">. </w:t>
      </w:r>
    </w:p>
    <w:p w14:paraId="1366BB8A" w14:textId="68AF4BE5" w:rsidR="000C498B" w:rsidRDefault="000C498B" w:rsidP="00EB5716">
      <w:r w:rsidRPr="003E37C2">
        <w:t xml:space="preserve">Overall, most </w:t>
      </w:r>
      <w:r>
        <w:t xml:space="preserve">submissions </w:t>
      </w:r>
      <w:r w:rsidRPr="003E37C2">
        <w:t>broadly agree</w:t>
      </w:r>
      <w:r>
        <w:t>d</w:t>
      </w:r>
      <w:r w:rsidRPr="003E37C2">
        <w:t xml:space="preserve"> with the proposed definition</w:t>
      </w:r>
      <w:r w:rsidR="00C130BB">
        <w:t>,</w:t>
      </w:r>
      <w:r w:rsidRPr="003E37C2">
        <w:t xml:space="preserve"> with some minor changes suggested. </w:t>
      </w:r>
      <w:r w:rsidR="00713527">
        <w:t>Most entities in the digital asset</w:t>
      </w:r>
      <w:r w:rsidRPr="003E37C2">
        <w:t xml:space="preserve"> industry also agreed that the proposed SVF </w:t>
      </w:r>
      <w:r w:rsidR="00A51F27">
        <w:t>framework</w:t>
      </w:r>
      <w:r w:rsidR="00713527">
        <w:t xml:space="preserve"> </w:t>
      </w:r>
      <w:r w:rsidRPr="003E37C2">
        <w:t xml:space="preserve">is an appropriate framework to regulate these types of </w:t>
      </w:r>
      <w:r>
        <w:t>stablecoin arrangements</w:t>
      </w:r>
      <w:r w:rsidRPr="003E37C2">
        <w:t>.</w:t>
      </w:r>
      <w:r>
        <w:t xml:space="preserve"> </w:t>
      </w:r>
    </w:p>
    <w:p w14:paraId="67355567" w14:textId="01631DCA" w:rsidR="000C498B" w:rsidRPr="00E9516A" w:rsidRDefault="000C498B" w:rsidP="00EB5716">
      <w:r>
        <w:t>Feedback received also</w:t>
      </w:r>
      <w:r w:rsidRPr="00E9516A">
        <w:t xml:space="preserve"> suggested that the term </w:t>
      </w:r>
      <w:r>
        <w:t>‘</w:t>
      </w:r>
      <w:r w:rsidRPr="00E9516A">
        <w:t>Payment Stablecoins</w:t>
      </w:r>
      <w:r>
        <w:t>’</w:t>
      </w:r>
      <w:r w:rsidRPr="00E9516A">
        <w:t xml:space="preserve"> be changed to fiat-backed stablecoin or fiat-collateralised stablecoins to refer to the type of assets backing these stablecoins or to use a term similar to </w:t>
      </w:r>
      <w:r w:rsidR="00C130BB">
        <w:t>‘</w:t>
      </w:r>
      <w:r w:rsidRPr="00E9516A">
        <w:t>electronic money token</w:t>
      </w:r>
      <w:r w:rsidR="00C130BB">
        <w:t>’</w:t>
      </w:r>
      <w:r w:rsidRPr="00E9516A">
        <w:t xml:space="preserve"> or </w:t>
      </w:r>
      <w:r w:rsidR="00C130BB">
        <w:t>‘</w:t>
      </w:r>
      <w:r w:rsidR="006E5913" w:rsidRPr="00E9516A">
        <w:t>Stored</w:t>
      </w:r>
      <w:r w:rsidR="006E5913">
        <w:t>-v</w:t>
      </w:r>
      <w:r w:rsidR="006E5913" w:rsidRPr="00E9516A">
        <w:t xml:space="preserve">alue </w:t>
      </w:r>
      <w:r w:rsidRPr="00E9516A">
        <w:t>token</w:t>
      </w:r>
      <w:r w:rsidR="00C130BB">
        <w:t>’</w:t>
      </w:r>
      <w:r w:rsidRPr="00E9516A">
        <w:t xml:space="preserve"> to signify the underlying technology used. </w:t>
      </w:r>
      <w:r w:rsidR="001D6250">
        <w:t>T</w:t>
      </w:r>
      <w:r w:rsidRPr="00E9516A">
        <w:t>his paper continue</w:t>
      </w:r>
      <w:r w:rsidR="001D6250">
        <w:t>s</w:t>
      </w:r>
      <w:r w:rsidRPr="00E9516A">
        <w:t xml:space="preserve"> to use the term </w:t>
      </w:r>
      <w:r>
        <w:t>‘</w:t>
      </w:r>
      <w:r w:rsidRPr="00E9516A">
        <w:t>Payment Stablecoin</w:t>
      </w:r>
      <w:r>
        <w:t>s</w:t>
      </w:r>
      <w:r w:rsidR="008245A5">
        <w:t>’</w:t>
      </w:r>
      <w:r w:rsidR="005C7910">
        <w:t>,</w:t>
      </w:r>
      <w:r w:rsidRPr="00E9516A">
        <w:t xml:space="preserve"> but </w:t>
      </w:r>
      <w:r w:rsidR="008245A5">
        <w:t>the</w:t>
      </w:r>
      <w:r w:rsidRPr="00E9516A">
        <w:t xml:space="preserve"> adopti</w:t>
      </w:r>
      <w:r w:rsidR="008245A5">
        <w:t>on</w:t>
      </w:r>
      <w:r w:rsidRPr="00E9516A">
        <w:t xml:space="preserve"> </w:t>
      </w:r>
      <w:r w:rsidR="008245A5">
        <w:t>of another</w:t>
      </w:r>
      <w:r w:rsidRPr="00E9516A">
        <w:t xml:space="preserve"> term </w:t>
      </w:r>
      <w:r w:rsidR="008245A5">
        <w:t xml:space="preserve">such as </w:t>
      </w:r>
      <w:r>
        <w:t>F</w:t>
      </w:r>
      <w:r w:rsidRPr="00E9516A">
        <w:t>iat-</w:t>
      </w:r>
      <w:r>
        <w:t>B</w:t>
      </w:r>
      <w:r w:rsidRPr="00E9516A">
        <w:t xml:space="preserve">acked </w:t>
      </w:r>
      <w:r>
        <w:t>S</w:t>
      </w:r>
      <w:r w:rsidRPr="00E9516A">
        <w:t>tablecoin</w:t>
      </w:r>
      <w:r>
        <w:t xml:space="preserve"> </w:t>
      </w:r>
      <w:r w:rsidR="00C543CB">
        <w:t xml:space="preserve">will be considered </w:t>
      </w:r>
      <w:r w:rsidRPr="00E9516A">
        <w:t xml:space="preserve">to adequately distinguish stablecoins that are backed by fiat currency and can be </w:t>
      </w:r>
      <w:r>
        <w:t>used as a store of value or a means</w:t>
      </w:r>
      <w:r w:rsidRPr="00E9516A">
        <w:t xml:space="preserve"> </w:t>
      </w:r>
      <w:r>
        <w:t>of</w:t>
      </w:r>
      <w:r w:rsidRPr="00E9516A">
        <w:t xml:space="preserve"> payment.</w:t>
      </w:r>
      <w:r>
        <w:t xml:space="preserve"> </w:t>
      </w:r>
    </w:p>
    <w:p w14:paraId="73363E5D" w14:textId="69C04D01" w:rsidR="0016794C" w:rsidRDefault="0016794C" w:rsidP="00EB5716">
      <w:r w:rsidRPr="0016794C">
        <w:t>Closed loop stablecoin operations, that can only be used within a particular environment or are limited to a specific platform</w:t>
      </w:r>
      <w:r w:rsidR="00942ED7">
        <w:t>,</w:t>
      </w:r>
      <w:r w:rsidRPr="0016794C">
        <w:t xml:space="preserve"> are not considered a PSC and hence are not intended to be regulated under the proposed SVF framework. </w:t>
      </w:r>
    </w:p>
    <w:p w14:paraId="0A7E7E54" w14:textId="251F9029" w:rsidR="00A51F27" w:rsidRDefault="00A51F27" w:rsidP="00EB5716">
      <w:r>
        <w:t xml:space="preserve">The rationale for regulating PSCs under the proposed SVF framework is that PSCs offer certain features which makes them functionally similar to fiat currency held in traditional SVFs. These features </w:t>
      </w:r>
      <w:r>
        <w:lastRenderedPageBreak/>
        <w:t>include the ability to be accepted as a means of payment or held as a store of value. Issuers of these stablecoins typically hold cash or cash-equivalent reserves to support the stability of the value of the stablecoin, relative to the fiat currency to which it is linked.</w:t>
      </w:r>
    </w:p>
    <w:p w14:paraId="7D327C5B" w14:textId="1AA4E97A" w:rsidR="000C498B" w:rsidRPr="000C4061" w:rsidRDefault="000C498B" w:rsidP="000C498B">
      <w:pPr>
        <w:pStyle w:val="Heading3"/>
      </w:pPr>
      <w:r w:rsidRPr="000C4061">
        <w:t>Overview of regulatory framework for PSCs</w:t>
      </w:r>
    </w:p>
    <w:p w14:paraId="5206AE94" w14:textId="2BBD4502" w:rsidR="00EC4751" w:rsidRPr="00C40933" w:rsidRDefault="00EC4751" w:rsidP="00EC4751">
      <w:pPr>
        <w:pStyle w:val="Heading4"/>
      </w:pPr>
      <w:r>
        <w:t>The n</w:t>
      </w:r>
      <w:r w:rsidRPr="00C40933">
        <w:t xml:space="preserve">eed for separate treatment of </w:t>
      </w:r>
      <w:r w:rsidR="00CB30CC">
        <w:t>Payment Stablecoin</w:t>
      </w:r>
      <w:r w:rsidRPr="00C40933">
        <w:t xml:space="preserve"> arrangements</w:t>
      </w:r>
    </w:p>
    <w:p w14:paraId="7A94FEBF" w14:textId="03F82FC6" w:rsidR="00755873" w:rsidRDefault="00755873" w:rsidP="002A2702">
      <w:pPr>
        <w:rPr>
          <w:shd w:val="clear" w:color="auto" w:fill="FFFFFF"/>
        </w:rPr>
      </w:pPr>
      <w:r>
        <w:t xml:space="preserve">Payment </w:t>
      </w:r>
      <w:r w:rsidR="00CB30CC">
        <w:t>Stablecoin</w:t>
      </w:r>
      <w:r>
        <w:t xml:space="preserve"> arrangements are a type of ‘token-based system’.</w:t>
      </w:r>
      <w:r w:rsidRPr="000262D6">
        <w:rPr>
          <w:vertAlign w:val="superscript"/>
        </w:rPr>
        <w:footnoteReference w:id="11"/>
      </w:r>
      <w:r>
        <w:t xml:space="preserve"> </w:t>
      </w:r>
      <w:r>
        <w:rPr>
          <w:shd w:val="clear" w:color="auto" w:fill="FFFFFF"/>
        </w:rPr>
        <w:t>A ‘token-based system’ is a method of record keeping where a right, benefit, or claim (</w:t>
      </w:r>
      <w:r w:rsidRPr="0007127B">
        <w:rPr>
          <w:bCs/>
          <w:shd w:val="clear" w:color="auto" w:fill="FFFFFF"/>
        </w:rPr>
        <w:t>entitlement</w:t>
      </w:r>
      <w:r>
        <w:rPr>
          <w:shd w:val="clear" w:color="auto" w:fill="FFFFFF"/>
        </w:rPr>
        <w:t>) accrues to the holder of a particular token (</w:t>
      </w:r>
      <w:r w:rsidRPr="0007127B">
        <w:rPr>
          <w:bCs/>
          <w:shd w:val="clear" w:color="auto" w:fill="FFFFFF"/>
        </w:rPr>
        <w:t>token holder</w:t>
      </w:r>
      <w:r>
        <w:rPr>
          <w:shd w:val="clear" w:color="auto" w:fill="FFFFFF"/>
        </w:rPr>
        <w:t>).</w:t>
      </w:r>
      <w:r w:rsidRPr="000262D6">
        <w:rPr>
          <w:vertAlign w:val="superscript"/>
        </w:rPr>
        <w:footnoteReference w:id="12"/>
      </w:r>
      <w:r>
        <w:rPr>
          <w:shd w:val="clear" w:color="auto" w:fill="FFFFFF"/>
        </w:rPr>
        <w:t xml:space="preserve"> A theatre ticketing system is an example of a token-based system (i.e. any person in possession of a particular piece of paper (token holder) is entitled to enter the relevant theatre (entitlement)). A </w:t>
      </w:r>
      <w:r w:rsidR="00CB30CC">
        <w:rPr>
          <w:shd w:val="clear" w:color="auto" w:fill="FFFFFF"/>
        </w:rPr>
        <w:t>Payment Stablecoin</w:t>
      </w:r>
      <w:r>
        <w:rPr>
          <w:shd w:val="clear" w:color="auto" w:fill="FFFFFF"/>
        </w:rPr>
        <w:t xml:space="preserve"> arrangement involves the holder of a particular crypto token (token holder) being entitled to redeem that token for a fixed amount of ’fiat currency’ (entitlement).</w:t>
      </w:r>
      <w:r w:rsidRPr="000262D6">
        <w:rPr>
          <w:vertAlign w:val="superscript"/>
        </w:rPr>
        <w:footnoteReference w:id="13"/>
      </w:r>
      <w:r>
        <w:rPr>
          <w:shd w:val="clear" w:color="auto" w:fill="FFFFFF"/>
        </w:rPr>
        <w:t xml:space="preserve">  </w:t>
      </w:r>
    </w:p>
    <w:p w14:paraId="05D7E3CD" w14:textId="234B85C0" w:rsidR="000A1253" w:rsidRDefault="000A1253" w:rsidP="002A2702">
      <w:pPr>
        <w:rPr>
          <w:shd w:val="clear" w:color="auto" w:fill="FFFFFF"/>
        </w:rPr>
      </w:pPr>
      <w:r>
        <w:t xml:space="preserve">The need for different regulatory treatment of </w:t>
      </w:r>
      <w:r w:rsidR="00CB30CC">
        <w:t>Payment Stablecoin</w:t>
      </w:r>
      <w:r>
        <w:t xml:space="preserve"> arrangements compared to traditional SVF facilities arises because, as with </w:t>
      </w:r>
      <w:r>
        <w:rPr>
          <w:shd w:val="clear" w:color="auto" w:fill="FFFFFF"/>
        </w:rPr>
        <w:t>any token-based system, the business responsible for the issuance and redemption of entitlements has no role in facilitating the transactions that take place in relation to the associated token.</w:t>
      </w:r>
      <w:r>
        <w:rPr>
          <w:rStyle w:val="FootnoteReference"/>
          <w:rFonts w:cs="Calibri Light"/>
          <w:color w:val="000000"/>
          <w:szCs w:val="22"/>
          <w:shd w:val="clear" w:color="auto" w:fill="FFFFFF"/>
        </w:rPr>
        <w:footnoteReference w:id="14"/>
      </w:r>
      <w:r>
        <w:rPr>
          <w:shd w:val="clear" w:color="auto" w:fill="FFFFFF"/>
        </w:rPr>
        <w:t xml:space="preserve"> Transactional functions are facilitated by third-party service providers who have chosen to accept the relevant token for some purpose. The purposes are not set by the issuer. For example, a merchant may be willing to accept certain tokens as payment, a derivatives issuer may be willing to accept certain tokens as collateral, or a borrower may be willing to borrow certain tokens in return for interest payments. In all cases, the business responsible for issuance and redemption of an entitlement remains responsible only for the issuance and redemption of entitlements.</w:t>
      </w:r>
      <w:r>
        <w:rPr>
          <w:rStyle w:val="FootnoteReference"/>
          <w:rFonts w:cs="Calibri Light"/>
          <w:color w:val="000000"/>
          <w:szCs w:val="22"/>
          <w:shd w:val="clear" w:color="auto" w:fill="FFFFFF"/>
        </w:rPr>
        <w:footnoteReference w:id="15"/>
      </w:r>
      <w:r>
        <w:rPr>
          <w:shd w:val="clear" w:color="auto" w:fill="FFFFFF"/>
        </w:rPr>
        <w:t xml:space="preserve"> </w:t>
      </w:r>
    </w:p>
    <w:p w14:paraId="464AEDD0" w14:textId="7F776A7E" w:rsidR="000A1253" w:rsidRDefault="000A1253" w:rsidP="002A2702">
      <w:pPr>
        <w:rPr>
          <w:shd w:val="clear" w:color="auto" w:fill="FFFFFF"/>
        </w:rPr>
      </w:pPr>
      <w:r>
        <w:rPr>
          <w:shd w:val="clear" w:color="auto" w:fill="FFFFFF"/>
        </w:rPr>
        <w:lastRenderedPageBreak/>
        <w:t>Except for true peer-to</w:t>
      </w:r>
      <w:r w:rsidR="007E4A36">
        <w:rPr>
          <w:shd w:val="clear" w:color="auto" w:fill="FFFFFF"/>
        </w:rPr>
        <w:t>-</w:t>
      </w:r>
      <w:r>
        <w:rPr>
          <w:shd w:val="clear" w:color="auto" w:fill="FFFFFF"/>
        </w:rPr>
        <w:t>peer transactions (i.e. those that do not involve an intermediary business), transactions involving tokens are facilitated by third party intermediaries that (at least temporarily) hold tokens on behalf of one or more of the transacting parties.</w:t>
      </w:r>
      <w:r>
        <w:rPr>
          <w:rStyle w:val="FootnoteReference"/>
          <w:rFonts w:cs="Calibri Light"/>
          <w:color w:val="000000"/>
          <w:szCs w:val="22"/>
          <w:shd w:val="clear" w:color="auto" w:fill="FFFFFF"/>
        </w:rPr>
        <w:footnoteReference w:id="16"/>
      </w:r>
    </w:p>
    <w:p w14:paraId="25186A11" w14:textId="297A41C3" w:rsidR="008249A1" w:rsidRDefault="008249A1" w:rsidP="002A2702">
      <w:r>
        <w:t xml:space="preserve">This section provides details on the interaction between the SVF Framework and the proposed framework for regulating </w:t>
      </w:r>
      <w:r w:rsidR="00C23E02">
        <w:t>‘</w:t>
      </w:r>
      <w:r>
        <w:t xml:space="preserve">digital asset facilities’.  </w:t>
      </w:r>
    </w:p>
    <w:p w14:paraId="34A9DD14" w14:textId="77777777" w:rsidR="008249A1" w:rsidRPr="00451D2D" w:rsidRDefault="008249A1" w:rsidP="002A2702">
      <w:pPr>
        <w:rPr>
          <w:sz w:val="24"/>
          <w:shd w:val="clear" w:color="auto" w:fill="FFFFFF"/>
        </w:rPr>
      </w:pPr>
      <w:r>
        <w:rPr>
          <w:shd w:val="clear" w:color="auto" w:fill="FFFFFF"/>
        </w:rPr>
        <w:t>Accommodating the potential benefits of token-based payments (such as settlement efficiency and encouraging a competitive ecosystem of third-party service providers) requires a regulatory model that: (i) acknowledges the split between the issuance/redemption functions and the transactional functions; and (ii) does not weaken the regulatory coverage compared to non-token payment products. The proposed framework adopts the approach proposed to be taken for digital assets generally under the ‘digital asset facility’ framework. This splits the regulatory model into the following two elements:</w:t>
      </w:r>
    </w:p>
    <w:p w14:paraId="73930601" w14:textId="6FFE41F9" w:rsidR="008249A1" w:rsidRPr="0041413D" w:rsidRDefault="008249A1" w:rsidP="007163DB">
      <w:pPr>
        <w:pStyle w:val="Bullet"/>
      </w:pPr>
      <w:r w:rsidRPr="0041413D">
        <w:t>ensur</w:t>
      </w:r>
      <w:r>
        <w:t>ing</w:t>
      </w:r>
      <w:r w:rsidRPr="0041413D">
        <w:t xml:space="preserve"> the integrity of the </w:t>
      </w:r>
      <w:r>
        <w:t>‘</w:t>
      </w:r>
      <w:r w:rsidRPr="0041413D">
        <w:t>entitlement</w:t>
      </w:r>
      <w:r>
        <w:t xml:space="preserve">’ underlying the </w:t>
      </w:r>
      <w:r w:rsidR="00CB30CC">
        <w:t>Payment Stablecoin</w:t>
      </w:r>
      <w:r>
        <w:t xml:space="preserve"> arrangement (i.e. r</w:t>
      </w:r>
      <w:r w:rsidRPr="0041413D">
        <w:t xml:space="preserve">egulating </w:t>
      </w:r>
      <w:r w:rsidR="00CB30CC">
        <w:t>Payment Stablecoin</w:t>
      </w:r>
      <w:r>
        <w:t xml:space="preserve"> SVFs (</w:t>
      </w:r>
      <w:r w:rsidRPr="002A2702">
        <w:t>PSC facilities</w:t>
      </w:r>
      <w:r>
        <w:t>) to ensure the proper issuance and redemption of entitlements,</w:t>
      </w:r>
      <w:r w:rsidDel="00E04702">
        <w:t xml:space="preserve"> </w:t>
      </w:r>
      <w:r>
        <w:t>minting and burning of tokens, and capacity of the entity to meet its obligations);</w:t>
      </w:r>
      <w:r w:rsidRPr="0041413D">
        <w:t xml:space="preserve"> and </w:t>
      </w:r>
      <w:r>
        <w:t xml:space="preserve">  </w:t>
      </w:r>
    </w:p>
    <w:p w14:paraId="6A5A47FA" w14:textId="4F85F964" w:rsidR="008249A1" w:rsidRPr="00E61042" w:rsidRDefault="008249A1" w:rsidP="007163DB">
      <w:pPr>
        <w:pStyle w:val="Bullet"/>
      </w:pPr>
      <w:r>
        <w:t xml:space="preserve">ensuring the integrity of ‘transactional </w:t>
      </w:r>
      <w:r w:rsidRPr="00E61042">
        <w:t>functions</w:t>
      </w:r>
      <w:r>
        <w:t>’</w:t>
      </w:r>
      <w:r w:rsidRPr="0041413D">
        <w:t xml:space="preserve"> </w:t>
      </w:r>
      <w:r>
        <w:t>facilitated by third-party service providers that accept</w:t>
      </w:r>
      <w:r w:rsidRPr="00E61042">
        <w:t xml:space="preserve"> </w:t>
      </w:r>
      <w:r w:rsidR="00CB30CC">
        <w:t>Payment Stablecoin</w:t>
      </w:r>
      <w:r w:rsidRPr="00E61042">
        <w:t xml:space="preserve"> tokens (</w:t>
      </w:r>
      <w:r w:rsidRPr="0007127B">
        <w:rPr>
          <w:bCs/>
        </w:rPr>
        <w:t>PSC tokens</w:t>
      </w:r>
      <w:r w:rsidRPr="00E61042">
        <w:t>)</w:t>
      </w:r>
      <w:r>
        <w:t>.</w:t>
      </w:r>
      <w:r w:rsidRPr="00E61042" w:rsidDel="00EB0D7F">
        <w:rPr>
          <w:rStyle w:val="FootnoteReference"/>
          <w:szCs w:val="22"/>
        </w:rPr>
        <w:t xml:space="preserve"> </w:t>
      </w:r>
    </w:p>
    <w:p w14:paraId="24882627" w14:textId="77F76573" w:rsidR="008249A1" w:rsidRDefault="008249A1" w:rsidP="002A2702">
      <w:r>
        <w:t>Under the proposed model, the relevant entitlement attached to PSC tokens would be limited to a simple ‘right to exchange a PSC token for a fixed amount of fiat currency’.</w:t>
      </w:r>
      <w:r>
        <w:rPr>
          <w:rStyle w:val="FootnoteReference"/>
        </w:rPr>
        <w:footnoteReference w:id="17"/>
      </w:r>
      <w:r>
        <w:t xml:space="preserve"> This entitlement (and therefore the PSC token itself) would not comprise a financial product. Rather:</w:t>
      </w:r>
    </w:p>
    <w:p w14:paraId="162C61F7" w14:textId="77777777" w:rsidR="008249A1" w:rsidRDefault="008249A1" w:rsidP="007163DB">
      <w:pPr>
        <w:pStyle w:val="Bullet"/>
      </w:pPr>
      <w:r>
        <w:t xml:space="preserve">the issuance and redemption </w:t>
      </w:r>
      <w:r w:rsidRPr="00296824">
        <w:rPr>
          <w:i/>
          <w:iCs/>
        </w:rPr>
        <w:t>functions</w:t>
      </w:r>
      <w:r>
        <w:t xml:space="preserve"> facilitated by PSC facilities would be regulated as financial products under the SVF framework; and </w:t>
      </w:r>
    </w:p>
    <w:p w14:paraId="3FB6F242" w14:textId="77777777" w:rsidR="008249A1" w:rsidRDefault="008249A1" w:rsidP="007163DB">
      <w:pPr>
        <w:pStyle w:val="Bullet"/>
      </w:pPr>
      <w:r>
        <w:t xml:space="preserve">the transactional functions facilitated by third-party intermediaries would be regulated as financial products under the ‘digital asset facility’ framework.   </w:t>
      </w:r>
    </w:p>
    <w:p w14:paraId="30985D61" w14:textId="5C3D282E" w:rsidR="000C498B" w:rsidRDefault="00FB4B14" w:rsidP="000C498B">
      <w:pPr>
        <w:pStyle w:val="Heading4"/>
      </w:pPr>
      <w:r>
        <w:t xml:space="preserve">Regulating </w:t>
      </w:r>
      <w:r w:rsidR="000C498B">
        <w:t xml:space="preserve">PSC facilities </w:t>
      </w:r>
      <w:r w:rsidR="0045230F">
        <w:t>through</w:t>
      </w:r>
      <w:r w:rsidR="000C498B">
        <w:t xml:space="preserve"> the SVF framework</w:t>
      </w:r>
    </w:p>
    <w:p w14:paraId="17D1AAC9" w14:textId="1254E287" w:rsidR="0045230F" w:rsidRDefault="0045230F" w:rsidP="002A2702">
      <w:r w:rsidRPr="00C0221A">
        <w:t xml:space="preserve">The framework for regulating </w:t>
      </w:r>
      <w:r w:rsidRPr="00C0221A">
        <w:rPr>
          <w:shd w:val="clear" w:color="auto" w:fill="FFFFFF"/>
        </w:rPr>
        <w:t>PSC facilities</w:t>
      </w:r>
      <w:r>
        <w:rPr>
          <w:rFonts w:cs="Calibri Light"/>
          <w:color w:val="000000"/>
          <w:szCs w:val="22"/>
          <w:shd w:val="clear" w:color="auto" w:fill="FFFFFF"/>
        </w:rPr>
        <w:t xml:space="preserve"> will </w:t>
      </w:r>
      <w:r>
        <w:t xml:space="preserve">focus on </w:t>
      </w:r>
      <w:r>
        <w:rPr>
          <w:rFonts w:cs="Calibri Light"/>
          <w:color w:val="000000"/>
          <w:szCs w:val="22"/>
          <w:shd w:val="clear" w:color="auto" w:fill="FFFFFF"/>
        </w:rPr>
        <w:t xml:space="preserve">the </w:t>
      </w:r>
      <w:r>
        <w:t>business responsible for the issuance and redemption of entitlements (</w:t>
      </w:r>
      <w:r w:rsidRPr="0007127B">
        <w:t>facility provider</w:t>
      </w:r>
      <w:r>
        <w:t>)</w:t>
      </w:r>
      <w:r>
        <w:rPr>
          <w:rFonts w:cs="Calibri Light"/>
          <w:color w:val="000000"/>
          <w:szCs w:val="22"/>
          <w:shd w:val="clear" w:color="auto" w:fill="FFFFFF"/>
        </w:rPr>
        <w:t>.</w:t>
      </w:r>
      <w:r>
        <w:rPr>
          <w:rStyle w:val="FootnoteReference"/>
          <w:rFonts w:cs="Calibri Light"/>
          <w:color w:val="000000"/>
          <w:szCs w:val="22"/>
          <w:shd w:val="clear" w:color="auto" w:fill="FFFFFF"/>
        </w:rPr>
        <w:footnoteReference w:id="18"/>
      </w:r>
      <w:r>
        <w:rPr>
          <w:rFonts w:cs="Calibri Light"/>
          <w:color w:val="000000"/>
          <w:szCs w:val="22"/>
          <w:shd w:val="clear" w:color="auto" w:fill="FFFFFF"/>
        </w:rPr>
        <w:t xml:space="preserve"> The proposed regulations and obligations</w:t>
      </w:r>
      <w:r>
        <w:t xml:space="preserve"> for PSC facilities will largely replicate those that apply to traditional SVFs, including the holding of client monies, disclosure obligation</w:t>
      </w:r>
      <w:r w:rsidR="00D267D9">
        <w:t>s</w:t>
      </w:r>
      <w:r>
        <w:t xml:space="preserve">, and the general and conduct obligations that attach to </w:t>
      </w:r>
      <w:r w:rsidR="00573505">
        <w:t>Australian Financial Services Licence (</w:t>
      </w:r>
      <w:r>
        <w:t>AFSL</w:t>
      </w:r>
      <w:r w:rsidR="00573505">
        <w:t>)</w:t>
      </w:r>
      <w:r>
        <w:t xml:space="preserve"> holder</w:t>
      </w:r>
      <w:r w:rsidR="00C82F1F">
        <w:t>s</w:t>
      </w:r>
      <w:r>
        <w:t>.</w:t>
      </w:r>
    </w:p>
    <w:p w14:paraId="6191ABA6" w14:textId="3463AEB7" w:rsidR="0045230F" w:rsidRDefault="0045230F" w:rsidP="002A2702">
      <w:r>
        <w:t>The geographical scope of the SVF framework w</w:t>
      </w:r>
      <w:r>
        <w:rPr>
          <w:shd w:val="clear" w:color="auto" w:fill="FFFFFF"/>
        </w:rPr>
        <w:t xml:space="preserve">ould encompass facility providers ‘carrying on a financial services business in Australia’ in the same way as traditional SVFs. However, </w:t>
      </w:r>
      <w:r>
        <w:t xml:space="preserve">the split between issuance/redemption and transactional functions introduces one key difference. It may be </w:t>
      </w:r>
      <w:r>
        <w:lastRenderedPageBreak/>
        <w:t xml:space="preserve">possible for a </w:t>
      </w:r>
      <w:r w:rsidR="005F6EC8">
        <w:t>fiat</w:t>
      </w:r>
      <w:r w:rsidR="001800E2">
        <w:t>-</w:t>
      </w:r>
      <w:r w:rsidR="002E5962">
        <w:t>backed stablecoin</w:t>
      </w:r>
      <w:r>
        <w:t xml:space="preserve"> to be accepted by a third-party business in Australia without the </w:t>
      </w:r>
      <w:r w:rsidR="001925F4">
        <w:t xml:space="preserve">foreign </w:t>
      </w:r>
      <w:r w:rsidR="002E5962">
        <w:t>facility provider</w:t>
      </w:r>
      <w:r>
        <w:t xml:space="preserve"> ‘carrying on a financial services business in Australia’. For example, a secondary market for </w:t>
      </w:r>
      <w:r w:rsidR="00496896">
        <w:t>such stablecoins</w:t>
      </w:r>
      <w:r>
        <w:t xml:space="preserve"> can exist in Australia without any steps being taken by the </w:t>
      </w:r>
      <w:r w:rsidR="00496896">
        <w:t xml:space="preserve">foreign </w:t>
      </w:r>
      <w:r>
        <w:t xml:space="preserve">facility provider or without the facility provider ever facilitating issuance or redemption for an Australian </w:t>
      </w:r>
      <w:r w:rsidR="00496896">
        <w:t xml:space="preserve">consumer </w:t>
      </w:r>
      <w:r>
        <w:t xml:space="preserve">directly.  </w:t>
      </w:r>
    </w:p>
    <w:p w14:paraId="2C72ECDA" w14:textId="37BA0D53" w:rsidR="0045230F" w:rsidRDefault="0045230F" w:rsidP="002A2702">
      <w:r>
        <w:t>Under the proposed framework, h</w:t>
      </w:r>
      <w:r w:rsidRPr="00D84181">
        <w:t>olding and transacting in a PSC token</w:t>
      </w:r>
      <w:r>
        <w:t xml:space="preserve"> on behalf of a customer</w:t>
      </w:r>
      <w:r w:rsidRPr="00D84181">
        <w:t xml:space="preserve"> would not be considered ‘dealing in’ a PSC facility.</w:t>
      </w:r>
      <w:r>
        <w:t xml:space="preserve"> In the secondary market example above, the secondary market operator would be regulated through the digital asset </w:t>
      </w:r>
      <w:r w:rsidR="007913CF">
        <w:t>facility</w:t>
      </w:r>
      <w:r>
        <w:t xml:space="preserve"> framework, rather than the PSC facility framework.</w:t>
      </w:r>
    </w:p>
    <w:p w14:paraId="4FF5301A" w14:textId="77777777" w:rsidR="0045230F" w:rsidRDefault="0045230F" w:rsidP="002A2702">
      <w:pPr>
        <w:rPr>
          <w:shd w:val="clear" w:color="auto" w:fill="FFFFFF"/>
        </w:rPr>
      </w:pPr>
      <w:r>
        <w:rPr>
          <w:shd w:val="clear" w:color="auto" w:fill="FFFFFF"/>
        </w:rPr>
        <w:t>However, businesses that act more like brokers between PSC token holders and PSC facilities would need to be licensed to deal in PSC facilities.  This may include, for example, a digital asset platform that automatically redeems any PSC token deposited by customers (as opposed to most platforms, which simply hold the PSC tokens that are deposited, like any other token).</w:t>
      </w:r>
      <w:r>
        <w:rPr>
          <w:rStyle w:val="FootnoteReference"/>
          <w:rFonts w:cs="Calibri Light"/>
          <w:color w:val="000000"/>
          <w:szCs w:val="22"/>
          <w:shd w:val="clear" w:color="auto" w:fill="FFFFFF"/>
        </w:rPr>
        <w:footnoteReference w:id="19"/>
      </w:r>
      <w:r>
        <w:rPr>
          <w:shd w:val="clear" w:color="auto" w:fill="FFFFFF"/>
        </w:rPr>
        <w:t xml:space="preserve">    </w:t>
      </w:r>
    </w:p>
    <w:p w14:paraId="07BD5DF5" w14:textId="401B4975" w:rsidR="000C498B" w:rsidRDefault="0045230F" w:rsidP="000C498B">
      <w:pPr>
        <w:pStyle w:val="Heading4"/>
        <w:rPr>
          <w:shd w:val="clear" w:color="auto" w:fill="FFFFFF"/>
        </w:rPr>
      </w:pPr>
      <w:r w:rsidRPr="00FF4FF3">
        <w:rPr>
          <w:shd w:val="clear" w:color="auto" w:fill="FFFFFF"/>
        </w:rPr>
        <w:t xml:space="preserve">Regulating </w:t>
      </w:r>
      <w:r w:rsidR="000C498B">
        <w:rPr>
          <w:shd w:val="clear" w:color="auto" w:fill="FFFFFF"/>
        </w:rPr>
        <w:t xml:space="preserve">PSC tokens </w:t>
      </w:r>
      <w:r>
        <w:rPr>
          <w:shd w:val="clear" w:color="auto" w:fill="FFFFFF"/>
        </w:rPr>
        <w:t>through</w:t>
      </w:r>
      <w:r w:rsidR="000C498B">
        <w:rPr>
          <w:shd w:val="clear" w:color="auto" w:fill="FFFFFF"/>
        </w:rPr>
        <w:t xml:space="preserve"> the digital asset </w:t>
      </w:r>
      <w:r w:rsidR="004E6EEF">
        <w:rPr>
          <w:shd w:val="clear" w:color="auto" w:fill="FFFFFF"/>
        </w:rPr>
        <w:t xml:space="preserve">facility </w:t>
      </w:r>
      <w:r w:rsidR="000C498B">
        <w:rPr>
          <w:shd w:val="clear" w:color="auto" w:fill="FFFFFF"/>
        </w:rPr>
        <w:t>framework</w:t>
      </w:r>
    </w:p>
    <w:p w14:paraId="0856666B" w14:textId="425D66B2" w:rsidR="00D9457B" w:rsidRDefault="00D9457B" w:rsidP="002A2702">
      <w:pPr>
        <w:rPr>
          <w:shd w:val="clear" w:color="auto" w:fill="FFFFFF"/>
        </w:rPr>
      </w:pPr>
      <w:r>
        <w:rPr>
          <w:shd w:val="clear" w:color="auto" w:fill="FFFFFF"/>
        </w:rPr>
        <w:t xml:space="preserve">The framework for regulating </w:t>
      </w:r>
      <w:r w:rsidRPr="009B25E3">
        <w:rPr>
          <w:shd w:val="clear" w:color="auto" w:fill="FFFFFF"/>
        </w:rPr>
        <w:t>PSC tokens</w:t>
      </w:r>
      <w:r>
        <w:rPr>
          <w:shd w:val="clear" w:color="auto" w:fill="FFFFFF"/>
        </w:rPr>
        <w:t xml:space="preserve"> relies on the digital asset facility framework, which covers third-party intermediaries holding tokens on behalf of customers. Given token transactions can only be initiated and facilitated by token holders, the focus on intermediary token holders under the digital asset facility framework inherently covers all businesses offering: </w:t>
      </w:r>
    </w:p>
    <w:p w14:paraId="75A3DA9A" w14:textId="77777777" w:rsidR="00D9457B" w:rsidRPr="002A2702" w:rsidRDefault="00D9457B" w:rsidP="007163DB">
      <w:pPr>
        <w:pStyle w:val="Bullet"/>
      </w:pPr>
      <w:r>
        <w:rPr>
          <w:shd w:val="clear" w:color="auto" w:fill="FFFFFF"/>
        </w:rPr>
        <w:t xml:space="preserve">products used by merchants </w:t>
      </w:r>
      <w:r w:rsidRPr="002A2702">
        <w:t>to accept payments in tokens;</w:t>
      </w:r>
      <w:r w:rsidRPr="00DB15DD">
        <w:rPr>
          <w:rStyle w:val="FootnoteReference"/>
          <w:sz w:val="22"/>
        </w:rPr>
        <w:footnoteReference w:id="20"/>
      </w:r>
    </w:p>
    <w:p w14:paraId="2A064DF1" w14:textId="68F047CB" w:rsidR="00D9457B" w:rsidRPr="002A2702" w:rsidRDefault="00D9457B" w:rsidP="005A148F">
      <w:pPr>
        <w:pStyle w:val="Bullet"/>
      </w:pPr>
      <w:r w:rsidRPr="002A2702">
        <w:t>token custody products (such as ‘wallets-as-a-service’</w:t>
      </w:r>
      <w:r w:rsidRPr="002A2702" w:rsidDel="003322D4">
        <w:t>)</w:t>
      </w:r>
      <w:r w:rsidRPr="002A2702">
        <w:t>;</w:t>
      </w:r>
    </w:p>
    <w:p w14:paraId="4EE8E41A" w14:textId="77777777" w:rsidR="00D9457B" w:rsidRPr="00DE27A7" w:rsidRDefault="00D9457B" w:rsidP="007163DB">
      <w:pPr>
        <w:pStyle w:val="Bullet"/>
      </w:pPr>
      <w:r w:rsidRPr="00DE27A7">
        <w:t>products designed for ‘savings’ or ‘investments’ (e.g. interest bearing ‘earn’ accounts)</w:t>
      </w:r>
      <w:r>
        <w:t>;</w:t>
      </w:r>
    </w:p>
    <w:p w14:paraId="57839335" w14:textId="20FA2167" w:rsidR="00D9457B" w:rsidRPr="00DE27A7" w:rsidRDefault="00D9457B" w:rsidP="007163DB">
      <w:pPr>
        <w:pStyle w:val="Bullet"/>
      </w:pPr>
      <w:r>
        <w:t xml:space="preserve">other </w:t>
      </w:r>
      <w:r w:rsidRPr="00DE27A7">
        <w:t xml:space="preserve">financial </w:t>
      </w:r>
      <w:r>
        <w:t>products and services that involve tokens</w:t>
      </w:r>
      <w:r w:rsidRPr="00DE27A7">
        <w:t xml:space="preserve"> (e.g. a derivates </w:t>
      </w:r>
      <w:r>
        <w:t>issuer</w:t>
      </w:r>
      <w:r w:rsidRPr="00DE27A7">
        <w:t xml:space="preserve"> that accepts tokens as collateral</w:t>
      </w:r>
      <w:r>
        <w:t xml:space="preserve"> or a managed investment scheme holding tokens for members</w:t>
      </w:r>
      <w:r w:rsidRPr="00DE27A7">
        <w:t xml:space="preserve">); </w:t>
      </w:r>
      <w:r w:rsidR="002E5C65">
        <w:t>and</w:t>
      </w:r>
    </w:p>
    <w:p w14:paraId="6DB34951" w14:textId="77777777" w:rsidR="00D9457B" w:rsidRPr="00DE27A7" w:rsidRDefault="00D9457B" w:rsidP="007163DB">
      <w:pPr>
        <w:pStyle w:val="Bullet"/>
      </w:pPr>
      <w:r>
        <w:t>products that involve the trading of</w:t>
      </w:r>
      <w:r w:rsidRPr="00DE27A7">
        <w:t xml:space="preserve"> digital </w:t>
      </w:r>
      <w:r>
        <w:t>assets</w:t>
      </w:r>
      <w:r w:rsidRPr="00DE27A7">
        <w:t xml:space="preserve"> (e.g. trading platforms</w:t>
      </w:r>
      <w:r>
        <w:t xml:space="preserve"> for digital assets</w:t>
      </w:r>
      <w:r w:rsidRPr="00DE27A7">
        <w:t xml:space="preserve">).  </w:t>
      </w:r>
    </w:p>
    <w:p w14:paraId="24AED3D3" w14:textId="77777777" w:rsidR="00D9457B" w:rsidRDefault="00D9457B" w:rsidP="008E6595">
      <w:pPr>
        <w:pStyle w:val="HHText"/>
        <w:rPr>
          <w:shd w:val="clear" w:color="auto" w:fill="FFFFFF"/>
        </w:rPr>
      </w:pPr>
      <w:r>
        <w:rPr>
          <w:shd w:val="clear" w:color="auto" w:fill="FFFFFF"/>
        </w:rPr>
        <w:t>The digital asset facility framework does not distinguish between tokens issued in Australia and tokens issued abroad. This means that a digital asset facility could facilitate transactions (e.g. make available for sale) PSC tokens created under the SVF framework, together with other types of stablecoins.  The Government does not propose to prohibit other types of stablecoins. However:</w:t>
      </w:r>
    </w:p>
    <w:p w14:paraId="620114ED" w14:textId="2ABCBD26" w:rsidR="00D9457B" w:rsidRDefault="00D9457B" w:rsidP="007163DB">
      <w:pPr>
        <w:pStyle w:val="Bullet"/>
        <w:rPr>
          <w:shd w:val="clear" w:color="auto" w:fill="FFFFFF"/>
        </w:rPr>
      </w:pPr>
      <w:r>
        <w:rPr>
          <w:shd w:val="clear" w:color="auto" w:fill="FFFFFF"/>
        </w:rPr>
        <w:t xml:space="preserve">stablecoins created outside the SVF framework will be assessed against the ‘financial product’ definitions in the usual manner (e.g. an entitlement attached to a stablecoin may itself be a financial product, which could bring the issuer into the financial services regulatory perimeter </w:t>
      </w:r>
      <w:r>
        <w:rPr>
          <w:shd w:val="clear" w:color="auto" w:fill="FFFFFF"/>
        </w:rPr>
        <w:lastRenderedPageBreak/>
        <w:t xml:space="preserve">and may require the token to be transferred, traded and settled pursuant to the frameworks that apply under the existing financial services framework); </w:t>
      </w:r>
      <w:r w:rsidR="001A086A">
        <w:rPr>
          <w:shd w:val="clear" w:color="auto" w:fill="FFFFFF"/>
        </w:rPr>
        <w:t>and</w:t>
      </w:r>
    </w:p>
    <w:p w14:paraId="6B5E3304" w14:textId="7D62A4B8" w:rsidR="000D6202" w:rsidRDefault="00D9457B" w:rsidP="00E42AA2">
      <w:pPr>
        <w:pStyle w:val="Bullet"/>
        <w:rPr>
          <w:shd w:val="clear" w:color="auto" w:fill="FFFFFF"/>
        </w:rPr>
      </w:pPr>
      <w:r>
        <w:rPr>
          <w:shd w:val="clear" w:color="auto" w:fill="FFFFFF"/>
        </w:rPr>
        <w:t>PSC tokens created pursuant to the SVF framework will be able to be referred to and advertised as being in compliance with the SVF framework.</w:t>
      </w:r>
      <w:r>
        <w:rPr>
          <w:rStyle w:val="FootnoteReference"/>
          <w:shd w:val="clear" w:color="auto" w:fill="FFFFFF"/>
        </w:rPr>
        <w:footnoteReference w:id="21"/>
      </w:r>
      <w:r>
        <w:rPr>
          <w:shd w:val="clear" w:color="auto" w:fill="FFFFFF"/>
        </w:rPr>
        <w:t xml:space="preserve">  </w:t>
      </w:r>
    </w:p>
    <w:tbl>
      <w:tblPr>
        <w:tblStyle w:val="TableGrid"/>
        <w:tblW w:w="0" w:type="auto"/>
        <w:tblLook w:val="04A0" w:firstRow="1" w:lastRow="0" w:firstColumn="1" w:lastColumn="0" w:noHBand="0" w:noVBand="1"/>
      </w:tblPr>
      <w:tblGrid>
        <w:gridCol w:w="9070"/>
      </w:tblGrid>
      <w:tr w:rsidR="00E2391E" w:rsidRPr="000D51D4" w14:paraId="42E37FF0"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1E51E619" w14:textId="6F429978" w:rsidR="00E2391E" w:rsidRPr="007B205C" w:rsidRDefault="00E2391E" w:rsidP="00AC4198">
            <w:pPr>
              <w:pStyle w:val="BoxHeading"/>
            </w:pPr>
            <w:r w:rsidRPr="002A0AA5">
              <w:rPr>
                <w:b/>
              </w:rPr>
              <w:t>Consultation question</w:t>
            </w:r>
          </w:p>
          <w:p w14:paraId="46F512EA" w14:textId="6E4DE332" w:rsidR="00E2391E" w:rsidRPr="000D51D4" w:rsidRDefault="000D6202" w:rsidP="001D123F">
            <w:pPr>
              <w:pStyle w:val="Consultationquestions"/>
              <w:numPr>
                <w:ilvl w:val="0"/>
                <w:numId w:val="100"/>
              </w:numPr>
            </w:pPr>
            <w:r w:rsidRPr="000D6202">
              <w:t>Do you agree with the proposed framework for PSCs and how it interacts with the Digital Asset Platform Framework? Are there any considerations that should be given or issues that can arise which have not been captured in this proposal?</w:t>
            </w:r>
          </w:p>
        </w:tc>
      </w:tr>
    </w:tbl>
    <w:p w14:paraId="3DABC6B5" w14:textId="05AB56E6" w:rsidR="00200E22" w:rsidRDefault="00BD0388" w:rsidP="00AB3D0E">
      <w:pPr>
        <w:pStyle w:val="Heading3"/>
      </w:pPr>
      <w:bookmarkStart w:id="45" w:name="_Toc149230906"/>
      <w:r>
        <w:t xml:space="preserve">Payment Instruments </w:t>
      </w:r>
      <w:bookmarkEnd w:id="45"/>
    </w:p>
    <w:p w14:paraId="796E74E4" w14:textId="4CB8AB82" w:rsidR="00BD0388" w:rsidRDefault="0039281D" w:rsidP="00EE5400">
      <w:pPr>
        <w:pStyle w:val="Heading4"/>
        <w:jc w:val="both"/>
      </w:pPr>
      <w:r>
        <w:t xml:space="preserve">Proposed </w:t>
      </w:r>
      <w:r w:rsidR="00A24BCA">
        <w:t>conceptual definition</w:t>
      </w:r>
    </w:p>
    <w:p w14:paraId="34A1DE05" w14:textId="4A1EC024" w:rsidR="009774AF" w:rsidRDefault="00B31F82" w:rsidP="00BE1583">
      <w:r>
        <w:t>A</w:t>
      </w:r>
      <w:r w:rsidR="00CC362A">
        <w:t xml:space="preserve"> personalised or individualised set of procedures</w:t>
      </w:r>
      <w:r w:rsidR="009C17C4">
        <w:t xml:space="preserve"> that allows a payer to instruct the entity with which its </w:t>
      </w:r>
      <w:r w:rsidR="00B76474">
        <w:t>funds are</w:t>
      </w:r>
      <w:r w:rsidR="009C17C4">
        <w:t xml:space="preserve"> held </w:t>
      </w:r>
      <w:r w:rsidR="00D0345E">
        <w:t>to</w:t>
      </w:r>
      <w:r w:rsidR="009C17C4">
        <w:t xml:space="preserve"> initiate a transfer of funds to a payee</w:t>
      </w:r>
      <w:r w:rsidR="00D0345E">
        <w:t>.</w:t>
      </w:r>
    </w:p>
    <w:p w14:paraId="0DE247D6" w14:textId="63987AA8" w:rsidR="009F7759" w:rsidRDefault="0039281D" w:rsidP="00EE5400">
      <w:pPr>
        <w:pStyle w:val="Heading4"/>
        <w:jc w:val="both"/>
      </w:pPr>
      <w:r>
        <w:t xml:space="preserve">Purpose and </w:t>
      </w:r>
      <w:r w:rsidR="00A24BCA">
        <w:t>scope</w:t>
      </w:r>
    </w:p>
    <w:p w14:paraId="0AD2E10F" w14:textId="178BF233" w:rsidR="009B3618" w:rsidRDefault="001E20B0" w:rsidP="00BE1583">
      <w:r>
        <w:t>This function capture</w:t>
      </w:r>
      <w:r w:rsidR="00E13128">
        <w:t>s</w:t>
      </w:r>
      <w:r>
        <w:t xml:space="preserve"> any entity that </w:t>
      </w:r>
      <w:r w:rsidR="006540A8">
        <w:t xml:space="preserve">provides </w:t>
      </w:r>
      <w:r>
        <w:t xml:space="preserve">a </w:t>
      </w:r>
      <w:r w:rsidR="006540A8">
        <w:t>financial service involving</w:t>
      </w:r>
      <w:r>
        <w:t xml:space="preserve"> a payment instrument</w:t>
      </w:r>
      <w:r w:rsidR="006540A8">
        <w:t xml:space="preserve"> (including providing advice and dealing)</w:t>
      </w:r>
      <w:r>
        <w:t xml:space="preserve">. </w:t>
      </w:r>
      <w:r w:rsidR="00C850A9">
        <w:t>The rationale for capturing</w:t>
      </w:r>
      <w:r w:rsidR="009C4FC6">
        <w:t xml:space="preserve"> these</w:t>
      </w:r>
      <w:r w:rsidR="00C850A9">
        <w:t xml:space="preserve"> entities is to address the operational risks associated with this service, particularly the risk of misconduct or fraud by an entity that comes into contact with a customer’s </w:t>
      </w:r>
      <w:r w:rsidR="00090A68">
        <w:t>security credentials or other</w:t>
      </w:r>
      <w:r w:rsidR="00A96285">
        <w:t xml:space="preserve"> details that </w:t>
      </w:r>
      <w:r w:rsidR="003C4AED">
        <w:t>are</w:t>
      </w:r>
      <w:r w:rsidR="00C850A9">
        <w:t xml:space="preserve"> linked to </w:t>
      </w:r>
      <w:r w:rsidR="00A96285">
        <w:t>the</w:t>
      </w:r>
      <w:r w:rsidR="00C850A9">
        <w:t xml:space="preserve"> customer’s payment account</w:t>
      </w:r>
      <w:r w:rsidR="00557788">
        <w:t>, as well as ensure consumer protections are applied</w:t>
      </w:r>
      <w:r w:rsidR="00C850A9">
        <w:t xml:space="preserve">. </w:t>
      </w:r>
    </w:p>
    <w:p w14:paraId="127DE319" w14:textId="53D306A6" w:rsidR="00513456" w:rsidRPr="00513456" w:rsidRDefault="00513456" w:rsidP="004527BD">
      <w:pPr>
        <w:pStyle w:val="Heading4"/>
      </w:pPr>
      <w:r w:rsidRPr="00513456">
        <w:t>Examples</w:t>
      </w:r>
    </w:p>
    <w:p w14:paraId="6CCF6AA2" w14:textId="7223B366" w:rsidR="009F7759" w:rsidRPr="009F7759" w:rsidRDefault="00B77B23" w:rsidP="00585FAE">
      <w:pPr>
        <w:keepNext/>
      </w:pPr>
      <w:r>
        <w:t>E</w:t>
      </w:r>
      <w:r w:rsidR="00E64B85">
        <w:t>ntities</w:t>
      </w:r>
      <w:r w:rsidDel="00B2385F">
        <w:t xml:space="preserve"> </w:t>
      </w:r>
      <w:r w:rsidR="006C1C89">
        <w:t>captured by this function</w:t>
      </w:r>
      <w:r>
        <w:t xml:space="preserve"> are likely to </w:t>
      </w:r>
      <w:r w:rsidR="00790DA4">
        <w:t xml:space="preserve">be </w:t>
      </w:r>
      <w:r w:rsidR="00E64B85">
        <w:t>perform</w:t>
      </w:r>
      <w:r w:rsidR="00790DA4">
        <w:t>ing</w:t>
      </w:r>
      <w:r w:rsidR="00E64B85">
        <w:t xml:space="preserve"> </w:t>
      </w:r>
      <w:r w:rsidR="00A457E2">
        <w:t xml:space="preserve">one or more of </w:t>
      </w:r>
      <w:r w:rsidR="00E64B85">
        <w:t xml:space="preserve">the following </w:t>
      </w:r>
      <w:r w:rsidR="00CF3155">
        <w:t>activities</w:t>
      </w:r>
      <w:r w:rsidR="00E64B85">
        <w:t>:</w:t>
      </w:r>
    </w:p>
    <w:p w14:paraId="36F08D11" w14:textId="5B481F93" w:rsidR="001B5906" w:rsidRDefault="001B5906" w:rsidP="0020029E">
      <w:pPr>
        <w:pStyle w:val="Bullet"/>
      </w:pPr>
      <w:r>
        <w:t>Entering into a contract with a customer to provide an instrument</w:t>
      </w:r>
      <w:r w:rsidR="005306D7">
        <w:t>. This includes setting the terms and conditions that govern the use of the instrument</w:t>
      </w:r>
      <w:r w:rsidR="00681B56">
        <w:t>.</w:t>
      </w:r>
    </w:p>
    <w:p w14:paraId="396B54C1" w14:textId="2B28A0D3" w:rsidR="00144BFA" w:rsidRPr="009F7759" w:rsidRDefault="00CA21AF" w:rsidP="0020029E">
      <w:pPr>
        <w:pStyle w:val="Bullet"/>
      </w:pPr>
      <w:r>
        <w:t>Providing</w:t>
      </w:r>
      <w:r w:rsidR="00CF3155">
        <w:t xml:space="preserve"> personalised security credentials </w:t>
      </w:r>
      <w:r w:rsidR="00B345D7">
        <w:t>to a customer</w:t>
      </w:r>
      <w:r w:rsidR="00FD4F25">
        <w:t xml:space="preserve"> and</w:t>
      </w:r>
      <w:r w:rsidR="008C2F12">
        <w:t xml:space="preserve"> instructions to activate a payment instrument</w:t>
      </w:r>
      <w:r w:rsidR="00E80C7F">
        <w:t xml:space="preserve"> </w:t>
      </w:r>
      <w:r w:rsidR="00D231F3">
        <w:t>e</w:t>
      </w:r>
      <w:r w:rsidR="00FD4F25">
        <w:t xml:space="preserve">.g. </w:t>
      </w:r>
      <w:r w:rsidR="008A1F15">
        <w:t xml:space="preserve">providing a customer with </w:t>
      </w:r>
      <w:r w:rsidR="00B953D6">
        <w:t xml:space="preserve">a </w:t>
      </w:r>
      <w:r w:rsidR="00515661">
        <w:t>personal identification number (</w:t>
      </w:r>
      <w:r w:rsidR="003132FA">
        <w:t>PIN</w:t>
      </w:r>
      <w:r w:rsidR="00515661">
        <w:t>)</w:t>
      </w:r>
      <w:r w:rsidR="003132FA">
        <w:t xml:space="preserve"> and a </w:t>
      </w:r>
      <w:r w:rsidR="00B953D6">
        <w:t xml:space="preserve">website link where a </w:t>
      </w:r>
      <w:r w:rsidR="00D1107A">
        <w:t>new credit or debit card can be activated</w:t>
      </w:r>
      <w:r w:rsidR="003C32DF">
        <w:t>.</w:t>
      </w:r>
      <w:r w:rsidR="00C851D0">
        <w:t xml:space="preserve"> </w:t>
      </w:r>
    </w:p>
    <w:p w14:paraId="0807C89D" w14:textId="0DF38501" w:rsidR="001B5906" w:rsidRPr="009F7759" w:rsidRDefault="00C559CC" w:rsidP="0020029E">
      <w:pPr>
        <w:pStyle w:val="Bullet"/>
      </w:pPr>
      <w:r>
        <w:t xml:space="preserve">Setting the parameters of a payment instrument </w:t>
      </w:r>
      <w:r w:rsidR="00D231F3">
        <w:t>e</w:t>
      </w:r>
      <w:r>
        <w:t xml:space="preserve">.g. spending limits, restricting the use of the instrument </w:t>
      </w:r>
      <w:r w:rsidR="00310292">
        <w:t>to particular</w:t>
      </w:r>
      <w:r>
        <w:t xml:space="preserve"> merchants</w:t>
      </w:r>
      <w:r w:rsidR="003C32DF">
        <w:t>.</w:t>
      </w:r>
    </w:p>
    <w:p w14:paraId="395280FC" w14:textId="0374E896" w:rsidR="00310292" w:rsidRPr="009F7759" w:rsidRDefault="00310292" w:rsidP="0020029E">
      <w:pPr>
        <w:pStyle w:val="Bullet"/>
      </w:pPr>
      <w:r>
        <w:t xml:space="preserve">Providing program management services for a payment instrument </w:t>
      </w:r>
      <w:r w:rsidR="00D231F3">
        <w:t>e</w:t>
      </w:r>
      <w:r>
        <w:t>.g. issuing replacement payment instruments</w:t>
      </w:r>
      <w:r w:rsidR="00501BFA">
        <w:t xml:space="preserve"> in the event the original is lost, PIN generation or PIN reset services</w:t>
      </w:r>
      <w:r w:rsidR="00E0077C">
        <w:t>.</w:t>
      </w:r>
    </w:p>
    <w:p w14:paraId="7250FB39" w14:textId="77777777" w:rsidR="00BA69BB" w:rsidRDefault="00351A62" w:rsidP="00946227">
      <w:pPr>
        <w:pStyle w:val="Bullet"/>
      </w:pPr>
      <w:r>
        <w:t>A</w:t>
      </w:r>
      <w:r w:rsidR="001A45D1">
        <w:t>rranging for the issuance of a payment instrument.</w:t>
      </w:r>
      <w:r w:rsidR="00946227">
        <w:t xml:space="preserve"> </w:t>
      </w:r>
    </w:p>
    <w:p w14:paraId="4FD79D5D" w14:textId="56F0E368" w:rsidR="0040188F" w:rsidRPr="009F7759" w:rsidRDefault="0040188F" w:rsidP="00585FAE">
      <w:r>
        <w:lastRenderedPageBreak/>
        <w:t>Examples of entities that wo</w:t>
      </w:r>
      <w:r w:rsidR="00965E2D">
        <w:t>uld be captured by this function include:</w:t>
      </w:r>
    </w:p>
    <w:p w14:paraId="556606C5" w14:textId="49FF19F6" w:rsidR="00965E2D" w:rsidRPr="009F7759" w:rsidRDefault="00965E2D" w:rsidP="00A33CD6">
      <w:pPr>
        <w:pStyle w:val="Bullet"/>
      </w:pPr>
      <w:r>
        <w:t xml:space="preserve">Issuers of </w:t>
      </w:r>
      <w:r w:rsidR="003967D6">
        <w:t>cheques</w:t>
      </w:r>
      <w:r w:rsidR="00F212B4">
        <w:t>,</w:t>
      </w:r>
      <w:r w:rsidR="005516CF">
        <w:t xml:space="preserve"> </w:t>
      </w:r>
      <w:r w:rsidR="003967D6">
        <w:t>debit cards</w:t>
      </w:r>
      <w:r w:rsidR="00192584">
        <w:t xml:space="preserve">, </w:t>
      </w:r>
      <w:r w:rsidR="00B00B11">
        <w:t>credit cards,</w:t>
      </w:r>
      <w:r w:rsidR="00C84B3B">
        <w:t xml:space="preserve"> Buy Now Pay Later cards</w:t>
      </w:r>
      <w:r w:rsidR="003967D6">
        <w:t xml:space="preserve"> </w:t>
      </w:r>
      <w:r w:rsidR="00F77072">
        <w:t>and virtual payment instruments</w:t>
      </w:r>
      <w:r w:rsidR="00C05876">
        <w:t xml:space="preserve">. This includes banks, credit unions or other entities that provide customers with a card that can be used to </w:t>
      </w:r>
      <w:r w:rsidR="004326EB">
        <w:t xml:space="preserve">initiate payments from an account the customer holds with that </w:t>
      </w:r>
      <w:r w:rsidR="002F0458">
        <w:t>entity</w:t>
      </w:r>
      <w:r w:rsidR="00AC6F98">
        <w:t xml:space="preserve"> or another</w:t>
      </w:r>
      <w:r w:rsidR="004326EB">
        <w:t xml:space="preserve"> entity.</w:t>
      </w:r>
      <w:r w:rsidR="00961F56">
        <w:rPr>
          <w:rStyle w:val="FootnoteReference"/>
        </w:rPr>
        <w:footnoteReference w:id="22"/>
      </w:r>
      <w:r w:rsidR="004326EB">
        <w:t xml:space="preserve">  </w:t>
      </w:r>
    </w:p>
    <w:p w14:paraId="2A340812" w14:textId="4210A39A" w:rsidR="00366DE8" w:rsidRPr="009F7759" w:rsidRDefault="001A45D1" w:rsidP="0020029E">
      <w:pPr>
        <w:pStyle w:val="Bullet"/>
      </w:pPr>
      <w:r>
        <w:t>Entities that sell payment instruments to consumers or otherwise arrange for the issuance of the payment instrument</w:t>
      </w:r>
      <w:r w:rsidR="003356CF">
        <w:t xml:space="preserve">. Although these entities are not the issuer, they </w:t>
      </w:r>
      <w:r w:rsidR="00C03A0B">
        <w:t>distribut</w:t>
      </w:r>
      <w:r w:rsidR="009B5141">
        <w:t>e</w:t>
      </w:r>
      <w:r w:rsidR="00C03A0B">
        <w:t xml:space="preserve"> the instrument to the</w:t>
      </w:r>
      <w:r w:rsidR="003356CF">
        <w:t xml:space="preserve"> consumer</w:t>
      </w:r>
      <w:r w:rsidR="00C03A0B">
        <w:t>.</w:t>
      </w:r>
      <w:r w:rsidR="001C5CBA">
        <w:t xml:space="preserve"> </w:t>
      </w:r>
    </w:p>
    <w:p w14:paraId="496E1625" w14:textId="13A432AB" w:rsidR="00A33B88" w:rsidRDefault="00631EA8" w:rsidP="00585FAE">
      <w:r>
        <w:t>Th</w:t>
      </w:r>
      <w:r w:rsidR="00D90A7B">
        <w:t>is</w:t>
      </w:r>
      <w:r>
        <w:t xml:space="preserve"> function is </w:t>
      </w:r>
      <w:r w:rsidRPr="00A33B88">
        <w:rPr>
          <w:b/>
          <w:bCs/>
        </w:rPr>
        <w:t>not</w:t>
      </w:r>
      <w:r>
        <w:t xml:space="preserve"> intended to capture</w:t>
      </w:r>
      <w:r w:rsidR="00A33B88">
        <w:t>:</w:t>
      </w:r>
      <w:r>
        <w:t xml:space="preserve"> </w:t>
      </w:r>
    </w:p>
    <w:p w14:paraId="359AEBFB" w14:textId="5593AFFB" w:rsidR="00A33B88" w:rsidRDefault="00A33B88" w:rsidP="00A33B88">
      <w:pPr>
        <w:pStyle w:val="Bullet"/>
      </w:pPr>
      <w:r>
        <w:t>E</w:t>
      </w:r>
      <w:r w:rsidR="00631EA8">
        <w:t>ntities that administer systems or provide infrastructure for the operation of payment instruments, but are not involved in the individual issuance of a payment instrument</w:t>
      </w:r>
      <w:r w:rsidR="00BE1A60">
        <w:t>.</w:t>
      </w:r>
      <w:r w:rsidR="00631EA8">
        <w:t xml:space="preserve"> </w:t>
      </w:r>
      <w:r w:rsidR="00393AC8">
        <w:t>For example,</w:t>
      </w:r>
      <w:r w:rsidR="00631EA8">
        <w:t xml:space="preserve"> the operator of a card scheme that does not </w:t>
      </w:r>
      <w:r w:rsidR="000218FA">
        <w:t xml:space="preserve">also provide the services listed above for the cards that are certified by the scheme. </w:t>
      </w:r>
    </w:p>
    <w:p w14:paraId="3C4FCC76" w14:textId="4D0197F1" w:rsidR="00E70CE4" w:rsidRDefault="00960BAA" w:rsidP="00BE1583">
      <w:pPr>
        <w:pStyle w:val="Bullet"/>
      </w:pPr>
      <w:r>
        <w:t>T</w:t>
      </w:r>
      <w:r w:rsidR="006D46D4">
        <w:t xml:space="preserve">he issuance of a token that is linked to an underlying payment instrument or payment account (a ‘payment token’). </w:t>
      </w:r>
      <w:r w:rsidR="00F048B0">
        <w:t>In this context, ‘payment token</w:t>
      </w:r>
      <w:r w:rsidR="00C533FE">
        <w:t>’</w:t>
      </w:r>
      <w:r w:rsidR="00F048B0">
        <w:t xml:space="preserve"> is referring to </w:t>
      </w:r>
      <w:r w:rsidR="00B32942">
        <w:t xml:space="preserve">the concept of a </w:t>
      </w:r>
      <w:r w:rsidR="00AC5C54">
        <w:t xml:space="preserve">token </w:t>
      </w:r>
      <w:r w:rsidR="00397F57">
        <w:t>resulting from the tokenisat</w:t>
      </w:r>
      <w:r w:rsidR="00E014FF">
        <w:t xml:space="preserve">ion of </w:t>
      </w:r>
      <w:r w:rsidR="00CD6C0D">
        <w:t>payment instrument or account data.</w:t>
      </w:r>
      <w:r w:rsidR="00D17E48">
        <w:rPr>
          <w:rStyle w:val="FootnoteReference"/>
        </w:rPr>
        <w:footnoteReference w:id="23"/>
      </w:r>
      <w:r w:rsidR="00CD6C0D">
        <w:t xml:space="preserve"> </w:t>
      </w:r>
      <w:r w:rsidR="006A3F34">
        <w:t xml:space="preserve">This </w:t>
      </w:r>
      <w:r w:rsidR="00CB51CF">
        <w:t>act</w:t>
      </w:r>
      <w:r w:rsidR="00077417">
        <w:t>ivity</w:t>
      </w:r>
      <w:r w:rsidR="006A3F34">
        <w:t xml:space="preserve"> is currently </w:t>
      </w:r>
      <w:r w:rsidR="00E97585">
        <w:t xml:space="preserve">captured </w:t>
      </w:r>
      <w:r w:rsidR="00081074">
        <w:t>within</w:t>
      </w:r>
      <w:r w:rsidR="00E97585">
        <w:t xml:space="preserve"> the </w:t>
      </w:r>
      <w:r w:rsidR="00290AB4">
        <w:t>P</w:t>
      </w:r>
      <w:r w:rsidR="00E97585">
        <w:t xml:space="preserve">ayment </w:t>
      </w:r>
      <w:r w:rsidR="00290AB4">
        <w:t>T</w:t>
      </w:r>
      <w:r w:rsidR="00E97585">
        <w:t xml:space="preserve">echnology and </w:t>
      </w:r>
      <w:r w:rsidR="00290AB4">
        <w:t>E</w:t>
      </w:r>
      <w:r w:rsidR="00E97585">
        <w:t>nablement</w:t>
      </w:r>
      <w:r w:rsidR="00CB51CF">
        <w:t xml:space="preserve"> </w:t>
      </w:r>
      <w:r w:rsidR="00A1371F">
        <w:t>S</w:t>
      </w:r>
      <w:r w:rsidR="00CB51CF">
        <w:t>ervices</w:t>
      </w:r>
      <w:r w:rsidR="00E97585">
        <w:t xml:space="preserve"> function described in </w:t>
      </w:r>
      <w:r w:rsidR="00A5170D">
        <w:rPr>
          <w:b/>
        </w:rPr>
        <w:t>S</w:t>
      </w:r>
      <w:r w:rsidR="00A5170D" w:rsidRPr="00E22533">
        <w:rPr>
          <w:b/>
        </w:rPr>
        <w:t xml:space="preserve">ection </w:t>
      </w:r>
      <w:r w:rsidR="00104954">
        <w:rPr>
          <w:b/>
        </w:rPr>
        <w:t>2.2.7</w:t>
      </w:r>
      <w:r w:rsidR="00CB51CF">
        <w:t>.</w:t>
      </w:r>
      <w:r w:rsidR="00081074">
        <w:t xml:space="preserve"> </w:t>
      </w:r>
    </w:p>
    <w:tbl>
      <w:tblPr>
        <w:tblStyle w:val="TableGrid"/>
        <w:tblW w:w="0" w:type="auto"/>
        <w:tblLook w:val="04A0" w:firstRow="1" w:lastRow="0" w:firstColumn="1" w:lastColumn="0" w:noHBand="0" w:noVBand="1"/>
      </w:tblPr>
      <w:tblGrid>
        <w:gridCol w:w="9070"/>
      </w:tblGrid>
      <w:tr w:rsidR="00FA6D67" w14:paraId="5B41F531"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2E618580" w14:textId="7DEE7C00" w:rsidR="00FA6D67" w:rsidRPr="00454807" w:rsidRDefault="00FA6D67" w:rsidP="00454807">
            <w:pPr>
              <w:pStyle w:val="BoxText"/>
              <w:rPr>
                <w:u w:val="single"/>
              </w:rPr>
            </w:pPr>
            <w:bookmarkStart w:id="46" w:name="_Hlk148690471"/>
            <w:r w:rsidRPr="00D21052">
              <w:rPr>
                <w:b/>
                <w:u w:val="single"/>
              </w:rPr>
              <w:t>Consultation question</w:t>
            </w:r>
          </w:p>
          <w:p w14:paraId="6E4B567D" w14:textId="22152D94" w:rsidR="00FA6D67" w:rsidRPr="000D51D4" w:rsidRDefault="00CB239E" w:rsidP="001D123F">
            <w:pPr>
              <w:pStyle w:val="Consultationquestions"/>
              <w:numPr>
                <w:ilvl w:val="0"/>
                <w:numId w:val="100"/>
              </w:numPr>
            </w:pPr>
            <w:r>
              <w:t xml:space="preserve">Do you agree with the </w:t>
            </w:r>
            <w:r w:rsidR="00B52464">
              <w:t xml:space="preserve">scope of the </w:t>
            </w:r>
            <w:r w:rsidR="004F691F">
              <w:t>‘Payment Instruments’</w:t>
            </w:r>
            <w:r w:rsidR="00B52464">
              <w:t xml:space="preserve"> function as it is currently defined? Are there any services that have not been captured by the definition, but should be included (or vice versa)?</w:t>
            </w:r>
          </w:p>
        </w:tc>
      </w:tr>
    </w:tbl>
    <w:p w14:paraId="0702340E" w14:textId="76699FA6" w:rsidR="00BD0388" w:rsidRPr="00BD0388" w:rsidRDefault="004369B2" w:rsidP="00AB3D0E">
      <w:pPr>
        <w:pStyle w:val="Heading3"/>
      </w:pPr>
      <w:bookmarkStart w:id="47" w:name="_Toc149230907"/>
      <w:bookmarkEnd w:id="46"/>
      <w:r>
        <w:t xml:space="preserve">Payment Initiation </w:t>
      </w:r>
      <w:bookmarkEnd w:id="47"/>
      <w:r w:rsidR="007774AD">
        <w:t>S</w:t>
      </w:r>
      <w:r w:rsidR="00B1743A">
        <w:t xml:space="preserve">ervices </w:t>
      </w:r>
    </w:p>
    <w:p w14:paraId="22788E94" w14:textId="3298F2DA" w:rsidR="004369B2" w:rsidRPr="005870BA" w:rsidRDefault="0039281D" w:rsidP="00DA5DBD">
      <w:pPr>
        <w:pStyle w:val="Heading4"/>
        <w:jc w:val="both"/>
      </w:pPr>
      <w:r>
        <w:t xml:space="preserve">Proposed </w:t>
      </w:r>
      <w:r w:rsidR="003D0142">
        <w:t xml:space="preserve">conceptual </w:t>
      </w:r>
      <w:r w:rsidR="00485713">
        <w:t>definition</w:t>
      </w:r>
    </w:p>
    <w:p w14:paraId="611934E5" w14:textId="634D6584" w:rsidR="00972E8A" w:rsidRPr="00012390" w:rsidRDefault="00972E8A" w:rsidP="00A95A40">
      <w:r w:rsidRPr="00012390">
        <w:t xml:space="preserve">The initiation of payments from a payer to a payee by a third-party entity, at the request of a customer. The entity </w:t>
      </w:r>
      <w:r w:rsidR="00EE1594">
        <w:t>initiating a payment</w:t>
      </w:r>
      <w:r w:rsidRPr="00012390">
        <w:t xml:space="preserve"> is a third party to the payment account where the payer’s funds are held. </w:t>
      </w:r>
    </w:p>
    <w:p w14:paraId="2BB03345" w14:textId="30A97268" w:rsidR="004369B2" w:rsidRDefault="0039281D" w:rsidP="00DA5DBD">
      <w:pPr>
        <w:pStyle w:val="Heading4"/>
        <w:jc w:val="both"/>
      </w:pPr>
      <w:r>
        <w:t xml:space="preserve">Purpose and </w:t>
      </w:r>
      <w:r w:rsidR="003D0142">
        <w:t>scope</w:t>
      </w:r>
    </w:p>
    <w:p w14:paraId="65C43813" w14:textId="61B109ED" w:rsidR="00D26C3C" w:rsidRPr="00D26C3C" w:rsidRDefault="00D26C3C" w:rsidP="00A95A40">
      <w:r>
        <w:t>This function capture</w:t>
      </w:r>
      <w:r w:rsidR="00B552A7">
        <w:t>s</w:t>
      </w:r>
      <w:r>
        <w:t xml:space="preserve"> any third party that performs </w:t>
      </w:r>
      <w:r w:rsidR="0027682A">
        <w:t>payment initiation</w:t>
      </w:r>
      <w:r w:rsidR="00AF37AE">
        <w:t xml:space="preserve"> to address the operational risks associated with the ability to initiate funds transfers from a payer’s payment account. </w:t>
      </w:r>
      <w:r w:rsidR="000E2378">
        <w:t xml:space="preserve">Although the initiation of a payment </w:t>
      </w:r>
      <w:r w:rsidR="00BC0E09">
        <w:t>pri</w:t>
      </w:r>
      <w:r w:rsidR="00BA3747">
        <w:t>marily involves</w:t>
      </w:r>
      <w:r w:rsidR="000E2378">
        <w:t xml:space="preserve"> sending </w:t>
      </w:r>
      <w:r w:rsidR="00E66941">
        <w:t>instructions</w:t>
      </w:r>
      <w:r w:rsidR="00BA3747">
        <w:t xml:space="preserve"> (and not possession of the funds</w:t>
      </w:r>
      <w:r w:rsidR="00486D9F">
        <w:t>)</w:t>
      </w:r>
      <w:r w:rsidR="00E66941">
        <w:t xml:space="preserve">, </w:t>
      </w:r>
      <w:r w:rsidR="003C5AD0">
        <w:lastRenderedPageBreak/>
        <w:t xml:space="preserve">the possibility of </w:t>
      </w:r>
      <w:r w:rsidR="00E66941">
        <w:t>o</w:t>
      </w:r>
      <w:r w:rsidR="00F062A0">
        <w:t xml:space="preserve">perational errors or deliberate misconduct </w:t>
      </w:r>
      <w:r w:rsidR="000E2378">
        <w:t xml:space="preserve">may </w:t>
      </w:r>
      <w:r w:rsidR="00E66941">
        <w:t>have implications for the s</w:t>
      </w:r>
      <w:r w:rsidR="003C5AD0">
        <w:t>ecurity of a customer’s funds</w:t>
      </w:r>
      <w:r w:rsidR="009246DB">
        <w:t xml:space="preserve">. </w:t>
      </w:r>
    </w:p>
    <w:p w14:paraId="2C001D5E" w14:textId="354F7688" w:rsidR="001B0526" w:rsidRDefault="001B0526" w:rsidP="00DA5DBD">
      <w:pPr>
        <w:pStyle w:val="Heading4"/>
      </w:pPr>
      <w:r>
        <w:t>Examples</w:t>
      </w:r>
    </w:p>
    <w:p w14:paraId="5BF4EB42" w14:textId="2D10880D" w:rsidR="00BB392A" w:rsidRDefault="008B1334" w:rsidP="00E42AA2">
      <w:r>
        <w:t xml:space="preserve">Some examples are listed below (noting that this </w:t>
      </w:r>
      <w:r w:rsidR="00430CEF">
        <w:t xml:space="preserve">is not </w:t>
      </w:r>
      <w:r>
        <w:t>an exhaustive list</w:t>
      </w:r>
      <w:r w:rsidR="00430CEF">
        <w:t>)</w:t>
      </w:r>
      <w:r w:rsidR="00CD03D9">
        <w:t>:</w:t>
      </w:r>
    </w:p>
    <w:p w14:paraId="167B08C7" w14:textId="143546BB" w:rsidR="005553A5" w:rsidRDefault="005553A5" w:rsidP="0020029E">
      <w:pPr>
        <w:pStyle w:val="Bullet"/>
      </w:pPr>
      <w:r w:rsidRPr="001533EC">
        <w:rPr>
          <w:b/>
        </w:rPr>
        <w:t xml:space="preserve">Entities that perform PayTo services </w:t>
      </w:r>
      <w:r w:rsidR="00370B07" w:rsidRPr="001533EC">
        <w:rPr>
          <w:b/>
        </w:rPr>
        <w:t xml:space="preserve">in the New Payments Platform </w:t>
      </w:r>
      <w:r w:rsidR="00370B07" w:rsidRPr="00F22081">
        <w:t>(NPP).</w:t>
      </w:r>
      <w:r w:rsidR="00370B07">
        <w:t xml:space="preserve"> That is, entities that are author</w:t>
      </w:r>
      <w:r w:rsidR="00C91966">
        <w:t>is</w:t>
      </w:r>
      <w:r w:rsidR="00370B07">
        <w:t xml:space="preserve">ed </w:t>
      </w:r>
      <w:r w:rsidR="00C91966">
        <w:t xml:space="preserve">by a PayTo agreement (mandate) to initiate one-off or recurring payments from a payer’s account, on behalf of the payer. This service may be performed by NPP direct participants, identified institutions, connected institutions or PayTo </w:t>
      </w:r>
      <w:r w:rsidR="000A33BE">
        <w:t>U</w:t>
      </w:r>
      <w:r w:rsidR="00C91966">
        <w:t xml:space="preserve">sers. </w:t>
      </w:r>
      <w:r w:rsidR="00C91966">
        <w:rPr>
          <w:iCs/>
        </w:rPr>
        <w:t>If, for example, an identified institution sponsors a third party as a Payto User, this function captures both the initiation message sent from the Payto User to the identified institution, as well as the message sent from the identified institution to the payer’s bank.</w:t>
      </w:r>
      <w:r w:rsidR="007651FB">
        <w:rPr>
          <w:iCs/>
        </w:rPr>
        <w:t xml:space="preserve"> </w:t>
      </w:r>
      <w:r w:rsidR="00011DE9">
        <w:rPr>
          <w:iCs/>
        </w:rPr>
        <w:t>This functio</w:t>
      </w:r>
      <w:r w:rsidR="00F636AF">
        <w:rPr>
          <w:iCs/>
        </w:rPr>
        <w:t>n</w:t>
      </w:r>
      <w:r w:rsidR="00230B36">
        <w:rPr>
          <w:iCs/>
        </w:rPr>
        <w:t xml:space="preserve"> therefore also</w:t>
      </w:r>
      <w:r w:rsidR="00F636AF">
        <w:rPr>
          <w:iCs/>
        </w:rPr>
        <w:t xml:space="preserve"> captures the institution that </w:t>
      </w:r>
      <w:r w:rsidR="00431887">
        <w:rPr>
          <w:iCs/>
        </w:rPr>
        <w:t xml:space="preserve">creates </w:t>
      </w:r>
      <w:r w:rsidR="00637AE1">
        <w:rPr>
          <w:iCs/>
        </w:rPr>
        <w:t>the Pay</w:t>
      </w:r>
      <w:r w:rsidR="00DA5DBD">
        <w:rPr>
          <w:iCs/>
        </w:rPr>
        <w:t>T</w:t>
      </w:r>
      <w:r w:rsidR="00637AE1">
        <w:rPr>
          <w:iCs/>
        </w:rPr>
        <w:t>o agreement and verifies th</w:t>
      </w:r>
      <w:r w:rsidR="00242BD6">
        <w:rPr>
          <w:iCs/>
        </w:rPr>
        <w:t xml:space="preserve">e agreement before it sends a payment initiation request to the </w:t>
      </w:r>
      <w:r w:rsidR="000F6200">
        <w:rPr>
          <w:iCs/>
        </w:rPr>
        <w:t>payer’s bank</w:t>
      </w:r>
      <w:r w:rsidR="00637AE1">
        <w:rPr>
          <w:iCs/>
        </w:rPr>
        <w:t>.</w:t>
      </w:r>
      <w:r w:rsidR="00B5307E">
        <w:rPr>
          <w:iCs/>
        </w:rPr>
        <w:t xml:space="preserve"> </w:t>
      </w:r>
      <w:r w:rsidR="00EC3261">
        <w:rPr>
          <w:iCs/>
        </w:rPr>
        <w:t xml:space="preserve"> </w:t>
      </w:r>
    </w:p>
    <w:p w14:paraId="03706F18" w14:textId="5B34F611" w:rsidR="00C91966" w:rsidRDefault="00C91966" w:rsidP="0020029E">
      <w:pPr>
        <w:pStyle w:val="Bullet"/>
      </w:pPr>
      <w:r w:rsidRPr="001533EC">
        <w:rPr>
          <w:b/>
        </w:rPr>
        <w:t xml:space="preserve">Entities </w:t>
      </w:r>
      <w:r w:rsidR="00416199" w:rsidRPr="001533EC">
        <w:rPr>
          <w:b/>
        </w:rPr>
        <w:t xml:space="preserve">that provide direct debit services, or direct credit services </w:t>
      </w:r>
      <w:r w:rsidR="00545254" w:rsidRPr="001533EC">
        <w:rPr>
          <w:b/>
        </w:rPr>
        <w:t xml:space="preserve">in the Bulk Electronic Clearing System </w:t>
      </w:r>
      <w:r w:rsidR="00545254">
        <w:t>(BECS</w:t>
      </w:r>
      <w:r w:rsidR="00A83A93">
        <w:rPr>
          <w:rStyle w:val="FootnoteReference"/>
        </w:rPr>
        <w:footnoteReference w:id="24"/>
      </w:r>
      <w:r w:rsidR="00545254">
        <w:t>)</w:t>
      </w:r>
      <w:r w:rsidR="00FB715F">
        <w:t>.</w:t>
      </w:r>
      <w:r w:rsidR="00545254">
        <w:t xml:space="preserve"> </w:t>
      </w:r>
      <w:r w:rsidR="00FB715F">
        <w:t>I</w:t>
      </w:r>
      <w:r w:rsidR="00416199">
        <w:t xml:space="preserve">.e. entities that are able to send payment initiation messages that implement direct debit or direct credit requests on behalf of a payer. </w:t>
      </w:r>
      <w:r w:rsidR="0014032E">
        <w:t>This c</w:t>
      </w:r>
      <w:r w:rsidR="00416199">
        <w:t xml:space="preserve">ould include direct participants in BECS or </w:t>
      </w:r>
      <w:r w:rsidR="000F121F">
        <w:t>other PSPs providing direct entry services</w:t>
      </w:r>
      <w:r w:rsidR="00416199">
        <w:t>.</w:t>
      </w:r>
      <w:r w:rsidR="00447455">
        <w:t xml:space="preserve"> </w:t>
      </w:r>
    </w:p>
    <w:p w14:paraId="6FC55EC4" w14:textId="68FAF9A6" w:rsidR="00996C6E" w:rsidRDefault="00996C6E" w:rsidP="00A95A40">
      <w:r>
        <w:t xml:space="preserve">This function is not intended to capture merchants that contract a third-party service provider to perform </w:t>
      </w:r>
      <w:r w:rsidR="00D30BFB">
        <w:t>PayTo</w:t>
      </w:r>
      <w:r w:rsidR="00823289">
        <w:t xml:space="preserve">, </w:t>
      </w:r>
      <w:r w:rsidR="00D30BFB">
        <w:t xml:space="preserve">direct debit or direct credit services, </w:t>
      </w:r>
      <w:r w:rsidR="00823289">
        <w:t xml:space="preserve">but are not themselves able to request payments associated with a </w:t>
      </w:r>
      <w:r w:rsidR="00FA09FA">
        <w:t>PayTo or direct debit/credit agreement.</w:t>
      </w:r>
      <w:r w:rsidR="00B87134">
        <w:t xml:space="preserve"> </w:t>
      </w:r>
      <w:r w:rsidR="006D6BE6">
        <w:t xml:space="preserve">It is also not intended to </w:t>
      </w:r>
      <w:r w:rsidR="006F0587">
        <w:t xml:space="preserve">capture </w:t>
      </w:r>
      <w:r w:rsidR="00E65B7D">
        <w:t xml:space="preserve">digital wallets, </w:t>
      </w:r>
      <w:r w:rsidR="00752368">
        <w:t>Point of Sale (</w:t>
      </w:r>
      <w:r w:rsidR="00406180">
        <w:t>POS</w:t>
      </w:r>
      <w:r w:rsidR="00752368">
        <w:t>)</w:t>
      </w:r>
      <w:r w:rsidR="00406180">
        <w:t xml:space="preserve"> terminals, payment gateways</w:t>
      </w:r>
      <w:r w:rsidR="00E65B7D">
        <w:t xml:space="preserve"> </w:t>
      </w:r>
      <w:r w:rsidR="008A6AD3">
        <w:t>and mobile devices</w:t>
      </w:r>
      <w:r w:rsidR="002B5D27">
        <w:t xml:space="preserve">. These examples </w:t>
      </w:r>
      <w:r w:rsidR="002A1AE2">
        <w:t>can</w:t>
      </w:r>
      <w:r w:rsidR="00224130">
        <w:t>not</w:t>
      </w:r>
      <w:r w:rsidR="00A978BC">
        <w:t xml:space="preserve"> be </w:t>
      </w:r>
      <w:r w:rsidR="001B023D">
        <w:t xml:space="preserve">used </w:t>
      </w:r>
      <w:r w:rsidR="00224130">
        <w:t>to execute</w:t>
      </w:r>
      <w:r w:rsidR="001B023D">
        <w:t xml:space="preserve"> a</w:t>
      </w:r>
      <w:r w:rsidR="002B5D27">
        <w:t xml:space="preserve"> payment </w:t>
      </w:r>
      <w:r w:rsidR="00224130">
        <w:t xml:space="preserve">without </w:t>
      </w:r>
      <w:r w:rsidR="00A37E16">
        <w:t xml:space="preserve">the use of </w:t>
      </w:r>
      <w:r w:rsidR="001B023D">
        <w:t>a</w:t>
      </w:r>
      <w:r w:rsidR="002B5D27">
        <w:t xml:space="preserve"> payment </w:t>
      </w:r>
      <w:r w:rsidR="00E11C37">
        <w:t xml:space="preserve">instrument </w:t>
      </w:r>
      <w:r w:rsidR="00A978BC">
        <w:t>and therefore present different risks to payment initiation</w:t>
      </w:r>
      <w:r w:rsidR="00BF0DBD">
        <w:t>.</w:t>
      </w:r>
      <w:r w:rsidR="001B023D">
        <w:t xml:space="preserve"> </w:t>
      </w:r>
      <w:r w:rsidR="00E65B7D">
        <w:t xml:space="preserve"> </w:t>
      </w:r>
    </w:p>
    <w:p w14:paraId="4FC8429A" w14:textId="4B1AE4CA" w:rsidR="00F21D74" w:rsidRPr="00297F2A" w:rsidRDefault="0071203B" w:rsidP="00A95A40">
      <w:r>
        <w:t xml:space="preserve">See </w:t>
      </w:r>
      <w:r w:rsidR="00926C8E">
        <w:t>‘</w:t>
      </w:r>
      <w:r w:rsidR="00104954">
        <w:t>Interactions with other regulatory frameworks</w:t>
      </w:r>
      <w:r w:rsidR="00926C8E">
        <w:t>’ (</w:t>
      </w:r>
      <w:r w:rsidR="00926C8E" w:rsidRPr="00874A10">
        <w:rPr>
          <w:b/>
          <w:bCs/>
        </w:rPr>
        <w:t>Section</w:t>
      </w:r>
      <w:r w:rsidR="00C075D1">
        <w:rPr>
          <w:b/>
          <w:bCs/>
        </w:rPr>
        <w:t xml:space="preserve"> </w:t>
      </w:r>
      <w:r w:rsidR="00104954">
        <w:rPr>
          <w:b/>
          <w:bCs/>
        </w:rPr>
        <w:t>4.3</w:t>
      </w:r>
      <w:r w:rsidR="00926C8E">
        <w:t>)</w:t>
      </w:r>
      <w:r w:rsidR="00E9328E">
        <w:t xml:space="preserve"> </w:t>
      </w:r>
      <w:r>
        <w:t xml:space="preserve">for a discussion of </w:t>
      </w:r>
      <w:r w:rsidR="00A673DB">
        <w:t xml:space="preserve">the interaction between the </w:t>
      </w:r>
      <w:r w:rsidR="0092731E">
        <w:t>reforms</w:t>
      </w:r>
      <w:r w:rsidR="00A673DB">
        <w:t xml:space="preserve"> </w:t>
      </w:r>
      <w:r w:rsidR="00493DEB">
        <w:t xml:space="preserve">and the framework for </w:t>
      </w:r>
      <w:r w:rsidR="007B7401">
        <w:t xml:space="preserve">action </w:t>
      </w:r>
      <w:r w:rsidR="00493DEB">
        <w:t>initiation under the Consumer Data Right</w:t>
      </w:r>
      <w:r w:rsidR="00225757">
        <w:t xml:space="preserve"> (CDR)</w:t>
      </w:r>
      <w:r w:rsidR="00493DEB">
        <w:t xml:space="preserve">. </w:t>
      </w:r>
    </w:p>
    <w:tbl>
      <w:tblPr>
        <w:tblStyle w:val="TableGrid"/>
        <w:tblW w:w="0" w:type="auto"/>
        <w:tblLook w:val="04A0" w:firstRow="1" w:lastRow="0" w:firstColumn="1" w:lastColumn="0" w:noHBand="0" w:noVBand="1"/>
      </w:tblPr>
      <w:tblGrid>
        <w:gridCol w:w="9070"/>
      </w:tblGrid>
      <w:tr w:rsidR="00EF72C3" w14:paraId="722D1102"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245C3D3B" w14:textId="34CDB7EA" w:rsidR="00EF72C3" w:rsidRPr="00885F9A" w:rsidRDefault="00EF72C3" w:rsidP="00885F9A">
            <w:pPr>
              <w:pStyle w:val="BoxText"/>
              <w:rPr>
                <w:u w:val="single"/>
              </w:rPr>
            </w:pPr>
            <w:r w:rsidRPr="00885F9A">
              <w:rPr>
                <w:b/>
                <w:u w:val="single"/>
              </w:rPr>
              <w:t>Consultation question</w:t>
            </w:r>
          </w:p>
          <w:p w14:paraId="5420320D" w14:textId="25F8C7E6" w:rsidR="00EF72C3" w:rsidRPr="000D51D4" w:rsidRDefault="00EF72C3" w:rsidP="001D123F">
            <w:pPr>
              <w:pStyle w:val="Consultationquestions"/>
              <w:numPr>
                <w:ilvl w:val="0"/>
                <w:numId w:val="100"/>
              </w:numPr>
            </w:pPr>
            <w:r>
              <w:t xml:space="preserve">Do you agree with the scope of the ‘Payment Initiation Services’ function as it is currently defined? Are there any services that have not been captured by the definition, but should be included (or vice versa)? </w:t>
            </w:r>
          </w:p>
        </w:tc>
      </w:tr>
    </w:tbl>
    <w:p w14:paraId="7F571D4A" w14:textId="4AD265D7" w:rsidR="004369B2" w:rsidRPr="004369B2" w:rsidRDefault="00D0139E" w:rsidP="00AB3D0E">
      <w:pPr>
        <w:pStyle w:val="Heading3"/>
      </w:pPr>
      <w:bookmarkStart w:id="48" w:name="_Toc149230908"/>
      <w:bookmarkStart w:id="49" w:name="_Ref151642953"/>
      <w:r>
        <w:t xml:space="preserve">Payment Facilitation </w:t>
      </w:r>
      <w:bookmarkEnd w:id="48"/>
      <w:r w:rsidR="007774AD">
        <w:t>S</w:t>
      </w:r>
      <w:r w:rsidR="00B1743A">
        <w:t>ervices</w:t>
      </w:r>
      <w:bookmarkEnd w:id="49"/>
      <w:r w:rsidR="00B1743A">
        <w:t xml:space="preserve"> </w:t>
      </w:r>
    </w:p>
    <w:p w14:paraId="06F1E289" w14:textId="108F76D7" w:rsidR="00494AC6" w:rsidRDefault="00494AC6" w:rsidP="00255D06">
      <w:pPr>
        <w:pStyle w:val="Heading4"/>
        <w:jc w:val="both"/>
      </w:pPr>
      <w:r>
        <w:t xml:space="preserve">Proposed conceptual definition </w:t>
      </w:r>
    </w:p>
    <w:p w14:paraId="6A1F34E9" w14:textId="5AC489F3" w:rsidR="009C0235" w:rsidRPr="00255A4F" w:rsidRDefault="009C0235" w:rsidP="00A95A40">
      <w:r w:rsidRPr="00255A4F">
        <w:t xml:space="preserve">Services that </w:t>
      </w:r>
      <w:r w:rsidR="00D826A4" w:rsidRPr="00255A4F">
        <w:t>enter</w:t>
      </w:r>
      <w:r w:rsidR="008523E8" w:rsidRPr="00255A4F">
        <w:t xml:space="preserve"> into </w:t>
      </w:r>
      <w:r w:rsidR="004D2AE4" w:rsidRPr="00255A4F">
        <w:t xml:space="preserve">the </w:t>
      </w:r>
      <w:r w:rsidR="008523E8" w:rsidRPr="00255A4F">
        <w:t xml:space="preserve">possession </w:t>
      </w:r>
      <w:r w:rsidRPr="00255A4F">
        <w:t xml:space="preserve">of funds </w:t>
      </w:r>
      <w:r w:rsidR="00A93E00" w:rsidRPr="00255A4F">
        <w:t xml:space="preserve">for the purpose of facilitating a transfer </w:t>
      </w:r>
      <w:r w:rsidRPr="00255A4F">
        <w:t>between a paye</w:t>
      </w:r>
      <w:r w:rsidR="00BE3421" w:rsidRPr="00255A4F">
        <w:t>r</w:t>
      </w:r>
      <w:r w:rsidRPr="00255A4F">
        <w:t xml:space="preserve"> and paye</w:t>
      </w:r>
      <w:r w:rsidR="00BE3421" w:rsidRPr="00255A4F">
        <w:t>e</w:t>
      </w:r>
      <w:r w:rsidR="005B1359" w:rsidRPr="00255A4F">
        <w:t>.</w:t>
      </w:r>
      <w:r w:rsidRPr="00255A4F">
        <w:t xml:space="preserve"> This includes for the purpose of acquiring, aggregating, disbursing, or otherwise transferring of funds within Australia. This includes through accounts held at other financial institutions </w:t>
      </w:r>
      <w:r w:rsidR="00FA1B10" w:rsidRPr="00255A4F">
        <w:t xml:space="preserve">or service providers </w:t>
      </w:r>
      <w:r w:rsidRPr="00255A4F">
        <w:t>but controlled by the PSP.</w:t>
      </w:r>
    </w:p>
    <w:p w14:paraId="199EF289" w14:textId="4012DE5A" w:rsidR="00494AC6" w:rsidRPr="00D815DB" w:rsidRDefault="00D815DB" w:rsidP="00255D06">
      <w:pPr>
        <w:pStyle w:val="Heading4"/>
        <w:jc w:val="both"/>
      </w:pPr>
      <w:r w:rsidRPr="00D815DB">
        <w:lastRenderedPageBreak/>
        <w:t xml:space="preserve">Purpose </w:t>
      </w:r>
      <w:r w:rsidR="009A4563">
        <w:t xml:space="preserve">and </w:t>
      </w:r>
      <w:r w:rsidR="003D0142">
        <w:t>s</w:t>
      </w:r>
      <w:r w:rsidR="009A4563">
        <w:t>cope</w:t>
      </w:r>
    </w:p>
    <w:p w14:paraId="27C1ED8E" w14:textId="63D22C86" w:rsidR="00BB392A" w:rsidRDefault="00A01A4F" w:rsidP="00A95A40">
      <w:r>
        <w:t>Th</w:t>
      </w:r>
      <w:r w:rsidR="00996145">
        <w:t>is</w:t>
      </w:r>
      <w:r w:rsidR="009963D4">
        <w:t xml:space="preserve"> function capture</w:t>
      </w:r>
      <w:r w:rsidR="00996145">
        <w:t>s</w:t>
      </w:r>
      <w:r w:rsidR="009963D4">
        <w:t xml:space="preserve"> </w:t>
      </w:r>
      <w:r w:rsidR="00E379F1">
        <w:t xml:space="preserve">service providers that possess funds </w:t>
      </w:r>
      <w:r w:rsidR="00EB1A5F">
        <w:t xml:space="preserve">for the purpose of transferring them between a </w:t>
      </w:r>
      <w:r w:rsidR="00BE1FF5">
        <w:t xml:space="preserve">payer </w:t>
      </w:r>
      <w:r w:rsidR="00EB1A5F">
        <w:t xml:space="preserve">and </w:t>
      </w:r>
      <w:r w:rsidR="00BE1FF5">
        <w:t>payee</w:t>
      </w:r>
      <w:r w:rsidR="00EB1A5F">
        <w:t xml:space="preserve">. </w:t>
      </w:r>
      <w:r w:rsidR="00AB4AE6">
        <w:t xml:space="preserve">A PSP may possess funds if they </w:t>
      </w:r>
      <w:r w:rsidR="00AE2453">
        <w:t xml:space="preserve">hold or control </w:t>
      </w:r>
      <w:r w:rsidR="00593FB4">
        <w:t>funds</w:t>
      </w:r>
      <w:r w:rsidR="005318D5">
        <w:t xml:space="preserve"> for any </w:t>
      </w:r>
      <w:r w:rsidR="0025435C">
        <w:t>amount</w:t>
      </w:r>
      <w:r w:rsidR="005318D5">
        <w:t xml:space="preserve"> of time </w:t>
      </w:r>
      <w:r w:rsidR="005C7DA7">
        <w:t>as part of facilitating a payment.</w:t>
      </w:r>
      <w:r w:rsidR="00593FB4">
        <w:t xml:space="preserve"> </w:t>
      </w:r>
      <w:r w:rsidR="00ED6874">
        <w:t xml:space="preserve">A description on the </w:t>
      </w:r>
      <w:r w:rsidR="00BF675D">
        <w:t>proposed</w:t>
      </w:r>
      <w:r w:rsidR="00ED6874">
        <w:t xml:space="preserve"> delineation </w:t>
      </w:r>
      <w:r w:rsidR="00144B49">
        <w:t xml:space="preserve">between these services and SVFs is provided </w:t>
      </w:r>
      <w:r w:rsidR="00BF675D">
        <w:t xml:space="preserve">in </w:t>
      </w:r>
      <w:r w:rsidR="00BE0E8A">
        <w:rPr>
          <w:b/>
          <w:bCs/>
        </w:rPr>
        <w:t>S</w:t>
      </w:r>
      <w:r w:rsidR="00DA2BAC">
        <w:rPr>
          <w:b/>
          <w:bCs/>
        </w:rPr>
        <w:t xml:space="preserve">ection </w:t>
      </w:r>
      <w:r w:rsidR="00104954">
        <w:rPr>
          <w:b/>
          <w:bCs/>
        </w:rPr>
        <w:t>2.2.1</w:t>
      </w:r>
      <w:r w:rsidR="00DA2BAC">
        <w:rPr>
          <w:b/>
          <w:bCs/>
        </w:rPr>
        <w:t>.</w:t>
      </w:r>
    </w:p>
    <w:p w14:paraId="7B621776" w14:textId="487AD6B7" w:rsidR="004A28D3" w:rsidRDefault="004A28D3" w:rsidP="00A95A40">
      <w:r>
        <w:t>Th</w:t>
      </w:r>
      <w:r w:rsidR="00BE407B">
        <w:t>e</w:t>
      </w:r>
      <w:r>
        <w:t xml:space="preserve"> </w:t>
      </w:r>
      <w:r w:rsidR="00A24EBA">
        <w:t>purpose of captu</w:t>
      </w:r>
      <w:r w:rsidR="00D2410C">
        <w:t xml:space="preserve">ring these services is to address not only </w:t>
      </w:r>
      <w:r w:rsidR="0034297D">
        <w:t xml:space="preserve">the </w:t>
      </w:r>
      <w:r>
        <w:t xml:space="preserve">operational </w:t>
      </w:r>
      <w:r w:rsidR="00D2410C">
        <w:t>risks</w:t>
      </w:r>
      <w:r w:rsidR="0034297D">
        <w:t xml:space="preserve"> that they pose</w:t>
      </w:r>
      <w:r w:rsidR="00D2410C">
        <w:t xml:space="preserve">, but also the financial risks associated with the </w:t>
      </w:r>
      <w:r w:rsidR="00945D3F">
        <w:t>possession of a customer’s funds</w:t>
      </w:r>
      <w:r>
        <w:t>.</w:t>
      </w:r>
      <w:r w:rsidR="00945D3F">
        <w:t xml:space="preserve"> </w:t>
      </w:r>
      <w:r>
        <w:t xml:space="preserve">These risks could result in a variety of adverse outcomes </w:t>
      </w:r>
      <w:r w:rsidR="006305FF">
        <w:t>that may impact</w:t>
      </w:r>
      <w:r>
        <w:t xml:space="preserve"> a variety of customers and other system participants depending on the nature of the service provide</w:t>
      </w:r>
      <w:r w:rsidR="0066402B">
        <w:t>d</w:t>
      </w:r>
      <w:r>
        <w:t>. It could, for example</w:t>
      </w:r>
      <w:r w:rsidR="000C789F">
        <w:t>,</w:t>
      </w:r>
      <w:r>
        <w:t xml:space="preserve"> result in a loss of customer funds, loss of data, </w:t>
      </w:r>
      <w:r w:rsidR="000C789F">
        <w:t xml:space="preserve">or </w:t>
      </w:r>
      <w:r>
        <w:t>failed payment transactions</w:t>
      </w:r>
      <w:r w:rsidR="000C789F">
        <w:t>,</w:t>
      </w:r>
      <w:r>
        <w:t xml:space="preserve"> and these risks could impact other participants in the payment system more broadly.</w:t>
      </w:r>
      <w:r w:rsidDel="00B45132">
        <w:t xml:space="preserve"> </w:t>
      </w:r>
      <w:r>
        <w:t>The failure of a large, or highly interconnected provider could also result in trust and reputational issues, and potentially pose broader stability risks.</w:t>
      </w:r>
    </w:p>
    <w:p w14:paraId="1BA73F59" w14:textId="47D12738" w:rsidR="005E4D5D" w:rsidRDefault="00B013DC" w:rsidP="00A95A40">
      <w:r>
        <w:t>This function is intended to</w:t>
      </w:r>
      <w:r w:rsidR="004D5B39">
        <w:t xml:space="preserve"> </w:t>
      </w:r>
      <w:r w:rsidR="009B4B35">
        <w:t xml:space="preserve">be agnostic of the </w:t>
      </w:r>
      <w:r w:rsidR="0029459D">
        <w:t>technology</w:t>
      </w:r>
      <w:r w:rsidR="009A29D8">
        <w:t xml:space="preserve">, </w:t>
      </w:r>
      <w:r w:rsidR="0029459D">
        <w:t xml:space="preserve">business model </w:t>
      </w:r>
      <w:r w:rsidR="009A29D8">
        <w:t>or</w:t>
      </w:r>
      <w:r w:rsidR="004C0107">
        <w:t xml:space="preserve"> payment system </w:t>
      </w:r>
      <w:r w:rsidR="000B3D48">
        <w:t>use</w:t>
      </w:r>
      <w:r w:rsidR="0029459D">
        <w:t xml:space="preserve">d to </w:t>
      </w:r>
      <w:r w:rsidR="0073469E">
        <w:t>transfer funds</w:t>
      </w:r>
      <w:r w:rsidR="00E307BE">
        <w:t>.</w:t>
      </w:r>
      <w:r w:rsidR="005B62FF">
        <w:t xml:space="preserve"> </w:t>
      </w:r>
      <w:r w:rsidR="001401F8">
        <w:t>This recognise</w:t>
      </w:r>
      <w:r w:rsidR="00000485">
        <w:t>s</w:t>
      </w:r>
      <w:r w:rsidR="001401F8">
        <w:t xml:space="preserve"> that there are a </w:t>
      </w:r>
      <w:r w:rsidR="006E0B76">
        <w:t>range</w:t>
      </w:r>
      <w:r w:rsidR="001401F8">
        <w:t xml:space="preserve"> of business models </w:t>
      </w:r>
      <w:r w:rsidR="00436887">
        <w:t>and use cases for such services, and that these may pose broadly comparable risk</w:t>
      </w:r>
      <w:r w:rsidR="0018396D">
        <w:t>s by</w:t>
      </w:r>
      <w:r w:rsidR="00436887">
        <w:t xml:space="preserve"> possessing funds </w:t>
      </w:r>
      <w:r w:rsidR="00503997">
        <w:t xml:space="preserve">for the purpose of enabling a payment to be made. </w:t>
      </w:r>
    </w:p>
    <w:p w14:paraId="54883D28" w14:textId="7825FD53" w:rsidR="00962F7D" w:rsidRDefault="00364721" w:rsidP="00A95A40">
      <w:r>
        <w:t>In addition,</w:t>
      </w:r>
      <w:r w:rsidR="00465EAF">
        <w:t xml:space="preserve"> this function is intended to capture PSPs regardless of the customer that the PSP acts on behalf of.</w:t>
      </w:r>
      <w:r w:rsidR="00465EAF" w:rsidDel="005E7CFE">
        <w:t xml:space="preserve"> </w:t>
      </w:r>
      <w:r w:rsidR="00B224B5">
        <w:t xml:space="preserve">This includes PSPs that act on behalf of a payer </w:t>
      </w:r>
      <w:r w:rsidR="00AB5BA0">
        <w:t xml:space="preserve">or a payee, or </w:t>
      </w:r>
      <w:r w:rsidR="008A0D20">
        <w:t xml:space="preserve">as an intermediary in a particular transaction. </w:t>
      </w:r>
      <w:r w:rsidR="00166324">
        <w:t>For example, this includes</w:t>
      </w:r>
      <w:r w:rsidR="00962F7D">
        <w:t>:</w:t>
      </w:r>
      <w:r w:rsidR="00166324">
        <w:t xml:space="preserve"> </w:t>
      </w:r>
    </w:p>
    <w:p w14:paraId="41FB66E0" w14:textId="3C83D4C2" w:rsidR="008708E9" w:rsidRDefault="00166324" w:rsidP="0020029E">
      <w:pPr>
        <w:pStyle w:val="Bullet"/>
      </w:pPr>
      <w:r>
        <w:t>PSP</w:t>
      </w:r>
      <w:r w:rsidR="00962F7D">
        <w:t xml:space="preserve"> A (the payment facilitator)</w:t>
      </w:r>
      <w:r>
        <w:t xml:space="preserve"> that </w:t>
      </w:r>
      <w:r w:rsidR="00370060">
        <w:t>by entering into possession of funds</w:t>
      </w:r>
      <w:r>
        <w:t xml:space="preserve"> enables a payer to make a payment from </w:t>
      </w:r>
      <w:r w:rsidR="003538E5">
        <w:t>their</w:t>
      </w:r>
      <w:r w:rsidR="00F65F5A">
        <w:t xml:space="preserve"> payment account </w:t>
      </w:r>
      <w:r w:rsidR="003538E5">
        <w:t>at</w:t>
      </w:r>
      <w:r w:rsidR="00BE5946">
        <w:t xml:space="preserve"> PSP</w:t>
      </w:r>
      <w:r w:rsidR="00CB41F8">
        <w:t xml:space="preserve"> B (an</w:t>
      </w:r>
      <w:r w:rsidR="00962F7D">
        <w:t xml:space="preserve"> SVF</w:t>
      </w:r>
      <w:r w:rsidR="00BE5946">
        <w:t>)</w:t>
      </w:r>
      <w:r w:rsidR="00F65F5A">
        <w:t xml:space="preserve"> </w:t>
      </w:r>
      <w:r w:rsidR="00417770">
        <w:t>to a payee</w:t>
      </w:r>
      <w:r w:rsidR="008708E9">
        <w:t>;</w:t>
      </w:r>
      <w:r w:rsidR="00417770">
        <w:t xml:space="preserve"> </w:t>
      </w:r>
      <w:r w:rsidR="00E12169">
        <w:t xml:space="preserve">and </w:t>
      </w:r>
    </w:p>
    <w:p w14:paraId="5ED12A33" w14:textId="0C80D373" w:rsidR="00962F7D" w:rsidRDefault="00E12169" w:rsidP="0020029E">
      <w:pPr>
        <w:pStyle w:val="Bullet"/>
      </w:pPr>
      <w:r>
        <w:t>a PSP that enables a payee to acquire a transaction</w:t>
      </w:r>
      <w:r w:rsidR="006F6400">
        <w:t xml:space="preserve"> such as a merchant acquirer or payment facilitator</w:t>
      </w:r>
      <w:r w:rsidR="00AC207E">
        <w:t>.</w:t>
      </w:r>
    </w:p>
    <w:p w14:paraId="03C96884" w14:textId="5310792A" w:rsidR="0018439C" w:rsidRDefault="00A50955" w:rsidP="00DF715D">
      <w:pPr>
        <w:pStyle w:val="Bullet"/>
        <w:numPr>
          <w:ilvl w:val="0"/>
          <w:numId w:val="0"/>
        </w:numPr>
      </w:pPr>
      <w:r>
        <w:t>Payment Facilitation Services are not</w:t>
      </w:r>
      <w:r w:rsidR="0018439C">
        <w:t xml:space="preserve"> intended to capture SVFs whereby </w:t>
      </w:r>
      <w:r w:rsidR="00C740DB">
        <w:t xml:space="preserve">a consumer can </w:t>
      </w:r>
      <w:r w:rsidR="007136FE">
        <w:t xml:space="preserve">direct the movement of funds to other parties without the existence of a predetermined transaction. </w:t>
      </w:r>
    </w:p>
    <w:p w14:paraId="083E596C" w14:textId="57EA1D22" w:rsidR="00364721" w:rsidRDefault="00984654" w:rsidP="00A95A40">
      <w:r>
        <w:t>Whil</w:t>
      </w:r>
      <w:r w:rsidR="00FD1C05">
        <w:t>e</w:t>
      </w:r>
      <w:r>
        <w:t xml:space="preserve"> the risk profiles of individual service providers will vary based on a variety of factors, </w:t>
      </w:r>
      <w:r w:rsidR="00C33AB8">
        <w:t xml:space="preserve">there </w:t>
      </w:r>
      <w:r w:rsidR="00711090">
        <w:t>does</w:t>
      </w:r>
      <w:r w:rsidR="00C33AB8">
        <w:t xml:space="preserve"> not</w:t>
      </w:r>
      <w:r w:rsidR="00711090">
        <w:t xml:space="preserve"> appear to be</w:t>
      </w:r>
      <w:r w:rsidR="00C33AB8">
        <w:t xml:space="preserve"> a clear need to disaggregate this function based on whether a PSP offers services to a payer or a payee</w:t>
      </w:r>
      <w:r w:rsidR="002A223D">
        <w:t xml:space="preserve">. </w:t>
      </w:r>
    </w:p>
    <w:p w14:paraId="346CCD5B" w14:textId="3A05129B" w:rsidR="00A11318" w:rsidRPr="00FA74BB" w:rsidRDefault="00FD3238" w:rsidP="00A95A40">
      <w:r>
        <w:t>A</w:t>
      </w:r>
      <w:r w:rsidR="00003A9F">
        <w:t>lternative</w:t>
      </w:r>
      <w:r w:rsidR="00A17A21">
        <w:t xml:space="preserve"> options </w:t>
      </w:r>
      <w:r w:rsidR="00242881">
        <w:t>that</w:t>
      </w:r>
      <w:r w:rsidR="00981BC0">
        <w:t xml:space="preserve"> were also considered</w:t>
      </w:r>
      <w:r w:rsidR="00242881">
        <w:t xml:space="preserve"> include dividing the </w:t>
      </w:r>
      <w:r w:rsidR="001B4AAD">
        <w:t xml:space="preserve">function into two separate functions </w:t>
      </w:r>
      <w:r w:rsidR="00003A9F">
        <w:t>based on whether a PSP acts on behalf of a payee or payer</w:t>
      </w:r>
      <w:r w:rsidR="005F6E36">
        <w:t>.</w:t>
      </w:r>
      <w:r w:rsidR="003E79E9">
        <w:t xml:space="preserve"> </w:t>
      </w:r>
      <w:r w:rsidR="005F6E36">
        <w:t>For example,</w:t>
      </w:r>
      <w:r w:rsidR="00C667CC">
        <w:t xml:space="preserve"> </w:t>
      </w:r>
      <w:r w:rsidR="009E0934">
        <w:t xml:space="preserve">where </w:t>
      </w:r>
      <w:r w:rsidR="00187A3E">
        <w:t xml:space="preserve">payment acquisition </w:t>
      </w:r>
      <w:r w:rsidR="00C667CC">
        <w:t>services</w:t>
      </w:r>
      <w:r w:rsidR="00187A3E">
        <w:t xml:space="preserve"> and funds transfer services from a payment account </w:t>
      </w:r>
      <w:r w:rsidR="004F5201">
        <w:t>a</w:t>
      </w:r>
      <w:r w:rsidR="00592C0A">
        <w:t>re</w:t>
      </w:r>
      <w:r w:rsidR="004F5201">
        <w:t xml:space="preserve"> two </w:t>
      </w:r>
      <w:r w:rsidR="001419CF">
        <w:t xml:space="preserve">separate </w:t>
      </w:r>
      <w:r w:rsidR="004F5201">
        <w:t xml:space="preserve">functions. </w:t>
      </w:r>
      <w:r w:rsidR="009A57B1">
        <w:t xml:space="preserve">Given the justification provided above, and </w:t>
      </w:r>
      <w:r w:rsidR="00984C9C">
        <w:t xml:space="preserve">that </w:t>
      </w:r>
      <w:r w:rsidR="00F90500">
        <w:t>principles-based</w:t>
      </w:r>
      <w:r w:rsidR="00D01D4B">
        <w:t xml:space="preserve"> </w:t>
      </w:r>
      <w:r w:rsidR="005324C9">
        <w:t xml:space="preserve">licence </w:t>
      </w:r>
      <w:r w:rsidR="00984C9C">
        <w:t xml:space="preserve">obligations are likely to be similar across these two groups of entities, </w:t>
      </w:r>
      <w:r w:rsidR="00D01D4B">
        <w:t>such an approach may not be required.</w:t>
      </w:r>
      <w:r w:rsidR="004D6234">
        <w:t xml:space="preserve"> </w:t>
      </w:r>
    </w:p>
    <w:p w14:paraId="17241805" w14:textId="0F29143F" w:rsidR="00873660" w:rsidRPr="003353F9" w:rsidRDefault="00675009" w:rsidP="00437D22">
      <w:pPr>
        <w:pStyle w:val="Heading4"/>
        <w:jc w:val="both"/>
      </w:pPr>
      <w:r>
        <w:t>E</w:t>
      </w:r>
      <w:r w:rsidR="00873660">
        <w:t xml:space="preserve">xamples </w:t>
      </w:r>
    </w:p>
    <w:p w14:paraId="7E82A4B1" w14:textId="412C668D" w:rsidR="00873660" w:rsidRPr="00D55590" w:rsidRDefault="00AF2ADB" w:rsidP="00A95A40">
      <w:r>
        <w:t xml:space="preserve">This function is intended to capture a variety of different service providers. This could include </w:t>
      </w:r>
      <w:r w:rsidR="008C6C71">
        <w:t>(</w:t>
      </w:r>
      <w:r>
        <w:t>but is not limited to</w:t>
      </w:r>
      <w:r w:rsidR="008C6C71">
        <w:t>)</w:t>
      </w:r>
      <w:r w:rsidR="001E6273">
        <w:t>:</w:t>
      </w:r>
    </w:p>
    <w:p w14:paraId="7F5667E8" w14:textId="7ED0A100" w:rsidR="00AF2ADB" w:rsidRPr="00C65582" w:rsidRDefault="00087319" w:rsidP="0020029E">
      <w:pPr>
        <w:pStyle w:val="Bullet"/>
      </w:pPr>
      <w:r>
        <w:t>m</w:t>
      </w:r>
      <w:r w:rsidR="00AF2ADB" w:rsidRPr="00C65582">
        <w:t xml:space="preserve">erchant </w:t>
      </w:r>
      <w:r w:rsidR="00DF3B08" w:rsidRPr="00C65582">
        <w:t>a</w:t>
      </w:r>
      <w:r w:rsidR="00AF2ADB" w:rsidRPr="00C65582">
        <w:t>cquirers</w:t>
      </w:r>
      <w:r>
        <w:t>;</w:t>
      </w:r>
    </w:p>
    <w:p w14:paraId="764A193D" w14:textId="15078E9C" w:rsidR="00AF2ADB" w:rsidRPr="00C65582" w:rsidRDefault="00087319" w:rsidP="0020029E">
      <w:pPr>
        <w:pStyle w:val="Bullet"/>
      </w:pPr>
      <w:r>
        <w:t>p</w:t>
      </w:r>
      <w:r w:rsidR="00AF2ADB" w:rsidRPr="00C65582">
        <w:t xml:space="preserve">ayment </w:t>
      </w:r>
      <w:r w:rsidR="00DF3B08" w:rsidRPr="00C65582">
        <w:t>f</w:t>
      </w:r>
      <w:r w:rsidR="00AF2ADB" w:rsidRPr="00C65582">
        <w:t xml:space="preserve">acilitators and </w:t>
      </w:r>
      <w:r w:rsidR="004E111D" w:rsidRPr="00C65582">
        <w:t>aggregators</w:t>
      </w:r>
      <w:r>
        <w:t>;</w:t>
      </w:r>
    </w:p>
    <w:p w14:paraId="4A394575" w14:textId="6DED622D" w:rsidR="004E111D" w:rsidRPr="00C65582" w:rsidRDefault="00087319" w:rsidP="0020029E">
      <w:pPr>
        <w:pStyle w:val="Bullet"/>
      </w:pPr>
      <w:r>
        <w:t>c</w:t>
      </w:r>
      <w:r w:rsidR="00121599" w:rsidRPr="00C65582">
        <w:t>ertain marketplaces and platforms</w:t>
      </w:r>
      <w:r>
        <w:t>;</w:t>
      </w:r>
    </w:p>
    <w:p w14:paraId="6558EC81" w14:textId="6FA78FAF" w:rsidR="005042E5" w:rsidRPr="00C65582" w:rsidRDefault="00087319" w:rsidP="0020029E">
      <w:pPr>
        <w:pStyle w:val="Bullet"/>
      </w:pPr>
      <w:r>
        <w:lastRenderedPageBreak/>
        <w:t>s</w:t>
      </w:r>
      <w:r w:rsidR="005042E5" w:rsidRPr="00C65582">
        <w:t>alary processors</w:t>
      </w:r>
      <w:r w:rsidR="00487865" w:rsidRPr="00C65582">
        <w:t xml:space="preserve"> and superannuation clearing houses</w:t>
      </w:r>
      <w:r>
        <w:t>;</w:t>
      </w:r>
    </w:p>
    <w:p w14:paraId="036A4646" w14:textId="0A402271" w:rsidR="00496FFD" w:rsidRPr="00C65582" w:rsidRDefault="00087319" w:rsidP="0020029E">
      <w:pPr>
        <w:pStyle w:val="Bullet"/>
      </w:pPr>
      <w:r>
        <w:t>p</w:t>
      </w:r>
      <w:r w:rsidR="00496FFD" w:rsidRPr="00C65582">
        <w:t>ayout providers</w:t>
      </w:r>
      <w:r>
        <w:t>;</w:t>
      </w:r>
      <w:r w:rsidR="00496FFD" w:rsidRPr="00C65582">
        <w:t xml:space="preserve"> </w:t>
      </w:r>
    </w:p>
    <w:p w14:paraId="71037CEA" w14:textId="1CCD6B15" w:rsidR="00C25180" w:rsidRPr="00C65582" w:rsidRDefault="00087319" w:rsidP="0020029E">
      <w:pPr>
        <w:pStyle w:val="Bullet"/>
      </w:pPr>
      <w:r>
        <w:t>o</w:t>
      </w:r>
      <w:r w:rsidR="00F62ED3" w:rsidRPr="00C65582">
        <w:t>ther payment acceptance providers</w:t>
      </w:r>
      <w:r>
        <w:t>;</w:t>
      </w:r>
      <w:r w:rsidR="00582B47" w:rsidRPr="00C65582">
        <w:t xml:space="preserve"> and</w:t>
      </w:r>
    </w:p>
    <w:p w14:paraId="0DD5373E" w14:textId="0F91C166" w:rsidR="00E307BE" w:rsidRPr="00C65582" w:rsidRDefault="00087319" w:rsidP="0020029E">
      <w:pPr>
        <w:pStyle w:val="Bullet"/>
      </w:pPr>
      <w:r>
        <w:t>d</w:t>
      </w:r>
      <w:r w:rsidR="00C7100A" w:rsidRPr="00C65582">
        <w:t>omestic remittance providers</w:t>
      </w:r>
      <w:r w:rsidR="00A93E80">
        <w:t>.</w:t>
      </w:r>
      <w:r w:rsidR="00C7100A" w:rsidRPr="00C65582">
        <w:t xml:space="preserve"> </w:t>
      </w:r>
    </w:p>
    <w:p w14:paraId="6B9EBB0F" w14:textId="5EB80609" w:rsidR="00255A4F" w:rsidRDefault="00455D1D" w:rsidP="00A95A40">
      <w:r>
        <w:t xml:space="preserve">In </w:t>
      </w:r>
      <w:r w:rsidR="00123C9A">
        <w:t>CP1</w:t>
      </w:r>
      <w:r>
        <w:t>,</w:t>
      </w:r>
      <w:r w:rsidR="002F0D3D">
        <w:t xml:space="preserve"> domestic and </w:t>
      </w:r>
      <w:r w:rsidR="00805E54">
        <w:t>international</w:t>
      </w:r>
      <w:r w:rsidR="002F0D3D">
        <w:t xml:space="preserve"> remittance providers were captured together under a single </w:t>
      </w:r>
      <w:r w:rsidR="00B147F5">
        <w:t>‘</w:t>
      </w:r>
      <w:r w:rsidR="00347393">
        <w:t xml:space="preserve">Money Transfer Services’ </w:t>
      </w:r>
      <w:r w:rsidR="002F0D3D">
        <w:t xml:space="preserve">function. </w:t>
      </w:r>
      <w:r w:rsidR="00300057">
        <w:t>Th</w:t>
      </w:r>
      <w:r w:rsidR="00090A1F">
        <w:t>is has been</w:t>
      </w:r>
      <w:r w:rsidR="00786CF6">
        <w:t xml:space="preserve"> replace</w:t>
      </w:r>
      <w:r w:rsidR="00090A1F">
        <w:t>d</w:t>
      </w:r>
      <w:r w:rsidR="00B12DE0">
        <w:t xml:space="preserve"> </w:t>
      </w:r>
      <w:r w:rsidR="00090A1F">
        <w:t>by a</w:t>
      </w:r>
      <w:r w:rsidR="00B12DE0">
        <w:t xml:space="preserve"> </w:t>
      </w:r>
      <w:r w:rsidR="00090A1F">
        <w:t>more narrowly defined</w:t>
      </w:r>
      <w:r w:rsidR="00B12DE0">
        <w:t xml:space="preserve"> </w:t>
      </w:r>
      <w:r w:rsidR="00090A1F">
        <w:t>‘</w:t>
      </w:r>
      <w:r w:rsidR="00065908">
        <w:t>Cross-border Transfer Services</w:t>
      </w:r>
      <w:r w:rsidR="009C47B0">
        <w:t>’</w:t>
      </w:r>
      <w:r w:rsidR="00B12DE0">
        <w:t xml:space="preserve"> function </w:t>
      </w:r>
      <w:r w:rsidR="00300057">
        <w:t>to provide clarity on the scope of the functions</w:t>
      </w:r>
      <w:r w:rsidR="000521C0">
        <w:t>.</w:t>
      </w:r>
      <w:r w:rsidR="00665C6B">
        <w:t xml:space="preserve"> </w:t>
      </w:r>
      <w:r w:rsidR="000521C0">
        <w:t xml:space="preserve">Whether a remittance provider is </w:t>
      </w:r>
      <w:r w:rsidR="00FE29BF">
        <w:t xml:space="preserve">captured by the </w:t>
      </w:r>
      <w:r w:rsidR="00712A16">
        <w:t>‘</w:t>
      </w:r>
      <w:r w:rsidR="00065908">
        <w:t>Payment Facilitation Services</w:t>
      </w:r>
      <w:r w:rsidR="00712A16">
        <w:t>’</w:t>
      </w:r>
      <w:r w:rsidR="00FE29BF">
        <w:t xml:space="preserve"> function or the </w:t>
      </w:r>
      <w:r w:rsidR="00712A16">
        <w:t>‘</w:t>
      </w:r>
      <w:r w:rsidR="00065908">
        <w:t>Cross</w:t>
      </w:r>
      <w:r w:rsidR="00FE29BF">
        <w:t xml:space="preserve">-border </w:t>
      </w:r>
      <w:r w:rsidR="00065908">
        <w:t>Transfer Services</w:t>
      </w:r>
      <w:r w:rsidR="00712A16">
        <w:t>’</w:t>
      </w:r>
      <w:r w:rsidR="00FE29BF">
        <w:t xml:space="preserve"> function</w:t>
      </w:r>
      <w:r w:rsidR="00C21DE0">
        <w:t xml:space="preserve"> </w:t>
      </w:r>
      <w:r w:rsidR="00FE29BF">
        <w:t>depends</w:t>
      </w:r>
      <w:r w:rsidR="00C21DE0">
        <w:t xml:space="preserve"> on whether </w:t>
      </w:r>
      <w:r w:rsidR="00FE29BF">
        <w:t xml:space="preserve">the </w:t>
      </w:r>
      <w:r w:rsidR="00C21DE0">
        <w:t>funds are transferred within Australia or overseas. I</w:t>
      </w:r>
      <w:r w:rsidR="00300057">
        <w:t xml:space="preserve">t is considered that the risks </w:t>
      </w:r>
      <w:r w:rsidR="005B7BCD">
        <w:t xml:space="preserve">and nature of domestic remittance providers are appropriately captured under the </w:t>
      </w:r>
      <w:r w:rsidR="00712A16">
        <w:t>‘</w:t>
      </w:r>
      <w:r w:rsidR="002B7EF6">
        <w:t>P</w:t>
      </w:r>
      <w:r w:rsidR="005B7BCD">
        <w:t xml:space="preserve">ayment </w:t>
      </w:r>
      <w:r w:rsidR="002B7EF6">
        <w:t>F</w:t>
      </w:r>
      <w:r w:rsidR="005B7BCD">
        <w:t>acilitation</w:t>
      </w:r>
      <w:r w:rsidR="002B7EF6">
        <w:t xml:space="preserve"> Services</w:t>
      </w:r>
      <w:r w:rsidR="00712A16">
        <w:t>’</w:t>
      </w:r>
      <w:r w:rsidR="002B7EF6">
        <w:t xml:space="preserve"> </w:t>
      </w:r>
      <w:r w:rsidR="005B7BCD">
        <w:t xml:space="preserve">function. </w:t>
      </w:r>
      <w:r w:rsidR="00C21DE0">
        <w:t>Cross</w:t>
      </w:r>
      <w:r w:rsidR="00C5167C">
        <w:t>-</w:t>
      </w:r>
      <w:r w:rsidR="00C21DE0">
        <w:t xml:space="preserve">border </w:t>
      </w:r>
      <w:r w:rsidR="00065908">
        <w:t>Transfer Services</w:t>
      </w:r>
      <w:r w:rsidR="00C21DE0">
        <w:t xml:space="preserve"> </w:t>
      </w:r>
      <w:r w:rsidR="00F81073">
        <w:t>capture</w:t>
      </w:r>
      <w:r w:rsidR="00C21DE0">
        <w:t xml:space="preserve"> remittance providers that offer services into and out of Australia. </w:t>
      </w:r>
      <w:r w:rsidR="00CD1558">
        <w:t xml:space="preserve">Money laundering and terrorism financing </w:t>
      </w:r>
      <w:r w:rsidR="00564BA4">
        <w:t>(ML/TF)</w:t>
      </w:r>
      <w:r w:rsidR="00CD1558">
        <w:t xml:space="preserve"> </w:t>
      </w:r>
      <w:r w:rsidR="00C5167C">
        <w:t>risks are addressed by other regulatory frameworks.</w:t>
      </w:r>
    </w:p>
    <w:tbl>
      <w:tblPr>
        <w:tblStyle w:val="TableGrid"/>
        <w:tblW w:w="0" w:type="auto"/>
        <w:tblLook w:val="04A0" w:firstRow="1" w:lastRow="0" w:firstColumn="1" w:lastColumn="0" w:noHBand="0" w:noVBand="1"/>
      </w:tblPr>
      <w:tblGrid>
        <w:gridCol w:w="9070"/>
      </w:tblGrid>
      <w:tr w:rsidR="005431F7" w14:paraId="0B309CFD"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48432CD1" w14:textId="63E94EDB" w:rsidR="005431F7" w:rsidRPr="00DF715D" w:rsidRDefault="005431F7" w:rsidP="00DF715D">
            <w:pPr>
              <w:pStyle w:val="BoxText"/>
              <w:keepNext w:val="0"/>
              <w:rPr>
                <w:u w:val="single"/>
              </w:rPr>
            </w:pPr>
            <w:r w:rsidRPr="00DF715D">
              <w:rPr>
                <w:b/>
                <w:u w:val="single"/>
              </w:rPr>
              <w:t>Consultation questions</w:t>
            </w:r>
          </w:p>
          <w:p w14:paraId="5FFFDEA8" w14:textId="29AA1A04" w:rsidR="00F25ACE" w:rsidRPr="00F25ACE" w:rsidRDefault="00F25ACE" w:rsidP="001D123F">
            <w:pPr>
              <w:pStyle w:val="Consultationquestions"/>
              <w:numPr>
                <w:ilvl w:val="0"/>
                <w:numId w:val="100"/>
              </w:numPr>
            </w:pPr>
            <w:r>
              <w:t xml:space="preserve">Do you agree with the scope of the ‘Payment </w:t>
            </w:r>
            <w:r w:rsidR="00E63B37">
              <w:t>Facilitation Services</w:t>
            </w:r>
            <w:r>
              <w:t>’ function as it is currently defined? Are there any services that have not been captured by the definition, but should be included (or vice versa)?</w:t>
            </w:r>
          </w:p>
          <w:p w14:paraId="5E3D03F8" w14:textId="5E71C4FF" w:rsidR="00251967" w:rsidRPr="00671D03" w:rsidRDefault="00430A60" w:rsidP="001D123F">
            <w:pPr>
              <w:pStyle w:val="Consultationquestions"/>
              <w:numPr>
                <w:ilvl w:val="0"/>
                <w:numId w:val="100"/>
              </w:numPr>
            </w:pPr>
            <w:r>
              <w:t>Is there merit in disaggregating this function</w:t>
            </w:r>
            <w:r w:rsidR="00671D03">
              <w:t>? If so</w:t>
            </w:r>
            <w:r w:rsidR="001E17DF">
              <w:t>,</w:t>
            </w:r>
            <w:r w:rsidR="00671D03">
              <w:t xml:space="preserve"> </w:t>
            </w:r>
            <w:r w:rsidR="002960D5">
              <w:t xml:space="preserve">why and </w:t>
            </w:r>
            <w:r w:rsidR="00671D03">
              <w:t xml:space="preserve">how should </w:t>
            </w:r>
            <w:r w:rsidR="00DC0B63">
              <w:t>this be done?</w:t>
            </w:r>
          </w:p>
          <w:p w14:paraId="77A4DFF4" w14:textId="47C44063" w:rsidR="005431F7" w:rsidRPr="000D51D4" w:rsidRDefault="00A4455D" w:rsidP="001D123F">
            <w:pPr>
              <w:pStyle w:val="Consultationquestions"/>
              <w:numPr>
                <w:ilvl w:val="0"/>
                <w:numId w:val="100"/>
              </w:numPr>
            </w:pPr>
            <w:r>
              <w:t xml:space="preserve">Are there any other principles that should be used to define this function? </w:t>
            </w:r>
          </w:p>
        </w:tc>
      </w:tr>
    </w:tbl>
    <w:p w14:paraId="64E19EA1" w14:textId="2B108BAD" w:rsidR="005429C9" w:rsidRDefault="00065908" w:rsidP="00DF715D">
      <w:pPr>
        <w:pStyle w:val="Heading3"/>
        <w:keepLines/>
      </w:pPr>
      <w:bookmarkStart w:id="50" w:name="_Ref149229977"/>
      <w:bookmarkStart w:id="51" w:name="_Ref149229987"/>
      <w:bookmarkStart w:id="52" w:name="_Toc149230909"/>
      <w:r>
        <w:t xml:space="preserve">Payment </w:t>
      </w:r>
      <w:r w:rsidR="007774AD">
        <w:t>T</w:t>
      </w:r>
      <w:r w:rsidR="000F528D">
        <w:t xml:space="preserve">echnology </w:t>
      </w:r>
      <w:r>
        <w:t xml:space="preserve">and </w:t>
      </w:r>
      <w:r w:rsidR="007774AD">
        <w:t>E</w:t>
      </w:r>
      <w:r w:rsidR="000F528D">
        <w:t xml:space="preserve">nablement </w:t>
      </w:r>
      <w:bookmarkEnd w:id="50"/>
      <w:bookmarkEnd w:id="51"/>
      <w:bookmarkEnd w:id="52"/>
      <w:r w:rsidR="007774AD">
        <w:t>S</w:t>
      </w:r>
      <w:r w:rsidR="000F528D">
        <w:t xml:space="preserve">ervices </w:t>
      </w:r>
    </w:p>
    <w:p w14:paraId="0910E1F1" w14:textId="60050E2B" w:rsidR="00974AE3" w:rsidRDefault="009B1732" w:rsidP="00DF715D">
      <w:pPr>
        <w:keepLines/>
      </w:pPr>
      <w:r>
        <w:t>Several</w:t>
      </w:r>
      <w:r w:rsidR="00974AE3">
        <w:t xml:space="preserve"> submissions highlighted that the </w:t>
      </w:r>
      <w:r w:rsidR="00392398">
        <w:t>‘</w:t>
      </w:r>
      <w:r w:rsidR="00611C02">
        <w:t>P</w:t>
      </w:r>
      <w:r w:rsidR="002D4101">
        <w:t xml:space="preserve">ayment </w:t>
      </w:r>
      <w:r w:rsidR="00611C02">
        <w:t>F</w:t>
      </w:r>
      <w:r w:rsidR="002D4101">
        <w:t xml:space="preserve">acilitation, </w:t>
      </w:r>
      <w:r w:rsidR="00611C02">
        <w:t>A</w:t>
      </w:r>
      <w:r w:rsidR="002D4101">
        <w:t xml:space="preserve">uthentication, </w:t>
      </w:r>
      <w:r w:rsidR="00611C02">
        <w:t>A</w:t>
      </w:r>
      <w:r w:rsidR="002D4101">
        <w:t xml:space="preserve">uthorisation and </w:t>
      </w:r>
      <w:r w:rsidR="00611C02">
        <w:t>P</w:t>
      </w:r>
      <w:r w:rsidR="002D4101">
        <w:t xml:space="preserve">rocessing </w:t>
      </w:r>
      <w:r w:rsidR="00611C02">
        <w:t>S</w:t>
      </w:r>
      <w:r w:rsidR="002D4101">
        <w:t>ervices</w:t>
      </w:r>
      <w:r w:rsidR="008B65EB">
        <w:t>’ function</w:t>
      </w:r>
      <w:r w:rsidR="002D4101">
        <w:t xml:space="preserve"> </w:t>
      </w:r>
      <w:r w:rsidR="00A24591">
        <w:t xml:space="preserve">proposed in CP1 </w:t>
      </w:r>
      <w:r w:rsidR="002D4101">
        <w:t>was too broad.</w:t>
      </w:r>
      <w:r w:rsidR="00974AE3">
        <w:t xml:space="preserve"> </w:t>
      </w:r>
      <w:r w:rsidR="00F62B88">
        <w:t>In response</w:t>
      </w:r>
      <w:r w:rsidR="00BC5165">
        <w:t xml:space="preserve">, </w:t>
      </w:r>
      <w:r w:rsidR="006F7C55">
        <w:t>th</w:t>
      </w:r>
      <w:r w:rsidR="00506443">
        <w:t>is</w:t>
      </w:r>
      <w:r w:rsidR="006F7C55">
        <w:t xml:space="preserve"> function has been replaced by</w:t>
      </w:r>
      <w:r w:rsidR="00BC5165">
        <w:t xml:space="preserve"> </w:t>
      </w:r>
      <w:r w:rsidR="002E7B41">
        <w:t xml:space="preserve">a </w:t>
      </w:r>
      <w:r w:rsidR="00A16F55">
        <w:t>‘</w:t>
      </w:r>
      <w:r w:rsidR="008D3686">
        <w:t>P</w:t>
      </w:r>
      <w:r w:rsidR="008D3686" w:rsidRPr="00EA6C71">
        <w:t xml:space="preserve">ayment </w:t>
      </w:r>
      <w:r w:rsidR="008D3686">
        <w:t>F</w:t>
      </w:r>
      <w:r w:rsidR="008D3686" w:rsidRPr="00EA6C71">
        <w:t>acilitation</w:t>
      </w:r>
      <w:r w:rsidR="008D3686">
        <w:rPr>
          <w:b/>
          <w:bCs/>
        </w:rPr>
        <w:t xml:space="preserve"> </w:t>
      </w:r>
      <w:r w:rsidR="008D3686" w:rsidRPr="008D3686">
        <w:t>Services</w:t>
      </w:r>
      <w:r w:rsidR="00A16F55">
        <w:t>’</w:t>
      </w:r>
      <w:r w:rsidR="002E7B41">
        <w:rPr>
          <w:b/>
          <w:bCs/>
        </w:rPr>
        <w:t xml:space="preserve"> </w:t>
      </w:r>
      <w:r w:rsidR="002E7B41">
        <w:t>function</w:t>
      </w:r>
      <w:r w:rsidR="00506443">
        <w:t xml:space="preserve"> (as described </w:t>
      </w:r>
      <w:r w:rsidR="008845B4">
        <w:t xml:space="preserve">in </w:t>
      </w:r>
      <w:r w:rsidR="008845B4" w:rsidRPr="00DF715D">
        <w:rPr>
          <w:b/>
        </w:rPr>
        <w:t>section</w:t>
      </w:r>
      <w:r w:rsidR="006A6FE2" w:rsidRPr="00DF715D">
        <w:rPr>
          <w:b/>
          <w:bCs/>
        </w:rPr>
        <w:t xml:space="preserve"> </w:t>
      </w:r>
      <w:r w:rsidR="00104954">
        <w:rPr>
          <w:b/>
          <w:bCs/>
        </w:rPr>
        <w:t>2.2.6</w:t>
      </w:r>
      <w:r w:rsidR="00506443">
        <w:t>)</w:t>
      </w:r>
      <w:r w:rsidR="0003105B">
        <w:t xml:space="preserve"> and</w:t>
      </w:r>
      <w:r w:rsidR="00306A27">
        <w:t xml:space="preserve"> a </w:t>
      </w:r>
      <w:r w:rsidR="00A16F55">
        <w:t>‘</w:t>
      </w:r>
      <w:r w:rsidR="00732521">
        <w:t>P</w:t>
      </w:r>
      <w:r w:rsidR="00306A27" w:rsidRPr="00EA6C71">
        <w:t xml:space="preserve">ayment </w:t>
      </w:r>
      <w:r w:rsidR="00732521">
        <w:t>T</w:t>
      </w:r>
      <w:r w:rsidR="00306A27" w:rsidRPr="00EA6C71">
        <w:t xml:space="preserve">echnology and </w:t>
      </w:r>
      <w:r w:rsidR="00732521">
        <w:t>E</w:t>
      </w:r>
      <w:r w:rsidR="00306A27" w:rsidRPr="00EA6C71">
        <w:t>nablement</w:t>
      </w:r>
      <w:r w:rsidR="00306A27">
        <w:t xml:space="preserve"> </w:t>
      </w:r>
      <w:r w:rsidR="00732521">
        <w:t>S</w:t>
      </w:r>
      <w:r w:rsidR="00306A27" w:rsidRPr="00EA6C71">
        <w:t>ervices</w:t>
      </w:r>
      <w:r w:rsidR="00A16F55">
        <w:t>’</w:t>
      </w:r>
      <w:r w:rsidR="00306A27">
        <w:t xml:space="preserve"> function</w:t>
      </w:r>
      <w:r w:rsidR="00D30EB4">
        <w:t>.</w:t>
      </w:r>
      <w:r w:rsidR="00F4119B">
        <w:t xml:space="preserve"> </w:t>
      </w:r>
    </w:p>
    <w:p w14:paraId="568B7A12" w14:textId="4B0AFFCF" w:rsidR="004F68E5" w:rsidRDefault="000C32DD" w:rsidP="00A95A40">
      <w:r>
        <w:t>Stakeholders noted</w:t>
      </w:r>
      <w:r w:rsidR="004F68E5">
        <w:t xml:space="preserve"> there is </w:t>
      </w:r>
      <w:r w:rsidR="00EB1C6B">
        <w:t xml:space="preserve">complexity when determining the regulatory perimeter </w:t>
      </w:r>
      <w:r w:rsidR="003B5948">
        <w:t>for</w:t>
      </w:r>
      <w:r w:rsidR="00EB1C6B">
        <w:t xml:space="preserve"> service providers that do not control or hold funds, but increasingly play a material role in enabling a payment to occur. </w:t>
      </w:r>
      <w:r w:rsidR="001D5215">
        <w:t xml:space="preserve">This section sets out the rationale for the </w:t>
      </w:r>
      <w:r w:rsidR="00891A45">
        <w:t>‘</w:t>
      </w:r>
      <w:r w:rsidR="002D64C8">
        <w:t>Payment Technology</w:t>
      </w:r>
      <w:r w:rsidR="001D5215">
        <w:t xml:space="preserve"> and </w:t>
      </w:r>
      <w:r w:rsidR="002D64C8">
        <w:t>Enablement Services</w:t>
      </w:r>
      <w:r w:rsidR="00891A45">
        <w:t>’</w:t>
      </w:r>
      <w:r w:rsidR="001D5215">
        <w:t xml:space="preserve"> function and the</w:t>
      </w:r>
      <w:r w:rsidR="00376A30">
        <w:t xml:space="preserve"> </w:t>
      </w:r>
      <w:r w:rsidR="001D5215">
        <w:t>high-</w:t>
      </w:r>
      <w:r w:rsidR="00376A30">
        <w:t xml:space="preserve">level principles </w:t>
      </w:r>
      <w:r w:rsidR="00E302B7">
        <w:t xml:space="preserve">that could </w:t>
      </w:r>
      <w:r w:rsidR="00376A30">
        <w:t xml:space="preserve">define </w:t>
      </w:r>
      <w:r w:rsidR="000D5D35">
        <w:t xml:space="preserve">the scope of this </w:t>
      </w:r>
      <w:r w:rsidR="00042E51">
        <w:t>function</w:t>
      </w:r>
      <w:r w:rsidR="008422C4">
        <w:t xml:space="preserve">. </w:t>
      </w:r>
    </w:p>
    <w:p w14:paraId="41A05B35" w14:textId="02E718B8" w:rsidR="006F1D78" w:rsidRDefault="00B138FB" w:rsidP="00437D22">
      <w:pPr>
        <w:pStyle w:val="Heading4"/>
      </w:pPr>
      <w:r>
        <w:t xml:space="preserve">Proposed </w:t>
      </w:r>
      <w:r w:rsidR="007C3589">
        <w:t>conceptual definition</w:t>
      </w:r>
      <w:r w:rsidR="001E6EB8">
        <w:t xml:space="preserve"> </w:t>
      </w:r>
    </w:p>
    <w:p w14:paraId="77B3C207" w14:textId="5EE326D6" w:rsidR="004F1EEA" w:rsidRDefault="00AE63A4" w:rsidP="00A95A40">
      <w:r w:rsidRPr="007840B5">
        <w:t xml:space="preserve">Payment </w:t>
      </w:r>
      <w:r w:rsidR="00065908">
        <w:t>Technology</w:t>
      </w:r>
      <w:r w:rsidRPr="007840B5">
        <w:t xml:space="preserve"> and </w:t>
      </w:r>
      <w:r w:rsidR="00065908">
        <w:t>Enablement Services</w:t>
      </w:r>
      <w:r>
        <w:t xml:space="preserve"> are</w:t>
      </w:r>
      <w:r w:rsidR="004F1EEA" w:rsidRPr="008676C4">
        <w:t xml:space="preserve"> </w:t>
      </w:r>
      <w:r w:rsidR="00BA076F">
        <w:t>p</w:t>
      </w:r>
      <w:r w:rsidR="00BA076F" w:rsidRPr="008676C4">
        <w:t>ayment</w:t>
      </w:r>
      <w:r w:rsidR="00BA076F">
        <w:t>-</w:t>
      </w:r>
      <w:r w:rsidR="004F1EEA" w:rsidRPr="008676C4">
        <w:t>specific s</w:t>
      </w:r>
      <w:r w:rsidR="004F1EEA" w:rsidRPr="00C4395C">
        <w:t xml:space="preserve">ervices provided by third parties that enable payments to be made. These services </w:t>
      </w:r>
      <w:r w:rsidR="004F1EEA">
        <w:t xml:space="preserve">enable </w:t>
      </w:r>
      <w:r w:rsidR="004F1EEA" w:rsidRPr="00C4395C">
        <w:t xml:space="preserve">a </w:t>
      </w:r>
      <w:r w:rsidR="004F1EEA">
        <w:t xml:space="preserve">transfer of funds </w:t>
      </w:r>
      <w:r w:rsidR="004F1EEA" w:rsidRPr="00C4395C">
        <w:t>to occur</w:t>
      </w:r>
      <w:r w:rsidR="004F1EEA">
        <w:t xml:space="preserve"> but do not enter into possession</w:t>
      </w:r>
      <w:r w:rsidR="001F16BD">
        <w:t xml:space="preserve"> </w:t>
      </w:r>
      <w:r w:rsidR="00A0396C">
        <w:t>of,</w:t>
      </w:r>
      <w:r w:rsidR="001F16BD">
        <w:t xml:space="preserve"> or control</w:t>
      </w:r>
      <w:r w:rsidR="004F1EEA">
        <w:t xml:space="preserve"> </w:t>
      </w:r>
      <w:r w:rsidR="007B535F">
        <w:t>of,</w:t>
      </w:r>
      <w:r w:rsidR="004F1EEA">
        <w:t xml:space="preserve"> </w:t>
      </w:r>
      <w:r w:rsidR="001F16BD">
        <w:t>the</w:t>
      </w:r>
      <w:r w:rsidR="004F1EEA">
        <w:t xml:space="preserve"> funds</w:t>
      </w:r>
      <w:r w:rsidR="004F1EEA" w:rsidRPr="00C4395C">
        <w:t xml:space="preserve">. Such services may be </w:t>
      </w:r>
      <w:r w:rsidR="009045A8">
        <w:t>customer</w:t>
      </w:r>
      <w:r w:rsidR="00A22B65">
        <w:t xml:space="preserve"> </w:t>
      </w:r>
      <w:r w:rsidR="00150CF4">
        <w:t xml:space="preserve">or merchant </w:t>
      </w:r>
      <w:r w:rsidR="00A22B65">
        <w:t>facing</w:t>
      </w:r>
      <w:r w:rsidR="004F1EEA">
        <w:t xml:space="preserve"> or </w:t>
      </w:r>
      <w:r w:rsidR="004E511C">
        <w:t xml:space="preserve">engage with </w:t>
      </w:r>
      <w:r w:rsidR="004F1EEA">
        <w:t>other PSPs</w:t>
      </w:r>
      <w:r w:rsidR="004F1EEA" w:rsidRPr="008676C4">
        <w:t xml:space="preserve">. </w:t>
      </w:r>
      <w:r w:rsidR="004F1EEA">
        <w:t xml:space="preserve">This function excludes </w:t>
      </w:r>
      <w:r w:rsidR="0006081D">
        <w:t>P</w:t>
      </w:r>
      <w:r w:rsidR="004F1EEA">
        <w:t xml:space="preserve">ayment </w:t>
      </w:r>
      <w:r w:rsidR="0006081D">
        <w:t>I</w:t>
      </w:r>
      <w:r w:rsidR="004F1EEA">
        <w:t xml:space="preserve">nitiation </w:t>
      </w:r>
      <w:r w:rsidR="0006081D">
        <w:t>S</w:t>
      </w:r>
      <w:r w:rsidR="004F1EEA">
        <w:t>ervice</w:t>
      </w:r>
      <w:r w:rsidR="00390CEF">
        <w:t>s</w:t>
      </w:r>
      <w:r w:rsidR="004F1EEA">
        <w:t xml:space="preserve"> which are captured under an</w:t>
      </w:r>
      <w:r w:rsidR="00542797">
        <w:t>other</w:t>
      </w:r>
      <w:r w:rsidR="004F1EEA">
        <w:t xml:space="preserve"> function.</w:t>
      </w:r>
    </w:p>
    <w:p w14:paraId="4627725D" w14:textId="3B6ACFB8" w:rsidR="004F1EEA" w:rsidRDefault="004F1EEA" w:rsidP="00A95A40">
      <w:r>
        <w:t>This may include</w:t>
      </w:r>
      <w:r w:rsidR="00C708C0">
        <w:t xml:space="preserve"> entities</w:t>
      </w:r>
      <w:r>
        <w:t xml:space="preserve"> that perform services such as authentication, authorisation, routing and the capture and transfer of payment credentials (whether tokenised or not) and other payment data. This function is also intended to include pass-through digital wallets</w:t>
      </w:r>
      <w:r w:rsidR="00FC7837">
        <w:t xml:space="preserve"> and payment token service providers</w:t>
      </w:r>
      <w:r>
        <w:t>.</w:t>
      </w:r>
    </w:p>
    <w:p w14:paraId="725B424F" w14:textId="00048BEF" w:rsidR="004F1EEA" w:rsidRDefault="004F1EEA" w:rsidP="00A95A40">
      <w:r>
        <w:lastRenderedPageBreak/>
        <w:t xml:space="preserve">This function is not intended to include </w:t>
      </w:r>
      <w:r w:rsidRPr="00437D22">
        <w:t>certain</w:t>
      </w:r>
      <w:r>
        <w:rPr>
          <w:b/>
          <w:bCs/>
        </w:rPr>
        <w:t xml:space="preserve"> </w:t>
      </w:r>
      <w:r>
        <w:t>technical services that may be provided to PSPs but do not themselves directly enable a payment to be made or are not specific to a payment transaction. For example, cloud storage services,</w:t>
      </w:r>
      <w:r w:rsidDel="007634D2">
        <w:t xml:space="preserve"> </w:t>
      </w:r>
      <w:r>
        <w:t>telecommunications networks, mobile phone devices</w:t>
      </w:r>
      <w:r w:rsidR="00551A71">
        <w:t xml:space="preserve">, </w:t>
      </w:r>
      <w:r w:rsidR="00E1050E">
        <w:t xml:space="preserve">and </w:t>
      </w:r>
      <w:r w:rsidR="00551A71">
        <w:t>e</w:t>
      </w:r>
      <w:r w:rsidR="00A62DA6">
        <w:noBreakHyphen/>
      </w:r>
      <w:r w:rsidR="00FA4A28">
        <w:t xml:space="preserve">invoicing. </w:t>
      </w:r>
    </w:p>
    <w:p w14:paraId="01CEBC2E" w14:textId="0BAFA887" w:rsidR="006400CA" w:rsidRDefault="006400CA" w:rsidP="00A95A40">
      <w:r>
        <w:t>In principle this function include</w:t>
      </w:r>
      <w:r w:rsidR="00D779A5">
        <w:t>s</w:t>
      </w:r>
      <w:r w:rsidR="00365917">
        <w:t>,</w:t>
      </w:r>
      <w:r>
        <w:t xml:space="preserve"> but </w:t>
      </w:r>
      <w:r w:rsidR="00D779A5">
        <w:t>is</w:t>
      </w:r>
      <w:r w:rsidR="00195F62">
        <w:t xml:space="preserve"> </w:t>
      </w:r>
      <w:r>
        <w:t>not limited to</w:t>
      </w:r>
      <w:r w:rsidR="00365917">
        <w:t>,</w:t>
      </w:r>
      <w:r>
        <w:t xml:space="preserve"> entities that</w:t>
      </w:r>
      <w:r w:rsidR="00402162">
        <w:t xml:space="preserve"> </w:t>
      </w:r>
      <w:r w:rsidR="00394945">
        <w:t xml:space="preserve">provide </w:t>
      </w:r>
      <w:r w:rsidR="00402162">
        <w:t>the following:</w:t>
      </w:r>
    </w:p>
    <w:p w14:paraId="03353E11" w14:textId="4978FA3C" w:rsidR="00BA5429" w:rsidRDefault="00525CBE" w:rsidP="0020029E">
      <w:pPr>
        <w:pStyle w:val="Bullet"/>
        <w:numPr>
          <w:ilvl w:val="0"/>
          <w:numId w:val="70"/>
        </w:numPr>
      </w:pPr>
      <w:r>
        <w:t>s</w:t>
      </w:r>
      <w:r w:rsidR="0018334F">
        <w:t>ervices that are preliminary or necessary to send or receive funds</w:t>
      </w:r>
      <w:r>
        <w:t>;</w:t>
      </w:r>
      <w:r w:rsidR="0018334F">
        <w:t xml:space="preserve"> </w:t>
      </w:r>
    </w:p>
    <w:p w14:paraId="53431E23" w14:textId="4124A24B" w:rsidR="00E72286" w:rsidRDefault="00525CBE" w:rsidP="0020029E">
      <w:pPr>
        <w:pStyle w:val="Bullet"/>
        <w:numPr>
          <w:ilvl w:val="0"/>
          <w:numId w:val="70"/>
        </w:numPr>
      </w:pPr>
      <w:r>
        <w:t>t</w:t>
      </w:r>
      <w:r w:rsidR="00EC1F4C">
        <w:t>he transfer and custody of data associated with a payment</w:t>
      </w:r>
      <w:r>
        <w:t>;</w:t>
      </w:r>
      <w:r w:rsidR="00EC1F4C">
        <w:t xml:space="preserve"> </w:t>
      </w:r>
      <w:r>
        <w:t>and</w:t>
      </w:r>
    </w:p>
    <w:p w14:paraId="608770FC" w14:textId="3572FE6C" w:rsidR="0018334F" w:rsidRDefault="00525CBE" w:rsidP="0020029E">
      <w:pPr>
        <w:pStyle w:val="Bullet"/>
        <w:numPr>
          <w:ilvl w:val="0"/>
          <w:numId w:val="70"/>
        </w:numPr>
      </w:pPr>
      <w:r>
        <w:t>t</w:t>
      </w:r>
      <w:r w:rsidR="0018334F">
        <w:t xml:space="preserve">he operation and management of payment platforms, </w:t>
      </w:r>
      <w:r w:rsidR="00703000">
        <w:t>pass-through digital wallets</w:t>
      </w:r>
      <w:r w:rsidR="001D0EF4">
        <w:t xml:space="preserve"> and other similar services</w:t>
      </w:r>
      <w:r w:rsidR="007D700B">
        <w:t>.</w:t>
      </w:r>
    </w:p>
    <w:p w14:paraId="6A0DA005" w14:textId="64271BF3" w:rsidR="007D700B" w:rsidRDefault="00196BD3" w:rsidP="00A95A40">
      <w:r>
        <w:t xml:space="preserve">Some </w:t>
      </w:r>
      <w:r w:rsidR="0016031B">
        <w:t>stakeholders suggested that entities that would fall under this function should not require a licence.</w:t>
      </w:r>
      <w:r w:rsidR="00834D62">
        <w:t xml:space="preserve"> Although entities providing </w:t>
      </w:r>
      <w:r w:rsidR="00065908">
        <w:t>Payment Technology</w:t>
      </w:r>
      <w:r w:rsidR="00834D62">
        <w:t xml:space="preserve"> </w:t>
      </w:r>
      <w:r w:rsidR="00BD4F54">
        <w:t>and</w:t>
      </w:r>
      <w:r w:rsidR="00834D62">
        <w:t xml:space="preserve"> </w:t>
      </w:r>
      <w:r w:rsidR="00065908">
        <w:t>Enablement Services</w:t>
      </w:r>
      <w:r w:rsidR="00834D62">
        <w:t xml:space="preserve"> do not </w:t>
      </w:r>
      <w:r w:rsidR="00400718">
        <w:t>hold funds</w:t>
      </w:r>
      <w:r w:rsidR="00D75583">
        <w:t xml:space="preserve">, these services can still be critical to </w:t>
      </w:r>
      <w:r w:rsidR="000D4D6B">
        <w:t xml:space="preserve">the effective </w:t>
      </w:r>
      <w:r w:rsidR="00B07BFB">
        <w:t>processing</w:t>
      </w:r>
      <w:r w:rsidR="000D4D6B">
        <w:t xml:space="preserve"> of payment</w:t>
      </w:r>
      <w:r w:rsidR="00B07BFB">
        <w:t xml:space="preserve"> transactions</w:t>
      </w:r>
      <w:r w:rsidR="000D4D6B">
        <w:t xml:space="preserve">. </w:t>
      </w:r>
      <w:r w:rsidR="00990ABD">
        <w:t>For this reason, some jurisdictions do regulate</w:t>
      </w:r>
      <w:r w:rsidR="001453F7">
        <w:t xml:space="preserve"> such entities as </w:t>
      </w:r>
      <w:r w:rsidR="000D56F2">
        <w:t>PSPs</w:t>
      </w:r>
      <w:r w:rsidR="001453F7">
        <w:t>.</w:t>
      </w:r>
      <w:r w:rsidR="000C072D">
        <w:rPr>
          <w:rStyle w:val="FootnoteReference"/>
        </w:rPr>
        <w:footnoteReference w:id="25"/>
      </w:r>
    </w:p>
    <w:p w14:paraId="07C1FE1C" w14:textId="0E1E8D0B" w:rsidR="00486AC7" w:rsidRDefault="00433CC9" w:rsidP="00437D22">
      <w:pPr>
        <w:pStyle w:val="Heading4"/>
      </w:pPr>
      <w:r>
        <w:t xml:space="preserve">Discussion and further considerations </w:t>
      </w:r>
    </w:p>
    <w:p w14:paraId="1B6C4552" w14:textId="146F9E19" w:rsidR="009D16F5" w:rsidRDefault="009D16F5" w:rsidP="00255A4F">
      <w:pPr>
        <w:pStyle w:val="HHText"/>
      </w:pPr>
      <w:r>
        <w:t xml:space="preserve">There are a number of principles that </w:t>
      </w:r>
      <w:r w:rsidR="003A0EAB">
        <w:t>have been</w:t>
      </w:r>
      <w:r>
        <w:t xml:space="preserve"> considered to </w:t>
      </w:r>
      <w:r w:rsidR="005B0133">
        <w:t xml:space="preserve">determine the scope of this function, the risks </w:t>
      </w:r>
      <w:r w:rsidR="002267B7">
        <w:t xml:space="preserve">different </w:t>
      </w:r>
      <w:r w:rsidR="008507A8">
        <w:t xml:space="preserve">types of </w:t>
      </w:r>
      <w:r w:rsidR="002350A4">
        <w:t>service providers present</w:t>
      </w:r>
      <w:r w:rsidR="002774DC">
        <w:t>,</w:t>
      </w:r>
      <w:r w:rsidR="002350A4">
        <w:t xml:space="preserve"> and </w:t>
      </w:r>
      <w:r w:rsidR="00713601">
        <w:t xml:space="preserve">the nature of </w:t>
      </w:r>
      <w:r w:rsidR="002350A4">
        <w:t>regulatory requirements</w:t>
      </w:r>
      <w:r w:rsidR="00713601">
        <w:t>.</w:t>
      </w:r>
      <w:r w:rsidR="002350A4">
        <w:t xml:space="preserve"> </w:t>
      </w:r>
    </w:p>
    <w:p w14:paraId="3812899D" w14:textId="179753A6" w:rsidR="00BC3EBB" w:rsidRPr="00410A8A" w:rsidRDefault="00BC3EBB" w:rsidP="00984F96">
      <w:pPr>
        <w:pStyle w:val="Heading5"/>
      </w:pPr>
      <w:r>
        <w:t>Principle: Payment</w:t>
      </w:r>
      <w:r w:rsidR="0035155E">
        <w:t>-</w:t>
      </w:r>
      <w:r>
        <w:t xml:space="preserve">specific </w:t>
      </w:r>
    </w:p>
    <w:p w14:paraId="3A3615B1" w14:textId="278DDD5E" w:rsidR="00BC3EBB" w:rsidRDefault="00BC3EBB" w:rsidP="00984F96">
      <w:r>
        <w:t>One principle included in the proposed definition</w:t>
      </w:r>
      <w:r w:rsidR="002A4738">
        <w:t xml:space="preserve"> </w:t>
      </w:r>
      <w:r>
        <w:t>is that this function is only intended to capture providers that offer payment</w:t>
      </w:r>
      <w:r w:rsidR="002A4738">
        <w:t>-</w:t>
      </w:r>
      <w:r>
        <w:t xml:space="preserve">specific services rather than more general technical services. For example, the definition is not intended to capture services such as cloud storage, telecommunications networks, and other data services. </w:t>
      </w:r>
      <w:r w:rsidR="008C16B2">
        <w:t>S</w:t>
      </w:r>
      <w:r>
        <w:t xml:space="preserve">uch services may pose risks within the financial system, including payments. </w:t>
      </w:r>
      <w:r w:rsidR="001F070D">
        <w:t>However,</w:t>
      </w:r>
      <w:r>
        <w:t xml:space="preserve"> the payments licensing framework </w:t>
      </w:r>
      <w:r w:rsidR="00CB594D">
        <w:t>is not considered to be</w:t>
      </w:r>
      <w:r>
        <w:t xml:space="preserve"> the appropriate mechanism to address such risks given their use across a variety of other services beyond payments.</w:t>
      </w:r>
    </w:p>
    <w:p w14:paraId="47EAEFFB" w14:textId="5EB6B98E" w:rsidR="00BC3EBB" w:rsidRDefault="00BC3EBB" w:rsidP="00984F96">
      <w:r>
        <w:t>It is important to clarify that this does not exclude services such as pass-through digital wallets that could store other credentials or offer various other functionality, as they also offer payment</w:t>
      </w:r>
      <w:r w:rsidR="00B53EA9">
        <w:t>-</w:t>
      </w:r>
      <w:r>
        <w:t xml:space="preserve">specific services. </w:t>
      </w:r>
      <w:r w:rsidR="00CB0AC5">
        <w:t>S</w:t>
      </w:r>
      <w:r>
        <w:t>ervices such as these enable a payment to occur, and play a material role in the transaction process</w:t>
      </w:r>
      <w:r w:rsidR="00CB0AC5">
        <w:t>,</w:t>
      </w:r>
      <w:r>
        <w:t xml:space="preserve"> and </w:t>
      </w:r>
      <w:r w:rsidR="00CB0AC5">
        <w:t xml:space="preserve">are </w:t>
      </w:r>
      <w:r>
        <w:t xml:space="preserve">therefore </w:t>
      </w:r>
      <w:r w:rsidR="00CB0AC5">
        <w:t>proposed to be</w:t>
      </w:r>
      <w:r>
        <w:t xml:space="preserve"> </w:t>
      </w:r>
      <w:r w:rsidR="00CB0AC5">
        <w:t>with</w:t>
      </w:r>
      <w:r>
        <w:t xml:space="preserve">in </w:t>
      </w:r>
      <w:r w:rsidR="00CB0AC5">
        <w:t>the</w:t>
      </w:r>
      <w:r>
        <w:t xml:space="preserve"> scope of this definition. Likewise, various processing services, authentication services, gateway services, </w:t>
      </w:r>
      <w:r w:rsidR="0001093B">
        <w:t xml:space="preserve">and </w:t>
      </w:r>
      <w:r>
        <w:t>token services would be considered to provide a payment</w:t>
      </w:r>
      <w:r w:rsidR="0055349F">
        <w:t>-</w:t>
      </w:r>
      <w:r>
        <w:t xml:space="preserve">specific service. </w:t>
      </w:r>
    </w:p>
    <w:p w14:paraId="1B05515E" w14:textId="43805956" w:rsidR="00BC3EBB" w:rsidRPr="00AB4EF0" w:rsidRDefault="00BC3EBB" w:rsidP="00984F96">
      <w:r>
        <w:t xml:space="preserve">The principle is intended to provide a clear payments nexus for this function, whilst also acknowledging the technological innovation and increased interconnectedness that has resulted in a range of new and emerging businesses offering payments services that pose risks but may not possess funds. The regulatory treatment of these services is intended to be proportional to the risks these services pose and address gaps where oversight is necessary. </w:t>
      </w:r>
    </w:p>
    <w:p w14:paraId="7011F4B0" w14:textId="2370B5B0" w:rsidR="00E04BF6" w:rsidRPr="00AB4EF0" w:rsidRDefault="007F303D" w:rsidP="00984F96">
      <w:pPr>
        <w:pStyle w:val="Heading5"/>
      </w:pPr>
      <w:r>
        <w:lastRenderedPageBreak/>
        <w:t>Principle:</w:t>
      </w:r>
      <w:r w:rsidR="00397E68">
        <w:t xml:space="preserve"> </w:t>
      </w:r>
      <w:r w:rsidR="00A35FF9">
        <w:t>User facing vs non</w:t>
      </w:r>
      <w:r w:rsidR="007B6774">
        <w:t>-</w:t>
      </w:r>
      <w:r w:rsidR="00A35FF9">
        <w:t xml:space="preserve">user facing service providers </w:t>
      </w:r>
    </w:p>
    <w:p w14:paraId="68E16272" w14:textId="2068FB5B" w:rsidR="00FB1270" w:rsidRDefault="00BC3EBB" w:rsidP="00984F96">
      <w:r>
        <w:t xml:space="preserve">A second principle </w:t>
      </w:r>
      <w:r w:rsidR="0046185C">
        <w:t xml:space="preserve">in determining the scope </w:t>
      </w:r>
      <w:r w:rsidR="00E4349A">
        <w:t>or nature of regulatory obligations</w:t>
      </w:r>
      <w:r w:rsidR="0046185C">
        <w:t xml:space="preserve"> is </w:t>
      </w:r>
      <w:r w:rsidR="00E4349A">
        <w:t>the interactions that the PSP has with a customer</w:t>
      </w:r>
      <w:r w:rsidR="001921A8">
        <w:t xml:space="preserve"> </w:t>
      </w:r>
      <w:r w:rsidR="00DE2F8D">
        <w:t>(</w:t>
      </w:r>
      <w:r w:rsidR="006305BA">
        <w:t>individuals and merchants</w:t>
      </w:r>
      <w:r w:rsidR="00DE2F8D">
        <w:t>)</w:t>
      </w:r>
      <w:r w:rsidR="00F467ED">
        <w:t>.</w:t>
      </w:r>
      <w:r w:rsidR="0046185C">
        <w:t xml:space="preserve"> </w:t>
      </w:r>
      <w:r w:rsidR="008A793A">
        <w:t xml:space="preserve">It may be possible to delineate between </w:t>
      </w:r>
      <w:r w:rsidR="00FC7B6A">
        <w:t>entities that are customer facing</w:t>
      </w:r>
      <w:r w:rsidR="00164894">
        <w:t>, front-end providers</w:t>
      </w:r>
      <w:r w:rsidR="0090470D">
        <w:t xml:space="preserve"> that interact with the payee and/or payer</w:t>
      </w:r>
      <w:r w:rsidR="00164894">
        <w:t xml:space="preserve">, and </w:t>
      </w:r>
      <w:r w:rsidR="00F1130A">
        <w:t>non-customer facing, back</w:t>
      </w:r>
      <w:r w:rsidR="00DA0D86">
        <w:t>-</w:t>
      </w:r>
      <w:r w:rsidR="00F1130A">
        <w:t>end providers</w:t>
      </w:r>
      <w:r w:rsidR="00FC2A91">
        <w:t xml:space="preserve"> who may provide payment</w:t>
      </w:r>
      <w:r w:rsidR="00DA0D86">
        <w:t>-</w:t>
      </w:r>
      <w:r w:rsidR="00FC2A91">
        <w:t>specific services to other PSPs</w:t>
      </w:r>
      <w:r w:rsidR="00F1130A">
        <w:t xml:space="preserve">. </w:t>
      </w:r>
      <w:r w:rsidR="00792ABF">
        <w:t>Although b</w:t>
      </w:r>
      <w:r w:rsidR="00FC2A91">
        <w:t>oth</w:t>
      </w:r>
      <w:r w:rsidR="002A64CC">
        <w:t xml:space="preserve"> types</w:t>
      </w:r>
      <w:r w:rsidR="00FC2A91">
        <w:t xml:space="preserve"> likely introduce risk, </w:t>
      </w:r>
      <w:r w:rsidR="00534EB2">
        <w:t>there may be an argum</w:t>
      </w:r>
      <w:r w:rsidR="00084814">
        <w:t>ent to consider differential</w:t>
      </w:r>
      <w:r w:rsidR="002A64CC">
        <w:t xml:space="preserve"> regulatory treatment </w:t>
      </w:r>
      <w:r w:rsidR="00084814">
        <w:t>for each</w:t>
      </w:r>
      <w:r w:rsidR="002A64CC">
        <w:t>.</w:t>
      </w:r>
    </w:p>
    <w:p w14:paraId="2BA3848E" w14:textId="7667DB02" w:rsidR="00F1130A" w:rsidRDefault="00A442F5" w:rsidP="00984F96">
      <w:r>
        <w:t>F</w:t>
      </w:r>
      <w:r w:rsidR="00C71EA9">
        <w:t>ront</w:t>
      </w:r>
      <w:r w:rsidR="00084814">
        <w:t>-</w:t>
      </w:r>
      <w:r w:rsidR="00C71EA9">
        <w:t xml:space="preserve">end providers could include services such as pass-through digital wallets, </w:t>
      </w:r>
      <w:r w:rsidR="005807FB">
        <w:t xml:space="preserve">payment gateways, </w:t>
      </w:r>
      <w:r w:rsidR="00703041">
        <w:t>services relating to card-acceptance on commercial of</w:t>
      </w:r>
      <w:r w:rsidR="00B94210">
        <w:t>f</w:t>
      </w:r>
      <w:r w:rsidR="00257491">
        <w:t>-the-</w:t>
      </w:r>
      <w:r w:rsidR="00703041">
        <w:t xml:space="preserve">shelf </w:t>
      </w:r>
      <w:r w:rsidR="00390ECF">
        <w:t xml:space="preserve">(COTS) </w:t>
      </w:r>
      <w:r w:rsidR="00703041">
        <w:t xml:space="preserve">devices </w:t>
      </w:r>
      <w:r w:rsidR="00170B1C">
        <w:t xml:space="preserve">or certain </w:t>
      </w:r>
      <w:r w:rsidR="00EC4129">
        <w:t>‘soft</w:t>
      </w:r>
      <w:r w:rsidR="00170B1C">
        <w:t xml:space="preserve"> </w:t>
      </w:r>
      <w:r w:rsidR="00956EB8">
        <w:t>POS’</w:t>
      </w:r>
      <w:r w:rsidR="00170B1C">
        <w:t xml:space="preserve"> services</w:t>
      </w:r>
      <w:r w:rsidR="00402044">
        <w:t>,</w:t>
      </w:r>
      <w:r w:rsidR="006147E7">
        <w:t xml:space="preserve"> and </w:t>
      </w:r>
      <w:r w:rsidR="00B71362">
        <w:t xml:space="preserve">providers that accept </w:t>
      </w:r>
      <w:r w:rsidR="000E6A07">
        <w:t xml:space="preserve">or onboard customers for the purpose of enabling payments but may not </w:t>
      </w:r>
      <w:r w:rsidR="00BA710B">
        <w:t>possess</w:t>
      </w:r>
      <w:r w:rsidR="000E6A07">
        <w:t xml:space="preserve"> funds.</w:t>
      </w:r>
      <w:r w:rsidR="00BA710B">
        <w:t xml:space="preserve"> </w:t>
      </w:r>
      <w:r w:rsidR="009F4EF6">
        <w:t xml:space="preserve">The risks these </w:t>
      </w:r>
      <w:r w:rsidR="00703946">
        <w:t>business</w:t>
      </w:r>
      <w:r w:rsidR="00F703BD">
        <w:t>es</w:t>
      </w:r>
      <w:r w:rsidR="009F4EF6">
        <w:t xml:space="preserve"> could </w:t>
      </w:r>
      <w:r w:rsidR="00703946">
        <w:t>present</w:t>
      </w:r>
      <w:r w:rsidR="009F4EF6">
        <w:t xml:space="preserve"> </w:t>
      </w:r>
      <w:r w:rsidR="00A81190">
        <w:t xml:space="preserve">include </w:t>
      </w:r>
      <w:r w:rsidR="006B6035">
        <w:t xml:space="preserve">operational risks such as </w:t>
      </w:r>
      <w:r w:rsidR="00A81190">
        <w:t>privacy, data</w:t>
      </w:r>
      <w:r w:rsidR="009A777E">
        <w:t xml:space="preserve"> </w:t>
      </w:r>
      <w:r w:rsidR="00A81190">
        <w:t>protection, cyber security</w:t>
      </w:r>
      <w:r w:rsidR="00690F18">
        <w:t xml:space="preserve">, </w:t>
      </w:r>
      <w:r w:rsidR="00564BCB">
        <w:t xml:space="preserve">and </w:t>
      </w:r>
      <w:r w:rsidR="006B6035">
        <w:t>internal and external fraud</w:t>
      </w:r>
      <w:r w:rsidR="00587900">
        <w:t>.</w:t>
      </w:r>
      <w:r w:rsidR="00A81190">
        <w:t xml:space="preserve"> </w:t>
      </w:r>
      <w:r w:rsidR="00F703BD">
        <w:t>In addition</w:t>
      </w:r>
      <w:r w:rsidR="00564BCB">
        <w:t>,</w:t>
      </w:r>
      <w:r w:rsidR="00FF1670">
        <w:t xml:space="preserve"> </w:t>
      </w:r>
      <w:r w:rsidR="00154609">
        <w:t>consumer protection</w:t>
      </w:r>
      <w:r w:rsidR="000F5829">
        <w:t xml:space="preserve">, </w:t>
      </w:r>
      <w:r w:rsidR="00564BCB">
        <w:t xml:space="preserve">liability concerns and clarity over who the customer believes is providing a payment service </w:t>
      </w:r>
      <w:r w:rsidR="00BF7FA8">
        <w:t xml:space="preserve">may </w:t>
      </w:r>
      <w:r w:rsidR="00505A98">
        <w:t xml:space="preserve">warrant </w:t>
      </w:r>
      <w:r w:rsidR="00951F65">
        <w:t xml:space="preserve">certain </w:t>
      </w:r>
      <w:r w:rsidR="004A0586">
        <w:t xml:space="preserve">licence </w:t>
      </w:r>
      <w:r w:rsidR="00951F65">
        <w:t>obligations</w:t>
      </w:r>
      <w:r w:rsidR="00505A98">
        <w:t xml:space="preserve"> and potential requirements under an updated ePayments </w:t>
      </w:r>
      <w:r w:rsidR="00375BEA">
        <w:t xml:space="preserve">Code </w:t>
      </w:r>
      <w:r w:rsidR="000D687A">
        <w:t>for example</w:t>
      </w:r>
      <w:r w:rsidR="00505A98">
        <w:t xml:space="preserve">. </w:t>
      </w:r>
    </w:p>
    <w:p w14:paraId="309165FF" w14:textId="0BDFD3B9" w:rsidR="00836CE3" w:rsidRDefault="00A17A8D" w:rsidP="00984F96">
      <w:r>
        <w:t>T</w:t>
      </w:r>
      <w:r w:rsidR="005F4670">
        <w:t>hird</w:t>
      </w:r>
      <w:r w:rsidR="00BA4820">
        <w:t>-party</w:t>
      </w:r>
      <w:r w:rsidR="005F4670">
        <w:t xml:space="preserve"> payment initiators</w:t>
      </w:r>
      <w:r w:rsidR="00B016B5">
        <w:t xml:space="preserve"> </w:t>
      </w:r>
      <w:r w:rsidR="00FE746C">
        <w:t xml:space="preserve">are </w:t>
      </w:r>
      <w:r w:rsidR="00B016B5">
        <w:t>also</w:t>
      </w:r>
      <w:r w:rsidR="0066772C">
        <w:t xml:space="preserve"> </w:t>
      </w:r>
      <w:r w:rsidR="00FE746C">
        <w:t xml:space="preserve">captured under the </w:t>
      </w:r>
      <w:r w:rsidR="00F57B51">
        <w:t>framework (see Payment Initiation Services)</w:t>
      </w:r>
      <w:r w:rsidR="007651AA">
        <w:t xml:space="preserve"> </w:t>
      </w:r>
      <w:r w:rsidR="00FE746C">
        <w:t xml:space="preserve">and </w:t>
      </w:r>
      <w:r w:rsidR="000D5C7F">
        <w:t xml:space="preserve">appear to </w:t>
      </w:r>
      <w:r w:rsidR="00FE746C">
        <w:t xml:space="preserve">present a similar risk profile, whilst also not </w:t>
      </w:r>
      <w:r w:rsidR="00181753">
        <w:t>entering into possession of</w:t>
      </w:r>
      <w:r w:rsidR="00471AB4">
        <w:t xml:space="preserve"> funds</w:t>
      </w:r>
      <w:r w:rsidR="001F6AEC">
        <w:t>. Certain front</w:t>
      </w:r>
      <w:r w:rsidR="00BA4820">
        <w:t>-end</w:t>
      </w:r>
      <w:r w:rsidR="001F6AEC">
        <w:t xml:space="preserve"> providers may </w:t>
      </w:r>
      <w:r w:rsidR="00843A73">
        <w:t xml:space="preserve">also </w:t>
      </w:r>
      <w:r w:rsidR="001F6AEC">
        <w:t>control the ini</w:t>
      </w:r>
      <w:r w:rsidR="00AD24E9">
        <w:t xml:space="preserve">tiation or authentication </w:t>
      </w:r>
      <w:r w:rsidR="000A5772">
        <w:t xml:space="preserve">stage of a transaction. </w:t>
      </w:r>
      <w:r w:rsidR="00843A73">
        <w:t>L</w:t>
      </w:r>
      <w:r w:rsidR="00A5060C">
        <w:t xml:space="preserve">icensing of </w:t>
      </w:r>
      <w:r w:rsidR="00BC48FA">
        <w:t>these</w:t>
      </w:r>
      <w:r w:rsidR="00A5060C">
        <w:t xml:space="preserve"> providers </w:t>
      </w:r>
      <w:r w:rsidR="00BC48FA">
        <w:t>would</w:t>
      </w:r>
      <w:r w:rsidR="00CD1176" w:rsidDel="00BC48FA">
        <w:t xml:space="preserve"> </w:t>
      </w:r>
      <w:r w:rsidR="00A5060C">
        <w:t>be consistent with ensuring a level playing field.</w:t>
      </w:r>
    </w:p>
    <w:p w14:paraId="2D8E2760" w14:textId="79EF8510" w:rsidR="00CE385B" w:rsidRDefault="00876674" w:rsidP="00984F96">
      <w:r>
        <w:t>In contrast, b</w:t>
      </w:r>
      <w:r w:rsidR="006E19AB">
        <w:t>ack</w:t>
      </w:r>
      <w:r w:rsidR="00FD7F41">
        <w:t>-</w:t>
      </w:r>
      <w:r w:rsidR="006E19AB">
        <w:t xml:space="preserve">end or non-user facing </w:t>
      </w:r>
      <w:r w:rsidR="004C4A5F">
        <w:t>entities</w:t>
      </w:r>
      <w:r w:rsidR="003B53EC">
        <w:t xml:space="preserve"> could be considered to primarily provide payment services to other PSPs</w:t>
      </w:r>
      <w:r w:rsidR="00831689">
        <w:t xml:space="preserve"> (rather than consumers or merchants)</w:t>
      </w:r>
      <w:r w:rsidR="003B53EC">
        <w:t>. This could include</w:t>
      </w:r>
      <w:r w:rsidR="00831689">
        <w:t>,</w:t>
      </w:r>
      <w:r w:rsidR="003B53EC">
        <w:t xml:space="preserve"> for example</w:t>
      </w:r>
      <w:r w:rsidR="00831689">
        <w:t>,</w:t>
      </w:r>
      <w:r w:rsidR="00197B5F">
        <w:t xml:space="preserve"> services related to authorisation</w:t>
      </w:r>
      <w:r w:rsidR="003B53EC">
        <w:t xml:space="preserve">, </w:t>
      </w:r>
      <w:r w:rsidR="0085578C">
        <w:t>authentication</w:t>
      </w:r>
      <w:r w:rsidR="00197B5F">
        <w:t>, issuance</w:t>
      </w:r>
      <w:r w:rsidR="0085578C">
        <w:t xml:space="preserve"> </w:t>
      </w:r>
      <w:r w:rsidR="00AD1B48">
        <w:t xml:space="preserve">of </w:t>
      </w:r>
      <w:r w:rsidR="00C751FD">
        <w:t>payment</w:t>
      </w:r>
      <w:r w:rsidR="00AD1B48">
        <w:t xml:space="preserve"> tokens, </w:t>
      </w:r>
      <w:r w:rsidR="000E5062">
        <w:t xml:space="preserve">orchestration services, </w:t>
      </w:r>
      <w:r w:rsidR="00AD1B48">
        <w:t xml:space="preserve">storage and transmission of credentials and data, </w:t>
      </w:r>
      <w:r w:rsidR="00787E09">
        <w:t>fraud and security services.</w:t>
      </w:r>
      <w:r w:rsidR="00FD3B55">
        <w:t xml:space="preserve"> These services could </w:t>
      </w:r>
      <w:r w:rsidR="00CD4F85">
        <w:t xml:space="preserve">present </w:t>
      </w:r>
      <w:r w:rsidR="002B6FBE">
        <w:t>comparable</w:t>
      </w:r>
      <w:r w:rsidR="00CD4F85">
        <w:t xml:space="preserve"> operational risks such as cyber</w:t>
      </w:r>
      <w:r w:rsidR="00542C28">
        <w:t xml:space="preserve"> security, </w:t>
      </w:r>
      <w:r w:rsidR="00CC132E">
        <w:t>data protection,</w:t>
      </w:r>
      <w:r w:rsidR="00900147">
        <w:t xml:space="preserve"> </w:t>
      </w:r>
      <w:r w:rsidR="0053374A">
        <w:t xml:space="preserve">and </w:t>
      </w:r>
      <w:r w:rsidR="00900147">
        <w:t xml:space="preserve">system </w:t>
      </w:r>
      <w:r w:rsidR="0053374A">
        <w:t>or technology risks</w:t>
      </w:r>
      <w:r w:rsidR="00D822B2">
        <w:t xml:space="preserve">. </w:t>
      </w:r>
      <w:r w:rsidR="00E9095C">
        <w:t>Whilst not</w:t>
      </w:r>
      <w:r w:rsidR="007E1D24">
        <w:t xml:space="preserve"> user</w:t>
      </w:r>
      <w:r w:rsidR="00E9095C">
        <w:t xml:space="preserve"> facing, the failure of these services could still materially impact the provision of a payment service to a customer</w:t>
      </w:r>
      <w:r w:rsidR="00D66951">
        <w:t xml:space="preserve"> by a PSP</w:t>
      </w:r>
      <w:r w:rsidR="00E9095C">
        <w:t xml:space="preserve">, </w:t>
      </w:r>
      <w:r w:rsidR="00D66951">
        <w:t>influence trust</w:t>
      </w:r>
      <w:r w:rsidR="0096743D">
        <w:t xml:space="preserve">, and flow through to other PSPs in the value chain. </w:t>
      </w:r>
      <w:r w:rsidR="00DF1B32">
        <w:t xml:space="preserve">However, </w:t>
      </w:r>
      <w:r w:rsidR="00871AAD">
        <w:t xml:space="preserve">PSPs that utilise such services may have a degree of oversight </w:t>
      </w:r>
      <w:r w:rsidR="00F97952">
        <w:t>(contractual or otherwise)</w:t>
      </w:r>
      <w:r w:rsidR="00871AAD">
        <w:t xml:space="preserve"> over these providers</w:t>
      </w:r>
      <w:r w:rsidR="000B0008">
        <w:t xml:space="preserve"> and could assume liability in their failure to provide a service to a </w:t>
      </w:r>
      <w:r w:rsidR="00AD2086">
        <w:t>custome</w:t>
      </w:r>
      <w:r w:rsidR="000B0008">
        <w:t xml:space="preserve">r. </w:t>
      </w:r>
      <w:r w:rsidR="0092245F">
        <w:t>Depending on the nature,</w:t>
      </w:r>
      <w:r w:rsidR="00726F1C">
        <w:t xml:space="preserve"> interconnectedness</w:t>
      </w:r>
      <w:r w:rsidR="00E21FA8">
        <w:t>,</w:t>
      </w:r>
      <w:r w:rsidR="0092245F">
        <w:t xml:space="preserve"> and scale of </w:t>
      </w:r>
      <w:r w:rsidR="00491B51">
        <w:t>these entities</w:t>
      </w:r>
      <w:r w:rsidR="00E21FA8">
        <w:t>,</w:t>
      </w:r>
      <w:r w:rsidR="00491B51">
        <w:t xml:space="preserve"> </w:t>
      </w:r>
      <w:r w:rsidR="00A45A3C">
        <w:t xml:space="preserve">they </w:t>
      </w:r>
      <w:r w:rsidR="00643173">
        <w:t>could introduce financial stability concerns</w:t>
      </w:r>
      <w:r w:rsidR="00AD2086">
        <w:t xml:space="preserve"> as well</w:t>
      </w:r>
      <w:r w:rsidR="00643173">
        <w:t>.</w:t>
      </w:r>
    </w:p>
    <w:p w14:paraId="55752806" w14:textId="611D30FD" w:rsidR="0054246D" w:rsidRDefault="00CE56AF" w:rsidP="00984F96">
      <w:pPr>
        <w:pStyle w:val="Heading5"/>
      </w:pPr>
      <w:r>
        <w:t xml:space="preserve">Principle: </w:t>
      </w:r>
      <w:r w:rsidR="0054246D">
        <w:t xml:space="preserve">Role in </w:t>
      </w:r>
      <w:r w:rsidR="00160522">
        <w:t>enabling</w:t>
      </w:r>
      <w:r w:rsidR="0054246D">
        <w:t xml:space="preserve"> a payment </w:t>
      </w:r>
      <w:r w:rsidR="00160522">
        <w:t>to occur</w:t>
      </w:r>
    </w:p>
    <w:p w14:paraId="34AA6137" w14:textId="49F21EA1" w:rsidR="00044AB1" w:rsidRPr="00AB4EF0" w:rsidRDefault="007B18D4" w:rsidP="00984F96">
      <w:r>
        <w:t>The</w:t>
      </w:r>
      <w:r w:rsidR="00DA01CC">
        <w:t xml:space="preserve"> role </w:t>
      </w:r>
      <w:r w:rsidR="00BC3C1D">
        <w:t>that a</w:t>
      </w:r>
      <w:r w:rsidR="00D7508D">
        <w:t>n entity</w:t>
      </w:r>
      <w:r w:rsidR="00BC3C1D">
        <w:t xml:space="preserve"> plays in enabling a payment to occur</w:t>
      </w:r>
      <w:r w:rsidR="0032722F">
        <w:t xml:space="preserve"> may </w:t>
      </w:r>
      <w:r>
        <w:t xml:space="preserve">also </w:t>
      </w:r>
      <w:r w:rsidR="0032722F">
        <w:t xml:space="preserve">help to inform the regulatory perimeter and </w:t>
      </w:r>
      <w:r w:rsidR="00303E7B">
        <w:t>appropriate</w:t>
      </w:r>
      <w:r w:rsidR="0032722F">
        <w:t xml:space="preserve"> regulatory obligations</w:t>
      </w:r>
      <w:r w:rsidR="00BC3C1D">
        <w:t xml:space="preserve">. </w:t>
      </w:r>
      <w:r w:rsidR="00F055BF">
        <w:t>A p</w:t>
      </w:r>
      <w:r w:rsidR="00CE56AF">
        <w:t>roposed</w:t>
      </w:r>
      <w:r w:rsidR="00F055BF">
        <w:t xml:space="preserve"> principle </w:t>
      </w:r>
      <w:r w:rsidR="00F21494">
        <w:t xml:space="preserve">to define this function is whether </w:t>
      </w:r>
      <w:r w:rsidR="00B84D3F">
        <w:t xml:space="preserve">an entity performs a required </w:t>
      </w:r>
      <w:r w:rsidR="00914B35">
        <w:t>step</w:t>
      </w:r>
      <w:r w:rsidR="00B84D3F">
        <w:t xml:space="preserve"> of</w:t>
      </w:r>
      <w:r w:rsidR="00F21494">
        <w:t xml:space="preserve"> </w:t>
      </w:r>
      <w:r w:rsidR="00D4504C">
        <w:t>a tr</w:t>
      </w:r>
      <w:r w:rsidR="0071272F">
        <w:t xml:space="preserve">ansfer of funds, rather than provide a supporting </w:t>
      </w:r>
      <w:r w:rsidR="001006DC">
        <w:t xml:space="preserve">service to another PSP. </w:t>
      </w:r>
    </w:p>
    <w:p w14:paraId="71C244A4" w14:textId="741F296E" w:rsidR="009E0725" w:rsidRDefault="00C7666B" w:rsidP="00984F96">
      <w:r>
        <w:t>For example</w:t>
      </w:r>
      <w:r w:rsidR="00F60C65">
        <w:t>,</w:t>
      </w:r>
      <w:r>
        <w:t xml:space="preserve"> an entity that controls </w:t>
      </w:r>
      <w:r w:rsidR="00F415D3">
        <w:t xml:space="preserve">any of </w:t>
      </w:r>
      <w:r w:rsidR="00B96BAC">
        <w:t xml:space="preserve">the steps </w:t>
      </w:r>
      <w:r w:rsidR="00F415D3">
        <w:t>or processes</w:t>
      </w:r>
      <w:r w:rsidR="00B96BAC">
        <w:t xml:space="preserve"> required for a transaction to be initiated, </w:t>
      </w:r>
      <w:r w:rsidR="00F415D3">
        <w:t xml:space="preserve">authenticated, accepted </w:t>
      </w:r>
      <w:r w:rsidR="00B77F9A">
        <w:t>or for the transaction to otherwise proceed</w:t>
      </w:r>
      <w:r w:rsidR="00D477C1">
        <w:t>,</w:t>
      </w:r>
      <w:r w:rsidR="00B77F9A">
        <w:t xml:space="preserve"> </w:t>
      </w:r>
      <w:r w:rsidR="0095520F">
        <w:t xml:space="preserve">and could therefore have a material impact on </w:t>
      </w:r>
      <w:r w:rsidR="00D06D42">
        <w:t>the ability of the payment to occur</w:t>
      </w:r>
      <w:r w:rsidR="00D477C1">
        <w:t>,</w:t>
      </w:r>
      <w:r w:rsidR="00D06D42">
        <w:t xml:space="preserve"> </w:t>
      </w:r>
      <w:r w:rsidR="005220BF">
        <w:t>would be</w:t>
      </w:r>
      <w:r w:rsidR="00334BD3">
        <w:t xml:space="preserve"> captured under this function. </w:t>
      </w:r>
      <w:r w:rsidR="00327473">
        <w:t xml:space="preserve">The failure to perform </w:t>
      </w:r>
      <w:r w:rsidR="00166117">
        <w:t>this service</w:t>
      </w:r>
      <w:r w:rsidR="00327473">
        <w:t xml:space="preserve"> could </w:t>
      </w:r>
      <w:r w:rsidR="00626E97">
        <w:t xml:space="preserve">result in a failed transaction, </w:t>
      </w:r>
      <w:r w:rsidR="00BD319F">
        <w:t xml:space="preserve">introduce fraud or security risks, and </w:t>
      </w:r>
      <w:r w:rsidR="00AD4D83">
        <w:t xml:space="preserve">impact the broader payments chain. </w:t>
      </w:r>
      <w:r w:rsidR="009110BC">
        <w:t xml:space="preserve">It follows that there </w:t>
      </w:r>
      <w:r w:rsidR="00EF6CE1">
        <w:t>is</w:t>
      </w:r>
      <w:r w:rsidR="009110BC">
        <w:t xml:space="preserve"> merit </w:t>
      </w:r>
      <w:r w:rsidR="00463A6B">
        <w:t xml:space="preserve">in </w:t>
      </w:r>
      <w:r w:rsidR="009E0725">
        <w:t>explicitly</w:t>
      </w:r>
      <w:r w:rsidR="00463A6B">
        <w:t xml:space="preserve"> capturing these services</w:t>
      </w:r>
      <w:r w:rsidR="00C440CC">
        <w:t xml:space="preserve"> as they play a direct role in enabling a payment to occur. </w:t>
      </w:r>
    </w:p>
    <w:p w14:paraId="0CCCBD89" w14:textId="24CA0EE4" w:rsidR="00331F6E" w:rsidRDefault="00A743A1" w:rsidP="00984F96">
      <w:r>
        <w:t xml:space="preserve">Conversely, services that play a </w:t>
      </w:r>
      <w:r w:rsidR="00F60C65">
        <w:t>comparatively</w:t>
      </w:r>
      <w:r>
        <w:t xml:space="preserve"> limited supporting role that enables another PSP to perform their function may not </w:t>
      </w:r>
      <w:r w:rsidR="00EB3DC0">
        <w:t xml:space="preserve">necessarily present the same </w:t>
      </w:r>
      <w:r w:rsidR="0073577D">
        <w:t>degree of risk or adverse outcome</w:t>
      </w:r>
      <w:r w:rsidR="006A5FEF">
        <w:t xml:space="preserve">. </w:t>
      </w:r>
      <w:r w:rsidR="008B0483">
        <w:t xml:space="preserve">There may be justification in either excluding these entities from licensing, or subjecting them to </w:t>
      </w:r>
      <w:r w:rsidR="008B0483">
        <w:lastRenderedPageBreak/>
        <w:t>fewer regulatory obligations under the licence.</w:t>
      </w:r>
      <w:r w:rsidR="006A5FEF">
        <w:t xml:space="preserve"> For example</w:t>
      </w:r>
      <w:r w:rsidR="00CA67DA">
        <w:t>,</w:t>
      </w:r>
      <w:r w:rsidR="006A5FEF">
        <w:t xml:space="preserve"> s</w:t>
      </w:r>
      <w:r w:rsidR="00E5722D">
        <w:t>ervices that are outsourced by a PSP</w:t>
      </w:r>
      <w:r w:rsidR="001644F6">
        <w:t xml:space="preserve">, where the </w:t>
      </w:r>
      <w:r w:rsidR="008B0483">
        <w:t xml:space="preserve">outsourcing </w:t>
      </w:r>
      <w:r w:rsidR="001644F6">
        <w:t xml:space="preserve">PSP </w:t>
      </w:r>
      <w:r w:rsidR="00333D8E">
        <w:t>can reasonably be expected to be responsible for the performance of the service</w:t>
      </w:r>
      <w:r w:rsidR="00D03598">
        <w:t xml:space="preserve">, and </w:t>
      </w:r>
      <w:r w:rsidR="00670D5C">
        <w:t xml:space="preserve">the </w:t>
      </w:r>
      <w:r w:rsidR="008B0483">
        <w:t xml:space="preserve">outsourced </w:t>
      </w:r>
      <w:r w:rsidR="00670D5C">
        <w:t>service</w:t>
      </w:r>
      <w:r w:rsidR="00D03598">
        <w:t xml:space="preserve"> does not control a required or discrete step in a transaction. For example, certain data services or fraud and security services provided to another </w:t>
      </w:r>
      <w:r w:rsidR="00A6447A">
        <w:t>entity</w:t>
      </w:r>
      <w:r w:rsidR="00F85EF2">
        <w:t xml:space="preserve">. </w:t>
      </w:r>
      <w:r w:rsidR="00E35C4E">
        <w:t>L</w:t>
      </w:r>
      <w:r w:rsidR="000C5517">
        <w:t xml:space="preserve">icensing requirements </w:t>
      </w:r>
      <w:r w:rsidR="00E35C4E">
        <w:t xml:space="preserve">for </w:t>
      </w:r>
      <w:r w:rsidR="000C5517">
        <w:t>these entities may not achieve a material policy outcome, may introduce unnecessary complexity and burden</w:t>
      </w:r>
      <w:r w:rsidR="00E90263">
        <w:t>,</w:t>
      </w:r>
      <w:r w:rsidR="002923D3">
        <w:t xml:space="preserve"> and </w:t>
      </w:r>
      <w:r w:rsidR="00E90263">
        <w:t xml:space="preserve">the </w:t>
      </w:r>
      <w:r w:rsidR="002923D3">
        <w:t xml:space="preserve">obligations on </w:t>
      </w:r>
      <w:r w:rsidR="00E90263">
        <w:t xml:space="preserve">the </w:t>
      </w:r>
      <w:r w:rsidR="002923D3">
        <w:t xml:space="preserve">PSPs using these services may already appropriately address </w:t>
      </w:r>
      <w:r w:rsidR="00E90263">
        <w:t xml:space="preserve">the associated </w:t>
      </w:r>
      <w:r w:rsidR="002923D3">
        <w:t>risks.</w:t>
      </w:r>
      <w:r w:rsidR="00307C77">
        <w:t xml:space="preserve"> </w:t>
      </w:r>
      <w:r w:rsidR="00B45CFC">
        <w:t xml:space="preserve">However, depending on the nature of the business, interconnectedness and </w:t>
      </w:r>
      <w:r w:rsidR="0078032B">
        <w:t xml:space="preserve">market concentration </w:t>
      </w:r>
      <w:r w:rsidR="00DB5F8F">
        <w:t xml:space="preserve">of </w:t>
      </w:r>
      <w:r w:rsidR="0078032B">
        <w:t xml:space="preserve">such services may still </w:t>
      </w:r>
      <w:r w:rsidR="00B00CA4">
        <w:t>contribute to overall</w:t>
      </w:r>
      <w:r w:rsidR="0078032B">
        <w:t xml:space="preserve"> risk</w:t>
      </w:r>
      <w:r w:rsidR="00B00CA4">
        <w:t xml:space="preserve"> in the system. </w:t>
      </w:r>
      <w:r w:rsidR="0078032B">
        <w:t xml:space="preserve"> </w:t>
      </w:r>
    </w:p>
    <w:p w14:paraId="721618FE" w14:textId="3094B782" w:rsidR="00BA4820" w:rsidRDefault="00BA4820" w:rsidP="00984F96">
      <w:pPr>
        <w:pStyle w:val="Heading5"/>
      </w:pPr>
      <w:r>
        <w:t xml:space="preserve">Accounting for different levels of risk </w:t>
      </w:r>
    </w:p>
    <w:p w14:paraId="74744354" w14:textId="2F17A348" w:rsidR="00BA4820" w:rsidRDefault="004D5C1A" w:rsidP="00984F96">
      <w:r>
        <w:t>Any</w:t>
      </w:r>
      <w:r w:rsidR="00512232">
        <w:t xml:space="preserve"> regulatory obligations </w:t>
      </w:r>
      <w:r w:rsidR="00DF7D1A">
        <w:t>should</w:t>
      </w:r>
      <w:r w:rsidR="00512232">
        <w:t xml:space="preserve"> be proportionate to the degree of risk </w:t>
      </w:r>
      <w:r w:rsidR="00E3405A">
        <w:t xml:space="preserve">posed </w:t>
      </w:r>
      <w:r w:rsidR="00DF7D1A">
        <w:t>as far as</w:t>
      </w:r>
      <w:r w:rsidR="00512232">
        <w:t xml:space="preserve"> possible.</w:t>
      </w:r>
      <w:r w:rsidR="004A3697">
        <w:t xml:space="preserve"> </w:t>
      </w:r>
      <w:r w:rsidR="00563755">
        <w:t xml:space="preserve">This paper </w:t>
      </w:r>
      <w:r w:rsidR="00802E3C">
        <w:t>presents</w:t>
      </w:r>
      <w:r w:rsidR="008839C2">
        <w:t xml:space="preserve"> principles that could be used to</w:t>
      </w:r>
      <w:r w:rsidR="0083732D">
        <w:t xml:space="preserve"> </w:t>
      </w:r>
      <w:r w:rsidR="00C73649">
        <w:t>group</w:t>
      </w:r>
      <w:r w:rsidR="0083732D">
        <w:t xml:space="preserve"> </w:t>
      </w:r>
      <w:r w:rsidR="00D862C8">
        <w:t xml:space="preserve">entities with </w:t>
      </w:r>
      <w:r w:rsidR="00C73649">
        <w:t xml:space="preserve">similar </w:t>
      </w:r>
      <w:r w:rsidR="00965A1B">
        <w:t xml:space="preserve">risk profiles of entities </w:t>
      </w:r>
      <w:r w:rsidR="00C73649">
        <w:t xml:space="preserve">within the </w:t>
      </w:r>
      <w:r w:rsidR="00C57897">
        <w:t>‘</w:t>
      </w:r>
      <w:r w:rsidR="002D64C8">
        <w:t>Payment Technology</w:t>
      </w:r>
      <w:r w:rsidR="00C73649">
        <w:t xml:space="preserve"> and </w:t>
      </w:r>
      <w:r w:rsidR="002D64C8">
        <w:t>Enablement Services</w:t>
      </w:r>
      <w:r w:rsidR="00C57897">
        <w:t>’</w:t>
      </w:r>
      <w:r w:rsidR="00F24788">
        <w:t xml:space="preserve"> function</w:t>
      </w:r>
      <w:r w:rsidR="00965A1B">
        <w:t>.</w:t>
      </w:r>
      <w:r w:rsidR="00F24788">
        <w:t xml:space="preserve"> </w:t>
      </w:r>
      <w:r w:rsidR="00012ED0">
        <w:t xml:space="preserve">Further </w:t>
      </w:r>
      <w:r w:rsidR="00F24788">
        <w:t>tailor</w:t>
      </w:r>
      <w:r w:rsidR="00012ED0">
        <w:t>ing</w:t>
      </w:r>
      <w:r w:rsidR="00F24788">
        <w:t xml:space="preserve"> regulatory obligations based on </w:t>
      </w:r>
      <w:r w:rsidR="0069037B">
        <w:t xml:space="preserve">which group an entity </w:t>
      </w:r>
      <w:r w:rsidR="004D56FF">
        <w:t>belongs to</w:t>
      </w:r>
      <w:r w:rsidR="00E063AD">
        <w:t xml:space="preserve"> (or </w:t>
      </w:r>
      <w:r w:rsidR="00012ED0">
        <w:t xml:space="preserve">to </w:t>
      </w:r>
      <w:r w:rsidR="00E063AD">
        <w:t xml:space="preserve">exclude some groups </w:t>
      </w:r>
      <w:r w:rsidR="003F1266">
        <w:t>from the licensing requirement</w:t>
      </w:r>
      <w:r w:rsidR="00E063AD">
        <w:t xml:space="preserve"> altogether)</w:t>
      </w:r>
      <w:r w:rsidR="00012ED0">
        <w:t xml:space="preserve"> may be required</w:t>
      </w:r>
      <w:r w:rsidR="004D1F27">
        <w:t>.</w:t>
      </w:r>
      <w:r w:rsidR="00965A1B">
        <w:t xml:space="preserve">  </w:t>
      </w:r>
    </w:p>
    <w:p w14:paraId="52DA757D" w14:textId="730B990A" w:rsidR="00255A4F" w:rsidRPr="00297E10" w:rsidRDefault="004D1F27" w:rsidP="00984F96">
      <w:r>
        <w:t>T</w:t>
      </w:r>
      <w:r w:rsidR="00F54C84">
        <w:t xml:space="preserve">his paper seeks views on </w:t>
      </w:r>
      <w:r w:rsidR="00A9102F">
        <w:t xml:space="preserve">the </w:t>
      </w:r>
      <w:r w:rsidR="002D5C30">
        <w:t xml:space="preserve">degree of </w:t>
      </w:r>
      <w:r w:rsidR="00A9102F">
        <w:t xml:space="preserve">risk </w:t>
      </w:r>
      <w:r>
        <w:t>posed by</w:t>
      </w:r>
      <w:r w:rsidR="00A9102F">
        <w:t xml:space="preserve"> entities that could be captured under this definition, and</w:t>
      </w:r>
      <w:r w:rsidR="003A1A9B">
        <w:t xml:space="preserve"> </w:t>
      </w:r>
      <w:r w:rsidR="00F54C84">
        <w:t xml:space="preserve">whether </w:t>
      </w:r>
      <w:r w:rsidR="00104E28">
        <w:t xml:space="preserve">certain types of entities </w:t>
      </w:r>
      <w:r w:rsidR="004966B9">
        <w:t xml:space="preserve">– </w:t>
      </w:r>
      <w:r w:rsidR="00104E28">
        <w:t>such as</w:t>
      </w:r>
      <w:r w:rsidR="00F54C84">
        <w:t xml:space="preserve"> non-user facing providers and entities that do not directly enable a payment </w:t>
      </w:r>
      <w:r w:rsidR="004966B9">
        <w:t xml:space="preserve">– </w:t>
      </w:r>
      <w:r w:rsidR="00F54C84">
        <w:t>should be captured under the definition, and if so</w:t>
      </w:r>
      <w:r w:rsidR="00EB1C98">
        <w:t>,</w:t>
      </w:r>
      <w:r w:rsidR="00F54C84">
        <w:t xml:space="preserve"> w</w:t>
      </w:r>
      <w:r w:rsidR="00BC76C9">
        <w:t>hat</w:t>
      </w:r>
      <w:r w:rsidR="00F54C84">
        <w:t xml:space="preserve"> obligations </w:t>
      </w:r>
      <w:r w:rsidR="00BC4B94">
        <w:t>should</w:t>
      </w:r>
      <w:r w:rsidR="00F54C84">
        <w:t xml:space="preserve"> apply. </w:t>
      </w:r>
      <w:r w:rsidR="00F93D5E">
        <w:t>In particular, t</w:t>
      </w:r>
      <w:r w:rsidR="00EE5C99">
        <w:t xml:space="preserve">his paper </w:t>
      </w:r>
      <w:r w:rsidR="00283DB9">
        <w:t>invites feedback on</w:t>
      </w:r>
      <w:r w:rsidR="00EE5C99">
        <w:t xml:space="preserve"> the following high-level questions </w:t>
      </w:r>
      <w:r w:rsidR="00104E28">
        <w:t xml:space="preserve">based on the principles </w:t>
      </w:r>
      <w:r w:rsidR="006273B9">
        <w:t xml:space="preserve">outlined </w:t>
      </w:r>
      <w:r w:rsidR="00104E28">
        <w:t>above</w:t>
      </w:r>
      <w:r w:rsidR="005E6528">
        <w:t>.</w:t>
      </w:r>
    </w:p>
    <w:tbl>
      <w:tblPr>
        <w:tblStyle w:val="TableGrid"/>
        <w:tblW w:w="0" w:type="auto"/>
        <w:tblLook w:val="04A0" w:firstRow="1" w:lastRow="0" w:firstColumn="1" w:lastColumn="0" w:noHBand="0" w:noVBand="1"/>
      </w:tblPr>
      <w:tblGrid>
        <w:gridCol w:w="9070"/>
      </w:tblGrid>
      <w:tr w:rsidR="00097052" w14:paraId="0E56E6A6"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2C64E14B" w14:textId="06BCCD9F" w:rsidR="00097052" w:rsidRPr="00DF715D" w:rsidRDefault="00097052" w:rsidP="00DF715D">
            <w:pPr>
              <w:pStyle w:val="BodyText"/>
              <w:spacing w:before="96" w:after="96"/>
              <w:rPr>
                <w:b w:val="0"/>
                <w:u w:val="single"/>
              </w:rPr>
            </w:pPr>
            <w:r w:rsidRPr="00DF715D">
              <w:rPr>
                <w:rFonts w:asciiTheme="minorHAnsi" w:hAnsiTheme="minorHAnsi" w:cstheme="minorBidi"/>
                <w:szCs w:val="22"/>
                <w:u w:val="single"/>
              </w:rPr>
              <w:t>Consultation questions</w:t>
            </w:r>
          </w:p>
          <w:p w14:paraId="74F1B005" w14:textId="266DA42B" w:rsidR="00FE081F" w:rsidRPr="00FE081F" w:rsidRDefault="00FE081F" w:rsidP="001D123F">
            <w:pPr>
              <w:pStyle w:val="Consultationquestions"/>
              <w:numPr>
                <w:ilvl w:val="0"/>
                <w:numId w:val="100"/>
              </w:numPr>
            </w:pPr>
            <w:r>
              <w:t xml:space="preserve">Do you agree with the scope of the ‘Payment </w:t>
            </w:r>
            <w:r w:rsidR="00065908">
              <w:t>Technology</w:t>
            </w:r>
            <w:r>
              <w:t xml:space="preserve"> and </w:t>
            </w:r>
            <w:r w:rsidR="00065908">
              <w:t>Enablement Services</w:t>
            </w:r>
            <w:r>
              <w:t>’ function as it is currently defined? Are there any services that have not been captured by the definition, but should be included (or vice versa)?</w:t>
            </w:r>
          </w:p>
          <w:p w14:paraId="7BF0E79C" w14:textId="77777777" w:rsidR="008013C4" w:rsidRPr="00AB4EF0" w:rsidRDefault="008D0B68" w:rsidP="001D123F">
            <w:pPr>
              <w:pStyle w:val="Consultationquestions"/>
              <w:numPr>
                <w:ilvl w:val="0"/>
                <w:numId w:val="100"/>
              </w:numPr>
            </w:pPr>
            <w:r>
              <w:t>Are the principles used to define the function appropriate?</w:t>
            </w:r>
          </w:p>
          <w:p w14:paraId="451D4117" w14:textId="73386060" w:rsidR="00097052" w:rsidRPr="000D51D4" w:rsidRDefault="008B13C2" w:rsidP="001D123F">
            <w:pPr>
              <w:pStyle w:val="Consultationquestions"/>
              <w:numPr>
                <w:ilvl w:val="0"/>
                <w:numId w:val="100"/>
              </w:numPr>
            </w:pPr>
            <w:r>
              <w:t>Should a certain subset of entities captured under this function be subject to less rigorous obligations</w:t>
            </w:r>
            <w:r w:rsidR="00535517">
              <w:t xml:space="preserve"> than </w:t>
            </w:r>
            <w:r w:rsidR="007F6301">
              <w:t>what is proposed</w:t>
            </w:r>
            <w:r>
              <w:t xml:space="preserve">, </w:t>
            </w:r>
            <w:r w:rsidR="00AB76E0">
              <w:t>and what should those be</w:t>
            </w:r>
            <w:r>
              <w:t xml:space="preserve">?  </w:t>
            </w:r>
            <w:r w:rsidRPr="008B13C2">
              <w:t>Should the definition of this function be narrowed to exclude certain types of entities that do not pose significant risks, and if so, how?</w:t>
            </w:r>
          </w:p>
        </w:tc>
      </w:tr>
    </w:tbl>
    <w:p w14:paraId="5C3FE753" w14:textId="07A9491F" w:rsidR="00FB21DD" w:rsidRPr="00FB21DD" w:rsidRDefault="00AD30BA" w:rsidP="00AB3D0E">
      <w:pPr>
        <w:pStyle w:val="Heading3"/>
      </w:pPr>
      <w:r>
        <w:t>Cross-</w:t>
      </w:r>
      <w:r w:rsidR="00FB21DD">
        <w:t xml:space="preserve">border </w:t>
      </w:r>
      <w:r w:rsidR="00BD379B">
        <w:t>T</w:t>
      </w:r>
      <w:r w:rsidR="000F528D">
        <w:t xml:space="preserve">ransfer </w:t>
      </w:r>
      <w:r w:rsidR="00BD379B">
        <w:t>S</w:t>
      </w:r>
      <w:r w:rsidR="000F528D">
        <w:t xml:space="preserve">ervices </w:t>
      </w:r>
    </w:p>
    <w:p w14:paraId="23A0196B" w14:textId="77777777" w:rsidR="006E1A52" w:rsidRDefault="006E1A52" w:rsidP="00585D0C">
      <w:pPr>
        <w:pStyle w:val="Heading4"/>
      </w:pPr>
      <w:r>
        <w:t xml:space="preserve">Proposed conceptual definition </w:t>
      </w:r>
    </w:p>
    <w:p w14:paraId="4358F873" w14:textId="2FE73065" w:rsidR="00544151" w:rsidRDefault="00145BC7" w:rsidP="00984F96">
      <w:r w:rsidRPr="00F63D84">
        <w:t xml:space="preserve"> </w:t>
      </w:r>
      <w:r w:rsidR="00544151">
        <w:t xml:space="preserve">A </w:t>
      </w:r>
      <w:r w:rsidRPr="00F63D84">
        <w:t xml:space="preserve">service that </w:t>
      </w:r>
      <w:r w:rsidR="00F75837">
        <w:t xml:space="preserve">transfers or enables the transfer of funds </w:t>
      </w:r>
      <w:r w:rsidR="001B482A">
        <w:t>from Australia to a payee outside of Australia, and/or of funds from outside of Australia to a payee in Australia.</w:t>
      </w:r>
    </w:p>
    <w:p w14:paraId="674699E5" w14:textId="7191C067" w:rsidR="005429C9" w:rsidRPr="00585D0C" w:rsidRDefault="006E1A52" w:rsidP="00585D0C">
      <w:pPr>
        <w:pStyle w:val="Heading4"/>
      </w:pPr>
      <w:r w:rsidRPr="00585D0C">
        <w:t xml:space="preserve">Purpose </w:t>
      </w:r>
      <w:r w:rsidR="00335CF9">
        <w:t>and scope</w:t>
      </w:r>
      <w:r w:rsidRPr="00585D0C">
        <w:t xml:space="preserve"> </w:t>
      </w:r>
    </w:p>
    <w:p w14:paraId="25C33939" w14:textId="778F41C3" w:rsidR="002A1B84" w:rsidRDefault="004E6246" w:rsidP="00984F96">
      <w:r>
        <w:t>This function is intended to capture service prov</w:t>
      </w:r>
      <w:r w:rsidR="00E96BB7">
        <w:t>ide</w:t>
      </w:r>
      <w:r>
        <w:t>rs that enable cross</w:t>
      </w:r>
      <w:r w:rsidR="00DC0A93">
        <w:t>-border</w:t>
      </w:r>
      <w:r>
        <w:t xml:space="preserve"> payments into and out of Australia</w:t>
      </w:r>
      <w:r w:rsidR="008C1071">
        <w:t>,</w:t>
      </w:r>
      <w:r w:rsidR="008D0C38">
        <w:t xml:space="preserve"> regardless of the technology </w:t>
      </w:r>
      <w:r w:rsidR="00E75194">
        <w:t xml:space="preserve">or currency </w:t>
      </w:r>
      <w:r w:rsidR="008D0C38">
        <w:t xml:space="preserve">used to perform this service. </w:t>
      </w:r>
      <w:r w:rsidR="00C34B12">
        <w:t xml:space="preserve">This function </w:t>
      </w:r>
      <w:r w:rsidR="00754FF3">
        <w:t xml:space="preserve">is intended to capture </w:t>
      </w:r>
      <w:r w:rsidR="00C429D0">
        <w:t xml:space="preserve">only </w:t>
      </w:r>
      <w:r w:rsidR="000A799D">
        <w:t xml:space="preserve">PSPs that </w:t>
      </w:r>
      <w:r w:rsidR="00DC3E8C">
        <w:t>facilitate cross</w:t>
      </w:r>
      <w:r w:rsidR="00DC0A93">
        <w:t>-border</w:t>
      </w:r>
      <w:r w:rsidR="00DC3E8C">
        <w:t xml:space="preserve"> payment services and </w:t>
      </w:r>
      <w:r w:rsidR="00E708A8">
        <w:t>is not intended to</w:t>
      </w:r>
      <w:r w:rsidR="00F315F2">
        <w:t xml:space="preserve"> include</w:t>
      </w:r>
      <w:r w:rsidR="005D23B2">
        <w:t xml:space="preserve"> some PSPs </w:t>
      </w:r>
      <w:r w:rsidR="008025CA">
        <w:t>that only provide domestic services (</w:t>
      </w:r>
      <w:r w:rsidR="00C473B5">
        <w:t>such as merchant acquirers</w:t>
      </w:r>
      <w:r w:rsidR="008025CA">
        <w:t>)</w:t>
      </w:r>
      <w:r w:rsidR="00AB742D">
        <w:t>.</w:t>
      </w:r>
      <w:r w:rsidR="00F12F0D">
        <w:t xml:space="preserve"> </w:t>
      </w:r>
      <w:r w:rsidR="00FF3417">
        <w:t xml:space="preserve">Domestic remittance service providers </w:t>
      </w:r>
      <w:r w:rsidR="00322D78">
        <w:t>will be</w:t>
      </w:r>
      <w:r w:rsidR="00FF3417">
        <w:t xml:space="preserve"> captured </w:t>
      </w:r>
      <w:r w:rsidR="00322D78">
        <w:t>under</w:t>
      </w:r>
      <w:r w:rsidR="00FF3417">
        <w:t xml:space="preserve"> </w:t>
      </w:r>
      <w:r w:rsidR="00065908">
        <w:t>Payment Facilitation Services</w:t>
      </w:r>
      <w:r w:rsidR="00FF3417">
        <w:t>.</w:t>
      </w:r>
    </w:p>
    <w:p w14:paraId="18E45954" w14:textId="56655515" w:rsidR="00C805C8" w:rsidRDefault="00C805C8" w:rsidP="00984F96">
      <w:r>
        <w:lastRenderedPageBreak/>
        <w:t xml:space="preserve">The definition is intended to </w:t>
      </w:r>
      <w:r w:rsidR="0060288E">
        <w:t>capture</w:t>
      </w:r>
      <w:r>
        <w:t xml:space="preserve"> </w:t>
      </w:r>
      <w:r w:rsidR="00EE46D0">
        <w:t>the movement of funds into or out of Australia. For example, a person</w:t>
      </w:r>
      <w:r w:rsidR="0010786D">
        <w:t>/p</w:t>
      </w:r>
      <w:r w:rsidR="000974C2">
        <w:t xml:space="preserve">ayee </w:t>
      </w:r>
      <w:r w:rsidR="00EE46D0">
        <w:t xml:space="preserve">physically in Australia who </w:t>
      </w:r>
      <w:r w:rsidR="000974C2">
        <w:t>receives</w:t>
      </w:r>
      <w:r w:rsidR="00EE46D0">
        <w:t xml:space="preserve"> funds </w:t>
      </w:r>
      <w:r w:rsidR="000974C2">
        <w:t>in</w:t>
      </w:r>
      <w:r w:rsidR="00EE46D0">
        <w:t xml:space="preserve"> an account in their name outside of Aust</w:t>
      </w:r>
      <w:r w:rsidR="0010786D">
        <w:t xml:space="preserve">ralia </w:t>
      </w:r>
      <w:r w:rsidR="008F4EDA">
        <w:t>is captured under the definition</w:t>
      </w:r>
      <w:r w:rsidR="00E74446">
        <w:t xml:space="preserve">, if the PSP is carrying on a financial services business in Australia (see </w:t>
      </w:r>
      <w:r w:rsidR="0000634F">
        <w:rPr>
          <w:b/>
        </w:rPr>
        <w:t>S</w:t>
      </w:r>
      <w:r w:rsidR="0000634F" w:rsidRPr="006D598C">
        <w:rPr>
          <w:b/>
        </w:rPr>
        <w:t xml:space="preserve">ection </w:t>
      </w:r>
      <w:r w:rsidR="00104954">
        <w:rPr>
          <w:b/>
        </w:rPr>
        <w:t>2.4</w:t>
      </w:r>
      <w:r w:rsidR="00E74446">
        <w:t>)</w:t>
      </w:r>
    </w:p>
    <w:p w14:paraId="030DCCC9" w14:textId="5B08F785" w:rsidR="00B633DD" w:rsidRDefault="00A94E2A" w:rsidP="00984F96">
      <w:r>
        <w:t xml:space="preserve">This definition is intended to be technology neutral and </w:t>
      </w:r>
      <w:r w:rsidR="00DD1DD9">
        <w:t>be inclusive</w:t>
      </w:r>
      <w:r>
        <w:t xml:space="preserve"> </w:t>
      </w:r>
      <w:r w:rsidR="00F51E67">
        <w:t>of</w:t>
      </w:r>
      <w:r>
        <w:t xml:space="preserve"> PSPs regardless of the technology or business model they employ. This includes</w:t>
      </w:r>
      <w:r w:rsidR="00055784">
        <w:t>,</w:t>
      </w:r>
      <w:r>
        <w:t xml:space="preserve"> but is not limited to</w:t>
      </w:r>
      <w:r w:rsidR="00055784">
        <w:t>,</w:t>
      </w:r>
      <w:r w:rsidR="00273AA6">
        <w:t xml:space="preserve"> PSPs that utilise correspondent banking networks</w:t>
      </w:r>
      <w:r w:rsidR="000321EF">
        <w:t xml:space="preserve"> and</w:t>
      </w:r>
      <w:r w:rsidR="00AA25CE">
        <w:t>/or</w:t>
      </w:r>
      <w:r w:rsidR="000321EF">
        <w:t xml:space="preserve"> closed loop models </w:t>
      </w:r>
      <w:r w:rsidR="00FE65C9">
        <w:t>(</w:t>
      </w:r>
      <w:r w:rsidR="001531AE">
        <w:t>for example</w:t>
      </w:r>
      <w:r w:rsidR="00B93EB6">
        <w:t>,</w:t>
      </w:r>
      <w:r w:rsidR="00273AA6">
        <w:t xml:space="preserve"> </w:t>
      </w:r>
      <w:r w:rsidR="002A68C6">
        <w:t>a network of bank accounts</w:t>
      </w:r>
      <w:r w:rsidR="00E20A1A">
        <w:t xml:space="preserve"> in multiple jurisdictions</w:t>
      </w:r>
      <w:r w:rsidR="001543FF">
        <w:t>)</w:t>
      </w:r>
      <w:r w:rsidR="00A13385">
        <w:t>.</w:t>
      </w:r>
      <w:r w:rsidR="002A68C6">
        <w:t xml:space="preserve"> </w:t>
      </w:r>
      <w:r w:rsidR="007435C4">
        <w:t xml:space="preserve">The definition is also intended to be flexible enough to account for new and emergent business models. </w:t>
      </w:r>
    </w:p>
    <w:p w14:paraId="7E445F50" w14:textId="6C27E299" w:rsidR="00796968" w:rsidRDefault="00796968" w:rsidP="00984F96">
      <w:r>
        <w:t xml:space="preserve">This function is not </w:t>
      </w:r>
      <w:r w:rsidR="00E96BB7">
        <w:t xml:space="preserve">intended to replace </w:t>
      </w:r>
      <w:r w:rsidR="00B37DB0">
        <w:t xml:space="preserve">or </w:t>
      </w:r>
      <w:r w:rsidR="009B1D40">
        <w:t xml:space="preserve">duplicate </w:t>
      </w:r>
      <w:r w:rsidR="00B37DB0">
        <w:t xml:space="preserve">existing frameworks that regulate </w:t>
      </w:r>
      <w:r w:rsidR="00FF59CF">
        <w:t>remittance providers</w:t>
      </w:r>
      <w:r w:rsidR="00ED7437">
        <w:t xml:space="preserve">, including </w:t>
      </w:r>
      <w:r w:rsidR="00FF59CF">
        <w:t xml:space="preserve">on </w:t>
      </w:r>
      <w:r w:rsidR="00653B7E">
        <w:t>a</w:t>
      </w:r>
      <w:r w:rsidR="005D5E2A">
        <w:t>nti-</w:t>
      </w:r>
      <w:r w:rsidR="00653B7E">
        <w:t>m</w:t>
      </w:r>
      <w:r w:rsidR="005D5E2A">
        <w:t xml:space="preserve">oney </w:t>
      </w:r>
      <w:r w:rsidR="00653B7E">
        <w:t>l</w:t>
      </w:r>
      <w:r w:rsidR="005D5E2A">
        <w:t>aundering/</w:t>
      </w:r>
      <w:r w:rsidR="00653B7E">
        <w:t>c</w:t>
      </w:r>
      <w:r w:rsidR="005D5E2A">
        <w:t>ounter</w:t>
      </w:r>
      <w:r w:rsidR="00653B7E">
        <w:t>-t</w:t>
      </w:r>
      <w:r w:rsidR="005D5E2A">
        <w:t xml:space="preserve">errorism </w:t>
      </w:r>
      <w:r w:rsidR="00653B7E">
        <w:t>f</w:t>
      </w:r>
      <w:r w:rsidR="005D5E2A">
        <w:t xml:space="preserve">inancing </w:t>
      </w:r>
      <w:r w:rsidR="00ED7437">
        <w:t>grounds</w:t>
      </w:r>
      <w:r w:rsidR="00FF59CF">
        <w:t xml:space="preserve">. </w:t>
      </w:r>
      <w:r w:rsidR="00ED7437">
        <w:t>It is however</w:t>
      </w:r>
      <w:r w:rsidR="006D1279">
        <w:t xml:space="preserve"> expected that remittance providers would be captured under this definition</w:t>
      </w:r>
      <w:r w:rsidR="003E6188">
        <w:t xml:space="preserve"> </w:t>
      </w:r>
      <w:r w:rsidR="009B0734" w:rsidDel="0085062E">
        <w:t xml:space="preserve">if </w:t>
      </w:r>
      <w:r w:rsidR="009B0734">
        <w:t>they are involved in facilitating cross</w:t>
      </w:r>
      <w:r w:rsidR="00DC0A93">
        <w:t>-border</w:t>
      </w:r>
      <w:r w:rsidR="009B0734">
        <w:t xml:space="preserve"> payments. </w:t>
      </w:r>
    </w:p>
    <w:p w14:paraId="5754BAFF" w14:textId="512D0529" w:rsidR="00145BC7" w:rsidRDefault="00ED7031" w:rsidP="00984F96">
      <w:r>
        <w:t>Some</w:t>
      </w:r>
      <w:r w:rsidR="003F2F53">
        <w:t xml:space="preserve"> </w:t>
      </w:r>
      <w:r w:rsidR="00CC1BF5">
        <w:t>service providers may offer both international and domestic payment services</w:t>
      </w:r>
      <w:r w:rsidR="008606C9">
        <w:t xml:space="preserve">, and the risks presented by these services may </w:t>
      </w:r>
      <w:r w:rsidR="00A571C6">
        <w:t>be similar</w:t>
      </w:r>
      <w:r w:rsidR="008606C9">
        <w:t xml:space="preserve"> depending on the business model.</w:t>
      </w:r>
      <w:r w:rsidR="00CC1BF5">
        <w:t xml:space="preserve"> </w:t>
      </w:r>
      <w:r w:rsidR="00DD20EA">
        <w:t xml:space="preserve">In cases where </w:t>
      </w:r>
      <w:r w:rsidR="008529D3">
        <w:t>multiple functions are performed</w:t>
      </w:r>
      <w:r w:rsidR="00FD25BD">
        <w:t>,</w:t>
      </w:r>
      <w:r w:rsidR="008529D3">
        <w:t xml:space="preserve"> such as </w:t>
      </w:r>
      <w:r w:rsidR="00065908">
        <w:t>Cross</w:t>
      </w:r>
      <w:r w:rsidR="00DC0A93">
        <w:t>-border</w:t>
      </w:r>
      <w:r w:rsidR="008529D3">
        <w:t xml:space="preserve"> </w:t>
      </w:r>
      <w:r w:rsidR="00065908">
        <w:t>Transfer Services</w:t>
      </w:r>
      <w:r w:rsidR="008529D3">
        <w:t xml:space="preserve"> and </w:t>
      </w:r>
      <w:r w:rsidR="00065908">
        <w:t>Payment Facilitation Services</w:t>
      </w:r>
      <w:r w:rsidR="00F6682E" w:rsidRPr="00764ADE">
        <w:t>,</w:t>
      </w:r>
      <w:r w:rsidR="008529D3">
        <w:rPr>
          <w:b/>
        </w:rPr>
        <w:t xml:space="preserve"> </w:t>
      </w:r>
      <w:r w:rsidR="00C954B8">
        <w:t xml:space="preserve">a service provider </w:t>
      </w:r>
      <w:r w:rsidR="00242E2D">
        <w:t>may be</w:t>
      </w:r>
      <w:r w:rsidR="0078604A">
        <w:t xml:space="preserve"> expected to require </w:t>
      </w:r>
      <w:r w:rsidR="00DA57B9">
        <w:t xml:space="preserve">separate </w:t>
      </w:r>
      <w:r w:rsidR="00C954B8">
        <w:t>authoris</w:t>
      </w:r>
      <w:r w:rsidR="0078604A">
        <w:t xml:space="preserve">ation </w:t>
      </w:r>
      <w:r w:rsidR="00B00977">
        <w:t xml:space="preserve">to perform </w:t>
      </w:r>
      <w:r w:rsidR="00BE57EA">
        <w:t>each</w:t>
      </w:r>
      <w:r w:rsidR="00B00977">
        <w:t xml:space="preserve"> function. </w:t>
      </w:r>
    </w:p>
    <w:p w14:paraId="36DC004A" w14:textId="0EA3B7E3" w:rsidR="00C64284" w:rsidRPr="00C64284" w:rsidRDefault="002F1927" w:rsidP="00585D0C">
      <w:pPr>
        <w:pStyle w:val="Heading4"/>
      </w:pPr>
      <w:r>
        <w:t>R</w:t>
      </w:r>
      <w:r w:rsidR="00C64284">
        <w:t>isks</w:t>
      </w:r>
    </w:p>
    <w:p w14:paraId="35B94FA4" w14:textId="3856F98B" w:rsidR="00AF50FD" w:rsidRDefault="00EA73E2" w:rsidP="00984F96">
      <w:r>
        <w:t xml:space="preserve">The risks associated with this function are considered to be primarily operational </w:t>
      </w:r>
      <w:r w:rsidR="008367D7">
        <w:t xml:space="preserve">and financial risks that may share similarities with other functions. </w:t>
      </w:r>
      <w:r w:rsidR="00432B1B">
        <w:t>However, t</w:t>
      </w:r>
      <w:r w:rsidR="008367D7">
        <w:t xml:space="preserve">here may be heightened complexities </w:t>
      </w:r>
      <w:r w:rsidR="004B2F88">
        <w:t>given that these service providers engage with frameworks in multiple jurisdictions,</w:t>
      </w:r>
      <w:r>
        <w:t xml:space="preserve"> </w:t>
      </w:r>
      <w:r w:rsidR="00097EF1">
        <w:t>are required to</w:t>
      </w:r>
      <w:r w:rsidR="004932DC">
        <w:t xml:space="preserve"> integrate with domestic infrastructures in multiple jurisdictions</w:t>
      </w:r>
      <w:r w:rsidR="004B2F88">
        <w:t xml:space="preserve"> </w:t>
      </w:r>
      <w:r w:rsidR="006B138A">
        <w:t xml:space="preserve">and </w:t>
      </w:r>
      <w:r w:rsidR="0010143D">
        <w:t xml:space="preserve">may </w:t>
      </w:r>
      <w:r w:rsidR="004932DC">
        <w:t>therefore</w:t>
      </w:r>
      <w:r w:rsidR="0010143D">
        <w:t xml:space="preserve"> </w:t>
      </w:r>
      <w:r w:rsidR="006B138A">
        <w:t xml:space="preserve">have business models </w:t>
      </w:r>
      <w:r w:rsidR="0010143D">
        <w:t xml:space="preserve">and technologies </w:t>
      </w:r>
      <w:r w:rsidR="00776976">
        <w:t>that are more</w:t>
      </w:r>
      <w:r w:rsidR="004932DC">
        <w:t xml:space="preserve"> complex and sophisticat</w:t>
      </w:r>
      <w:r w:rsidR="00776976">
        <w:t>ed</w:t>
      </w:r>
      <w:r w:rsidR="004932DC">
        <w:t>.</w:t>
      </w:r>
      <w:r w:rsidR="006B138A">
        <w:t xml:space="preserve"> </w:t>
      </w:r>
      <w:r w:rsidR="00E4000B">
        <w:t>In addition</w:t>
      </w:r>
      <w:r w:rsidR="00D14390">
        <w:t>,</w:t>
      </w:r>
      <w:r w:rsidR="00E4000B">
        <w:t xml:space="preserve"> these service providers may be exposed to </w:t>
      </w:r>
      <w:r w:rsidR="00351121">
        <w:t>exchange rate risks</w:t>
      </w:r>
      <w:r w:rsidR="00902409">
        <w:t xml:space="preserve"> </w:t>
      </w:r>
      <w:r w:rsidR="004F5A90">
        <w:t>(i.e. the risk of</w:t>
      </w:r>
      <w:r w:rsidR="00902409">
        <w:t xml:space="preserve"> </w:t>
      </w:r>
      <w:r w:rsidR="00296B33">
        <w:t xml:space="preserve">exchange rate </w:t>
      </w:r>
      <w:r w:rsidR="00AF3161">
        <w:t>fluctuations</w:t>
      </w:r>
      <w:r w:rsidR="00902409">
        <w:t xml:space="preserve"> </w:t>
      </w:r>
      <w:r w:rsidR="00296B33">
        <w:t xml:space="preserve">after </w:t>
      </w:r>
      <w:r w:rsidR="00902409">
        <w:t>a payment has been init</w:t>
      </w:r>
      <w:r w:rsidR="00880122">
        <w:t>i</w:t>
      </w:r>
      <w:r w:rsidR="00902409">
        <w:t>ated</w:t>
      </w:r>
      <w:r w:rsidR="00296B33">
        <w:t>)</w:t>
      </w:r>
      <w:r w:rsidR="0062705D">
        <w:t>, settlement risks</w:t>
      </w:r>
      <w:r w:rsidR="00902409">
        <w:t xml:space="preserve"> across multiple currencies</w:t>
      </w:r>
      <w:r w:rsidR="00D714D8">
        <w:t>,</w:t>
      </w:r>
      <w:r w:rsidR="00724D95">
        <w:t xml:space="preserve"> disparate standards and interoperability risks</w:t>
      </w:r>
      <w:r w:rsidR="00016C20">
        <w:t>,</w:t>
      </w:r>
      <w:r w:rsidR="00DD1AFF">
        <w:t xml:space="preserve"> and the complexities </w:t>
      </w:r>
      <w:r w:rsidR="00536A18">
        <w:t xml:space="preserve">and costs </w:t>
      </w:r>
      <w:r w:rsidR="00DD1AFF">
        <w:t>of operating under multiple regulator</w:t>
      </w:r>
      <w:r w:rsidR="00C56B20">
        <w:t>y</w:t>
      </w:r>
      <w:r w:rsidR="00DD1AFF">
        <w:t xml:space="preserve"> regimes in different jurisdictions. These risks may vary depending on the nature of a particular business, for </w:t>
      </w:r>
      <w:r w:rsidR="004C61E3">
        <w:t xml:space="preserve">example some businesses may require the holding of larger idle balances, </w:t>
      </w:r>
      <w:r w:rsidR="00F86DE9">
        <w:t xml:space="preserve">leading to higher </w:t>
      </w:r>
      <w:r w:rsidR="004C61E3">
        <w:t xml:space="preserve">exchange rate risk. </w:t>
      </w:r>
    </w:p>
    <w:p w14:paraId="15582F6B" w14:textId="04E1D119" w:rsidR="000C27F5" w:rsidRDefault="000C27F5" w:rsidP="00984F96">
      <w:r>
        <w:t>The failure of a cross</w:t>
      </w:r>
      <w:r w:rsidR="00DC0A93">
        <w:t>-border</w:t>
      </w:r>
      <w:r>
        <w:t xml:space="preserve"> transfer service may result in the loss of customer funds, </w:t>
      </w:r>
      <w:r w:rsidR="00AD0C24">
        <w:t xml:space="preserve">and could impact other service providers in domestic systems given increasing levels of interconnectedness. </w:t>
      </w:r>
    </w:p>
    <w:p w14:paraId="71644CC3" w14:textId="79459484" w:rsidR="008A010D" w:rsidRDefault="008A010D" w:rsidP="00984F96">
      <w:r>
        <w:t xml:space="preserve">Whilst the risks of these services share similarities with other payment functions, given the </w:t>
      </w:r>
      <w:r w:rsidR="00EF163B">
        <w:t xml:space="preserve">additional complexities </w:t>
      </w:r>
      <w:r w:rsidR="002658EE">
        <w:t xml:space="preserve">and heightened risk </w:t>
      </w:r>
      <w:r w:rsidR="00EF163B">
        <w:t xml:space="preserve">associated with these businesses, </w:t>
      </w:r>
      <w:r w:rsidR="001D735B">
        <w:t>a separate function for this activity is appropriate</w:t>
      </w:r>
      <w:r w:rsidR="007F08CF">
        <w:t xml:space="preserve"> and provides clarity on the regulatory perimeter</w:t>
      </w:r>
      <w:r w:rsidR="001D735B">
        <w:t>.</w:t>
      </w:r>
      <w:r w:rsidR="00566A5B">
        <w:t xml:space="preserve"> </w:t>
      </w:r>
      <w:r w:rsidR="00566A5B" w:rsidRPr="00D272FF">
        <w:t xml:space="preserve">This is also consistent with approaches taken in other jurisdictions such as </w:t>
      </w:r>
      <w:r w:rsidR="00F7141F" w:rsidRPr="00D272FF">
        <w:t>Singapore</w:t>
      </w:r>
      <w:r w:rsidR="00696D1D" w:rsidRPr="00D272FF">
        <w:t>, and the EU</w:t>
      </w:r>
      <w:r w:rsidR="008F6673" w:rsidRPr="00D272FF">
        <w:t>’s Payment Service</w:t>
      </w:r>
      <w:r w:rsidR="00F1740E">
        <w:t>s</w:t>
      </w:r>
      <w:r w:rsidR="008F6673" w:rsidRPr="00D272FF">
        <w:t xml:space="preserve"> Directive 2 (PSD2)</w:t>
      </w:r>
      <w:r w:rsidR="00696D1D" w:rsidRPr="00D272FF">
        <w:t>.</w:t>
      </w:r>
    </w:p>
    <w:p w14:paraId="5DD27C52" w14:textId="7D5F736D" w:rsidR="00992394" w:rsidRDefault="00E922AD" w:rsidP="00984F96">
      <w:r>
        <w:t>It is acknowledge</w:t>
      </w:r>
      <w:r w:rsidR="00DA0346">
        <w:t>d</w:t>
      </w:r>
      <w:r>
        <w:t xml:space="preserve"> that </w:t>
      </w:r>
      <w:r w:rsidR="00065908">
        <w:t>Cross</w:t>
      </w:r>
      <w:r w:rsidR="00DC0A93">
        <w:t>-border</w:t>
      </w:r>
      <w:r>
        <w:t xml:space="preserve"> </w:t>
      </w:r>
      <w:r w:rsidR="00065908">
        <w:t>Transfer Services</w:t>
      </w:r>
      <w:r>
        <w:t xml:space="preserve"> present clear ML/TF risks</w:t>
      </w:r>
      <w:r w:rsidR="00077D63">
        <w:t xml:space="preserve">. </w:t>
      </w:r>
      <w:r w:rsidR="00260019">
        <w:t>However, t</w:t>
      </w:r>
      <w:r w:rsidR="00077D63">
        <w:t>he</w:t>
      </w:r>
      <w:r w:rsidR="00327116">
        <w:t xml:space="preserve"> Australian Financial Services (</w:t>
      </w:r>
      <w:r w:rsidR="00187930">
        <w:t>AFS</w:t>
      </w:r>
      <w:r w:rsidR="00327116">
        <w:t>)</w:t>
      </w:r>
      <w:r w:rsidR="00187930">
        <w:t xml:space="preserve"> </w:t>
      </w:r>
      <w:r w:rsidR="00077D63">
        <w:t xml:space="preserve">framework has not been designed to directly address this risk, as it is </w:t>
      </w:r>
      <w:r w:rsidR="0019280A">
        <w:t xml:space="preserve">already </w:t>
      </w:r>
      <w:r w:rsidR="00077D63">
        <w:t xml:space="preserve">managed under other </w:t>
      </w:r>
      <w:r w:rsidR="0019280A">
        <w:t xml:space="preserve">existing </w:t>
      </w:r>
      <w:r w:rsidR="00077D63">
        <w:t>frameworks.</w:t>
      </w:r>
      <w:r w:rsidR="00111DFE">
        <w:t xml:space="preserve"> These ri</w:t>
      </w:r>
      <w:r w:rsidR="00265755">
        <w:t>sks will continue to be addressed under separate regulatory frameworks.</w:t>
      </w:r>
    </w:p>
    <w:tbl>
      <w:tblPr>
        <w:tblStyle w:val="TableGrid"/>
        <w:tblW w:w="0" w:type="auto"/>
        <w:tblLook w:val="04A0" w:firstRow="1" w:lastRow="0" w:firstColumn="1" w:lastColumn="0" w:noHBand="0" w:noVBand="1"/>
      </w:tblPr>
      <w:tblGrid>
        <w:gridCol w:w="9070"/>
      </w:tblGrid>
      <w:tr w:rsidR="007A6053" w14:paraId="6A989C95" w14:textId="77777777" w:rsidTr="00BF5165">
        <w:trPr>
          <w:cnfStyle w:val="100000000000" w:firstRow="1" w:lastRow="0" w:firstColumn="0" w:lastColumn="0" w:oddVBand="0" w:evenVBand="0" w:oddHBand="0" w:evenHBand="0" w:firstRowFirstColumn="0" w:firstRowLastColumn="0" w:lastRowFirstColumn="0" w:lastRowLastColumn="0"/>
        </w:trPr>
        <w:tc>
          <w:tcPr>
            <w:tcW w:w="9070" w:type="dxa"/>
          </w:tcPr>
          <w:p w14:paraId="06BBEDB1" w14:textId="3C5FEB9C" w:rsidR="007A6053" w:rsidRPr="00DF715D" w:rsidRDefault="007A6053" w:rsidP="00B516CD">
            <w:pPr>
              <w:keepNext/>
              <w:spacing w:before="96" w:after="96"/>
              <w:rPr>
                <w:b w:val="0"/>
                <w:u w:val="single"/>
              </w:rPr>
            </w:pPr>
            <w:r w:rsidRPr="00DF715D">
              <w:rPr>
                <w:u w:val="single"/>
              </w:rPr>
              <w:lastRenderedPageBreak/>
              <w:t>Consultation questions</w:t>
            </w:r>
          </w:p>
          <w:p w14:paraId="413B6461" w14:textId="550FDB17" w:rsidR="00CA7819" w:rsidRPr="00CA7819" w:rsidRDefault="00CA7819" w:rsidP="001D123F">
            <w:pPr>
              <w:pStyle w:val="Consultationquestions"/>
              <w:numPr>
                <w:ilvl w:val="0"/>
                <w:numId w:val="100"/>
              </w:numPr>
            </w:pPr>
            <w:r>
              <w:t xml:space="preserve">Do you agree with the scope of the ‘Cross-border </w:t>
            </w:r>
            <w:r w:rsidR="00065908">
              <w:t>Transfer Services</w:t>
            </w:r>
            <w:r>
              <w:t>’ function as it is currently defined? Are there any services that have not been captured by the definition, but should be included (or vice versa)?</w:t>
            </w:r>
          </w:p>
          <w:p w14:paraId="1ABE37E9" w14:textId="51DC16F4" w:rsidR="000B00A0" w:rsidRPr="00AB4EF0" w:rsidRDefault="001C3F47" w:rsidP="001D123F">
            <w:pPr>
              <w:pStyle w:val="Consultationquestions"/>
              <w:numPr>
                <w:ilvl w:val="0"/>
                <w:numId w:val="100"/>
              </w:numPr>
            </w:pPr>
            <w:r>
              <w:t>Excluding ML/TF risks</w:t>
            </w:r>
            <w:r w:rsidR="00347265">
              <w:t>,</w:t>
            </w:r>
            <w:r>
              <w:t xml:space="preserve"> a</w:t>
            </w:r>
            <w:r w:rsidR="000B00A0">
              <w:t xml:space="preserve">re there any unique risks that </w:t>
            </w:r>
            <w:r w:rsidR="00065908">
              <w:t>Cross</w:t>
            </w:r>
            <w:r w:rsidR="00DC0A93">
              <w:t>-border</w:t>
            </w:r>
            <w:r w:rsidR="000B00A0">
              <w:t xml:space="preserve"> </w:t>
            </w:r>
            <w:r w:rsidR="00065908">
              <w:t>Transfer Services</w:t>
            </w:r>
            <w:r w:rsidR="000B00A0">
              <w:t xml:space="preserve"> present</w:t>
            </w:r>
            <w:r w:rsidR="008C0D49">
              <w:t>,</w:t>
            </w:r>
            <w:r w:rsidR="00E25422">
              <w:t xml:space="preserve"> and should there be any </w:t>
            </w:r>
            <w:r w:rsidR="00E4189D">
              <w:t>tailored regulatory requirements for this function</w:t>
            </w:r>
            <w:r>
              <w:t>?</w:t>
            </w:r>
          </w:p>
          <w:p w14:paraId="04FCA027" w14:textId="016C1F3C" w:rsidR="007A6053" w:rsidRPr="00C5142E" w:rsidRDefault="0078604A" w:rsidP="001D123F">
            <w:pPr>
              <w:pStyle w:val="Consultationquestions"/>
              <w:numPr>
                <w:ilvl w:val="0"/>
                <w:numId w:val="100"/>
              </w:numPr>
            </w:pPr>
            <w:r>
              <w:t xml:space="preserve">Is there a need for </w:t>
            </w:r>
            <w:r w:rsidR="000527ED">
              <w:t xml:space="preserve">a separate </w:t>
            </w:r>
            <w:r w:rsidR="00CE7488">
              <w:t xml:space="preserve">function </w:t>
            </w:r>
            <w:r w:rsidR="00D442C4">
              <w:t xml:space="preserve">for Cross-border </w:t>
            </w:r>
            <w:r w:rsidR="00065908">
              <w:t>Transfer Services</w:t>
            </w:r>
            <w:r w:rsidR="00D442C4">
              <w:t xml:space="preserve"> </w:t>
            </w:r>
            <w:r w:rsidR="00CE7488">
              <w:t xml:space="preserve">or should these services be </w:t>
            </w:r>
            <w:r w:rsidR="006D2426">
              <w:t>captured together with domestic transfer services?</w:t>
            </w:r>
          </w:p>
        </w:tc>
      </w:tr>
    </w:tbl>
    <w:p w14:paraId="79409B5C" w14:textId="3BB3EF0F" w:rsidR="009F7D59" w:rsidRPr="00BC41A9" w:rsidRDefault="009F7D59" w:rsidP="00AB3D0E">
      <w:pPr>
        <w:pStyle w:val="Heading3"/>
      </w:pPr>
      <w:bookmarkStart w:id="53" w:name="_Toc149230911"/>
      <w:r w:rsidRPr="00BC41A9">
        <w:t xml:space="preserve">Interactions </w:t>
      </w:r>
      <w:r>
        <w:t>between functions</w:t>
      </w:r>
      <w:bookmarkEnd w:id="53"/>
    </w:p>
    <w:p w14:paraId="0556D669" w14:textId="3B08FE7C" w:rsidR="006866D7" w:rsidRDefault="00E16D94" w:rsidP="00984F96">
      <w:r>
        <w:t>T</w:t>
      </w:r>
      <w:r w:rsidR="009F7D59">
        <w:t xml:space="preserve">o provide clarity on interactions between individual payment functions, and </w:t>
      </w:r>
      <w:r w:rsidR="002A06E0">
        <w:t xml:space="preserve">recognising </w:t>
      </w:r>
      <w:r w:rsidR="009F7D59">
        <w:t>that many service providers are likely to perform multiple functions</w:t>
      </w:r>
      <w:r w:rsidR="00EB2C48">
        <w:t xml:space="preserve">, </w:t>
      </w:r>
      <w:r w:rsidR="00B92666">
        <w:t xml:space="preserve">illustrative </w:t>
      </w:r>
      <w:r w:rsidR="009F7D59">
        <w:t xml:space="preserve">examples are </w:t>
      </w:r>
      <w:r w:rsidR="00E83BE1">
        <w:t>provided below</w:t>
      </w:r>
      <w:r w:rsidR="00B92666">
        <w:t>.</w:t>
      </w:r>
      <w:r w:rsidR="00F15929">
        <w:t xml:space="preserve">                                                                                                                     </w:t>
      </w:r>
    </w:p>
    <w:p w14:paraId="66B99FF6" w14:textId="1C259E2D" w:rsidR="006E1A52" w:rsidRDefault="003A0A0C" w:rsidP="00984F96">
      <w:pPr>
        <w:rPr>
          <w:b/>
        </w:rPr>
      </w:pPr>
      <w:r>
        <w:t>P</w:t>
      </w:r>
      <w:r w:rsidR="009F7D59" w:rsidRPr="00764ADE">
        <w:t xml:space="preserve">ayment </w:t>
      </w:r>
      <w:r w:rsidR="00065908">
        <w:t>Initiation Services</w:t>
      </w:r>
      <w:r w:rsidR="009F7D59">
        <w:t xml:space="preserve"> </w:t>
      </w:r>
      <w:r w:rsidR="00113906">
        <w:t xml:space="preserve">and </w:t>
      </w:r>
      <w:r w:rsidR="00065908">
        <w:t>Payment Facilitation Services</w:t>
      </w:r>
      <w:r w:rsidR="009F7D59">
        <w:t xml:space="preserve"> are intended to be differentiated by the principle that a payment initiator is not considered to possess funds. </w:t>
      </w:r>
      <w:r w:rsidR="00716A2A">
        <w:t>H</w:t>
      </w:r>
      <w:r w:rsidR="009F7D59">
        <w:t>owever</w:t>
      </w:r>
      <w:r w:rsidR="00716A2A">
        <w:t>,</w:t>
      </w:r>
      <w:r w:rsidR="009F7D59" w:rsidDel="00716A2A">
        <w:t xml:space="preserve"> </w:t>
      </w:r>
      <w:r w:rsidR="009F7D59">
        <w:t xml:space="preserve">a PSP that offers </w:t>
      </w:r>
      <w:r w:rsidR="00065908">
        <w:t>Payment Facilitation Services</w:t>
      </w:r>
      <w:r w:rsidR="009F7D59">
        <w:t xml:space="preserve"> may also offer </w:t>
      </w:r>
      <w:r w:rsidR="00065908">
        <w:t>Payment Initiation Services</w:t>
      </w:r>
      <w:r w:rsidR="009F7D59">
        <w:t xml:space="preserve"> if, for example, they provide PayTo functionality to their customers, as well as other payment services involving the possession of funds. The risks associated with </w:t>
      </w:r>
      <w:r w:rsidR="00065908">
        <w:t>Payment Facilitation Services</w:t>
      </w:r>
      <w:r w:rsidR="009F7D59">
        <w:t xml:space="preserve"> are likely to be greater than </w:t>
      </w:r>
      <w:r w:rsidR="00065908">
        <w:t>Payment Initiation Services</w:t>
      </w:r>
      <w:r w:rsidR="009F7D59">
        <w:t>, and a streamlined approach to authorisations is intended to recognise such interactions</w:t>
      </w:r>
      <w:r w:rsidR="00C4646C">
        <w:t>.</w:t>
      </w:r>
    </w:p>
    <w:p w14:paraId="1B996868" w14:textId="5EEF4567" w:rsidR="00113906" w:rsidRDefault="00113906" w:rsidP="00984F96">
      <w:r>
        <w:t xml:space="preserve">Payment </w:t>
      </w:r>
      <w:r w:rsidR="00065908">
        <w:t>Technology</w:t>
      </w:r>
      <w:r>
        <w:t xml:space="preserve"> and </w:t>
      </w:r>
      <w:r w:rsidR="00065908">
        <w:t>Enablement Services</w:t>
      </w:r>
      <w:r>
        <w:t xml:space="preserve"> may have a number of interactions with other functions under the framework. In particular, various PSPs may perform this function as part of their integrated product offering. For example, a merchant acquirer may also offer gateway services to its customers as part of its suite of products or as an additional standalone service. In these cases</w:t>
      </w:r>
      <w:r w:rsidR="0005092C">
        <w:t>,</w:t>
      </w:r>
      <w:r>
        <w:t xml:space="preserve"> it is expected a PSP </w:t>
      </w:r>
      <w:r w:rsidR="00ED2148">
        <w:t xml:space="preserve">that is authorised to </w:t>
      </w:r>
      <w:r w:rsidR="00B62D60">
        <w:t xml:space="preserve">provide </w:t>
      </w:r>
      <w:r>
        <w:t>SVF</w:t>
      </w:r>
      <w:r w:rsidR="001F4CFA">
        <w:t>s</w:t>
      </w:r>
      <w:r>
        <w:t xml:space="preserve"> or </w:t>
      </w:r>
      <w:r w:rsidR="00065908">
        <w:t>Payment Facilitation Services</w:t>
      </w:r>
      <w:r w:rsidR="00747F18">
        <w:t>,</w:t>
      </w:r>
      <w:r>
        <w:t xml:space="preserve"> </w:t>
      </w:r>
      <w:r w:rsidR="005B2C67">
        <w:t>that</w:t>
      </w:r>
      <w:r>
        <w:t xml:space="preserve"> also </w:t>
      </w:r>
      <w:r w:rsidR="00E93778">
        <w:t>sought authorisation</w:t>
      </w:r>
      <w:r>
        <w:t xml:space="preserve"> to </w:t>
      </w:r>
      <w:r w:rsidR="00E85115">
        <w:t xml:space="preserve">provide </w:t>
      </w:r>
      <w:r w:rsidR="00065908">
        <w:t>Payment Technology</w:t>
      </w:r>
      <w:r>
        <w:t xml:space="preserve"> and </w:t>
      </w:r>
      <w:r w:rsidR="00065908">
        <w:t>Enablement Services</w:t>
      </w:r>
      <w:r w:rsidR="00747F18">
        <w:t>,</w:t>
      </w:r>
      <w:r>
        <w:t xml:space="preserve"> </w:t>
      </w:r>
      <w:r w:rsidR="00E93778">
        <w:t xml:space="preserve">would not be subject to </w:t>
      </w:r>
      <w:r w:rsidR="00793F1E">
        <w:t xml:space="preserve">duplication </w:t>
      </w:r>
      <w:r w:rsidR="00084500">
        <w:t>in</w:t>
      </w:r>
      <w:r w:rsidR="00793F1E">
        <w:t xml:space="preserve"> regulatory requirements</w:t>
      </w:r>
      <w:r w:rsidR="00DD1322">
        <w:t xml:space="preserve"> (see also discussion in </w:t>
      </w:r>
      <w:r w:rsidR="004D7760">
        <w:rPr>
          <w:b/>
        </w:rPr>
        <w:t>S</w:t>
      </w:r>
      <w:r w:rsidR="004D7760" w:rsidRPr="00DF715D">
        <w:rPr>
          <w:b/>
        </w:rPr>
        <w:t xml:space="preserve">ection </w:t>
      </w:r>
      <w:r w:rsidR="00104954">
        <w:rPr>
          <w:b/>
          <w:bCs/>
        </w:rPr>
        <w:t>4</w:t>
      </w:r>
      <w:r w:rsidR="00DD1322">
        <w:t>)</w:t>
      </w:r>
      <w:r w:rsidR="00793F1E" w:rsidDel="00AD4116">
        <w:t>.</w:t>
      </w:r>
      <w:r>
        <w:t xml:space="preserve"> </w:t>
      </w:r>
      <w:r w:rsidR="0072541C">
        <w:t>T</w:t>
      </w:r>
      <w:r>
        <w:t xml:space="preserve">his function </w:t>
      </w:r>
      <w:r w:rsidR="0072541C">
        <w:t xml:space="preserve">poses </w:t>
      </w:r>
      <w:r>
        <w:t>a lower level of risk, and therefore it is not anticipated that additional obligations would be required</w:t>
      </w:r>
      <w:r w:rsidR="00960B99">
        <w:t>.</w:t>
      </w:r>
    </w:p>
    <w:p w14:paraId="2A529ACD" w14:textId="4831CE1D" w:rsidR="00113906" w:rsidRDefault="00113906" w:rsidP="00984F96">
      <w:r>
        <w:t xml:space="preserve">As outlined above, the </w:t>
      </w:r>
      <w:r w:rsidR="00CB00C5">
        <w:t>‘</w:t>
      </w:r>
      <w:r w:rsidR="002D64C8">
        <w:t>Payment Technology</w:t>
      </w:r>
      <w:r w:rsidR="0093735E">
        <w:t xml:space="preserve"> and </w:t>
      </w:r>
      <w:r w:rsidR="002D64C8">
        <w:t>Enablement Services</w:t>
      </w:r>
      <w:r w:rsidR="00CB00C5">
        <w:t>’</w:t>
      </w:r>
      <w:r w:rsidR="0093735E">
        <w:t xml:space="preserve"> </w:t>
      </w:r>
      <w:r>
        <w:t xml:space="preserve">function is not intended to capture </w:t>
      </w:r>
      <w:r w:rsidR="00065908">
        <w:t>Payment Initiation Services</w:t>
      </w:r>
      <w:r w:rsidR="00316AEC">
        <w:t>,</w:t>
      </w:r>
      <w:r>
        <w:t xml:space="preserve"> as this is already a separately defined function. A </w:t>
      </w:r>
      <w:r w:rsidR="005D2075">
        <w:t>P</w:t>
      </w:r>
      <w:r>
        <w:t xml:space="preserve">ayment </w:t>
      </w:r>
      <w:r w:rsidR="005D2075">
        <w:t>I</w:t>
      </w:r>
      <w:r>
        <w:t xml:space="preserve">nitiation </w:t>
      </w:r>
      <w:r w:rsidR="005D2075">
        <w:t>S</w:t>
      </w:r>
      <w:r>
        <w:t>ervice provider that also offers additional services may still be captured</w:t>
      </w:r>
      <w:r w:rsidR="00EB3D1A">
        <w:t xml:space="preserve"> by the </w:t>
      </w:r>
      <w:r w:rsidR="00316AEC">
        <w:t>‘</w:t>
      </w:r>
      <w:r w:rsidR="002D64C8">
        <w:t>Payment Technology</w:t>
      </w:r>
      <w:r w:rsidR="006E7C90">
        <w:t xml:space="preserve"> and </w:t>
      </w:r>
      <w:r w:rsidR="002D64C8">
        <w:t>Enablement Services</w:t>
      </w:r>
      <w:r w:rsidR="00316AEC">
        <w:t>’</w:t>
      </w:r>
      <w:r w:rsidR="006E7C90">
        <w:t xml:space="preserve"> </w:t>
      </w:r>
      <w:r w:rsidR="002C2E7F">
        <w:t>function</w:t>
      </w:r>
      <w:r>
        <w:t xml:space="preserve">, </w:t>
      </w:r>
      <w:r w:rsidR="00701378">
        <w:t xml:space="preserve">noting that </w:t>
      </w:r>
      <w:r w:rsidR="00A4352C">
        <w:t>this</w:t>
      </w:r>
      <w:r w:rsidR="00E5324A">
        <w:t xml:space="preserve"> is not intended to </w:t>
      </w:r>
      <w:r w:rsidR="00A4352C">
        <w:t>result in regulatory duplication.</w:t>
      </w:r>
    </w:p>
    <w:p w14:paraId="47B9846C" w14:textId="7F9D710C" w:rsidR="00113906" w:rsidRPr="0012782A" w:rsidRDefault="00113906" w:rsidP="00984F96">
      <w:pPr>
        <w:rPr>
          <w:b/>
        </w:rPr>
      </w:pPr>
      <w:r w:rsidRPr="00F02B36">
        <w:t xml:space="preserve">Further discussion on the </w:t>
      </w:r>
      <w:r w:rsidR="00CF340F">
        <w:t xml:space="preserve">AFSL </w:t>
      </w:r>
      <w:r w:rsidRPr="00F02B36">
        <w:t xml:space="preserve">authorisations </w:t>
      </w:r>
      <w:r w:rsidR="00CF340F">
        <w:t xml:space="preserve">approach </w:t>
      </w:r>
      <w:r w:rsidRPr="00F02B36">
        <w:t xml:space="preserve">is in </w:t>
      </w:r>
      <w:r w:rsidR="00EF13F8">
        <w:rPr>
          <w:b/>
          <w:bCs/>
        </w:rPr>
        <w:t>S</w:t>
      </w:r>
      <w:r w:rsidR="00385D05">
        <w:rPr>
          <w:b/>
          <w:bCs/>
        </w:rPr>
        <w:t xml:space="preserve">ection </w:t>
      </w:r>
      <w:r w:rsidR="00104954">
        <w:rPr>
          <w:b/>
          <w:bCs/>
        </w:rPr>
        <w:t>4.1</w:t>
      </w:r>
      <w:r w:rsidR="00385D05">
        <w:rPr>
          <w:b/>
          <w:bCs/>
        </w:rPr>
        <w:t>.</w:t>
      </w:r>
    </w:p>
    <w:p w14:paraId="00F44135" w14:textId="0EC8C9A4" w:rsidR="00A81E9E" w:rsidRPr="00A81E9E" w:rsidRDefault="00781497" w:rsidP="00AB3D0E">
      <w:pPr>
        <w:pStyle w:val="Heading3"/>
      </w:pPr>
      <w:bookmarkStart w:id="54" w:name="_Toc149230912"/>
      <w:r>
        <w:t xml:space="preserve">Removed </w:t>
      </w:r>
      <w:r w:rsidR="008D399B">
        <w:t>function</w:t>
      </w:r>
      <w:r>
        <w:t xml:space="preserve">: </w:t>
      </w:r>
      <w:r w:rsidR="00F6653E">
        <w:t>C</w:t>
      </w:r>
      <w:r w:rsidR="000278C4">
        <w:t xml:space="preserve">learing </w:t>
      </w:r>
      <w:r>
        <w:t xml:space="preserve">and </w:t>
      </w:r>
      <w:r w:rsidR="00F6653E">
        <w:t>S</w:t>
      </w:r>
      <w:r w:rsidR="000278C4">
        <w:t xml:space="preserve">ettlement </w:t>
      </w:r>
      <w:bookmarkEnd w:id="54"/>
      <w:r w:rsidR="00F6653E">
        <w:t>S</w:t>
      </w:r>
      <w:r w:rsidR="000278C4">
        <w:t xml:space="preserve">ervices </w:t>
      </w:r>
    </w:p>
    <w:p w14:paraId="1FCE86AA" w14:textId="3F09C6E9" w:rsidR="00F533A7" w:rsidRDefault="0024778F" w:rsidP="00984F96">
      <w:r>
        <w:t xml:space="preserve">The </w:t>
      </w:r>
      <w:r w:rsidR="00ED1A08">
        <w:t>‘</w:t>
      </w:r>
      <w:r w:rsidR="00035EC0">
        <w:t>C</w:t>
      </w:r>
      <w:r>
        <w:t xml:space="preserve">learing and </w:t>
      </w:r>
      <w:r w:rsidR="00035EC0">
        <w:t>S</w:t>
      </w:r>
      <w:r>
        <w:t>ettlement</w:t>
      </w:r>
      <w:r w:rsidR="00035EC0">
        <w:t xml:space="preserve"> Services</w:t>
      </w:r>
      <w:r w:rsidR="00ED1A08">
        <w:t>’</w:t>
      </w:r>
      <w:r>
        <w:t xml:space="preserve"> function proposed in </w:t>
      </w:r>
      <w:r w:rsidR="00F22BEB">
        <w:t>CP1</w:t>
      </w:r>
      <w:r>
        <w:t xml:space="preserve"> </w:t>
      </w:r>
      <w:r w:rsidR="008B7409">
        <w:t>has been</w:t>
      </w:r>
      <w:r>
        <w:t xml:space="preserve"> removed </w:t>
      </w:r>
      <w:r w:rsidR="008B7409">
        <w:t xml:space="preserve">from the </w:t>
      </w:r>
      <w:r w:rsidR="00834DCE">
        <w:t>list</w:t>
      </w:r>
      <w:r w:rsidR="00251848">
        <w:t xml:space="preserve"> of</w:t>
      </w:r>
      <w:r>
        <w:t xml:space="preserve"> function</w:t>
      </w:r>
      <w:r w:rsidR="00251848">
        <w:t>s</w:t>
      </w:r>
      <w:r>
        <w:t xml:space="preserve">. </w:t>
      </w:r>
      <w:r w:rsidR="00207CCD">
        <w:t xml:space="preserve">This </w:t>
      </w:r>
      <w:r w:rsidR="00ED5987">
        <w:t>is on the basis that</w:t>
      </w:r>
      <w:r w:rsidR="00207CCD">
        <w:t xml:space="preserve"> the risks associated with clearing and settlement are managed by </w:t>
      </w:r>
      <w:r w:rsidR="00BE74A5">
        <w:t>the requirements imposed by</w:t>
      </w:r>
      <w:r w:rsidR="00207CCD">
        <w:t xml:space="preserve"> </w:t>
      </w:r>
      <w:r w:rsidR="001A2AF9">
        <w:t>payment</w:t>
      </w:r>
      <w:r w:rsidR="00207CCD">
        <w:t xml:space="preserve"> system operators,</w:t>
      </w:r>
      <w:r w:rsidR="00765089">
        <w:t xml:space="preserve"> </w:t>
      </w:r>
      <w:r w:rsidR="003F3142">
        <w:t>and</w:t>
      </w:r>
      <w:r w:rsidR="0027181A">
        <w:t xml:space="preserve"> </w:t>
      </w:r>
      <w:r w:rsidR="00E207C9">
        <w:t xml:space="preserve">the </w:t>
      </w:r>
      <w:r w:rsidR="00602FDD">
        <w:t>c</w:t>
      </w:r>
      <w:r w:rsidR="00B31865">
        <w:t xml:space="preserve">ommon </w:t>
      </w:r>
      <w:r w:rsidR="00602FDD">
        <w:t xml:space="preserve">access requirements </w:t>
      </w:r>
      <w:r w:rsidR="00F3453A">
        <w:t>(</w:t>
      </w:r>
      <w:r w:rsidR="00711C4E">
        <w:t xml:space="preserve">see </w:t>
      </w:r>
      <w:r w:rsidR="00EF13F8">
        <w:rPr>
          <w:b/>
        </w:rPr>
        <w:t>S</w:t>
      </w:r>
      <w:r w:rsidR="00EF13F8" w:rsidRPr="00683124">
        <w:rPr>
          <w:b/>
        </w:rPr>
        <w:t xml:space="preserve">ection </w:t>
      </w:r>
      <w:r w:rsidR="00104954">
        <w:rPr>
          <w:b/>
        </w:rPr>
        <w:t>7</w:t>
      </w:r>
      <w:r w:rsidR="00F3453A">
        <w:t xml:space="preserve">). </w:t>
      </w:r>
    </w:p>
    <w:tbl>
      <w:tblPr>
        <w:tblStyle w:val="TableGrid"/>
        <w:tblW w:w="0" w:type="auto"/>
        <w:tblLook w:val="04A0" w:firstRow="1" w:lastRow="0" w:firstColumn="1" w:lastColumn="0" w:noHBand="0" w:noVBand="1"/>
      </w:tblPr>
      <w:tblGrid>
        <w:gridCol w:w="9070"/>
      </w:tblGrid>
      <w:tr w:rsidR="00477C03" w14:paraId="41A68FB3"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259068EB" w14:textId="0DE342BA" w:rsidR="00477C03" w:rsidRPr="00DF715D" w:rsidRDefault="00477C03" w:rsidP="00B516CD">
            <w:pPr>
              <w:keepNext/>
              <w:spacing w:before="96" w:after="96"/>
              <w:rPr>
                <w:b w:val="0"/>
                <w:u w:val="single"/>
              </w:rPr>
            </w:pPr>
            <w:r w:rsidRPr="00DF715D">
              <w:rPr>
                <w:u w:val="single"/>
              </w:rPr>
              <w:lastRenderedPageBreak/>
              <w:t>Consultation question</w:t>
            </w:r>
          </w:p>
          <w:p w14:paraId="326E0445" w14:textId="04FAA9A1" w:rsidR="00477C03" w:rsidRPr="00C5142E" w:rsidRDefault="00B71B23" w:rsidP="001D123F">
            <w:pPr>
              <w:pStyle w:val="Consultationquestions"/>
              <w:numPr>
                <w:ilvl w:val="0"/>
                <w:numId w:val="100"/>
              </w:numPr>
            </w:pPr>
            <w:r>
              <w:t xml:space="preserve">Is the proposed removal of the </w:t>
            </w:r>
            <w:r w:rsidR="008C6A13">
              <w:t>‘</w:t>
            </w:r>
            <w:r>
              <w:t xml:space="preserve">Clearing and Settlement </w:t>
            </w:r>
            <w:r w:rsidR="0049403A">
              <w:t>Services</w:t>
            </w:r>
            <w:r w:rsidR="008C6A13">
              <w:t>’</w:t>
            </w:r>
            <w:r w:rsidR="0049403A">
              <w:t xml:space="preserve"> </w:t>
            </w:r>
            <w:r>
              <w:t>function appropriate</w:t>
            </w:r>
            <w:r w:rsidR="003A0D46">
              <w:t xml:space="preserve">, given the risks associated with these activities are intended to be addressed by payment system access arrangements and proposed </w:t>
            </w:r>
            <w:r w:rsidR="00602FDD">
              <w:t>c</w:t>
            </w:r>
            <w:r w:rsidR="003A0D46">
              <w:t xml:space="preserve">ommon </w:t>
            </w:r>
            <w:r w:rsidR="00602FDD">
              <w:t>access r</w:t>
            </w:r>
            <w:r w:rsidR="003A0D46">
              <w:t>equirements?</w:t>
            </w:r>
          </w:p>
        </w:tc>
      </w:tr>
    </w:tbl>
    <w:p w14:paraId="2550700C" w14:textId="77777777" w:rsidR="002A1150" w:rsidRDefault="002A1150" w:rsidP="00E42AA2">
      <w:bookmarkStart w:id="55" w:name="_Ref148620248"/>
      <w:bookmarkStart w:id="56" w:name="_Toc149230913"/>
      <w:r>
        <w:br w:type="page"/>
      </w:r>
    </w:p>
    <w:p w14:paraId="13A75FAF" w14:textId="05E0A1A9" w:rsidR="00403ADD" w:rsidRDefault="007D241A" w:rsidP="006377BA">
      <w:pPr>
        <w:pStyle w:val="Heading2"/>
      </w:pPr>
      <w:bookmarkStart w:id="57" w:name="_Ref151638877"/>
      <w:bookmarkStart w:id="58" w:name="_Toc152847626"/>
      <w:r>
        <w:lastRenderedPageBreak/>
        <w:t>Incorporating functions into law</w:t>
      </w:r>
      <w:bookmarkEnd w:id="55"/>
      <w:bookmarkEnd w:id="56"/>
      <w:bookmarkEnd w:id="57"/>
      <w:bookmarkEnd w:id="58"/>
    </w:p>
    <w:p w14:paraId="3C83C340" w14:textId="22A13B61" w:rsidR="003B4376" w:rsidRDefault="008C1A15" w:rsidP="00984F96">
      <w:r>
        <w:t xml:space="preserve">As set out in </w:t>
      </w:r>
      <w:r w:rsidR="00B979DB">
        <w:t>CP1</w:t>
      </w:r>
      <w:r>
        <w:t xml:space="preserve">, the general definition of a </w:t>
      </w:r>
      <w:r w:rsidR="003A30B1">
        <w:t>‘</w:t>
      </w:r>
      <w:r>
        <w:t>financial product</w:t>
      </w:r>
      <w:r w:rsidR="003A30B1">
        <w:t>’</w:t>
      </w:r>
      <w:r>
        <w:t xml:space="preserve"> currently includes the concept of a facility through which a person makes non-cash payments.</w:t>
      </w:r>
      <w:r>
        <w:rPr>
          <w:rStyle w:val="FootnoteReference"/>
        </w:rPr>
        <w:footnoteReference w:id="26"/>
      </w:r>
      <w:r>
        <w:t xml:space="preserve"> </w:t>
      </w:r>
      <w:r w:rsidR="00254580">
        <w:t xml:space="preserve">Entities </w:t>
      </w:r>
      <w:r w:rsidR="00E81A30">
        <w:t xml:space="preserve">dealing in </w:t>
      </w:r>
      <w:r w:rsidR="00254580">
        <w:t xml:space="preserve">these facilities are generally providing a </w:t>
      </w:r>
      <w:r w:rsidR="00C96C6A">
        <w:t>‘</w:t>
      </w:r>
      <w:r w:rsidR="00254580">
        <w:t>financial service</w:t>
      </w:r>
      <w:r w:rsidR="00C96C6A">
        <w:t>’</w:t>
      </w:r>
      <w:r w:rsidR="00254580">
        <w:t>.</w:t>
      </w:r>
      <w:r w:rsidR="00906ACB">
        <w:t xml:space="preserve"> The provision of financial services involving a financial product triggers additional regulatory requirements, compared to the provision of other financial services not involving a financial product (see </w:t>
      </w:r>
      <w:r w:rsidR="00A26561">
        <w:rPr>
          <w:b/>
        </w:rPr>
        <w:t>S</w:t>
      </w:r>
      <w:r w:rsidR="00A26561" w:rsidRPr="00DF1F00">
        <w:rPr>
          <w:b/>
        </w:rPr>
        <w:t xml:space="preserve">ection </w:t>
      </w:r>
      <w:r w:rsidR="00104954">
        <w:rPr>
          <w:b/>
        </w:rPr>
        <w:t>5</w:t>
      </w:r>
      <w:r w:rsidR="00906ACB">
        <w:t xml:space="preserve">). </w:t>
      </w:r>
    </w:p>
    <w:p w14:paraId="17E7ADE8" w14:textId="46922301" w:rsidR="008C1A15" w:rsidRDefault="00CB0FBD" w:rsidP="00984F96">
      <w:r>
        <w:t xml:space="preserve">Financial product </w:t>
      </w:r>
      <w:r w:rsidR="0046180E">
        <w:t>laws</w:t>
      </w:r>
      <w:r w:rsidR="00E73D85">
        <w:t xml:space="preserve"> </w:t>
      </w:r>
      <w:r w:rsidR="0046180E">
        <w:t>include</w:t>
      </w:r>
      <w:r w:rsidR="00E73D85">
        <w:t xml:space="preserve"> disclosure requirements, design and distribution obligations</w:t>
      </w:r>
      <w:r w:rsidR="003828CF">
        <w:t>,</w:t>
      </w:r>
      <w:r w:rsidR="00E73D85">
        <w:t xml:space="preserve"> and </w:t>
      </w:r>
      <w:r>
        <w:t xml:space="preserve">the ability for ASIC to make </w:t>
      </w:r>
      <w:r w:rsidR="00E73D85">
        <w:t xml:space="preserve">product intervention orders. </w:t>
      </w:r>
      <w:r w:rsidR="008C1A15">
        <w:t xml:space="preserve">The obligations associated with financial products generally attach to the issuer of a financial product. </w:t>
      </w:r>
    </w:p>
    <w:p w14:paraId="0C7C79E7" w14:textId="12AFF191" w:rsidR="008C1A15" w:rsidRDefault="008C1A15" w:rsidP="00984F96">
      <w:r w:rsidRPr="00FF33BF">
        <w:t xml:space="preserve">‘Financial service’ is defined to include nine activities and any conduct specified in the </w:t>
      </w:r>
      <w:r w:rsidRPr="00437D22">
        <w:rPr>
          <w:i/>
        </w:rPr>
        <w:t>Corporations Regulations</w:t>
      </w:r>
      <w:r w:rsidR="00FD526F" w:rsidRPr="00437D22">
        <w:rPr>
          <w:i/>
        </w:rPr>
        <w:t xml:space="preserve"> 2001</w:t>
      </w:r>
      <w:r w:rsidR="00FD526F">
        <w:t xml:space="preserve"> </w:t>
      </w:r>
      <w:r w:rsidR="00C82803" w:rsidRPr="00C82803">
        <w:t>(Cth)</w:t>
      </w:r>
      <w:r w:rsidR="00C82803">
        <w:t xml:space="preserve"> </w:t>
      </w:r>
      <w:r w:rsidR="00FD526F">
        <w:t>(</w:t>
      </w:r>
      <w:r w:rsidRPr="001A767C">
        <w:rPr>
          <w:i/>
          <w:iCs/>
        </w:rPr>
        <w:t>Corporations Regulations</w:t>
      </w:r>
      <w:r w:rsidR="00FD526F">
        <w:t>)</w:t>
      </w:r>
      <w:r w:rsidRPr="00FF33BF">
        <w:t>.</w:t>
      </w:r>
      <w:r>
        <w:rPr>
          <w:rStyle w:val="FootnoteReference"/>
        </w:rPr>
        <w:footnoteReference w:id="27"/>
      </w:r>
      <w:r w:rsidRPr="00FF33BF">
        <w:t xml:space="preserve"> </w:t>
      </w:r>
      <w:r>
        <w:t xml:space="preserve">Three of the </w:t>
      </w:r>
      <w:r w:rsidR="0035751C">
        <w:t>nine</w:t>
      </w:r>
      <w:r>
        <w:t xml:space="preserve"> financial service activities relate to financial products (</w:t>
      </w:r>
      <w:r w:rsidR="0035751C">
        <w:t xml:space="preserve">i.e. </w:t>
      </w:r>
      <w:r>
        <w:t>providing financial product advice, dealing in a financial product and making a market for a financial product). The concept of ‘dealing’ includes ‘issuing a financial product’, which is why issuers of non-cash payment facilities are regulated as a financial service.</w:t>
      </w:r>
      <w:r w:rsidR="00B96958">
        <w:rPr>
          <w:rStyle w:val="FootnoteReference"/>
        </w:rPr>
        <w:footnoteReference w:id="28"/>
      </w:r>
      <w:r w:rsidR="00B048C0">
        <w:t xml:space="preserve"> </w:t>
      </w:r>
    </w:p>
    <w:p w14:paraId="054507C7" w14:textId="591BAE49" w:rsidR="00FC44BC" w:rsidRDefault="00B44922" w:rsidP="00984F96">
      <w:r>
        <w:t xml:space="preserve">In </w:t>
      </w:r>
      <w:r w:rsidR="00B979DB">
        <w:t>CP1</w:t>
      </w:r>
      <w:r>
        <w:t xml:space="preserve">, feedback was sought on how the proposed functions ought to be </w:t>
      </w:r>
      <w:r w:rsidR="001E1F20">
        <w:t xml:space="preserve">regulated, including which functions should be </w:t>
      </w:r>
      <w:r w:rsidR="006651FD">
        <w:t>regulated as a financial product</w:t>
      </w:r>
      <w:r>
        <w:t>.</w:t>
      </w:r>
      <w:r w:rsidR="00CB66C9">
        <w:t xml:space="preserve"> </w:t>
      </w:r>
      <w:r w:rsidR="00DD10C3">
        <w:t>S</w:t>
      </w:r>
      <w:r w:rsidR="009D5521">
        <w:t xml:space="preserve">takeholders supported regulating SVFs as a financial product, and </w:t>
      </w:r>
      <w:r w:rsidR="00B01F70">
        <w:t>there were a range of views on how other functions should be regulated.</w:t>
      </w:r>
      <w:r w:rsidR="00AA4F55">
        <w:t xml:space="preserve"> </w:t>
      </w:r>
    </w:p>
    <w:p w14:paraId="46BD9588" w14:textId="23530E93" w:rsidR="00E4473F" w:rsidRDefault="007A480A" w:rsidP="00984F96">
      <w:r w:rsidRPr="00A558D1">
        <w:t xml:space="preserve">The existing concept of </w:t>
      </w:r>
      <w:r w:rsidR="00BC3FDA" w:rsidRPr="00A558D1">
        <w:t>‘makes non-cash payments’</w:t>
      </w:r>
      <w:r w:rsidR="00446121">
        <w:t xml:space="preserve"> i</w:t>
      </w:r>
      <w:r w:rsidR="00BC3FDA" w:rsidRPr="00A558D1">
        <w:t>s proposed to be replaced</w:t>
      </w:r>
      <w:r w:rsidR="00FC0855" w:rsidRPr="00A558D1">
        <w:t xml:space="preserve"> with a broader concept of ‘</w:t>
      </w:r>
      <w:r w:rsidR="00002D54" w:rsidRPr="00A558D1">
        <w:t>uses a</w:t>
      </w:r>
      <w:r w:rsidR="00E4473F" w:rsidRPr="00A558D1">
        <w:t xml:space="preserve"> payment </w:t>
      </w:r>
      <w:r w:rsidR="00510689" w:rsidRPr="00A558D1">
        <w:t>product’</w:t>
      </w:r>
      <w:r w:rsidR="00350045">
        <w:t xml:space="preserve"> or similar </w:t>
      </w:r>
      <w:r w:rsidR="00663561">
        <w:t>wording and</w:t>
      </w:r>
      <w:r w:rsidR="00DF2B1D">
        <w:t xml:space="preserve"> regulated as a financial product</w:t>
      </w:r>
      <w:r w:rsidR="00002D54" w:rsidRPr="00A558D1">
        <w:t>.</w:t>
      </w:r>
      <w:r>
        <w:t xml:space="preserve"> </w:t>
      </w:r>
      <w:r w:rsidR="00987D44">
        <w:t xml:space="preserve">This is proposed on the basis that </w:t>
      </w:r>
      <w:r w:rsidR="00CB2645">
        <w:t>particular payment functions do not fit within the concept of ‘makes non-cash payments’</w:t>
      </w:r>
      <w:r w:rsidR="00C34DF6">
        <w:t xml:space="preserve">. </w:t>
      </w:r>
      <w:r w:rsidR="0062650F">
        <w:t>The proposed</w:t>
      </w:r>
      <w:r w:rsidR="00C54DBB">
        <w:t xml:space="preserve"> list of</w:t>
      </w:r>
      <w:r w:rsidR="00C34DF6">
        <w:t xml:space="preserve"> payment products </w:t>
      </w:r>
      <w:r w:rsidR="00C54DBB">
        <w:t>is</w:t>
      </w:r>
      <w:r w:rsidR="00C34DF6">
        <w:t xml:space="preserve"> intended to provide greater regulatory certainty</w:t>
      </w:r>
      <w:r w:rsidR="00573351">
        <w:t xml:space="preserve">. </w:t>
      </w:r>
      <w:r w:rsidR="00AF4B00">
        <w:t>Existing</w:t>
      </w:r>
      <w:r w:rsidR="008F7A26">
        <w:t xml:space="preserve"> references to ‘making </w:t>
      </w:r>
      <w:r w:rsidR="006B2957">
        <w:t xml:space="preserve">a </w:t>
      </w:r>
      <w:r w:rsidR="008F7A26">
        <w:t xml:space="preserve">non-cash payment’ </w:t>
      </w:r>
      <w:r w:rsidR="00AA7470">
        <w:t xml:space="preserve">and </w:t>
      </w:r>
      <w:r w:rsidR="00723172">
        <w:t xml:space="preserve">related concepts </w:t>
      </w:r>
      <w:r w:rsidR="00C21F6C">
        <w:t xml:space="preserve">would </w:t>
      </w:r>
      <w:r w:rsidR="00723172">
        <w:t xml:space="preserve">need to </w:t>
      </w:r>
      <w:r w:rsidR="00AF4B00">
        <w:t>be updated.</w:t>
      </w:r>
      <w:r w:rsidR="007359C3">
        <w:rPr>
          <w:rStyle w:val="FootnoteReference"/>
        </w:rPr>
        <w:footnoteReference w:id="29"/>
      </w:r>
      <w:r w:rsidR="00FC44BC">
        <w:t xml:space="preserve"> </w:t>
      </w:r>
    </w:p>
    <w:p w14:paraId="29549A4F" w14:textId="7F0EBD32" w:rsidR="00B44922" w:rsidRPr="00DB3533" w:rsidRDefault="006F3ADF" w:rsidP="00984F96">
      <w:bookmarkStart w:id="59" w:name="_Ref151642583"/>
      <w:r w:rsidRPr="00A558D1">
        <w:t xml:space="preserve">Payment </w:t>
      </w:r>
      <w:r w:rsidR="00065908">
        <w:t>Initiation Services</w:t>
      </w:r>
      <w:r w:rsidRPr="00A558D1">
        <w:t xml:space="preserve"> and </w:t>
      </w:r>
      <w:r w:rsidR="00065908">
        <w:t>Payment Technology</w:t>
      </w:r>
      <w:r w:rsidRPr="00A558D1">
        <w:t xml:space="preserve"> and </w:t>
      </w:r>
      <w:r w:rsidR="00065908">
        <w:t>Enablement Services</w:t>
      </w:r>
      <w:r w:rsidRPr="00A558D1">
        <w:t xml:space="preserve"> are proposed to be regulated as a new type of financial service, rather than as a financial product.</w:t>
      </w:r>
      <w:r w:rsidR="00394240">
        <w:t xml:space="preserve"> </w:t>
      </w:r>
      <w:r w:rsidR="00104954" w:rsidRPr="00104954">
        <w:rPr>
          <w:b/>
        </w:rPr>
        <w:t>Table 4</w:t>
      </w:r>
      <w:r w:rsidR="00F60BE6">
        <w:t xml:space="preserve"> below illustrates how the payment functions are proposed to be incorporated into the </w:t>
      </w:r>
      <w:r w:rsidR="00C13514" w:rsidRPr="001A767C">
        <w:rPr>
          <w:i/>
          <w:iCs/>
        </w:rPr>
        <w:t>Corporations Act</w:t>
      </w:r>
      <w:r w:rsidR="00F60BE6" w:rsidRPr="00924793">
        <w:t>.</w:t>
      </w:r>
      <w:r w:rsidR="00C25604">
        <w:t xml:space="preserve"> The </w:t>
      </w:r>
      <w:r w:rsidR="00066C44">
        <w:t>specific terms used</w:t>
      </w:r>
      <w:r w:rsidR="00B26F78">
        <w:t xml:space="preserve"> are for ill</w:t>
      </w:r>
      <w:r w:rsidR="00085E51">
        <w:t>ustrative purposes only.</w:t>
      </w:r>
      <w:r w:rsidR="007D38E4">
        <w:t xml:space="preserve"> </w:t>
      </w:r>
    </w:p>
    <w:p w14:paraId="56DC5E32" w14:textId="47060831" w:rsidR="00C75683" w:rsidRPr="005D0C1F" w:rsidRDefault="00C75683" w:rsidP="0076699D">
      <w:pPr>
        <w:pStyle w:val="TableMainHeading"/>
        <w:numPr>
          <w:ilvl w:val="0"/>
          <w:numId w:val="0"/>
        </w:numPr>
        <w:ind w:left="505" w:hanging="505"/>
        <w:jc w:val="center"/>
      </w:pPr>
      <w:bookmarkStart w:id="60" w:name="_Ref151640699"/>
      <w:bookmarkStart w:id="61" w:name="_Ref151640692"/>
      <w:r w:rsidRPr="00B85974">
        <w:lastRenderedPageBreak/>
        <w:t xml:space="preserve">Table </w:t>
      </w:r>
      <w:r w:rsidRPr="001A767C">
        <w:fldChar w:fldCharType="begin"/>
      </w:r>
      <w:r w:rsidRPr="005D0C1F">
        <w:instrText xml:space="preserve"> SEQ Table \* ARABIC </w:instrText>
      </w:r>
      <w:r w:rsidRPr="001A767C">
        <w:fldChar w:fldCharType="separate"/>
      </w:r>
      <w:r w:rsidR="00104954">
        <w:rPr>
          <w:noProof/>
        </w:rPr>
        <w:t>4</w:t>
      </w:r>
      <w:r w:rsidRPr="001A767C">
        <w:fldChar w:fldCharType="end"/>
      </w:r>
      <w:bookmarkEnd w:id="59"/>
      <w:bookmarkEnd w:id="60"/>
      <w:r w:rsidR="005F3B67">
        <w:t>:</w:t>
      </w:r>
      <w:r w:rsidRPr="001A767C">
        <w:t xml:space="preserve"> Proposed amendments</w:t>
      </w:r>
      <w:bookmarkEnd w:id="61"/>
    </w:p>
    <w:tbl>
      <w:tblPr>
        <w:tblStyle w:val="GridTable4-Accent1"/>
        <w:tblW w:w="0" w:type="auto"/>
        <w:tblLook w:val="04A0" w:firstRow="1" w:lastRow="0" w:firstColumn="1" w:lastColumn="0" w:noHBand="0" w:noVBand="1"/>
      </w:tblPr>
      <w:tblGrid>
        <w:gridCol w:w="3819"/>
        <w:gridCol w:w="5241"/>
      </w:tblGrid>
      <w:tr w:rsidR="00A92130" w14:paraId="534641CD" w14:textId="77777777" w:rsidTr="00016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99E09A" w14:textId="0AB24001" w:rsidR="00AC5867" w:rsidRPr="0076699D" w:rsidRDefault="007B205C" w:rsidP="0041164C">
            <w:pPr>
              <w:pStyle w:val="ChartMainHeading"/>
              <w:keepLines/>
              <w:spacing w:before="96" w:after="96"/>
              <w:rPr>
                <w:b w:val="0"/>
                <w:color w:val="FFFFFF" w:themeColor="background1"/>
              </w:rPr>
            </w:pPr>
            <w:r w:rsidRPr="0076699D">
              <w:rPr>
                <w:color w:val="FFFFFF" w:themeColor="background1"/>
              </w:rPr>
              <w:t>Current Law</w:t>
            </w:r>
          </w:p>
        </w:tc>
        <w:tc>
          <w:tcPr>
            <w:tcW w:w="0" w:type="auto"/>
          </w:tcPr>
          <w:p w14:paraId="194A525C" w14:textId="67FBA066" w:rsidR="00AC5867" w:rsidRPr="0076699D" w:rsidRDefault="007B205C" w:rsidP="0041164C">
            <w:pPr>
              <w:pStyle w:val="ChartMainHeading"/>
              <w:keepLines/>
              <w:spacing w:before="96" w:after="96"/>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76699D">
              <w:rPr>
                <w:color w:val="FFFFFF" w:themeColor="background1"/>
              </w:rPr>
              <w:t>Proposed Changes</w:t>
            </w:r>
          </w:p>
        </w:tc>
      </w:tr>
      <w:tr w:rsidR="00033A88" w14:paraId="353D004E" w14:textId="77777777" w:rsidTr="00016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D6C821" w14:textId="3A2CA080" w:rsidR="00AC5867" w:rsidRPr="0076699D" w:rsidRDefault="00AC5867" w:rsidP="00DC1A31">
            <w:pPr>
              <w:keepNext/>
              <w:keepLines/>
              <w:rPr>
                <w:b w:val="0"/>
                <w:sz w:val="18"/>
                <w:szCs w:val="18"/>
              </w:rPr>
            </w:pPr>
            <w:r w:rsidRPr="0076699D">
              <w:rPr>
                <w:sz w:val="18"/>
                <w:szCs w:val="18"/>
              </w:rPr>
              <w:t>‘Financial product’</w:t>
            </w:r>
            <w:r w:rsidRPr="00843EB7">
              <w:rPr>
                <w:rStyle w:val="FootnoteReference"/>
                <w:szCs w:val="18"/>
              </w:rPr>
              <w:footnoteReference w:id="30"/>
            </w:r>
            <w:r w:rsidRPr="0076699D">
              <w:rPr>
                <w:sz w:val="18"/>
                <w:szCs w:val="18"/>
              </w:rPr>
              <w:t xml:space="preserve"> includes:</w:t>
            </w:r>
          </w:p>
          <w:p w14:paraId="01134820" w14:textId="4F566B68" w:rsidR="00AC5867" w:rsidRPr="0076699D" w:rsidRDefault="00AC5867" w:rsidP="00DC1A31">
            <w:pPr>
              <w:keepNext/>
              <w:keepLines/>
              <w:rPr>
                <w:b w:val="0"/>
                <w:sz w:val="18"/>
                <w:szCs w:val="18"/>
              </w:rPr>
            </w:pPr>
            <w:r w:rsidRPr="0076699D">
              <w:rPr>
                <w:sz w:val="18"/>
                <w:szCs w:val="18"/>
              </w:rPr>
              <w:t>A facility through which a person ‘makes non-cash payments’.</w:t>
            </w:r>
          </w:p>
          <w:p w14:paraId="49574005" w14:textId="1200C7E1" w:rsidR="00AC5867" w:rsidRPr="0076699D" w:rsidRDefault="00AC5867" w:rsidP="00DC1A31">
            <w:pPr>
              <w:keepNext/>
              <w:keepLines/>
              <w:rPr>
                <w:sz w:val="18"/>
                <w:szCs w:val="18"/>
              </w:rPr>
            </w:pPr>
            <w:r w:rsidRPr="0076699D">
              <w:rPr>
                <w:sz w:val="18"/>
                <w:szCs w:val="18"/>
              </w:rPr>
              <w:t>Covers: cheque facilities, traveller’s cheques, purchased payment facilities, stored</w:t>
            </w:r>
            <w:r w:rsidR="004031B6" w:rsidRPr="0076699D">
              <w:rPr>
                <w:sz w:val="18"/>
                <w:szCs w:val="18"/>
              </w:rPr>
              <w:t>-</w:t>
            </w:r>
            <w:r w:rsidRPr="0076699D">
              <w:rPr>
                <w:sz w:val="18"/>
                <w:szCs w:val="18"/>
              </w:rPr>
              <w:t>value cards, electronic cash, direct debit services, payroll cards, funds transfer services and electronic bill payment services.</w:t>
            </w:r>
          </w:p>
        </w:tc>
        <w:tc>
          <w:tcPr>
            <w:tcW w:w="0" w:type="auto"/>
          </w:tcPr>
          <w:p w14:paraId="37DE5C0E" w14:textId="0C911B57" w:rsidR="00AC5867" w:rsidRPr="0076699D" w:rsidRDefault="00AC5867" w:rsidP="00DC1A31">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76699D">
              <w:rPr>
                <w:b/>
                <w:sz w:val="18"/>
                <w:szCs w:val="18"/>
              </w:rPr>
              <w:t>Replace ‘makes non-cash payments’ with ‘uses a payment product’ or similar</w:t>
            </w:r>
            <w:r w:rsidRPr="0076699D">
              <w:rPr>
                <w:sz w:val="18"/>
                <w:szCs w:val="18"/>
              </w:rPr>
              <w:t>.</w:t>
            </w:r>
            <w:r w:rsidRPr="00371FDF">
              <w:rPr>
                <w:rStyle w:val="FootnoteReference"/>
                <w:szCs w:val="18"/>
              </w:rPr>
              <w:footnoteReference w:id="31"/>
            </w:r>
          </w:p>
          <w:p w14:paraId="333FE4E5" w14:textId="3D2044C2" w:rsidR="00AC5867" w:rsidRPr="0076699D" w:rsidRDefault="00AC5867" w:rsidP="00DC1A31">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 xml:space="preserve">A ‘payment product’ would be defined as: a </w:t>
            </w:r>
            <w:r w:rsidR="006C7CCB" w:rsidRPr="0076699D">
              <w:rPr>
                <w:b/>
                <w:sz w:val="18"/>
                <w:szCs w:val="18"/>
              </w:rPr>
              <w:t>S</w:t>
            </w:r>
            <w:r w:rsidRPr="0076699D">
              <w:rPr>
                <w:b/>
                <w:sz w:val="18"/>
                <w:szCs w:val="18"/>
              </w:rPr>
              <w:t>tored</w:t>
            </w:r>
            <w:r w:rsidR="00C96FF8" w:rsidRPr="0076699D">
              <w:rPr>
                <w:b/>
                <w:sz w:val="18"/>
                <w:szCs w:val="18"/>
              </w:rPr>
              <w:t>-</w:t>
            </w:r>
            <w:r w:rsidR="00065908" w:rsidRPr="0076699D">
              <w:rPr>
                <w:b/>
                <w:sz w:val="18"/>
                <w:szCs w:val="18"/>
              </w:rPr>
              <w:t>value</w:t>
            </w:r>
            <w:r w:rsidRPr="0076699D">
              <w:rPr>
                <w:b/>
                <w:sz w:val="18"/>
                <w:szCs w:val="18"/>
              </w:rPr>
              <w:t xml:space="preserve"> </w:t>
            </w:r>
            <w:r w:rsidR="00C96FF8" w:rsidRPr="0076699D">
              <w:rPr>
                <w:b/>
                <w:sz w:val="18"/>
                <w:szCs w:val="18"/>
              </w:rPr>
              <w:t>F</w:t>
            </w:r>
            <w:r w:rsidRPr="0076699D">
              <w:rPr>
                <w:b/>
                <w:sz w:val="18"/>
                <w:szCs w:val="18"/>
              </w:rPr>
              <w:t>acility</w:t>
            </w:r>
            <w:r w:rsidRPr="0076699D">
              <w:rPr>
                <w:sz w:val="18"/>
                <w:szCs w:val="18"/>
              </w:rPr>
              <w:t xml:space="preserve"> (capturing traditional SVFs and PSC facilities), a </w:t>
            </w:r>
            <w:r w:rsidR="00C96FF8" w:rsidRPr="0076699D">
              <w:rPr>
                <w:b/>
                <w:sz w:val="18"/>
                <w:szCs w:val="18"/>
              </w:rPr>
              <w:t>P</w:t>
            </w:r>
            <w:r w:rsidRPr="0076699D">
              <w:rPr>
                <w:b/>
                <w:sz w:val="18"/>
                <w:szCs w:val="18"/>
              </w:rPr>
              <w:t xml:space="preserve">ayment </w:t>
            </w:r>
            <w:r w:rsidR="00C96FF8" w:rsidRPr="0076699D">
              <w:rPr>
                <w:b/>
                <w:sz w:val="18"/>
                <w:szCs w:val="18"/>
              </w:rPr>
              <w:t>I</w:t>
            </w:r>
            <w:r w:rsidRPr="0076699D">
              <w:rPr>
                <w:b/>
                <w:sz w:val="18"/>
                <w:szCs w:val="18"/>
              </w:rPr>
              <w:t xml:space="preserve">nstrument, a </w:t>
            </w:r>
            <w:r w:rsidR="00C96FF8" w:rsidRPr="0076699D">
              <w:rPr>
                <w:b/>
                <w:sz w:val="18"/>
                <w:szCs w:val="18"/>
              </w:rPr>
              <w:t>P</w:t>
            </w:r>
            <w:r w:rsidRPr="0076699D">
              <w:rPr>
                <w:b/>
                <w:sz w:val="18"/>
                <w:szCs w:val="18"/>
              </w:rPr>
              <w:t xml:space="preserve">ayment </w:t>
            </w:r>
            <w:r w:rsidR="00C96FF8" w:rsidRPr="0076699D">
              <w:rPr>
                <w:b/>
                <w:sz w:val="18"/>
                <w:szCs w:val="18"/>
              </w:rPr>
              <w:t>F</w:t>
            </w:r>
            <w:r w:rsidRPr="0076699D">
              <w:rPr>
                <w:b/>
                <w:sz w:val="18"/>
                <w:szCs w:val="18"/>
              </w:rPr>
              <w:t xml:space="preserve">acilitation </w:t>
            </w:r>
            <w:r w:rsidR="00C96FF8" w:rsidRPr="0076699D">
              <w:rPr>
                <w:b/>
                <w:sz w:val="18"/>
                <w:szCs w:val="18"/>
              </w:rPr>
              <w:t>S</w:t>
            </w:r>
            <w:r w:rsidRPr="0076699D">
              <w:rPr>
                <w:b/>
                <w:sz w:val="18"/>
                <w:szCs w:val="18"/>
              </w:rPr>
              <w:t xml:space="preserve">ervice, a </w:t>
            </w:r>
            <w:r w:rsidR="00C96FF8" w:rsidRPr="0076699D">
              <w:rPr>
                <w:b/>
                <w:sz w:val="18"/>
                <w:szCs w:val="18"/>
              </w:rPr>
              <w:t>C</w:t>
            </w:r>
            <w:r w:rsidRPr="0076699D">
              <w:rPr>
                <w:b/>
                <w:sz w:val="18"/>
                <w:szCs w:val="18"/>
              </w:rPr>
              <w:t>ross-</w:t>
            </w:r>
            <w:r w:rsidR="00DD6F66" w:rsidRPr="0076699D">
              <w:rPr>
                <w:b/>
                <w:sz w:val="18"/>
                <w:szCs w:val="18"/>
              </w:rPr>
              <w:t>b</w:t>
            </w:r>
            <w:r w:rsidRPr="0076699D">
              <w:rPr>
                <w:b/>
                <w:sz w:val="18"/>
                <w:szCs w:val="18"/>
              </w:rPr>
              <w:t xml:space="preserve">order </w:t>
            </w:r>
            <w:r w:rsidR="00C96FF8" w:rsidRPr="0076699D">
              <w:rPr>
                <w:b/>
                <w:sz w:val="18"/>
                <w:szCs w:val="18"/>
              </w:rPr>
              <w:t>T</w:t>
            </w:r>
            <w:r w:rsidRPr="0076699D">
              <w:rPr>
                <w:b/>
                <w:sz w:val="18"/>
                <w:szCs w:val="18"/>
              </w:rPr>
              <w:t xml:space="preserve">ransfer </w:t>
            </w:r>
            <w:r w:rsidR="00C96FF8" w:rsidRPr="0076699D">
              <w:rPr>
                <w:b/>
                <w:sz w:val="18"/>
                <w:szCs w:val="18"/>
              </w:rPr>
              <w:t>S</w:t>
            </w:r>
            <w:r w:rsidRPr="0076699D">
              <w:rPr>
                <w:b/>
                <w:sz w:val="18"/>
                <w:szCs w:val="18"/>
              </w:rPr>
              <w:t>ervice or any other activity prescribed by regulation</w:t>
            </w:r>
            <w:r w:rsidRPr="0076699D">
              <w:rPr>
                <w:sz w:val="18"/>
                <w:szCs w:val="18"/>
              </w:rPr>
              <w:t>. This would replace the existing meaning of ‘makes non-cash payments’.</w:t>
            </w:r>
            <w:r w:rsidRPr="00371FDF">
              <w:rPr>
                <w:rStyle w:val="FootnoteReference"/>
                <w:bCs/>
                <w:szCs w:val="18"/>
              </w:rPr>
              <w:footnoteReference w:id="32"/>
            </w:r>
          </w:p>
        </w:tc>
      </w:tr>
      <w:tr w:rsidR="00AC5867" w14:paraId="5345CA34" w14:textId="77777777" w:rsidTr="0076699D">
        <w:tc>
          <w:tcPr>
            <w:cnfStyle w:val="001000000000" w:firstRow="0" w:lastRow="0" w:firstColumn="1" w:lastColumn="0" w:oddVBand="0" w:evenVBand="0" w:oddHBand="0" w:evenHBand="0" w:firstRowFirstColumn="0" w:firstRowLastColumn="0" w:lastRowFirstColumn="0" w:lastRowLastColumn="0"/>
            <w:tcW w:w="0" w:type="auto"/>
          </w:tcPr>
          <w:p w14:paraId="48A27CEC" w14:textId="729AA9C9" w:rsidR="00AC5867" w:rsidRPr="0076699D" w:rsidRDefault="00AC5867" w:rsidP="00B85974">
            <w:pPr>
              <w:rPr>
                <w:b w:val="0"/>
                <w:sz w:val="18"/>
                <w:szCs w:val="18"/>
              </w:rPr>
            </w:pPr>
            <w:r w:rsidRPr="0076699D">
              <w:rPr>
                <w:sz w:val="18"/>
                <w:szCs w:val="18"/>
              </w:rPr>
              <w:t>‘Financial service’</w:t>
            </w:r>
            <w:r w:rsidRPr="00843EB7">
              <w:rPr>
                <w:rStyle w:val="FootnoteReference"/>
                <w:szCs w:val="18"/>
              </w:rPr>
              <w:footnoteReference w:id="33"/>
            </w:r>
            <w:r w:rsidRPr="0076699D">
              <w:rPr>
                <w:sz w:val="18"/>
                <w:szCs w:val="18"/>
              </w:rPr>
              <w:t xml:space="preserve"> includes:</w:t>
            </w:r>
          </w:p>
          <w:p w14:paraId="26C25C47" w14:textId="6AD075A5" w:rsidR="00AC5867" w:rsidRPr="0076699D" w:rsidRDefault="00AC5867" w:rsidP="006437E9">
            <w:pPr>
              <w:pStyle w:val="Bullet"/>
              <w:ind w:left="522" w:hanging="522"/>
              <w:rPr>
                <w:b w:val="0"/>
                <w:sz w:val="18"/>
                <w:szCs w:val="18"/>
              </w:rPr>
            </w:pPr>
            <w:r w:rsidRPr="0076699D">
              <w:rPr>
                <w:sz w:val="18"/>
                <w:szCs w:val="18"/>
              </w:rPr>
              <w:t>Providing financial product advice</w:t>
            </w:r>
            <w:r w:rsidR="00B41B42" w:rsidRPr="0076699D">
              <w:rPr>
                <w:sz w:val="18"/>
                <w:szCs w:val="18"/>
              </w:rPr>
              <w:t>,</w:t>
            </w:r>
          </w:p>
          <w:p w14:paraId="21BCF471" w14:textId="66F9D603" w:rsidR="00AC5867" w:rsidRPr="0076699D" w:rsidRDefault="00AC5867" w:rsidP="006437E9">
            <w:pPr>
              <w:pStyle w:val="Bullet"/>
              <w:ind w:left="522" w:hanging="522"/>
              <w:rPr>
                <w:b w:val="0"/>
                <w:sz w:val="18"/>
                <w:szCs w:val="18"/>
              </w:rPr>
            </w:pPr>
            <w:r w:rsidRPr="0076699D">
              <w:rPr>
                <w:sz w:val="18"/>
                <w:szCs w:val="18"/>
              </w:rPr>
              <w:t>Dealing in a financial product (includes applying for or acquiring, issuing, varying, disposing and arranging)</w:t>
            </w:r>
            <w:r w:rsidR="00B41B42" w:rsidRPr="0076699D">
              <w:rPr>
                <w:sz w:val="18"/>
                <w:szCs w:val="18"/>
              </w:rPr>
              <w:t>,</w:t>
            </w:r>
          </w:p>
          <w:p w14:paraId="00418562" w14:textId="422AF669" w:rsidR="00AC5867" w:rsidRPr="0076699D" w:rsidRDefault="00AC5867" w:rsidP="006437E9">
            <w:pPr>
              <w:pStyle w:val="Bullet"/>
              <w:ind w:left="522" w:hanging="522"/>
              <w:rPr>
                <w:sz w:val="18"/>
                <w:szCs w:val="18"/>
              </w:rPr>
            </w:pPr>
            <w:r w:rsidRPr="0076699D">
              <w:rPr>
                <w:sz w:val="18"/>
                <w:szCs w:val="18"/>
              </w:rPr>
              <w:t>Making a market for a financial product</w:t>
            </w:r>
            <w:r w:rsidR="00B41B42" w:rsidRPr="0076699D">
              <w:rPr>
                <w:sz w:val="18"/>
                <w:szCs w:val="18"/>
              </w:rPr>
              <w:t>.</w:t>
            </w:r>
          </w:p>
        </w:tc>
        <w:tc>
          <w:tcPr>
            <w:tcW w:w="0" w:type="auto"/>
          </w:tcPr>
          <w:p w14:paraId="33B13325" w14:textId="42796F8E" w:rsidR="00AC5867" w:rsidRPr="0076699D" w:rsidRDefault="00AC5867" w:rsidP="00B85974">
            <w:pPr>
              <w:cnfStyle w:val="000000000000" w:firstRow="0" w:lastRow="0" w:firstColumn="0" w:lastColumn="0" w:oddVBand="0" w:evenVBand="0" w:oddHBand="0" w:evenHBand="0" w:firstRowFirstColumn="0" w:firstRowLastColumn="0" w:lastRowFirstColumn="0" w:lastRowLastColumn="0"/>
              <w:rPr>
                <w:sz w:val="18"/>
                <w:szCs w:val="18"/>
              </w:rPr>
            </w:pPr>
            <w:r w:rsidRPr="0076699D">
              <w:rPr>
                <w:sz w:val="18"/>
                <w:szCs w:val="18"/>
              </w:rPr>
              <w:t xml:space="preserve">Advice, dealing and making a market for a financial product (in this case a payment product) would continue to be regulated as a financial service. </w:t>
            </w:r>
          </w:p>
          <w:p w14:paraId="0EC06343" w14:textId="1EB4D972" w:rsidR="00AC5867" w:rsidRPr="0076699D" w:rsidRDefault="00AC5867" w:rsidP="00B85974">
            <w:pPr>
              <w:cnfStyle w:val="000000000000" w:firstRow="0" w:lastRow="0" w:firstColumn="0" w:lastColumn="0" w:oddVBand="0" w:evenVBand="0" w:oddHBand="0" w:evenHBand="0" w:firstRowFirstColumn="0" w:firstRowLastColumn="0" w:lastRowFirstColumn="0" w:lastRowLastColumn="0"/>
              <w:rPr>
                <w:sz w:val="18"/>
                <w:szCs w:val="18"/>
              </w:rPr>
            </w:pPr>
            <w:r w:rsidRPr="0076699D">
              <w:rPr>
                <w:sz w:val="18"/>
                <w:szCs w:val="18"/>
              </w:rPr>
              <w:t>Add ‘</w:t>
            </w:r>
            <w:r w:rsidRPr="0076699D">
              <w:rPr>
                <w:b/>
                <w:sz w:val="18"/>
                <w:szCs w:val="18"/>
              </w:rPr>
              <w:t>providing payment services</w:t>
            </w:r>
            <w:r w:rsidRPr="0076699D">
              <w:rPr>
                <w:sz w:val="18"/>
                <w:szCs w:val="18"/>
              </w:rPr>
              <w:t>’ as a new category of financial service.</w:t>
            </w:r>
            <w:r w:rsidRPr="00371FDF">
              <w:rPr>
                <w:rStyle w:val="FootnoteReference"/>
                <w:szCs w:val="18"/>
              </w:rPr>
              <w:footnoteReference w:id="34"/>
            </w:r>
            <w:r w:rsidR="00506A8E" w:rsidRPr="0076699D">
              <w:rPr>
                <w:sz w:val="18"/>
                <w:szCs w:val="18"/>
              </w:rPr>
              <w:t xml:space="preserve"> </w:t>
            </w:r>
            <w:r w:rsidRPr="0076699D">
              <w:rPr>
                <w:sz w:val="18"/>
                <w:szCs w:val="18"/>
              </w:rPr>
              <w:t xml:space="preserve">A person provides a payment service if they provide: </w:t>
            </w:r>
          </w:p>
          <w:p w14:paraId="14919701" w14:textId="6BF1D4B4" w:rsidR="00AC5867" w:rsidRPr="0076699D" w:rsidRDefault="00065908" w:rsidP="0087680C">
            <w:pPr>
              <w:pStyle w:val="Bullet"/>
              <w:cnfStyle w:val="000000000000" w:firstRow="0" w:lastRow="0" w:firstColumn="0" w:lastColumn="0" w:oddVBand="0" w:evenVBand="0" w:oddHBand="0" w:evenHBand="0" w:firstRowFirstColumn="0" w:firstRowLastColumn="0" w:lastRowFirstColumn="0" w:lastRowLastColumn="0"/>
              <w:rPr>
                <w:b/>
                <w:sz w:val="18"/>
                <w:szCs w:val="18"/>
              </w:rPr>
            </w:pPr>
            <w:r w:rsidRPr="0076699D">
              <w:rPr>
                <w:b/>
                <w:sz w:val="18"/>
                <w:szCs w:val="18"/>
              </w:rPr>
              <w:t>Payment Initiation Services</w:t>
            </w:r>
          </w:p>
          <w:p w14:paraId="7433005C" w14:textId="037F4083" w:rsidR="00AC5867" w:rsidRPr="0076699D" w:rsidRDefault="00065908" w:rsidP="0087680C">
            <w:pPr>
              <w:pStyle w:val="Bullet"/>
              <w:cnfStyle w:val="000000000000" w:firstRow="0" w:lastRow="0" w:firstColumn="0" w:lastColumn="0" w:oddVBand="0" w:evenVBand="0" w:oddHBand="0" w:evenHBand="0" w:firstRowFirstColumn="0" w:firstRowLastColumn="0" w:lastRowFirstColumn="0" w:lastRowLastColumn="0"/>
              <w:rPr>
                <w:b/>
                <w:sz w:val="18"/>
                <w:szCs w:val="18"/>
              </w:rPr>
            </w:pPr>
            <w:r w:rsidRPr="0076699D">
              <w:rPr>
                <w:b/>
                <w:sz w:val="18"/>
                <w:szCs w:val="18"/>
              </w:rPr>
              <w:t>Payment Technology and Enablement Services</w:t>
            </w:r>
            <w:r w:rsidR="00AC5867" w:rsidRPr="0076699D">
              <w:rPr>
                <w:b/>
                <w:sz w:val="18"/>
                <w:szCs w:val="18"/>
              </w:rPr>
              <w:t xml:space="preserve">, or </w:t>
            </w:r>
          </w:p>
          <w:p w14:paraId="7034DF18" w14:textId="1B06ADBD" w:rsidR="00AC5867" w:rsidRPr="0076699D" w:rsidRDefault="00AC5867" w:rsidP="0087680C">
            <w:pPr>
              <w:pStyle w:val="Bullet"/>
              <w:cnfStyle w:val="000000000000" w:firstRow="0" w:lastRow="0" w:firstColumn="0" w:lastColumn="0" w:oddVBand="0" w:evenVBand="0" w:oddHBand="0" w:evenHBand="0" w:firstRowFirstColumn="0" w:firstRowLastColumn="0" w:lastRowFirstColumn="0" w:lastRowLastColumn="0"/>
              <w:rPr>
                <w:b/>
                <w:sz w:val="18"/>
                <w:szCs w:val="18"/>
              </w:rPr>
            </w:pPr>
            <w:r w:rsidRPr="0076699D">
              <w:rPr>
                <w:b/>
                <w:sz w:val="18"/>
                <w:szCs w:val="18"/>
              </w:rPr>
              <w:t xml:space="preserve">any other </w:t>
            </w:r>
            <w:r w:rsidR="00223BE7" w:rsidRPr="0076699D">
              <w:rPr>
                <w:b/>
                <w:sz w:val="18"/>
                <w:szCs w:val="18"/>
              </w:rPr>
              <w:t>activity</w:t>
            </w:r>
            <w:r w:rsidRPr="0076699D">
              <w:rPr>
                <w:b/>
                <w:sz w:val="18"/>
                <w:szCs w:val="18"/>
              </w:rPr>
              <w:t xml:space="preserve"> prescribed by regulation.</w:t>
            </w:r>
          </w:p>
          <w:p w14:paraId="550F1791" w14:textId="77777777" w:rsidR="00AC5867" w:rsidRPr="0076699D" w:rsidRDefault="00AC5867" w:rsidP="00B85974">
            <w:pPr>
              <w:cnfStyle w:val="000000000000" w:firstRow="0" w:lastRow="0" w:firstColumn="0" w:lastColumn="0" w:oddVBand="0" w:evenVBand="0" w:oddHBand="0" w:evenHBand="0" w:firstRowFirstColumn="0" w:firstRowLastColumn="0" w:lastRowFirstColumn="0" w:lastRowLastColumn="0"/>
              <w:rPr>
                <w:sz w:val="18"/>
                <w:szCs w:val="18"/>
              </w:rPr>
            </w:pPr>
            <w:r w:rsidRPr="0076699D">
              <w:rPr>
                <w:sz w:val="18"/>
                <w:szCs w:val="18"/>
              </w:rPr>
              <w:t xml:space="preserve">Prescribe that the following are not payment services: </w:t>
            </w:r>
          </w:p>
          <w:p w14:paraId="21FC65EA" w14:textId="5F586593" w:rsidR="00AC5867" w:rsidRPr="0076699D" w:rsidRDefault="00AC5867" w:rsidP="0087680C">
            <w:pPr>
              <w:pStyle w:val="Bullet"/>
              <w:cnfStyle w:val="000000000000" w:firstRow="0" w:lastRow="0" w:firstColumn="0" w:lastColumn="0" w:oddVBand="0" w:evenVBand="0" w:oddHBand="0" w:evenHBand="0" w:firstRowFirstColumn="0" w:firstRowLastColumn="0" w:lastRowFirstColumn="0" w:lastRowLastColumn="0"/>
              <w:rPr>
                <w:sz w:val="18"/>
                <w:szCs w:val="18"/>
              </w:rPr>
            </w:pPr>
            <w:r w:rsidRPr="0076699D">
              <w:rPr>
                <w:sz w:val="18"/>
                <w:szCs w:val="18"/>
              </w:rPr>
              <w:t>an activity that constitutes providing financial product advice, dealing in a financial product, or making a market for a financial product, or</w:t>
            </w:r>
          </w:p>
          <w:p w14:paraId="6CA6BA4B" w14:textId="1E89EF2A" w:rsidR="00AC5867" w:rsidRPr="0076699D" w:rsidRDefault="00AC5867" w:rsidP="0087680C">
            <w:pPr>
              <w:pStyle w:val="Bullet"/>
              <w:cnfStyle w:val="000000000000" w:firstRow="0" w:lastRow="0" w:firstColumn="0" w:lastColumn="0" w:oddVBand="0" w:evenVBand="0" w:oddHBand="0" w:evenHBand="0" w:firstRowFirstColumn="0" w:firstRowLastColumn="0" w:lastRowFirstColumn="0" w:lastRowLastColumn="0"/>
              <w:rPr>
                <w:sz w:val="18"/>
                <w:szCs w:val="18"/>
              </w:rPr>
            </w:pPr>
            <w:r w:rsidRPr="0076699D">
              <w:rPr>
                <w:sz w:val="18"/>
                <w:szCs w:val="18"/>
              </w:rPr>
              <w:t>any other activity prescribed by regulation.</w:t>
            </w:r>
          </w:p>
        </w:tc>
      </w:tr>
    </w:tbl>
    <w:p w14:paraId="1BDC0C6C" w14:textId="19B6EB8D" w:rsidR="000D646D" w:rsidRDefault="00186203" w:rsidP="008B7CCE">
      <w:pPr>
        <w:pStyle w:val="Heading4"/>
      </w:pPr>
      <w:r>
        <w:t>I</w:t>
      </w:r>
      <w:r w:rsidR="000D646D">
        <w:t xml:space="preserve">mplications </w:t>
      </w:r>
      <w:r w:rsidR="00E76D01">
        <w:t>under the proposed approach</w:t>
      </w:r>
    </w:p>
    <w:p w14:paraId="3DF74109" w14:textId="1AF7D616" w:rsidR="00283925" w:rsidRDefault="00504D5D" w:rsidP="00DA6B3A">
      <w:r>
        <w:t xml:space="preserve">The proposed changes </w:t>
      </w:r>
      <w:r w:rsidR="00A12A5D">
        <w:t xml:space="preserve">would </w:t>
      </w:r>
      <w:r>
        <w:t xml:space="preserve">mean more </w:t>
      </w:r>
      <w:r w:rsidR="00A12A5D">
        <w:t xml:space="preserve">types of facilities, </w:t>
      </w:r>
      <w:r w:rsidR="005C6E88">
        <w:t>involving a</w:t>
      </w:r>
      <w:r w:rsidR="00A12A5D">
        <w:t xml:space="preserve"> broader range of payment functions,</w:t>
      </w:r>
      <w:r w:rsidR="00A12A5D" w:rsidDel="00A12A5D">
        <w:t xml:space="preserve"> </w:t>
      </w:r>
      <w:r w:rsidR="00A12A5D">
        <w:t xml:space="preserve">would be </w:t>
      </w:r>
      <w:r>
        <w:t xml:space="preserve">captured under the concept of </w:t>
      </w:r>
      <w:r w:rsidR="00517A9A">
        <w:t xml:space="preserve">a </w:t>
      </w:r>
      <w:r w:rsidR="0048106D">
        <w:t>‘</w:t>
      </w:r>
      <w:r w:rsidR="00517A9A">
        <w:t>financial product</w:t>
      </w:r>
      <w:r w:rsidR="0048106D">
        <w:t>’</w:t>
      </w:r>
      <w:r w:rsidR="00517A9A">
        <w:t xml:space="preserve">. </w:t>
      </w:r>
      <w:r w:rsidR="00FF78E5">
        <w:t>As a result</w:t>
      </w:r>
      <w:r w:rsidR="000162E9">
        <w:t>, t</w:t>
      </w:r>
      <w:r w:rsidR="00283925">
        <w:t>he</w:t>
      </w:r>
      <w:r w:rsidR="00FF78E5">
        <w:t xml:space="preserve"> range of activities regulated as </w:t>
      </w:r>
      <w:r w:rsidR="00AF4BB8">
        <w:t>‘</w:t>
      </w:r>
      <w:r w:rsidR="00FF78E5">
        <w:t>financial services</w:t>
      </w:r>
      <w:r w:rsidR="00AF4BB8">
        <w:t>’</w:t>
      </w:r>
      <w:r w:rsidR="00FF78E5">
        <w:t xml:space="preserve"> would expand. </w:t>
      </w:r>
      <w:r w:rsidR="00F529D8">
        <w:t xml:space="preserve">For example, the meaning of financial product advice would include advice about </w:t>
      </w:r>
      <w:r w:rsidR="005A143A">
        <w:t>fiat-backed</w:t>
      </w:r>
      <w:r w:rsidR="00F529D8">
        <w:t xml:space="preserve"> stablecoins.</w:t>
      </w:r>
      <w:r w:rsidR="00254824">
        <w:t xml:space="preserve"> </w:t>
      </w:r>
    </w:p>
    <w:p w14:paraId="49E69FDA" w14:textId="1F353814" w:rsidR="00F15218" w:rsidRDefault="00520E89" w:rsidP="00DA6B3A">
      <w:r>
        <w:lastRenderedPageBreak/>
        <w:t xml:space="preserve">The proposed </w:t>
      </w:r>
      <w:r w:rsidR="006F7F87">
        <w:t xml:space="preserve">treatment </w:t>
      </w:r>
      <w:r w:rsidR="00200B7D">
        <w:t xml:space="preserve">of </w:t>
      </w:r>
      <w:r w:rsidR="00C249DE">
        <w:t>Payment Initiation Services and Payment Technology and Enablement Services</w:t>
      </w:r>
      <w:r w:rsidR="00200B7D">
        <w:t xml:space="preserve"> as a new form of </w:t>
      </w:r>
      <w:r w:rsidR="0048106D">
        <w:t>‘</w:t>
      </w:r>
      <w:r w:rsidR="00200B7D">
        <w:t>financial service</w:t>
      </w:r>
      <w:r w:rsidR="0048106D">
        <w:t>’</w:t>
      </w:r>
      <w:r w:rsidR="00200B7D">
        <w:t xml:space="preserve"> </w:t>
      </w:r>
      <w:r w:rsidR="00C8429E">
        <w:t>is intended to reflect</w:t>
      </w:r>
      <w:r w:rsidR="00200B7D">
        <w:t xml:space="preserve"> that </w:t>
      </w:r>
      <w:r w:rsidR="00151856">
        <w:t>product-based obligations</w:t>
      </w:r>
      <w:r w:rsidR="00474621">
        <w:t xml:space="preserve"> </w:t>
      </w:r>
      <w:r w:rsidR="006718C9">
        <w:t>may not</w:t>
      </w:r>
      <w:r w:rsidR="001B1901">
        <w:t xml:space="preserve"> be as </w:t>
      </w:r>
      <w:r w:rsidR="0026727C">
        <w:t xml:space="preserve">appropriate for </w:t>
      </w:r>
      <w:r w:rsidR="001B1901">
        <w:t>these activities.</w:t>
      </w:r>
      <w:r w:rsidR="00FD79A2">
        <w:t xml:space="preserve"> </w:t>
      </w:r>
    </w:p>
    <w:p w14:paraId="64B7E244" w14:textId="2ED427FF" w:rsidR="00286461" w:rsidRDefault="004960C3" w:rsidP="00DA6B3A">
      <w:r>
        <w:t xml:space="preserve">The concept of ‘financial product advice’ does not extend to advice about </w:t>
      </w:r>
      <w:r w:rsidR="00CA5B80">
        <w:t>a financial service</w:t>
      </w:r>
      <w:r w:rsidR="006F491C">
        <w:t xml:space="preserve"> not involving a product</w:t>
      </w:r>
      <w:r w:rsidR="00CA5B80">
        <w:t xml:space="preserve">. This means, for example, that advice about </w:t>
      </w:r>
      <w:r w:rsidR="00065908">
        <w:t>Payment Initiation Services</w:t>
      </w:r>
      <w:r w:rsidR="00CA5B80">
        <w:t xml:space="preserve"> would not be financial </w:t>
      </w:r>
      <w:r w:rsidR="00C60BDE">
        <w:t xml:space="preserve">product </w:t>
      </w:r>
      <w:r w:rsidR="00CA5B80">
        <w:t>advice</w:t>
      </w:r>
      <w:r w:rsidR="00C60BDE">
        <w:t>, but advice about an SVF could be financial product advice</w:t>
      </w:r>
      <w:r w:rsidR="00CA5B80">
        <w:t xml:space="preserve">. </w:t>
      </w:r>
      <w:r w:rsidR="00286461">
        <w:t xml:space="preserve">Feedback is welcome on whether </w:t>
      </w:r>
      <w:r w:rsidR="00C46DB5">
        <w:t>this outcome is appropriate.</w:t>
      </w:r>
    </w:p>
    <w:p w14:paraId="5C27FAC9" w14:textId="45542829" w:rsidR="00B35461" w:rsidRDefault="00B35461" w:rsidP="008B7CCE">
      <w:pPr>
        <w:pStyle w:val="Heading4"/>
      </w:pPr>
      <w:r>
        <w:t>Dealing, arranging and issuing</w:t>
      </w:r>
    </w:p>
    <w:p w14:paraId="5F443074" w14:textId="2E4FE652" w:rsidR="007F0582" w:rsidRDefault="00920BDD" w:rsidP="00DA6B3A">
      <w:r>
        <w:t xml:space="preserve">Some stakeholders raised concerns that </w:t>
      </w:r>
      <w:r w:rsidR="00002AB6">
        <w:t xml:space="preserve">the </w:t>
      </w:r>
      <w:r w:rsidR="00760C1B">
        <w:t xml:space="preserve">concepts of ‘dealing in’ and ‘arranging’ </w:t>
      </w:r>
      <w:r w:rsidR="00346F5F">
        <w:t>created confusion.</w:t>
      </w:r>
      <w:r w:rsidR="00415182">
        <w:t xml:space="preserve"> </w:t>
      </w:r>
      <w:r w:rsidR="0091553F">
        <w:t>Stakeholders also suggested that the concept of ‘issuer’ may be unclear</w:t>
      </w:r>
      <w:r w:rsidR="00B81CAA">
        <w:t>. F</w:t>
      </w:r>
      <w:r w:rsidR="000F522F">
        <w:t xml:space="preserve">or example, in the context of </w:t>
      </w:r>
      <w:r w:rsidR="006C097D">
        <w:t>physical cards, ensuring it does</w:t>
      </w:r>
      <w:r w:rsidR="00B81CAA">
        <w:t xml:space="preserve"> not</w:t>
      </w:r>
      <w:r w:rsidR="006C097D">
        <w:t xml:space="preserve"> refer to the entity that manufactures the card.</w:t>
      </w:r>
      <w:r w:rsidR="00B57A43">
        <w:t xml:space="preserve"> The existing law provides that </w:t>
      </w:r>
      <w:r w:rsidR="00913036">
        <w:t xml:space="preserve">the </w:t>
      </w:r>
      <w:r w:rsidR="00B57A43">
        <w:t>issuer is the person who is responsible for the obligations owed under the terms of the product</w:t>
      </w:r>
      <w:r w:rsidR="00FF4CDC">
        <w:t xml:space="preserve"> to the client</w:t>
      </w:r>
      <w:r w:rsidR="00B57A43">
        <w:t>.</w:t>
      </w:r>
      <w:r w:rsidR="00B57A43">
        <w:rPr>
          <w:rStyle w:val="FootnoteReference"/>
        </w:rPr>
        <w:footnoteReference w:id="35"/>
      </w:r>
      <w:r w:rsidR="00B57A43">
        <w:t xml:space="preserve"> </w:t>
      </w:r>
      <w:r w:rsidR="005B0B43">
        <w:t xml:space="preserve">Accordingly, </w:t>
      </w:r>
      <w:r w:rsidR="00B74586">
        <w:t>manufacturing payment cards is not ‘issuing’.</w:t>
      </w:r>
    </w:p>
    <w:p w14:paraId="04D1BE7A" w14:textId="44E2BA24" w:rsidR="00B35461" w:rsidRDefault="00B35461" w:rsidP="008B7CCE">
      <w:pPr>
        <w:pStyle w:val="Heading4"/>
      </w:pPr>
      <w:r>
        <w:t>Alternative options</w:t>
      </w:r>
    </w:p>
    <w:p w14:paraId="552DBF0E" w14:textId="4E99F7E8" w:rsidR="009A3A7E" w:rsidRDefault="009A3A7E" w:rsidP="00DA6B3A">
      <w:r>
        <w:t xml:space="preserve">An alternative option (Option B) would be to </w:t>
      </w:r>
      <w:r w:rsidR="00AE66DD">
        <w:t xml:space="preserve">only regulate </w:t>
      </w:r>
      <w:r w:rsidR="00BC27C4">
        <w:t>SVFs</w:t>
      </w:r>
      <w:r w:rsidR="00BA65DB">
        <w:t xml:space="preserve"> and </w:t>
      </w:r>
      <w:r w:rsidR="00F83838">
        <w:t>P</w:t>
      </w:r>
      <w:r w:rsidR="00BA65DB">
        <w:t xml:space="preserve">ayment </w:t>
      </w:r>
      <w:r w:rsidR="00F83838">
        <w:t>I</w:t>
      </w:r>
      <w:r w:rsidR="00BA65DB">
        <w:t xml:space="preserve">nstruments as </w:t>
      </w:r>
      <w:r w:rsidR="0099004C">
        <w:t xml:space="preserve">a type of financial </w:t>
      </w:r>
      <w:r w:rsidR="000A3BEB">
        <w:t>product</w:t>
      </w:r>
      <w:r w:rsidR="00F80FA2">
        <w:t>,</w:t>
      </w:r>
      <w:r w:rsidR="000A3BEB">
        <w:t xml:space="preserve"> and</w:t>
      </w:r>
      <w:r w:rsidR="0099004C">
        <w:t xml:space="preserve"> treat all other proposed functions as a new type of financial service. </w:t>
      </w:r>
      <w:r w:rsidR="000C081A">
        <w:t xml:space="preserve">However, this would change </w:t>
      </w:r>
      <w:r w:rsidR="003F546A">
        <w:t xml:space="preserve">the product-based protections that currently apply to certain types of payment </w:t>
      </w:r>
      <w:r w:rsidR="000A3BEB">
        <w:t>functions</w:t>
      </w:r>
      <w:r w:rsidR="003F546A">
        <w:t xml:space="preserve"> that are </w:t>
      </w:r>
      <w:r w:rsidR="00F91523">
        <w:t xml:space="preserve">currently regulated as a </w:t>
      </w:r>
      <w:r w:rsidR="009A2D7F">
        <w:t>non-cash payment</w:t>
      </w:r>
      <w:r w:rsidR="00F91523">
        <w:t xml:space="preserve"> facility, such as bill payment services.</w:t>
      </w:r>
      <w:r>
        <w:t xml:space="preserve"> </w:t>
      </w:r>
    </w:p>
    <w:p w14:paraId="267ED827" w14:textId="74741560" w:rsidR="007B68C7" w:rsidDel="009A3A7E" w:rsidRDefault="00A25039" w:rsidP="00DA6B3A">
      <w:r>
        <w:t>An</w:t>
      </w:r>
      <w:r w:rsidR="00FC276F">
        <w:t>other</w:t>
      </w:r>
      <w:r w:rsidR="003C305C">
        <w:t xml:space="preserve"> </w:t>
      </w:r>
      <w:r>
        <w:t xml:space="preserve">option </w:t>
      </w:r>
      <w:r w:rsidR="008D2954">
        <w:t xml:space="preserve">(Option </w:t>
      </w:r>
      <w:r w:rsidR="000A3BEB">
        <w:t>C</w:t>
      </w:r>
      <w:r w:rsidR="008D2954">
        <w:t>)</w:t>
      </w:r>
      <w:r>
        <w:t xml:space="preserve"> would be to </w:t>
      </w:r>
      <w:r w:rsidR="00517A9A">
        <w:t>regulate all payment functions as a type of financial product</w:t>
      </w:r>
      <w:r w:rsidR="007674D9">
        <w:t>.</w:t>
      </w:r>
      <w:r w:rsidR="00685BA3">
        <w:t xml:space="preserve"> </w:t>
      </w:r>
      <w:r w:rsidR="008F7A26">
        <w:t>Compared to the proposed approach, t</w:t>
      </w:r>
      <w:r w:rsidR="006248F8">
        <w:t xml:space="preserve">his would substantially </w:t>
      </w:r>
      <w:r w:rsidR="00F4119A">
        <w:t>broaden</w:t>
      </w:r>
      <w:r w:rsidR="006248F8">
        <w:t xml:space="preserve"> the definition of financial product</w:t>
      </w:r>
      <w:r w:rsidR="00E664BE">
        <w:t xml:space="preserve"> to include </w:t>
      </w:r>
      <w:r w:rsidR="00065908">
        <w:t>Payment Initiation Services</w:t>
      </w:r>
      <w:r w:rsidR="00C24297">
        <w:t xml:space="preserve"> </w:t>
      </w:r>
      <w:r w:rsidR="00FD292C">
        <w:t xml:space="preserve">and </w:t>
      </w:r>
      <w:r w:rsidR="00065908">
        <w:t>Payment Technology</w:t>
      </w:r>
      <w:r w:rsidR="00FD292C">
        <w:t xml:space="preserve"> and </w:t>
      </w:r>
      <w:r w:rsidR="00065908">
        <w:t>Enablement Services</w:t>
      </w:r>
      <w:r w:rsidR="00AE786F">
        <w:t xml:space="preserve"> (which under the </w:t>
      </w:r>
      <w:r w:rsidR="004A77DF">
        <w:t xml:space="preserve">proposed </w:t>
      </w:r>
      <w:r w:rsidR="00F56E59">
        <w:t xml:space="preserve">option, would be captured as a </w:t>
      </w:r>
      <w:r w:rsidR="002E712B">
        <w:t xml:space="preserve">new </w:t>
      </w:r>
      <w:r w:rsidR="00F56E59">
        <w:t>‘financial service’</w:t>
      </w:r>
      <w:r w:rsidR="00C31408">
        <w:t>)</w:t>
      </w:r>
      <w:r w:rsidR="00361A2F">
        <w:t>.</w:t>
      </w:r>
      <w:r w:rsidR="0085677A">
        <w:t xml:space="preserve"> </w:t>
      </w:r>
      <w:r w:rsidR="005D33FE">
        <w:t xml:space="preserve"> </w:t>
      </w:r>
      <w:r w:rsidR="009350C0">
        <w:t>E</w:t>
      </w:r>
      <w:r w:rsidR="006D2B8A">
        <w:t xml:space="preserve">xemptions </w:t>
      </w:r>
      <w:r w:rsidR="009350C0">
        <w:t>could apply</w:t>
      </w:r>
      <w:r w:rsidR="006D2B8A">
        <w:t xml:space="preserve"> from </w:t>
      </w:r>
      <w:r w:rsidR="007451DF">
        <w:t>standard financial product obligations</w:t>
      </w:r>
      <w:r w:rsidR="004D12B1">
        <w:t xml:space="preserve"> for certain functions.</w:t>
      </w:r>
    </w:p>
    <w:p w14:paraId="663D01C3" w14:textId="470BCCAE" w:rsidR="00FB3E2F" w:rsidRDefault="00E16486" w:rsidP="00DA6B3A">
      <w:r>
        <w:t xml:space="preserve">As discussed in CP1, </w:t>
      </w:r>
      <w:r w:rsidR="00391601">
        <w:t xml:space="preserve">stakeholders have raised concerns about a lack of clarity around the </w:t>
      </w:r>
      <w:r w:rsidR="00EB71E7">
        <w:t xml:space="preserve">concept of </w:t>
      </w:r>
      <w:r w:rsidR="009A2D7F">
        <w:t>non-cash payment</w:t>
      </w:r>
      <w:r w:rsidR="00EB71E7">
        <w:t xml:space="preserve"> facilities.</w:t>
      </w:r>
      <w:r>
        <w:t xml:space="preserve"> </w:t>
      </w:r>
      <w:r w:rsidR="00C64543">
        <w:t>O</w:t>
      </w:r>
      <w:r w:rsidR="006A0807">
        <w:t xml:space="preserve">ne option </w:t>
      </w:r>
      <w:r w:rsidR="00F9770A">
        <w:t>(</w:t>
      </w:r>
      <w:r w:rsidR="006A17AD">
        <w:t xml:space="preserve">Option D) </w:t>
      </w:r>
      <w:r w:rsidR="006A0807">
        <w:t xml:space="preserve">could be to retain </w:t>
      </w:r>
      <w:r w:rsidR="00312A7D">
        <w:t xml:space="preserve">the concept of </w:t>
      </w:r>
      <w:r w:rsidR="006A0807">
        <w:t>‘</w:t>
      </w:r>
      <w:r w:rsidR="00312A7D">
        <w:t xml:space="preserve">makes </w:t>
      </w:r>
      <w:r w:rsidR="006A0807">
        <w:t>non-cash payment’ as an overarching concept</w:t>
      </w:r>
      <w:r w:rsidR="009E37F6">
        <w:t xml:space="preserve"> and broaden the meaning to include payment functions that are not currently </w:t>
      </w:r>
      <w:r w:rsidR="00906AFD">
        <w:t>captured</w:t>
      </w:r>
      <w:r w:rsidR="001E33C2">
        <w:t xml:space="preserve">. </w:t>
      </w:r>
      <w:r w:rsidR="00F32C16">
        <w:t>However,</w:t>
      </w:r>
      <w:r w:rsidR="00CB2889">
        <w:t xml:space="preserve"> </w:t>
      </w:r>
      <w:r w:rsidR="00CD500A">
        <w:t xml:space="preserve">an overarching concept with a list of inclusions </w:t>
      </w:r>
      <w:r w:rsidR="00EF59EA">
        <w:t>may</w:t>
      </w:r>
      <w:r w:rsidR="00A9175D">
        <w:t xml:space="preserve"> provide less regulatory certainty compared to </w:t>
      </w:r>
      <w:r w:rsidR="00BA5D19">
        <w:t>the proposed approach</w:t>
      </w:r>
      <w:r w:rsidR="00A9175D">
        <w:t xml:space="preserve">. </w:t>
      </w:r>
    </w:p>
    <w:tbl>
      <w:tblPr>
        <w:tblStyle w:val="TableGrid"/>
        <w:tblW w:w="0" w:type="auto"/>
        <w:tblLook w:val="04A0" w:firstRow="1" w:lastRow="0" w:firstColumn="1" w:lastColumn="0" w:noHBand="0" w:noVBand="1"/>
      </w:tblPr>
      <w:tblGrid>
        <w:gridCol w:w="9070"/>
      </w:tblGrid>
      <w:tr w:rsidR="00F81FC1" w14:paraId="5119C70D" w14:textId="77777777" w:rsidTr="00271CCE">
        <w:trPr>
          <w:cnfStyle w:val="100000000000" w:firstRow="1" w:lastRow="0" w:firstColumn="0" w:lastColumn="0" w:oddVBand="0" w:evenVBand="0" w:oddHBand="0" w:evenHBand="0" w:firstRowFirstColumn="0" w:firstRowLastColumn="0" w:lastRowFirstColumn="0" w:lastRowLastColumn="0"/>
        </w:trPr>
        <w:tc>
          <w:tcPr>
            <w:tcW w:w="9070" w:type="dxa"/>
          </w:tcPr>
          <w:p w14:paraId="6F41401E" w14:textId="77777777" w:rsidR="00F81FC1" w:rsidRPr="00EF0B56" w:rsidRDefault="00F81FC1" w:rsidP="00E42AA2">
            <w:pPr>
              <w:spacing w:before="96" w:after="96"/>
              <w:rPr>
                <w:b w:val="0"/>
                <w:u w:val="single"/>
              </w:rPr>
            </w:pPr>
            <w:r w:rsidRPr="00EF0B56">
              <w:rPr>
                <w:u w:val="single"/>
              </w:rPr>
              <w:t>Consultation questions</w:t>
            </w:r>
          </w:p>
          <w:p w14:paraId="3545C41F" w14:textId="17CDC8FE" w:rsidR="00F81FC1" w:rsidRPr="003137DF" w:rsidRDefault="00F81FC1" w:rsidP="001D123F">
            <w:pPr>
              <w:pStyle w:val="Consultationquestions"/>
              <w:numPr>
                <w:ilvl w:val="0"/>
                <w:numId w:val="100"/>
              </w:numPr>
            </w:pPr>
            <w:r>
              <w:t xml:space="preserve">Is the proposed approach the best way to incorporate the functions into the </w:t>
            </w:r>
            <w:r w:rsidRPr="00EF0B56">
              <w:rPr>
                <w:i/>
                <w:iCs/>
              </w:rPr>
              <w:t>Corporations Act</w:t>
            </w:r>
            <w:r>
              <w:t xml:space="preserve">? Or is Option B, Option C, Option D or another option </w:t>
            </w:r>
            <w:r w:rsidR="00361CBC" w:rsidRPr="00361CBC">
              <w:t>not canvassed by this paper</w:t>
            </w:r>
            <w:r w:rsidR="00361CBC">
              <w:t xml:space="preserve"> </w:t>
            </w:r>
            <w:r>
              <w:t xml:space="preserve">preferable? </w:t>
            </w:r>
          </w:p>
          <w:p w14:paraId="5081B19A" w14:textId="77777777" w:rsidR="00F81FC1" w:rsidRPr="00127135" w:rsidRDefault="00F81FC1" w:rsidP="001D123F">
            <w:pPr>
              <w:pStyle w:val="Consultationquestions"/>
              <w:numPr>
                <w:ilvl w:val="0"/>
                <w:numId w:val="100"/>
              </w:numPr>
            </w:pPr>
            <w:r>
              <w:t>Are there any functions that are proposed to be regulated as a product that should instead be regulated as a new type of financial service or vice versa?</w:t>
            </w:r>
          </w:p>
          <w:p w14:paraId="1A8740B5" w14:textId="6752CBAE" w:rsidR="00F81FC1" w:rsidRPr="00F85BBB" w:rsidRDefault="00F81FC1" w:rsidP="001D123F">
            <w:pPr>
              <w:pStyle w:val="Consultationquestions"/>
              <w:numPr>
                <w:ilvl w:val="0"/>
                <w:numId w:val="100"/>
              </w:numPr>
            </w:pPr>
            <w:r w:rsidRPr="006837D7">
              <w:t xml:space="preserve">Are there any practical issues created by separating out different ‘functions’ and treating them as separate products and services? Would it be simpler to have fewer different </w:t>
            </w:r>
            <w:r w:rsidR="006F5321">
              <w:t>functions</w:t>
            </w:r>
            <w:r w:rsidRPr="006837D7">
              <w:t xml:space="preserve"> that cover more payment services?</w:t>
            </w:r>
          </w:p>
          <w:p w14:paraId="51CA1879" w14:textId="5DE50F94" w:rsidR="00F81FC1" w:rsidRPr="00717684" w:rsidRDefault="00F81FC1" w:rsidP="001D123F">
            <w:pPr>
              <w:pStyle w:val="Consultationquestions"/>
              <w:numPr>
                <w:ilvl w:val="0"/>
                <w:numId w:val="100"/>
              </w:numPr>
            </w:pPr>
            <w:r>
              <w:t>What needs clarifying regarding the tests of ‘dealing</w:t>
            </w:r>
            <w:r w:rsidR="00E271A1">
              <w:t xml:space="preserve"> in</w:t>
            </w:r>
            <w:r>
              <w:t>’ and ‘arranging’ for PSPs?</w:t>
            </w:r>
          </w:p>
        </w:tc>
      </w:tr>
    </w:tbl>
    <w:p w14:paraId="2ECBFF65" w14:textId="57DA0D75" w:rsidR="001254FA" w:rsidRDefault="001254FA" w:rsidP="00197935">
      <w:pPr>
        <w:pStyle w:val="Heading2"/>
      </w:pPr>
      <w:bookmarkStart w:id="62" w:name="_Ref151026131"/>
      <w:bookmarkStart w:id="63" w:name="_Toc152847627"/>
      <w:r>
        <w:lastRenderedPageBreak/>
        <w:t>Overseas providers</w:t>
      </w:r>
      <w:bookmarkEnd w:id="62"/>
      <w:bookmarkEnd w:id="63"/>
    </w:p>
    <w:p w14:paraId="31AD903F" w14:textId="3F3502E9" w:rsidR="001254FA" w:rsidRDefault="001254FA" w:rsidP="00DA6B3A">
      <w:r>
        <w:t xml:space="preserve">The </w:t>
      </w:r>
      <w:r w:rsidR="00E45352">
        <w:t>proposed reforms are intended to</w:t>
      </w:r>
      <w:r>
        <w:t xml:space="preserve"> apply to overseas-based businesses that actively solicit business in Australia. </w:t>
      </w:r>
      <w:r w:rsidR="00316115">
        <w:t xml:space="preserve"> </w:t>
      </w:r>
      <w:r>
        <w:t xml:space="preserve">This reflects the following </w:t>
      </w:r>
      <w:r w:rsidR="003A75C3">
        <w:t>practice</w:t>
      </w:r>
      <w:r>
        <w:t>:</w:t>
      </w:r>
    </w:p>
    <w:p w14:paraId="2B26284B" w14:textId="4B26679C" w:rsidR="001D0896" w:rsidRDefault="001254FA" w:rsidP="00662854">
      <w:pPr>
        <w:pStyle w:val="Bullet"/>
      </w:pPr>
      <w:r>
        <w:t>The requirement for an AFSL applies to entities who ‘carry on a financial services business in Australia’. This includes conduct intended to induce people in Australia to use the financial services the entity provides.</w:t>
      </w:r>
      <w:r>
        <w:rPr>
          <w:rStyle w:val="FootnoteReference"/>
        </w:rPr>
        <w:footnoteReference w:id="36"/>
      </w:r>
      <w:r>
        <w:t xml:space="preserve"> Under the proposed licensing framework, this general test would apply.</w:t>
      </w:r>
      <w:r>
        <w:rPr>
          <w:rStyle w:val="FootnoteReference"/>
        </w:rPr>
        <w:footnoteReference w:id="37"/>
      </w:r>
    </w:p>
    <w:p w14:paraId="13C32A0C" w14:textId="7CABDD9C" w:rsidR="00A5562E" w:rsidRPr="00A5562E" w:rsidRDefault="001254FA" w:rsidP="0064667C">
      <w:pPr>
        <w:pStyle w:val="Bullet"/>
      </w:pPr>
      <w:r>
        <w:t>Similarly, APRA generally takes the position that solicitation into Australia and/or to Australian-located customers by a foreign entity would trigger the need for a licence.</w:t>
      </w:r>
      <w:r w:rsidRPr="00641B1B">
        <w:t xml:space="preserve"> </w:t>
      </w:r>
      <w:r>
        <w:t xml:space="preserve">Major </w:t>
      </w:r>
      <w:r w:rsidRPr="00641B1B">
        <w:t>SVFs that wish to offer services in Australia</w:t>
      </w:r>
      <w:r w:rsidR="002617EA">
        <w:t>, including Major PSC SVFs,</w:t>
      </w:r>
      <w:r w:rsidRPr="00641B1B">
        <w:t xml:space="preserve"> should be a locally incorporated entity for authorisation by APRA</w:t>
      </w:r>
      <w:r>
        <w:t xml:space="preserve"> (i.e. SVF branch operations will not be permissible)</w:t>
      </w:r>
      <w:r w:rsidRPr="00641B1B">
        <w:t>.</w:t>
      </w:r>
    </w:p>
    <w:p w14:paraId="03170D4C" w14:textId="62BAB822" w:rsidR="003C2810" w:rsidRDefault="00A22DFE" w:rsidP="00197935">
      <w:pPr>
        <w:pStyle w:val="Heading4"/>
      </w:pPr>
      <w:r>
        <w:t>F</w:t>
      </w:r>
      <w:r w:rsidR="002F0A8A">
        <w:t>oreign financial service providers</w:t>
      </w:r>
      <w:r w:rsidR="007C7097">
        <w:t xml:space="preserve"> </w:t>
      </w:r>
    </w:p>
    <w:p w14:paraId="62927F24" w14:textId="3F364FFB" w:rsidR="008F751E" w:rsidRDefault="003C2810" w:rsidP="00DA6B3A">
      <w:pPr>
        <w:rPr>
          <w:rFonts w:cs="Calibri Light"/>
          <w:szCs w:val="22"/>
        </w:rPr>
      </w:pPr>
      <w:r w:rsidRPr="00197935">
        <w:rPr>
          <w:rFonts w:cs="Calibri Light"/>
          <w:szCs w:val="22"/>
        </w:rPr>
        <w:t xml:space="preserve">There may be </w:t>
      </w:r>
      <w:r w:rsidR="0004060D">
        <w:rPr>
          <w:rFonts w:cs="Calibri Light"/>
          <w:szCs w:val="22"/>
        </w:rPr>
        <w:t xml:space="preserve">further </w:t>
      </w:r>
      <w:r w:rsidRPr="00197935">
        <w:rPr>
          <w:rFonts w:cs="Calibri Light"/>
          <w:szCs w:val="22"/>
        </w:rPr>
        <w:t xml:space="preserve">interactions </w:t>
      </w:r>
      <w:r w:rsidR="0004060D">
        <w:rPr>
          <w:rFonts w:cs="Calibri Light"/>
          <w:szCs w:val="22"/>
        </w:rPr>
        <w:t>with</w:t>
      </w:r>
      <w:r w:rsidR="00902FF6" w:rsidRPr="00197935">
        <w:rPr>
          <w:rFonts w:cs="Calibri Light"/>
          <w:szCs w:val="22"/>
        </w:rPr>
        <w:t xml:space="preserve"> the licensing exemptions for foreign financial service</w:t>
      </w:r>
      <w:r w:rsidR="00902FF6">
        <w:rPr>
          <w:rFonts w:cs="Calibri Light"/>
          <w:szCs w:val="22"/>
        </w:rPr>
        <w:t>s</w:t>
      </w:r>
      <w:r w:rsidR="00902FF6" w:rsidRPr="00197935">
        <w:rPr>
          <w:rFonts w:cs="Calibri Light"/>
          <w:szCs w:val="22"/>
        </w:rPr>
        <w:t xml:space="preserve"> providers (FFSPs). The </w:t>
      </w:r>
      <w:r w:rsidR="00902FF6">
        <w:rPr>
          <w:rFonts w:cs="Calibri Light"/>
          <w:szCs w:val="22"/>
        </w:rPr>
        <w:t>FFSP</w:t>
      </w:r>
      <w:r w:rsidR="00902FF6" w:rsidRPr="00197935">
        <w:rPr>
          <w:rFonts w:cs="Calibri Light"/>
          <w:szCs w:val="22"/>
        </w:rPr>
        <w:t xml:space="preserve"> licensing exemption allows certain overseas financial services providers to offer their services to Australian clients without the need for a full </w:t>
      </w:r>
      <w:r w:rsidR="0086196F">
        <w:rPr>
          <w:rFonts w:cs="Calibri Light"/>
          <w:szCs w:val="22"/>
        </w:rPr>
        <w:t>AFSL</w:t>
      </w:r>
      <w:r w:rsidR="00902FF6" w:rsidRPr="00197935">
        <w:rPr>
          <w:rFonts w:cs="Calibri Light"/>
          <w:szCs w:val="22"/>
        </w:rPr>
        <w:t xml:space="preserve">. The exemption only applies to those providing services to professional </w:t>
      </w:r>
      <w:r w:rsidR="00902FF6">
        <w:rPr>
          <w:rFonts w:cs="Calibri Light"/>
          <w:szCs w:val="22"/>
        </w:rPr>
        <w:t xml:space="preserve">and wholesale </w:t>
      </w:r>
      <w:r w:rsidR="00B36F16">
        <w:rPr>
          <w:rFonts w:cs="Calibri Light"/>
          <w:szCs w:val="22"/>
        </w:rPr>
        <w:t>clients</w:t>
      </w:r>
      <w:r w:rsidR="00902FF6" w:rsidRPr="00197935">
        <w:rPr>
          <w:rFonts w:cs="Calibri Light"/>
          <w:szCs w:val="22"/>
        </w:rPr>
        <w:t xml:space="preserve"> (not retail </w:t>
      </w:r>
      <w:r w:rsidR="00BD32B0">
        <w:rPr>
          <w:rFonts w:cs="Calibri Light"/>
          <w:szCs w:val="22"/>
        </w:rPr>
        <w:t>clients</w:t>
      </w:r>
      <w:r w:rsidR="00902FF6" w:rsidRPr="00197935">
        <w:rPr>
          <w:rFonts w:cs="Calibri Light"/>
          <w:szCs w:val="22"/>
        </w:rPr>
        <w:t>), aiming</w:t>
      </w:r>
      <w:r w:rsidR="00902FF6">
        <w:rPr>
          <w:rFonts w:cs="Calibri Light"/>
          <w:szCs w:val="22"/>
        </w:rPr>
        <w:t xml:space="preserve"> </w:t>
      </w:r>
      <w:r w:rsidR="00902FF6" w:rsidRPr="00197935">
        <w:rPr>
          <w:rFonts w:cs="Calibri Light"/>
          <w:szCs w:val="22"/>
        </w:rPr>
        <w:t>to facilitate cross</w:t>
      </w:r>
      <w:r w:rsidR="00690A0D">
        <w:rPr>
          <w:rFonts w:cs="Calibri Light"/>
          <w:szCs w:val="22"/>
        </w:rPr>
        <w:noBreakHyphen/>
      </w:r>
      <w:r w:rsidR="00902FF6" w:rsidRPr="00197935">
        <w:rPr>
          <w:rFonts w:cs="Calibri Light"/>
          <w:szCs w:val="22"/>
        </w:rPr>
        <w:t>border financial transactions and enhance market efficiency.</w:t>
      </w:r>
    </w:p>
    <w:p w14:paraId="7EC388DA" w14:textId="42E581EC" w:rsidR="00902FF6" w:rsidRDefault="00221553" w:rsidP="00DA6B3A">
      <w:pPr>
        <w:rPr>
          <w:rFonts w:cs="Calibri Light"/>
          <w:szCs w:val="22"/>
        </w:rPr>
      </w:pPr>
      <w:r>
        <w:rPr>
          <w:rFonts w:cs="Calibri Light"/>
          <w:szCs w:val="22"/>
        </w:rPr>
        <w:t xml:space="preserve">The Government </w:t>
      </w:r>
      <w:r w:rsidR="00121777">
        <w:rPr>
          <w:rFonts w:cs="Calibri Light"/>
          <w:szCs w:val="22"/>
        </w:rPr>
        <w:t>has introduced legislation</w:t>
      </w:r>
      <w:r>
        <w:rPr>
          <w:rFonts w:cs="Calibri Light"/>
          <w:szCs w:val="22"/>
        </w:rPr>
        <w:t xml:space="preserve"> to </w:t>
      </w:r>
      <w:r w:rsidR="00121777">
        <w:rPr>
          <w:rFonts w:cs="Calibri Light"/>
          <w:szCs w:val="22"/>
        </w:rPr>
        <w:t>provide</w:t>
      </w:r>
      <w:r>
        <w:rPr>
          <w:rFonts w:cs="Calibri Light"/>
          <w:szCs w:val="22"/>
        </w:rPr>
        <w:t xml:space="preserve"> </w:t>
      </w:r>
      <w:r w:rsidR="00925F31">
        <w:rPr>
          <w:rFonts w:cs="Calibri Light"/>
          <w:szCs w:val="22"/>
        </w:rPr>
        <w:t>new exemptions for FFSPs</w:t>
      </w:r>
      <w:r w:rsidR="00D6228D">
        <w:rPr>
          <w:rFonts w:cs="Calibri Light"/>
          <w:szCs w:val="22"/>
        </w:rPr>
        <w:t xml:space="preserve">, </w:t>
      </w:r>
      <w:r w:rsidR="002A0CB6">
        <w:rPr>
          <w:rFonts w:cs="Calibri Light"/>
          <w:szCs w:val="22"/>
        </w:rPr>
        <w:t>including</w:t>
      </w:r>
      <w:r w:rsidR="00902FF6" w:rsidRPr="00197935">
        <w:rPr>
          <w:rFonts w:cs="Calibri Light"/>
          <w:szCs w:val="22"/>
        </w:rPr>
        <w:t>:</w:t>
      </w:r>
    </w:p>
    <w:p w14:paraId="208A2157" w14:textId="77777777" w:rsidR="00902FF6" w:rsidRDefault="00902FF6" w:rsidP="00197935">
      <w:pPr>
        <w:pStyle w:val="Bullet"/>
      </w:pPr>
      <w:r w:rsidRPr="00D43AED">
        <w:t>a comparable regulator exemption;</w:t>
      </w:r>
    </w:p>
    <w:p w14:paraId="067C4B51" w14:textId="77777777" w:rsidR="00D43AED" w:rsidRPr="00D43AED" w:rsidRDefault="00902FF6" w:rsidP="00197935">
      <w:pPr>
        <w:pStyle w:val="Bullet"/>
      </w:pPr>
      <w:r w:rsidRPr="00D43AED">
        <w:t>a professional investor exemption;</w:t>
      </w:r>
    </w:p>
    <w:p w14:paraId="5A391C9C" w14:textId="77777777" w:rsidR="00D43AED" w:rsidRPr="00D43AED" w:rsidRDefault="00902FF6" w:rsidP="00197935">
      <w:pPr>
        <w:pStyle w:val="Bullet"/>
      </w:pPr>
      <w:r w:rsidRPr="00D43AED">
        <w:t>a market maker exemption; and</w:t>
      </w:r>
    </w:p>
    <w:p w14:paraId="5CEA80F3" w14:textId="3D71C134" w:rsidR="00902FF6" w:rsidRPr="0052624B" w:rsidRDefault="00902FF6" w:rsidP="0052624B">
      <w:pPr>
        <w:pStyle w:val="Bullet"/>
      </w:pPr>
      <w:r w:rsidRPr="00D43AED">
        <w:t>an exemption from the fit</w:t>
      </w:r>
      <w:r w:rsidRPr="00D43AED">
        <w:noBreakHyphen/>
        <w:t>and</w:t>
      </w:r>
      <w:r w:rsidRPr="00D43AED">
        <w:noBreakHyphen/>
        <w:t>proper person assessment to fast</w:t>
      </w:r>
      <w:r w:rsidRPr="00D43AED">
        <w:noBreakHyphen/>
        <w:t xml:space="preserve">track the </w:t>
      </w:r>
      <w:r w:rsidR="00B36F16">
        <w:t>AFS</w:t>
      </w:r>
      <w:r w:rsidR="006F7B9A">
        <w:t>L</w:t>
      </w:r>
      <w:r w:rsidR="00B36F16">
        <w:t xml:space="preserve"> </w:t>
      </w:r>
      <w:r w:rsidRPr="00D43AED">
        <w:t>process for FFSPs authorised to provide financial services in a comparable regulato</w:t>
      </w:r>
      <w:r w:rsidRPr="00727B7B">
        <w:t>ry regime.</w:t>
      </w:r>
      <w:r w:rsidR="00E92F57">
        <w:rPr>
          <w:rStyle w:val="FootnoteReference"/>
        </w:rPr>
        <w:footnoteReference w:id="38"/>
      </w:r>
    </w:p>
    <w:p w14:paraId="2B61BF3F" w14:textId="7EFF27C6" w:rsidR="00902FF6" w:rsidRDefault="00902FF6" w:rsidP="00DA6B3A">
      <w:pPr>
        <w:rPr>
          <w:rFonts w:cs="Calibri Light"/>
          <w:szCs w:val="22"/>
        </w:rPr>
      </w:pPr>
      <w:r w:rsidRPr="00197935">
        <w:rPr>
          <w:rFonts w:cs="Calibri Light"/>
          <w:szCs w:val="22"/>
        </w:rPr>
        <w:t xml:space="preserve">These exemptions may be available to some </w:t>
      </w:r>
      <w:r w:rsidR="00F81FC1">
        <w:rPr>
          <w:rFonts w:cs="Calibri Light"/>
          <w:szCs w:val="22"/>
        </w:rPr>
        <w:t>PSPs</w:t>
      </w:r>
      <w:r w:rsidRPr="00197935">
        <w:rPr>
          <w:rFonts w:cs="Calibri Light"/>
          <w:szCs w:val="22"/>
        </w:rPr>
        <w:t>. </w:t>
      </w:r>
    </w:p>
    <w:p w14:paraId="0604B852" w14:textId="4C6C4DED" w:rsidR="00F81FC1" w:rsidRPr="00884584" w:rsidRDefault="00F81FC1" w:rsidP="00902FF6">
      <w:pPr>
        <w:pStyle w:val="NormalWeb"/>
      </w:pPr>
    </w:p>
    <w:p w14:paraId="52D599ED" w14:textId="55DA0F63" w:rsidR="003852A9" w:rsidRPr="0064667C" w:rsidRDefault="003852A9" w:rsidP="00FB3E2F">
      <w:pPr>
        <w:pStyle w:val="HHText"/>
        <w:rPr>
          <w:rFonts w:ascii="Calibri" w:hAnsi="Calibri" w:cs="Arial"/>
          <w:color w:val="2C384A"/>
          <w:kern w:val="32"/>
          <w:sz w:val="36"/>
          <w:szCs w:val="28"/>
        </w:rPr>
      </w:pPr>
      <w:r w:rsidRPr="0064667C">
        <w:br w:type="page"/>
      </w:r>
    </w:p>
    <w:p w14:paraId="108B8701" w14:textId="7A1C2418" w:rsidR="009158D2" w:rsidRDefault="00B76CA6" w:rsidP="00EE5400">
      <w:pPr>
        <w:pStyle w:val="Heading1"/>
        <w:jc w:val="both"/>
      </w:pPr>
      <w:bookmarkStart w:id="64" w:name="_Toc149230914"/>
      <w:bookmarkStart w:id="65" w:name="_Ref150175674"/>
      <w:bookmarkStart w:id="66" w:name="_Ref150351876"/>
      <w:bookmarkStart w:id="67" w:name="_Ref150782848"/>
      <w:bookmarkStart w:id="68" w:name="_Toc152847628"/>
      <w:r>
        <w:lastRenderedPageBreak/>
        <w:t>Excluded and exempted activities</w:t>
      </w:r>
      <w:bookmarkEnd w:id="64"/>
      <w:bookmarkEnd w:id="65"/>
      <w:bookmarkEnd w:id="66"/>
      <w:bookmarkEnd w:id="67"/>
      <w:bookmarkEnd w:id="68"/>
    </w:p>
    <w:p w14:paraId="2EAF5807" w14:textId="7E5125DC" w:rsidR="002B14BC" w:rsidRPr="00955927" w:rsidRDefault="00F62961" w:rsidP="00DA6B3A">
      <w:r>
        <w:t xml:space="preserve">This section discusses </w:t>
      </w:r>
      <w:r w:rsidR="0091642E">
        <w:t xml:space="preserve">existing exclusions </w:t>
      </w:r>
      <w:r w:rsidR="006212D0">
        <w:t xml:space="preserve">and exemptions </w:t>
      </w:r>
      <w:r w:rsidR="008C6C2B">
        <w:t>that are proposed to be removed or amended (</w:t>
      </w:r>
      <w:r w:rsidR="009D59BD">
        <w:rPr>
          <w:b/>
          <w:bCs/>
        </w:rPr>
        <w:t>S</w:t>
      </w:r>
      <w:r w:rsidR="009D59BD" w:rsidRPr="00566F2A">
        <w:rPr>
          <w:b/>
          <w:bCs/>
        </w:rPr>
        <w:t xml:space="preserve">ection </w:t>
      </w:r>
      <w:r w:rsidR="00104954">
        <w:rPr>
          <w:b/>
          <w:bCs/>
        </w:rPr>
        <w:t>3.1</w:t>
      </w:r>
      <w:r w:rsidR="0012724D">
        <w:t>)</w:t>
      </w:r>
      <w:r w:rsidR="00C62851">
        <w:t xml:space="preserve">, and proposes new </w:t>
      </w:r>
      <w:r w:rsidR="00E20D20">
        <w:t xml:space="preserve">exclusions </w:t>
      </w:r>
      <w:r w:rsidR="006212D0">
        <w:t xml:space="preserve">and exemptions </w:t>
      </w:r>
      <w:r w:rsidR="00E20D20">
        <w:t>for consideration</w:t>
      </w:r>
      <w:r w:rsidR="0012724D">
        <w:t xml:space="preserve"> (</w:t>
      </w:r>
      <w:r w:rsidR="009D59BD">
        <w:rPr>
          <w:b/>
          <w:bCs/>
        </w:rPr>
        <w:t>S</w:t>
      </w:r>
      <w:r w:rsidR="009D59BD" w:rsidRPr="00566F2A">
        <w:rPr>
          <w:b/>
          <w:bCs/>
        </w:rPr>
        <w:t xml:space="preserve">ection </w:t>
      </w:r>
      <w:r w:rsidR="00104954">
        <w:rPr>
          <w:b/>
          <w:bCs/>
        </w:rPr>
        <w:t>3.2</w:t>
      </w:r>
      <w:r w:rsidR="0012724D">
        <w:t>)</w:t>
      </w:r>
      <w:r w:rsidR="004B01ED">
        <w:t xml:space="preserve">. </w:t>
      </w:r>
      <w:r w:rsidR="009C77DD">
        <w:t xml:space="preserve">Proposed </w:t>
      </w:r>
      <w:r w:rsidR="006212D0">
        <w:t xml:space="preserve">exemptions </w:t>
      </w:r>
      <w:r w:rsidR="00150A98">
        <w:t>that relate to</w:t>
      </w:r>
      <w:r w:rsidR="00955927">
        <w:t xml:space="preserve"> specific </w:t>
      </w:r>
      <w:r w:rsidR="00BF232B">
        <w:t xml:space="preserve">financial services </w:t>
      </w:r>
      <w:r w:rsidR="00955927">
        <w:t xml:space="preserve">obligations are discussed </w:t>
      </w:r>
      <w:r>
        <w:t xml:space="preserve">in </w:t>
      </w:r>
      <w:r w:rsidR="009D59BD">
        <w:rPr>
          <w:b/>
          <w:bCs/>
        </w:rPr>
        <w:t>S</w:t>
      </w:r>
      <w:r w:rsidR="009D59BD" w:rsidRPr="007851DC">
        <w:rPr>
          <w:b/>
          <w:bCs/>
        </w:rPr>
        <w:t xml:space="preserve">ection </w:t>
      </w:r>
      <w:r w:rsidR="00104954">
        <w:rPr>
          <w:b/>
          <w:bCs/>
        </w:rPr>
        <w:t>5</w:t>
      </w:r>
      <w:r>
        <w:t>.</w:t>
      </w:r>
    </w:p>
    <w:p w14:paraId="5D9756BC" w14:textId="782CF48B" w:rsidR="002D18A3" w:rsidRDefault="00F922E3" w:rsidP="006377BA">
      <w:pPr>
        <w:pStyle w:val="Heading2"/>
      </w:pPr>
      <w:bookmarkStart w:id="69" w:name="_Toc149230915"/>
      <w:bookmarkStart w:id="70" w:name="_Ref150764902"/>
      <w:bookmarkStart w:id="71" w:name="_Ref152768446"/>
      <w:bookmarkStart w:id="72" w:name="_Toc152847629"/>
      <w:r>
        <w:t>E</w:t>
      </w:r>
      <w:r w:rsidR="007B26E3">
        <w:t xml:space="preserve">xclusions proposed to be </w:t>
      </w:r>
      <w:r w:rsidR="00D27D37">
        <w:t xml:space="preserve">removed or </w:t>
      </w:r>
      <w:r w:rsidR="007B26E3">
        <w:t>amended</w:t>
      </w:r>
      <w:bookmarkEnd w:id="69"/>
      <w:bookmarkEnd w:id="70"/>
      <w:bookmarkEnd w:id="71"/>
      <w:bookmarkEnd w:id="72"/>
    </w:p>
    <w:p w14:paraId="5F10C1BF" w14:textId="40B43C6B" w:rsidR="009158D2" w:rsidRDefault="00633B24" w:rsidP="00DA6B3A">
      <w:r>
        <w:t>The</w:t>
      </w:r>
      <w:r w:rsidR="002002D0">
        <w:t xml:space="preserve"> following</w:t>
      </w:r>
      <w:r w:rsidR="00FD6079">
        <w:t xml:space="preserve"> existing </w:t>
      </w:r>
      <w:r w:rsidR="003D0F8C">
        <w:t>exclusions</w:t>
      </w:r>
      <w:r w:rsidR="00FD6079">
        <w:t xml:space="preserve"> are proposed to be removed</w:t>
      </w:r>
      <w:r w:rsidR="00074DA2">
        <w:t xml:space="preserve"> or amended</w:t>
      </w:r>
      <w:r w:rsidR="00FD6079">
        <w:t>:</w:t>
      </w:r>
    </w:p>
    <w:p w14:paraId="214CEC71" w14:textId="46402771" w:rsidR="004A5285" w:rsidRDefault="00AC10DF" w:rsidP="0020029E">
      <w:pPr>
        <w:pStyle w:val="Bullet"/>
      </w:pPr>
      <w:r w:rsidRPr="00856CAC">
        <w:rPr>
          <w:b/>
        </w:rPr>
        <w:t xml:space="preserve">The </w:t>
      </w:r>
      <w:r w:rsidR="003D0F8C" w:rsidRPr="00856CAC">
        <w:rPr>
          <w:b/>
        </w:rPr>
        <w:t>exclusion for certain electronic funds transfers</w:t>
      </w:r>
      <w:r w:rsidR="00695FF5">
        <w:t>.</w:t>
      </w:r>
      <w:r w:rsidR="000C33EA">
        <w:rPr>
          <w:rStyle w:val="FootnoteReference"/>
        </w:rPr>
        <w:footnoteReference w:id="39"/>
      </w:r>
      <w:r w:rsidR="000C33EA">
        <w:t xml:space="preserve"> The removal of this exclusion is consistent with the intention to </w:t>
      </w:r>
      <w:r w:rsidR="006E4282">
        <w:t>capture</w:t>
      </w:r>
      <w:r w:rsidR="0037640E">
        <w:t xml:space="preserve"> </w:t>
      </w:r>
      <w:r w:rsidR="0020657E">
        <w:t>C</w:t>
      </w:r>
      <w:r w:rsidR="00F94A5A">
        <w:t>ross</w:t>
      </w:r>
      <w:r w:rsidR="00553996">
        <w:t xml:space="preserve">-border </w:t>
      </w:r>
      <w:r w:rsidR="0020657E">
        <w:t>T</w:t>
      </w:r>
      <w:r w:rsidR="00553996">
        <w:t xml:space="preserve">ransfer </w:t>
      </w:r>
      <w:r w:rsidR="0020657E">
        <w:t>S</w:t>
      </w:r>
      <w:r w:rsidR="00553996">
        <w:t>ervices</w:t>
      </w:r>
      <w:r w:rsidR="006E4282">
        <w:t xml:space="preserve"> within </w:t>
      </w:r>
      <w:r w:rsidR="00EB4084">
        <w:t xml:space="preserve">the </w:t>
      </w:r>
      <w:r w:rsidR="006E4282">
        <w:t>licensing framework</w:t>
      </w:r>
      <w:r w:rsidR="0037640E">
        <w:t>.</w:t>
      </w:r>
    </w:p>
    <w:p w14:paraId="06354B67" w14:textId="24A33F09" w:rsidR="0055463A" w:rsidRDefault="00E12F29" w:rsidP="0020029E">
      <w:pPr>
        <w:pStyle w:val="Bullet"/>
      </w:pPr>
      <w:r w:rsidRPr="00F946A3">
        <w:rPr>
          <w:b/>
        </w:rPr>
        <w:t xml:space="preserve">The </w:t>
      </w:r>
      <w:r w:rsidR="00D72AE1" w:rsidRPr="00F946A3">
        <w:rPr>
          <w:b/>
        </w:rPr>
        <w:t>ex</w:t>
      </w:r>
      <w:r w:rsidR="00591476" w:rsidRPr="00F946A3">
        <w:rPr>
          <w:b/>
        </w:rPr>
        <w:t xml:space="preserve">clusion for </w:t>
      </w:r>
      <w:r w:rsidR="00426CB9" w:rsidRPr="00F946A3">
        <w:rPr>
          <w:b/>
        </w:rPr>
        <w:t>where there is only one person to whom payments can be made by means of the facility</w:t>
      </w:r>
      <w:r w:rsidR="0040352A" w:rsidRPr="00F946A3">
        <w:rPr>
          <w:b/>
        </w:rPr>
        <w:t xml:space="preserve"> (</w:t>
      </w:r>
      <w:r w:rsidR="0040352A" w:rsidRPr="00B4581C">
        <w:rPr>
          <w:b/>
        </w:rPr>
        <w:t>single payee exclusion</w:t>
      </w:r>
      <w:r w:rsidR="0040352A" w:rsidRPr="00F946A3">
        <w:rPr>
          <w:b/>
        </w:rPr>
        <w:t>)</w:t>
      </w:r>
      <w:r w:rsidR="0040352A">
        <w:t>.</w:t>
      </w:r>
      <w:r w:rsidR="0040352A">
        <w:rPr>
          <w:rStyle w:val="FootnoteReference"/>
        </w:rPr>
        <w:footnoteReference w:id="40"/>
      </w:r>
      <w:r w:rsidR="00185351">
        <w:t xml:space="preserve"> This exclusion was intended to apply to </w:t>
      </w:r>
      <w:r w:rsidR="008519B9">
        <w:t>low-risk</w:t>
      </w:r>
      <w:r w:rsidR="0032387E">
        <w:t xml:space="preserve"> facilities such as store cards and phone cards</w:t>
      </w:r>
      <w:r w:rsidR="00197BA0">
        <w:t xml:space="preserve"> that only allow payment to a single person. However, it may </w:t>
      </w:r>
      <w:r w:rsidR="00B17BCC">
        <w:t>have been</w:t>
      </w:r>
      <w:r w:rsidR="00882B21">
        <w:t xml:space="preserve"> relied on for facilities that </w:t>
      </w:r>
      <w:r w:rsidR="002C2D0A">
        <w:t xml:space="preserve">support payments to multiple payees, although each payer is only able to </w:t>
      </w:r>
      <w:r w:rsidR="00EA07B7">
        <w:t>make payment</w:t>
      </w:r>
      <w:r w:rsidR="00ED41B2">
        <w:t>s</w:t>
      </w:r>
      <w:r w:rsidR="00EA07B7">
        <w:t xml:space="preserve"> to one person.</w:t>
      </w:r>
      <w:r w:rsidR="00835DAD">
        <w:t xml:space="preserve"> </w:t>
      </w:r>
      <w:r w:rsidR="00F97A7F">
        <w:t>S</w:t>
      </w:r>
      <w:r w:rsidR="003175BA">
        <w:t>ome single payee</w:t>
      </w:r>
      <w:r w:rsidR="000E3F78">
        <w:t xml:space="preserve"> facilities </w:t>
      </w:r>
      <w:r w:rsidR="00752B15">
        <w:t>may</w:t>
      </w:r>
      <w:r w:rsidR="000E3F78">
        <w:t xml:space="preserve"> meet</w:t>
      </w:r>
      <w:r w:rsidR="000D32E5">
        <w:t xml:space="preserve"> the limited network exclusion</w:t>
      </w:r>
      <w:r w:rsidR="002500D3">
        <w:t xml:space="preserve"> discussed below</w:t>
      </w:r>
      <w:r w:rsidR="000D32E5">
        <w:t>.</w:t>
      </w:r>
    </w:p>
    <w:p w14:paraId="42A2BFA4" w14:textId="582B4650" w:rsidR="00590546" w:rsidRDefault="001646F4" w:rsidP="00590546">
      <w:pPr>
        <w:pStyle w:val="Bullet"/>
      </w:pPr>
      <w:r w:rsidRPr="00F946A3">
        <w:rPr>
          <w:b/>
        </w:rPr>
        <w:t>The exclusion for</w:t>
      </w:r>
      <w:r>
        <w:t xml:space="preserve"> </w:t>
      </w:r>
      <w:r w:rsidR="002D6009" w:rsidRPr="002D6009">
        <w:rPr>
          <w:b/>
        </w:rPr>
        <w:t>a facility for making non-cash payments, if payments made using the facility will all be debited to a credit facility</w:t>
      </w:r>
      <w:r w:rsidR="00296397">
        <w:t>.</w:t>
      </w:r>
      <w:r w:rsidR="00351843">
        <w:rPr>
          <w:rStyle w:val="FootnoteReference"/>
        </w:rPr>
        <w:footnoteReference w:id="41"/>
      </w:r>
      <w:r w:rsidR="009868C7">
        <w:t xml:space="preserve"> </w:t>
      </w:r>
      <w:r w:rsidR="00131542">
        <w:t>T</w:t>
      </w:r>
      <w:r w:rsidR="00947A80">
        <w:t>h</w:t>
      </w:r>
      <w:r w:rsidR="003950FD">
        <w:t>is</w:t>
      </w:r>
      <w:r w:rsidR="00E91E0A">
        <w:t xml:space="preserve"> </w:t>
      </w:r>
      <w:r w:rsidR="009868C7">
        <w:t xml:space="preserve">exclusion </w:t>
      </w:r>
      <w:r w:rsidR="00947A80">
        <w:t>ought to be</w:t>
      </w:r>
      <w:r w:rsidR="00947A80" w:rsidDel="002C7D63">
        <w:t xml:space="preserve"> </w:t>
      </w:r>
      <w:r w:rsidR="002C7D63">
        <w:t xml:space="preserve">narrowed </w:t>
      </w:r>
      <w:r w:rsidR="00947A80">
        <w:t xml:space="preserve">as </w:t>
      </w:r>
      <w:r w:rsidR="000F698F">
        <w:t>it presents a potential loophole.</w:t>
      </w:r>
      <w:r w:rsidR="00025C8C">
        <w:t xml:space="preserve"> Although </w:t>
      </w:r>
      <w:r w:rsidR="00226A6A">
        <w:t>Australian Credit Licence (</w:t>
      </w:r>
      <w:r w:rsidR="00882A12">
        <w:t>ACL</w:t>
      </w:r>
      <w:r w:rsidR="00226A6A">
        <w:t>)</w:t>
      </w:r>
      <w:r w:rsidR="00882A12">
        <w:t xml:space="preserve"> holders are subject to </w:t>
      </w:r>
      <w:r w:rsidR="00927077">
        <w:t xml:space="preserve">obligations that are broadly consistent with AFSL obligations, these obligations only apply to </w:t>
      </w:r>
      <w:r w:rsidR="00BB5AF2">
        <w:t>‘credit activity’.</w:t>
      </w:r>
      <w:r w:rsidR="0075141E">
        <w:rPr>
          <w:rStyle w:val="FootnoteReference"/>
        </w:rPr>
        <w:footnoteReference w:id="42"/>
      </w:r>
      <w:r w:rsidR="001338D5">
        <w:t xml:space="preserve"> </w:t>
      </w:r>
      <w:r w:rsidR="00E7472A">
        <w:t xml:space="preserve">Accordingly, </w:t>
      </w:r>
      <w:r w:rsidR="000A4E00">
        <w:t>these obligations</w:t>
      </w:r>
      <w:r w:rsidR="00E7472A">
        <w:t xml:space="preserve"> m</w:t>
      </w:r>
      <w:r w:rsidR="00AF7D7A">
        <w:t xml:space="preserve">ay not provide protection for all payments </w:t>
      </w:r>
      <w:r w:rsidR="00AB0795">
        <w:t>that fall within this exclusion.</w:t>
      </w:r>
      <w:r w:rsidR="00986F34">
        <w:t xml:space="preserve"> </w:t>
      </w:r>
      <w:r w:rsidR="00DF296C">
        <w:t>Additionally</w:t>
      </w:r>
      <w:r w:rsidR="00986F34">
        <w:t xml:space="preserve">, the exclusion </w:t>
      </w:r>
      <w:r w:rsidR="00F525F4">
        <w:t>may be able to</w:t>
      </w:r>
      <w:r w:rsidR="00986F34">
        <w:t xml:space="preserve"> be relied upon by entities that are not regulated as a credit </w:t>
      </w:r>
      <w:r w:rsidR="0040621B">
        <w:t>facility</w:t>
      </w:r>
      <w:r w:rsidR="000C46F9">
        <w:t xml:space="preserve">. </w:t>
      </w:r>
      <w:r w:rsidR="00131542">
        <w:t xml:space="preserve">Importantly, </w:t>
      </w:r>
      <w:r w:rsidR="00F33201">
        <w:t>the</w:t>
      </w:r>
      <w:r w:rsidR="00131542">
        <w:t xml:space="preserve"> separate exclusion for credit facilities</w:t>
      </w:r>
      <w:r w:rsidR="009E41AA">
        <w:t xml:space="preserve"> would remain</w:t>
      </w:r>
      <w:r w:rsidR="002A4F33">
        <w:t>,</w:t>
      </w:r>
      <w:r w:rsidR="00131542">
        <w:t xml:space="preserve"> in recognition </w:t>
      </w:r>
      <w:r w:rsidR="00804709">
        <w:t xml:space="preserve">that </w:t>
      </w:r>
      <w:r w:rsidR="008D4B63">
        <w:t>the obligations that apply to ACL holders are</w:t>
      </w:r>
      <w:r w:rsidR="00804709">
        <w:t xml:space="preserve"> broadly consistent with </w:t>
      </w:r>
      <w:r w:rsidR="00AA3555">
        <w:t>AFSL</w:t>
      </w:r>
      <w:r w:rsidR="00804709">
        <w:t xml:space="preserve"> obligations</w:t>
      </w:r>
      <w:r w:rsidR="00131542">
        <w:t>.</w:t>
      </w:r>
      <w:r w:rsidR="00590546">
        <w:t xml:space="preserve"> Credit facilities are excluded from regulation under the financial services regime on the basis that consumer credit is regulated under credit laws, and subject to general consumer protection provisions in the </w:t>
      </w:r>
      <w:r w:rsidR="00BF4131" w:rsidRPr="002B4581">
        <w:rPr>
          <w:i/>
          <w:iCs/>
        </w:rPr>
        <w:t>Australian Securities and Investments Commi</w:t>
      </w:r>
      <w:r w:rsidR="00B16895" w:rsidRPr="002B4581">
        <w:rPr>
          <w:i/>
          <w:iCs/>
        </w:rPr>
        <w:t>ssion</w:t>
      </w:r>
      <w:r w:rsidR="00590546" w:rsidRPr="002B4581">
        <w:rPr>
          <w:i/>
          <w:iCs/>
        </w:rPr>
        <w:t xml:space="preserve"> Act</w:t>
      </w:r>
      <w:r w:rsidR="002B4581" w:rsidRPr="002B4581">
        <w:rPr>
          <w:i/>
          <w:iCs/>
        </w:rPr>
        <w:t xml:space="preserve"> 2001</w:t>
      </w:r>
      <w:r w:rsidR="002B4581">
        <w:t xml:space="preserve"> (Cth)</w:t>
      </w:r>
      <w:r w:rsidR="002A3E13">
        <w:t xml:space="preserve"> (</w:t>
      </w:r>
      <w:r w:rsidR="002A3E13" w:rsidRPr="002B4581">
        <w:rPr>
          <w:i/>
          <w:iCs/>
        </w:rPr>
        <w:t>ASIC Act</w:t>
      </w:r>
      <w:r w:rsidR="002A3E13">
        <w:t>)</w:t>
      </w:r>
      <w:r w:rsidR="00590546">
        <w:t>.</w:t>
      </w:r>
      <w:r w:rsidR="00590546">
        <w:rPr>
          <w:rStyle w:val="FootnoteReference"/>
        </w:rPr>
        <w:footnoteReference w:id="43"/>
      </w:r>
      <w:r w:rsidR="0040028C">
        <w:t xml:space="preserve"> Importantly, </w:t>
      </w:r>
      <w:r w:rsidR="00ED75A9">
        <w:t xml:space="preserve">ACL holders </w:t>
      </w:r>
      <w:r w:rsidR="002D4FA6">
        <w:t xml:space="preserve">also </w:t>
      </w:r>
      <w:r w:rsidR="00ED75A9">
        <w:t xml:space="preserve">providing payment services </w:t>
      </w:r>
      <w:r w:rsidR="005125C6">
        <w:t xml:space="preserve">that do not constitute </w:t>
      </w:r>
      <w:r w:rsidR="002D4FA6">
        <w:t xml:space="preserve">a </w:t>
      </w:r>
      <w:r w:rsidR="005125C6">
        <w:t xml:space="preserve">‘credit </w:t>
      </w:r>
      <w:r w:rsidR="002D4FA6">
        <w:t>facility’</w:t>
      </w:r>
      <w:r w:rsidR="00042C2B">
        <w:t xml:space="preserve"> </w:t>
      </w:r>
      <w:r w:rsidR="009D0EAA">
        <w:t>(or meet another exemption/exclusion)</w:t>
      </w:r>
      <w:r w:rsidR="005125C6">
        <w:t xml:space="preserve"> </w:t>
      </w:r>
      <w:r w:rsidR="003C767F">
        <w:t xml:space="preserve">would </w:t>
      </w:r>
      <w:r w:rsidR="0085609D">
        <w:t xml:space="preserve">generally </w:t>
      </w:r>
      <w:r w:rsidR="00084C48">
        <w:t xml:space="preserve">require </w:t>
      </w:r>
      <w:r w:rsidR="0085609D">
        <w:t>an AFSL for those activities.</w:t>
      </w:r>
      <w:r w:rsidR="00042C2B">
        <w:t xml:space="preserve"> </w:t>
      </w:r>
    </w:p>
    <w:p w14:paraId="5EB2294B" w14:textId="378D3C4A" w:rsidR="00805601" w:rsidRDefault="00805601" w:rsidP="0020029E">
      <w:pPr>
        <w:pStyle w:val="Bullet"/>
      </w:pPr>
      <w:r w:rsidRPr="00F946A3">
        <w:rPr>
          <w:b/>
        </w:rPr>
        <w:t>The</w:t>
      </w:r>
      <w:r>
        <w:t xml:space="preserve"> </w:t>
      </w:r>
      <w:r w:rsidRPr="00437D22">
        <w:rPr>
          <w:b/>
        </w:rPr>
        <w:t>exclusion for a facility that is a designated payment system</w:t>
      </w:r>
      <w:r>
        <w:t xml:space="preserve"> </w:t>
      </w:r>
      <w:r w:rsidR="0046175A" w:rsidRPr="00F946A3">
        <w:rPr>
          <w:b/>
        </w:rPr>
        <w:t>under</w:t>
      </w:r>
      <w:r w:rsidRPr="00F946A3">
        <w:rPr>
          <w:b/>
        </w:rPr>
        <w:t xml:space="preserve"> the PSRA</w:t>
      </w:r>
      <w:r>
        <w:t>.</w:t>
      </w:r>
      <w:r>
        <w:rPr>
          <w:rStyle w:val="FootnoteReference"/>
        </w:rPr>
        <w:footnoteReference w:id="44"/>
      </w:r>
      <w:r>
        <w:t xml:space="preserve"> The current exclusion is no longer appropriate given the </w:t>
      </w:r>
      <w:r w:rsidR="00024B7E">
        <w:t xml:space="preserve">proposed expansion </w:t>
      </w:r>
      <w:r w:rsidR="00B63129">
        <w:t xml:space="preserve">of the definition of ‘payment system’ and consequential broadening </w:t>
      </w:r>
      <w:r w:rsidR="00BE4299">
        <w:t>of</w:t>
      </w:r>
      <w:r w:rsidR="00B63129">
        <w:t xml:space="preserve"> systems and arrangements that may be design</w:t>
      </w:r>
      <w:r w:rsidR="002768E3">
        <w:t xml:space="preserve">ated by the RBA or </w:t>
      </w:r>
      <w:r w:rsidR="0004348C">
        <w:t xml:space="preserve">the </w:t>
      </w:r>
      <w:r w:rsidR="002768E3">
        <w:t xml:space="preserve">Minister under </w:t>
      </w:r>
      <w:r w:rsidR="0004348C">
        <w:t xml:space="preserve">the </w:t>
      </w:r>
      <w:r w:rsidR="002768E3">
        <w:t>PSRA</w:t>
      </w:r>
      <w:r>
        <w:t xml:space="preserve">. Further, designation </w:t>
      </w:r>
      <w:r w:rsidR="006852E0">
        <w:t xml:space="preserve">and the imposition of standards or access regimes </w:t>
      </w:r>
      <w:r>
        <w:t xml:space="preserve">under the PSRA </w:t>
      </w:r>
      <w:r w:rsidR="00B33DF1">
        <w:t>is not intended to achieve</w:t>
      </w:r>
      <w:r w:rsidR="00BB156C">
        <w:t>,</w:t>
      </w:r>
      <w:r w:rsidR="00B33DF1">
        <w:t xml:space="preserve"> and </w:t>
      </w:r>
      <w:r>
        <w:t>does not involve</w:t>
      </w:r>
      <w:r w:rsidR="00BB156C">
        <w:t>,</w:t>
      </w:r>
      <w:r>
        <w:t xml:space="preserve"> regulation </w:t>
      </w:r>
      <w:r w:rsidR="001E0891">
        <w:lastRenderedPageBreak/>
        <w:t>equivalent</w:t>
      </w:r>
      <w:r>
        <w:t xml:space="preserve"> to licensing. This exclusion is proposed to be</w:t>
      </w:r>
      <w:r w:rsidDel="005E2963">
        <w:t xml:space="preserve"> </w:t>
      </w:r>
      <w:r w:rsidR="005E2963">
        <w:t>amended</w:t>
      </w:r>
      <w:r>
        <w:t xml:space="preserve"> </w:t>
      </w:r>
      <w:r w:rsidR="00BC4582" w:rsidRPr="00A22733">
        <w:t>as part of the PSRA reforms</w:t>
      </w:r>
      <w:r>
        <w:t xml:space="preserve"> (see below). </w:t>
      </w:r>
    </w:p>
    <w:p w14:paraId="2C568D08" w14:textId="69EEEBE3" w:rsidR="00FF390A" w:rsidRDefault="00FB0BA9" w:rsidP="00F331B6">
      <w:r>
        <w:t xml:space="preserve">ASIC has also provided individual exemptions that cover specified entities and non-cash payment facilities. </w:t>
      </w:r>
      <w:r w:rsidR="005A6D9D">
        <w:t>These</w:t>
      </w:r>
      <w:r>
        <w:t xml:space="preserve"> exemptions may </w:t>
      </w:r>
      <w:r w:rsidR="005A6D9D">
        <w:t>be reconsidered by ASIC</w:t>
      </w:r>
      <w:r>
        <w:t xml:space="preserve"> if they are not consistent with the wider range of payment functions that are </w:t>
      </w:r>
      <w:r w:rsidR="00B9111D">
        <w:t xml:space="preserve">intended </w:t>
      </w:r>
      <w:r>
        <w:t xml:space="preserve">to be covered by the licensing regime. </w:t>
      </w:r>
    </w:p>
    <w:tbl>
      <w:tblPr>
        <w:tblStyle w:val="TableGrid"/>
        <w:tblW w:w="0" w:type="auto"/>
        <w:tblLook w:val="04A0" w:firstRow="1" w:lastRow="0" w:firstColumn="1" w:lastColumn="0" w:noHBand="0" w:noVBand="1"/>
      </w:tblPr>
      <w:tblGrid>
        <w:gridCol w:w="9070"/>
      </w:tblGrid>
      <w:tr w:rsidR="00FF390A" w14:paraId="1EB0C41D"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0F6D2F7F" w14:textId="5A478C2F" w:rsidR="00FF390A" w:rsidRPr="00EB234E" w:rsidRDefault="00FF390A" w:rsidP="00E42AA2">
            <w:pPr>
              <w:spacing w:before="96" w:after="96"/>
              <w:rPr>
                <w:b w:val="0"/>
                <w:u w:val="single"/>
              </w:rPr>
            </w:pPr>
            <w:r w:rsidRPr="00EB234E">
              <w:rPr>
                <w:u w:val="single"/>
              </w:rPr>
              <w:t>Consultation question</w:t>
            </w:r>
          </w:p>
          <w:p w14:paraId="73EE794F" w14:textId="6742FE97" w:rsidR="00FF390A" w:rsidRPr="00FF390A" w:rsidRDefault="00FF390A" w:rsidP="001D123F">
            <w:pPr>
              <w:pStyle w:val="Consultationquestions"/>
              <w:numPr>
                <w:ilvl w:val="0"/>
                <w:numId w:val="100"/>
              </w:numPr>
            </w:pPr>
            <w:r>
              <w:t xml:space="preserve">Is </w:t>
            </w:r>
            <w:r w:rsidRPr="00EB234E">
              <w:rPr>
                <w:rStyle w:val="cf01"/>
                <w:rFonts w:asciiTheme="minorHAnsi" w:hAnsiTheme="minorHAnsi" w:cstheme="minorBidi"/>
                <w:sz w:val="20"/>
                <w:szCs w:val="22"/>
              </w:rPr>
              <w:t>the scope of the exclusion for payments debited to a credit facility in section 765A(1)(h)(ii) of the</w:t>
            </w:r>
            <w:r w:rsidRPr="00747840">
              <w:rPr>
                <w:rStyle w:val="cf01"/>
                <w:rFonts w:asciiTheme="minorHAnsi" w:hAnsiTheme="minorHAnsi" w:cstheme="minorBidi"/>
                <w:sz w:val="20"/>
                <w:szCs w:val="22"/>
              </w:rPr>
              <w:t xml:space="preserve"> </w:t>
            </w:r>
            <w:r w:rsidR="00037E9C" w:rsidRPr="00037E9C">
              <w:rPr>
                <w:rStyle w:val="cf01"/>
                <w:rFonts w:asciiTheme="minorHAnsi" w:hAnsiTheme="minorHAnsi" w:cstheme="minorBidi"/>
                <w:i/>
                <w:iCs/>
                <w:sz w:val="20"/>
                <w:szCs w:val="22"/>
              </w:rPr>
              <w:t xml:space="preserve">Corporations </w:t>
            </w:r>
            <w:r w:rsidRPr="00037E9C">
              <w:rPr>
                <w:rStyle w:val="cf01"/>
                <w:rFonts w:asciiTheme="minorHAnsi" w:hAnsiTheme="minorHAnsi" w:cstheme="minorBidi"/>
                <w:i/>
                <w:sz w:val="20"/>
                <w:szCs w:val="22"/>
              </w:rPr>
              <w:t>Act</w:t>
            </w:r>
            <w:r w:rsidRPr="00EB234E">
              <w:rPr>
                <w:rStyle w:val="cf01"/>
                <w:rFonts w:asciiTheme="minorHAnsi" w:hAnsiTheme="minorHAnsi" w:cstheme="minorBidi"/>
                <w:sz w:val="20"/>
                <w:szCs w:val="22"/>
              </w:rPr>
              <w:t xml:space="preserve"> appropriate?</w:t>
            </w:r>
          </w:p>
        </w:tc>
      </w:tr>
    </w:tbl>
    <w:p w14:paraId="7F303AC9" w14:textId="5CEB1A79" w:rsidR="009216A0" w:rsidRDefault="009216A0" w:rsidP="00437D22">
      <w:pPr>
        <w:pStyle w:val="Heading4"/>
      </w:pPr>
      <w:r>
        <w:t>Unlicensed product issuers</w:t>
      </w:r>
    </w:p>
    <w:p w14:paraId="37B04679" w14:textId="184AAA97" w:rsidR="00E00E2A" w:rsidRDefault="00F06CE3" w:rsidP="00F331B6">
      <w:r>
        <w:t>U</w:t>
      </w:r>
      <w:r w:rsidR="00895BAB">
        <w:t>nlicensed product issue</w:t>
      </w:r>
      <w:r w:rsidR="006205CE">
        <w:t>r</w:t>
      </w:r>
      <w:r w:rsidR="00895BAB">
        <w:t xml:space="preserve">s </w:t>
      </w:r>
      <w:r w:rsidR="00313D40">
        <w:t xml:space="preserve">are able to </w:t>
      </w:r>
      <w:r w:rsidR="00895BAB">
        <w:t>issue financial products</w:t>
      </w:r>
      <w:r w:rsidR="00860374">
        <w:t xml:space="preserve"> </w:t>
      </w:r>
      <w:r w:rsidR="00E900DC">
        <w:t>by relying on a licensed intermediary</w:t>
      </w:r>
      <w:r w:rsidR="00313D40">
        <w:t>.</w:t>
      </w:r>
      <w:r w:rsidR="00EE6DB4">
        <w:rPr>
          <w:rStyle w:val="FootnoteReference"/>
        </w:rPr>
        <w:footnoteReference w:id="45"/>
      </w:r>
      <w:r w:rsidR="00D4324B">
        <w:t xml:space="preserve"> </w:t>
      </w:r>
      <w:r w:rsidR="009216A0">
        <w:t>In addition, a</w:t>
      </w:r>
      <w:r w:rsidR="00770099">
        <w:t xml:space="preserve"> number of exemptions operate for unlicensed foreign product issuers that have arrangements with licensees in Australia to distribute products to Australian </w:t>
      </w:r>
      <w:r w:rsidR="005220C7">
        <w:t>c</w:t>
      </w:r>
      <w:r w:rsidR="00770099">
        <w:t>lients.</w:t>
      </w:r>
      <w:r w:rsidR="005220C7">
        <w:t xml:space="preserve"> </w:t>
      </w:r>
      <w:r w:rsidR="00472ABF">
        <w:t>They include</w:t>
      </w:r>
      <w:r w:rsidR="005220C7">
        <w:t>:</w:t>
      </w:r>
      <w:r w:rsidR="00EA049A">
        <w:t xml:space="preserve"> </w:t>
      </w:r>
    </w:p>
    <w:p w14:paraId="2892F74D" w14:textId="5A50C343" w:rsidR="00EA049A" w:rsidRDefault="00EA049A" w:rsidP="00796107">
      <w:pPr>
        <w:pStyle w:val="Bullet"/>
      </w:pPr>
      <w:r>
        <w:t>persons who deal in a financial product from outside the jurisdiction</w:t>
      </w:r>
      <w:r w:rsidR="00796107">
        <w:t>;</w:t>
      </w:r>
      <w:r w:rsidR="004051E1" w:rsidRPr="005A6D9E">
        <w:rPr>
          <w:vertAlign w:val="superscript"/>
        </w:rPr>
        <w:footnoteReference w:id="46"/>
      </w:r>
      <w:r w:rsidRPr="00796107">
        <w:t xml:space="preserve"> </w:t>
      </w:r>
      <w:r w:rsidR="00BC6BDE">
        <w:t>and</w:t>
      </w:r>
    </w:p>
    <w:p w14:paraId="27CFBCA2" w14:textId="67C20A92" w:rsidR="004019AB" w:rsidDel="002432F9" w:rsidRDefault="00EA049A" w:rsidP="005220C7">
      <w:pPr>
        <w:pStyle w:val="Bullet"/>
      </w:pPr>
      <w:r>
        <w:t>person</w:t>
      </w:r>
      <w:r w:rsidR="00575424">
        <w:t>s</w:t>
      </w:r>
      <w:r>
        <w:t xml:space="preserve"> who provide financial product advice, make a market or provide a custodial or depository service from outside the jurisdiction</w:t>
      </w:r>
      <w:r w:rsidR="00BC6BDE">
        <w:t>.</w:t>
      </w:r>
      <w:r w:rsidR="004051E1">
        <w:rPr>
          <w:rStyle w:val="FootnoteReference"/>
        </w:rPr>
        <w:footnoteReference w:id="47"/>
      </w:r>
    </w:p>
    <w:p w14:paraId="31B4944D" w14:textId="2AFC6E29" w:rsidR="005B706B" w:rsidRDefault="000675AA" w:rsidP="00F331B6">
      <w:r>
        <w:t>Feedback</w:t>
      </w:r>
      <w:r w:rsidR="005B706B">
        <w:t xml:space="preserve"> is sought on whether: </w:t>
      </w:r>
    </w:p>
    <w:p w14:paraId="23C73112" w14:textId="6C72819B" w:rsidR="00C56987" w:rsidRDefault="00C56987" w:rsidP="00C56987">
      <w:pPr>
        <w:pStyle w:val="Bullet"/>
      </w:pPr>
      <w:r>
        <w:t>Reliance on these exemptions should be restricted</w:t>
      </w:r>
      <w:r w:rsidR="00CE78EF">
        <w:t xml:space="preserve"> </w:t>
      </w:r>
      <w:r w:rsidR="00CD3E93">
        <w:t xml:space="preserve">for </w:t>
      </w:r>
      <w:r>
        <w:t xml:space="preserve">SVFs, Payment Facilitation Services and Cross-border </w:t>
      </w:r>
      <w:r w:rsidR="00065908">
        <w:t>Transfer Services</w:t>
      </w:r>
      <w:r w:rsidR="0057351B">
        <w:t xml:space="preserve"> (</w:t>
      </w:r>
      <w:r w:rsidR="0057351B" w:rsidRPr="00AB7086">
        <w:rPr>
          <w:bCs/>
        </w:rPr>
        <w:t>the preferred approach</w:t>
      </w:r>
      <w:r w:rsidR="0057351B" w:rsidRPr="001C5E7D">
        <w:t>)</w:t>
      </w:r>
      <w:r>
        <w:t>.</w:t>
      </w:r>
      <w:r w:rsidRPr="00AE5E69">
        <w:t xml:space="preserve"> </w:t>
      </w:r>
      <w:r w:rsidR="00CD3E93">
        <w:t>This means that</w:t>
      </w:r>
      <w:r>
        <w:t xml:space="preserve"> entities </w:t>
      </w:r>
      <w:r w:rsidR="00AC36D8">
        <w:t>performing these functions</w:t>
      </w:r>
      <w:r>
        <w:t xml:space="preserve"> would be required to be licensed</w:t>
      </w:r>
      <w:r w:rsidR="004F5011">
        <w:t xml:space="preserve">, </w:t>
      </w:r>
      <w:r>
        <w:t>and comply with client money obligations, even if they use a licensed intermediary; or</w:t>
      </w:r>
    </w:p>
    <w:p w14:paraId="3E5DD246" w14:textId="0AE9ED30" w:rsidR="00FF390A" w:rsidRDefault="008B6166" w:rsidP="009B2C5C">
      <w:pPr>
        <w:pStyle w:val="Bullet"/>
      </w:pPr>
      <w:r>
        <w:t>These exemptions should remain available</w:t>
      </w:r>
      <w:r w:rsidR="003C5050">
        <w:t xml:space="preserve"> for all PSPs, but c</w:t>
      </w:r>
      <w:r w:rsidR="005B706B">
        <w:t xml:space="preserve">lient money </w:t>
      </w:r>
      <w:r w:rsidR="00B4325E">
        <w:t xml:space="preserve">obligations </w:t>
      </w:r>
      <w:r w:rsidR="005B706B" w:rsidDel="003C5050">
        <w:t xml:space="preserve">should be extended to </w:t>
      </w:r>
      <w:r w:rsidR="005B706B">
        <w:t>unlicensed product issuers to protect the safety of customers’ funds</w:t>
      </w:r>
      <w:r w:rsidR="00432A63">
        <w:t>.</w:t>
      </w:r>
      <w:r w:rsidR="00843FCF">
        <w:t xml:space="preserve"> </w:t>
      </w:r>
      <w:r w:rsidR="008C4725">
        <w:t>However, t</w:t>
      </w:r>
      <w:r w:rsidR="00515420">
        <w:t xml:space="preserve">he application of client money obligations to unlicensed product issuers </w:t>
      </w:r>
      <w:r w:rsidR="00D664DD">
        <w:t xml:space="preserve">would </w:t>
      </w:r>
      <w:r w:rsidR="007423DA">
        <w:t>likely</w:t>
      </w:r>
      <w:r w:rsidR="00FF3E22">
        <w:t xml:space="preserve"> be complex to implement and enforce. </w:t>
      </w:r>
      <w:r w:rsidR="00472ABF">
        <w:t>To</w:t>
      </w:r>
      <w:r w:rsidR="00A32F95">
        <w:t xml:space="preserve"> ensure enforceability of client money obligations, it may be necessary to subject </w:t>
      </w:r>
      <w:r w:rsidR="00907EC1">
        <w:t xml:space="preserve">unlicensed product issuers </w:t>
      </w:r>
      <w:r w:rsidR="0067512F">
        <w:t>to a</w:t>
      </w:r>
      <w:r w:rsidR="00496E55">
        <w:t>n ASIC</w:t>
      </w:r>
      <w:r w:rsidR="0067512F">
        <w:t xml:space="preserve"> notification requirement</w:t>
      </w:r>
      <w:r w:rsidR="00E32C95">
        <w:t>,</w:t>
      </w:r>
      <w:r w:rsidR="00F81334">
        <w:t xml:space="preserve"> </w:t>
      </w:r>
      <w:r w:rsidR="0067512F">
        <w:t xml:space="preserve">if they seek to rely on </w:t>
      </w:r>
      <w:r w:rsidR="009B20CA">
        <w:t>the above exemptions</w:t>
      </w:r>
      <w:r w:rsidR="00A32F95">
        <w:t xml:space="preserve">. Unlicensed product issuers </w:t>
      </w:r>
      <w:r w:rsidR="00265F36">
        <w:t>may also</w:t>
      </w:r>
      <w:r w:rsidR="00691B69">
        <w:t xml:space="preserve"> be </w:t>
      </w:r>
      <w:r w:rsidR="00422DC9">
        <w:t>required</w:t>
      </w:r>
      <w:r w:rsidR="00265F36">
        <w:t>, as a condition of remaining unlicensed,</w:t>
      </w:r>
      <w:r w:rsidR="00422DC9">
        <w:t xml:space="preserve"> to adhere </w:t>
      </w:r>
      <w:r w:rsidR="00691B69">
        <w:t xml:space="preserve">to </w:t>
      </w:r>
      <w:r w:rsidR="008938DD">
        <w:t>further</w:t>
      </w:r>
      <w:r w:rsidR="004445D2">
        <w:t xml:space="preserve"> obligations such as</w:t>
      </w:r>
      <w:r w:rsidR="00691B69">
        <w:t xml:space="preserve"> client money reporting rules</w:t>
      </w:r>
      <w:r w:rsidR="009B20CA">
        <w:t xml:space="preserve">, </w:t>
      </w:r>
      <w:r w:rsidR="00691B69">
        <w:t xml:space="preserve">annual audit report </w:t>
      </w:r>
      <w:r w:rsidR="00DA767C">
        <w:t>requirements</w:t>
      </w:r>
      <w:r w:rsidR="009B20CA">
        <w:t xml:space="preserve"> and ASIC’s information </w:t>
      </w:r>
      <w:r w:rsidR="009F32F1">
        <w:t>request</w:t>
      </w:r>
      <w:r w:rsidR="009B20CA">
        <w:t xml:space="preserve"> powers</w:t>
      </w:r>
      <w:r w:rsidR="001055AC">
        <w:t>.</w:t>
      </w:r>
      <w:r w:rsidR="00C70F66">
        <w:rPr>
          <w:rStyle w:val="FootnoteReference"/>
        </w:rPr>
        <w:footnoteReference w:id="48"/>
      </w:r>
    </w:p>
    <w:tbl>
      <w:tblPr>
        <w:tblStyle w:val="TableGrid"/>
        <w:tblW w:w="0" w:type="auto"/>
        <w:tblLook w:val="04A0" w:firstRow="1" w:lastRow="0" w:firstColumn="1" w:lastColumn="0" w:noHBand="0" w:noVBand="1"/>
      </w:tblPr>
      <w:tblGrid>
        <w:gridCol w:w="9070"/>
      </w:tblGrid>
      <w:tr w:rsidR="00166E38" w14:paraId="61B1D9B7"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66044832" w14:textId="6C2E2180" w:rsidR="00166E38" w:rsidRPr="00EB234E" w:rsidRDefault="00166E38" w:rsidP="00E42AA2">
            <w:pPr>
              <w:spacing w:before="96" w:after="96"/>
              <w:rPr>
                <w:b w:val="0"/>
                <w:u w:val="single"/>
              </w:rPr>
            </w:pPr>
            <w:r w:rsidRPr="00EB234E">
              <w:rPr>
                <w:u w:val="single"/>
              </w:rPr>
              <w:t>Consultation question</w:t>
            </w:r>
          </w:p>
          <w:p w14:paraId="7432F36F" w14:textId="1255620C" w:rsidR="003D7A42" w:rsidRPr="0081385C" w:rsidRDefault="00BD6B3D" w:rsidP="001D123F">
            <w:pPr>
              <w:pStyle w:val="Consultationquestions"/>
              <w:numPr>
                <w:ilvl w:val="0"/>
                <w:numId w:val="100"/>
              </w:numPr>
            </w:pPr>
            <w:r>
              <w:t xml:space="preserve">Should existing exemptions for unlicensed product issuers be restricted for </w:t>
            </w:r>
            <w:r w:rsidR="007423DA">
              <w:t>certain payment functions?</w:t>
            </w:r>
          </w:p>
        </w:tc>
      </w:tr>
    </w:tbl>
    <w:p w14:paraId="5E1404E3" w14:textId="772C26CB" w:rsidR="00E02500" w:rsidRDefault="00B76CA6" w:rsidP="006377BA">
      <w:pPr>
        <w:pStyle w:val="Heading2"/>
      </w:pPr>
      <w:bookmarkStart w:id="73" w:name="_Toc149230918"/>
      <w:bookmarkStart w:id="74" w:name="_Ref150764946"/>
      <w:bookmarkStart w:id="75" w:name="_Toc152847630"/>
      <w:r>
        <w:lastRenderedPageBreak/>
        <w:t>New e</w:t>
      </w:r>
      <w:r w:rsidR="002D18A3">
        <w:t>xclusions</w:t>
      </w:r>
      <w:bookmarkEnd w:id="73"/>
      <w:bookmarkEnd w:id="74"/>
      <w:r w:rsidR="008C2E7B">
        <w:t xml:space="preserve"> and exemptions</w:t>
      </w:r>
      <w:bookmarkEnd w:id="75"/>
    </w:p>
    <w:p w14:paraId="765E6C16" w14:textId="68D97D7F" w:rsidR="004E2206" w:rsidRDefault="00483199" w:rsidP="00B73304">
      <w:r>
        <w:t xml:space="preserve">The following section discusses </w:t>
      </w:r>
      <w:r w:rsidR="00C40E73">
        <w:t>a number of potential</w:t>
      </w:r>
      <w:r>
        <w:t xml:space="preserve"> new exclusions </w:t>
      </w:r>
      <w:r w:rsidR="008C2E7B">
        <w:t xml:space="preserve">and exemptions </w:t>
      </w:r>
      <w:r>
        <w:t>that may be appropriate</w:t>
      </w:r>
      <w:r w:rsidR="00C40E73">
        <w:t>.</w:t>
      </w:r>
      <w:r w:rsidR="00FD220C">
        <w:t xml:space="preserve"> </w:t>
      </w:r>
      <w:r w:rsidR="00F35503">
        <w:t>These exclusions</w:t>
      </w:r>
      <w:r w:rsidR="008C2E7B">
        <w:t xml:space="preserve"> and exemptions</w:t>
      </w:r>
      <w:r w:rsidR="00F35503">
        <w:t xml:space="preserve"> are intended to apply to </w:t>
      </w:r>
      <w:r w:rsidR="004E2206">
        <w:t xml:space="preserve">payment functions regulated as a </w:t>
      </w:r>
      <w:r w:rsidR="00F35503">
        <w:t>financial product</w:t>
      </w:r>
      <w:r w:rsidR="00003A21">
        <w:t>,</w:t>
      </w:r>
      <w:r w:rsidR="00F35503">
        <w:t xml:space="preserve"> as well as </w:t>
      </w:r>
      <w:r w:rsidR="004E2206">
        <w:t>functions proposed to be regulated as a new type of</w:t>
      </w:r>
      <w:r w:rsidR="00F35503">
        <w:t xml:space="preserve"> </w:t>
      </w:r>
      <w:r w:rsidR="004E2206">
        <w:t>financial service.</w:t>
      </w:r>
    </w:p>
    <w:p w14:paraId="020F409E" w14:textId="49991C08" w:rsidR="00922986" w:rsidRDefault="00A462E0" w:rsidP="00F5593A">
      <w:pPr>
        <w:pStyle w:val="Heading3"/>
      </w:pPr>
      <w:r>
        <w:t>Cash-</w:t>
      </w:r>
      <w:r w:rsidR="006F4CE5">
        <w:t>based payment services</w:t>
      </w:r>
    </w:p>
    <w:p w14:paraId="182C355A" w14:textId="521142B7" w:rsidR="00922986" w:rsidRPr="00437D22" w:rsidRDefault="00A462E0" w:rsidP="00B73304">
      <w:r>
        <w:t>Cash-</w:t>
      </w:r>
      <w:r w:rsidR="00014463">
        <w:t>based payment services are currently excluded from regulation (through the non-cash payment</w:t>
      </w:r>
      <w:r w:rsidR="00ED3A3B">
        <w:t xml:space="preserve"> concept)</w:t>
      </w:r>
      <w:r w:rsidR="00014463">
        <w:t xml:space="preserve">. </w:t>
      </w:r>
      <w:r w:rsidR="00913407">
        <w:t>Cash-</w:t>
      </w:r>
      <w:r w:rsidR="00ED3A3B">
        <w:t xml:space="preserve">based services are </w:t>
      </w:r>
      <w:r w:rsidR="00F9242A">
        <w:t>not proposed to be captured</w:t>
      </w:r>
      <w:r w:rsidR="00B31E00">
        <w:t xml:space="preserve"> given the lower risks they present</w:t>
      </w:r>
      <w:r w:rsidR="00F9242A">
        <w:t xml:space="preserve">. </w:t>
      </w:r>
    </w:p>
    <w:p w14:paraId="01739A04" w14:textId="7A6E5398" w:rsidR="00AC7E62" w:rsidRDefault="00AC7E62" w:rsidP="00AB3D0E">
      <w:pPr>
        <w:pStyle w:val="Heading3"/>
      </w:pPr>
      <w:bookmarkStart w:id="76" w:name="_Toc149230920"/>
      <w:bookmarkStart w:id="77" w:name="_Ref150331282"/>
      <w:bookmarkStart w:id="78" w:name="_Ref150782857"/>
      <w:r>
        <w:t>Low value facilities</w:t>
      </w:r>
      <w:bookmarkEnd w:id="76"/>
      <w:bookmarkEnd w:id="77"/>
      <w:bookmarkEnd w:id="78"/>
    </w:p>
    <w:p w14:paraId="2BA6E807" w14:textId="586FA319" w:rsidR="00E03D4D" w:rsidRDefault="00E03D4D" w:rsidP="00E42AA2">
      <w:r>
        <w:t xml:space="preserve">Low value </w:t>
      </w:r>
      <w:r w:rsidR="009C57E1">
        <w:t xml:space="preserve">non-cash payment facilities </w:t>
      </w:r>
      <w:r w:rsidR="005719B7">
        <w:t>have</w:t>
      </w:r>
      <w:r w:rsidR="00DE2927">
        <w:t xml:space="preserve"> </w:t>
      </w:r>
      <w:r w:rsidR="001E3520">
        <w:t xml:space="preserve">conditional </w:t>
      </w:r>
      <w:r w:rsidR="00DE2927">
        <w:t>relief from</w:t>
      </w:r>
      <w:r w:rsidR="001E3520">
        <w:t xml:space="preserve"> licensing, conduct and disclosure </w:t>
      </w:r>
      <w:r w:rsidR="00141DF1">
        <w:t xml:space="preserve">obligations </w:t>
      </w:r>
      <w:r w:rsidR="001E3520">
        <w:t>(including ongoing disclosure obligations and advertising provisions)</w:t>
      </w:r>
      <w:r w:rsidR="00E92FB4">
        <w:t>,</w:t>
      </w:r>
      <w:r w:rsidR="001E3520">
        <w:t xml:space="preserve"> and </w:t>
      </w:r>
      <w:r w:rsidR="003D7D8A">
        <w:t xml:space="preserve">the </w:t>
      </w:r>
      <w:r w:rsidR="001E3520">
        <w:t>hawking prohibition.</w:t>
      </w:r>
      <w:r w:rsidR="006D04C7">
        <w:t xml:space="preserve"> This relief is </w:t>
      </w:r>
      <w:r w:rsidR="003B31A0">
        <w:t>currently</w:t>
      </w:r>
      <w:r w:rsidR="006D04C7">
        <w:t xml:space="preserve"> available to </w:t>
      </w:r>
      <w:r w:rsidR="00265F16">
        <w:t>non-cash payment facilities that satisfy the following test:</w:t>
      </w:r>
    </w:p>
    <w:p w14:paraId="562E7544" w14:textId="6D8C0DCA" w:rsidR="00265F16" w:rsidRPr="00997396" w:rsidRDefault="00265F16" w:rsidP="00F65C24">
      <w:pPr>
        <w:pStyle w:val="AlphaParagraph"/>
        <w:numPr>
          <w:ilvl w:val="1"/>
          <w:numId w:val="115"/>
        </w:numPr>
      </w:pPr>
      <w:r w:rsidRPr="00997396">
        <w:t>the total amount available for the making of non-cash payments under all facilities of the same class held by any one client does not exceed $1</w:t>
      </w:r>
      <w:r w:rsidR="00DA0CB9">
        <w:t>,</w:t>
      </w:r>
      <w:r w:rsidRPr="00997396">
        <w:t xml:space="preserve">000 at any one time; </w:t>
      </w:r>
    </w:p>
    <w:p w14:paraId="65B1DA2D" w14:textId="7F6FF033" w:rsidR="00265F16" w:rsidRPr="00997396" w:rsidRDefault="00265F16" w:rsidP="00B73304">
      <w:pPr>
        <w:pStyle w:val="AlphaParagraph"/>
      </w:pPr>
      <w:r w:rsidRPr="00997396">
        <w:t>the total amount available for making non-cash payments under all facilities of the same class does not exceed $10</w:t>
      </w:r>
      <w:r w:rsidR="00DA0CB9">
        <w:t xml:space="preserve"> </w:t>
      </w:r>
      <w:r w:rsidR="00E97ECA">
        <w:t>m</w:t>
      </w:r>
      <w:r w:rsidR="00DA0CB9">
        <w:t>illion</w:t>
      </w:r>
      <w:r w:rsidRPr="00997396">
        <w:t xml:space="preserve"> at any time; and </w:t>
      </w:r>
    </w:p>
    <w:p w14:paraId="223DC7B9" w14:textId="59A1133E" w:rsidR="00265F16" w:rsidRPr="00997396" w:rsidRDefault="00265F16" w:rsidP="00B73304">
      <w:pPr>
        <w:pStyle w:val="AlphaParagraph"/>
      </w:pPr>
      <w:r w:rsidRPr="00997396">
        <w:t>the facility is not part of another financial product.</w:t>
      </w:r>
    </w:p>
    <w:p w14:paraId="4A45D8BE" w14:textId="684F028B" w:rsidR="00134673" w:rsidRDefault="00530164" w:rsidP="00997396">
      <w:r w:rsidRPr="00997396">
        <w:t xml:space="preserve">As outlined in </w:t>
      </w:r>
      <w:r w:rsidR="0023250E" w:rsidRPr="00997396">
        <w:t>CP1</w:t>
      </w:r>
      <w:r w:rsidR="00667308" w:rsidRPr="00997396">
        <w:t>, it</w:t>
      </w:r>
      <w:r w:rsidR="00BB7AA0" w:rsidRPr="00997396">
        <w:t xml:space="preserve"> is proposed that ASIC’s relief</w:t>
      </w:r>
      <w:r w:rsidR="008E2A77" w:rsidRPr="00997396">
        <w:t xml:space="preserve"> </w:t>
      </w:r>
      <w:r w:rsidR="00667308" w:rsidRPr="00997396">
        <w:t>for low value</w:t>
      </w:r>
      <w:r w:rsidR="00667308">
        <w:t xml:space="preserve"> facilities </w:t>
      </w:r>
      <w:r w:rsidR="008E2A77">
        <w:t xml:space="preserve">be </w:t>
      </w:r>
      <w:r w:rsidR="00D64C13">
        <w:t>moved into regulation</w:t>
      </w:r>
      <w:r w:rsidR="00667308">
        <w:t>.</w:t>
      </w:r>
      <w:r w:rsidR="006D0627">
        <w:t xml:space="preserve"> It is proposed that the terms of the relief be maintained</w:t>
      </w:r>
      <w:r w:rsidR="00265F16">
        <w:t xml:space="preserve"> (including the conditions for relief</w:t>
      </w:r>
      <w:r w:rsidR="0064539A">
        <w:t>)</w:t>
      </w:r>
      <w:r w:rsidR="006D0627">
        <w:t xml:space="preserve">, </w:t>
      </w:r>
      <w:r w:rsidR="00400CB5">
        <w:t>except that the thresholds be updated</w:t>
      </w:r>
      <w:r w:rsidR="003174C1">
        <w:t>.</w:t>
      </w:r>
      <w:r w:rsidR="00574F77">
        <w:t xml:space="preserve"> It is proposed that</w:t>
      </w:r>
      <w:r w:rsidR="00134673">
        <w:t>:</w:t>
      </w:r>
      <w:r w:rsidR="00574F77">
        <w:t xml:space="preserve"> </w:t>
      </w:r>
    </w:p>
    <w:p w14:paraId="4063EC4B" w14:textId="62F32FBA" w:rsidR="00134673" w:rsidRDefault="00574F77" w:rsidP="00134673">
      <w:pPr>
        <w:pStyle w:val="Bullet"/>
      </w:pPr>
      <w:r>
        <w:t>$1</w:t>
      </w:r>
      <w:r w:rsidR="00DA0CB9">
        <w:t>,</w:t>
      </w:r>
      <w:r>
        <w:t xml:space="preserve">000 </w:t>
      </w:r>
      <w:r w:rsidR="00D86529">
        <w:t>be increased to $1</w:t>
      </w:r>
      <w:r w:rsidR="00DA0CB9">
        <w:t>,</w:t>
      </w:r>
      <w:r w:rsidR="00D86529">
        <w:t>500</w:t>
      </w:r>
      <w:r w:rsidR="00134673">
        <w:t>;</w:t>
      </w:r>
      <w:r w:rsidR="00D86529">
        <w:t xml:space="preserve"> and </w:t>
      </w:r>
    </w:p>
    <w:p w14:paraId="4DDD1CEC" w14:textId="41C83059" w:rsidR="00134673" w:rsidRDefault="003F1A56" w:rsidP="00134673">
      <w:pPr>
        <w:pStyle w:val="Bullet"/>
      </w:pPr>
      <w:r>
        <w:t>$10</w:t>
      </w:r>
      <w:r w:rsidR="00DA0CB9">
        <w:t xml:space="preserve"> </w:t>
      </w:r>
      <w:r w:rsidR="00E97ECA">
        <w:t>m</w:t>
      </w:r>
      <w:r w:rsidR="00DA0CB9">
        <w:t>illion</w:t>
      </w:r>
      <w:r>
        <w:t xml:space="preserve"> be increased to </w:t>
      </w:r>
      <w:r w:rsidR="00CA0D5A">
        <w:t>$15</w:t>
      </w:r>
      <w:r w:rsidR="00DA0CB9">
        <w:t xml:space="preserve"> </w:t>
      </w:r>
      <w:r w:rsidR="00E97ECA">
        <w:t>m</w:t>
      </w:r>
      <w:r w:rsidR="00DA0CB9">
        <w:t>illion</w:t>
      </w:r>
      <w:r w:rsidR="00CA0D5A">
        <w:t>.</w:t>
      </w:r>
      <w:r w:rsidR="00D86529">
        <w:t xml:space="preserve"> </w:t>
      </w:r>
    </w:p>
    <w:p w14:paraId="67938EB7" w14:textId="6B7A599D" w:rsidR="00E9053B" w:rsidRDefault="00E9053B" w:rsidP="00F65C24">
      <w:r>
        <w:t>This proposed exemption would replace ASIC’s</w:t>
      </w:r>
      <w:r w:rsidDel="00E33143">
        <w:t xml:space="preserve"> </w:t>
      </w:r>
      <w:r>
        <w:t xml:space="preserve">current relief </w:t>
      </w:r>
      <w:r w:rsidR="00EC7C1B">
        <w:t>for low value non-cash payment facilities</w:t>
      </w:r>
      <w:r w:rsidR="0043793C">
        <w:t>.</w:t>
      </w:r>
      <w:r w:rsidR="00EC7C1B">
        <w:rPr>
          <w:rStyle w:val="FootnoteReference"/>
        </w:rPr>
        <w:footnoteReference w:id="49"/>
      </w:r>
      <w:r w:rsidR="003B3569">
        <w:t xml:space="preserve"> </w:t>
      </w:r>
      <w:r w:rsidR="005678F2">
        <w:t xml:space="preserve">Additionally, </w:t>
      </w:r>
      <w:r w:rsidR="009B5312">
        <w:t xml:space="preserve">the </w:t>
      </w:r>
      <w:r w:rsidR="003F3EA5">
        <w:t>RBA</w:t>
      </w:r>
      <w:r w:rsidR="0043793C">
        <w:t>’s</w:t>
      </w:r>
      <w:r w:rsidR="003F3EA5">
        <w:t xml:space="preserve"> </w:t>
      </w:r>
      <w:r w:rsidR="004E591A">
        <w:t xml:space="preserve">declaration for </w:t>
      </w:r>
      <w:r w:rsidR="00025F9F">
        <w:t>limited value</w:t>
      </w:r>
      <w:r w:rsidR="00E243A1">
        <w:t xml:space="preserve"> and limited participant</w:t>
      </w:r>
      <w:r w:rsidR="00025F9F">
        <w:t xml:space="preserve"> PPFs</w:t>
      </w:r>
      <w:r w:rsidR="00743520">
        <w:t xml:space="preserve"> </w:t>
      </w:r>
      <w:r w:rsidR="00D664DD">
        <w:t xml:space="preserve">would </w:t>
      </w:r>
      <w:r w:rsidR="00743520">
        <w:t>be repealed</w:t>
      </w:r>
      <w:r w:rsidR="00330E66">
        <w:t>.</w:t>
      </w:r>
      <w:r w:rsidR="00D16597">
        <w:rPr>
          <w:rStyle w:val="FootnoteReference"/>
        </w:rPr>
        <w:footnoteReference w:id="50"/>
      </w:r>
    </w:p>
    <w:p w14:paraId="78FC975E" w14:textId="396ECA89" w:rsidR="00B537DE" w:rsidRDefault="00CC67AC" w:rsidP="00F65C24">
      <w:r>
        <w:t>Consistent with ASIC’s current relief</w:t>
      </w:r>
      <w:r w:rsidR="00B65EFD">
        <w:t xml:space="preserve">, </w:t>
      </w:r>
      <w:r w:rsidR="00FD0750">
        <w:t xml:space="preserve">the </w:t>
      </w:r>
      <w:r w:rsidR="008F7E87">
        <w:t xml:space="preserve">proposed </w:t>
      </w:r>
      <w:r w:rsidR="0048457E">
        <w:t xml:space="preserve">exemption </w:t>
      </w:r>
      <w:r w:rsidR="00FD0750">
        <w:t xml:space="preserve">for low value facilities </w:t>
      </w:r>
      <w:r w:rsidR="004A5FEA">
        <w:t xml:space="preserve">would </w:t>
      </w:r>
      <w:r w:rsidR="00507C85">
        <w:t xml:space="preserve">exempt </w:t>
      </w:r>
      <w:r w:rsidR="00BF3AB4">
        <w:t>these facilities from licensing, conduct, disclosure</w:t>
      </w:r>
      <w:r>
        <w:t xml:space="preserve"> and the hawking prohibition</w:t>
      </w:r>
      <w:r w:rsidR="00DE0CC1">
        <w:t>.</w:t>
      </w:r>
    </w:p>
    <w:p w14:paraId="685C9FB6" w14:textId="2298EA73" w:rsidR="00E834FF" w:rsidRDefault="00AD57E4" w:rsidP="00F65C24">
      <w:r>
        <w:t xml:space="preserve">In submissions to </w:t>
      </w:r>
      <w:r w:rsidR="00C81532">
        <w:t>CP1</w:t>
      </w:r>
      <w:r>
        <w:t>, s</w:t>
      </w:r>
      <w:r w:rsidR="004B05B2">
        <w:t xml:space="preserve">takeholders raised concerns </w:t>
      </w:r>
      <w:r w:rsidR="00F63E67">
        <w:t>that</w:t>
      </w:r>
      <w:r w:rsidR="004B05B2">
        <w:t xml:space="preserve"> the third limb of the test, </w:t>
      </w:r>
      <w:r w:rsidR="00B84060">
        <w:t>i.e. that the facility is ‘not a component of another financial product’</w:t>
      </w:r>
      <w:r w:rsidR="00F63E67">
        <w:t>, is difficult to understand.</w:t>
      </w:r>
      <w:r w:rsidR="00887C91">
        <w:t xml:space="preserve"> </w:t>
      </w:r>
      <w:r w:rsidR="00CA05F9">
        <w:t>T</w:t>
      </w:r>
      <w:r w:rsidR="007C388D">
        <w:t>his</w:t>
      </w:r>
      <w:r w:rsidR="00311FAD">
        <w:t xml:space="preserve"> limb is important for</w:t>
      </w:r>
      <w:r w:rsidR="00311FAD" w:rsidRPr="00311FAD">
        <w:t xml:space="preserve"> ensuring that the aggregate of the arrangements that makes up an offering </w:t>
      </w:r>
      <w:r w:rsidR="00311FAD">
        <w:t xml:space="preserve">or </w:t>
      </w:r>
      <w:r w:rsidR="00311FAD" w:rsidRPr="00311FAD">
        <w:t xml:space="preserve">product does not fall under the exemption </w:t>
      </w:r>
      <w:r w:rsidR="00525A43">
        <w:t xml:space="preserve">only </w:t>
      </w:r>
      <w:r w:rsidR="00311FAD" w:rsidRPr="00311FAD">
        <w:t>because a component part of the product falls under the exemption.</w:t>
      </w:r>
      <w:r w:rsidR="004B0DBA">
        <w:t xml:space="preserve"> </w:t>
      </w:r>
      <w:r w:rsidR="007C388D">
        <w:lastRenderedPageBreak/>
        <w:t xml:space="preserve">However, further feedback is welcome on </w:t>
      </w:r>
      <w:r w:rsidR="00F9236B">
        <w:t xml:space="preserve">how clarity </w:t>
      </w:r>
      <w:r w:rsidR="007B340D">
        <w:t xml:space="preserve">can be improved while maintaining the </w:t>
      </w:r>
      <w:r w:rsidR="00914EC0">
        <w:t>intended effect</w:t>
      </w:r>
      <w:r w:rsidR="007B340D">
        <w:t xml:space="preserve"> of </w:t>
      </w:r>
      <w:r w:rsidR="00F9236B">
        <w:t xml:space="preserve">this </w:t>
      </w:r>
      <w:r w:rsidR="006F16F4">
        <w:t>test</w:t>
      </w:r>
      <w:r w:rsidR="007B340D">
        <w:t>.</w:t>
      </w:r>
    </w:p>
    <w:tbl>
      <w:tblPr>
        <w:tblStyle w:val="TableGrid"/>
        <w:tblW w:w="0" w:type="auto"/>
        <w:tblLook w:val="04A0" w:firstRow="1" w:lastRow="0" w:firstColumn="1" w:lastColumn="0" w:noHBand="0" w:noVBand="1"/>
      </w:tblPr>
      <w:tblGrid>
        <w:gridCol w:w="9070"/>
      </w:tblGrid>
      <w:tr w:rsidR="002A2384" w14:paraId="74F6D12F"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20929508" w14:textId="77777777" w:rsidR="002A2384" w:rsidRPr="002B482D" w:rsidRDefault="002A2384" w:rsidP="00E42AA2">
            <w:pPr>
              <w:spacing w:before="96" w:after="96"/>
              <w:rPr>
                <w:b w:val="0"/>
                <w:u w:val="single"/>
              </w:rPr>
            </w:pPr>
            <w:bookmarkStart w:id="79" w:name="_Hlk149315404"/>
            <w:r w:rsidRPr="002B482D">
              <w:rPr>
                <w:u w:val="single"/>
              </w:rPr>
              <w:t>Consultation questions</w:t>
            </w:r>
          </w:p>
          <w:p w14:paraId="6012DAC2" w14:textId="6E3EF682" w:rsidR="002A2384" w:rsidRPr="00981390" w:rsidRDefault="002A2384" w:rsidP="001D123F">
            <w:pPr>
              <w:pStyle w:val="Consultationquestions"/>
              <w:numPr>
                <w:ilvl w:val="0"/>
                <w:numId w:val="100"/>
              </w:numPr>
            </w:pPr>
            <w:r>
              <w:t>Should</w:t>
            </w:r>
            <w:r w:rsidR="00C96B65" w:rsidDel="004241B5">
              <w:t xml:space="preserve"> </w:t>
            </w:r>
            <w:r w:rsidR="00C96B65">
              <w:t xml:space="preserve">PSPs that </w:t>
            </w:r>
            <w:r w:rsidR="003A0EA7">
              <w:t xml:space="preserve">process or facilitate transactions </w:t>
            </w:r>
            <w:r w:rsidR="000402F0">
              <w:t xml:space="preserve">or store value </w:t>
            </w:r>
            <w:r w:rsidR="003A0EA7">
              <w:t xml:space="preserve">below </w:t>
            </w:r>
            <w:r w:rsidR="004E5C5E">
              <w:t>a certain amount have reduced requirements</w:t>
            </w:r>
            <w:r w:rsidR="00AD3393">
              <w:t xml:space="preserve"> under the </w:t>
            </w:r>
            <w:r w:rsidR="00AD3393" w:rsidRPr="002B482D">
              <w:rPr>
                <w:i/>
                <w:iCs/>
              </w:rPr>
              <w:t>Corporations Act</w:t>
            </w:r>
            <w:r w:rsidR="00C7643D">
              <w:t>?</w:t>
            </w:r>
            <w:r w:rsidR="00DC11E9">
              <w:t xml:space="preserve"> If so, what should they be?</w:t>
            </w:r>
          </w:p>
          <w:p w14:paraId="41332149" w14:textId="77777777" w:rsidR="00981390" w:rsidRPr="000E68F9" w:rsidRDefault="00981390" w:rsidP="001D123F">
            <w:pPr>
              <w:pStyle w:val="Consultationquestions"/>
              <w:numPr>
                <w:ilvl w:val="0"/>
                <w:numId w:val="100"/>
              </w:numPr>
            </w:pPr>
            <w:r>
              <w:t xml:space="preserve">Should the low value exemption apply at the </w:t>
            </w:r>
            <w:r w:rsidR="009260F3">
              <w:t>controlling entity level, if there are a group of related entities?</w:t>
            </w:r>
          </w:p>
          <w:p w14:paraId="32CAFAFC" w14:textId="77777777" w:rsidR="005F1DB0" w:rsidRPr="007851DC" w:rsidRDefault="00BF177B" w:rsidP="001D123F">
            <w:pPr>
              <w:pStyle w:val="Consultationquestions"/>
              <w:numPr>
                <w:ilvl w:val="0"/>
                <w:numId w:val="100"/>
              </w:numPr>
            </w:pPr>
            <w:r>
              <w:t xml:space="preserve">Are the proposed thresholds for low value facilities </w:t>
            </w:r>
            <w:r w:rsidR="00496015">
              <w:t>appropriate?</w:t>
            </w:r>
          </w:p>
          <w:p w14:paraId="326C0489" w14:textId="23394688" w:rsidR="005F1DB0" w:rsidRPr="004A6119" w:rsidRDefault="006A20E3" w:rsidP="001D123F">
            <w:pPr>
              <w:pStyle w:val="Consultationquestions"/>
              <w:numPr>
                <w:ilvl w:val="0"/>
                <w:numId w:val="100"/>
              </w:numPr>
            </w:pPr>
            <w:r>
              <w:t>Should the low value exemption be available for all payment functio</w:t>
            </w:r>
            <w:r w:rsidR="00650ADA">
              <w:t>ns</w:t>
            </w:r>
            <w:r>
              <w:t>?</w:t>
            </w:r>
          </w:p>
        </w:tc>
      </w:tr>
    </w:tbl>
    <w:p w14:paraId="2D4D1191" w14:textId="172E4494" w:rsidR="00FF3A6D" w:rsidRDefault="00FF3A6D" w:rsidP="00AB3D0E">
      <w:pPr>
        <w:pStyle w:val="Heading3"/>
      </w:pPr>
      <w:bookmarkStart w:id="80" w:name="_Toc149230921"/>
      <w:bookmarkEnd w:id="79"/>
      <w:r>
        <w:t>Limited network</w:t>
      </w:r>
      <w:bookmarkEnd w:id="80"/>
      <w:r w:rsidR="00FF281E">
        <w:t xml:space="preserve"> </w:t>
      </w:r>
    </w:p>
    <w:p w14:paraId="7E62C574" w14:textId="6A733822" w:rsidR="00891113" w:rsidRDefault="002B4E72" w:rsidP="00F65C24">
      <w:r>
        <w:t xml:space="preserve">It is proposed that </w:t>
      </w:r>
      <w:r w:rsidR="006914A3">
        <w:t>a limited network</w:t>
      </w:r>
      <w:r>
        <w:t xml:space="preserve"> exclusion be available for </w:t>
      </w:r>
      <w:r w:rsidR="00065908">
        <w:t>Payment Instrument</w:t>
      </w:r>
      <w:r>
        <w:t xml:space="preserve">s that can be used </w:t>
      </w:r>
      <w:r w:rsidR="00F43221">
        <w:t xml:space="preserve">only for a limited </w:t>
      </w:r>
      <w:r w:rsidR="001B1C18">
        <w:t>or specific</w:t>
      </w:r>
      <w:r w:rsidR="00F43221">
        <w:t xml:space="preserve"> purpose</w:t>
      </w:r>
      <w:r w:rsidR="00891113" w:rsidRPr="00891113" w:rsidDel="002F45F9">
        <w:t xml:space="preserve"> </w:t>
      </w:r>
      <w:r w:rsidR="00083E33">
        <w:t>and</w:t>
      </w:r>
      <w:r w:rsidR="00EC2AA1">
        <w:t xml:space="preserve"> </w:t>
      </w:r>
      <w:r w:rsidR="00891113" w:rsidRPr="00891113">
        <w:t>meet one of the following conditions</w:t>
      </w:r>
      <w:r w:rsidR="00E12151">
        <w:t>:</w:t>
      </w:r>
    </w:p>
    <w:p w14:paraId="162E4024" w14:textId="0268FD8F" w:rsidR="00B43579" w:rsidRPr="00B43579" w:rsidRDefault="00B43579" w:rsidP="00F65C24">
      <w:pPr>
        <w:pStyle w:val="AlphaParagraph"/>
        <w:numPr>
          <w:ilvl w:val="1"/>
          <w:numId w:val="116"/>
        </w:numPr>
      </w:pPr>
      <w:r w:rsidRPr="00B43579">
        <w:t>allow the holder to acquire goods or services only in the issuer’s</w:t>
      </w:r>
      <w:r w:rsidR="00831C56">
        <w:t xml:space="preserve"> </w:t>
      </w:r>
      <w:r w:rsidR="008A5F91">
        <w:t xml:space="preserve">physical </w:t>
      </w:r>
      <w:r w:rsidRPr="00B43579">
        <w:t>premises;</w:t>
      </w:r>
      <w:r w:rsidR="008A5F91">
        <w:t xml:space="preserve"> or</w:t>
      </w:r>
    </w:p>
    <w:p w14:paraId="5ED579F4" w14:textId="04493598" w:rsidR="008E5B23" w:rsidRPr="00B43579" w:rsidRDefault="00B43579" w:rsidP="00F65C24">
      <w:pPr>
        <w:pStyle w:val="AlphaParagraph"/>
      </w:pPr>
      <w:r w:rsidRPr="00B43579">
        <w:t>are issued by a professional issuer and allow the holder to acquire goods or services only within a limited network of service providers which have direct commercial agreements with the issuer;</w:t>
      </w:r>
      <w:r w:rsidR="008A5F91">
        <w:t xml:space="preserve"> or</w:t>
      </w:r>
    </w:p>
    <w:p w14:paraId="73F9C189" w14:textId="710943FB" w:rsidR="00B43579" w:rsidRPr="00B43579" w:rsidRDefault="00B43579" w:rsidP="00F65C24">
      <w:pPr>
        <w:pStyle w:val="AlphaParagraph"/>
      </w:pPr>
      <w:r w:rsidRPr="00B43579">
        <w:t>may be used only to acquire a very limited range of goods or services</w:t>
      </w:r>
      <w:r w:rsidR="007204F0">
        <w:t>.</w:t>
      </w:r>
    </w:p>
    <w:p w14:paraId="3ACED59E" w14:textId="2FF86B31" w:rsidR="00866018" w:rsidRDefault="00E35C97" w:rsidP="00F65C24">
      <w:r>
        <w:t xml:space="preserve">Another option would be to prescribe that </w:t>
      </w:r>
      <w:r w:rsidR="00CD6DDF">
        <w:t>this proposed</w:t>
      </w:r>
      <w:r>
        <w:t xml:space="preserve"> </w:t>
      </w:r>
      <w:r w:rsidR="00AD3AE5">
        <w:t>exclusion</w:t>
      </w:r>
      <w:r w:rsidR="00A2662F">
        <w:t xml:space="preserve"> </w:t>
      </w:r>
      <w:r w:rsidR="00360B07">
        <w:t>does</w:t>
      </w:r>
      <w:r w:rsidR="00A2662F">
        <w:t xml:space="preserve"> not apply to entities </w:t>
      </w:r>
      <w:r w:rsidR="00E12306">
        <w:t>with transactions or value issued over a certain threshold</w:t>
      </w:r>
      <w:r w:rsidR="009D3643">
        <w:t xml:space="preserve"> (such as $2 million in 12 months)</w:t>
      </w:r>
      <w:r w:rsidR="00360B07">
        <w:t xml:space="preserve">. </w:t>
      </w:r>
    </w:p>
    <w:p w14:paraId="42CF077B" w14:textId="38E1B6D2" w:rsidR="00A01EF5" w:rsidRDefault="004D6D2B" w:rsidP="00F65C24">
      <w:r>
        <w:t xml:space="preserve">This </w:t>
      </w:r>
      <w:r w:rsidR="00A24600">
        <w:t xml:space="preserve">exclusion </w:t>
      </w:r>
      <w:r>
        <w:t xml:space="preserve">is intended to replace the need for </w:t>
      </w:r>
      <w:r w:rsidR="00894C59">
        <w:t xml:space="preserve">various </w:t>
      </w:r>
      <w:r>
        <w:t xml:space="preserve">specific </w:t>
      </w:r>
      <w:r w:rsidR="00763FB9">
        <w:t>exemptions</w:t>
      </w:r>
      <w:r>
        <w:t>, for example</w:t>
      </w:r>
      <w:r w:rsidR="00A01EF5">
        <w:t>:</w:t>
      </w:r>
      <w:r>
        <w:t xml:space="preserve"> </w:t>
      </w:r>
    </w:p>
    <w:p w14:paraId="46A32F68" w14:textId="05D22B0D" w:rsidR="000503EE" w:rsidRDefault="007C05E0" w:rsidP="00A01EF5">
      <w:pPr>
        <w:pStyle w:val="Bullet"/>
      </w:pPr>
      <w:r w:rsidRPr="00A269C6">
        <w:t>G</w:t>
      </w:r>
      <w:r w:rsidR="004D6D2B" w:rsidRPr="00A269C6">
        <w:t>ift vouchers or cards.</w:t>
      </w:r>
      <w:r w:rsidR="00E82002">
        <w:t xml:space="preserve"> </w:t>
      </w:r>
      <w:r w:rsidR="003E0481">
        <w:t xml:space="preserve">It is </w:t>
      </w:r>
      <w:r w:rsidR="00A269C6">
        <w:t>intended</w:t>
      </w:r>
      <w:r w:rsidR="003E0481">
        <w:t xml:space="preserve"> that</w:t>
      </w:r>
      <w:r w:rsidR="00D57D6D">
        <w:t xml:space="preserve"> some gift cards would </w:t>
      </w:r>
      <w:r w:rsidR="0086542D">
        <w:t xml:space="preserve">have the benefit of </w:t>
      </w:r>
      <w:r w:rsidR="00AD63E5">
        <w:t xml:space="preserve">this </w:t>
      </w:r>
      <w:r w:rsidR="0086542D">
        <w:t xml:space="preserve">exemption. </w:t>
      </w:r>
      <w:r w:rsidR="0052228C">
        <w:t>However</w:t>
      </w:r>
      <w:r w:rsidR="0086542D">
        <w:t xml:space="preserve">, </w:t>
      </w:r>
      <w:r w:rsidR="007642B6">
        <w:t xml:space="preserve">‘open-loop’ </w:t>
      </w:r>
      <w:r w:rsidR="0086542D">
        <w:t>gift cards</w:t>
      </w:r>
      <w:r w:rsidR="00133F76">
        <w:t xml:space="preserve"> </w:t>
      </w:r>
      <w:r w:rsidR="007642B6">
        <w:t xml:space="preserve">that are accepted </w:t>
      </w:r>
      <w:r w:rsidR="001D02F2">
        <w:t xml:space="preserve">by a number of different retailers </w:t>
      </w:r>
      <w:r w:rsidR="00F97D07">
        <w:t xml:space="preserve">would not be </w:t>
      </w:r>
      <w:r w:rsidR="002E35D7">
        <w:t>exempt.</w:t>
      </w:r>
      <w:r w:rsidR="004B3BF6">
        <w:t xml:space="preserve"> Similarly, </w:t>
      </w:r>
      <w:r w:rsidR="00AA68EF">
        <w:t>gift cards for large online marketplaces would not be exemp</w:t>
      </w:r>
      <w:r w:rsidR="003F045A">
        <w:t>t because they</w:t>
      </w:r>
      <w:r w:rsidR="00E11902">
        <w:t xml:space="preserve"> </w:t>
      </w:r>
      <w:r w:rsidR="00530A16">
        <w:t>can be used to acquire a broad</w:t>
      </w:r>
      <w:r w:rsidR="003F045A">
        <w:t xml:space="preserve"> </w:t>
      </w:r>
      <w:r w:rsidR="00E11902" w:rsidRPr="00E11902">
        <w:t>range of goods</w:t>
      </w:r>
      <w:r w:rsidR="00557AE2">
        <w:t>.</w:t>
      </w:r>
    </w:p>
    <w:p w14:paraId="797AAB12" w14:textId="06B5CEED" w:rsidR="001825EA" w:rsidRDefault="001825EA" w:rsidP="001825EA">
      <w:pPr>
        <w:pStyle w:val="Bullet"/>
      </w:pPr>
      <w:r>
        <w:t>Prepaid mobile phone accounts</w:t>
      </w:r>
      <w:r w:rsidR="006D7950">
        <w:t>.</w:t>
      </w:r>
      <w:r w:rsidR="005B63CD">
        <w:rPr>
          <w:rStyle w:val="FootnoteReference"/>
        </w:rPr>
        <w:footnoteReference w:id="51"/>
      </w:r>
    </w:p>
    <w:p w14:paraId="4422500A" w14:textId="15C555B5" w:rsidR="003A31FA" w:rsidRDefault="00426430" w:rsidP="00E42AA2">
      <w:pPr>
        <w:pStyle w:val="Bullet"/>
      </w:pPr>
      <w:r>
        <w:t>Other specific purpose instruments</w:t>
      </w:r>
      <w:r w:rsidR="00CD3A10">
        <w:t>,</w:t>
      </w:r>
      <w:r>
        <w:t xml:space="preserve"> for example, transport, fuel and printing cards.</w:t>
      </w:r>
    </w:p>
    <w:tbl>
      <w:tblPr>
        <w:tblStyle w:val="TableGrid"/>
        <w:tblW w:w="0" w:type="auto"/>
        <w:tblLook w:val="04A0" w:firstRow="1" w:lastRow="0" w:firstColumn="1" w:lastColumn="0" w:noHBand="0" w:noVBand="1"/>
      </w:tblPr>
      <w:tblGrid>
        <w:gridCol w:w="9070"/>
      </w:tblGrid>
      <w:tr w:rsidR="005067A1" w14:paraId="08BF970F" w14:textId="77777777" w:rsidTr="007D241A">
        <w:trPr>
          <w:cnfStyle w:val="100000000000" w:firstRow="1" w:lastRow="0" w:firstColumn="0" w:lastColumn="0" w:oddVBand="0" w:evenVBand="0" w:oddHBand="0" w:evenHBand="0" w:firstRowFirstColumn="0" w:firstRowLastColumn="0" w:lastRowFirstColumn="0" w:lastRowLastColumn="0"/>
        </w:trPr>
        <w:tc>
          <w:tcPr>
            <w:tcW w:w="9070" w:type="dxa"/>
          </w:tcPr>
          <w:p w14:paraId="4182D54E" w14:textId="6005A9E4" w:rsidR="005067A1" w:rsidRPr="002B482D" w:rsidRDefault="005067A1" w:rsidP="00E42AA2">
            <w:pPr>
              <w:spacing w:before="96" w:after="96"/>
              <w:rPr>
                <w:b w:val="0"/>
                <w:u w:val="single"/>
              </w:rPr>
            </w:pPr>
            <w:r w:rsidRPr="002B482D">
              <w:rPr>
                <w:u w:val="single"/>
              </w:rPr>
              <w:t>Consultation question</w:t>
            </w:r>
          </w:p>
          <w:p w14:paraId="550DAD56" w14:textId="40267A60" w:rsidR="00D55AA6" w:rsidRPr="003238FB" w:rsidRDefault="005067A1" w:rsidP="001D123F">
            <w:pPr>
              <w:pStyle w:val="Consultationquestions"/>
              <w:numPr>
                <w:ilvl w:val="0"/>
                <w:numId w:val="100"/>
              </w:numPr>
            </w:pPr>
            <w:r>
              <w:t xml:space="preserve">How </w:t>
            </w:r>
            <w:r w:rsidR="00FC6E88">
              <w:t>could</w:t>
            </w:r>
            <w:r w:rsidDel="00FC6E88">
              <w:t xml:space="preserve"> </w:t>
            </w:r>
            <w:r w:rsidR="00FC6E88">
              <w:t xml:space="preserve">a </w:t>
            </w:r>
            <w:r>
              <w:t>limited network exclusion be appropriately confined</w:t>
            </w:r>
            <w:r w:rsidR="00BA5A6E">
              <w:t xml:space="preserve"> to avoid </w:t>
            </w:r>
            <w:r w:rsidR="00B112CD">
              <w:t>regulatory</w:t>
            </w:r>
            <w:r w:rsidR="00BA5A6E">
              <w:t xml:space="preserve"> arbitrage</w:t>
            </w:r>
            <w:r>
              <w:t>?</w:t>
            </w:r>
            <w:r w:rsidR="0052597F">
              <w:t xml:space="preserve"> </w:t>
            </w:r>
            <w:r w:rsidR="006F66A7">
              <w:t xml:space="preserve">Are the </w:t>
            </w:r>
            <w:r w:rsidR="00315C68">
              <w:t xml:space="preserve">conditions </w:t>
            </w:r>
            <w:r w:rsidR="006F66A7">
              <w:t>for this exemption appropriate</w:t>
            </w:r>
            <w:r w:rsidR="00EC4466">
              <w:t>?</w:t>
            </w:r>
            <w:r w:rsidR="00086F05">
              <w:t xml:space="preserve"> Should it apply to all payment functions?</w:t>
            </w:r>
          </w:p>
        </w:tc>
      </w:tr>
    </w:tbl>
    <w:p w14:paraId="6D3EBAAE" w14:textId="1B519D15" w:rsidR="00B971BB" w:rsidRPr="003238FB" w:rsidRDefault="00214B3C" w:rsidP="00D05F64">
      <w:pPr>
        <w:pStyle w:val="Heading3"/>
      </w:pPr>
      <w:r w:rsidRPr="008F5119">
        <w:lastRenderedPageBreak/>
        <w:t xml:space="preserve">Commercial </w:t>
      </w:r>
      <w:r w:rsidR="00141CA8" w:rsidRPr="003238FB">
        <w:t>agent</w:t>
      </w:r>
      <w:r w:rsidR="00D278AD" w:rsidRPr="003238FB">
        <w:t>s</w:t>
      </w:r>
    </w:p>
    <w:p w14:paraId="12E04FAE" w14:textId="56F7FCCB" w:rsidR="00C34C71" w:rsidRDefault="00D63524" w:rsidP="00F65C24">
      <w:r>
        <w:t xml:space="preserve">Some jurisdictions provide an exclusion for </w:t>
      </w:r>
      <w:r w:rsidR="005A4B29" w:rsidRPr="005A4B29">
        <w:t xml:space="preserve">payment transactions between </w:t>
      </w:r>
      <w:r>
        <w:t>a</w:t>
      </w:r>
      <w:r w:rsidR="005A4B29" w:rsidRPr="005A4B29">
        <w:t xml:space="preserve"> payer and the payee</w:t>
      </w:r>
      <w:r w:rsidR="000C5373">
        <w:t>,</w:t>
      </w:r>
      <w:r w:rsidR="005A4B29" w:rsidRPr="005A4B29">
        <w:t xml:space="preserve"> through a commercial agent authorised in an agreement to negotiate or conclude the sale or purchase of goods or services on behalf of either the payer or the payee</w:t>
      </w:r>
      <w:r w:rsidR="00775B4B">
        <w:t>,</w:t>
      </w:r>
      <w:r w:rsidR="005A4B29" w:rsidRPr="005A4B29">
        <w:t xml:space="preserve"> but not both the payer and the payee</w:t>
      </w:r>
      <w:r w:rsidR="008449E3">
        <w:t xml:space="preserve">. This is known as the ‘commercial agent exclusion’. </w:t>
      </w:r>
      <w:r w:rsidR="00B41F54">
        <w:t>An example of a commercial agent would be a motor vehicle dealer who accepts payments for the vehicle company whose vehicles the dealer sells.</w:t>
      </w:r>
      <w:r w:rsidR="00B41F54">
        <w:rPr>
          <w:rStyle w:val="FootnoteReference"/>
        </w:rPr>
        <w:footnoteReference w:id="52"/>
      </w:r>
      <w:r w:rsidR="008449E3">
        <w:t xml:space="preserve"> </w:t>
      </w:r>
      <w:r w:rsidR="000A7F74">
        <w:t xml:space="preserve">It </w:t>
      </w:r>
      <w:r w:rsidR="007D4E94">
        <w:t>could</w:t>
      </w:r>
      <w:r w:rsidR="000A7F74">
        <w:t xml:space="preserve"> </w:t>
      </w:r>
      <w:r w:rsidR="00B41F54">
        <w:t>also</w:t>
      </w:r>
      <w:r w:rsidR="000A7F74">
        <w:t xml:space="preserve"> </w:t>
      </w:r>
      <w:r w:rsidR="000F1BB7">
        <w:t xml:space="preserve">potentially </w:t>
      </w:r>
      <w:r w:rsidR="000A7F74">
        <w:t>apply to</w:t>
      </w:r>
      <w:r w:rsidR="00C34C71">
        <w:t xml:space="preserve"> </w:t>
      </w:r>
      <w:r w:rsidR="00FF3A41">
        <w:t>travel agents</w:t>
      </w:r>
      <w:r w:rsidR="009E395D">
        <w:t>, resellers</w:t>
      </w:r>
      <w:r w:rsidR="00F55846">
        <w:t xml:space="preserve"> and </w:t>
      </w:r>
      <w:r w:rsidR="00A64399">
        <w:t>buyer’s agents</w:t>
      </w:r>
      <w:r w:rsidR="00474205">
        <w:t>.</w:t>
      </w:r>
    </w:p>
    <w:p w14:paraId="78DF5972" w14:textId="5BE40FD7" w:rsidR="004A6119" w:rsidRDefault="00780890" w:rsidP="00F65C24">
      <w:r>
        <w:t xml:space="preserve">It is not available for </w:t>
      </w:r>
      <w:r w:rsidR="00A42237">
        <w:t xml:space="preserve">commercial agents acting on behalf of both the payer and payee, such as </w:t>
      </w:r>
      <w:r w:rsidR="005950C0">
        <w:t>online marketplaces</w:t>
      </w:r>
      <w:r w:rsidR="000375EB">
        <w:t xml:space="preserve"> that receive payments owed by buyers to sellers</w:t>
      </w:r>
      <w:r w:rsidR="007E1B51">
        <w:t xml:space="preserve"> and </w:t>
      </w:r>
      <w:r w:rsidR="0015012B">
        <w:t xml:space="preserve">commercial </w:t>
      </w:r>
      <w:r w:rsidR="007E1B51">
        <w:t>online</w:t>
      </w:r>
      <w:r w:rsidR="00D62833">
        <w:t xml:space="preserve"> fundraising platforms</w:t>
      </w:r>
      <w:r w:rsidR="008B0F4A">
        <w:t xml:space="preserve"> that accept donations before transmitting them to the recipient.</w:t>
      </w:r>
    </w:p>
    <w:tbl>
      <w:tblPr>
        <w:tblStyle w:val="TableGrid"/>
        <w:tblW w:w="0" w:type="auto"/>
        <w:tblLook w:val="04A0" w:firstRow="1" w:lastRow="0" w:firstColumn="1" w:lastColumn="0" w:noHBand="0" w:noVBand="1"/>
      </w:tblPr>
      <w:tblGrid>
        <w:gridCol w:w="9070"/>
      </w:tblGrid>
      <w:tr w:rsidR="004A6119" w14:paraId="6396B8E8" w14:textId="77777777" w:rsidTr="007D241A">
        <w:trPr>
          <w:cnfStyle w:val="100000000000" w:firstRow="1" w:lastRow="0" w:firstColumn="0" w:lastColumn="0" w:oddVBand="0" w:evenVBand="0" w:oddHBand="0" w:evenHBand="0" w:firstRowFirstColumn="0" w:firstRowLastColumn="0" w:lastRowFirstColumn="0" w:lastRowLastColumn="0"/>
        </w:trPr>
        <w:tc>
          <w:tcPr>
            <w:tcW w:w="9070" w:type="dxa"/>
          </w:tcPr>
          <w:p w14:paraId="2B776659" w14:textId="1530AFAE" w:rsidR="004A6119" w:rsidRPr="002B482D" w:rsidRDefault="004A6119" w:rsidP="00E42AA2">
            <w:pPr>
              <w:spacing w:before="96" w:after="96"/>
              <w:rPr>
                <w:b w:val="0"/>
                <w:u w:val="single"/>
              </w:rPr>
            </w:pPr>
            <w:r w:rsidRPr="002B482D">
              <w:rPr>
                <w:u w:val="single"/>
              </w:rPr>
              <w:t>Consultation question</w:t>
            </w:r>
          </w:p>
          <w:p w14:paraId="348814E7" w14:textId="6A907F56" w:rsidR="004A6119" w:rsidRPr="004A6119" w:rsidRDefault="004A6119" w:rsidP="001D123F">
            <w:pPr>
              <w:pStyle w:val="Consultationquestions"/>
              <w:numPr>
                <w:ilvl w:val="0"/>
                <w:numId w:val="100"/>
              </w:numPr>
            </w:pPr>
            <w:r>
              <w:t>Should</w:t>
            </w:r>
            <w:r w:rsidR="00602914">
              <w:t xml:space="preserve"> there be a</w:t>
            </w:r>
            <w:r>
              <w:t xml:space="preserve"> commercial agent exclusion?</w:t>
            </w:r>
          </w:p>
        </w:tc>
      </w:tr>
    </w:tbl>
    <w:p w14:paraId="36F2354C" w14:textId="399F2CCB" w:rsidR="00D278AD" w:rsidRDefault="00D278AD" w:rsidP="00AB3D0E">
      <w:pPr>
        <w:pStyle w:val="Heading3"/>
      </w:pPr>
      <w:bookmarkStart w:id="81" w:name="_Toc149230922"/>
      <w:r w:rsidRPr="00D278AD">
        <w:t>Internal transactions by related entities</w:t>
      </w:r>
      <w:bookmarkEnd w:id="81"/>
    </w:p>
    <w:p w14:paraId="15C310C4" w14:textId="2C7C9BA9" w:rsidR="00D278AD" w:rsidRDefault="008B3A63" w:rsidP="00F65C24">
      <w:r>
        <w:t>P</w:t>
      </w:r>
      <w:r w:rsidR="00E1639D" w:rsidRPr="00E1639D">
        <w:t xml:space="preserve">ayment transactions carried out between </w:t>
      </w:r>
      <w:r w:rsidR="000D56F2">
        <w:t>PSPs</w:t>
      </w:r>
      <w:r w:rsidR="00E1639D" w:rsidRPr="00E1639D">
        <w:t>, or their agents or branches, for their own account</w:t>
      </w:r>
      <w:r>
        <w:t>, are excluded from regulation in</w:t>
      </w:r>
      <w:r w:rsidR="001821C5">
        <w:t xml:space="preserve"> some</w:t>
      </w:r>
      <w:r>
        <w:t xml:space="preserve"> other jurisdictions.</w:t>
      </w:r>
      <w:r w:rsidR="00C80CA9">
        <w:rPr>
          <w:rStyle w:val="FootnoteReference"/>
        </w:rPr>
        <w:footnoteReference w:id="53"/>
      </w:r>
    </w:p>
    <w:p w14:paraId="1D45B6FD" w14:textId="67EF1B1F" w:rsidR="00BE0D5E" w:rsidRDefault="002A0ECB" w:rsidP="00F65C24">
      <w:r>
        <w:t xml:space="preserve">Currently, financial services </w:t>
      </w:r>
      <w:r w:rsidR="00210980">
        <w:t>involv</w:t>
      </w:r>
      <w:r w:rsidR="00E71523">
        <w:t xml:space="preserve">ing non-cash payment facilities are excluded from licensing </w:t>
      </w:r>
      <w:r w:rsidR="00F87C18">
        <w:t>if payments can</w:t>
      </w:r>
      <w:r w:rsidR="00AC1157">
        <w:t xml:space="preserve"> only be made to the issuer of the facility or a related body corporate.</w:t>
      </w:r>
      <w:r w:rsidR="007F7EB2">
        <w:rPr>
          <w:rStyle w:val="FootnoteReference"/>
        </w:rPr>
        <w:footnoteReference w:id="54"/>
      </w:r>
      <w:r w:rsidR="00B13DDF">
        <w:t xml:space="preserve"> A similar exclusion is proposed for </w:t>
      </w:r>
      <w:r w:rsidR="00C05444">
        <w:t xml:space="preserve">all </w:t>
      </w:r>
      <w:r w:rsidR="004B263A">
        <w:t xml:space="preserve">payment transactions </w:t>
      </w:r>
      <w:r w:rsidR="00C05444">
        <w:t xml:space="preserve">between </w:t>
      </w:r>
      <w:r w:rsidR="000D56F2">
        <w:t>PSPs</w:t>
      </w:r>
      <w:r w:rsidR="00F97552">
        <w:t xml:space="preserve"> </w:t>
      </w:r>
      <w:r w:rsidR="005B512B">
        <w:t>for their own account</w:t>
      </w:r>
      <w:r w:rsidR="004B263A">
        <w:t>.</w:t>
      </w:r>
    </w:p>
    <w:p w14:paraId="79E0A59B" w14:textId="512BAE83" w:rsidR="00393E51" w:rsidRDefault="00AB1011" w:rsidP="00437D22">
      <w:pPr>
        <w:pStyle w:val="Heading3"/>
      </w:pPr>
      <w:bookmarkStart w:id="82" w:name="_Toc149230925"/>
      <w:bookmarkStart w:id="83" w:name="_Ref151473211"/>
      <w:r>
        <w:t>Operation</w:t>
      </w:r>
      <w:r w:rsidR="00F926D4">
        <w:t xml:space="preserve"> </w:t>
      </w:r>
      <w:r>
        <w:t xml:space="preserve">of </w:t>
      </w:r>
      <w:r w:rsidR="00F926D4">
        <w:t xml:space="preserve">specified </w:t>
      </w:r>
      <w:r>
        <w:t>p</w:t>
      </w:r>
      <w:r w:rsidR="00393E51">
        <w:t>ayment system</w:t>
      </w:r>
      <w:r w:rsidR="007425E6">
        <w:t>s</w:t>
      </w:r>
      <w:bookmarkEnd w:id="82"/>
      <w:bookmarkEnd w:id="83"/>
    </w:p>
    <w:p w14:paraId="35482B60" w14:textId="034CE31B" w:rsidR="006B0367" w:rsidRDefault="002D040C" w:rsidP="00F65C24">
      <w:r>
        <w:t xml:space="preserve">The licensing regime is intended to regulate </w:t>
      </w:r>
      <w:r w:rsidR="000D56F2">
        <w:t>PSPs</w:t>
      </w:r>
      <w:r>
        <w:t xml:space="preserve">, not </w:t>
      </w:r>
      <w:r w:rsidR="00E7453E">
        <w:t>payment systems</w:t>
      </w:r>
      <w:r w:rsidR="00460430">
        <w:t xml:space="preserve"> </w:t>
      </w:r>
      <w:r w:rsidR="007E30C7">
        <w:t xml:space="preserve">as a whole </w:t>
      </w:r>
      <w:r w:rsidR="00460430">
        <w:t>or payment system</w:t>
      </w:r>
      <w:r w:rsidR="008E1F9B">
        <w:t xml:space="preserve"> operators</w:t>
      </w:r>
      <w:r w:rsidR="00460430">
        <w:t>. Payment systems</w:t>
      </w:r>
      <w:r w:rsidR="00E7453E">
        <w:t xml:space="preserve"> are regulated by the RBA</w:t>
      </w:r>
      <w:r w:rsidR="00B6634F">
        <w:t xml:space="preserve"> and present different risks</w:t>
      </w:r>
      <w:r w:rsidR="00FC0A65">
        <w:t xml:space="preserve"> to </w:t>
      </w:r>
      <w:r w:rsidR="00104754">
        <w:t>PSPs</w:t>
      </w:r>
      <w:r w:rsidR="00A97CE8">
        <w:t xml:space="preserve">. </w:t>
      </w:r>
      <w:r w:rsidR="00104754">
        <w:t>PSPs</w:t>
      </w:r>
      <w:r w:rsidR="003A5F45">
        <w:t xml:space="preserve"> may </w:t>
      </w:r>
      <w:r w:rsidR="00281A16">
        <w:t xml:space="preserve">also </w:t>
      </w:r>
      <w:r w:rsidR="003A5F45">
        <w:t>be ‘participants’ in a payment system</w:t>
      </w:r>
      <w:r w:rsidR="00E7453E" w:rsidRPr="009902EF">
        <w:t xml:space="preserve">. </w:t>
      </w:r>
    </w:p>
    <w:p w14:paraId="7D563B0D" w14:textId="4945D92B" w:rsidR="00D239BB" w:rsidRDefault="004C47D7" w:rsidP="00F65C24">
      <w:r>
        <w:t>As noted above, t</w:t>
      </w:r>
      <w:r w:rsidR="00347143">
        <w:t xml:space="preserve">here is currently an exclusion </w:t>
      </w:r>
      <w:r w:rsidR="008C2D4D">
        <w:t xml:space="preserve">from being a financial product for </w:t>
      </w:r>
      <w:r w:rsidR="008C2D4D" w:rsidRPr="008C2D4D">
        <w:t xml:space="preserve">a facility that is a designated payment system for the purposes of the </w:t>
      </w:r>
      <w:r w:rsidR="008C2D4D">
        <w:t>PSRA.</w:t>
      </w:r>
      <w:r w:rsidR="005B76C8">
        <w:rPr>
          <w:rStyle w:val="FootnoteReference"/>
        </w:rPr>
        <w:footnoteReference w:id="55"/>
      </w:r>
      <w:r w:rsidR="00685142">
        <w:t xml:space="preserve"> </w:t>
      </w:r>
      <w:r w:rsidR="00F16633">
        <w:t xml:space="preserve">The following are </w:t>
      </w:r>
      <w:r w:rsidR="00031B12">
        <w:t xml:space="preserve">currently </w:t>
      </w:r>
      <w:r w:rsidR="00F16633">
        <w:t>designated payment systems: Mastercard</w:t>
      </w:r>
      <w:r w:rsidR="003E0C17">
        <w:t>, Mastercard prepaid</w:t>
      </w:r>
      <w:r w:rsidR="00F16633">
        <w:t>, Visa</w:t>
      </w:r>
      <w:r w:rsidR="00AE0A2E">
        <w:t>, Visa prepaid</w:t>
      </w:r>
      <w:r w:rsidR="00F16633">
        <w:t xml:space="preserve">, </w:t>
      </w:r>
      <w:r w:rsidR="002C36D1">
        <w:t xml:space="preserve">Visa Debit </w:t>
      </w:r>
      <w:r w:rsidR="00623C6E">
        <w:t xml:space="preserve">system, </w:t>
      </w:r>
      <w:r w:rsidR="00103C5E">
        <w:t>EFTPOS,</w:t>
      </w:r>
      <w:r w:rsidR="003E0C17">
        <w:t xml:space="preserve"> EFTPOS prepaid,</w:t>
      </w:r>
      <w:r w:rsidR="00103C5E">
        <w:t xml:space="preserve"> </w:t>
      </w:r>
      <w:r w:rsidR="003807C3">
        <w:t xml:space="preserve">and the </w:t>
      </w:r>
      <w:r w:rsidR="00103C5E">
        <w:t>ATM system</w:t>
      </w:r>
      <w:r w:rsidR="003807C3">
        <w:t>.</w:t>
      </w:r>
      <w:r w:rsidR="003807C3">
        <w:rPr>
          <w:rStyle w:val="FootnoteReference"/>
        </w:rPr>
        <w:footnoteReference w:id="56"/>
      </w:r>
      <w:r w:rsidR="00560477">
        <w:t xml:space="preserve"> </w:t>
      </w:r>
      <w:r w:rsidR="00606A7F">
        <w:t xml:space="preserve">Payment activities performed </w:t>
      </w:r>
      <w:r w:rsidR="00F0232A">
        <w:t>by a designated payment system are typically excluded in other jurisdictions.</w:t>
      </w:r>
      <w:r w:rsidR="00F0232A">
        <w:rPr>
          <w:rStyle w:val="FootnoteReference"/>
        </w:rPr>
        <w:footnoteReference w:id="57"/>
      </w:r>
      <w:r>
        <w:t xml:space="preserve"> </w:t>
      </w:r>
    </w:p>
    <w:p w14:paraId="1B6D8F01" w14:textId="3315CAC7" w:rsidR="00994CA1" w:rsidRDefault="004C47D7" w:rsidP="00F65C24">
      <w:r>
        <w:lastRenderedPageBreak/>
        <w:t>However,</w:t>
      </w:r>
      <w:r w:rsidR="00EB6FD4">
        <w:t xml:space="preserve"> under the PSRA reforms</w:t>
      </w:r>
      <w:r w:rsidR="001348B1">
        <w:t>,</w:t>
      </w:r>
      <w:r w:rsidR="00EB6FD4">
        <w:t xml:space="preserve"> the meaning of ‘payment system’ will expand and</w:t>
      </w:r>
      <w:r>
        <w:t xml:space="preserve"> the RBA may designate a</w:t>
      </w:r>
      <w:r w:rsidR="00EB6FD4">
        <w:t xml:space="preserve"> </w:t>
      </w:r>
      <w:r w:rsidR="00B85CC9">
        <w:t xml:space="preserve">range of other </w:t>
      </w:r>
      <w:r w:rsidR="00D51991">
        <w:t>systems</w:t>
      </w:r>
      <w:r w:rsidR="00AA766A">
        <w:t xml:space="preserve"> </w:t>
      </w:r>
      <w:r w:rsidR="00EB6FD4">
        <w:t>as a ‘payment system’</w:t>
      </w:r>
      <w:r w:rsidR="001A6609">
        <w:t xml:space="preserve">. </w:t>
      </w:r>
    </w:p>
    <w:p w14:paraId="4A2F1159" w14:textId="6C11CB4F" w:rsidR="00994290" w:rsidRDefault="004F78E3" w:rsidP="00F65C24">
      <w:r>
        <w:t xml:space="preserve">To preserve the application of the existing </w:t>
      </w:r>
      <w:r w:rsidR="00145EEF">
        <w:t xml:space="preserve">exclusion </w:t>
      </w:r>
      <w:r>
        <w:t xml:space="preserve">for designated payment systems and provide a mechanism to exempt other systems </w:t>
      </w:r>
      <w:r w:rsidR="00835651">
        <w:t>as appropriate</w:t>
      </w:r>
      <w:r>
        <w:t>, t</w:t>
      </w:r>
      <w:r w:rsidR="00994CA1">
        <w:t>he</w:t>
      </w:r>
      <w:r w:rsidR="00433B2D">
        <w:t xml:space="preserve"> PSRA reforms </w:t>
      </w:r>
      <w:r w:rsidR="0065235A">
        <w:t xml:space="preserve">propose to </w:t>
      </w:r>
      <w:r w:rsidR="00D76ECB">
        <w:t>amend</w:t>
      </w:r>
      <w:r w:rsidR="00054C63">
        <w:t xml:space="preserve"> this</w:t>
      </w:r>
      <w:r w:rsidR="001E632F">
        <w:t xml:space="preserve"> </w:t>
      </w:r>
      <w:r w:rsidR="00C11271">
        <w:t>exclusion</w:t>
      </w:r>
      <w:r w:rsidR="00921041">
        <w:t>,</w:t>
      </w:r>
      <w:r w:rsidR="001E632F">
        <w:t xml:space="preserve"> </w:t>
      </w:r>
      <w:r w:rsidR="00433B2D">
        <w:t>replac</w:t>
      </w:r>
      <w:r w:rsidR="00921041">
        <w:t>ing</w:t>
      </w:r>
      <w:r w:rsidR="00433B2D">
        <w:t xml:space="preserve"> it with</w:t>
      </w:r>
      <w:r w:rsidR="001E632F">
        <w:t xml:space="preserve"> a</w:t>
      </w:r>
      <w:r w:rsidR="00565821">
        <w:t xml:space="preserve">n </w:t>
      </w:r>
      <w:r w:rsidR="00AF28F5" w:rsidRPr="002601DF">
        <w:t xml:space="preserve">exclusion </w:t>
      </w:r>
      <w:r w:rsidR="00565821" w:rsidRPr="002601DF">
        <w:t xml:space="preserve">for </w:t>
      </w:r>
      <w:r w:rsidR="00FC540F" w:rsidRPr="002601DF">
        <w:rPr>
          <w:rStyle w:val="ui-provider"/>
        </w:rPr>
        <w:t>designated payment systems or special designated payment system</w:t>
      </w:r>
      <w:r w:rsidR="006E71E3" w:rsidRPr="002601DF">
        <w:rPr>
          <w:rStyle w:val="ui-provider"/>
        </w:rPr>
        <w:t>s</w:t>
      </w:r>
      <w:r w:rsidR="00FC540F" w:rsidRPr="002601DF">
        <w:rPr>
          <w:rStyle w:val="ui-provider"/>
        </w:rPr>
        <w:t xml:space="preserve"> that </w:t>
      </w:r>
      <w:r w:rsidR="00FC540F">
        <w:rPr>
          <w:rStyle w:val="ui-provider"/>
        </w:rPr>
        <w:t>ha</w:t>
      </w:r>
      <w:r w:rsidR="00C15A31">
        <w:rPr>
          <w:rStyle w:val="ui-provider"/>
        </w:rPr>
        <w:t>ve</w:t>
      </w:r>
      <w:r w:rsidR="00FC540F" w:rsidRPr="002601DF">
        <w:rPr>
          <w:rStyle w:val="ui-provider"/>
        </w:rPr>
        <w:t xml:space="preserve"> been declared by regulations not to be a financial produc</w:t>
      </w:r>
      <w:r w:rsidR="006E71E3" w:rsidRPr="002601DF">
        <w:rPr>
          <w:rStyle w:val="ui-provider"/>
        </w:rPr>
        <w:t>t</w:t>
      </w:r>
      <w:r w:rsidR="00565821" w:rsidRPr="002601DF">
        <w:t>.</w:t>
      </w:r>
      <w:r w:rsidR="00827166">
        <w:rPr>
          <w:rStyle w:val="FootnoteReference"/>
        </w:rPr>
        <w:footnoteReference w:id="58"/>
      </w:r>
      <w:r w:rsidR="00977C3B">
        <w:t xml:space="preserve"> </w:t>
      </w:r>
      <w:r w:rsidR="00D12EF1">
        <w:t xml:space="preserve">The </w:t>
      </w:r>
      <w:r w:rsidR="00B67FC7">
        <w:t xml:space="preserve">existing </w:t>
      </w:r>
      <w:r w:rsidR="007D0A93">
        <w:t>account-to-account payment systems and card schemes</w:t>
      </w:r>
      <w:r w:rsidR="00270BFC">
        <w:t xml:space="preserve"> </w:t>
      </w:r>
      <w:r w:rsidR="003250DB">
        <w:t xml:space="preserve">would </w:t>
      </w:r>
      <w:r w:rsidR="00433B2D">
        <w:t xml:space="preserve">then </w:t>
      </w:r>
      <w:r w:rsidR="00270BFC">
        <w:t xml:space="preserve">be </w:t>
      </w:r>
      <w:r w:rsidR="00F73084">
        <w:t xml:space="preserve">prescribed as </w:t>
      </w:r>
      <w:r w:rsidR="007C57F5">
        <w:t>specified payment systems.</w:t>
      </w:r>
      <w:r w:rsidR="007021CD">
        <w:t xml:space="preserve"> </w:t>
      </w:r>
      <w:r w:rsidR="00C866BB">
        <w:t xml:space="preserve">It would also allow consideration to be given to whether any additional payment systems </w:t>
      </w:r>
      <w:r w:rsidR="00465A4E">
        <w:t>should be similarly exempted.</w:t>
      </w:r>
      <w:r w:rsidR="002B6B8B">
        <w:rPr>
          <w:rStyle w:val="FootnoteReference"/>
        </w:rPr>
        <w:footnoteReference w:id="59"/>
      </w:r>
      <w:r w:rsidR="007021CD">
        <w:t xml:space="preserve"> </w:t>
      </w:r>
      <w:r w:rsidR="00D52AC3">
        <w:t xml:space="preserve">This </w:t>
      </w:r>
      <w:r w:rsidR="00B573B8">
        <w:t>change</w:t>
      </w:r>
      <w:r w:rsidR="00D52AC3">
        <w:t xml:space="preserve"> is intended </w:t>
      </w:r>
      <w:r w:rsidR="00070EDF">
        <w:t xml:space="preserve">as an interim measure to avoid unintended consequences </w:t>
      </w:r>
      <w:r w:rsidR="00091958">
        <w:t>from</w:t>
      </w:r>
      <w:r w:rsidR="00915D53">
        <w:t xml:space="preserve"> the </w:t>
      </w:r>
      <w:r w:rsidR="001C21A4">
        <w:t>PSRA reforms</w:t>
      </w:r>
      <w:r w:rsidR="00BE3E22">
        <w:t>.</w:t>
      </w:r>
      <w:r w:rsidR="00915D53">
        <w:t xml:space="preserve"> </w:t>
      </w:r>
      <w:r w:rsidR="00BE3E22">
        <w:t>H</w:t>
      </w:r>
      <w:r w:rsidR="00915D53">
        <w:t>owever</w:t>
      </w:r>
      <w:r w:rsidR="00D01A12">
        <w:t>,</w:t>
      </w:r>
      <w:r w:rsidR="00BE3E22">
        <w:t xml:space="preserve"> given the </w:t>
      </w:r>
      <w:r w:rsidR="00081E66">
        <w:t>complex and varied nature of payment systems today,</w:t>
      </w:r>
      <w:r w:rsidR="00D01A12">
        <w:t xml:space="preserve"> it </w:t>
      </w:r>
      <w:r w:rsidR="00BE3E22">
        <w:t xml:space="preserve">may be more </w:t>
      </w:r>
      <w:r w:rsidR="00081E66">
        <w:t>appropriate</w:t>
      </w:r>
      <w:r w:rsidR="00D01A12">
        <w:t xml:space="preserve"> </w:t>
      </w:r>
      <w:r w:rsidR="00081E66">
        <w:t>to remove the exemption altogether</w:t>
      </w:r>
      <w:r w:rsidR="008632B4">
        <w:t xml:space="preserve">, to avoid limiting ASIC’s ability to regulate </w:t>
      </w:r>
      <w:r w:rsidR="005721B2">
        <w:t xml:space="preserve">designated payment systems if they </w:t>
      </w:r>
      <w:r w:rsidR="00835651">
        <w:t xml:space="preserve">should </w:t>
      </w:r>
      <w:r w:rsidR="005721B2">
        <w:t xml:space="preserve">also </w:t>
      </w:r>
      <w:r w:rsidR="00835651">
        <w:t xml:space="preserve">be regulated </w:t>
      </w:r>
      <w:r w:rsidR="00C229E5">
        <w:t xml:space="preserve">under the </w:t>
      </w:r>
      <w:r w:rsidR="00C229E5" w:rsidRPr="00E00664">
        <w:rPr>
          <w:i/>
        </w:rPr>
        <w:t>Corporations Act</w:t>
      </w:r>
      <w:r w:rsidR="00C229E5">
        <w:t xml:space="preserve"> and </w:t>
      </w:r>
      <w:r w:rsidR="00A55982">
        <w:t xml:space="preserve">the </w:t>
      </w:r>
      <w:r w:rsidR="009B1BA8" w:rsidRPr="00E00664">
        <w:rPr>
          <w:i/>
        </w:rPr>
        <w:t>ASIC Act</w:t>
      </w:r>
      <w:r w:rsidR="00D85FFD">
        <w:t>.</w:t>
      </w:r>
      <w:r w:rsidR="00D52AC3">
        <w:t xml:space="preserve"> </w:t>
      </w:r>
      <w:r w:rsidR="00C672FD">
        <w:t xml:space="preserve">Alternatively, </w:t>
      </w:r>
      <w:r w:rsidR="00BB4EC9">
        <w:t xml:space="preserve">the interim exemption could be replaced by </w:t>
      </w:r>
      <w:r w:rsidR="00FA49A5">
        <w:t xml:space="preserve">a more principles-based </w:t>
      </w:r>
      <w:r w:rsidR="00BF23F9">
        <w:t>exclusion</w:t>
      </w:r>
      <w:r w:rsidR="00FA49A5">
        <w:t xml:space="preserve"> for </w:t>
      </w:r>
      <w:r w:rsidR="00BF23F9">
        <w:t xml:space="preserve">the underlying operation of </w:t>
      </w:r>
      <w:r w:rsidR="003925D6">
        <w:t>a payment system</w:t>
      </w:r>
      <w:r w:rsidR="001950DD">
        <w:t>, whether designated or not</w:t>
      </w:r>
      <w:r w:rsidR="003925D6">
        <w:t>.</w:t>
      </w:r>
    </w:p>
    <w:p w14:paraId="351C9658" w14:textId="44BCD58E" w:rsidR="004F3F42" w:rsidRPr="004F3F42" w:rsidRDefault="008B7437" w:rsidP="00F65C24">
      <w:r>
        <w:t>T</w:t>
      </w:r>
      <w:r w:rsidR="00253BCB">
        <w:t>he</w:t>
      </w:r>
      <w:r w:rsidR="00253BCB" w:rsidDel="001950DD">
        <w:t xml:space="preserve"> </w:t>
      </w:r>
      <w:r w:rsidR="001950DD">
        <w:t xml:space="preserve">exclusion </w:t>
      </w:r>
      <w:r w:rsidR="00253BCB">
        <w:t>would only be for the underlying operation of the specified payment systems. Accordingly</w:t>
      </w:r>
      <w:r w:rsidR="0055669A">
        <w:t>, if a payment system operator</w:t>
      </w:r>
      <w:r w:rsidR="004670F4">
        <w:t xml:space="preserve"> </w:t>
      </w:r>
      <w:r w:rsidR="003E2E43">
        <w:t xml:space="preserve">also provided </w:t>
      </w:r>
      <w:r w:rsidR="00BD3C2D">
        <w:t xml:space="preserve">merchant facing or customer facing services, such as </w:t>
      </w:r>
      <w:r w:rsidR="009E59A4">
        <w:t xml:space="preserve">issuing </w:t>
      </w:r>
      <w:r w:rsidR="00065908">
        <w:t>Payment Instrument</w:t>
      </w:r>
      <w:r w:rsidR="009E59A4">
        <w:t xml:space="preserve">s, </w:t>
      </w:r>
      <w:r w:rsidR="00130C0E">
        <w:t>those services would be captured.</w:t>
      </w:r>
      <w:r w:rsidR="001E2170">
        <w:t xml:space="preserve"> </w:t>
      </w:r>
    </w:p>
    <w:tbl>
      <w:tblPr>
        <w:tblStyle w:val="TableGrid"/>
        <w:tblpPr w:leftFromText="180" w:rightFromText="180" w:vertAnchor="text" w:horzAnchor="margin" w:tblpY="155"/>
        <w:tblW w:w="0" w:type="auto"/>
        <w:tblLook w:val="04A0" w:firstRow="1" w:lastRow="0" w:firstColumn="1" w:lastColumn="0" w:noHBand="0" w:noVBand="1"/>
      </w:tblPr>
      <w:tblGrid>
        <w:gridCol w:w="9070"/>
      </w:tblGrid>
      <w:tr w:rsidR="004F3F42" w14:paraId="0965175B"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44D8794A" w14:textId="6CD580E8" w:rsidR="004F3F42" w:rsidRPr="00F96157" w:rsidRDefault="004F3F42" w:rsidP="00E42AA2">
            <w:pPr>
              <w:spacing w:before="96" w:after="96"/>
              <w:rPr>
                <w:b w:val="0"/>
                <w:u w:val="single"/>
              </w:rPr>
            </w:pPr>
            <w:r w:rsidRPr="00F96157">
              <w:rPr>
                <w:u w:val="single"/>
              </w:rPr>
              <w:t>Consultation question</w:t>
            </w:r>
          </w:p>
          <w:p w14:paraId="28E8E34F" w14:textId="708BA4E0" w:rsidR="004F3F42" w:rsidRPr="004F3F42" w:rsidRDefault="004F3F42" w:rsidP="001D123F">
            <w:pPr>
              <w:pStyle w:val="Consultationquestions"/>
              <w:numPr>
                <w:ilvl w:val="0"/>
                <w:numId w:val="100"/>
              </w:numPr>
            </w:pPr>
            <w:r>
              <w:rPr>
                <w:bCs w:val="0"/>
              </w:rPr>
              <w:t xml:space="preserve">Is the </w:t>
            </w:r>
            <w:r w:rsidR="005570D0">
              <w:rPr>
                <w:bCs w:val="0"/>
              </w:rPr>
              <w:t xml:space="preserve">proposed amended </w:t>
            </w:r>
            <w:r>
              <w:rPr>
                <w:bCs w:val="0"/>
              </w:rPr>
              <w:t xml:space="preserve">exemption for designated payment systems </w:t>
            </w:r>
            <w:r w:rsidR="00C46F08">
              <w:rPr>
                <w:bCs w:val="0"/>
              </w:rPr>
              <w:t>that have been declared not to be a financial product</w:t>
            </w:r>
            <w:r>
              <w:rPr>
                <w:bCs w:val="0"/>
              </w:rPr>
              <w:t xml:space="preserve"> appropriate or should it be further revised, replaced or removed?   </w:t>
            </w:r>
          </w:p>
        </w:tc>
      </w:tr>
    </w:tbl>
    <w:p w14:paraId="714E2E6C" w14:textId="77777777" w:rsidR="0078179F" w:rsidRDefault="0078179F" w:rsidP="0078179F">
      <w:pPr>
        <w:pStyle w:val="Heading3"/>
      </w:pPr>
      <w:r>
        <w:t>Global financial messaging infrastructure</w:t>
      </w:r>
    </w:p>
    <w:p w14:paraId="3E057539" w14:textId="3AEDCC2A" w:rsidR="004F3F42" w:rsidRPr="00CF6AE5" w:rsidRDefault="0054022E" w:rsidP="00F65C24">
      <w:r>
        <w:t>Global</w:t>
      </w:r>
      <w:r w:rsidR="0078179F">
        <w:t xml:space="preserve"> financial messaging infrastructure that is subject to oversight by relevant regulators, such as the </w:t>
      </w:r>
      <w:r w:rsidR="0078179F" w:rsidRPr="003560C0">
        <w:t>Society for Worldwide Interbank Financial Telecommunications</w:t>
      </w:r>
      <w:r w:rsidR="0078179F">
        <w:t xml:space="preserve"> (SWIFT), </w:t>
      </w:r>
      <w:r>
        <w:t xml:space="preserve">is not intended to be captured as a </w:t>
      </w:r>
      <w:r w:rsidR="00D65CC9">
        <w:t>payment service</w:t>
      </w:r>
      <w:r w:rsidR="0078179F">
        <w:t xml:space="preserve">. </w:t>
      </w:r>
      <w:r w:rsidR="0078179F" w:rsidRPr="003560C0">
        <w:t>SWIFT</w:t>
      </w:r>
      <w:r w:rsidR="0078179F">
        <w:t xml:space="preserve"> </w:t>
      </w:r>
      <w:r w:rsidR="0078179F" w:rsidRPr="003560C0">
        <w:t>is a global messaging system that is used to facilitate transactions between banks across national borders.</w:t>
      </w:r>
      <w:r w:rsidR="0078179F">
        <w:t xml:space="preserve"> SWIFT is excluded from payment services regulation in a number of jurisdictions on the basis that it is already subject to oversight by many major central banks, including the</w:t>
      </w:r>
      <w:r w:rsidR="0019023D">
        <w:t xml:space="preserve"> RBA.</w:t>
      </w:r>
      <w:r w:rsidR="00D9177E">
        <w:rPr>
          <w:rStyle w:val="FootnoteReference"/>
        </w:rPr>
        <w:footnoteReference w:id="60"/>
      </w:r>
      <w:r w:rsidR="0078179F">
        <w:t xml:space="preserve"> </w:t>
      </w:r>
    </w:p>
    <w:tbl>
      <w:tblPr>
        <w:tblStyle w:val="TableGrid"/>
        <w:tblpPr w:leftFromText="180" w:rightFromText="180" w:vertAnchor="text" w:horzAnchor="margin" w:tblpY="155"/>
        <w:tblW w:w="0" w:type="auto"/>
        <w:tblLook w:val="04A0" w:firstRow="1" w:lastRow="0" w:firstColumn="1" w:lastColumn="0" w:noHBand="0" w:noVBand="1"/>
      </w:tblPr>
      <w:tblGrid>
        <w:gridCol w:w="9070"/>
      </w:tblGrid>
      <w:tr w:rsidR="00FF5F2F" w14:paraId="7B61B7EC" w14:textId="77777777" w:rsidTr="002644A2">
        <w:trPr>
          <w:cnfStyle w:val="100000000000" w:firstRow="1" w:lastRow="0" w:firstColumn="0" w:lastColumn="0" w:oddVBand="0" w:evenVBand="0" w:oddHBand="0" w:evenHBand="0" w:firstRowFirstColumn="0" w:firstRowLastColumn="0" w:lastRowFirstColumn="0" w:lastRowLastColumn="0"/>
        </w:trPr>
        <w:tc>
          <w:tcPr>
            <w:tcW w:w="9070" w:type="dxa"/>
          </w:tcPr>
          <w:p w14:paraId="07F46349" w14:textId="5DDF8F8A" w:rsidR="00FF5F2F" w:rsidRPr="005E0C34" w:rsidRDefault="00FF5F2F" w:rsidP="00E42AA2">
            <w:pPr>
              <w:spacing w:before="96" w:after="96"/>
              <w:rPr>
                <w:b w:val="0"/>
                <w:u w:val="single"/>
              </w:rPr>
            </w:pPr>
            <w:r w:rsidRPr="005E0C34">
              <w:rPr>
                <w:u w:val="single"/>
              </w:rPr>
              <w:t>Consultation question</w:t>
            </w:r>
          </w:p>
          <w:p w14:paraId="459189D6" w14:textId="35ABF5F8" w:rsidR="00F65970" w:rsidRPr="009A773E" w:rsidRDefault="00F65970" w:rsidP="001D123F">
            <w:pPr>
              <w:pStyle w:val="Consultationquestions"/>
              <w:numPr>
                <w:ilvl w:val="0"/>
                <w:numId w:val="100"/>
              </w:numPr>
            </w:pPr>
            <w:r w:rsidRPr="00BC4C78">
              <w:rPr>
                <w:bCs w:val="0"/>
              </w:rPr>
              <w:t xml:space="preserve">Should </w:t>
            </w:r>
            <w:r w:rsidR="00613858">
              <w:rPr>
                <w:bCs w:val="0"/>
              </w:rPr>
              <w:t xml:space="preserve">there be an exclusion for </w:t>
            </w:r>
            <w:r w:rsidRPr="00BC4C78">
              <w:rPr>
                <w:bCs w:val="0"/>
              </w:rPr>
              <w:t>global financial messaging infrastructure</w:t>
            </w:r>
            <w:r w:rsidR="00715AC9" w:rsidRPr="00BC4C78">
              <w:rPr>
                <w:bCs w:val="0"/>
              </w:rPr>
              <w:t>?</w:t>
            </w:r>
            <w:r w:rsidR="006202B6" w:rsidRPr="00BC4C78">
              <w:rPr>
                <w:bCs w:val="0"/>
              </w:rPr>
              <w:t xml:space="preserve"> For example, </w:t>
            </w:r>
            <w:r w:rsidR="00BC4C78" w:rsidRPr="00BC4C78">
              <w:rPr>
                <w:bCs w:val="0"/>
              </w:rPr>
              <w:t xml:space="preserve">Singapore </w:t>
            </w:r>
            <w:r w:rsidR="00AE682C">
              <w:rPr>
                <w:bCs w:val="0"/>
              </w:rPr>
              <w:t>excludes from regulation</w:t>
            </w:r>
            <w:r w:rsidR="00BC4C78" w:rsidRPr="00BC4C78">
              <w:rPr>
                <w:bCs w:val="0"/>
              </w:rPr>
              <w:t xml:space="preserve"> ‘</w:t>
            </w:r>
            <w:r w:rsidR="00BC4C78">
              <w:rPr>
                <w:bCs w:val="0"/>
              </w:rPr>
              <w:t>g</w:t>
            </w:r>
            <w:r w:rsidR="00BC4C78" w:rsidRPr="00BC4C78">
              <w:t xml:space="preserve">lobal financial messaging infrastructure which are subject to oversight </w:t>
            </w:r>
            <w:r w:rsidR="00BC4C78" w:rsidRPr="007E3159">
              <w:rPr>
                <w:bCs w:val="0"/>
              </w:rPr>
              <w:t>by relevant regulators</w:t>
            </w:r>
            <w:r w:rsidR="003E6CC0">
              <w:rPr>
                <w:bCs w:val="0"/>
              </w:rPr>
              <w:t>’</w:t>
            </w:r>
            <w:r w:rsidR="00BF6F0C">
              <w:rPr>
                <w:bCs w:val="0"/>
              </w:rPr>
              <w:t>.</w:t>
            </w:r>
            <w:r w:rsidR="00BF6F0C">
              <w:rPr>
                <w:rStyle w:val="FootnoteReference"/>
                <w:bCs w:val="0"/>
              </w:rPr>
              <w:footnoteReference w:id="61"/>
            </w:r>
          </w:p>
        </w:tc>
      </w:tr>
    </w:tbl>
    <w:p w14:paraId="0E4C243A" w14:textId="7A5C094D" w:rsidR="00BA3423" w:rsidRDefault="00BA3423" w:rsidP="00AB3D0E">
      <w:pPr>
        <w:pStyle w:val="Heading3"/>
      </w:pPr>
      <w:bookmarkStart w:id="84" w:name="_Toc149230926"/>
      <w:r>
        <w:lastRenderedPageBreak/>
        <w:t>Other specific exclusions</w:t>
      </w:r>
      <w:bookmarkEnd w:id="84"/>
    </w:p>
    <w:p w14:paraId="00280F0A" w14:textId="025D549B" w:rsidR="00847D0B" w:rsidRDefault="00AF581F" w:rsidP="00F65C24">
      <w:r>
        <w:t xml:space="preserve">Some </w:t>
      </w:r>
      <w:r w:rsidR="00235DE9">
        <w:t>specific</w:t>
      </w:r>
      <w:r>
        <w:t xml:space="preserve"> </w:t>
      </w:r>
      <w:r w:rsidR="00AC6CD2">
        <w:t xml:space="preserve">payment-related activities </w:t>
      </w:r>
      <w:r>
        <w:t xml:space="preserve">may be </w:t>
      </w:r>
      <w:r w:rsidR="000E4556">
        <w:t xml:space="preserve">appropriate </w:t>
      </w:r>
      <w:r>
        <w:t xml:space="preserve">to exclude </w:t>
      </w:r>
      <w:r w:rsidR="00383C8D">
        <w:t xml:space="preserve">if they </w:t>
      </w:r>
      <w:r w:rsidR="00B17BAE">
        <w:t xml:space="preserve">pose limited risks or are otherwise already subject to </w:t>
      </w:r>
      <w:r w:rsidR="00FD1500">
        <w:t xml:space="preserve">a regulatory framework. </w:t>
      </w:r>
      <w:r w:rsidR="00A63BE1">
        <w:t xml:space="preserve">Feedback is sought on whether </w:t>
      </w:r>
      <w:r w:rsidR="002F00B6">
        <w:t>there should be any other specific exclusions, including for</w:t>
      </w:r>
      <w:r w:rsidR="005A0B42">
        <w:t>:</w:t>
      </w:r>
      <w:r w:rsidR="00BF72DC">
        <w:t xml:space="preserve"> </w:t>
      </w:r>
      <w:r w:rsidR="00941B43">
        <w:t xml:space="preserve">(i) </w:t>
      </w:r>
      <w:r w:rsidR="00DC7990">
        <w:t>not-for-profit/</w:t>
      </w:r>
      <w:r w:rsidR="00BA3423" w:rsidRPr="00701701">
        <w:t xml:space="preserve">charitable </w:t>
      </w:r>
      <w:r w:rsidR="007B6998">
        <w:t>and religious</w:t>
      </w:r>
      <w:r w:rsidR="0011602B">
        <w:t xml:space="preserve"> </w:t>
      </w:r>
      <w:r w:rsidR="00E92BB3">
        <w:t>activities</w:t>
      </w:r>
      <w:r w:rsidR="00941B43">
        <w:t>;</w:t>
      </w:r>
      <w:r w:rsidR="005F582E">
        <w:rPr>
          <w:rStyle w:val="FootnoteReference"/>
        </w:rPr>
        <w:footnoteReference w:id="62"/>
      </w:r>
      <w:r w:rsidR="001973DB">
        <w:t xml:space="preserve"> and</w:t>
      </w:r>
      <w:r w:rsidR="00BF72DC">
        <w:t xml:space="preserve"> </w:t>
      </w:r>
      <w:r w:rsidR="00941B43">
        <w:t>(ii)</w:t>
      </w:r>
      <w:r w:rsidR="002F6138">
        <w:t> </w:t>
      </w:r>
      <w:r w:rsidR="00147B3B">
        <w:t xml:space="preserve">electronic </w:t>
      </w:r>
      <w:r w:rsidR="00F91100">
        <w:t>lodgement network operators</w:t>
      </w:r>
      <w:r w:rsidR="00FD6C85">
        <w:t>.</w:t>
      </w:r>
      <w:r w:rsidR="00E92341">
        <w:rPr>
          <w:rStyle w:val="FootnoteReference"/>
        </w:rPr>
        <w:footnoteReference w:id="63"/>
      </w:r>
    </w:p>
    <w:p w14:paraId="0448C9E5" w14:textId="3B28426D" w:rsidR="002D01BC" w:rsidRDefault="002D01BC" w:rsidP="00437D22">
      <w:pPr>
        <w:pStyle w:val="Heading4"/>
      </w:pPr>
      <w:r>
        <w:t>Salary packaging and processing</w:t>
      </w:r>
    </w:p>
    <w:p w14:paraId="6F7A899C" w14:textId="449D604C" w:rsidR="006822C3" w:rsidRPr="0050658A" w:rsidRDefault="002D01BC" w:rsidP="00F65C24">
      <w:r>
        <w:t>S</w:t>
      </w:r>
      <w:r w:rsidR="00757161">
        <w:t xml:space="preserve">ubmissions in response to CP1 requested that a specific exemption be given for salary packaging and payroll services. </w:t>
      </w:r>
      <w:r w:rsidR="0059616C">
        <w:t xml:space="preserve">For </w:t>
      </w:r>
      <w:r w:rsidR="00D04655">
        <w:t>businesses such as salary</w:t>
      </w:r>
      <w:r w:rsidR="0059616C">
        <w:t xml:space="preserve"> packaging and payroll services</w:t>
      </w:r>
      <w:r w:rsidR="00B80D50">
        <w:t xml:space="preserve"> whose activities may fall within one of the payment functions described in this paper,</w:t>
      </w:r>
      <w:r w:rsidR="0059616C">
        <w:t xml:space="preserve"> it is unclear what policy justification</w:t>
      </w:r>
      <w:r w:rsidR="00807CBB">
        <w:t xml:space="preserve"> there is to </w:t>
      </w:r>
      <w:r w:rsidR="009A5CE0">
        <w:t xml:space="preserve">warrant </w:t>
      </w:r>
      <w:r w:rsidR="00807CBB">
        <w:t>specifically exclud</w:t>
      </w:r>
      <w:r w:rsidR="009A5CE0">
        <w:t>ing</w:t>
      </w:r>
      <w:r w:rsidR="00807CBB">
        <w:t xml:space="preserve"> these </w:t>
      </w:r>
      <w:r w:rsidR="009A5CE0">
        <w:t>businesses fr</w:t>
      </w:r>
      <w:r w:rsidR="00DB3F85">
        <w:t xml:space="preserve">om </w:t>
      </w:r>
      <w:r w:rsidR="008C2C60">
        <w:t xml:space="preserve">holding an </w:t>
      </w:r>
      <w:r w:rsidR="006C79C4">
        <w:t>AFS</w:t>
      </w:r>
      <w:r w:rsidR="008C2C60">
        <w:t>L</w:t>
      </w:r>
      <w:r w:rsidR="006C79C4">
        <w:t>.</w:t>
      </w:r>
      <w:r w:rsidR="00843F7B">
        <w:t xml:space="preserve"> </w:t>
      </w:r>
      <w:r w:rsidR="006C79C4">
        <w:t xml:space="preserve">In addition, </w:t>
      </w:r>
      <w:r w:rsidR="00AD68FB">
        <w:t xml:space="preserve">many of these companies are likely to already hold an AFSL, </w:t>
      </w:r>
      <w:r w:rsidR="006D4D09">
        <w:t>where they provide a</w:t>
      </w:r>
      <w:r w:rsidR="00AD68FB">
        <w:t xml:space="preserve"> </w:t>
      </w:r>
      <w:r w:rsidR="00843F7B">
        <w:t>non-cash payment facility</w:t>
      </w:r>
      <w:r w:rsidR="006E6C64">
        <w:t>.</w:t>
      </w:r>
      <w:r w:rsidR="00937E8F">
        <w:rPr>
          <w:rStyle w:val="FootnoteReference"/>
        </w:rPr>
        <w:footnoteReference w:id="64"/>
      </w:r>
      <w:r w:rsidR="00807CBB">
        <w:t xml:space="preserve"> </w:t>
      </w:r>
      <w:r w:rsidR="00A90358">
        <w:t xml:space="preserve">Submissions noted that payroll </w:t>
      </w:r>
      <w:r w:rsidR="00F6662E">
        <w:t xml:space="preserve">and salary packaging </w:t>
      </w:r>
      <w:r w:rsidR="007C49D1">
        <w:t>companies may be subject to other regulations includ</w:t>
      </w:r>
      <w:r w:rsidR="00431F83">
        <w:t>ing</w:t>
      </w:r>
      <w:r w:rsidR="007C49D1">
        <w:t xml:space="preserve"> employment, </w:t>
      </w:r>
      <w:r w:rsidR="00F6662E">
        <w:t>superannuation and taxation laws</w:t>
      </w:r>
      <w:r w:rsidR="001A48F7">
        <w:t xml:space="preserve">, however such laws do not </w:t>
      </w:r>
      <w:r w:rsidR="002F3FBD">
        <w:t xml:space="preserve">appear to </w:t>
      </w:r>
      <w:r w:rsidR="001A48F7">
        <w:t xml:space="preserve">provide the equivalent safeguards </w:t>
      </w:r>
      <w:r w:rsidR="00DF7F57">
        <w:t>to</w:t>
      </w:r>
      <w:r w:rsidR="001A48F7">
        <w:t xml:space="preserve"> the AFS framework</w:t>
      </w:r>
      <w:r w:rsidR="00F6662E">
        <w:t xml:space="preserve">. </w:t>
      </w:r>
    </w:p>
    <w:p w14:paraId="5933CC26" w14:textId="03C8ECD4" w:rsidR="006822C3" w:rsidRPr="00CD3316" w:rsidRDefault="006822C3" w:rsidP="00CD3316">
      <w:pPr>
        <w:pStyle w:val="Heading4"/>
      </w:pPr>
      <w:r w:rsidRPr="00CD3316">
        <w:t xml:space="preserve">Loyalty schemes </w:t>
      </w:r>
    </w:p>
    <w:p w14:paraId="0202A1E2" w14:textId="70AB3A96" w:rsidR="006822C3" w:rsidRPr="00437D22" w:rsidRDefault="00CA7E9C" w:rsidP="00F65C24">
      <w:r w:rsidRPr="00437D22">
        <w:t xml:space="preserve">ASIC has declared </w:t>
      </w:r>
      <w:r w:rsidR="006822C3" w:rsidRPr="00437D22">
        <w:t xml:space="preserve">that </w:t>
      </w:r>
      <w:r w:rsidR="002D72B7">
        <w:t>loyalty schemes</w:t>
      </w:r>
      <w:r w:rsidR="00353C9A" w:rsidRPr="00437D22">
        <w:t xml:space="preserve"> are not financial products.</w:t>
      </w:r>
      <w:r w:rsidR="00353C9A" w:rsidRPr="00437D22">
        <w:rPr>
          <w:rStyle w:val="FootnoteReference"/>
        </w:rPr>
        <w:footnoteReference w:id="65"/>
      </w:r>
      <w:r w:rsidR="00353C9A">
        <w:rPr>
          <w:iCs/>
        </w:rPr>
        <w:t xml:space="preserve"> </w:t>
      </w:r>
      <w:r w:rsidR="005902E2">
        <w:rPr>
          <w:iCs/>
        </w:rPr>
        <w:t xml:space="preserve">Loyalty schemes are </w:t>
      </w:r>
      <w:r w:rsidR="00D90FCE">
        <w:t xml:space="preserve">typically </w:t>
      </w:r>
      <w:r w:rsidR="005902E2">
        <w:t xml:space="preserve">issued at limited cost (if any) to the client and as marketing tools ancillary to other services (such as credit) provided by the issuer or its business partners. </w:t>
      </w:r>
      <w:r w:rsidR="00853999">
        <w:rPr>
          <w:iCs/>
        </w:rPr>
        <w:t>However,</w:t>
      </w:r>
      <w:r w:rsidR="005902E2">
        <w:rPr>
          <w:iCs/>
        </w:rPr>
        <w:t xml:space="preserve"> </w:t>
      </w:r>
      <w:r w:rsidR="00C90DB4">
        <w:rPr>
          <w:iCs/>
        </w:rPr>
        <w:t xml:space="preserve">loyalty schemes </w:t>
      </w:r>
      <w:r w:rsidR="00C05091">
        <w:rPr>
          <w:iCs/>
        </w:rPr>
        <w:t xml:space="preserve">that are widely used </w:t>
      </w:r>
      <w:r w:rsidR="006F4449">
        <w:rPr>
          <w:iCs/>
        </w:rPr>
        <w:t>or involve large values</w:t>
      </w:r>
      <w:r w:rsidR="00917C2B">
        <w:rPr>
          <w:iCs/>
        </w:rPr>
        <w:t xml:space="preserve"> may present risks</w:t>
      </w:r>
      <w:r w:rsidR="006F4449">
        <w:rPr>
          <w:iCs/>
        </w:rPr>
        <w:t>.</w:t>
      </w:r>
      <w:r w:rsidR="00C90DB4">
        <w:rPr>
          <w:iCs/>
        </w:rPr>
        <w:t xml:space="preserve"> </w:t>
      </w:r>
      <w:r w:rsidR="00D52EB0">
        <w:rPr>
          <w:iCs/>
        </w:rPr>
        <w:t>For example, a ‘shopping voucher’ loyalty scheme</w:t>
      </w:r>
      <w:r w:rsidR="009B1A4A">
        <w:rPr>
          <w:iCs/>
        </w:rPr>
        <w:t xml:space="preserve"> could </w:t>
      </w:r>
      <w:r w:rsidR="008C4FB3">
        <w:rPr>
          <w:iCs/>
        </w:rPr>
        <w:t>present risks to consumers</w:t>
      </w:r>
      <w:r w:rsidR="005877E4">
        <w:rPr>
          <w:iCs/>
        </w:rPr>
        <w:t>, particularly where scheme credits or points can be purchased</w:t>
      </w:r>
      <w:r w:rsidR="007E1E0E">
        <w:rPr>
          <w:iCs/>
        </w:rPr>
        <w:t xml:space="preserve"> by consumers</w:t>
      </w:r>
      <w:r w:rsidR="005877E4">
        <w:rPr>
          <w:iCs/>
        </w:rPr>
        <w:t>.</w:t>
      </w:r>
      <w:r w:rsidR="00BB4DE3">
        <w:rPr>
          <w:iCs/>
        </w:rPr>
        <w:t xml:space="preserve"> Feedback is welcome on </w:t>
      </w:r>
      <w:r w:rsidR="00CC6676">
        <w:rPr>
          <w:iCs/>
        </w:rPr>
        <w:t>the treatment of loyalty schemes</w:t>
      </w:r>
      <w:r w:rsidR="004E2599">
        <w:rPr>
          <w:iCs/>
        </w:rPr>
        <w:t>.</w:t>
      </w:r>
    </w:p>
    <w:p w14:paraId="2ED6798F" w14:textId="025C5352" w:rsidR="00AC7111" w:rsidRPr="00D57D4D" w:rsidRDefault="00AC7111" w:rsidP="002A2C0F">
      <w:pPr>
        <w:pStyle w:val="Heading4"/>
      </w:pPr>
      <w:r w:rsidRPr="00D57D4D">
        <w:t>Limited participant</w:t>
      </w:r>
    </w:p>
    <w:p w14:paraId="5510103A" w14:textId="33A60768" w:rsidR="007F6F78" w:rsidRDefault="00E65CE3" w:rsidP="00F65C24">
      <w:r>
        <w:t xml:space="preserve">Under the current law, </w:t>
      </w:r>
      <w:r w:rsidRPr="00E65CE3">
        <w:t>ASIC</w:t>
      </w:r>
      <w:r>
        <w:t xml:space="preserve"> </w:t>
      </w:r>
      <w:r w:rsidR="00D05E4B">
        <w:t>can</w:t>
      </w:r>
      <w:r w:rsidRPr="00E65CE3">
        <w:t xml:space="preserve"> </w:t>
      </w:r>
      <w:r w:rsidR="00A1092C">
        <w:t>make regulations to</w:t>
      </w:r>
      <w:r w:rsidRPr="00E65CE3">
        <w:t xml:space="preserve"> exempt</w:t>
      </w:r>
      <w:r>
        <w:t xml:space="preserve"> </w:t>
      </w:r>
      <w:r w:rsidR="00E978D0">
        <w:t>certain</w:t>
      </w:r>
      <w:r w:rsidRPr="00E65CE3">
        <w:t xml:space="preserve"> facilities </w:t>
      </w:r>
      <w:r w:rsidR="00E978D0">
        <w:t xml:space="preserve">from </w:t>
      </w:r>
      <w:r w:rsidR="0048643D">
        <w:t>the concept of ‘making</w:t>
      </w:r>
      <w:r w:rsidR="00E978D0">
        <w:t xml:space="preserve"> non-cash</w:t>
      </w:r>
      <w:r w:rsidR="003B083B">
        <w:t xml:space="preserve"> payments</w:t>
      </w:r>
      <w:r w:rsidR="0048643D">
        <w:t>’</w:t>
      </w:r>
      <w:r w:rsidR="003B083B">
        <w:t xml:space="preserve">, </w:t>
      </w:r>
      <w:r w:rsidRPr="00E65CE3">
        <w:t>based on the number of people to whom payments can be made by means of the facility, or relating to the number of persons who can use the facility to make payments.</w:t>
      </w:r>
      <w:r w:rsidR="0048643D">
        <w:rPr>
          <w:rStyle w:val="FootnoteReference"/>
        </w:rPr>
        <w:footnoteReference w:id="66"/>
      </w:r>
      <w:r w:rsidR="00D01CA4">
        <w:t xml:space="preserve"> </w:t>
      </w:r>
      <w:r w:rsidR="00CD219C">
        <w:t xml:space="preserve">ASIC has </w:t>
      </w:r>
      <w:r w:rsidR="007A6384">
        <w:t xml:space="preserve">not </w:t>
      </w:r>
      <w:r w:rsidR="00CD219C">
        <w:t xml:space="preserve">made regulations under this provision. </w:t>
      </w:r>
    </w:p>
    <w:p w14:paraId="4FDB2831" w14:textId="290B72B1" w:rsidR="00AC7111" w:rsidRDefault="007F6F78" w:rsidP="00F65C24">
      <w:r>
        <w:t xml:space="preserve">This </w:t>
      </w:r>
      <w:r w:rsidR="00D1116D">
        <w:t xml:space="preserve">provision is proposed to be removed, on the basis that </w:t>
      </w:r>
      <w:r w:rsidR="00786DB9">
        <w:t>a facility with a small number of users would not necessarily be low risk to those users.</w:t>
      </w:r>
      <w:r w:rsidR="000051E2">
        <w:t xml:space="preserve"> </w:t>
      </w:r>
      <w:r w:rsidR="0091634F">
        <w:t>It is also proposed that the RBA ‘limited participants’ exemption for PPFs be discontinued</w:t>
      </w:r>
      <w:r w:rsidR="00E229A9">
        <w:t xml:space="preserve"> as discussed in </w:t>
      </w:r>
      <w:r w:rsidR="00132193">
        <w:rPr>
          <w:b/>
          <w:bCs/>
        </w:rPr>
        <w:t>S</w:t>
      </w:r>
      <w:r w:rsidR="00E229A9" w:rsidRPr="00D4748B">
        <w:rPr>
          <w:b/>
          <w:bCs/>
        </w:rPr>
        <w:t xml:space="preserve">ection </w:t>
      </w:r>
      <w:r w:rsidR="00104954">
        <w:rPr>
          <w:b/>
          <w:bCs/>
        </w:rPr>
        <w:t>3.2.2</w:t>
      </w:r>
      <w:r w:rsidR="0091634F" w:rsidRPr="00D4748B">
        <w:rPr>
          <w:b/>
          <w:bCs/>
        </w:rPr>
        <w:t>.</w:t>
      </w:r>
    </w:p>
    <w:p w14:paraId="436EA252" w14:textId="77777777" w:rsidR="00256A62" w:rsidRPr="00D57D4D" w:rsidRDefault="00256A62" w:rsidP="002A2C0F">
      <w:pPr>
        <w:pStyle w:val="Heading4"/>
      </w:pPr>
      <w:r w:rsidRPr="00D57D4D">
        <w:lastRenderedPageBreak/>
        <w:t>Non-cash payment facilities used for third party payments</w:t>
      </w:r>
    </w:p>
    <w:p w14:paraId="196F7E50" w14:textId="02F66C1C" w:rsidR="00FF5F2F" w:rsidRDefault="00C91453" w:rsidP="00F65C24">
      <w:r>
        <w:t>ASIC has provided licensing relief for</w:t>
      </w:r>
      <w:r w:rsidR="004C1F83">
        <w:t xml:space="preserve"> advising a person in relation to a non-cash payment facility that the person may use to pay another person, or arranging for a person to deal (other than by way of issue) in a non-cash payment facility that the person may use to pay another person for goods or services.</w:t>
      </w:r>
      <w:r w:rsidR="00D41C48">
        <w:rPr>
          <w:rStyle w:val="FootnoteReference"/>
        </w:rPr>
        <w:footnoteReference w:id="67"/>
      </w:r>
      <w:r w:rsidR="00823B17">
        <w:t xml:space="preserve"> For example, this relief could apply to a financial adviser providing advice to a client </w:t>
      </w:r>
      <w:r w:rsidR="00DE7D40">
        <w:t>about how to pay for insurance via a particular payment method.</w:t>
      </w:r>
      <w:r w:rsidR="00176B18">
        <w:t xml:space="preserve"> This relief is proposed to be moved into regulation.</w:t>
      </w:r>
    </w:p>
    <w:tbl>
      <w:tblPr>
        <w:tblStyle w:val="TableGrid"/>
        <w:tblpPr w:leftFromText="180" w:rightFromText="180" w:vertAnchor="text" w:horzAnchor="margin" w:tblpY="155"/>
        <w:tblW w:w="0" w:type="auto"/>
        <w:tblLook w:val="04A0" w:firstRow="1" w:lastRow="0" w:firstColumn="1" w:lastColumn="0" w:noHBand="0" w:noVBand="1"/>
      </w:tblPr>
      <w:tblGrid>
        <w:gridCol w:w="9070"/>
      </w:tblGrid>
      <w:tr w:rsidR="00F15F38" w14:paraId="6FED7F2E" w14:textId="77777777" w:rsidTr="00F15F38">
        <w:trPr>
          <w:cnfStyle w:val="100000000000" w:firstRow="1" w:lastRow="0" w:firstColumn="0" w:lastColumn="0" w:oddVBand="0" w:evenVBand="0" w:oddHBand="0" w:evenHBand="0" w:firstRowFirstColumn="0" w:firstRowLastColumn="0" w:lastRowFirstColumn="0" w:lastRowLastColumn="0"/>
        </w:trPr>
        <w:tc>
          <w:tcPr>
            <w:tcW w:w="9070" w:type="dxa"/>
          </w:tcPr>
          <w:p w14:paraId="5D27A87F" w14:textId="77777777" w:rsidR="00F15F38" w:rsidRPr="00E00664" w:rsidRDefault="00F15F38" w:rsidP="00E42AA2">
            <w:pPr>
              <w:spacing w:before="96" w:after="96"/>
              <w:rPr>
                <w:b w:val="0"/>
                <w:u w:val="single"/>
              </w:rPr>
            </w:pPr>
            <w:r w:rsidRPr="00E00664">
              <w:rPr>
                <w:u w:val="single"/>
              </w:rPr>
              <w:t>Consultation questions</w:t>
            </w:r>
          </w:p>
          <w:p w14:paraId="3AAF03F0" w14:textId="77777777" w:rsidR="009619C7" w:rsidRPr="001D123F" w:rsidRDefault="00E16F58" w:rsidP="001D123F">
            <w:pPr>
              <w:pStyle w:val="Consultationquestions"/>
              <w:numPr>
                <w:ilvl w:val="0"/>
                <w:numId w:val="100"/>
              </w:numPr>
            </w:pPr>
            <w:r>
              <w:t xml:space="preserve">Should the relief provided by ASIC for certain </w:t>
            </w:r>
            <w:r w:rsidR="00B16251">
              <w:t xml:space="preserve">activities </w:t>
            </w:r>
            <w:r w:rsidR="004E5A5B">
              <w:t>be moved into regulation</w:t>
            </w:r>
            <w:r w:rsidR="005A75F8">
              <w:t xml:space="preserve"> or discontinued</w:t>
            </w:r>
            <w:r w:rsidR="00B16251">
              <w:t>?</w:t>
            </w:r>
            <w:r w:rsidR="00F15F38">
              <w:t xml:space="preserve"> </w:t>
            </w:r>
            <w:r w:rsidR="00024B1C">
              <w:t>For example, s</w:t>
            </w:r>
            <w:r w:rsidR="004E5A5B">
              <w:t xml:space="preserve">hould </w:t>
            </w:r>
            <w:r w:rsidR="00400002">
              <w:t xml:space="preserve">loyalty schemes, road toll devices and electronic lodgement operators be </w:t>
            </w:r>
            <w:r w:rsidR="002A566F">
              <w:t>exempted</w:t>
            </w:r>
            <w:r w:rsidR="00F15F38">
              <w:t>?</w:t>
            </w:r>
            <w:r w:rsidR="009764F3">
              <w:t xml:space="preserve"> </w:t>
            </w:r>
          </w:p>
          <w:p w14:paraId="53537101" w14:textId="200D5628" w:rsidR="003A3E45" w:rsidRPr="001D123F" w:rsidRDefault="005655A6" w:rsidP="001D123F">
            <w:pPr>
              <w:pStyle w:val="Consultationquestions"/>
              <w:numPr>
                <w:ilvl w:val="0"/>
                <w:numId w:val="100"/>
              </w:numPr>
            </w:pPr>
            <w:r>
              <w:t>D</w:t>
            </w:r>
            <w:r w:rsidR="000C5E0C">
              <w:t>o</w:t>
            </w:r>
            <w:r w:rsidR="00882D60">
              <w:t xml:space="preserve"> loyalty schemes that allow </w:t>
            </w:r>
            <w:r w:rsidR="000C5E0C">
              <w:t xml:space="preserve">credits or points to be purchased </w:t>
            </w:r>
            <w:r>
              <w:t>present particular risks?</w:t>
            </w:r>
          </w:p>
          <w:p w14:paraId="75E1BBC6" w14:textId="15F2A25E" w:rsidR="003A3E45" w:rsidRPr="00154E78" w:rsidRDefault="003F6124" w:rsidP="001D123F">
            <w:pPr>
              <w:pStyle w:val="Consultationquestions"/>
              <w:numPr>
                <w:ilvl w:val="0"/>
                <w:numId w:val="100"/>
              </w:numPr>
            </w:pPr>
            <w:r w:rsidRPr="00825E54">
              <w:t xml:space="preserve">Should </w:t>
            </w:r>
            <w:r>
              <w:rPr>
                <w:bCs w:val="0"/>
              </w:rPr>
              <w:t xml:space="preserve">payment activities by </w:t>
            </w:r>
            <w:r>
              <w:t>not-for-profit/</w:t>
            </w:r>
            <w:r w:rsidRPr="00701701">
              <w:t xml:space="preserve">charitable </w:t>
            </w:r>
            <w:r>
              <w:t xml:space="preserve">and religious </w:t>
            </w:r>
            <w:r w:rsidR="00833231">
              <w:t xml:space="preserve">organisations </w:t>
            </w:r>
            <w:r w:rsidR="00037599">
              <w:t>be exempted</w:t>
            </w:r>
            <w:r w:rsidR="00F15F38">
              <w:t>?</w:t>
            </w:r>
          </w:p>
        </w:tc>
      </w:tr>
    </w:tbl>
    <w:p w14:paraId="109510E4" w14:textId="77777777" w:rsidR="00EC6B35" w:rsidRDefault="00EC6B35" w:rsidP="00E42AA2">
      <w:pPr>
        <w:rPr>
          <w:rFonts w:ascii="Calibri" w:hAnsi="Calibri" w:cs="Arial"/>
          <w:color w:val="5D779D" w:themeColor="accent3"/>
          <w:kern w:val="32"/>
          <w:sz w:val="44"/>
          <w:szCs w:val="36"/>
        </w:rPr>
      </w:pPr>
      <w:bookmarkStart w:id="85" w:name="_Toc149230928"/>
      <w:bookmarkStart w:id="86" w:name="_Ref149287323"/>
      <w:r>
        <w:br w:type="page"/>
      </w:r>
    </w:p>
    <w:p w14:paraId="356A2248" w14:textId="5750B957" w:rsidR="00357582" w:rsidRDefault="00357582" w:rsidP="00EE5400">
      <w:pPr>
        <w:pStyle w:val="Heading1"/>
        <w:jc w:val="both"/>
      </w:pPr>
      <w:bookmarkStart w:id="87" w:name="_Ref151386779"/>
      <w:bookmarkStart w:id="88" w:name="_Toc152847631"/>
      <w:bookmarkStart w:id="89" w:name="_Toc149230929"/>
      <w:bookmarkStart w:id="90" w:name="_Ref149231241"/>
      <w:bookmarkStart w:id="91" w:name="_Ref150175961"/>
      <w:bookmarkEnd w:id="85"/>
      <w:bookmarkEnd w:id="86"/>
      <w:r>
        <w:lastRenderedPageBreak/>
        <w:t xml:space="preserve">Licensing </w:t>
      </w:r>
      <w:r w:rsidR="00862617">
        <w:t>processes</w:t>
      </w:r>
      <w:bookmarkEnd w:id="87"/>
      <w:bookmarkEnd w:id="88"/>
      <w:r w:rsidR="00862617">
        <w:t xml:space="preserve"> </w:t>
      </w:r>
      <w:bookmarkEnd w:id="89"/>
      <w:bookmarkEnd w:id="90"/>
      <w:bookmarkEnd w:id="91"/>
    </w:p>
    <w:p w14:paraId="619A0CB8" w14:textId="6E2700F2" w:rsidR="005F4BF2" w:rsidRPr="00DC6C41" w:rsidRDefault="005F4BF2" w:rsidP="006377BA">
      <w:pPr>
        <w:pStyle w:val="Heading2"/>
      </w:pPr>
      <w:bookmarkStart w:id="92" w:name="_Toc152847632"/>
      <w:bookmarkStart w:id="93" w:name="_Toc149230930"/>
      <w:bookmarkStart w:id="94" w:name="_Ref149231249"/>
      <w:r w:rsidRPr="00DC6C41">
        <w:t xml:space="preserve">AFS </w:t>
      </w:r>
      <w:r w:rsidR="00A474CF">
        <w:t>licen</w:t>
      </w:r>
      <w:r w:rsidR="00033E96">
        <w:t>sing</w:t>
      </w:r>
      <w:r>
        <w:t xml:space="preserve"> approach</w:t>
      </w:r>
      <w:bookmarkEnd w:id="92"/>
      <w:r>
        <w:t xml:space="preserve"> </w:t>
      </w:r>
      <w:bookmarkEnd w:id="93"/>
      <w:bookmarkEnd w:id="94"/>
    </w:p>
    <w:p w14:paraId="3410F1E0" w14:textId="7984E935" w:rsidR="00ED78B9" w:rsidRDefault="000D2D5F" w:rsidP="00F65C24">
      <w:r>
        <w:t xml:space="preserve">This paper proposes that the </w:t>
      </w:r>
      <w:r w:rsidR="00787A1B">
        <w:t xml:space="preserve">usual </w:t>
      </w:r>
      <w:r>
        <w:t xml:space="preserve">AFSL authorisations process </w:t>
      </w:r>
      <w:r w:rsidR="0034268B">
        <w:t>apply</w:t>
      </w:r>
      <w:r>
        <w:t xml:space="preserve"> for</w:t>
      </w:r>
      <w:r w:rsidR="00084EE3">
        <w:t xml:space="preserve"> businesses seeking to be licensed as a PSP</w:t>
      </w:r>
      <w:r>
        <w:t xml:space="preserve">. </w:t>
      </w:r>
      <w:r w:rsidR="00F80803">
        <w:t>AFS</w:t>
      </w:r>
      <w:r w:rsidR="00BC2B4A">
        <w:t>L</w:t>
      </w:r>
      <w:r w:rsidR="00F80803">
        <w:t xml:space="preserve"> authorisations specify the types of financial </w:t>
      </w:r>
      <w:r w:rsidR="000B75F4">
        <w:t>products and/or</w:t>
      </w:r>
      <w:r w:rsidR="00F80803">
        <w:t xml:space="preserve"> services a licensee can provide. </w:t>
      </w:r>
      <w:r w:rsidR="00F722A9">
        <w:t>Prospective licensees</w:t>
      </w:r>
      <w:r w:rsidR="0019291D">
        <w:t xml:space="preserve"> will </w:t>
      </w:r>
      <w:r w:rsidR="000B3FA1">
        <w:t xml:space="preserve">be required to </w:t>
      </w:r>
      <w:r w:rsidR="00853D52">
        <w:t xml:space="preserve">seek an authorisation for each </w:t>
      </w:r>
      <w:r w:rsidR="00ED78B9">
        <w:t xml:space="preserve">newly defined </w:t>
      </w:r>
      <w:r w:rsidR="00CB5B8A">
        <w:t xml:space="preserve">payment </w:t>
      </w:r>
      <w:r w:rsidR="00835CB7">
        <w:t>function</w:t>
      </w:r>
      <w:r w:rsidR="00ED78B9">
        <w:t xml:space="preserve"> the </w:t>
      </w:r>
      <w:r w:rsidR="00F722A9">
        <w:t>business</w:t>
      </w:r>
      <w:r w:rsidR="00ED78B9">
        <w:t xml:space="preserve"> is looking to offer</w:t>
      </w:r>
      <w:r w:rsidR="002E586C">
        <w:t>, in place of existing authorisations for non-cash payment products.</w:t>
      </w:r>
    </w:p>
    <w:p w14:paraId="091BE244" w14:textId="4BF28DF6" w:rsidR="00ED78B9" w:rsidRDefault="00ED78B9" w:rsidP="00F65C24">
      <w:r>
        <w:t xml:space="preserve">In practice, many PSP offerings involve </w:t>
      </w:r>
      <w:r w:rsidR="00031FEB">
        <w:t>a range of</w:t>
      </w:r>
      <w:r>
        <w:t xml:space="preserve"> products and services. The proposed licensing approach means that as a licensee </w:t>
      </w:r>
      <w:r w:rsidR="00314BBE">
        <w:t>expands to</w:t>
      </w:r>
      <w:r>
        <w:t xml:space="preserve"> other products and services, it would seek a variation to its AFSL authorisation. </w:t>
      </w:r>
    </w:p>
    <w:p w14:paraId="1BEA2AE9" w14:textId="32C237B4" w:rsidR="007859A3" w:rsidRDefault="007859A3" w:rsidP="00F65C24">
      <w:r>
        <w:t xml:space="preserve">For PSPs that already hold an AFSL, transition arrangements are set out </w:t>
      </w:r>
      <w:r w:rsidRPr="00417D4B">
        <w:t xml:space="preserve">in </w:t>
      </w:r>
      <w:r w:rsidR="003E10B4">
        <w:rPr>
          <w:b/>
        </w:rPr>
        <w:t>S</w:t>
      </w:r>
      <w:r w:rsidR="003E10B4" w:rsidRPr="00154E78">
        <w:rPr>
          <w:b/>
        </w:rPr>
        <w:t xml:space="preserve">ection </w:t>
      </w:r>
      <w:r w:rsidR="00104954">
        <w:rPr>
          <w:b/>
        </w:rPr>
        <w:t>10</w:t>
      </w:r>
      <w:r w:rsidRPr="00417D4B">
        <w:t>.</w:t>
      </w:r>
      <w:r>
        <w:t xml:space="preserve"> </w:t>
      </w:r>
    </w:p>
    <w:p w14:paraId="2DC2A076" w14:textId="02554974" w:rsidR="008D3E1E" w:rsidRDefault="008D3E1E" w:rsidP="006377BA">
      <w:pPr>
        <w:pStyle w:val="Heading2"/>
      </w:pPr>
      <w:bookmarkStart w:id="95" w:name="_Toc149230942"/>
      <w:bookmarkStart w:id="96" w:name="_Ref151644020"/>
      <w:bookmarkStart w:id="97" w:name="_Toc152847633"/>
      <w:r>
        <w:t>Streamlining licensing processes</w:t>
      </w:r>
      <w:bookmarkEnd w:id="95"/>
      <w:bookmarkEnd w:id="96"/>
      <w:bookmarkEnd w:id="97"/>
    </w:p>
    <w:p w14:paraId="7A4B05D6" w14:textId="10BC80C6" w:rsidR="008D3E1E" w:rsidRDefault="00B62D92" w:rsidP="00F65C24">
      <w:r>
        <w:t>CP1</w:t>
      </w:r>
      <w:r w:rsidR="008D3E1E">
        <w:t xml:space="preserve"> discussed potential benefits and drawbacks of ASIC acting as a single point of contact for PSP licence applications</w:t>
      </w:r>
      <w:r w:rsidR="00686EB1">
        <w:t xml:space="preserve"> and</w:t>
      </w:r>
      <w:r w:rsidR="008D3E1E">
        <w:t xml:space="preserve"> presented an alternative approach involving the development of a single source of guidance or website portal describing regulatory requirements and processes for prospective PSP licensees.</w:t>
      </w:r>
      <w:r w:rsidR="009F7080">
        <w:t xml:space="preserve"> </w:t>
      </w:r>
    </w:p>
    <w:p w14:paraId="2B2BEE7C" w14:textId="2E84103E" w:rsidR="008D3E1E" w:rsidRDefault="00BE4F2F" w:rsidP="00F65C24">
      <w:r>
        <w:t>Using</w:t>
      </w:r>
      <w:r w:rsidR="008D3E1E">
        <w:t xml:space="preserve"> the existing regulatory architecture for payments </w:t>
      </w:r>
      <w:r w:rsidR="007F4CFE">
        <w:t>licensing</w:t>
      </w:r>
      <w:r w:rsidR="00866EF5">
        <w:t xml:space="preserve"> processes</w:t>
      </w:r>
      <w:r w:rsidR="007F4CFE">
        <w:t xml:space="preserve"> </w:t>
      </w:r>
      <w:r w:rsidR="008D3E1E">
        <w:t>remains appropriate. PSPs are proposed to be regulated by ASIC through the AFSL</w:t>
      </w:r>
      <w:r w:rsidR="000353C8">
        <w:t xml:space="preserve"> regime</w:t>
      </w:r>
      <w:r w:rsidR="008D3E1E">
        <w:t xml:space="preserve">. The RBA’s role with respect to PPFs </w:t>
      </w:r>
      <w:r w:rsidR="00E11DEC">
        <w:t>under the PSRA</w:t>
      </w:r>
      <w:r w:rsidR="008D3E1E">
        <w:t xml:space="preserve"> will cease. </w:t>
      </w:r>
      <w:r w:rsidR="00397F63">
        <w:t>S</w:t>
      </w:r>
      <w:r w:rsidR="008D3E1E">
        <w:t>ome PSPs will be subject to additional regulatory processes:</w:t>
      </w:r>
    </w:p>
    <w:p w14:paraId="4F68DBBE" w14:textId="14F4E122" w:rsidR="008D3E1E" w:rsidRDefault="00DA2C82" w:rsidP="0020029E">
      <w:pPr>
        <w:pStyle w:val="Bullet"/>
      </w:pPr>
      <w:r>
        <w:t>M</w:t>
      </w:r>
      <w:r w:rsidR="008D3E1E">
        <w:t>ajor SVFs</w:t>
      </w:r>
      <w:r w:rsidR="007B7DC8">
        <w:t>,</w:t>
      </w:r>
      <w:r w:rsidR="007B7DC8" w:rsidRPr="007B7DC8">
        <w:t xml:space="preserve"> </w:t>
      </w:r>
      <w:r w:rsidR="007B7DC8">
        <w:t>as well as any designated Payment Facilitation Services</w:t>
      </w:r>
      <w:r w:rsidR="00727129">
        <w:t xml:space="preserve"> </w:t>
      </w:r>
      <w:r w:rsidR="000B2B62">
        <w:t>(</w:t>
      </w:r>
      <w:r w:rsidR="00727129">
        <w:t xml:space="preserve">discussed in </w:t>
      </w:r>
      <w:r w:rsidR="0077146C">
        <w:rPr>
          <w:b/>
        </w:rPr>
        <w:t>S</w:t>
      </w:r>
      <w:r w:rsidR="0077146C" w:rsidRPr="008A5736">
        <w:rPr>
          <w:b/>
        </w:rPr>
        <w:t xml:space="preserve">ection </w:t>
      </w:r>
      <w:r w:rsidR="00104954">
        <w:rPr>
          <w:b/>
        </w:rPr>
        <w:t>6.2</w:t>
      </w:r>
      <w:r w:rsidR="000B2B62">
        <w:t>)</w:t>
      </w:r>
      <w:r w:rsidR="007B7DC8">
        <w:t>,</w:t>
      </w:r>
      <w:r w:rsidR="008D3E1E">
        <w:t xml:space="preserve"> will require an additional APRA licence and be subject to ongoing prudential supervision; and</w:t>
      </w:r>
    </w:p>
    <w:p w14:paraId="7718F133" w14:textId="166A8623" w:rsidR="001D13EC" w:rsidRDefault="001D13EC" w:rsidP="001D13EC">
      <w:pPr>
        <w:pStyle w:val="Bullet"/>
      </w:pPr>
      <w:r>
        <w:t>PSPs that provide a designated service that includes remittance arrangement</w:t>
      </w:r>
      <w:r w:rsidR="00861B81">
        <w:t>s</w:t>
      </w:r>
      <w:r>
        <w:t xml:space="preserve"> need to enrol and register with AUSTRAC and comply with relevant obligations.</w:t>
      </w:r>
      <w:r w:rsidR="00F2662F">
        <w:rPr>
          <w:rStyle w:val="FootnoteReference"/>
        </w:rPr>
        <w:footnoteReference w:id="68"/>
      </w:r>
    </w:p>
    <w:p w14:paraId="46FA6371" w14:textId="7ECB1547" w:rsidR="008D3E1E" w:rsidRDefault="00907678" w:rsidP="00F65C24">
      <w:r>
        <w:t xml:space="preserve">There may be </w:t>
      </w:r>
      <w:r w:rsidR="00927338">
        <w:t xml:space="preserve">additional </w:t>
      </w:r>
      <w:r w:rsidR="008D3E1E">
        <w:t>opportunities to streamline existing licensing</w:t>
      </w:r>
      <w:r w:rsidR="003F3707">
        <w:t xml:space="preserve"> and registration</w:t>
      </w:r>
      <w:r w:rsidR="008D3E1E">
        <w:t xml:space="preserve"> processes and reduce industry compliance burden. Feedback is welcome</w:t>
      </w:r>
      <w:r w:rsidR="00042532">
        <w:t>d</w:t>
      </w:r>
      <w:r w:rsidR="008D3E1E">
        <w:t xml:space="preserve"> on </w:t>
      </w:r>
      <w:r w:rsidR="00927338">
        <w:t xml:space="preserve">this </w:t>
      </w:r>
      <w:r w:rsidR="00C126AF">
        <w:t>issue</w:t>
      </w:r>
      <w:r w:rsidR="008D3E1E">
        <w:t xml:space="preserve">. </w:t>
      </w:r>
    </w:p>
    <w:p w14:paraId="4D153F92" w14:textId="45CBECDF" w:rsidR="008D3E1E" w:rsidRDefault="00C126AF" w:rsidP="00F65C24">
      <w:r>
        <w:t xml:space="preserve">Some </w:t>
      </w:r>
      <w:r w:rsidR="008D3E1E">
        <w:t>submission</w:t>
      </w:r>
      <w:r>
        <w:t>s</w:t>
      </w:r>
      <w:r w:rsidR="000E4DB3">
        <w:t xml:space="preserve"> noted </w:t>
      </w:r>
      <w:r w:rsidR="008D3E1E">
        <w:t>the lack of transparency and information regarding the regulatory obligations and payments licensing processes for prospective PSPs, particularly for new Australian market</w:t>
      </w:r>
      <w:r w:rsidR="00BC11F7">
        <w:t xml:space="preserve"> entrants</w:t>
      </w:r>
      <w:r w:rsidR="008D3E1E">
        <w:t>. The majority of submissions supported additional guidance</w:t>
      </w:r>
      <w:r w:rsidR="00164E19">
        <w:t xml:space="preserve"> on licensing obligations </w:t>
      </w:r>
      <w:r w:rsidR="008D3E1E">
        <w:t>as soon as possible.</w:t>
      </w:r>
      <w:r w:rsidR="008D3E1E" w:rsidRPr="00710FC2">
        <w:t xml:space="preserve"> </w:t>
      </w:r>
      <w:r w:rsidR="00114080">
        <w:t xml:space="preserve">To address </w:t>
      </w:r>
      <w:r w:rsidR="00076D1D">
        <w:t>this</w:t>
      </w:r>
      <w:r w:rsidR="008D3E1E">
        <w:t xml:space="preserve">, ASIC </w:t>
      </w:r>
      <w:r w:rsidR="005B4865">
        <w:t>will</w:t>
      </w:r>
      <w:r w:rsidR="008D3E1E">
        <w:t xml:space="preserve"> create and maintain a single website portal and lead on publishing joint licensing guidance for prospective payments licensees. This joint guidance will</w:t>
      </w:r>
      <w:r w:rsidR="008D3E1E" w:rsidDel="00EE2449">
        <w:t xml:space="preserve"> </w:t>
      </w:r>
      <w:r w:rsidR="008D3E1E">
        <w:t xml:space="preserve">provide a </w:t>
      </w:r>
      <w:r w:rsidR="005B3F35">
        <w:t xml:space="preserve">clear and </w:t>
      </w:r>
      <w:r w:rsidR="007C29F7">
        <w:t>comprehensive</w:t>
      </w:r>
      <w:r w:rsidR="008D3E1E">
        <w:t xml:space="preserve"> </w:t>
      </w:r>
      <w:r w:rsidR="00CE358F">
        <w:t xml:space="preserve">understanding </w:t>
      </w:r>
      <w:r w:rsidR="008D3E1E">
        <w:t xml:space="preserve">of all regulatory licensing obligations that will apply to a PSP. This will necessitate </w:t>
      </w:r>
      <w:r w:rsidR="00AF181B">
        <w:t>coordination between</w:t>
      </w:r>
      <w:r w:rsidR="008D3E1E">
        <w:t xml:space="preserve"> regulators (ASIC, AUSTRAC, APRA, ACCC,</w:t>
      </w:r>
      <w:r w:rsidR="005012BD">
        <w:t xml:space="preserve"> </w:t>
      </w:r>
      <w:r w:rsidR="0090101F">
        <w:t xml:space="preserve">and </w:t>
      </w:r>
      <w:r w:rsidR="005012BD">
        <w:t>the</w:t>
      </w:r>
      <w:r w:rsidR="008D3E1E">
        <w:t xml:space="preserve"> RBA) to develop this guidance and ensure it remains up to date over time. The joint licensing guidance</w:t>
      </w:r>
      <w:r w:rsidR="008D3E1E" w:rsidRPr="00710FC2">
        <w:t xml:space="preserve"> </w:t>
      </w:r>
      <w:r w:rsidR="008C6A4D">
        <w:t xml:space="preserve">will </w:t>
      </w:r>
      <w:r w:rsidR="008D3E1E">
        <w:lastRenderedPageBreak/>
        <w:t xml:space="preserve">be published </w:t>
      </w:r>
      <w:r w:rsidR="008D3E1E" w:rsidRPr="009660FF">
        <w:t xml:space="preserve">after the payments licensing </w:t>
      </w:r>
      <w:r w:rsidR="008D3E1E">
        <w:t xml:space="preserve">primary </w:t>
      </w:r>
      <w:r w:rsidR="008D3E1E" w:rsidRPr="009660FF">
        <w:t>legislation is passed</w:t>
      </w:r>
      <w:r w:rsidR="008D3E1E">
        <w:t>, to support the smooth transition to the payments licensing framework.</w:t>
      </w:r>
    </w:p>
    <w:p w14:paraId="663A021C" w14:textId="783B25E0" w:rsidR="00C3558F" w:rsidRDefault="00FF2A3B" w:rsidP="00AB3D0E">
      <w:pPr>
        <w:pStyle w:val="Heading3"/>
      </w:pPr>
      <w:bookmarkStart w:id="98" w:name="_Toc149230943"/>
      <w:r>
        <w:t xml:space="preserve">ASIC </w:t>
      </w:r>
      <w:r w:rsidR="00547931">
        <w:t xml:space="preserve">enhanced </w:t>
      </w:r>
      <w:bookmarkEnd w:id="98"/>
      <w:r w:rsidR="00547931">
        <w:t>regulatory sandbox</w:t>
      </w:r>
    </w:p>
    <w:p w14:paraId="4D371062" w14:textId="0BBAAD7E" w:rsidR="00625ABD" w:rsidRDefault="005532B9" w:rsidP="00F65C24">
      <w:r>
        <w:t>S</w:t>
      </w:r>
      <w:r w:rsidR="00FB5664">
        <w:t xml:space="preserve">ubmissions </w:t>
      </w:r>
      <w:r w:rsidR="00F04996">
        <w:t xml:space="preserve">requested that </w:t>
      </w:r>
      <w:r w:rsidR="00225C79">
        <w:t xml:space="preserve">greater access be given to payments providers </w:t>
      </w:r>
      <w:r w:rsidR="0011298F">
        <w:t>in relation to the</w:t>
      </w:r>
      <w:r w:rsidR="00225C79">
        <w:t xml:space="preserve"> enhanced regulatory sandbox (ERS) or that </w:t>
      </w:r>
      <w:r w:rsidR="00F04996">
        <w:t xml:space="preserve">ASIC </w:t>
      </w:r>
      <w:r>
        <w:t>develop</w:t>
      </w:r>
      <w:r w:rsidR="00F04996">
        <w:t xml:space="preserve"> a </w:t>
      </w:r>
      <w:r w:rsidR="00EE63A4">
        <w:t xml:space="preserve">dedicated </w:t>
      </w:r>
      <w:r w:rsidR="00F04996">
        <w:t>‘</w:t>
      </w:r>
      <w:r w:rsidR="00E13BF7">
        <w:t xml:space="preserve">payments </w:t>
      </w:r>
      <w:r w:rsidR="00F04996">
        <w:t xml:space="preserve">sandbox’ for </w:t>
      </w:r>
      <w:r w:rsidR="00EE63A4">
        <w:t>smaller payments providers</w:t>
      </w:r>
      <w:r w:rsidR="00F04996">
        <w:t xml:space="preserve"> to determine their regulatory obligations</w:t>
      </w:r>
      <w:r w:rsidR="00037AD7">
        <w:t xml:space="preserve"> and </w:t>
      </w:r>
      <w:r w:rsidR="00F04996">
        <w:t>licensing pathways</w:t>
      </w:r>
      <w:r w:rsidR="00AC4BA5">
        <w:t xml:space="preserve">. </w:t>
      </w:r>
      <w:r w:rsidR="00326B44">
        <w:t>S</w:t>
      </w:r>
      <w:r w:rsidR="001D1399">
        <w:t xml:space="preserve">ubmissions </w:t>
      </w:r>
      <w:r w:rsidR="003B161F">
        <w:t>also</w:t>
      </w:r>
      <w:r w:rsidR="001D1399">
        <w:t xml:space="preserve"> recommended </w:t>
      </w:r>
      <w:r w:rsidR="00D34E51">
        <w:t>regulators take an educational role for prospective licensees,</w:t>
      </w:r>
      <w:r w:rsidR="00F04996">
        <w:t xml:space="preserve"> similar to </w:t>
      </w:r>
      <w:r w:rsidR="00D34E51">
        <w:t>the role undertaken</w:t>
      </w:r>
      <w:r w:rsidR="00F04996">
        <w:t xml:space="preserve"> by </w:t>
      </w:r>
      <w:r w:rsidR="00037AD7">
        <w:t>regulators in the UK</w:t>
      </w:r>
      <w:r w:rsidR="00F04996">
        <w:t>.</w:t>
      </w:r>
      <w:r w:rsidR="00A402EC">
        <w:t xml:space="preserve"> </w:t>
      </w:r>
    </w:p>
    <w:p w14:paraId="7431D20A" w14:textId="275C9FB2" w:rsidR="005C3A0B" w:rsidRDefault="00BD257E" w:rsidP="00F65C24">
      <w:r>
        <w:t xml:space="preserve">ASIC currently </w:t>
      </w:r>
      <w:r w:rsidR="00323F25">
        <w:t xml:space="preserve">has in place an Innovation Hub to help innovative businesses navigate the financial services systems. </w:t>
      </w:r>
      <w:r w:rsidR="00EB1B71">
        <w:t xml:space="preserve">As part of this, </w:t>
      </w:r>
      <w:r w:rsidR="00FF2A3B">
        <w:t xml:space="preserve">PSPs are currently able to use the </w:t>
      </w:r>
      <w:r w:rsidR="00EB1B71">
        <w:t>ERS</w:t>
      </w:r>
      <w:r w:rsidR="00563D1B">
        <w:t xml:space="preserve"> should they meet </w:t>
      </w:r>
      <w:r w:rsidR="00813C3B">
        <w:t>a number of</w:t>
      </w:r>
      <w:r w:rsidR="00563D1B">
        <w:t xml:space="preserve"> entry requirements and ongoing conditions</w:t>
      </w:r>
      <w:r w:rsidR="00813C3B">
        <w:t>.</w:t>
      </w:r>
      <w:r w:rsidR="00B826CA">
        <w:rPr>
          <w:rStyle w:val="FootnoteReference"/>
        </w:rPr>
        <w:footnoteReference w:id="69"/>
      </w:r>
    </w:p>
    <w:p w14:paraId="003DEDA4" w14:textId="2FBB7498" w:rsidR="003342BB" w:rsidRDefault="00B95A15" w:rsidP="00AB3D0E">
      <w:pPr>
        <w:pStyle w:val="Heading3"/>
      </w:pPr>
      <w:bookmarkStart w:id="99" w:name="_Ref149033992"/>
      <w:bookmarkStart w:id="100" w:name="_Toc149230944"/>
      <w:r w:rsidRPr="00FA3E72">
        <w:t>APRA/ASIC licensing</w:t>
      </w:r>
      <w:r w:rsidR="00761215">
        <w:t xml:space="preserve"> </w:t>
      </w:r>
      <w:r w:rsidR="00DD1728">
        <w:t>processes</w:t>
      </w:r>
      <w:bookmarkEnd w:id="99"/>
      <w:bookmarkEnd w:id="100"/>
    </w:p>
    <w:p w14:paraId="3649338C" w14:textId="52424EA8" w:rsidR="00DE28A7" w:rsidRDefault="009C6490" w:rsidP="00F65C24">
      <w:r>
        <w:t xml:space="preserve">For </w:t>
      </w:r>
      <w:r w:rsidR="008C2EC6">
        <w:t xml:space="preserve">APRA-licensed entities, </w:t>
      </w:r>
      <w:r w:rsidR="001C74BB">
        <w:t>existing</w:t>
      </w:r>
      <w:r w:rsidR="005B30CD">
        <w:t xml:space="preserve"> exemptions </w:t>
      </w:r>
      <w:r w:rsidR="00A55CAE">
        <w:t xml:space="preserve">from </w:t>
      </w:r>
      <w:r w:rsidR="00395CA5">
        <w:t xml:space="preserve">certain </w:t>
      </w:r>
      <w:r w:rsidR="00B224F0">
        <w:t>AFS obligations</w:t>
      </w:r>
      <w:r w:rsidR="001C74BB">
        <w:t xml:space="preserve"> reduce duplication</w:t>
      </w:r>
      <w:r w:rsidR="00A050DD">
        <w:t>.</w:t>
      </w:r>
      <w:r w:rsidR="00F97406">
        <w:rPr>
          <w:rStyle w:val="FootnoteReference"/>
        </w:rPr>
        <w:footnoteReference w:id="70"/>
      </w:r>
      <w:r w:rsidR="00F97406">
        <w:t xml:space="preserve"> </w:t>
      </w:r>
      <w:r w:rsidR="00370A00">
        <w:t>T</w:t>
      </w:r>
      <w:r w:rsidR="002F5F54">
        <w:t xml:space="preserve">here are </w:t>
      </w:r>
      <w:r w:rsidR="00E30827">
        <w:t>also</w:t>
      </w:r>
      <w:r w:rsidR="002F5F54">
        <w:t xml:space="preserve"> existing licensing procedures which support engagement between regulators</w:t>
      </w:r>
      <w:r w:rsidR="00CF3A84">
        <w:t>.</w:t>
      </w:r>
      <w:r w:rsidR="00E00113">
        <w:rPr>
          <w:rStyle w:val="FootnoteReference"/>
        </w:rPr>
        <w:footnoteReference w:id="71"/>
      </w:r>
    </w:p>
    <w:p w14:paraId="162CBD97" w14:textId="22D43C41" w:rsidR="000C75B3" w:rsidRDefault="004072BE" w:rsidP="00F65C24">
      <w:r>
        <w:t>It is</w:t>
      </w:r>
      <w:r w:rsidR="00B62E57">
        <w:t xml:space="preserve"> not </w:t>
      </w:r>
      <w:r w:rsidR="00E46600">
        <w:t>propose</w:t>
      </w:r>
      <w:r>
        <w:t>d</w:t>
      </w:r>
      <w:r w:rsidR="00E46600">
        <w:t xml:space="preserve"> that</w:t>
      </w:r>
      <w:r w:rsidR="00B62E57">
        <w:t xml:space="preserve"> ASIC act as a single point of contact</w:t>
      </w:r>
      <w:r w:rsidR="00870A23">
        <w:t xml:space="preserve"> for </w:t>
      </w:r>
      <w:r w:rsidR="00753DAB">
        <w:t>Major SVFs</w:t>
      </w:r>
      <w:r w:rsidR="004705F1">
        <w:t xml:space="preserve"> as it</w:t>
      </w:r>
      <w:r w:rsidR="00E46152">
        <w:t xml:space="preserve"> </w:t>
      </w:r>
      <w:r w:rsidR="00225982">
        <w:t xml:space="preserve">would </w:t>
      </w:r>
      <w:r w:rsidR="00E46152">
        <w:t xml:space="preserve">unnecessarily delay the </w:t>
      </w:r>
      <w:r w:rsidR="00A705FB">
        <w:t xml:space="preserve">licensing </w:t>
      </w:r>
      <w:r w:rsidR="00E46152">
        <w:t xml:space="preserve">process APRA has in place. APRA’s licensing approach </w:t>
      </w:r>
      <w:r w:rsidR="003B1EA6">
        <w:t>relies on</w:t>
      </w:r>
      <w:r w:rsidR="00E46152">
        <w:t xml:space="preserve"> direct and open communication with entities.</w:t>
      </w:r>
      <w:r w:rsidR="0000024E">
        <w:t xml:space="preserve"> </w:t>
      </w:r>
      <w:r w:rsidR="00BD7B23">
        <w:t xml:space="preserve">Nevertheless, </w:t>
      </w:r>
      <w:r w:rsidR="004B75DB">
        <w:t>submissions</w:t>
      </w:r>
      <w:r w:rsidR="00B61583" w:rsidDel="00CA2B25">
        <w:t xml:space="preserve"> </w:t>
      </w:r>
      <w:r w:rsidR="00B61583">
        <w:t>expressed</w:t>
      </w:r>
      <w:r w:rsidR="004B75DB">
        <w:t xml:space="preserve"> concern</w:t>
      </w:r>
      <w:r w:rsidR="00B61583">
        <w:t>s</w:t>
      </w:r>
      <w:r w:rsidR="004B75DB">
        <w:t xml:space="preserve"> that SVF businesses may scale up rapidly and </w:t>
      </w:r>
      <w:r w:rsidR="00955B91">
        <w:t>potentially</w:t>
      </w:r>
      <w:r w:rsidR="000825C8">
        <w:t xml:space="preserve"> face </w:t>
      </w:r>
      <w:r w:rsidR="004E7FE9">
        <w:t>operational barriers</w:t>
      </w:r>
      <w:r w:rsidR="000825C8">
        <w:t xml:space="preserve"> </w:t>
      </w:r>
      <w:r w:rsidR="00E41565">
        <w:t>while</w:t>
      </w:r>
      <w:r w:rsidR="000825C8">
        <w:t xml:space="preserve"> an additional APRA licence is required</w:t>
      </w:r>
      <w:r w:rsidR="00C9421D">
        <w:t xml:space="preserve">. </w:t>
      </w:r>
      <w:r w:rsidR="000F0AE5" w:rsidRPr="00211B3B">
        <w:rPr>
          <w:b/>
          <w:bCs/>
        </w:rPr>
        <w:t>S</w:t>
      </w:r>
      <w:r w:rsidR="006708F5" w:rsidRPr="00211B3B">
        <w:rPr>
          <w:b/>
          <w:bCs/>
        </w:rPr>
        <w:t xml:space="preserve">ection </w:t>
      </w:r>
      <w:r w:rsidR="00104954">
        <w:rPr>
          <w:b/>
          <w:bCs/>
        </w:rPr>
        <w:t>6.1</w:t>
      </w:r>
      <w:r w:rsidR="000F0AE5">
        <w:t xml:space="preserve"> proposes</w:t>
      </w:r>
      <w:r w:rsidR="004457A6">
        <w:t xml:space="preserve"> changes to the Major SVF definition </w:t>
      </w:r>
      <w:r w:rsidR="000F0AE5">
        <w:t>in response</w:t>
      </w:r>
      <w:r w:rsidR="004457A6">
        <w:t xml:space="preserve"> </w:t>
      </w:r>
      <w:r w:rsidR="002204E2">
        <w:t>to submission feedback</w:t>
      </w:r>
      <w:r w:rsidR="007F7D24">
        <w:t xml:space="preserve">, </w:t>
      </w:r>
      <w:r w:rsidR="004457A6">
        <w:t xml:space="preserve">to better facilitate competition in the sector while reducing complexity and </w:t>
      </w:r>
      <w:r w:rsidR="00CE2017">
        <w:t>balancing safety.</w:t>
      </w:r>
    </w:p>
    <w:p w14:paraId="1FCEF2EA" w14:textId="15DBF4BB" w:rsidR="000C75B3" w:rsidRDefault="000C75B3" w:rsidP="00F65C24">
      <w:r>
        <w:t>The</w:t>
      </w:r>
      <w:r w:rsidR="00B2367F">
        <w:t xml:space="preserve"> </w:t>
      </w:r>
      <w:r>
        <w:t xml:space="preserve">transition between Standard and Major SVFs </w:t>
      </w:r>
      <w:r w:rsidR="00AB3617">
        <w:t>should</w:t>
      </w:r>
      <w:r>
        <w:t xml:space="preserve"> be an orderly and streamlined process, commensurate</w:t>
      </w:r>
      <w:r w:rsidDel="006F3B4C">
        <w:t xml:space="preserve"> </w:t>
      </w:r>
      <w:r w:rsidR="006F3B4C">
        <w:t xml:space="preserve">with </w:t>
      </w:r>
      <w:r>
        <w:t xml:space="preserve">risks, to support continued growth and competition in the SVF sector. </w:t>
      </w:r>
      <w:r w:rsidRPr="00625D43">
        <w:t>This requires two factors:</w:t>
      </w:r>
      <w:r>
        <w:t xml:space="preserve"> (i)</w:t>
      </w:r>
      <w:r w:rsidRPr="00625D43">
        <w:t xml:space="preserve"> for entities to be prepared </w:t>
      </w:r>
      <w:r>
        <w:t>and</w:t>
      </w:r>
      <w:r w:rsidRPr="00625D43">
        <w:t xml:space="preserve"> proactive in approaching APRA; and </w:t>
      </w:r>
      <w:r>
        <w:t xml:space="preserve">(ii) </w:t>
      </w:r>
      <w:r w:rsidRPr="00625D43">
        <w:t xml:space="preserve">APRA to be clear </w:t>
      </w:r>
      <w:r w:rsidR="00AC7BC5">
        <w:t>of requirements for</w:t>
      </w:r>
      <w:r w:rsidRPr="00625D43">
        <w:t xml:space="preserve"> entities in transitioning to the </w:t>
      </w:r>
      <w:r>
        <w:t>Major SVF</w:t>
      </w:r>
      <w:r w:rsidRPr="00625D43">
        <w:t xml:space="preserve"> regime, including the time taken to process new applications. As APRA develops its licensing framework, transparency </w:t>
      </w:r>
      <w:r w:rsidR="00154899">
        <w:t xml:space="preserve">will be </w:t>
      </w:r>
      <w:r w:rsidR="00300DEF">
        <w:t>key</w:t>
      </w:r>
      <w:r w:rsidRPr="00625D43">
        <w:t xml:space="preserve">. </w:t>
      </w:r>
    </w:p>
    <w:p w14:paraId="03A3F032" w14:textId="36C30C1B" w:rsidR="00D83915" w:rsidRDefault="00F26503" w:rsidP="00F65C24">
      <w:r w:rsidRPr="00F26503">
        <w:t>It is important that entities can plan and understand what is required of APRA's</w:t>
      </w:r>
      <w:r w:rsidR="00DF0503">
        <w:t xml:space="preserve"> </w:t>
      </w:r>
      <w:r w:rsidR="006112A4">
        <w:t xml:space="preserve">licensing </w:t>
      </w:r>
      <w:r w:rsidRPr="00F26503">
        <w:t xml:space="preserve">approach, so that they can manage their growth trajectory with minimal disruption as they transition from a </w:t>
      </w:r>
      <w:r w:rsidR="00497A33">
        <w:t>S</w:t>
      </w:r>
      <w:r w:rsidRPr="00F26503">
        <w:t xml:space="preserve">tandard to </w:t>
      </w:r>
      <w:r w:rsidR="00497A33">
        <w:t>a M</w:t>
      </w:r>
      <w:r w:rsidRPr="00F26503">
        <w:t>ajor SVF.</w:t>
      </w:r>
      <w:r>
        <w:t xml:space="preserve"> </w:t>
      </w:r>
      <w:r w:rsidR="00373047">
        <w:t>SVF</w:t>
      </w:r>
      <w:r w:rsidR="00DF0503">
        <w:t xml:space="preserve"> </w:t>
      </w:r>
      <w:r w:rsidR="006112A4">
        <w:t>licensing</w:t>
      </w:r>
      <w:r w:rsidR="00BD5CAF">
        <w:t xml:space="preserve"> </w:t>
      </w:r>
      <w:r w:rsidR="00326DCE">
        <w:t xml:space="preserve">needs to be agile and </w:t>
      </w:r>
      <w:r w:rsidR="00BE7463">
        <w:t>applied in a risk-based nature</w:t>
      </w:r>
      <w:r w:rsidR="00811700">
        <w:t xml:space="preserve">, to facilitate </w:t>
      </w:r>
      <w:r w:rsidR="0059603F">
        <w:t xml:space="preserve">innovation and </w:t>
      </w:r>
      <w:r w:rsidR="00187658">
        <w:t>competition within the sector.</w:t>
      </w:r>
      <w:r w:rsidR="00BE7463">
        <w:t xml:space="preserve"> </w:t>
      </w:r>
      <w:r w:rsidR="00BD5CAF">
        <w:t xml:space="preserve"> </w:t>
      </w:r>
    </w:p>
    <w:p w14:paraId="2466D8E7" w14:textId="31E70FE7" w:rsidR="00CA14EA" w:rsidRDefault="008A4F09" w:rsidP="008A48F4">
      <w:pPr>
        <w:pStyle w:val="HHText"/>
        <w:keepNext/>
      </w:pPr>
      <w:r>
        <w:t xml:space="preserve">The following proposals </w:t>
      </w:r>
      <w:r w:rsidR="004C0AFC">
        <w:t xml:space="preserve">support </w:t>
      </w:r>
      <w:r w:rsidR="00940D11">
        <w:t xml:space="preserve">greater streamlining in </w:t>
      </w:r>
      <w:r w:rsidR="00DC130C">
        <w:t>APRA</w:t>
      </w:r>
      <w:r w:rsidR="00E53A12">
        <w:t>'s</w:t>
      </w:r>
      <w:r w:rsidR="00DC130C">
        <w:t xml:space="preserve"> </w:t>
      </w:r>
      <w:r w:rsidR="00940D11">
        <w:t>licensing process</w:t>
      </w:r>
      <w:r>
        <w:t>es</w:t>
      </w:r>
      <w:r w:rsidR="00940D11">
        <w:t>:</w:t>
      </w:r>
      <w:r w:rsidR="005A4C94">
        <w:t xml:space="preserve"> </w:t>
      </w:r>
    </w:p>
    <w:p w14:paraId="6AB60684" w14:textId="55DD9C7E" w:rsidR="004E60A4" w:rsidRDefault="004746CD" w:rsidP="0020029E">
      <w:pPr>
        <w:pStyle w:val="Bullet"/>
      </w:pPr>
      <w:r>
        <w:rPr>
          <w:b/>
          <w:bCs/>
        </w:rPr>
        <w:t xml:space="preserve">Guiding </w:t>
      </w:r>
      <w:r w:rsidR="00723926">
        <w:rPr>
          <w:b/>
          <w:bCs/>
        </w:rPr>
        <w:t xml:space="preserve">legislative </w:t>
      </w:r>
      <w:r>
        <w:rPr>
          <w:b/>
          <w:bCs/>
        </w:rPr>
        <w:t>principles</w:t>
      </w:r>
      <w:r w:rsidR="0088429E">
        <w:rPr>
          <w:b/>
          <w:bCs/>
        </w:rPr>
        <w:t>:</w:t>
      </w:r>
      <w:r>
        <w:rPr>
          <w:b/>
          <w:bCs/>
        </w:rPr>
        <w:t xml:space="preserve"> </w:t>
      </w:r>
      <w:r w:rsidR="003552C8">
        <w:t>APRA licensing of Major SVFs</w:t>
      </w:r>
      <w:r w:rsidR="001234A3">
        <w:t xml:space="preserve"> will</w:t>
      </w:r>
      <w:r w:rsidR="003552C8">
        <w:t xml:space="preserve"> be subject to guiding principles in </w:t>
      </w:r>
      <w:r w:rsidR="005819CF">
        <w:t xml:space="preserve">primary </w:t>
      </w:r>
      <w:r w:rsidR="003552C8">
        <w:t>legislation</w:t>
      </w:r>
      <w:r w:rsidR="00D8216D">
        <w:t>. These principles include</w:t>
      </w:r>
      <w:r w:rsidR="003552C8">
        <w:t xml:space="preserve"> that </w:t>
      </w:r>
      <w:r w:rsidR="00020D4D">
        <w:t xml:space="preserve">(i) </w:t>
      </w:r>
      <w:r w:rsidR="003552C8">
        <w:t xml:space="preserve">prudential expectations for Major SVFs are </w:t>
      </w:r>
      <w:r w:rsidR="003552C8">
        <w:lastRenderedPageBreak/>
        <w:t xml:space="preserve">commensurate with the risks of the sector; and </w:t>
      </w:r>
      <w:r w:rsidR="00020D4D">
        <w:t xml:space="preserve">(ii) </w:t>
      </w:r>
      <w:r w:rsidR="003552C8">
        <w:t xml:space="preserve">APRA’s licensing process takes into account the need to </w:t>
      </w:r>
      <w:r w:rsidR="003552C8" w:rsidRPr="00672275">
        <w:t>facilitat</w:t>
      </w:r>
      <w:r w:rsidR="003552C8">
        <w:t>e</w:t>
      </w:r>
      <w:r w:rsidR="003552C8" w:rsidRPr="00672275">
        <w:t xml:space="preserve"> competition and innovation in the SVF sector</w:t>
      </w:r>
      <w:r w:rsidR="003552C8">
        <w:t>.</w:t>
      </w:r>
      <w:r w:rsidR="00C14AA3">
        <w:t xml:space="preserve"> </w:t>
      </w:r>
    </w:p>
    <w:p w14:paraId="2EFC3BE2" w14:textId="5AB9B373" w:rsidR="003552C8" w:rsidRDefault="00AC62DF" w:rsidP="008A48F4">
      <w:pPr>
        <w:pStyle w:val="Bullet"/>
        <w:numPr>
          <w:ilvl w:val="0"/>
          <w:numId w:val="0"/>
        </w:numPr>
        <w:ind w:left="520"/>
      </w:pPr>
      <w:r>
        <w:t>Legislation may prescribe</w:t>
      </w:r>
      <w:r w:rsidR="00202796">
        <w:t xml:space="preserve"> </w:t>
      </w:r>
      <w:r w:rsidR="005F24AB">
        <w:t xml:space="preserve">further </w:t>
      </w:r>
      <w:r w:rsidR="00191264">
        <w:t>factors</w:t>
      </w:r>
      <w:r w:rsidR="002D7BC2">
        <w:t xml:space="preserve"> </w:t>
      </w:r>
      <w:r w:rsidR="00191264">
        <w:t xml:space="preserve">APRA must take into account </w:t>
      </w:r>
      <w:r w:rsidR="002D7BC2">
        <w:t xml:space="preserve">when assessing </w:t>
      </w:r>
      <w:r w:rsidR="009E0AA0">
        <w:t>SVF applications</w:t>
      </w:r>
      <w:r w:rsidR="005331A4">
        <w:t xml:space="preserve">. Such factors </w:t>
      </w:r>
      <w:r w:rsidR="005F24AB">
        <w:t xml:space="preserve">could </w:t>
      </w:r>
      <w:r w:rsidR="00B17FD4">
        <w:t xml:space="preserve">include: </w:t>
      </w:r>
    </w:p>
    <w:p w14:paraId="78B2385F" w14:textId="5770DD56" w:rsidR="00A64B16" w:rsidRDefault="00D95BED" w:rsidP="003D7426">
      <w:pPr>
        <w:pStyle w:val="DoubleDot"/>
      </w:pPr>
      <w:r>
        <w:t>p</w:t>
      </w:r>
      <w:r w:rsidR="005878BB">
        <w:t>rospective applicants have the capacity and commitment to undertake SVF business with integrity, prudence and competence on a continuing basis;</w:t>
      </w:r>
    </w:p>
    <w:p w14:paraId="5181FC77" w14:textId="794C922F" w:rsidR="003C4580" w:rsidRDefault="00D95BED" w:rsidP="003D7426">
      <w:pPr>
        <w:pStyle w:val="DoubleDot"/>
      </w:pPr>
      <w:r>
        <w:t>g</w:t>
      </w:r>
      <w:r w:rsidR="00F73328">
        <w:t>overnance, r</w:t>
      </w:r>
      <w:r w:rsidR="003C4580">
        <w:t>isk management and internal control systems are adequate</w:t>
      </w:r>
      <w:r w:rsidR="00E45A82">
        <w:t>;</w:t>
      </w:r>
      <w:r>
        <w:t xml:space="preserve"> and</w:t>
      </w:r>
    </w:p>
    <w:p w14:paraId="7F3940BA" w14:textId="4A31AE66" w:rsidR="001333F2" w:rsidRDefault="001333F2" w:rsidP="003D7426">
      <w:pPr>
        <w:pStyle w:val="DoubleDot"/>
      </w:pPr>
      <w:r>
        <w:t>an adequate level of capital</w:t>
      </w:r>
      <w:r w:rsidR="00D95BED">
        <w:t xml:space="preserve"> </w:t>
      </w:r>
      <w:r w:rsidR="00337DF8">
        <w:t>and liquidity</w:t>
      </w:r>
      <w:r w:rsidR="00D95BED">
        <w:t xml:space="preserve"> is held by the SVF</w:t>
      </w:r>
      <w:r>
        <w:t xml:space="preserve"> to weather operational risks</w:t>
      </w:r>
      <w:r w:rsidR="00D95BED">
        <w:t>.</w:t>
      </w:r>
    </w:p>
    <w:p w14:paraId="7C269EE0" w14:textId="2820B83E" w:rsidR="00E405B7" w:rsidRDefault="004746CD" w:rsidP="00E42AA2">
      <w:pPr>
        <w:pStyle w:val="Bullet"/>
      </w:pPr>
      <w:r>
        <w:rPr>
          <w:b/>
          <w:bCs/>
        </w:rPr>
        <w:t>Greater transparency</w:t>
      </w:r>
      <w:r w:rsidR="0088429E">
        <w:rPr>
          <w:b/>
          <w:bCs/>
        </w:rPr>
        <w:t>:</w:t>
      </w:r>
      <w:r>
        <w:rPr>
          <w:b/>
          <w:bCs/>
        </w:rPr>
        <w:t xml:space="preserve"> </w:t>
      </w:r>
      <w:r w:rsidR="00857A73" w:rsidRPr="00857A73">
        <w:t xml:space="preserve">To facilitate a smooth transition process, SVFs would need visibility of APRA’s expectations and assessment timeframes ahead of applying for a </w:t>
      </w:r>
      <w:r w:rsidR="00DA389E">
        <w:t>M</w:t>
      </w:r>
      <w:r w:rsidR="00DA389E" w:rsidRPr="00857A73">
        <w:t xml:space="preserve">ajor </w:t>
      </w:r>
      <w:r w:rsidR="00857A73" w:rsidRPr="00857A73">
        <w:t xml:space="preserve">SVF licence. </w:t>
      </w:r>
      <w:r w:rsidR="00546AA9">
        <w:t>T</w:t>
      </w:r>
      <w:r w:rsidR="00857A73" w:rsidRPr="00857A73">
        <w:t>hreshold conditions and maximum assessment timeframes for decisions on licence applications could be specified</w:t>
      </w:r>
      <w:r w:rsidR="0041058F">
        <w:t xml:space="preserve"> in APRA authorisation guidelines</w:t>
      </w:r>
      <w:r w:rsidR="00857A73" w:rsidRPr="00857A73">
        <w:t xml:space="preserve">. For example, in the UK, decisions on new banking licence applications are made within 6 months if the application contains all required information, and 12 months for incomplete applications. </w:t>
      </w:r>
      <w:r w:rsidR="002E5A74">
        <w:t>Feedback is welcome</w:t>
      </w:r>
      <w:r w:rsidR="00857A73" w:rsidRPr="00857A73">
        <w:t xml:space="preserve"> on what information or guardrails could assist a </w:t>
      </w:r>
      <w:r w:rsidR="00C65650">
        <w:t>S</w:t>
      </w:r>
      <w:r w:rsidR="00857A73" w:rsidRPr="00857A73">
        <w:t xml:space="preserve">tandard SVF in making a smooth transition to </w:t>
      </w:r>
      <w:r w:rsidR="000147B1">
        <w:t>M</w:t>
      </w:r>
      <w:r w:rsidR="00857A73" w:rsidRPr="00857A73">
        <w:t>ajor SVF.</w:t>
      </w:r>
    </w:p>
    <w:tbl>
      <w:tblPr>
        <w:tblStyle w:val="TableGrid"/>
        <w:tblW w:w="0" w:type="auto"/>
        <w:tblLook w:val="04A0" w:firstRow="1" w:lastRow="0" w:firstColumn="1" w:lastColumn="0" w:noHBand="0" w:noVBand="1"/>
      </w:tblPr>
      <w:tblGrid>
        <w:gridCol w:w="9070"/>
      </w:tblGrid>
      <w:tr w:rsidR="00197773" w14:paraId="29E90E75"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02A75685" w14:textId="77777777" w:rsidR="00197773" w:rsidRPr="00DF715D" w:rsidRDefault="00197773" w:rsidP="00E42AA2">
            <w:pPr>
              <w:spacing w:before="96" w:after="96"/>
              <w:rPr>
                <w:b w:val="0"/>
                <w:u w:val="single"/>
              </w:rPr>
            </w:pPr>
            <w:bookmarkStart w:id="101" w:name="_Ref151640075"/>
            <w:r w:rsidRPr="00DF715D">
              <w:rPr>
                <w:u w:val="single"/>
              </w:rPr>
              <w:t>Consultation questions</w:t>
            </w:r>
          </w:p>
          <w:p w14:paraId="15D5E845" w14:textId="476CADEA" w:rsidR="00F95DC9" w:rsidRPr="003D7426" w:rsidRDefault="004A4E51" w:rsidP="001D123F">
            <w:pPr>
              <w:pStyle w:val="Consultationquestions"/>
              <w:numPr>
                <w:ilvl w:val="0"/>
                <w:numId w:val="100"/>
              </w:numPr>
            </w:pPr>
            <w:r w:rsidRPr="001C52A9">
              <w:t xml:space="preserve">Do the </w:t>
            </w:r>
            <w:r w:rsidR="00E41E7D">
              <w:t>proposed options</w:t>
            </w:r>
            <w:r w:rsidRPr="001C52A9">
              <w:t xml:space="preserve"> for streamlining licensing processes </w:t>
            </w:r>
            <w:r w:rsidR="000F1F50" w:rsidRPr="001C52A9">
              <w:t>adequately</w:t>
            </w:r>
            <w:r w:rsidR="00112495" w:rsidRPr="001C52A9">
              <w:t xml:space="preserve"> balance </w:t>
            </w:r>
            <w:r w:rsidR="000F1F50" w:rsidRPr="001C52A9">
              <w:t>safety with</w:t>
            </w:r>
            <w:r w:rsidR="00F95DC9" w:rsidRPr="001C52A9">
              <w:t xml:space="preserve"> the need to foster competition in the SVF sector?</w:t>
            </w:r>
          </w:p>
          <w:p w14:paraId="3B93A335" w14:textId="2414C6CD" w:rsidR="00197773" w:rsidRPr="000D51D4" w:rsidRDefault="009566AB" w:rsidP="001D123F">
            <w:pPr>
              <w:pStyle w:val="Consultationquestions"/>
              <w:numPr>
                <w:ilvl w:val="0"/>
                <w:numId w:val="100"/>
              </w:numPr>
            </w:pPr>
            <w:r>
              <w:t>W</w:t>
            </w:r>
            <w:r w:rsidRPr="009566AB">
              <w:t>hat</w:t>
            </w:r>
            <w:r>
              <w:t xml:space="preserve"> further</w:t>
            </w:r>
            <w:r w:rsidRPr="009566AB">
              <w:t xml:space="preserve"> information or guardrails could assist a </w:t>
            </w:r>
            <w:r>
              <w:t>S</w:t>
            </w:r>
            <w:r w:rsidRPr="009566AB">
              <w:t xml:space="preserve">tandard SVF </w:t>
            </w:r>
            <w:r w:rsidR="0092371D">
              <w:t>make</w:t>
            </w:r>
            <w:r w:rsidRPr="009566AB">
              <w:t xml:space="preserve"> a smooth transition to </w:t>
            </w:r>
            <w:r>
              <w:t>M</w:t>
            </w:r>
            <w:r w:rsidRPr="009566AB">
              <w:t>ajor SVF</w:t>
            </w:r>
            <w:r w:rsidR="001C52A9" w:rsidRPr="0013698E">
              <w:rPr>
                <w:rStyle w:val="cf01"/>
                <w:rFonts w:asciiTheme="minorHAnsi" w:hAnsiTheme="minorHAnsi" w:cstheme="minorBidi"/>
                <w:sz w:val="20"/>
                <w:szCs w:val="22"/>
              </w:rPr>
              <w:t>?</w:t>
            </w:r>
          </w:p>
        </w:tc>
      </w:tr>
    </w:tbl>
    <w:p w14:paraId="4F6CB4E4" w14:textId="313D06C3" w:rsidR="007C1D7D" w:rsidRDefault="007C1D7D" w:rsidP="006377BA">
      <w:pPr>
        <w:pStyle w:val="Heading2"/>
      </w:pPr>
      <w:bookmarkStart w:id="102" w:name="_Toc149230382"/>
      <w:bookmarkStart w:id="103" w:name="_Toc149230497"/>
      <w:bookmarkStart w:id="104" w:name="_Toc149230610"/>
      <w:bookmarkStart w:id="105" w:name="_Toc149230722"/>
      <w:bookmarkStart w:id="106" w:name="_Toc149230833"/>
      <w:bookmarkStart w:id="107" w:name="_Toc149230945"/>
      <w:bookmarkStart w:id="108" w:name="_Ref148709708"/>
      <w:bookmarkStart w:id="109" w:name="_Toc149230946"/>
      <w:bookmarkStart w:id="110" w:name="_Toc152847634"/>
      <w:bookmarkEnd w:id="101"/>
      <w:bookmarkEnd w:id="102"/>
      <w:bookmarkEnd w:id="103"/>
      <w:bookmarkEnd w:id="104"/>
      <w:bookmarkEnd w:id="105"/>
      <w:bookmarkEnd w:id="106"/>
      <w:bookmarkEnd w:id="107"/>
      <w:r>
        <w:t xml:space="preserve">Interactions with other </w:t>
      </w:r>
      <w:r w:rsidR="0011166C">
        <w:t>regulatory</w:t>
      </w:r>
      <w:r>
        <w:t xml:space="preserve"> frameworks</w:t>
      </w:r>
      <w:bookmarkEnd w:id="108"/>
      <w:bookmarkEnd w:id="109"/>
      <w:bookmarkEnd w:id="110"/>
    </w:p>
    <w:p w14:paraId="4B512E06" w14:textId="0EAC3FDF" w:rsidR="00A42B24" w:rsidRPr="00A42B24" w:rsidRDefault="00A42B24" w:rsidP="00F65C24">
      <w:r>
        <w:t xml:space="preserve">The payments </w:t>
      </w:r>
      <w:r w:rsidR="001E274F">
        <w:t>regulatory</w:t>
      </w:r>
      <w:r>
        <w:t xml:space="preserve"> framework </w:t>
      </w:r>
      <w:r w:rsidR="002F354C">
        <w:t>will be appropriately linked</w:t>
      </w:r>
      <w:r>
        <w:t xml:space="preserve"> with other frameworks:</w:t>
      </w:r>
    </w:p>
    <w:p w14:paraId="7AB16B6C" w14:textId="36781476" w:rsidR="001E274F" w:rsidRPr="00D36B13" w:rsidRDefault="001E274F" w:rsidP="00D36B13">
      <w:pPr>
        <w:pStyle w:val="Bullet"/>
        <w:rPr>
          <w:b/>
        </w:rPr>
      </w:pPr>
      <w:r w:rsidRPr="001E274F">
        <w:rPr>
          <w:b/>
          <w:bCs/>
        </w:rPr>
        <w:t xml:space="preserve">PSRA </w:t>
      </w:r>
      <w:r w:rsidR="0053763E">
        <w:rPr>
          <w:b/>
          <w:bCs/>
        </w:rPr>
        <w:t xml:space="preserve">– </w:t>
      </w:r>
      <w:r w:rsidR="00C30833">
        <w:t xml:space="preserve">The PSRA and payments licensing frameworks </w:t>
      </w:r>
      <w:r w:rsidR="0013780C">
        <w:t>have</w:t>
      </w:r>
      <w:r w:rsidR="00C30833">
        <w:t xml:space="preserve"> different objectives and are complementary in nature.</w:t>
      </w:r>
      <w:r w:rsidR="004A406B">
        <w:t xml:space="preserve"> While the payments licensing framework is intended to set minimum </w:t>
      </w:r>
      <w:r w:rsidR="00BE3467">
        <w:t>obligations f</w:t>
      </w:r>
      <w:r w:rsidR="00D7493B">
        <w:t xml:space="preserve">or </w:t>
      </w:r>
      <w:r w:rsidR="00DB2F76">
        <w:t>PSPs</w:t>
      </w:r>
      <w:r w:rsidR="00D7493B">
        <w:t>,</w:t>
      </w:r>
      <w:r w:rsidR="00C30833">
        <w:t xml:space="preserve"> </w:t>
      </w:r>
      <w:r w:rsidR="00E6614B">
        <w:t xml:space="preserve">the </w:t>
      </w:r>
      <w:r w:rsidR="0053763E">
        <w:t xml:space="preserve">PSRA </w:t>
      </w:r>
      <w:r w:rsidR="00E6614B">
        <w:t xml:space="preserve">on the other hand, </w:t>
      </w:r>
      <w:r w:rsidR="00F43AD3">
        <w:t>enables</w:t>
      </w:r>
      <w:r w:rsidR="00483D4F">
        <w:t xml:space="preserve"> </w:t>
      </w:r>
      <w:r w:rsidR="0053763E">
        <w:t xml:space="preserve">powers </w:t>
      </w:r>
      <w:r w:rsidR="00F830D9">
        <w:t xml:space="preserve">for </w:t>
      </w:r>
      <w:r w:rsidR="0053763E">
        <w:t xml:space="preserve">the RBA and the Treasurer to address specific issues in the payment system </w:t>
      </w:r>
      <w:r w:rsidR="00F830D9">
        <w:t>that are</w:t>
      </w:r>
      <w:r w:rsidR="0053763E">
        <w:t xml:space="preserve"> in the public or national interest</w:t>
      </w:r>
      <w:r w:rsidR="00B45E76">
        <w:t xml:space="preserve"> respectively</w:t>
      </w:r>
      <w:r w:rsidR="0053763E">
        <w:t xml:space="preserve">. The RBA is empowered to use their powers under the PSRA to </w:t>
      </w:r>
      <w:r w:rsidR="0053763E" w:rsidRPr="006C4346">
        <w:t>control risk</w:t>
      </w:r>
      <w:r w:rsidR="0053763E">
        <w:t>, and</w:t>
      </w:r>
      <w:r w:rsidR="0053763E" w:rsidRPr="006C4346">
        <w:t xml:space="preserve"> promote efficiency and competition in the payments system</w:t>
      </w:r>
      <w:r w:rsidR="00060E84">
        <w:t xml:space="preserve"> in the public interest</w:t>
      </w:r>
      <w:r w:rsidR="0053763E" w:rsidRPr="006C4346">
        <w:t>.</w:t>
      </w:r>
      <w:r w:rsidR="0053763E">
        <w:t xml:space="preserve"> </w:t>
      </w:r>
      <w:r w:rsidR="009F0D3C">
        <w:rPr>
          <w:rStyle w:val="ui-provider"/>
        </w:rPr>
        <w:t>The Treasurer will have a national interest</w:t>
      </w:r>
      <w:r w:rsidR="00D36B13">
        <w:rPr>
          <w:rStyle w:val="ui-provider"/>
        </w:rPr>
        <w:t xml:space="preserve"> designation power to ensure that </w:t>
      </w:r>
      <w:r w:rsidR="009F0D3C">
        <w:rPr>
          <w:rStyle w:val="ui-provider"/>
        </w:rPr>
        <w:t>risks of national significance,</w:t>
      </w:r>
      <w:r w:rsidR="00D36B13">
        <w:rPr>
          <w:rStyle w:val="ui-provider"/>
        </w:rPr>
        <w:t xml:space="preserve"> that fall outside </w:t>
      </w:r>
      <w:r w:rsidR="009F0D3C">
        <w:rPr>
          <w:rStyle w:val="ui-provider"/>
        </w:rPr>
        <w:t>the public interest</w:t>
      </w:r>
      <w:r w:rsidR="00D36B13">
        <w:rPr>
          <w:rStyle w:val="ui-provider"/>
        </w:rPr>
        <w:t xml:space="preserve"> perimeters</w:t>
      </w:r>
      <w:r w:rsidR="009F0D3C">
        <w:rPr>
          <w:rStyle w:val="ui-provider"/>
        </w:rPr>
        <w:t>,</w:t>
      </w:r>
      <w:r w:rsidR="00D36B13">
        <w:rPr>
          <w:rStyle w:val="ui-provider"/>
        </w:rPr>
        <w:t xml:space="preserve"> can be brought within the regulatory net.</w:t>
      </w:r>
    </w:p>
    <w:p w14:paraId="463AFEB0" w14:textId="37FEB505" w:rsidR="009048AA" w:rsidRPr="001E274F" w:rsidRDefault="009048AA" w:rsidP="0020029E">
      <w:pPr>
        <w:pStyle w:val="Bullet"/>
        <w:rPr>
          <w:b/>
          <w:bCs/>
        </w:rPr>
      </w:pPr>
      <w:r>
        <w:rPr>
          <w:b/>
          <w:bCs/>
        </w:rPr>
        <w:t xml:space="preserve">Credit </w:t>
      </w:r>
      <w:r>
        <w:t xml:space="preserve">– </w:t>
      </w:r>
      <w:r w:rsidR="007B3C18">
        <w:t>G</w:t>
      </w:r>
      <w:r w:rsidR="00391F9C">
        <w:t xml:space="preserve">uidance </w:t>
      </w:r>
      <w:r w:rsidR="007A2D4E">
        <w:t>is available</w:t>
      </w:r>
      <w:r w:rsidR="00391F9C">
        <w:t xml:space="preserve"> for </w:t>
      </w:r>
      <w:r w:rsidR="00030908">
        <w:t xml:space="preserve">entities that </w:t>
      </w:r>
      <w:r w:rsidR="00866591">
        <w:t xml:space="preserve">are a credit licensee and AFS licensee to </w:t>
      </w:r>
      <w:r w:rsidR="00702E92">
        <w:t>avoid duplicating processes.</w:t>
      </w:r>
      <w:r w:rsidR="00A656D0">
        <w:rPr>
          <w:rStyle w:val="FootnoteReference"/>
        </w:rPr>
        <w:footnoteReference w:id="72"/>
      </w:r>
    </w:p>
    <w:p w14:paraId="7CB8FBCB" w14:textId="618CC687" w:rsidR="00AC7CF7" w:rsidRPr="00AC7CF7" w:rsidRDefault="00AC7CF7" w:rsidP="0020029E">
      <w:pPr>
        <w:pStyle w:val="Bullet"/>
      </w:pPr>
      <w:r w:rsidRPr="00AC7CF7">
        <w:rPr>
          <w:b/>
          <w:bCs/>
        </w:rPr>
        <w:t>CDR</w:t>
      </w:r>
      <w:r>
        <w:t xml:space="preserve"> </w:t>
      </w:r>
      <w:r w:rsidR="00DD7267">
        <w:t>–</w:t>
      </w:r>
      <w:r w:rsidR="007853EB">
        <w:t xml:space="preserve"> </w:t>
      </w:r>
      <w:r w:rsidRPr="00AC7CF7">
        <w:t xml:space="preserve">The Government has introduced legislation to extend the CDR to action initiation, which would enable consumers to instruct accredited third parties to initiate actions, such as </w:t>
      </w:r>
      <w:r w:rsidRPr="00AC7CF7">
        <w:lastRenderedPageBreak/>
        <w:t>payments, on their behalf.</w:t>
      </w:r>
      <w:r w:rsidR="00F02E07">
        <w:rPr>
          <w:rStyle w:val="FootnoteReference"/>
        </w:rPr>
        <w:footnoteReference w:id="73"/>
      </w:r>
      <w:r w:rsidRPr="00AC7CF7">
        <w:t xml:space="preserve"> Subject to an assessment and public consultation, the Government would bring individual actions into the CDR via a declaration process, followed by the development of CDR rules and standards.</w:t>
      </w:r>
      <w:r>
        <w:t xml:space="preserve"> </w:t>
      </w:r>
      <w:r w:rsidR="00BE29FD">
        <w:t>If</w:t>
      </w:r>
      <w:r w:rsidR="00BE29FD" w:rsidDel="00C34480">
        <w:t xml:space="preserve"> </w:t>
      </w:r>
      <w:r w:rsidR="00BE29FD">
        <w:t>payment initiation was declared a</w:t>
      </w:r>
      <w:r w:rsidR="00BE29FD" w:rsidDel="00C34480">
        <w:t xml:space="preserve"> </w:t>
      </w:r>
      <w:r w:rsidR="00C34480">
        <w:t xml:space="preserve">CDR </w:t>
      </w:r>
      <w:r w:rsidR="00BE29FD">
        <w:t xml:space="preserve">action type, CDR payment initiators would be </w:t>
      </w:r>
      <w:r w:rsidR="00754343">
        <w:t xml:space="preserve">captured by the proposed </w:t>
      </w:r>
      <w:r w:rsidR="00D95B2B">
        <w:t>‘</w:t>
      </w:r>
      <w:r w:rsidR="00754343">
        <w:t xml:space="preserve">Payment </w:t>
      </w:r>
      <w:r w:rsidR="0080171C">
        <w:t>Initiation Services</w:t>
      </w:r>
      <w:r w:rsidR="00D95B2B">
        <w:t>’</w:t>
      </w:r>
      <w:r w:rsidR="0080171C">
        <w:t xml:space="preserve"> function, and therefore </w:t>
      </w:r>
      <w:r w:rsidR="00BE29FD">
        <w:t>subject to the same general financial services laws as other payment initiators</w:t>
      </w:r>
      <w:r w:rsidR="0032703F">
        <w:t xml:space="preserve">, </w:t>
      </w:r>
      <w:r w:rsidR="00520144">
        <w:t>a</w:t>
      </w:r>
      <w:r w:rsidR="0032703F">
        <w:t>s</w:t>
      </w:r>
      <w:r>
        <w:t xml:space="preserve"> set out in </w:t>
      </w:r>
      <w:r w:rsidR="003F57C6">
        <w:rPr>
          <w:b/>
        </w:rPr>
        <w:t>S</w:t>
      </w:r>
      <w:r w:rsidR="003F57C6" w:rsidRPr="003D7426">
        <w:rPr>
          <w:b/>
        </w:rPr>
        <w:t xml:space="preserve">ection </w:t>
      </w:r>
      <w:r w:rsidR="00104954">
        <w:rPr>
          <w:b/>
        </w:rPr>
        <w:t>2</w:t>
      </w:r>
      <w:r w:rsidR="00E92DEE">
        <w:rPr>
          <w:b/>
          <w:bCs/>
        </w:rPr>
        <w:t>.</w:t>
      </w:r>
    </w:p>
    <w:p w14:paraId="10470610" w14:textId="02999249" w:rsidR="007C1D7D" w:rsidRDefault="00D55A06" w:rsidP="0020029E">
      <w:pPr>
        <w:pStyle w:val="Bullet"/>
      </w:pPr>
      <w:r>
        <w:rPr>
          <w:b/>
          <w:bCs/>
        </w:rPr>
        <w:t xml:space="preserve">Digital </w:t>
      </w:r>
      <w:r w:rsidR="002D21FE">
        <w:rPr>
          <w:b/>
          <w:bCs/>
        </w:rPr>
        <w:t>a</w:t>
      </w:r>
      <w:r>
        <w:rPr>
          <w:b/>
          <w:bCs/>
        </w:rPr>
        <w:t>sset</w:t>
      </w:r>
      <w:r w:rsidR="007909EE">
        <w:rPr>
          <w:b/>
          <w:bCs/>
        </w:rPr>
        <w:t xml:space="preserve"> (c</w:t>
      </w:r>
      <w:r w:rsidR="007C1D7D">
        <w:rPr>
          <w:b/>
          <w:bCs/>
        </w:rPr>
        <w:t>rypto</w:t>
      </w:r>
      <w:r w:rsidR="007909EE">
        <w:rPr>
          <w:b/>
          <w:bCs/>
        </w:rPr>
        <w:t>)</w:t>
      </w:r>
      <w:r w:rsidR="007C1D7D">
        <w:rPr>
          <w:b/>
          <w:bCs/>
        </w:rPr>
        <w:t xml:space="preserve"> reforms </w:t>
      </w:r>
      <w:r w:rsidR="005662B5">
        <w:t>–</w:t>
      </w:r>
      <w:r w:rsidR="007C1D7D">
        <w:t xml:space="preserve"> </w:t>
      </w:r>
      <w:r w:rsidR="00030F7D">
        <w:t xml:space="preserve">a consultation paper on licensing of </w:t>
      </w:r>
      <w:r w:rsidR="001A4AAD">
        <w:t>digital asset platforms</w:t>
      </w:r>
      <w:r w:rsidR="00977687">
        <w:t xml:space="preserve"> (DAPs)</w:t>
      </w:r>
      <w:r w:rsidR="00030F7D">
        <w:t xml:space="preserve"> was released </w:t>
      </w:r>
      <w:r w:rsidR="005F478F">
        <w:t>in October 2023</w:t>
      </w:r>
      <w:r w:rsidR="00030F7D">
        <w:t>.</w:t>
      </w:r>
      <w:r w:rsidR="005F478F">
        <w:rPr>
          <w:rStyle w:val="FootnoteReference"/>
        </w:rPr>
        <w:footnoteReference w:id="74"/>
      </w:r>
      <w:r w:rsidR="00030F7D">
        <w:t xml:space="preserve"> </w:t>
      </w:r>
      <w:r w:rsidR="006C5872">
        <w:t xml:space="preserve">It is possible that </w:t>
      </w:r>
      <w:r w:rsidR="00977687">
        <w:t>DAPs</w:t>
      </w:r>
      <w:r w:rsidR="00546850">
        <w:t xml:space="preserve"> </w:t>
      </w:r>
      <w:r w:rsidR="00A23902">
        <w:t>undertake some</w:t>
      </w:r>
      <w:r w:rsidR="004C260B">
        <w:t xml:space="preserve"> </w:t>
      </w:r>
      <w:r w:rsidR="00A23902">
        <w:t>of the</w:t>
      </w:r>
      <w:r w:rsidR="004C260B">
        <w:t xml:space="preserve"> defined payment functions</w:t>
      </w:r>
      <w:r w:rsidR="00A23902">
        <w:t xml:space="preserve"> in this paper</w:t>
      </w:r>
      <w:r w:rsidR="00546850">
        <w:t>.</w:t>
      </w:r>
      <w:r w:rsidR="00A42B24">
        <w:t xml:space="preserve"> </w:t>
      </w:r>
      <w:r w:rsidR="006A7E99">
        <w:t xml:space="preserve">Both </w:t>
      </w:r>
      <w:r w:rsidR="006B3B62">
        <w:t>reforms</w:t>
      </w:r>
      <w:r w:rsidR="006A7E99">
        <w:t xml:space="preserve"> </w:t>
      </w:r>
      <w:r w:rsidR="00AA2052">
        <w:t>propose to utilise the</w:t>
      </w:r>
      <w:r w:rsidR="006A7E99">
        <w:t xml:space="preserve"> AFSL</w:t>
      </w:r>
      <w:r w:rsidR="0098344F">
        <w:t xml:space="preserve"> </w:t>
      </w:r>
      <w:r w:rsidR="00AA2052">
        <w:t xml:space="preserve">as the base </w:t>
      </w:r>
      <w:r w:rsidR="002A69ED">
        <w:t>licence</w:t>
      </w:r>
      <w:r w:rsidR="00AA2052">
        <w:t>.</w:t>
      </w:r>
      <w:r w:rsidR="0098344F">
        <w:t xml:space="preserve"> </w:t>
      </w:r>
      <w:r w:rsidR="00AA2052">
        <w:t xml:space="preserve">Feedback is welcome </w:t>
      </w:r>
      <w:r w:rsidR="007C4AFB">
        <w:t xml:space="preserve">on how </w:t>
      </w:r>
      <w:r w:rsidR="00DC3C24">
        <w:t xml:space="preserve">the </w:t>
      </w:r>
      <w:r w:rsidR="006B3B62">
        <w:t>reforms</w:t>
      </w:r>
      <w:r w:rsidR="00DC3C24">
        <w:t xml:space="preserve"> may interact</w:t>
      </w:r>
      <w:r w:rsidR="00F236AF">
        <w:t xml:space="preserve"> for particular business models</w:t>
      </w:r>
      <w:r w:rsidR="00DC3C24">
        <w:t xml:space="preserve">, and </w:t>
      </w:r>
      <w:r w:rsidR="00F236AF">
        <w:t xml:space="preserve">areas </w:t>
      </w:r>
      <w:r w:rsidR="00DC3C24">
        <w:t xml:space="preserve">where </w:t>
      </w:r>
      <w:r w:rsidR="00942392">
        <w:t>regulatory duplication in the</w:t>
      </w:r>
      <w:r w:rsidR="00DC3C24">
        <w:t xml:space="preserve"> </w:t>
      </w:r>
      <w:r w:rsidR="0098344F">
        <w:t>licensing process</w:t>
      </w:r>
      <w:r w:rsidR="00DC3C24">
        <w:t>es</w:t>
      </w:r>
      <w:r w:rsidR="0098344F">
        <w:t xml:space="preserve"> can be streamlined.</w:t>
      </w:r>
    </w:p>
    <w:p w14:paraId="1B900739" w14:textId="1461FB83" w:rsidR="006F2250" w:rsidRDefault="00A42B24" w:rsidP="007853EB">
      <w:pPr>
        <w:pStyle w:val="Bullet"/>
      </w:pPr>
      <w:r w:rsidRPr="00CF2A7F">
        <w:rPr>
          <w:b/>
        </w:rPr>
        <w:t xml:space="preserve">ADI licensing </w:t>
      </w:r>
      <w:r w:rsidR="000B0105" w:rsidRPr="00CF2A7F">
        <w:t>–</w:t>
      </w:r>
      <w:r w:rsidR="007735CC" w:rsidRPr="00CF2A7F">
        <w:t xml:space="preserve"> </w:t>
      </w:r>
      <w:r w:rsidR="004A1022">
        <w:t xml:space="preserve">although ADIs </w:t>
      </w:r>
      <w:r w:rsidR="00C551F8">
        <w:t xml:space="preserve">play a significant role </w:t>
      </w:r>
      <w:r w:rsidR="00B82E34">
        <w:t xml:space="preserve">in </w:t>
      </w:r>
      <w:r w:rsidR="00C551F8">
        <w:t xml:space="preserve">payments, they are already subject to a comprehensive regulatory regime; </w:t>
      </w:r>
      <w:r w:rsidR="0065165C" w:rsidRPr="00CF2A7F">
        <w:t xml:space="preserve">no </w:t>
      </w:r>
      <w:r w:rsidR="0062034A">
        <w:t>specific</w:t>
      </w:r>
      <w:r w:rsidR="0065165C" w:rsidRPr="00CF2A7F">
        <w:t xml:space="preserve"> </w:t>
      </w:r>
      <w:r w:rsidR="00AF5B62" w:rsidRPr="00CF2A7F">
        <w:t xml:space="preserve">additional </w:t>
      </w:r>
      <w:r w:rsidR="00841F5D">
        <w:t xml:space="preserve">prudential </w:t>
      </w:r>
      <w:r w:rsidR="00AF5B62" w:rsidRPr="00CF2A7F">
        <w:t>obligations</w:t>
      </w:r>
      <w:r w:rsidR="007735CC" w:rsidRPr="00CF2A7F">
        <w:t xml:space="preserve"> are proposed for ADIs</w:t>
      </w:r>
      <w:r w:rsidR="00B444B4" w:rsidRPr="00CF2A7F">
        <w:t xml:space="preserve"> </w:t>
      </w:r>
      <w:r w:rsidR="007735CC" w:rsidRPr="00CF2A7F">
        <w:t>in</w:t>
      </w:r>
      <w:r w:rsidR="008A2CB0" w:rsidRPr="00CF2A7F">
        <w:t xml:space="preserve"> this paper.</w:t>
      </w:r>
      <w:r w:rsidR="00BC7215">
        <w:t xml:space="preserve"> </w:t>
      </w:r>
      <w:r w:rsidR="00133967">
        <w:t xml:space="preserve">The AFSL framework already provides exceptions from </w:t>
      </w:r>
      <w:r w:rsidR="006609F1">
        <w:t xml:space="preserve">relevant </w:t>
      </w:r>
      <w:r w:rsidR="00C5005C" w:rsidRPr="00885223">
        <w:rPr>
          <w:i/>
          <w:iCs/>
        </w:rPr>
        <w:t>Corporations Act</w:t>
      </w:r>
      <w:r w:rsidR="00133967">
        <w:t xml:space="preserve"> requirements</w:t>
      </w:r>
      <w:r w:rsidR="004C2E9E">
        <w:t>, such as financial requirements, for prudentially regulated entities.</w:t>
      </w:r>
    </w:p>
    <w:p w14:paraId="0FD84325" w14:textId="189D6C52" w:rsidR="006F2250" w:rsidRDefault="006F2250" w:rsidP="006377BA">
      <w:pPr>
        <w:pStyle w:val="Heading2"/>
      </w:pPr>
      <w:bookmarkStart w:id="111" w:name="_Toc149230947"/>
      <w:bookmarkStart w:id="112" w:name="_Toc152847635"/>
      <w:r>
        <w:t>Info</w:t>
      </w:r>
      <w:r w:rsidR="00B73CF1">
        <w:t>rmati</w:t>
      </w:r>
      <w:r w:rsidR="00E1428A">
        <w:t>on</w:t>
      </w:r>
      <w:r>
        <w:t xml:space="preserve"> gathering powers</w:t>
      </w:r>
      <w:bookmarkEnd w:id="111"/>
      <w:bookmarkEnd w:id="112"/>
    </w:p>
    <w:p w14:paraId="37A7D3DA" w14:textId="588D9C29" w:rsidR="009649DA" w:rsidRDefault="00E06880" w:rsidP="00F65C24">
      <w:r>
        <w:t xml:space="preserve">The requirements under </w:t>
      </w:r>
      <w:r w:rsidR="00A126B4" w:rsidRPr="000D6A3D">
        <w:t xml:space="preserve">Part 7.6 </w:t>
      </w:r>
      <w:r>
        <w:t xml:space="preserve">of the </w:t>
      </w:r>
      <w:r w:rsidRPr="004D5C02">
        <w:rPr>
          <w:i/>
        </w:rPr>
        <w:t>Corporations Act</w:t>
      </w:r>
      <w:r>
        <w:t xml:space="preserve"> </w:t>
      </w:r>
      <w:r w:rsidR="00D07511">
        <w:t>would</w:t>
      </w:r>
      <w:r w:rsidR="00A126B4" w:rsidRPr="000D6A3D">
        <w:t xml:space="preserve"> apply to </w:t>
      </w:r>
      <w:r w:rsidR="00AE2E79">
        <w:t>PSPs</w:t>
      </w:r>
      <w:r w:rsidR="00A126B4" w:rsidRPr="000D6A3D">
        <w:t xml:space="preserve"> once they are licensed. </w:t>
      </w:r>
      <w:r w:rsidR="00B9701D">
        <w:t xml:space="preserve">For example, </w:t>
      </w:r>
      <w:r w:rsidR="00E8430C" w:rsidRPr="00E8430C">
        <w:t xml:space="preserve">ASIC </w:t>
      </w:r>
      <w:r w:rsidR="001E5569">
        <w:t xml:space="preserve">may </w:t>
      </w:r>
      <w:r w:rsidR="00E8430C" w:rsidRPr="00E8430C">
        <w:t>direct a licensee by written notice to give a written statement containing specified information about the services, business and information relevant to being a fit and proper person</w:t>
      </w:r>
      <w:r w:rsidR="00A72D0C" w:rsidRPr="000D6A3D">
        <w:t>.</w:t>
      </w:r>
      <w:r w:rsidR="001E5569">
        <w:rPr>
          <w:rStyle w:val="FootnoteReference"/>
        </w:rPr>
        <w:footnoteReference w:id="75"/>
      </w:r>
      <w:r w:rsidR="00A72D0C" w:rsidRPr="000D6A3D">
        <w:t xml:space="preserve"> </w:t>
      </w:r>
      <w:r w:rsidR="00440DF5">
        <w:t>APRA has similar information gathering powers</w:t>
      </w:r>
      <w:r w:rsidR="003768BE">
        <w:t>.</w:t>
      </w:r>
      <w:r w:rsidR="003768BE">
        <w:rPr>
          <w:rStyle w:val="FootnoteReference"/>
        </w:rPr>
        <w:footnoteReference w:id="76"/>
      </w:r>
      <w:r w:rsidR="00440DF5">
        <w:t xml:space="preserve"> </w:t>
      </w:r>
    </w:p>
    <w:p w14:paraId="29870D1C" w14:textId="78844162" w:rsidR="00634242" w:rsidRDefault="00D0752A" w:rsidP="00F65C24">
      <w:r>
        <w:t>However, these</w:t>
      </w:r>
      <w:r w:rsidR="009649DA">
        <w:t xml:space="preserve"> obligations and</w:t>
      </w:r>
      <w:r>
        <w:t xml:space="preserve"> powers do not </w:t>
      </w:r>
      <w:r w:rsidR="00590E15">
        <w:t>apply to</w:t>
      </w:r>
      <w:r w:rsidRPr="000D6A3D">
        <w:t xml:space="preserve"> </w:t>
      </w:r>
      <w:r w:rsidR="00046E5D">
        <w:t>non-licensed entities, including</w:t>
      </w:r>
      <w:r w:rsidR="006A4C8F">
        <w:t xml:space="preserve"> prospective licensees</w:t>
      </w:r>
      <w:r w:rsidR="00AC59F4">
        <w:t xml:space="preserve">. </w:t>
      </w:r>
      <w:r w:rsidR="005F346A">
        <w:t xml:space="preserve">ASIC and APRA </w:t>
      </w:r>
      <w:r w:rsidR="00AC59F4">
        <w:t xml:space="preserve">currently </w:t>
      </w:r>
      <w:r w:rsidR="0071461A">
        <w:t>rely</w:t>
      </w:r>
      <w:r w:rsidR="00AC59F4">
        <w:t xml:space="preserve"> </w:t>
      </w:r>
      <w:r w:rsidR="00136D85">
        <w:t>on</w:t>
      </w:r>
      <w:r w:rsidR="00AC59F4">
        <w:t xml:space="preserve"> the</w:t>
      </w:r>
      <w:r w:rsidR="00136D85">
        <w:t xml:space="preserve"> voluntary provision of information from prospective licensees</w:t>
      </w:r>
      <w:r w:rsidRPr="000D6A3D">
        <w:t>.</w:t>
      </w:r>
      <w:r w:rsidR="00634242">
        <w:t xml:space="preserve"> </w:t>
      </w:r>
      <w:r w:rsidR="00B73CF1">
        <w:t xml:space="preserve">Additional regulatory powers are </w:t>
      </w:r>
      <w:r w:rsidR="00BD1147">
        <w:t>therefore necessary</w:t>
      </w:r>
      <w:r w:rsidR="00B73CF1">
        <w:t xml:space="preserve"> to facilitate compliance with the </w:t>
      </w:r>
      <w:r w:rsidR="004579D0">
        <w:t>reforms</w:t>
      </w:r>
      <w:r w:rsidR="00650E91">
        <w:t xml:space="preserve">. </w:t>
      </w:r>
    </w:p>
    <w:p w14:paraId="676823E6" w14:textId="567E894E" w:rsidR="003D3D09" w:rsidRPr="00C9092F" w:rsidRDefault="000417B4" w:rsidP="00F65C24">
      <w:r>
        <w:t xml:space="preserve">To facilitate effective ASIC </w:t>
      </w:r>
      <w:r w:rsidR="00024735">
        <w:t xml:space="preserve">and APRA </w:t>
      </w:r>
      <w:r>
        <w:t xml:space="preserve">enforcement of the </w:t>
      </w:r>
      <w:r w:rsidR="004579D0">
        <w:t>reforms</w:t>
      </w:r>
      <w:r>
        <w:t xml:space="preserve">, </w:t>
      </w:r>
      <w:r w:rsidR="006051E3">
        <w:t>it is</w:t>
      </w:r>
      <w:r>
        <w:t xml:space="preserve"> propose</w:t>
      </w:r>
      <w:r w:rsidR="006051E3">
        <w:t>d</w:t>
      </w:r>
      <w:r>
        <w:t xml:space="preserve"> that </w:t>
      </w:r>
      <w:r w:rsidR="00A51896">
        <w:t>the existing</w:t>
      </w:r>
      <w:r>
        <w:t xml:space="preserve"> information gathering powers be extended </w:t>
      </w:r>
      <w:r w:rsidR="001F04FF">
        <w:t xml:space="preserve">to enable ASIC </w:t>
      </w:r>
      <w:r w:rsidR="00024735">
        <w:t>and APRA</w:t>
      </w:r>
      <w:r w:rsidR="001F04FF">
        <w:t xml:space="preserve"> to request information from an entity </w:t>
      </w:r>
      <w:r w:rsidR="00634242">
        <w:t>they suspect</w:t>
      </w:r>
      <w:r w:rsidR="001F04FF">
        <w:t xml:space="preserve"> may be required to hold a licence.</w:t>
      </w:r>
      <w:r w:rsidR="003D3D09">
        <w:br w:type="page"/>
      </w:r>
    </w:p>
    <w:p w14:paraId="3B9355EB" w14:textId="2F305908" w:rsidR="00F54D56" w:rsidRDefault="00263E72" w:rsidP="00EE5400">
      <w:pPr>
        <w:pStyle w:val="Heading1"/>
        <w:jc w:val="both"/>
      </w:pPr>
      <w:r>
        <w:lastRenderedPageBreak/>
        <w:t xml:space="preserve"> </w:t>
      </w:r>
      <w:bookmarkStart w:id="113" w:name="_Toc149230948"/>
      <w:bookmarkStart w:id="114" w:name="_Ref150269469"/>
      <w:bookmarkStart w:id="115" w:name="_Ref150436636"/>
      <w:bookmarkStart w:id="116" w:name="_Ref151034776"/>
      <w:bookmarkStart w:id="117" w:name="_Ref151452955"/>
      <w:bookmarkStart w:id="118" w:name="_Toc152847636"/>
      <w:r w:rsidR="00166C51">
        <w:t>F</w:t>
      </w:r>
      <w:r w:rsidR="00FA5F5D">
        <w:t xml:space="preserve">inancial services </w:t>
      </w:r>
      <w:r w:rsidR="004F58DC">
        <w:t>obligations</w:t>
      </w:r>
      <w:bookmarkEnd w:id="113"/>
      <w:bookmarkEnd w:id="114"/>
      <w:bookmarkEnd w:id="115"/>
      <w:bookmarkEnd w:id="116"/>
      <w:bookmarkEnd w:id="117"/>
      <w:bookmarkEnd w:id="118"/>
      <w:r w:rsidR="004F58DC">
        <w:t xml:space="preserve"> </w:t>
      </w:r>
    </w:p>
    <w:p w14:paraId="3D6370CF" w14:textId="2B636CD2" w:rsidR="00B17A02" w:rsidRDefault="00AD114C" w:rsidP="00F65C24">
      <w:r>
        <w:t>PSPs required to hold an AFS</w:t>
      </w:r>
      <w:r w:rsidR="00E373B8">
        <w:t xml:space="preserve">L under the </w:t>
      </w:r>
      <w:r w:rsidR="00AF245B">
        <w:t xml:space="preserve">reforms would be </w:t>
      </w:r>
      <w:r w:rsidR="00552B2D">
        <w:t xml:space="preserve">subject to the existing </w:t>
      </w:r>
      <w:r w:rsidR="004C09A9">
        <w:t xml:space="preserve">requirements in the </w:t>
      </w:r>
      <w:r w:rsidR="004C09A9" w:rsidRPr="00943358">
        <w:rPr>
          <w:i/>
        </w:rPr>
        <w:t>Corporations Act</w:t>
      </w:r>
      <w:r w:rsidR="004C09A9">
        <w:t xml:space="preserve">, </w:t>
      </w:r>
      <w:r w:rsidR="00A20455">
        <w:t>particularly</w:t>
      </w:r>
      <w:r w:rsidR="007D750D">
        <w:t xml:space="preserve"> Chapter 7</w:t>
      </w:r>
      <w:r w:rsidR="00A32D3E">
        <w:t xml:space="preserve">, </w:t>
      </w:r>
      <w:r w:rsidR="00FC69AE">
        <w:t xml:space="preserve">including the key </w:t>
      </w:r>
      <w:r w:rsidR="00CE4049">
        <w:t>components</w:t>
      </w:r>
      <w:r w:rsidR="00670EDC">
        <w:t xml:space="preserve"> in the </w:t>
      </w:r>
      <w:r w:rsidR="00C70A02">
        <w:t>diagram below</w:t>
      </w:r>
      <w:r w:rsidR="007D750D">
        <w:t xml:space="preserve">. </w:t>
      </w:r>
      <w:r w:rsidR="009C494A">
        <w:t xml:space="preserve">In general, the requirements in Chapter 7 are designed to </w:t>
      </w:r>
      <w:r w:rsidR="00AE444E">
        <w:t xml:space="preserve">protect </w:t>
      </w:r>
      <w:r w:rsidR="00C577C4">
        <w:t xml:space="preserve">retail and wholesale </w:t>
      </w:r>
      <w:r w:rsidR="00BC6C4A">
        <w:t xml:space="preserve">clients </w:t>
      </w:r>
      <w:r w:rsidR="00AE444E">
        <w:t xml:space="preserve">whilst also </w:t>
      </w:r>
      <w:r w:rsidR="008C1919">
        <w:t>prohibiting market misconduct</w:t>
      </w:r>
      <w:r w:rsidR="00E204B4">
        <w:t>.</w:t>
      </w:r>
    </w:p>
    <w:p w14:paraId="566EF81E" w14:textId="173F3B59" w:rsidR="0017059B" w:rsidRDefault="0017059B" w:rsidP="00F65C24">
      <w:r>
        <w:t>Importantly, certain obligations, such as design and distribution obligations, disclosure obligations, and the requirement to have a dispute resolution system, only apply if a licensee provides services to retail clients. These obligations are directed to consumer protection.</w:t>
      </w:r>
    </w:p>
    <w:p w14:paraId="4A4A1BF0" w14:textId="5369C10C" w:rsidR="002E3C54" w:rsidRPr="00F779A0" w:rsidRDefault="004516D0" w:rsidP="0047792D">
      <w:pPr>
        <w:pStyle w:val="Caption"/>
        <w:jc w:val="center"/>
      </w:pPr>
      <w:r w:rsidRPr="00F779A0">
        <w:rPr>
          <w:i w:val="0"/>
          <w:color w:val="004A7F"/>
          <w:sz w:val="20"/>
          <w:szCs w:val="20"/>
        </w:rPr>
        <w:t xml:space="preserve">Figure </w:t>
      </w:r>
      <w:r w:rsidR="00950261" w:rsidRPr="0047792D">
        <w:rPr>
          <w:i w:val="0"/>
          <w:color w:val="004A7F"/>
          <w:sz w:val="20"/>
          <w:szCs w:val="20"/>
        </w:rPr>
        <w:fldChar w:fldCharType="begin"/>
      </w:r>
      <w:r w:rsidR="00950261" w:rsidRPr="00F779A0">
        <w:rPr>
          <w:i w:val="0"/>
          <w:color w:val="004A7F"/>
          <w:sz w:val="20"/>
          <w:szCs w:val="20"/>
        </w:rPr>
        <w:instrText xml:space="preserve"> SEQ Figure \* ARABIC </w:instrText>
      </w:r>
      <w:r w:rsidR="00950261" w:rsidRPr="0047792D">
        <w:rPr>
          <w:i w:val="0"/>
          <w:color w:val="004A7F"/>
          <w:sz w:val="20"/>
          <w:szCs w:val="20"/>
        </w:rPr>
        <w:fldChar w:fldCharType="separate"/>
      </w:r>
      <w:r w:rsidR="00104954">
        <w:rPr>
          <w:i w:val="0"/>
          <w:noProof/>
          <w:color w:val="004A7F"/>
          <w:sz w:val="20"/>
          <w:szCs w:val="20"/>
        </w:rPr>
        <w:t>1</w:t>
      </w:r>
      <w:r w:rsidR="00950261" w:rsidRPr="0047792D">
        <w:rPr>
          <w:i w:val="0"/>
          <w:color w:val="004A7F"/>
          <w:sz w:val="20"/>
          <w:szCs w:val="20"/>
        </w:rPr>
        <w:fldChar w:fldCharType="end"/>
      </w:r>
      <w:r w:rsidR="003A1461" w:rsidRPr="00F779A0">
        <w:rPr>
          <w:i w:val="0"/>
          <w:color w:val="004A7F"/>
          <w:sz w:val="20"/>
          <w:szCs w:val="20"/>
        </w:rPr>
        <w:t>: Components of AFSL framework</w:t>
      </w:r>
    </w:p>
    <w:p w14:paraId="1AA4073F" w14:textId="46351912" w:rsidR="00F30271" w:rsidRDefault="00982A95" w:rsidP="00E42AA2">
      <w:r>
        <w:rPr>
          <w:noProof/>
        </w:rPr>
        <w:drawing>
          <wp:inline distT="0" distB="0" distL="0" distR="0" wp14:anchorId="29E5BDA7" wp14:editId="0FBDAC08">
            <wp:extent cx="5943600" cy="39719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7831F0D" w14:textId="2AF8AB32" w:rsidR="001748DB" w:rsidRDefault="001748DB" w:rsidP="006377BA">
      <w:pPr>
        <w:pStyle w:val="Heading2"/>
      </w:pPr>
      <w:bookmarkStart w:id="119" w:name="_Toc149230949"/>
      <w:bookmarkStart w:id="120" w:name="_Toc152847637"/>
      <w:r>
        <w:t>Overview</w:t>
      </w:r>
      <w:bookmarkEnd w:id="119"/>
      <w:bookmarkEnd w:id="120"/>
    </w:p>
    <w:p w14:paraId="71DCA849" w14:textId="58585D18" w:rsidR="000033D0" w:rsidRDefault="00E302B9" w:rsidP="00C17A37">
      <w:r>
        <w:t xml:space="preserve">The proposed key </w:t>
      </w:r>
      <w:r w:rsidR="00775E0A">
        <w:t>obligations</w:t>
      </w:r>
      <w:r w:rsidR="0072202C">
        <w:t xml:space="preserve"> for</w:t>
      </w:r>
      <w:r w:rsidR="00775E0A">
        <w:t xml:space="preserve"> entities that provide a financial servic</w:t>
      </w:r>
      <w:r w:rsidR="00A142D0">
        <w:t xml:space="preserve">e </w:t>
      </w:r>
      <w:r w:rsidR="00070223">
        <w:t>are</w:t>
      </w:r>
      <w:r w:rsidR="00732D0E">
        <w:t xml:space="preserve"> </w:t>
      </w:r>
      <w:r w:rsidR="001B72D9">
        <w:t>summarised</w:t>
      </w:r>
      <w:r w:rsidR="00775E0A">
        <w:t xml:space="preserve"> in </w:t>
      </w:r>
      <w:r w:rsidR="00104954" w:rsidRPr="00104954">
        <w:rPr>
          <w:b/>
        </w:rPr>
        <w:t>Table 5</w:t>
      </w:r>
      <w:r w:rsidR="00775E0A">
        <w:t xml:space="preserve">. </w:t>
      </w:r>
      <w:r w:rsidR="001B72D9">
        <w:t>Additional financial product obligations are summarised in</w:t>
      </w:r>
      <w:r w:rsidR="00775E0A" w:rsidRPr="0047792D">
        <w:rPr>
          <w:b/>
        </w:rPr>
        <w:t xml:space="preserve"> </w:t>
      </w:r>
      <w:r w:rsidR="00104954" w:rsidRPr="00104954">
        <w:rPr>
          <w:b/>
        </w:rPr>
        <w:t>Table 6</w:t>
      </w:r>
      <w:r w:rsidR="00775E0A">
        <w:t>.</w:t>
      </w:r>
      <w:r w:rsidR="00A97AD5">
        <w:t xml:space="preserve"> </w:t>
      </w:r>
      <w:r w:rsidR="00E44419">
        <w:t>Refer to</w:t>
      </w:r>
      <w:r w:rsidR="00CA5C69">
        <w:t xml:space="preserve"> </w:t>
      </w:r>
      <w:r w:rsidR="00104954" w:rsidRPr="00104954">
        <w:rPr>
          <w:b/>
        </w:rPr>
        <w:t>Table 4</w:t>
      </w:r>
      <w:r w:rsidR="00186AF6">
        <w:t xml:space="preserve"> </w:t>
      </w:r>
      <w:r w:rsidR="00CA5C69">
        <w:t xml:space="preserve">for the proposed </w:t>
      </w:r>
      <w:r w:rsidR="000033D0">
        <w:t>incorporation of functions into the law, including which activities are proposed to be regulated as a financial product</w:t>
      </w:r>
      <w:r w:rsidR="00CA5C69">
        <w:t>.</w:t>
      </w:r>
      <w:r>
        <w:t xml:space="preserve"> </w:t>
      </w:r>
    </w:p>
    <w:p w14:paraId="4EB81D39" w14:textId="1DFB6B4C" w:rsidR="00DF2FAE" w:rsidRPr="006B5453" w:rsidRDefault="00017955" w:rsidP="00C17A37">
      <w:pPr>
        <w:rPr>
          <w:b/>
          <w:bCs/>
        </w:rPr>
      </w:pPr>
      <w:r>
        <w:rPr>
          <w:bCs/>
        </w:rPr>
        <w:t>Importantly</w:t>
      </w:r>
      <w:r w:rsidDel="00186D01">
        <w:rPr>
          <w:bCs/>
        </w:rPr>
        <w:t xml:space="preserve">, </w:t>
      </w:r>
      <w:r w:rsidR="00276B80">
        <w:rPr>
          <w:bCs/>
        </w:rPr>
        <w:t xml:space="preserve">the existing exemptions that </w:t>
      </w:r>
      <w:r w:rsidR="00852558">
        <w:rPr>
          <w:bCs/>
        </w:rPr>
        <w:t>apply to non-cash payment facilities</w:t>
      </w:r>
      <w:r w:rsidR="00EA3B57">
        <w:rPr>
          <w:bCs/>
        </w:rPr>
        <w:t xml:space="preserve"> will need to be updated.</w:t>
      </w:r>
    </w:p>
    <w:p w14:paraId="08F88BE1" w14:textId="5BBEFB5A" w:rsidR="007E5CFA" w:rsidRDefault="007E5CFA" w:rsidP="00E42AA2">
      <w:r>
        <w:br w:type="page"/>
      </w:r>
    </w:p>
    <w:p w14:paraId="737AD90E" w14:textId="465D1030" w:rsidR="00614C05" w:rsidRPr="00B27487" w:rsidRDefault="00C1274D" w:rsidP="0076699D">
      <w:pPr>
        <w:pStyle w:val="TableMainHeading"/>
        <w:numPr>
          <w:ilvl w:val="0"/>
          <w:numId w:val="0"/>
        </w:numPr>
        <w:ind w:left="505" w:hanging="505"/>
        <w:jc w:val="center"/>
      </w:pPr>
      <w:bookmarkStart w:id="121" w:name="_Ref151642536"/>
      <w:r>
        <w:lastRenderedPageBreak/>
        <w:t xml:space="preserve">Table </w:t>
      </w:r>
      <w:fldSimple w:instr=" SEQ Table \* ARABIC ">
        <w:r w:rsidR="00104954">
          <w:rPr>
            <w:noProof/>
          </w:rPr>
          <w:t>5</w:t>
        </w:r>
      </w:fldSimple>
      <w:bookmarkEnd w:id="121"/>
      <w:r w:rsidR="005E21F7">
        <w:rPr>
          <w:noProof/>
        </w:rPr>
        <w:t>:</w:t>
      </w:r>
      <w:r w:rsidR="0067239F">
        <w:t xml:space="preserve"> </w:t>
      </w:r>
      <w:r w:rsidR="00614C05" w:rsidRPr="00B27487">
        <w:t xml:space="preserve">Key </w:t>
      </w:r>
      <w:r w:rsidR="003103C3">
        <w:t xml:space="preserve">general </w:t>
      </w:r>
      <w:r w:rsidR="00614C05" w:rsidRPr="00B27487">
        <w:t>obligations for providing financial services</w:t>
      </w:r>
      <w:r w:rsidR="003B7DEB" w:rsidRPr="00B27487">
        <w:rPr>
          <w:rStyle w:val="FootnoteReference"/>
          <w:b/>
          <w:color w:val="000000" w:themeColor="text1"/>
          <w:sz w:val="22"/>
          <w:szCs w:val="22"/>
        </w:rPr>
        <w:footnoteReference w:id="77"/>
      </w:r>
    </w:p>
    <w:tbl>
      <w:tblPr>
        <w:tblStyle w:val="GridTable4-Accent1"/>
        <w:tblW w:w="0" w:type="auto"/>
        <w:tblLook w:val="04A0" w:firstRow="1" w:lastRow="0" w:firstColumn="1" w:lastColumn="0" w:noHBand="0" w:noVBand="1"/>
      </w:tblPr>
      <w:tblGrid>
        <w:gridCol w:w="2161"/>
        <w:gridCol w:w="3518"/>
        <w:gridCol w:w="3381"/>
      </w:tblGrid>
      <w:tr w:rsidR="00511B17" w:rsidRPr="00A4712C" w14:paraId="6F4CB2E2" w14:textId="77777777" w:rsidTr="001370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E460F0" w14:textId="1E62B495" w:rsidR="00D72A3E" w:rsidRPr="0076699D" w:rsidRDefault="00D72A3E" w:rsidP="00811812">
            <w:pPr>
              <w:pStyle w:val="ChartMainHeading"/>
              <w:spacing w:before="40" w:after="40"/>
              <w:rPr>
                <w:color w:val="FFFFFF" w:themeColor="background1"/>
              </w:rPr>
            </w:pPr>
            <w:r w:rsidRPr="0076699D">
              <w:rPr>
                <w:color w:val="FFFFFF" w:themeColor="background1"/>
              </w:rPr>
              <w:t>Obligation</w:t>
            </w:r>
          </w:p>
        </w:tc>
        <w:tc>
          <w:tcPr>
            <w:tcW w:w="0" w:type="auto"/>
          </w:tcPr>
          <w:p w14:paraId="2CD3669C" w14:textId="7C3E5ED8" w:rsidR="00D72A3E" w:rsidRPr="0076699D" w:rsidRDefault="00D72A3E" w:rsidP="00811812">
            <w:pPr>
              <w:pStyle w:val="ChartMainHeading"/>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sidRPr="0076699D">
              <w:rPr>
                <w:color w:val="FFFFFF" w:themeColor="background1"/>
              </w:rPr>
              <w:t>Proposed treatment of PSPs captured as a financial service</w:t>
            </w:r>
          </w:p>
        </w:tc>
        <w:tc>
          <w:tcPr>
            <w:tcW w:w="0" w:type="auto"/>
          </w:tcPr>
          <w:p w14:paraId="54677ADA" w14:textId="6332C6B0" w:rsidR="00D72A3E" w:rsidRPr="0076699D" w:rsidRDefault="00D72A3E" w:rsidP="00811812">
            <w:pPr>
              <w:pStyle w:val="ChartMainHeading"/>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sidRPr="0076699D">
              <w:rPr>
                <w:color w:val="FFFFFF" w:themeColor="background1"/>
              </w:rPr>
              <w:t>Existing relevant exemptions</w:t>
            </w:r>
          </w:p>
        </w:tc>
      </w:tr>
      <w:tr w:rsidR="0052031E" w:rsidRPr="00F13824" w14:paraId="2BE457B4" w14:textId="77777777" w:rsidTr="00137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7624BB" w14:textId="70F0C7FC" w:rsidR="00D72A3E" w:rsidRPr="0076699D" w:rsidRDefault="00D72A3E" w:rsidP="00811812">
            <w:pPr>
              <w:spacing w:before="40" w:after="40"/>
              <w:rPr>
                <w:sz w:val="18"/>
                <w:szCs w:val="18"/>
              </w:rPr>
            </w:pPr>
            <w:r w:rsidRPr="0076699D">
              <w:rPr>
                <w:sz w:val="18"/>
                <w:szCs w:val="18"/>
              </w:rPr>
              <w:t>Hold an AFSL, comply with licence conditions</w:t>
            </w:r>
            <w:r w:rsidRPr="0076699D">
              <w:rPr>
                <w:rStyle w:val="FootnoteReference"/>
                <w:szCs w:val="18"/>
              </w:rPr>
              <w:footnoteReference w:id="78"/>
            </w:r>
          </w:p>
        </w:tc>
        <w:tc>
          <w:tcPr>
            <w:tcW w:w="0" w:type="auto"/>
          </w:tcPr>
          <w:p w14:paraId="523965C0" w14:textId="25AE1665" w:rsidR="00D72A3E" w:rsidRPr="0076699D" w:rsidRDefault="00D72A3E" w:rsidP="0081181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Obligation will apply, unless exempt.</w:t>
            </w:r>
          </w:p>
        </w:tc>
        <w:tc>
          <w:tcPr>
            <w:tcW w:w="0" w:type="auto"/>
          </w:tcPr>
          <w:p w14:paraId="286BD9A0" w14:textId="08C157A9" w:rsidR="00D72A3E" w:rsidRPr="0076699D" w:rsidRDefault="00BD0731" w:rsidP="0081181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Include l</w:t>
            </w:r>
            <w:r w:rsidR="00D72A3E" w:rsidRPr="0076699D">
              <w:rPr>
                <w:sz w:val="18"/>
                <w:szCs w:val="18"/>
              </w:rPr>
              <w:t>imited dealing and advice services by a recipient of payments for goods or services.</w:t>
            </w:r>
            <w:r w:rsidR="00D72A3E" w:rsidRPr="00635417">
              <w:rPr>
                <w:rStyle w:val="FootnoteReference"/>
                <w:szCs w:val="18"/>
              </w:rPr>
              <w:footnoteReference w:id="79"/>
            </w:r>
          </w:p>
        </w:tc>
      </w:tr>
      <w:tr w:rsidR="0052031E" w:rsidRPr="00F13824" w14:paraId="2CF38826" w14:textId="77777777" w:rsidTr="0076699D">
        <w:tc>
          <w:tcPr>
            <w:cnfStyle w:val="001000000000" w:firstRow="0" w:lastRow="0" w:firstColumn="1" w:lastColumn="0" w:oddVBand="0" w:evenVBand="0" w:oddHBand="0" w:evenHBand="0" w:firstRowFirstColumn="0" w:firstRowLastColumn="0" w:lastRowFirstColumn="0" w:lastRowLastColumn="0"/>
            <w:tcW w:w="0" w:type="auto"/>
          </w:tcPr>
          <w:p w14:paraId="537CD4F6" w14:textId="6E3FD950" w:rsidR="00D72A3E" w:rsidRPr="0076699D" w:rsidRDefault="00D72A3E" w:rsidP="00811812">
            <w:pPr>
              <w:spacing w:before="40" w:after="40"/>
              <w:rPr>
                <w:sz w:val="18"/>
                <w:szCs w:val="18"/>
              </w:rPr>
            </w:pPr>
            <w:r w:rsidRPr="0076699D">
              <w:rPr>
                <w:sz w:val="18"/>
                <w:szCs w:val="18"/>
              </w:rPr>
              <w:t>General obligations,</w:t>
            </w:r>
            <w:r w:rsidRPr="0076699D">
              <w:rPr>
                <w:rStyle w:val="FootnoteReference"/>
                <w:szCs w:val="18"/>
              </w:rPr>
              <w:footnoteReference w:id="80"/>
            </w:r>
            <w:r w:rsidRPr="0076699D">
              <w:rPr>
                <w:sz w:val="18"/>
                <w:szCs w:val="18"/>
              </w:rPr>
              <w:t xml:space="preserve"> including financial requirements </w:t>
            </w:r>
          </w:p>
        </w:tc>
        <w:tc>
          <w:tcPr>
            <w:tcW w:w="0" w:type="auto"/>
          </w:tcPr>
          <w:p w14:paraId="2CCDCA7F" w14:textId="4A9451BB" w:rsidR="00D72A3E" w:rsidRPr="0076699D" w:rsidRDefault="00D72A3E" w:rsidP="0081181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6699D">
              <w:rPr>
                <w:sz w:val="18"/>
                <w:szCs w:val="18"/>
              </w:rPr>
              <w:t xml:space="preserve">Obligations will apply, unless exempt.  SVFs, Payment Facilitation Services and Cross-border Transfer Services to hold </w:t>
            </w:r>
            <w:r w:rsidR="008C29A9" w:rsidRPr="0076699D">
              <w:rPr>
                <w:sz w:val="18"/>
                <w:szCs w:val="18"/>
              </w:rPr>
              <w:t>Adjusted Surplus Liquid Funds</w:t>
            </w:r>
            <w:r w:rsidRPr="0076699D">
              <w:rPr>
                <w:sz w:val="18"/>
                <w:szCs w:val="18"/>
              </w:rPr>
              <w:t xml:space="preserve">. All other PSPs to hold </w:t>
            </w:r>
            <w:r w:rsidR="0099572D" w:rsidRPr="0076699D">
              <w:rPr>
                <w:sz w:val="18"/>
                <w:szCs w:val="18"/>
              </w:rPr>
              <w:t>Surplus Liquid Funds</w:t>
            </w:r>
            <w:r w:rsidRPr="0076699D">
              <w:rPr>
                <w:sz w:val="18"/>
                <w:szCs w:val="18"/>
              </w:rPr>
              <w:t>.</w:t>
            </w:r>
          </w:p>
        </w:tc>
        <w:tc>
          <w:tcPr>
            <w:tcW w:w="0" w:type="auto"/>
          </w:tcPr>
          <w:p w14:paraId="61154665" w14:textId="619BF76F" w:rsidR="00D72A3E" w:rsidRPr="0076699D" w:rsidRDefault="00D72A3E" w:rsidP="0070598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6699D">
              <w:rPr>
                <w:sz w:val="18"/>
                <w:szCs w:val="18"/>
              </w:rPr>
              <w:t>APRA</w:t>
            </w:r>
            <w:r w:rsidR="00901600" w:rsidRPr="0076699D">
              <w:rPr>
                <w:sz w:val="18"/>
                <w:szCs w:val="18"/>
              </w:rPr>
              <w:t>-</w:t>
            </w:r>
            <w:r w:rsidRPr="0076699D">
              <w:rPr>
                <w:sz w:val="18"/>
                <w:szCs w:val="18"/>
              </w:rPr>
              <w:t>regulated bodies are exempt from financial and risk obligations</w:t>
            </w:r>
            <w:r w:rsidR="00FC497F" w:rsidRPr="0076699D">
              <w:rPr>
                <w:sz w:val="18"/>
                <w:szCs w:val="18"/>
              </w:rPr>
              <w:t>.</w:t>
            </w:r>
          </w:p>
        </w:tc>
      </w:tr>
      <w:tr w:rsidR="0052031E" w:rsidRPr="00F13824" w14:paraId="1497D4F1" w14:textId="77777777" w:rsidTr="00137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FEA5CC" w14:textId="09DC1B2B" w:rsidR="00D72A3E" w:rsidRPr="0076699D" w:rsidRDefault="00D72A3E" w:rsidP="00811812">
            <w:pPr>
              <w:spacing w:before="40" w:after="40"/>
              <w:rPr>
                <w:sz w:val="18"/>
                <w:szCs w:val="18"/>
              </w:rPr>
            </w:pPr>
            <w:r w:rsidRPr="0076699D">
              <w:rPr>
                <w:sz w:val="18"/>
                <w:szCs w:val="18"/>
              </w:rPr>
              <w:t xml:space="preserve">Have compensation arrangements for retail clients </w:t>
            </w:r>
            <w:r w:rsidRPr="0076699D">
              <w:rPr>
                <w:rStyle w:val="FootnoteReference"/>
                <w:szCs w:val="18"/>
              </w:rPr>
              <w:footnoteReference w:id="81"/>
            </w:r>
          </w:p>
        </w:tc>
        <w:tc>
          <w:tcPr>
            <w:tcW w:w="0" w:type="auto"/>
          </w:tcPr>
          <w:p w14:paraId="436D9602" w14:textId="72B253AD" w:rsidR="00D72A3E" w:rsidRPr="0076699D" w:rsidRDefault="00D72A3E" w:rsidP="0081181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Obligation will apply, unless exempt.</w:t>
            </w:r>
          </w:p>
        </w:tc>
        <w:tc>
          <w:tcPr>
            <w:tcW w:w="0" w:type="auto"/>
          </w:tcPr>
          <w:p w14:paraId="23C51D08" w14:textId="514FAC77" w:rsidR="00D72A3E" w:rsidRPr="0076699D" w:rsidRDefault="00D72A3E" w:rsidP="0081181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Some APRA</w:t>
            </w:r>
            <w:r w:rsidR="00600E3C" w:rsidRPr="0076699D">
              <w:rPr>
                <w:sz w:val="18"/>
                <w:szCs w:val="18"/>
              </w:rPr>
              <w:t>-</w:t>
            </w:r>
            <w:r w:rsidRPr="0076699D">
              <w:rPr>
                <w:sz w:val="18"/>
                <w:szCs w:val="18"/>
              </w:rPr>
              <w:t>regulated bodies and related entities.</w:t>
            </w:r>
            <w:r w:rsidRPr="0076699D">
              <w:rPr>
                <w:rStyle w:val="FootnoteReference"/>
                <w:szCs w:val="18"/>
              </w:rPr>
              <w:footnoteReference w:id="82"/>
            </w:r>
            <w:r w:rsidRPr="0076699D">
              <w:rPr>
                <w:sz w:val="18"/>
                <w:szCs w:val="18"/>
              </w:rPr>
              <w:t xml:space="preserve"> </w:t>
            </w:r>
          </w:p>
        </w:tc>
      </w:tr>
      <w:tr w:rsidR="0052031E" w:rsidRPr="00F13824" w14:paraId="0C315050" w14:textId="77777777" w:rsidTr="0076699D">
        <w:trPr>
          <w:trHeight w:val="1851"/>
        </w:trPr>
        <w:tc>
          <w:tcPr>
            <w:cnfStyle w:val="001000000000" w:firstRow="0" w:lastRow="0" w:firstColumn="1" w:lastColumn="0" w:oddVBand="0" w:evenVBand="0" w:oddHBand="0" w:evenHBand="0" w:firstRowFirstColumn="0" w:firstRowLastColumn="0" w:lastRowFirstColumn="0" w:lastRowLastColumn="0"/>
            <w:tcW w:w="0" w:type="auto"/>
          </w:tcPr>
          <w:p w14:paraId="30592D51" w14:textId="797CFCC9" w:rsidR="00D72A3E" w:rsidRPr="0076699D" w:rsidRDefault="00D72A3E" w:rsidP="00E81E20">
            <w:pPr>
              <w:spacing w:before="40" w:after="40"/>
              <w:rPr>
                <w:sz w:val="18"/>
                <w:szCs w:val="18"/>
              </w:rPr>
            </w:pPr>
            <w:r w:rsidRPr="0076699D">
              <w:rPr>
                <w:sz w:val="18"/>
                <w:szCs w:val="18"/>
              </w:rPr>
              <w:t>Disclosure - Financial Services Guide</w:t>
            </w:r>
            <w:r w:rsidR="00E46290" w:rsidRPr="0076699D">
              <w:rPr>
                <w:sz w:val="18"/>
                <w:szCs w:val="18"/>
              </w:rPr>
              <w:t xml:space="preserve"> (FSG)</w:t>
            </w:r>
            <w:r w:rsidRPr="0076699D">
              <w:rPr>
                <w:rStyle w:val="FootnoteReference"/>
                <w:szCs w:val="18"/>
              </w:rPr>
              <w:footnoteReference w:id="83"/>
            </w:r>
          </w:p>
          <w:p w14:paraId="682C470D" w14:textId="77777777" w:rsidR="00D72A3E" w:rsidRPr="0076699D" w:rsidRDefault="00D72A3E" w:rsidP="00E81E20">
            <w:pPr>
              <w:spacing w:before="40" w:after="40"/>
              <w:rPr>
                <w:sz w:val="18"/>
                <w:szCs w:val="18"/>
              </w:rPr>
            </w:pPr>
            <w:r w:rsidRPr="0076699D">
              <w:rPr>
                <w:sz w:val="18"/>
                <w:szCs w:val="18"/>
              </w:rPr>
              <w:t>(If servicing retail clients)</w:t>
            </w:r>
          </w:p>
        </w:tc>
        <w:tc>
          <w:tcPr>
            <w:tcW w:w="0" w:type="auto"/>
          </w:tcPr>
          <w:p w14:paraId="29956898" w14:textId="7F7BD752" w:rsidR="00D72A3E" w:rsidRPr="0076699D" w:rsidRDefault="00D72A3E" w:rsidP="00E81E2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6699D">
              <w:rPr>
                <w:sz w:val="18"/>
                <w:szCs w:val="18"/>
              </w:rPr>
              <w:t>Obligation will apply.  Provide an exemption for Payment Technology and Enablement Services</w:t>
            </w:r>
            <w:r w:rsidR="00CD41C8" w:rsidRPr="0076699D">
              <w:rPr>
                <w:sz w:val="18"/>
                <w:szCs w:val="18"/>
              </w:rPr>
              <w:t>.</w:t>
            </w:r>
          </w:p>
          <w:p w14:paraId="18CCF9A9" w14:textId="63DA4A7C" w:rsidR="00D72A3E" w:rsidRPr="0076699D" w:rsidRDefault="00D72A3E" w:rsidP="00E81E2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6699D">
              <w:rPr>
                <w:sz w:val="18"/>
                <w:szCs w:val="18"/>
              </w:rPr>
              <w:t>No other changes (except updating reference to non-cash payments).</w:t>
            </w:r>
          </w:p>
        </w:tc>
        <w:tc>
          <w:tcPr>
            <w:tcW w:w="0" w:type="auto"/>
          </w:tcPr>
          <w:p w14:paraId="05AEBAA2" w14:textId="24979F9D" w:rsidR="00D72A3E" w:rsidRPr="0076699D" w:rsidRDefault="00D72A3E" w:rsidP="00E81E2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6699D">
              <w:rPr>
                <w:sz w:val="18"/>
                <w:szCs w:val="18"/>
              </w:rPr>
              <w:t>Dealing in financial product advice about a basic deposit product, a facility for making non-cash payments related to a basic deposit product and other specified situations.</w:t>
            </w:r>
            <w:r w:rsidRPr="0076699D">
              <w:rPr>
                <w:rStyle w:val="FootnoteReference"/>
                <w:szCs w:val="18"/>
              </w:rPr>
              <w:footnoteReference w:id="84"/>
            </w:r>
          </w:p>
        </w:tc>
      </w:tr>
      <w:tr w:rsidR="0052031E" w:rsidRPr="00F13824" w14:paraId="3CDE1363" w14:textId="77777777" w:rsidTr="00137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3872A0" w14:textId="2EB3D012" w:rsidR="00D72A3E" w:rsidRPr="0076699D" w:rsidRDefault="00D72A3E" w:rsidP="00E81E20">
            <w:pPr>
              <w:spacing w:before="40" w:after="40"/>
              <w:rPr>
                <w:sz w:val="18"/>
                <w:szCs w:val="18"/>
              </w:rPr>
            </w:pPr>
            <w:r w:rsidRPr="0076699D">
              <w:rPr>
                <w:sz w:val="18"/>
                <w:szCs w:val="18"/>
              </w:rPr>
              <w:t>Client money</w:t>
            </w:r>
          </w:p>
        </w:tc>
        <w:tc>
          <w:tcPr>
            <w:tcW w:w="0" w:type="auto"/>
          </w:tcPr>
          <w:p w14:paraId="4E74D3DC" w14:textId="77777777" w:rsidR="00D72A3E" w:rsidRPr="0076699D" w:rsidRDefault="00D72A3E" w:rsidP="00E81E2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Obligation will apply to all PSPs that hold funds.</w:t>
            </w:r>
          </w:p>
          <w:p w14:paraId="4E547275" w14:textId="77777777" w:rsidR="00D72A3E" w:rsidRPr="0076699D" w:rsidRDefault="00D72A3E" w:rsidP="00E81E2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475FA775" w14:textId="22279B36" w:rsidR="00D72A3E" w:rsidRPr="0076699D" w:rsidRDefault="00D72A3E" w:rsidP="00E81E2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 xml:space="preserve">Market participants subject to </w:t>
            </w:r>
            <w:r w:rsidRPr="0076699D">
              <w:rPr>
                <w:i/>
                <w:sz w:val="18"/>
                <w:szCs w:val="18"/>
              </w:rPr>
              <w:t xml:space="preserve">ASIC Market Integrity Rules </w:t>
            </w:r>
            <w:r w:rsidRPr="0076699D">
              <w:rPr>
                <w:sz w:val="18"/>
                <w:szCs w:val="18"/>
              </w:rPr>
              <w:t>can be exempt from reconciliation requirements.</w:t>
            </w:r>
          </w:p>
        </w:tc>
      </w:tr>
      <w:tr w:rsidR="0052031E" w:rsidRPr="00F13824" w14:paraId="56E524C1" w14:textId="77777777" w:rsidTr="0076699D">
        <w:tc>
          <w:tcPr>
            <w:cnfStyle w:val="001000000000" w:firstRow="0" w:lastRow="0" w:firstColumn="1" w:lastColumn="0" w:oddVBand="0" w:evenVBand="0" w:oddHBand="0" w:evenHBand="0" w:firstRowFirstColumn="0" w:firstRowLastColumn="0" w:lastRowFirstColumn="0" w:lastRowLastColumn="0"/>
            <w:tcW w:w="0" w:type="auto"/>
          </w:tcPr>
          <w:p w14:paraId="7E3B5550" w14:textId="5D660F12" w:rsidR="00D72A3E" w:rsidRPr="0076699D" w:rsidRDefault="00D72A3E" w:rsidP="00E81E20">
            <w:pPr>
              <w:spacing w:before="40" w:after="40"/>
              <w:rPr>
                <w:sz w:val="18"/>
                <w:szCs w:val="18"/>
              </w:rPr>
            </w:pPr>
            <w:r w:rsidRPr="0076699D">
              <w:rPr>
                <w:sz w:val="18"/>
                <w:szCs w:val="18"/>
              </w:rPr>
              <w:t>Provide information and assistance to ASIC, notify client of reportable situations</w:t>
            </w:r>
            <w:r w:rsidRPr="0076699D">
              <w:rPr>
                <w:rStyle w:val="FootnoteReference"/>
                <w:szCs w:val="18"/>
              </w:rPr>
              <w:footnoteReference w:id="85"/>
            </w:r>
          </w:p>
        </w:tc>
        <w:tc>
          <w:tcPr>
            <w:tcW w:w="0" w:type="auto"/>
          </w:tcPr>
          <w:p w14:paraId="2CD4BB9C" w14:textId="77777777" w:rsidR="00D72A3E" w:rsidRPr="0076699D" w:rsidRDefault="00D72A3E" w:rsidP="00E81E2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6699D">
              <w:rPr>
                <w:sz w:val="18"/>
                <w:szCs w:val="18"/>
              </w:rPr>
              <w:t>Obligation will apply.</w:t>
            </w:r>
          </w:p>
          <w:p w14:paraId="12D45A93" w14:textId="77777777" w:rsidR="00D72A3E" w:rsidRPr="0076699D" w:rsidRDefault="00D72A3E" w:rsidP="00E81E2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tcPr>
          <w:p w14:paraId="7D43918E" w14:textId="3052F880" w:rsidR="00D72A3E" w:rsidRPr="0076699D" w:rsidRDefault="00D72A3E" w:rsidP="00E81E2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6699D">
              <w:rPr>
                <w:sz w:val="18"/>
                <w:szCs w:val="18"/>
              </w:rPr>
              <w:t>APRA regulated bodies in some cases are exempt from requirements to notify ASIC.</w:t>
            </w:r>
          </w:p>
        </w:tc>
      </w:tr>
      <w:tr w:rsidR="0052031E" w:rsidRPr="00F13824" w14:paraId="65C63EA2" w14:textId="77777777" w:rsidTr="001370DC">
        <w:trPr>
          <w:cnfStyle w:val="000000100000" w:firstRow="0" w:lastRow="0" w:firstColumn="0" w:lastColumn="0" w:oddVBand="0" w:evenVBand="0" w:oddHBand="1" w:evenHBand="0" w:firstRowFirstColumn="0" w:firstRowLastColumn="0" w:lastRowFirstColumn="0" w:lastRowLastColumn="0"/>
          <w:trHeight w:val="1339"/>
        </w:trPr>
        <w:tc>
          <w:tcPr>
            <w:cnfStyle w:val="001000000000" w:firstRow="0" w:lastRow="0" w:firstColumn="1" w:lastColumn="0" w:oddVBand="0" w:evenVBand="0" w:oddHBand="0" w:evenHBand="0" w:firstRowFirstColumn="0" w:firstRowLastColumn="0" w:lastRowFirstColumn="0" w:lastRowLastColumn="0"/>
            <w:tcW w:w="0" w:type="auto"/>
          </w:tcPr>
          <w:p w14:paraId="428C8FEE" w14:textId="7A373A59" w:rsidR="00D72A3E" w:rsidRPr="0076699D" w:rsidRDefault="00D72A3E" w:rsidP="00E81E20">
            <w:pPr>
              <w:spacing w:before="40" w:after="40"/>
              <w:rPr>
                <w:sz w:val="18"/>
                <w:szCs w:val="18"/>
              </w:rPr>
            </w:pPr>
            <w:r w:rsidRPr="0076699D">
              <w:rPr>
                <w:sz w:val="18"/>
                <w:szCs w:val="18"/>
              </w:rPr>
              <w:t>Keep financial records, lodge statements, appoint an auditor</w:t>
            </w:r>
            <w:r w:rsidRPr="0076699D">
              <w:rPr>
                <w:rStyle w:val="FootnoteReference"/>
                <w:szCs w:val="18"/>
              </w:rPr>
              <w:footnoteReference w:id="86"/>
            </w:r>
          </w:p>
        </w:tc>
        <w:tc>
          <w:tcPr>
            <w:tcW w:w="0" w:type="auto"/>
          </w:tcPr>
          <w:p w14:paraId="3D3D9F25" w14:textId="77777777" w:rsidR="00D72A3E" w:rsidRPr="0076699D" w:rsidRDefault="00D72A3E" w:rsidP="00E81E2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Obligation will apply.</w:t>
            </w:r>
          </w:p>
          <w:p w14:paraId="73239FC1" w14:textId="77777777" w:rsidR="00D72A3E" w:rsidRPr="0076699D" w:rsidRDefault="00D72A3E" w:rsidP="00E81E2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68AF5A94" w14:textId="3E214733" w:rsidR="00D72A3E" w:rsidRPr="0076699D" w:rsidRDefault="00D72A3E" w:rsidP="00E81E2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Limited AFS licensees have reduced requirements.</w:t>
            </w:r>
          </w:p>
        </w:tc>
      </w:tr>
    </w:tbl>
    <w:p w14:paraId="13A61C63" w14:textId="0D86742A" w:rsidR="00614C05" w:rsidRPr="00B27487" w:rsidRDefault="00614C05" w:rsidP="00DF219F">
      <w:pPr>
        <w:pStyle w:val="Caption"/>
      </w:pPr>
    </w:p>
    <w:p w14:paraId="7F0BA9A6" w14:textId="555C061E" w:rsidR="00D80961" w:rsidRPr="00B40B72" w:rsidRDefault="00D80961" w:rsidP="00C84590">
      <w:pPr>
        <w:pStyle w:val="TableMainHeading"/>
        <w:numPr>
          <w:ilvl w:val="2"/>
          <w:numId w:val="0"/>
        </w:numPr>
        <w:ind w:left="505"/>
        <w:jc w:val="center"/>
      </w:pPr>
      <w:bookmarkStart w:id="122" w:name="_Ref151643053"/>
      <w:r w:rsidRPr="00466D05">
        <w:lastRenderedPageBreak/>
        <w:t xml:space="preserve">Table </w:t>
      </w:r>
      <w:fldSimple w:instr=" SEQ Table \* ARABIC ">
        <w:r w:rsidR="00104954">
          <w:rPr>
            <w:noProof/>
          </w:rPr>
          <w:t>6</w:t>
        </w:r>
      </w:fldSimple>
      <w:bookmarkEnd w:id="122"/>
      <w:r w:rsidR="005E21F7">
        <w:rPr>
          <w:noProof/>
        </w:rPr>
        <w:t>:</w:t>
      </w:r>
      <w:r w:rsidRPr="00466D05">
        <w:t xml:space="preserve"> Additional obligations for financial services </w:t>
      </w:r>
      <w:r w:rsidR="0089738A">
        <w:t>in</w:t>
      </w:r>
      <w:r w:rsidR="008D2C69">
        <w:t>volving</w:t>
      </w:r>
      <w:r w:rsidRPr="00466D05">
        <w:t xml:space="preserve"> </w:t>
      </w:r>
      <w:r w:rsidRPr="00B40B72">
        <w:t>a financial product</w:t>
      </w:r>
    </w:p>
    <w:tbl>
      <w:tblPr>
        <w:tblStyle w:val="GridTable4-Accent1"/>
        <w:tblW w:w="9183" w:type="dxa"/>
        <w:tblLook w:val="04A0" w:firstRow="1" w:lastRow="0" w:firstColumn="1" w:lastColumn="0" w:noHBand="0" w:noVBand="1"/>
      </w:tblPr>
      <w:tblGrid>
        <w:gridCol w:w="3061"/>
        <w:gridCol w:w="3062"/>
        <w:gridCol w:w="3060"/>
      </w:tblGrid>
      <w:tr w:rsidR="00A92130" w:rsidRPr="00A4712C" w14:paraId="64E49DD4" w14:textId="77777777" w:rsidTr="00CD39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AC99315" w14:textId="77777777" w:rsidR="004E5BF9" w:rsidRPr="0076699D" w:rsidRDefault="004E5BF9" w:rsidP="00466D05">
            <w:pPr>
              <w:pStyle w:val="ChartMainHeading"/>
              <w:spacing w:before="40" w:after="40"/>
              <w:rPr>
                <w:color w:val="FFFFFF" w:themeColor="background1"/>
              </w:rPr>
            </w:pPr>
            <w:r w:rsidRPr="0076699D">
              <w:rPr>
                <w:color w:val="FFFFFF" w:themeColor="background1"/>
              </w:rPr>
              <w:t>Obligation</w:t>
            </w:r>
          </w:p>
        </w:tc>
        <w:tc>
          <w:tcPr>
            <w:tcW w:w="1667" w:type="pct"/>
          </w:tcPr>
          <w:p w14:paraId="40C45412" w14:textId="09FED1D0" w:rsidR="004E5BF9" w:rsidRPr="0076699D" w:rsidRDefault="004E5BF9" w:rsidP="00466D05">
            <w:pPr>
              <w:pStyle w:val="ChartMainHeading"/>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sidRPr="0076699D">
              <w:rPr>
                <w:color w:val="FFFFFF" w:themeColor="background1"/>
              </w:rPr>
              <w:t>Proposed treatment of PSPs captured as a financial service involving a financial product</w:t>
            </w:r>
          </w:p>
        </w:tc>
        <w:tc>
          <w:tcPr>
            <w:tcW w:w="1667" w:type="pct"/>
          </w:tcPr>
          <w:p w14:paraId="621C4D4A" w14:textId="294114B6" w:rsidR="004E5BF9" w:rsidRPr="0076699D" w:rsidRDefault="004E5BF9" w:rsidP="00466D05">
            <w:pPr>
              <w:pStyle w:val="ChartMainHeading"/>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sidRPr="0076699D">
              <w:rPr>
                <w:color w:val="FFFFFF" w:themeColor="background1"/>
              </w:rPr>
              <w:t>Existing relevant exemptions</w:t>
            </w:r>
          </w:p>
        </w:tc>
      </w:tr>
      <w:tr w:rsidR="00033A88" w:rsidRPr="00F13824" w14:paraId="48E91956" w14:textId="77777777" w:rsidTr="00CD3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40AC422" w14:textId="426DA505" w:rsidR="004E5BF9" w:rsidRPr="0076699D" w:rsidRDefault="004E5BF9" w:rsidP="00E81E20">
            <w:pPr>
              <w:spacing w:before="40" w:after="40"/>
              <w:rPr>
                <w:sz w:val="18"/>
                <w:szCs w:val="18"/>
              </w:rPr>
            </w:pPr>
            <w:r w:rsidRPr="0076699D">
              <w:rPr>
                <w:sz w:val="18"/>
                <w:szCs w:val="18"/>
              </w:rPr>
              <w:t>Design and Distribution obligations, including making a target market determination (If servicing retail clients)</w:t>
            </w:r>
            <w:r w:rsidRPr="0076699D">
              <w:rPr>
                <w:rStyle w:val="FootnoteReference"/>
                <w:szCs w:val="18"/>
              </w:rPr>
              <w:footnoteReference w:id="87"/>
            </w:r>
          </w:p>
        </w:tc>
        <w:tc>
          <w:tcPr>
            <w:tcW w:w="1667" w:type="pct"/>
          </w:tcPr>
          <w:p w14:paraId="1E970E76" w14:textId="77777777" w:rsidR="004E5BF9" w:rsidRPr="0076699D" w:rsidRDefault="004E5BF9" w:rsidP="00E81E2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Obligation will continue to apply to debit cards, credit products and SVFs.</w:t>
            </w:r>
          </w:p>
          <w:p w14:paraId="24127CB1" w14:textId="77777777" w:rsidR="004E5BF9" w:rsidRPr="0076699D" w:rsidRDefault="004E5BF9" w:rsidP="00E81E2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No changes to existing exemptions (except updating reference to non-cash payment).</w:t>
            </w:r>
          </w:p>
          <w:p w14:paraId="78CF227D" w14:textId="74465223" w:rsidR="004E5BF9" w:rsidRPr="0076699D" w:rsidRDefault="004E5BF9" w:rsidP="00E81E2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sidDel="00986FF4">
              <w:rPr>
                <w:sz w:val="18"/>
                <w:szCs w:val="18"/>
              </w:rPr>
              <w:t xml:space="preserve">ASIC </w:t>
            </w:r>
            <w:r w:rsidRPr="0076699D">
              <w:rPr>
                <w:sz w:val="18"/>
                <w:szCs w:val="18"/>
              </w:rPr>
              <w:t>would consider the reforms when it considers whether to provide relief.</w:t>
            </w:r>
          </w:p>
        </w:tc>
        <w:tc>
          <w:tcPr>
            <w:tcW w:w="1667" w:type="pct"/>
          </w:tcPr>
          <w:p w14:paraId="4C130094" w14:textId="2BD72C66" w:rsidR="004E5BF9" w:rsidRPr="0076699D" w:rsidRDefault="004E5BF9" w:rsidP="00E81E2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Certain money products and credit facilities.</w:t>
            </w:r>
            <w:r w:rsidRPr="0076699D">
              <w:rPr>
                <w:rStyle w:val="FootnoteReference"/>
                <w:szCs w:val="18"/>
              </w:rPr>
              <w:footnoteReference w:id="88"/>
            </w:r>
          </w:p>
          <w:p w14:paraId="1009F866" w14:textId="761B812B" w:rsidR="004E5BF9" w:rsidRPr="0076699D" w:rsidRDefault="004E5BF9" w:rsidP="00E81E2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 xml:space="preserve">Non-cash payment facilities (aside from debit cards, credit products and </w:t>
            </w:r>
            <w:r w:rsidR="00885902">
              <w:rPr>
                <w:sz w:val="18"/>
                <w:szCs w:val="18"/>
              </w:rPr>
              <w:t>SVFs</w:t>
            </w:r>
            <w:r w:rsidRPr="0076699D">
              <w:rPr>
                <w:sz w:val="18"/>
                <w:szCs w:val="18"/>
              </w:rPr>
              <w:t>).</w:t>
            </w:r>
            <w:r w:rsidRPr="0076699D">
              <w:rPr>
                <w:rStyle w:val="FootnoteReference"/>
                <w:szCs w:val="18"/>
              </w:rPr>
              <w:footnoteReference w:id="89"/>
            </w:r>
          </w:p>
        </w:tc>
      </w:tr>
      <w:tr w:rsidR="00D61687" w:rsidRPr="00F13824" w14:paraId="1325EEDB" w14:textId="77777777" w:rsidTr="00CD39D0">
        <w:trPr>
          <w:trHeight w:val="841"/>
        </w:trPr>
        <w:tc>
          <w:tcPr>
            <w:cnfStyle w:val="001000000000" w:firstRow="0" w:lastRow="0" w:firstColumn="1" w:lastColumn="0" w:oddVBand="0" w:evenVBand="0" w:oddHBand="0" w:evenHBand="0" w:firstRowFirstColumn="0" w:firstRowLastColumn="0" w:lastRowFirstColumn="0" w:lastRowLastColumn="0"/>
            <w:tcW w:w="1667" w:type="pct"/>
          </w:tcPr>
          <w:p w14:paraId="410E5707" w14:textId="0E216F63" w:rsidR="004E5BF9" w:rsidRPr="0076699D" w:rsidRDefault="004E5BF9" w:rsidP="00E81E20">
            <w:pPr>
              <w:spacing w:before="40" w:after="40"/>
              <w:rPr>
                <w:sz w:val="18"/>
                <w:szCs w:val="18"/>
              </w:rPr>
            </w:pPr>
            <w:r w:rsidRPr="0076699D">
              <w:rPr>
                <w:sz w:val="18"/>
                <w:szCs w:val="18"/>
              </w:rPr>
              <w:t>Disclosure - Product Disclosure Statement (PDS) (if servicing retail clients)</w:t>
            </w:r>
            <w:r w:rsidRPr="0076699D">
              <w:rPr>
                <w:rStyle w:val="FootnoteReference"/>
                <w:szCs w:val="18"/>
              </w:rPr>
              <w:footnoteReference w:id="90"/>
            </w:r>
          </w:p>
        </w:tc>
        <w:tc>
          <w:tcPr>
            <w:tcW w:w="1667" w:type="pct"/>
          </w:tcPr>
          <w:p w14:paraId="3BA68966" w14:textId="77777777" w:rsidR="004E5BF9" w:rsidRPr="0076699D" w:rsidRDefault="004E5BF9" w:rsidP="00E81E2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6699D">
              <w:rPr>
                <w:sz w:val="18"/>
                <w:szCs w:val="18"/>
              </w:rPr>
              <w:t>Obligation will apply.</w:t>
            </w:r>
          </w:p>
          <w:p w14:paraId="78AFE025" w14:textId="45B1F752" w:rsidR="004E5BF9" w:rsidRPr="0076699D" w:rsidRDefault="004E5BF9" w:rsidP="00E81E2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6699D">
              <w:rPr>
                <w:sz w:val="18"/>
                <w:szCs w:val="18"/>
              </w:rPr>
              <w:t>No changes to existing exemptions (except updating reference to non-cash payments).</w:t>
            </w:r>
          </w:p>
        </w:tc>
        <w:tc>
          <w:tcPr>
            <w:tcW w:w="1667" w:type="pct"/>
          </w:tcPr>
          <w:p w14:paraId="5E2D82BB" w14:textId="536F878C" w:rsidR="004E5BF9" w:rsidRPr="0076699D" w:rsidRDefault="004E5BF9" w:rsidP="00E81E2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6699D">
              <w:rPr>
                <w:sz w:val="18"/>
                <w:szCs w:val="18"/>
              </w:rPr>
              <w:t>Basic deposit products, or a facility for making non-cash payments that is related to a basic deposit product, or a traveller’s cheque.</w:t>
            </w:r>
            <w:r w:rsidRPr="0076699D">
              <w:rPr>
                <w:rStyle w:val="FootnoteReference"/>
                <w:szCs w:val="18"/>
              </w:rPr>
              <w:footnoteReference w:id="91"/>
            </w:r>
          </w:p>
        </w:tc>
      </w:tr>
      <w:tr w:rsidR="004D5FDA" w:rsidRPr="00F13824" w14:paraId="1776915D" w14:textId="77777777" w:rsidTr="00CD39D0">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7" w:type="pct"/>
          </w:tcPr>
          <w:p w14:paraId="30209734" w14:textId="23D33A93" w:rsidR="004E5BF9" w:rsidRPr="0076699D" w:rsidRDefault="004E5BF9" w:rsidP="00E81E20">
            <w:pPr>
              <w:spacing w:before="40" w:after="40"/>
              <w:rPr>
                <w:sz w:val="18"/>
                <w:szCs w:val="18"/>
              </w:rPr>
            </w:pPr>
            <w:r w:rsidRPr="0076699D">
              <w:rPr>
                <w:sz w:val="18"/>
                <w:szCs w:val="18"/>
              </w:rPr>
              <w:t>No hawking to retail clients</w:t>
            </w:r>
            <w:r w:rsidRPr="0076699D">
              <w:rPr>
                <w:rStyle w:val="FootnoteReference"/>
                <w:szCs w:val="18"/>
              </w:rPr>
              <w:footnoteReference w:id="92"/>
            </w:r>
          </w:p>
          <w:p w14:paraId="78830059" w14:textId="3A4D2FD1" w:rsidR="004E5BF9" w:rsidRPr="0076699D" w:rsidRDefault="004E5BF9" w:rsidP="00E81E20">
            <w:pPr>
              <w:spacing w:before="40" w:after="40"/>
              <w:rPr>
                <w:sz w:val="18"/>
                <w:szCs w:val="18"/>
              </w:rPr>
            </w:pPr>
          </w:p>
        </w:tc>
        <w:tc>
          <w:tcPr>
            <w:tcW w:w="1667" w:type="pct"/>
          </w:tcPr>
          <w:p w14:paraId="61EEBF21" w14:textId="77777777" w:rsidR="004E5BF9" w:rsidRPr="0076699D" w:rsidRDefault="004E5BF9" w:rsidP="00E81E2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Exempt payment products where the consumer initiates contact.</w:t>
            </w:r>
          </w:p>
          <w:p w14:paraId="2A900133" w14:textId="1F274263" w:rsidR="004E5BF9" w:rsidRPr="0076699D" w:rsidRDefault="004E5BF9" w:rsidP="00E81E2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No other changes to existing exemptions (except updating reference to non-cash payment).</w:t>
            </w:r>
          </w:p>
        </w:tc>
        <w:tc>
          <w:tcPr>
            <w:tcW w:w="1667" w:type="pct"/>
          </w:tcPr>
          <w:p w14:paraId="54B13C75" w14:textId="70B3534F" w:rsidR="004E5BF9" w:rsidRPr="0076699D" w:rsidRDefault="004E5BF9" w:rsidP="00E81E2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699D">
              <w:rPr>
                <w:sz w:val="18"/>
                <w:szCs w:val="18"/>
              </w:rPr>
              <w:t>Basic banking products (which include a facility for making non-cash payments</w:t>
            </w:r>
            <w:r w:rsidRPr="0076699D">
              <w:rPr>
                <w:rStyle w:val="FootnoteReference"/>
                <w:szCs w:val="18"/>
              </w:rPr>
              <w:footnoteReference w:id="93"/>
            </w:r>
            <w:r w:rsidRPr="0076699D">
              <w:rPr>
                <w:sz w:val="18"/>
                <w:szCs w:val="18"/>
              </w:rPr>
              <w:t>) if the consumer initiates contact.</w:t>
            </w:r>
            <w:r w:rsidRPr="0076699D">
              <w:rPr>
                <w:rStyle w:val="FootnoteReference"/>
                <w:szCs w:val="18"/>
              </w:rPr>
              <w:footnoteReference w:id="94"/>
            </w:r>
          </w:p>
        </w:tc>
      </w:tr>
    </w:tbl>
    <w:p w14:paraId="226DE3A4" w14:textId="6F4AE6A8" w:rsidR="00EC5820" w:rsidRDefault="006C567A" w:rsidP="00B44B9D">
      <w:r>
        <w:t xml:space="preserve">In addition to the above </w:t>
      </w:r>
      <w:r w:rsidR="007818CA">
        <w:t xml:space="preserve">obligations, </w:t>
      </w:r>
      <w:r w:rsidR="00E169F0">
        <w:t xml:space="preserve">financial service providers are subject to </w:t>
      </w:r>
      <w:r w:rsidR="007C0143">
        <w:t>prohibitions on certain conduct</w:t>
      </w:r>
      <w:r w:rsidR="00B83C9C">
        <w:t>, including</w:t>
      </w:r>
      <w:r w:rsidR="0062778E">
        <w:t xml:space="preserve"> harassment or coercion in connection with supply or payment for financial services,</w:t>
      </w:r>
      <w:r w:rsidR="0062778E">
        <w:rPr>
          <w:rStyle w:val="FootnoteReference"/>
        </w:rPr>
        <w:footnoteReference w:id="95"/>
      </w:r>
      <w:r w:rsidR="00B83C9C">
        <w:t xml:space="preserve"> </w:t>
      </w:r>
      <w:r w:rsidR="00754C5C">
        <w:t>unconscionabl</w:t>
      </w:r>
      <w:r w:rsidR="002F5107">
        <w:t>e conduct</w:t>
      </w:r>
      <w:r w:rsidR="001F39CC">
        <w:rPr>
          <w:rStyle w:val="FootnoteReference"/>
        </w:rPr>
        <w:footnoteReference w:id="96"/>
      </w:r>
      <w:r w:rsidR="002F5107">
        <w:t xml:space="preserve">, </w:t>
      </w:r>
      <w:r w:rsidR="00FB537E">
        <w:t xml:space="preserve">and </w:t>
      </w:r>
      <w:r w:rsidR="00C912E7">
        <w:t>market misco</w:t>
      </w:r>
      <w:r w:rsidR="00024A0D">
        <w:t>nduct</w:t>
      </w:r>
      <w:r w:rsidR="004A5002">
        <w:t>.</w:t>
      </w:r>
      <w:r w:rsidR="009F493F">
        <w:rPr>
          <w:rStyle w:val="FootnoteReference"/>
        </w:rPr>
        <w:footnoteReference w:id="97"/>
      </w:r>
      <w:r w:rsidR="00485BB2">
        <w:t xml:space="preserve"> </w:t>
      </w:r>
      <w:r w:rsidR="00376F8F">
        <w:t>Issuers and distributors of financial products can also be subject to Product Intervention Orders made by ASIC.</w:t>
      </w:r>
      <w:r w:rsidR="00376F8F">
        <w:rPr>
          <w:rStyle w:val="FootnoteReference"/>
        </w:rPr>
        <w:footnoteReference w:id="98"/>
      </w:r>
    </w:p>
    <w:p w14:paraId="1CD36ADB" w14:textId="2FEF99A1" w:rsidR="00831C0A" w:rsidRDefault="00831C0A" w:rsidP="00B44B9D">
      <w:r>
        <w:t xml:space="preserve">In addition, </w:t>
      </w:r>
      <w:r w:rsidRPr="000D6A3D">
        <w:t xml:space="preserve">Division 2 of Part 2 of the </w:t>
      </w:r>
      <w:r w:rsidRPr="00B02204">
        <w:rPr>
          <w:i/>
          <w:iCs/>
        </w:rPr>
        <w:t>ASIC Act</w:t>
      </w:r>
      <w:r w:rsidRPr="000D6A3D">
        <w:t xml:space="preserve"> appl</w:t>
      </w:r>
      <w:r w:rsidR="00F63EBC">
        <w:t>ies</w:t>
      </w:r>
      <w:r w:rsidRPr="000D6A3D">
        <w:t xml:space="preserve"> to conduct in relation to financial services. This Division includes key consumer protections around: unfair contract terms; unconscionable conduct; misleading and deceptive conduct; </w:t>
      </w:r>
      <w:r w:rsidR="00A73EFD">
        <w:t xml:space="preserve">and </w:t>
      </w:r>
      <w:r w:rsidRPr="000D6A3D">
        <w:t>offering rebates and prizes.</w:t>
      </w:r>
    </w:p>
    <w:p w14:paraId="6218CC9D" w14:textId="77777777" w:rsidR="003855B1" w:rsidRDefault="003855B1" w:rsidP="00B44B9D"/>
    <w:p w14:paraId="6FB98681" w14:textId="77777777" w:rsidR="0076548F" w:rsidRDefault="0076548F" w:rsidP="00B44B9D"/>
    <w:p w14:paraId="20E8534B" w14:textId="13CDEF49" w:rsidR="00D81B1A" w:rsidRDefault="00D81B1A" w:rsidP="006377BA">
      <w:pPr>
        <w:pStyle w:val="Heading2"/>
      </w:pPr>
      <w:bookmarkStart w:id="123" w:name="_Toc149230950"/>
      <w:bookmarkStart w:id="124" w:name="_Toc152847638"/>
      <w:r>
        <w:lastRenderedPageBreak/>
        <w:t>General obligations</w:t>
      </w:r>
      <w:bookmarkEnd w:id="123"/>
      <w:bookmarkEnd w:id="124"/>
      <w:r w:rsidR="00927C29">
        <w:t xml:space="preserve"> </w:t>
      </w:r>
    </w:p>
    <w:p w14:paraId="6BEA0BE6" w14:textId="77777777" w:rsidR="002133F1" w:rsidRDefault="002133F1" w:rsidP="00B44B9D">
      <w:r>
        <w:t>AFS licensees have general obligations to:</w:t>
      </w:r>
    </w:p>
    <w:p w14:paraId="0CD75950" w14:textId="77777777" w:rsidR="002133F1" w:rsidRPr="00112AA8" w:rsidRDefault="002133F1" w:rsidP="0020029E">
      <w:pPr>
        <w:pStyle w:val="Bullet"/>
        <w:numPr>
          <w:ilvl w:val="0"/>
          <w:numId w:val="43"/>
        </w:numPr>
      </w:pPr>
      <w:r w:rsidRPr="00112AA8">
        <w:t xml:space="preserve">do all things necessary to ensure that the financial services covered by </w:t>
      </w:r>
      <w:r>
        <w:t xml:space="preserve">the </w:t>
      </w:r>
      <w:r w:rsidRPr="00112AA8">
        <w:t>licence are provided efficiently, honestly and fairly</w:t>
      </w:r>
      <w:r>
        <w:t>,</w:t>
      </w:r>
    </w:p>
    <w:p w14:paraId="3C8A1520" w14:textId="77777777" w:rsidR="002133F1" w:rsidRPr="00112AA8" w:rsidRDefault="002133F1" w:rsidP="0020029E">
      <w:pPr>
        <w:pStyle w:val="Bullet"/>
        <w:numPr>
          <w:ilvl w:val="0"/>
          <w:numId w:val="43"/>
        </w:numPr>
      </w:pPr>
      <w:r w:rsidRPr="00112AA8">
        <w:t>have adequate arrangements in place for managing conflicts of interest</w:t>
      </w:r>
      <w:r>
        <w:t>,</w:t>
      </w:r>
    </w:p>
    <w:p w14:paraId="185935E8" w14:textId="77777777" w:rsidR="002133F1" w:rsidRPr="00112AA8" w:rsidRDefault="002133F1" w:rsidP="0020029E">
      <w:pPr>
        <w:pStyle w:val="Bullet"/>
        <w:numPr>
          <w:ilvl w:val="0"/>
          <w:numId w:val="43"/>
        </w:numPr>
      </w:pPr>
      <w:r w:rsidRPr="00112AA8">
        <w:t xml:space="preserve">comply with the conditions on </w:t>
      </w:r>
      <w:r>
        <w:t>the</w:t>
      </w:r>
      <w:r w:rsidRPr="00112AA8">
        <w:t xml:space="preserve"> licence</w:t>
      </w:r>
      <w:r>
        <w:t>,</w:t>
      </w:r>
    </w:p>
    <w:p w14:paraId="3175D17C" w14:textId="77777777" w:rsidR="002133F1" w:rsidRPr="00112AA8" w:rsidRDefault="002133F1" w:rsidP="0020029E">
      <w:pPr>
        <w:pStyle w:val="Bullet"/>
        <w:numPr>
          <w:ilvl w:val="0"/>
          <w:numId w:val="43"/>
        </w:numPr>
      </w:pPr>
      <w:r w:rsidRPr="00112AA8">
        <w:t>comply with the financial services laws</w:t>
      </w:r>
      <w:r>
        <w:t>,</w:t>
      </w:r>
    </w:p>
    <w:p w14:paraId="0FF25179" w14:textId="77777777" w:rsidR="002133F1" w:rsidRPr="00112AA8" w:rsidRDefault="002133F1" w:rsidP="0020029E">
      <w:pPr>
        <w:pStyle w:val="Bullet"/>
        <w:numPr>
          <w:ilvl w:val="0"/>
          <w:numId w:val="43"/>
        </w:numPr>
      </w:pPr>
      <w:r w:rsidRPr="00112AA8">
        <w:t xml:space="preserve">take reasonable steps to ensure that </w:t>
      </w:r>
      <w:r>
        <w:t>their</w:t>
      </w:r>
      <w:r w:rsidRPr="00112AA8">
        <w:t xml:space="preserve"> representatives comply with the financial services laws</w:t>
      </w:r>
      <w:r>
        <w:t>,</w:t>
      </w:r>
    </w:p>
    <w:p w14:paraId="5E2C571D" w14:textId="02C1BA80" w:rsidR="002133F1" w:rsidRPr="00112AA8" w:rsidRDefault="002133F1" w:rsidP="0020029E">
      <w:pPr>
        <w:pStyle w:val="Bullet"/>
        <w:numPr>
          <w:ilvl w:val="0"/>
          <w:numId w:val="43"/>
        </w:numPr>
      </w:pPr>
      <w:r w:rsidRPr="00112AA8">
        <w:t xml:space="preserve">have adequate </w:t>
      </w:r>
      <w:r w:rsidR="00D922E2">
        <w:t xml:space="preserve">resources (including </w:t>
      </w:r>
      <w:r w:rsidRPr="00112AA8">
        <w:t>financial, technological and human resources</w:t>
      </w:r>
      <w:r w:rsidR="00D922E2">
        <w:t>)</w:t>
      </w:r>
      <w:r w:rsidRPr="00112AA8">
        <w:t xml:space="preserve"> to provide the financial services covered by </w:t>
      </w:r>
      <w:r>
        <w:t>the</w:t>
      </w:r>
      <w:r w:rsidRPr="00112AA8">
        <w:t xml:space="preserve"> licence and to carry out supervisory arrangements</w:t>
      </w:r>
      <w:r>
        <w:t>,</w:t>
      </w:r>
    </w:p>
    <w:p w14:paraId="6616CA4D" w14:textId="77777777" w:rsidR="002133F1" w:rsidRPr="00112AA8" w:rsidRDefault="002133F1" w:rsidP="0020029E">
      <w:pPr>
        <w:pStyle w:val="Bullet"/>
        <w:numPr>
          <w:ilvl w:val="0"/>
          <w:numId w:val="43"/>
        </w:numPr>
      </w:pPr>
      <w:r w:rsidRPr="00112AA8">
        <w:t xml:space="preserve">ensure that </w:t>
      </w:r>
      <w:r>
        <w:t>their</w:t>
      </w:r>
      <w:r w:rsidRPr="00112AA8">
        <w:t xml:space="preserve"> representatives are adequately trained and competent to provide the financial services covered by </w:t>
      </w:r>
      <w:r>
        <w:t>the</w:t>
      </w:r>
      <w:r w:rsidRPr="00112AA8">
        <w:t xml:space="preserve"> licence</w:t>
      </w:r>
      <w:r>
        <w:t>,</w:t>
      </w:r>
    </w:p>
    <w:p w14:paraId="135BD2DA" w14:textId="77777777" w:rsidR="002133F1" w:rsidRPr="00112AA8" w:rsidRDefault="002133F1" w:rsidP="0020029E">
      <w:pPr>
        <w:pStyle w:val="Bullet"/>
        <w:numPr>
          <w:ilvl w:val="0"/>
          <w:numId w:val="43"/>
        </w:numPr>
      </w:pPr>
      <w:r w:rsidRPr="00112AA8">
        <w:t xml:space="preserve">have a dispute resolution system if </w:t>
      </w:r>
      <w:r>
        <w:t>they</w:t>
      </w:r>
      <w:r w:rsidRPr="00112AA8">
        <w:t xml:space="preserve"> provide services to retail clients</w:t>
      </w:r>
      <w:r>
        <w:t>,</w:t>
      </w:r>
    </w:p>
    <w:p w14:paraId="44B4B7BB" w14:textId="046A0195" w:rsidR="002133F1" w:rsidRPr="00112AA8" w:rsidRDefault="00E065A4" w:rsidP="0020029E">
      <w:pPr>
        <w:pStyle w:val="Bullet"/>
        <w:numPr>
          <w:ilvl w:val="0"/>
          <w:numId w:val="43"/>
        </w:numPr>
      </w:pPr>
      <w:r>
        <w:t>have</w:t>
      </w:r>
      <w:r w:rsidR="002133F1" w:rsidRPr="00112AA8">
        <w:t xml:space="preserve"> adequate risk management systems</w:t>
      </w:r>
      <w:r w:rsidR="002133F1">
        <w:t>, and</w:t>
      </w:r>
    </w:p>
    <w:p w14:paraId="2DF94817" w14:textId="659723F8" w:rsidR="004A5A54" w:rsidRDefault="00795663" w:rsidP="00E42AA2">
      <w:pPr>
        <w:pStyle w:val="Bullet"/>
        <w:numPr>
          <w:ilvl w:val="0"/>
          <w:numId w:val="43"/>
        </w:numPr>
      </w:pPr>
      <w:r>
        <w:t xml:space="preserve">maintain the competence to provide </w:t>
      </w:r>
      <w:r w:rsidR="001F5164">
        <w:t xml:space="preserve">the </w:t>
      </w:r>
      <w:r w:rsidR="00B33392">
        <w:t xml:space="preserve">financial </w:t>
      </w:r>
      <w:r w:rsidR="001F5164">
        <w:t>services</w:t>
      </w:r>
      <w:r w:rsidR="0058555E" w:rsidRPr="001D475D">
        <w:t>.</w:t>
      </w:r>
      <w:r w:rsidR="002133F1">
        <w:rPr>
          <w:rStyle w:val="FootnoteReference"/>
        </w:rPr>
        <w:footnoteReference w:id="99"/>
      </w:r>
    </w:p>
    <w:tbl>
      <w:tblPr>
        <w:tblStyle w:val="TableGrid"/>
        <w:tblW w:w="0" w:type="auto"/>
        <w:tblLook w:val="04A0" w:firstRow="1" w:lastRow="0" w:firstColumn="1" w:lastColumn="0" w:noHBand="0" w:noVBand="1"/>
      </w:tblPr>
      <w:tblGrid>
        <w:gridCol w:w="9070"/>
      </w:tblGrid>
      <w:tr w:rsidR="004A5A54" w14:paraId="7D589D37"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4F4F69DB" w14:textId="77777777" w:rsidR="004A5A54" w:rsidRPr="002F6FFA" w:rsidRDefault="004A5A54" w:rsidP="00E42AA2">
            <w:pPr>
              <w:spacing w:before="96" w:after="96"/>
              <w:rPr>
                <w:b w:val="0"/>
                <w:u w:val="single"/>
              </w:rPr>
            </w:pPr>
            <w:r w:rsidRPr="002F6FFA">
              <w:rPr>
                <w:u w:val="single"/>
              </w:rPr>
              <w:t>Consultation questions</w:t>
            </w:r>
          </w:p>
          <w:p w14:paraId="4C1629F8" w14:textId="5927063A" w:rsidR="004A5A54" w:rsidRPr="009D5EFA" w:rsidRDefault="004A5A54" w:rsidP="001D123F">
            <w:pPr>
              <w:pStyle w:val="Consultationquestions"/>
              <w:numPr>
                <w:ilvl w:val="0"/>
                <w:numId w:val="100"/>
              </w:numPr>
            </w:pPr>
            <w:r>
              <w:t>Are the general AFS obligations fit</w:t>
            </w:r>
            <w:r w:rsidR="00336706">
              <w:t xml:space="preserve"> </w:t>
            </w:r>
            <w:r>
              <w:t>for</w:t>
            </w:r>
            <w:r w:rsidR="00336706">
              <w:t xml:space="preserve"> </w:t>
            </w:r>
            <w:r>
              <w:t xml:space="preserve">purpose for </w:t>
            </w:r>
            <w:r w:rsidR="00566D06">
              <w:t>PSPs</w:t>
            </w:r>
            <w:r>
              <w:t>?</w:t>
            </w:r>
          </w:p>
          <w:p w14:paraId="5ECD6710" w14:textId="30153B11" w:rsidR="009D5EFA" w:rsidRPr="00A40EC1" w:rsidRDefault="009D5EFA" w:rsidP="001D123F">
            <w:pPr>
              <w:pStyle w:val="Consultationquestions"/>
              <w:numPr>
                <w:ilvl w:val="0"/>
                <w:numId w:val="100"/>
              </w:numPr>
            </w:pPr>
            <w:r>
              <w:t>Are the</w:t>
            </w:r>
            <w:r w:rsidR="00D40CC2">
              <w:t xml:space="preserve"> general</w:t>
            </w:r>
            <w:r>
              <w:t xml:space="preserve"> risk management obligations sufficient, or should PSPs undertaking particular functions have additional </w:t>
            </w:r>
            <w:r w:rsidR="00540580">
              <w:t xml:space="preserve">or tailored </w:t>
            </w:r>
            <w:r>
              <w:t>risk management obligations?</w:t>
            </w:r>
          </w:p>
          <w:p w14:paraId="349CC5AF" w14:textId="281BC61F" w:rsidR="009D5EFA" w:rsidRPr="004A5A54" w:rsidRDefault="00420F2C" w:rsidP="001D123F">
            <w:pPr>
              <w:pStyle w:val="Consultationquestions"/>
              <w:numPr>
                <w:ilvl w:val="0"/>
                <w:numId w:val="100"/>
              </w:numPr>
            </w:pPr>
            <w:r>
              <w:t xml:space="preserve">For currently </w:t>
            </w:r>
            <w:r w:rsidR="0078618F">
              <w:t>unregulated PSPs</w:t>
            </w:r>
            <w:r>
              <w:t xml:space="preserve">, </w:t>
            </w:r>
            <w:r w:rsidR="00500B8D">
              <w:t>are any aspects</w:t>
            </w:r>
            <w:r>
              <w:t xml:space="preserve"> of the financial services obligations or </w:t>
            </w:r>
            <w:r w:rsidR="00DF5D4F">
              <w:t>compliance</w:t>
            </w:r>
            <w:r>
              <w:t xml:space="preserve"> process</w:t>
            </w:r>
            <w:r w:rsidR="00DF5D4F">
              <w:t>es</w:t>
            </w:r>
            <w:r>
              <w:t xml:space="preserve"> </w:t>
            </w:r>
            <w:r w:rsidR="00BD5693">
              <w:t>disproportionately burdensome</w:t>
            </w:r>
            <w:r>
              <w:t>?</w:t>
            </w:r>
          </w:p>
        </w:tc>
      </w:tr>
    </w:tbl>
    <w:p w14:paraId="7012FFD2" w14:textId="0083992A" w:rsidR="00C959E5" w:rsidRDefault="00C959E5" w:rsidP="006377BA">
      <w:pPr>
        <w:pStyle w:val="Heading2"/>
      </w:pPr>
      <w:bookmarkStart w:id="125" w:name="_Ref148537746"/>
      <w:bookmarkStart w:id="126" w:name="_Toc149230951"/>
      <w:bookmarkStart w:id="127" w:name="_Toc152847639"/>
      <w:r>
        <w:t xml:space="preserve">Financial </w:t>
      </w:r>
      <w:bookmarkEnd w:id="125"/>
      <w:r w:rsidR="001A09A4">
        <w:t>requirements</w:t>
      </w:r>
      <w:bookmarkEnd w:id="126"/>
      <w:bookmarkEnd w:id="127"/>
      <w:r>
        <w:t xml:space="preserve"> </w:t>
      </w:r>
    </w:p>
    <w:p w14:paraId="7EA07378" w14:textId="22BCF6FE" w:rsidR="005A60CE" w:rsidRDefault="002133F1" w:rsidP="00B44B9D">
      <w:r>
        <w:t>AFS licensees must</w:t>
      </w:r>
      <w:r w:rsidR="00A9393B">
        <w:t xml:space="preserve"> </w:t>
      </w:r>
      <w:r>
        <w:t xml:space="preserve">meet certain financial obligations. </w:t>
      </w:r>
      <w:r w:rsidRPr="0060009B">
        <w:t xml:space="preserve">These obligations vary depending on the financial products and services </w:t>
      </w:r>
      <w:r>
        <w:t>offered and are intended to ensure that entities have sufficient financial resources to conduct their business</w:t>
      </w:r>
      <w:r w:rsidR="007E3344">
        <w:t xml:space="preserve"> and there is a financial buffer that decreases the risk of a disorderly or non-compliant wind-up if a business fails</w:t>
      </w:r>
      <w:r>
        <w:t xml:space="preserve">. </w:t>
      </w:r>
      <w:r w:rsidR="00BC0BC2">
        <w:t xml:space="preserve">Standard </w:t>
      </w:r>
      <w:r w:rsidR="004A7FD2">
        <w:t xml:space="preserve">financial requirements </w:t>
      </w:r>
      <w:r w:rsidR="00D67E14">
        <w:t>set by ASIC</w:t>
      </w:r>
      <w:r w:rsidR="0088054E">
        <w:t xml:space="preserve"> apply to most AFS licensees</w:t>
      </w:r>
      <w:r w:rsidR="00D67E14">
        <w:t>.</w:t>
      </w:r>
      <w:r w:rsidR="00D67E14" w:rsidRPr="001E4A53">
        <w:rPr>
          <w:rStyle w:val="FootnoteReference"/>
        </w:rPr>
        <w:t xml:space="preserve"> </w:t>
      </w:r>
      <w:r w:rsidR="001E4A53">
        <w:rPr>
          <w:rStyle w:val="FootnoteReference"/>
        </w:rPr>
        <w:footnoteReference w:id="100"/>
      </w:r>
      <w:r w:rsidR="00D67E14">
        <w:t xml:space="preserve"> </w:t>
      </w:r>
      <w:r w:rsidR="000243CB">
        <w:t xml:space="preserve">The adequacy of </w:t>
      </w:r>
      <w:r w:rsidR="000243CB" w:rsidRPr="00567E71">
        <w:t>a</w:t>
      </w:r>
      <w:r w:rsidR="000243CB">
        <w:t>n AFS licensee’s financial resources is guided by ASIC RG</w:t>
      </w:r>
      <w:r w:rsidR="000243CB" w:rsidRPr="008D5E76">
        <w:t xml:space="preserve"> 166</w:t>
      </w:r>
      <w:r w:rsidR="000243CB" w:rsidRPr="00567E71">
        <w:t>.</w:t>
      </w:r>
      <w:r w:rsidR="007B27E4">
        <w:rPr>
          <w:rStyle w:val="FootnoteReference"/>
        </w:rPr>
        <w:footnoteReference w:id="101"/>
      </w:r>
    </w:p>
    <w:p w14:paraId="41D18B64" w14:textId="703BBCBE" w:rsidR="005A60CE" w:rsidRDefault="00B02737" w:rsidP="00B44B9D">
      <w:r>
        <w:lastRenderedPageBreak/>
        <w:t xml:space="preserve">AFS </w:t>
      </w:r>
      <w:r w:rsidR="00002CED">
        <w:t>licensees are subject to</w:t>
      </w:r>
      <w:r w:rsidR="005A60CE">
        <w:t xml:space="preserve"> base level financial requirements</w:t>
      </w:r>
      <w:r w:rsidR="00002CED">
        <w:t>:</w:t>
      </w:r>
    </w:p>
    <w:p w14:paraId="41C963F7" w14:textId="44BE1E22" w:rsidR="00002CED" w:rsidRDefault="000D544C" w:rsidP="0020029E">
      <w:pPr>
        <w:pStyle w:val="Bullet"/>
      </w:pPr>
      <w:r>
        <w:t>be solvent and have positive net assets</w:t>
      </w:r>
      <w:r w:rsidR="002A11FB">
        <w:t>;</w:t>
      </w:r>
    </w:p>
    <w:p w14:paraId="05F9DD57" w14:textId="4C96D9C3" w:rsidR="009E0830" w:rsidRDefault="009E0830" w:rsidP="0020029E">
      <w:pPr>
        <w:pStyle w:val="Bullet"/>
      </w:pPr>
      <w:r>
        <w:t xml:space="preserve">have </w:t>
      </w:r>
      <w:r w:rsidR="0074567F">
        <w:t>sufficient resources to meet anticipated cash flow expenses</w:t>
      </w:r>
      <w:r w:rsidR="002A11FB">
        <w:t>;</w:t>
      </w:r>
      <w:r w:rsidR="00ED0723">
        <w:t xml:space="preserve"> and</w:t>
      </w:r>
    </w:p>
    <w:p w14:paraId="3196AEF1" w14:textId="2EB11250" w:rsidR="00EA3921" w:rsidRDefault="00547269" w:rsidP="0020029E">
      <w:pPr>
        <w:pStyle w:val="Bullet"/>
      </w:pPr>
      <w:r>
        <w:t xml:space="preserve">unless exempt, </w:t>
      </w:r>
      <w:r w:rsidR="00EA3921">
        <w:t xml:space="preserve">include information about compliance with financial requirements in </w:t>
      </w:r>
      <w:r w:rsidR="00ED0723">
        <w:t>an</w:t>
      </w:r>
      <w:r w:rsidR="00EA3921">
        <w:t xml:space="preserve"> </w:t>
      </w:r>
      <w:r w:rsidR="00ED0723">
        <w:t>annual audit report.</w:t>
      </w:r>
    </w:p>
    <w:p w14:paraId="1555981E" w14:textId="7754A9AD" w:rsidR="000A5FA4" w:rsidRDefault="005A0C30" w:rsidP="00B44B9D">
      <w:r>
        <w:t>Add</w:t>
      </w:r>
      <w:r w:rsidR="00BA10D5">
        <w:t xml:space="preserve">itional financial requirements may also apply: </w:t>
      </w:r>
    </w:p>
    <w:p w14:paraId="5BA7059D" w14:textId="15C915C1" w:rsidR="00C20E80" w:rsidRDefault="000A5FA4" w:rsidP="0020029E">
      <w:pPr>
        <w:pStyle w:val="Bullet"/>
      </w:pPr>
      <w:r w:rsidRPr="00427A94">
        <w:rPr>
          <w:b/>
        </w:rPr>
        <w:t>Surplus liquid funds</w:t>
      </w:r>
      <w:r w:rsidR="00BE61F5" w:rsidRPr="00091C1E">
        <w:rPr>
          <w:b/>
        </w:rPr>
        <w:t xml:space="preserve"> </w:t>
      </w:r>
      <w:r w:rsidR="00BE61F5" w:rsidRPr="00D237F2">
        <w:rPr>
          <w:b/>
        </w:rPr>
        <w:t>(SLF)</w:t>
      </w:r>
      <w:r>
        <w:t xml:space="preserve"> </w:t>
      </w:r>
      <w:r w:rsidR="00F40B1F">
        <w:t>–</w:t>
      </w:r>
      <w:r w:rsidR="0083243F">
        <w:t xml:space="preserve"> </w:t>
      </w:r>
      <w:r w:rsidR="00F40B1F" w:rsidRPr="00091C1E">
        <w:t>Ordinarily applies to</w:t>
      </w:r>
      <w:r w:rsidR="001826D0" w:rsidRPr="00091C1E">
        <w:t xml:space="preserve"> A</w:t>
      </w:r>
      <w:r w:rsidR="00403939" w:rsidRPr="00091C1E">
        <w:t>FS licensee</w:t>
      </w:r>
      <w:r w:rsidR="00F40B1F" w:rsidRPr="00091C1E">
        <w:t>s</w:t>
      </w:r>
      <w:r w:rsidR="001826D0" w:rsidRPr="00091C1E">
        <w:t xml:space="preserve"> </w:t>
      </w:r>
      <w:r w:rsidR="00F40B1F" w:rsidRPr="00091C1E">
        <w:t>that hold</w:t>
      </w:r>
      <w:r w:rsidR="001826D0" w:rsidRPr="00091C1E">
        <w:t xml:space="preserve"> client money or property</w:t>
      </w:r>
      <w:r w:rsidR="00F40B1F" w:rsidRPr="00091C1E">
        <w:t>.</w:t>
      </w:r>
      <w:r w:rsidR="001826D0" w:rsidRPr="00091C1E">
        <w:t xml:space="preserve"> </w:t>
      </w:r>
      <w:r w:rsidR="00091C1E" w:rsidRPr="00091C1E">
        <w:t>These AFS licensees</w:t>
      </w:r>
      <w:r w:rsidR="001826D0" w:rsidRPr="00091C1E">
        <w:t xml:space="preserve"> must hold at least </w:t>
      </w:r>
      <w:r w:rsidR="00A4637A">
        <w:t>$50,000 in surplus liquid funds unless the value of the money and property for all clients in total is less than $100,000</w:t>
      </w:r>
      <w:r w:rsidR="00424C57">
        <w:t>.</w:t>
      </w:r>
      <w:r w:rsidR="00AA6A5B" w:rsidRPr="00CF4040">
        <w:rPr>
          <w:rStyle w:val="FootnoteReference"/>
          <w:color w:val="000000" w:themeColor="text1"/>
        </w:rPr>
        <w:footnoteReference w:id="102"/>
      </w:r>
      <w:r w:rsidR="000D04A1" w:rsidRPr="00CF4040">
        <w:rPr>
          <w:rStyle w:val="FootnoteReference"/>
          <w:color w:val="000000" w:themeColor="text1"/>
        </w:rPr>
        <w:t xml:space="preserve"> </w:t>
      </w:r>
      <w:r w:rsidR="00976E98" w:rsidRPr="00CF4040">
        <w:rPr>
          <w:rStyle w:val="FootnoteReference"/>
          <w:color w:val="000000" w:themeColor="text1"/>
        </w:rPr>
        <w:t xml:space="preserve"> </w:t>
      </w:r>
    </w:p>
    <w:p w14:paraId="23BC3A90" w14:textId="1C31EB8D" w:rsidR="0002221C" w:rsidRDefault="000A5FA4" w:rsidP="0020029E">
      <w:pPr>
        <w:pStyle w:val="Bullet"/>
      </w:pPr>
      <w:r w:rsidRPr="00427A94">
        <w:rPr>
          <w:b/>
        </w:rPr>
        <w:t>Adjusted surplus liquid funds</w:t>
      </w:r>
      <w:r w:rsidR="00BE61F5">
        <w:t xml:space="preserve"> </w:t>
      </w:r>
      <w:r w:rsidR="00BE61F5" w:rsidRPr="00D237F2">
        <w:rPr>
          <w:b/>
        </w:rPr>
        <w:t>(ASLF)</w:t>
      </w:r>
      <w:r w:rsidRPr="00D237F2">
        <w:rPr>
          <w:b/>
        </w:rPr>
        <w:t xml:space="preserve"> </w:t>
      </w:r>
      <w:r w:rsidR="007470E9">
        <w:t>–</w:t>
      </w:r>
      <w:r>
        <w:t xml:space="preserve"> </w:t>
      </w:r>
      <w:r w:rsidR="00091C1E" w:rsidRPr="00091C1E">
        <w:t xml:space="preserve">Ordinarily </w:t>
      </w:r>
      <w:r w:rsidR="007470E9">
        <w:t xml:space="preserve">applies if </w:t>
      </w:r>
      <w:r w:rsidR="00E24B14">
        <w:t>an AFS</w:t>
      </w:r>
      <w:r w:rsidR="007470E9">
        <w:t xml:space="preserve"> licensee incurs actual or contingent liabilities payable to client</w:t>
      </w:r>
      <w:r w:rsidR="001E589E">
        <w:t xml:space="preserve">s by entering </w:t>
      </w:r>
      <w:r w:rsidR="00906BAB">
        <w:t xml:space="preserve">into </w:t>
      </w:r>
      <w:r w:rsidR="008E2FDA">
        <w:t>transactions</w:t>
      </w:r>
      <w:r w:rsidR="00906BAB">
        <w:t xml:space="preserve"> with clients. </w:t>
      </w:r>
      <w:r w:rsidR="008E2FDA">
        <w:t>Licensees are required to hold</w:t>
      </w:r>
      <w:r w:rsidR="0002221C">
        <w:t>:</w:t>
      </w:r>
      <w:r w:rsidR="008E2FDA" w:rsidRPr="006955D6">
        <w:rPr>
          <w:rStyle w:val="FootnoteReference"/>
        </w:rPr>
        <w:t xml:space="preserve"> </w:t>
      </w:r>
      <w:r w:rsidR="006955D6">
        <w:rPr>
          <w:rStyle w:val="FootnoteReference"/>
        </w:rPr>
        <w:footnoteReference w:id="103"/>
      </w:r>
      <w:r w:rsidR="008E2FDA">
        <w:t xml:space="preserve"> </w:t>
      </w:r>
    </w:p>
    <w:p w14:paraId="565358BB" w14:textId="77777777" w:rsidR="0002221C" w:rsidRDefault="008E2FDA" w:rsidP="00001FC4">
      <w:pPr>
        <w:pStyle w:val="DoubleDot"/>
      </w:pPr>
      <w:r>
        <w:t>$50,000</w:t>
      </w:r>
      <w:r w:rsidR="0002221C">
        <w:t>;</w:t>
      </w:r>
      <w:r>
        <w:t xml:space="preserve"> plus </w:t>
      </w:r>
    </w:p>
    <w:p w14:paraId="61B8A3F2" w14:textId="225E8AF8" w:rsidR="0002221C" w:rsidRDefault="0002221C" w:rsidP="00001FC4">
      <w:pPr>
        <w:pStyle w:val="DoubleDot"/>
      </w:pPr>
      <w:r>
        <w:t>5%</w:t>
      </w:r>
      <w:r w:rsidR="008E2FDA">
        <w:t xml:space="preserve"> of adjusted liabilities</w:t>
      </w:r>
      <w:r>
        <w:t xml:space="preserve"> between $1</w:t>
      </w:r>
      <w:r w:rsidR="00785102">
        <w:t xml:space="preserve"> </w:t>
      </w:r>
      <w:r>
        <w:t>million and $100 million; plus</w:t>
      </w:r>
    </w:p>
    <w:p w14:paraId="037662B2" w14:textId="77777777" w:rsidR="0002221C" w:rsidRDefault="0002221C" w:rsidP="00001FC4">
      <w:pPr>
        <w:pStyle w:val="DoubleDot"/>
      </w:pPr>
      <w:r>
        <w:t>0.5% of adjusted liabilities for any amount of adjusted liabilities exceeding $100 million.</w:t>
      </w:r>
    </w:p>
    <w:p w14:paraId="72EDE318" w14:textId="7131D216" w:rsidR="0002221C" w:rsidRDefault="008E2FDA" w:rsidP="00001FC4">
      <w:pPr>
        <w:pStyle w:val="DoubleDot"/>
      </w:pPr>
      <w:r>
        <w:t xml:space="preserve">up to a maximum ASLF of $100 million. </w:t>
      </w:r>
    </w:p>
    <w:p w14:paraId="27ECF23C" w14:textId="44B9BB1C" w:rsidR="00E46A68" w:rsidRPr="00E46A68" w:rsidRDefault="00DD35B0" w:rsidP="00B44B9D">
      <w:r>
        <w:t>The</w:t>
      </w:r>
      <w:r w:rsidR="00E46A68">
        <w:t xml:space="preserve"> following financial requirements </w:t>
      </w:r>
      <w:r>
        <w:t xml:space="preserve">are proposed </w:t>
      </w:r>
      <w:r w:rsidR="00A76173">
        <w:t xml:space="preserve">to apply to </w:t>
      </w:r>
      <w:r w:rsidR="00055BD1">
        <w:t>PSPs</w:t>
      </w:r>
      <w:r w:rsidR="00E46A68" w:rsidRPr="00E46A68">
        <w:t>:</w:t>
      </w:r>
      <w:r w:rsidR="00A70E03">
        <w:rPr>
          <w:rStyle w:val="FootnoteReference"/>
        </w:rPr>
        <w:footnoteReference w:id="104"/>
      </w:r>
    </w:p>
    <w:p w14:paraId="3C4F5A0E" w14:textId="698567FA" w:rsidR="00D57B07" w:rsidRDefault="007616B9" w:rsidP="00D57B07">
      <w:pPr>
        <w:pStyle w:val="Bullet"/>
      </w:pPr>
      <w:r>
        <w:rPr>
          <w:b/>
          <w:bCs/>
        </w:rPr>
        <w:t xml:space="preserve">PSPs performing any of the </w:t>
      </w:r>
      <w:r w:rsidR="0034309D">
        <w:rPr>
          <w:b/>
          <w:bCs/>
        </w:rPr>
        <w:t>defined</w:t>
      </w:r>
      <w:r w:rsidR="000B52F5" w:rsidRPr="00154E78">
        <w:rPr>
          <w:b/>
        </w:rPr>
        <w:t xml:space="preserve"> payment functions </w:t>
      </w:r>
      <w:r w:rsidR="0034309D">
        <w:rPr>
          <w:b/>
        </w:rPr>
        <w:t>should</w:t>
      </w:r>
      <w:r>
        <w:rPr>
          <w:b/>
        </w:rPr>
        <w:t xml:space="preserve"> </w:t>
      </w:r>
      <w:r w:rsidR="00115D56">
        <w:rPr>
          <w:b/>
        </w:rPr>
        <w:t>hold</w:t>
      </w:r>
      <w:r w:rsidR="000B52F5" w:rsidRPr="00154E78">
        <w:rPr>
          <w:b/>
        </w:rPr>
        <w:t xml:space="preserve"> SLF</w:t>
      </w:r>
      <w:r w:rsidR="00DA00CF" w:rsidRPr="0034309D">
        <w:t xml:space="preserve">, regardless of whether </w:t>
      </w:r>
      <w:r w:rsidR="0034309D">
        <w:t xml:space="preserve">these PSPs hold </w:t>
      </w:r>
      <w:r w:rsidR="00DA00CF" w:rsidRPr="0034309D">
        <w:t>client money</w:t>
      </w:r>
      <w:r w:rsidR="000B52F5" w:rsidRPr="00DF33B9">
        <w:rPr>
          <w:b/>
          <w:bCs/>
        </w:rPr>
        <w:t>.</w:t>
      </w:r>
      <w:r w:rsidR="00E46A68">
        <w:rPr>
          <w:b/>
          <w:bCs/>
        </w:rPr>
        <w:t xml:space="preserve"> </w:t>
      </w:r>
      <w:r w:rsidR="008D4859">
        <w:t>For the effective execution of payment transactions, i</w:t>
      </w:r>
      <w:r w:rsidR="008A4493">
        <w:t xml:space="preserve">t remains essential for any function across the payment chain to be able to perform </w:t>
      </w:r>
      <w:r w:rsidR="0074511A">
        <w:t xml:space="preserve">its contractual obligation and </w:t>
      </w:r>
      <w:r w:rsidR="009032DD">
        <w:t>hold an adequate level of liquidity</w:t>
      </w:r>
      <w:r w:rsidR="000B52F5">
        <w:t xml:space="preserve"> to </w:t>
      </w:r>
      <w:r w:rsidR="0074511A">
        <w:t>weather operational risk events</w:t>
      </w:r>
      <w:r w:rsidR="00D91CF7">
        <w:t xml:space="preserve">. </w:t>
      </w:r>
    </w:p>
    <w:p w14:paraId="3006E41E" w14:textId="0949F997" w:rsidR="009443ED" w:rsidRDefault="00D57B07" w:rsidP="000A7D13">
      <w:pPr>
        <w:pStyle w:val="Bullet"/>
      </w:pPr>
      <w:r w:rsidRPr="00D57B07">
        <w:rPr>
          <w:b/>
          <w:bCs/>
        </w:rPr>
        <w:t>That</w:t>
      </w:r>
      <w:r w:rsidR="000B52F5" w:rsidRPr="00D57B07">
        <w:rPr>
          <w:b/>
        </w:rPr>
        <w:t xml:space="preserve"> the ASLF requirement </w:t>
      </w:r>
      <w:r w:rsidRPr="00D57B07">
        <w:rPr>
          <w:b/>
          <w:bCs/>
        </w:rPr>
        <w:t>apply</w:t>
      </w:r>
      <w:r w:rsidR="000B52F5" w:rsidRPr="00D57B07">
        <w:rPr>
          <w:b/>
        </w:rPr>
        <w:t xml:space="preserve"> to all SVFs</w:t>
      </w:r>
      <w:r w:rsidR="00507615" w:rsidRPr="00D57B07">
        <w:rPr>
          <w:b/>
        </w:rPr>
        <w:t>,</w:t>
      </w:r>
      <w:r w:rsidR="000B52F5" w:rsidRPr="00D57B07">
        <w:rPr>
          <w:b/>
        </w:rPr>
        <w:t xml:space="preserve"> Payment Facilitation Services and Cross-border Transfer Services</w:t>
      </w:r>
      <w:r w:rsidR="000B52F5" w:rsidRPr="00616602">
        <w:rPr>
          <w:bCs/>
        </w:rPr>
        <w:t>.</w:t>
      </w:r>
      <w:r w:rsidR="00320CE7" w:rsidRPr="00EA4976">
        <w:rPr>
          <w:rStyle w:val="FootnoteReference"/>
        </w:rPr>
        <w:footnoteReference w:id="105"/>
      </w:r>
      <w:r w:rsidR="000B52F5">
        <w:t xml:space="preserve"> The disorderly failure of these functions</w:t>
      </w:r>
      <w:r w:rsidR="000B52F5" w:rsidRPr="00CD251E">
        <w:t xml:space="preserve"> pose</w:t>
      </w:r>
      <w:r w:rsidR="000B52F5">
        <w:t xml:space="preserve"> </w:t>
      </w:r>
      <w:r w:rsidR="00E57786">
        <w:t xml:space="preserve">heightened </w:t>
      </w:r>
      <w:r w:rsidR="000B52F5">
        <w:t>risks to their counterparties</w:t>
      </w:r>
      <w:r w:rsidR="0077205D">
        <w:t>, cause</w:t>
      </w:r>
      <w:r w:rsidR="008676F7">
        <w:t>s greater</w:t>
      </w:r>
      <w:r w:rsidR="0077205D">
        <w:t xml:space="preserve"> consumer harm, and impact</w:t>
      </w:r>
      <w:r w:rsidR="008676F7">
        <w:t>s</w:t>
      </w:r>
      <w:r w:rsidR="0077205D">
        <w:t xml:space="preserve"> the collective confidence of the payments sector.</w:t>
      </w:r>
      <w:r w:rsidR="00DD303A">
        <w:t xml:space="preserve"> Hence these functions are proposed to be subject to </w:t>
      </w:r>
      <w:r w:rsidR="00155156">
        <w:t>heighted financial requirements.</w:t>
      </w:r>
    </w:p>
    <w:p w14:paraId="2B0FCB73" w14:textId="52700315" w:rsidR="004970C4" w:rsidRPr="000A7D13" w:rsidRDefault="001D55D1" w:rsidP="006D5D65">
      <w:pPr>
        <w:rPr>
          <w:rStyle w:val="cf01"/>
          <w:rFonts w:ascii="Calibri Light" w:hAnsi="Calibri Light" w:cs="Times New Roman"/>
          <w:sz w:val="22"/>
          <w:szCs w:val="20"/>
        </w:rPr>
      </w:pPr>
      <w:r>
        <w:t>Where more than one financial requirement applies, AFS licensees will need to comply with each requirement that is applicable. Assets meeting one financial requirement can be counted for another applicable requirement.</w:t>
      </w:r>
    </w:p>
    <w:tbl>
      <w:tblPr>
        <w:tblStyle w:val="TableGrid"/>
        <w:tblW w:w="0" w:type="auto"/>
        <w:tblLook w:val="04A0" w:firstRow="1" w:lastRow="0" w:firstColumn="1" w:lastColumn="0" w:noHBand="0" w:noVBand="1"/>
      </w:tblPr>
      <w:tblGrid>
        <w:gridCol w:w="9070"/>
      </w:tblGrid>
      <w:tr w:rsidR="006F1668" w14:paraId="0E4AB9A0"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5DC58C28" w14:textId="44AFC43F" w:rsidR="006F1668" w:rsidRPr="002F6FFA" w:rsidRDefault="006F1668" w:rsidP="00DF715D">
            <w:pPr>
              <w:keepNext/>
              <w:spacing w:before="96" w:after="96"/>
              <w:rPr>
                <w:b w:val="0"/>
                <w:u w:val="single"/>
              </w:rPr>
            </w:pPr>
            <w:r w:rsidRPr="002F6FFA">
              <w:rPr>
                <w:u w:val="single"/>
              </w:rPr>
              <w:lastRenderedPageBreak/>
              <w:t>Consultation question</w:t>
            </w:r>
          </w:p>
          <w:p w14:paraId="2BA2595B" w14:textId="34CC29E8" w:rsidR="006F1668" w:rsidRPr="00BB28A1" w:rsidRDefault="006F1668" w:rsidP="001D123F">
            <w:pPr>
              <w:pStyle w:val="Consultationquestions"/>
              <w:numPr>
                <w:ilvl w:val="0"/>
                <w:numId w:val="100"/>
              </w:numPr>
            </w:pPr>
            <w:r w:rsidRPr="00BB28A1">
              <w:t xml:space="preserve"> </w:t>
            </w:r>
            <w:r w:rsidR="00BB28A1">
              <w:t xml:space="preserve">Are the proposed financial </w:t>
            </w:r>
            <w:r w:rsidR="007C24FA">
              <w:t>requirements</w:t>
            </w:r>
            <w:r w:rsidR="00BB28A1">
              <w:t xml:space="preserve"> appropriate</w:t>
            </w:r>
            <w:r w:rsidR="007B4387">
              <w:t xml:space="preserve"> for PSPs</w:t>
            </w:r>
            <w:r w:rsidR="00BB28A1">
              <w:t xml:space="preserve">? </w:t>
            </w:r>
            <w:r w:rsidR="00B36D91">
              <w:t xml:space="preserve">Are there particular </w:t>
            </w:r>
            <w:r w:rsidR="00455161">
              <w:t xml:space="preserve">payment </w:t>
            </w:r>
            <w:r w:rsidR="00B36D91">
              <w:t xml:space="preserve">functions where financial </w:t>
            </w:r>
            <w:r w:rsidR="00455161">
              <w:t>requirement</w:t>
            </w:r>
            <w:r w:rsidR="006C248B">
              <w:t>s</w:t>
            </w:r>
            <w:r w:rsidR="00B36D91">
              <w:t xml:space="preserve"> should be </w:t>
            </w:r>
            <w:r w:rsidR="006C248B">
              <w:t>increased</w:t>
            </w:r>
            <w:r w:rsidR="00B36D91">
              <w:t xml:space="preserve">, or </w:t>
            </w:r>
            <w:r w:rsidR="006C248B">
              <w:t>decreased</w:t>
            </w:r>
            <w:r w:rsidR="00B36D91">
              <w:t>?</w:t>
            </w:r>
          </w:p>
        </w:tc>
      </w:tr>
    </w:tbl>
    <w:p w14:paraId="20D3B934" w14:textId="6033C893" w:rsidR="00AD0E32" w:rsidRDefault="00AD0E32" w:rsidP="006377BA">
      <w:pPr>
        <w:pStyle w:val="Heading2"/>
      </w:pPr>
      <w:bookmarkStart w:id="128" w:name="_Toc149230952"/>
      <w:bookmarkStart w:id="129" w:name="_Toc152847640"/>
      <w:r>
        <w:t>Compensation</w:t>
      </w:r>
      <w:bookmarkEnd w:id="128"/>
      <w:bookmarkEnd w:id="129"/>
    </w:p>
    <w:p w14:paraId="5649FC51" w14:textId="12DC8771" w:rsidR="00AB7639" w:rsidRDefault="00B34174" w:rsidP="00E13BE6">
      <w:r w:rsidRPr="00B34174">
        <w:t>AFS licensees must have arrangements for compensating retail clients for losses they suffer as a result of a breach by the licensee or its representatives of their obligations in Ch</w:t>
      </w:r>
      <w:r>
        <w:t>apter</w:t>
      </w:r>
      <w:r w:rsidRPr="00B34174">
        <w:t xml:space="preserve"> 7 of the </w:t>
      </w:r>
      <w:r w:rsidR="00817BD4" w:rsidRPr="00403A68">
        <w:rPr>
          <w:i/>
          <w:iCs/>
        </w:rPr>
        <w:t>Corporations</w:t>
      </w:r>
      <w:r w:rsidRPr="00403A68">
        <w:rPr>
          <w:i/>
          <w:iCs/>
        </w:rPr>
        <w:t xml:space="preserve"> Act</w:t>
      </w:r>
      <w:r w:rsidRPr="001D475D">
        <w:t>.</w:t>
      </w:r>
      <w:r>
        <w:rPr>
          <w:rStyle w:val="FootnoteReference"/>
        </w:rPr>
        <w:footnoteReference w:id="106"/>
      </w:r>
      <w:r w:rsidR="00847CBD">
        <w:t xml:space="preserve"> This obligation will apply to all </w:t>
      </w:r>
      <w:r w:rsidR="0099776A">
        <w:t xml:space="preserve">licensed </w:t>
      </w:r>
      <w:r w:rsidR="00847CBD">
        <w:t>PSPs with retail clients.</w:t>
      </w:r>
      <w:r w:rsidR="006E1C8B">
        <w:t xml:space="preserve"> </w:t>
      </w:r>
      <w:r w:rsidR="00B13CA7">
        <w:t>Generally, AFSL holders meet this obligation by holding professional indemnity insurance, unless ASIC has approved alternative arrangements.</w:t>
      </w:r>
      <w:r w:rsidR="00EA1336">
        <w:rPr>
          <w:rStyle w:val="FootnoteReference"/>
        </w:rPr>
        <w:footnoteReference w:id="107"/>
      </w:r>
    </w:p>
    <w:tbl>
      <w:tblPr>
        <w:tblStyle w:val="TableGrid"/>
        <w:tblW w:w="0" w:type="auto"/>
        <w:tblLook w:val="04A0" w:firstRow="1" w:lastRow="0" w:firstColumn="1" w:lastColumn="0" w:noHBand="0" w:noVBand="1"/>
      </w:tblPr>
      <w:tblGrid>
        <w:gridCol w:w="9070"/>
      </w:tblGrid>
      <w:tr w:rsidR="00121AD2" w14:paraId="139C6B97"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72FC9DA9" w14:textId="0281E304" w:rsidR="00121AD2" w:rsidRPr="00817BD4" w:rsidRDefault="00121AD2" w:rsidP="00E42AA2">
            <w:pPr>
              <w:spacing w:before="96" w:after="96"/>
              <w:rPr>
                <w:rFonts w:asciiTheme="minorHAnsi" w:hAnsiTheme="minorHAnsi" w:cstheme="minorHAnsi"/>
                <w:b w:val="0"/>
                <w:u w:val="single"/>
              </w:rPr>
            </w:pPr>
            <w:r w:rsidRPr="00817BD4">
              <w:rPr>
                <w:rFonts w:asciiTheme="minorHAnsi" w:hAnsiTheme="minorHAnsi" w:cstheme="minorHAnsi"/>
                <w:u w:val="single"/>
              </w:rPr>
              <w:t>Consultation question</w:t>
            </w:r>
          </w:p>
          <w:p w14:paraId="60395C72" w14:textId="5A28D284" w:rsidR="00121AD2" w:rsidRPr="002F3590" w:rsidRDefault="002F3590" w:rsidP="001D123F">
            <w:pPr>
              <w:pStyle w:val="Consultationquestions"/>
              <w:numPr>
                <w:ilvl w:val="0"/>
                <w:numId w:val="100"/>
              </w:numPr>
            </w:pPr>
            <w:r w:rsidRPr="00D05F64">
              <w:t>Are the standard compensation requirements appropriate for PSPs?</w:t>
            </w:r>
          </w:p>
        </w:tc>
      </w:tr>
    </w:tbl>
    <w:p w14:paraId="0FBDE2EE" w14:textId="2F57A814" w:rsidR="003D5B7C" w:rsidRDefault="003D5B7C" w:rsidP="006377BA">
      <w:pPr>
        <w:pStyle w:val="Heading2"/>
      </w:pPr>
      <w:bookmarkStart w:id="130" w:name="_Toc149230953"/>
      <w:bookmarkStart w:id="131" w:name="_Toc152847641"/>
      <w:r>
        <w:t>Design and distribution obligations</w:t>
      </w:r>
      <w:bookmarkEnd w:id="130"/>
      <w:bookmarkEnd w:id="131"/>
    </w:p>
    <w:p w14:paraId="7C4D7B06" w14:textId="7943D193" w:rsidR="00CC5581" w:rsidRDefault="0088417D" w:rsidP="00E13BE6">
      <w:r>
        <w:t>Issuers and distributors of financial products must comply with design and distribution obligations. The design and distribution obligations are intended to help consumers obtain appropriate financial products by requiring issuers and distributors to have a consumer-centric approach to the design and distribution of products.</w:t>
      </w:r>
      <w:r w:rsidR="004E4ECB">
        <w:t xml:space="preserve"> </w:t>
      </w:r>
      <w:r w:rsidR="00CC5581">
        <w:t>The</w:t>
      </w:r>
      <w:r w:rsidR="000817FC">
        <w:t>se</w:t>
      </w:r>
      <w:r w:rsidR="00202982" w:rsidDel="000817FC">
        <w:t xml:space="preserve"> </w:t>
      </w:r>
      <w:r w:rsidR="00202982">
        <w:t>obligations also apply to</w:t>
      </w:r>
      <w:r w:rsidR="00DD4830">
        <w:t xml:space="preserve"> securities,</w:t>
      </w:r>
      <w:r w:rsidR="00202982">
        <w:t xml:space="preserve"> products that are not regulated under the Corporations </w:t>
      </w:r>
      <w:r w:rsidR="008E3868">
        <w:t>Act but</w:t>
      </w:r>
      <w:r w:rsidR="00202982">
        <w:t xml:space="preserve"> are within the scope of the </w:t>
      </w:r>
      <w:r w:rsidR="00202982" w:rsidRPr="00510563">
        <w:rPr>
          <w:i/>
          <w:iCs/>
        </w:rPr>
        <w:t>ASIC Act</w:t>
      </w:r>
      <w:r w:rsidR="00202982">
        <w:t xml:space="preserve"> definition of a financial product, such as credit contracts and </w:t>
      </w:r>
      <w:r w:rsidR="008E3868">
        <w:t>short-term</w:t>
      </w:r>
      <w:r w:rsidR="00202982">
        <w:t xml:space="preserve"> credit facilities</w:t>
      </w:r>
      <w:r w:rsidR="00620648">
        <w:t xml:space="preserve">, </w:t>
      </w:r>
      <w:r w:rsidR="00B63858">
        <w:t>and</w:t>
      </w:r>
      <w:r w:rsidR="00620648">
        <w:t xml:space="preserve"> other products prescribed by regulation</w:t>
      </w:r>
      <w:r w:rsidR="00202982">
        <w:t>.</w:t>
      </w:r>
      <w:r w:rsidR="009B4637">
        <w:rPr>
          <w:rStyle w:val="FootnoteReference"/>
        </w:rPr>
        <w:footnoteReference w:id="108"/>
      </w:r>
    </w:p>
    <w:p w14:paraId="6202ED07" w14:textId="2C3DB43F" w:rsidR="00B85443" w:rsidRDefault="00F634FC" w:rsidP="00E13BE6">
      <w:r>
        <w:t>A</w:t>
      </w:r>
      <w:r w:rsidR="002740C4">
        <w:t>s</w:t>
      </w:r>
      <w:r>
        <w:t xml:space="preserve"> noted above, n</w:t>
      </w:r>
      <w:r w:rsidR="00E65F43">
        <w:t xml:space="preserve">on-cash payment facilities (aside from debit cards, credit products and </w:t>
      </w:r>
      <w:r w:rsidR="00F13FF2">
        <w:t>SVFs</w:t>
      </w:r>
      <w:r w:rsidR="00E65F43">
        <w:t>)</w:t>
      </w:r>
      <w:r>
        <w:t xml:space="preserve"> are currently exempt from </w:t>
      </w:r>
      <w:r w:rsidR="0063679D">
        <w:t>design and distribution obligation</w:t>
      </w:r>
      <w:r>
        <w:t>s.</w:t>
      </w:r>
      <w:r w:rsidR="00EE0E67">
        <w:rPr>
          <w:rStyle w:val="FootnoteReference"/>
        </w:rPr>
        <w:footnoteReference w:id="109"/>
      </w:r>
    </w:p>
    <w:p w14:paraId="1FD33075" w14:textId="05D00753" w:rsidR="00864716" w:rsidRDefault="00864716" w:rsidP="006377BA">
      <w:pPr>
        <w:pStyle w:val="Heading2"/>
      </w:pPr>
      <w:bookmarkStart w:id="132" w:name="_Toc152847642"/>
      <w:r>
        <w:t>Hawking prohibition</w:t>
      </w:r>
      <w:bookmarkEnd w:id="132"/>
    </w:p>
    <w:p w14:paraId="4114C00F" w14:textId="07FBD059" w:rsidR="00AB7639" w:rsidRDefault="009C24F9" w:rsidP="00E13BE6">
      <w:r>
        <w:t>Hawking of financial products to retail clients is generally prohibited</w:t>
      </w:r>
      <w:r w:rsidR="00BF6100">
        <w:t xml:space="preserve">, </w:t>
      </w:r>
      <w:r w:rsidR="00F96B56">
        <w:t>with a few exceptions, including for</w:t>
      </w:r>
      <w:r w:rsidR="00BF6100">
        <w:t xml:space="preserve"> basic banking products</w:t>
      </w:r>
      <w:r w:rsidR="00C445FB">
        <w:t xml:space="preserve"> where </w:t>
      </w:r>
      <w:r w:rsidR="00F96B56">
        <w:t xml:space="preserve">the </w:t>
      </w:r>
      <w:r w:rsidR="00C445FB">
        <w:t>consumer initiates contact</w:t>
      </w:r>
      <w:r>
        <w:t>.</w:t>
      </w:r>
      <w:r w:rsidR="006A2DF6">
        <w:rPr>
          <w:rStyle w:val="FootnoteReference"/>
        </w:rPr>
        <w:footnoteReference w:id="110"/>
      </w:r>
      <w:r w:rsidR="002A76D7">
        <w:t xml:space="preserve"> </w:t>
      </w:r>
      <w:r w:rsidR="00F96B56">
        <w:t>The prohibition aims to protect consumers from unsolicited offers of financial products.</w:t>
      </w:r>
      <w:r w:rsidR="00C67611">
        <w:t xml:space="preserve"> Given the relatively simple nature of payment products, compared to other financial products, </w:t>
      </w:r>
      <w:r w:rsidR="00275C8B">
        <w:t>and</w:t>
      </w:r>
      <w:r w:rsidR="00C215B4">
        <w:t xml:space="preserve"> the</w:t>
      </w:r>
      <w:r w:rsidR="00275C8B">
        <w:t xml:space="preserve"> lower risk of consumer harm from hawking, </w:t>
      </w:r>
      <w:r w:rsidR="005A14D5">
        <w:t>it is proposed that</w:t>
      </w:r>
      <w:r w:rsidR="00275C8B">
        <w:t xml:space="preserve"> </w:t>
      </w:r>
      <w:r w:rsidR="00C62082">
        <w:t>PSPs should be permitted to hawk</w:t>
      </w:r>
      <w:r w:rsidR="007E65C8">
        <w:t xml:space="preserve"> payment products</w:t>
      </w:r>
      <w:r w:rsidR="005E4BAD">
        <w:t xml:space="preserve"> </w:t>
      </w:r>
      <w:r w:rsidR="005C1244">
        <w:t>where the consumer initiates contact, consistent with the exception for basic banking product</w:t>
      </w:r>
      <w:r w:rsidR="00537F65">
        <w:t>s</w:t>
      </w:r>
      <w:r w:rsidR="007E65C8">
        <w:t xml:space="preserve">. </w:t>
      </w:r>
    </w:p>
    <w:tbl>
      <w:tblPr>
        <w:tblStyle w:val="TableGrid"/>
        <w:tblW w:w="0" w:type="auto"/>
        <w:tblLook w:val="04A0" w:firstRow="1" w:lastRow="0" w:firstColumn="1" w:lastColumn="0" w:noHBand="0" w:noVBand="1"/>
      </w:tblPr>
      <w:tblGrid>
        <w:gridCol w:w="9070"/>
      </w:tblGrid>
      <w:tr w:rsidR="00B85443" w14:paraId="7069DAF7"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3F63600F" w14:textId="7BE64469" w:rsidR="00B85443" w:rsidRPr="00403A68" w:rsidRDefault="00B85443" w:rsidP="00DF715D">
            <w:pPr>
              <w:keepNext/>
              <w:spacing w:before="96" w:after="96"/>
              <w:rPr>
                <w:rFonts w:asciiTheme="minorHAnsi" w:hAnsiTheme="minorHAnsi" w:cstheme="minorHAnsi"/>
                <w:b w:val="0"/>
                <w:u w:val="single"/>
              </w:rPr>
            </w:pPr>
            <w:r w:rsidRPr="00403A68">
              <w:rPr>
                <w:rFonts w:asciiTheme="minorHAnsi" w:hAnsiTheme="minorHAnsi" w:cstheme="minorHAnsi"/>
                <w:u w:val="single"/>
              </w:rPr>
              <w:lastRenderedPageBreak/>
              <w:t>Consultation question</w:t>
            </w:r>
          </w:p>
          <w:p w14:paraId="6268FAC9" w14:textId="1790EF7B" w:rsidR="00B85443" w:rsidRPr="00360E28" w:rsidRDefault="0045634C" w:rsidP="001D123F">
            <w:pPr>
              <w:pStyle w:val="Consultationquestions"/>
              <w:numPr>
                <w:ilvl w:val="0"/>
                <w:numId w:val="100"/>
              </w:numPr>
            </w:pPr>
            <w:r>
              <w:t>Is the</w:t>
            </w:r>
            <w:r w:rsidR="00BB2372" w:rsidRPr="00BB2372">
              <w:t xml:space="preserve"> proposed exemption to the </w:t>
            </w:r>
            <w:r w:rsidR="00085A8C">
              <w:t>hawking prohibition appropriate?</w:t>
            </w:r>
            <w:r w:rsidR="00721B0C">
              <w:t xml:space="preserve"> </w:t>
            </w:r>
            <w:r w:rsidR="00747EBE">
              <w:t xml:space="preserve">Should it </w:t>
            </w:r>
            <w:r w:rsidR="00537F65">
              <w:t>be broader or narrower?</w:t>
            </w:r>
          </w:p>
        </w:tc>
      </w:tr>
    </w:tbl>
    <w:p w14:paraId="07211997" w14:textId="09CE029E" w:rsidR="002133F1" w:rsidRPr="00600200" w:rsidRDefault="00271130" w:rsidP="006377BA">
      <w:pPr>
        <w:pStyle w:val="Heading2"/>
      </w:pPr>
      <w:bookmarkStart w:id="133" w:name="_Toc149230954"/>
      <w:bookmarkStart w:id="134" w:name="_Toc152847643"/>
      <w:r>
        <w:t>Disclosure</w:t>
      </w:r>
      <w:bookmarkEnd w:id="133"/>
      <w:bookmarkEnd w:id="134"/>
    </w:p>
    <w:p w14:paraId="7A6A2A33" w14:textId="421EF9B5" w:rsidR="00A4092A" w:rsidRDefault="000C1756" w:rsidP="00E13BE6">
      <w:r>
        <w:t>AFS</w:t>
      </w:r>
      <w:r w:rsidR="0070222F" w:rsidRPr="0070222F">
        <w:t xml:space="preserve"> licensees, authorised representatives and product issuers</w:t>
      </w:r>
      <w:r w:rsidR="0070222F">
        <w:t xml:space="preserve"> are responsible for </w:t>
      </w:r>
      <w:r w:rsidR="00C75FE6">
        <w:t>providing PDSs</w:t>
      </w:r>
      <w:r w:rsidR="00043393">
        <w:t xml:space="preserve"> for financial products</w:t>
      </w:r>
      <w:r w:rsidR="0020780E">
        <w:t>.</w:t>
      </w:r>
      <w:r w:rsidR="00416EF2">
        <w:t xml:space="preserve"> The PDS is prepared by or on behalf of the issuer or seller of the product.</w:t>
      </w:r>
      <w:r w:rsidR="004467AC">
        <w:t xml:space="preserve"> </w:t>
      </w:r>
      <w:r w:rsidR="004467AC" w:rsidDel="0066211D">
        <w:t xml:space="preserve">The PDS </w:t>
      </w:r>
      <w:r w:rsidR="007F6C1B" w:rsidDel="0066211D">
        <w:t>should</w:t>
      </w:r>
      <w:r w:rsidR="004467AC" w:rsidDel="0066211D">
        <w:t xml:space="preserve"> provide </w:t>
      </w:r>
      <w:r w:rsidR="00B109FD" w:rsidDel="0066211D">
        <w:t>suf</w:t>
      </w:r>
      <w:r w:rsidR="007F6C1B" w:rsidDel="0066211D">
        <w:t>fi</w:t>
      </w:r>
      <w:r w:rsidR="006237FD" w:rsidDel="0066211D">
        <w:t>cient information for t</w:t>
      </w:r>
      <w:r w:rsidR="0014200D" w:rsidDel="0066211D">
        <w:t>he retail client to make an informed decision about whether to purchase the financial product</w:t>
      </w:r>
      <w:r w:rsidR="00C93A36" w:rsidDel="0066211D">
        <w:t xml:space="preserve">. </w:t>
      </w:r>
      <w:r w:rsidR="00513193">
        <w:t>Issuers</w:t>
      </w:r>
      <w:r w:rsidR="00513193" w:rsidRPr="00513193">
        <w:t xml:space="preserve"> who are required to provide a PDS have the option of giving retail clients a 'Short-Form PDS'</w:t>
      </w:r>
      <w:r w:rsidR="00513193">
        <w:t xml:space="preserve"> in most cases, </w:t>
      </w:r>
      <w:r w:rsidR="00513193" w:rsidRPr="00513193">
        <w:t>as long as a full PDS is available on request</w:t>
      </w:r>
      <w:r w:rsidR="00513193">
        <w:t>.</w:t>
      </w:r>
    </w:p>
    <w:p w14:paraId="7D6C3E33" w14:textId="35FE411E" w:rsidR="00165731" w:rsidRDefault="00266DB9" w:rsidP="00E13BE6">
      <w:r>
        <w:t>In addition, a</w:t>
      </w:r>
      <w:r w:rsidR="0036506C">
        <w:t>n entity providing a financial service to a retail client must provide a</w:t>
      </w:r>
      <w:r w:rsidR="00A73E1E">
        <w:t>n</w:t>
      </w:r>
      <w:r w:rsidR="0036506C">
        <w:t xml:space="preserve"> </w:t>
      </w:r>
      <w:r w:rsidR="001927EF">
        <w:t>FSG</w:t>
      </w:r>
      <w:r w:rsidR="003D3F7A">
        <w:t>.</w:t>
      </w:r>
      <w:r w:rsidR="00941081" w:rsidDel="0066211D">
        <w:t xml:space="preserve"> The FSG</w:t>
      </w:r>
      <w:r w:rsidR="00881455" w:rsidDel="0066211D">
        <w:t xml:space="preserve"> </w:t>
      </w:r>
      <w:r w:rsidR="00A50C75" w:rsidDel="0066211D">
        <w:t xml:space="preserve">should provide </w:t>
      </w:r>
      <w:r w:rsidR="00507811" w:rsidDel="0066211D">
        <w:t xml:space="preserve">sufficient information </w:t>
      </w:r>
      <w:r w:rsidR="005E1406" w:rsidDel="0066211D">
        <w:t xml:space="preserve">so that </w:t>
      </w:r>
      <w:r w:rsidR="00B4773B" w:rsidDel="0066211D">
        <w:t>consumers can make an informed decision about whether to acquire a financial service</w:t>
      </w:r>
      <w:r w:rsidR="006D0243">
        <w:t>.</w:t>
      </w:r>
      <w:r w:rsidR="008C0AB2">
        <w:t xml:space="preserve"> In some cases, a</w:t>
      </w:r>
      <w:r w:rsidR="0026120C">
        <w:t>n</w:t>
      </w:r>
      <w:r w:rsidR="008C0AB2">
        <w:t xml:space="preserve"> FSG is not required, for example, where the client has received a PDS and a ‘statement’ that together contain all of the information a new FSG would have had to contain.</w:t>
      </w:r>
      <w:r w:rsidR="00036021">
        <w:t xml:space="preserve"> </w:t>
      </w:r>
      <w:r w:rsidR="00D164FF">
        <w:t xml:space="preserve">As noted above, </w:t>
      </w:r>
      <w:r w:rsidR="009F5EF7">
        <w:t>certain dealings are exempt from the FSG requirement.</w:t>
      </w:r>
      <w:r w:rsidR="00D164FF">
        <w:t xml:space="preserve"> </w:t>
      </w:r>
    </w:p>
    <w:p w14:paraId="040B69C0" w14:textId="0A6D6C01" w:rsidR="00595635" w:rsidRDefault="007D04CD" w:rsidP="00E13BE6">
      <w:r>
        <w:t xml:space="preserve">Payment </w:t>
      </w:r>
      <w:r w:rsidR="00065908">
        <w:t>Technology</w:t>
      </w:r>
      <w:r>
        <w:t xml:space="preserve"> and </w:t>
      </w:r>
      <w:r w:rsidR="00065908">
        <w:t>Enablement Services</w:t>
      </w:r>
      <w:r>
        <w:t xml:space="preserve"> are proposed to be exempted from </w:t>
      </w:r>
      <w:r w:rsidR="00370BD8">
        <w:t>FSG requirements</w:t>
      </w:r>
      <w:r w:rsidR="00731C9E">
        <w:t xml:space="preserve"> on the basis that </w:t>
      </w:r>
      <w:r w:rsidR="00830DE0">
        <w:t xml:space="preserve">these services do not involve the </w:t>
      </w:r>
      <w:r w:rsidR="009832F0">
        <w:t>holding or processing of funds</w:t>
      </w:r>
      <w:r w:rsidR="00643BD7">
        <w:t xml:space="preserve"> and the requirement</w:t>
      </w:r>
      <w:r w:rsidR="00291F5C">
        <w:t>s</w:t>
      </w:r>
      <w:r w:rsidR="00B015D8">
        <w:t xml:space="preserve"> </w:t>
      </w:r>
      <w:r w:rsidR="00E04CCD">
        <w:t xml:space="preserve">may not be well-suited to </w:t>
      </w:r>
      <w:r w:rsidR="00277290">
        <w:t xml:space="preserve">the technical nature of these </w:t>
      </w:r>
      <w:r w:rsidR="00B63120">
        <w:t>services.</w:t>
      </w:r>
    </w:p>
    <w:tbl>
      <w:tblPr>
        <w:tblStyle w:val="TableGrid"/>
        <w:tblW w:w="0" w:type="auto"/>
        <w:tblLook w:val="04A0" w:firstRow="1" w:lastRow="0" w:firstColumn="1" w:lastColumn="0" w:noHBand="0" w:noVBand="1"/>
      </w:tblPr>
      <w:tblGrid>
        <w:gridCol w:w="9070"/>
      </w:tblGrid>
      <w:tr w:rsidR="00E238F2" w14:paraId="2E277D3A"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3DCE6B47" w14:textId="77777777" w:rsidR="00E238F2" w:rsidRPr="00524735" w:rsidRDefault="00E238F2" w:rsidP="00E42AA2">
            <w:pPr>
              <w:spacing w:before="96" w:after="96"/>
              <w:rPr>
                <w:rFonts w:asciiTheme="minorHAnsi" w:hAnsiTheme="minorHAnsi" w:cstheme="minorHAnsi"/>
                <w:b w:val="0"/>
                <w:u w:val="single"/>
              </w:rPr>
            </w:pPr>
            <w:r w:rsidRPr="00524735">
              <w:rPr>
                <w:rFonts w:asciiTheme="minorHAnsi" w:hAnsiTheme="minorHAnsi" w:cstheme="minorHAnsi"/>
                <w:u w:val="single"/>
              </w:rPr>
              <w:t>Consultation questions</w:t>
            </w:r>
          </w:p>
          <w:p w14:paraId="44445E52" w14:textId="188A7510" w:rsidR="00103350" w:rsidRPr="00482EC3" w:rsidRDefault="00103350" w:rsidP="001D123F">
            <w:pPr>
              <w:pStyle w:val="Consultationquestions"/>
              <w:numPr>
                <w:ilvl w:val="0"/>
                <w:numId w:val="100"/>
              </w:numPr>
            </w:pPr>
            <w:r>
              <w:t>Should the standard disclosure requirements not apply to any particular activities, for example, gift facilities (outside the existing exclusions)?</w:t>
            </w:r>
          </w:p>
          <w:p w14:paraId="0DE3491B" w14:textId="77777777" w:rsidR="00103350" w:rsidRPr="00F779B9" w:rsidRDefault="00103350" w:rsidP="001D123F">
            <w:pPr>
              <w:pStyle w:val="Consultationquestions"/>
              <w:numPr>
                <w:ilvl w:val="0"/>
                <w:numId w:val="100"/>
              </w:numPr>
            </w:pPr>
            <w:r>
              <w:t>Should the ‘shorter PDS regime’ apply to any activities?</w:t>
            </w:r>
            <w:r>
              <w:rPr>
                <w:rStyle w:val="FootnoteReference"/>
              </w:rPr>
              <w:footnoteReference w:id="111"/>
            </w:r>
            <w:r>
              <w:t xml:space="preserve"> </w:t>
            </w:r>
          </w:p>
          <w:p w14:paraId="32F64E52" w14:textId="532E61D7" w:rsidR="00E238F2" w:rsidRPr="00CD27B2" w:rsidRDefault="00481DD9" w:rsidP="001D123F">
            <w:pPr>
              <w:pStyle w:val="Consultationquestions"/>
              <w:numPr>
                <w:ilvl w:val="0"/>
                <w:numId w:val="100"/>
              </w:numPr>
              <w:rPr>
                <w:bCs w:val="0"/>
              </w:rPr>
            </w:pPr>
            <w:r>
              <w:rPr>
                <w:bCs w:val="0"/>
              </w:rPr>
              <w:t>How should the</w:t>
            </w:r>
            <w:r w:rsidR="007D2FCD">
              <w:rPr>
                <w:bCs w:val="0"/>
              </w:rPr>
              <w:t xml:space="preserve"> FSG</w:t>
            </w:r>
            <w:r w:rsidR="001329A7">
              <w:rPr>
                <w:bCs w:val="0"/>
              </w:rPr>
              <w:t xml:space="preserve"> and PDS</w:t>
            </w:r>
            <w:r>
              <w:rPr>
                <w:bCs w:val="0"/>
              </w:rPr>
              <w:t xml:space="preserve"> disclosure exemption</w:t>
            </w:r>
            <w:r w:rsidR="001329A7">
              <w:rPr>
                <w:bCs w:val="0"/>
              </w:rPr>
              <w:t>s</w:t>
            </w:r>
            <w:r>
              <w:rPr>
                <w:bCs w:val="0"/>
              </w:rPr>
              <w:t xml:space="preserve"> for </w:t>
            </w:r>
            <w:r>
              <w:t xml:space="preserve">a facility for making </w:t>
            </w:r>
            <w:r w:rsidR="001C09D4">
              <w:t xml:space="preserve">non-cash payments </w:t>
            </w:r>
            <w:r>
              <w:t>related to a basic deposit product be updated?</w:t>
            </w:r>
          </w:p>
        </w:tc>
      </w:tr>
    </w:tbl>
    <w:p w14:paraId="64F7F13A" w14:textId="526C8E1C" w:rsidR="001C744D" w:rsidRDefault="001C744D" w:rsidP="006377BA">
      <w:pPr>
        <w:pStyle w:val="Heading2"/>
      </w:pPr>
      <w:bookmarkStart w:id="135" w:name="_Ref148970758"/>
      <w:bookmarkStart w:id="136" w:name="_Toc149230955"/>
      <w:bookmarkStart w:id="137" w:name="_Toc152847644"/>
      <w:r>
        <w:t>Client money rules</w:t>
      </w:r>
      <w:bookmarkEnd w:id="135"/>
      <w:bookmarkEnd w:id="136"/>
      <w:bookmarkEnd w:id="137"/>
    </w:p>
    <w:p w14:paraId="4B0B797B" w14:textId="3E199BA4" w:rsidR="00F6024B" w:rsidRPr="00823693" w:rsidRDefault="00F6024B" w:rsidP="00E13BE6">
      <w:r>
        <w:t xml:space="preserve">It is proposed that all PSPs </w:t>
      </w:r>
      <w:r w:rsidR="00C9704C">
        <w:t>that</w:t>
      </w:r>
      <w:r w:rsidRPr="00F6024B">
        <w:t xml:space="preserve"> hold client money </w:t>
      </w:r>
      <w:r w:rsidR="002C61AC">
        <w:t>be subject to the standard obligations applying to client money.</w:t>
      </w:r>
      <w:r w:rsidR="001B22FF">
        <w:rPr>
          <w:rStyle w:val="FootnoteReference"/>
        </w:rPr>
        <w:footnoteReference w:id="112"/>
      </w:r>
      <w:r w:rsidR="002C61AC">
        <w:t xml:space="preserve"> </w:t>
      </w:r>
      <w:r w:rsidR="002554A2">
        <w:t xml:space="preserve">This includes </w:t>
      </w:r>
      <w:r w:rsidR="00B72496">
        <w:t>all</w:t>
      </w:r>
      <w:r w:rsidR="002554A2">
        <w:t xml:space="preserve"> SVFs</w:t>
      </w:r>
      <w:r w:rsidR="00B72496">
        <w:t xml:space="preserve"> (</w:t>
      </w:r>
      <w:r w:rsidR="001A0F5F">
        <w:t xml:space="preserve">Standard and </w:t>
      </w:r>
      <w:r w:rsidR="00B72496">
        <w:t>Major)</w:t>
      </w:r>
      <w:r w:rsidR="007D545E">
        <w:t xml:space="preserve">, </w:t>
      </w:r>
      <w:r w:rsidR="00925D29" w:rsidRPr="00823693">
        <w:t xml:space="preserve">Payment Facilitation </w:t>
      </w:r>
      <w:r w:rsidR="00823693" w:rsidRPr="00823693">
        <w:t>Services</w:t>
      </w:r>
      <w:r w:rsidR="007D545E" w:rsidRPr="00823693">
        <w:t xml:space="preserve"> and Cross</w:t>
      </w:r>
      <w:r w:rsidR="0058224E">
        <w:noBreakHyphen/>
      </w:r>
      <w:r w:rsidR="007D545E" w:rsidRPr="00823693">
        <w:t xml:space="preserve">border </w:t>
      </w:r>
      <w:r w:rsidR="00823693" w:rsidRPr="00823693">
        <w:t>T</w:t>
      </w:r>
      <w:r w:rsidR="007D545E" w:rsidRPr="00823693">
        <w:t>ransfer</w:t>
      </w:r>
      <w:r w:rsidR="00823693" w:rsidRPr="00823693">
        <w:t xml:space="preserve"> Services</w:t>
      </w:r>
      <w:r w:rsidR="007D493B" w:rsidRPr="00823693">
        <w:t>.</w:t>
      </w:r>
    </w:p>
    <w:p w14:paraId="309FF95F" w14:textId="1A784980" w:rsidR="00695DAE" w:rsidRPr="00C326FD" w:rsidRDefault="00C11931" w:rsidP="00E13BE6">
      <w:pPr>
        <w:rPr>
          <w:b/>
          <w:bCs/>
        </w:rPr>
      </w:pPr>
      <w:r>
        <w:t xml:space="preserve">The standard obligations </w:t>
      </w:r>
      <w:r w:rsidR="00BC7DF7">
        <w:t>in relation</w:t>
      </w:r>
      <w:r w:rsidR="00226DD4">
        <w:t xml:space="preserve"> to clien</w:t>
      </w:r>
      <w:r w:rsidR="00695DAE">
        <w:t>t</w:t>
      </w:r>
      <w:r w:rsidR="00AE2662">
        <w:t xml:space="preserve"> money </w:t>
      </w:r>
      <w:r w:rsidR="004D27F6">
        <w:t>include</w:t>
      </w:r>
      <w:r w:rsidR="00695DAE">
        <w:t>:</w:t>
      </w:r>
    </w:p>
    <w:p w14:paraId="042E806A" w14:textId="05E0CF4E" w:rsidR="00695DAE" w:rsidRPr="00C326FD" w:rsidRDefault="002D53E9" w:rsidP="0020029E">
      <w:pPr>
        <w:pStyle w:val="Bullet"/>
        <w:rPr>
          <w:b/>
          <w:bCs/>
        </w:rPr>
      </w:pPr>
      <w:r>
        <w:t xml:space="preserve">requiring </w:t>
      </w:r>
      <w:r w:rsidR="0076038A">
        <w:t xml:space="preserve">that AFS licensees </w:t>
      </w:r>
      <w:r w:rsidR="00123FA3">
        <w:t>hold money on</w:t>
      </w:r>
      <w:r w:rsidR="009357ED">
        <w:t xml:space="preserve"> </w:t>
      </w:r>
      <w:r w:rsidR="00AC22FF">
        <w:t>trust with an ADI;</w:t>
      </w:r>
    </w:p>
    <w:p w14:paraId="07012041" w14:textId="1205DBF1" w:rsidR="00695DAE" w:rsidRPr="00C326FD" w:rsidRDefault="00AC22FF" w:rsidP="0020029E">
      <w:pPr>
        <w:pStyle w:val="Bullet"/>
        <w:rPr>
          <w:b/>
          <w:bCs/>
        </w:rPr>
      </w:pPr>
      <w:r>
        <w:t>restrictions ar</w:t>
      </w:r>
      <w:r w:rsidR="004F6F96">
        <w:t>e imposed on money that can be commingled;</w:t>
      </w:r>
    </w:p>
    <w:p w14:paraId="513F0480" w14:textId="534C5FE9" w:rsidR="00695DAE" w:rsidRPr="004F6F96" w:rsidRDefault="004F6F96" w:rsidP="0020029E">
      <w:pPr>
        <w:pStyle w:val="Bullet"/>
        <w:rPr>
          <w:b/>
          <w:bCs/>
        </w:rPr>
      </w:pPr>
      <w:r>
        <w:lastRenderedPageBreak/>
        <w:t>restrictions on use and investment of moneys held in, and withdrawal from, the trust account;</w:t>
      </w:r>
    </w:p>
    <w:p w14:paraId="3BBED8EF" w14:textId="40DFDE20" w:rsidR="004F6F96" w:rsidRPr="009C6AA3" w:rsidRDefault="004F6F96" w:rsidP="0020029E">
      <w:pPr>
        <w:pStyle w:val="Bullet"/>
        <w:rPr>
          <w:b/>
          <w:bCs/>
        </w:rPr>
      </w:pPr>
      <w:r>
        <w:t>statutory trust and statutory protection from attachment</w:t>
      </w:r>
      <w:r w:rsidR="000B6541">
        <w:t>;</w:t>
      </w:r>
    </w:p>
    <w:p w14:paraId="19BCC007" w14:textId="77777777" w:rsidR="00FC213F" w:rsidRDefault="002218B8" w:rsidP="0020029E">
      <w:pPr>
        <w:pStyle w:val="Bullet"/>
      </w:pPr>
      <w:r>
        <w:t xml:space="preserve">AFS licensees that hold client money must hold additional </w:t>
      </w:r>
      <w:r w:rsidR="00802C65">
        <w:t>surplus liquid funds (see ‘financial resources’)</w:t>
      </w:r>
      <w:r w:rsidR="00043975">
        <w:t>;</w:t>
      </w:r>
      <w:r w:rsidR="00DC07F7">
        <w:t xml:space="preserve"> </w:t>
      </w:r>
    </w:p>
    <w:p w14:paraId="676647A4" w14:textId="6EF6A81F" w:rsidR="003125C7" w:rsidRDefault="00AE3D55" w:rsidP="0020029E">
      <w:pPr>
        <w:pStyle w:val="Bullet"/>
      </w:pPr>
      <w:r>
        <w:t>complying with record-keeping, reconciliation and</w:t>
      </w:r>
      <w:r w:rsidR="00FC213F">
        <w:t xml:space="preserve"> reporting </w:t>
      </w:r>
      <w:r>
        <w:t>requirements</w:t>
      </w:r>
      <w:r w:rsidR="00FC213F">
        <w:t>;</w:t>
      </w:r>
      <w:r w:rsidR="00B867D1" w:rsidRPr="00B867D1">
        <w:rPr>
          <w:rStyle w:val="FootnoteReference"/>
        </w:rPr>
        <w:t xml:space="preserve"> </w:t>
      </w:r>
      <w:r w:rsidR="008A166C">
        <w:rPr>
          <w:rStyle w:val="FootnoteReference"/>
        </w:rPr>
        <w:footnoteReference w:id="113"/>
      </w:r>
      <w:r w:rsidR="00FC213F">
        <w:t xml:space="preserve"> </w:t>
      </w:r>
      <w:r w:rsidR="00DC07F7">
        <w:t>and</w:t>
      </w:r>
    </w:p>
    <w:p w14:paraId="58F2AE58" w14:textId="2D793BC7" w:rsidR="00043975" w:rsidRDefault="00043975" w:rsidP="0020029E">
      <w:pPr>
        <w:pStyle w:val="Bullet"/>
      </w:pPr>
      <w:r w:rsidRPr="000B6541">
        <w:t>requiring auditors to verify licensees’ compliance with the client money provisions</w:t>
      </w:r>
      <w:r>
        <w:t>.</w:t>
      </w:r>
    </w:p>
    <w:p w14:paraId="204182AE" w14:textId="763222B3" w:rsidR="0073530F" w:rsidRDefault="00FE0E67" w:rsidP="00E13BE6">
      <w:r>
        <w:t>C</w:t>
      </w:r>
      <w:r w:rsidR="00EB2B3A" w:rsidRPr="00FD6AA4">
        <w:t>lient</w:t>
      </w:r>
      <w:r w:rsidR="00EB2B3A">
        <w:t xml:space="preserve"> money </w:t>
      </w:r>
      <w:r w:rsidR="000E2AC9">
        <w:t xml:space="preserve">rules </w:t>
      </w:r>
      <w:r>
        <w:t xml:space="preserve">are proposed to </w:t>
      </w:r>
      <w:r w:rsidR="000E2AC9">
        <w:t xml:space="preserve">apply to PSPs regardless of the </w:t>
      </w:r>
      <w:r w:rsidR="005C5A7D">
        <w:t xml:space="preserve">PSP’s </w:t>
      </w:r>
      <w:r w:rsidR="002C3B3E">
        <w:t xml:space="preserve">operating model </w:t>
      </w:r>
      <w:r w:rsidR="00335CB3">
        <w:t>or legal arrangement</w:t>
      </w:r>
      <w:r w:rsidR="00A63406">
        <w:t xml:space="preserve"> for holding funds</w:t>
      </w:r>
      <w:r w:rsidR="002C3B3E">
        <w:t xml:space="preserve">. </w:t>
      </w:r>
      <w:r w:rsidR="00C771F1">
        <w:t xml:space="preserve">For example, </w:t>
      </w:r>
      <w:r w:rsidR="001403F5">
        <w:t xml:space="preserve">PSPs may store funds </w:t>
      </w:r>
      <w:r w:rsidR="00931ABE">
        <w:t>pending use of those funds by a consumer or user, or</w:t>
      </w:r>
      <w:r w:rsidR="00C046D5">
        <w:t xml:space="preserve"> </w:t>
      </w:r>
      <w:r w:rsidR="00931ABE">
        <w:t xml:space="preserve">funds may be paid to a PSP in exchange for a contractual promise to the </w:t>
      </w:r>
      <w:r w:rsidR="00E42478">
        <w:t xml:space="preserve">customer </w:t>
      </w:r>
      <w:r w:rsidR="00931ABE">
        <w:t xml:space="preserve">or user to be able to make those payments. </w:t>
      </w:r>
    </w:p>
    <w:p w14:paraId="5C37B50D" w14:textId="36BF0BFE" w:rsidR="00863056" w:rsidRDefault="00931ABE" w:rsidP="00E13BE6">
      <w:r>
        <w:t>Feedback is sough</w:t>
      </w:r>
      <w:r w:rsidR="00C771F1">
        <w:t>t</w:t>
      </w:r>
      <w:r>
        <w:t xml:space="preserve"> on whether </w:t>
      </w:r>
      <w:r w:rsidR="00AD26E8">
        <w:t>the existing provisions of the Corporations Act</w:t>
      </w:r>
      <w:r w:rsidR="005A3CDE">
        <w:rPr>
          <w:rStyle w:val="FootnoteReference"/>
        </w:rPr>
        <w:footnoteReference w:id="114"/>
      </w:r>
      <w:r w:rsidR="00AD26E8">
        <w:t xml:space="preserve"> are broad enough for the </w:t>
      </w:r>
      <w:r w:rsidR="0071477F">
        <w:t>intended</w:t>
      </w:r>
      <w:r w:rsidR="00AD26E8">
        <w:t xml:space="preserve"> application of client money rules</w:t>
      </w:r>
      <w:r w:rsidR="006013D8">
        <w:t xml:space="preserve"> to PSPs</w:t>
      </w:r>
      <w:r w:rsidR="00AD26E8">
        <w:t>.</w:t>
      </w:r>
      <w:r w:rsidR="00463D8E">
        <w:t xml:space="preserve"> </w:t>
      </w:r>
      <w:r w:rsidR="00AA2661">
        <w:t>The</w:t>
      </w:r>
      <w:r w:rsidR="0075437D">
        <w:t xml:space="preserve"> following amendments</w:t>
      </w:r>
      <w:r w:rsidR="00AA2661">
        <w:t xml:space="preserve"> are proposed</w:t>
      </w:r>
      <w:r w:rsidR="0075437D">
        <w:t xml:space="preserve"> t</w:t>
      </w:r>
      <w:r w:rsidR="00863056">
        <w:t>o ensure the proper application of client money rules</w:t>
      </w:r>
      <w:r w:rsidR="00CC14C6">
        <w:t xml:space="preserve"> to PSPs</w:t>
      </w:r>
      <w:r w:rsidR="00863056">
        <w:t>:</w:t>
      </w:r>
      <w:r w:rsidR="00463D8E">
        <w:t xml:space="preserve"> </w:t>
      </w:r>
    </w:p>
    <w:p w14:paraId="7D518002" w14:textId="46792C6C" w:rsidR="00900DBC" w:rsidRDefault="00411DE0" w:rsidP="00C046D5">
      <w:pPr>
        <w:pStyle w:val="Bullet"/>
      </w:pPr>
      <w:r>
        <w:t>funds held by PSPs</w:t>
      </w:r>
      <w:r w:rsidR="00B27AFD">
        <w:t xml:space="preserve"> </w:t>
      </w:r>
      <w:r w:rsidR="00A36EFB">
        <w:t>for processing payments</w:t>
      </w:r>
      <w:r w:rsidR="00B27AFD">
        <w:t xml:space="preserve"> do not constitute </w:t>
      </w:r>
      <w:r w:rsidR="00900DBC">
        <w:t>money paid by way of remuneration, or money to which the licensee is entitled;</w:t>
      </w:r>
      <w:r w:rsidR="00900DBC">
        <w:rPr>
          <w:rStyle w:val="FootnoteReference"/>
        </w:rPr>
        <w:footnoteReference w:id="115"/>
      </w:r>
    </w:p>
    <w:p w14:paraId="604CBD1E" w14:textId="02B11D64" w:rsidR="002F1630" w:rsidRDefault="00726070" w:rsidP="00C046D5">
      <w:pPr>
        <w:pStyle w:val="Bullet"/>
      </w:pPr>
      <w:r>
        <w:t>f</w:t>
      </w:r>
      <w:r w:rsidR="002F1630" w:rsidRPr="002F1630">
        <w:t xml:space="preserve">unds </w:t>
      </w:r>
      <w:r>
        <w:t>that</w:t>
      </w:r>
      <w:r w:rsidR="002F1630" w:rsidRPr="002F1630">
        <w:t xml:space="preserve"> </w:t>
      </w:r>
      <w:r w:rsidR="008A73DE">
        <w:t xml:space="preserve">are used for </w:t>
      </w:r>
      <w:r w:rsidR="002F1630" w:rsidRPr="002F1630">
        <w:t>purchasing an ‘increased interest’</w:t>
      </w:r>
      <w:r w:rsidR="0013549B">
        <w:rPr>
          <w:rStyle w:val="FootnoteReference"/>
        </w:rPr>
        <w:footnoteReference w:id="116"/>
      </w:r>
      <w:r w:rsidR="002F1630" w:rsidRPr="002F1630">
        <w:t xml:space="preserve"> in </w:t>
      </w:r>
      <w:r>
        <w:t>a</w:t>
      </w:r>
      <w:r w:rsidR="002F1630" w:rsidRPr="002F1630">
        <w:t xml:space="preserve"> </w:t>
      </w:r>
      <w:r w:rsidR="000E3B9B">
        <w:t>payment</w:t>
      </w:r>
      <w:r w:rsidR="002F1630" w:rsidRPr="002F1630">
        <w:t xml:space="preserve"> product</w:t>
      </w:r>
      <w:r w:rsidR="00B04CC9">
        <w:t xml:space="preserve"> </w:t>
      </w:r>
      <w:r w:rsidR="000E3B9B">
        <w:t xml:space="preserve">(such as </w:t>
      </w:r>
      <w:r w:rsidR="00EC1849">
        <w:t xml:space="preserve">an </w:t>
      </w:r>
      <w:r w:rsidR="000E3B9B">
        <w:t>SVF)</w:t>
      </w:r>
      <w:r w:rsidR="00B04CC9">
        <w:t xml:space="preserve"> </w:t>
      </w:r>
      <w:r w:rsidR="00C652FB">
        <w:t>are</w:t>
      </w:r>
      <w:r w:rsidR="00B04CC9">
        <w:t xml:space="preserve"> not exempt from client money </w:t>
      </w:r>
      <w:r w:rsidR="0013549B">
        <w:t>obligations</w:t>
      </w:r>
      <w:r w:rsidR="00781C4E">
        <w:t xml:space="preserve"> in relation to </w:t>
      </w:r>
      <w:r w:rsidR="00796D1D">
        <w:t>those funds</w:t>
      </w:r>
      <w:r w:rsidR="004D4ABB">
        <w:t>;</w:t>
      </w:r>
      <w:r w:rsidR="00A96346" w:rsidRPr="00757999">
        <w:rPr>
          <w:rStyle w:val="FootnoteReference"/>
        </w:rPr>
        <w:t xml:space="preserve"> </w:t>
      </w:r>
    </w:p>
    <w:p w14:paraId="62B643D4" w14:textId="6094DB64" w:rsidR="001B6368" w:rsidRDefault="000163F0" w:rsidP="00437D22">
      <w:pPr>
        <w:pStyle w:val="Bullet"/>
      </w:pPr>
      <w:r>
        <w:t>a</w:t>
      </w:r>
      <w:r w:rsidR="00346D37">
        <w:t xml:space="preserve"> </w:t>
      </w:r>
      <w:r w:rsidR="00265418">
        <w:t>PSP</w:t>
      </w:r>
      <w:r w:rsidR="00346D37">
        <w:t xml:space="preserve"> licensee is not a person entitled to money</w:t>
      </w:r>
      <w:r w:rsidR="00811CA2">
        <w:t xml:space="preserve"> or </w:t>
      </w:r>
      <w:r w:rsidR="00346D37">
        <w:t xml:space="preserve">property under </w:t>
      </w:r>
      <w:r w:rsidR="009005FD">
        <w:t>r</w:t>
      </w:r>
      <w:r w:rsidR="00346D37">
        <w:t xml:space="preserve"> 7.8.01</w:t>
      </w:r>
      <w:r w:rsidR="00F17E8B">
        <w:t xml:space="preserve"> </w:t>
      </w:r>
      <w:r w:rsidR="009005FD">
        <w:t>and</w:t>
      </w:r>
      <w:r w:rsidR="00F62BBD">
        <w:t xml:space="preserve"> 7.8.02</w:t>
      </w:r>
      <w:r w:rsidR="00F17E8B">
        <w:t xml:space="preserve"> </w:t>
      </w:r>
      <w:r w:rsidR="00F62BBD">
        <w:t>of the Corporations Regulations;</w:t>
      </w:r>
      <w:r w:rsidR="001D1114">
        <w:t xml:space="preserve"> and</w:t>
      </w:r>
    </w:p>
    <w:p w14:paraId="771ECF45" w14:textId="24AE86F1" w:rsidR="00E36103" w:rsidRDefault="00EB2B3A" w:rsidP="00E42AA2">
      <w:pPr>
        <w:pStyle w:val="Bullet"/>
      </w:pPr>
      <w:r>
        <w:t xml:space="preserve">restrictions </w:t>
      </w:r>
      <w:r w:rsidR="00680743">
        <w:t xml:space="preserve">are proposed </w:t>
      </w:r>
      <w:r>
        <w:t xml:space="preserve">on the ability of a </w:t>
      </w:r>
      <w:r w:rsidR="009135CE">
        <w:t>PSP</w:t>
      </w:r>
      <w:r>
        <w:t xml:space="preserve"> </w:t>
      </w:r>
      <w:r w:rsidR="00CC1D9A">
        <w:t>licensee</w:t>
      </w:r>
      <w:r>
        <w:t xml:space="preserve"> to </w:t>
      </w:r>
      <w:r w:rsidR="00DF28D3">
        <w:t>seek general consent</w:t>
      </w:r>
      <w:r w:rsidR="001D1114">
        <w:t>s</w:t>
      </w:r>
      <w:r w:rsidR="00DF28D3">
        <w:t xml:space="preserve"> from</w:t>
      </w:r>
      <w:r>
        <w:t xml:space="preserve"> client</w:t>
      </w:r>
      <w:r w:rsidR="00DF28D3">
        <w:t>s</w:t>
      </w:r>
      <w:r>
        <w:t xml:space="preserve"> to enable withdrawal of client money</w:t>
      </w:r>
      <w:r w:rsidR="00DF28D3">
        <w:t>.</w:t>
      </w:r>
      <w:r>
        <w:rPr>
          <w:rStyle w:val="FootnoteReference"/>
        </w:rPr>
        <w:footnoteReference w:id="117"/>
      </w:r>
      <w:r>
        <w:t xml:space="preserve"> </w:t>
      </w:r>
    </w:p>
    <w:tbl>
      <w:tblPr>
        <w:tblStyle w:val="TableGrid"/>
        <w:tblW w:w="0" w:type="auto"/>
        <w:tblLook w:val="04A0" w:firstRow="1" w:lastRow="0" w:firstColumn="1" w:lastColumn="0" w:noHBand="0" w:noVBand="1"/>
      </w:tblPr>
      <w:tblGrid>
        <w:gridCol w:w="9070"/>
      </w:tblGrid>
      <w:tr w:rsidR="00A349C9" w14:paraId="01865842" w14:textId="77777777" w:rsidTr="003E3A84">
        <w:trPr>
          <w:cnfStyle w:val="100000000000" w:firstRow="1" w:lastRow="0" w:firstColumn="0" w:lastColumn="0" w:oddVBand="0" w:evenVBand="0" w:oddHBand="0" w:evenHBand="0" w:firstRowFirstColumn="0" w:firstRowLastColumn="0" w:lastRowFirstColumn="0" w:lastRowLastColumn="0"/>
        </w:trPr>
        <w:tc>
          <w:tcPr>
            <w:tcW w:w="9070" w:type="dxa"/>
          </w:tcPr>
          <w:p w14:paraId="4B86311C" w14:textId="77777777" w:rsidR="00A349C9" w:rsidRPr="00524735" w:rsidRDefault="00A349C9" w:rsidP="00E42AA2">
            <w:pPr>
              <w:spacing w:before="96" w:after="96"/>
              <w:rPr>
                <w:rFonts w:asciiTheme="minorHAnsi" w:hAnsiTheme="minorHAnsi" w:cstheme="minorHAnsi"/>
                <w:b w:val="0"/>
                <w:u w:val="single"/>
              </w:rPr>
            </w:pPr>
            <w:bookmarkStart w:id="138" w:name="_Hlk149140609"/>
            <w:r w:rsidRPr="00524735">
              <w:rPr>
                <w:rFonts w:asciiTheme="minorHAnsi" w:hAnsiTheme="minorHAnsi" w:cstheme="minorHAnsi"/>
                <w:u w:val="single"/>
              </w:rPr>
              <w:t>Consultation questions</w:t>
            </w:r>
          </w:p>
          <w:p w14:paraId="01169DB2" w14:textId="7392481B" w:rsidR="00A349C9" w:rsidRPr="00CD27B2" w:rsidRDefault="006D3DDD" w:rsidP="001D123F">
            <w:pPr>
              <w:pStyle w:val="Consultationquestions"/>
              <w:numPr>
                <w:ilvl w:val="0"/>
                <w:numId w:val="100"/>
              </w:numPr>
              <w:rPr>
                <w:bCs w:val="0"/>
              </w:rPr>
            </w:pPr>
            <w:r w:rsidRPr="00CD27B2">
              <w:t xml:space="preserve">Is the proposed approach to </w:t>
            </w:r>
            <w:r w:rsidR="00E3122F" w:rsidRPr="00CD27B2">
              <w:t xml:space="preserve">applying client money rules on all PSPs that hold funds appropriate? </w:t>
            </w:r>
            <w:r w:rsidR="006F1271" w:rsidRPr="00CD27B2">
              <w:t>Should APRA</w:t>
            </w:r>
            <w:r w:rsidR="00AC3B3B" w:rsidRPr="00CD27B2">
              <w:t>-</w:t>
            </w:r>
            <w:r w:rsidR="006F1271" w:rsidRPr="00CD27B2">
              <w:t>regulated PSPs be subject to the standard AFSL client money obligations?</w:t>
            </w:r>
          </w:p>
          <w:p w14:paraId="46CBD282" w14:textId="77777777" w:rsidR="00E3122F" w:rsidRPr="005611D2" w:rsidRDefault="00E80B92" w:rsidP="001D123F">
            <w:pPr>
              <w:pStyle w:val="Consultationquestions"/>
              <w:numPr>
                <w:ilvl w:val="0"/>
                <w:numId w:val="100"/>
              </w:numPr>
            </w:pPr>
            <w:r w:rsidRPr="00CD27B2">
              <w:t xml:space="preserve">To ensure the effectiveness of the standard obligations for client money, are </w:t>
            </w:r>
            <w:r w:rsidR="003412B7" w:rsidRPr="00CD27B2">
              <w:t xml:space="preserve">additional </w:t>
            </w:r>
            <w:r w:rsidRPr="00CD27B2">
              <w:t>changes necessary to tailor the client money rules for PSPs? If so, in what fashion?</w:t>
            </w:r>
          </w:p>
          <w:p w14:paraId="4A678C83" w14:textId="3E757893" w:rsidR="00E3122F" w:rsidRPr="001D123F" w:rsidRDefault="001B2904" w:rsidP="001D123F">
            <w:pPr>
              <w:pStyle w:val="Consultationquestions"/>
              <w:numPr>
                <w:ilvl w:val="0"/>
                <w:numId w:val="100"/>
              </w:numPr>
            </w:pPr>
            <w:r w:rsidRPr="00CD27B2">
              <w:t xml:space="preserve">Should alternative approaches </w:t>
            </w:r>
            <w:r w:rsidR="00057981" w:rsidRPr="00CD27B2">
              <w:t xml:space="preserve">to client money rules be considered, for </w:t>
            </w:r>
            <w:r w:rsidR="000241EB" w:rsidRPr="00CD27B2">
              <w:t>PSPs processing funds in transit?</w:t>
            </w:r>
            <w:r w:rsidR="000241EB" w:rsidRPr="001D123F">
              <w:t xml:space="preserve"> </w:t>
            </w:r>
          </w:p>
        </w:tc>
      </w:tr>
    </w:tbl>
    <w:p w14:paraId="2FE1C250" w14:textId="337436EA" w:rsidR="00A53A0A" w:rsidRDefault="00616125" w:rsidP="006377BA">
      <w:pPr>
        <w:pStyle w:val="Heading2"/>
      </w:pPr>
      <w:bookmarkStart w:id="139" w:name="_Toc149230956"/>
      <w:bookmarkStart w:id="140" w:name="_Toc152847645"/>
      <w:bookmarkEnd w:id="138"/>
      <w:r>
        <w:lastRenderedPageBreak/>
        <w:t>Obligations for low value payment products</w:t>
      </w:r>
      <w:bookmarkEnd w:id="139"/>
      <w:bookmarkEnd w:id="140"/>
    </w:p>
    <w:p w14:paraId="06580CFD" w14:textId="6E898396" w:rsidR="00A53A0A" w:rsidRDefault="00A53A0A" w:rsidP="00B25031">
      <w:r>
        <w:t xml:space="preserve">Notably, although low value payment products are exempt from licensing, conduct and disclosure obligations, they are </w:t>
      </w:r>
      <w:r w:rsidR="00616125">
        <w:t xml:space="preserve">currently </w:t>
      </w:r>
      <w:r>
        <w:t>subject to alternative disclosure and dispute resolution obligations.</w:t>
      </w:r>
    </w:p>
    <w:p w14:paraId="242738F6" w14:textId="6941950D" w:rsidR="00E359CA" w:rsidRDefault="0000741D" w:rsidP="00B25031">
      <w:r>
        <w:t>As discussed in</w:t>
      </w:r>
      <w:r w:rsidDel="005B3ECA">
        <w:t xml:space="preserve"> </w:t>
      </w:r>
      <w:r w:rsidR="005B3ECA">
        <w:rPr>
          <w:b/>
        </w:rPr>
        <w:t>S</w:t>
      </w:r>
      <w:r w:rsidR="005B3ECA" w:rsidRPr="008E24A1">
        <w:rPr>
          <w:b/>
        </w:rPr>
        <w:t>ection</w:t>
      </w:r>
      <w:r w:rsidRPr="008E24A1">
        <w:rPr>
          <w:b/>
        </w:rPr>
        <w:t xml:space="preserve"> </w:t>
      </w:r>
      <w:r w:rsidR="00104954">
        <w:rPr>
          <w:b/>
        </w:rPr>
        <w:t>3.2.2</w:t>
      </w:r>
      <w:r>
        <w:t xml:space="preserve">, the existing conditional relief for low value facilities is proposed to be </w:t>
      </w:r>
      <w:r w:rsidR="0004761B">
        <w:t xml:space="preserve">moved into regulation. </w:t>
      </w:r>
      <w:r w:rsidR="00E87276">
        <w:t>ASIC’s current conditions for relief include a requirement that the issuer take reasonable steps to ensure terms and conditions are disclosed to retail clients (including regarding how unauthorised transactions are dealt with and fees and charges).</w:t>
      </w:r>
      <w:r w:rsidR="007D0E94">
        <w:t xml:space="preserve"> Persons, other than issuers, who provide financial services in relation to low value </w:t>
      </w:r>
      <w:r w:rsidR="00021242">
        <w:t>non-cash payment</w:t>
      </w:r>
      <w:r w:rsidR="007D0E94">
        <w:t xml:space="preserve"> faci</w:t>
      </w:r>
      <w:r w:rsidR="002004A6">
        <w:t>lities also have certain</w:t>
      </w:r>
      <w:r w:rsidR="0048717C">
        <w:t xml:space="preserve"> </w:t>
      </w:r>
      <w:r w:rsidR="00021242">
        <w:t>obligations.</w:t>
      </w:r>
      <w:r w:rsidR="00D30D96">
        <w:rPr>
          <w:rStyle w:val="FootnoteReference"/>
        </w:rPr>
        <w:footnoteReference w:id="118"/>
      </w:r>
      <w:r w:rsidR="00573794">
        <w:t xml:space="preserve"> It is proposed that these conditions continue to apply to low value </w:t>
      </w:r>
      <w:r w:rsidR="00FC0659">
        <w:t>payment products.</w:t>
      </w:r>
    </w:p>
    <w:tbl>
      <w:tblPr>
        <w:tblStyle w:val="TableGrid"/>
        <w:tblW w:w="0" w:type="auto"/>
        <w:tblLook w:val="04A0" w:firstRow="1" w:lastRow="0" w:firstColumn="1" w:lastColumn="0" w:noHBand="0" w:noVBand="1"/>
      </w:tblPr>
      <w:tblGrid>
        <w:gridCol w:w="9070"/>
      </w:tblGrid>
      <w:tr w:rsidR="0011118F" w14:paraId="48D41CA9"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412598B8" w14:textId="36981FF0" w:rsidR="0011118F" w:rsidRPr="00524735" w:rsidRDefault="0011118F" w:rsidP="00210375">
            <w:pPr>
              <w:spacing w:before="96" w:after="96"/>
              <w:rPr>
                <w:rFonts w:asciiTheme="minorHAnsi" w:hAnsiTheme="minorHAnsi" w:cstheme="minorHAnsi"/>
                <w:u w:val="single"/>
              </w:rPr>
            </w:pPr>
            <w:bookmarkStart w:id="141" w:name="_Hlk149140523"/>
            <w:r w:rsidRPr="00524735">
              <w:rPr>
                <w:rFonts w:asciiTheme="minorHAnsi" w:hAnsiTheme="minorHAnsi" w:cstheme="minorHAnsi"/>
                <w:u w:val="single"/>
              </w:rPr>
              <w:t>Consultation question</w:t>
            </w:r>
          </w:p>
          <w:bookmarkEnd w:id="141"/>
          <w:p w14:paraId="5A60A62E" w14:textId="0E45840E" w:rsidR="004D27F6" w:rsidRPr="000D51D4" w:rsidRDefault="00420F2C" w:rsidP="001D123F">
            <w:pPr>
              <w:pStyle w:val="Consultationquestions"/>
              <w:numPr>
                <w:ilvl w:val="0"/>
                <w:numId w:val="100"/>
              </w:numPr>
            </w:pPr>
            <w:r>
              <w:t>Are the proposed obligations for low value payment products appropriate?</w:t>
            </w:r>
            <w:r w:rsidR="00F272C5">
              <w:t xml:space="preserve"> Should these obligations apply to </w:t>
            </w:r>
            <w:r w:rsidR="009D1425">
              <w:t xml:space="preserve">low value payment activities that </w:t>
            </w:r>
            <w:r w:rsidR="002F2303">
              <w:t xml:space="preserve">are not proposed to be regulated as a payment product (such as </w:t>
            </w:r>
            <w:r w:rsidR="001B2A0C">
              <w:t>P</w:t>
            </w:r>
            <w:r w:rsidR="002F2303">
              <w:t xml:space="preserve">ayment </w:t>
            </w:r>
            <w:r w:rsidR="001B2A0C">
              <w:t>I</w:t>
            </w:r>
            <w:r w:rsidR="002F2303">
              <w:t>nitiation</w:t>
            </w:r>
            <w:r w:rsidR="001B2A0C">
              <w:t xml:space="preserve"> Services</w:t>
            </w:r>
            <w:r w:rsidR="002F2303">
              <w:t>)?</w:t>
            </w:r>
          </w:p>
        </w:tc>
      </w:tr>
    </w:tbl>
    <w:p w14:paraId="282469A7" w14:textId="77777777" w:rsidR="005436E9" w:rsidRDefault="005436E9" w:rsidP="00E42AA2">
      <w:pPr>
        <w:rPr>
          <w:rFonts w:ascii="Calibri" w:hAnsi="Calibri" w:cs="Arial"/>
          <w:color w:val="5D779D" w:themeColor="accent3"/>
          <w:kern w:val="32"/>
          <w:sz w:val="44"/>
          <w:szCs w:val="36"/>
        </w:rPr>
      </w:pPr>
      <w:bookmarkStart w:id="142" w:name="_Toc149230957"/>
      <w:r>
        <w:br w:type="page"/>
      </w:r>
    </w:p>
    <w:p w14:paraId="20599E82" w14:textId="18BAD9B8" w:rsidR="003B2F3C" w:rsidRPr="00E00FEF" w:rsidRDefault="007D56FC" w:rsidP="00EE5400">
      <w:pPr>
        <w:pStyle w:val="Heading1"/>
        <w:jc w:val="both"/>
      </w:pPr>
      <w:bookmarkStart w:id="143" w:name="_Toc152847646"/>
      <w:r>
        <w:lastRenderedPageBreak/>
        <w:t>Regulatory</w:t>
      </w:r>
      <w:r w:rsidR="003B2F3C" w:rsidRPr="00E00FEF">
        <w:t xml:space="preserve"> framework for SVFs</w:t>
      </w:r>
      <w:bookmarkEnd w:id="142"/>
      <w:bookmarkEnd w:id="143"/>
    </w:p>
    <w:p w14:paraId="0C7829C3" w14:textId="5D3FED78" w:rsidR="00CC5457" w:rsidRPr="00CC5457" w:rsidRDefault="00CC5457" w:rsidP="00B25031">
      <w:r>
        <w:t xml:space="preserve">This section </w:t>
      </w:r>
      <w:r w:rsidR="00C73823">
        <w:t xml:space="preserve">proposes obligations </w:t>
      </w:r>
      <w:r>
        <w:t>to both traditional and PSC SVFs, unless otherwise stated.</w:t>
      </w:r>
    </w:p>
    <w:p w14:paraId="40D03950" w14:textId="06642D53" w:rsidR="009E3CF6" w:rsidRDefault="0011559E" w:rsidP="006377BA">
      <w:pPr>
        <w:pStyle w:val="Heading2"/>
      </w:pPr>
      <w:bookmarkStart w:id="144" w:name="_Ref149224637"/>
      <w:bookmarkStart w:id="145" w:name="_Toc149230958"/>
      <w:bookmarkStart w:id="146" w:name="_Toc152847647"/>
      <w:r>
        <w:t xml:space="preserve">Criteria for </w:t>
      </w:r>
      <w:r w:rsidR="009E3CF6">
        <w:t>Major SVFs</w:t>
      </w:r>
      <w:bookmarkEnd w:id="144"/>
      <w:bookmarkEnd w:id="145"/>
      <w:bookmarkEnd w:id="146"/>
    </w:p>
    <w:p w14:paraId="46B98272" w14:textId="405D1405" w:rsidR="005B572A" w:rsidRDefault="00047E9C" w:rsidP="00B25031">
      <w:r>
        <w:t>SVFs will be subject to a graduated regulatory framework where Standard SVFs require an AFS</w:t>
      </w:r>
      <w:r w:rsidR="00132F49">
        <w:t>L</w:t>
      </w:r>
      <w:r>
        <w:t xml:space="preserve">, and Major SVFs require an additional APRA licence. </w:t>
      </w:r>
      <w:r w:rsidR="005D7F97">
        <w:t>CP1</w:t>
      </w:r>
      <w:r w:rsidR="00F810A5">
        <w:t xml:space="preserve"> proposed </w:t>
      </w:r>
      <w:r w:rsidR="000D3C73">
        <w:t>the following Major SVF criteria:</w:t>
      </w:r>
    </w:p>
    <w:p w14:paraId="5FA6FDB0" w14:textId="43952DA3" w:rsidR="005B572A" w:rsidRDefault="005B572A" w:rsidP="0020029E">
      <w:pPr>
        <w:pStyle w:val="Bullet"/>
      </w:pPr>
      <w:r>
        <w:t xml:space="preserve">Major SVFs are facilities that store more than </w:t>
      </w:r>
      <w:r w:rsidR="003C447E">
        <w:t>AU</w:t>
      </w:r>
      <w:r>
        <w:t>$50</w:t>
      </w:r>
      <w:r w:rsidR="00D25BF4">
        <w:t xml:space="preserve"> </w:t>
      </w:r>
      <w:r>
        <w:t>m</w:t>
      </w:r>
      <w:r w:rsidR="00D25BF4">
        <w:t>illion</w:t>
      </w:r>
      <w:r>
        <w:t xml:space="preserve"> in customer funds;</w:t>
      </w:r>
    </w:p>
    <w:p w14:paraId="1872291C" w14:textId="07D9914F" w:rsidR="005B572A" w:rsidRDefault="005B572A" w:rsidP="0020029E">
      <w:pPr>
        <w:pStyle w:val="Bullet"/>
      </w:pPr>
      <w:r>
        <w:t xml:space="preserve">Offer individual customers the ability to store more than </w:t>
      </w:r>
      <w:r w:rsidR="003C447E">
        <w:t>AU</w:t>
      </w:r>
      <w:r>
        <w:t>$1,000 for more than 31 days;</w:t>
      </w:r>
      <w:r w:rsidR="00ED6325">
        <w:t xml:space="preserve"> and</w:t>
      </w:r>
    </w:p>
    <w:p w14:paraId="1135DCE7" w14:textId="2C7DF1AA" w:rsidR="00ED6325" w:rsidRDefault="00ED6325" w:rsidP="0020029E">
      <w:pPr>
        <w:pStyle w:val="Bullet"/>
      </w:pPr>
      <w:r>
        <w:t>Allow their customers to redeem their funds on demand in Australian currency.</w:t>
      </w:r>
    </w:p>
    <w:p w14:paraId="62A14C98" w14:textId="103FE324" w:rsidR="009B4C23" w:rsidRDefault="00B03E54" w:rsidP="00B25031">
      <w:r>
        <w:t xml:space="preserve">In response, </w:t>
      </w:r>
      <w:r w:rsidR="00264126">
        <w:t>many</w:t>
      </w:r>
      <w:r w:rsidR="00CA2731">
        <w:t xml:space="preserve"> submissions </w:t>
      </w:r>
      <w:r w:rsidR="00CE5F5A">
        <w:t>were concerned with how SVFs are able to transition between</w:t>
      </w:r>
      <w:r w:rsidR="004627E5">
        <w:t xml:space="preserve"> </w:t>
      </w:r>
      <w:r w:rsidR="00C97A7C">
        <w:t>Standard to Major SVFs</w:t>
      </w:r>
      <w:r w:rsidR="00A23515">
        <w:t xml:space="preserve"> </w:t>
      </w:r>
      <w:r w:rsidR="00F1652A">
        <w:t>in a timely manner with minimal business disruption</w:t>
      </w:r>
      <w:r w:rsidR="00A43E70">
        <w:t xml:space="preserve">. </w:t>
      </w:r>
      <w:r w:rsidR="00272BD7">
        <w:t>Proposals</w:t>
      </w:r>
      <w:r w:rsidR="00625D43">
        <w:t xml:space="preserve"> for streamlining</w:t>
      </w:r>
      <w:r w:rsidR="002117BF">
        <w:t xml:space="preserve"> </w:t>
      </w:r>
      <w:r w:rsidR="00E30A53">
        <w:t>licensing processes</w:t>
      </w:r>
      <w:r w:rsidR="002117BF">
        <w:t xml:space="preserve"> are </w:t>
      </w:r>
      <w:r w:rsidR="00272BD7">
        <w:t xml:space="preserve">discussed in </w:t>
      </w:r>
      <w:r w:rsidR="00A441E8">
        <w:rPr>
          <w:b/>
          <w:bCs/>
        </w:rPr>
        <w:t>S</w:t>
      </w:r>
      <w:r w:rsidR="00A441E8" w:rsidRPr="008C67E7">
        <w:rPr>
          <w:b/>
          <w:bCs/>
        </w:rPr>
        <w:t xml:space="preserve">ection </w:t>
      </w:r>
      <w:r w:rsidR="00104954">
        <w:rPr>
          <w:b/>
          <w:bCs/>
        </w:rPr>
        <w:t>4.2.2</w:t>
      </w:r>
      <w:r w:rsidR="002117BF" w:rsidRPr="00145A39">
        <w:t>.</w:t>
      </w:r>
      <w:r w:rsidR="002117BF">
        <w:t xml:space="preserve"> </w:t>
      </w:r>
    </w:p>
    <w:p w14:paraId="218E8370" w14:textId="4BF1D941" w:rsidR="002117BF" w:rsidRDefault="00AE1CBE" w:rsidP="00B25031">
      <w:r>
        <w:t>To</w:t>
      </w:r>
      <w:r w:rsidR="007B5432">
        <w:t xml:space="preserve"> </w:t>
      </w:r>
      <w:r w:rsidR="009A3E71">
        <w:t>further reinforce a smooth</w:t>
      </w:r>
      <w:r w:rsidR="009A3E71" w:rsidRPr="00145A39">
        <w:t xml:space="preserve"> </w:t>
      </w:r>
      <w:r w:rsidR="007B5432" w:rsidRPr="00145A39">
        <w:t>transition</w:t>
      </w:r>
      <w:r w:rsidR="00D22F14" w:rsidRPr="00145A39">
        <w:t xml:space="preserve"> </w:t>
      </w:r>
      <w:r w:rsidR="001168AF">
        <w:t>process,</w:t>
      </w:r>
      <w:r w:rsidR="00D22F14">
        <w:t xml:space="preserve"> </w:t>
      </w:r>
      <w:r w:rsidR="002C08C3">
        <w:t xml:space="preserve">it is proposed that the size threshold for Major SVFs be </w:t>
      </w:r>
      <w:r w:rsidR="007C244F">
        <w:t>increased</w:t>
      </w:r>
      <w:r w:rsidR="002858D5">
        <w:t xml:space="preserve"> from $50</w:t>
      </w:r>
      <w:r w:rsidR="00C87129">
        <w:t xml:space="preserve"> </w:t>
      </w:r>
      <w:r w:rsidR="002858D5">
        <w:t>m</w:t>
      </w:r>
      <w:r w:rsidR="00C87129">
        <w:t>illion</w:t>
      </w:r>
      <w:r w:rsidR="002C08C3">
        <w:t xml:space="preserve"> to $100</w:t>
      </w:r>
      <w:r w:rsidR="00C87129">
        <w:t xml:space="preserve"> </w:t>
      </w:r>
      <w:r w:rsidR="002C08C3">
        <w:t>m</w:t>
      </w:r>
      <w:r w:rsidR="00C87129">
        <w:t>illion</w:t>
      </w:r>
      <w:r w:rsidR="002858D5">
        <w:t xml:space="preserve"> of stored funds</w:t>
      </w:r>
      <w:r w:rsidR="00D26695">
        <w:t>.</w:t>
      </w:r>
      <w:r w:rsidR="002C08C3">
        <w:t xml:space="preserve"> </w:t>
      </w:r>
      <w:r w:rsidR="00C953C0">
        <w:t xml:space="preserve"> </w:t>
      </w:r>
      <w:r w:rsidR="00A679CE" w:rsidRPr="00A679CE">
        <w:t>For some entities, the $50</w:t>
      </w:r>
      <w:r w:rsidR="00C87129">
        <w:t xml:space="preserve"> </w:t>
      </w:r>
      <w:r w:rsidR="00A679CE" w:rsidRPr="00A679CE">
        <w:t>m</w:t>
      </w:r>
      <w:r w:rsidR="00C87129">
        <w:t>illion</w:t>
      </w:r>
      <w:r w:rsidR="00A679CE" w:rsidRPr="00A679CE">
        <w:t xml:space="preserve"> marker could be a useful benchmark for entities to approach APRA and commence the application process. In all instances, entities would need to </w:t>
      </w:r>
      <w:r w:rsidR="00C63139">
        <w:t>consider</w:t>
      </w:r>
      <w:r w:rsidR="00A679CE" w:rsidRPr="00A679CE">
        <w:t xml:space="preserve"> their own forecasts and growth plans, in the context of APRA's licensing approach.</w:t>
      </w:r>
    </w:p>
    <w:p w14:paraId="184C1C3E" w14:textId="2D7DE709" w:rsidR="00087013" w:rsidRDefault="008535B4" w:rsidP="00B25031">
      <w:r>
        <w:t>Stakeholders</w:t>
      </w:r>
      <w:r w:rsidR="00ED435D">
        <w:t xml:space="preserve"> noted that defining Major SVFs by amount of funds held was more consistent with international practice </w:t>
      </w:r>
      <w:r w:rsidR="00AD304D">
        <w:t xml:space="preserve">and </w:t>
      </w:r>
      <w:r w:rsidR="002E58A3">
        <w:t>any</w:t>
      </w:r>
      <w:r w:rsidR="00AD304D">
        <w:t xml:space="preserve"> additional criteria introduced unnecessary complexity. </w:t>
      </w:r>
      <w:r w:rsidR="00087013">
        <w:t xml:space="preserve">In light of this feedback, this paper proposes the removal of the criteria for a person to hold more than $1,000 per customer for greater than 31 days, recognising that duration thresholds introduce unnecessary additional complexity when transitioning between </w:t>
      </w:r>
      <w:r w:rsidR="00AD104F">
        <w:t>S</w:t>
      </w:r>
      <w:r w:rsidR="00087013">
        <w:t xml:space="preserve">tandard and </w:t>
      </w:r>
      <w:r w:rsidR="00AD104F">
        <w:t>M</w:t>
      </w:r>
      <w:r w:rsidR="00087013">
        <w:t xml:space="preserve">ajor SVFs. </w:t>
      </w:r>
    </w:p>
    <w:p w14:paraId="1BA1453A" w14:textId="77777777" w:rsidR="000F1ED6" w:rsidRDefault="00F95195" w:rsidP="00B25031">
      <w:r>
        <w:t xml:space="preserve">In </w:t>
      </w:r>
      <w:r w:rsidR="00EB72AC">
        <w:t>summary</w:t>
      </w:r>
      <w:r>
        <w:t xml:space="preserve">, </w:t>
      </w:r>
      <w:r w:rsidR="0047464E">
        <w:t>th</w:t>
      </w:r>
      <w:r w:rsidR="00791993">
        <w:t>is</w:t>
      </w:r>
      <w:r w:rsidR="0047464E">
        <w:t xml:space="preserve"> </w:t>
      </w:r>
      <w:r w:rsidR="00791993">
        <w:t xml:space="preserve">paper </w:t>
      </w:r>
      <w:r w:rsidR="0047464E">
        <w:t xml:space="preserve">proposes </w:t>
      </w:r>
      <w:r w:rsidR="000C579F">
        <w:t>that Major SVF</w:t>
      </w:r>
      <w:r w:rsidR="000F1ED6">
        <w:t>s</w:t>
      </w:r>
      <w:r w:rsidR="00C02446">
        <w:t>:</w:t>
      </w:r>
      <w:r w:rsidR="000C579F">
        <w:t xml:space="preserve"> </w:t>
      </w:r>
    </w:p>
    <w:p w14:paraId="289050C6" w14:textId="09C749CB" w:rsidR="00D41687" w:rsidRDefault="000F1ED6" w:rsidP="000F1ED6">
      <w:pPr>
        <w:pStyle w:val="Bullet"/>
      </w:pPr>
      <w:r>
        <w:rPr>
          <w:b/>
          <w:bCs/>
        </w:rPr>
        <w:t>S</w:t>
      </w:r>
      <w:r w:rsidR="008E0AF8" w:rsidRPr="000C4B25">
        <w:rPr>
          <w:b/>
          <w:bCs/>
        </w:rPr>
        <w:t xml:space="preserve">tore more than </w:t>
      </w:r>
      <w:r w:rsidR="0044180E">
        <w:rPr>
          <w:b/>
          <w:bCs/>
        </w:rPr>
        <w:t>AU</w:t>
      </w:r>
      <w:r w:rsidR="008E0AF8" w:rsidRPr="000C4B25">
        <w:rPr>
          <w:b/>
          <w:bCs/>
        </w:rPr>
        <w:t>$100</w:t>
      </w:r>
      <w:r w:rsidR="00C87129">
        <w:rPr>
          <w:b/>
          <w:bCs/>
        </w:rPr>
        <w:t xml:space="preserve"> </w:t>
      </w:r>
      <w:r w:rsidR="00576382">
        <w:rPr>
          <w:b/>
          <w:bCs/>
        </w:rPr>
        <w:t>m</w:t>
      </w:r>
      <w:r w:rsidR="00C87129">
        <w:rPr>
          <w:b/>
          <w:bCs/>
        </w:rPr>
        <w:t>illion</w:t>
      </w:r>
      <w:r w:rsidR="008E0AF8" w:rsidRPr="000C4B25">
        <w:rPr>
          <w:b/>
          <w:bCs/>
        </w:rPr>
        <w:t xml:space="preserve"> in customer funds, on a whole-of-group basis.</w:t>
      </w:r>
      <w:r w:rsidR="00BF5A25">
        <w:t xml:space="preserve"> </w:t>
      </w:r>
      <w:r w:rsidR="00D41687">
        <w:t xml:space="preserve">Applying the </w:t>
      </w:r>
      <w:r w:rsidR="008973F2">
        <w:t>AU</w:t>
      </w:r>
      <w:r w:rsidR="00B67B36">
        <w:t>$100</w:t>
      </w:r>
      <w:r w:rsidR="00C87129">
        <w:t xml:space="preserve"> </w:t>
      </w:r>
      <w:r w:rsidR="00576382">
        <w:t>m</w:t>
      </w:r>
      <w:r w:rsidR="00C87129">
        <w:t>illion</w:t>
      </w:r>
      <w:r w:rsidR="00B67B36">
        <w:t xml:space="preserve"> criteria on a whole of group basis avoids arbitrage opportunities where a</w:t>
      </w:r>
      <w:r w:rsidR="00B67B36" w:rsidRPr="003B26A1">
        <w:t xml:space="preserve"> controlling </w:t>
      </w:r>
      <w:r w:rsidR="00B67B36">
        <w:t>entity may</w:t>
      </w:r>
      <w:r w:rsidR="00B67B36" w:rsidRPr="003B26A1">
        <w:t xml:space="preserve"> establish different brands (all under the </w:t>
      </w:r>
      <w:r w:rsidR="00747899">
        <w:t xml:space="preserve">Major SVF </w:t>
      </w:r>
      <w:r w:rsidR="00B67B36" w:rsidRPr="003B26A1">
        <w:t xml:space="preserve">limit) to minimise their obligations. </w:t>
      </w:r>
    </w:p>
    <w:p w14:paraId="7557F13D" w14:textId="31E49CDA" w:rsidR="000F1ED6" w:rsidRPr="000F1ED6" w:rsidRDefault="008D0FFB" w:rsidP="000F1ED6">
      <w:pPr>
        <w:pStyle w:val="Bullet"/>
      </w:pPr>
      <w:r>
        <w:rPr>
          <w:b/>
          <w:bCs/>
        </w:rPr>
        <w:t>Offer the functionality to allow</w:t>
      </w:r>
      <w:r w:rsidR="00653C78" w:rsidRPr="00C266D5">
        <w:rPr>
          <w:b/>
        </w:rPr>
        <w:t xml:space="preserve"> their customers to redeem their funds on demand in </w:t>
      </w:r>
      <w:r w:rsidR="002B0FBD">
        <w:rPr>
          <w:b/>
        </w:rPr>
        <w:t>AUD</w:t>
      </w:r>
      <w:r w:rsidR="00653C78" w:rsidRPr="00C266D5">
        <w:rPr>
          <w:b/>
        </w:rPr>
        <w:t>.</w:t>
      </w:r>
      <w:r w:rsidR="00653C78" w:rsidRPr="00653C78">
        <w:t xml:space="preserve"> </w:t>
      </w:r>
      <w:r w:rsidR="000F1ED6" w:rsidRPr="000F1ED6">
        <w:t>Feedback</w:t>
      </w:r>
      <w:r w:rsidR="000F1ED6">
        <w:t xml:space="preserve"> is sought on whether </w:t>
      </w:r>
      <w:r w:rsidR="00F54298">
        <w:t>this</w:t>
      </w:r>
      <w:r w:rsidR="000F1ED6">
        <w:t xml:space="preserve"> limb should be retained.</w:t>
      </w:r>
      <w:r w:rsidR="00AB2E53" w:rsidRPr="00AB2E53">
        <w:t xml:space="preserve"> </w:t>
      </w:r>
      <w:r w:rsidR="00AB2E53">
        <w:t xml:space="preserve">This limb may no longer be required </w:t>
      </w:r>
      <w:r w:rsidR="00562F9D">
        <w:t>if</w:t>
      </w:r>
      <w:r w:rsidR="00AB2E53">
        <w:t xml:space="preserve"> a general right to redeem funds is </w:t>
      </w:r>
      <w:r w:rsidR="002B0FBD">
        <w:t>in place</w:t>
      </w:r>
      <w:r w:rsidR="00AB2E53">
        <w:t xml:space="preserve"> </w:t>
      </w:r>
      <w:r w:rsidR="002B0FBD">
        <w:t>(</w:t>
      </w:r>
      <w:r w:rsidR="005D4C54">
        <w:t>see</w:t>
      </w:r>
      <w:r w:rsidR="002B0FBD">
        <w:t xml:space="preserve"> </w:t>
      </w:r>
      <w:r w:rsidR="00E962D6">
        <w:rPr>
          <w:b/>
        </w:rPr>
        <w:t>S</w:t>
      </w:r>
      <w:r w:rsidR="00E962D6" w:rsidRPr="005611D2">
        <w:rPr>
          <w:b/>
        </w:rPr>
        <w:t xml:space="preserve">ection </w:t>
      </w:r>
      <w:r w:rsidR="00104954">
        <w:rPr>
          <w:b/>
        </w:rPr>
        <w:t>6.3</w:t>
      </w:r>
      <w:r w:rsidR="002B0FBD">
        <w:t>)</w:t>
      </w:r>
      <w:r w:rsidR="00AB2E53">
        <w:t>.</w:t>
      </w:r>
    </w:p>
    <w:p w14:paraId="66E739B9" w14:textId="10616C23" w:rsidR="009943EE" w:rsidRDefault="0027321C" w:rsidP="00B25031">
      <w:r>
        <w:rPr>
          <w:rFonts w:cs="Arial"/>
        </w:rPr>
        <w:t>Under the proposed regime, an SVF with more than $100</w:t>
      </w:r>
      <w:r w:rsidR="00C87129">
        <w:rPr>
          <w:rFonts w:cs="Arial"/>
        </w:rPr>
        <w:t xml:space="preserve"> </w:t>
      </w:r>
      <w:r>
        <w:rPr>
          <w:rFonts w:cs="Arial"/>
        </w:rPr>
        <w:t>m</w:t>
      </w:r>
      <w:r w:rsidR="00C87129">
        <w:rPr>
          <w:rFonts w:cs="Arial"/>
        </w:rPr>
        <w:t>illion</w:t>
      </w:r>
      <w:r>
        <w:rPr>
          <w:rFonts w:cs="Arial"/>
        </w:rPr>
        <w:t xml:space="preserve"> in stored </w:t>
      </w:r>
      <w:r w:rsidR="00C31BCB">
        <w:rPr>
          <w:rFonts w:cs="Arial"/>
        </w:rPr>
        <w:t>funds</w:t>
      </w:r>
      <w:r>
        <w:rPr>
          <w:rFonts w:cs="Arial"/>
        </w:rPr>
        <w:t xml:space="preserve"> that has not received an APRA </w:t>
      </w:r>
      <w:r w:rsidR="00BC464C">
        <w:rPr>
          <w:rFonts w:cs="Arial"/>
        </w:rPr>
        <w:t xml:space="preserve">licence </w:t>
      </w:r>
      <w:r>
        <w:rPr>
          <w:rFonts w:cs="Arial"/>
        </w:rPr>
        <w:t>would be carrying out unauthorised business. It is important that entities are proactive in engaging with APRA well ahead of this threshold, to reduce the risk that they exceed $100</w:t>
      </w:r>
      <w:r w:rsidR="00C87129">
        <w:rPr>
          <w:rFonts w:cs="Arial"/>
        </w:rPr>
        <w:t> </w:t>
      </w:r>
      <w:r>
        <w:rPr>
          <w:rFonts w:cs="Arial"/>
        </w:rPr>
        <w:t>m</w:t>
      </w:r>
      <w:r w:rsidR="00C87129">
        <w:rPr>
          <w:rFonts w:cs="Arial"/>
        </w:rPr>
        <w:t>illion</w:t>
      </w:r>
      <w:r>
        <w:rPr>
          <w:rFonts w:cs="Arial"/>
        </w:rPr>
        <w:t xml:space="preserve"> without an APRA </w:t>
      </w:r>
      <w:r w:rsidR="00D81FA5">
        <w:rPr>
          <w:rFonts w:cs="Arial"/>
        </w:rPr>
        <w:t>licence</w:t>
      </w:r>
      <w:r>
        <w:rPr>
          <w:rFonts w:cs="Arial"/>
        </w:rPr>
        <w:t xml:space="preserve">. To assist SVFs in managing this risk, it is equally important that APRA is transparent on the time needed to assess new licensing applications. </w:t>
      </w:r>
    </w:p>
    <w:tbl>
      <w:tblPr>
        <w:tblStyle w:val="TableGrid"/>
        <w:tblW w:w="0" w:type="auto"/>
        <w:tblLook w:val="04A0" w:firstRow="1" w:lastRow="0" w:firstColumn="1" w:lastColumn="0" w:noHBand="0" w:noVBand="1"/>
      </w:tblPr>
      <w:tblGrid>
        <w:gridCol w:w="9070"/>
      </w:tblGrid>
      <w:tr w:rsidR="00924EBB" w14:paraId="538CA485"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0DF75FB1" w14:textId="050E28A6" w:rsidR="00924EBB" w:rsidRPr="00120A30" w:rsidRDefault="00924EBB" w:rsidP="00DF715D">
            <w:pPr>
              <w:pStyle w:val="BoxHeading"/>
              <w:rPr>
                <w:rFonts w:asciiTheme="minorHAnsi" w:hAnsiTheme="minorHAnsi" w:cstheme="minorHAnsi"/>
                <w:b/>
                <w:bCs w:val="0"/>
              </w:rPr>
            </w:pPr>
            <w:r w:rsidRPr="00120A30">
              <w:rPr>
                <w:rFonts w:asciiTheme="minorHAnsi" w:hAnsiTheme="minorHAnsi" w:cstheme="minorHAnsi"/>
                <w:b/>
                <w:bCs w:val="0"/>
              </w:rPr>
              <w:lastRenderedPageBreak/>
              <w:t>Consultation question</w:t>
            </w:r>
          </w:p>
          <w:p w14:paraId="428DC35D" w14:textId="586D70DB" w:rsidR="00924EBB" w:rsidRPr="00576803" w:rsidRDefault="00924EBB" w:rsidP="001D123F">
            <w:pPr>
              <w:pStyle w:val="Consultationquestions"/>
              <w:numPr>
                <w:ilvl w:val="0"/>
                <w:numId w:val="100"/>
              </w:numPr>
            </w:pPr>
            <w:r w:rsidRPr="00576803">
              <w:t xml:space="preserve">Are proposed amendments to the Major SVF criteria appropriate? Should there be additional criteria </w:t>
            </w:r>
            <w:r w:rsidR="00286E29" w:rsidRPr="00576803">
              <w:t xml:space="preserve">retained or </w:t>
            </w:r>
            <w:r w:rsidRPr="00576803">
              <w:t>added?</w:t>
            </w:r>
          </w:p>
        </w:tc>
      </w:tr>
    </w:tbl>
    <w:p w14:paraId="72E8835A" w14:textId="64D657C6" w:rsidR="00FE2508" w:rsidRDefault="00250B97" w:rsidP="006377BA">
      <w:pPr>
        <w:pStyle w:val="Heading2"/>
      </w:pPr>
      <w:bookmarkStart w:id="147" w:name="_Toc149230959"/>
      <w:bookmarkStart w:id="148" w:name="_Ref149594334"/>
      <w:bookmarkStart w:id="149" w:name="_Ref149631940"/>
      <w:bookmarkStart w:id="150" w:name="_Ref150782036"/>
      <w:bookmarkStart w:id="151" w:name="_Toc152847648"/>
      <w:r>
        <w:t>Ministerial designation powers</w:t>
      </w:r>
      <w:bookmarkEnd w:id="147"/>
      <w:bookmarkEnd w:id="148"/>
      <w:bookmarkEnd w:id="149"/>
      <w:bookmarkEnd w:id="150"/>
      <w:bookmarkEnd w:id="151"/>
    </w:p>
    <w:p w14:paraId="4D8399E8" w14:textId="68C96E83" w:rsidR="00081C81" w:rsidRDefault="00B27860" w:rsidP="008E2D74">
      <w:r>
        <w:t>It will be important for the</w:t>
      </w:r>
      <w:r w:rsidR="00B75F35">
        <w:t xml:space="preserve"> </w:t>
      </w:r>
      <w:r>
        <w:t xml:space="preserve">regime to remain flexible and adaptable to emerging products and services. </w:t>
      </w:r>
      <w:r w:rsidR="00024795">
        <w:t>Accordingly</w:t>
      </w:r>
      <w:r w:rsidR="00B75F35">
        <w:t xml:space="preserve">, </w:t>
      </w:r>
      <w:r w:rsidR="00F1474F">
        <w:t>it</w:t>
      </w:r>
      <w:r w:rsidR="00081C81">
        <w:t xml:space="preserve"> is proposed that </w:t>
      </w:r>
      <w:r w:rsidR="003F2A27">
        <w:t>the Minister be given the following powers:</w:t>
      </w:r>
    </w:p>
    <w:p w14:paraId="22ED869F" w14:textId="580867E4" w:rsidR="003F2A27" w:rsidRDefault="0013489A" w:rsidP="0020029E">
      <w:pPr>
        <w:pStyle w:val="Bullet"/>
      </w:pPr>
      <w:r w:rsidRPr="00D13785">
        <w:rPr>
          <w:b/>
        </w:rPr>
        <w:t>A</w:t>
      </w:r>
      <w:r w:rsidR="00D24DD7" w:rsidRPr="00D13785">
        <w:rPr>
          <w:b/>
        </w:rPr>
        <w:t>mend</w:t>
      </w:r>
      <w:r w:rsidR="003F2A27" w:rsidRPr="00D13785">
        <w:rPr>
          <w:b/>
        </w:rPr>
        <w:t xml:space="preserve"> the s</w:t>
      </w:r>
      <w:r w:rsidR="00FC2032" w:rsidRPr="00D13785">
        <w:rPr>
          <w:b/>
        </w:rPr>
        <w:t>ize threshold for Major SVFs</w:t>
      </w:r>
      <w:r w:rsidR="003A59A3" w:rsidRPr="00D13785">
        <w:rPr>
          <w:b/>
        </w:rPr>
        <w:t>.</w:t>
      </w:r>
      <w:r w:rsidR="003A59A3">
        <w:t xml:space="preserve"> This will allow for a considered review of the Major SVF size threshold, </w:t>
      </w:r>
      <w:r w:rsidR="00FB24B9">
        <w:t xml:space="preserve">once </w:t>
      </w:r>
      <w:r w:rsidR="00B636CD">
        <w:t>comprehensive data on the size of stored funds across the SVF sector is received</w:t>
      </w:r>
      <w:r w:rsidR="00CB00F5">
        <w:t xml:space="preserve"> after the licensing regime is in place </w:t>
      </w:r>
      <w:r w:rsidR="002740E9">
        <w:t>and operating for a period of time</w:t>
      </w:r>
      <w:r w:rsidR="00D91480">
        <w:t xml:space="preserve">, such as </w:t>
      </w:r>
      <w:r w:rsidR="00B87430">
        <w:t>five</w:t>
      </w:r>
      <w:r w:rsidR="00954110">
        <w:t xml:space="preserve"> years</w:t>
      </w:r>
      <w:r w:rsidR="003A59A3">
        <w:t>.</w:t>
      </w:r>
      <w:r w:rsidR="00E47830">
        <w:t xml:space="preserve"> </w:t>
      </w:r>
    </w:p>
    <w:p w14:paraId="39FEFE3A" w14:textId="49251AF1" w:rsidR="00F1474F" w:rsidRDefault="00F1474F" w:rsidP="0020029E">
      <w:pPr>
        <w:pStyle w:val="Bullet"/>
      </w:pPr>
      <w:r w:rsidRPr="00D13785">
        <w:rPr>
          <w:b/>
        </w:rPr>
        <w:t>‘</w:t>
      </w:r>
      <w:r w:rsidR="0013489A" w:rsidRPr="00D13785">
        <w:rPr>
          <w:b/>
        </w:rPr>
        <w:t>D</w:t>
      </w:r>
      <w:r w:rsidRPr="00D13785">
        <w:rPr>
          <w:b/>
        </w:rPr>
        <w:t>esignate’ an</w:t>
      </w:r>
      <w:r w:rsidR="00974527" w:rsidRPr="00D13785">
        <w:rPr>
          <w:b/>
        </w:rPr>
        <w:t>y particular</w:t>
      </w:r>
      <w:r w:rsidRPr="00D13785">
        <w:rPr>
          <w:b/>
        </w:rPr>
        <w:t xml:space="preserve"> SVF provider</w:t>
      </w:r>
      <w:r w:rsidR="006F52ED" w:rsidRPr="00D13785">
        <w:rPr>
          <w:b/>
        </w:rPr>
        <w:t xml:space="preserve"> or Payment Facilitation Service</w:t>
      </w:r>
      <w:r w:rsidRPr="00D13785">
        <w:rPr>
          <w:b/>
        </w:rPr>
        <w:t xml:space="preserve"> as being subject to APRA’s prudential regulation</w:t>
      </w:r>
      <w:r>
        <w:t xml:space="preserve"> on the basis of</w:t>
      </w:r>
      <w:r w:rsidR="001E261C">
        <w:t>:</w:t>
      </w:r>
      <w:r w:rsidR="007776CC">
        <w:t xml:space="preserve"> (i) protecting the interests of customer</w:t>
      </w:r>
      <w:r w:rsidR="00EF5B2B">
        <w:t>s</w:t>
      </w:r>
      <w:r w:rsidR="00811F93">
        <w:t xml:space="preserve"> in ways that are consistent with the continued development of a viable, competitive and innovati</w:t>
      </w:r>
      <w:r w:rsidR="007E5768">
        <w:t>ve</w:t>
      </w:r>
      <w:r w:rsidR="00811F93">
        <w:t xml:space="preserve"> </w:t>
      </w:r>
      <w:r w:rsidR="00D40198">
        <w:t>payments</w:t>
      </w:r>
      <w:r w:rsidR="00811F93">
        <w:t xml:space="preserve"> sector</w:t>
      </w:r>
      <w:r w:rsidR="00BB5CA3">
        <w:t xml:space="preserve">; </w:t>
      </w:r>
      <w:r w:rsidR="00E26548">
        <w:t xml:space="preserve">or </w:t>
      </w:r>
      <w:r w:rsidR="00BB5CA3">
        <w:t xml:space="preserve">(ii) protecting </w:t>
      </w:r>
      <w:r>
        <w:t>financial system stability</w:t>
      </w:r>
      <w:r w:rsidR="002B5FCB">
        <w:t xml:space="preserve"> in Australia</w:t>
      </w:r>
      <w:r w:rsidR="00974527">
        <w:t>.</w:t>
      </w:r>
      <w:r w:rsidR="00DB75BE" w:rsidRPr="00DB75BE">
        <w:t xml:space="preserve"> Payment Facilitation Services may hold significant volumes of funds and include businesses of sufficient scale, size and nature, </w:t>
      </w:r>
      <w:r w:rsidR="002D4F42">
        <w:t>to</w:t>
      </w:r>
      <w:r w:rsidR="00DB75BE" w:rsidRPr="00DB75BE">
        <w:t xml:space="preserve"> pose systemic risks. Hence, they may warrant prudential regulation.</w:t>
      </w:r>
    </w:p>
    <w:p w14:paraId="437E24F2" w14:textId="56D84F53" w:rsidR="00081C81" w:rsidRDefault="008F7693" w:rsidP="008E2D74">
      <w:r>
        <w:t>Th</w:t>
      </w:r>
      <w:r w:rsidR="003D319C">
        <w:t>is paper proposes that the</w:t>
      </w:r>
      <w:r>
        <w:t xml:space="preserve"> Minister would </w:t>
      </w:r>
      <w:r w:rsidR="0013489A">
        <w:t>be able to exercise the above</w:t>
      </w:r>
      <w:r>
        <w:t xml:space="preserve"> powers after </w:t>
      </w:r>
      <w:r w:rsidR="0013489A">
        <w:t>consultation with</w:t>
      </w:r>
      <w:r w:rsidR="00A36729">
        <w:t xml:space="preserve"> </w:t>
      </w:r>
      <w:r>
        <w:t>APRA and ASIC.</w:t>
      </w:r>
      <w:r w:rsidR="002F1BB8">
        <w:t xml:space="preserve"> </w:t>
      </w:r>
      <w:r w:rsidR="004B2B9E">
        <w:t xml:space="preserve">APRA and ASIC </w:t>
      </w:r>
      <w:r w:rsidR="00711FC7">
        <w:t>should be able to recommend</w:t>
      </w:r>
      <w:r w:rsidR="002F1BB8">
        <w:t xml:space="preserve"> </w:t>
      </w:r>
      <w:r w:rsidR="00526DBA">
        <w:t xml:space="preserve">changes </w:t>
      </w:r>
      <w:r w:rsidR="009B46EB">
        <w:t xml:space="preserve">for the Minister’s consideration, as </w:t>
      </w:r>
      <w:r w:rsidR="00526DBA">
        <w:t xml:space="preserve">to the size threshold and designations of </w:t>
      </w:r>
      <w:r w:rsidR="008C3CAB">
        <w:t xml:space="preserve">particular </w:t>
      </w:r>
      <w:r w:rsidR="008F7BE3">
        <w:t>PSPs</w:t>
      </w:r>
      <w:r w:rsidR="002451B0">
        <w:t>.</w:t>
      </w:r>
      <w:r w:rsidR="002F1BB8">
        <w:t xml:space="preserve"> </w:t>
      </w:r>
    </w:p>
    <w:p w14:paraId="72505EE7" w14:textId="2C0C5556" w:rsidR="00721DE7" w:rsidRPr="00721DE7" w:rsidRDefault="00721DE7" w:rsidP="008E2D74">
      <w:r>
        <w:t xml:space="preserve">A designation approach </w:t>
      </w:r>
      <w:r w:rsidR="005B1994">
        <w:t>allows for</w:t>
      </w:r>
      <w:r>
        <w:t xml:space="preserve"> flexibility for the Minister to make a determination on a case-by-case basis, taking into account the business profile, nature and the potential impact of a PSP failure on financial system stability. </w:t>
      </w:r>
    </w:p>
    <w:p w14:paraId="77A8455E" w14:textId="7E8C9D17" w:rsidR="00D46237" w:rsidRPr="000B7D39" w:rsidRDefault="000B7D39" w:rsidP="008E2D74">
      <w:r>
        <w:t xml:space="preserve">Implementing the </w:t>
      </w:r>
      <w:r w:rsidR="006B4090">
        <w:t>proposed</w:t>
      </w:r>
      <w:r>
        <w:t xml:space="preserve"> approach</w:t>
      </w:r>
      <w:r w:rsidR="00BC3F8A">
        <w:t>es</w:t>
      </w:r>
      <w:r>
        <w:t xml:space="preserve"> for APRA regulation of PSPs may </w:t>
      </w:r>
      <w:r w:rsidR="00C167AF">
        <w:t>require</w:t>
      </w:r>
      <w:r>
        <w:t xml:space="preserve"> a subset of </w:t>
      </w:r>
      <w:r w:rsidR="00C167AF">
        <w:t>PSPs</w:t>
      </w:r>
      <w:r>
        <w:t xml:space="preserve"> be subject to ongoing reporting of funds held, so that regulators are able to monitor business transaction volumes (see ‘reporting requirements’</w:t>
      </w:r>
      <w:r w:rsidR="00CA7F00">
        <w:t xml:space="preserve"> </w:t>
      </w:r>
      <w:r w:rsidR="00673DD9">
        <w:t>under</w:t>
      </w:r>
      <w:r w:rsidR="008326DB">
        <w:t xml:space="preserve"> </w:t>
      </w:r>
      <w:r w:rsidR="00EC0D9E">
        <w:rPr>
          <w:b/>
        </w:rPr>
        <w:t>S</w:t>
      </w:r>
      <w:r w:rsidR="00EC0D9E" w:rsidRPr="007F48EE">
        <w:rPr>
          <w:b/>
        </w:rPr>
        <w:t xml:space="preserve">ection </w:t>
      </w:r>
      <w:r w:rsidR="00104954">
        <w:rPr>
          <w:b/>
        </w:rPr>
        <w:t>6.3</w:t>
      </w:r>
      <w:r>
        <w:t>).</w:t>
      </w:r>
    </w:p>
    <w:tbl>
      <w:tblPr>
        <w:tblStyle w:val="TableGrid"/>
        <w:tblW w:w="0" w:type="auto"/>
        <w:tblLook w:val="04A0" w:firstRow="1" w:lastRow="0" w:firstColumn="1" w:lastColumn="0" w:noHBand="0" w:noVBand="1"/>
      </w:tblPr>
      <w:tblGrid>
        <w:gridCol w:w="9070"/>
      </w:tblGrid>
      <w:tr w:rsidR="00A96B7F" w14:paraId="718AEBEB"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71C3D6C9" w14:textId="77777777" w:rsidR="00A96B7F" w:rsidRPr="00DF715D" w:rsidRDefault="00A96B7F" w:rsidP="00082C82">
            <w:pPr>
              <w:pStyle w:val="BoxHeading"/>
              <w:keepNext w:val="0"/>
              <w:rPr>
                <w:rFonts w:asciiTheme="minorHAnsi" w:hAnsiTheme="minorHAnsi" w:cstheme="minorHAnsi"/>
              </w:rPr>
            </w:pPr>
            <w:bookmarkStart w:id="152" w:name="_Hlk149144180"/>
            <w:r w:rsidRPr="00DF715D">
              <w:rPr>
                <w:rFonts w:asciiTheme="minorHAnsi" w:hAnsiTheme="minorHAnsi" w:cstheme="minorHAnsi"/>
                <w:b/>
              </w:rPr>
              <w:t>Consultation questions</w:t>
            </w:r>
          </w:p>
          <w:p w14:paraId="1C3DDD52" w14:textId="2D684AAB" w:rsidR="00A96B7F" w:rsidRPr="00B3504B" w:rsidRDefault="00355FE8" w:rsidP="006B79DB">
            <w:pPr>
              <w:pStyle w:val="Consultationquestions"/>
              <w:numPr>
                <w:ilvl w:val="0"/>
                <w:numId w:val="100"/>
              </w:numPr>
            </w:pPr>
            <w:r w:rsidRPr="00B3504B">
              <w:t>Is the</w:t>
            </w:r>
            <w:r w:rsidR="00A96B7F" w:rsidRPr="00B3504B">
              <w:t xml:space="preserve"> proposed Ministerial </w:t>
            </w:r>
            <w:r w:rsidRPr="00B3504B">
              <w:t>designation</w:t>
            </w:r>
            <w:r w:rsidR="00A96B7F" w:rsidRPr="00B3504B">
              <w:t xml:space="preserve"> power to amend the size threshold for Major SVFs appropriate? </w:t>
            </w:r>
            <w:r w:rsidRPr="00B3504B">
              <w:t>Are there alternative approaches preferred?</w:t>
            </w:r>
          </w:p>
          <w:p w14:paraId="0113D97B" w14:textId="18E7438D" w:rsidR="00D1736F" w:rsidRPr="00DF1F7F" w:rsidRDefault="00355FE8" w:rsidP="00DF1F7F">
            <w:pPr>
              <w:pStyle w:val="Consultationquestions"/>
              <w:numPr>
                <w:ilvl w:val="0"/>
                <w:numId w:val="100"/>
              </w:numPr>
            </w:pPr>
            <w:r w:rsidRPr="00B3504B">
              <w:t xml:space="preserve">Is </w:t>
            </w:r>
            <w:r w:rsidR="0078106C" w:rsidRPr="00B3504B">
              <w:t>the proposed approach</w:t>
            </w:r>
            <w:r w:rsidR="00F51344" w:rsidRPr="00B3504B">
              <w:t xml:space="preserve"> to allow</w:t>
            </w:r>
            <w:r w:rsidR="0078106C" w:rsidRPr="00B3504B">
              <w:t>ing</w:t>
            </w:r>
            <w:r w:rsidR="00F51344" w:rsidRPr="00B3504B">
              <w:t xml:space="preserve"> the Minister to designate further</w:t>
            </w:r>
            <w:r w:rsidRPr="00B3504B">
              <w:t xml:space="preserve"> SVF provider</w:t>
            </w:r>
            <w:r w:rsidR="00F51344" w:rsidRPr="00B3504B">
              <w:t>s</w:t>
            </w:r>
            <w:r w:rsidRPr="00B3504B">
              <w:t xml:space="preserve"> or Payment Facilitation Service as being subject to APRA’s prudential regulation</w:t>
            </w:r>
            <w:r w:rsidR="0078106C" w:rsidRPr="00B3504B">
              <w:t xml:space="preserve"> appropriate? Are there alternative approaches preferred?</w:t>
            </w:r>
          </w:p>
        </w:tc>
      </w:tr>
    </w:tbl>
    <w:p w14:paraId="1B60606D" w14:textId="6AAD0D74" w:rsidR="002C39F9" w:rsidRDefault="00156700" w:rsidP="006B79DB">
      <w:pPr>
        <w:pStyle w:val="Heading2"/>
      </w:pPr>
      <w:bookmarkStart w:id="153" w:name="_Toc149230397"/>
      <w:bookmarkStart w:id="154" w:name="_Toc149230512"/>
      <w:bookmarkStart w:id="155" w:name="_Toc149230625"/>
      <w:bookmarkStart w:id="156" w:name="_Toc149230737"/>
      <w:bookmarkStart w:id="157" w:name="_Toc149230848"/>
      <w:bookmarkStart w:id="158" w:name="_Toc149230960"/>
      <w:bookmarkStart w:id="159" w:name="_Ref148968041"/>
      <w:bookmarkStart w:id="160" w:name="_Toc149230961"/>
      <w:bookmarkStart w:id="161" w:name="_Toc152847649"/>
      <w:bookmarkEnd w:id="152"/>
      <w:bookmarkEnd w:id="153"/>
      <w:bookmarkEnd w:id="154"/>
      <w:bookmarkEnd w:id="155"/>
      <w:bookmarkEnd w:id="156"/>
      <w:bookmarkEnd w:id="157"/>
      <w:bookmarkEnd w:id="158"/>
      <w:r>
        <w:lastRenderedPageBreak/>
        <w:t>R</w:t>
      </w:r>
      <w:r w:rsidR="00800140">
        <w:t xml:space="preserve">egulatory </w:t>
      </w:r>
      <w:r w:rsidR="004010B9">
        <w:t xml:space="preserve">obligations to apply to </w:t>
      </w:r>
      <w:r>
        <w:t xml:space="preserve">all </w:t>
      </w:r>
      <w:r w:rsidR="00CC2F58">
        <w:t>SVFs</w:t>
      </w:r>
      <w:bookmarkEnd w:id="159"/>
      <w:bookmarkEnd w:id="160"/>
      <w:bookmarkEnd w:id="161"/>
    </w:p>
    <w:p w14:paraId="603C12BD" w14:textId="5A484434" w:rsidR="007E4AFD" w:rsidRPr="007E4AFD" w:rsidRDefault="007E4AFD" w:rsidP="00B030AE">
      <w:pPr>
        <w:keepNext/>
      </w:pPr>
      <w:r>
        <w:t xml:space="preserve">In addition to their </w:t>
      </w:r>
      <w:r w:rsidR="008D091B">
        <w:t>general</w:t>
      </w:r>
      <w:r>
        <w:t xml:space="preserve"> </w:t>
      </w:r>
      <w:r w:rsidR="00114B40">
        <w:t>AFSL obligations</w:t>
      </w:r>
      <w:r w:rsidR="005E6C99">
        <w:t xml:space="preserve"> discussed in </w:t>
      </w:r>
      <w:r w:rsidR="00BC28C7">
        <w:rPr>
          <w:b/>
        </w:rPr>
        <w:t>S</w:t>
      </w:r>
      <w:r w:rsidR="005E6C99" w:rsidRPr="00DF715D">
        <w:rPr>
          <w:b/>
          <w:bCs/>
        </w:rPr>
        <w:t xml:space="preserve">ection </w:t>
      </w:r>
      <w:r w:rsidR="00104954">
        <w:rPr>
          <w:b/>
        </w:rPr>
        <w:t>5</w:t>
      </w:r>
      <w:r w:rsidR="00114B40">
        <w:t xml:space="preserve">, </w:t>
      </w:r>
      <w:r w:rsidR="00C134BF">
        <w:t>this section sets out additional</w:t>
      </w:r>
      <w:r w:rsidRPr="007E4AFD">
        <w:t xml:space="preserve"> regulatory obligations proposed for SVFs</w:t>
      </w:r>
      <w:r w:rsidR="00B75924">
        <w:t>.</w:t>
      </w:r>
    </w:p>
    <w:p w14:paraId="18462B34" w14:textId="18E46633" w:rsidR="00B75924" w:rsidRDefault="00114B40" w:rsidP="00CE7125">
      <w:pPr>
        <w:pStyle w:val="Heading3"/>
      </w:pPr>
      <w:r>
        <w:t>Client</w:t>
      </w:r>
      <w:r w:rsidR="00287D32" w:rsidRPr="00C326FD">
        <w:t xml:space="preserve"> money rules</w:t>
      </w:r>
      <w:r w:rsidR="00287D32">
        <w:t xml:space="preserve"> </w:t>
      </w:r>
    </w:p>
    <w:p w14:paraId="6D9A9A80" w14:textId="0B561E8D" w:rsidR="008C6DA2" w:rsidRPr="00E7154F" w:rsidRDefault="00B75924" w:rsidP="008E2D74">
      <w:pPr>
        <w:rPr>
          <w:b/>
          <w:bCs/>
        </w:rPr>
      </w:pPr>
      <w:r>
        <w:t>A</w:t>
      </w:r>
      <w:r w:rsidR="00413524">
        <w:t>ll</w:t>
      </w:r>
      <w:r w:rsidR="00287D32">
        <w:t xml:space="preserve"> </w:t>
      </w:r>
      <w:r w:rsidR="00413524">
        <w:t xml:space="preserve">SVFs </w:t>
      </w:r>
      <w:r w:rsidR="00D40D01">
        <w:t>(including Major SVFs)</w:t>
      </w:r>
      <w:r w:rsidR="00413524">
        <w:t xml:space="preserve"> </w:t>
      </w:r>
      <w:r w:rsidR="00DF75EE">
        <w:t xml:space="preserve">are proposed to </w:t>
      </w:r>
      <w:r w:rsidR="00413524">
        <w:t>be subject to</w:t>
      </w:r>
      <w:r w:rsidR="00287D32">
        <w:t xml:space="preserve"> client money rules in part 7.8 of the </w:t>
      </w:r>
      <w:r w:rsidR="00287D32">
        <w:rPr>
          <w:i/>
          <w:iCs/>
        </w:rPr>
        <w:t>Corporations Act</w:t>
      </w:r>
      <w:r w:rsidR="00413524">
        <w:rPr>
          <w:i/>
          <w:iCs/>
        </w:rPr>
        <w:t>.</w:t>
      </w:r>
      <w:r w:rsidR="00114B40">
        <w:rPr>
          <w:i/>
          <w:iCs/>
        </w:rPr>
        <w:t xml:space="preserve"> </w:t>
      </w:r>
      <w:r w:rsidR="00114B40" w:rsidRPr="007F48EE">
        <w:rPr>
          <w:b/>
        </w:rPr>
        <w:t xml:space="preserve">Section </w:t>
      </w:r>
      <w:r w:rsidR="00104954">
        <w:rPr>
          <w:b/>
        </w:rPr>
        <w:t>5.8</w:t>
      </w:r>
      <w:r w:rsidR="00114B40">
        <w:t xml:space="preserve"> provides further detail on client money rules.</w:t>
      </w:r>
      <w:r w:rsidR="00E7154F">
        <w:rPr>
          <w:b/>
          <w:bCs/>
        </w:rPr>
        <w:t xml:space="preserve"> </w:t>
      </w:r>
      <w:r w:rsidR="001935D9">
        <w:t xml:space="preserve">Unlike other jurisdictions, </w:t>
      </w:r>
      <w:r w:rsidR="0006629B">
        <w:t>th</w:t>
      </w:r>
      <w:r w:rsidR="00863B4D">
        <w:t>e</w:t>
      </w:r>
      <w:r w:rsidR="00CA21E0">
        <w:t xml:space="preserve"> </w:t>
      </w:r>
      <w:r w:rsidR="008C6DA2">
        <w:t>propose</w:t>
      </w:r>
      <w:r w:rsidR="00863B4D">
        <w:t>d regime</w:t>
      </w:r>
      <w:r w:rsidR="00003B43">
        <w:t xml:space="preserve"> does not </w:t>
      </w:r>
      <w:r w:rsidR="001F36BB">
        <w:t xml:space="preserve">provide an option for SVFs </w:t>
      </w:r>
      <w:r w:rsidR="006129A4">
        <w:t xml:space="preserve">to </w:t>
      </w:r>
      <w:r w:rsidR="001F36BB">
        <w:t xml:space="preserve">choose </w:t>
      </w:r>
      <w:r w:rsidR="009D173D">
        <w:t xml:space="preserve">how </w:t>
      </w:r>
      <w:r w:rsidR="001F36BB">
        <w:t>to safeguard their funds.</w:t>
      </w:r>
      <w:r w:rsidR="001935D9">
        <w:t xml:space="preserve"> </w:t>
      </w:r>
      <w:r w:rsidR="005A3F96">
        <w:t>C</w:t>
      </w:r>
      <w:r w:rsidR="008C6DA2">
        <w:t>lient money provisions</w:t>
      </w:r>
      <w:r w:rsidR="005A3F96">
        <w:t xml:space="preserve"> require</w:t>
      </w:r>
      <w:r w:rsidR="008C6DA2">
        <w:t xml:space="preserve"> money to be held in an account with an ADI that is designated and operated as a trust account.</w:t>
      </w:r>
      <w:r w:rsidR="00D812CB">
        <w:rPr>
          <w:rStyle w:val="FootnoteReference"/>
        </w:rPr>
        <w:footnoteReference w:id="119"/>
      </w:r>
      <w:r w:rsidR="008C6DA2">
        <w:t xml:space="preserve"> </w:t>
      </w:r>
      <w:r w:rsidR="000A36EB">
        <w:t xml:space="preserve">Under the current framework, </w:t>
      </w:r>
      <w:r w:rsidR="008C6DA2">
        <w:t xml:space="preserve">ASIC </w:t>
      </w:r>
      <w:r w:rsidR="001D61A5">
        <w:t>does</w:t>
      </w:r>
      <w:r w:rsidR="009B6054">
        <w:t xml:space="preserve"> not </w:t>
      </w:r>
      <w:r w:rsidR="008C6DA2">
        <w:t>need to be notified about where client monies are held or changes in the way client monies are held (unlike other jurisdictions such as the UK and EU).</w:t>
      </w:r>
    </w:p>
    <w:p w14:paraId="2EA84E01" w14:textId="7E0A3142" w:rsidR="00246D45" w:rsidRDefault="001B3616" w:rsidP="00CE7125">
      <w:pPr>
        <w:pStyle w:val="Heading3"/>
      </w:pPr>
      <w:bookmarkStart w:id="162" w:name="_Ref148968030"/>
      <w:r>
        <w:t xml:space="preserve">Disclosure and </w:t>
      </w:r>
      <w:r w:rsidR="00032802">
        <w:t>p</w:t>
      </w:r>
      <w:r w:rsidR="00246D45">
        <w:t>rohibited activities</w:t>
      </w:r>
      <w:bookmarkEnd w:id="162"/>
    </w:p>
    <w:p w14:paraId="09A4E0CE" w14:textId="7DF835BE" w:rsidR="0032636F" w:rsidRPr="004B2741" w:rsidRDefault="00246D45" w:rsidP="008E2D74">
      <w:r w:rsidRPr="00246D45">
        <w:rPr>
          <w:bCs/>
        </w:rPr>
        <w:t>To</w:t>
      </w:r>
      <w:r w:rsidR="00DF75EE" w:rsidRPr="00DF75EE">
        <w:t xml:space="preserve"> discourage arbitrage </w:t>
      </w:r>
      <w:r w:rsidR="007E0EC7">
        <w:t>between SVF products and other types of regulated products</w:t>
      </w:r>
      <w:r w:rsidR="00FC3BEA">
        <w:t xml:space="preserve">, it is proposed that SVFs be subject to </w:t>
      </w:r>
      <w:r w:rsidR="004B2741">
        <w:t>a</w:t>
      </w:r>
      <w:r w:rsidR="00756C14" w:rsidRPr="00756C14">
        <w:t xml:space="preserve"> general prohibition on p</w:t>
      </w:r>
      <w:r w:rsidR="0032636F" w:rsidRPr="00756C14">
        <w:t xml:space="preserve">aying interest </w:t>
      </w:r>
      <w:r w:rsidR="00756C14" w:rsidRPr="00756C14">
        <w:t>in relation to the funds stored.</w:t>
      </w:r>
      <w:r w:rsidR="00756C14">
        <w:rPr>
          <w:b/>
          <w:bCs/>
        </w:rPr>
        <w:t xml:space="preserve"> </w:t>
      </w:r>
      <w:r w:rsidR="00756C14">
        <w:t xml:space="preserve">This </w:t>
      </w:r>
      <w:r w:rsidR="00D97C20">
        <w:t xml:space="preserve">is consistent with the current </w:t>
      </w:r>
      <w:r w:rsidR="00F30D5F">
        <w:t xml:space="preserve">practice for PPFs and reflects </w:t>
      </w:r>
      <w:r w:rsidR="00403159">
        <w:t>the practice</w:t>
      </w:r>
      <w:r w:rsidR="00AB6C6A">
        <w:t xml:space="preserve"> in</w:t>
      </w:r>
      <w:r w:rsidR="00403159">
        <w:t xml:space="preserve"> </w:t>
      </w:r>
      <w:r w:rsidR="00F31410">
        <w:t>other jurisdictions</w:t>
      </w:r>
      <w:r w:rsidR="0032636F">
        <w:t>.</w:t>
      </w:r>
      <w:r w:rsidR="00F31410">
        <w:rPr>
          <w:rStyle w:val="FootnoteReference"/>
        </w:rPr>
        <w:footnoteReference w:id="120"/>
      </w:r>
      <w:r w:rsidR="0032636F">
        <w:t xml:space="preserve"> Th</w:t>
      </w:r>
      <w:r w:rsidR="00F30D5F">
        <w:t xml:space="preserve">is prohibition </w:t>
      </w:r>
      <w:r w:rsidR="0032636F">
        <w:t>reduce</w:t>
      </w:r>
      <w:r w:rsidR="00F30D5F">
        <w:t>s</w:t>
      </w:r>
      <w:r w:rsidR="0032636F">
        <w:t xml:space="preserve"> opportunities for regulatory arbitrage between SVF</w:t>
      </w:r>
      <w:r w:rsidR="00F14BAE">
        <w:t>s</w:t>
      </w:r>
      <w:r w:rsidR="004E3D53">
        <w:t>,</w:t>
      </w:r>
      <w:r w:rsidR="00F14BAE">
        <w:t xml:space="preserve"> banking products</w:t>
      </w:r>
      <w:r w:rsidR="004E3D53">
        <w:t xml:space="preserve"> and managed investment schemes</w:t>
      </w:r>
      <w:r w:rsidR="0032636F">
        <w:t xml:space="preserve">. </w:t>
      </w:r>
    </w:p>
    <w:p w14:paraId="4FC81E80" w14:textId="326CDBCA" w:rsidR="00D34E8E" w:rsidRPr="005D1359" w:rsidRDefault="00D34E8E" w:rsidP="008E2D74">
      <w:r w:rsidRPr="005D1359">
        <w:t xml:space="preserve">SVF issuers </w:t>
      </w:r>
      <w:r w:rsidR="008F5917">
        <w:t xml:space="preserve">are proposed </w:t>
      </w:r>
      <w:r w:rsidRPr="005D1359">
        <w:t xml:space="preserve">to provide the following additional </w:t>
      </w:r>
      <w:r>
        <w:t>disclosures</w:t>
      </w:r>
      <w:r w:rsidRPr="005D1359">
        <w:t>:</w:t>
      </w:r>
    </w:p>
    <w:p w14:paraId="4B46F6CE" w14:textId="24877535" w:rsidR="00D34E8E" w:rsidRPr="00773C88" w:rsidRDefault="00D34E8E" w:rsidP="00D34E8E">
      <w:pPr>
        <w:pStyle w:val="Bullet"/>
      </w:pPr>
      <w:r w:rsidRPr="00773C88">
        <w:t>confirmation of transaction provisions;</w:t>
      </w:r>
      <w:r w:rsidRPr="00773C88">
        <w:rPr>
          <w:rStyle w:val="FootnoteReference"/>
        </w:rPr>
        <w:footnoteReference w:id="121"/>
      </w:r>
    </w:p>
    <w:p w14:paraId="7C7722A9" w14:textId="77777777" w:rsidR="00D34E8E" w:rsidRPr="005730F2" w:rsidRDefault="00D34E8E" w:rsidP="00D34E8E">
      <w:pPr>
        <w:pStyle w:val="Bullet"/>
      </w:pPr>
      <w:r w:rsidRPr="005730F2">
        <w:t>issu</w:t>
      </w:r>
      <w:r>
        <w:t>e</w:t>
      </w:r>
      <w:r w:rsidRPr="005730F2">
        <w:t xml:space="preserve"> periodic statements for retail clients;</w:t>
      </w:r>
      <w:r w:rsidRPr="005730F2">
        <w:rPr>
          <w:rStyle w:val="FootnoteReference"/>
        </w:rPr>
        <w:footnoteReference w:id="122"/>
      </w:r>
    </w:p>
    <w:p w14:paraId="0179A7D5" w14:textId="77777777" w:rsidR="00D34E8E" w:rsidDel="00785397" w:rsidRDefault="00D34E8E" w:rsidP="00D34E8E">
      <w:pPr>
        <w:pStyle w:val="Bullet"/>
      </w:pPr>
      <w:r>
        <w:t xml:space="preserve">disclose in the PDS that </w:t>
      </w:r>
      <w:r w:rsidDel="00785397">
        <w:t>the SVF is not a deposit product</w:t>
      </w:r>
      <w:r>
        <w:t>; and</w:t>
      </w:r>
    </w:p>
    <w:p w14:paraId="3328425D" w14:textId="77777777" w:rsidR="00D34E8E" w:rsidRDefault="00D34E8E" w:rsidP="00D34E8E">
      <w:pPr>
        <w:pStyle w:val="Bullet"/>
      </w:pPr>
      <w:r>
        <w:t>disclose in the PDS that t</w:t>
      </w:r>
      <w:r w:rsidDel="00785397">
        <w:t xml:space="preserve">he stored value is not subject to the same level of protections that apply to depositors </w:t>
      </w:r>
      <w:r>
        <w:t>e.g.</w:t>
      </w:r>
      <w:r w:rsidDel="00785397">
        <w:t xml:space="preserve"> protection</w:t>
      </w:r>
      <w:r>
        <w:t xml:space="preserve"> under the Financial Claims Scheme (FCS).</w:t>
      </w:r>
    </w:p>
    <w:p w14:paraId="46245886" w14:textId="6F10B36D" w:rsidR="00246D45" w:rsidRDefault="00246D45" w:rsidP="00CE7125">
      <w:pPr>
        <w:pStyle w:val="Heading3"/>
      </w:pPr>
      <w:bookmarkStart w:id="163" w:name="_Ref149592765"/>
      <w:r>
        <w:t>Reporting requirements</w:t>
      </w:r>
      <w:bookmarkEnd w:id="163"/>
    </w:p>
    <w:p w14:paraId="5E9040B0" w14:textId="2BCE81B2" w:rsidR="00246D45" w:rsidRDefault="006307A2" w:rsidP="008E2D74">
      <w:r>
        <w:t xml:space="preserve">Reporting requirements were recommended in the 2019 </w:t>
      </w:r>
      <w:r w:rsidR="00B23C80">
        <w:t>Council of Financial Regulators’</w:t>
      </w:r>
      <w:r>
        <w:t xml:space="preserve"> </w:t>
      </w:r>
      <w:r w:rsidR="00B23C80">
        <w:t>(</w:t>
      </w:r>
      <w:r>
        <w:t>CFR</w:t>
      </w:r>
      <w:r w:rsidR="00B23C80">
        <w:t>)</w:t>
      </w:r>
      <w:r>
        <w:t xml:space="preserve"> report to address the lack of available information </w:t>
      </w:r>
      <w:r w:rsidR="009A60E4">
        <w:t>regarding</w:t>
      </w:r>
      <w:r>
        <w:t xml:space="preserve"> the size of stored funds. Introducing a</w:t>
      </w:r>
      <w:r w:rsidRPr="009B380B">
        <w:t xml:space="preserve"> reporting requirement will help to identify </w:t>
      </w:r>
      <w:r>
        <w:t>SVFs</w:t>
      </w:r>
      <w:r w:rsidRPr="009B380B">
        <w:t xml:space="preserve"> that are nearing the prudential threshold, and encourage licensees to take more timely action to consider their options for further growth.</w:t>
      </w:r>
      <w:r>
        <w:t xml:space="preserve"> </w:t>
      </w:r>
    </w:p>
    <w:p w14:paraId="2DA093D8" w14:textId="7F1E4203" w:rsidR="0074789A" w:rsidRDefault="006307A2" w:rsidP="008E2D74">
      <w:r>
        <w:lastRenderedPageBreak/>
        <w:t>It is proposed that all SVFs be subject to a reporting regime administered by APRA.</w:t>
      </w:r>
      <w:r w:rsidR="0073551E">
        <w:t xml:space="preserve"> Having APRA administer the</w:t>
      </w:r>
      <w:r w:rsidR="009D76FB">
        <w:t xml:space="preserve"> </w:t>
      </w:r>
      <w:r w:rsidR="0073551E">
        <w:t xml:space="preserve">reporting </w:t>
      </w:r>
      <w:r w:rsidR="0073551E" w:rsidRPr="00246D45">
        <w:t>regime</w:t>
      </w:r>
      <w:r w:rsidR="0073551E">
        <w:t xml:space="preserve"> for all SVFs</w:t>
      </w:r>
      <w:r w:rsidR="009E4BF7">
        <w:t>,</w:t>
      </w:r>
      <w:r w:rsidR="00D34FCD">
        <w:t xml:space="preserve"> rather than having APRA and ASIC administer two separate reporting </w:t>
      </w:r>
      <w:r w:rsidR="00353764">
        <w:t>collections for Standard and Major SVFs</w:t>
      </w:r>
      <w:r w:rsidR="009E4BF7">
        <w:t>,</w:t>
      </w:r>
      <w:r w:rsidR="0073551E">
        <w:t xml:space="preserve"> will </w:t>
      </w:r>
      <w:r w:rsidR="0073551E" w:rsidDel="0077198E">
        <w:t xml:space="preserve">ensure </w:t>
      </w:r>
      <w:r w:rsidR="0077198E">
        <w:t>consistency and</w:t>
      </w:r>
      <w:r w:rsidR="00A006A2">
        <w:t xml:space="preserve"> clarity in </w:t>
      </w:r>
      <w:r w:rsidR="009A03EA">
        <w:t xml:space="preserve">reporting </w:t>
      </w:r>
      <w:r w:rsidR="00A006A2">
        <w:t>obligations</w:t>
      </w:r>
      <w:r w:rsidR="00824FBF">
        <w:t xml:space="preserve"> across all SVFs</w:t>
      </w:r>
      <w:r w:rsidR="005D5335">
        <w:t xml:space="preserve">. </w:t>
      </w:r>
      <w:r w:rsidR="00036B6C">
        <w:t>Maintaining</w:t>
      </w:r>
      <w:r w:rsidR="00CC79FC">
        <w:t xml:space="preserve"> a single reporting framework</w:t>
      </w:r>
      <w:r w:rsidR="005D5335">
        <w:t xml:space="preserve"> will also</w:t>
      </w:r>
      <w:r w:rsidR="00A006A2">
        <w:t xml:space="preserve"> </w:t>
      </w:r>
      <w:r w:rsidR="00C86F42">
        <w:t>reduce complexity for SVFs that are</w:t>
      </w:r>
      <w:r w:rsidR="00A006A2">
        <w:t xml:space="preserve"> ‘transition</w:t>
      </w:r>
      <w:r w:rsidR="00C86F42">
        <w:t>ing</w:t>
      </w:r>
      <w:r w:rsidR="00A006A2">
        <w:t>’ between Standard and Major SVF</w:t>
      </w:r>
      <w:r w:rsidR="005F6DD8">
        <w:t xml:space="preserve"> obligations</w:t>
      </w:r>
      <w:r w:rsidR="0073551E">
        <w:t>.</w:t>
      </w:r>
      <w:r w:rsidR="0022019B">
        <w:t xml:space="preserve"> </w:t>
      </w:r>
      <w:r w:rsidR="001F0979">
        <w:t>A</w:t>
      </w:r>
      <w:r w:rsidR="00582BA7">
        <w:t>PRA will consult on further details of the SVF reporting requirements.</w:t>
      </w:r>
    </w:p>
    <w:p w14:paraId="32B3BD9E" w14:textId="7CB924FE" w:rsidR="008407B9" w:rsidRDefault="00CF5B86" w:rsidP="008E2D74">
      <w:r>
        <w:t>In addition, it is proposed that</w:t>
      </w:r>
      <w:r w:rsidR="00FF5DD5">
        <w:t xml:space="preserve"> </w:t>
      </w:r>
      <w:r w:rsidR="00E06C65">
        <w:t xml:space="preserve">Payment </w:t>
      </w:r>
      <w:r w:rsidR="00956547">
        <w:t>F</w:t>
      </w:r>
      <w:r w:rsidR="00E06C65">
        <w:t>acilitation Services</w:t>
      </w:r>
      <w:r w:rsidR="00FF5DD5">
        <w:t xml:space="preserve"> </w:t>
      </w:r>
      <w:r w:rsidR="0032501A">
        <w:t xml:space="preserve">be </w:t>
      </w:r>
      <w:r w:rsidR="004F0CEC">
        <w:t>subject to ongoing reporting requirements in relation to funds held and transactions processed</w:t>
      </w:r>
      <w:r w:rsidR="00B3376C">
        <w:t xml:space="preserve">, to </w:t>
      </w:r>
      <w:r w:rsidR="003A36AE">
        <w:t xml:space="preserve">support </w:t>
      </w:r>
      <w:r w:rsidR="00B3376C">
        <w:t>the Ministerial designation approach</w:t>
      </w:r>
      <w:r w:rsidR="00EE15C9">
        <w:t xml:space="preserve"> discussed in </w:t>
      </w:r>
      <w:r w:rsidR="00EA4047">
        <w:rPr>
          <w:b/>
        </w:rPr>
        <w:t>S</w:t>
      </w:r>
      <w:r w:rsidR="00EA4047" w:rsidRPr="007259CB">
        <w:rPr>
          <w:b/>
        </w:rPr>
        <w:t xml:space="preserve">ection </w:t>
      </w:r>
      <w:r w:rsidR="00104954">
        <w:rPr>
          <w:b/>
        </w:rPr>
        <w:t>6.2</w:t>
      </w:r>
      <w:r w:rsidR="00B3376C" w:rsidRPr="007259CB">
        <w:rPr>
          <w:b/>
        </w:rPr>
        <w:t>.</w:t>
      </w:r>
    </w:p>
    <w:tbl>
      <w:tblPr>
        <w:tblStyle w:val="TableGrid"/>
        <w:tblW w:w="0" w:type="auto"/>
        <w:tblLook w:val="04A0" w:firstRow="1" w:lastRow="0" w:firstColumn="1" w:lastColumn="0" w:noHBand="0" w:noVBand="1"/>
      </w:tblPr>
      <w:tblGrid>
        <w:gridCol w:w="9070"/>
      </w:tblGrid>
      <w:tr w:rsidR="004D1169" w14:paraId="73CCC1D7"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3E715153" w14:textId="489C8B5C" w:rsidR="004D1169" w:rsidRPr="00DF715D" w:rsidRDefault="004D1169" w:rsidP="00DF715D">
            <w:pPr>
              <w:pStyle w:val="BoxHeading"/>
              <w:rPr>
                <w:rFonts w:asciiTheme="minorHAnsi" w:hAnsiTheme="minorHAnsi" w:cstheme="minorHAnsi"/>
                <w:b/>
              </w:rPr>
            </w:pPr>
            <w:r w:rsidRPr="000A380D">
              <w:rPr>
                <w:rFonts w:asciiTheme="minorHAnsi" w:hAnsiTheme="minorHAnsi" w:cstheme="minorHAnsi"/>
                <w:b/>
              </w:rPr>
              <w:t>Consultation question</w:t>
            </w:r>
          </w:p>
          <w:p w14:paraId="692CB947" w14:textId="60EE5FF0" w:rsidR="004D1169" w:rsidRPr="00154E78" w:rsidRDefault="00DF1F7F" w:rsidP="001D123F">
            <w:pPr>
              <w:pStyle w:val="Consultationquestions"/>
              <w:numPr>
                <w:ilvl w:val="0"/>
                <w:numId w:val="100"/>
              </w:numPr>
            </w:pPr>
            <w:r>
              <w:t>In order for regulators to retain visibility and to help determine which businesses may be designated for prudential regulation, s</w:t>
            </w:r>
            <w:r w:rsidRPr="00B3504B">
              <w:t>hould Payment Facilitation Services be subject to ongoing reporting requirements in relation to funds held and transactions processed?</w:t>
            </w:r>
          </w:p>
        </w:tc>
      </w:tr>
    </w:tbl>
    <w:p w14:paraId="28A17AFC" w14:textId="74B55E67" w:rsidR="003A0A2D" w:rsidRPr="003A0A2D" w:rsidRDefault="006307A2" w:rsidP="00CE7125">
      <w:pPr>
        <w:pStyle w:val="Heading3"/>
      </w:pPr>
      <w:r w:rsidRPr="00C326FD">
        <w:t>Redemption rights</w:t>
      </w:r>
      <w:r>
        <w:t xml:space="preserve"> </w:t>
      </w:r>
    </w:p>
    <w:p w14:paraId="4E896F0E" w14:textId="2E66A8FC" w:rsidR="00E31281" w:rsidRDefault="003A0A2D" w:rsidP="00242503">
      <w:r>
        <w:t>I</w:t>
      </w:r>
      <w:r w:rsidR="006307A2">
        <w:t xml:space="preserve">n </w:t>
      </w:r>
      <w:r w:rsidR="00B62719">
        <w:t>p</w:t>
      </w:r>
      <w:r w:rsidR="00507F86">
        <w:t>roviding</w:t>
      </w:r>
      <w:r w:rsidR="006307A2">
        <w:t xml:space="preserve"> consumer protections for customers of SVFs, </w:t>
      </w:r>
      <w:r w:rsidR="004514E4">
        <w:t xml:space="preserve">it may be appropriate to </w:t>
      </w:r>
      <w:r w:rsidR="000B2633">
        <w:t xml:space="preserve">introduce </w:t>
      </w:r>
      <w:r w:rsidR="00462644">
        <w:t>a consumer right to redeem the monetary value stored in SVFs at any time at par value</w:t>
      </w:r>
      <w:r w:rsidR="00DA7B57">
        <w:t>.</w:t>
      </w:r>
      <w:r w:rsidR="004657BF">
        <w:t xml:space="preserve"> This will help preserve consumer </w:t>
      </w:r>
      <w:r w:rsidR="00244EC5">
        <w:t xml:space="preserve">protections and confidence </w:t>
      </w:r>
      <w:r w:rsidR="007D16D8">
        <w:t>i</w:t>
      </w:r>
      <w:r w:rsidR="00244EC5">
        <w:t xml:space="preserve">n </w:t>
      </w:r>
      <w:r w:rsidR="000F38F1">
        <w:t>relation to</w:t>
      </w:r>
      <w:r w:rsidR="00244EC5">
        <w:t xml:space="preserve"> SVF </w:t>
      </w:r>
      <w:r w:rsidR="000F38F1">
        <w:t>products</w:t>
      </w:r>
      <w:r w:rsidR="00244EC5">
        <w:t>.</w:t>
      </w:r>
      <w:r w:rsidR="00DA7B57">
        <w:t xml:space="preserve"> </w:t>
      </w:r>
      <w:r w:rsidR="00244EC5">
        <w:t>Feedback is sought on this approach</w:t>
      </w:r>
      <w:r w:rsidR="00B32D17">
        <w:t xml:space="preserve"> </w:t>
      </w:r>
      <w:r w:rsidR="000B4568">
        <w:t xml:space="preserve">and whether a right to redeem </w:t>
      </w:r>
      <w:r w:rsidR="00E01323">
        <w:t>is</w:t>
      </w:r>
      <w:r w:rsidR="008F7D09">
        <w:t xml:space="preserve"> appropriate for all types of SVF products</w:t>
      </w:r>
      <w:r w:rsidR="00DA7B57">
        <w:t xml:space="preserve">. </w:t>
      </w:r>
    </w:p>
    <w:tbl>
      <w:tblPr>
        <w:tblStyle w:val="TableGrid"/>
        <w:tblW w:w="0" w:type="auto"/>
        <w:tblLook w:val="04A0" w:firstRow="1" w:lastRow="0" w:firstColumn="1" w:lastColumn="0" w:noHBand="0" w:noVBand="1"/>
      </w:tblPr>
      <w:tblGrid>
        <w:gridCol w:w="9070"/>
      </w:tblGrid>
      <w:tr w:rsidR="00D53A41" w14:paraId="0CC9098E"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38902C2E" w14:textId="1AEBC8B0" w:rsidR="00D53A41" w:rsidRPr="00DF715D" w:rsidRDefault="00D53A41" w:rsidP="00DF715D">
            <w:pPr>
              <w:pStyle w:val="BoxHeading"/>
              <w:rPr>
                <w:rFonts w:asciiTheme="minorHAnsi" w:hAnsiTheme="minorHAnsi" w:cstheme="minorHAnsi"/>
                <w:b/>
              </w:rPr>
            </w:pPr>
            <w:r w:rsidRPr="000A380D">
              <w:rPr>
                <w:rFonts w:asciiTheme="minorHAnsi" w:hAnsiTheme="minorHAnsi" w:cstheme="minorHAnsi"/>
                <w:b/>
              </w:rPr>
              <w:t>Consultation question</w:t>
            </w:r>
          </w:p>
          <w:p w14:paraId="0DFBB7DB" w14:textId="695F9584" w:rsidR="00D53A41" w:rsidRPr="005416B0" w:rsidRDefault="00D53A41" w:rsidP="001D123F">
            <w:pPr>
              <w:pStyle w:val="Consultationquestions"/>
              <w:numPr>
                <w:ilvl w:val="0"/>
                <w:numId w:val="100"/>
              </w:numPr>
            </w:pPr>
            <w:r w:rsidRPr="00F44E9D">
              <w:t>Are the additional proposed obligations for SVFs appropriate?</w:t>
            </w:r>
            <w:r w:rsidR="009D22EC" w:rsidRPr="00F44E9D">
              <w:t xml:space="preserve"> Should SVFs be subject to prohibited activities such as a restriction </w:t>
            </w:r>
            <w:r w:rsidR="00744E3D" w:rsidRPr="00F44E9D">
              <w:t>on paying</w:t>
            </w:r>
            <w:r w:rsidR="009D22EC" w:rsidRPr="00F44E9D">
              <w:t xml:space="preserve"> interest</w:t>
            </w:r>
            <w:r w:rsidR="007A5B56" w:rsidRPr="00F44E9D">
              <w:t>? Should consumers have a general right to redeem funds for SVF products?</w:t>
            </w:r>
          </w:p>
        </w:tc>
      </w:tr>
    </w:tbl>
    <w:p w14:paraId="05663D19" w14:textId="77777777" w:rsidR="00CC2F58" w:rsidRDefault="00EC572C" w:rsidP="006377BA">
      <w:pPr>
        <w:pStyle w:val="Heading2"/>
      </w:pPr>
      <w:bookmarkStart w:id="164" w:name="_Toc152847650"/>
      <w:r>
        <w:t>R</w:t>
      </w:r>
      <w:r w:rsidR="00CC2F58" w:rsidRPr="00CE7125">
        <w:t>egulatory</w:t>
      </w:r>
      <w:bookmarkStart w:id="165" w:name="_Toc149230962"/>
      <w:bookmarkStart w:id="166" w:name="_Hlk146199085"/>
      <w:r w:rsidR="00CC2F58">
        <w:t xml:space="preserve"> obligations to apply to </w:t>
      </w:r>
      <w:r w:rsidR="00B76869">
        <w:t>Major</w:t>
      </w:r>
      <w:r w:rsidR="00CC2F58">
        <w:t xml:space="preserve"> SVFs</w:t>
      </w:r>
      <w:bookmarkEnd w:id="164"/>
      <w:bookmarkEnd w:id="165"/>
    </w:p>
    <w:bookmarkEnd w:id="166"/>
    <w:p w14:paraId="3E42A899" w14:textId="4948AC4C" w:rsidR="00431198" w:rsidRDefault="002F6024" w:rsidP="00242503">
      <w:r>
        <w:t xml:space="preserve">The risks posed to the financial system by </w:t>
      </w:r>
      <w:r w:rsidR="00AD2FC4">
        <w:t>M</w:t>
      </w:r>
      <w:r>
        <w:t>ajor SVFs are higher</w:t>
      </w:r>
      <w:r w:rsidR="002C3C64">
        <w:t xml:space="preserve"> than Standard SVFs</w:t>
      </w:r>
      <w:r>
        <w:t xml:space="preserve">, given the nature and size of these entities. </w:t>
      </w:r>
      <w:r w:rsidR="005B799C">
        <w:t xml:space="preserve">The proposed </w:t>
      </w:r>
      <w:r>
        <w:t xml:space="preserve">prudential regulation </w:t>
      </w:r>
      <w:r w:rsidR="00431198">
        <w:t xml:space="preserve">reflects the risks that Major SVFs may pose to financial system stability. </w:t>
      </w:r>
    </w:p>
    <w:p w14:paraId="33863C21" w14:textId="77EFFB2C" w:rsidR="00431198" w:rsidRDefault="002F6024" w:rsidP="00242503">
      <w:r w:rsidRPr="005107FB">
        <w:t>A number of submissions queried</w:t>
      </w:r>
      <w:r w:rsidR="00431198" w:rsidRPr="005107FB">
        <w:t xml:space="preserve"> why APRA regulation is needed for </w:t>
      </w:r>
      <w:r w:rsidR="002A7594">
        <w:t>M</w:t>
      </w:r>
      <w:r w:rsidR="00431198" w:rsidRPr="005107FB">
        <w:t xml:space="preserve">ajor SVFs, </w:t>
      </w:r>
      <w:r w:rsidR="005107FB" w:rsidRPr="005107FB">
        <w:t xml:space="preserve">arguing that it will be overly onerous for Major SVFs. </w:t>
      </w:r>
      <w:r w:rsidR="001642A1">
        <w:t>H</w:t>
      </w:r>
      <w:r w:rsidR="005107FB" w:rsidRPr="005107FB">
        <w:t xml:space="preserve">owever, it is </w:t>
      </w:r>
      <w:r w:rsidR="00431198" w:rsidRPr="005107FB">
        <w:t>not</w:t>
      </w:r>
      <w:r w:rsidR="005107FB" w:rsidRPr="005107FB">
        <w:t>able</w:t>
      </w:r>
      <w:r w:rsidR="00431198" w:rsidRPr="005107FB">
        <w:t xml:space="preserve"> that prudential regulation of SVFs is common</w:t>
      </w:r>
      <w:r w:rsidR="005107FB" w:rsidRPr="005107FB">
        <w:t xml:space="preserve"> in other regimes</w:t>
      </w:r>
      <w:r w:rsidR="00431198" w:rsidRPr="005107FB">
        <w:t>. In th</w:t>
      </w:r>
      <w:r w:rsidR="00431198" w:rsidRPr="007D158D">
        <w:t xml:space="preserve">e UK for example, although the </w:t>
      </w:r>
      <w:r w:rsidR="00EC2F77">
        <w:t>Financial Conduct Authority</w:t>
      </w:r>
      <w:r w:rsidR="00431198" w:rsidRPr="007D158D">
        <w:t xml:space="preserve"> </w:t>
      </w:r>
      <w:r w:rsidR="00EC2F77">
        <w:t>(</w:t>
      </w:r>
      <w:r w:rsidR="00431198" w:rsidRPr="007D158D">
        <w:t>FCA</w:t>
      </w:r>
      <w:r w:rsidR="00EC2F77">
        <w:t>)</w:t>
      </w:r>
      <w:r w:rsidR="00431198" w:rsidRPr="007D158D">
        <w:t xml:space="preserve"> is the sole regulator of e-money institutions, the FCA performs both conduct and prudential regulation functions</w:t>
      </w:r>
      <w:r w:rsidR="00431198">
        <w:t xml:space="preserve">; </w:t>
      </w:r>
      <w:r w:rsidR="00431198" w:rsidRPr="007D158D">
        <w:t>all e-money</w:t>
      </w:r>
      <w:r w:rsidR="00431198">
        <w:t xml:space="preserve"> and payment</w:t>
      </w:r>
      <w:r w:rsidR="00431198" w:rsidRPr="007D158D">
        <w:t xml:space="preserve"> institutions are subject to prudential requirements. </w:t>
      </w:r>
      <w:r w:rsidR="00B439F3">
        <w:t>This paper proposes</w:t>
      </w:r>
      <w:r w:rsidR="00431198" w:rsidRPr="007D158D">
        <w:t xml:space="preserve"> </w:t>
      </w:r>
      <w:r w:rsidR="00431198">
        <w:t xml:space="preserve">a graduated regulatory framework in line with the risks certain </w:t>
      </w:r>
      <w:r w:rsidR="00752FC0">
        <w:t>entities</w:t>
      </w:r>
      <w:r w:rsidR="0006404F">
        <w:t xml:space="preserve"> </w:t>
      </w:r>
      <w:r w:rsidR="00431198">
        <w:t xml:space="preserve">pose. Hence, Major SVFs </w:t>
      </w:r>
      <w:r w:rsidR="00C15EA2">
        <w:t>are proposed to</w:t>
      </w:r>
      <w:r w:rsidR="00431198">
        <w:t xml:space="preserve"> be subject to prudential regulation.</w:t>
      </w:r>
    </w:p>
    <w:p w14:paraId="3FBD80AD" w14:textId="77777777" w:rsidR="007068E3" w:rsidRDefault="007068E3" w:rsidP="00AF4218">
      <w:pPr>
        <w:pStyle w:val="Heading3"/>
      </w:pPr>
      <w:bookmarkStart w:id="167" w:name="_Ref149037171"/>
      <w:bookmarkStart w:id="168" w:name="_Toc149230963"/>
      <w:r>
        <w:lastRenderedPageBreak/>
        <w:t>APRA-administered requirements</w:t>
      </w:r>
      <w:bookmarkEnd w:id="167"/>
      <w:bookmarkEnd w:id="168"/>
    </w:p>
    <w:p w14:paraId="63FE39A6" w14:textId="666DE8D7" w:rsidR="000A3D96" w:rsidRDefault="00155D48" w:rsidP="00AF4218">
      <w:pPr>
        <w:keepNext/>
      </w:pPr>
      <w:r>
        <w:t xml:space="preserve">In 2025, APRA intends to update and review </w:t>
      </w:r>
      <w:r w:rsidR="00D7122E">
        <w:t xml:space="preserve">Prudential Standard </w:t>
      </w:r>
      <w:r>
        <w:t xml:space="preserve">APS 610 </w:t>
      </w:r>
      <w:r w:rsidR="0051189C">
        <w:t xml:space="preserve">following the passage of </w:t>
      </w:r>
      <w:r>
        <w:t xml:space="preserve">reforms for </w:t>
      </w:r>
      <w:r w:rsidR="00DA2210">
        <w:t xml:space="preserve">Major </w:t>
      </w:r>
      <w:r>
        <w:t xml:space="preserve">SVFs. </w:t>
      </w:r>
      <w:r w:rsidR="000A3D96">
        <w:t>The review of APS 610 will consider:</w:t>
      </w:r>
    </w:p>
    <w:p w14:paraId="2AF6761D" w14:textId="120037A2" w:rsidR="00155D48" w:rsidRDefault="00155D48" w:rsidP="0020029E">
      <w:pPr>
        <w:pStyle w:val="Bullet"/>
        <w:numPr>
          <w:ilvl w:val="0"/>
          <w:numId w:val="36"/>
        </w:numPr>
      </w:pPr>
      <w:r>
        <w:t>Simpler and more targeted requirements</w:t>
      </w:r>
      <w:r w:rsidR="00D97A12">
        <w:t xml:space="preserve"> for </w:t>
      </w:r>
      <w:r w:rsidR="00DA2210">
        <w:t xml:space="preserve">Major </w:t>
      </w:r>
      <w:r w:rsidR="00D97A12">
        <w:t>SVFs</w:t>
      </w:r>
      <w:r>
        <w:t>. For example, reviewing the range of prudential standards SVFs will be expected to comply with.</w:t>
      </w:r>
    </w:p>
    <w:p w14:paraId="4C1E0416" w14:textId="594DA52E" w:rsidR="00155D48" w:rsidRDefault="00C9588B" w:rsidP="0020029E">
      <w:pPr>
        <w:pStyle w:val="Bullet"/>
        <w:numPr>
          <w:ilvl w:val="0"/>
          <w:numId w:val="36"/>
        </w:numPr>
      </w:pPr>
      <w:r>
        <w:t>Review</w:t>
      </w:r>
      <w:r w:rsidR="0097509F">
        <w:t>ing</w:t>
      </w:r>
      <w:r>
        <w:t xml:space="preserve"> </w:t>
      </w:r>
      <w:r w:rsidR="00CD0AE1">
        <w:t>the capital requirement t</w:t>
      </w:r>
      <w:r w:rsidR="00E92E21">
        <w:t>hat</w:t>
      </w:r>
      <w:r w:rsidR="00CD0AE1">
        <w:t xml:space="preserve"> appl</w:t>
      </w:r>
      <w:r w:rsidR="002037C6">
        <w:t>ies</w:t>
      </w:r>
      <w:r w:rsidR="00CD0AE1">
        <w:t xml:space="preserve"> to </w:t>
      </w:r>
      <w:r w:rsidR="008B43B0">
        <w:t xml:space="preserve">Major </w:t>
      </w:r>
      <w:r w:rsidR="00CD0AE1">
        <w:t>SVFs</w:t>
      </w:r>
      <w:r w:rsidR="003C0532">
        <w:t xml:space="preserve">, calibrated for </w:t>
      </w:r>
      <w:r w:rsidR="00CD0AE1">
        <w:t>operational risks. In May</w:t>
      </w:r>
      <w:r w:rsidR="00C57BDA">
        <w:t xml:space="preserve"> 2023</w:t>
      </w:r>
      <w:r w:rsidR="00CD0AE1">
        <w:t xml:space="preserve">, APRA reduced the </w:t>
      </w:r>
      <w:r w:rsidR="000365FF">
        <w:t xml:space="preserve">capital </w:t>
      </w:r>
      <w:r w:rsidR="00CD0AE1">
        <w:t>requirement from 5</w:t>
      </w:r>
      <w:r w:rsidR="00144345">
        <w:t xml:space="preserve"> per cent</w:t>
      </w:r>
      <w:r w:rsidR="00CD0AE1">
        <w:t xml:space="preserve"> to 4</w:t>
      </w:r>
      <w:r w:rsidR="00144345">
        <w:t xml:space="preserve"> per cent</w:t>
      </w:r>
      <w:r w:rsidR="00CD0AE1">
        <w:t xml:space="preserve"> of total outstanding stored</w:t>
      </w:r>
      <w:r w:rsidR="00F20A2C">
        <w:t>-</w:t>
      </w:r>
      <w:r w:rsidR="00CD0AE1">
        <w:t>value liability, and flagged its intention to</w:t>
      </w:r>
      <w:r w:rsidR="00CD0AE1" w:rsidDel="00ED0C2C">
        <w:t xml:space="preserve"> </w:t>
      </w:r>
      <w:r w:rsidR="00CD0AE1">
        <w:t xml:space="preserve">further review </w:t>
      </w:r>
      <w:r w:rsidR="000365FF">
        <w:t>the</w:t>
      </w:r>
      <w:r w:rsidR="00CD5682">
        <w:t xml:space="preserve"> capital</w:t>
      </w:r>
      <w:r w:rsidR="000365FF">
        <w:t xml:space="preserve"> requirement</w:t>
      </w:r>
      <w:r w:rsidR="00CD0AE1">
        <w:t>.</w:t>
      </w:r>
      <w:r w:rsidR="00913FA3">
        <w:rPr>
          <w:rStyle w:val="FootnoteReference"/>
        </w:rPr>
        <w:footnoteReference w:id="123"/>
      </w:r>
      <w:r w:rsidR="00CD0AE1">
        <w:t xml:space="preserve"> </w:t>
      </w:r>
    </w:p>
    <w:p w14:paraId="368F99C2" w14:textId="01717543" w:rsidR="00155D48" w:rsidRDefault="00CD5682" w:rsidP="0020029E">
      <w:pPr>
        <w:pStyle w:val="Bullet"/>
        <w:numPr>
          <w:ilvl w:val="0"/>
          <w:numId w:val="36"/>
        </w:numPr>
      </w:pPr>
      <w:r>
        <w:t>Amending the</w:t>
      </w:r>
      <w:r w:rsidR="00155D48">
        <w:t xml:space="preserve"> reporting </w:t>
      </w:r>
      <w:r>
        <w:t xml:space="preserve">framework for </w:t>
      </w:r>
      <w:r w:rsidR="00DA2210">
        <w:t xml:space="preserve">all </w:t>
      </w:r>
      <w:r>
        <w:t>SVFs.</w:t>
      </w:r>
    </w:p>
    <w:p w14:paraId="3E0A722E" w14:textId="15E7C1A8" w:rsidR="0092657B" w:rsidRPr="000426B0" w:rsidRDefault="00A60125" w:rsidP="00242503">
      <w:r>
        <w:t>To enable effect</w:t>
      </w:r>
      <w:r w:rsidR="00C972DF">
        <w:t>ive</w:t>
      </w:r>
      <w:r>
        <w:t xml:space="preserve"> APRA</w:t>
      </w:r>
      <w:r w:rsidR="00B52EDE">
        <w:t xml:space="preserve"> </w:t>
      </w:r>
      <w:r>
        <w:t xml:space="preserve">supervision of </w:t>
      </w:r>
      <w:r w:rsidR="000E070B">
        <w:t>PSPs</w:t>
      </w:r>
      <w:r>
        <w:t xml:space="preserve">, this paper also proposes the extension of a number of APRA’s existing powers </w:t>
      </w:r>
      <w:r w:rsidR="00F0228C">
        <w:t xml:space="preserve">and broader requirements </w:t>
      </w:r>
      <w:r>
        <w:t xml:space="preserve">to </w:t>
      </w:r>
      <w:r w:rsidR="00155D48">
        <w:t xml:space="preserve">Major </w:t>
      </w:r>
      <w:r>
        <w:t>SVFs</w:t>
      </w:r>
      <w:r w:rsidR="000E070B">
        <w:t xml:space="preserve"> and any designated Payment Facilitation Service</w:t>
      </w:r>
      <w:r>
        <w:t>:</w:t>
      </w:r>
      <w:r w:rsidR="00477EA9">
        <w:t xml:space="preserve"> </w:t>
      </w:r>
    </w:p>
    <w:p w14:paraId="31CB2C39" w14:textId="0A9C2570" w:rsidR="004B77BC" w:rsidRDefault="00EA4D7C" w:rsidP="0020029E">
      <w:pPr>
        <w:pStyle w:val="Bullet"/>
      </w:pPr>
      <w:r>
        <w:t xml:space="preserve">The suite of </w:t>
      </w:r>
      <w:r w:rsidR="0092657B">
        <w:t>APRA powers</w:t>
      </w:r>
      <w:r w:rsidR="00A16EED">
        <w:t xml:space="preserve"> </w:t>
      </w:r>
      <w:r w:rsidR="00F22CE0">
        <w:t xml:space="preserve">and requirements </w:t>
      </w:r>
      <w:r w:rsidR="00A16EED">
        <w:t xml:space="preserve">under the </w:t>
      </w:r>
      <w:r w:rsidR="00A16EED" w:rsidRPr="00DF715D">
        <w:rPr>
          <w:iCs/>
        </w:rPr>
        <w:t>Banking Act</w:t>
      </w:r>
      <w:r w:rsidR="00A67332">
        <w:t xml:space="preserve">. </w:t>
      </w:r>
      <w:r w:rsidR="00E67AF5">
        <w:t>For example,</w:t>
      </w:r>
      <w:r w:rsidR="002171DA">
        <w:t xml:space="preserve"> application of </w:t>
      </w:r>
      <w:r w:rsidR="00A67332">
        <w:t>directions powers, prudential standards-making powers, enforcement powers, resolution powers,</w:t>
      </w:r>
      <w:r w:rsidR="00930A11">
        <w:t xml:space="preserve"> and</w:t>
      </w:r>
      <w:r w:rsidR="00A67332">
        <w:t xml:space="preserve"> application of </w:t>
      </w:r>
      <w:r w:rsidR="00B614AF">
        <w:t xml:space="preserve">group regulation </w:t>
      </w:r>
      <w:r w:rsidR="00A67332">
        <w:t>powers</w:t>
      </w:r>
      <w:r w:rsidR="000A77EA">
        <w:t>.</w:t>
      </w:r>
      <w:r w:rsidR="00B614AF">
        <w:t xml:space="preserve"> </w:t>
      </w:r>
      <w:r w:rsidR="00D7296F">
        <w:t>However, a</w:t>
      </w:r>
      <w:r w:rsidR="004B77BC">
        <w:t>s proposed in CP1, FCS protection will not be extended to SVFs.</w:t>
      </w:r>
    </w:p>
    <w:p w14:paraId="5A6C548E" w14:textId="1B3CEA38" w:rsidR="0092657B" w:rsidRDefault="004F228D" w:rsidP="008D0BCC">
      <w:pPr>
        <w:pStyle w:val="Bullet"/>
      </w:pPr>
      <w:r>
        <w:t xml:space="preserve">Transfer of </w:t>
      </w:r>
      <w:r w:rsidR="00124DC2">
        <w:t>b</w:t>
      </w:r>
      <w:r>
        <w:t>usiness provisions under the</w:t>
      </w:r>
      <w:r w:rsidR="00331FC8">
        <w:t xml:space="preserve"> </w:t>
      </w:r>
      <w:r w:rsidR="008D0BCC" w:rsidRPr="00DF715D">
        <w:rPr>
          <w:i/>
          <w:iCs/>
        </w:rPr>
        <w:t>Financial Sector (Transfer and Restructure)</w:t>
      </w:r>
      <w:r w:rsidR="00331FC8" w:rsidRPr="00DF715D">
        <w:rPr>
          <w:i/>
          <w:iCs/>
        </w:rPr>
        <w:t xml:space="preserve"> </w:t>
      </w:r>
      <w:r w:rsidR="00C526FE" w:rsidRPr="00DF715D">
        <w:rPr>
          <w:i/>
          <w:iCs/>
        </w:rPr>
        <w:t>A</w:t>
      </w:r>
      <w:r w:rsidR="00331FC8" w:rsidRPr="00DF715D">
        <w:rPr>
          <w:i/>
          <w:iCs/>
        </w:rPr>
        <w:t>ct</w:t>
      </w:r>
      <w:r w:rsidR="008D0BCC" w:rsidRPr="00DF715D">
        <w:rPr>
          <w:i/>
          <w:iCs/>
        </w:rPr>
        <w:t xml:space="preserve"> 1999</w:t>
      </w:r>
      <w:r w:rsidR="003E1593">
        <w:t xml:space="preserve"> </w:t>
      </w:r>
      <w:r w:rsidR="003E1593" w:rsidRPr="008038AD">
        <w:t>(Cth)</w:t>
      </w:r>
      <w:r w:rsidR="000A77EA" w:rsidRPr="003E1593">
        <w:t>.</w:t>
      </w:r>
    </w:p>
    <w:p w14:paraId="08F4C13A" w14:textId="391DC1A2" w:rsidR="0092657B" w:rsidRDefault="00160738" w:rsidP="008A1A5E">
      <w:pPr>
        <w:pStyle w:val="Bullet"/>
      </w:pPr>
      <w:r>
        <w:t>Restrictions on sharehold</w:t>
      </w:r>
      <w:r w:rsidR="00352582">
        <w:t>ings</w:t>
      </w:r>
      <w:r>
        <w:t xml:space="preserve"> under the </w:t>
      </w:r>
      <w:r w:rsidR="008A1A5E" w:rsidRPr="008A1A5E">
        <w:rPr>
          <w:i/>
          <w:iCs/>
        </w:rPr>
        <w:t>Financial Sector (Shareholdings) Act 1998</w:t>
      </w:r>
      <w:r w:rsidR="003E1593">
        <w:rPr>
          <w:i/>
          <w:iCs/>
        </w:rPr>
        <w:t xml:space="preserve"> </w:t>
      </w:r>
      <w:r w:rsidR="003E1593" w:rsidRPr="008038AD">
        <w:t>(Cth)</w:t>
      </w:r>
      <w:r w:rsidR="00D1114E" w:rsidRPr="003E1593">
        <w:t>.</w:t>
      </w:r>
      <w:r w:rsidR="003372F7">
        <w:rPr>
          <w:rStyle w:val="FootnoteReference"/>
        </w:rPr>
        <w:footnoteReference w:id="124"/>
      </w:r>
      <w:r>
        <w:t xml:space="preserve"> </w:t>
      </w:r>
    </w:p>
    <w:p w14:paraId="30A5884A" w14:textId="4A19DC52" w:rsidR="00492529" w:rsidRDefault="00BB5702" w:rsidP="0020029E">
      <w:pPr>
        <w:pStyle w:val="Bullet"/>
      </w:pPr>
      <w:r>
        <w:t xml:space="preserve">The </w:t>
      </w:r>
      <w:r w:rsidR="00210893" w:rsidRPr="007068E3">
        <w:t>F</w:t>
      </w:r>
      <w:r w:rsidR="00A86936">
        <w:t xml:space="preserve">inancial </w:t>
      </w:r>
      <w:r w:rsidR="00210893" w:rsidRPr="007068E3">
        <w:t>A</w:t>
      </w:r>
      <w:r w:rsidR="00A86936">
        <w:t xml:space="preserve">ccountability </w:t>
      </w:r>
      <w:r w:rsidR="00210893" w:rsidRPr="007068E3">
        <w:t>R</w:t>
      </w:r>
      <w:r w:rsidR="00A86936">
        <w:t>egime</w:t>
      </w:r>
      <w:r w:rsidR="00210893" w:rsidRPr="007068E3">
        <w:t xml:space="preserve"> </w:t>
      </w:r>
      <w:r w:rsidR="00D7296F">
        <w:t xml:space="preserve">is proposed </w:t>
      </w:r>
      <w:r w:rsidR="00B1224A">
        <w:t>to</w:t>
      </w:r>
      <w:r w:rsidR="00D7296F">
        <w:t xml:space="preserve"> apply </w:t>
      </w:r>
      <w:r w:rsidR="00B1224A">
        <w:t>to Major SVFs</w:t>
      </w:r>
      <w:r w:rsidR="00623CE2">
        <w:t>, consistent with the current treatment for PPFs</w:t>
      </w:r>
      <w:r w:rsidR="006D50DC">
        <w:t xml:space="preserve">.  </w:t>
      </w:r>
    </w:p>
    <w:p w14:paraId="596A5DE4" w14:textId="6E5D2275" w:rsidR="004B77BC" w:rsidRPr="00152CCE" w:rsidRDefault="004B77BC" w:rsidP="0020029E">
      <w:pPr>
        <w:pStyle w:val="Bullet"/>
      </w:pPr>
      <w:r>
        <w:t xml:space="preserve">Consequential amendments to the </w:t>
      </w:r>
      <w:r w:rsidR="00C30525" w:rsidRPr="00DF715D">
        <w:rPr>
          <w:i/>
          <w:iCs/>
        </w:rPr>
        <w:t xml:space="preserve">Australian Prudential Regulation Authority Act </w:t>
      </w:r>
      <w:r w:rsidR="00284119" w:rsidRPr="00DF715D">
        <w:rPr>
          <w:i/>
          <w:iCs/>
        </w:rPr>
        <w:t>1998</w:t>
      </w:r>
      <w:r w:rsidR="00B702F3">
        <w:t xml:space="preserve"> </w:t>
      </w:r>
      <w:r w:rsidR="00B702F3" w:rsidRPr="008038AD">
        <w:t>(Cth)</w:t>
      </w:r>
      <w:r w:rsidR="00B702F3">
        <w:t xml:space="preserve"> (APRA Act)</w:t>
      </w:r>
      <w:r w:rsidR="00116289">
        <w:t>.</w:t>
      </w:r>
    </w:p>
    <w:p w14:paraId="44AEAD45" w14:textId="05FFD1A0" w:rsidR="00B3504B" w:rsidRDefault="00284119" w:rsidP="00E42AA2">
      <w:pPr>
        <w:pStyle w:val="Bullet"/>
      </w:pPr>
      <w:r>
        <w:t xml:space="preserve">Enabling the collection of levies from Major SVFs through amendments to the </w:t>
      </w:r>
      <w:r w:rsidRPr="00DF715D">
        <w:rPr>
          <w:i/>
          <w:iCs/>
        </w:rPr>
        <w:t xml:space="preserve">Financial Institutions Supervisory Levies Collection Act 1998 </w:t>
      </w:r>
      <w:r w:rsidR="003E1593">
        <w:t xml:space="preserve">(Cth) </w:t>
      </w:r>
      <w:r>
        <w:t>and</w:t>
      </w:r>
      <w:r w:rsidRPr="003362C1">
        <w:t xml:space="preserve"> </w:t>
      </w:r>
      <w:r w:rsidRPr="00DF715D">
        <w:rPr>
          <w:i/>
          <w:iCs/>
        </w:rPr>
        <w:t>Authorised Deposit-taking Institutions Supervisory Levy Imposition Act 1998</w:t>
      </w:r>
      <w:r w:rsidR="003E1593">
        <w:t xml:space="preserve"> (Cth).</w:t>
      </w:r>
    </w:p>
    <w:tbl>
      <w:tblPr>
        <w:tblStyle w:val="TableGrid"/>
        <w:tblW w:w="0" w:type="auto"/>
        <w:tblLook w:val="04A0" w:firstRow="1" w:lastRow="0" w:firstColumn="1" w:lastColumn="0" w:noHBand="0" w:noVBand="1"/>
      </w:tblPr>
      <w:tblGrid>
        <w:gridCol w:w="9070"/>
      </w:tblGrid>
      <w:tr w:rsidR="00B625FA" w14:paraId="0845FCD3"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5A9E1D34" w14:textId="77777777" w:rsidR="00B625FA" w:rsidRPr="005C6C90" w:rsidRDefault="00B625FA" w:rsidP="00DF715D">
            <w:pPr>
              <w:pStyle w:val="BoxHeading"/>
              <w:rPr>
                <w:rFonts w:asciiTheme="minorHAnsi" w:hAnsiTheme="minorHAnsi" w:cstheme="minorHAnsi"/>
                <w:b/>
                <w:bCs w:val="0"/>
              </w:rPr>
            </w:pPr>
            <w:r w:rsidRPr="005C6C90">
              <w:rPr>
                <w:rFonts w:asciiTheme="minorHAnsi" w:hAnsiTheme="minorHAnsi" w:cstheme="minorHAnsi"/>
                <w:b/>
                <w:bCs w:val="0"/>
              </w:rPr>
              <w:lastRenderedPageBreak/>
              <w:t>Consultation questions</w:t>
            </w:r>
          </w:p>
          <w:p w14:paraId="7ED33931" w14:textId="77777777" w:rsidR="00B625FA" w:rsidRPr="000D51D4" w:rsidRDefault="00B625FA" w:rsidP="001D123F">
            <w:pPr>
              <w:pStyle w:val="Consultationquestions"/>
              <w:numPr>
                <w:ilvl w:val="0"/>
                <w:numId w:val="100"/>
              </w:numPr>
            </w:pPr>
            <w:r>
              <w:t xml:space="preserve">Is the proposed extension of </w:t>
            </w:r>
            <w:r w:rsidR="00F418C2">
              <w:t xml:space="preserve">APRA-administered legislative powers and </w:t>
            </w:r>
            <w:r w:rsidR="003C38FC">
              <w:t>broader</w:t>
            </w:r>
            <w:r>
              <w:t xml:space="preserve"> requirements </w:t>
            </w:r>
            <w:r w:rsidR="003C38FC">
              <w:t xml:space="preserve">appropriate </w:t>
            </w:r>
            <w:r>
              <w:t>for Major SVFs?</w:t>
            </w:r>
            <w:r w:rsidR="00EE6138">
              <w:t xml:space="preserve"> Are there </w:t>
            </w:r>
            <w:r w:rsidR="005F0AAD">
              <w:t>particular</w:t>
            </w:r>
            <w:r w:rsidR="00EE6138">
              <w:t xml:space="preserve"> requirements that should be tailored for Major SVFs?</w:t>
            </w:r>
            <w:r>
              <w:t xml:space="preserve"> </w:t>
            </w:r>
          </w:p>
        </w:tc>
      </w:tr>
    </w:tbl>
    <w:p w14:paraId="55197482" w14:textId="41F00A6C" w:rsidR="00C9048F" w:rsidRDefault="00C9048F" w:rsidP="006377BA">
      <w:pPr>
        <w:pStyle w:val="Heading2"/>
      </w:pPr>
      <w:bookmarkStart w:id="169" w:name="_Toc149230964"/>
      <w:bookmarkStart w:id="170" w:name="_Toc152847651"/>
      <w:r>
        <w:t>Additional regulatory obligations to apply to PSCs</w:t>
      </w:r>
      <w:bookmarkEnd w:id="169"/>
      <w:bookmarkEnd w:id="170"/>
    </w:p>
    <w:p w14:paraId="315AAB3C" w14:textId="77777777" w:rsidR="000F3850" w:rsidRDefault="000F3850" w:rsidP="00AB3D0E">
      <w:pPr>
        <w:pStyle w:val="Heading3"/>
      </w:pPr>
      <w:bookmarkStart w:id="171" w:name="_Toc149230965"/>
      <w:r w:rsidRPr="00C9048F">
        <w:t>Size threshold for PSCs</w:t>
      </w:r>
      <w:bookmarkEnd w:id="171"/>
    </w:p>
    <w:p w14:paraId="089CC669" w14:textId="2C9855BE" w:rsidR="00534D16" w:rsidRDefault="00CB2AB0" w:rsidP="00242503">
      <w:pPr>
        <w:rPr>
          <w:rFonts w:cs="Calibri Light"/>
          <w:szCs w:val="22"/>
        </w:rPr>
      </w:pPr>
      <w:r w:rsidRPr="00C9048F">
        <w:rPr>
          <w:rFonts w:cs="Calibri Light"/>
          <w:szCs w:val="22"/>
        </w:rPr>
        <w:t xml:space="preserve">In light of the </w:t>
      </w:r>
      <w:r w:rsidR="00EA1428">
        <w:rPr>
          <w:rFonts w:cs="Calibri Light"/>
          <w:szCs w:val="22"/>
        </w:rPr>
        <w:t xml:space="preserve">discussion in </w:t>
      </w:r>
      <w:r w:rsidR="009E5B09">
        <w:rPr>
          <w:rFonts w:cs="Calibri Light"/>
          <w:b/>
          <w:szCs w:val="22"/>
        </w:rPr>
        <w:t>S</w:t>
      </w:r>
      <w:r w:rsidR="009E5B09" w:rsidRPr="005178AE">
        <w:rPr>
          <w:rFonts w:cs="Calibri Light"/>
          <w:b/>
          <w:szCs w:val="22"/>
        </w:rPr>
        <w:t xml:space="preserve">ection </w:t>
      </w:r>
      <w:r w:rsidR="00104954">
        <w:rPr>
          <w:rFonts w:cs="Calibri Light"/>
          <w:b/>
          <w:szCs w:val="22"/>
        </w:rPr>
        <w:t>6.1</w:t>
      </w:r>
      <w:r w:rsidRPr="00C9048F">
        <w:rPr>
          <w:rFonts w:cs="Calibri Light"/>
          <w:szCs w:val="22"/>
        </w:rPr>
        <w:t xml:space="preserve">, the size threshold for Major PSCs </w:t>
      </w:r>
      <w:r w:rsidR="00B524D2">
        <w:rPr>
          <w:rFonts w:cs="Calibri Light"/>
          <w:szCs w:val="22"/>
        </w:rPr>
        <w:t xml:space="preserve">is proposed to </w:t>
      </w:r>
      <w:r w:rsidRPr="00C9048F">
        <w:rPr>
          <w:rFonts w:cs="Calibri Light"/>
          <w:szCs w:val="22"/>
        </w:rPr>
        <w:t xml:space="preserve">align </w:t>
      </w:r>
      <w:r w:rsidR="00B524D2">
        <w:rPr>
          <w:rFonts w:cs="Calibri Light"/>
          <w:szCs w:val="22"/>
        </w:rPr>
        <w:t>with</w:t>
      </w:r>
      <w:r w:rsidR="00B524D2" w:rsidRPr="00C9048F">
        <w:rPr>
          <w:rFonts w:cs="Calibri Light"/>
          <w:szCs w:val="22"/>
        </w:rPr>
        <w:t xml:space="preserve"> </w:t>
      </w:r>
      <w:r w:rsidRPr="00C9048F">
        <w:rPr>
          <w:rFonts w:cs="Calibri Light"/>
          <w:szCs w:val="22"/>
        </w:rPr>
        <w:t xml:space="preserve">traditional SVFs and be amended from $50 million to $100 million. This will also provide issuers </w:t>
      </w:r>
      <w:r w:rsidR="00030321">
        <w:rPr>
          <w:rFonts w:cs="Calibri Light"/>
          <w:szCs w:val="22"/>
        </w:rPr>
        <w:t>of</w:t>
      </w:r>
      <w:r w:rsidRPr="00C9048F">
        <w:rPr>
          <w:rFonts w:cs="Calibri Light"/>
          <w:szCs w:val="22"/>
        </w:rPr>
        <w:t xml:space="preserve"> PSC </w:t>
      </w:r>
      <w:r w:rsidR="00030321">
        <w:rPr>
          <w:rFonts w:cs="Calibri Light"/>
          <w:szCs w:val="22"/>
        </w:rPr>
        <w:t>facilities</w:t>
      </w:r>
      <w:r w:rsidRPr="00C9048F">
        <w:rPr>
          <w:rFonts w:cs="Calibri Light"/>
          <w:szCs w:val="22"/>
        </w:rPr>
        <w:t xml:space="preserve"> </w:t>
      </w:r>
      <w:r w:rsidR="0034281F">
        <w:rPr>
          <w:rFonts w:cs="Calibri Light"/>
          <w:szCs w:val="22"/>
        </w:rPr>
        <w:t>more</w:t>
      </w:r>
      <w:r w:rsidR="0034281F" w:rsidRPr="00C9048F">
        <w:rPr>
          <w:rFonts w:cs="Calibri Light"/>
          <w:szCs w:val="22"/>
        </w:rPr>
        <w:t xml:space="preserve"> </w:t>
      </w:r>
      <w:r w:rsidRPr="00C9048F">
        <w:rPr>
          <w:rFonts w:cs="Calibri Light"/>
          <w:szCs w:val="22"/>
        </w:rPr>
        <w:t xml:space="preserve">time to start preparing for an APRA </w:t>
      </w:r>
      <w:r w:rsidR="00A708CB" w:rsidRPr="00C9048F">
        <w:rPr>
          <w:rFonts w:cs="Calibri Light"/>
          <w:szCs w:val="22"/>
        </w:rPr>
        <w:t>licen</w:t>
      </w:r>
      <w:r w:rsidR="00A708CB">
        <w:rPr>
          <w:rFonts w:cs="Calibri Light"/>
          <w:szCs w:val="22"/>
        </w:rPr>
        <w:t>c</w:t>
      </w:r>
      <w:r w:rsidR="00A708CB" w:rsidRPr="00C9048F">
        <w:rPr>
          <w:rFonts w:cs="Calibri Light"/>
          <w:szCs w:val="22"/>
        </w:rPr>
        <w:t xml:space="preserve">e </w:t>
      </w:r>
      <w:r w:rsidRPr="00C9048F">
        <w:rPr>
          <w:rFonts w:cs="Calibri Light"/>
          <w:szCs w:val="22"/>
        </w:rPr>
        <w:t xml:space="preserve">as their business starts to </w:t>
      </w:r>
      <w:r>
        <w:rPr>
          <w:rFonts w:cs="Calibri Light"/>
          <w:szCs w:val="22"/>
        </w:rPr>
        <w:t>grow</w:t>
      </w:r>
      <w:r w:rsidRPr="00C9048F">
        <w:rPr>
          <w:rFonts w:cs="Calibri Light"/>
          <w:szCs w:val="22"/>
        </w:rPr>
        <w:t>.</w:t>
      </w:r>
    </w:p>
    <w:p w14:paraId="4D6C3279" w14:textId="0B6A5DE4" w:rsidR="00D556FF" w:rsidRDefault="00E110A8" w:rsidP="00242503">
      <w:pPr>
        <w:rPr>
          <w:rFonts w:cs="Calibri Light"/>
          <w:szCs w:val="22"/>
        </w:rPr>
      </w:pPr>
      <w:r>
        <w:t>I</w:t>
      </w:r>
      <w:r w:rsidR="00D556FF">
        <w:t>ssuers of PSC facilities will be subject to the</w:t>
      </w:r>
      <w:r w:rsidR="00D556FF">
        <w:rPr>
          <w:rFonts w:cs="Calibri Light"/>
          <w:szCs w:val="22"/>
        </w:rPr>
        <w:t xml:space="preserve"> same regulatory obligations as traditional SVF facilities under the AFS regime. This includes client money rules for management of funds backing the PSCs, disclosure requirements, capital requirements, an appropriate risk management framework (including </w:t>
      </w:r>
      <w:r w:rsidR="004651CB">
        <w:rPr>
          <w:rFonts w:cs="Calibri Light"/>
          <w:szCs w:val="22"/>
        </w:rPr>
        <w:t xml:space="preserve">information technology </w:t>
      </w:r>
      <w:r w:rsidR="00943A79">
        <w:rPr>
          <w:rFonts w:cs="Calibri Light"/>
          <w:szCs w:val="22"/>
        </w:rPr>
        <w:t>(IT)</w:t>
      </w:r>
      <w:r w:rsidR="004651CB">
        <w:rPr>
          <w:rFonts w:cs="Calibri Light"/>
          <w:szCs w:val="22"/>
        </w:rPr>
        <w:t xml:space="preserve"> </w:t>
      </w:r>
      <w:r w:rsidR="00D556FF">
        <w:rPr>
          <w:rFonts w:cs="Calibri Light"/>
          <w:szCs w:val="22"/>
        </w:rPr>
        <w:t>and operational risks tailored to issuers of PSCs) and other AFS</w:t>
      </w:r>
      <w:r w:rsidR="00E705BA">
        <w:rPr>
          <w:rFonts w:cs="Calibri Light"/>
          <w:szCs w:val="22"/>
        </w:rPr>
        <w:t>-</w:t>
      </w:r>
      <w:r w:rsidR="00D556FF">
        <w:rPr>
          <w:rFonts w:cs="Calibri Light"/>
          <w:szCs w:val="22"/>
        </w:rPr>
        <w:t xml:space="preserve">related requirements. Requirements that are specific to PSC issuers are highlighted below. </w:t>
      </w:r>
    </w:p>
    <w:p w14:paraId="777C283F" w14:textId="797C40F5" w:rsidR="00B02EAA" w:rsidRPr="009B4DDA" w:rsidRDefault="00D556FF" w:rsidP="00AB3D0E">
      <w:pPr>
        <w:pStyle w:val="Heading3"/>
      </w:pPr>
      <w:bookmarkStart w:id="172" w:name="_Toc149230966"/>
      <w:r>
        <w:t>Disclosure requirements</w:t>
      </w:r>
      <w:bookmarkEnd w:id="172"/>
    </w:p>
    <w:p w14:paraId="5203B12D" w14:textId="4CE53C52" w:rsidR="009F0D1E" w:rsidRDefault="00407E98" w:rsidP="00242503">
      <w:pPr>
        <w:rPr>
          <w:rFonts w:cs="Calibri Light"/>
          <w:szCs w:val="22"/>
        </w:rPr>
      </w:pPr>
      <w:r>
        <w:t>I</w:t>
      </w:r>
      <w:r w:rsidR="009F0D1E">
        <w:t>ssuers of PSC facilities will be required to pub</w:t>
      </w:r>
      <w:r w:rsidR="009F0D1E">
        <w:rPr>
          <w:rFonts w:cs="Calibri Light"/>
          <w:szCs w:val="22"/>
        </w:rPr>
        <w:t>licly disclose the composition of reserve assets monthly along with</w:t>
      </w:r>
      <w:r w:rsidR="009F0D1E" w:rsidDel="00D945BC">
        <w:rPr>
          <w:rFonts w:cs="Calibri Light"/>
          <w:szCs w:val="22"/>
        </w:rPr>
        <w:t xml:space="preserve"> </w:t>
      </w:r>
      <w:r w:rsidR="009F0D1E">
        <w:rPr>
          <w:rFonts w:cs="Calibri Light"/>
          <w:szCs w:val="22"/>
        </w:rPr>
        <w:t xml:space="preserve">proof of liabilities. Furthermore, issuers will be required to provide independent attestation of the composition of these assets and </w:t>
      </w:r>
      <w:r w:rsidR="00D945BC">
        <w:rPr>
          <w:rFonts w:cs="Calibri Light"/>
          <w:szCs w:val="22"/>
        </w:rPr>
        <w:t>undertake</w:t>
      </w:r>
      <w:r w:rsidR="00CE7BE8">
        <w:rPr>
          <w:rFonts w:cs="Calibri Light"/>
          <w:szCs w:val="22"/>
        </w:rPr>
        <w:t xml:space="preserve"> </w:t>
      </w:r>
      <w:r w:rsidR="009F0D1E">
        <w:rPr>
          <w:rFonts w:cs="Calibri Light"/>
          <w:szCs w:val="22"/>
        </w:rPr>
        <w:t>an annual audit by a registered public accounting firm.</w:t>
      </w:r>
    </w:p>
    <w:p w14:paraId="60C91E07" w14:textId="708BF30B" w:rsidR="00B52F81" w:rsidRDefault="00B52F81" w:rsidP="00242503">
      <w:pPr>
        <w:rPr>
          <w:rFonts w:cs="Calibri Light"/>
          <w:szCs w:val="22"/>
        </w:rPr>
      </w:pPr>
      <w:r>
        <w:t>Under the SVF framework, the usual disclosure requirements will apply</w:t>
      </w:r>
      <w:r w:rsidR="00D86858">
        <w:t>,</w:t>
      </w:r>
      <w:r>
        <w:t xml:space="preserve"> which will include providing a PDS. U</w:t>
      </w:r>
      <w:r w:rsidRPr="004D3155">
        <w:rPr>
          <w:rFonts w:cs="Calibri Light"/>
          <w:szCs w:val="22"/>
        </w:rPr>
        <w:t xml:space="preserve">nder the digital asset </w:t>
      </w:r>
      <w:r>
        <w:rPr>
          <w:rFonts w:cs="Calibri Light"/>
          <w:szCs w:val="22"/>
        </w:rPr>
        <w:t>facilities</w:t>
      </w:r>
      <w:r w:rsidRPr="004D3155">
        <w:rPr>
          <w:rFonts w:cs="Calibri Light"/>
          <w:szCs w:val="22"/>
        </w:rPr>
        <w:t xml:space="preserve"> framework, a customer acquiring a non-financial </w:t>
      </w:r>
      <w:r>
        <w:rPr>
          <w:rFonts w:cs="Calibri Light"/>
          <w:szCs w:val="22"/>
        </w:rPr>
        <w:t>product digital asset from the secondary market</w:t>
      </w:r>
      <w:r w:rsidRPr="004D3155">
        <w:rPr>
          <w:rFonts w:cs="Calibri Light"/>
          <w:szCs w:val="22"/>
        </w:rPr>
        <w:t xml:space="preserve"> would need to be provided with a document setting out the terms and conditions that apply to token holders. In the case of PSC tokens, this would be contained in the PDS</w:t>
      </w:r>
      <w:r>
        <w:rPr>
          <w:rFonts w:cs="Calibri Light"/>
          <w:szCs w:val="22"/>
        </w:rPr>
        <w:t xml:space="preserve"> created by the providers of the PSC facility</w:t>
      </w:r>
      <w:r w:rsidRPr="004D3155">
        <w:rPr>
          <w:rFonts w:cs="Calibri Light"/>
          <w:szCs w:val="22"/>
        </w:rPr>
        <w:t>.</w:t>
      </w:r>
      <w:r w:rsidRPr="00373EEA">
        <w:rPr>
          <w:rFonts w:cs="Calibri Light"/>
          <w:szCs w:val="22"/>
        </w:rPr>
        <w:t xml:space="preserve"> </w:t>
      </w:r>
    </w:p>
    <w:p w14:paraId="1023D786" w14:textId="77777777" w:rsidR="00045C11" w:rsidRDefault="00045C11" w:rsidP="00AB3D0E">
      <w:pPr>
        <w:pStyle w:val="Heading3"/>
      </w:pPr>
      <w:bookmarkStart w:id="173" w:name="_Toc149230967"/>
      <w:r>
        <w:t>Redemption rights</w:t>
      </w:r>
      <w:bookmarkEnd w:id="173"/>
      <w:r w:rsidR="00E9516A" w:rsidRPr="00985CAE">
        <w:t xml:space="preserve"> </w:t>
      </w:r>
    </w:p>
    <w:p w14:paraId="7B7FB32E" w14:textId="38187698" w:rsidR="00700080" w:rsidRDefault="00700080" w:rsidP="00242503">
      <w:pPr>
        <w:rPr>
          <w:rFonts w:cs="Calibri Light"/>
          <w:szCs w:val="22"/>
        </w:rPr>
      </w:pPr>
      <w:r>
        <w:t>Most submissions suggest th</w:t>
      </w:r>
      <w:r w:rsidR="00F13F19">
        <w:t>at</w:t>
      </w:r>
      <w:r>
        <w:t xml:space="preserve"> PSCs should represent a claim of the customer on the issuer. </w:t>
      </w:r>
      <w:r w:rsidR="00D5068D">
        <w:t>It is proposed that</w:t>
      </w:r>
      <w:r>
        <w:t xml:space="preserve"> all </w:t>
      </w:r>
      <w:r w:rsidR="00C86C90">
        <w:t>issuers of</w:t>
      </w:r>
      <w:r>
        <w:t xml:space="preserve"> PSC fa</w:t>
      </w:r>
      <w:r>
        <w:rPr>
          <w:rFonts w:cs="Calibri Light"/>
          <w:szCs w:val="22"/>
        </w:rPr>
        <w:t xml:space="preserve">cilities will provide PSC token holders a direct and clear legal claim to redeem PSCs for fiat currency at par value. Any restrictions placed on the redemption of the issued tokens should be clearly articulated in the PDS or a separate redemption policy. The issuers of PSC facility should not place unnecessary restriction for redemption of PSC tokens and should ensure any fees charged are reasonable and clearly communicated. They should also ensure that all redemptions are completed within a reasonable timeframe acknowledging the nature of near instant settlements on a Distributed Ledger Technology Platform. </w:t>
      </w:r>
    </w:p>
    <w:p w14:paraId="3A57D74D" w14:textId="40DC33F8" w:rsidR="00734466" w:rsidRPr="00985CAE" w:rsidRDefault="00700080" w:rsidP="00AB3D0E">
      <w:pPr>
        <w:pStyle w:val="Heading3"/>
      </w:pPr>
      <w:bookmarkStart w:id="174" w:name="_Toc149230968"/>
      <w:r>
        <w:lastRenderedPageBreak/>
        <w:t>Management of reserve assets</w:t>
      </w:r>
      <w:bookmarkEnd w:id="174"/>
      <w:r>
        <w:t xml:space="preserve"> </w:t>
      </w:r>
    </w:p>
    <w:p w14:paraId="78900D32" w14:textId="755E3FC8" w:rsidR="00F27F85" w:rsidRPr="001D63B7" w:rsidRDefault="001D21B2" w:rsidP="00242503">
      <w:pPr>
        <w:rPr>
          <w:rFonts w:cs="Calibri Light"/>
          <w:szCs w:val="22"/>
        </w:rPr>
      </w:pPr>
      <w:r>
        <w:rPr>
          <w:rFonts w:cs="Calibri Light"/>
          <w:szCs w:val="22"/>
        </w:rPr>
        <w:t>I</w:t>
      </w:r>
      <w:r w:rsidR="00C86C90">
        <w:rPr>
          <w:rFonts w:cs="Calibri Light"/>
          <w:szCs w:val="22"/>
        </w:rPr>
        <w:t>ssuers of</w:t>
      </w:r>
      <w:r w:rsidR="00F27F85">
        <w:rPr>
          <w:rFonts w:cs="Calibri Light"/>
          <w:szCs w:val="22"/>
        </w:rPr>
        <w:t xml:space="preserve"> PSC facilities will be required to maintain their reserves in high quality and highly liquid assets as determined under </w:t>
      </w:r>
      <w:r w:rsidR="00AE5CBD">
        <w:rPr>
          <w:rFonts w:cs="Calibri Light"/>
          <w:szCs w:val="22"/>
        </w:rPr>
        <w:t>client</w:t>
      </w:r>
      <w:r w:rsidR="00F27F85" w:rsidDel="00AE5CBD">
        <w:rPr>
          <w:rFonts w:cs="Calibri Light"/>
          <w:szCs w:val="22"/>
        </w:rPr>
        <w:t xml:space="preserve"> </w:t>
      </w:r>
      <w:r w:rsidR="00AE5CBD">
        <w:rPr>
          <w:rFonts w:cs="Calibri Light"/>
          <w:szCs w:val="22"/>
        </w:rPr>
        <w:t>money</w:t>
      </w:r>
      <w:r w:rsidR="00F27F85">
        <w:rPr>
          <w:rFonts w:cs="Calibri Light"/>
          <w:szCs w:val="22"/>
        </w:rPr>
        <w:t xml:space="preserve"> rules or as determined by APRA for Major PSCs. By applying the </w:t>
      </w:r>
      <w:r w:rsidR="00AE5CBD">
        <w:rPr>
          <w:rFonts w:cs="Calibri Light"/>
          <w:szCs w:val="22"/>
        </w:rPr>
        <w:t>client</w:t>
      </w:r>
      <w:r w:rsidR="00F27F85" w:rsidDel="00AE5CBD">
        <w:rPr>
          <w:rFonts w:cs="Calibri Light"/>
          <w:szCs w:val="22"/>
        </w:rPr>
        <w:t xml:space="preserve"> </w:t>
      </w:r>
      <w:r w:rsidR="00AE5CBD">
        <w:rPr>
          <w:rFonts w:cs="Calibri Light"/>
          <w:szCs w:val="22"/>
        </w:rPr>
        <w:t>money</w:t>
      </w:r>
      <w:r w:rsidR="00F27F85">
        <w:rPr>
          <w:rFonts w:cs="Calibri Light"/>
          <w:szCs w:val="22"/>
        </w:rPr>
        <w:t xml:space="preserve"> rules</w:t>
      </w:r>
      <w:r w:rsidR="00F171DB">
        <w:rPr>
          <w:rFonts w:cs="Calibri Light"/>
          <w:szCs w:val="22"/>
        </w:rPr>
        <w:t>,</w:t>
      </w:r>
      <w:r w:rsidR="00F27F85">
        <w:rPr>
          <w:rFonts w:cs="Calibri Light"/>
          <w:szCs w:val="22"/>
        </w:rPr>
        <w:t xml:space="preserve"> a</w:t>
      </w:r>
      <w:r w:rsidR="00F27F85" w:rsidRPr="001D63B7">
        <w:rPr>
          <w:rFonts w:cs="Calibri Light"/>
          <w:szCs w:val="22"/>
        </w:rPr>
        <w:t xml:space="preserve">ll reserves assets backing the PSCs </w:t>
      </w:r>
      <w:r w:rsidR="00F27F85">
        <w:rPr>
          <w:rFonts w:cs="Calibri Light"/>
          <w:szCs w:val="22"/>
        </w:rPr>
        <w:t>will</w:t>
      </w:r>
      <w:r w:rsidR="00F27F85" w:rsidRPr="001D63B7">
        <w:rPr>
          <w:rFonts w:cs="Calibri Light"/>
          <w:szCs w:val="22"/>
        </w:rPr>
        <w:t xml:space="preserve"> be segregated from the issuers own assets that are not used for backing the PSC</w:t>
      </w:r>
      <w:r w:rsidR="00F27F85">
        <w:rPr>
          <w:rFonts w:cs="Calibri Light"/>
          <w:szCs w:val="22"/>
        </w:rPr>
        <w:t xml:space="preserve"> tokens</w:t>
      </w:r>
      <w:r w:rsidR="00F171DB">
        <w:rPr>
          <w:rFonts w:cs="Calibri Light"/>
          <w:szCs w:val="22"/>
        </w:rPr>
        <w:t>,</w:t>
      </w:r>
      <w:r w:rsidR="00F27F85" w:rsidRPr="001D63B7">
        <w:rPr>
          <w:rFonts w:cs="Calibri Light"/>
          <w:szCs w:val="22"/>
        </w:rPr>
        <w:t xml:space="preserve"> to ensure assets are not rehypothecated and are used for its stated purpose which is to collateralise the </w:t>
      </w:r>
      <w:bookmarkStart w:id="175" w:name="_Hlk149220417"/>
      <w:r w:rsidR="00F27F85" w:rsidRPr="001D63B7">
        <w:rPr>
          <w:rFonts w:cs="Calibri Light"/>
          <w:szCs w:val="22"/>
        </w:rPr>
        <w:t xml:space="preserve">issued PSCs. </w:t>
      </w:r>
      <w:bookmarkEnd w:id="175"/>
    </w:p>
    <w:p w14:paraId="4957217D" w14:textId="77777777" w:rsidR="00F27F85" w:rsidRDefault="00F27F85" w:rsidP="00242503">
      <w:pPr>
        <w:rPr>
          <w:rFonts w:cs="Calibri Light"/>
          <w:szCs w:val="22"/>
        </w:rPr>
      </w:pPr>
      <w:r w:rsidRPr="001D63B7">
        <w:rPr>
          <w:rFonts w:cs="Calibri Light"/>
          <w:szCs w:val="22"/>
        </w:rPr>
        <w:t>These assets must be marked-to-market on a daily basis, be equivalent to at least 100% of the par value of all the PSC</w:t>
      </w:r>
      <w:r>
        <w:rPr>
          <w:rFonts w:cs="Calibri Light"/>
          <w:szCs w:val="22"/>
        </w:rPr>
        <w:t xml:space="preserve"> tokens</w:t>
      </w:r>
      <w:r w:rsidRPr="001D63B7">
        <w:rPr>
          <w:rFonts w:cs="Calibri Light"/>
          <w:szCs w:val="22"/>
        </w:rPr>
        <w:t xml:space="preserve"> issued at all times, and be denominated in the same currency as the pegged currency. </w:t>
      </w:r>
    </w:p>
    <w:p w14:paraId="3DA7D248" w14:textId="7A2E3A06" w:rsidR="00985CAE" w:rsidRPr="00985CAE" w:rsidRDefault="00F27F85" w:rsidP="00AB3D0E">
      <w:pPr>
        <w:pStyle w:val="Heading3"/>
      </w:pPr>
      <w:bookmarkStart w:id="176" w:name="_Toc149230969"/>
      <w:r>
        <w:t>Other obligations for Major PSC issuers</w:t>
      </w:r>
      <w:bookmarkEnd w:id="176"/>
    </w:p>
    <w:p w14:paraId="224F92A5" w14:textId="1497AB92" w:rsidR="00BA1612" w:rsidRDefault="00BA1612" w:rsidP="00242503">
      <w:bookmarkStart w:id="177" w:name="_Toc149230970"/>
      <w:r>
        <w:t>For Major PSCs, additional capital requirements will be determined by APRA under the enhanced prudential framework and will consider the holistic risks of the PSC arrangement, and how those risks are managed by the issuer. APRA will also consider prudential requirements commensurate with the risks of the PSC arrangement, with particular attention to the range of operational, including IT, risks.</w:t>
      </w:r>
    </w:p>
    <w:p w14:paraId="5451541E" w14:textId="02A83659" w:rsidR="000337DE" w:rsidRPr="00985CAE" w:rsidRDefault="00E9516A" w:rsidP="00AB3D0E">
      <w:pPr>
        <w:pStyle w:val="Heading3"/>
      </w:pPr>
      <w:r>
        <w:t xml:space="preserve">Prudential treatment of </w:t>
      </w:r>
      <w:r w:rsidR="00024383">
        <w:t>b</w:t>
      </w:r>
      <w:r w:rsidR="000337DE">
        <w:t xml:space="preserve">ank issued </w:t>
      </w:r>
      <w:r>
        <w:t>stablecoins</w:t>
      </w:r>
      <w:bookmarkEnd w:id="177"/>
    </w:p>
    <w:p w14:paraId="3D0889B7" w14:textId="576FC38D" w:rsidR="00A46180" w:rsidRDefault="00A922CB" w:rsidP="00242503">
      <w:r w:rsidRPr="009B4DDA">
        <w:t xml:space="preserve">Some </w:t>
      </w:r>
      <w:r w:rsidR="00B71948">
        <w:t>submissions</w:t>
      </w:r>
      <w:r w:rsidRPr="009B4DDA">
        <w:rPr>
          <w:rFonts w:cs="Calibri Light"/>
          <w:szCs w:val="22"/>
        </w:rPr>
        <w:t xml:space="preserve"> queried how bank issued stablecoins pegged to a single currency </w:t>
      </w:r>
      <w:r w:rsidR="00AF27E1">
        <w:rPr>
          <w:rFonts w:cs="Calibri Light"/>
          <w:szCs w:val="22"/>
        </w:rPr>
        <w:t xml:space="preserve">would </w:t>
      </w:r>
      <w:r w:rsidRPr="009B4DDA">
        <w:rPr>
          <w:rFonts w:cs="Calibri Light"/>
          <w:szCs w:val="22"/>
        </w:rPr>
        <w:t xml:space="preserve">be regulated under the proposed SVF framework. </w:t>
      </w:r>
      <w:r w:rsidR="00C82DF2">
        <w:rPr>
          <w:rFonts w:cs="Calibri Light"/>
          <w:szCs w:val="22"/>
        </w:rPr>
        <w:t xml:space="preserve">The prudential requirements under the </w:t>
      </w:r>
      <w:r w:rsidRPr="009B4DDA">
        <w:rPr>
          <w:rFonts w:cs="Calibri Light"/>
          <w:szCs w:val="22"/>
        </w:rPr>
        <w:t xml:space="preserve">SVF framework will </w:t>
      </w:r>
      <w:r w:rsidRPr="00507343">
        <w:rPr>
          <w:rFonts w:cs="Calibri Light"/>
          <w:b/>
          <w:szCs w:val="22"/>
        </w:rPr>
        <w:t>only</w:t>
      </w:r>
      <w:r w:rsidRPr="009B4DDA">
        <w:rPr>
          <w:rFonts w:cs="Calibri Light"/>
          <w:szCs w:val="22"/>
        </w:rPr>
        <w:t xml:space="preserve"> apply to non-bank issued stablecoins which require all </w:t>
      </w:r>
      <w:r w:rsidR="006948D1">
        <w:rPr>
          <w:rFonts w:cs="Calibri Light"/>
          <w:szCs w:val="22"/>
        </w:rPr>
        <w:t>non-bank</w:t>
      </w:r>
      <w:r w:rsidRPr="009B4DDA">
        <w:rPr>
          <w:rFonts w:cs="Calibri Light"/>
          <w:szCs w:val="22"/>
        </w:rPr>
        <w:t xml:space="preserve"> issued stablecoins to be collateralised 1:1 with appropriate reserves. Banks that issue stablecoins by tokenising liabilities of the bank</w:t>
      </w:r>
      <w:r>
        <w:rPr>
          <w:rFonts w:cs="Calibri Light"/>
          <w:szCs w:val="22"/>
        </w:rPr>
        <w:t xml:space="preserve"> or by holding 1:1 reserves for each token issued</w:t>
      </w:r>
      <w:r w:rsidRPr="009B4DDA">
        <w:rPr>
          <w:rFonts w:cs="Calibri Light"/>
          <w:szCs w:val="22"/>
        </w:rPr>
        <w:t xml:space="preserve"> are already prudentially regulated and subjected to a higher regulatory threshold. Furthermore, given the risk profile of a tokenised </w:t>
      </w:r>
      <w:r>
        <w:rPr>
          <w:rFonts w:cs="Calibri Light"/>
          <w:szCs w:val="22"/>
        </w:rPr>
        <w:t>deposit (liability)</w:t>
      </w:r>
      <w:r w:rsidRPr="009B4DDA">
        <w:rPr>
          <w:rFonts w:cs="Calibri Light"/>
          <w:szCs w:val="22"/>
        </w:rPr>
        <w:t xml:space="preserve"> could be different to that of a fiat-backed fully collateralised stablecoin, any additional prudential obligations </w:t>
      </w:r>
      <w:r>
        <w:rPr>
          <w:rFonts w:cs="Calibri Light"/>
          <w:szCs w:val="22"/>
        </w:rPr>
        <w:t xml:space="preserve">for banks </w:t>
      </w:r>
      <w:r w:rsidRPr="009B4DDA">
        <w:rPr>
          <w:rFonts w:cs="Calibri Light"/>
          <w:szCs w:val="22"/>
        </w:rPr>
        <w:t xml:space="preserve">will be considered by APRA </w:t>
      </w:r>
      <w:r>
        <w:rPr>
          <w:rFonts w:cs="Calibri Light"/>
          <w:szCs w:val="22"/>
        </w:rPr>
        <w:t xml:space="preserve">on an individual basis and will take into consideration </w:t>
      </w:r>
      <w:r w:rsidRPr="009B4DDA">
        <w:rPr>
          <w:rFonts w:cs="Calibri Light"/>
          <w:szCs w:val="22"/>
        </w:rPr>
        <w:t xml:space="preserve">the </w:t>
      </w:r>
      <w:r>
        <w:rPr>
          <w:rFonts w:cs="Calibri Light"/>
          <w:szCs w:val="22"/>
        </w:rPr>
        <w:t xml:space="preserve">broader </w:t>
      </w:r>
      <w:r w:rsidRPr="009B4DDA">
        <w:rPr>
          <w:rFonts w:cs="Calibri Light"/>
          <w:szCs w:val="22"/>
        </w:rPr>
        <w:t>review of the prudential regime in 2025</w:t>
      </w:r>
      <w:r>
        <w:rPr>
          <w:rFonts w:cs="Calibri Light"/>
          <w:szCs w:val="22"/>
        </w:rPr>
        <w:t>.</w:t>
      </w:r>
      <w:bookmarkStart w:id="178" w:name="_Ref148516506"/>
      <w:bookmarkStart w:id="179" w:name="_Ref148516509"/>
      <w:bookmarkStart w:id="180" w:name="_Ref148619651"/>
      <w:bookmarkStart w:id="181" w:name="_Toc149230972"/>
    </w:p>
    <w:tbl>
      <w:tblPr>
        <w:tblStyle w:val="TableGrid"/>
        <w:tblW w:w="0" w:type="auto"/>
        <w:tblLook w:val="04A0" w:firstRow="1" w:lastRow="0" w:firstColumn="1" w:lastColumn="0" w:noHBand="0" w:noVBand="1"/>
      </w:tblPr>
      <w:tblGrid>
        <w:gridCol w:w="9070"/>
      </w:tblGrid>
      <w:tr w:rsidR="002A7DD4" w14:paraId="18A4894A"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216F3E32" w14:textId="77777777" w:rsidR="002A7DD4" w:rsidRPr="009F68DC" w:rsidRDefault="002A7DD4" w:rsidP="00DF715D">
            <w:pPr>
              <w:pStyle w:val="BoxHeading"/>
              <w:rPr>
                <w:rFonts w:asciiTheme="minorHAnsi" w:hAnsiTheme="minorHAnsi" w:cstheme="minorHAnsi"/>
                <w:b/>
                <w:bCs w:val="0"/>
              </w:rPr>
            </w:pPr>
            <w:r w:rsidRPr="00087DAE">
              <w:rPr>
                <w:rFonts w:asciiTheme="minorHAnsi" w:hAnsiTheme="minorHAnsi" w:cstheme="minorHAnsi"/>
                <w:b/>
              </w:rPr>
              <w:t>Consultation questions</w:t>
            </w:r>
          </w:p>
          <w:p w14:paraId="43B1D77C" w14:textId="0734E2F7" w:rsidR="002A7DD4" w:rsidRPr="001D123F" w:rsidRDefault="00AB55D3">
            <w:pPr>
              <w:pStyle w:val="Consultationquestions"/>
              <w:numPr>
                <w:ilvl w:val="0"/>
                <w:numId w:val="100"/>
              </w:numPr>
            </w:pPr>
            <w:bookmarkStart w:id="182" w:name="_Ref151640545"/>
            <w:r>
              <w:t>Are</w:t>
            </w:r>
            <w:r w:rsidR="002A7DD4" w:rsidRPr="001D123F">
              <w:t xml:space="preserve"> the proposed </w:t>
            </w:r>
            <w:r>
              <w:t xml:space="preserve">obligations under the SVF </w:t>
            </w:r>
            <w:r w:rsidR="002A7DD4">
              <w:t>framework appropriate</w:t>
            </w:r>
            <w:r>
              <w:t xml:space="preserve"> for PSCs? Should there be </w:t>
            </w:r>
            <w:r w:rsidR="004F2FA4">
              <w:t>additional obligations considered for the regulation of PSCs</w:t>
            </w:r>
            <w:r w:rsidR="002A7DD4">
              <w:t>?</w:t>
            </w:r>
            <w:bookmarkEnd w:id="182"/>
            <w:r w:rsidR="002A7DD4" w:rsidRPr="001D123F">
              <w:t xml:space="preserve"> </w:t>
            </w:r>
          </w:p>
        </w:tc>
      </w:tr>
    </w:tbl>
    <w:p w14:paraId="4BF2DE1C" w14:textId="77777777" w:rsidR="003D7426" w:rsidRDefault="003D7426" w:rsidP="00E42AA2">
      <w:pPr>
        <w:rPr>
          <w:rFonts w:ascii="Calibri" w:hAnsi="Calibri" w:cs="Arial"/>
          <w:color w:val="5D779D" w:themeColor="accent3"/>
          <w:kern w:val="32"/>
          <w:sz w:val="44"/>
          <w:szCs w:val="36"/>
        </w:rPr>
      </w:pPr>
      <w:bookmarkStart w:id="183" w:name="_Ref151640550"/>
      <w:r>
        <w:br w:type="page"/>
      </w:r>
      <w:bookmarkEnd w:id="183"/>
    </w:p>
    <w:p w14:paraId="469CE3A2" w14:textId="42FA6B65" w:rsidR="000B4007" w:rsidRDefault="009B526B" w:rsidP="00EE5400">
      <w:pPr>
        <w:pStyle w:val="Heading1"/>
        <w:jc w:val="both"/>
      </w:pPr>
      <w:bookmarkStart w:id="184" w:name="_Ref151640565"/>
      <w:bookmarkStart w:id="185" w:name="_Ref152060500"/>
      <w:bookmarkStart w:id="186" w:name="_Ref152060505"/>
      <w:bookmarkStart w:id="187" w:name="_Toc152847652"/>
      <w:bookmarkEnd w:id="178"/>
      <w:bookmarkEnd w:id="179"/>
      <w:bookmarkEnd w:id="180"/>
      <w:bookmarkEnd w:id="181"/>
      <w:r>
        <w:lastRenderedPageBreak/>
        <w:t>Common access requirements</w:t>
      </w:r>
      <w:bookmarkEnd w:id="184"/>
      <w:bookmarkEnd w:id="185"/>
      <w:bookmarkEnd w:id="186"/>
      <w:bookmarkEnd w:id="187"/>
    </w:p>
    <w:p w14:paraId="539D088A" w14:textId="76B4A321" w:rsidR="00D1621C" w:rsidRDefault="00B60065" w:rsidP="00242503">
      <w:r>
        <w:t>T</w:t>
      </w:r>
      <w:r w:rsidR="00835AB3">
        <w:t xml:space="preserve">he common access requirements </w:t>
      </w:r>
      <w:r w:rsidR="00777BCD">
        <w:t>(CARs)</w:t>
      </w:r>
      <w:r>
        <w:t xml:space="preserve"> are</w:t>
      </w:r>
      <w:r w:rsidR="00912648">
        <w:t xml:space="preserve"> a </w:t>
      </w:r>
      <w:r w:rsidR="00631A3E">
        <w:t xml:space="preserve">proposed </w:t>
      </w:r>
      <w:r w:rsidR="00912648">
        <w:t xml:space="preserve">set of regulatory </w:t>
      </w:r>
      <w:r w:rsidR="00E01D63">
        <w:t>obligations</w:t>
      </w:r>
      <w:r w:rsidR="00C20145">
        <w:t xml:space="preserve"> </w:t>
      </w:r>
      <w:r w:rsidR="00835AB3">
        <w:t xml:space="preserve">for </w:t>
      </w:r>
      <w:r w:rsidR="00360E42">
        <w:t>non-ADI</w:t>
      </w:r>
      <w:r w:rsidR="00835AB3">
        <w:t xml:space="preserve"> PSPs seeking direct access to </w:t>
      </w:r>
      <w:r w:rsidR="00A51984">
        <w:t xml:space="preserve">Australian </w:t>
      </w:r>
      <w:r w:rsidR="00835AB3">
        <w:t>payment systems</w:t>
      </w:r>
      <w:r w:rsidR="003A1E75">
        <w:t xml:space="preserve"> to clear </w:t>
      </w:r>
      <w:r w:rsidR="00226457">
        <w:t>and</w:t>
      </w:r>
      <w:r w:rsidR="00E01D63">
        <w:t xml:space="preserve"> </w:t>
      </w:r>
      <w:r w:rsidR="003A1E75">
        <w:t>settle payments.</w:t>
      </w:r>
      <w:r>
        <w:t xml:space="preserve"> It is proposed that APRA would be responsible for setting and supervising the CARs.</w:t>
      </w:r>
    </w:p>
    <w:p w14:paraId="437774B7" w14:textId="01EC5F77" w:rsidR="007543A9" w:rsidRDefault="00CF3A6C" w:rsidP="00242503">
      <w:r>
        <w:t xml:space="preserve">APRA would set the CARs as a </w:t>
      </w:r>
      <w:r w:rsidR="00E01D63">
        <w:t xml:space="preserve">new </w:t>
      </w:r>
      <w:r>
        <w:t xml:space="preserve">prudential standard, and entities </w:t>
      </w:r>
      <w:r w:rsidR="00786B2E">
        <w:t>that meet the</w:t>
      </w:r>
      <w:r w:rsidR="00EB1BEA">
        <w:t xml:space="preserve"> </w:t>
      </w:r>
      <w:r w:rsidR="00786B2E">
        <w:t>CARs</w:t>
      </w:r>
      <w:r w:rsidR="00EB1BEA">
        <w:t xml:space="preserve"> would be </w:t>
      </w:r>
      <w:r w:rsidR="00BE38C9">
        <w:t xml:space="preserve">licensed </w:t>
      </w:r>
      <w:r w:rsidR="00655E3F">
        <w:t xml:space="preserve">and supervised </w:t>
      </w:r>
      <w:r w:rsidR="00EB1BEA">
        <w:t xml:space="preserve">by APRA under a new licence category. </w:t>
      </w:r>
      <w:r w:rsidR="00B60065">
        <w:rPr>
          <w:rFonts w:cstheme="minorHAnsi"/>
        </w:rPr>
        <w:t>E</w:t>
      </w:r>
      <w:r w:rsidR="00A01F0E">
        <w:rPr>
          <w:rFonts w:cstheme="minorHAnsi"/>
        </w:rPr>
        <w:t>ntities undertaking payments clearing and settling would not require an AFSL</w:t>
      </w:r>
      <w:r w:rsidR="00A27058">
        <w:rPr>
          <w:rFonts w:cstheme="minorHAnsi"/>
        </w:rPr>
        <w:t xml:space="preserve"> </w:t>
      </w:r>
      <w:r w:rsidR="005D1039">
        <w:rPr>
          <w:rFonts w:cstheme="minorHAnsi"/>
        </w:rPr>
        <w:t>for</w:t>
      </w:r>
      <w:r w:rsidR="00A27058">
        <w:rPr>
          <w:rFonts w:cstheme="minorHAnsi"/>
        </w:rPr>
        <w:t xml:space="preserve"> </w:t>
      </w:r>
      <w:r w:rsidR="005D1039">
        <w:rPr>
          <w:rFonts w:cstheme="minorHAnsi"/>
        </w:rPr>
        <w:t>clearing and settling</w:t>
      </w:r>
      <w:r w:rsidR="00A27058">
        <w:rPr>
          <w:rFonts w:cstheme="minorHAnsi"/>
        </w:rPr>
        <w:t xml:space="preserve"> activity</w:t>
      </w:r>
      <w:r w:rsidR="00A01F0E">
        <w:rPr>
          <w:rFonts w:cstheme="minorHAnsi"/>
        </w:rPr>
        <w:t>.</w:t>
      </w:r>
      <w:r w:rsidR="00A273CE">
        <w:rPr>
          <w:rFonts w:cstheme="minorHAnsi"/>
        </w:rPr>
        <w:t xml:space="preserve"> </w:t>
      </w:r>
      <w:r w:rsidR="00E70581">
        <w:rPr>
          <w:rFonts w:cstheme="minorHAnsi"/>
        </w:rPr>
        <w:t xml:space="preserve">However, </w:t>
      </w:r>
      <w:r w:rsidR="00293B0B">
        <w:rPr>
          <w:rFonts w:cstheme="minorHAnsi"/>
        </w:rPr>
        <w:t>they would generally require an AFSL if they are also performing one or more of the proposed payment functions.</w:t>
      </w:r>
    </w:p>
    <w:p w14:paraId="4C3B3C10" w14:textId="7B5B9CF4" w:rsidR="00B02979" w:rsidRDefault="00285C09" w:rsidP="00242503">
      <w:r>
        <w:t>Compliance with the CARs is not proposed to be</w:t>
      </w:r>
      <w:r w:rsidR="005C7BD0">
        <w:t xml:space="preserve"> mandated </w:t>
      </w:r>
      <w:r w:rsidR="005C7BD0" w:rsidRPr="00026721">
        <w:t>under legislation</w:t>
      </w:r>
      <w:r w:rsidR="005C7BD0">
        <w:t xml:space="preserve"> for PSPs seeking to clear </w:t>
      </w:r>
      <w:r w:rsidR="00D35718">
        <w:t>and</w:t>
      </w:r>
      <w:r w:rsidR="005C7BD0">
        <w:t xml:space="preserve"> settle payments. Rather,</w:t>
      </w:r>
      <w:r w:rsidR="00B02979" w:rsidRPr="00026721">
        <w:t xml:space="preserve"> relevant payment system operators </w:t>
      </w:r>
      <w:r w:rsidR="00CF4DB2">
        <w:t xml:space="preserve">could require </w:t>
      </w:r>
      <w:r w:rsidR="003D44DE">
        <w:t>non-ADI PSPs to meet the CARs to be eligible to cl</w:t>
      </w:r>
      <w:r w:rsidR="000E5D35">
        <w:t xml:space="preserve">ear </w:t>
      </w:r>
      <w:r w:rsidR="00D35718">
        <w:t>and</w:t>
      </w:r>
      <w:r w:rsidR="000E5D35">
        <w:t xml:space="preserve"> settle p</w:t>
      </w:r>
      <w:r w:rsidR="00306928">
        <w:t>ayments in their system.</w:t>
      </w:r>
      <w:r w:rsidR="00E35CC7">
        <w:t xml:space="preserve"> This approach</w:t>
      </w:r>
      <w:r w:rsidR="00E35CC7" w:rsidDel="00AA7A7B">
        <w:t xml:space="preserve"> </w:t>
      </w:r>
      <w:r w:rsidR="0057596D">
        <w:t>preserve</w:t>
      </w:r>
      <w:r w:rsidR="00FE3CA5">
        <w:t>s</w:t>
      </w:r>
      <w:r w:rsidR="0057596D">
        <w:t xml:space="preserve"> </w:t>
      </w:r>
      <w:r w:rsidR="006E6219">
        <w:t xml:space="preserve">existing </w:t>
      </w:r>
      <w:r w:rsidR="00FE3CA5">
        <w:t xml:space="preserve">direct </w:t>
      </w:r>
      <w:r w:rsidR="0057596D">
        <w:t>access pathways for non</w:t>
      </w:r>
      <w:r w:rsidR="00E436AD">
        <w:noBreakHyphen/>
      </w:r>
      <w:r w:rsidR="0057596D">
        <w:t>ADIs</w:t>
      </w:r>
      <w:r w:rsidR="00FE3CA5">
        <w:t xml:space="preserve"> that some payment systems already have</w:t>
      </w:r>
      <w:r w:rsidR="0057596D">
        <w:t>.</w:t>
      </w:r>
      <w:r w:rsidR="006B05EF">
        <w:t xml:space="preserve"> </w:t>
      </w:r>
    </w:p>
    <w:p w14:paraId="137CBC37" w14:textId="6E2B2F75" w:rsidR="00026721" w:rsidRPr="00026721" w:rsidRDefault="00930DED" w:rsidP="00242503">
      <w:r>
        <w:t xml:space="preserve">Consistent with </w:t>
      </w:r>
      <w:r w:rsidR="006D6876">
        <w:t>its</w:t>
      </w:r>
      <w:r>
        <w:t xml:space="preserve"> PSRA</w:t>
      </w:r>
      <w:r w:rsidR="006D6876">
        <w:t xml:space="preserve"> powers</w:t>
      </w:r>
      <w:r>
        <w:t>, t</w:t>
      </w:r>
      <w:r w:rsidR="0057596D">
        <w:t xml:space="preserve">he RBA </w:t>
      </w:r>
      <w:r w:rsidR="00777BCD">
        <w:t xml:space="preserve">would </w:t>
      </w:r>
      <w:r w:rsidR="0057596D">
        <w:t xml:space="preserve">be responsible for </w:t>
      </w:r>
      <w:r w:rsidR="00DD52B1">
        <w:t xml:space="preserve">overseeing the conduct of </w:t>
      </w:r>
      <w:r w:rsidR="0057596D">
        <w:t>payment system operators</w:t>
      </w:r>
      <w:r w:rsidR="000C105C">
        <w:t xml:space="preserve"> with regard to providing access</w:t>
      </w:r>
      <w:r w:rsidR="004C22E1">
        <w:t xml:space="preserve"> to non-ADI PSPs that meet the CARs.</w:t>
      </w:r>
    </w:p>
    <w:p w14:paraId="08C85E42" w14:textId="13998080" w:rsidR="004E68DF" w:rsidRDefault="007060E2" w:rsidP="006377BA">
      <w:pPr>
        <w:pStyle w:val="Heading2"/>
      </w:pPr>
      <w:bookmarkStart w:id="188" w:name="_Toc149230975"/>
      <w:bookmarkStart w:id="189" w:name="_Toc152847653"/>
      <w:r>
        <w:t>Background</w:t>
      </w:r>
      <w:bookmarkEnd w:id="188"/>
      <w:bookmarkEnd w:id="189"/>
    </w:p>
    <w:p w14:paraId="24B3375A" w14:textId="2851BEA2" w:rsidR="00F80495" w:rsidRDefault="00DD3A5C" w:rsidP="00AB3D0E">
      <w:pPr>
        <w:pStyle w:val="Heading3"/>
      </w:pPr>
      <w:bookmarkStart w:id="190" w:name="_Toc149230976"/>
      <w:r>
        <w:t>Access to Australian payment systems</w:t>
      </w:r>
      <w:bookmarkEnd w:id="190"/>
    </w:p>
    <w:p w14:paraId="603C4E4E" w14:textId="1C65D51F" w:rsidR="006F0BF1" w:rsidRDefault="006F0BF1" w:rsidP="00242503">
      <w:r w:rsidRPr="006F0BF1">
        <w:t>Australian payment systems include account-to-account payment systems (NPP, High Value Clearing System (HVCS) and BECS), the major card schemes (Eftpos, Visa and Mastercard) and Australia’s settlement system (the Reserve Bank Information and Transfer System (RITS)). PSPs may participate in these payment systems directly or indirectly. Direct participation involves a PSP clearing and/or settling obligations in the payment system on its own behalf. PSPs that wish to settle their own obligations from any payment system must join RITS and hold an Exchange Settlement Account (ESA) with the RBA.</w:t>
      </w:r>
    </w:p>
    <w:p w14:paraId="6F479C7F" w14:textId="7698D550" w:rsidR="00D37063" w:rsidRDefault="003A7B71" w:rsidP="00242503">
      <w:r>
        <w:t xml:space="preserve">The current access requirements set by payment system operators typically favour ADIs, which are subject to prudential regulation. </w:t>
      </w:r>
      <w:r w:rsidR="008A4ECD">
        <w:t>Non-ADI PSPs are not eligible to become direct participants in the NPP</w:t>
      </w:r>
      <w:r w:rsidR="008A4ECD" w:rsidRPr="007043D2">
        <w:rPr>
          <w:rFonts w:cstheme="minorHAnsi"/>
        </w:rPr>
        <w:t>,</w:t>
      </w:r>
      <w:r w:rsidR="008A4ECD">
        <w:t xml:space="preserve"> and are subject to additional conditions in </w:t>
      </w:r>
      <w:r w:rsidR="005244AD">
        <w:rPr>
          <w:rFonts w:cstheme="minorHAnsi"/>
        </w:rPr>
        <w:t>a number of other payment systems</w:t>
      </w:r>
      <w:r>
        <w:t>. This means that, to access payment systems, many non</w:t>
      </w:r>
      <w:r w:rsidR="0029743E">
        <w:t>-</w:t>
      </w:r>
      <w:r>
        <w:t>ADI</w:t>
      </w:r>
      <w:r w:rsidR="00CF66AD">
        <w:t xml:space="preserve"> PSPs</w:t>
      </w:r>
      <w:r>
        <w:t xml:space="preserve"> need to enter into arrangements with </w:t>
      </w:r>
      <w:r w:rsidR="004161A1">
        <w:t>an ADI</w:t>
      </w:r>
      <w:r w:rsidR="00B15750" w:rsidRPr="00A33D9C">
        <w:t xml:space="preserve"> direct participant </w:t>
      </w:r>
      <w:r w:rsidR="004161A1">
        <w:t>(a</w:t>
      </w:r>
      <w:r w:rsidR="008A6BFD">
        <w:t xml:space="preserve"> </w:t>
      </w:r>
      <w:r w:rsidR="00B15750" w:rsidRPr="00A33D9C">
        <w:t>‘sponsor’</w:t>
      </w:r>
      <w:r w:rsidR="00EC2932">
        <w:t>)</w:t>
      </w:r>
      <w:r w:rsidR="00B15750" w:rsidRPr="00A33D9C">
        <w:t xml:space="preserve"> that acts as a clearing and settling agent on their behalf.</w:t>
      </w:r>
      <w:r w:rsidR="00EC2932">
        <w:t xml:space="preserve"> </w:t>
      </w:r>
      <w:r w:rsidR="00EC2932" w:rsidRPr="00442A65">
        <w:t xml:space="preserve">Indirect access to payment systems suits many PSPs, as the infrastructure and operational costs associated with direct access can be high. </w:t>
      </w:r>
      <w:r w:rsidR="00AF63CB">
        <w:t xml:space="preserve">In feedback to </w:t>
      </w:r>
      <w:r w:rsidR="00475989">
        <w:t>CP1</w:t>
      </w:r>
      <w:r w:rsidR="00AF63CB">
        <w:t xml:space="preserve">, stakeholders noted that for many PSPs, indirect access is preferable for these reasons. </w:t>
      </w:r>
      <w:r w:rsidR="00EC2932" w:rsidRPr="00442A65">
        <w:t>However, non-ADI PSPs have increasingly expressed interest in participating in payment systems directly.</w:t>
      </w:r>
    </w:p>
    <w:p w14:paraId="7DF1E552" w14:textId="557B4B4D" w:rsidR="00642A40" w:rsidRDefault="00642A40" w:rsidP="00242503">
      <w:r w:rsidRPr="00642A40">
        <w:t xml:space="preserve">For PSPs that are eligible to access the payment systems directly, the full extent of access requirements or the assessment process against the requirements may not be visible until they have commenced an application for membership. PSPs that wish to join multiple payment systems may also have to demonstrate their ability to meet similar (but not identical) requirements of several </w:t>
      </w:r>
      <w:r w:rsidR="00AF63CB">
        <w:t xml:space="preserve">payment system </w:t>
      </w:r>
      <w:r w:rsidRPr="00642A40">
        <w:t>operators. This duplication of effort leads to higher entry costs for PSPs and may deter prospective applicants.</w:t>
      </w:r>
    </w:p>
    <w:p w14:paraId="35A41222" w14:textId="58DB3BD3" w:rsidR="00642A40" w:rsidRDefault="00F80495" w:rsidP="00AB3D0E">
      <w:pPr>
        <w:pStyle w:val="Heading3"/>
      </w:pPr>
      <w:bookmarkStart w:id="191" w:name="_Toc149230977"/>
      <w:r>
        <w:lastRenderedPageBreak/>
        <w:t xml:space="preserve">Objective of </w:t>
      </w:r>
      <w:r w:rsidR="00881E7B">
        <w:t xml:space="preserve">Common </w:t>
      </w:r>
      <w:bookmarkEnd w:id="191"/>
      <w:r w:rsidR="00881E7B">
        <w:t>Access Requirements</w:t>
      </w:r>
    </w:p>
    <w:p w14:paraId="71707EC5" w14:textId="0BA83661" w:rsidR="00E3550D" w:rsidRDefault="003A7B71" w:rsidP="00242503">
      <w:r>
        <w:t xml:space="preserve">The </w:t>
      </w:r>
      <w:r w:rsidR="00E84EA8">
        <w:t>primary objective of the CARs is to</w:t>
      </w:r>
      <w:r>
        <w:t xml:space="preserve"> level the playing field for non-ADI PSPs seeking </w:t>
      </w:r>
      <w:r w:rsidR="00FC07DA">
        <w:t>direct access</w:t>
      </w:r>
      <w:r>
        <w:t>, while managing the associated risks</w:t>
      </w:r>
      <w:r w:rsidR="006C27B6">
        <w:t xml:space="preserve"> to the financial system and the economy</w:t>
      </w:r>
      <w:r>
        <w:t xml:space="preserve">. </w:t>
      </w:r>
      <w:r w:rsidR="00C17E64" w:rsidRPr="00C17E64">
        <w:t xml:space="preserve">The CARs </w:t>
      </w:r>
      <w:r w:rsidR="00C95137">
        <w:t>seek</w:t>
      </w:r>
      <w:r w:rsidR="00C17E64" w:rsidRPr="00C17E64">
        <w:t xml:space="preserve"> to appropriately manage common risks PSPs pose as direct participants, but not go beyond this</w:t>
      </w:r>
      <w:r w:rsidR="00C17E64">
        <w:t>.</w:t>
      </w:r>
      <w:r>
        <w:t xml:space="preserve"> </w:t>
      </w:r>
      <w:r w:rsidR="00E3550D" w:rsidRPr="003F7B0B">
        <w:t>A secondary objective of the CARs is to make it easier and clearer for prospective applicants by standardising and centralising requirements that are similar across payment systems.</w:t>
      </w:r>
    </w:p>
    <w:p w14:paraId="1D966D77" w14:textId="59DF9553" w:rsidR="008B04C1" w:rsidRDefault="008B04C1" w:rsidP="00242503">
      <w:r>
        <w:t>Lowering the barriers to entry for PSPs seeking to gain direct access to payment systems is intended to support a more diverse, competitive, and innovative payments ecosystem in Australia.</w:t>
      </w:r>
    </w:p>
    <w:p w14:paraId="140B77E4" w14:textId="53F80A38" w:rsidR="008A1AA7" w:rsidRDefault="008A1AA7" w:rsidP="00AB3D0E">
      <w:pPr>
        <w:pStyle w:val="Heading3"/>
      </w:pPr>
      <w:bookmarkStart w:id="192" w:name="_Toc149230978"/>
      <w:r>
        <w:t xml:space="preserve">Nature of </w:t>
      </w:r>
      <w:r w:rsidR="00881E7B">
        <w:t xml:space="preserve">Common </w:t>
      </w:r>
      <w:bookmarkEnd w:id="192"/>
      <w:r w:rsidR="00881E7B">
        <w:t>Access Requirements</w:t>
      </w:r>
    </w:p>
    <w:p w14:paraId="0BF321E8" w14:textId="6342A1E9" w:rsidR="009E0064" w:rsidRDefault="001F039A" w:rsidP="00242503">
      <w:r>
        <w:t>T</w:t>
      </w:r>
      <w:r w:rsidR="00B92A19">
        <w:t>he</w:t>
      </w:r>
      <w:r w:rsidR="00006E75" w:rsidRPr="00B362D4">
        <w:t xml:space="preserve"> RBA has been </w:t>
      </w:r>
      <w:r w:rsidR="00A14ADB">
        <w:t xml:space="preserve">considering </w:t>
      </w:r>
      <w:r w:rsidR="00522C1C">
        <w:t xml:space="preserve">what </w:t>
      </w:r>
      <w:r w:rsidR="00577F5C">
        <w:t xml:space="preserve">the </w:t>
      </w:r>
      <w:r w:rsidR="001F0481">
        <w:t xml:space="preserve">CARs </w:t>
      </w:r>
      <w:r w:rsidR="00A14ADB">
        <w:t xml:space="preserve">should </w:t>
      </w:r>
      <w:r w:rsidR="00577F5C">
        <w:t>involve</w:t>
      </w:r>
      <w:r w:rsidR="00006E75" w:rsidRPr="009B325B">
        <w:t xml:space="preserve">, in consultation with payment system operators, </w:t>
      </w:r>
      <w:r w:rsidR="00006E75">
        <w:t xml:space="preserve">PSPs </w:t>
      </w:r>
      <w:r w:rsidR="00006E75" w:rsidRPr="009B325B">
        <w:t xml:space="preserve">and other financial regulators. </w:t>
      </w:r>
      <w:r w:rsidR="006233F7">
        <w:t>This initial consultation indicates that the</w:t>
      </w:r>
      <w:r w:rsidR="0040146B">
        <w:t xml:space="preserve"> </w:t>
      </w:r>
      <w:r w:rsidR="006233F7">
        <w:t xml:space="preserve">CARs </w:t>
      </w:r>
      <w:r w:rsidR="00903C51">
        <w:t>should</w:t>
      </w:r>
      <w:r w:rsidR="006233F7">
        <w:t xml:space="preserve"> </w:t>
      </w:r>
      <w:r w:rsidR="0040146B">
        <w:t>involve governance, risk management, compliance, financial and operational capacity, business continuity and security obligations.</w:t>
      </w:r>
      <w:r w:rsidR="00FE1360">
        <w:t xml:space="preserve"> </w:t>
      </w:r>
    </w:p>
    <w:p w14:paraId="426AA7D5" w14:textId="660122AE" w:rsidR="00AB5F4E" w:rsidRDefault="008560B9" w:rsidP="00242503">
      <w:r>
        <w:t>G</w:t>
      </w:r>
      <w:r w:rsidR="009178A0">
        <w:t xml:space="preserve">iven the </w:t>
      </w:r>
      <w:r w:rsidR="00487A81">
        <w:t xml:space="preserve">nature of risks involved in clearing and </w:t>
      </w:r>
      <w:r w:rsidR="003D023D">
        <w:t>settling payments</w:t>
      </w:r>
      <w:r w:rsidR="00FE1360">
        <w:t xml:space="preserve">, it is proposed that APRA would be responsible for setting and </w:t>
      </w:r>
      <w:r w:rsidR="00CD1015">
        <w:t xml:space="preserve">supervising </w:t>
      </w:r>
      <w:r w:rsidR="00FE1360">
        <w:t xml:space="preserve">the </w:t>
      </w:r>
      <w:r w:rsidR="00B04477">
        <w:t>CARs</w:t>
      </w:r>
      <w:r w:rsidR="009178A0">
        <w:t xml:space="preserve"> (discussed below)</w:t>
      </w:r>
      <w:r w:rsidR="00FE1360">
        <w:t>.</w:t>
      </w:r>
      <w:r w:rsidR="009E0064">
        <w:t xml:space="preserve"> </w:t>
      </w:r>
      <w:r w:rsidR="0040146B">
        <w:t xml:space="preserve">Oversight of PSPs under the CARs is expected to have many similarities with prudential </w:t>
      </w:r>
      <w:r w:rsidR="00F73E32">
        <w:t>regulation</w:t>
      </w:r>
      <w:r w:rsidR="00922CAF">
        <w:t xml:space="preserve">. </w:t>
      </w:r>
      <w:r w:rsidR="00922CAF" w:rsidRPr="00922CAF">
        <w:t>APRA's approach</w:t>
      </w:r>
      <w:r w:rsidR="00922CAF" w:rsidRPr="00922CAF" w:rsidDel="00552573">
        <w:t xml:space="preserve"> </w:t>
      </w:r>
      <w:r w:rsidR="00552573">
        <w:t>would</w:t>
      </w:r>
      <w:r w:rsidR="00552573" w:rsidRPr="00922CAF">
        <w:t xml:space="preserve"> </w:t>
      </w:r>
      <w:r w:rsidR="00922CAF" w:rsidRPr="00922CAF">
        <w:t>be</w:t>
      </w:r>
      <w:r w:rsidR="00802493">
        <w:t xml:space="preserve"> commensurate </w:t>
      </w:r>
      <w:r w:rsidR="00922CAF" w:rsidRPr="00922CAF">
        <w:t>to</w:t>
      </w:r>
      <w:r w:rsidR="00802493">
        <w:t xml:space="preserve"> the risks of payments clearing and settlement</w:t>
      </w:r>
      <w:r w:rsidR="00922CAF">
        <w:t>, which</w:t>
      </w:r>
      <w:r w:rsidR="00922CAF" w:rsidRPr="00922CAF">
        <w:t xml:space="preserve"> would involve simpler and fewer prudential expectations compared to traditional banking activity</w:t>
      </w:r>
      <w:r w:rsidR="0040146B">
        <w:t xml:space="preserve">. </w:t>
      </w:r>
      <w:r w:rsidR="00AB5F4E">
        <w:t>APRA</w:t>
      </w:r>
      <w:r w:rsidR="00AB5F4E" w:rsidDel="00552573">
        <w:t xml:space="preserve"> </w:t>
      </w:r>
      <w:r w:rsidR="00552573">
        <w:t xml:space="preserve">would </w:t>
      </w:r>
      <w:r w:rsidR="002601C2">
        <w:t xml:space="preserve">develop the </w:t>
      </w:r>
      <w:r w:rsidR="00202A76">
        <w:t>CARs</w:t>
      </w:r>
      <w:r w:rsidR="002601C2">
        <w:t xml:space="preserve"> in consultation with stakeholders. </w:t>
      </w:r>
    </w:p>
    <w:p w14:paraId="5403B7F8" w14:textId="34460A94" w:rsidR="00CE0DF4" w:rsidRDefault="00B91397" w:rsidP="006377BA">
      <w:pPr>
        <w:pStyle w:val="Heading2"/>
      </w:pPr>
      <w:bookmarkStart w:id="193" w:name="_Toc149230979"/>
      <w:bookmarkStart w:id="194" w:name="_Toc152847654"/>
      <w:r>
        <w:t>A</w:t>
      </w:r>
      <w:r w:rsidR="00833C65">
        <w:t xml:space="preserve">pplication to </w:t>
      </w:r>
      <w:r w:rsidR="00233CEE">
        <w:t>PSPs</w:t>
      </w:r>
      <w:bookmarkEnd w:id="193"/>
      <w:bookmarkEnd w:id="194"/>
    </w:p>
    <w:p w14:paraId="744C9759" w14:textId="6323C127" w:rsidR="00307F6A" w:rsidRPr="00B91397" w:rsidRDefault="00307F6A" w:rsidP="00242503">
      <w:pPr>
        <w:rPr>
          <w:color w:val="0070C0"/>
        </w:rPr>
      </w:pPr>
      <w:r>
        <w:t xml:space="preserve">The </w:t>
      </w:r>
      <w:r w:rsidR="00B04477">
        <w:t>CARs</w:t>
      </w:r>
      <w:r>
        <w:t xml:space="preserve"> are intended to apply to non-ADI PSPs seeking direct access to payment systems to </w:t>
      </w:r>
      <w:r w:rsidR="00EB5EFE">
        <w:t>provide</w:t>
      </w:r>
      <w:r w:rsidR="00EB5EFE" w:rsidRPr="002900B3">
        <w:t xml:space="preserve"> </w:t>
      </w:r>
      <w:r w:rsidRPr="002900B3">
        <w:t>clearing and settlement</w:t>
      </w:r>
      <w:r w:rsidR="000D1FEA">
        <w:t xml:space="preserve"> of payments</w:t>
      </w:r>
      <w:r w:rsidRPr="002900B3">
        <w:t>.</w:t>
      </w:r>
      <w:r w:rsidRPr="002900B3">
        <w:rPr>
          <w:rStyle w:val="FootnoteReference"/>
        </w:rPr>
        <w:footnoteReference w:id="125"/>
      </w:r>
      <w:r w:rsidR="00374BF7" w:rsidRPr="002900B3">
        <w:t xml:space="preserve"> </w:t>
      </w:r>
      <w:r w:rsidR="009234F2" w:rsidRPr="002900B3">
        <w:t xml:space="preserve">Only a relatively small number of PSPs </w:t>
      </w:r>
      <w:r w:rsidR="00E52909">
        <w:t xml:space="preserve">(e.g. those looking to process a significant amount of payments) </w:t>
      </w:r>
      <w:r w:rsidR="009234F2" w:rsidRPr="002900B3">
        <w:t xml:space="preserve">are expected to </w:t>
      </w:r>
      <w:r w:rsidR="00AB3D95">
        <w:t>obtain</w:t>
      </w:r>
      <w:r w:rsidR="00394341" w:rsidRPr="002900B3">
        <w:t xml:space="preserve"> the CARs licence given </w:t>
      </w:r>
      <w:r w:rsidR="00C562AE" w:rsidRPr="002900B3">
        <w:t>the costs associated with direct access.</w:t>
      </w:r>
      <w:r w:rsidR="009C1B02" w:rsidRPr="002900B3">
        <w:t xml:space="preserve"> </w:t>
      </w:r>
    </w:p>
    <w:p w14:paraId="419BD9B7" w14:textId="4E2C21B4" w:rsidR="00FC12A4" w:rsidRDefault="00FC12A4" w:rsidP="00242503">
      <w:r>
        <w:rPr>
          <w:rFonts w:cs="Arial"/>
        </w:rPr>
        <w:t xml:space="preserve">There may be similarities between the requirements under the CARs and those for </w:t>
      </w:r>
      <w:r w:rsidR="001F5210">
        <w:rPr>
          <w:rFonts w:cs="Arial"/>
        </w:rPr>
        <w:t xml:space="preserve">Major </w:t>
      </w:r>
      <w:r>
        <w:rPr>
          <w:rFonts w:cs="Arial"/>
        </w:rPr>
        <w:t xml:space="preserve">SVFs supervised by APRA, and an overlap between </w:t>
      </w:r>
      <w:r w:rsidR="00D13E22">
        <w:rPr>
          <w:rFonts w:cs="Arial"/>
        </w:rPr>
        <w:t xml:space="preserve">the </w:t>
      </w:r>
      <w:r>
        <w:rPr>
          <w:rFonts w:cs="Arial"/>
        </w:rPr>
        <w:t xml:space="preserve">entities seeking to perform </w:t>
      </w:r>
      <w:r w:rsidR="00D13E22">
        <w:rPr>
          <w:rFonts w:cs="Arial"/>
        </w:rPr>
        <w:t xml:space="preserve">the relevant </w:t>
      </w:r>
      <w:r>
        <w:rPr>
          <w:rFonts w:cs="Arial"/>
        </w:rPr>
        <w:t xml:space="preserve">activities. </w:t>
      </w:r>
      <w:r>
        <w:t>Given</w:t>
      </w:r>
      <w:r w:rsidDel="001F5210">
        <w:t xml:space="preserve"> </w:t>
      </w:r>
      <w:r w:rsidR="001F5210">
        <w:t>Major</w:t>
      </w:r>
      <w:r>
        <w:t xml:space="preserve"> SVFs would already be prudentially regulated</w:t>
      </w:r>
      <w:r w:rsidR="0068766A">
        <w:t xml:space="preserve"> to a higher standard than </w:t>
      </w:r>
      <w:r w:rsidR="00731B55">
        <w:t>entities holding the CAR</w:t>
      </w:r>
      <w:r w:rsidR="00661919">
        <w:t>s</w:t>
      </w:r>
      <w:r w:rsidR="00731B55">
        <w:t xml:space="preserve"> licence</w:t>
      </w:r>
      <w:r>
        <w:t xml:space="preserve">, it is envisaged that there would be no additional requirements for </w:t>
      </w:r>
      <w:r w:rsidR="00BB263C">
        <w:t xml:space="preserve">a </w:t>
      </w:r>
      <w:r w:rsidR="00DC09A8">
        <w:t xml:space="preserve">Major </w:t>
      </w:r>
      <w:r w:rsidR="00BB263C">
        <w:t xml:space="preserve">SVF </w:t>
      </w:r>
      <w:r w:rsidR="00DD72E5">
        <w:t>when</w:t>
      </w:r>
      <w:r>
        <w:t xml:space="preserve"> </w:t>
      </w:r>
      <w:r w:rsidR="0068766A">
        <w:t>seeking a</w:t>
      </w:r>
      <w:r w:rsidR="0074389B">
        <w:t xml:space="preserve"> CARs</w:t>
      </w:r>
      <w:r w:rsidR="0068766A">
        <w:t xml:space="preserve"> licence</w:t>
      </w:r>
      <w:r>
        <w:t xml:space="preserve">. </w:t>
      </w:r>
      <w:r w:rsidR="006C5A0D">
        <w:t xml:space="preserve">Alternatively, payment system operators </w:t>
      </w:r>
      <w:r w:rsidR="0056637C">
        <w:t>could simply</w:t>
      </w:r>
      <w:r w:rsidR="00FE4D8D">
        <w:t xml:space="preserve"> </w:t>
      </w:r>
      <w:r w:rsidR="006C5A0D">
        <w:t xml:space="preserve">recognise </w:t>
      </w:r>
      <w:r w:rsidR="00DC09A8">
        <w:t xml:space="preserve">Major </w:t>
      </w:r>
      <w:r w:rsidR="006C5A0D">
        <w:t>SVFs as eligible for direct access.</w:t>
      </w:r>
      <w:r w:rsidR="004731FD">
        <w:t xml:space="preserve"> </w:t>
      </w:r>
    </w:p>
    <w:p w14:paraId="3E1E80DE" w14:textId="489216F3" w:rsidR="00906FBD" w:rsidRDefault="00906FBD" w:rsidP="00242503">
      <w:r>
        <w:t xml:space="preserve">It is proposed that the </w:t>
      </w:r>
      <w:r w:rsidR="00B04477">
        <w:t>CARs</w:t>
      </w:r>
      <w:r>
        <w:t xml:space="preserve"> would not be mandated in legislation</w:t>
      </w:r>
      <w:r w:rsidR="007829B3">
        <w:t xml:space="preserve">. Instead, payment system operators could </w:t>
      </w:r>
      <w:r w:rsidR="00F60A64">
        <w:t xml:space="preserve">require PSPs to meet the CARs </w:t>
      </w:r>
      <w:r w:rsidR="00FE4A20">
        <w:t>in their scheme rules</w:t>
      </w:r>
      <w:r w:rsidR="00B72FB0">
        <w:t xml:space="preserve"> to be eligible for access</w:t>
      </w:r>
      <w:r w:rsidR="00FE4A20">
        <w:t>, as an alternative to being an ADI</w:t>
      </w:r>
      <w:r w:rsidR="00E33AF5">
        <w:t xml:space="preserve"> </w:t>
      </w:r>
      <w:r w:rsidR="003A3B2A">
        <w:t>(</w:t>
      </w:r>
      <w:r w:rsidR="00E33AF5">
        <w:t xml:space="preserve">or a </w:t>
      </w:r>
      <w:r w:rsidR="00900764">
        <w:t>M</w:t>
      </w:r>
      <w:r w:rsidR="00E33AF5">
        <w:t>ajor SVF</w:t>
      </w:r>
      <w:r w:rsidR="003A3B2A">
        <w:t>)</w:t>
      </w:r>
      <w:r w:rsidR="00FE4A20">
        <w:t xml:space="preserve">. </w:t>
      </w:r>
      <w:r w:rsidR="000A3ECB">
        <w:t>This</w:t>
      </w:r>
      <w:r w:rsidR="00D94A37">
        <w:t xml:space="preserve"> approach </w:t>
      </w:r>
      <w:r w:rsidR="00A5345A">
        <w:t>is more straightforward and</w:t>
      </w:r>
      <w:r w:rsidR="00D94A37">
        <w:t xml:space="preserve"> preserves </w:t>
      </w:r>
      <w:r w:rsidR="00B06C9F">
        <w:t xml:space="preserve">alternative </w:t>
      </w:r>
      <w:r w:rsidR="00D94A37">
        <w:t>pathways provided by some payment systems operators</w:t>
      </w:r>
      <w:r w:rsidR="00D94A37" w:rsidDel="000C727E">
        <w:t xml:space="preserve"> </w:t>
      </w:r>
      <w:r w:rsidR="001E23E1" w:rsidDel="000C727E">
        <w:t>for non-ADIs</w:t>
      </w:r>
      <w:r w:rsidR="001E23E1">
        <w:t xml:space="preserve">. </w:t>
      </w:r>
      <w:r w:rsidR="00F92D38" w:rsidRPr="000F740C">
        <w:t xml:space="preserve">Mandating the CARs in </w:t>
      </w:r>
      <w:r w:rsidR="00F92D38" w:rsidRPr="000F740C">
        <w:lastRenderedPageBreak/>
        <w:t xml:space="preserve">legislation would increase requirements for access, which is not the </w:t>
      </w:r>
      <w:r w:rsidR="00F92D38">
        <w:t xml:space="preserve">objective of the CARs. </w:t>
      </w:r>
      <w:r w:rsidR="00B84406">
        <w:t xml:space="preserve">For example, </w:t>
      </w:r>
      <w:r w:rsidR="00792792">
        <w:t>major card schemes</w:t>
      </w:r>
      <w:r w:rsidR="004E52AE">
        <w:t xml:space="preserve"> have existing access pathways for non-ADIs.</w:t>
      </w:r>
      <w:r w:rsidR="00E3474C">
        <w:t xml:space="preserve"> </w:t>
      </w:r>
    </w:p>
    <w:p w14:paraId="59687F8A" w14:textId="58441460" w:rsidR="003E7335" w:rsidRDefault="003E7335" w:rsidP="00242503">
      <w:r>
        <w:t xml:space="preserve">In feedback to </w:t>
      </w:r>
      <w:r w:rsidR="000A658C">
        <w:t>CP1</w:t>
      </w:r>
      <w:r>
        <w:t xml:space="preserve">, some stakeholders suggested that </w:t>
      </w:r>
      <w:r w:rsidR="00BD2D07">
        <w:t xml:space="preserve">as payment systems develop, </w:t>
      </w:r>
      <w:r w:rsidR="00567AC3">
        <w:t xml:space="preserve">current </w:t>
      </w:r>
      <w:r w:rsidR="00BD2D07">
        <w:t>distinctions between direct</w:t>
      </w:r>
      <w:r w:rsidR="009310AE">
        <w:t>, indirect and other types of participants may change</w:t>
      </w:r>
      <w:r w:rsidR="00F74B38">
        <w:t xml:space="preserve">. It was suggested that the CARs framework should </w:t>
      </w:r>
      <w:r w:rsidR="00EA6D57">
        <w:t>provide flexibility to scale access obligations for a range of different access types.</w:t>
      </w:r>
      <w:r w:rsidR="00AB2E89">
        <w:t xml:space="preserve"> However, </w:t>
      </w:r>
      <w:r w:rsidR="00BA3ECB">
        <w:t xml:space="preserve">there </w:t>
      </w:r>
      <w:r w:rsidR="00C36B6F">
        <w:t>appears</w:t>
      </w:r>
      <w:r w:rsidR="00BA3ECB">
        <w:t xml:space="preserve"> to be the strongest </w:t>
      </w:r>
      <w:r w:rsidR="0096095B">
        <w:t xml:space="preserve">immediate need to </w:t>
      </w:r>
      <w:r w:rsidR="00AB2E89">
        <w:t>provid</w:t>
      </w:r>
      <w:r w:rsidR="0096095B">
        <w:t>e</w:t>
      </w:r>
      <w:r w:rsidR="00AB2E89">
        <w:t xml:space="preserve"> a </w:t>
      </w:r>
      <w:r w:rsidR="00BA3ECB">
        <w:t xml:space="preserve">pathway for non-ADIs seeking direct access </w:t>
      </w:r>
      <w:r w:rsidR="0096095B">
        <w:t>to clear and settle payments</w:t>
      </w:r>
      <w:r w:rsidR="00872E2E">
        <w:t xml:space="preserve">, particularly for </w:t>
      </w:r>
      <w:r w:rsidR="00635A2D">
        <w:t>account-based</w:t>
      </w:r>
      <w:r w:rsidR="004A75DF">
        <w:t xml:space="preserve"> payment systems.</w:t>
      </w:r>
    </w:p>
    <w:p w14:paraId="29338F77" w14:textId="40E437DB" w:rsidR="00872787" w:rsidRDefault="00554170" w:rsidP="006377BA">
      <w:pPr>
        <w:pStyle w:val="Heading2"/>
      </w:pPr>
      <w:bookmarkStart w:id="195" w:name="_Toc149230980"/>
      <w:bookmarkStart w:id="196" w:name="_Toc152847655"/>
      <w:r>
        <w:t>Proposed regulatory model</w:t>
      </w:r>
      <w:bookmarkEnd w:id="195"/>
      <w:bookmarkEnd w:id="196"/>
    </w:p>
    <w:p w14:paraId="5B76DEC0" w14:textId="6A0D827B" w:rsidR="00AD396A" w:rsidRDefault="00AD396A" w:rsidP="00AB3D0E">
      <w:pPr>
        <w:pStyle w:val="Heading3"/>
      </w:pPr>
      <w:bookmarkStart w:id="197" w:name="_Toc149230981"/>
      <w:r>
        <w:t xml:space="preserve">APRA </w:t>
      </w:r>
      <w:r w:rsidR="00054D6D">
        <w:t>regulation</w:t>
      </w:r>
      <w:bookmarkEnd w:id="197"/>
    </w:p>
    <w:p w14:paraId="4D3E75EB" w14:textId="42DA8517" w:rsidR="00D9237E" w:rsidRDefault="00D9237E" w:rsidP="00242503">
      <w:r>
        <w:t>Participants undertaking clearing or settlement activity</w:t>
      </w:r>
      <w:r w:rsidRPr="00F115CC">
        <w:t xml:space="preserve"> can pose risks to the financial system and economy that extend beyond po</w:t>
      </w:r>
      <w:r>
        <w:t>tential</w:t>
      </w:r>
      <w:r w:rsidRPr="00F115CC">
        <w:t xml:space="preserve"> harm to their consumer and business </w:t>
      </w:r>
      <w:r w:rsidR="009045A8">
        <w:t>customer</w:t>
      </w:r>
      <w:r w:rsidRPr="00F115CC">
        <w:t>s. An inability of a PSP to meet their clearing or settling obligations arising from the clearing and settlement process could result in material disruption to the economic activity facilitated by a</w:t>
      </w:r>
      <w:r w:rsidRPr="00F115CC" w:rsidDel="005A2A3A">
        <w:t xml:space="preserve"> </w:t>
      </w:r>
      <w:r w:rsidRPr="00F115CC">
        <w:t>payment system or systems.</w:t>
      </w:r>
      <w:r>
        <w:t xml:space="preserve"> These risks can be managed through proportionate regulation and supervision of the financial and operational soundness of participants. </w:t>
      </w:r>
    </w:p>
    <w:p w14:paraId="54BFFE8D" w14:textId="3E49919A" w:rsidR="00554170" w:rsidRPr="006C1DF9" w:rsidRDefault="00F638BF" w:rsidP="00242503">
      <w:pPr>
        <w:rPr>
          <w:rFonts w:cs="Arial"/>
        </w:rPr>
      </w:pPr>
      <w:r w:rsidRPr="006C1DF9">
        <w:rPr>
          <w:rFonts w:cs="Arial"/>
        </w:rPr>
        <w:t xml:space="preserve">It is proposed that APRA be the primary regulator for the </w:t>
      </w:r>
      <w:r w:rsidR="00B04477" w:rsidRPr="006C1DF9">
        <w:rPr>
          <w:rFonts w:cs="Arial"/>
        </w:rPr>
        <w:t>CARs</w:t>
      </w:r>
      <w:r w:rsidRPr="006C1DF9">
        <w:rPr>
          <w:rFonts w:cs="Arial"/>
        </w:rPr>
        <w:t>.</w:t>
      </w:r>
      <w:r w:rsidR="009A5798" w:rsidRPr="006C1DF9">
        <w:rPr>
          <w:rFonts w:cs="Arial"/>
        </w:rPr>
        <w:t xml:space="preserve"> </w:t>
      </w:r>
      <w:r w:rsidR="00760319">
        <w:rPr>
          <w:rFonts w:cs="Arial"/>
          <w:bCs/>
        </w:rPr>
        <w:t xml:space="preserve">APRA is </w:t>
      </w:r>
      <w:r w:rsidR="00015EEF">
        <w:rPr>
          <w:rFonts w:cs="Arial"/>
          <w:bCs/>
        </w:rPr>
        <w:t>best placed to ensure</w:t>
      </w:r>
      <w:r w:rsidR="00760319">
        <w:rPr>
          <w:rFonts w:cs="Arial"/>
          <w:bCs/>
        </w:rPr>
        <w:t xml:space="preserve"> non-ADI PSPs directly accessing payment systems </w:t>
      </w:r>
      <w:r w:rsidR="001E3BDA">
        <w:rPr>
          <w:rFonts w:cs="Arial"/>
          <w:bCs/>
        </w:rPr>
        <w:t xml:space="preserve">meet requirements for </w:t>
      </w:r>
      <w:r w:rsidR="00760319">
        <w:rPr>
          <w:rFonts w:cs="Arial"/>
          <w:bCs/>
        </w:rPr>
        <w:t xml:space="preserve">financial and operational </w:t>
      </w:r>
      <w:r w:rsidR="001E3BDA">
        <w:rPr>
          <w:rFonts w:cs="Arial"/>
          <w:bCs/>
        </w:rPr>
        <w:t>safety</w:t>
      </w:r>
      <w:r w:rsidR="00760319">
        <w:rPr>
          <w:rFonts w:cs="Arial"/>
          <w:bCs/>
        </w:rPr>
        <w:t>.</w:t>
      </w:r>
      <w:r w:rsidR="00DA6006">
        <w:rPr>
          <w:rFonts w:cs="Arial"/>
          <w:bCs/>
        </w:rPr>
        <w:t xml:space="preserve"> </w:t>
      </w:r>
      <w:r w:rsidR="001C7954" w:rsidRPr="001C7954">
        <w:rPr>
          <w:rFonts w:cs="Arial"/>
          <w:bCs/>
        </w:rPr>
        <w:t xml:space="preserve">APRA </w:t>
      </w:r>
      <w:r w:rsidR="001C7954">
        <w:rPr>
          <w:rFonts w:cs="Arial"/>
          <w:bCs/>
        </w:rPr>
        <w:t xml:space="preserve">would be </w:t>
      </w:r>
      <w:r w:rsidR="001C7954" w:rsidRPr="001C7954">
        <w:rPr>
          <w:rFonts w:cs="Arial"/>
          <w:bCs/>
        </w:rPr>
        <w:t xml:space="preserve">responsible for setting </w:t>
      </w:r>
      <w:r w:rsidR="001C7954">
        <w:rPr>
          <w:rFonts w:cs="Arial"/>
          <w:bCs/>
        </w:rPr>
        <w:t xml:space="preserve">the </w:t>
      </w:r>
      <w:r w:rsidR="007E5CAA">
        <w:rPr>
          <w:rFonts w:cs="Arial"/>
          <w:bCs/>
        </w:rPr>
        <w:t>CARs</w:t>
      </w:r>
      <w:r w:rsidR="001C7954" w:rsidRPr="001C7954">
        <w:rPr>
          <w:rFonts w:cs="Arial"/>
          <w:bCs/>
        </w:rPr>
        <w:t xml:space="preserve">, </w:t>
      </w:r>
      <w:r w:rsidR="00103DBC">
        <w:rPr>
          <w:rFonts w:cs="Arial"/>
          <w:bCs/>
        </w:rPr>
        <w:t>setting reporting requirements</w:t>
      </w:r>
      <w:r w:rsidR="001C7954" w:rsidRPr="001C7954">
        <w:rPr>
          <w:rFonts w:cs="Arial"/>
          <w:bCs/>
        </w:rPr>
        <w:t>, licensing</w:t>
      </w:r>
      <w:r w:rsidR="00550C98">
        <w:rPr>
          <w:rFonts w:cs="Arial"/>
          <w:bCs/>
        </w:rPr>
        <w:t xml:space="preserve"> CARs entities</w:t>
      </w:r>
      <w:r w:rsidR="001C7954" w:rsidRPr="001C7954">
        <w:rPr>
          <w:rFonts w:cs="Arial"/>
          <w:bCs/>
        </w:rPr>
        <w:t xml:space="preserve">, </w:t>
      </w:r>
      <w:r w:rsidR="00CB6954">
        <w:rPr>
          <w:rFonts w:cs="Arial"/>
          <w:bCs/>
        </w:rPr>
        <w:t xml:space="preserve">and </w:t>
      </w:r>
      <w:r w:rsidR="001C7954" w:rsidRPr="001C7954">
        <w:rPr>
          <w:rFonts w:cs="Arial"/>
          <w:bCs/>
        </w:rPr>
        <w:t>supervision.</w:t>
      </w:r>
    </w:p>
    <w:p w14:paraId="67E8E2B1" w14:textId="6AEA70FA" w:rsidR="00DB6CE3" w:rsidRDefault="00DB6CE3" w:rsidP="00242503">
      <w:pPr>
        <w:rPr>
          <w:rFonts w:cs="Arial"/>
          <w:bCs/>
        </w:rPr>
      </w:pPr>
      <w:r>
        <w:rPr>
          <w:rFonts w:cs="Arial"/>
          <w:bCs/>
        </w:rPr>
        <w:t xml:space="preserve">In undertaking this role, APRA’s focus would be on ensuring that these entities manage their financial and operational risks in a sound way. Such oversight would provide assurance that the entities are able to provide safe and reliable services to the payments system. APRA’s role would not be focussed on an entity’s ability to meet specific requirements to clear and settle payments or assess specific risks </w:t>
      </w:r>
      <w:r w:rsidR="00947958">
        <w:rPr>
          <w:rFonts w:cs="Arial"/>
          <w:bCs/>
        </w:rPr>
        <w:t>that</w:t>
      </w:r>
      <w:r>
        <w:rPr>
          <w:rFonts w:cs="Arial"/>
          <w:bCs/>
        </w:rPr>
        <w:t xml:space="preserve"> they might pose to particular payments system infrastructure. </w:t>
      </w:r>
    </w:p>
    <w:p w14:paraId="314B7FEA" w14:textId="4AADCA40" w:rsidR="00AD396A" w:rsidRDefault="00AD396A" w:rsidP="00242503">
      <w:pPr>
        <w:rPr>
          <w:rFonts w:cs="Arial"/>
        </w:rPr>
      </w:pPr>
      <w:r>
        <w:rPr>
          <w:rFonts w:cs="Arial"/>
        </w:rPr>
        <w:t xml:space="preserve">APRA’s </w:t>
      </w:r>
      <w:r w:rsidR="00997A8C">
        <w:rPr>
          <w:rFonts w:cs="Arial"/>
        </w:rPr>
        <w:t>existing</w:t>
      </w:r>
      <w:r>
        <w:rPr>
          <w:rFonts w:cs="Arial"/>
        </w:rPr>
        <w:t xml:space="preserve"> regulatory approach focuses on financial and operational soundness, which is necessarily whole-of-entity-based rather than activity-based. As such, it </w:t>
      </w:r>
      <w:r w:rsidR="00C234D7">
        <w:rPr>
          <w:rFonts w:cs="Arial"/>
        </w:rPr>
        <w:t xml:space="preserve">may not be </w:t>
      </w:r>
      <w:r w:rsidR="0002290E">
        <w:rPr>
          <w:rFonts w:cs="Arial"/>
        </w:rPr>
        <w:t>practical for APRA</w:t>
      </w:r>
      <w:r>
        <w:rPr>
          <w:rFonts w:cs="Arial"/>
        </w:rPr>
        <w:t xml:space="preserve"> to regulate an entity for which payments activities (including clearing and settlements) is a small part of its activities, where it may be mostly engaged in activities unfamiliar to APRA supervision – for example, a large diversified international telecommunications company. </w:t>
      </w:r>
      <w:r w:rsidR="0002290E">
        <w:rPr>
          <w:rFonts w:cs="Arial"/>
        </w:rPr>
        <w:t xml:space="preserve">Accordingly, </w:t>
      </w:r>
      <w:r>
        <w:rPr>
          <w:rFonts w:cs="Arial"/>
        </w:rPr>
        <w:t xml:space="preserve">APRA’s CARs regulations would likely need to require a PSP to be predominantly engaged in Australian payments activities. </w:t>
      </w:r>
      <w:r w:rsidR="00EE36D5">
        <w:rPr>
          <w:rFonts w:cs="Arial"/>
        </w:rPr>
        <w:t>The</w:t>
      </w:r>
      <w:r>
        <w:rPr>
          <w:rFonts w:cs="Arial"/>
        </w:rPr>
        <w:t xml:space="preserve"> PSP</w:t>
      </w:r>
      <w:r w:rsidDel="00D77B1D">
        <w:rPr>
          <w:rFonts w:cs="Arial"/>
        </w:rPr>
        <w:t xml:space="preserve"> </w:t>
      </w:r>
      <w:r w:rsidR="00D77B1D">
        <w:rPr>
          <w:rFonts w:cs="Arial"/>
        </w:rPr>
        <w:t>may</w:t>
      </w:r>
      <w:r>
        <w:rPr>
          <w:rFonts w:cs="Arial"/>
        </w:rPr>
        <w:t xml:space="preserve"> need to be an Australian legal entity set up for this purpose. In applying CARs to that PSP, APRA’s supervision would not be focussed on risks to the PSP arising from being part of a larger group.</w:t>
      </w:r>
      <w:r w:rsidR="00800BCA">
        <w:rPr>
          <w:rFonts w:cs="Arial"/>
        </w:rPr>
        <w:t xml:space="preserve"> </w:t>
      </w:r>
      <w:r w:rsidR="000E512C">
        <w:rPr>
          <w:rFonts w:cs="Arial"/>
        </w:rPr>
        <w:t xml:space="preserve"> </w:t>
      </w:r>
    </w:p>
    <w:p w14:paraId="5F5762BF" w14:textId="4028192C" w:rsidR="00A12100" w:rsidRDefault="00A12100" w:rsidP="00242503">
      <w:pPr>
        <w:rPr>
          <w:rFonts w:cs="Arial"/>
        </w:rPr>
      </w:pPr>
      <w:r>
        <w:rPr>
          <w:rFonts w:cs="Arial"/>
        </w:rPr>
        <w:t xml:space="preserve">Consistent with APRA’s </w:t>
      </w:r>
      <w:r w:rsidR="00697D92">
        <w:rPr>
          <w:rFonts w:cs="Arial"/>
        </w:rPr>
        <w:t>current approach for the entities it supervises, APRA would</w:t>
      </w:r>
      <w:r w:rsidR="002A630E">
        <w:rPr>
          <w:rFonts w:cs="Arial"/>
        </w:rPr>
        <w:t xml:space="preserve"> publish a list of entities supervised under the CARs. </w:t>
      </w:r>
      <w:r w:rsidR="00235802">
        <w:rPr>
          <w:rFonts w:cs="Arial"/>
        </w:rPr>
        <w:t xml:space="preserve">APRA would also publicly announce if </w:t>
      </w:r>
      <w:r w:rsidR="00FF02CE">
        <w:rPr>
          <w:rFonts w:cs="Arial"/>
        </w:rPr>
        <w:t>it revoked a CAR</w:t>
      </w:r>
      <w:r w:rsidR="002203DE">
        <w:rPr>
          <w:rFonts w:cs="Arial"/>
        </w:rPr>
        <w:t>s</w:t>
      </w:r>
      <w:r w:rsidR="00FF02CE">
        <w:rPr>
          <w:rFonts w:cs="Arial"/>
        </w:rPr>
        <w:t xml:space="preserve"> licence.</w:t>
      </w:r>
      <w:r w:rsidR="000735AD">
        <w:rPr>
          <w:rFonts w:cs="Arial"/>
        </w:rPr>
        <w:t xml:space="preserve"> APRA’s decisions would be reviewable to the Administrative Appeals Tribunal</w:t>
      </w:r>
      <w:r w:rsidR="00BE1F0A">
        <w:rPr>
          <w:rFonts w:cs="Arial"/>
        </w:rPr>
        <w:t>.</w:t>
      </w:r>
    </w:p>
    <w:p w14:paraId="2C3E53DB" w14:textId="0F35DB18" w:rsidR="00750EA8" w:rsidRDefault="006D56F5" w:rsidP="00242503">
      <w:pPr>
        <w:rPr>
          <w:rFonts w:cs="Arial"/>
        </w:rPr>
      </w:pPr>
      <w:r>
        <w:lastRenderedPageBreak/>
        <w:t xml:space="preserve">Supervising PSPs under the CARs is </w:t>
      </w:r>
      <w:r w:rsidR="00750EA8" w:rsidRPr="00CD4266">
        <w:t xml:space="preserve">consistent with </w:t>
      </w:r>
      <w:r w:rsidR="00E305F9">
        <w:t xml:space="preserve">APRA’s </w:t>
      </w:r>
      <w:r w:rsidR="00750EA8" w:rsidRPr="00CD4266">
        <w:t>role to promote financial system stability</w:t>
      </w:r>
      <w:r w:rsidR="00750EA8">
        <w:t xml:space="preserve"> whilst balancing the objectives of financial safety, efficiency, competition, contestability, and competitive neutrality.</w:t>
      </w:r>
      <w:r w:rsidR="00855652">
        <w:rPr>
          <w:rStyle w:val="FootnoteReference"/>
        </w:rPr>
        <w:footnoteReference w:id="126"/>
      </w:r>
      <w:r w:rsidR="00445FC6">
        <w:t xml:space="preserve"> </w:t>
      </w:r>
    </w:p>
    <w:p w14:paraId="27558C5F" w14:textId="58A192C2" w:rsidR="00A475D3" w:rsidRPr="00B73A91" w:rsidRDefault="00DB2AC6" w:rsidP="00242503">
      <w:r>
        <w:t>A</w:t>
      </w:r>
      <w:r w:rsidR="008F43CD" w:rsidRPr="00DB2AC6">
        <w:t>n APRA CARs licen</w:t>
      </w:r>
      <w:r w:rsidR="006C2B77">
        <w:t>c</w:t>
      </w:r>
      <w:r w:rsidR="008F43CD" w:rsidRPr="00DB2AC6">
        <w:t>e would not automatically provide access to payment systems; the decision to grant access would remain the responsibility of the payment system operator.</w:t>
      </w:r>
    </w:p>
    <w:p w14:paraId="24DEB7D2" w14:textId="2022CFCF" w:rsidR="00AD396A" w:rsidRDefault="0050150F" w:rsidP="00AB3D0E">
      <w:pPr>
        <w:pStyle w:val="Heading3"/>
      </w:pPr>
      <w:bookmarkStart w:id="198" w:name="_Toc149230982"/>
      <w:r>
        <w:t xml:space="preserve">RBA </w:t>
      </w:r>
      <w:r w:rsidR="00B66749">
        <w:t>powers in respect of</w:t>
      </w:r>
      <w:r>
        <w:t xml:space="preserve"> operators</w:t>
      </w:r>
      <w:r w:rsidR="00CD5FC1">
        <w:t xml:space="preserve"> and support to APRA</w:t>
      </w:r>
      <w:bookmarkEnd w:id="198"/>
    </w:p>
    <w:p w14:paraId="7DA0C07C" w14:textId="6DA5C29D" w:rsidR="00B32318" w:rsidRDefault="00EA7082" w:rsidP="00242503">
      <w:r>
        <w:t xml:space="preserve">As noted in the first consultation, it is not proposed that payment system operators would be </w:t>
      </w:r>
      <w:r w:rsidR="00CD5FC1">
        <w:t xml:space="preserve">obliged </w:t>
      </w:r>
      <w:r>
        <w:t xml:space="preserve">to grant access to licensees that simply meet the </w:t>
      </w:r>
      <w:r w:rsidR="00B04477">
        <w:t>CARs</w:t>
      </w:r>
      <w:r>
        <w:t xml:space="preserve">, as they may have additional system-specific requirements (for example, related to technical connectivity or operational procedures) and are best placed to manage the risks of accessing their system. </w:t>
      </w:r>
    </w:p>
    <w:p w14:paraId="5897939B" w14:textId="2E064ACF" w:rsidR="00EA7082" w:rsidRPr="00DA15E8" w:rsidRDefault="00EA7082" w:rsidP="00242503">
      <w:r>
        <w:t>However</w:t>
      </w:r>
      <w:r w:rsidR="001261F7">
        <w:t xml:space="preserve">, the </w:t>
      </w:r>
      <w:r w:rsidR="001261F7" w:rsidRPr="00C0725C">
        <w:rPr>
          <w:rFonts w:cs="Arial"/>
          <w:bCs/>
        </w:rPr>
        <w:t xml:space="preserve">RBA </w:t>
      </w:r>
      <w:r w:rsidR="00AF21B8">
        <w:rPr>
          <w:rFonts w:cs="Arial"/>
          <w:bCs/>
        </w:rPr>
        <w:t>would</w:t>
      </w:r>
      <w:r w:rsidR="00AF21B8" w:rsidRPr="00C0725C">
        <w:rPr>
          <w:rFonts w:cs="Arial"/>
          <w:bCs/>
        </w:rPr>
        <w:t xml:space="preserve"> </w:t>
      </w:r>
      <w:r w:rsidR="001261F7" w:rsidRPr="00C0725C">
        <w:rPr>
          <w:rFonts w:cs="Arial"/>
          <w:bCs/>
        </w:rPr>
        <w:t xml:space="preserve">work with relevant payment system operators to </w:t>
      </w:r>
      <w:r w:rsidR="00E84965">
        <w:rPr>
          <w:rFonts w:cs="Arial"/>
          <w:bCs/>
        </w:rPr>
        <w:t>mee</w:t>
      </w:r>
      <w:r w:rsidR="00E84965" w:rsidRPr="00C0725C">
        <w:rPr>
          <w:rFonts w:cs="Arial"/>
          <w:bCs/>
        </w:rPr>
        <w:t>t</w:t>
      </w:r>
      <w:r w:rsidR="00E84965">
        <w:rPr>
          <w:rFonts w:cs="Arial"/>
          <w:bCs/>
        </w:rPr>
        <w:t xml:space="preserve"> the key objectives of the CARs, namely </w:t>
      </w:r>
      <w:r w:rsidR="001261F7" w:rsidRPr="00C0725C">
        <w:rPr>
          <w:rFonts w:cs="Arial"/>
          <w:bCs/>
        </w:rPr>
        <w:t xml:space="preserve">that: </w:t>
      </w:r>
    </w:p>
    <w:p w14:paraId="70CAB071" w14:textId="07BBC240" w:rsidR="00FD1078" w:rsidRDefault="00C0725C" w:rsidP="0020029E">
      <w:pPr>
        <w:pStyle w:val="Bullet"/>
      </w:pPr>
      <w:r w:rsidRPr="00C0725C">
        <w:t>PSPs holding the CARs licence are eligible to join their system, just as ADIs are</w:t>
      </w:r>
      <w:r w:rsidR="00CE3876">
        <w:t>;</w:t>
      </w:r>
      <w:r>
        <w:t xml:space="preserve"> </w:t>
      </w:r>
    </w:p>
    <w:p w14:paraId="565D31E2" w14:textId="31F81DD6" w:rsidR="00650A21" w:rsidRPr="00650A21" w:rsidRDefault="00C0725C" w:rsidP="0020029E">
      <w:pPr>
        <w:pStyle w:val="Bullet"/>
      </w:pPr>
      <w:r w:rsidRPr="00FD1078">
        <w:t xml:space="preserve">there is no </w:t>
      </w:r>
      <w:r w:rsidRPr="00C0725C">
        <w:t>imposition</w:t>
      </w:r>
      <w:r w:rsidRPr="00FD1078">
        <w:t xml:space="preserve"> of additional access requirements that discriminate against </w:t>
      </w:r>
      <w:r w:rsidR="008F4287">
        <w:t xml:space="preserve">non-ADI </w:t>
      </w:r>
      <w:r w:rsidRPr="00FD1078">
        <w:t>PSPs holding the relevant licence (relative to ADIs)</w:t>
      </w:r>
      <w:r w:rsidR="000307DD">
        <w:t>;</w:t>
      </w:r>
      <w:r w:rsidR="004C0C45">
        <w:t xml:space="preserve"> and</w:t>
      </w:r>
    </w:p>
    <w:p w14:paraId="4FBE3702" w14:textId="01ED5D0D" w:rsidR="00FD1078" w:rsidRPr="00C0725C" w:rsidRDefault="00650A21" w:rsidP="0020029E">
      <w:pPr>
        <w:pStyle w:val="Bullet"/>
      </w:pPr>
      <w:r>
        <w:t>operators remove requirements that duplicate the CARs</w:t>
      </w:r>
      <w:r w:rsidR="00010927">
        <w:t xml:space="preserve"> </w:t>
      </w:r>
      <w:r w:rsidR="00FD21B2">
        <w:t>for</w:t>
      </w:r>
      <w:r w:rsidR="00010927">
        <w:t xml:space="preserve"> entities that hold the CARs licence</w:t>
      </w:r>
      <w:r>
        <w:t>.</w:t>
      </w:r>
      <w:r w:rsidR="00DF1459">
        <w:t xml:space="preserve"> </w:t>
      </w:r>
    </w:p>
    <w:p w14:paraId="56AC3299" w14:textId="012C17C6" w:rsidR="0032404E" w:rsidRPr="00437D22" w:rsidRDefault="00F30969" w:rsidP="00242503">
      <w:pPr>
        <w:rPr>
          <w:lang w:val="en-US"/>
        </w:rPr>
      </w:pPr>
      <w:r>
        <w:rPr>
          <w:lang w:val="en-US"/>
        </w:rPr>
        <w:t xml:space="preserve">As noted above, a key objective of the new CAR framework is that the operators would treat CARs entities the same as ADIs in </w:t>
      </w:r>
      <w:r w:rsidR="00FD098F">
        <w:rPr>
          <w:lang w:val="en-US"/>
        </w:rPr>
        <w:t>their</w:t>
      </w:r>
      <w:r>
        <w:rPr>
          <w:lang w:val="en-US"/>
        </w:rPr>
        <w:t xml:space="preserve"> direct access</w:t>
      </w:r>
      <w:r w:rsidR="00C1682D">
        <w:rPr>
          <w:lang w:val="en-US"/>
        </w:rPr>
        <w:t xml:space="preserve"> arrangements</w:t>
      </w:r>
      <w:r>
        <w:rPr>
          <w:lang w:val="en-US"/>
        </w:rPr>
        <w:t xml:space="preserve">. </w:t>
      </w:r>
      <w:r w:rsidR="0032404E">
        <w:t xml:space="preserve">In the event that a payment system operator imposed additional access requirements contrary to the above objectives, the RBA could consider exercising its existing powers under the PSRA, including to impose an access regime on participants in a designated payment system, if it would be in the public interest to do so.  </w:t>
      </w:r>
    </w:p>
    <w:p w14:paraId="4DBFC314" w14:textId="69789688" w:rsidR="00FD1078" w:rsidRDefault="00B15DD8" w:rsidP="00242503">
      <w:r>
        <w:t xml:space="preserve">In addition, </w:t>
      </w:r>
      <w:r w:rsidR="00FD1078">
        <w:t xml:space="preserve">RBA would support APRA by providing technical payments expertise and payments system intelligence. The RBA’s experience would provide insight on risk drivers arising from an entities’ clearing and settlement activity and involvement in payments systems, particularly where risks may lead to financial loss. The RBA would provide this experience to support calibration of reporting metrics and prudential requirements. </w:t>
      </w:r>
    </w:p>
    <w:p w14:paraId="36181226" w14:textId="607A61D6" w:rsidR="006300CE" w:rsidRDefault="006300CE" w:rsidP="00AB3D0E">
      <w:pPr>
        <w:pStyle w:val="Heading3"/>
      </w:pPr>
      <w:bookmarkStart w:id="199" w:name="_Toc149230983"/>
      <w:r>
        <w:t xml:space="preserve">Interaction with </w:t>
      </w:r>
      <w:bookmarkEnd w:id="199"/>
      <w:r>
        <w:t>AFS</w:t>
      </w:r>
      <w:r w:rsidR="00132F49">
        <w:t>L</w:t>
      </w:r>
    </w:p>
    <w:p w14:paraId="5C0637AC" w14:textId="024799D7" w:rsidR="00DB4AB0" w:rsidRDefault="00231A98" w:rsidP="00242503">
      <w:pPr>
        <w:rPr>
          <w:rFonts w:cstheme="minorHAnsi"/>
        </w:rPr>
      </w:pPr>
      <w:r>
        <w:rPr>
          <w:rFonts w:cstheme="minorHAnsi"/>
        </w:rPr>
        <w:t>It</w:t>
      </w:r>
      <w:r w:rsidR="006300CE">
        <w:rPr>
          <w:rFonts w:cstheme="minorHAnsi"/>
        </w:rPr>
        <w:t xml:space="preserve"> is proposed that </w:t>
      </w:r>
      <w:r w:rsidR="00626B97">
        <w:rPr>
          <w:rFonts w:cstheme="minorHAnsi"/>
        </w:rPr>
        <w:t>CARs</w:t>
      </w:r>
      <w:r w:rsidR="004515F3">
        <w:rPr>
          <w:rFonts w:cstheme="minorHAnsi"/>
        </w:rPr>
        <w:t xml:space="preserve"> licensees</w:t>
      </w:r>
      <w:r w:rsidR="00626B97">
        <w:rPr>
          <w:rFonts w:cstheme="minorHAnsi"/>
        </w:rPr>
        <w:t xml:space="preserve"> </w:t>
      </w:r>
      <w:r w:rsidR="00560E33">
        <w:rPr>
          <w:rFonts w:cstheme="minorHAnsi"/>
        </w:rPr>
        <w:t>w</w:t>
      </w:r>
      <w:r w:rsidR="00626B97">
        <w:rPr>
          <w:rFonts w:cstheme="minorHAnsi"/>
        </w:rPr>
        <w:t xml:space="preserve">ould not </w:t>
      </w:r>
      <w:r w:rsidR="00F66AB2">
        <w:rPr>
          <w:rFonts w:cstheme="minorHAnsi"/>
        </w:rPr>
        <w:t>require an AFSL</w:t>
      </w:r>
      <w:r w:rsidR="008A33C1">
        <w:rPr>
          <w:rFonts w:cstheme="minorHAnsi"/>
        </w:rPr>
        <w:t xml:space="preserve"> specifically for the </w:t>
      </w:r>
      <w:r w:rsidR="000D750B">
        <w:rPr>
          <w:rFonts w:cstheme="minorHAnsi"/>
        </w:rPr>
        <w:t xml:space="preserve">clearing and settlement </w:t>
      </w:r>
      <w:r w:rsidR="008A33C1">
        <w:rPr>
          <w:rFonts w:cstheme="minorHAnsi"/>
        </w:rPr>
        <w:t>activity</w:t>
      </w:r>
      <w:r w:rsidR="00F66AB2">
        <w:rPr>
          <w:rFonts w:cstheme="minorHAnsi"/>
        </w:rPr>
        <w:t>.</w:t>
      </w:r>
      <w:r w:rsidR="004515F3">
        <w:rPr>
          <w:rStyle w:val="FootnoteReference"/>
          <w:rFonts w:cstheme="minorHAnsi"/>
        </w:rPr>
        <w:footnoteReference w:id="127"/>
      </w:r>
      <w:r w:rsidR="00F66AB2">
        <w:rPr>
          <w:rFonts w:cstheme="minorHAnsi"/>
        </w:rPr>
        <w:t xml:space="preserve"> </w:t>
      </w:r>
      <w:r w:rsidR="00BF488D">
        <w:rPr>
          <w:rFonts w:cstheme="minorHAnsi"/>
        </w:rPr>
        <w:t>APRA</w:t>
      </w:r>
      <w:r w:rsidR="004F6083">
        <w:rPr>
          <w:rFonts w:cstheme="minorHAnsi"/>
        </w:rPr>
        <w:noBreakHyphen/>
      </w:r>
      <w:r w:rsidR="00BF488D">
        <w:rPr>
          <w:rFonts w:cstheme="minorHAnsi"/>
        </w:rPr>
        <w:t xml:space="preserve">regulated entities who provide </w:t>
      </w:r>
      <w:r w:rsidR="00632625">
        <w:rPr>
          <w:rFonts w:cstheme="minorHAnsi"/>
        </w:rPr>
        <w:t xml:space="preserve">financial </w:t>
      </w:r>
      <w:r w:rsidR="00BF488D">
        <w:rPr>
          <w:rFonts w:cstheme="minorHAnsi"/>
        </w:rPr>
        <w:t xml:space="preserve">services to wholesale clients only are </w:t>
      </w:r>
      <w:r w:rsidR="00CC62C3">
        <w:rPr>
          <w:rFonts w:cstheme="minorHAnsi"/>
        </w:rPr>
        <w:t xml:space="preserve">currently exempt from </w:t>
      </w:r>
      <w:r w:rsidR="00DB5E2D">
        <w:rPr>
          <w:rFonts w:cstheme="minorHAnsi"/>
        </w:rPr>
        <w:t>the requirement to hold an AFS</w:t>
      </w:r>
      <w:r w:rsidR="00132F49">
        <w:rPr>
          <w:rFonts w:cstheme="minorHAnsi"/>
        </w:rPr>
        <w:t>L</w:t>
      </w:r>
      <w:r w:rsidR="001A5EB0">
        <w:rPr>
          <w:rFonts w:cstheme="minorHAnsi"/>
        </w:rPr>
        <w:t>.</w:t>
      </w:r>
      <w:r w:rsidR="001A5EB0">
        <w:rPr>
          <w:rStyle w:val="FootnoteReference"/>
          <w:rFonts w:cstheme="minorHAnsi"/>
        </w:rPr>
        <w:footnoteReference w:id="128"/>
      </w:r>
      <w:r w:rsidR="009B28AC">
        <w:rPr>
          <w:rFonts w:cstheme="minorHAnsi"/>
        </w:rPr>
        <w:t xml:space="preserve"> It would be inconsistent with this approach to require </w:t>
      </w:r>
      <w:r w:rsidR="00EF06AE">
        <w:rPr>
          <w:rFonts w:cstheme="minorHAnsi"/>
        </w:rPr>
        <w:t>CARs licensees to also hold an AFSL.</w:t>
      </w:r>
      <w:r w:rsidR="00AC3C59">
        <w:rPr>
          <w:rFonts w:cstheme="minorHAnsi"/>
        </w:rPr>
        <w:t xml:space="preserve"> </w:t>
      </w:r>
    </w:p>
    <w:p w14:paraId="7CCBE888" w14:textId="4AE9C359" w:rsidR="006300CE" w:rsidRPr="002E2385" w:rsidRDefault="00971513" w:rsidP="00242503">
      <w:r>
        <w:lastRenderedPageBreak/>
        <w:t>Where a</w:t>
      </w:r>
      <w:r w:rsidR="001C0BAA">
        <w:t xml:space="preserve"> PSP </w:t>
      </w:r>
      <w:r>
        <w:t xml:space="preserve">held a CARs licence and an </w:t>
      </w:r>
      <w:r w:rsidR="001C0BAA">
        <w:t>AFSL for other activities, the existing provisions</w:t>
      </w:r>
      <w:r w:rsidR="00FC00D4">
        <w:t xml:space="preserve"> for APRA</w:t>
      </w:r>
      <w:r w:rsidR="00FC00D4">
        <w:noBreakHyphen/>
        <w:t>regulated entities would apply to minimise regulatory duplication.</w:t>
      </w:r>
      <w:r w:rsidR="008144E7">
        <w:rPr>
          <w:rStyle w:val="FootnoteReference"/>
        </w:rPr>
        <w:footnoteReference w:id="129"/>
      </w:r>
      <w:r w:rsidR="00FC00D4">
        <w:t xml:space="preserve"> </w:t>
      </w:r>
    </w:p>
    <w:p w14:paraId="753CD3D4" w14:textId="7CDBB097" w:rsidR="00750EA8" w:rsidRPr="00750EA8" w:rsidRDefault="00750EA8" w:rsidP="00AB3D0E">
      <w:pPr>
        <w:pStyle w:val="Heading3"/>
      </w:pPr>
      <w:bookmarkStart w:id="200" w:name="_Toc149230984"/>
      <w:r w:rsidRPr="00750EA8">
        <w:t>Next steps</w:t>
      </w:r>
      <w:bookmarkEnd w:id="200"/>
    </w:p>
    <w:p w14:paraId="4C9FFCDB" w14:textId="35C0E23F" w:rsidR="00941B47" w:rsidRDefault="00750EA8" w:rsidP="00242503">
      <w:r>
        <w:t>Following the passage of legislation</w:t>
      </w:r>
      <w:r w:rsidR="008F3564">
        <w:t xml:space="preserve"> giving APRA the ability to set the CARs</w:t>
      </w:r>
      <w:r>
        <w:t xml:space="preserve">, </w:t>
      </w:r>
      <w:r>
        <w:rPr>
          <w:rFonts w:cs="Arial"/>
          <w:bCs/>
        </w:rPr>
        <w:t xml:space="preserve">APRA </w:t>
      </w:r>
      <w:r w:rsidR="00BF51B2">
        <w:rPr>
          <w:rFonts w:cs="Arial"/>
          <w:bCs/>
        </w:rPr>
        <w:t xml:space="preserve">would </w:t>
      </w:r>
      <w:r w:rsidR="00342E48">
        <w:rPr>
          <w:rFonts w:cs="Arial"/>
          <w:bCs/>
        </w:rPr>
        <w:t>undertake further</w:t>
      </w:r>
      <w:r>
        <w:rPr>
          <w:rFonts w:cs="Arial"/>
          <w:bCs/>
        </w:rPr>
        <w:t xml:space="preserve"> consultation </w:t>
      </w:r>
      <w:r w:rsidR="000B08E2">
        <w:rPr>
          <w:rFonts w:cs="Arial"/>
          <w:bCs/>
        </w:rPr>
        <w:t xml:space="preserve">to implement </w:t>
      </w:r>
      <w:r>
        <w:rPr>
          <w:rFonts w:cs="Arial"/>
          <w:bCs/>
        </w:rPr>
        <w:t xml:space="preserve">the </w:t>
      </w:r>
      <w:r w:rsidR="000630D0">
        <w:rPr>
          <w:rFonts w:cs="Arial"/>
          <w:bCs/>
        </w:rPr>
        <w:t>CARs</w:t>
      </w:r>
      <w:r w:rsidR="00AA0034">
        <w:rPr>
          <w:rFonts w:cs="Arial"/>
          <w:bCs/>
        </w:rPr>
        <w:t xml:space="preserve"> </w:t>
      </w:r>
      <w:r w:rsidR="000B08E2">
        <w:rPr>
          <w:rFonts w:cs="Arial"/>
          <w:bCs/>
        </w:rPr>
        <w:t>through</w:t>
      </w:r>
      <w:r>
        <w:rPr>
          <w:rFonts w:cs="Arial"/>
          <w:bCs/>
        </w:rPr>
        <w:t xml:space="preserve"> prudential standards.</w:t>
      </w:r>
      <w:r w:rsidR="0004455C">
        <w:rPr>
          <w:rFonts w:cs="Arial"/>
          <w:bCs/>
        </w:rPr>
        <w:t xml:space="preserve"> </w:t>
      </w:r>
      <w:r w:rsidR="00941B47" w:rsidRPr="00941B47">
        <w:t>APRA’s objective is that the proposed draft CARs are designed collaboratively with industry</w:t>
      </w:r>
      <w:r w:rsidR="000C5310">
        <w:t>.</w:t>
      </w:r>
      <w:r w:rsidR="00941B47" w:rsidRPr="00941B47">
        <w:t xml:space="preserve"> </w:t>
      </w:r>
      <w:r w:rsidR="000C5310">
        <w:t>T</w:t>
      </w:r>
      <w:r w:rsidR="00941B47" w:rsidRPr="00941B47">
        <w:t xml:space="preserve">here will be a need to work closely with </w:t>
      </w:r>
      <w:r w:rsidR="00A31EDE">
        <w:t>p</w:t>
      </w:r>
      <w:r w:rsidR="00A31EDE" w:rsidRPr="00941B47">
        <w:t>ayment</w:t>
      </w:r>
      <w:r w:rsidR="00941B47" w:rsidRPr="00941B47" w:rsidDel="00A31EDE">
        <w:t xml:space="preserve"> </w:t>
      </w:r>
      <w:r w:rsidR="00A31EDE">
        <w:t>s</w:t>
      </w:r>
      <w:r w:rsidR="00A31EDE" w:rsidRPr="00941B47">
        <w:t xml:space="preserve">ystem </w:t>
      </w:r>
      <w:r w:rsidR="00A31EDE">
        <w:t>o</w:t>
      </w:r>
      <w:r w:rsidR="00941B47" w:rsidRPr="00941B47">
        <w:t xml:space="preserve">perators, non-ADIs seeking direct access to payment systems and the RBA to develop </w:t>
      </w:r>
      <w:r w:rsidR="008441E8">
        <w:t>the</w:t>
      </w:r>
      <w:r w:rsidR="008441E8" w:rsidRPr="00941B47">
        <w:t xml:space="preserve"> </w:t>
      </w:r>
      <w:r w:rsidR="008441E8">
        <w:t>requirements</w:t>
      </w:r>
      <w:r w:rsidR="00941B47" w:rsidRPr="00941B47">
        <w:t>. </w:t>
      </w:r>
    </w:p>
    <w:p w14:paraId="31545D92" w14:textId="537A0D80" w:rsidR="002C3282" w:rsidRPr="00467C9A" w:rsidRDefault="004066B5" w:rsidP="00242503">
      <w:r>
        <w:t xml:space="preserve">Following the passage of legislation, further information on APRA’s licensing expectations for CARs </w:t>
      </w:r>
      <w:r w:rsidR="003571B7">
        <w:t xml:space="preserve">would </w:t>
      </w:r>
      <w:r>
        <w:t>be released in due course.</w:t>
      </w:r>
    </w:p>
    <w:tbl>
      <w:tblPr>
        <w:tblStyle w:val="TableGrid"/>
        <w:tblW w:w="0" w:type="auto"/>
        <w:tblLook w:val="04A0" w:firstRow="1" w:lastRow="0" w:firstColumn="1" w:lastColumn="0" w:noHBand="0" w:noVBand="1"/>
      </w:tblPr>
      <w:tblGrid>
        <w:gridCol w:w="9070"/>
      </w:tblGrid>
      <w:tr w:rsidR="00E16F94" w14:paraId="49CC7C8D" w14:textId="77777777" w:rsidTr="003B495F">
        <w:trPr>
          <w:cnfStyle w:val="100000000000" w:firstRow="1" w:lastRow="0" w:firstColumn="0" w:lastColumn="0" w:oddVBand="0" w:evenVBand="0" w:oddHBand="0" w:evenHBand="0" w:firstRowFirstColumn="0" w:firstRowLastColumn="0" w:lastRowFirstColumn="0" w:lastRowLastColumn="0"/>
        </w:trPr>
        <w:tc>
          <w:tcPr>
            <w:tcW w:w="9070" w:type="dxa"/>
          </w:tcPr>
          <w:p w14:paraId="23DF847C" w14:textId="77777777" w:rsidR="00E16F94" w:rsidRPr="009F68DC" w:rsidRDefault="00E16F94" w:rsidP="00B13F7B">
            <w:pPr>
              <w:pStyle w:val="BoxText"/>
              <w:rPr>
                <w:rFonts w:asciiTheme="minorHAnsi" w:hAnsiTheme="minorHAnsi" w:cstheme="minorHAnsi"/>
                <w:b/>
                <w:bCs/>
                <w:u w:val="single"/>
              </w:rPr>
            </w:pPr>
            <w:r w:rsidRPr="00087DAE">
              <w:rPr>
                <w:rFonts w:asciiTheme="minorHAnsi" w:hAnsiTheme="minorHAnsi" w:cstheme="minorHAnsi"/>
                <w:b/>
                <w:u w:val="single"/>
              </w:rPr>
              <w:t>Consultation questions</w:t>
            </w:r>
          </w:p>
          <w:p w14:paraId="6E0AFF2B" w14:textId="5D6C434E" w:rsidR="00793AC3" w:rsidRPr="0028505F" w:rsidRDefault="00793AC3" w:rsidP="001D123F">
            <w:pPr>
              <w:pStyle w:val="Consultationquestions"/>
              <w:numPr>
                <w:ilvl w:val="0"/>
                <w:numId w:val="100"/>
              </w:numPr>
            </w:pPr>
            <w:r>
              <w:t>What</w:t>
            </w:r>
            <w:r w:rsidR="00946DC4">
              <w:t xml:space="preserve"> are the </w:t>
            </w:r>
            <w:r w:rsidR="002F2AF3">
              <w:t>different risks associated with payments clearing and settlement?</w:t>
            </w:r>
            <w:r w:rsidR="0084329A">
              <w:t xml:space="preserve"> How should these be managed?</w:t>
            </w:r>
          </w:p>
          <w:p w14:paraId="49DB1C97" w14:textId="335F9013" w:rsidR="00B26181" w:rsidRPr="00E975AB" w:rsidRDefault="00B26181" w:rsidP="0028505F">
            <w:pPr>
              <w:pStyle w:val="Consultationquestions"/>
            </w:pPr>
            <w:r>
              <w:t xml:space="preserve">The </w:t>
            </w:r>
            <w:r w:rsidRPr="00DB7EB9">
              <w:t>CARs are intended to increase access to payment systems while managing the risks of direct access. How can both of these objectives be achieved?</w:t>
            </w:r>
          </w:p>
          <w:p w14:paraId="002DABF7" w14:textId="70CE53DC" w:rsidR="00E975AB" w:rsidRPr="006246C8" w:rsidRDefault="002603EA" w:rsidP="0028505F">
            <w:pPr>
              <w:pStyle w:val="Consultationquestions"/>
            </w:pPr>
            <w:r>
              <w:t>Should CARs be legislatively mandated for all non-ADI PSPs seeking direct access for payments clearing and settlement</w:t>
            </w:r>
            <w:r w:rsidR="003D75E6">
              <w:t>, or should it be optional</w:t>
            </w:r>
            <w:r>
              <w:t xml:space="preserve">? </w:t>
            </w:r>
            <w:r w:rsidR="003D75E6">
              <w:t>Why?</w:t>
            </w:r>
          </w:p>
          <w:p w14:paraId="50EA5BB1" w14:textId="07452B8A" w:rsidR="00E975AB" w:rsidRPr="004A6119" w:rsidRDefault="002C5DCD" w:rsidP="0028505F">
            <w:pPr>
              <w:pStyle w:val="Consultationquestions"/>
            </w:pPr>
            <w:r>
              <w:t>APRA would have the power to set the CARs</w:t>
            </w:r>
            <w:r w:rsidR="00CF67D1">
              <w:t xml:space="preserve"> through prudential standards setting powers</w:t>
            </w:r>
            <w:r>
              <w:t xml:space="preserve">. </w:t>
            </w:r>
            <w:r w:rsidR="00CA5800">
              <w:t xml:space="preserve">To enable effective APRA-supervision of </w:t>
            </w:r>
            <w:r w:rsidR="00A76CFE">
              <w:t xml:space="preserve">entities subject to CARs, what other APRA powers should be extended to the CARs regime </w:t>
            </w:r>
            <w:r w:rsidR="00013252">
              <w:t>and why</w:t>
            </w:r>
            <w:r w:rsidR="00024562">
              <w:t>? For example,</w:t>
            </w:r>
            <w:r w:rsidR="00024562" w:rsidRPr="00E42AA2">
              <w:t xml:space="preserve"> </w:t>
            </w:r>
            <w:r w:rsidR="001A5647" w:rsidRPr="00E42AA2">
              <w:t>should it include</w:t>
            </w:r>
            <w:r w:rsidR="00024562">
              <w:t xml:space="preserve"> resolutions powers, </w:t>
            </w:r>
            <w:r w:rsidR="0046199E">
              <w:t>enforcement powers</w:t>
            </w:r>
            <w:r w:rsidR="005D4F19">
              <w:t>, directions powers</w:t>
            </w:r>
            <w:r w:rsidR="0046199E">
              <w:t xml:space="preserve"> </w:t>
            </w:r>
            <w:r w:rsidR="00024562">
              <w:t>and application o</w:t>
            </w:r>
            <w:r w:rsidR="00FF1458">
              <w:t xml:space="preserve">f group regulation powers? </w:t>
            </w:r>
            <w:r w:rsidR="00013252">
              <w:t xml:space="preserve"> </w:t>
            </w:r>
          </w:p>
        </w:tc>
      </w:tr>
    </w:tbl>
    <w:p w14:paraId="44D3129A" w14:textId="77777777" w:rsidR="00E16F94" w:rsidRPr="005148B3" w:rsidRDefault="00E16F94" w:rsidP="00242503">
      <w:pPr>
        <w:pStyle w:val="Bullet"/>
        <w:numPr>
          <w:ilvl w:val="0"/>
          <w:numId w:val="0"/>
        </w:numPr>
        <w:ind w:left="522"/>
      </w:pPr>
    </w:p>
    <w:p w14:paraId="1F26DCC6" w14:textId="60920F72" w:rsidR="009B526B" w:rsidRDefault="009B526B" w:rsidP="00E42AA2">
      <w:r>
        <w:br w:type="page"/>
      </w:r>
    </w:p>
    <w:p w14:paraId="1DE355CF" w14:textId="41453645" w:rsidR="009B526B" w:rsidRDefault="009B526B" w:rsidP="00EE5400">
      <w:pPr>
        <w:pStyle w:val="Heading1"/>
        <w:jc w:val="both"/>
      </w:pPr>
      <w:bookmarkStart w:id="201" w:name="_Ref148619686"/>
      <w:bookmarkStart w:id="202" w:name="_Toc149230985"/>
      <w:bookmarkStart w:id="203" w:name="_Toc152847656"/>
      <w:r>
        <w:lastRenderedPageBreak/>
        <w:t>Industry standard</w:t>
      </w:r>
      <w:r w:rsidR="00FA4099">
        <w:t>-</w:t>
      </w:r>
      <w:r>
        <w:t>setting</w:t>
      </w:r>
      <w:r w:rsidR="00994B68">
        <w:t xml:space="preserve"> framework</w:t>
      </w:r>
      <w:bookmarkEnd w:id="201"/>
      <w:bookmarkEnd w:id="202"/>
      <w:bookmarkEnd w:id="203"/>
    </w:p>
    <w:p w14:paraId="5F77BBA5" w14:textId="5A3E6790" w:rsidR="003C140B" w:rsidRDefault="003C140B" w:rsidP="001606BA">
      <w:pPr>
        <w:pStyle w:val="Heading2"/>
      </w:pPr>
      <w:bookmarkStart w:id="204" w:name="_Toc149230986"/>
      <w:bookmarkStart w:id="205" w:name="_Toc152847657"/>
      <w:r>
        <w:t>Background</w:t>
      </w:r>
      <w:bookmarkEnd w:id="204"/>
      <w:bookmarkEnd w:id="205"/>
    </w:p>
    <w:p w14:paraId="0E2366F2" w14:textId="2248D35A" w:rsidR="00AB2BD1" w:rsidRDefault="00BC2244" w:rsidP="00242503">
      <w:r>
        <w:t xml:space="preserve">Technical </w:t>
      </w:r>
      <w:r w:rsidR="00D652DE">
        <w:t xml:space="preserve">standards </w:t>
      </w:r>
      <w:r>
        <w:t>in the payments industry</w:t>
      </w:r>
      <w:r w:rsidR="00D652DE">
        <w:t xml:space="preserve"> </w:t>
      </w:r>
      <w:r w:rsidR="00572AE8">
        <w:t xml:space="preserve">are </w:t>
      </w:r>
      <w:r w:rsidR="00D652DE">
        <w:t>necessary to</w:t>
      </w:r>
      <w:r w:rsidR="00572AE8">
        <w:t xml:space="preserve"> achieve</w:t>
      </w:r>
      <w:r w:rsidR="00F334A3">
        <w:t xml:space="preserve"> interoperability,</w:t>
      </w:r>
      <w:r w:rsidR="00117789">
        <w:t xml:space="preserve"> </w:t>
      </w:r>
      <w:r w:rsidR="00F334A3">
        <w:t>security</w:t>
      </w:r>
      <w:r w:rsidR="008C1B33">
        <w:t>, reliability</w:t>
      </w:r>
      <w:r w:rsidR="00A845CA">
        <w:t>,</w:t>
      </w:r>
      <w:r w:rsidR="00117789">
        <w:t xml:space="preserve"> </w:t>
      </w:r>
      <w:r w:rsidR="009E5EE1">
        <w:t>accessibility,</w:t>
      </w:r>
      <w:r w:rsidR="00117789">
        <w:t xml:space="preserve"> </w:t>
      </w:r>
      <w:r w:rsidR="00F334A3">
        <w:t>c</w:t>
      </w:r>
      <w:r w:rsidR="009426A1">
        <w:t>ustomer</w:t>
      </w:r>
      <w:r w:rsidR="00F334A3">
        <w:t xml:space="preserve"> protection</w:t>
      </w:r>
      <w:r w:rsidR="00117789">
        <w:t>,</w:t>
      </w:r>
      <w:r w:rsidR="00F334A3">
        <w:t xml:space="preserve"> </w:t>
      </w:r>
      <w:r w:rsidR="00117789">
        <w:t>and promote competition</w:t>
      </w:r>
      <w:r w:rsidR="00F334A3">
        <w:t xml:space="preserve"> in the payment ecosystem.</w:t>
      </w:r>
      <w:r w:rsidR="0028728F">
        <w:t xml:space="preserve"> </w:t>
      </w:r>
      <w:r w:rsidR="00A075B4">
        <w:t>Improving</w:t>
      </w:r>
      <w:r w:rsidR="00AE1D09">
        <w:t xml:space="preserve"> these </w:t>
      </w:r>
      <w:r w:rsidR="00A075B4">
        <w:t xml:space="preserve">aspects of the </w:t>
      </w:r>
      <w:r w:rsidR="00746F1E">
        <w:t>system</w:t>
      </w:r>
      <w:r w:rsidR="005766F6">
        <w:t xml:space="preserve"> can </w:t>
      </w:r>
      <w:r w:rsidR="00611B38">
        <w:t xml:space="preserve">reduce </w:t>
      </w:r>
      <w:r w:rsidR="00F62523">
        <w:t>the cost of processing payments</w:t>
      </w:r>
      <w:r w:rsidR="00AE1D09">
        <w:t>,</w:t>
      </w:r>
      <w:r w:rsidR="008B1E0D">
        <w:t xml:space="preserve"> </w:t>
      </w:r>
      <w:r w:rsidR="00F37852">
        <w:t>provide</w:t>
      </w:r>
      <w:r w:rsidR="004067E8">
        <w:t xml:space="preserve"> </w:t>
      </w:r>
      <w:r w:rsidR="00F37852">
        <w:t>more</w:t>
      </w:r>
      <w:r w:rsidR="008B1E0D">
        <w:t xml:space="preserve"> choice </w:t>
      </w:r>
      <w:r w:rsidR="00FA20DF">
        <w:t>or convenience</w:t>
      </w:r>
      <w:r w:rsidR="008B1E0D">
        <w:t xml:space="preserve"> for </w:t>
      </w:r>
      <w:r w:rsidR="009045A8">
        <w:t>customer</w:t>
      </w:r>
      <w:r w:rsidR="008B1E0D">
        <w:t>s</w:t>
      </w:r>
      <w:r w:rsidR="00D42AC2">
        <w:t>,</w:t>
      </w:r>
      <w:r w:rsidR="00AE1D09">
        <w:t xml:space="preserve"> a</w:t>
      </w:r>
      <w:r w:rsidR="00A075B4">
        <w:t>nd</w:t>
      </w:r>
      <w:r w:rsidR="0069424D">
        <w:t xml:space="preserve"> </w:t>
      </w:r>
      <w:r w:rsidR="00F30080">
        <w:t xml:space="preserve">boost </w:t>
      </w:r>
      <w:r w:rsidR="00051131">
        <w:t xml:space="preserve">safety and </w:t>
      </w:r>
      <w:r w:rsidR="00F30080">
        <w:t>confidence in the Australian payments ecosystem.</w:t>
      </w:r>
      <w:r w:rsidR="00300B0E">
        <w:t xml:space="preserve"> </w:t>
      </w:r>
      <w:r w:rsidR="00FF2C90">
        <w:t>T</w:t>
      </w:r>
      <w:r w:rsidR="00874BE6">
        <w:t xml:space="preserve">o achieve these </w:t>
      </w:r>
      <w:r w:rsidR="001726E1">
        <w:t>system-wide</w:t>
      </w:r>
      <w:r w:rsidR="00874BE6">
        <w:t xml:space="preserve"> outcomes, </w:t>
      </w:r>
      <w:r w:rsidR="000C39BE">
        <w:t xml:space="preserve">technical </w:t>
      </w:r>
      <w:r w:rsidR="009D14BA">
        <w:t>payment standards</w:t>
      </w:r>
      <w:r w:rsidR="003642B3">
        <w:t xml:space="preserve"> </w:t>
      </w:r>
      <w:r w:rsidR="009C5937">
        <w:t xml:space="preserve">that are not adequately addressed through voluntary industry standards </w:t>
      </w:r>
      <w:r w:rsidR="00580C4E">
        <w:t xml:space="preserve">are proposed to </w:t>
      </w:r>
      <w:r w:rsidR="003642B3">
        <w:t>be mandatory for all</w:t>
      </w:r>
      <w:r w:rsidR="009D14BA">
        <w:t xml:space="preserve"> </w:t>
      </w:r>
      <w:r w:rsidR="00A8388D">
        <w:t xml:space="preserve">relevant </w:t>
      </w:r>
      <w:r w:rsidR="00432074">
        <w:t>PSPs</w:t>
      </w:r>
      <w:r w:rsidR="00A8388D">
        <w:t xml:space="preserve">. </w:t>
      </w:r>
      <w:r w:rsidR="0028491E">
        <w:t>Any mandatory t</w:t>
      </w:r>
      <w:r>
        <w:t>echnical</w:t>
      </w:r>
      <w:r w:rsidR="009D14BA">
        <w:t xml:space="preserve"> standards </w:t>
      </w:r>
      <w:r w:rsidR="00D55CB6">
        <w:t>should</w:t>
      </w:r>
      <w:r w:rsidR="006B24D5">
        <w:t xml:space="preserve"> be underpinned by strong governance arrangements to ensure </w:t>
      </w:r>
      <w:r w:rsidR="00F529E5">
        <w:t xml:space="preserve">that </w:t>
      </w:r>
      <w:r w:rsidR="00C50AC6">
        <w:t xml:space="preserve">they </w:t>
      </w:r>
      <w:r w:rsidR="006B24D5">
        <w:t xml:space="preserve">are developed in the best interests of </w:t>
      </w:r>
      <w:r w:rsidR="00276175">
        <w:t xml:space="preserve">the </w:t>
      </w:r>
      <w:r w:rsidR="009045A8">
        <w:t>customer</w:t>
      </w:r>
      <w:r w:rsidR="00276175">
        <w:t xml:space="preserve">s of the payment system. </w:t>
      </w:r>
    </w:p>
    <w:p w14:paraId="0FFE3672" w14:textId="1AA47745" w:rsidR="004A6E98" w:rsidRDefault="004A0CF3" w:rsidP="00242503">
      <w:r>
        <w:t xml:space="preserve">The current standards landscape in Australia </w:t>
      </w:r>
      <w:r w:rsidR="00894C49">
        <w:t xml:space="preserve">involves a mix of voluntary guidelines </w:t>
      </w:r>
      <w:r w:rsidR="00C95853">
        <w:t>that PSPs can choose to adopt</w:t>
      </w:r>
      <w:r w:rsidR="00894C49">
        <w:t xml:space="preserve"> </w:t>
      </w:r>
      <w:r w:rsidR="00D14841">
        <w:t>(</w:t>
      </w:r>
      <w:r w:rsidR="00191AE0">
        <w:t>e.g.</w:t>
      </w:r>
      <w:r w:rsidR="00D14841">
        <w:t xml:space="preserve"> </w:t>
      </w:r>
      <w:r w:rsidR="007C6BFD">
        <w:t>QR code guidelines</w:t>
      </w:r>
      <w:r w:rsidR="0066794C">
        <w:t xml:space="preserve">), </w:t>
      </w:r>
      <w:r w:rsidR="003F5857">
        <w:t xml:space="preserve">rules governing </w:t>
      </w:r>
      <w:r w:rsidR="00CC02B5">
        <w:t>access to</w:t>
      </w:r>
      <w:r w:rsidR="003F5857">
        <w:t xml:space="preserve"> shared infrastructure</w:t>
      </w:r>
      <w:r w:rsidR="00CC02B5">
        <w:t xml:space="preserve"> and arrangements</w:t>
      </w:r>
      <w:r w:rsidR="003F5857">
        <w:t xml:space="preserve"> </w:t>
      </w:r>
      <w:r w:rsidR="00516D91">
        <w:t xml:space="preserve">(e.g. </w:t>
      </w:r>
      <w:r w:rsidR="002644E8">
        <w:t xml:space="preserve">rules governing participation in </w:t>
      </w:r>
      <w:r w:rsidR="00AF5DA4">
        <w:t>BECS, the NPP and card schemes</w:t>
      </w:r>
      <w:r w:rsidR="006E37DA">
        <w:t>)</w:t>
      </w:r>
      <w:r w:rsidR="00430BA6">
        <w:t xml:space="preserve">, </w:t>
      </w:r>
      <w:r w:rsidR="00962C9B">
        <w:t>and</w:t>
      </w:r>
      <w:r w:rsidR="00430BA6">
        <w:t xml:space="preserve"> rules </w:t>
      </w:r>
      <w:r w:rsidR="007269D8">
        <w:t xml:space="preserve">that members of particular payment systems or </w:t>
      </w:r>
      <w:r w:rsidR="00B60A60">
        <w:t xml:space="preserve">communities are </w:t>
      </w:r>
      <w:r w:rsidR="00903747">
        <w:t xml:space="preserve">contractually obliged to comply with (e.g. </w:t>
      </w:r>
      <w:r w:rsidR="003A4E7E">
        <w:t>Australian Payment Network’s</w:t>
      </w:r>
      <w:r w:rsidR="00903747">
        <w:t xml:space="preserve"> </w:t>
      </w:r>
      <w:r w:rsidR="00EB2B19">
        <w:t xml:space="preserve">card-not-present </w:t>
      </w:r>
      <w:r w:rsidR="00532781">
        <w:t xml:space="preserve">fraud mitigation </w:t>
      </w:r>
      <w:r w:rsidR="003A4E7E">
        <w:t>framework</w:t>
      </w:r>
      <w:r w:rsidR="00532781">
        <w:t>)</w:t>
      </w:r>
      <w:r w:rsidR="006E37DA">
        <w:t xml:space="preserve">. </w:t>
      </w:r>
      <w:r w:rsidR="002D17E3">
        <w:t>T</w:t>
      </w:r>
      <w:r w:rsidR="0088271E">
        <w:t>here are currently no</w:t>
      </w:r>
      <w:r w:rsidR="0088271E" w:rsidDel="00563128">
        <w:t xml:space="preserve"> </w:t>
      </w:r>
      <w:r w:rsidR="00563128">
        <w:t>technical</w:t>
      </w:r>
      <w:r w:rsidR="0088271E">
        <w:t xml:space="preserve"> standards that </w:t>
      </w:r>
      <w:r w:rsidR="0017315B">
        <w:t>PSPs are leg</w:t>
      </w:r>
      <w:r w:rsidR="001D59C4">
        <w:t>islatively</w:t>
      </w:r>
      <w:r w:rsidR="0017315B">
        <w:t xml:space="preserve"> required to comply with. </w:t>
      </w:r>
    </w:p>
    <w:p w14:paraId="364ED2B8" w14:textId="7B5C174E" w:rsidR="005426D1" w:rsidRDefault="004A6E98" w:rsidP="00242503">
      <w:r>
        <w:t>T</w:t>
      </w:r>
      <w:r w:rsidR="00AD5E31">
        <w:t>he proposed standard</w:t>
      </w:r>
      <w:r w:rsidR="00343435">
        <w:t xml:space="preserve">-setting framework is not intended to </w:t>
      </w:r>
      <w:r>
        <w:t xml:space="preserve">cover </w:t>
      </w:r>
      <w:r w:rsidR="00DD1DF8">
        <w:t>all of these</w:t>
      </w:r>
      <w:r>
        <w:t xml:space="preserve"> types of</w:t>
      </w:r>
      <w:r w:rsidR="00DD1DF8">
        <w:t xml:space="preserve"> rules and </w:t>
      </w:r>
      <w:r w:rsidR="004570DD">
        <w:t>obligations, which would be expected to continue to operate unchanged</w:t>
      </w:r>
      <w:r w:rsidR="00982D23">
        <w:t>.</w:t>
      </w:r>
      <w:r w:rsidR="00DD1DF8">
        <w:t xml:space="preserve"> </w:t>
      </w:r>
      <w:r w:rsidR="00C04C5E">
        <w:t>T</w:t>
      </w:r>
      <w:r w:rsidR="00216423">
        <w:t>he standards developed under this framework</w:t>
      </w:r>
      <w:r w:rsidR="00C04C5E">
        <w:t xml:space="preserve"> will be referred to</w:t>
      </w:r>
      <w:r w:rsidR="00216423">
        <w:t xml:space="preserve"> as ‘technical standards’, to differentiate </w:t>
      </w:r>
      <w:r w:rsidR="00384402">
        <w:t xml:space="preserve">these from </w:t>
      </w:r>
      <w:r w:rsidR="00216423">
        <w:t xml:space="preserve">the </w:t>
      </w:r>
      <w:r w:rsidR="00EC6227">
        <w:t xml:space="preserve">standards </w:t>
      </w:r>
      <w:r w:rsidR="00384402">
        <w:t xml:space="preserve">set by the RBA under the </w:t>
      </w:r>
      <w:r w:rsidR="00736EC5" w:rsidRPr="00DB175C">
        <w:t>PSRA</w:t>
      </w:r>
      <w:r w:rsidR="00277928">
        <w:t>.</w:t>
      </w:r>
      <w:r w:rsidR="00736EC5">
        <w:t xml:space="preserve"> </w:t>
      </w:r>
      <w:r w:rsidR="00982D23">
        <w:t>T</w:t>
      </w:r>
      <w:r w:rsidR="00DD1DF8">
        <w:t xml:space="preserve">he scope of </w:t>
      </w:r>
      <w:r w:rsidR="000A4601">
        <w:t>the</w:t>
      </w:r>
      <w:r w:rsidR="004570DD">
        <w:t xml:space="preserve"> mandatory technical</w:t>
      </w:r>
      <w:r w:rsidR="00DD1DF8">
        <w:t xml:space="preserve"> standards </w:t>
      </w:r>
      <w:r w:rsidR="00852BE3">
        <w:t>is</w:t>
      </w:r>
      <w:r w:rsidR="00DD1DF8">
        <w:t xml:space="preserve"> discussed in more detail </w:t>
      </w:r>
      <w:r w:rsidR="0002312D">
        <w:t>further</w:t>
      </w:r>
      <w:r w:rsidR="00E91F50">
        <w:t xml:space="preserve"> </w:t>
      </w:r>
      <w:r w:rsidR="007A0DEF">
        <w:t>below</w:t>
      </w:r>
      <w:r w:rsidR="00DD1DF8">
        <w:t>.</w:t>
      </w:r>
    </w:p>
    <w:p w14:paraId="26F9D81A" w14:textId="7644F025" w:rsidR="003C140B" w:rsidRDefault="003C140B" w:rsidP="001606BA">
      <w:pPr>
        <w:pStyle w:val="Heading2"/>
      </w:pPr>
      <w:bookmarkStart w:id="206" w:name="_Toc149230987"/>
      <w:bookmarkStart w:id="207" w:name="_Toc152847658"/>
      <w:r>
        <w:t>Objectives</w:t>
      </w:r>
      <w:bookmarkEnd w:id="206"/>
      <w:bookmarkEnd w:id="207"/>
    </w:p>
    <w:p w14:paraId="41A772FB" w14:textId="64C04745" w:rsidR="00BE461A" w:rsidRDefault="00F362B6" w:rsidP="00242503">
      <w:r>
        <w:t xml:space="preserve">There are a few </w:t>
      </w:r>
      <w:r w:rsidR="00267425">
        <w:t>key</w:t>
      </w:r>
      <w:r>
        <w:t xml:space="preserve"> reasons why it may be benefi</w:t>
      </w:r>
      <w:r w:rsidR="00641A87">
        <w:t xml:space="preserve">cial to introduce a formal standard-setting framework for certain </w:t>
      </w:r>
      <w:r w:rsidR="004570DD">
        <w:t>mandatory</w:t>
      </w:r>
      <w:r w:rsidR="00641A87">
        <w:t xml:space="preserve"> technical standards</w:t>
      </w:r>
      <w:r w:rsidR="00052720">
        <w:t xml:space="preserve">. </w:t>
      </w:r>
      <w:r w:rsidR="00AA2F73">
        <w:t>The pace of change in the payments</w:t>
      </w:r>
      <w:r w:rsidR="000E0CBB">
        <w:t xml:space="preserve"> industry has b</w:t>
      </w:r>
      <w:r w:rsidR="008F3BF0">
        <w:t xml:space="preserve">een rapid, </w:t>
      </w:r>
      <w:r w:rsidR="00135287">
        <w:t>with</w:t>
      </w:r>
      <w:r w:rsidR="00DB2795">
        <w:t xml:space="preserve"> </w:t>
      </w:r>
      <w:r w:rsidR="00B95D8B">
        <w:t xml:space="preserve">traditional methods of payment </w:t>
      </w:r>
      <w:r w:rsidR="00135287">
        <w:t>being</w:t>
      </w:r>
      <w:r w:rsidR="00B95D8B">
        <w:t xml:space="preserve"> </w:t>
      </w:r>
      <w:r w:rsidR="002A0182">
        <w:t>impacted</w:t>
      </w:r>
      <w:r w:rsidR="00605F2D">
        <w:t xml:space="preserve"> by the development of new technologies and </w:t>
      </w:r>
      <w:r w:rsidR="009E3439">
        <w:t>business models,</w:t>
      </w:r>
      <w:r w:rsidR="00605F2D">
        <w:t xml:space="preserve"> and </w:t>
      </w:r>
      <w:r w:rsidR="00C50D71">
        <w:t xml:space="preserve">increasing diversity in the type of </w:t>
      </w:r>
      <w:r w:rsidR="00691C35">
        <w:t>entities providing payment services</w:t>
      </w:r>
      <w:r w:rsidR="007C0231">
        <w:t xml:space="preserve">. </w:t>
      </w:r>
      <w:r w:rsidR="00FC5F27">
        <w:t>In this environment, the</w:t>
      </w:r>
      <w:r w:rsidR="00DB4BA5">
        <w:t xml:space="preserve">re is a risk that </w:t>
      </w:r>
      <w:r w:rsidR="00251E8A">
        <w:t>techni</w:t>
      </w:r>
      <w:r w:rsidR="00DD1FE5">
        <w:t xml:space="preserve">cal </w:t>
      </w:r>
      <w:r w:rsidR="00DB4BA5">
        <w:t>standards become more fragmented across systems and across participants</w:t>
      </w:r>
      <w:r w:rsidR="00621E82">
        <w:t xml:space="preserve"> in the absence of a </w:t>
      </w:r>
      <w:r w:rsidR="007A0B9F">
        <w:t xml:space="preserve">centralised, </w:t>
      </w:r>
      <w:r w:rsidR="0040504E">
        <w:t>coordinated</w:t>
      </w:r>
      <w:r w:rsidR="00621E82">
        <w:t xml:space="preserve"> approach to standard</w:t>
      </w:r>
      <w:r w:rsidR="002711BD">
        <w:t xml:space="preserve"> </w:t>
      </w:r>
      <w:r w:rsidR="00621E82">
        <w:t>setting</w:t>
      </w:r>
      <w:r w:rsidR="00B0357E">
        <w:t>.</w:t>
      </w:r>
      <w:r w:rsidR="00DB4BA5">
        <w:t xml:space="preserve"> </w:t>
      </w:r>
      <w:r w:rsidR="00CD00B5">
        <w:t xml:space="preserve">Introducing a framework </w:t>
      </w:r>
      <w:r w:rsidR="00B768BD">
        <w:t>with</w:t>
      </w:r>
      <w:r w:rsidR="00CD00B5">
        <w:t xml:space="preserve"> a</w:t>
      </w:r>
      <w:r w:rsidR="00820AD5">
        <w:t>n authorised</w:t>
      </w:r>
      <w:r w:rsidR="00CD00B5">
        <w:t xml:space="preserve"> standard-setting body </w:t>
      </w:r>
      <w:r w:rsidR="00820AD5">
        <w:t>(ASSB)</w:t>
      </w:r>
      <w:r w:rsidR="00CD00B5">
        <w:t xml:space="preserve"> </w:t>
      </w:r>
      <w:r w:rsidR="006C6FDD">
        <w:t xml:space="preserve">or bodies </w:t>
      </w:r>
      <w:r w:rsidR="00B768BD">
        <w:t>that ha</w:t>
      </w:r>
      <w:r w:rsidR="00310419">
        <w:t>ve</w:t>
      </w:r>
      <w:r w:rsidR="00CD00B5">
        <w:t xml:space="preserve"> a clear mandate to set </w:t>
      </w:r>
      <w:r w:rsidR="00DD1FE5">
        <w:t>technical</w:t>
      </w:r>
      <w:r w:rsidR="00CD00B5">
        <w:t xml:space="preserve"> standards in the public interest will achieve: </w:t>
      </w:r>
    </w:p>
    <w:p w14:paraId="15CB6BED" w14:textId="5FA0CE4E" w:rsidR="006B6B05" w:rsidRDefault="000A3E80" w:rsidP="0020029E">
      <w:pPr>
        <w:pStyle w:val="Bullet"/>
      </w:pPr>
      <w:r>
        <w:t>B</w:t>
      </w:r>
      <w:r w:rsidR="005E0823">
        <w:t>road and consistent adoption of</w:t>
      </w:r>
      <w:r w:rsidR="004C5EFC">
        <w:t xml:space="preserve"> </w:t>
      </w:r>
      <w:r w:rsidR="00DD1FE5">
        <w:t xml:space="preserve">technical </w:t>
      </w:r>
      <w:r w:rsidR="004C5EFC">
        <w:t>st</w:t>
      </w:r>
      <w:r w:rsidR="00EE45A4">
        <w:t>andards</w:t>
      </w:r>
      <w:r w:rsidR="000B2931">
        <w:t xml:space="preserve"> across the payments industry</w:t>
      </w:r>
      <w:r w:rsidR="001E0C86">
        <w:t>.</w:t>
      </w:r>
      <w:r w:rsidR="00EE45A4">
        <w:t xml:space="preserve"> </w:t>
      </w:r>
    </w:p>
    <w:p w14:paraId="7CA24646" w14:textId="16F2B944" w:rsidR="00736F2C" w:rsidRDefault="000A3E80" w:rsidP="0020029E">
      <w:pPr>
        <w:pStyle w:val="Bullet"/>
      </w:pPr>
      <w:r>
        <w:t>T</w:t>
      </w:r>
      <w:r w:rsidR="00736F2C">
        <w:t xml:space="preserve">he development of </w:t>
      </w:r>
      <w:r w:rsidR="00DD1FE5">
        <w:t xml:space="preserve">technical </w:t>
      </w:r>
      <w:r w:rsidR="00736F2C">
        <w:t>standards that provide a common approach to dealing with issues in the payments ecos</w:t>
      </w:r>
      <w:r w:rsidR="009E4907">
        <w:t>ystem</w:t>
      </w:r>
      <w:r w:rsidR="005669CA">
        <w:t>.</w:t>
      </w:r>
    </w:p>
    <w:p w14:paraId="0943FEAA" w14:textId="62966420" w:rsidR="00AD7472" w:rsidRDefault="00A3110A" w:rsidP="0020029E">
      <w:pPr>
        <w:pStyle w:val="Bullet"/>
      </w:pPr>
      <w:r>
        <w:t>A</w:t>
      </w:r>
      <w:r w:rsidR="00E55AD0">
        <w:t xml:space="preserve"> level playing field </w:t>
      </w:r>
      <w:r w:rsidR="00A855E4">
        <w:t>for PSPs.</w:t>
      </w:r>
    </w:p>
    <w:p w14:paraId="5D069D3F" w14:textId="39F4A828" w:rsidR="00BA17B8" w:rsidRDefault="00A3110A" w:rsidP="0020029E">
      <w:pPr>
        <w:pStyle w:val="Bullet"/>
      </w:pPr>
      <w:r>
        <w:t>C</w:t>
      </w:r>
      <w:r w:rsidR="002335D8">
        <w:t xml:space="preserve">ertainty on the </w:t>
      </w:r>
      <w:r w:rsidR="00F855D8">
        <w:t xml:space="preserve">process for mandating key </w:t>
      </w:r>
      <w:r w:rsidR="00C04C5E">
        <w:t>technical</w:t>
      </w:r>
      <w:r w:rsidR="00F855D8">
        <w:t xml:space="preserve"> standards</w:t>
      </w:r>
      <w:r w:rsidR="00623F05">
        <w:t xml:space="preserve">, and clarity on the roles of industry and the public sector in this </w:t>
      </w:r>
      <w:r w:rsidR="001B69E1">
        <w:t>process.</w:t>
      </w:r>
    </w:p>
    <w:p w14:paraId="63CA511C" w14:textId="6B22CBC9" w:rsidR="00126B21" w:rsidRDefault="00554BEF" w:rsidP="0020029E">
      <w:pPr>
        <w:pStyle w:val="Bullet"/>
      </w:pPr>
      <w:r>
        <w:lastRenderedPageBreak/>
        <w:t>A</w:t>
      </w:r>
      <w:r w:rsidR="00BA17B8">
        <w:t xml:space="preserve"> </w:t>
      </w:r>
      <w:r w:rsidR="001B62FE">
        <w:t xml:space="preserve">transparent </w:t>
      </w:r>
      <w:r w:rsidR="00BA17B8">
        <w:t xml:space="preserve">means of </w:t>
      </w:r>
      <w:r w:rsidR="007B545D">
        <w:t xml:space="preserve">resolving </w:t>
      </w:r>
      <w:r w:rsidR="000423A1">
        <w:t>differing</w:t>
      </w:r>
      <w:r w:rsidR="008723D3">
        <w:t xml:space="preserve"> views of </w:t>
      </w:r>
      <w:r w:rsidR="00C64977">
        <w:t xml:space="preserve">various </w:t>
      </w:r>
      <w:r w:rsidR="00292F1F">
        <w:t xml:space="preserve">industry </w:t>
      </w:r>
      <w:r w:rsidR="00C64977">
        <w:t>stakeholders</w:t>
      </w:r>
      <w:r w:rsidR="004C7043">
        <w:t xml:space="preserve"> in the development of </w:t>
      </w:r>
      <w:r w:rsidR="00AA45FD">
        <w:t xml:space="preserve">technical </w:t>
      </w:r>
      <w:r w:rsidR="004C7043">
        <w:t>standards</w:t>
      </w:r>
      <w:r w:rsidR="001B432C">
        <w:t>.</w:t>
      </w:r>
    </w:p>
    <w:p w14:paraId="2A27D054" w14:textId="6A676CA8" w:rsidR="001B69E1" w:rsidRDefault="00554BEF" w:rsidP="0020029E">
      <w:pPr>
        <w:pStyle w:val="Bullet"/>
      </w:pPr>
      <w:r>
        <w:t>A</w:t>
      </w:r>
      <w:r w:rsidR="006D40B5">
        <w:t xml:space="preserve"> </w:t>
      </w:r>
      <w:r w:rsidR="00131269">
        <w:t>framework</w:t>
      </w:r>
      <w:r w:rsidR="006D40B5">
        <w:t xml:space="preserve"> for the timely management of </w:t>
      </w:r>
      <w:r w:rsidR="00E6485D">
        <w:t>risks</w:t>
      </w:r>
      <w:r w:rsidR="006D40B5">
        <w:t xml:space="preserve"> that may arise in the future</w:t>
      </w:r>
      <w:r w:rsidR="001B432C">
        <w:t>.</w:t>
      </w:r>
    </w:p>
    <w:p w14:paraId="60A982EE" w14:textId="46D17AB5" w:rsidR="00562578" w:rsidRDefault="00291625" w:rsidP="00242503">
      <w:r>
        <w:t>A</w:t>
      </w:r>
      <w:r w:rsidR="00EF3A13">
        <w:t xml:space="preserve"> </w:t>
      </w:r>
      <w:r w:rsidR="0085763E">
        <w:t xml:space="preserve">key </w:t>
      </w:r>
      <w:r w:rsidR="00A913DA">
        <w:t>component of this framework</w:t>
      </w:r>
      <w:r w:rsidR="0085763E">
        <w:t xml:space="preserve"> is the level of industry involvement in </w:t>
      </w:r>
      <w:r w:rsidR="00DC15A7">
        <w:t xml:space="preserve">technical </w:t>
      </w:r>
      <w:r w:rsidR="0085763E">
        <w:t>standard setting</w:t>
      </w:r>
      <w:r w:rsidR="00EF3A13">
        <w:t>.</w:t>
      </w:r>
      <w:r w:rsidR="00BD4BBB">
        <w:t xml:space="preserve"> </w:t>
      </w:r>
      <w:r w:rsidR="00DA0905">
        <w:t>Industry</w:t>
      </w:r>
      <w:r w:rsidR="00BD4BBB">
        <w:t xml:space="preserve"> bodies </w:t>
      </w:r>
      <w:r w:rsidR="00FC324F">
        <w:t xml:space="preserve">may be best </w:t>
      </w:r>
      <w:r w:rsidR="002E34A9">
        <w:t xml:space="preserve">placed to </w:t>
      </w:r>
      <w:r w:rsidR="00875386">
        <w:t>develop</w:t>
      </w:r>
      <w:r w:rsidR="00394463">
        <w:t xml:space="preserve"> technical </w:t>
      </w:r>
      <w:r w:rsidR="002E34A9">
        <w:t xml:space="preserve">standards </w:t>
      </w:r>
      <w:r w:rsidR="00DC603A">
        <w:t xml:space="preserve">because </w:t>
      </w:r>
      <w:r w:rsidR="00F24AE8">
        <w:t>they are</w:t>
      </w:r>
      <w:r w:rsidR="003B5F6E">
        <w:t xml:space="preserve"> likely to be more agile and have more</w:t>
      </w:r>
      <w:r w:rsidR="00CD45AE">
        <w:t xml:space="preserve"> </w:t>
      </w:r>
      <w:r w:rsidR="00FB5376">
        <w:t xml:space="preserve">technical </w:t>
      </w:r>
      <w:r w:rsidR="00DC603A">
        <w:t>expertise</w:t>
      </w:r>
      <w:r w:rsidR="00CD45AE">
        <w:t xml:space="preserve"> and industry knowledge</w:t>
      </w:r>
      <w:r w:rsidR="00DC603A">
        <w:t xml:space="preserve"> </w:t>
      </w:r>
      <w:r w:rsidR="003B5F6E">
        <w:t xml:space="preserve">than </w:t>
      </w:r>
      <w:r w:rsidR="00A320A3">
        <w:t>regulators</w:t>
      </w:r>
      <w:r w:rsidR="00950F68">
        <w:t xml:space="preserve">. </w:t>
      </w:r>
      <w:r w:rsidR="00E5314E">
        <w:t xml:space="preserve">These </w:t>
      </w:r>
      <w:r w:rsidR="00965B90">
        <w:t xml:space="preserve">advantages also imply that </w:t>
      </w:r>
      <w:r w:rsidR="00837FFD">
        <w:t xml:space="preserve">greater </w:t>
      </w:r>
      <w:r w:rsidR="00965B90">
        <w:t xml:space="preserve">industry participation is likely to </w:t>
      </w:r>
      <w:r w:rsidR="00837FFD">
        <w:t xml:space="preserve">lower the overall costs of the standard-setting process. </w:t>
      </w:r>
      <w:r w:rsidR="00BF6BF8">
        <w:t>On the other hand</w:t>
      </w:r>
      <w:r w:rsidR="00950F68">
        <w:t>,</w:t>
      </w:r>
      <w:r w:rsidR="00FB59B4">
        <w:t xml:space="preserve"> </w:t>
      </w:r>
      <w:r w:rsidR="00D21CF4">
        <w:t>providing an industry body</w:t>
      </w:r>
      <w:r w:rsidR="009D7B11">
        <w:t xml:space="preserve"> with the </w:t>
      </w:r>
      <w:r w:rsidR="00FB59B4">
        <w:t>authority to</w:t>
      </w:r>
      <w:r w:rsidR="009D7B11">
        <w:t xml:space="preserve"> set </w:t>
      </w:r>
      <w:r w:rsidR="00E10A89">
        <w:t xml:space="preserve">mandatory technical </w:t>
      </w:r>
      <w:r w:rsidR="00E51357">
        <w:t>standards</w:t>
      </w:r>
      <w:r w:rsidR="009D7B11">
        <w:t xml:space="preserve"> for </w:t>
      </w:r>
      <w:r w:rsidR="00DD15B4">
        <w:t>not just</w:t>
      </w:r>
      <w:r w:rsidR="009D7B11">
        <w:t xml:space="preserve"> </w:t>
      </w:r>
      <w:r w:rsidR="0095719E">
        <w:t xml:space="preserve">its own members </w:t>
      </w:r>
      <w:r w:rsidR="00F50E29">
        <w:t xml:space="preserve">but </w:t>
      </w:r>
      <w:r w:rsidR="009D7B11">
        <w:t xml:space="preserve">the wider industry </w:t>
      </w:r>
      <w:r w:rsidR="00180F0E">
        <w:t>involves</w:t>
      </w:r>
      <w:r w:rsidR="009D7B11">
        <w:t xml:space="preserve"> the risk </w:t>
      </w:r>
      <w:r w:rsidR="001340D9">
        <w:t>that this body faces</w:t>
      </w:r>
      <w:r w:rsidR="009D7B11">
        <w:t xml:space="preserve"> </w:t>
      </w:r>
      <w:r w:rsidR="00BC6F46">
        <w:t>actual</w:t>
      </w:r>
      <w:r w:rsidR="009D7B11">
        <w:t xml:space="preserve"> or perceived conflicts of interest</w:t>
      </w:r>
      <w:r w:rsidR="001E2875">
        <w:t>.</w:t>
      </w:r>
      <w:r w:rsidR="00CC1E27">
        <w:t xml:space="preserve"> </w:t>
      </w:r>
      <w:r w:rsidR="00AE2D91">
        <w:t xml:space="preserve">For example, </w:t>
      </w:r>
      <w:r w:rsidR="00F546B3">
        <w:t>t</w:t>
      </w:r>
      <w:r w:rsidR="00F874C9">
        <w:t xml:space="preserve">here may be a concern that </w:t>
      </w:r>
      <w:r w:rsidR="007532AB">
        <w:t xml:space="preserve">technical standards </w:t>
      </w:r>
      <w:r w:rsidR="00F874C9">
        <w:t xml:space="preserve">are </w:t>
      </w:r>
      <w:r w:rsidR="007532AB">
        <w:t>be</w:t>
      </w:r>
      <w:r w:rsidR="00F874C9">
        <w:t>ing</w:t>
      </w:r>
      <w:r w:rsidR="007532AB">
        <w:t xml:space="preserve"> specified in a way that </w:t>
      </w:r>
      <w:r w:rsidR="00824024">
        <w:t>favours incumbents at the expense of new entrants</w:t>
      </w:r>
      <w:r w:rsidR="005175EA">
        <w:t>,</w:t>
      </w:r>
      <w:r w:rsidR="00716AA3">
        <w:t xml:space="preserve"> and raises barriers to entry</w:t>
      </w:r>
      <w:r w:rsidR="007532AB">
        <w:t xml:space="preserve">. </w:t>
      </w:r>
      <w:r w:rsidR="00CC1E27">
        <w:t xml:space="preserve">Even </w:t>
      </w:r>
      <w:r w:rsidR="009134E0">
        <w:t>with</w:t>
      </w:r>
      <w:r w:rsidR="00D35AC7">
        <w:t xml:space="preserve"> safeguards in place</w:t>
      </w:r>
      <w:r w:rsidR="00752B48">
        <w:t>,</w:t>
      </w:r>
      <w:r w:rsidR="00081BFA">
        <w:t xml:space="preserve"> in practice</w:t>
      </w:r>
      <w:r w:rsidR="00752B48">
        <w:t xml:space="preserve"> it is </w:t>
      </w:r>
      <w:r w:rsidR="00E632AD">
        <w:t xml:space="preserve">difficult to completely </w:t>
      </w:r>
      <w:r w:rsidR="009C3FCB">
        <w:t xml:space="preserve">mitigate </w:t>
      </w:r>
      <w:r w:rsidR="00E632AD">
        <w:t xml:space="preserve">the risk of conflicts of interest. </w:t>
      </w:r>
      <w:r w:rsidR="005D1C60">
        <w:t xml:space="preserve">Increased public sector involvement in </w:t>
      </w:r>
      <w:r w:rsidR="000D439F">
        <w:t xml:space="preserve">the </w:t>
      </w:r>
      <w:r w:rsidR="005D1C60">
        <w:t xml:space="preserve">process of </w:t>
      </w:r>
      <w:r w:rsidR="000D439F">
        <w:t xml:space="preserve">standard setting </w:t>
      </w:r>
      <w:r w:rsidR="005D1C60">
        <w:t>c</w:t>
      </w:r>
      <w:r w:rsidR="00E450E7">
        <w:t>ould</w:t>
      </w:r>
      <w:r w:rsidR="005D1C60">
        <w:t xml:space="preserve"> mitigate some of these risks</w:t>
      </w:r>
      <w:r w:rsidR="00D52D45">
        <w:t>.</w:t>
      </w:r>
      <w:r w:rsidR="000D439F">
        <w:t xml:space="preserve"> </w:t>
      </w:r>
      <w:r w:rsidR="006F69D9">
        <w:t xml:space="preserve">Establishing the optimal framework </w:t>
      </w:r>
      <w:r w:rsidR="001121AF">
        <w:t xml:space="preserve">for standard setting </w:t>
      </w:r>
      <w:r w:rsidR="00FC13DE">
        <w:t xml:space="preserve">may therefore </w:t>
      </w:r>
      <w:r w:rsidR="001121AF">
        <w:t xml:space="preserve">involve </w:t>
      </w:r>
      <w:r w:rsidR="00FC13DE">
        <w:t>striking a</w:t>
      </w:r>
      <w:r w:rsidR="00677F9C">
        <w:t xml:space="preserve"> balance </w:t>
      </w:r>
      <w:r w:rsidR="00DE1475">
        <w:t>between</w:t>
      </w:r>
      <w:r w:rsidR="00677F9C">
        <w:t xml:space="preserve"> industry </w:t>
      </w:r>
      <w:r w:rsidR="00DE1475">
        <w:t xml:space="preserve">and public sector </w:t>
      </w:r>
      <w:r w:rsidR="00677F9C">
        <w:t>involvement</w:t>
      </w:r>
      <w:r w:rsidR="00191C61">
        <w:t>.</w:t>
      </w:r>
    </w:p>
    <w:p w14:paraId="18C4243F" w14:textId="187AC11B" w:rsidR="00443807" w:rsidRDefault="00CB40D6" w:rsidP="00A061B3">
      <w:pPr>
        <w:pStyle w:val="Heading2"/>
      </w:pPr>
      <w:bookmarkStart w:id="208" w:name="_Toc149230988"/>
      <w:bookmarkStart w:id="209" w:name="_Toc152847659"/>
      <w:r>
        <w:t>Lessons from</w:t>
      </w:r>
      <w:r w:rsidR="000425D8">
        <w:t xml:space="preserve"> </w:t>
      </w:r>
      <w:r w:rsidR="00C7664B">
        <w:t>o</w:t>
      </w:r>
      <w:r w:rsidR="000425D8">
        <w:t xml:space="preserve">verseas </w:t>
      </w:r>
      <w:r w:rsidR="00C7664B">
        <w:t>j</w:t>
      </w:r>
      <w:r w:rsidR="000425D8">
        <w:t>urisdictions</w:t>
      </w:r>
      <w:bookmarkEnd w:id="208"/>
      <w:bookmarkEnd w:id="209"/>
    </w:p>
    <w:p w14:paraId="5452A2C0" w14:textId="6D5D4B37" w:rsidR="008829B4" w:rsidRDefault="00343388" w:rsidP="00242503">
      <w:r>
        <w:t>There appears to be no</w:t>
      </w:r>
      <w:r w:rsidR="009A3343">
        <w:t xml:space="preserve"> jurisdiction in which a</w:t>
      </w:r>
      <w:r w:rsidR="00CE3E70">
        <w:t>n</w:t>
      </w:r>
      <w:r w:rsidR="007C56B2">
        <w:t xml:space="preserve"> </w:t>
      </w:r>
      <w:r w:rsidR="009A3343">
        <w:t xml:space="preserve">industry body is authorised to set </w:t>
      </w:r>
      <w:r w:rsidR="00C91D86">
        <w:t xml:space="preserve">mandatory </w:t>
      </w:r>
      <w:r w:rsidR="00CE3E70">
        <w:t xml:space="preserve">standards </w:t>
      </w:r>
      <w:r w:rsidR="0027220A">
        <w:t xml:space="preserve">that apply across different payment systems and </w:t>
      </w:r>
      <w:r w:rsidR="00D731AE">
        <w:t xml:space="preserve">methods. </w:t>
      </w:r>
      <w:r w:rsidR="002B2396">
        <w:t xml:space="preserve">In the </w:t>
      </w:r>
      <w:r w:rsidR="00FE7535">
        <w:t xml:space="preserve">few jurisdictions in which </w:t>
      </w:r>
      <w:r w:rsidR="004F0EE7">
        <w:t xml:space="preserve">payment standards are centrally coordinated </w:t>
      </w:r>
      <w:r w:rsidR="007476FE">
        <w:t xml:space="preserve">and </w:t>
      </w:r>
      <w:r w:rsidR="00766EDF">
        <w:t xml:space="preserve">are </w:t>
      </w:r>
      <w:r w:rsidR="00B84F7E">
        <w:t xml:space="preserve">legislatively mandatory </w:t>
      </w:r>
      <w:r w:rsidR="008829B4">
        <w:t>for all PSPs</w:t>
      </w:r>
      <w:r w:rsidR="004F0EE7">
        <w:t xml:space="preserve"> </w:t>
      </w:r>
      <w:r w:rsidR="008D196B">
        <w:t xml:space="preserve">through a licensing regime </w:t>
      </w:r>
      <w:r w:rsidR="004F0EE7">
        <w:t xml:space="preserve">(for example, Brazil and Indonesia), </w:t>
      </w:r>
      <w:r w:rsidR="00BD1EFB">
        <w:t xml:space="preserve">the </w:t>
      </w:r>
      <w:r w:rsidR="00BE23E6">
        <w:t>regulator</w:t>
      </w:r>
      <w:r w:rsidR="00BD1EFB">
        <w:t xml:space="preserve"> respon</w:t>
      </w:r>
      <w:r w:rsidR="00462E59">
        <w:t>sible for</w:t>
      </w:r>
      <w:r w:rsidR="008F54F5" w:rsidDel="00D500A3">
        <w:t xml:space="preserve"> </w:t>
      </w:r>
      <w:r w:rsidR="00D500A3">
        <w:t xml:space="preserve">administering </w:t>
      </w:r>
      <w:r w:rsidR="008F54F5">
        <w:t>the licensing regime</w:t>
      </w:r>
      <w:r w:rsidR="00156FB9">
        <w:t xml:space="preserve"> (which in these cases is the central bank)</w:t>
      </w:r>
      <w:r w:rsidR="008F54F5">
        <w:t xml:space="preserve">, </w:t>
      </w:r>
      <w:r w:rsidR="00156FB9">
        <w:t xml:space="preserve">is responsible for </w:t>
      </w:r>
      <w:r w:rsidR="00462E59">
        <w:t>deciding which standards are made mandatory</w:t>
      </w:r>
      <w:r w:rsidR="009617A3">
        <w:t>, and enforcing compliance with standards.</w:t>
      </w:r>
      <w:r w:rsidR="002B2396">
        <w:t xml:space="preserve"> </w:t>
      </w:r>
    </w:p>
    <w:p w14:paraId="4EE024FE" w14:textId="561EA1E5" w:rsidR="008C67E0" w:rsidRPr="004E7B26" w:rsidRDefault="00D731AE" w:rsidP="00242503">
      <w:r>
        <w:t>More broadly,</w:t>
      </w:r>
      <w:r w:rsidR="00546C6E">
        <w:t xml:space="preserve"> international experience in standard</w:t>
      </w:r>
      <w:r w:rsidR="00CE78A4">
        <w:t xml:space="preserve"> </w:t>
      </w:r>
      <w:r w:rsidR="00546C6E">
        <w:t>setting</w:t>
      </w:r>
      <w:r w:rsidR="00317C2B">
        <w:t xml:space="preserve"> in the payments </w:t>
      </w:r>
      <w:r w:rsidR="00900D91">
        <w:t>and</w:t>
      </w:r>
      <w:r w:rsidR="001575DF">
        <w:t xml:space="preserve"> other industries (for example, the securities industry) </w:t>
      </w:r>
      <w:r w:rsidR="00B64211">
        <w:t xml:space="preserve">indicates that </w:t>
      </w:r>
      <w:r w:rsidR="00DC0B9F">
        <w:t>issues around</w:t>
      </w:r>
      <w:r w:rsidR="008C0AF0">
        <w:t xml:space="preserve"> </w:t>
      </w:r>
      <w:r w:rsidR="00127688">
        <w:t>conflict</w:t>
      </w:r>
      <w:r w:rsidR="00DC0B9F">
        <w:t>s</w:t>
      </w:r>
      <w:r w:rsidR="00127688">
        <w:t xml:space="preserve"> of interest</w:t>
      </w:r>
      <w:r w:rsidR="00B64211">
        <w:t xml:space="preserve"> </w:t>
      </w:r>
      <w:r w:rsidR="00883AB0">
        <w:t xml:space="preserve">and governance </w:t>
      </w:r>
      <w:r w:rsidR="00DC0B9F">
        <w:t>tend to arise in</w:t>
      </w:r>
      <w:r w:rsidR="005F7F2E">
        <w:t xml:space="preserve"> models in which </w:t>
      </w:r>
      <w:r w:rsidR="00CE78A4">
        <w:t xml:space="preserve">industry has </w:t>
      </w:r>
      <w:r w:rsidR="00CB40D6">
        <w:t>a</w:t>
      </w:r>
      <w:r w:rsidR="00CE78A4">
        <w:t xml:space="preserve"> greater </w:t>
      </w:r>
      <w:r w:rsidR="00CB40D6">
        <w:t>degree of</w:t>
      </w:r>
      <w:r w:rsidR="00CE78A4">
        <w:t xml:space="preserve"> involvement in the setting </w:t>
      </w:r>
      <w:r w:rsidR="00862410">
        <w:t>of standards</w:t>
      </w:r>
      <w:r w:rsidR="00CE78A4">
        <w:t>.</w:t>
      </w:r>
      <w:r w:rsidR="00862410">
        <w:t xml:space="preserve"> </w:t>
      </w:r>
      <w:r w:rsidR="006A62EE">
        <w:t>It might therefore be beneficial to the standard</w:t>
      </w:r>
      <w:r w:rsidR="006E33F4">
        <w:t>-</w:t>
      </w:r>
      <w:r w:rsidR="006A62EE">
        <w:t xml:space="preserve">setting framework to decouple standards development, which can be led by the industry, from standards setting, which can have a greater degree of involvement from regulators. </w:t>
      </w:r>
    </w:p>
    <w:p w14:paraId="0AAAD058" w14:textId="05135816" w:rsidR="0057196E" w:rsidRDefault="00705CB0" w:rsidP="006377BA">
      <w:pPr>
        <w:pStyle w:val="Heading2"/>
      </w:pPr>
      <w:bookmarkStart w:id="210" w:name="_Toc149230989"/>
      <w:bookmarkStart w:id="211" w:name="_Toc152847660"/>
      <w:r>
        <w:t>Standard-</w:t>
      </w:r>
      <w:r w:rsidR="0057196E">
        <w:t xml:space="preserve">setting </w:t>
      </w:r>
      <w:bookmarkEnd w:id="210"/>
      <w:r w:rsidR="00291EAD">
        <w:t>f</w:t>
      </w:r>
      <w:r w:rsidR="0057196E">
        <w:t>ramework</w:t>
      </w:r>
      <w:bookmarkEnd w:id="211"/>
      <w:r w:rsidR="0057196E">
        <w:t xml:space="preserve"> </w:t>
      </w:r>
    </w:p>
    <w:p w14:paraId="2722602A" w14:textId="01E80348" w:rsidR="00CF53B2" w:rsidRDefault="00511419" w:rsidP="00AB3D0E">
      <w:pPr>
        <w:pStyle w:val="Heading3"/>
      </w:pPr>
      <w:bookmarkStart w:id="212" w:name="_Toc149230990"/>
      <w:r>
        <w:t xml:space="preserve">Legal </w:t>
      </w:r>
      <w:r w:rsidR="00291EAD">
        <w:t>m</w:t>
      </w:r>
      <w:r w:rsidR="00CF53B2">
        <w:t xml:space="preserve">echanism for </w:t>
      </w:r>
      <w:r w:rsidR="00291EAD">
        <w:t>e</w:t>
      </w:r>
      <w:r w:rsidR="00CF53B2">
        <w:t xml:space="preserve">nforcing </w:t>
      </w:r>
      <w:r w:rsidR="00291EAD">
        <w:t>c</w:t>
      </w:r>
      <w:r w:rsidR="00CF53B2">
        <w:t xml:space="preserve">ompliance with </w:t>
      </w:r>
      <w:r w:rsidR="00291EAD">
        <w:t>s</w:t>
      </w:r>
      <w:r w:rsidR="00CF53B2">
        <w:t>tandards</w:t>
      </w:r>
      <w:bookmarkEnd w:id="212"/>
    </w:p>
    <w:p w14:paraId="14EE72C3" w14:textId="77257BF4" w:rsidR="00CF23C0" w:rsidRDefault="00794453" w:rsidP="00242503">
      <w:r>
        <w:t>CP1</w:t>
      </w:r>
      <w:r w:rsidR="00EB6923">
        <w:t xml:space="preserve"> </w:t>
      </w:r>
      <w:r w:rsidR="00FD4FE6">
        <w:t>invited</w:t>
      </w:r>
      <w:r w:rsidR="00EA5643">
        <w:t xml:space="preserve"> feedback</w:t>
      </w:r>
      <w:r w:rsidR="00EB6923">
        <w:t xml:space="preserve"> on </w:t>
      </w:r>
      <w:r w:rsidR="002D2FBB">
        <w:t>whether some</w:t>
      </w:r>
      <w:r w:rsidR="00BD0405">
        <w:t xml:space="preserve"> </w:t>
      </w:r>
      <w:r w:rsidR="001C099D">
        <w:t xml:space="preserve">PSPs should </w:t>
      </w:r>
      <w:r w:rsidR="005B033E">
        <w:t xml:space="preserve">only be required to comply with </w:t>
      </w:r>
      <w:r w:rsidR="00F06B06">
        <w:t xml:space="preserve">mandatory </w:t>
      </w:r>
      <w:r w:rsidR="005B033E">
        <w:t xml:space="preserve">technical standards, and should </w:t>
      </w:r>
      <w:r w:rsidR="001C099D">
        <w:t>not be required to hold an AFS</w:t>
      </w:r>
      <w:r w:rsidR="00132F49">
        <w:t>L</w:t>
      </w:r>
      <w:r w:rsidR="005B033E">
        <w:t xml:space="preserve">. </w:t>
      </w:r>
      <w:r w:rsidR="000859A2">
        <w:t>F</w:t>
      </w:r>
      <w:r w:rsidR="00E47D24">
        <w:t>eedback on this question was mixed; some respondents indicated support for this approach</w:t>
      </w:r>
      <w:r w:rsidR="00C31C5F">
        <w:t xml:space="preserve"> for services </w:t>
      </w:r>
      <w:r w:rsidR="004F09B0">
        <w:t xml:space="preserve">that </w:t>
      </w:r>
      <w:r w:rsidR="00C31C5F">
        <w:t>are not customer-facing</w:t>
      </w:r>
      <w:r w:rsidR="00E47D24">
        <w:t>, while other</w:t>
      </w:r>
      <w:r w:rsidR="004203FC">
        <w:t>s</w:t>
      </w:r>
      <w:r w:rsidR="004F09B0">
        <w:t xml:space="preserve"> </w:t>
      </w:r>
      <w:r w:rsidR="00E47D24">
        <w:t xml:space="preserve">noted that </w:t>
      </w:r>
      <w:r w:rsidR="00455927">
        <w:t xml:space="preserve">all </w:t>
      </w:r>
      <w:r w:rsidR="004F09B0">
        <w:t xml:space="preserve">payment services introduce operational risk that cannot be addressed by </w:t>
      </w:r>
      <w:r w:rsidR="00E47D24">
        <w:t xml:space="preserve">compliance with </w:t>
      </w:r>
      <w:r w:rsidR="004F010B">
        <w:t xml:space="preserve">technical </w:t>
      </w:r>
      <w:r w:rsidR="00E47D24">
        <w:t xml:space="preserve">standards </w:t>
      </w:r>
      <w:r w:rsidR="009A57E3">
        <w:t>alone</w:t>
      </w:r>
      <w:r w:rsidR="009C5ECE">
        <w:t xml:space="preserve">. </w:t>
      </w:r>
    </w:p>
    <w:p w14:paraId="0F2C3E4C" w14:textId="4B937E1F" w:rsidR="00E00102" w:rsidRDefault="009304A7" w:rsidP="00242503">
      <w:r>
        <w:t>The</w:t>
      </w:r>
      <w:r w:rsidR="00630505">
        <w:t xml:space="preserve"> </w:t>
      </w:r>
      <w:r w:rsidR="00F5115D">
        <w:t>licensing regulatory perimeter</w:t>
      </w:r>
      <w:r w:rsidR="005920F2">
        <w:t xml:space="preserve"> does not include all payment-related services as it takes a risk-based</w:t>
      </w:r>
      <w:r w:rsidR="00630505">
        <w:t xml:space="preserve"> </w:t>
      </w:r>
      <w:r>
        <w:t>approach to regulation.</w:t>
      </w:r>
      <w:r w:rsidR="00630505">
        <w:t xml:space="preserve"> </w:t>
      </w:r>
      <w:r w:rsidR="001E2B71">
        <w:t>However,</w:t>
      </w:r>
      <w:r w:rsidR="0023442C" w:rsidDel="009A6069">
        <w:t xml:space="preserve"> t</w:t>
      </w:r>
      <w:r w:rsidR="0023442C">
        <w:t xml:space="preserve">o </w:t>
      </w:r>
      <w:r w:rsidR="00401C75">
        <w:t xml:space="preserve">maximise the benefits of </w:t>
      </w:r>
      <w:r w:rsidR="00BB6A6F">
        <w:t xml:space="preserve">broad and consistent application of </w:t>
      </w:r>
      <w:r w:rsidR="003E6D42">
        <w:t xml:space="preserve">technical </w:t>
      </w:r>
      <w:r w:rsidR="00BB6A6F">
        <w:t xml:space="preserve">standards, </w:t>
      </w:r>
      <w:r>
        <w:t xml:space="preserve">some </w:t>
      </w:r>
      <w:r w:rsidR="00985D2E">
        <w:t>entities</w:t>
      </w:r>
      <w:r>
        <w:t xml:space="preserve"> that do not require an AFS</w:t>
      </w:r>
      <w:r w:rsidR="00132F49">
        <w:t xml:space="preserve">L </w:t>
      </w:r>
      <w:r w:rsidR="00BB6A6F">
        <w:t xml:space="preserve">may </w:t>
      </w:r>
      <w:r w:rsidR="0044648D">
        <w:t>still</w:t>
      </w:r>
      <w:r w:rsidR="00BB6A6F">
        <w:t xml:space="preserve"> need to</w:t>
      </w:r>
      <w:r w:rsidR="001E2B71">
        <w:t xml:space="preserve"> </w:t>
      </w:r>
      <w:r w:rsidR="0079522A">
        <w:t xml:space="preserve">comply with </w:t>
      </w:r>
      <w:r w:rsidR="0079522A">
        <w:lastRenderedPageBreak/>
        <w:t>particular technical standards.</w:t>
      </w:r>
      <w:r w:rsidR="0033342A">
        <w:t xml:space="preserve"> </w:t>
      </w:r>
      <w:r w:rsidR="00D635D1">
        <w:t xml:space="preserve">As a result, there is a need to define a broader </w:t>
      </w:r>
      <w:r w:rsidR="00B025BD">
        <w:t>regulatory perimeter</w:t>
      </w:r>
      <w:r w:rsidR="003E1777">
        <w:t xml:space="preserve"> for</w:t>
      </w:r>
      <w:r w:rsidR="0089494C">
        <w:t xml:space="preserve"> mandatory</w:t>
      </w:r>
      <w:r w:rsidR="003E1777">
        <w:t xml:space="preserve"> </w:t>
      </w:r>
      <w:r w:rsidR="008D238E">
        <w:t>technical standards</w:t>
      </w:r>
      <w:r w:rsidR="00D635D1">
        <w:t xml:space="preserve"> than the cohort captured by the list of </w:t>
      </w:r>
      <w:r w:rsidR="005A5B9E">
        <w:t>payment functions</w:t>
      </w:r>
      <w:r w:rsidR="00454DB4">
        <w:t xml:space="preserve">. </w:t>
      </w:r>
    </w:p>
    <w:p w14:paraId="3F6ADBE9" w14:textId="77777777" w:rsidR="0081183A" w:rsidRPr="005C0326" w:rsidRDefault="00F20C64" w:rsidP="00242503">
      <w:r>
        <w:t xml:space="preserve">It is </w:t>
      </w:r>
      <w:r w:rsidR="0030508D">
        <w:t>propose</w:t>
      </w:r>
      <w:r w:rsidR="00B86EC1">
        <w:t>d</w:t>
      </w:r>
      <w:r w:rsidR="0030508D">
        <w:t xml:space="preserve"> that t</w:t>
      </w:r>
      <w:r w:rsidR="00F46936">
        <w:t xml:space="preserve">he </w:t>
      </w:r>
      <w:r w:rsidR="00077896">
        <w:t xml:space="preserve">revised </w:t>
      </w:r>
      <w:r w:rsidR="00F46936">
        <w:t xml:space="preserve">PSRA definition of payment </w:t>
      </w:r>
      <w:r w:rsidR="00077896">
        <w:t xml:space="preserve">system </w:t>
      </w:r>
      <w:r w:rsidR="00084912">
        <w:t>‘</w:t>
      </w:r>
      <w:r w:rsidR="00077896">
        <w:t>participants</w:t>
      </w:r>
      <w:r w:rsidR="007F4D62">
        <w:t>’</w:t>
      </w:r>
      <w:r w:rsidR="00077896">
        <w:t xml:space="preserve"> w</w:t>
      </w:r>
      <w:r w:rsidR="009F0961">
        <w:t>ould</w:t>
      </w:r>
      <w:r w:rsidR="00077896">
        <w:t xml:space="preserve"> be used to </w:t>
      </w:r>
      <w:r w:rsidR="00841F63">
        <w:t xml:space="preserve">define the population of entities that </w:t>
      </w:r>
      <w:r w:rsidR="00F95629">
        <w:t xml:space="preserve">are </w:t>
      </w:r>
      <w:r w:rsidR="00CD2729">
        <w:t xml:space="preserve">required to comply with </w:t>
      </w:r>
      <w:r w:rsidR="004C29BE">
        <w:t xml:space="preserve">relevant </w:t>
      </w:r>
      <w:r w:rsidR="00CD2729">
        <w:t>mandatory technical standards</w:t>
      </w:r>
      <w:r w:rsidR="00AD71FF">
        <w:t>.</w:t>
      </w:r>
      <w:r w:rsidR="008C0B22">
        <w:t xml:space="preserve"> </w:t>
      </w:r>
      <w:r w:rsidR="000821CE" w:rsidRPr="00C242C1">
        <w:t xml:space="preserve">The </w:t>
      </w:r>
      <w:r w:rsidR="00DB175C" w:rsidRPr="00C242C1">
        <w:t xml:space="preserve">proposed </w:t>
      </w:r>
      <w:r w:rsidR="000821CE" w:rsidRPr="00C242C1">
        <w:t>revised PSRA</w:t>
      </w:r>
      <w:r w:rsidR="001471A4" w:rsidRPr="00C242C1">
        <w:t xml:space="preserve"> </w:t>
      </w:r>
      <w:r w:rsidR="000821CE" w:rsidRPr="00C242C1">
        <w:t xml:space="preserve">defines </w:t>
      </w:r>
      <w:r w:rsidR="008E7E78" w:rsidRPr="00C242C1">
        <w:t xml:space="preserve">a participant in a payment system as </w:t>
      </w:r>
      <w:r w:rsidR="004D3BE4" w:rsidRPr="00C242C1">
        <w:t>a constitutional corporation that</w:t>
      </w:r>
      <w:r w:rsidR="0081183A" w:rsidRPr="00C242C1">
        <w:t>:</w:t>
      </w:r>
    </w:p>
    <w:p w14:paraId="3F06E9B6" w14:textId="418DA635" w:rsidR="007F39A3" w:rsidRPr="00A149F6" w:rsidRDefault="00E61E10" w:rsidP="00A55561">
      <w:pPr>
        <w:pStyle w:val="ListParagraph"/>
        <w:numPr>
          <w:ilvl w:val="4"/>
          <w:numId w:val="39"/>
        </w:numPr>
        <w:ind w:left="851" w:hanging="425"/>
        <w:rPr>
          <w:rFonts w:ascii="Calibri Light" w:hAnsi="Calibri Light" w:cs="Calibri Light"/>
        </w:rPr>
      </w:pPr>
      <w:r>
        <w:rPr>
          <w:rFonts w:ascii="Calibri Light" w:hAnsi="Calibri Light" w:cs="Calibri Light"/>
        </w:rPr>
        <w:t>o</w:t>
      </w:r>
      <w:r w:rsidR="007F39A3" w:rsidRPr="00A149F6">
        <w:rPr>
          <w:rFonts w:ascii="Calibri Light" w:hAnsi="Calibri Light" w:cs="Calibri Light"/>
        </w:rPr>
        <w:t xml:space="preserve">perates, administers or participates in the payment system; or </w:t>
      </w:r>
    </w:p>
    <w:p w14:paraId="373432CA" w14:textId="734BD403" w:rsidR="007F39A3" w:rsidRPr="00A149F6" w:rsidRDefault="00E61E10" w:rsidP="00A55561">
      <w:pPr>
        <w:pStyle w:val="ListParagraph"/>
        <w:numPr>
          <w:ilvl w:val="4"/>
          <w:numId w:val="39"/>
        </w:numPr>
        <w:ind w:left="851" w:hanging="425"/>
        <w:rPr>
          <w:rFonts w:ascii="Calibri Light" w:hAnsi="Calibri Light" w:cs="Calibri Light"/>
        </w:rPr>
      </w:pPr>
      <w:r>
        <w:rPr>
          <w:rFonts w:ascii="Calibri Light" w:hAnsi="Calibri Light" w:cs="Calibri Light"/>
        </w:rPr>
        <w:t>p</w:t>
      </w:r>
      <w:r w:rsidR="007F39A3" w:rsidRPr="00A149F6">
        <w:rPr>
          <w:rFonts w:ascii="Calibri Light" w:hAnsi="Calibri Light" w:cs="Calibri Light"/>
        </w:rPr>
        <w:t>rovides services that enable or facilitate one or more of the following:</w:t>
      </w:r>
    </w:p>
    <w:p w14:paraId="5C8A8ACA" w14:textId="1E3B6024" w:rsidR="00917A78" w:rsidRPr="00A149F6" w:rsidRDefault="00AD600E" w:rsidP="00A55561">
      <w:pPr>
        <w:pStyle w:val="ListParagraph"/>
        <w:numPr>
          <w:ilvl w:val="5"/>
          <w:numId w:val="39"/>
        </w:numPr>
        <w:ind w:left="1276" w:hanging="425"/>
        <w:rPr>
          <w:rFonts w:ascii="Calibri Light" w:hAnsi="Calibri Light" w:cs="Calibri Light"/>
        </w:rPr>
      </w:pPr>
      <w:r>
        <w:rPr>
          <w:rFonts w:ascii="Calibri Light" w:hAnsi="Calibri Light" w:cs="Calibri Light"/>
        </w:rPr>
        <w:t>t</w:t>
      </w:r>
      <w:r w:rsidR="00917A78" w:rsidRPr="00A149F6">
        <w:rPr>
          <w:rFonts w:ascii="Calibri Light" w:hAnsi="Calibri Light" w:cs="Calibri Light"/>
        </w:rPr>
        <w:t>he</w:t>
      </w:r>
      <w:r w:rsidR="00917A78" w:rsidRPr="00A149F6">
        <w:rPr>
          <w:rFonts w:ascii="Calibri Light" w:hAnsi="Calibri Light" w:cs="Calibri Light"/>
          <w:shd w:val="clear" w:color="auto" w:fill="FFFFFF"/>
        </w:rPr>
        <w:t xml:space="preserve"> operation or administration of, or participation in, the payment system;</w:t>
      </w:r>
    </w:p>
    <w:p w14:paraId="22D55100" w14:textId="77777777" w:rsidR="006963E5" w:rsidRPr="00A149F6" w:rsidRDefault="006963E5" w:rsidP="00A55561">
      <w:pPr>
        <w:pStyle w:val="ListParagraph"/>
        <w:numPr>
          <w:ilvl w:val="5"/>
          <w:numId w:val="39"/>
        </w:numPr>
        <w:ind w:left="1276" w:hanging="425"/>
        <w:rPr>
          <w:rFonts w:ascii="Calibri Light" w:hAnsi="Calibri Light" w:cs="Calibri Light"/>
        </w:rPr>
      </w:pPr>
      <w:r w:rsidRPr="00A149F6">
        <w:rPr>
          <w:rFonts w:ascii="Calibri Light" w:hAnsi="Calibri Light" w:cs="Calibri Light"/>
          <w:shd w:val="clear" w:color="auto" w:fill="FFFFFF"/>
        </w:rPr>
        <w:t>the making of payments, or the transfer of funds, under or pursuant to the payment system;</w:t>
      </w:r>
    </w:p>
    <w:p w14:paraId="107F78B9" w14:textId="5C358B71" w:rsidR="000E4DC2" w:rsidRPr="0038769C" w:rsidRDefault="006963E5" w:rsidP="00A55561">
      <w:pPr>
        <w:pStyle w:val="ListParagraph"/>
        <w:numPr>
          <w:ilvl w:val="5"/>
          <w:numId w:val="39"/>
        </w:numPr>
        <w:tabs>
          <w:tab w:val="clear" w:pos="1650"/>
        </w:tabs>
        <w:ind w:left="1276" w:hanging="425"/>
      </w:pPr>
      <w:r w:rsidRPr="00A149F6">
        <w:rPr>
          <w:rFonts w:ascii="Calibri Light" w:hAnsi="Calibri Light" w:cs="Calibri Light"/>
          <w:shd w:val="clear" w:color="auto" w:fill="FFFFFF"/>
        </w:rPr>
        <w:t>the transmission or receipt of messages under or pursuant to the payment system, being messages that effect, enable, facilitate or sequence the making of payments or the transfer of funds (whether or not those payments are made, or those funds are transferred, under or pursuant to the payment system).</w:t>
      </w:r>
      <w:r w:rsidR="002F539E" w:rsidRPr="00C242C1">
        <w:rPr>
          <w:rStyle w:val="FootnoteReference"/>
          <w:shd w:val="clear" w:color="auto" w:fill="FFFFFF"/>
        </w:rPr>
        <w:footnoteReference w:id="130"/>
      </w:r>
      <w:r w:rsidR="008E7E78" w:rsidRPr="0071151D" w:rsidDel="000E4DC2">
        <w:t xml:space="preserve"> </w:t>
      </w:r>
    </w:p>
    <w:p w14:paraId="1575454A" w14:textId="761EA3D1" w:rsidR="001E0211" w:rsidRPr="00C242C1" w:rsidRDefault="000C3815" w:rsidP="00242503">
      <w:pPr>
        <w:rPr>
          <w:highlight w:val="yellow"/>
        </w:rPr>
      </w:pPr>
      <w:r>
        <w:t xml:space="preserve">This population will be required </w:t>
      </w:r>
      <w:r w:rsidDel="00DB6147">
        <w:t xml:space="preserve">by law </w:t>
      </w:r>
      <w:r>
        <w:t>to comply with relevant technical standards, and may face penalties for a breach of these standards</w:t>
      </w:r>
      <w:r w:rsidR="00BC1AF8" w:rsidRPr="00437D22" w:rsidDel="00DB6147">
        <w:t>.</w:t>
      </w:r>
      <w:r w:rsidR="00BC1AF8">
        <w:t xml:space="preserve"> </w:t>
      </w:r>
      <w:r w:rsidR="001728EE">
        <w:t>While the PSRA definition of ‘payment system participants’</w:t>
      </w:r>
      <w:r w:rsidR="001728EE" w:rsidDel="00FB0BEF">
        <w:t xml:space="preserve"> </w:t>
      </w:r>
      <w:r w:rsidR="00010E07">
        <w:t>is proposed to</w:t>
      </w:r>
      <w:r w:rsidR="00FF7287">
        <w:t xml:space="preserve"> </w:t>
      </w:r>
      <w:r w:rsidR="001728EE">
        <w:t xml:space="preserve">be used, there </w:t>
      </w:r>
      <w:r w:rsidR="00010E07">
        <w:t>will not be any</w:t>
      </w:r>
      <w:r w:rsidR="001728EE">
        <w:t xml:space="preserve"> interactions of powers </w:t>
      </w:r>
      <w:r w:rsidR="00010E07">
        <w:t>under</w:t>
      </w:r>
      <w:r w:rsidR="001728EE">
        <w:t xml:space="preserve"> the PSR</w:t>
      </w:r>
      <w:r w:rsidR="00B92E22">
        <w:t>A</w:t>
      </w:r>
      <w:r w:rsidR="001728EE">
        <w:t xml:space="preserve"> and the </w:t>
      </w:r>
      <w:r w:rsidR="00010E07">
        <w:t>payments</w:t>
      </w:r>
      <w:r w:rsidR="001728EE">
        <w:t xml:space="preserve"> licensing regime.</w:t>
      </w:r>
      <w:r w:rsidR="00D34672">
        <w:rPr>
          <w:rStyle w:val="FootnoteReference"/>
        </w:rPr>
        <w:footnoteReference w:id="131"/>
      </w:r>
    </w:p>
    <w:p w14:paraId="600C8080" w14:textId="6E7B127A" w:rsidR="00296444" w:rsidRDefault="001E0211" w:rsidP="00242503">
      <w:r w:rsidRPr="00437D22">
        <w:t xml:space="preserve">It is proposed that compliance with relevant </w:t>
      </w:r>
      <w:r w:rsidR="00CF1CB5">
        <w:t xml:space="preserve">technical </w:t>
      </w:r>
      <w:r w:rsidRPr="00437D22">
        <w:t>standards will also be a licence condition for those PSPs that are required to hold an AFS</w:t>
      </w:r>
      <w:r w:rsidR="00132F49">
        <w:t>L</w:t>
      </w:r>
      <w:r w:rsidR="004829C6">
        <w:t>.</w:t>
      </w:r>
    </w:p>
    <w:p w14:paraId="53A1833A" w14:textId="37A5A89A" w:rsidR="00562D7E" w:rsidRDefault="00F21809" w:rsidP="00242503">
      <w:r>
        <w:t xml:space="preserve">The </w:t>
      </w:r>
      <w:r w:rsidR="001F135F">
        <w:t>technical standards themselves would need to clearly specify</w:t>
      </w:r>
      <w:r>
        <w:t xml:space="preserve"> </w:t>
      </w:r>
      <w:r w:rsidR="00562D7E">
        <w:t xml:space="preserve">the </w:t>
      </w:r>
      <w:r w:rsidR="00F84F6B">
        <w:t xml:space="preserve">PSPs that are required to comply with </w:t>
      </w:r>
      <w:r w:rsidR="00934CE6">
        <w:t xml:space="preserve">each </w:t>
      </w:r>
      <w:r w:rsidR="00FD796D">
        <w:t>technical</w:t>
      </w:r>
      <w:r w:rsidR="00934CE6">
        <w:t xml:space="preserve"> standard</w:t>
      </w:r>
      <w:r w:rsidR="00F84F6B">
        <w:t xml:space="preserve">. </w:t>
      </w:r>
    </w:p>
    <w:p w14:paraId="1A499D1B" w14:textId="650878AD" w:rsidR="003E0505" w:rsidRDefault="00261851" w:rsidP="00AB3D0E">
      <w:pPr>
        <w:pStyle w:val="Heading3"/>
      </w:pPr>
      <w:bookmarkStart w:id="213" w:name="_Toc149230991"/>
      <w:r>
        <w:t>Standar</w:t>
      </w:r>
      <w:r w:rsidR="00402791">
        <w:t>d</w:t>
      </w:r>
      <w:r w:rsidR="001A684E">
        <w:t>-</w:t>
      </w:r>
      <w:r w:rsidR="00DC0FE7">
        <w:t>s</w:t>
      </w:r>
      <w:r w:rsidR="00402791">
        <w:t xml:space="preserve">etting </w:t>
      </w:r>
      <w:bookmarkEnd w:id="213"/>
      <w:r w:rsidR="00990117">
        <w:t xml:space="preserve">framework </w:t>
      </w:r>
    </w:p>
    <w:p w14:paraId="191B9213" w14:textId="3266B407" w:rsidR="007D5F14" w:rsidRDefault="00403D48" w:rsidP="00242503">
      <w:r>
        <w:t xml:space="preserve">In recognition of the benefits and costs associated with industry participation in standard-setting, </w:t>
      </w:r>
      <w:r w:rsidR="00D15D1A">
        <w:t xml:space="preserve">this </w:t>
      </w:r>
      <w:r w:rsidR="00442B23">
        <w:t xml:space="preserve">consultation paper proposes </w:t>
      </w:r>
      <w:r w:rsidR="009C382F">
        <w:t>a</w:t>
      </w:r>
      <w:r w:rsidR="00442B23" w:rsidRPr="0015648D">
        <w:t xml:space="preserve"> </w:t>
      </w:r>
      <w:r w:rsidR="00EF4EB6">
        <w:t xml:space="preserve">framework </w:t>
      </w:r>
      <w:r>
        <w:t xml:space="preserve">that </w:t>
      </w:r>
      <w:r w:rsidR="004307E2">
        <w:t>allocates</w:t>
      </w:r>
      <w:r w:rsidR="005276B4">
        <w:t xml:space="preserve"> the </w:t>
      </w:r>
      <w:r w:rsidR="004307E2">
        <w:t xml:space="preserve">various </w:t>
      </w:r>
      <w:r w:rsidR="005276B4">
        <w:t xml:space="preserve">steps involved in standard-setting </w:t>
      </w:r>
      <w:r w:rsidR="004307E2">
        <w:t>to either</w:t>
      </w:r>
      <w:r w:rsidR="005276B4">
        <w:t xml:space="preserve"> the ASSB </w:t>
      </w:r>
      <w:r w:rsidR="004307E2">
        <w:t>or</w:t>
      </w:r>
      <w:r w:rsidR="005276B4">
        <w:t xml:space="preserve"> a regulator.</w:t>
      </w:r>
      <w:r w:rsidR="00EF4EB6" w:rsidRPr="0015648D">
        <w:t xml:space="preserve"> </w:t>
      </w:r>
      <w:r w:rsidR="007D5F14">
        <w:t xml:space="preserve">The final framework will </w:t>
      </w:r>
      <w:r w:rsidR="009C2D17">
        <w:t xml:space="preserve">be informed </w:t>
      </w:r>
      <w:r w:rsidR="009B1EC0">
        <w:t>by</w:t>
      </w:r>
      <w:r w:rsidR="007356B7">
        <w:t xml:space="preserve"> </w:t>
      </w:r>
      <w:r w:rsidR="007D5F14">
        <w:t>consultation feedback</w:t>
      </w:r>
      <w:r w:rsidR="006D3178">
        <w:t xml:space="preserve"> on the optimal level of industry and public sector involvement</w:t>
      </w:r>
      <w:r w:rsidR="007D5F14" w:rsidRPr="0015648D">
        <w:t xml:space="preserve">. </w:t>
      </w:r>
    </w:p>
    <w:p w14:paraId="22060F33" w14:textId="7706D215" w:rsidR="003B57D8" w:rsidRDefault="007E6FC6" w:rsidP="00242503">
      <w:r>
        <w:t>The</w:t>
      </w:r>
      <w:r w:rsidR="007D3ABB">
        <w:t xml:space="preserve"> primary</w:t>
      </w:r>
      <w:r>
        <w:t xml:space="preserve"> step</w:t>
      </w:r>
      <w:r w:rsidR="00C253BE">
        <w:t>s involved in standard</w:t>
      </w:r>
      <w:r w:rsidR="000344E5">
        <w:t xml:space="preserve"> </w:t>
      </w:r>
      <w:r w:rsidR="00C253BE">
        <w:t>setting</w:t>
      </w:r>
      <w:r w:rsidR="00B82359">
        <w:t xml:space="preserve"> </w:t>
      </w:r>
      <w:r w:rsidR="00D363B4">
        <w:t>are</w:t>
      </w:r>
      <w:r w:rsidR="007D3ABB">
        <w:t>:</w:t>
      </w:r>
      <w:r w:rsidR="00B82359">
        <w:t xml:space="preserve"> </w:t>
      </w:r>
      <w:r w:rsidR="00781EB1">
        <w:t xml:space="preserve">the </w:t>
      </w:r>
      <w:r w:rsidR="00B82359">
        <w:t>develop</w:t>
      </w:r>
      <w:r w:rsidR="009D14D5">
        <w:t>ment of</w:t>
      </w:r>
      <w:r w:rsidR="00B82359">
        <w:t xml:space="preserve"> </w:t>
      </w:r>
      <w:r w:rsidR="009D4D69">
        <w:t>a</w:t>
      </w:r>
      <w:r w:rsidR="00B82359">
        <w:t xml:space="preserve"> standard</w:t>
      </w:r>
      <w:r w:rsidR="009D4D69">
        <w:t xml:space="preserve"> (</w:t>
      </w:r>
      <w:r w:rsidR="00B95636">
        <w:t>i.e.</w:t>
      </w:r>
      <w:r w:rsidR="00476CD8">
        <w:t xml:space="preserve"> </w:t>
      </w:r>
      <w:r w:rsidR="006C5BA1">
        <w:t>identifying</w:t>
      </w:r>
      <w:r w:rsidR="00A42F57">
        <w:t xml:space="preserve"> </w:t>
      </w:r>
      <w:r w:rsidR="00BD091A">
        <w:t>a</w:t>
      </w:r>
      <w:r w:rsidR="00A42F57">
        <w:t xml:space="preserve"> need for a </w:t>
      </w:r>
      <w:r w:rsidR="00BD091A">
        <w:t>s</w:t>
      </w:r>
      <w:r w:rsidR="00476CD8">
        <w:t>tandard,</w:t>
      </w:r>
      <w:r w:rsidR="00B95636">
        <w:t xml:space="preserve"> </w:t>
      </w:r>
      <w:r w:rsidR="00476CD8">
        <w:t xml:space="preserve">and </w:t>
      </w:r>
      <w:r w:rsidR="00836E15">
        <w:t xml:space="preserve">determining </w:t>
      </w:r>
      <w:r w:rsidR="00B95636">
        <w:t>the detailed</w:t>
      </w:r>
      <w:r w:rsidR="009D4D69">
        <w:t xml:space="preserve"> technical specifications</w:t>
      </w:r>
      <w:r w:rsidR="003B0E1C">
        <w:t xml:space="preserve"> </w:t>
      </w:r>
      <w:r w:rsidR="00CF6783">
        <w:t>and the subset of PSPs to whom it will apply</w:t>
      </w:r>
      <w:r w:rsidR="003B0E1C">
        <w:t>)</w:t>
      </w:r>
      <w:r w:rsidR="009D4D69">
        <w:t xml:space="preserve">, </w:t>
      </w:r>
      <w:r w:rsidR="00B95636">
        <w:t>the</w:t>
      </w:r>
      <w:r w:rsidR="009D4D69">
        <w:t xml:space="preserve"> </w:t>
      </w:r>
      <w:r w:rsidR="00D278B9">
        <w:t xml:space="preserve">decision to make a </w:t>
      </w:r>
      <w:r w:rsidR="00836E15">
        <w:t xml:space="preserve">particular </w:t>
      </w:r>
      <w:r w:rsidR="00D278B9">
        <w:t xml:space="preserve">standard mandatory, </w:t>
      </w:r>
      <w:r w:rsidR="000344E5">
        <w:t xml:space="preserve">monitoring compliance with mandatory standards, </w:t>
      </w:r>
      <w:r w:rsidR="002B2D71">
        <w:t xml:space="preserve">enforcing </w:t>
      </w:r>
      <w:r w:rsidR="00720A2E">
        <w:t>compliance with</w:t>
      </w:r>
      <w:r w:rsidR="002B2D71">
        <w:t xml:space="preserve"> standards (e.</w:t>
      </w:r>
      <w:r w:rsidR="003E5551">
        <w:t>g.</w:t>
      </w:r>
      <w:r w:rsidR="002B2D71">
        <w:t xml:space="preserve"> </w:t>
      </w:r>
      <w:r w:rsidR="006B6F1A">
        <w:t xml:space="preserve">developing and monitoring </w:t>
      </w:r>
      <w:r w:rsidR="00D511CE">
        <w:t xml:space="preserve">remedial plans </w:t>
      </w:r>
      <w:r w:rsidR="00742DFF">
        <w:t>to rectify</w:t>
      </w:r>
      <w:r w:rsidR="00D511CE">
        <w:t xml:space="preserve"> breaches</w:t>
      </w:r>
      <w:r w:rsidR="00742DFF">
        <w:t xml:space="preserve"> or</w:t>
      </w:r>
      <w:r w:rsidR="002B2D71">
        <w:t xml:space="preserve"> imposing penalties </w:t>
      </w:r>
      <w:r w:rsidR="00465A65">
        <w:t xml:space="preserve">if a PSP breaches standards) and </w:t>
      </w:r>
      <w:r w:rsidR="00B948CE">
        <w:t>oversight of</w:t>
      </w:r>
      <w:r w:rsidR="00465A65">
        <w:t xml:space="preserve"> the standard-setting body (</w:t>
      </w:r>
      <w:r w:rsidR="00B948CE">
        <w:t xml:space="preserve">i.e. </w:t>
      </w:r>
      <w:r w:rsidR="00AB6F9D">
        <w:t>if an industry body is involved,</w:t>
      </w:r>
      <w:r w:rsidR="00B948CE">
        <w:t xml:space="preserve"> ensuring </w:t>
      </w:r>
      <w:r w:rsidR="00AB6F9D">
        <w:t>it is performing</w:t>
      </w:r>
      <w:r w:rsidR="0068391E">
        <w:t xml:space="preserve"> its role adequately</w:t>
      </w:r>
      <w:r w:rsidR="003969E9">
        <w:t>)</w:t>
      </w:r>
      <w:r w:rsidR="0068391E">
        <w:t xml:space="preserve">. </w:t>
      </w:r>
    </w:p>
    <w:p w14:paraId="0289C4B4" w14:textId="364EFD31" w:rsidR="00206386" w:rsidRPr="0093674B" w:rsidRDefault="00206386" w:rsidP="00A575C5">
      <w:pPr>
        <w:pStyle w:val="TableMainHeading"/>
        <w:numPr>
          <w:ilvl w:val="0"/>
          <w:numId w:val="0"/>
        </w:numPr>
        <w:ind w:left="505" w:hanging="505"/>
        <w:jc w:val="center"/>
      </w:pPr>
      <w:r w:rsidRPr="00C76ADC">
        <w:lastRenderedPageBreak/>
        <w:t xml:space="preserve">Table </w:t>
      </w:r>
      <w:fldSimple w:instr=" SEQ Table \* ARABIC ">
        <w:r w:rsidR="00104954">
          <w:rPr>
            <w:noProof/>
          </w:rPr>
          <w:t>7</w:t>
        </w:r>
      </w:fldSimple>
      <w:r w:rsidR="005E21F7">
        <w:rPr>
          <w:noProof/>
        </w:rPr>
        <w:t>:</w:t>
      </w:r>
      <w:r w:rsidRPr="00C76ADC">
        <w:t xml:space="preserve"> Standard-setting framework</w:t>
      </w:r>
    </w:p>
    <w:tbl>
      <w:tblPr>
        <w:tblStyle w:val="GridTable4-Accent1"/>
        <w:tblW w:w="5011" w:type="pct"/>
        <w:tblLayout w:type="fixed"/>
        <w:tblLook w:val="04A0" w:firstRow="1" w:lastRow="0" w:firstColumn="1" w:lastColumn="0" w:noHBand="0" w:noVBand="1"/>
      </w:tblPr>
      <w:tblGrid>
        <w:gridCol w:w="4540"/>
        <w:gridCol w:w="4540"/>
      </w:tblGrid>
      <w:tr w:rsidR="00597597" w14:paraId="09B5E22D" w14:textId="77777777" w:rsidTr="00FD249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00" w:type="pct"/>
          </w:tcPr>
          <w:p w14:paraId="293EA9F4" w14:textId="289B8103" w:rsidR="008D1800" w:rsidRPr="00B81236" w:rsidRDefault="003371C0" w:rsidP="00B81236">
            <w:pPr>
              <w:pStyle w:val="TableColumnHeadingCentred"/>
              <w:rPr>
                <w:color w:val="FFFFFF" w:themeColor="background1"/>
              </w:rPr>
            </w:pPr>
            <w:r w:rsidRPr="00B81236">
              <w:rPr>
                <w:b/>
                <w:color w:val="FFFFFF" w:themeColor="background1"/>
              </w:rPr>
              <w:t>Standard-setting Step</w:t>
            </w:r>
          </w:p>
        </w:tc>
        <w:tc>
          <w:tcPr>
            <w:tcW w:w="2500" w:type="pct"/>
          </w:tcPr>
          <w:p w14:paraId="640AB45B" w14:textId="2FC20E23" w:rsidR="008D1800" w:rsidRPr="00E41A99" w:rsidRDefault="003371C0" w:rsidP="00B81236">
            <w:pPr>
              <w:pStyle w:val="TableColumnHeadingCentre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E41A99">
              <w:rPr>
                <w:b/>
                <w:bCs w:val="0"/>
                <w:color w:val="FFFFFF" w:themeColor="background1"/>
              </w:rPr>
              <w:t>Entity</w:t>
            </w:r>
          </w:p>
        </w:tc>
      </w:tr>
      <w:tr w:rsidR="00597597" w14:paraId="7C11A389" w14:textId="77777777" w:rsidTr="00FD249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00" w:type="pct"/>
          </w:tcPr>
          <w:p w14:paraId="21B28708" w14:textId="01BF92F1" w:rsidR="008D1800" w:rsidRDefault="003371C0" w:rsidP="00B81236">
            <w:pPr>
              <w:pStyle w:val="TableTextLeft"/>
            </w:pPr>
            <w:r>
              <w:t>Who develops the standard?</w:t>
            </w:r>
          </w:p>
        </w:tc>
        <w:tc>
          <w:tcPr>
            <w:tcW w:w="2500" w:type="pct"/>
          </w:tcPr>
          <w:p w14:paraId="58F2F79A" w14:textId="780A2126" w:rsidR="008D1800" w:rsidRDefault="00E557AE" w:rsidP="00B81236">
            <w:pPr>
              <w:pStyle w:val="TableTextLeft"/>
              <w:cnfStyle w:val="000000100000" w:firstRow="0" w:lastRow="0" w:firstColumn="0" w:lastColumn="0" w:oddVBand="0" w:evenVBand="0" w:oddHBand="1" w:evenHBand="0" w:firstRowFirstColumn="0" w:firstRowLastColumn="0" w:lastRowFirstColumn="0" w:lastRowLastColumn="0"/>
            </w:pPr>
            <w:r>
              <w:t>ASSB</w:t>
            </w:r>
          </w:p>
        </w:tc>
      </w:tr>
      <w:tr w:rsidR="008D1800" w14:paraId="312FA155" w14:textId="77777777" w:rsidTr="00FD2492">
        <w:trPr>
          <w:trHeight w:val="454"/>
        </w:trPr>
        <w:tc>
          <w:tcPr>
            <w:cnfStyle w:val="001000000000" w:firstRow="0" w:lastRow="0" w:firstColumn="1" w:lastColumn="0" w:oddVBand="0" w:evenVBand="0" w:oddHBand="0" w:evenHBand="0" w:firstRowFirstColumn="0" w:firstRowLastColumn="0" w:lastRowFirstColumn="0" w:lastRowLastColumn="0"/>
            <w:tcW w:w="2500" w:type="pct"/>
          </w:tcPr>
          <w:p w14:paraId="4BBBC1BE" w14:textId="721479C1" w:rsidR="008D1800" w:rsidRDefault="00CC19BF" w:rsidP="00B81236">
            <w:pPr>
              <w:pStyle w:val="TableTextLeft"/>
            </w:pPr>
            <w:r>
              <w:t>Who decides if the standard will be mandatory?</w:t>
            </w:r>
          </w:p>
        </w:tc>
        <w:tc>
          <w:tcPr>
            <w:tcW w:w="0" w:type="pct"/>
          </w:tcPr>
          <w:p w14:paraId="7D048357" w14:textId="01C6002C" w:rsidR="008D1800" w:rsidRDefault="00E557AE" w:rsidP="00B81236">
            <w:pPr>
              <w:pStyle w:val="TableTextLeft"/>
              <w:cnfStyle w:val="000000000000" w:firstRow="0" w:lastRow="0" w:firstColumn="0" w:lastColumn="0" w:oddVBand="0" w:evenVBand="0" w:oddHBand="0" w:evenHBand="0" w:firstRowFirstColumn="0" w:firstRowLastColumn="0" w:lastRowFirstColumn="0" w:lastRowLastColumn="0"/>
            </w:pPr>
            <w:r>
              <w:t xml:space="preserve">RBA </w:t>
            </w:r>
          </w:p>
        </w:tc>
      </w:tr>
      <w:tr w:rsidR="00597597" w14:paraId="33FD1CD8" w14:textId="77777777" w:rsidTr="00FD249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00" w:type="pct"/>
          </w:tcPr>
          <w:p w14:paraId="0B4D161F" w14:textId="477F273E" w:rsidR="008D1800" w:rsidRDefault="00CC19BF" w:rsidP="00B81236">
            <w:pPr>
              <w:pStyle w:val="TableTextLeft"/>
            </w:pPr>
            <w:r>
              <w:t>Who monitors compliance?</w:t>
            </w:r>
          </w:p>
        </w:tc>
        <w:tc>
          <w:tcPr>
            <w:tcW w:w="2500" w:type="pct"/>
          </w:tcPr>
          <w:p w14:paraId="27564761" w14:textId="3282D56F" w:rsidR="008D1800" w:rsidRDefault="00E557AE" w:rsidP="00B81236">
            <w:pPr>
              <w:pStyle w:val="TableTextLeft"/>
              <w:cnfStyle w:val="000000100000" w:firstRow="0" w:lastRow="0" w:firstColumn="0" w:lastColumn="0" w:oddVBand="0" w:evenVBand="0" w:oddHBand="1" w:evenHBand="0" w:firstRowFirstColumn="0" w:firstRowLastColumn="0" w:lastRowFirstColumn="0" w:lastRowLastColumn="0"/>
            </w:pPr>
            <w:r>
              <w:t>ASSB</w:t>
            </w:r>
          </w:p>
        </w:tc>
      </w:tr>
      <w:tr w:rsidR="008D1800" w14:paraId="1A0AB35B" w14:textId="77777777" w:rsidTr="00FD2492">
        <w:trPr>
          <w:trHeight w:val="454"/>
        </w:trPr>
        <w:tc>
          <w:tcPr>
            <w:cnfStyle w:val="001000000000" w:firstRow="0" w:lastRow="0" w:firstColumn="1" w:lastColumn="0" w:oddVBand="0" w:evenVBand="0" w:oddHBand="0" w:evenHBand="0" w:firstRowFirstColumn="0" w:firstRowLastColumn="0" w:lastRowFirstColumn="0" w:lastRowLastColumn="0"/>
            <w:tcW w:w="2500" w:type="pct"/>
          </w:tcPr>
          <w:p w14:paraId="104864B0" w14:textId="77D3D001" w:rsidR="008D1800" w:rsidRDefault="00CC19BF" w:rsidP="00B81236">
            <w:pPr>
              <w:pStyle w:val="TableTextLeft"/>
            </w:pPr>
            <w:r>
              <w:t>Who enforces the standards?</w:t>
            </w:r>
          </w:p>
        </w:tc>
        <w:tc>
          <w:tcPr>
            <w:tcW w:w="0" w:type="pct"/>
          </w:tcPr>
          <w:p w14:paraId="444B5BB9" w14:textId="6E52C94C" w:rsidR="008D1800" w:rsidRDefault="00597597" w:rsidP="00B81236">
            <w:pPr>
              <w:pStyle w:val="TableTextLeft"/>
              <w:cnfStyle w:val="000000000000" w:firstRow="0" w:lastRow="0" w:firstColumn="0" w:lastColumn="0" w:oddVBand="0" w:evenVBand="0" w:oddHBand="0" w:evenHBand="0" w:firstRowFirstColumn="0" w:firstRowLastColumn="0" w:lastRowFirstColumn="0" w:lastRowLastColumn="0"/>
            </w:pPr>
            <w:r>
              <w:t>ASSB (minor breaches), Regulator (major breaches)</w:t>
            </w:r>
          </w:p>
        </w:tc>
      </w:tr>
      <w:tr w:rsidR="00F36CDF" w14:paraId="6E49B477" w14:textId="77777777" w:rsidTr="00FD249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00" w:type="pct"/>
          </w:tcPr>
          <w:p w14:paraId="3108C2C4" w14:textId="38F835D4" w:rsidR="00F36CDF" w:rsidRDefault="0083019B" w:rsidP="00B81236">
            <w:pPr>
              <w:pStyle w:val="TableTextLeft"/>
            </w:pPr>
            <w:r>
              <w:t>Who oversees the standard-setting body?</w:t>
            </w:r>
          </w:p>
        </w:tc>
        <w:tc>
          <w:tcPr>
            <w:tcW w:w="2500" w:type="pct"/>
          </w:tcPr>
          <w:p w14:paraId="382493DF" w14:textId="37A8DB6B" w:rsidR="00F36CDF" w:rsidRDefault="0083019B" w:rsidP="00B81236">
            <w:pPr>
              <w:pStyle w:val="TableTextLeft"/>
              <w:cnfStyle w:val="000000100000" w:firstRow="0" w:lastRow="0" w:firstColumn="0" w:lastColumn="0" w:oddVBand="0" w:evenVBand="0" w:oddHBand="1" w:evenHBand="0" w:firstRowFirstColumn="0" w:firstRowLastColumn="0" w:lastRowFirstColumn="0" w:lastRowLastColumn="0"/>
            </w:pPr>
            <w:r>
              <w:t>RBA</w:t>
            </w:r>
          </w:p>
        </w:tc>
      </w:tr>
    </w:tbl>
    <w:p w14:paraId="530AC96C" w14:textId="0D379BE4" w:rsidR="005E7466" w:rsidRPr="0039306A" w:rsidRDefault="000F09B1" w:rsidP="00653A05">
      <w:r>
        <w:t xml:space="preserve">Under </w:t>
      </w:r>
      <w:r w:rsidR="005E7466">
        <w:t xml:space="preserve">the proposed framework, the ASSB would develop and recommend mandatory </w:t>
      </w:r>
      <w:r w:rsidR="003B6449">
        <w:t>technical</w:t>
      </w:r>
      <w:r w:rsidR="005E7466">
        <w:t xml:space="preserve"> standards to the RBA. </w:t>
      </w:r>
      <w:r w:rsidR="00634E99">
        <w:t>A</w:t>
      </w:r>
      <w:r w:rsidR="005E7466">
        <w:t xml:space="preserve"> recommended</w:t>
      </w:r>
      <w:r w:rsidR="00893DB9">
        <w:t xml:space="preserve"> technical</w:t>
      </w:r>
      <w:r w:rsidR="005E7466">
        <w:t xml:space="preserve"> standard would require approval from the RBA before it is made mandatory</w:t>
      </w:r>
      <w:r w:rsidR="00E308C9">
        <w:t xml:space="preserve"> (the rationale for this is discussed further below)</w:t>
      </w:r>
      <w:r w:rsidR="005E7466">
        <w:t xml:space="preserve">. The ASSB would be responsible for monitoring compliance with mandatory technical standards. </w:t>
      </w:r>
      <w:r w:rsidR="00C459EC">
        <w:t>T</w:t>
      </w:r>
      <w:r w:rsidR="005E7466">
        <w:t xml:space="preserve">he ASSB would also enforce minor breaches of standards, and would have the required administrative penalty powers to perform this role. The ASSB would refer any major breaches to a regulator. </w:t>
      </w:r>
    </w:p>
    <w:p w14:paraId="35EAC38B" w14:textId="60132CB8" w:rsidR="00D92BF3" w:rsidRDefault="004932B8" w:rsidP="00653A05">
      <w:r>
        <w:t>T</w:t>
      </w:r>
      <w:r w:rsidR="00A734F2">
        <w:t xml:space="preserve">he enforcing regulator refers to </w:t>
      </w:r>
      <w:r w:rsidR="00377E4E">
        <w:t>the RBA or ASIC.</w:t>
      </w:r>
      <w:r w:rsidR="00471899">
        <w:t xml:space="preserve"> </w:t>
      </w:r>
      <w:r w:rsidR="00E23A04">
        <w:t>The paper proposes</w:t>
      </w:r>
      <w:r w:rsidR="00CB474E">
        <w:t xml:space="preserve"> </w:t>
      </w:r>
      <w:r w:rsidR="00E23A04">
        <w:t xml:space="preserve">one regulator will enforce the </w:t>
      </w:r>
      <w:r w:rsidR="00DE66D9">
        <w:t xml:space="preserve">technical </w:t>
      </w:r>
      <w:r w:rsidR="00E23A04">
        <w:t>standards rather than sharing that responsibility between the RBA and ASIC.</w:t>
      </w:r>
      <w:r w:rsidR="004F0762">
        <w:t xml:space="preserve"> </w:t>
      </w:r>
      <w:r w:rsidR="004F0762" w:rsidRPr="00E257C1">
        <w:t xml:space="preserve">The Government will decide which regulator is most appropriate for this role once the design of the framework </w:t>
      </w:r>
      <w:r w:rsidR="002B02AA">
        <w:t xml:space="preserve">is </w:t>
      </w:r>
      <w:r w:rsidR="005D6C52">
        <w:t>more</w:t>
      </w:r>
      <w:r w:rsidR="002B02AA">
        <w:t xml:space="preserve"> developed</w:t>
      </w:r>
      <w:r w:rsidR="004F0762" w:rsidRPr="0038372E">
        <w:t>.</w:t>
      </w:r>
    </w:p>
    <w:p w14:paraId="18662772" w14:textId="77777777" w:rsidR="004C1C53" w:rsidRPr="00F1346C" w:rsidRDefault="004C1C53" w:rsidP="00EE5400">
      <w:pPr>
        <w:pStyle w:val="Heading4"/>
        <w:jc w:val="both"/>
      </w:pPr>
      <w:r w:rsidRPr="00F1346C">
        <w:t>Oversight of ASSB</w:t>
      </w:r>
    </w:p>
    <w:p w14:paraId="583C33B3" w14:textId="1F0D1C7A" w:rsidR="008C2AC2" w:rsidRDefault="00915E08" w:rsidP="00653A05">
      <w:r>
        <w:t>T</w:t>
      </w:r>
      <w:r w:rsidR="00032F25">
        <w:t xml:space="preserve">he RBA </w:t>
      </w:r>
      <w:r w:rsidR="00E164D2">
        <w:t>would</w:t>
      </w:r>
      <w:r w:rsidR="00032F25">
        <w:t xml:space="preserve"> authoris</w:t>
      </w:r>
      <w:r w:rsidR="000C4EFA">
        <w:t>e</w:t>
      </w:r>
      <w:r w:rsidR="00032F25">
        <w:t xml:space="preserve"> industry standard</w:t>
      </w:r>
      <w:r w:rsidR="00095D0F">
        <w:t>-</w:t>
      </w:r>
      <w:r w:rsidR="00032F25">
        <w:t xml:space="preserve">setting bodies </w:t>
      </w:r>
      <w:r w:rsidR="00B25B2D">
        <w:t>and oversee</w:t>
      </w:r>
      <w:r w:rsidR="006305F8">
        <w:t xml:space="preserve"> the </w:t>
      </w:r>
      <w:r w:rsidR="00E86C5B">
        <w:t xml:space="preserve">ASSB’s effectiveness in performing </w:t>
      </w:r>
      <w:r w:rsidR="00D317D4">
        <w:t xml:space="preserve">its functions. </w:t>
      </w:r>
      <w:r w:rsidR="00AD4FE8">
        <w:t>This</w:t>
      </w:r>
      <w:r w:rsidR="00651F1B" w:rsidDel="00E164D2">
        <w:t xml:space="preserve"> </w:t>
      </w:r>
      <w:r w:rsidR="00651F1B">
        <w:t xml:space="preserve">role would be consistent with the </w:t>
      </w:r>
      <w:r w:rsidR="001D6300">
        <w:t>RBA’s broad public interest mandate for payments system regulation.</w:t>
      </w:r>
      <w:r w:rsidR="00D317D4">
        <w:t xml:space="preserve"> </w:t>
      </w:r>
      <w:r w:rsidR="004A443E">
        <w:t xml:space="preserve">The role would involve </w:t>
      </w:r>
      <w:r w:rsidR="00E03C65">
        <w:t>setting regulatory requirements in relation to the ASSB’s independence, governance, capabilities and processes for developing mandatory technical standards</w:t>
      </w:r>
      <w:r w:rsidR="006C31DC">
        <w:t>,</w:t>
      </w:r>
      <w:r w:rsidR="00E03C65">
        <w:t xml:space="preserve"> and monitoring compliance with them.</w:t>
      </w:r>
      <w:r w:rsidR="00D317D4">
        <w:t xml:space="preserve"> </w:t>
      </w:r>
      <w:r w:rsidR="0004768C">
        <w:t>To</w:t>
      </w:r>
      <w:r w:rsidR="00D317D4">
        <w:t xml:space="preserve"> perform this oversight role effectively, the RBA will </w:t>
      </w:r>
      <w:r w:rsidR="00CD0964">
        <w:t>need to</w:t>
      </w:r>
      <w:r w:rsidR="00D317D4">
        <w:t xml:space="preserve"> have the </w:t>
      </w:r>
      <w:r w:rsidR="00C31B29">
        <w:t xml:space="preserve">following </w:t>
      </w:r>
      <w:r w:rsidR="008D5F77">
        <w:t xml:space="preserve">legislative </w:t>
      </w:r>
      <w:r w:rsidR="00C31B29">
        <w:t>powers:</w:t>
      </w:r>
    </w:p>
    <w:p w14:paraId="44772395" w14:textId="442523A9" w:rsidR="00C31B29" w:rsidRDefault="00F8184C" w:rsidP="0020029E">
      <w:pPr>
        <w:pStyle w:val="Bullet"/>
      </w:pPr>
      <w:r>
        <w:t>Authorise and r</w:t>
      </w:r>
      <w:r w:rsidR="00C31B29">
        <w:t>evoke authorisation of an ASSB</w:t>
      </w:r>
    </w:p>
    <w:p w14:paraId="4B35FB53" w14:textId="77777777" w:rsidR="0052180E" w:rsidRDefault="0052180E" w:rsidP="0020029E">
      <w:pPr>
        <w:pStyle w:val="Bullet"/>
      </w:pPr>
      <w:r>
        <w:t>Direct an ASSB to facilitate any changes to adhere to authorisation criteria</w:t>
      </w:r>
    </w:p>
    <w:p w14:paraId="371140E5" w14:textId="236CE49C" w:rsidR="00710C4B" w:rsidRDefault="00710C4B" w:rsidP="0020029E">
      <w:pPr>
        <w:pStyle w:val="Bullet"/>
      </w:pPr>
      <w:r>
        <w:t>Sanction an ASS</w:t>
      </w:r>
      <w:r w:rsidR="00A84299">
        <w:t>B</w:t>
      </w:r>
    </w:p>
    <w:p w14:paraId="43EE7041" w14:textId="32A4C312" w:rsidR="00C31B29" w:rsidRDefault="003F2C7A" w:rsidP="0020029E">
      <w:pPr>
        <w:pStyle w:val="Bullet"/>
      </w:pPr>
      <w:r>
        <w:t xml:space="preserve">Provide guidance on the development of </w:t>
      </w:r>
      <w:r w:rsidR="000D4850">
        <w:t>technical</w:t>
      </w:r>
      <w:r>
        <w:t xml:space="preserve"> standards</w:t>
      </w:r>
    </w:p>
    <w:p w14:paraId="2D68354E" w14:textId="1A249F09" w:rsidR="003F2C7A" w:rsidRDefault="003F2C7A" w:rsidP="0020029E">
      <w:pPr>
        <w:pStyle w:val="Bullet"/>
      </w:pPr>
      <w:r>
        <w:t>Direct an ASSB to develop a standard</w:t>
      </w:r>
      <w:r w:rsidR="00277149">
        <w:t xml:space="preserve"> or </w:t>
      </w:r>
      <w:r w:rsidR="00C47858">
        <w:t>amend</w:t>
      </w:r>
      <w:r w:rsidR="00277149">
        <w:t xml:space="preserve"> a </w:t>
      </w:r>
      <w:r w:rsidR="000D4850">
        <w:t xml:space="preserve">technical </w:t>
      </w:r>
      <w:r w:rsidR="00277149">
        <w:t>standard</w:t>
      </w:r>
    </w:p>
    <w:p w14:paraId="6DE6B235" w14:textId="7E4F2295" w:rsidR="00F65977" w:rsidRDefault="00C47858" w:rsidP="0020029E">
      <w:pPr>
        <w:pStyle w:val="Bullet"/>
      </w:pPr>
      <w:r>
        <w:t xml:space="preserve">Disallow a </w:t>
      </w:r>
      <w:r w:rsidR="000D4850">
        <w:t xml:space="preserve">technical </w:t>
      </w:r>
      <w:r>
        <w:t xml:space="preserve">standard before or after it has </w:t>
      </w:r>
      <w:r w:rsidR="006A63A1">
        <w:t>come into force</w:t>
      </w:r>
    </w:p>
    <w:p w14:paraId="151C40EC" w14:textId="08229A19" w:rsidR="00360C53" w:rsidRPr="00E82922" w:rsidRDefault="004C1C53" w:rsidP="0020029E">
      <w:pPr>
        <w:pStyle w:val="Bullet"/>
      </w:pPr>
      <w:r w:rsidRPr="00E82922">
        <w:t>In the event that authorisation of an ASSB is removed, and no suitable alternative entity exists, the RBA may perform the critical functions of the ASSB.</w:t>
      </w:r>
    </w:p>
    <w:p w14:paraId="1C61E7E5" w14:textId="7B8B0850" w:rsidR="000B6D5F" w:rsidRDefault="00146733" w:rsidP="00653A05">
      <w:r>
        <w:t xml:space="preserve">An industry body seeking to develop </w:t>
      </w:r>
      <w:r w:rsidR="003115BD">
        <w:t>mandatory</w:t>
      </w:r>
      <w:r>
        <w:t xml:space="preserve"> technical standards for payments would need to apply to the RBA for authorisation. The RBA would consider the </w:t>
      </w:r>
      <w:r w:rsidR="00C455BB">
        <w:t>applicant</w:t>
      </w:r>
      <w:r>
        <w:t xml:space="preserve"> against its criteria and any other factors that it considers relevant for the authorisation decision. There will be no explicit limit on </w:t>
      </w:r>
      <w:r>
        <w:lastRenderedPageBreak/>
        <w:t xml:space="preserve">the number of ASSBs that may be authorised, but the RBA will consider how multiple ASSBs may coexist </w:t>
      </w:r>
      <w:r w:rsidR="00C455BB">
        <w:t>effectively and efficiently</w:t>
      </w:r>
      <w:r>
        <w:t xml:space="preserve"> when each </w:t>
      </w:r>
      <w:r w:rsidR="00CB1108">
        <w:t xml:space="preserve">additional </w:t>
      </w:r>
      <w:r>
        <w:t xml:space="preserve">candidate applies. In practice, the number of ASSBs is expected to be small. </w:t>
      </w:r>
      <w:r w:rsidR="00B446DB">
        <w:t xml:space="preserve">The decision to </w:t>
      </w:r>
      <w:r w:rsidR="00093E7B">
        <w:t>avoid</w:t>
      </w:r>
      <w:r w:rsidR="00796FED">
        <w:t xml:space="preserve"> restricting the number of ASSBs is to increase flexibility</w:t>
      </w:r>
      <w:r w:rsidR="00EB7927">
        <w:t xml:space="preserve"> </w:t>
      </w:r>
      <w:r w:rsidR="00796FED">
        <w:t xml:space="preserve">and allow for the possibility that industry bodies may have expertise in different </w:t>
      </w:r>
      <w:r w:rsidR="00AD7A7D">
        <w:t>types</w:t>
      </w:r>
      <w:r w:rsidR="00796FED">
        <w:t xml:space="preserve"> of </w:t>
      </w:r>
      <w:r w:rsidR="00BE4FE5">
        <w:t xml:space="preserve">technical payment </w:t>
      </w:r>
      <w:r w:rsidR="00796FED">
        <w:t>standards</w:t>
      </w:r>
      <w:r w:rsidR="00D316BC">
        <w:t xml:space="preserve">. </w:t>
      </w:r>
    </w:p>
    <w:p w14:paraId="3EE0BAB3" w14:textId="146C2D76" w:rsidR="00146733" w:rsidRPr="00A73857" w:rsidRDefault="00146733" w:rsidP="00653A05">
      <w:pPr>
        <w:pStyle w:val="Heading5"/>
      </w:pPr>
      <w:r w:rsidRPr="00A73857">
        <w:t xml:space="preserve">Authorisation </w:t>
      </w:r>
      <w:r w:rsidR="00174C47" w:rsidRPr="00A73857">
        <w:t>criteria and ongoing oversight</w:t>
      </w:r>
    </w:p>
    <w:p w14:paraId="6C4E668F" w14:textId="43BCB4A9" w:rsidR="00686BA9" w:rsidRDefault="00225B2D" w:rsidP="00EB13E9">
      <w:r>
        <w:t xml:space="preserve">Once the regulatory framework for industry standard setting has been </w:t>
      </w:r>
      <w:r w:rsidR="00FE125B">
        <w:t>established</w:t>
      </w:r>
      <w:r>
        <w:t>,</w:t>
      </w:r>
      <w:r w:rsidR="00686BA9">
        <w:t xml:space="preserve"> the RBA</w:t>
      </w:r>
      <w:r w:rsidDel="00FE125B">
        <w:t xml:space="preserve"> </w:t>
      </w:r>
      <w:r w:rsidR="00FE125B">
        <w:t xml:space="preserve">would </w:t>
      </w:r>
      <w:r w:rsidR="00686BA9">
        <w:t xml:space="preserve">establish various authorisation and oversight requirements and processes, in consultation with Treasury, other regulators and industry. These arrangements </w:t>
      </w:r>
      <w:r w:rsidR="00FE125B">
        <w:t xml:space="preserve">would </w:t>
      </w:r>
      <w:r w:rsidR="00686BA9">
        <w:t xml:space="preserve">be subject to a public consultation. </w:t>
      </w:r>
    </w:p>
    <w:p w14:paraId="540983A2" w14:textId="77777777" w:rsidR="00F706FA" w:rsidRDefault="00F706FA" w:rsidP="00281A4D">
      <w:pPr>
        <w:keepNext/>
      </w:pPr>
      <w:r>
        <w:t>To guide stakeholders, the RBA’s requirements for an industry standard-setting body to be authorised could include the following:</w:t>
      </w:r>
    </w:p>
    <w:p w14:paraId="0C0BCD46" w14:textId="2BC6EDB3" w:rsidR="00F706FA" w:rsidRDefault="00F706FA" w:rsidP="0020029E">
      <w:pPr>
        <w:pStyle w:val="Bullet"/>
        <w:numPr>
          <w:ilvl w:val="0"/>
          <w:numId w:val="67"/>
        </w:numPr>
      </w:pPr>
      <w:r>
        <w:t>The body has appropriate governance, membership composition and funding arrangements in relation to its standard-setting activities</w:t>
      </w:r>
      <w:r w:rsidR="00EC560A">
        <w:t xml:space="preserve"> (see below for further discussion on the funding model)</w:t>
      </w:r>
      <w:r>
        <w:t xml:space="preserve">. These arrangements </w:t>
      </w:r>
      <w:r w:rsidR="00C52559">
        <w:t>w</w:t>
      </w:r>
      <w:r>
        <w:t>ould, in particular, avoid conflicts of interest that could arise from other roles the body may have, and ensure alignment of the standard-setting function with public interest objectives for the mandatory standards regime.</w:t>
      </w:r>
    </w:p>
    <w:p w14:paraId="3BCEADBA" w14:textId="1462AA75" w:rsidR="00F706FA" w:rsidRDefault="00F706FA" w:rsidP="0020029E">
      <w:pPr>
        <w:pStyle w:val="Bullet"/>
        <w:numPr>
          <w:ilvl w:val="0"/>
          <w:numId w:val="67"/>
        </w:numPr>
      </w:pPr>
      <w:r>
        <w:t xml:space="preserve">The body has the capabilities and processes to set mandatory </w:t>
      </w:r>
      <w:r w:rsidR="005239F3">
        <w:t>technical</w:t>
      </w:r>
      <w:r>
        <w:t xml:space="preserve"> standards. This would include: an appropriate level of expertise and resources to develop technical standards; thorough, transparent, consultative and fair standard-setting processes; and processes for periodically assessing the effectiveness, and potentially revising, individual mandatory standards.</w:t>
      </w:r>
    </w:p>
    <w:p w14:paraId="02EB945D" w14:textId="2ED6BBF2" w:rsidR="00F706FA" w:rsidRDefault="00F706FA" w:rsidP="0020029E">
      <w:pPr>
        <w:pStyle w:val="Bullet"/>
        <w:numPr>
          <w:ilvl w:val="0"/>
          <w:numId w:val="67"/>
        </w:numPr>
      </w:pPr>
      <w:r>
        <w:t xml:space="preserve">The body has an independent compliance function to oversee PSPs’ adherence to the mandatory </w:t>
      </w:r>
      <w:r w:rsidR="00071049">
        <w:t xml:space="preserve">technical </w:t>
      </w:r>
      <w:r>
        <w:t xml:space="preserve">standards set by the body. This function needs to be adequately separated from the body’s standard-setting activities, as well as any other activities it may perform. The compliance function would be responsible for monitoring PSPs’ compliance with mandatory </w:t>
      </w:r>
      <w:r w:rsidR="00E71D25">
        <w:t xml:space="preserve">technical </w:t>
      </w:r>
      <w:r>
        <w:t xml:space="preserve">standards, implementing measures to assist licensees’ compliance with </w:t>
      </w:r>
      <w:r w:rsidR="0060559B">
        <w:t xml:space="preserve">technical </w:t>
      </w:r>
      <w:r>
        <w:t xml:space="preserve">standards, and maintaining appropriate processes to address complaints or appeals from payment system participants or users. </w:t>
      </w:r>
      <w:r w:rsidR="00A862A1">
        <w:t xml:space="preserve">In the event that </w:t>
      </w:r>
      <w:r w:rsidR="008C1355">
        <w:t>a PSP believes a complaint</w:t>
      </w:r>
      <w:r w:rsidR="00506C0C">
        <w:t xml:space="preserve"> or appeal</w:t>
      </w:r>
      <w:r w:rsidR="008C1355">
        <w:t xml:space="preserve"> has not adequately been addressed by the ASSB</w:t>
      </w:r>
      <w:r w:rsidR="001130CD">
        <w:t xml:space="preserve">, </w:t>
      </w:r>
      <w:r w:rsidR="00346BD1">
        <w:t xml:space="preserve">it is proposed that </w:t>
      </w:r>
      <w:r w:rsidR="001130CD">
        <w:t xml:space="preserve">there be an avenue </w:t>
      </w:r>
      <w:r w:rsidR="005878DF">
        <w:t xml:space="preserve">(likely subject to a </w:t>
      </w:r>
      <w:r w:rsidR="001B1091">
        <w:t xml:space="preserve">fee) </w:t>
      </w:r>
      <w:r w:rsidR="001130CD">
        <w:t xml:space="preserve">for the complaint </w:t>
      </w:r>
      <w:r w:rsidR="001B1091">
        <w:t xml:space="preserve">or appeal </w:t>
      </w:r>
      <w:r w:rsidR="001130CD">
        <w:t xml:space="preserve">to be escalated to </w:t>
      </w:r>
      <w:r w:rsidR="001B1E50">
        <w:t>the regulator involved in enforcement.</w:t>
      </w:r>
      <w:r w:rsidR="00E40C5B">
        <w:t xml:space="preserve"> </w:t>
      </w:r>
    </w:p>
    <w:p w14:paraId="22A75475" w14:textId="77777777" w:rsidR="00F706FA" w:rsidRDefault="00F706FA" w:rsidP="0020029E">
      <w:pPr>
        <w:pStyle w:val="Bullet"/>
        <w:numPr>
          <w:ilvl w:val="0"/>
          <w:numId w:val="67"/>
        </w:numPr>
      </w:pPr>
      <w:r>
        <w:t xml:space="preserve">The body will be subject to periodic formal assessments by the RBA of its ongoing adherence to the regulatory requirements and effectiveness in setting mandatory technical standards. </w:t>
      </w:r>
    </w:p>
    <w:p w14:paraId="0C43808F" w14:textId="7C96C17E" w:rsidR="00D6766D" w:rsidRDefault="00452552" w:rsidP="00EE5400">
      <w:pPr>
        <w:pStyle w:val="Heading4"/>
        <w:jc w:val="both"/>
      </w:pPr>
      <w:bookmarkStart w:id="214" w:name="_Ref148953155"/>
      <w:r>
        <w:t xml:space="preserve">Scope </w:t>
      </w:r>
      <w:r w:rsidR="00622545">
        <w:t>and threshold</w:t>
      </w:r>
      <w:r>
        <w:t xml:space="preserve"> of standards</w:t>
      </w:r>
      <w:bookmarkEnd w:id="214"/>
    </w:p>
    <w:p w14:paraId="20A706AC" w14:textId="54FF2627" w:rsidR="002C0595" w:rsidRPr="00452552" w:rsidRDefault="00F44D3B" w:rsidP="00281A4D">
      <w:r>
        <w:t xml:space="preserve">Mandatory technical </w:t>
      </w:r>
      <w:r w:rsidR="00DE0B90">
        <w:t>standards should seek to</w:t>
      </w:r>
      <w:r>
        <w:t xml:space="preserve"> promote efficiency and competition, </w:t>
      </w:r>
      <w:r w:rsidR="00AE2188">
        <w:t>and</w:t>
      </w:r>
      <w:r>
        <w:t xml:space="preserve"> manage risk, in the payments system. </w:t>
      </w:r>
      <w:r w:rsidR="00330CDB">
        <w:t>Technical s</w:t>
      </w:r>
      <w:r>
        <w:t>tandards</w:t>
      </w:r>
      <w:r w:rsidR="00460679">
        <w:t xml:space="preserve"> that enhance the interoperability, security, resilience, </w:t>
      </w:r>
      <w:r w:rsidR="0070022F">
        <w:t>customer</w:t>
      </w:r>
      <w:r w:rsidR="00460679">
        <w:t xml:space="preserve"> protection or </w:t>
      </w:r>
      <w:r w:rsidR="0070022F">
        <w:t>customer</w:t>
      </w:r>
      <w:r w:rsidR="00460679">
        <w:t xml:space="preserve"> accessibility in pay</w:t>
      </w:r>
      <w:r w:rsidR="00F20570">
        <w:t>ments systems could meet this requirement.</w:t>
      </w:r>
      <w:r w:rsidR="00DE0B90">
        <w:t xml:space="preserve"> </w:t>
      </w:r>
      <w:r w:rsidR="00D76CB5">
        <w:t xml:space="preserve">There must be a clear public interest case for a </w:t>
      </w:r>
      <w:r w:rsidR="00330CDB">
        <w:t xml:space="preserve">technical </w:t>
      </w:r>
      <w:r w:rsidR="00D76CB5">
        <w:t xml:space="preserve">standard to be made mandatory. </w:t>
      </w:r>
      <w:r w:rsidR="0027168A">
        <w:t xml:space="preserve">Following a separate consultation process </w:t>
      </w:r>
      <w:r w:rsidR="00EA6468">
        <w:t>to be undertaken by the RBA</w:t>
      </w:r>
      <w:r w:rsidR="0027168A">
        <w:t xml:space="preserve"> on the authorisation criteria and </w:t>
      </w:r>
      <w:r w:rsidR="00EA6468">
        <w:t xml:space="preserve">RBA </w:t>
      </w:r>
      <w:r w:rsidR="0027168A">
        <w:t>oversight responsibilities</w:t>
      </w:r>
      <w:r w:rsidR="00EA6468">
        <w:t xml:space="preserve">, the RBA </w:t>
      </w:r>
      <w:r w:rsidR="00747B48">
        <w:t xml:space="preserve">would </w:t>
      </w:r>
      <w:r w:rsidR="00EA6468">
        <w:t>publish guidelines on the necessary characteristics</w:t>
      </w:r>
      <w:r w:rsidR="0027168A">
        <w:t xml:space="preserve"> of </w:t>
      </w:r>
      <w:r w:rsidR="00EA6468">
        <w:t>a mandatory technical standard</w:t>
      </w:r>
      <w:r w:rsidR="00F161FC">
        <w:t xml:space="preserve"> as well as the process for determining whether a </w:t>
      </w:r>
      <w:r w:rsidR="00CE5CAD">
        <w:t xml:space="preserve">technical </w:t>
      </w:r>
      <w:r w:rsidR="00F161FC">
        <w:t>standard should be mandated</w:t>
      </w:r>
      <w:r w:rsidR="00EA6468">
        <w:t xml:space="preserve">. </w:t>
      </w:r>
      <w:r w:rsidR="00F161FC">
        <w:t>The</w:t>
      </w:r>
      <w:r w:rsidR="004E0D34">
        <w:t>se guidelines</w:t>
      </w:r>
      <w:r w:rsidR="00F161FC">
        <w:t xml:space="preserve"> </w:t>
      </w:r>
      <w:r w:rsidR="004E0D34">
        <w:t>are</w:t>
      </w:r>
      <w:r w:rsidR="00192CBA">
        <w:t xml:space="preserve"> likely to include the requirement that individual technical standards are developed and periodic</w:t>
      </w:r>
      <w:r w:rsidR="00A559DE">
        <w:t>ally review</w:t>
      </w:r>
      <w:r w:rsidR="00F71500">
        <w:t>ed</w:t>
      </w:r>
      <w:r w:rsidR="00A559DE">
        <w:t xml:space="preserve"> through transparent, consultative and fair </w:t>
      </w:r>
      <w:r w:rsidR="00A559DE">
        <w:lastRenderedPageBreak/>
        <w:t xml:space="preserve">processes. </w:t>
      </w:r>
      <w:r w:rsidR="004260EF">
        <w:t>Technical s</w:t>
      </w:r>
      <w:r w:rsidR="00C17E7C">
        <w:t xml:space="preserve">tandards should </w:t>
      </w:r>
      <w:r w:rsidR="00F14DCF">
        <w:t xml:space="preserve">also be developed with a view to aligning with international standards where </w:t>
      </w:r>
      <w:r w:rsidR="002A4682">
        <w:t>possible</w:t>
      </w:r>
      <w:r w:rsidR="00115675">
        <w:t xml:space="preserve"> to avoid unneces</w:t>
      </w:r>
      <w:r w:rsidR="00025C83">
        <w:t>sary regulatory burden</w:t>
      </w:r>
      <w:r w:rsidR="000F4C36">
        <w:t>.</w:t>
      </w:r>
    </w:p>
    <w:p w14:paraId="141E8CC9" w14:textId="6EF432CA" w:rsidR="00C0598E" w:rsidRDefault="00AF3DEB" w:rsidP="00281A4D">
      <w:r>
        <w:t xml:space="preserve">Mandatory </w:t>
      </w:r>
      <w:r w:rsidR="00CE5CAD">
        <w:t>technical</w:t>
      </w:r>
      <w:r>
        <w:t xml:space="preserve"> standards </w:t>
      </w:r>
      <w:r w:rsidR="00381FBD">
        <w:t xml:space="preserve">developed </w:t>
      </w:r>
      <w:r>
        <w:t xml:space="preserve">by the ASSB may </w:t>
      </w:r>
      <w:r w:rsidR="00EB4E58">
        <w:t xml:space="preserve">raise competition law concerns under the </w:t>
      </w:r>
      <w:r w:rsidR="00EB4E58" w:rsidRPr="00281A4D">
        <w:rPr>
          <w:i/>
        </w:rPr>
        <w:t>Competition and Consumer Act 2010</w:t>
      </w:r>
      <w:r w:rsidR="005F6476">
        <w:t xml:space="preserve"> (Cth)</w:t>
      </w:r>
      <w:r w:rsidR="00EB4E58">
        <w:t xml:space="preserve"> (CCA). </w:t>
      </w:r>
      <w:r w:rsidR="00C0598E">
        <w:t>For example, c</w:t>
      </w:r>
      <w:r w:rsidR="00EB4E58">
        <w:t xml:space="preserve">ompetition law risks may </w:t>
      </w:r>
      <w:r w:rsidR="00C0598E">
        <w:t>arise:</w:t>
      </w:r>
    </w:p>
    <w:p w14:paraId="179A0209" w14:textId="6E3E4351" w:rsidR="00C6107B" w:rsidRDefault="00DA3836" w:rsidP="00C0598E">
      <w:pPr>
        <w:pStyle w:val="Bullet"/>
      </w:pPr>
      <w:r>
        <w:t>during</w:t>
      </w:r>
      <w:r w:rsidR="00C0598E">
        <w:t xml:space="preserve"> discussions between</w:t>
      </w:r>
      <w:r w:rsidR="00EB4E58">
        <w:t xml:space="preserve"> competitors </w:t>
      </w:r>
      <w:r w:rsidR="00C0598E">
        <w:t xml:space="preserve">when </w:t>
      </w:r>
      <w:r w:rsidR="00EB4E58">
        <w:t>form</w:t>
      </w:r>
      <w:r w:rsidR="00C0598E">
        <w:t>ing</w:t>
      </w:r>
      <w:r w:rsidR="00EB4E58">
        <w:t xml:space="preserve"> agreements about common standards</w:t>
      </w:r>
      <w:r w:rsidR="00795D18">
        <w:t xml:space="preserve"> (e.g. if competitively sensitive information is shared)</w:t>
      </w:r>
      <w:r w:rsidR="00C6107B">
        <w:t>; and</w:t>
      </w:r>
      <w:r w:rsidR="00EB4E58">
        <w:t xml:space="preserve"> </w:t>
      </w:r>
    </w:p>
    <w:p w14:paraId="1879F1E4" w14:textId="65A97109" w:rsidR="00914A9D" w:rsidRDefault="00DA3836" w:rsidP="00C0598E">
      <w:pPr>
        <w:pStyle w:val="Bullet"/>
      </w:pPr>
      <w:r>
        <w:t>i</w:t>
      </w:r>
      <w:r w:rsidR="00C6107B">
        <w:t xml:space="preserve">f the </w:t>
      </w:r>
      <w:r w:rsidR="00EB4E58">
        <w:t>mandatory standards raise barriers to entry or impact the ability for businesses to compete on the</w:t>
      </w:r>
      <w:r w:rsidR="00914A9D">
        <w:t>ir</w:t>
      </w:r>
      <w:r w:rsidR="00EB4E58">
        <w:t xml:space="preserve"> merits. </w:t>
      </w:r>
    </w:p>
    <w:p w14:paraId="46F96453" w14:textId="5B09160C" w:rsidR="00DA3836" w:rsidRDefault="00DE4EF0" w:rsidP="00281A4D">
      <w:r>
        <w:t>Therefore, t</w:t>
      </w:r>
      <w:r w:rsidR="00EB4E58">
        <w:t xml:space="preserve">he process for determining </w:t>
      </w:r>
      <w:r w:rsidR="00614368">
        <w:t>technical</w:t>
      </w:r>
      <w:r w:rsidR="00EB4E58">
        <w:t xml:space="preserve"> standards should include safeguards to manage competition law risks associated with the development and implementation of mandatory </w:t>
      </w:r>
      <w:r w:rsidR="00614368">
        <w:t xml:space="preserve">technical </w:t>
      </w:r>
      <w:r w:rsidR="00EB4E58">
        <w:t>standards</w:t>
      </w:r>
      <w:r>
        <w:t xml:space="preserve">, including the impact of any </w:t>
      </w:r>
      <w:r w:rsidR="00614368">
        <w:t xml:space="preserve">technical </w:t>
      </w:r>
      <w:r>
        <w:t>standards on competition</w:t>
      </w:r>
      <w:r w:rsidR="00EB4E58">
        <w:t xml:space="preserve">. </w:t>
      </w:r>
    </w:p>
    <w:p w14:paraId="78F14C23" w14:textId="2363CE98" w:rsidR="00707342" w:rsidRDefault="00EB4E58" w:rsidP="00281A4D">
      <w:r w:rsidRPr="00AC7318">
        <w:t>The ACCC may grant authorisation</w:t>
      </w:r>
      <w:r>
        <w:t>,</w:t>
      </w:r>
      <w:r w:rsidRPr="00AC7318">
        <w:t xml:space="preserve"> which provides businesses with protection from legal action under the competition provisions in Part IV of the </w:t>
      </w:r>
      <w:r>
        <w:t>CCA</w:t>
      </w:r>
      <w:r w:rsidRPr="00AC7318">
        <w:t xml:space="preserve"> for arrangements that may otherwise risk breaching those provisions but are not harmful to competition and/or are likely to result in overall public benefits</w:t>
      </w:r>
      <w:r w:rsidR="00AF3DEB">
        <w:t>. The A</w:t>
      </w:r>
      <w:r w:rsidR="00CA5A79">
        <w:t>S</w:t>
      </w:r>
      <w:r w:rsidR="00AF3DEB">
        <w:t>SB would need to determine in each instance whether it is necessary to apply to the ACCC for authorisation.</w:t>
      </w:r>
    </w:p>
    <w:p w14:paraId="77352869" w14:textId="2424D698" w:rsidR="00EF28AD" w:rsidRPr="00452552" w:rsidRDefault="00E237FD" w:rsidP="00281A4D">
      <w:r>
        <w:t xml:space="preserve">The RBA will </w:t>
      </w:r>
      <w:r w:rsidR="00E43C83">
        <w:t xml:space="preserve">continue to </w:t>
      </w:r>
      <w:r w:rsidR="00AB2458">
        <w:t xml:space="preserve">have the ability to </w:t>
      </w:r>
      <w:r w:rsidR="00933066">
        <w:t xml:space="preserve">set </w:t>
      </w:r>
      <w:r w:rsidR="00AB2458">
        <w:t>separate</w:t>
      </w:r>
      <w:r w:rsidR="00933066">
        <w:t xml:space="preserve"> standards for </w:t>
      </w:r>
      <w:r w:rsidR="00C11C89">
        <w:t>designated payment</w:t>
      </w:r>
      <w:r w:rsidR="0087238A">
        <w:t xml:space="preserve"> systems under the revised </w:t>
      </w:r>
      <w:r w:rsidR="000F1E4A">
        <w:t xml:space="preserve">PSRA. </w:t>
      </w:r>
      <w:r w:rsidR="003E368C">
        <w:t xml:space="preserve">In the past, </w:t>
      </w:r>
      <w:r w:rsidR="00307C00">
        <w:t xml:space="preserve">the scope of </w:t>
      </w:r>
      <w:r w:rsidR="003E368C">
        <w:t>these standards ha</w:t>
      </w:r>
      <w:r w:rsidR="007019FF">
        <w:t>s</w:t>
      </w:r>
      <w:r w:rsidR="003E368C">
        <w:t xml:space="preserve"> </w:t>
      </w:r>
      <w:r w:rsidR="005D0260">
        <w:t xml:space="preserve">been fairly narrow, </w:t>
      </w:r>
      <w:r w:rsidR="00E4606B">
        <w:t xml:space="preserve">largely covering interchange fees, </w:t>
      </w:r>
      <w:r w:rsidR="00AC1265">
        <w:t xml:space="preserve">limiting </w:t>
      </w:r>
      <w:r w:rsidR="000A4618">
        <w:t xml:space="preserve">card schemes’ </w:t>
      </w:r>
      <w:r w:rsidR="00E4606B">
        <w:t>restrictions on merchants, and access regimes for card</w:t>
      </w:r>
      <w:r w:rsidR="00CE4930">
        <w:t xml:space="preserve"> </w:t>
      </w:r>
      <w:r w:rsidR="00F7457F">
        <w:t>schemes</w:t>
      </w:r>
      <w:r w:rsidR="00CE4930">
        <w:t xml:space="preserve">. </w:t>
      </w:r>
      <w:r w:rsidR="00281574">
        <w:t xml:space="preserve">It is expected that standards that require </w:t>
      </w:r>
      <w:r w:rsidR="00914133">
        <w:t xml:space="preserve">detailed technical </w:t>
      </w:r>
      <w:r w:rsidR="00FA68E2">
        <w:t>or</w:t>
      </w:r>
      <w:r w:rsidR="00914133">
        <w:t xml:space="preserve"> industry knowledge to develop</w:t>
      </w:r>
      <w:r w:rsidR="009F1528">
        <w:t xml:space="preserve"> would </w:t>
      </w:r>
      <w:r w:rsidR="007D6D3F">
        <w:t xml:space="preserve">be candidates for mandatory technical standards, while </w:t>
      </w:r>
      <w:r w:rsidR="00941CF3">
        <w:t xml:space="preserve">non-technical </w:t>
      </w:r>
      <w:r w:rsidR="007D6D3F">
        <w:t xml:space="preserve">standards that </w:t>
      </w:r>
      <w:r w:rsidR="00941CF3">
        <w:t>meet the public</w:t>
      </w:r>
      <w:r w:rsidR="00820FB8">
        <w:t xml:space="preserve"> interest test </w:t>
      </w:r>
      <w:r w:rsidR="00D8543F">
        <w:t xml:space="preserve">would </w:t>
      </w:r>
      <w:r w:rsidR="00AA4BCF">
        <w:t xml:space="preserve">be candidates for standards set </w:t>
      </w:r>
      <w:r w:rsidR="00673D44">
        <w:t xml:space="preserve">by the RBA </w:t>
      </w:r>
      <w:r w:rsidR="00AA4BCF">
        <w:t xml:space="preserve">under </w:t>
      </w:r>
      <w:r w:rsidR="00673D44">
        <w:t>its</w:t>
      </w:r>
      <w:r w:rsidR="00AA4BCF">
        <w:t xml:space="preserve"> PSRA powers. </w:t>
      </w:r>
      <w:r w:rsidR="002B21A4">
        <w:t xml:space="preserve"> </w:t>
      </w:r>
      <w:r w:rsidR="007A5597">
        <w:t xml:space="preserve"> </w:t>
      </w:r>
      <w:r w:rsidR="00670611">
        <w:t xml:space="preserve"> </w:t>
      </w:r>
    </w:p>
    <w:p w14:paraId="0101F368" w14:textId="39B4F9A2" w:rsidR="00F1466C" w:rsidRDefault="00C53662" w:rsidP="00281A4D">
      <w:r>
        <w:t xml:space="preserve">Mandatory </w:t>
      </w:r>
      <w:r w:rsidR="00BB4E33">
        <w:t>technical</w:t>
      </w:r>
      <w:r w:rsidR="000373D5">
        <w:t xml:space="preserve"> standards </w:t>
      </w:r>
      <w:r w:rsidR="004E7FCF">
        <w:t>will</w:t>
      </w:r>
      <w:r w:rsidR="000373D5">
        <w:t xml:space="preserve"> </w:t>
      </w:r>
      <w:r w:rsidR="00DB703C">
        <w:t xml:space="preserve">also </w:t>
      </w:r>
      <w:r w:rsidR="000373D5">
        <w:t xml:space="preserve">be separate from </w:t>
      </w:r>
      <w:r w:rsidR="003F3172">
        <w:t>CARs</w:t>
      </w:r>
      <w:r w:rsidR="004B7870">
        <w:t xml:space="preserve"> and other</w:t>
      </w:r>
      <w:r w:rsidR="00D73F67">
        <w:t xml:space="preserve"> access</w:t>
      </w:r>
      <w:r w:rsidR="004B7870">
        <w:t xml:space="preserve"> </w:t>
      </w:r>
      <w:r w:rsidR="009A7323">
        <w:t>rules</w:t>
      </w:r>
      <w:r w:rsidR="004B7870">
        <w:t xml:space="preserve"> set by payment system operators</w:t>
      </w:r>
      <w:r w:rsidR="004C2929">
        <w:t xml:space="preserve">. </w:t>
      </w:r>
      <w:r w:rsidR="00AC6A56">
        <w:t xml:space="preserve">Under the new </w:t>
      </w:r>
      <w:r w:rsidR="00363384">
        <w:t>CARs</w:t>
      </w:r>
      <w:r w:rsidR="00AC6A56">
        <w:t xml:space="preserve"> framework, p</w:t>
      </w:r>
      <w:r w:rsidR="004C2929">
        <w:t xml:space="preserve">ayment system operators will </w:t>
      </w:r>
      <w:r w:rsidR="00AC6A56">
        <w:t>continue to</w:t>
      </w:r>
      <w:r w:rsidR="004C2929">
        <w:t xml:space="preserve"> be able to set</w:t>
      </w:r>
      <w:r w:rsidR="0079559A">
        <w:t xml:space="preserve"> rules</w:t>
      </w:r>
      <w:r w:rsidR="004B7870">
        <w:t xml:space="preserve"> that are intended to manage </w:t>
      </w:r>
      <w:r w:rsidR="00AF14FF">
        <w:t xml:space="preserve">risks </w:t>
      </w:r>
      <w:r w:rsidR="00126D1B">
        <w:t xml:space="preserve">associated with direct participation in </w:t>
      </w:r>
      <w:r w:rsidR="000A101A">
        <w:t>their</w:t>
      </w:r>
      <w:r w:rsidR="00AF14FF">
        <w:t xml:space="preserve"> payment</w:t>
      </w:r>
      <w:r w:rsidR="00126D1B">
        <w:t>s</w:t>
      </w:r>
      <w:r w:rsidR="00AF14FF">
        <w:t xml:space="preserve"> system</w:t>
      </w:r>
      <w:r w:rsidR="00F23BB8">
        <w:t xml:space="preserve"> (for example, </w:t>
      </w:r>
      <w:r w:rsidR="009768CB">
        <w:t xml:space="preserve">risk </w:t>
      </w:r>
      <w:r w:rsidR="006B484C">
        <w:t>management, governance</w:t>
      </w:r>
      <w:r w:rsidR="00810954">
        <w:t>,</w:t>
      </w:r>
      <w:r w:rsidR="006B484C">
        <w:t xml:space="preserve"> and </w:t>
      </w:r>
      <w:r w:rsidR="00810954">
        <w:t>financial and operational capacity</w:t>
      </w:r>
      <w:r w:rsidR="006B484C">
        <w:t xml:space="preserve"> requirements</w:t>
      </w:r>
      <w:r w:rsidR="0013456C">
        <w:t xml:space="preserve">; see discussion </w:t>
      </w:r>
      <w:r w:rsidR="00B40FC6">
        <w:t>in</w:t>
      </w:r>
      <w:r w:rsidR="00694BC0">
        <w:t xml:space="preserve"> </w:t>
      </w:r>
      <w:r w:rsidR="00EB25B3">
        <w:rPr>
          <w:b/>
        </w:rPr>
        <w:t xml:space="preserve">Section </w:t>
      </w:r>
      <w:r w:rsidR="00104954">
        <w:rPr>
          <w:b/>
        </w:rPr>
        <w:t>7</w:t>
      </w:r>
      <w:r w:rsidR="006B484C" w:rsidRPr="00030A66">
        <w:t>)</w:t>
      </w:r>
      <w:r w:rsidR="00AF14FF" w:rsidRPr="00030A66">
        <w:t>.</w:t>
      </w:r>
      <w:r w:rsidR="00AF14FF">
        <w:t xml:space="preserve"> </w:t>
      </w:r>
    </w:p>
    <w:p w14:paraId="7A584131" w14:textId="207DD097" w:rsidR="00F1466C" w:rsidRDefault="00F1466C" w:rsidP="00E257C1">
      <w:pPr>
        <w:pStyle w:val="Heading4"/>
      </w:pPr>
      <w:r>
        <w:t>Enforcement of technical standards</w:t>
      </w:r>
    </w:p>
    <w:p w14:paraId="5AB3E05B" w14:textId="49270E31" w:rsidR="00FF519B" w:rsidRPr="00452552" w:rsidRDefault="00F1466C" w:rsidP="00281A4D">
      <w:r>
        <w:t>Under the proposed framework, the ASSB would have some ability to impose administrative penalties</w:t>
      </w:r>
      <w:r w:rsidDel="005C4CE1">
        <w:t xml:space="preserve"> </w:t>
      </w:r>
      <w:r>
        <w:t>to enforce minor breaches of technical standards. That is, the ASSB would have powers to direct an entity to comply with a particular technical standard, issue infringement notices or letters of warning, and impose fines. In the event of a major breach of technical standards that requires civil penalties, the ASSB could refer the entity to the regulator involved in enforcement. The regulator would be able to seek more severe penalties for a major breach of technical standards. An advantage of this approach is that it is likely to lower the overall costs of implementing the framework, given that the ASSB may have the existing technical and industry knowledge to be able to enforce minor, technical breaches.</w:t>
      </w:r>
    </w:p>
    <w:p w14:paraId="20168E1D" w14:textId="6BAC38AA" w:rsidR="004605E6" w:rsidRDefault="00F5101A" w:rsidP="00EE5400">
      <w:pPr>
        <w:pStyle w:val="Heading4"/>
        <w:jc w:val="both"/>
      </w:pPr>
      <w:r>
        <w:lastRenderedPageBreak/>
        <w:t xml:space="preserve">Variation of </w:t>
      </w:r>
      <w:r w:rsidR="00DA74DF">
        <w:t>proposed f</w:t>
      </w:r>
      <w:r w:rsidR="0027140D">
        <w:t>ramework</w:t>
      </w:r>
    </w:p>
    <w:p w14:paraId="38A6FB1C" w14:textId="53F2D7C4" w:rsidR="0027140D" w:rsidRPr="00832B30" w:rsidRDefault="00F97708" w:rsidP="005E5114">
      <w:pPr>
        <w:pStyle w:val="Heading5"/>
      </w:pPr>
      <w:r>
        <w:t>Setting</w:t>
      </w:r>
      <w:r w:rsidR="002164AC" w:rsidRPr="00832B30">
        <w:t xml:space="preserve"> </w:t>
      </w:r>
      <w:r w:rsidR="00EA3F41">
        <w:t xml:space="preserve">technical </w:t>
      </w:r>
      <w:r w:rsidR="002164AC" w:rsidRPr="00832B30">
        <w:t>standards</w:t>
      </w:r>
      <w:r w:rsidR="006354AF">
        <w:t xml:space="preserve"> </w:t>
      </w:r>
    </w:p>
    <w:p w14:paraId="2CB5E414" w14:textId="1DBD4C55" w:rsidR="002164AC" w:rsidRDefault="00F1466C" w:rsidP="005E5114">
      <w:r>
        <w:rPr>
          <w:b/>
          <w:bCs/>
        </w:rPr>
        <w:t xml:space="preserve">Variation </w:t>
      </w:r>
      <w:r w:rsidR="00917F0E">
        <w:rPr>
          <w:b/>
          <w:bCs/>
        </w:rPr>
        <w:t xml:space="preserve">A: </w:t>
      </w:r>
      <w:r w:rsidR="001A2719">
        <w:t>It is proposed that</w:t>
      </w:r>
      <w:r w:rsidR="008B2BBC">
        <w:t xml:space="preserve"> </w:t>
      </w:r>
      <w:r w:rsidR="00BB1AD5">
        <w:t xml:space="preserve">RBA approval is required for a </w:t>
      </w:r>
      <w:r w:rsidR="000F4995">
        <w:t xml:space="preserve">technical </w:t>
      </w:r>
      <w:r w:rsidR="00BB1AD5">
        <w:t xml:space="preserve">standard to be made mandatory. </w:t>
      </w:r>
      <w:r w:rsidR="00186BC7">
        <w:t>Requiring</w:t>
      </w:r>
      <w:r w:rsidR="0077066A">
        <w:t xml:space="preserve"> formal regulator approval of a </w:t>
      </w:r>
      <w:r w:rsidR="000F4995">
        <w:t>technical</w:t>
      </w:r>
      <w:r w:rsidR="0077066A">
        <w:t xml:space="preserve"> standard further mitigates the risk of conflicts of interest in the standard-setting process. An additional benefit of formal approval by an impartial regulator is that it reduces the risk of competition law concerns associated with an agreement between competitors about a standard. Therefore, in the event that ACCC authorisation of a standard is required, it is expected that the authorisation process may be more streamlined and faster </w:t>
      </w:r>
      <w:r w:rsidR="002E52AE">
        <w:t xml:space="preserve">if the RBA </w:t>
      </w:r>
      <w:r w:rsidR="000F0ECD">
        <w:t xml:space="preserve">has approved a </w:t>
      </w:r>
      <w:r w:rsidR="00210974">
        <w:t xml:space="preserve">technical </w:t>
      </w:r>
      <w:r w:rsidR="000F0ECD">
        <w:t>standard</w:t>
      </w:r>
      <w:r w:rsidR="0077066A">
        <w:t>.</w:t>
      </w:r>
    </w:p>
    <w:p w14:paraId="7E74E19D" w14:textId="6EA99867" w:rsidR="000D7A5B" w:rsidRPr="005358AE" w:rsidRDefault="00F1466C" w:rsidP="005E5114">
      <w:r>
        <w:rPr>
          <w:b/>
        </w:rPr>
        <w:t xml:space="preserve">Variation </w:t>
      </w:r>
      <w:r w:rsidRPr="00397FDF">
        <w:rPr>
          <w:b/>
        </w:rPr>
        <w:t>B</w:t>
      </w:r>
      <w:r w:rsidR="00917F0E" w:rsidRPr="00397FDF">
        <w:rPr>
          <w:b/>
        </w:rPr>
        <w:t>:</w:t>
      </w:r>
      <w:r w:rsidR="00917F0E">
        <w:t xml:space="preserve"> </w:t>
      </w:r>
      <w:r w:rsidR="00DF2BBA">
        <w:t>An alternative</w:t>
      </w:r>
      <w:r w:rsidR="00E72F9A">
        <w:t xml:space="preserve"> option could involve the RBA having only a veto power over mandatory technical standards. That is, </w:t>
      </w:r>
      <w:r w:rsidR="00173C1E">
        <w:t xml:space="preserve">the RBA </w:t>
      </w:r>
      <w:r w:rsidR="00C35589">
        <w:t xml:space="preserve">would </w:t>
      </w:r>
      <w:r w:rsidR="00173C1E">
        <w:t xml:space="preserve">be able to disallow a standard before or after it has </w:t>
      </w:r>
      <w:r w:rsidR="00C33931">
        <w:t>come into force (as noted above)</w:t>
      </w:r>
      <w:r w:rsidR="00B81F2D">
        <w:t xml:space="preserve">. </w:t>
      </w:r>
      <w:r w:rsidR="00120BD4">
        <w:t>T</w:t>
      </w:r>
      <w:r w:rsidR="00B81F2D">
        <w:t xml:space="preserve">he ASSB </w:t>
      </w:r>
      <w:r w:rsidR="00A41E82">
        <w:t>would</w:t>
      </w:r>
      <w:r w:rsidR="00B81F2D">
        <w:t xml:space="preserve"> not </w:t>
      </w:r>
      <w:r w:rsidR="00A41E82">
        <w:t xml:space="preserve">be </w:t>
      </w:r>
      <w:r w:rsidR="00B81F2D">
        <w:t>required to seek formal approval for</w:t>
      </w:r>
      <w:r w:rsidR="00E90343">
        <w:t xml:space="preserve"> mandatory technical standards.</w:t>
      </w:r>
      <w:r w:rsidR="00720CE1">
        <w:t xml:space="preserve"> </w:t>
      </w:r>
      <w:r w:rsidR="00301C7B">
        <w:t xml:space="preserve">An advantage of this option is that it is likely to </w:t>
      </w:r>
      <w:r w:rsidR="004E12F5">
        <w:t>involve</w:t>
      </w:r>
      <w:r w:rsidR="00095C0A">
        <w:t xml:space="preserve"> lower regulatory costs,</w:t>
      </w:r>
      <w:r w:rsidR="004E12F5">
        <w:t xml:space="preserve"> and may be a suitable </w:t>
      </w:r>
      <w:r w:rsidR="00E7092E">
        <w:t>approach</w:t>
      </w:r>
      <w:r w:rsidR="004E12F5">
        <w:t xml:space="preserve"> if RBA oversight of the ASSB (as described above) is a sufficient safeguard against conflict of interest concerns. </w:t>
      </w:r>
      <w:r w:rsidR="00EA2308">
        <w:t xml:space="preserve"> </w:t>
      </w:r>
      <w:r w:rsidR="004627CE">
        <w:t xml:space="preserve"> </w:t>
      </w:r>
      <w:r w:rsidR="00720CE1">
        <w:t xml:space="preserve"> </w:t>
      </w:r>
    </w:p>
    <w:p w14:paraId="3E8C5D57" w14:textId="2790406E" w:rsidR="006D10D9" w:rsidRPr="006D10D9" w:rsidRDefault="00DE0529" w:rsidP="00EE5400">
      <w:pPr>
        <w:pStyle w:val="Heading4"/>
        <w:jc w:val="both"/>
      </w:pPr>
      <w:r>
        <w:t xml:space="preserve">Criteria for </w:t>
      </w:r>
      <w:r w:rsidR="00DA74DF">
        <w:t xml:space="preserve">evaluating </w:t>
      </w:r>
      <w:r w:rsidR="00601340">
        <w:t xml:space="preserve">the </w:t>
      </w:r>
      <w:r w:rsidR="00DA74DF">
        <w:t>framework</w:t>
      </w:r>
    </w:p>
    <w:p w14:paraId="2451964E" w14:textId="2C664B1F" w:rsidR="00166611" w:rsidRDefault="00C43247" w:rsidP="00207EAD">
      <w:r>
        <w:t xml:space="preserve">The </w:t>
      </w:r>
      <w:r w:rsidR="007E7FDB">
        <w:t>following criteria will be used to e</w:t>
      </w:r>
      <w:r w:rsidR="00F5519B">
        <w:t xml:space="preserve">valuate </w:t>
      </w:r>
      <w:r w:rsidR="00601340">
        <w:t>the design of the framework</w:t>
      </w:r>
      <w:r w:rsidR="00F5519B">
        <w:t xml:space="preserve">: </w:t>
      </w:r>
      <w:r w:rsidR="007E7FDB">
        <w:t xml:space="preserve"> </w:t>
      </w:r>
    </w:p>
    <w:p w14:paraId="6CFF23E2" w14:textId="2101CBFB" w:rsidR="00C34DAA" w:rsidRDefault="00C34DAA" w:rsidP="0020029E">
      <w:pPr>
        <w:pStyle w:val="Bullet"/>
      </w:pPr>
      <w:r>
        <w:t>Promote</w:t>
      </w:r>
      <w:r w:rsidR="007E0431">
        <w:t>s</w:t>
      </w:r>
      <w:r>
        <w:t xml:space="preserve"> efficiency and competition, </w:t>
      </w:r>
      <w:r w:rsidR="00527EAA">
        <w:t>and</w:t>
      </w:r>
      <w:r>
        <w:t xml:space="preserve"> manage</w:t>
      </w:r>
      <w:r w:rsidR="007E0431">
        <w:t>s</w:t>
      </w:r>
      <w:r>
        <w:t xml:space="preserve"> risk, in the payments system</w:t>
      </w:r>
      <w:r w:rsidDel="00C34DAA">
        <w:t xml:space="preserve"> </w:t>
      </w:r>
    </w:p>
    <w:p w14:paraId="2F35CBB7" w14:textId="63B049D9" w:rsidR="0031512B" w:rsidRDefault="00D752DF" w:rsidP="0020029E">
      <w:pPr>
        <w:pStyle w:val="Bullet"/>
      </w:pPr>
      <w:r>
        <w:t>Promotes</w:t>
      </w:r>
      <w:r w:rsidR="00B502F8">
        <w:t xml:space="preserve"> a level playing field for </w:t>
      </w:r>
      <w:r>
        <w:t>participants in the payments system</w:t>
      </w:r>
    </w:p>
    <w:p w14:paraId="15788416" w14:textId="36E57BB5" w:rsidR="00D752DF" w:rsidRDefault="00D752DF" w:rsidP="0020029E">
      <w:pPr>
        <w:pStyle w:val="Bullet"/>
      </w:pPr>
      <w:r>
        <w:t xml:space="preserve">Minimises regulatory costs – both compliance costs for those who are subject to </w:t>
      </w:r>
      <w:r w:rsidR="00EF3973">
        <w:t xml:space="preserve">technical </w:t>
      </w:r>
      <w:r>
        <w:t>standards, and costs to the government</w:t>
      </w:r>
    </w:p>
    <w:p w14:paraId="295DBC0A" w14:textId="079C82BB" w:rsidR="00D752DF" w:rsidRDefault="00D752DF" w:rsidP="0020029E">
      <w:pPr>
        <w:pStyle w:val="Bullet"/>
      </w:pPr>
      <w:r>
        <w:t xml:space="preserve">Minimises </w:t>
      </w:r>
      <w:r w:rsidR="00720001">
        <w:t>the risk of conflicts of interest</w:t>
      </w:r>
      <w:r w:rsidR="00F0764E">
        <w:t xml:space="preserve"> </w:t>
      </w:r>
      <w:r w:rsidR="00092EFC">
        <w:t xml:space="preserve">and promotes transparency and </w:t>
      </w:r>
      <w:r w:rsidR="00E8459C">
        <w:t>impartiality in the standard-setting process</w:t>
      </w:r>
    </w:p>
    <w:p w14:paraId="2E0DC458" w14:textId="1EDD3471" w:rsidR="00333B40" w:rsidRDefault="00333B40" w:rsidP="00EE5400">
      <w:pPr>
        <w:pStyle w:val="Heading4"/>
        <w:jc w:val="both"/>
      </w:pPr>
      <w:r>
        <w:t xml:space="preserve">Minor and </w:t>
      </w:r>
      <w:r w:rsidR="00DA74DF">
        <w:t>major breaches</w:t>
      </w:r>
    </w:p>
    <w:p w14:paraId="483C52B1" w14:textId="092581F9" w:rsidR="004C0046" w:rsidRPr="004C0046" w:rsidRDefault="0036628B" w:rsidP="00207EAD">
      <w:r>
        <w:t xml:space="preserve">There is a need to define what constitutes a ‘minor’ and ‘major’ breach of </w:t>
      </w:r>
      <w:r w:rsidR="00EF3973">
        <w:t xml:space="preserve">technical </w:t>
      </w:r>
      <w:r>
        <w:t>standards</w:t>
      </w:r>
      <w:r w:rsidR="00471111">
        <w:t xml:space="preserve">. </w:t>
      </w:r>
      <w:r w:rsidR="00DD2316">
        <w:t xml:space="preserve">It is proposed that </w:t>
      </w:r>
      <w:r w:rsidR="00201840">
        <w:t xml:space="preserve">a minor, technical breach of standards is one that </w:t>
      </w:r>
      <w:r w:rsidR="008B5CCE">
        <w:t xml:space="preserve">does not cause major disruption and/or damage to the system, and can be remedied with </w:t>
      </w:r>
      <w:r w:rsidR="00201840">
        <w:t xml:space="preserve">administrative </w:t>
      </w:r>
      <w:r w:rsidR="008B5CCE">
        <w:t xml:space="preserve">action </w:t>
      </w:r>
      <w:r w:rsidR="00201840">
        <w:t xml:space="preserve">(e.g. </w:t>
      </w:r>
      <w:r w:rsidR="00421D05">
        <w:t>remediation plan,</w:t>
      </w:r>
      <w:r w:rsidR="00201840">
        <w:t xml:space="preserve"> </w:t>
      </w:r>
      <w:r w:rsidR="006019A8">
        <w:t xml:space="preserve">public infringement notices, </w:t>
      </w:r>
      <w:r w:rsidR="00BB3776">
        <w:t xml:space="preserve">or a </w:t>
      </w:r>
      <w:r w:rsidR="00F263C5">
        <w:t>lower-level</w:t>
      </w:r>
      <w:r w:rsidR="006019A8">
        <w:t xml:space="preserve"> fine). A </w:t>
      </w:r>
      <w:r w:rsidR="00BB3776">
        <w:t>major breach of</w:t>
      </w:r>
      <w:r w:rsidR="000E03A4">
        <w:t xml:space="preserve"> technical</w:t>
      </w:r>
      <w:r w:rsidR="00BB3776">
        <w:t xml:space="preserve"> standards would refer to repeated non-compliance (e.g. failure to </w:t>
      </w:r>
      <w:r w:rsidR="00F263C5">
        <w:t xml:space="preserve">comply with remediation plans) </w:t>
      </w:r>
      <w:r w:rsidR="00421D05">
        <w:t xml:space="preserve">having major or systemic consequences </w:t>
      </w:r>
      <w:r w:rsidR="00F263C5">
        <w:t>and would require civil penalties (i.e. larger fines</w:t>
      </w:r>
      <w:r w:rsidR="007E7F15">
        <w:t xml:space="preserve"> or</w:t>
      </w:r>
      <w:r w:rsidR="0071423E">
        <w:t xml:space="preserve"> the</w:t>
      </w:r>
      <w:r w:rsidR="00F263C5">
        <w:t xml:space="preserve"> revocation of an AFS</w:t>
      </w:r>
      <w:r w:rsidR="00132F49">
        <w:t>L</w:t>
      </w:r>
      <w:r w:rsidR="00F263C5">
        <w:t xml:space="preserve"> for entities that are required to be licensed).</w:t>
      </w:r>
      <w:r w:rsidR="00DD2316">
        <w:t xml:space="preserve"> </w:t>
      </w:r>
    </w:p>
    <w:p w14:paraId="1F260C34" w14:textId="65C35762" w:rsidR="00CF3B96" w:rsidRDefault="006C4F03" w:rsidP="009177F2">
      <w:pPr>
        <w:pStyle w:val="Heading4"/>
      </w:pPr>
      <w:r>
        <w:t xml:space="preserve">Funding </w:t>
      </w:r>
      <w:r w:rsidR="00DA74DF">
        <w:t>models</w:t>
      </w:r>
    </w:p>
    <w:p w14:paraId="61467011" w14:textId="7E0A59E0" w:rsidR="003549AE" w:rsidRPr="006C4F03" w:rsidRDefault="00C72ACB" w:rsidP="00CB70F0">
      <w:r>
        <w:t>Once the regulatory framework for the standard-setting process</w:t>
      </w:r>
      <w:r w:rsidR="00D57B70">
        <w:t xml:space="preserve"> is established, </w:t>
      </w:r>
      <w:r w:rsidR="000F30C9">
        <w:t>the Government</w:t>
      </w:r>
      <w:r w:rsidR="006D7378">
        <w:t xml:space="preserve"> </w:t>
      </w:r>
      <w:r w:rsidR="00D57B70">
        <w:t xml:space="preserve">will consider the </w:t>
      </w:r>
      <w:r w:rsidR="00981BA0">
        <w:t>appropriate</w:t>
      </w:r>
      <w:r w:rsidR="00D57B70">
        <w:t xml:space="preserve"> funding model</w:t>
      </w:r>
      <w:r w:rsidR="00EB26CD">
        <w:t xml:space="preserve"> for the framework</w:t>
      </w:r>
      <w:r w:rsidR="00100C23">
        <w:t>, with input from relevant stakeholders</w:t>
      </w:r>
      <w:r w:rsidR="00904BF8">
        <w:t xml:space="preserve">. </w:t>
      </w:r>
      <w:r w:rsidR="003020BA">
        <w:t xml:space="preserve">The optimal funding model </w:t>
      </w:r>
      <w:r w:rsidR="00654F64">
        <w:t>sh</w:t>
      </w:r>
      <w:r w:rsidR="003020BA">
        <w:t>ould</w:t>
      </w:r>
      <w:r w:rsidR="00FC3E0D">
        <w:t xml:space="preserve"> </w:t>
      </w:r>
      <w:r w:rsidR="003020BA">
        <w:t>be fair and equitable</w:t>
      </w:r>
      <w:r w:rsidR="0086652A">
        <w:t>, and</w:t>
      </w:r>
      <w:r w:rsidR="00F35D93">
        <w:t xml:space="preserve"> </w:t>
      </w:r>
      <w:r w:rsidR="00EA5E7B">
        <w:t>minimis</w:t>
      </w:r>
      <w:r w:rsidR="003020BA">
        <w:t>e</w:t>
      </w:r>
      <w:r w:rsidR="00EA5E7B">
        <w:t xml:space="preserve"> actual or perceived conflicts of interest. </w:t>
      </w:r>
      <w:r w:rsidR="003549AE">
        <w:t xml:space="preserve">Funding raised through this model can only be allocated towards </w:t>
      </w:r>
      <w:r w:rsidR="004B62C7">
        <w:t>standard</w:t>
      </w:r>
      <w:r w:rsidR="00222855">
        <w:t>s</w:t>
      </w:r>
      <w:r w:rsidR="004B62C7">
        <w:t>-setting processes</w:t>
      </w:r>
      <w:r w:rsidR="00DD1709">
        <w:t xml:space="preserve"> (which include standards setting, monitoring compliance, enforcement and complaints handling)</w:t>
      </w:r>
      <w:r w:rsidR="00817C8A">
        <w:t xml:space="preserve">, </w:t>
      </w:r>
      <w:r w:rsidR="003549AE">
        <w:t>and no</w:t>
      </w:r>
      <w:r w:rsidR="00817C8A">
        <w:t>t any</w:t>
      </w:r>
      <w:r w:rsidR="003549AE">
        <w:t xml:space="preserve"> other </w:t>
      </w:r>
      <w:r w:rsidR="009E50F0">
        <w:t xml:space="preserve">non-standards-setting </w:t>
      </w:r>
      <w:r w:rsidR="003549AE">
        <w:t xml:space="preserve">function performed by the ASSB. </w:t>
      </w:r>
    </w:p>
    <w:p w14:paraId="16E8D331" w14:textId="4718E576" w:rsidR="002871CF" w:rsidRDefault="00567C56" w:rsidP="00CB70F0">
      <w:r>
        <w:lastRenderedPageBreak/>
        <w:t>One</w:t>
      </w:r>
      <w:r w:rsidR="00D4788D">
        <w:t xml:space="preserve"> option</w:t>
      </w:r>
      <w:r>
        <w:t xml:space="preserve"> is </w:t>
      </w:r>
      <w:r w:rsidR="00CA489C">
        <w:t xml:space="preserve">to </w:t>
      </w:r>
      <w:r w:rsidR="0097352A">
        <w:t xml:space="preserve">fund the </w:t>
      </w:r>
      <w:r w:rsidR="00E7386A">
        <w:t>monitoring</w:t>
      </w:r>
      <w:r w:rsidR="00EC7067">
        <w:t xml:space="preserve"> and enforcement of technical standards </w:t>
      </w:r>
      <w:r w:rsidR="0097352A">
        <w:t xml:space="preserve">using </w:t>
      </w:r>
      <w:r w:rsidR="00E72F08">
        <w:t>a</w:t>
      </w:r>
      <w:r w:rsidR="0097352A">
        <w:t xml:space="preserve"> </w:t>
      </w:r>
      <w:r w:rsidR="00BC6A95">
        <w:t>fixed</w:t>
      </w:r>
      <w:r w:rsidR="00931D9E">
        <w:t>, tiered</w:t>
      </w:r>
      <w:r w:rsidR="008B27F0">
        <w:t>, mandatory annual</w:t>
      </w:r>
      <w:r w:rsidR="00491A0B">
        <w:t xml:space="preserve"> f</w:t>
      </w:r>
      <w:r w:rsidR="00607F2D">
        <w:t>ee for entities that are required to comply with particular standards;</w:t>
      </w:r>
      <w:r w:rsidR="007C0108">
        <w:t xml:space="preserve"> </w:t>
      </w:r>
      <w:r w:rsidR="00607F2D">
        <w:t>t</w:t>
      </w:r>
      <w:r w:rsidR="00B843FA">
        <w:t xml:space="preserve">his fee </w:t>
      </w:r>
      <w:r w:rsidR="00061009">
        <w:t>would</w:t>
      </w:r>
      <w:r w:rsidR="00537C36">
        <w:t xml:space="preserve"> </w:t>
      </w:r>
      <w:r w:rsidR="001C27B9">
        <w:t xml:space="preserve">likely </w:t>
      </w:r>
      <w:r w:rsidR="00846E31">
        <w:t xml:space="preserve">be </w:t>
      </w:r>
      <w:r w:rsidR="00A7044D">
        <w:t>adjusted depending on</w:t>
      </w:r>
      <w:r w:rsidR="00DC1017">
        <w:t xml:space="preserve"> the number of standards that an entity </w:t>
      </w:r>
      <w:r w:rsidR="00105566">
        <w:t>is required to comply with</w:t>
      </w:r>
      <w:r w:rsidR="00170BF8">
        <w:t>,</w:t>
      </w:r>
      <w:r w:rsidR="00E14083">
        <w:t xml:space="preserve"> and the volume of the relevant payments activity performed by the entity.</w:t>
      </w:r>
      <w:r w:rsidR="00DC1017">
        <w:t xml:space="preserve"> </w:t>
      </w:r>
      <w:r w:rsidR="00EC7067">
        <w:t xml:space="preserve">The development of </w:t>
      </w:r>
      <w:r w:rsidR="00922550">
        <w:t xml:space="preserve">standards </w:t>
      </w:r>
      <w:r w:rsidR="00EC7067">
        <w:t xml:space="preserve">would be funded by the </w:t>
      </w:r>
      <w:r w:rsidR="00922550">
        <w:t>ASSB</w:t>
      </w:r>
      <w:r w:rsidR="007B6A27">
        <w:t>.</w:t>
      </w:r>
    </w:p>
    <w:tbl>
      <w:tblPr>
        <w:tblStyle w:val="TableGrid"/>
        <w:tblW w:w="0" w:type="auto"/>
        <w:tblLook w:val="04A0" w:firstRow="1" w:lastRow="0" w:firstColumn="1" w:lastColumn="0" w:noHBand="0" w:noVBand="1"/>
      </w:tblPr>
      <w:tblGrid>
        <w:gridCol w:w="9070"/>
      </w:tblGrid>
      <w:tr w:rsidR="0093423F" w14:paraId="0336AF96"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1BA5AAC1" w14:textId="77777777" w:rsidR="0093423F" w:rsidRPr="0018708D" w:rsidRDefault="0093423F" w:rsidP="00E42AA2">
            <w:pPr>
              <w:spacing w:before="96" w:after="96"/>
              <w:rPr>
                <w:rFonts w:asciiTheme="minorHAnsi" w:hAnsiTheme="minorHAnsi" w:cstheme="minorHAnsi"/>
                <w:u w:val="single"/>
              </w:rPr>
            </w:pPr>
            <w:r w:rsidRPr="0018708D">
              <w:rPr>
                <w:rFonts w:asciiTheme="minorHAnsi" w:hAnsiTheme="minorHAnsi" w:cstheme="minorHAnsi"/>
                <w:u w:val="single"/>
              </w:rPr>
              <w:t>Consultation questions</w:t>
            </w:r>
          </w:p>
          <w:p w14:paraId="59398789" w14:textId="5DC4749B" w:rsidR="0093423F" w:rsidRPr="0093423F" w:rsidRDefault="0093423F" w:rsidP="001D123F">
            <w:pPr>
              <w:pStyle w:val="Consultationquestions"/>
              <w:numPr>
                <w:ilvl w:val="0"/>
                <w:numId w:val="100"/>
              </w:numPr>
            </w:pPr>
            <w:r w:rsidRPr="0093423F">
              <w:t xml:space="preserve">What are the issues with the current mix of voluntary standards and payment </w:t>
            </w:r>
            <w:r w:rsidR="00266737">
              <w:t>system requirements</w:t>
            </w:r>
            <w:r w:rsidRPr="0093423F">
              <w:t xml:space="preserve">? What would be the benefits of introducing a formal framework for mandatory technical standards? </w:t>
            </w:r>
            <w:r w:rsidR="00A62926">
              <w:t>What are the key reasons why the</w:t>
            </w:r>
            <w:r w:rsidRPr="0093423F">
              <w:t xml:space="preserve"> current </w:t>
            </w:r>
            <w:r w:rsidR="00F456BC">
              <w:t>status quo</w:t>
            </w:r>
            <w:r w:rsidRPr="0093423F">
              <w:t xml:space="preserve"> of </w:t>
            </w:r>
            <w:r w:rsidR="004942F4">
              <w:t xml:space="preserve">voluntary </w:t>
            </w:r>
            <w:r w:rsidRPr="0093423F">
              <w:t xml:space="preserve">standards </w:t>
            </w:r>
            <w:r w:rsidR="004942F4">
              <w:t xml:space="preserve">is </w:t>
            </w:r>
            <w:r w:rsidR="00A62926">
              <w:t>in</w:t>
            </w:r>
            <w:r w:rsidR="004942F4">
              <w:t>sufficient</w:t>
            </w:r>
            <w:r w:rsidR="00A62926">
              <w:t xml:space="preserve"> </w:t>
            </w:r>
            <w:r w:rsidR="00FC4BBC">
              <w:t xml:space="preserve">to achieve the </w:t>
            </w:r>
            <w:r w:rsidR="00801171">
              <w:t xml:space="preserve">key objectives set out in </w:t>
            </w:r>
            <w:r w:rsidR="009F7944">
              <w:t>the discussion of the standard-setting framework</w:t>
            </w:r>
            <w:r w:rsidR="00640351" w:rsidRPr="001D123F">
              <w:t>?</w:t>
            </w:r>
            <w:r w:rsidRPr="001D123F">
              <w:t xml:space="preserve"> </w:t>
            </w:r>
          </w:p>
          <w:p w14:paraId="77E5C166" w14:textId="2F1011E0" w:rsidR="0093423F" w:rsidRDefault="0093423F" w:rsidP="001D123F">
            <w:pPr>
              <w:pStyle w:val="Consultationquestions"/>
              <w:numPr>
                <w:ilvl w:val="0"/>
                <w:numId w:val="100"/>
              </w:numPr>
            </w:pPr>
            <w:r>
              <w:t xml:space="preserve">Is the </w:t>
            </w:r>
            <w:r w:rsidRPr="00F6096E">
              <w:t>PSRA</w:t>
            </w:r>
            <w:r>
              <w:t xml:space="preserve"> </w:t>
            </w:r>
            <w:r w:rsidR="005001E6">
              <w:t>bill</w:t>
            </w:r>
            <w:r w:rsidRPr="00F6096E">
              <w:t xml:space="preserve"> definition of payment system </w:t>
            </w:r>
            <w:r w:rsidR="00870460" w:rsidRPr="00F6096E">
              <w:t>‘</w:t>
            </w:r>
            <w:r w:rsidRPr="00F6096E">
              <w:t>participants</w:t>
            </w:r>
            <w:r w:rsidR="00CE7C7E" w:rsidRPr="00F6096E">
              <w:t>’</w:t>
            </w:r>
            <w:r w:rsidRPr="00F6096E">
              <w:t xml:space="preserve"> </w:t>
            </w:r>
            <w:r>
              <w:t xml:space="preserve">an appropriate regulatory perimeter for compliance with mandatory technical standards? </w:t>
            </w:r>
          </w:p>
          <w:p w14:paraId="44397086" w14:textId="01D680E9" w:rsidR="0093423F" w:rsidRDefault="0093423F" w:rsidP="001D123F">
            <w:pPr>
              <w:pStyle w:val="Consultationquestions"/>
              <w:numPr>
                <w:ilvl w:val="0"/>
                <w:numId w:val="100"/>
              </w:numPr>
            </w:pPr>
            <w:r>
              <w:t>Should</w:t>
            </w:r>
            <w:r w:rsidR="00421C2C">
              <w:t xml:space="preserve"> complying with mandatory</w:t>
            </w:r>
            <w:r>
              <w:t xml:space="preserve"> technical standards be an explicit condition for PSPs that are required to hold a</w:t>
            </w:r>
            <w:r w:rsidR="00AB0D36">
              <w:t xml:space="preserve">n </w:t>
            </w:r>
            <w:r w:rsidR="00AB0D36" w:rsidRPr="001D123F">
              <w:t>AFS</w:t>
            </w:r>
            <w:r w:rsidR="00132F49" w:rsidRPr="001D123F">
              <w:t>L</w:t>
            </w:r>
            <w:r>
              <w:t>?</w:t>
            </w:r>
          </w:p>
          <w:p w14:paraId="6A9E91EE" w14:textId="653C327C" w:rsidR="0093423F" w:rsidRDefault="0093423F" w:rsidP="001D123F">
            <w:pPr>
              <w:pStyle w:val="Consultationquestions"/>
              <w:numPr>
                <w:ilvl w:val="0"/>
                <w:numId w:val="100"/>
              </w:numPr>
            </w:pPr>
            <w:r>
              <w:t xml:space="preserve">Are there any additional criteria that should be considered when evaluating </w:t>
            </w:r>
            <w:r w:rsidR="00FB778D">
              <w:t>the design of the framework</w:t>
            </w:r>
            <w:r>
              <w:t>?</w:t>
            </w:r>
          </w:p>
          <w:p w14:paraId="60513BB7" w14:textId="41E3BBDC" w:rsidR="0093423F" w:rsidRDefault="0093423F" w:rsidP="001D123F">
            <w:pPr>
              <w:pStyle w:val="Consultationquestions"/>
              <w:numPr>
                <w:ilvl w:val="0"/>
                <w:numId w:val="100"/>
              </w:numPr>
            </w:pPr>
            <w:r>
              <w:t xml:space="preserve">Are there any other options </w:t>
            </w:r>
            <w:r w:rsidR="0007706D">
              <w:t>for the framework</w:t>
            </w:r>
            <w:r>
              <w:t xml:space="preserve"> that should be considered; if so, why?</w:t>
            </w:r>
          </w:p>
          <w:p w14:paraId="276CB6AC" w14:textId="0E7EC8D1" w:rsidR="0093423F" w:rsidRDefault="00D04EA6" w:rsidP="001D123F">
            <w:pPr>
              <w:pStyle w:val="Consultationquestions"/>
              <w:numPr>
                <w:ilvl w:val="0"/>
                <w:numId w:val="100"/>
              </w:numPr>
            </w:pPr>
            <w:r>
              <w:t xml:space="preserve">This paper </w:t>
            </w:r>
            <w:r w:rsidR="004E312E">
              <w:t xml:space="preserve">outlines </w:t>
            </w:r>
            <w:r w:rsidR="00F1466C">
              <w:t xml:space="preserve">a </w:t>
            </w:r>
            <w:r w:rsidR="004E312E">
              <w:t>potential variation to the proposed standard-setting framework</w:t>
            </w:r>
            <w:r w:rsidR="00EA69D9">
              <w:t>.</w:t>
            </w:r>
            <w:r w:rsidR="0093423F">
              <w:t xml:space="preserve"> What are the advantages or disadvantages </w:t>
            </w:r>
            <w:r w:rsidR="00566F41">
              <w:t>of th</w:t>
            </w:r>
            <w:r w:rsidR="00C74B26">
              <w:t xml:space="preserve">is </w:t>
            </w:r>
            <w:r w:rsidR="00566F41">
              <w:t>variation</w:t>
            </w:r>
            <w:r w:rsidR="006A0534">
              <w:t xml:space="preserve"> </w:t>
            </w:r>
            <w:r w:rsidR="006B519D">
              <w:t>(</w:t>
            </w:r>
            <w:r w:rsidR="006A0534">
              <w:t>where</w:t>
            </w:r>
            <w:r w:rsidR="0093423F">
              <w:t xml:space="preserve"> the RBA </w:t>
            </w:r>
            <w:r w:rsidR="006A0534">
              <w:t>has</w:t>
            </w:r>
            <w:r w:rsidR="0093423F">
              <w:t xml:space="preserve"> only a veto power, </w:t>
            </w:r>
            <w:r w:rsidR="00D442A8">
              <w:t>compared with</w:t>
            </w:r>
            <w:r w:rsidR="0093423F">
              <w:t xml:space="preserve"> being required to formally approve a standard</w:t>
            </w:r>
            <w:r w:rsidR="006B519D">
              <w:t>)</w:t>
            </w:r>
            <w:r w:rsidR="0093423F">
              <w:t xml:space="preserve">? </w:t>
            </w:r>
            <w:r w:rsidR="003E2169">
              <w:t xml:space="preserve">Which </w:t>
            </w:r>
            <w:r w:rsidR="00ED368E">
              <w:t>approach is preferred and why</w:t>
            </w:r>
            <w:r w:rsidR="003E2169">
              <w:t>?</w:t>
            </w:r>
          </w:p>
          <w:p w14:paraId="26181D2E" w14:textId="38F01E33" w:rsidR="00DE6B32" w:rsidRPr="00742AAE" w:rsidRDefault="00C74B26" w:rsidP="001D123F">
            <w:pPr>
              <w:pStyle w:val="Consultationquestions"/>
              <w:numPr>
                <w:ilvl w:val="0"/>
                <w:numId w:val="100"/>
              </w:numPr>
            </w:pPr>
            <w:r>
              <w:t>It is proposed that the ASSB is</w:t>
            </w:r>
            <w:r w:rsidR="006C17CB">
              <w:t xml:space="preserve"> responsible for </w:t>
            </w:r>
            <w:r w:rsidR="00487CBD">
              <w:t>enforcement of minor breaches</w:t>
            </w:r>
            <w:r>
              <w:t xml:space="preserve">. </w:t>
            </w:r>
            <w:r w:rsidR="009D23BB">
              <w:t>W</w:t>
            </w:r>
            <w:r w:rsidR="00487CBD">
              <w:t xml:space="preserve">hich body is best placed to resolve </w:t>
            </w:r>
            <w:r w:rsidR="00885FFB">
              <w:t>appeals to</w:t>
            </w:r>
            <w:r w:rsidR="0036031E">
              <w:t xml:space="preserve"> the ASSB’s </w:t>
            </w:r>
            <w:r w:rsidR="009D23BB">
              <w:t xml:space="preserve">enforcement </w:t>
            </w:r>
            <w:r w:rsidR="0036031E">
              <w:t>dec</w:t>
            </w:r>
            <w:r w:rsidR="00F35C81">
              <w:t>isions?</w:t>
            </w:r>
          </w:p>
          <w:p w14:paraId="42FF4284" w14:textId="36CB87AA" w:rsidR="0093423F" w:rsidRPr="00D36B13" w:rsidRDefault="0093423F" w:rsidP="001D123F">
            <w:pPr>
              <w:pStyle w:val="Consultationquestions"/>
              <w:numPr>
                <w:ilvl w:val="0"/>
                <w:numId w:val="100"/>
              </w:numPr>
            </w:pPr>
            <w:r>
              <w:t xml:space="preserve">Do you agree with the proposed scope for </w:t>
            </w:r>
            <w:r w:rsidR="00A86E37">
              <w:t xml:space="preserve">mandatory technical </w:t>
            </w:r>
            <w:r>
              <w:t xml:space="preserve">standards </w:t>
            </w:r>
            <w:r w:rsidR="007F75E7">
              <w:t xml:space="preserve">developed </w:t>
            </w:r>
            <w:r>
              <w:t xml:space="preserve">by an ASSB? Are there any type of </w:t>
            </w:r>
            <w:r w:rsidR="001A526F">
              <w:t xml:space="preserve">technical </w:t>
            </w:r>
            <w:r>
              <w:t>standards that should not be within the scope of the ASSB?</w:t>
            </w:r>
          </w:p>
          <w:p w14:paraId="034E6184" w14:textId="6C8F8873" w:rsidR="0023687E" w:rsidRPr="00730943" w:rsidRDefault="0023687E" w:rsidP="001D123F">
            <w:pPr>
              <w:pStyle w:val="Consultationquestions"/>
              <w:numPr>
                <w:ilvl w:val="0"/>
                <w:numId w:val="100"/>
              </w:numPr>
            </w:pPr>
            <w:r w:rsidRPr="007E5AF5">
              <w:t>This paper proposes that the ASSB seek authorisation from the ACCC for a technical standard where necessary. Are there any issues with this approach, and if so, how might these be resolved?</w:t>
            </w:r>
          </w:p>
          <w:p w14:paraId="53AAB3F0" w14:textId="7BEB3662" w:rsidR="007C1697" w:rsidRPr="00F6096E" w:rsidRDefault="001925B9" w:rsidP="001D123F">
            <w:pPr>
              <w:pStyle w:val="Consultationquestions"/>
              <w:numPr>
                <w:ilvl w:val="0"/>
                <w:numId w:val="100"/>
              </w:numPr>
            </w:pPr>
            <w:r>
              <w:t xml:space="preserve">What should be considered ‘major breaches’ </w:t>
            </w:r>
            <w:r w:rsidR="00965329">
              <w:t>versus ‘minor breaches’ under the mandatory technical standards regime?</w:t>
            </w:r>
            <w:r w:rsidR="007C1697">
              <w:t xml:space="preserve"> </w:t>
            </w:r>
          </w:p>
          <w:p w14:paraId="745BD138" w14:textId="308D904E" w:rsidR="009D23BB" w:rsidRPr="00437D22" w:rsidRDefault="009D23BB" w:rsidP="001D123F">
            <w:pPr>
              <w:pStyle w:val="Consultationquestions"/>
              <w:numPr>
                <w:ilvl w:val="0"/>
                <w:numId w:val="100"/>
              </w:numPr>
            </w:pPr>
            <w:r>
              <w:t>What are the appropriate penalties for a major breach of technical standards?</w:t>
            </w:r>
          </w:p>
          <w:p w14:paraId="3D947419" w14:textId="310EF5F0" w:rsidR="0093423F" w:rsidRPr="0093423F" w:rsidRDefault="007C1697" w:rsidP="001D123F">
            <w:pPr>
              <w:pStyle w:val="Consultationquestions"/>
              <w:numPr>
                <w:ilvl w:val="0"/>
                <w:numId w:val="100"/>
              </w:numPr>
            </w:pPr>
            <w:r>
              <w:t xml:space="preserve">How should the mandatory technical </w:t>
            </w:r>
            <w:r w:rsidRPr="001D123F">
              <w:t>standard</w:t>
            </w:r>
            <w:r>
              <w:t xml:space="preserve">-setting framework be funded? </w:t>
            </w:r>
          </w:p>
        </w:tc>
      </w:tr>
    </w:tbl>
    <w:p w14:paraId="2B3486AB" w14:textId="77777777" w:rsidR="00024471" w:rsidRDefault="00024471" w:rsidP="00E42AA2"/>
    <w:p w14:paraId="7BE8B1B9" w14:textId="7AB0C5ED" w:rsidR="00652BE0" w:rsidRDefault="00652BE0" w:rsidP="00E42AA2">
      <w:pPr>
        <w:pStyle w:val="Bullet"/>
      </w:pPr>
      <w:r>
        <w:br w:type="page"/>
      </w:r>
    </w:p>
    <w:p w14:paraId="7CCCA00C" w14:textId="3A1B395F" w:rsidR="00131A70" w:rsidRDefault="00131A70" w:rsidP="00EE5400">
      <w:pPr>
        <w:pStyle w:val="Heading1"/>
        <w:jc w:val="both"/>
      </w:pPr>
      <w:bookmarkStart w:id="215" w:name="_Ref148619565"/>
      <w:bookmarkStart w:id="216" w:name="_Toc149230992"/>
      <w:bookmarkStart w:id="217" w:name="_Toc152847661"/>
      <w:r>
        <w:lastRenderedPageBreak/>
        <w:t xml:space="preserve">ePayments </w:t>
      </w:r>
      <w:bookmarkEnd w:id="215"/>
      <w:bookmarkEnd w:id="216"/>
      <w:r w:rsidR="008C612B">
        <w:t>Code</w:t>
      </w:r>
      <w:bookmarkEnd w:id="217"/>
    </w:p>
    <w:p w14:paraId="340CE35B" w14:textId="077F8A33" w:rsidR="00FC5103" w:rsidRDefault="00FC5103" w:rsidP="00CB70F0">
      <w:r>
        <w:t xml:space="preserve">A legislatively mandated ePayments </w:t>
      </w:r>
      <w:r w:rsidR="008C612B">
        <w:t xml:space="preserve">Code </w:t>
      </w:r>
      <w:r>
        <w:t xml:space="preserve">would ensure that Australian consumers are better protected, reflecting the importance and necessity of baseline consumer protections that are available, where appropriate, across the payments ecosystem. </w:t>
      </w:r>
    </w:p>
    <w:p w14:paraId="78F638F0" w14:textId="729795DB" w:rsidR="00AF3356" w:rsidRDefault="00D25C16" w:rsidP="00CB70F0">
      <w:r>
        <w:t>The ePayments</w:t>
      </w:r>
      <w:r w:rsidR="000C6F76">
        <w:t xml:space="preserve"> </w:t>
      </w:r>
      <w:r w:rsidR="008C612B">
        <w:t xml:space="preserve">Code </w:t>
      </w:r>
      <w:r w:rsidR="000B216A">
        <w:t xml:space="preserve">provides important consumer protections </w:t>
      </w:r>
      <w:r w:rsidR="00B56D48">
        <w:t xml:space="preserve">but </w:t>
      </w:r>
      <w:r w:rsidR="00F867EF">
        <w:t xml:space="preserve">subscription </w:t>
      </w:r>
      <w:r>
        <w:t>is currently voluntary</w:t>
      </w:r>
      <w:r w:rsidR="0015414D">
        <w:t>. The majority of</w:t>
      </w:r>
      <w:r>
        <w:t xml:space="preserve"> ADIs </w:t>
      </w:r>
      <w:r w:rsidR="0015414D">
        <w:t>and</w:t>
      </w:r>
      <w:r>
        <w:t xml:space="preserve"> a small number of other </w:t>
      </w:r>
      <w:r w:rsidR="00F32A72">
        <w:t xml:space="preserve">businesses </w:t>
      </w:r>
      <w:r>
        <w:t>currently subscribe</w:t>
      </w:r>
      <w:r w:rsidR="008F757A">
        <w:t xml:space="preserve"> to the </w:t>
      </w:r>
      <w:r w:rsidR="00BE3CFD">
        <w:t>c</w:t>
      </w:r>
      <w:r w:rsidR="008F757A">
        <w:t>ode</w:t>
      </w:r>
      <w:r>
        <w:t xml:space="preserve">. </w:t>
      </w:r>
      <w:r w:rsidR="00AA25CD">
        <w:t xml:space="preserve">Submissions received were unanimous in noting that the ePayments </w:t>
      </w:r>
      <w:r w:rsidR="008C612B">
        <w:t xml:space="preserve">Code </w:t>
      </w:r>
      <w:r w:rsidR="002472A2">
        <w:t>should be subject to a comprehensive and detail</w:t>
      </w:r>
      <w:r w:rsidR="004C314C">
        <w:t>ed</w:t>
      </w:r>
      <w:r w:rsidR="002472A2">
        <w:t xml:space="preserve"> review before </w:t>
      </w:r>
      <w:r w:rsidR="00791460">
        <w:t>any of its contents can be mandated</w:t>
      </w:r>
      <w:r w:rsidR="008964AD">
        <w:t xml:space="preserve">. The Government agrees with </w:t>
      </w:r>
      <w:r w:rsidR="00F05146">
        <w:t>this approach</w:t>
      </w:r>
      <w:r w:rsidR="00AF3356">
        <w:t xml:space="preserve">, and </w:t>
      </w:r>
      <w:r w:rsidR="002E1509">
        <w:t>will undertake a</w:t>
      </w:r>
      <w:r w:rsidR="00FA07DE">
        <w:t xml:space="preserve"> </w:t>
      </w:r>
      <w:r w:rsidR="00CD5657">
        <w:t>holistic</w:t>
      </w:r>
      <w:r w:rsidR="005F53F2">
        <w:t xml:space="preserve"> review</w:t>
      </w:r>
      <w:r w:rsidR="002E1509">
        <w:t xml:space="preserve"> of the ePayments </w:t>
      </w:r>
      <w:r w:rsidR="008C612B">
        <w:t xml:space="preserve">Code </w:t>
      </w:r>
      <w:r w:rsidR="003B5ED0">
        <w:t>after the</w:t>
      </w:r>
      <w:r w:rsidR="0023520C">
        <w:t xml:space="preserve"> passage of</w:t>
      </w:r>
      <w:r w:rsidR="00697F80">
        <w:t xml:space="preserve"> the licensing reforms</w:t>
      </w:r>
      <w:r w:rsidR="004C6B30">
        <w:t>.</w:t>
      </w:r>
      <w:r w:rsidR="002E1509">
        <w:t xml:space="preserve"> </w:t>
      </w:r>
    </w:p>
    <w:p w14:paraId="1B173AFB" w14:textId="42F682CB" w:rsidR="0023520C" w:rsidRDefault="00B27370" w:rsidP="00CB70F0">
      <w:r>
        <w:t>Reforms</w:t>
      </w:r>
      <w:r w:rsidR="00F07FFE">
        <w:t xml:space="preserve"> </w:t>
      </w:r>
      <w:r w:rsidR="00697F80">
        <w:t xml:space="preserve">to </w:t>
      </w:r>
      <w:r w:rsidR="00AE6FDF">
        <w:t>the</w:t>
      </w:r>
      <w:r w:rsidR="00F16A7E">
        <w:t xml:space="preserve"> ePayments</w:t>
      </w:r>
      <w:r w:rsidR="000C6F76" w:rsidDel="006C66E8">
        <w:t xml:space="preserve"> </w:t>
      </w:r>
      <w:r w:rsidR="006C66E8">
        <w:t>Code</w:t>
      </w:r>
      <w:r w:rsidR="000C6F76">
        <w:t xml:space="preserve"> </w:t>
      </w:r>
      <w:r w:rsidR="003A02D4">
        <w:t>would be made</w:t>
      </w:r>
      <w:r w:rsidR="00F16A7E">
        <w:t xml:space="preserve"> through</w:t>
      </w:r>
      <w:r w:rsidR="00F07FFE">
        <w:t xml:space="preserve"> </w:t>
      </w:r>
      <w:r w:rsidR="00F16A7E">
        <w:t>the creation of a rule-making power</w:t>
      </w:r>
      <w:r w:rsidR="007E5C56">
        <w:t>,</w:t>
      </w:r>
      <w:r w:rsidR="00F16A7E">
        <w:t xml:space="preserve"> </w:t>
      </w:r>
      <w:r w:rsidR="00873929">
        <w:t xml:space="preserve">which </w:t>
      </w:r>
      <w:r w:rsidR="007E5C56">
        <w:t xml:space="preserve">would </w:t>
      </w:r>
      <w:r w:rsidR="00873929">
        <w:t>allow</w:t>
      </w:r>
      <w:r w:rsidR="00F16A7E">
        <w:t xml:space="preserve"> the Minister to </w:t>
      </w:r>
      <w:r w:rsidR="00682822">
        <w:t>set a mandatory</w:t>
      </w:r>
      <w:r w:rsidR="00302699">
        <w:t xml:space="preserve"> revised</w:t>
      </w:r>
      <w:r w:rsidR="00F16A7E">
        <w:t xml:space="preserve"> code</w:t>
      </w:r>
      <w:r w:rsidR="00302699">
        <w:t>. Obligations may</w:t>
      </w:r>
      <w:r w:rsidR="00C93F8A">
        <w:t xml:space="preserve"> appl</w:t>
      </w:r>
      <w:r w:rsidR="00302699">
        <w:t>y</w:t>
      </w:r>
      <w:r w:rsidR="00C93F8A">
        <w:t xml:space="preserve"> across the payments sector or </w:t>
      </w:r>
      <w:r w:rsidR="00E96429">
        <w:t xml:space="preserve">a cross-section of PSPs </w:t>
      </w:r>
      <w:r w:rsidR="00252D72">
        <w:t>as appropriate</w:t>
      </w:r>
      <w:r w:rsidR="00C93F8A">
        <w:t>.</w:t>
      </w:r>
      <w:r w:rsidR="00A936A1" w:rsidRPr="00A936A1">
        <w:t xml:space="preserve"> </w:t>
      </w:r>
      <w:r w:rsidR="00A936A1">
        <w:t xml:space="preserve">The </w:t>
      </w:r>
      <w:r w:rsidR="003370AC">
        <w:t>m</w:t>
      </w:r>
      <w:r w:rsidR="00A936A1">
        <w:t xml:space="preserve">inisterial rule-making power is proposed to be introduced alongside the broader licensing reforms. Further consultations on proposed revisions to the </w:t>
      </w:r>
      <w:r>
        <w:t xml:space="preserve">ePayments </w:t>
      </w:r>
      <w:r w:rsidR="006C66E8">
        <w:t xml:space="preserve">Code </w:t>
      </w:r>
      <w:r w:rsidR="00A936A1">
        <w:t xml:space="preserve">obligations will follow </w:t>
      </w:r>
      <w:r w:rsidR="00B03AB9">
        <w:t xml:space="preserve">passage of the payments licensing </w:t>
      </w:r>
      <w:r w:rsidR="00C21F6C">
        <w:t>reform</w:t>
      </w:r>
      <w:r w:rsidR="00727C00">
        <w:t xml:space="preserve"> </w:t>
      </w:r>
      <w:r w:rsidR="00DA7047">
        <w:t>legislation</w:t>
      </w:r>
      <w:r w:rsidR="00A936A1">
        <w:t xml:space="preserve">. In the meantime, the status quo should remain for the ePayments </w:t>
      </w:r>
      <w:r w:rsidR="006C66E8">
        <w:t xml:space="preserve">Code </w:t>
      </w:r>
      <w:r w:rsidR="00A936A1">
        <w:t>(i</w:t>
      </w:r>
      <w:r w:rsidR="00FA25EA">
        <w:t>.</w:t>
      </w:r>
      <w:r w:rsidR="00A936A1">
        <w:t>e</w:t>
      </w:r>
      <w:r w:rsidR="00FA25EA">
        <w:t>.</w:t>
      </w:r>
      <w:r w:rsidR="00A936A1">
        <w:t xml:space="preserve"> </w:t>
      </w:r>
      <w:r w:rsidR="00674EAA">
        <w:t xml:space="preserve">its </w:t>
      </w:r>
      <w:r w:rsidR="00A936A1">
        <w:t xml:space="preserve">voluntary status, </w:t>
      </w:r>
      <w:r w:rsidR="00F816F3">
        <w:t xml:space="preserve">and </w:t>
      </w:r>
      <w:r w:rsidR="00A936A1">
        <w:t>adherence by subscribers).</w:t>
      </w:r>
    </w:p>
    <w:p w14:paraId="37D1F809" w14:textId="6F97A5B7" w:rsidR="00191008" w:rsidRPr="00CB70F0" w:rsidRDefault="00191008" w:rsidP="002C1008">
      <w:pPr>
        <w:pStyle w:val="Heading2"/>
        <w:jc w:val="left"/>
      </w:pPr>
      <w:bookmarkStart w:id="218" w:name="_Toc152847662"/>
      <w:bookmarkStart w:id="219" w:name="_Toc149230993"/>
      <w:r>
        <w:t>Ministerial rule</w:t>
      </w:r>
      <w:r w:rsidR="005258A9">
        <w:t>-</w:t>
      </w:r>
      <w:r>
        <w:t>making power</w:t>
      </w:r>
      <w:bookmarkEnd w:id="218"/>
      <w:r>
        <w:t xml:space="preserve"> </w:t>
      </w:r>
      <w:bookmarkEnd w:id="219"/>
    </w:p>
    <w:p w14:paraId="433B8DFF" w14:textId="24493569" w:rsidR="00191008" w:rsidRDefault="00CA447E" w:rsidP="00CB70F0">
      <w:r>
        <w:t>The ministerial rule-making power would allow the Treasurer to set mandatory, baseline consumer protections</w:t>
      </w:r>
      <w:r w:rsidR="004959ED">
        <w:t xml:space="preserve">, </w:t>
      </w:r>
      <w:r w:rsidR="00191008">
        <w:t>in relation to</w:t>
      </w:r>
      <w:r w:rsidR="000435E4">
        <w:t xml:space="preserve"> the following subject matters</w:t>
      </w:r>
      <w:r w:rsidR="00191008">
        <w:t>:</w:t>
      </w:r>
    </w:p>
    <w:p w14:paraId="5EC3467A" w14:textId="0CD847A3" w:rsidR="00191008" w:rsidRDefault="00193BD5" w:rsidP="0020029E">
      <w:pPr>
        <w:pStyle w:val="Bullet"/>
        <w:numPr>
          <w:ilvl w:val="0"/>
          <w:numId w:val="47"/>
        </w:numPr>
      </w:pPr>
      <w:r>
        <w:t>d</w:t>
      </w:r>
      <w:r w:rsidR="00191008">
        <w:t xml:space="preserve">isclosure </w:t>
      </w:r>
      <w:r w:rsidR="00A15084">
        <w:t>requirements</w:t>
      </w:r>
      <w:r w:rsidR="002406A4">
        <w:t>;</w:t>
      </w:r>
    </w:p>
    <w:p w14:paraId="6EC14C37" w14:textId="4630D20E" w:rsidR="00062745" w:rsidRDefault="00193BD5" w:rsidP="0020029E">
      <w:pPr>
        <w:pStyle w:val="Bullet"/>
        <w:numPr>
          <w:ilvl w:val="0"/>
          <w:numId w:val="47"/>
        </w:numPr>
      </w:pPr>
      <w:r>
        <w:t>l</w:t>
      </w:r>
      <w:r w:rsidR="00062745">
        <w:t>isting and switching rules</w:t>
      </w:r>
      <w:r w:rsidR="00B35341">
        <w:t>;</w:t>
      </w:r>
    </w:p>
    <w:p w14:paraId="636DC409" w14:textId="615C2F63" w:rsidR="00191008" w:rsidRDefault="00193BD5" w:rsidP="00E42AA2">
      <w:pPr>
        <w:pStyle w:val="Dash"/>
        <w:numPr>
          <w:ilvl w:val="0"/>
          <w:numId w:val="47"/>
        </w:numPr>
      </w:pPr>
      <w:r>
        <w:t>o</w:t>
      </w:r>
      <w:r w:rsidR="00203F83">
        <w:t xml:space="preserve">bligations </w:t>
      </w:r>
      <w:r w:rsidR="00A97A7A">
        <w:t xml:space="preserve">(including </w:t>
      </w:r>
      <w:r w:rsidR="00BC0D71">
        <w:t>apportionment of liability)</w:t>
      </w:r>
      <w:r w:rsidR="00203F83">
        <w:t xml:space="preserve"> with respect to u</w:t>
      </w:r>
      <w:r w:rsidR="00191008">
        <w:t>nauthorised transactions</w:t>
      </w:r>
      <w:r w:rsidR="004B021E">
        <w:t>,</w:t>
      </w:r>
      <w:r w:rsidR="00F7400C">
        <w:t xml:space="preserve"> </w:t>
      </w:r>
      <w:r w:rsidR="000B2948">
        <w:t xml:space="preserve">meaning transactions not authorised by the </w:t>
      </w:r>
      <w:r w:rsidR="008839CB">
        <w:t>customer</w:t>
      </w:r>
      <w:r w:rsidR="000B2948">
        <w:t>;</w:t>
      </w:r>
      <w:r w:rsidR="00F7400C">
        <w:t xml:space="preserve"> </w:t>
      </w:r>
    </w:p>
    <w:p w14:paraId="5302BE5F" w14:textId="6BA6A80A" w:rsidR="00312321" w:rsidRDefault="00193BD5" w:rsidP="00E42AA2">
      <w:pPr>
        <w:pStyle w:val="Dash"/>
        <w:numPr>
          <w:ilvl w:val="0"/>
          <w:numId w:val="47"/>
        </w:numPr>
      </w:pPr>
      <w:r>
        <w:t>o</w:t>
      </w:r>
      <w:r w:rsidR="00203F83">
        <w:t>bligations with respect to m</w:t>
      </w:r>
      <w:r w:rsidR="00191008">
        <w:t>istaken payments</w:t>
      </w:r>
      <w:r w:rsidR="00795CD4">
        <w:t xml:space="preserve">, </w:t>
      </w:r>
      <w:r w:rsidR="005F727F">
        <w:t xml:space="preserve">meaning funds </w:t>
      </w:r>
      <w:r w:rsidR="002754AB">
        <w:t xml:space="preserve">paid to an unintended recipient due to </w:t>
      </w:r>
      <w:r w:rsidR="00F87DB8">
        <w:t>inputting of incorrect payee details</w:t>
      </w:r>
      <w:r w:rsidR="00401308">
        <w:t xml:space="preserve"> by the customer or </w:t>
      </w:r>
      <w:r w:rsidR="00716D83">
        <w:t xml:space="preserve">a </w:t>
      </w:r>
      <w:r w:rsidR="00401308">
        <w:t>third party initiator</w:t>
      </w:r>
      <w:r w:rsidR="00312321">
        <w:t>;</w:t>
      </w:r>
      <w:r w:rsidR="000F592B">
        <w:t xml:space="preserve"> and</w:t>
      </w:r>
    </w:p>
    <w:p w14:paraId="050672E0" w14:textId="7B149E82" w:rsidR="00191008" w:rsidRDefault="00193BD5" w:rsidP="00E42AA2">
      <w:pPr>
        <w:pStyle w:val="Dash"/>
        <w:numPr>
          <w:ilvl w:val="0"/>
          <w:numId w:val="47"/>
        </w:numPr>
      </w:pPr>
      <w:r>
        <w:t>r</w:t>
      </w:r>
      <w:r w:rsidR="00312321">
        <w:t xml:space="preserve">emedies available </w:t>
      </w:r>
      <w:r w:rsidR="00DF2910">
        <w:t xml:space="preserve">in the event </w:t>
      </w:r>
      <w:r w:rsidR="00462890">
        <w:t>an</w:t>
      </w:r>
      <w:r w:rsidR="009C370C">
        <w:t xml:space="preserve"> </w:t>
      </w:r>
      <w:r w:rsidR="001C7501">
        <w:t>obligation is breached</w:t>
      </w:r>
      <w:r w:rsidR="00BE2092">
        <w:t>.</w:t>
      </w:r>
    </w:p>
    <w:p w14:paraId="5505262C" w14:textId="05A2EE57" w:rsidR="00F50F62" w:rsidRDefault="00F50F62" w:rsidP="00CB70F0">
      <w:r w:rsidRPr="00F50F62">
        <w:t>It is proposed that the rule-making power be applied to</w:t>
      </w:r>
      <w:r w:rsidR="00F62F7C">
        <w:t xml:space="preserve">: (i) </w:t>
      </w:r>
      <w:r w:rsidRPr="00F50F62">
        <w:t>ADIs</w:t>
      </w:r>
      <w:r w:rsidR="00F62F7C">
        <w:t xml:space="preserve">; (ii) </w:t>
      </w:r>
      <w:r w:rsidRPr="00F50F62">
        <w:t>PSPs defined through the payment functions in this CP, regardless of whether they hold an AFSL or not</w:t>
      </w:r>
      <w:r w:rsidR="00F62F7C">
        <w:t>;</w:t>
      </w:r>
      <w:r w:rsidRPr="00F50F62">
        <w:t xml:space="preserve"> and</w:t>
      </w:r>
      <w:r w:rsidR="00F62F7C">
        <w:t xml:space="preserve"> (iii)</w:t>
      </w:r>
      <w:r w:rsidRPr="00F50F62">
        <w:t xml:space="preserve"> credit providers</w:t>
      </w:r>
      <w:r w:rsidR="00F910C4">
        <w:t xml:space="preserve"> </w:t>
      </w:r>
      <w:r w:rsidR="006222E5">
        <w:t>that perform a</w:t>
      </w:r>
      <w:r w:rsidR="00F910C4">
        <w:t xml:space="preserve"> payment </w:t>
      </w:r>
      <w:r w:rsidR="006222E5">
        <w:t>function</w:t>
      </w:r>
      <w:r w:rsidRPr="00F50F62">
        <w:t xml:space="preserve">. However, this approach does not mean that all entities will have obligations under the code. The holistic review of the ePayments </w:t>
      </w:r>
      <w:r w:rsidR="00977C5D">
        <w:t>C</w:t>
      </w:r>
      <w:r w:rsidR="00977C5D" w:rsidRPr="00F50F62">
        <w:t xml:space="preserve">ode </w:t>
      </w:r>
      <w:r w:rsidRPr="00F50F62">
        <w:t>will consider in detail the nature of obligations that should be applied.</w:t>
      </w:r>
    </w:p>
    <w:p w14:paraId="6371BA8A" w14:textId="2032B98D" w:rsidR="00191008" w:rsidRPr="00231FFC" w:rsidRDefault="00C55987" w:rsidP="00CB70F0">
      <w:r>
        <w:t xml:space="preserve">Feedback is requested on whether </w:t>
      </w:r>
      <w:r w:rsidR="00F001C5">
        <w:t>the</w:t>
      </w:r>
      <w:r w:rsidR="000B37E5">
        <w:t xml:space="preserve"> proposed subject matters are appropriate, and whether additional</w:t>
      </w:r>
      <w:r w:rsidR="00F001C5">
        <w:t xml:space="preserve"> </w:t>
      </w:r>
      <w:r w:rsidR="000B37E5">
        <w:t>topics</w:t>
      </w:r>
      <w:r w:rsidR="00F001C5">
        <w:t xml:space="preserve"> should </w:t>
      </w:r>
      <w:r w:rsidR="000B37E5">
        <w:t>fall</w:t>
      </w:r>
      <w:r w:rsidR="00F001C5">
        <w:t xml:space="preserve"> within </w:t>
      </w:r>
      <w:r w:rsidR="00FD0314">
        <w:t>the scope of the rule</w:t>
      </w:r>
      <w:r w:rsidR="00A071AD">
        <w:t>-</w:t>
      </w:r>
      <w:r w:rsidR="00FD0314">
        <w:t>making power</w:t>
      </w:r>
      <w:r>
        <w:t>.</w:t>
      </w:r>
    </w:p>
    <w:p w14:paraId="68B03783" w14:textId="0F7C0E66" w:rsidR="00A7032E" w:rsidRPr="00231FFC" w:rsidRDefault="00FB1700" w:rsidP="00CB70F0">
      <w:r w:rsidRPr="00BF5C80">
        <w:t xml:space="preserve">In addition, feedback is welcome on whether </w:t>
      </w:r>
      <w:r w:rsidR="008302BD" w:rsidRPr="00BF5C80">
        <w:t xml:space="preserve">an ASIC rule-making power would be appropriate for </w:t>
      </w:r>
      <w:r w:rsidRPr="00BF5C80">
        <w:t xml:space="preserve">technical matters </w:t>
      </w:r>
      <w:r w:rsidR="00165325" w:rsidRPr="00BF5C80">
        <w:t>under</w:t>
      </w:r>
      <w:r w:rsidRPr="00BF5C80">
        <w:t xml:space="preserve"> the ePayments </w:t>
      </w:r>
      <w:r w:rsidR="00977C5D">
        <w:t>C</w:t>
      </w:r>
      <w:r w:rsidR="00977C5D" w:rsidRPr="00BF5C80">
        <w:t>ode</w:t>
      </w:r>
      <w:r w:rsidR="00070237" w:rsidRPr="00BF5C80">
        <w:t>. Subject matters could include</w:t>
      </w:r>
      <w:r w:rsidR="001338A5" w:rsidRPr="00BF5C80">
        <w:t xml:space="preserve"> p</w:t>
      </w:r>
      <w:r w:rsidR="00EF6A12" w:rsidRPr="00BF5C80">
        <w:t xml:space="preserve">assword security guidelines for </w:t>
      </w:r>
      <w:r w:rsidR="006A64EF">
        <w:t>customers</w:t>
      </w:r>
      <w:r w:rsidR="00EF6A12" w:rsidRPr="00BF5C80">
        <w:t xml:space="preserve">. </w:t>
      </w:r>
      <w:r w:rsidR="00A7032E" w:rsidRPr="00BF5C80">
        <w:t xml:space="preserve">An ASIC rule-making power </w:t>
      </w:r>
      <w:r w:rsidR="007F6E63" w:rsidRPr="00BF5C80">
        <w:t>for</w:t>
      </w:r>
      <w:r w:rsidR="00A7032E" w:rsidRPr="00BF5C80">
        <w:t xml:space="preserve"> technical matters </w:t>
      </w:r>
      <w:r w:rsidR="006A64EF">
        <w:t>may</w:t>
      </w:r>
      <w:r w:rsidR="006A64EF" w:rsidRPr="00BF5C80">
        <w:t xml:space="preserve"> </w:t>
      </w:r>
      <w:r w:rsidR="00A7032E" w:rsidRPr="00BF5C80">
        <w:t>allow for more agility in</w:t>
      </w:r>
      <w:r w:rsidR="001B0F8E" w:rsidRPr="00BF5C80">
        <w:t xml:space="preserve"> responding to technolog</w:t>
      </w:r>
      <w:r w:rsidR="00E70B88" w:rsidRPr="00BF5C80">
        <w:t>y</w:t>
      </w:r>
      <w:r w:rsidR="001B0F8E" w:rsidRPr="00BF5C80">
        <w:t xml:space="preserve"> changes. For example, use of biometrics in passwords.</w:t>
      </w:r>
      <w:r w:rsidR="00095062">
        <w:t xml:space="preserve"> </w:t>
      </w:r>
    </w:p>
    <w:p w14:paraId="1D0E1EB2" w14:textId="67D6971F" w:rsidR="00191008" w:rsidRPr="00443F63" w:rsidRDefault="00A7474E" w:rsidP="001606BA">
      <w:pPr>
        <w:pStyle w:val="Heading2"/>
      </w:pPr>
      <w:bookmarkStart w:id="220" w:name="_Toc149230994"/>
      <w:bookmarkStart w:id="221" w:name="_Toc152847663"/>
      <w:r>
        <w:lastRenderedPageBreak/>
        <w:t>F</w:t>
      </w:r>
      <w:r w:rsidR="00F7513A">
        <w:t xml:space="preserve">uture review of the ePayments </w:t>
      </w:r>
      <w:bookmarkEnd w:id="220"/>
      <w:r w:rsidR="00977C5D">
        <w:t>Code</w:t>
      </w:r>
      <w:bookmarkEnd w:id="221"/>
    </w:p>
    <w:p w14:paraId="0446106F" w14:textId="4ECFDE0B" w:rsidR="00521753" w:rsidRDefault="0085781E" w:rsidP="00CB70F0">
      <w:r>
        <w:t xml:space="preserve">The emergence of new technologies and business models, and the fragmentation of the payments value chain presents challenges for the </w:t>
      </w:r>
      <w:r w:rsidR="001D15F2">
        <w:t xml:space="preserve">code </w:t>
      </w:r>
      <w:r>
        <w:t xml:space="preserve">in its current form. Due to the emergence of PSPs that are not subscribers, many consumers may not receive protections afforded under the code in its current form. </w:t>
      </w:r>
    </w:p>
    <w:p w14:paraId="32A22EBD" w14:textId="43612C6A" w:rsidR="0085781E" w:rsidRDefault="00AD3D8B" w:rsidP="00CB70F0">
      <w:r>
        <w:t>For</w:t>
      </w:r>
      <w:r w:rsidR="0085781E">
        <w:t xml:space="preserve"> current subscribers and potential </w:t>
      </w:r>
      <w:r w:rsidR="000E399D">
        <w:t xml:space="preserve">entities </w:t>
      </w:r>
      <w:r w:rsidR="0085781E">
        <w:t xml:space="preserve">for which the ePayments </w:t>
      </w:r>
      <w:r w:rsidR="00977C5D">
        <w:t xml:space="preserve">Code </w:t>
      </w:r>
      <w:r w:rsidR="0085781E">
        <w:t xml:space="preserve">could be made mandatory, existing obligations under the code may no longer be appropriate for or reflect the nature of many </w:t>
      </w:r>
      <w:r w:rsidR="000D56F2">
        <w:t>PSPs</w:t>
      </w:r>
      <w:r w:rsidR="0085781E">
        <w:t xml:space="preserve"> and how they interrelate within the payments ecosystem. </w:t>
      </w:r>
    </w:p>
    <w:p w14:paraId="1A01F38B" w14:textId="46FC4CE7" w:rsidR="00946D54" w:rsidRDefault="00F9275F" w:rsidP="00CB70F0">
      <w:r>
        <w:t>C</w:t>
      </w:r>
      <w:r w:rsidR="00946D54" w:rsidRPr="00965B39">
        <w:t>urrent ePayments</w:t>
      </w:r>
      <w:r w:rsidR="00946D54">
        <w:t xml:space="preserve"> </w:t>
      </w:r>
      <w:r w:rsidR="00977C5D">
        <w:t>Code</w:t>
      </w:r>
      <w:r w:rsidR="00977C5D" w:rsidRPr="00965B39">
        <w:t xml:space="preserve"> </w:t>
      </w:r>
      <w:r>
        <w:t>obligations mainly relate to</w:t>
      </w:r>
      <w:r w:rsidR="00946D54" w:rsidRPr="00965B39">
        <w:t xml:space="preserve"> protections for traditional card and account-based payments. </w:t>
      </w:r>
      <w:r w:rsidR="007823D5">
        <w:t>It</w:t>
      </w:r>
      <w:r w:rsidR="00946D54" w:rsidRPr="00965B39">
        <w:t xml:space="preserve"> may be more appropriate for a mandated ePayment</w:t>
      </w:r>
      <w:r w:rsidR="00362F4C">
        <w:t>s</w:t>
      </w:r>
      <w:r w:rsidR="00946D54" w:rsidRPr="00965B39">
        <w:t xml:space="preserve"> </w:t>
      </w:r>
      <w:r w:rsidR="00977C5D">
        <w:t>C</w:t>
      </w:r>
      <w:r w:rsidR="00977C5D" w:rsidRPr="00965B39">
        <w:t xml:space="preserve">ode </w:t>
      </w:r>
      <w:r w:rsidR="00946D54" w:rsidRPr="00965B39">
        <w:t xml:space="preserve">to provide </w:t>
      </w:r>
      <w:r w:rsidR="009C6D17">
        <w:t xml:space="preserve">consumer </w:t>
      </w:r>
      <w:r w:rsidR="00946D54" w:rsidRPr="00965B39">
        <w:t xml:space="preserve">protections </w:t>
      </w:r>
      <w:r w:rsidR="00DD4113">
        <w:t xml:space="preserve">by </w:t>
      </w:r>
      <w:r w:rsidR="00B61D98">
        <w:t>considering</w:t>
      </w:r>
      <w:r w:rsidR="009770F0">
        <w:t xml:space="preserve"> all aspects of the payments chain</w:t>
      </w:r>
      <w:r w:rsidR="00946D54" w:rsidRPr="00965B39">
        <w:t xml:space="preserve">. </w:t>
      </w:r>
    </w:p>
    <w:p w14:paraId="41BC4EFB" w14:textId="581F1268" w:rsidR="00191008" w:rsidRDefault="00A222A3" w:rsidP="00CB70F0">
      <w:r>
        <w:t xml:space="preserve">The future review of the ePayments </w:t>
      </w:r>
      <w:r w:rsidR="00977C5D">
        <w:t xml:space="preserve">Code </w:t>
      </w:r>
      <w:r>
        <w:t>will need to consider:</w:t>
      </w:r>
    </w:p>
    <w:p w14:paraId="52B71C1B" w14:textId="4AE6A5A1" w:rsidR="00FD0314" w:rsidRDefault="00FD0314" w:rsidP="0020029E">
      <w:pPr>
        <w:pStyle w:val="Bullet"/>
      </w:pPr>
      <w:r>
        <w:t>'</w:t>
      </w:r>
      <w:r w:rsidR="00152E7D">
        <w:t>f</w:t>
      </w:r>
      <w:r>
        <w:t xml:space="preserve">uture-proofing’ obligations to </w:t>
      </w:r>
      <w:r w:rsidR="00922728">
        <w:t>account for future developments in technology</w:t>
      </w:r>
      <w:r w:rsidR="00B23506">
        <w:t xml:space="preserve"> and setting regulatory obligations in a tech-neutral manner</w:t>
      </w:r>
      <w:r w:rsidR="00922728">
        <w:t>;</w:t>
      </w:r>
    </w:p>
    <w:p w14:paraId="594601F4" w14:textId="3B120D7A" w:rsidR="000859FE" w:rsidRDefault="00152E7D" w:rsidP="0020029E">
      <w:pPr>
        <w:pStyle w:val="Bullet"/>
      </w:pPr>
      <w:r>
        <w:t>t</w:t>
      </w:r>
      <w:r w:rsidR="000859FE">
        <w:t xml:space="preserve">he extent of duplication between requirements in the </w:t>
      </w:r>
      <w:r w:rsidR="001C5376">
        <w:t xml:space="preserve">ePayments </w:t>
      </w:r>
      <w:r w:rsidR="00A529A0">
        <w:t xml:space="preserve">Code </w:t>
      </w:r>
      <w:r w:rsidR="000859FE">
        <w:t>and the existing laws;</w:t>
      </w:r>
    </w:p>
    <w:p w14:paraId="0D4028CA" w14:textId="4262591F" w:rsidR="000859FE" w:rsidRDefault="002D4130" w:rsidP="0020029E">
      <w:pPr>
        <w:pStyle w:val="Bullet"/>
      </w:pPr>
      <w:r>
        <w:t>d</w:t>
      </w:r>
      <w:r w:rsidR="000859FE" w:rsidRPr="000859FE">
        <w:t xml:space="preserve">etermining </w:t>
      </w:r>
      <w:r w:rsidR="005B1BC2">
        <w:t xml:space="preserve">to what extent certain obligations should be </w:t>
      </w:r>
      <w:r w:rsidR="00EE7B1E">
        <w:t>applied</w:t>
      </w:r>
      <w:r w:rsidR="005B1BC2">
        <w:t xml:space="preserve"> to</w:t>
      </w:r>
      <w:r w:rsidR="000859FE" w:rsidRPr="000859FE">
        <w:t xml:space="preserve"> non-bank PSP</w:t>
      </w:r>
      <w:r w:rsidR="00EE7B1E">
        <w:t>s</w:t>
      </w:r>
      <w:r>
        <w:t>, such as apportionment of liability for unauthorised transactions</w:t>
      </w:r>
      <w:r w:rsidR="00DC0114">
        <w:t>;</w:t>
      </w:r>
      <w:r w:rsidR="00BF70E5">
        <w:t xml:space="preserve"> and</w:t>
      </w:r>
    </w:p>
    <w:p w14:paraId="0BBD29F3" w14:textId="70A9A2AE" w:rsidR="00CB4078" w:rsidRPr="008C1799" w:rsidRDefault="007F7197" w:rsidP="00E42AA2">
      <w:pPr>
        <w:pStyle w:val="Bullet"/>
      </w:pPr>
      <w:r>
        <w:t xml:space="preserve">interactions </w:t>
      </w:r>
      <w:r w:rsidR="00DB6B82">
        <w:t>with</w:t>
      </w:r>
      <w:r w:rsidR="00297D4C">
        <w:t xml:space="preserve"> </w:t>
      </w:r>
      <w:r w:rsidR="00D97050">
        <w:t xml:space="preserve">any </w:t>
      </w:r>
      <w:r w:rsidR="00297D4C">
        <w:t>payment initiation through</w:t>
      </w:r>
      <w:r w:rsidR="00DB6B82">
        <w:t xml:space="preserve"> the CDR and any screen scraping regulation,</w:t>
      </w:r>
      <w:r w:rsidR="00DB6B82">
        <w:rPr>
          <w:rStyle w:val="FootnoteReference"/>
        </w:rPr>
        <w:footnoteReference w:id="132"/>
      </w:r>
      <w:r w:rsidR="00DB6B82">
        <w:t xml:space="preserve"> </w:t>
      </w:r>
      <w:r w:rsidRPr="00D5418E">
        <w:t xml:space="preserve">and </w:t>
      </w:r>
      <w:r w:rsidR="009923BC" w:rsidRPr="00D5418E">
        <w:t xml:space="preserve">the need to </w:t>
      </w:r>
      <w:r w:rsidRPr="00D5418E">
        <w:t xml:space="preserve">align with other </w:t>
      </w:r>
      <w:r w:rsidR="004D4068" w:rsidRPr="00D5418E">
        <w:t>relevant</w:t>
      </w:r>
      <w:r w:rsidR="00D2455C" w:rsidRPr="00D5418E">
        <w:t xml:space="preserve"> industry </w:t>
      </w:r>
      <w:r w:rsidR="00DA3B4B" w:rsidRPr="00D5418E">
        <w:t xml:space="preserve">codes and </w:t>
      </w:r>
      <w:r w:rsidR="00D2455C" w:rsidRPr="00D5418E">
        <w:t>standards</w:t>
      </w:r>
      <w:r w:rsidR="002B333C" w:rsidRPr="00D5418E">
        <w:t xml:space="preserve"> </w:t>
      </w:r>
      <w:r w:rsidR="000B3646">
        <w:t>such as</w:t>
      </w:r>
      <w:r w:rsidR="002B333C" w:rsidRPr="00D5418E">
        <w:t xml:space="preserve"> the </w:t>
      </w:r>
      <w:r w:rsidR="00D5418E" w:rsidRPr="00D5418E">
        <w:t xml:space="preserve">proposed </w:t>
      </w:r>
      <w:r w:rsidR="00A64CB9" w:rsidRPr="00D5418E">
        <w:t>S</w:t>
      </w:r>
      <w:r w:rsidR="002B333C" w:rsidRPr="00D5418E">
        <w:t xml:space="preserve">cams </w:t>
      </w:r>
      <w:r w:rsidR="00B76976" w:rsidRPr="00D5418E">
        <w:t>C</w:t>
      </w:r>
      <w:r w:rsidR="002B333C" w:rsidRPr="00D5418E">
        <w:t>ode</w:t>
      </w:r>
      <w:r w:rsidR="00A64CB9" w:rsidRPr="00D5418E">
        <w:t xml:space="preserve"> Framework</w:t>
      </w:r>
      <w:r w:rsidR="000B3646">
        <w:t>, including bank-specific scams code</w:t>
      </w:r>
      <w:r w:rsidR="00D01299">
        <w:t>s</w:t>
      </w:r>
      <w:r w:rsidR="00827593">
        <w:t>.</w:t>
      </w:r>
      <w:r w:rsidR="00827593">
        <w:rPr>
          <w:rStyle w:val="FootnoteReference"/>
        </w:rPr>
        <w:footnoteReference w:id="133"/>
      </w:r>
    </w:p>
    <w:tbl>
      <w:tblPr>
        <w:tblStyle w:val="TableGrid"/>
        <w:tblW w:w="0" w:type="auto"/>
        <w:tblLook w:val="04A0" w:firstRow="1" w:lastRow="0" w:firstColumn="1" w:lastColumn="0" w:noHBand="0" w:noVBand="1"/>
      </w:tblPr>
      <w:tblGrid>
        <w:gridCol w:w="9070"/>
      </w:tblGrid>
      <w:tr w:rsidR="00467119" w14:paraId="22D0DEAE"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0B8B4C09" w14:textId="21D4E1DF" w:rsidR="00467119" w:rsidRPr="00EA2D38" w:rsidRDefault="00467119" w:rsidP="00BC687E">
            <w:pPr>
              <w:pStyle w:val="BoxHeading"/>
              <w:rPr>
                <w:rFonts w:asciiTheme="minorHAnsi" w:hAnsiTheme="minorHAnsi" w:cstheme="minorHAnsi"/>
                <w:b/>
                <w:bCs w:val="0"/>
              </w:rPr>
            </w:pPr>
            <w:r w:rsidRPr="00EA2D38">
              <w:rPr>
                <w:rFonts w:asciiTheme="minorHAnsi" w:hAnsiTheme="minorHAnsi" w:cstheme="minorHAnsi"/>
                <w:b/>
                <w:bCs w:val="0"/>
              </w:rPr>
              <w:t>Consultation question</w:t>
            </w:r>
            <w:r w:rsidR="0054068B" w:rsidRPr="00EA2D38">
              <w:rPr>
                <w:rFonts w:asciiTheme="minorHAnsi" w:hAnsiTheme="minorHAnsi" w:cstheme="minorHAnsi"/>
                <w:b/>
                <w:bCs w:val="0"/>
              </w:rPr>
              <w:t>s</w:t>
            </w:r>
          </w:p>
          <w:p w14:paraId="168A3FF2" w14:textId="3E9BD82A" w:rsidR="00997ED9" w:rsidRPr="00997ED9" w:rsidRDefault="00997ED9" w:rsidP="001D123F">
            <w:pPr>
              <w:pStyle w:val="Consultationquestions"/>
              <w:numPr>
                <w:ilvl w:val="0"/>
                <w:numId w:val="100"/>
              </w:numPr>
            </w:pPr>
            <w:r>
              <w:t xml:space="preserve">Is the proposed application of the Minister’s rule-making power for the ePayments </w:t>
            </w:r>
            <w:r w:rsidR="00966A89">
              <w:t>C</w:t>
            </w:r>
            <w:r>
              <w:t>ode appropriate?</w:t>
            </w:r>
          </w:p>
          <w:p w14:paraId="1553E256" w14:textId="7BC08ABC" w:rsidR="00CB4078" w:rsidRPr="001D123F" w:rsidRDefault="00EB3EF7" w:rsidP="001D123F">
            <w:pPr>
              <w:pStyle w:val="Consultationquestions"/>
              <w:numPr>
                <w:ilvl w:val="0"/>
                <w:numId w:val="100"/>
              </w:numPr>
            </w:pPr>
            <w:r w:rsidRPr="009B01F4">
              <w:t xml:space="preserve">Are the proposed subject matters for the Minister’s rule-making power for the ePayments </w:t>
            </w:r>
            <w:r w:rsidR="00966A89">
              <w:t>C</w:t>
            </w:r>
            <w:r w:rsidR="00966A89" w:rsidRPr="00E42AA2">
              <w:t xml:space="preserve">ode </w:t>
            </w:r>
            <w:r w:rsidRPr="009B01F4">
              <w:t>appropriate? Are there technical matters that are better dealt with through an ASIC rule-making power or by the ASSB?</w:t>
            </w:r>
          </w:p>
          <w:p w14:paraId="79F0B807" w14:textId="1DF8224E" w:rsidR="00CB4078" w:rsidRPr="001D123F" w:rsidRDefault="006843E7" w:rsidP="001D123F">
            <w:pPr>
              <w:pStyle w:val="Consultationquestions"/>
              <w:numPr>
                <w:ilvl w:val="0"/>
                <w:numId w:val="100"/>
              </w:numPr>
            </w:pPr>
            <w:r w:rsidRPr="00BC687E">
              <w:rPr>
                <w:rStyle w:val="ui-provider"/>
              </w:rPr>
              <w:t xml:space="preserve">Are there additional areas </w:t>
            </w:r>
            <w:r w:rsidR="0020593D" w:rsidRPr="00BC687E">
              <w:rPr>
                <w:rStyle w:val="ui-provider"/>
              </w:rPr>
              <w:t>to</w:t>
            </w:r>
            <w:r w:rsidRPr="00BC687E">
              <w:rPr>
                <w:rStyle w:val="ui-provider"/>
              </w:rPr>
              <w:t xml:space="preserve"> consider in ensuring appropriate interaction between the </w:t>
            </w:r>
            <w:r w:rsidR="00D5418E" w:rsidRPr="00BC687E">
              <w:rPr>
                <w:rStyle w:val="ui-provider"/>
              </w:rPr>
              <w:t xml:space="preserve">proposed </w:t>
            </w:r>
            <w:r w:rsidR="0043177C">
              <w:rPr>
                <w:rStyle w:val="ui-provider"/>
              </w:rPr>
              <w:t>S</w:t>
            </w:r>
            <w:r w:rsidRPr="00BC687E">
              <w:rPr>
                <w:rStyle w:val="ui-provider"/>
              </w:rPr>
              <w:t xml:space="preserve">cams </w:t>
            </w:r>
            <w:r w:rsidR="0043177C">
              <w:rPr>
                <w:rStyle w:val="ui-provider"/>
              </w:rPr>
              <w:t>C</w:t>
            </w:r>
            <w:r w:rsidRPr="00BC687E">
              <w:rPr>
                <w:rStyle w:val="ui-provider"/>
              </w:rPr>
              <w:t xml:space="preserve">ode </w:t>
            </w:r>
            <w:r w:rsidR="0043177C">
              <w:rPr>
                <w:rStyle w:val="ui-provider"/>
              </w:rPr>
              <w:t>F</w:t>
            </w:r>
            <w:r w:rsidR="00D5049A">
              <w:rPr>
                <w:rStyle w:val="ui-provider"/>
              </w:rPr>
              <w:t xml:space="preserve">ramework </w:t>
            </w:r>
            <w:r w:rsidRPr="00BC687E">
              <w:rPr>
                <w:rStyle w:val="ui-provider"/>
              </w:rPr>
              <w:t xml:space="preserve">and the ePayments </w:t>
            </w:r>
            <w:r w:rsidR="00966A89">
              <w:rPr>
                <w:rStyle w:val="ui-provider"/>
              </w:rPr>
              <w:t>C</w:t>
            </w:r>
            <w:r w:rsidR="00966A89" w:rsidRPr="00BC687E">
              <w:rPr>
                <w:rStyle w:val="ui-provider"/>
              </w:rPr>
              <w:t>ode</w:t>
            </w:r>
            <w:r w:rsidR="00D72C64" w:rsidRPr="00BC687E">
              <w:rPr>
                <w:rStyle w:val="ui-provider"/>
              </w:rPr>
              <w:t>?</w:t>
            </w:r>
          </w:p>
        </w:tc>
      </w:tr>
    </w:tbl>
    <w:p w14:paraId="38E89FBA" w14:textId="7046F497" w:rsidR="00056AC1" w:rsidRPr="008D7EB3" w:rsidRDefault="00056AC1" w:rsidP="00606FDE">
      <w:pPr>
        <w:pStyle w:val="Bullet"/>
        <w:numPr>
          <w:ilvl w:val="0"/>
          <w:numId w:val="0"/>
        </w:numPr>
      </w:pPr>
      <w:r>
        <w:br w:type="page"/>
      </w:r>
    </w:p>
    <w:p w14:paraId="6AA61227" w14:textId="179B371D" w:rsidR="009B526B" w:rsidRDefault="00652BE0" w:rsidP="001A4E40">
      <w:pPr>
        <w:pStyle w:val="Heading1"/>
      </w:pPr>
      <w:bookmarkStart w:id="222" w:name="_Ref149055976"/>
      <w:bookmarkStart w:id="223" w:name="_Toc149230995"/>
      <w:bookmarkStart w:id="224" w:name="_Toc152847664"/>
      <w:r>
        <w:lastRenderedPageBreak/>
        <w:t>Transitional arrangements</w:t>
      </w:r>
      <w:bookmarkEnd w:id="222"/>
      <w:bookmarkEnd w:id="223"/>
      <w:bookmarkEnd w:id="224"/>
    </w:p>
    <w:p w14:paraId="4B03F394" w14:textId="3548EEFC" w:rsidR="005A28DC" w:rsidRDefault="005A28DC" w:rsidP="001A4E40">
      <w:pPr>
        <w:pStyle w:val="Heading2"/>
      </w:pPr>
      <w:bookmarkStart w:id="225" w:name="_Toc152847665"/>
      <w:r>
        <w:t>AFSL transition issues</w:t>
      </w:r>
      <w:bookmarkEnd w:id="225"/>
    </w:p>
    <w:p w14:paraId="5328AFEF" w14:textId="43B66C4D" w:rsidR="00305BAE" w:rsidRDefault="008A20C7" w:rsidP="00606FDE">
      <w:r>
        <w:t xml:space="preserve">It is proposed that the payments licensing requirements come into force </w:t>
      </w:r>
      <w:r w:rsidRPr="005A28DC">
        <w:t>18 months</w:t>
      </w:r>
      <w:r>
        <w:t xml:space="preserve"> after the passage of legislation, to allow sufficient time for businesses to transition to the new arrangements.</w:t>
      </w:r>
      <w:r w:rsidR="00307127">
        <w:t xml:space="preserve"> </w:t>
      </w:r>
      <w:r w:rsidR="004C7FC2">
        <w:t>To</w:t>
      </w:r>
      <w:r w:rsidR="00BC3FC5">
        <w:t xml:space="preserve"> obtain the benefit of the </w:t>
      </w:r>
      <w:r w:rsidR="00D12771">
        <w:t>18-month</w:t>
      </w:r>
      <w:r w:rsidR="00BC3FC5">
        <w:t xml:space="preserve"> transitional relief</w:t>
      </w:r>
      <w:r w:rsidR="00177106">
        <w:t xml:space="preserve"> under the AFSL</w:t>
      </w:r>
      <w:r w:rsidR="00BC3FC5">
        <w:t xml:space="preserve">, </w:t>
      </w:r>
      <w:r w:rsidR="001E06D0">
        <w:t xml:space="preserve">it is proposed that </w:t>
      </w:r>
      <w:r w:rsidR="00BC3FC5">
        <w:t xml:space="preserve">entities submit an </w:t>
      </w:r>
      <w:r w:rsidR="007C6B13">
        <w:t xml:space="preserve">AFSL </w:t>
      </w:r>
      <w:r w:rsidR="00BC3FC5">
        <w:t xml:space="preserve">application within </w:t>
      </w:r>
      <w:r w:rsidR="00D63CCF">
        <w:t>6</w:t>
      </w:r>
      <w:r w:rsidR="00BC3FC5">
        <w:t xml:space="preserve"> months from the passage of legislation. </w:t>
      </w:r>
      <w:r w:rsidR="004F6A1A">
        <w:t>By</w:t>
      </w:r>
      <w:r w:rsidR="00203D00">
        <w:t xml:space="preserve"> the end of the</w:t>
      </w:r>
      <w:r w:rsidR="00581C68">
        <w:t xml:space="preserve"> </w:t>
      </w:r>
      <w:r w:rsidR="00D12771">
        <w:t>6-month</w:t>
      </w:r>
      <w:r w:rsidR="00581C68">
        <w:t xml:space="preserve"> timeframe</w:t>
      </w:r>
      <w:r w:rsidR="003A28F8">
        <w:t>, n</w:t>
      </w:r>
      <w:r w:rsidR="00203D00">
        <w:t xml:space="preserve">ew </w:t>
      </w:r>
      <w:r w:rsidR="003B10E9">
        <w:t>AFS</w:t>
      </w:r>
      <w:r w:rsidR="00810089">
        <w:t xml:space="preserve"> licensee</w:t>
      </w:r>
      <w:r w:rsidR="00B96C87">
        <w:t>s</w:t>
      </w:r>
      <w:r w:rsidR="00BB4CA9">
        <w:t xml:space="preserve"> </w:t>
      </w:r>
      <w:r w:rsidR="00483BD8">
        <w:t xml:space="preserve">(including </w:t>
      </w:r>
      <w:r w:rsidR="00C65650">
        <w:t>S</w:t>
      </w:r>
      <w:r w:rsidR="00483BD8">
        <w:t>tandard SVFs)</w:t>
      </w:r>
      <w:r w:rsidR="004F6A1A">
        <w:t xml:space="preserve"> </w:t>
      </w:r>
      <w:r w:rsidR="00B96C87">
        <w:t xml:space="preserve">would be </w:t>
      </w:r>
      <w:r w:rsidR="004F6A1A">
        <w:t>expected to</w:t>
      </w:r>
      <w:r w:rsidR="00C3391C">
        <w:t xml:space="preserve"> </w:t>
      </w:r>
      <w:r w:rsidR="000C4665">
        <w:t>have their applications</w:t>
      </w:r>
      <w:r w:rsidR="003B10E9">
        <w:t xml:space="preserve"> </w:t>
      </w:r>
      <w:r w:rsidR="00BB4CA9">
        <w:t>lodged with</w:t>
      </w:r>
      <w:r w:rsidR="00E51748">
        <w:t>,</w:t>
      </w:r>
      <w:r w:rsidR="00BB4CA9">
        <w:t xml:space="preserve"> and accepted by</w:t>
      </w:r>
      <w:r w:rsidR="00E51748">
        <w:t>,</w:t>
      </w:r>
      <w:r w:rsidR="003B10E9">
        <w:t xml:space="preserve"> ASIC</w:t>
      </w:r>
      <w:r w:rsidR="00E22F1A">
        <w:t>. N</w:t>
      </w:r>
      <w:r w:rsidR="00430E16">
        <w:t>ote that</w:t>
      </w:r>
      <w:r w:rsidR="00E0494A">
        <w:t xml:space="preserve"> a lodgement being</w:t>
      </w:r>
      <w:r w:rsidR="00430E16">
        <w:t xml:space="preserve"> </w:t>
      </w:r>
      <w:r w:rsidR="007A3433">
        <w:t>‘</w:t>
      </w:r>
      <w:r w:rsidR="00E0494A">
        <w:t>accepted</w:t>
      </w:r>
      <w:r w:rsidR="007A3433">
        <w:t>’</w:t>
      </w:r>
      <w:r w:rsidR="00E0494A">
        <w:t xml:space="preserve"> by ASIC </w:t>
      </w:r>
      <w:r w:rsidR="00430E16">
        <w:t xml:space="preserve">is </w:t>
      </w:r>
      <w:r w:rsidR="009671F3">
        <w:t xml:space="preserve">distinct from </w:t>
      </w:r>
      <w:r w:rsidR="00E0494A">
        <w:t xml:space="preserve">the licence being </w:t>
      </w:r>
      <w:r w:rsidR="0040593B">
        <w:t>granted</w:t>
      </w:r>
      <w:r w:rsidR="0091547F">
        <w:t xml:space="preserve">. </w:t>
      </w:r>
    </w:p>
    <w:p w14:paraId="354CFEFC" w14:textId="719854E6" w:rsidR="00390B5A" w:rsidRDefault="00B63E15" w:rsidP="00606FDE">
      <w:r>
        <w:t xml:space="preserve">It is proposed that </w:t>
      </w:r>
      <w:r w:rsidR="002C7C98">
        <w:t>PSPs</w:t>
      </w:r>
      <w:r w:rsidR="00B65917">
        <w:t xml:space="preserve"> that already hold</w:t>
      </w:r>
      <w:r w:rsidR="002A6CB4">
        <w:t xml:space="preserve"> an AFSL</w:t>
      </w:r>
      <w:r w:rsidR="00554A6D">
        <w:t xml:space="preserve"> </w:t>
      </w:r>
      <w:r w:rsidR="00CA7A15">
        <w:t>are</w:t>
      </w:r>
      <w:r w:rsidR="002C7C98">
        <w:t xml:space="preserve"> deemed by law to </w:t>
      </w:r>
      <w:r w:rsidR="001038B8">
        <w:t>be authorised under the reforms</w:t>
      </w:r>
      <w:r w:rsidR="00E957AA">
        <w:t xml:space="preserve">. </w:t>
      </w:r>
      <w:r w:rsidR="00BF1B07">
        <w:t xml:space="preserve">These </w:t>
      </w:r>
      <w:r w:rsidR="00914108">
        <w:t>entities</w:t>
      </w:r>
      <w:r w:rsidR="00EE4FD0">
        <w:t xml:space="preserve"> </w:t>
      </w:r>
      <w:r w:rsidR="001C69CC">
        <w:t>would</w:t>
      </w:r>
      <w:r w:rsidR="00EE4FD0">
        <w:t xml:space="preserve"> not need to </w:t>
      </w:r>
      <w:r w:rsidR="00421095">
        <w:t xml:space="preserve">apply to </w:t>
      </w:r>
      <w:r w:rsidR="00EA48D5">
        <w:t>vary their existing</w:t>
      </w:r>
      <w:r w:rsidR="00EE4FD0">
        <w:t xml:space="preserve"> </w:t>
      </w:r>
      <w:r w:rsidR="005707EC">
        <w:t>licence</w:t>
      </w:r>
      <w:r w:rsidR="00EE4FD0">
        <w:t>, however,</w:t>
      </w:r>
      <w:r w:rsidR="0055695D">
        <w:t xml:space="preserve"> </w:t>
      </w:r>
      <w:r w:rsidR="00E068E6">
        <w:t xml:space="preserve">would </w:t>
      </w:r>
      <w:r w:rsidR="0055695D">
        <w:t xml:space="preserve">need to notify ASIC of the payment functions </w:t>
      </w:r>
      <w:r w:rsidR="00EE4FD0">
        <w:t>they operate</w:t>
      </w:r>
      <w:r w:rsidR="0031793C">
        <w:t xml:space="preserve"> through a </w:t>
      </w:r>
      <w:r w:rsidR="0070746C">
        <w:t xml:space="preserve">prescribed </w:t>
      </w:r>
      <w:r w:rsidR="0031793C">
        <w:t>notification pro</w:t>
      </w:r>
      <w:r w:rsidR="00756919">
        <w:t>c</w:t>
      </w:r>
      <w:r w:rsidR="0031793C">
        <w:t>ess</w:t>
      </w:r>
      <w:r w:rsidR="00467DF5">
        <w:t xml:space="preserve"> administered by ASIC</w:t>
      </w:r>
      <w:r w:rsidR="00EE4FD0">
        <w:t>.</w:t>
      </w:r>
      <w:r w:rsidR="00887D7F">
        <w:t xml:space="preserve"> </w:t>
      </w:r>
    </w:p>
    <w:p w14:paraId="07E0A666" w14:textId="520500A0" w:rsidR="003B7F62" w:rsidRDefault="003B7F62" w:rsidP="00257EFC">
      <w:pPr>
        <w:pStyle w:val="Heading2"/>
      </w:pPr>
      <w:bookmarkStart w:id="226" w:name="_Toc152847666"/>
      <w:r>
        <w:t xml:space="preserve">Other transition </w:t>
      </w:r>
      <w:r w:rsidR="00462EB3">
        <w:t>issues</w:t>
      </w:r>
      <w:bookmarkEnd w:id="226"/>
    </w:p>
    <w:p w14:paraId="505C4762" w14:textId="219EB47F" w:rsidR="003B7F62" w:rsidRDefault="003B7F62" w:rsidP="00257EFC">
      <w:r>
        <w:t xml:space="preserve">Further </w:t>
      </w:r>
      <w:r w:rsidR="00854CBB">
        <w:t>information</w:t>
      </w:r>
      <w:r>
        <w:t xml:space="preserve"> on APRA’s licensing expectations for new Major SVFs and CARs </w:t>
      </w:r>
      <w:r w:rsidR="00BA30E6">
        <w:t xml:space="preserve">would </w:t>
      </w:r>
      <w:r>
        <w:t>be released</w:t>
      </w:r>
      <w:r w:rsidR="009C71CF">
        <w:t xml:space="preserve"> </w:t>
      </w:r>
      <w:r w:rsidR="008C2640">
        <w:t>once</w:t>
      </w:r>
      <w:r w:rsidR="005A77D0">
        <w:t xml:space="preserve"> </w:t>
      </w:r>
      <w:r w:rsidR="009C71CF">
        <w:t>APRA</w:t>
      </w:r>
      <w:r w:rsidR="008C2640">
        <w:t xml:space="preserve"> commences its</w:t>
      </w:r>
      <w:r w:rsidR="009C71CF">
        <w:t xml:space="preserve"> consultation </w:t>
      </w:r>
      <w:r w:rsidR="005A77D0">
        <w:t xml:space="preserve">process regarding </w:t>
      </w:r>
      <w:r w:rsidR="004B116E">
        <w:t>the new prudential</w:t>
      </w:r>
      <w:r w:rsidR="005A77D0">
        <w:t xml:space="preserve"> </w:t>
      </w:r>
      <w:r w:rsidR="005B4200">
        <w:t>policy framework for relevant PSPs</w:t>
      </w:r>
      <w:r w:rsidRPr="002C6FC8">
        <w:t>.</w:t>
      </w:r>
      <w:r>
        <w:t xml:space="preserve"> </w:t>
      </w:r>
      <w:r w:rsidR="00BA1BAD" w:rsidRPr="00BA1BAD">
        <w:t>T</w:t>
      </w:r>
      <w:r w:rsidR="00BA1BAD" w:rsidRPr="00E45283">
        <w:t xml:space="preserve">he RBA </w:t>
      </w:r>
      <w:r w:rsidR="00BA30E6">
        <w:t>would</w:t>
      </w:r>
      <w:r w:rsidR="00BA30E6" w:rsidRPr="00E45283">
        <w:t xml:space="preserve"> </w:t>
      </w:r>
      <w:r w:rsidR="00BA1BAD" w:rsidRPr="00E45283">
        <w:t>consult with payment system operators about recognising the CARs in their access rules</w:t>
      </w:r>
      <w:r w:rsidR="00BA1BAD" w:rsidRPr="00BA1BAD">
        <w:t>.</w:t>
      </w:r>
    </w:p>
    <w:p w14:paraId="7F2B5A82" w14:textId="0B95B18D" w:rsidR="003B7F62" w:rsidRPr="00B01883" w:rsidRDefault="003B7F62" w:rsidP="00257EFC">
      <w:r w:rsidRPr="00B01883">
        <w:t xml:space="preserve">For ASSB, the RBA </w:t>
      </w:r>
      <w:r w:rsidR="00BA30E6">
        <w:t>would</w:t>
      </w:r>
      <w:r w:rsidR="00BA30E6" w:rsidRPr="00B01883">
        <w:t xml:space="preserve"> </w:t>
      </w:r>
      <w:r w:rsidRPr="00B01883">
        <w:t xml:space="preserve">consult on the authorisation criteria and more details on timelines will be provided as part of that process. </w:t>
      </w:r>
    </w:p>
    <w:p w14:paraId="29958689" w14:textId="449ECB92" w:rsidR="003845CF" w:rsidRDefault="00B043FD" w:rsidP="00446C8E">
      <w:pPr>
        <w:pStyle w:val="Heading2"/>
      </w:pPr>
      <w:bookmarkStart w:id="227" w:name="_Toc152847667"/>
      <w:r>
        <w:t xml:space="preserve">Transition issues </w:t>
      </w:r>
      <w:r w:rsidR="00426B81">
        <w:t>for</w:t>
      </w:r>
      <w:r>
        <w:t xml:space="preserve"> PPFs</w:t>
      </w:r>
      <w:bookmarkEnd w:id="227"/>
      <w:r w:rsidR="00623A57">
        <w:t xml:space="preserve"> </w:t>
      </w:r>
    </w:p>
    <w:p w14:paraId="214070E1" w14:textId="26F0A3C5" w:rsidR="00E0377E" w:rsidRDefault="009D19C4" w:rsidP="00257EFC">
      <w:r>
        <w:t>Entities</w:t>
      </w:r>
      <w:r w:rsidR="00B043FD">
        <w:t xml:space="preserve"> </w:t>
      </w:r>
      <w:r w:rsidR="0094373E">
        <w:t xml:space="preserve">currently subject to </w:t>
      </w:r>
      <w:r w:rsidR="00426B81">
        <w:t xml:space="preserve">a </w:t>
      </w:r>
      <w:r>
        <w:t>PPF</w:t>
      </w:r>
      <w:r w:rsidR="00426B81">
        <w:t xml:space="preserve"> </w:t>
      </w:r>
      <w:r w:rsidR="00CE6893">
        <w:t xml:space="preserve">class </w:t>
      </w:r>
      <w:r w:rsidR="006B4D86">
        <w:t xml:space="preserve">exemption </w:t>
      </w:r>
      <w:r w:rsidR="00CE6893">
        <w:t xml:space="preserve">made by the RBA </w:t>
      </w:r>
      <w:r w:rsidR="006B4D86">
        <w:t xml:space="preserve">under section 25 of the PSRA are expected to </w:t>
      </w:r>
      <w:r w:rsidR="00F97399">
        <w:t>continue adhering to the condition</w:t>
      </w:r>
      <w:r w:rsidR="00556EAD">
        <w:t xml:space="preserve">s </w:t>
      </w:r>
      <w:r w:rsidR="004277BE">
        <w:t xml:space="preserve">of this exemption </w:t>
      </w:r>
      <w:r w:rsidR="00556EAD">
        <w:t>until their relevant licences with ASIC and APRA have been granted.</w:t>
      </w:r>
      <w:r w:rsidR="004277BE">
        <w:rPr>
          <w:rStyle w:val="FootnoteReference"/>
        </w:rPr>
        <w:footnoteReference w:id="134"/>
      </w:r>
      <w:r w:rsidR="00E55A7E">
        <w:t xml:space="preserve"> These </w:t>
      </w:r>
      <w:r w:rsidR="00AD19C1">
        <w:t>conditions</w:t>
      </w:r>
      <w:r w:rsidR="00E55A7E">
        <w:t xml:space="preserve"> relate to having the amount of stored funds guaranteed.</w:t>
      </w:r>
      <w:r w:rsidR="00A816EC">
        <w:t xml:space="preserve"> </w:t>
      </w:r>
      <w:r w:rsidR="00CF382C">
        <w:t>Once</w:t>
      </w:r>
      <w:r w:rsidR="00A816EC">
        <w:t xml:space="preserve"> </w:t>
      </w:r>
      <w:r w:rsidR="008A14C8">
        <w:t xml:space="preserve">APRA has </w:t>
      </w:r>
      <w:r w:rsidR="00BA076D">
        <w:t>notified an entity</w:t>
      </w:r>
      <w:r w:rsidR="00991972">
        <w:t xml:space="preserve"> of</w:t>
      </w:r>
      <w:r w:rsidR="008A14C8">
        <w:t xml:space="preserve"> </w:t>
      </w:r>
      <w:r w:rsidR="00EF3A41">
        <w:t xml:space="preserve">the outcome of </w:t>
      </w:r>
      <w:r w:rsidR="008A14C8">
        <w:t xml:space="preserve">their application, </w:t>
      </w:r>
      <w:r w:rsidR="003A0CA6">
        <w:t xml:space="preserve">the existing exemption </w:t>
      </w:r>
      <w:r w:rsidR="00CC581B">
        <w:t xml:space="preserve">applicable to that entity </w:t>
      </w:r>
      <w:r w:rsidR="00991972">
        <w:t>will be</w:t>
      </w:r>
      <w:r w:rsidR="003A0CA6">
        <w:t xml:space="preserve"> automatically </w:t>
      </w:r>
      <w:r w:rsidR="0084670B">
        <w:t>cancelled</w:t>
      </w:r>
      <w:r w:rsidR="003A0CA6">
        <w:t xml:space="preserve"> </w:t>
      </w:r>
      <w:r w:rsidR="00CC581B">
        <w:t xml:space="preserve">for that entity </w:t>
      </w:r>
      <w:r w:rsidR="003A0CA6">
        <w:t>and cannot be renewed. It is expecte</w:t>
      </w:r>
      <w:r w:rsidR="00791C40">
        <w:t>d that APRA would provide updates to the</w:t>
      </w:r>
      <w:r w:rsidR="00A7356E">
        <w:t xml:space="preserve">se entities </w:t>
      </w:r>
      <w:r w:rsidR="00CC581B">
        <w:t xml:space="preserve">during the application process </w:t>
      </w:r>
      <w:r w:rsidR="00A7356E">
        <w:t xml:space="preserve">so that they have reasonable time to organise their affairs before </w:t>
      </w:r>
      <w:r w:rsidR="0004755D">
        <w:t>the</w:t>
      </w:r>
      <w:r w:rsidR="00A7356E">
        <w:t xml:space="preserve"> exemption </w:t>
      </w:r>
      <w:r w:rsidR="0004755D">
        <w:t xml:space="preserve">that applies to them </w:t>
      </w:r>
      <w:r w:rsidR="00A7356E">
        <w:t xml:space="preserve">is </w:t>
      </w:r>
      <w:r w:rsidR="0084670B">
        <w:t>cancelled</w:t>
      </w:r>
      <w:r w:rsidR="00A7356E">
        <w:t>.</w:t>
      </w:r>
      <w:r w:rsidR="00BA4975">
        <w:t xml:space="preserve"> </w:t>
      </w:r>
      <w:r w:rsidR="00A816EC">
        <w:t xml:space="preserve"> </w:t>
      </w:r>
    </w:p>
    <w:p w14:paraId="4C74C329" w14:textId="19416BBD" w:rsidR="00556EAD" w:rsidRDefault="003269BC" w:rsidP="00257EFC">
      <w:r>
        <w:t xml:space="preserve">Furthermore, </w:t>
      </w:r>
      <w:r w:rsidR="00544AA7">
        <w:t xml:space="preserve">consistent with the removal of </w:t>
      </w:r>
      <w:r w:rsidR="00665577">
        <w:t xml:space="preserve">the </w:t>
      </w:r>
      <w:r w:rsidR="00544AA7">
        <w:t xml:space="preserve">RBA’s </w:t>
      </w:r>
      <w:r w:rsidR="002A4FFE">
        <w:t>regulatory role with respect to PPFs</w:t>
      </w:r>
      <w:r w:rsidR="00A632C1">
        <w:t>,</w:t>
      </w:r>
      <w:r w:rsidR="0025281C">
        <w:t xml:space="preserve"> no entity </w:t>
      </w:r>
      <w:r w:rsidR="00E074CF">
        <w:t xml:space="preserve">could </w:t>
      </w:r>
      <w:r w:rsidR="0025281C">
        <w:t xml:space="preserve">apply for a PPF class exemption </w:t>
      </w:r>
      <w:r w:rsidR="005F7EA3">
        <w:t xml:space="preserve">under section 25 of the PSRA </w:t>
      </w:r>
      <w:r w:rsidR="0025281C">
        <w:t xml:space="preserve">once the </w:t>
      </w:r>
      <w:r w:rsidR="002C2EC0">
        <w:t xml:space="preserve">payments licensing legislation </w:t>
      </w:r>
      <w:r w:rsidR="003B7319">
        <w:t xml:space="preserve">has </w:t>
      </w:r>
      <w:r w:rsidR="002C2EC0">
        <w:t xml:space="preserve">passed. </w:t>
      </w:r>
      <w:r w:rsidR="00992209">
        <w:t xml:space="preserve"> </w:t>
      </w:r>
    </w:p>
    <w:tbl>
      <w:tblPr>
        <w:tblStyle w:val="TableGrid"/>
        <w:tblW w:w="0" w:type="auto"/>
        <w:tblLook w:val="04A0" w:firstRow="1" w:lastRow="0" w:firstColumn="1" w:lastColumn="0" w:noHBand="0" w:noVBand="1"/>
      </w:tblPr>
      <w:tblGrid>
        <w:gridCol w:w="9070"/>
      </w:tblGrid>
      <w:tr w:rsidR="001E6B26" w14:paraId="673A2258"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65990FF9" w14:textId="5AFAC350" w:rsidR="001E6B26" w:rsidRPr="00DF715D" w:rsidRDefault="001E6B26" w:rsidP="001A2164">
            <w:pPr>
              <w:pStyle w:val="BodyText"/>
              <w:keepNext/>
              <w:spacing w:before="96" w:after="96"/>
              <w:rPr>
                <w:rFonts w:asciiTheme="minorHAnsi" w:hAnsiTheme="minorHAnsi" w:cstheme="minorHAnsi"/>
                <w:u w:val="single"/>
              </w:rPr>
            </w:pPr>
            <w:r w:rsidRPr="00DF715D">
              <w:rPr>
                <w:rFonts w:cstheme="minorHAnsi"/>
                <w:u w:val="single"/>
              </w:rPr>
              <w:lastRenderedPageBreak/>
              <w:t>Consultation question</w:t>
            </w:r>
            <w:r w:rsidR="00D7647C" w:rsidRPr="00DF715D">
              <w:rPr>
                <w:rFonts w:cstheme="minorHAnsi"/>
                <w:u w:val="single"/>
              </w:rPr>
              <w:t>s</w:t>
            </w:r>
          </w:p>
          <w:p w14:paraId="1A1534B3" w14:textId="18427680" w:rsidR="001E6B26" w:rsidRPr="001D123F" w:rsidRDefault="001E6B26" w:rsidP="001D123F">
            <w:pPr>
              <w:pStyle w:val="Consultationquestions"/>
              <w:numPr>
                <w:ilvl w:val="0"/>
                <w:numId w:val="100"/>
              </w:numPr>
            </w:pPr>
            <w:r>
              <w:t>Is the proposed transition period (</w:t>
            </w:r>
            <w:r w:rsidR="000A5274">
              <w:t>18</w:t>
            </w:r>
            <w:r>
              <w:t xml:space="preserve"> months) an adequate grace period</w:t>
            </w:r>
            <w:r w:rsidR="00117F39">
              <w:t xml:space="preserve"> for new prospective licensees</w:t>
            </w:r>
            <w:r w:rsidR="00BA2B26">
              <w:t>?</w:t>
            </w:r>
          </w:p>
          <w:p w14:paraId="3C06AD7B" w14:textId="689E7742" w:rsidR="00BA2B26" w:rsidRPr="001D123F" w:rsidRDefault="00757AED" w:rsidP="001D123F">
            <w:pPr>
              <w:pStyle w:val="Consultationquestions"/>
              <w:numPr>
                <w:ilvl w:val="0"/>
                <w:numId w:val="100"/>
              </w:numPr>
            </w:pPr>
            <w:r>
              <w:t>I</w:t>
            </w:r>
            <w:r w:rsidR="000A5274">
              <w:t>s the proposed grandfathering process for existing AFS licensees adequate?</w:t>
            </w:r>
            <w:r w:rsidR="00C04526">
              <w:t xml:space="preserve"> </w:t>
            </w:r>
            <w:r w:rsidR="00BA2B26">
              <w:rPr>
                <w:bCs w:val="0"/>
              </w:rPr>
              <w:t xml:space="preserve">Are there additional transition issues that should be addressed for </w:t>
            </w:r>
            <w:r w:rsidR="003A15E3">
              <w:rPr>
                <w:bCs w:val="0"/>
              </w:rPr>
              <w:t>existing AFS licensees and PPFs?</w:t>
            </w:r>
          </w:p>
        </w:tc>
      </w:tr>
    </w:tbl>
    <w:p w14:paraId="4F9E318E" w14:textId="77777777" w:rsidR="00257EFC" w:rsidRDefault="00257EFC">
      <w:pPr>
        <w:tabs>
          <w:tab w:val="clear" w:pos="1650"/>
        </w:tabs>
        <w:spacing w:before="0" w:after="160" w:line="259" w:lineRule="auto"/>
        <w:rPr>
          <w:rFonts w:ascii="Calibri" w:hAnsi="Calibri" w:cs="Arial"/>
          <w:b/>
          <w:color w:val="5D779D" w:themeColor="accent3"/>
          <w:kern w:val="32"/>
          <w:sz w:val="44"/>
          <w:szCs w:val="36"/>
        </w:rPr>
      </w:pPr>
      <w:bookmarkStart w:id="228" w:name="_Toc149230997"/>
      <w:r>
        <w:br w:type="page"/>
      </w:r>
    </w:p>
    <w:p w14:paraId="061F7875" w14:textId="52BCD06F" w:rsidR="000D019B" w:rsidRPr="000D019B" w:rsidRDefault="009D53C6" w:rsidP="00F26568">
      <w:pPr>
        <w:pStyle w:val="Heading1"/>
        <w:numPr>
          <w:ilvl w:val="0"/>
          <w:numId w:val="0"/>
        </w:numPr>
        <w:ind w:left="360" w:hanging="360"/>
        <w:jc w:val="both"/>
      </w:pPr>
      <w:bookmarkStart w:id="229" w:name="_Toc152847668"/>
      <w:r>
        <w:lastRenderedPageBreak/>
        <w:t xml:space="preserve">Appendix 1 </w:t>
      </w:r>
      <w:r w:rsidR="007B35A9">
        <w:t xml:space="preserve">– </w:t>
      </w:r>
      <w:r>
        <w:t>Consultation questions</w:t>
      </w:r>
      <w:bookmarkEnd w:id="228"/>
      <w:bookmarkEnd w:id="229"/>
    </w:p>
    <w:p w14:paraId="5A5A5ADF" w14:textId="77777777" w:rsidR="00294224" w:rsidRDefault="00294224" w:rsidP="00714EC3">
      <w:pPr>
        <w:pStyle w:val="ListParagraph"/>
        <w:numPr>
          <w:ilvl w:val="0"/>
          <w:numId w:val="118"/>
        </w:numPr>
        <w:tabs>
          <w:tab w:val="clear" w:pos="1650"/>
        </w:tabs>
        <w:spacing w:after="120"/>
        <w:contextualSpacing w:val="0"/>
      </w:pPr>
      <w:r w:rsidRPr="00B262A9">
        <w:t xml:space="preserve">Feedback is welcome on the proposed approach to distinguish SVF products from </w:t>
      </w:r>
      <w:r>
        <w:t>banking business</w:t>
      </w:r>
      <w:r w:rsidRPr="00B262A9">
        <w:t>.</w:t>
      </w:r>
      <w:r w:rsidRPr="001D123F">
        <w:t xml:space="preserve"> </w:t>
      </w:r>
      <w:r>
        <w:t>Are</w:t>
      </w:r>
      <w:r w:rsidRPr="00BA2D3E">
        <w:t xml:space="preserve"> there are any unintended consequences, </w:t>
      </w:r>
      <w:r w:rsidRPr="00CA20AE">
        <w:t xml:space="preserve">and </w:t>
      </w:r>
      <w:r w:rsidRPr="00BA2D3E">
        <w:t xml:space="preserve">are there suggestions on how to mitigate those?  </w:t>
      </w:r>
    </w:p>
    <w:p w14:paraId="575D0B74" w14:textId="77777777" w:rsidR="00294224" w:rsidRDefault="00294224" w:rsidP="00714EC3">
      <w:pPr>
        <w:pStyle w:val="ListParagraph"/>
        <w:numPr>
          <w:ilvl w:val="0"/>
          <w:numId w:val="118"/>
        </w:numPr>
        <w:tabs>
          <w:tab w:val="clear" w:pos="1650"/>
        </w:tabs>
        <w:spacing w:after="120"/>
        <w:contextualSpacing w:val="0"/>
      </w:pPr>
      <w:r w:rsidRPr="00484EB7">
        <w:t>What are your views on the proposed changes to the SVF function and whether additional characteristics or principles are needed to distinguish SVF products? Should there be an additional principle that funds can be stored without any onward payment instruction?</w:t>
      </w:r>
    </w:p>
    <w:p w14:paraId="278D574E" w14:textId="77777777" w:rsidR="00294224" w:rsidRDefault="00294224" w:rsidP="00714EC3">
      <w:pPr>
        <w:pStyle w:val="ListParagraph"/>
        <w:numPr>
          <w:ilvl w:val="0"/>
          <w:numId w:val="118"/>
        </w:numPr>
        <w:tabs>
          <w:tab w:val="clear" w:pos="1650"/>
        </w:tabs>
        <w:spacing w:after="120"/>
        <w:contextualSpacing w:val="0"/>
      </w:pPr>
      <w:r>
        <w:t>Are there any further activities that should be out of scope of the definition of SVF?</w:t>
      </w:r>
    </w:p>
    <w:p w14:paraId="745B0FF8" w14:textId="77777777" w:rsidR="00294224" w:rsidRDefault="00294224" w:rsidP="00714EC3">
      <w:pPr>
        <w:pStyle w:val="ListParagraph"/>
        <w:numPr>
          <w:ilvl w:val="0"/>
          <w:numId w:val="118"/>
        </w:numPr>
        <w:tabs>
          <w:tab w:val="clear" w:pos="1650"/>
        </w:tabs>
        <w:spacing w:after="120"/>
        <w:contextualSpacing w:val="0"/>
      </w:pPr>
      <w:r w:rsidRPr="000D6202">
        <w:t>Do you agree with the proposed framework for PSCs and how it interacts with the Digital Asset Platform Framework? Are there any considerations that should be given or issues that can arise which have not been captured in this proposal?</w:t>
      </w:r>
    </w:p>
    <w:p w14:paraId="6480859E" w14:textId="77777777" w:rsidR="00294224" w:rsidRDefault="00294224" w:rsidP="00714EC3">
      <w:pPr>
        <w:pStyle w:val="ListParagraph"/>
        <w:numPr>
          <w:ilvl w:val="0"/>
          <w:numId w:val="118"/>
        </w:numPr>
        <w:tabs>
          <w:tab w:val="clear" w:pos="1650"/>
        </w:tabs>
        <w:spacing w:after="120"/>
        <w:contextualSpacing w:val="0"/>
      </w:pPr>
      <w:r>
        <w:t>Do you agree with the scope of the ‘Payment Instruments’ function as it is currently defined? Are there any services that have not been captured by the definition, but should be included (or vice versa)?</w:t>
      </w:r>
    </w:p>
    <w:p w14:paraId="3192E739" w14:textId="77777777" w:rsidR="00294224" w:rsidRDefault="00294224" w:rsidP="00714EC3">
      <w:pPr>
        <w:pStyle w:val="ListParagraph"/>
        <w:numPr>
          <w:ilvl w:val="0"/>
          <w:numId w:val="118"/>
        </w:numPr>
        <w:tabs>
          <w:tab w:val="clear" w:pos="1650"/>
        </w:tabs>
        <w:spacing w:after="120"/>
        <w:contextualSpacing w:val="0"/>
      </w:pPr>
      <w:r>
        <w:t>Do you agree with the scope of the ‘Payment Initiation Services’ function as it is currently defined? Are there any services that have not been captured by the definition, but should be included (or vice versa)?</w:t>
      </w:r>
    </w:p>
    <w:p w14:paraId="6BBD53F7" w14:textId="77777777" w:rsidR="00294224" w:rsidRDefault="00294224" w:rsidP="00714EC3">
      <w:pPr>
        <w:pStyle w:val="ListParagraph"/>
        <w:numPr>
          <w:ilvl w:val="0"/>
          <w:numId w:val="118"/>
        </w:numPr>
        <w:tabs>
          <w:tab w:val="clear" w:pos="1650"/>
        </w:tabs>
        <w:spacing w:after="120"/>
        <w:contextualSpacing w:val="0"/>
      </w:pPr>
      <w:r>
        <w:t>Do you agree with the scope of the ‘Payment Facilitation Services’ function as it is currently defined? Are there any services that have not been captured by the definition, but should be included (or vice versa)?</w:t>
      </w:r>
    </w:p>
    <w:p w14:paraId="594B17E6" w14:textId="77777777" w:rsidR="00294224" w:rsidRDefault="00294224" w:rsidP="00714EC3">
      <w:pPr>
        <w:pStyle w:val="ListParagraph"/>
        <w:numPr>
          <w:ilvl w:val="0"/>
          <w:numId w:val="118"/>
        </w:numPr>
        <w:tabs>
          <w:tab w:val="clear" w:pos="1650"/>
        </w:tabs>
        <w:spacing w:after="120"/>
        <w:contextualSpacing w:val="0"/>
      </w:pPr>
      <w:r>
        <w:t>Is there merit in disaggregating this function? If so, why and how should this be done?</w:t>
      </w:r>
    </w:p>
    <w:p w14:paraId="30E0C56C" w14:textId="77777777" w:rsidR="00294224" w:rsidRDefault="00294224" w:rsidP="00714EC3">
      <w:pPr>
        <w:pStyle w:val="ListParagraph"/>
        <w:numPr>
          <w:ilvl w:val="0"/>
          <w:numId w:val="118"/>
        </w:numPr>
        <w:tabs>
          <w:tab w:val="clear" w:pos="1650"/>
        </w:tabs>
        <w:spacing w:after="120"/>
        <w:contextualSpacing w:val="0"/>
      </w:pPr>
      <w:r>
        <w:t>Are there any other principles that should be used to define this function?</w:t>
      </w:r>
    </w:p>
    <w:p w14:paraId="3A02852B" w14:textId="77777777" w:rsidR="00294224" w:rsidRDefault="00294224" w:rsidP="00714EC3">
      <w:pPr>
        <w:pStyle w:val="ListParagraph"/>
        <w:numPr>
          <w:ilvl w:val="0"/>
          <w:numId w:val="118"/>
        </w:numPr>
        <w:tabs>
          <w:tab w:val="clear" w:pos="1650"/>
        </w:tabs>
        <w:spacing w:after="120"/>
        <w:contextualSpacing w:val="0"/>
      </w:pPr>
      <w:r>
        <w:t>Do you agree with the scope of the ‘Payment Technology and Enablement Services’ function as it is currently defined? Are there any services that have not been captured by the definition, but should be included (or vice versa)?</w:t>
      </w:r>
    </w:p>
    <w:p w14:paraId="0DBBA0A9" w14:textId="77777777" w:rsidR="00294224" w:rsidRDefault="00294224" w:rsidP="00714EC3">
      <w:pPr>
        <w:pStyle w:val="ListParagraph"/>
        <w:numPr>
          <w:ilvl w:val="0"/>
          <w:numId w:val="118"/>
        </w:numPr>
        <w:tabs>
          <w:tab w:val="clear" w:pos="1650"/>
        </w:tabs>
        <w:spacing w:after="120"/>
        <w:contextualSpacing w:val="0"/>
      </w:pPr>
      <w:r>
        <w:t>Are the principles used to define the function appropriate?</w:t>
      </w:r>
    </w:p>
    <w:p w14:paraId="720F254B" w14:textId="77777777" w:rsidR="00294224" w:rsidRDefault="00294224" w:rsidP="00714EC3">
      <w:pPr>
        <w:pStyle w:val="ListParagraph"/>
        <w:numPr>
          <w:ilvl w:val="0"/>
          <w:numId w:val="118"/>
        </w:numPr>
        <w:tabs>
          <w:tab w:val="clear" w:pos="1650"/>
        </w:tabs>
        <w:spacing w:after="120"/>
        <w:contextualSpacing w:val="0"/>
      </w:pPr>
      <w:r>
        <w:t>Should a certain subset of entities captured under this function be subject to less rigorous obligations than what is proposed, and what should those be?  Should the definition of this function be narrowed to exclude certain types of entities that do not pose significant risks, and if so, how?</w:t>
      </w:r>
    </w:p>
    <w:p w14:paraId="4A16AD66" w14:textId="77777777" w:rsidR="00294224" w:rsidRDefault="00294224" w:rsidP="00714EC3">
      <w:pPr>
        <w:pStyle w:val="ListParagraph"/>
        <w:numPr>
          <w:ilvl w:val="0"/>
          <w:numId w:val="118"/>
        </w:numPr>
        <w:tabs>
          <w:tab w:val="clear" w:pos="1650"/>
        </w:tabs>
        <w:spacing w:after="120"/>
        <w:contextualSpacing w:val="0"/>
      </w:pPr>
      <w:r>
        <w:t>Do you agree with the scope of the ‘Cross-border Transfer Services’ function as it is currently defined? Are there any services that have not been captured by the definition, but should be included (or vice versa)?</w:t>
      </w:r>
    </w:p>
    <w:p w14:paraId="63070555" w14:textId="77777777" w:rsidR="00294224" w:rsidRDefault="00294224" w:rsidP="00714EC3">
      <w:pPr>
        <w:pStyle w:val="ListParagraph"/>
        <w:numPr>
          <w:ilvl w:val="0"/>
          <w:numId w:val="118"/>
        </w:numPr>
        <w:tabs>
          <w:tab w:val="clear" w:pos="1650"/>
        </w:tabs>
        <w:spacing w:after="120"/>
        <w:contextualSpacing w:val="0"/>
      </w:pPr>
      <w:r>
        <w:t>Excluding ML/TF risks, are there any unique risks that Cross-border Transfer Services present, and should there be any tailored regulatory requirements for this function?</w:t>
      </w:r>
    </w:p>
    <w:p w14:paraId="1F648192" w14:textId="77777777" w:rsidR="00294224" w:rsidRDefault="00294224" w:rsidP="00714EC3">
      <w:pPr>
        <w:pStyle w:val="ListParagraph"/>
        <w:numPr>
          <w:ilvl w:val="0"/>
          <w:numId w:val="118"/>
        </w:numPr>
        <w:tabs>
          <w:tab w:val="clear" w:pos="1650"/>
        </w:tabs>
        <w:spacing w:after="120"/>
        <w:contextualSpacing w:val="0"/>
      </w:pPr>
      <w:r>
        <w:t>Is there a need for a separate function for Cross-border Transfer Services or should these services be captured together with domestic transfer services?</w:t>
      </w:r>
    </w:p>
    <w:p w14:paraId="6DCB82E5" w14:textId="77777777" w:rsidR="00294224" w:rsidRDefault="00294224" w:rsidP="00714EC3">
      <w:pPr>
        <w:pStyle w:val="ListParagraph"/>
        <w:numPr>
          <w:ilvl w:val="0"/>
          <w:numId w:val="118"/>
        </w:numPr>
        <w:tabs>
          <w:tab w:val="clear" w:pos="1650"/>
        </w:tabs>
        <w:spacing w:after="120"/>
        <w:contextualSpacing w:val="0"/>
      </w:pPr>
      <w:r>
        <w:lastRenderedPageBreak/>
        <w:t>Is the proposed removal of the ‘Clearing and Settlement Services’ function appropriate, given the risks associated with these activities are intended to be addressed by payment system access arrangements and proposed common access requirements?</w:t>
      </w:r>
    </w:p>
    <w:p w14:paraId="3369889F" w14:textId="77777777" w:rsidR="00294224" w:rsidRDefault="00294224" w:rsidP="00714EC3">
      <w:pPr>
        <w:pStyle w:val="ListParagraph"/>
        <w:numPr>
          <w:ilvl w:val="0"/>
          <w:numId w:val="118"/>
        </w:numPr>
        <w:tabs>
          <w:tab w:val="clear" w:pos="1650"/>
        </w:tabs>
        <w:spacing w:after="120"/>
        <w:contextualSpacing w:val="0"/>
      </w:pPr>
      <w:r>
        <w:t xml:space="preserve">Is the proposed approach the best way to incorporate the functions into the Corporations Act? Or is Option B, Option C, Option D or another option not canvassed by this paper preferable? </w:t>
      </w:r>
    </w:p>
    <w:p w14:paraId="72AB184C" w14:textId="77777777" w:rsidR="00294224" w:rsidRDefault="00294224" w:rsidP="00714EC3">
      <w:pPr>
        <w:pStyle w:val="ListParagraph"/>
        <w:numPr>
          <w:ilvl w:val="0"/>
          <w:numId w:val="118"/>
        </w:numPr>
        <w:tabs>
          <w:tab w:val="clear" w:pos="1650"/>
        </w:tabs>
        <w:spacing w:after="120"/>
        <w:contextualSpacing w:val="0"/>
      </w:pPr>
      <w:r>
        <w:t>Are there any functions that are proposed to be regulated as a product that should instead be regulated as a new type of financial service or vice versa?</w:t>
      </w:r>
    </w:p>
    <w:p w14:paraId="28D001F7" w14:textId="77777777" w:rsidR="00294224" w:rsidRDefault="00294224" w:rsidP="00714EC3">
      <w:pPr>
        <w:pStyle w:val="ListParagraph"/>
        <w:numPr>
          <w:ilvl w:val="0"/>
          <w:numId w:val="118"/>
        </w:numPr>
        <w:tabs>
          <w:tab w:val="clear" w:pos="1650"/>
        </w:tabs>
        <w:spacing w:after="120"/>
        <w:contextualSpacing w:val="0"/>
      </w:pPr>
      <w:r>
        <w:t>Are there any practical issues created by separating out different ‘functions’ and treating them as separate products and services? Would it be simpler to have fewer different functions that cover more payment services?</w:t>
      </w:r>
    </w:p>
    <w:p w14:paraId="4EE81900" w14:textId="77777777" w:rsidR="00294224" w:rsidRDefault="00294224" w:rsidP="00714EC3">
      <w:pPr>
        <w:pStyle w:val="ListParagraph"/>
        <w:numPr>
          <w:ilvl w:val="0"/>
          <w:numId w:val="118"/>
        </w:numPr>
        <w:tabs>
          <w:tab w:val="clear" w:pos="1650"/>
        </w:tabs>
        <w:spacing w:after="120"/>
        <w:contextualSpacing w:val="0"/>
      </w:pPr>
      <w:r>
        <w:t>What needs clarifying regarding the tests of ‘dealing in’ and ‘arranging’ for PSPs?</w:t>
      </w:r>
    </w:p>
    <w:p w14:paraId="3913FEA6" w14:textId="626E2C9E" w:rsidR="00294224" w:rsidRDefault="00294224" w:rsidP="00714EC3">
      <w:pPr>
        <w:pStyle w:val="ListParagraph"/>
        <w:numPr>
          <w:ilvl w:val="0"/>
          <w:numId w:val="118"/>
        </w:numPr>
        <w:tabs>
          <w:tab w:val="clear" w:pos="1650"/>
        </w:tabs>
        <w:spacing w:after="120"/>
        <w:contextualSpacing w:val="0"/>
      </w:pPr>
      <w:r w:rsidRPr="00F44903">
        <w:t xml:space="preserve">Is the scope of the exclusion for payments debited to a credit facility in section 765A(1)(h)(ii) of the </w:t>
      </w:r>
      <w:r w:rsidRPr="00F44903">
        <w:rPr>
          <w:i/>
          <w:iCs/>
        </w:rPr>
        <w:t>Corporations Act</w:t>
      </w:r>
      <w:r w:rsidRPr="00F44903">
        <w:t xml:space="preserve"> appropriate?</w:t>
      </w:r>
    </w:p>
    <w:p w14:paraId="4F1D047D" w14:textId="77777777" w:rsidR="00294224" w:rsidRDefault="00294224" w:rsidP="00714EC3">
      <w:pPr>
        <w:pStyle w:val="ListParagraph"/>
        <w:numPr>
          <w:ilvl w:val="0"/>
          <w:numId w:val="118"/>
        </w:numPr>
        <w:tabs>
          <w:tab w:val="clear" w:pos="1650"/>
        </w:tabs>
        <w:spacing w:after="120"/>
        <w:contextualSpacing w:val="0"/>
      </w:pPr>
      <w:r>
        <w:t>Should existing exemptions for unlicensed product issuers be restricted for certain payment functions?</w:t>
      </w:r>
    </w:p>
    <w:p w14:paraId="2742159D" w14:textId="77777777" w:rsidR="00294224" w:rsidRDefault="00294224" w:rsidP="00714EC3">
      <w:pPr>
        <w:pStyle w:val="ListParagraph"/>
        <w:numPr>
          <w:ilvl w:val="0"/>
          <w:numId w:val="118"/>
        </w:numPr>
        <w:tabs>
          <w:tab w:val="clear" w:pos="1650"/>
        </w:tabs>
        <w:spacing w:after="120"/>
        <w:contextualSpacing w:val="0"/>
      </w:pPr>
      <w:r>
        <w:t>Should PSPs that process or facilitate transactions or store value below a certain amount have reduced requirements under the Corporations Act? If so, what should they be?</w:t>
      </w:r>
    </w:p>
    <w:p w14:paraId="2D43F896" w14:textId="77777777" w:rsidR="00294224" w:rsidRDefault="00294224" w:rsidP="00714EC3">
      <w:pPr>
        <w:pStyle w:val="ListParagraph"/>
        <w:numPr>
          <w:ilvl w:val="0"/>
          <w:numId w:val="118"/>
        </w:numPr>
        <w:tabs>
          <w:tab w:val="clear" w:pos="1650"/>
        </w:tabs>
        <w:spacing w:after="120"/>
        <w:contextualSpacing w:val="0"/>
      </w:pPr>
      <w:r>
        <w:t>Should the low value exemption apply at the controlling entity level, if there are a group of related entities?</w:t>
      </w:r>
    </w:p>
    <w:p w14:paraId="23A45016" w14:textId="77777777" w:rsidR="00294224" w:rsidRDefault="00294224" w:rsidP="00714EC3">
      <w:pPr>
        <w:pStyle w:val="ListParagraph"/>
        <w:numPr>
          <w:ilvl w:val="0"/>
          <w:numId w:val="118"/>
        </w:numPr>
        <w:tabs>
          <w:tab w:val="clear" w:pos="1650"/>
        </w:tabs>
        <w:spacing w:after="120"/>
        <w:contextualSpacing w:val="0"/>
      </w:pPr>
      <w:r>
        <w:t>Are the proposed thresholds for low value facilities appropriate?</w:t>
      </w:r>
    </w:p>
    <w:p w14:paraId="71A11B4E" w14:textId="77777777" w:rsidR="00294224" w:rsidRDefault="00294224" w:rsidP="00714EC3">
      <w:pPr>
        <w:pStyle w:val="ListParagraph"/>
        <w:numPr>
          <w:ilvl w:val="0"/>
          <w:numId w:val="118"/>
        </w:numPr>
        <w:tabs>
          <w:tab w:val="clear" w:pos="1650"/>
        </w:tabs>
        <w:spacing w:after="120"/>
        <w:contextualSpacing w:val="0"/>
      </w:pPr>
      <w:r>
        <w:t>Should the low value exemption be available for all payment functions?</w:t>
      </w:r>
    </w:p>
    <w:p w14:paraId="4CA16BD5" w14:textId="77777777" w:rsidR="00294224" w:rsidRDefault="00294224" w:rsidP="00714EC3">
      <w:pPr>
        <w:pStyle w:val="ListParagraph"/>
        <w:numPr>
          <w:ilvl w:val="0"/>
          <w:numId w:val="118"/>
        </w:numPr>
        <w:tabs>
          <w:tab w:val="clear" w:pos="1650"/>
        </w:tabs>
        <w:spacing w:after="120"/>
        <w:contextualSpacing w:val="0"/>
      </w:pPr>
      <w:r>
        <w:t>How could</w:t>
      </w:r>
      <w:r w:rsidDel="00FC6E88">
        <w:t xml:space="preserve"> </w:t>
      </w:r>
      <w:r>
        <w:t>a limited network exclusion be appropriately confined to avoid regulatory arbitrage? Are the conditions for this exemption appropriate? Should it apply to all payment functions?</w:t>
      </w:r>
    </w:p>
    <w:p w14:paraId="67B2A4D1" w14:textId="77777777" w:rsidR="00294224" w:rsidRDefault="00294224" w:rsidP="00714EC3">
      <w:pPr>
        <w:pStyle w:val="ListParagraph"/>
        <w:numPr>
          <w:ilvl w:val="0"/>
          <w:numId w:val="118"/>
        </w:numPr>
        <w:tabs>
          <w:tab w:val="clear" w:pos="1650"/>
        </w:tabs>
        <w:spacing w:after="120"/>
        <w:contextualSpacing w:val="0"/>
      </w:pPr>
      <w:r>
        <w:t>Should there be a commercial agent exclusion?</w:t>
      </w:r>
    </w:p>
    <w:p w14:paraId="4B69C8FB" w14:textId="77777777" w:rsidR="00294224" w:rsidRPr="00F44903" w:rsidRDefault="00294224" w:rsidP="00714EC3">
      <w:pPr>
        <w:pStyle w:val="ListParagraph"/>
        <w:numPr>
          <w:ilvl w:val="0"/>
          <w:numId w:val="118"/>
        </w:numPr>
        <w:tabs>
          <w:tab w:val="clear" w:pos="1650"/>
        </w:tabs>
        <w:spacing w:after="120"/>
        <w:contextualSpacing w:val="0"/>
      </w:pPr>
      <w:r>
        <w:rPr>
          <w:bCs/>
        </w:rPr>
        <w:t xml:space="preserve">Is the proposed amended exemption for designated payment systems that have been declared not to be a financial product appropriate or should it be further revised, replaced or removed?   </w:t>
      </w:r>
    </w:p>
    <w:p w14:paraId="345023F8" w14:textId="77777777" w:rsidR="00294224" w:rsidRPr="00F44903" w:rsidRDefault="00294224" w:rsidP="00714EC3">
      <w:pPr>
        <w:pStyle w:val="ListParagraph"/>
        <w:numPr>
          <w:ilvl w:val="0"/>
          <w:numId w:val="118"/>
        </w:numPr>
        <w:tabs>
          <w:tab w:val="clear" w:pos="1650"/>
        </w:tabs>
        <w:spacing w:after="120"/>
        <w:contextualSpacing w:val="0"/>
      </w:pPr>
      <w:r w:rsidRPr="00BC4C78">
        <w:rPr>
          <w:bCs/>
        </w:rPr>
        <w:t xml:space="preserve">Should </w:t>
      </w:r>
      <w:r>
        <w:rPr>
          <w:bCs/>
        </w:rPr>
        <w:t xml:space="preserve">there be an exclusion for </w:t>
      </w:r>
      <w:r w:rsidRPr="00BC4C78">
        <w:rPr>
          <w:bCs/>
        </w:rPr>
        <w:t xml:space="preserve">global financial messaging infrastructure? For example, Singapore </w:t>
      </w:r>
      <w:r>
        <w:rPr>
          <w:bCs/>
        </w:rPr>
        <w:t>excludes from regulation</w:t>
      </w:r>
      <w:r w:rsidRPr="00BC4C78">
        <w:rPr>
          <w:bCs/>
        </w:rPr>
        <w:t xml:space="preserve"> ‘</w:t>
      </w:r>
      <w:r>
        <w:rPr>
          <w:bCs/>
        </w:rPr>
        <w:t>g</w:t>
      </w:r>
      <w:r w:rsidRPr="00BC4C78">
        <w:t xml:space="preserve">lobal financial messaging infrastructure which are subject to oversight </w:t>
      </w:r>
      <w:r w:rsidRPr="007E3159">
        <w:rPr>
          <w:bCs/>
        </w:rPr>
        <w:t>by relevant regulators</w:t>
      </w:r>
      <w:r>
        <w:rPr>
          <w:bCs/>
        </w:rPr>
        <w:t>’.</w:t>
      </w:r>
      <w:r>
        <w:rPr>
          <w:rStyle w:val="FootnoteReference"/>
          <w:bCs/>
        </w:rPr>
        <w:footnoteReference w:id="135"/>
      </w:r>
    </w:p>
    <w:p w14:paraId="0180B252" w14:textId="77777777" w:rsidR="00294224" w:rsidRDefault="00294224" w:rsidP="00714EC3">
      <w:pPr>
        <w:pStyle w:val="ListParagraph"/>
        <w:numPr>
          <w:ilvl w:val="0"/>
          <w:numId w:val="118"/>
        </w:numPr>
        <w:tabs>
          <w:tab w:val="clear" w:pos="1650"/>
        </w:tabs>
        <w:spacing w:after="120"/>
        <w:contextualSpacing w:val="0"/>
      </w:pPr>
      <w:r>
        <w:t xml:space="preserve">Should the relief provided by ASIC for certain activities be moved into regulation or discontinued? For example, should loyalty schemes, road toll devices and electronic lodgement operators be exempted? </w:t>
      </w:r>
    </w:p>
    <w:p w14:paraId="4145A35E" w14:textId="77777777" w:rsidR="00294224" w:rsidRDefault="00294224" w:rsidP="00714EC3">
      <w:pPr>
        <w:pStyle w:val="ListParagraph"/>
        <w:numPr>
          <w:ilvl w:val="0"/>
          <w:numId w:val="118"/>
        </w:numPr>
        <w:tabs>
          <w:tab w:val="clear" w:pos="1650"/>
        </w:tabs>
        <w:spacing w:after="120"/>
        <w:contextualSpacing w:val="0"/>
      </w:pPr>
      <w:r>
        <w:t>Do loyalty schemes that allow credits or points to be purchased present particular risks?</w:t>
      </w:r>
    </w:p>
    <w:p w14:paraId="2799341A" w14:textId="77777777" w:rsidR="00294224" w:rsidRDefault="00294224" w:rsidP="00714EC3">
      <w:pPr>
        <w:pStyle w:val="ListParagraph"/>
        <w:numPr>
          <w:ilvl w:val="0"/>
          <w:numId w:val="118"/>
        </w:numPr>
        <w:tabs>
          <w:tab w:val="clear" w:pos="1650"/>
        </w:tabs>
        <w:spacing w:after="120"/>
        <w:contextualSpacing w:val="0"/>
      </w:pPr>
      <w:r>
        <w:lastRenderedPageBreak/>
        <w:t>Should payment activities by not-for-profit/charitable and religious organisations be exempted?</w:t>
      </w:r>
    </w:p>
    <w:p w14:paraId="3B709E6A" w14:textId="77777777" w:rsidR="00294224" w:rsidRDefault="00294224" w:rsidP="00714EC3">
      <w:pPr>
        <w:pStyle w:val="ListParagraph"/>
        <w:numPr>
          <w:ilvl w:val="0"/>
          <w:numId w:val="118"/>
        </w:numPr>
        <w:tabs>
          <w:tab w:val="clear" w:pos="1650"/>
        </w:tabs>
        <w:spacing w:after="120"/>
        <w:contextualSpacing w:val="0"/>
      </w:pPr>
      <w:r>
        <w:t>Do the proposed options for streamlining licensing processes adequately balance safety with the need to foster competition in the SVF sector?</w:t>
      </w:r>
    </w:p>
    <w:p w14:paraId="6A7A2198" w14:textId="77777777" w:rsidR="00294224" w:rsidRDefault="00294224" w:rsidP="00714EC3">
      <w:pPr>
        <w:pStyle w:val="ListParagraph"/>
        <w:numPr>
          <w:ilvl w:val="0"/>
          <w:numId w:val="118"/>
        </w:numPr>
        <w:tabs>
          <w:tab w:val="clear" w:pos="1650"/>
        </w:tabs>
        <w:spacing w:after="120"/>
        <w:contextualSpacing w:val="0"/>
      </w:pPr>
      <w:r>
        <w:t>What further information or guardrails could assist a Standard SVF make a smooth transition to Major SVF?</w:t>
      </w:r>
    </w:p>
    <w:p w14:paraId="6A67C34B" w14:textId="77777777" w:rsidR="00294224" w:rsidRDefault="00294224" w:rsidP="00714EC3">
      <w:pPr>
        <w:pStyle w:val="ListParagraph"/>
        <w:numPr>
          <w:ilvl w:val="0"/>
          <w:numId w:val="118"/>
        </w:numPr>
        <w:tabs>
          <w:tab w:val="clear" w:pos="1650"/>
        </w:tabs>
        <w:spacing w:after="120"/>
        <w:contextualSpacing w:val="0"/>
      </w:pPr>
      <w:r>
        <w:t>Are the general AFS obligations fit for purpose for PSPs?</w:t>
      </w:r>
    </w:p>
    <w:p w14:paraId="29BC16D9" w14:textId="77777777" w:rsidR="00294224" w:rsidRDefault="00294224" w:rsidP="00714EC3">
      <w:pPr>
        <w:pStyle w:val="ListParagraph"/>
        <w:numPr>
          <w:ilvl w:val="0"/>
          <w:numId w:val="118"/>
        </w:numPr>
        <w:tabs>
          <w:tab w:val="clear" w:pos="1650"/>
        </w:tabs>
        <w:spacing w:after="120"/>
        <w:contextualSpacing w:val="0"/>
      </w:pPr>
      <w:r>
        <w:t>Are the general risk management obligations sufficient, or should PSPs undertaking particular functions have additional or tailored risk management obligations?</w:t>
      </w:r>
    </w:p>
    <w:p w14:paraId="2FC54D50" w14:textId="77777777" w:rsidR="00294224" w:rsidRDefault="00294224" w:rsidP="00714EC3">
      <w:pPr>
        <w:pStyle w:val="ListParagraph"/>
        <w:numPr>
          <w:ilvl w:val="0"/>
          <w:numId w:val="118"/>
        </w:numPr>
        <w:tabs>
          <w:tab w:val="clear" w:pos="1650"/>
        </w:tabs>
        <w:spacing w:after="120"/>
        <w:contextualSpacing w:val="0"/>
      </w:pPr>
      <w:r>
        <w:t>For currently unregulated PSPs, are any aspects of the financial services obligations or compliance processes disproportionately burdensome?</w:t>
      </w:r>
    </w:p>
    <w:p w14:paraId="3F33BEAB" w14:textId="77777777" w:rsidR="00294224" w:rsidRDefault="00294224" w:rsidP="00714EC3">
      <w:pPr>
        <w:pStyle w:val="ListParagraph"/>
        <w:numPr>
          <w:ilvl w:val="0"/>
          <w:numId w:val="118"/>
        </w:numPr>
        <w:tabs>
          <w:tab w:val="clear" w:pos="1650"/>
        </w:tabs>
        <w:spacing w:after="120"/>
        <w:contextualSpacing w:val="0"/>
      </w:pPr>
      <w:r>
        <w:t>Are the proposed financial requirements appropriate for PSPs? Are there particular payment functions where financial requirements should be increased, or decreased?</w:t>
      </w:r>
    </w:p>
    <w:p w14:paraId="3F268056" w14:textId="77777777" w:rsidR="00294224" w:rsidRDefault="00294224" w:rsidP="00714EC3">
      <w:pPr>
        <w:pStyle w:val="ListParagraph"/>
        <w:numPr>
          <w:ilvl w:val="0"/>
          <w:numId w:val="118"/>
        </w:numPr>
        <w:tabs>
          <w:tab w:val="clear" w:pos="1650"/>
        </w:tabs>
        <w:spacing w:after="120"/>
        <w:contextualSpacing w:val="0"/>
      </w:pPr>
      <w:r w:rsidRPr="00D05F64">
        <w:t>Are the standard compensation requirements appropriate for PSPs?</w:t>
      </w:r>
    </w:p>
    <w:p w14:paraId="43163164" w14:textId="77777777" w:rsidR="00294224" w:rsidRDefault="00294224" w:rsidP="00714EC3">
      <w:pPr>
        <w:pStyle w:val="ListParagraph"/>
        <w:numPr>
          <w:ilvl w:val="0"/>
          <w:numId w:val="118"/>
        </w:numPr>
        <w:tabs>
          <w:tab w:val="clear" w:pos="1650"/>
        </w:tabs>
        <w:spacing w:after="120"/>
        <w:contextualSpacing w:val="0"/>
      </w:pPr>
      <w:r>
        <w:t>Is the</w:t>
      </w:r>
      <w:r w:rsidRPr="00BB2372">
        <w:t xml:space="preserve"> proposed exemption to the </w:t>
      </w:r>
      <w:r>
        <w:t>hawking prohibition appropriate? Should it be broader or narrower?</w:t>
      </w:r>
    </w:p>
    <w:p w14:paraId="4571B47A" w14:textId="77777777" w:rsidR="00294224" w:rsidRDefault="00294224" w:rsidP="00714EC3">
      <w:pPr>
        <w:pStyle w:val="ListParagraph"/>
        <w:numPr>
          <w:ilvl w:val="0"/>
          <w:numId w:val="118"/>
        </w:numPr>
        <w:tabs>
          <w:tab w:val="clear" w:pos="1650"/>
        </w:tabs>
        <w:spacing w:after="120"/>
        <w:contextualSpacing w:val="0"/>
      </w:pPr>
      <w:r>
        <w:t>Should the standard disclosure requirements not apply to any particular activities, for example, gift facilities (outside the existing exclusions)?</w:t>
      </w:r>
    </w:p>
    <w:p w14:paraId="36257C6B" w14:textId="77777777" w:rsidR="00294224" w:rsidRDefault="00294224" w:rsidP="00714EC3">
      <w:pPr>
        <w:pStyle w:val="ListParagraph"/>
        <w:numPr>
          <w:ilvl w:val="0"/>
          <w:numId w:val="118"/>
        </w:numPr>
        <w:tabs>
          <w:tab w:val="clear" w:pos="1650"/>
        </w:tabs>
        <w:spacing w:after="120"/>
        <w:contextualSpacing w:val="0"/>
      </w:pPr>
      <w:r>
        <w:t xml:space="preserve">Should the ‘shorter PDS regime’ apply to any activities?  </w:t>
      </w:r>
    </w:p>
    <w:p w14:paraId="5722F561" w14:textId="77777777" w:rsidR="00294224" w:rsidRDefault="00294224" w:rsidP="00714EC3">
      <w:pPr>
        <w:pStyle w:val="ListParagraph"/>
        <w:numPr>
          <w:ilvl w:val="0"/>
          <w:numId w:val="118"/>
        </w:numPr>
        <w:tabs>
          <w:tab w:val="clear" w:pos="1650"/>
        </w:tabs>
        <w:spacing w:after="120"/>
        <w:contextualSpacing w:val="0"/>
      </w:pPr>
      <w:r>
        <w:t>How should the FSG and PDS disclosure exemptions for a facility for making non-cash payments related to a basic deposit product be updated?</w:t>
      </w:r>
    </w:p>
    <w:p w14:paraId="732C6247" w14:textId="77777777" w:rsidR="00294224" w:rsidRDefault="00294224" w:rsidP="00714EC3">
      <w:pPr>
        <w:pStyle w:val="ListParagraph"/>
        <w:numPr>
          <w:ilvl w:val="0"/>
          <w:numId w:val="118"/>
        </w:numPr>
        <w:tabs>
          <w:tab w:val="clear" w:pos="1650"/>
        </w:tabs>
        <w:spacing w:after="120"/>
        <w:contextualSpacing w:val="0"/>
      </w:pPr>
      <w:r>
        <w:t>Is the proposed approach to applying client money rules on all PSPs that hold funds appropriate? Should APRA-regulated PSPs be subject to the standard AFSL client money obligations?</w:t>
      </w:r>
    </w:p>
    <w:p w14:paraId="08C3280C" w14:textId="77777777" w:rsidR="00294224" w:rsidRDefault="00294224" w:rsidP="00714EC3">
      <w:pPr>
        <w:pStyle w:val="ListParagraph"/>
        <w:numPr>
          <w:ilvl w:val="0"/>
          <w:numId w:val="118"/>
        </w:numPr>
        <w:tabs>
          <w:tab w:val="clear" w:pos="1650"/>
        </w:tabs>
        <w:spacing w:after="120"/>
        <w:contextualSpacing w:val="0"/>
      </w:pPr>
      <w:r>
        <w:t>To ensure the effectiveness of the standard obligations for client money, are additional changes necessary to tailor the client money rules for PSPs? If so, in what fashion?</w:t>
      </w:r>
    </w:p>
    <w:p w14:paraId="41E3F75A" w14:textId="77777777" w:rsidR="00294224" w:rsidRDefault="00294224" w:rsidP="00714EC3">
      <w:pPr>
        <w:pStyle w:val="ListParagraph"/>
        <w:numPr>
          <w:ilvl w:val="0"/>
          <w:numId w:val="118"/>
        </w:numPr>
        <w:tabs>
          <w:tab w:val="clear" w:pos="1650"/>
        </w:tabs>
        <w:spacing w:after="120"/>
        <w:contextualSpacing w:val="0"/>
      </w:pPr>
      <w:r>
        <w:t>Should alternative approaches to client money rules be considered, for PSPs processing funds in transit?</w:t>
      </w:r>
    </w:p>
    <w:p w14:paraId="61950ADD" w14:textId="77777777" w:rsidR="00294224" w:rsidRDefault="00294224" w:rsidP="00714EC3">
      <w:pPr>
        <w:pStyle w:val="ListParagraph"/>
        <w:numPr>
          <w:ilvl w:val="0"/>
          <w:numId w:val="118"/>
        </w:numPr>
        <w:tabs>
          <w:tab w:val="clear" w:pos="1650"/>
        </w:tabs>
        <w:spacing w:after="120"/>
        <w:contextualSpacing w:val="0"/>
      </w:pPr>
      <w:r>
        <w:t>Are the proposed obligations for low value payment products appropriate? Should these obligations apply to low value payment activities that are not proposed to be regulated as a payment product (such as Payment Initiation Services)?</w:t>
      </w:r>
    </w:p>
    <w:p w14:paraId="2DCEB1F4" w14:textId="77777777" w:rsidR="00294224" w:rsidRDefault="00294224" w:rsidP="00714EC3">
      <w:pPr>
        <w:pStyle w:val="ListParagraph"/>
        <w:numPr>
          <w:ilvl w:val="0"/>
          <w:numId w:val="118"/>
        </w:numPr>
        <w:tabs>
          <w:tab w:val="clear" w:pos="1650"/>
        </w:tabs>
        <w:spacing w:after="120"/>
        <w:contextualSpacing w:val="0"/>
      </w:pPr>
      <w:r w:rsidRPr="00576803">
        <w:t>Are proposed amendments to the Major SVF criteria appropriate? Should there be additional criteria retained or added?</w:t>
      </w:r>
    </w:p>
    <w:p w14:paraId="6D8DA62B" w14:textId="77777777" w:rsidR="00294224" w:rsidRDefault="00294224" w:rsidP="00714EC3">
      <w:pPr>
        <w:pStyle w:val="ListParagraph"/>
        <w:numPr>
          <w:ilvl w:val="0"/>
          <w:numId w:val="118"/>
        </w:numPr>
        <w:tabs>
          <w:tab w:val="clear" w:pos="1650"/>
        </w:tabs>
        <w:spacing w:after="120"/>
        <w:contextualSpacing w:val="0"/>
      </w:pPr>
      <w:r>
        <w:t>Is the proposed Ministerial designation power to amend the size threshold for Major SVFs appropriate? Are there alternative approaches preferred?</w:t>
      </w:r>
    </w:p>
    <w:p w14:paraId="6E2CB93A" w14:textId="77777777" w:rsidR="00294224" w:rsidRDefault="00294224" w:rsidP="00714EC3">
      <w:pPr>
        <w:pStyle w:val="ListParagraph"/>
        <w:numPr>
          <w:ilvl w:val="0"/>
          <w:numId w:val="118"/>
        </w:numPr>
        <w:tabs>
          <w:tab w:val="clear" w:pos="1650"/>
        </w:tabs>
        <w:spacing w:after="120"/>
        <w:contextualSpacing w:val="0"/>
      </w:pPr>
      <w:r>
        <w:t>Is the proposed approach to allowing the Minister to designate further SVF providers or Payment Facilitation Service as being subject to APRA’s prudential regulation appropriate? Are there alternative approaches preferred?</w:t>
      </w:r>
    </w:p>
    <w:p w14:paraId="44CADEC8" w14:textId="77777777" w:rsidR="00294224" w:rsidRDefault="00294224" w:rsidP="00714EC3">
      <w:pPr>
        <w:pStyle w:val="ListParagraph"/>
        <w:numPr>
          <w:ilvl w:val="0"/>
          <w:numId w:val="118"/>
        </w:numPr>
        <w:tabs>
          <w:tab w:val="clear" w:pos="1650"/>
        </w:tabs>
        <w:spacing w:after="120"/>
        <w:contextualSpacing w:val="0"/>
      </w:pPr>
      <w:r>
        <w:lastRenderedPageBreak/>
        <w:t>In order for regulators to retain visibility and to help determine which businesses may be designated for prudential regulation, should Payment Facilitation Services be subject to ongoing reporting requirements in relation to funds held and transactions processed?</w:t>
      </w:r>
    </w:p>
    <w:p w14:paraId="3DE08AA4" w14:textId="77777777" w:rsidR="00294224" w:rsidRDefault="00294224" w:rsidP="00714EC3">
      <w:pPr>
        <w:pStyle w:val="ListParagraph"/>
        <w:numPr>
          <w:ilvl w:val="0"/>
          <w:numId w:val="118"/>
        </w:numPr>
        <w:tabs>
          <w:tab w:val="clear" w:pos="1650"/>
        </w:tabs>
        <w:spacing w:after="120"/>
        <w:contextualSpacing w:val="0"/>
      </w:pPr>
      <w:r w:rsidRPr="00F44E9D">
        <w:t>Are the additional proposed obligations for SVFs appropriate? Should SVFs be subject to prohibited activities such as a restriction on paying interest? Should consumers have a general right to redeem funds for SVF products?</w:t>
      </w:r>
    </w:p>
    <w:p w14:paraId="6A338094" w14:textId="77777777" w:rsidR="00294224" w:rsidRDefault="00294224" w:rsidP="00714EC3">
      <w:pPr>
        <w:pStyle w:val="ListParagraph"/>
        <w:numPr>
          <w:ilvl w:val="0"/>
          <w:numId w:val="118"/>
        </w:numPr>
        <w:tabs>
          <w:tab w:val="clear" w:pos="1650"/>
        </w:tabs>
        <w:spacing w:after="120"/>
        <w:contextualSpacing w:val="0"/>
      </w:pPr>
      <w:r>
        <w:t>Is the proposed extension of APRA-administered legislative powers and broader requirements appropriate for Major SVFs? Are there particular requirements that should be tailored for Major SVFs?</w:t>
      </w:r>
    </w:p>
    <w:p w14:paraId="54D8A726" w14:textId="77777777" w:rsidR="00294224" w:rsidRDefault="00294224" w:rsidP="00714EC3">
      <w:pPr>
        <w:pStyle w:val="ListParagraph"/>
        <w:numPr>
          <w:ilvl w:val="0"/>
          <w:numId w:val="118"/>
        </w:numPr>
        <w:tabs>
          <w:tab w:val="clear" w:pos="1650"/>
        </w:tabs>
        <w:spacing w:after="120"/>
        <w:contextualSpacing w:val="0"/>
      </w:pPr>
      <w:r>
        <w:t>Are</w:t>
      </w:r>
      <w:r w:rsidRPr="001D123F">
        <w:t xml:space="preserve"> the proposed </w:t>
      </w:r>
      <w:r>
        <w:t>obligations under the SVF framework appropriate for PSCs? Should there be additional obligations considered for the regulation of PSCs?</w:t>
      </w:r>
    </w:p>
    <w:p w14:paraId="16914089" w14:textId="77777777" w:rsidR="00294224" w:rsidRDefault="00294224" w:rsidP="00714EC3">
      <w:pPr>
        <w:pStyle w:val="ListParagraph"/>
        <w:numPr>
          <w:ilvl w:val="0"/>
          <w:numId w:val="118"/>
        </w:numPr>
        <w:tabs>
          <w:tab w:val="clear" w:pos="1650"/>
        </w:tabs>
        <w:spacing w:after="120"/>
        <w:contextualSpacing w:val="0"/>
      </w:pPr>
      <w:r>
        <w:t>What are the different risks associated with payments clearing and settlement? How should these be managed?</w:t>
      </w:r>
    </w:p>
    <w:p w14:paraId="5D65988A" w14:textId="77777777" w:rsidR="00294224" w:rsidRDefault="00294224" w:rsidP="00714EC3">
      <w:pPr>
        <w:pStyle w:val="ListParagraph"/>
        <w:numPr>
          <w:ilvl w:val="0"/>
          <w:numId w:val="118"/>
        </w:numPr>
        <w:tabs>
          <w:tab w:val="clear" w:pos="1650"/>
        </w:tabs>
        <w:spacing w:after="120"/>
        <w:contextualSpacing w:val="0"/>
      </w:pPr>
      <w:r>
        <w:t>The CARs are intended to increase access to payment systems while managing the risks of direct access. How can both of these objectives be achieved?</w:t>
      </w:r>
    </w:p>
    <w:p w14:paraId="1D99DEFF" w14:textId="77777777" w:rsidR="00294224" w:rsidRDefault="00294224" w:rsidP="00714EC3">
      <w:pPr>
        <w:pStyle w:val="ListParagraph"/>
        <w:numPr>
          <w:ilvl w:val="0"/>
          <w:numId w:val="118"/>
        </w:numPr>
        <w:tabs>
          <w:tab w:val="clear" w:pos="1650"/>
        </w:tabs>
        <w:spacing w:after="120"/>
        <w:contextualSpacing w:val="0"/>
      </w:pPr>
      <w:r>
        <w:t>Should CARs be legislatively mandated for all non-ADI PSPs seeking direct access for payments clearing and settlement, or should it be optional? Why?</w:t>
      </w:r>
    </w:p>
    <w:p w14:paraId="330C8F97" w14:textId="77777777" w:rsidR="00294224" w:rsidRDefault="00294224" w:rsidP="00714EC3">
      <w:pPr>
        <w:pStyle w:val="ListParagraph"/>
        <w:numPr>
          <w:ilvl w:val="0"/>
          <w:numId w:val="118"/>
        </w:numPr>
        <w:tabs>
          <w:tab w:val="clear" w:pos="1650"/>
        </w:tabs>
        <w:spacing w:after="120"/>
        <w:contextualSpacing w:val="0"/>
      </w:pPr>
      <w:r>
        <w:t xml:space="preserve">APRA would have the power to set the CARs through prudential standards setting powers. To enable effective APRA-supervision of entities subject to CARs, what other APRA powers should be extended to the CARs regime and why? For example, should it include resolutions powers, enforcement powers, directions powers and application of group regulation powers?  </w:t>
      </w:r>
    </w:p>
    <w:p w14:paraId="03ED5B1E" w14:textId="77777777" w:rsidR="00294224" w:rsidRDefault="00294224" w:rsidP="00714EC3">
      <w:pPr>
        <w:pStyle w:val="ListParagraph"/>
        <w:numPr>
          <w:ilvl w:val="0"/>
          <w:numId w:val="118"/>
        </w:numPr>
        <w:tabs>
          <w:tab w:val="clear" w:pos="1650"/>
        </w:tabs>
        <w:spacing w:after="120"/>
        <w:contextualSpacing w:val="0"/>
      </w:pPr>
      <w:r>
        <w:t xml:space="preserve">What are the issues with the current mix of voluntary standards and payment system requirements? What would be the benefits of introducing a formal framework for mandatory technical standards? What are the key reasons why the current status quo of voluntary standards is insufficient to achieve the key objectives set out in the discussion of the standard-setting framework? </w:t>
      </w:r>
    </w:p>
    <w:p w14:paraId="43CD3769" w14:textId="77777777" w:rsidR="00294224" w:rsidRDefault="00294224" w:rsidP="00714EC3">
      <w:pPr>
        <w:pStyle w:val="ListParagraph"/>
        <w:numPr>
          <w:ilvl w:val="0"/>
          <w:numId w:val="118"/>
        </w:numPr>
        <w:tabs>
          <w:tab w:val="clear" w:pos="1650"/>
        </w:tabs>
        <w:spacing w:after="120"/>
        <w:contextualSpacing w:val="0"/>
      </w:pPr>
      <w:r>
        <w:t xml:space="preserve">Is the PSRA bill definition of payment system ‘participants’ an appropriate regulatory perimeter for compliance with mandatory technical standards? </w:t>
      </w:r>
    </w:p>
    <w:p w14:paraId="32D382C0" w14:textId="77777777" w:rsidR="00294224" w:rsidRDefault="00294224" w:rsidP="00714EC3">
      <w:pPr>
        <w:pStyle w:val="ListParagraph"/>
        <w:numPr>
          <w:ilvl w:val="0"/>
          <w:numId w:val="118"/>
        </w:numPr>
        <w:tabs>
          <w:tab w:val="clear" w:pos="1650"/>
        </w:tabs>
        <w:spacing w:after="120"/>
        <w:contextualSpacing w:val="0"/>
      </w:pPr>
      <w:r>
        <w:t>Should complying with mandatory technical standards be an explicit condition for PSPs that are required to hold an AFSL?</w:t>
      </w:r>
    </w:p>
    <w:p w14:paraId="774BBDCA" w14:textId="77777777" w:rsidR="00294224" w:rsidRDefault="00294224" w:rsidP="00714EC3">
      <w:pPr>
        <w:pStyle w:val="ListParagraph"/>
        <w:numPr>
          <w:ilvl w:val="0"/>
          <w:numId w:val="118"/>
        </w:numPr>
        <w:tabs>
          <w:tab w:val="clear" w:pos="1650"/>
        </w:tabs>
        <w:spacing w:after="120"/>
        <w:contextualSpacing w:val="0"/>
      </w:pPr>
      <w:r>
        <w:t>Are there any additional criteria that should be considered when evaluating the design of the framework?</w:t>
      </w:r>
    </w:p>
    <w:p w14:paraId="2FBCD782" w14:textId="77777777" w:rsidR="00294224" w:rsidRDefault="00294224" w:rsidP="00714EC3">
      <w:pPr>
        <w:pStyle w:val="ListParagraph"/>
        <w:numPr>
          <w:ilvl w:val="0"/>
          <w:numId w:val="118"/>
        </w:numPr>
        <w:tabs>
          <w:tab w:val="clear" w:pos="1650"/>
        </w:tabs>
        <w:spacing w:after="120"/>
        <w:contextualSpacing w:val="0"/>
      </w:pPr>
      <w:r>
        <w:t>Are there any other options for the framework that should be considered; if so, why?</w:t>
      </w:r>
    </w:p>
    <w:p w14:paraId="7AA46A11" w14:textId="77777777" w:rsidR="00294224" w:rsidRDefault="00294224" w:rsidP="00714EC3">
      <w:pPr>
        <w:pStyle w:val="ListParagraph"/>
        <w:numPr>
          <w:ilvl w:val="0"/>
          <w:numId w:val="118"/>
        </w:numPr>
        <w:tabs>
          <w:tab w:val="clear" w:pos="1650"/>
        </w:tabs>
        <w:spacing w:after="120"/>
        <w:contextualSpacing w:val="0"/>
      </w:pPr>
      <w:r>
        <w:t>This paper outlines a potential variation to the proposed standard-setting framework. What are the advantages or disadvantages of this variation (where the RBA has only a veto power, compared with being required to formally approve a standard)? Which approach is preferred and why?</w:t>
      </w:r>
    </w:p>
    <w:p w14:paraId="10861832" w14:textId="77777777" w:rsidR="00294224" w:rsidRDefault="00294224" w:rsidP="00714EC3">
      <w:pPr>
        <w:pStyle w:val="ListParagraph"/>
        <w:numPr>
          <w:ilvl w:val="0"/>
          <w:numId w:val="118"/>
        </w:numPr>
        <w:tabs>
          <w:tab w:val="clear" w:pos="1650"/>
        </w:tabs>
        <w:spacing w:after="120"/>
        <w:contextualSpacing w:val="0"/>
      </w:pPr>
      <w:r>
        <w:t>It is proposed that the ASSB is responsible for enforcement of minor breaches. Which body is best placed to resolve appeals to the ASSB’s enforcement decisions?</w:t>
      </w:r>
    </w:p>
    <w:p w14:paraId="035B001F" w14:textId="77777777" w:rsidR="00294224" w:rsidRDefault="00294224" w:rsidP="00714EC3">
      <w:pPr>
        <w:pStyle w:val="ListParagraph"/>
        <w:numPr>
          <w:ilvl w:val="0"/>
          <w:numId w:val="118"/>
        </w:numPr>
        <w:tabs>
          <w:tab w:val="clear" w:pos="1650"/>
        </w:tabs>
        <w:spacing w:after="120"/>
        <w:contextualSpacing w:val="0"/>
      </w:pPr>
      <w:r>
        <w:lastRenderedPageBreak/>
        <w:t>Do you agree with the proposed scope for mandatory technical standards developed by an ASSB? Are there any type of technical standards that should not be within the scope of the ASSB?</w:t>
      </w:r>
    </w:p>
    <w:p w14:paraId="55206374" w14:textId="77777777" w:rsidR="00294224" w:rsidRDefault="00294224" w:rsidP="00714EC3">
      <w:pPr>
        <w:pStyle w:val="ListParagraph"/>
        <w:numPr>
          <w:ilvl w:val="0"/>
          <w:numId w:val="118"/>
        </w:numPr>
        <w:tabs>
          <w:tab w:val="clear" w:pos="1650"/>
        </w:tabs>
        <w:spacing w:after="120"/>
        <w:contextualSpacing w:val="0"/>
      </w:pPr>
      <w:r>
        <w:t>This paper proposes that the ASSB seek authorisation from the ACCC for a technical standard where necessary. Are there any issues with this approach, and if so, how might these be resolved?</w:t>
      </w:r>
    </w:p>
    <w:p w14:paraId="569429D6" w14:textId="77777777" w:rsidR="00294224" w:rsidRDefault="00294224" w:rsidP="00714EC3">
      <w:pPr>
        <w:pStyle w:val="ListParagraph"/>
        <w:numPr>
          <w:ilvl w:val="0"/>
          <w:numId w:val="118"/>
        </w:numPr>
        <w:tabs>
          <w:tab w:val="clear" w:pos="1650"/>
        </w:tabs>
        <w:spacing w:after="120"/>
        <w:contextualSpacing w:val="0"/>
      </w:pPr>
      <w:r>
        <w:t xml:space="preserve">What should be considered ‘major breaches’ versus ‘minor breaches’ under the mandatory technical standards regime? </w:t>
      </w:r>
    </w:p>
    <w:p w14:paraId="0D15E8A3" w14:textId="77777777" w:rsidR="00294224" w:rsidRDefault="00294224" w:rsidP="00714EC3">
      <w:pPr>
        <w:pStyle w:val="ListParagraph"/>
        <w:numPr>
          <w:ilvl w:val="0"/>
          <w:numId w:val="118"/>
        </w:numPr>
        <w:tabs>
          <w:tab w:val="clear" w:pos="1650"/>
        </w:tabs>
        <w:spacing w:after="120"/>
        <w:contextualSpacing w:val="0"/>
      </w:pPr>
      <w:r>
        <w:t>What are the appropriate penalties for a major breach of technical standards?</w:t>
      </w:r>
    </w:p>
    <w:p w14:paraId="1C8A6C4A" w14:textId="77777777" w:rsidR="00294224" w:rsidRDefault="00294224" w:rsidP="00714EC3">
      <w:pPr>
        <w:pStyle w:val="ListParagraph"/>
        <w:numPr>
          <w:ilvl w:val="0"/>
          <w:numId w:val="118"/>
        </w:numPr>
        <w:tabs>
          <w:tab w:val="clear" w:pos="1650"/>
        </w:tabs>
        <w:spacing w:after="120"/>
        <w:contextualSpacing w:val="0"/>
      </w:pPr>
      <w:r>
        <w:t>How should the mandatory technical standard-setting framework be funded?</w:t>
      </w:r>
    </w:p>
    <w:p w14:paraId="056919C5" w14:textId="77777777" w:rsidR="00294224" w:rsidRDefault="00294224" w:rsidP="00714EC3">
      <w:pPr>
        <w:pStyle w:val="ListParagraph"/>
        <w:numPr>
          <w:ilvl w:val="0"/>
          <w:numId w:val="118"/>
        </w:numPr>
        <w:tabs>
          <w:tab w:val="clear" w:pos="1650"/>
        </w:tabs>
        <w:spacing w:after="120"/>
        <w:contextualSpacing w:val="0"/>
      </w:pPr>
      <w:r>
        <w:t>Is the proposed application of the Minister’s rule-making power for the ePayments Code appropriate?</w:t>
      </w:r>
    </w:p>
    <w:p w14:paraId="2C0E479A" w14:textId="77777777" w:rsidR="00294224" w:rsidRDefault="00294224" w:rsidP="00714EC3">
      <w:pPr>
        <w:pStyle w:val="ListParagraph"/>
        <w:numPr>
          <w:ilvl w:val="0"/>
          <w:numId w:val="118"/>
        </w:numPr>
        <w:tabs>
          <w:tab w:val="clear" w:pos="1650"/>
        </w:tabs>
        <w:spacing w:after="120"/>
        <w:contextualSpacing w:val="0"/>
      </w:pPr>
      <w:r>
        <w:t>Are the proposed subject matters for the Minister’s rule-making power for the ePayments Code appropriate? Are there technical matters that are better dealt with through an ASIC rule-making power or by the ASSB?</w:t>
      </w:r>
    </w:p>
    <w:p w14:paraId="3ADD98CA" w14:textId="77777777" w:rsidR="00294224" w:rsidRDefault="00294224" w:rsidP="00714EC3">
      <w:pPr>
        <w:pStyle w:val="ListParagraph"/>
        <w:numPr>
          <w:ilvl w:val="0"/>
          <w:numId w:val="118"/>
        </w:numPr>
        <w:tabs>
          <w:tab w:val="clear" w:pos="1650"/>
        </w:tabs>
        <w:spacing w:after="120"/>
        <w:contextualSpacing w:val="0"/>
      </w:pPr>
      <w:r>
        <w:t>Are there additional areas to consider in ensuring appropriate interaction between the proposed Scams Code Framework and the ePayments Code?</w:t>
      </w:r>
    </w:p>
    <w:p w14:paraId="623B5FE9" w14:textId="77777777" w:rsidR="00294224" w:rsidRDefault="00294224" w:rsidP="00714EC3">
      <w:pPr>
        <w:pStyle w:val="ListParagraph"/>
        <w:numPr>
          <w:ilvl w:val="0"/>
          <w:numId w:val="118"/>
        </w:numPr>
        <w:tabs>
          <w:tab w:val="clear" w:pos="1650"/>
        </w:tabs>
        <w:spacing w:after="120"/>
        <w:contextualSpacing w:val="0"/>
      </w:pPr>
      <w:r>
        <w:t>Is the proposed transition period (18 months) an adequate grace period for new prospective licensees?</w:t>
      </w:r>
    </w:p>
    <w:p w14:paraId="6E78138C" w14:textId="7F4E9216" w:rsidR="00D7198A" w:rsidRDefault="00D7198A" w:rsidP="00714EC3">
      <w:pPr>
        <w:pStyle w:val="ListParagraph"/>
        <w:numPr>
          <w:ilvl w:val="0"/>
          <w:numId w:val="118"/>
        </w:numPr>
        <w:tabs>
          <w:tab w:val="clear" w:pos="1650"/>
        </w:tabs>
        <w:spacing w:after="120"/>
        <w:contextualSpacing w:val="0"/>
      </w:pPr>
      <w:r>
        <w:t>Is the proposed grandfathering process for existing AFS licensees adequate? Are there additional transition issues that should be addressed for existing AFS licensees and PPFs</w:t>
      </w:r>
      <w:r w:rsidR="00A77DBD">
        <w:t>?</w:t>
      </w:r>
    </w:p>
    <w:p w14:paraId="275F2469" w14:textId="23D05D2A" w:rsidR="009D53C6" w:rsidRDefault="009D53C6" w:rsidP="00E42AA2">
      <w:r>
        <w:br w:type="page"/>
      </w:r>
    </w:p>
    <w:p w14:paraId="442CAD57" w14:textId="09A474A6" w:rsidR="0080587F" w:rsidRDefault="009D53C6" w:rsidP="00BF761E">
      <w:pPr>
        <w:pStyle w:val="Heading1"/>
        <w:numPr>
          <w:ilvl w:val="0"/>
          <w:numId w:val="0"/>
        </w:numPr>
        <w:jc w:val="both"/>
      </w:pPr>
      <w:bookmarkStart w:id="230" w:name="_Toc149230998"/>
      <w:bookmarkStart w:id="231" w:name="_Toc152847669"/>
      <w:r>
        <w:lastRenderedPageBreak/>
        <w:t xml:space="preserve">Appendix 2 </w:t>
      </w:r>
      <w:r w:rsidR="0080587F">
        <w:t>–</w:t>
      </w:r>
      <w:r>
        <w:t xml:space="preserve"> Glossary</w:t>
      </w:r>
      <w:bookmarkEnd w:id="230"/>
      <w:bookmarkEnd w:id="231"/>
    </w:p>
    <w:tbl>
      <w:tblPr>
        <w:tblW w:w="8923"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978"/>
        <w:gridCol w:w="6945"/>
      </w:tblGrid>
      <w:tr w:rsidR="002B179F" w:rsidRPr="00333A22" w14:paraId="4E77C805" w14:textId="77777777" w:rsidTr="00744410">
        <w:tc>
          <w:tcPr>
            <w:tcW w:w="1978" w:type="dxa"/>
            <w:tcBorders>
              <w:top w:val="single" w:sz="6" w:space="0" w:color="auto"/>
              <w:left w:val="single" w:sz="6" w:space="0" w:color="auto"/>
              <w:bottom w:val="single" w:sz="6" w:space="0" w:color="auto"/>
              <w:right w:val="single" w:sz="6" w:space="0" w:color="auto"/>
            </w:tcBorders>
            <w:shd w:val="clear" w:color="auto" w:fill="002C47"/>
          </w:tcPr>
          <w:p w14:paraId="1A36025B" w14:textId="77777777" w:rsidR="0080587F" w:rsidRPr="0076699D" w:rsidRDefault="0080587F" w:rsidP="00D76545">
            <w:pPr>
              <w:pStyle w:val="BoxHeading"/>
              <w:rPr>
                <w:b w:val="0"/>
                <w:color w:val="FFFFFF" w:themeColor="background1"/>
              </w:rPr>
            </w:pPr>
            <w:r w:rsidRPr="0076699D">
              <w:rPr>
                <w:b w:val="0"/>
                <w:color w:val="FFFFFF" w:themeColor="background1"/>
              </w:rPr>
              <w:t>Term</w:t>
            </w:r>
          </w:p>
        </w:tc>
        <w:tc>
          <w:tcPr>
            <w:tcW w:w="6945" w:type="dxa"/>
            <w:tcBorders>
              <w:top w:val="single" w:sz="6" w:space="0" w:color="auto"/>
              <w:left w:val="single" w:sz="6" w:space="0" w:color="auto"/>
              <w:bottom w:val="single" w:sz="6" w:space="0" w:color="auto"/>
              <w:right w:val="single" w:sz="6" w:space="0" w:color="auto"/>
            </w:tcBorders>
            <w:shd w:val="clear" w:color="auto" w:fill="002C47"/>
          </w:tcPr>
          <w:p w14:paraId="2505115C" w14:textId="77777777" w:rsidR="0080587F" w:rsidRPr="0076699D" w:rsidRDefault="0080587F" w:rsidP="00D76545">
            <w:pPr>
              <w:pStyle w:val="BoxHeading"/>
              <w:rPr>
                <w:b w:val="0"/>
                <w:color w:val="FFFFFF" w:themeColor="background1"/>
              </w:rPr>
            </w:pPr>
            <w:r w:rsidRPr="0076699D">
              <w:rPr>
                <w:b w:val="0"/>
                <w:color w:val="FFFFFF" w:themeColor="background1"/>
              </w:rPr>
              <w:t>Definition</w:t>
            </w:r>
          </w:p>
        </w:tc>
      </w:tr>
      <w:tr w:rsidR="0080587F" w:rsidRPr="00E03D4D" w14:paraId="383C5AFD" w14:textId="77777777" w:rsidTr="00744410">
        <w:tc>
          <w:tcPr>
            <w:tcW w:w="1978" w:type="dxa"/>
            <w:tcBorders>
              <w:top w:val="single" w:sz="6" w:space="0" w:color="auto"/>
              <w:left w:val="single" w:sz="6" w:space="0" w:color="auto"/>
              <w:bottom w:val="single" w:sz="6" w:space="0" w:color="auto"/>
              <w:right w:val="single" w:sz="6" w:space="0" w:color="auto"/>
            </w:tcBorders>
            <w:shd w:val="clear" w:color="auto" w:fill="auto"/>
          </w:tcPr>
          <w:p w14:paraId="5ECCA26F" w14:textId="0ACC4A92" w:rsidR="0080587F" w:rsidRPr="0076699D" w:rsidRDefault="0080587F" w:rsidP="00E42AA2">
            <w:pPr>
              <w:rPr>
                <w:sz w:val="18"/>
                <w:szCs w:val="18"/>
              </w:rPr>
            </w:pPr>
            <w:r w:rsidRPr="0076699D">
              <w:rPr>
                <w:sz w:val="18"/>
                <w:szCs w:val="18"/>
              </w:rPr>
              <w:t>Australian Financial Services Licen</w:t>
            </w:r>
            <w:r w:rsidR="000A3EDE" w:rsidRPr="0076699D">
              <w:rPr>
                <w:sz w:val="18"/>
                <w:szCs w:val="18"/>
              </w:rPr>
              <w:t>c</w:t>
            </w:r>
            <w:r w:rsidRPr="0076699D">
              <w:rPr>
                <w:sz w:val="18"/>
                <w:szCs w:val="18"/>
              </w:rPr>
              <w:t xml:space="preserve">e (AFSL) </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6B8068AB" w14:textId="36CE73EF" w:rsidR="0080587F" w:rsidRPr="0076699D" w:rsidRDefault="0080587F" w:rsidP="00E42AA2">
            <w:pPr>
              <w:rPr>
                <w:sz w:val="18"/>
                <w:szCs w:val="18"/>
              </w:rPr>
            </w:pPr>
            <w:r w:rsidRPr="0076699D">
              <w:rPr>
                <w:sz w:val="18"/>
                <w:szCs w:val="18"/>
              </w:rPr>
              <w:t>This licen</w:t>
            </w:r>
            <w:r w:rsidR="000A3EDE" w:rsidRPr="0076699D">
              <w:rPr>
                <w:sz w:val="18"/>
                <w:szCs w:val="18"/>
              </w:rPr>
              <w:t>c</w:t>
            </w:r>
            <w:r w:rsidRPr="0076699D">
              <w:rPr>
                <w:sz w:val="18"/>
                <w:szCs w:val="18"/>
              </w:rPr>
              <w:t>e must be held by businesses that provide financial services. The licen</w:t>
            </w:r>
            <w:r w:rsidR="000A3EDE" w:rsidRPr="0076699D">
              <w:rPr>
                <w:sz w:val="18"/>
                <w:szCs w:val="18"/>
              </w:rPr>
              <w:t>c</w:t>
            </w:r>
            <w:r w:rsidRPr="0076699D">
              <w:rPr>
                <w:sz w:val="18"/>
                <w:szCs w:val="18"/>
              </w:rPr>
              <w:t xml:space="preserve">e is administered by ASIC. </w:t>
            </w:r>
          </w:p>
        </w:tc>
      </w:tr>
      <w:tr w:rsidR="0080587F" w:rsidRPr="00E03D4D" w14:paraId="247BC305" w14:textId="77777777" w:rsidTr="00744410">
        <w:tc>
          <w:tcPr>
            <w:tcW w:w="1978" w:type="dxa"/>
            <w:tcBorders>
              <w:top w:val="single" w:sz="6" w:space="0" w:color="auto"/>
              <w:left w:val="single" w:sz="6" w:space="0" w:color="auto"/>
              <w:bottom w:val="single" w:sz="6" w:space="0" w:color="auto"/>
              <w:right w:val="single" w:sz="6" w:space="0" w:color="auto"/>
            </w:tcBorders>
            <w:shd w:val="clear" w:color="auto" w:fill="auto"/>
          </w:tcPr>
          <w:p w14:paraId="7E7B60EA" w14:textId="0A3E8857" w:rsidR="0080587F" w:rsidRPr="0076699D" w:rsidRDefault="0080587F" w:rsidP="00E42AA2">
            <w:pPr>
              <w:rPr>
                <w:sz w:val="18"/>
                <w:szCs w:val="18"/>
              </w:rPr>
            </w:pPr>
            <w:r w:rsidRPr="0076699D">
              <w:rPr>
                <w:sz w:val="18"/>
                <w:szCs w:val="18"/>
              </w:rPr>
              <w:t>Authorised Deposit</w:t>
            </w:r>
            <w:r w:rsidR="00A210BC">
              <w:rPr>
                <w:sz w:val="18"/>
                <w:szCs w:val="18"/>
              </w:rPr>
              <w:t>-t</w:t>
            </w:r>
            <w:r w:rsidRPr="0076699D">
              <w:rPr>
                <w:sz w:val="18"/>
                <w:szCs w:val="18"/>
              </w:rPr>
              <w:t>aking Institution (ADI)</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5E41FC5F" w14:textId="77777777" w:rsidR="0080587F" w:rsidRPr="0076699D" w:rsidRDefault="0080587F" w:rsidP="00E42AA2">
            <w:pPr>
              <w:rPr>
                <w:sz w:val="18"/>
                <w:szCs w:val="18"/>
              </w:rPr>
            </w:pPr>
            <w:r w:rsidRPr="0076699D">
              <w:rPr>
                <w:sz w:val="18"/>
                <w:szCs w:val="18"/>
              </w:rPr>
              <w:t>A financial institution licensed by APRA to carry on banking business, including accepting deposits from the public.</w:t>
            </w:r>
          </w:p>
        </w:tc>
      </w:tr>
      <w:tr w:rsidR="0080587F" w:rsidRPr="00E03D4D" w14:paraId="49944FC4" w14:textId="77777777" w:rsidTr="00744410">
        <w:tc>
          <w:tcPr>
            <w:tcW w:w="1978" w:type="dxa"/>
            <w:tcBorders>
              <w:top w:val="single" w:sz="6" w:space="0" w:color="auto"/>
              <w:left w:val="single" w:sz="6" w:space="0" w:color="auto"/>
              <w:bottom w:val="single" w:sz="6" w:space="0" w:color="auto"/>
              <w:right w:val="single" w:sz="6" w:space="0" w:color="auto"/>
            </w:tcBorders>
            <w:shd w:val="clear" w:color="auto" w:fill="auto"/>
          </w:tcPr>
          <w:p w14:paraId="3AF56FFB" w14:textId="5375B8DA" w:rsidR="0080587F" w:rsidRPr="0076699D" w:rsidRDefault="0080587F" w:rsidP="00E42AA2">
            <w:pPr>
              <w:rPr>
                <w:sz w:val="18"/>
                <w:szCs w:val="18"/>
              </w:rPr>
            </w:pPr>
            <w:r w:rsidRPr="0076699D">
              <w:rPr>
                <w:sz w:val="18"/>
                <w:szCs w:val="18"/>
              </w:rPr>
              <w:t xml:space="preserve">Authorised industry standard-setting body </w:t>
            </w:r>
            <w:r w:rsidR="0037152F" w:rsidRPr="0076699D">
              <w:rPr>
                <w:sz w:val="18"/>
                <w:szCs w:val="18"/>
              </w:rPr>
              <w:t>(ASSB)</w:t>
            </w:r>
            <w:r w:rsidRPr="0076699D">
              <w:rPr>
                <w:sz w:val="18"/>
                <w:szCs w:val="18"/>
              </w:rPr>
              <w:t xml:space="preserve"> </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74D5CFDD" w14:textId="169B2E17" w:rsidR="0080587F" w:rsidRPr="0076699D" w:rsidRDefault="008B7363" w:rsidP="00E42AA2">
            <w:pPr>
              <w:rPr>
                <w:sz w:val="18"/>
                <w:szCs w:val="18"/>
              </w:rPr>
            </w:pPr>
            <w:r w:rsidRPr="0076699D">
              <w:rPr>
                <w:sz w:val="18"/>
                <w:szCs w:val="18"/>
              </w:rPr>
              <w:t>Industry</w:t>
            </w:r>
            <w:r w:rsidR="0080587F" w:rsidRPr="0076699D">
              <w:rPr>
                <w:sz w:val="18"/>
                <w:szCs w:val="18"/>
              </w:rPr>
              <w:t xml:space="preserve"> bodies that are authorised by the RBA for the purpose of setting technical standards for </w:t>
            </w:r>
            <w:r w:rsidR="00AC1EB8" w:rsidRPr="0076699D">
              <w:rPr>
                <w:sz w:val="18"/>
                <w:szCs w:val="18"/>
              </w:rPr>
              <w:t xml:space="preserve">licence </w:t>
            </w:r>
            <w:r w:rsidR="0080587F" w:rsidRPr="0076699D">
              <w:rPr>
                <w:sz w:val="18"/>
                <w:szCs w:val="18"/>
              </w:rPr>
              <w:t xml:space="preserve">holders under the </w:t>
            </w:r>
            <w:r w:rsidR="000741DE" w:rsidRPr="0076699D">
              <w:rPr>
                <w:sz w:val="18"/>
                <w:szCs w:val="18"/>
              </w:rPr>
              <w:t>reforms</w:t>
            </w:r>
            <w:r w:rsidR="0080587F" w:rsidRPr="0076699D">
              <w:rPr>
                <w:sz w:val="18"/>
                <w:szCs w:val="18"/>
              </w:rPr>
              <w:t xml:space="preserve">. </w:t>
            </w:r>
          </w:p>
        </w:tc>
      </w:tr>
      <w:tr w:rsidR="0080587F" w:rsidRPr="00E03D4D" w14:paraId="5FE84660" w14:textId="77777777" w:rsidTr="00744410">
        <w:tc>
          <w:tcPr>
            <w:tcW w:w="1978" w:type="dxa"/>
            <w:tcBorders>
              <w:top w:val="single" w:sz="6" w:space="0" w:color="auto"/>
              <w:left w:val="single" w:sz="6" w:space="0" w:color="auto"/>
              <w:bottom w:val="single" w:sz="6" w:space="0" w:color="auto"/>
              <w:right w:val="single" w:sz="6" w:space="0" w:color="auto"/>
            </w:tcBorders>
            <w:shd w:val="clear" w:color="auto" w:fill="auto"/>
          </w:tcPr>
          <w:p w14:paraId="59C4DD0E" w14:textId="77777777" w:rsidR="0080587F" w:rsidRPr="0076699D" w:rsidRDefault="0080587F" w:rsidP="00E42AA2">
            <w:pPr>
              <w:rPr>
                <w:sz w:val="18"/>
                <w:szCs w:val="18"/>
              </w:rPr>
            </w:pPr>
            <w:r w:rsidRPr="0076699D">
              <w:rPr>
                <w:sz w:val="18"/>
                <w:szCs w:val="18"/>
              </w:rPr>
              <w:t>Common access requirements</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70614D88" w14:textId="7F6D9FF0" w:rsidR="0080587F" w:rsidRPr="0076699D" w:rsidRDefault="0080587F" w:rsidP="00E42AA2">
            <w:pPr>
              <w:rPr>
                <w:sz w:val="18"/>
                <w:szCs w:val="18"/>
              </w:rPr>
            </w:pPr>
            <w:r w:rsidRPr="0076699D">
              <w:rPr>
                <w:sz w:val="18"/>
                <w:szCs w:val="18"/>
              </w:rPr>
              <w:t xml:space="preserve">A set of common requirements, that will help enable </w:t>
            </w:r>
            <w:r w:rsidR="001871C9" w:rsidRPr="0076699D">
              <w:rPr>
                <w:sz w:val="18"/>
                <w:szCs w:val="18"/>
              </w:rPr>
              <w:t xml:space="preserve">non-ADI PSPs to get </w:t>
            </w:r>
            <w:r w:rsidRPr="0076699D">
              <w:rPr>
                <w:sz w:val="18"/>
                <w:szCs w:val="18"/>
              </w:rPr>
              <w:t>direct access to Australian payment systems</w:t>
            </w:r>
            <w:r w:rsidR="001871C9" w:rsidRPr="0076699D">
              <w:rPr>
                <w:sz w:val="18"/>
                <w:szCs w:val="18"/>
              </w:rPr>
              <w:t xml:space="preserve"> to clear and settle payments</w:t>
            </w:r>
            <w:r w:rsidRPr="0076699D">
              <w:rPr>
                <w:sz w:val="18"/>
                <w:szCs w:val="18"/>
              </w:rPr>
              <w:t xml:space="preserve">. </w:t>
            </w:r>
          </w:p>
        </w:tc>
      </w:tr>
      <w:tr w:rsidR="00B9760E" w:rsidRPr="00E03D4D" w14:paraId="1D591A85" w14:textId="77777777" w:rsidTr="00744410">
        <w:tc>
          <w:tcPr>
            <w:tcW w:w="1978" w:type="dxa"/>
            <w:tcBorders>
              <w:top w:val="single" w:sz="6" w:space="0" w:color="auto"/>
              <w:left w:val="single" w:sz="6" w:space="0" w:color="auto"/>
              <w:bottom w:val="single" w:sz="6" w:space="0" w:color="auto"/>
              <w:right w:val="single" w:sz="6" w:space="0" w:color="auto"/>
            </w:tcBorders>
            <w:shd w:val="clear" w:color="auto" w:fill="auto"/>
          </w:tcPr>
          <w:p w14:paraId="309A1814" w14:textId="3B71E7AE" w:rsidR="00B9760E" w:rsidRPr="00B9760E" w:rsidRDefault="00B9760E" w:rsidP="00B9760E">
            <w:pPr>
              <w:rPr>
                <w:sz w:val="18"/>
                <w:szCs w:val="18"/>
              </w:rPr>
            </w:pPr>
            <w:r w:rsidRPr="006A282F" w:rsidDel="00340CFD">
              <w:rPr>
                <w:sz w:val="18"/>
                <w:szCs w:val="18"/>
              </w:rPr>
              <w:t>Consumer Data Right (CDR)</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229A87D1" w14:textId="1BD1DB59" w:rsidR="00B9760E" w:rsidRPr="00B9760E" w:rsidRDefault="00B9760E" w:rsidP="00B9760E">
            <w:pPr>
              <w:rPr>
                <w:sz w:val="18"/>
                <w:szCs w:val="18"/>
              </w:rPr>
            </w:pPr>
            <w:r w:rsidRPr="006A282F" w:rsidDel="00340CFD">
              <w:rPr>
                <w:sz w:val="18"/>
                <w:szCs w:val="18"/>
              </w:rPr>
              <w:t xml:space="preserve">The Consumer Data Right (CDR) </w:t>
            </w:r>
            <w:r w:rsidRPr="006A282F">
              <w:rPr>
                <w:sz w:val="18"/>
                <w:szCs w:val="18"/>
              </w:rPr>
              <w:t>is a regulatory framework that enables consumers (including individuals and business customers) to more safely share the data Australian businesses hold about them for their own benefit.</w:t>
            </w:r>
          </w:p>
        </w:tc>
      </w:tr>
      <w:tr w:rsidR="0080587F" w:rsidRPr="00E03D4D" w14:paraId="2EB23AAF" w14:textId="77777777" w:rsidTr="00744410">
        <w:tc>
          <w:tcPr>
            <w:tcW w:w="1978" w:type="dxa"/>
            <w:tcBorders>
              <w:top w:val="single" w:sz="6" w:space="0" w:color="auto"/>
              <w:left w:val="single" w:sz="6" w:space="0" w:color="auto"/>
              <w:bottom w:val="single" w:sz="6" w:space="0" w:color="auto"/>
              <w:right w:val="single" w:sz="6" w:space="0" w:color="auto"/>
            </w:tcBorders>
            <w:shd w:val="clear" w:color="auto" w:fill="auto"/>
          </w:tcPr>
          <w:p w14:paraId="30A436A2" w14:textId="77777777" w:rsidR="0080587F" w:rsidRPr="0076699D" w:rsidRDefault="0080587F" w:rsidP="00E42AA2">
            <w:pPr>
              <w:rPr>
                <w:sz w:val="18"/>
                <w:szCs w:val="18"/>
              </w:rPr>
            </w:pPr>
            <w:r w:rsidRPr="0076699D">
              <w:rPr>
                <w:sz w:val="18"/>
                <w:szCs w:val="18"/>
              </w:rPr>
              <w:t>Council of Financial Regulators (CFR)</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26D0AE0F" w14:textId="67D85D5D" w:rsidR="0080587F" w:rsidRPr="0076699D" w:rsidRDefault="0080587F" w:rsidP="00E42AA2">
            <w:pPr>
              <w:rPr>
                <w:sz w:val="18"/>
                <w:szCs w:val="18"/>
              </w:rPr>
            </w:pPr>
            <w:r w:rsidRPr="0076699D">
              <w:rPr>
                <w:sz w:val="18"/>
                <w:szCs w:val="18"/>
              </w:rPr>
              <w:t xml:space="preserve">The </w:t>
            </w:r>
            <w:r w:rsidR="004F2398" w:rsidRPr="0076699D">
              <w:rPr>
                <w:sz w:val="18"/>
                <w:szCs w:val="18"/>
              </w:rPr>
              <w:t>c</w:t>
            </w:r>
            <w:r w:rsidRPr="0076699D">
              <w:rPr>
                <w:sz w:val="18"/>
                <w:szCs w:val="18"/>
              </w:rPr>
              <w:t>ouncil is the coordinating body for Australia’s main financial regulatory agencies.</w:t>
            </w:r>
          </w:p>
        </w:tc>
      </w:tr>
      <w:tr w:rsidR="003400F6" w:rsidRPr="00E03D4D" w14:paraId="217A2EFC" w14:textId="77777777" w:rsidTr="00744410">
        <w:tc>
          <w:tcPr>
            <w:tcW w:w="1978" w:type="dxa"/>
            <w:tcBorders>
              <w:top w:val="single" w:sz="6" w:space="0" w:color="auto"/>
              <w:left w:val="single" w:sz="6" w:space="0" w:color="auto"/>
              <w:bottom w:val="single" w:sz="6" w:space="0" w:color="auto"/>
              <w:right w:val="single" w:sz="6" w:space="0" w:color="auto"/>
            </w:tcBorders>
            <w:shd w:val="clear" w:color="auto" w:fill="auto"/>
          </w:tcPr>
          <w:p w14:paraId="434D5183" w14:textId="43913F64" w:rsidR="003400F6" w:rsidRPr="0076699D" w:rsidRDefault="003400F6" w:rsidP="00E42AA2">
            <w:pPr>
              <w:rPr>
                <w:sz w:val="18"/>
                <w:szCs w:val="18"/>
              </w:rPr>
            </w:pPr>
            <w:r>
              <w:rPr>
                <w:sz w:val="18"/>
                <w:szCs w:val="18"/>
              </w:rPr>
              <w:t>Customer</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3EC1B4A0" w14:textId="6C9C904B" w:rsidR="003400F6" w:rsidRPr="00D974B5" w:rsidRDefault="003400F6" w:rsidP="00D974B5">
            <w:pPr>
              <w:rPr>
                <w:sz w:val="18"/>
                <w:szCs w:val="18"/>
              </w:rPr>
            </w:pPr>
            <w:r w:rsidRPr="00D974B5">
              <w:rPr>
                <w:sz w:val="18"/>
                <w:szCs w:val="18"/>
              </w:rPr>
              <w:t xml:space="preserve">A person or business seeking to direct a payment transaction in his or her name, or in the name of the business. </w:t>
            </w:r>
          </w:p>
          <w:p w14:paraId="083CD9BF" w14:textId="77777777" w:rsidR="003400F6" w:rsidRPr="0076699D" w:rsidRDefault="003400F6" w:rsidP="00E42AA2">
            <w:pPr>
              <w:rPr>
                <w:sz w:val="18"/>
                <w:szCs w:val="18"/>
              </w:rPr>
            </w:pPr>
          </w:p>
        </w:tc>
      </w:tr>
      <w:tr w:rsidR="0080587F" w:rsidRPr="00E03D4D" w14:paraId="1231C2C7" w14:textId="77777777" w:rsidTr="00744410">
        <w:tc>
          <w:tcPr>
            <w:tcW w:w="1978" w:type="dxa"/>
            <w:tcBorders>
              <w:top w:val="single" w:sz="6" w:space="0" w:color="auto"/>
              <w:left w:val="single" w:sz="6" w:space="0" w:color="auto"/>
              <w:bottom w:val="single" w:sz="6" w:space="0" w:color="auto"/>
              <w:right w:val="single" w:sz="6" w:space="0" w:color="auto"/>
            </w:tcBorders>
            <w:shd w:val="clear" w:color="auto" w:fill="auto"/>
          </w:tcPr>
          <w:p w14:paraId="5D4675A3" w14:textId="3B9211E6" w:rsidR="0080587F" w:rsidRPr="0076699D" w:rsidRDefault="0080587F" w:rsidP="00E42AA2">
            <w:pPr>
              <w:rPr>
                <w:sz w:val="18"/>
                <w:szCs w:val="18"/>
              </w:rPr>
            </w:pPr>
            <w:r w:rsidRPr="0076699D">
              <w:rPr>
                <w:sz w:val="18"/>
                <w:szCs w:val="18"/>
              </w:rPr>
              <w:t xml:space="preserve">ePayments </w:t>
            </w:r>
            <w:r w:rsidR="00313711">
              <w:rPr>
                <w:sz w:val="18"/>
                <w:szCs w:val="18"/>
              </w:rPr>
              <w:t>C</w:t>
            </w:r>
            <w:r w:rsidR="00313711" w:rsidRPr="0076699D">
              <w:rPr>
                <w:sz w:val="18"/>
                <w:szCs w:val="18"/>
              </w:rPr>
              <w:t xml:space="preserve">ode </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731BD53D" w14:textId="77777777" w:rsidR="0080587F" w:rsidRPr="0076699D" w:rsidRDefault="0080587F" w:rsidP="00E42AA2">
            <w:pPr>
              <w:rPr>
                <w:sz w:val="18"/>
                <w:szCs w:val="18"/>
              </w:rPr>
            </w:pPr>
            <w:r w:rsidRPr="0076699D">
              <w:rPr>
                <w:sz w:val="18"/>
                <w:szCs w:val="18"/>
              </w:rPr>
              <w:t>A voluntary code that applies to electronic payments including ATM, EFTPOS, credit card, online payments, internet and mobile banking. The code is administered by ASIC. Amongst other protections, the code establishes processes for unauthorised transactions and mistaken payments.</w:t>
            </w:r>
          </w:p>
          <w:p w14:paraId="0DD07C00" w14:textId="1C0FE9C2" w:rsidR="0080587F" w:rsidRPr="0076699D" w:rsidRDefault="0080587F" w:rsidP="00E42AA2">
            <w:pPr>
              <w:rPr>
                <w:sz w:val="18"/>
                <w:szCs w:val="18"/>
              </w:rPr>
            </w:pPr>
            <w:r w:rsidRPr="0076699D">
              <w:rPr>
                <w:sz w:val="18"/>
                <w:szCs w:val="18"/>
              </w:rPr>
              <w:t xml:space="preserve">The Government will consult further to determine how the ePayments </w:t>
            </w:r>
            <w:r w:rsidR="002B60DE">
              <w:rPr>
                <w:sz w:val="18"/>
                <w:szCs w:val="18"/>
              </w:rPr>
              <w:t>C</w:t>
            </w:r>
            <w:r w:rsidR="008D3608" w:rsidRPr="0076699D">
              <w:rPr>
                <w:sz w:val="18"/>
                <w:szCs w:val="18"/>
              </w:rPr>
              <w:t xml:space="preserve">ode </w:t>
            </w:r>
            <w:r w:rsidRPr="0076699D">
              <w:rPr>
                <w:sz w:val="18"/>
                <w:szCs w:val="18"/>
              </w:rPr>
              <w:t>should be updated and brought into regulation.  </w:t>
            </w:r>
          </w:p>
        </w:tc>
      </w:tr>
      <w:tr w:rsidR="006328B6" w:rsidRPr="00E03D4D" w14:paraId="52BF238E" w14:textId="77777777" w:rsidTr="00744410">
        <w:tc>
          <w:tcPr>
            <w:tcW w:w="1978" w:type="dxa"/>
            <w:tcBorders>
              <w:top w:val="single" w:sz="6" w:space="0" w:color="auto"/>
              <w:left w:val="single" w:sz="6" w:space="0" w:color="auto"/>
              <w:bottom w:val="single" w:sz="6" w:space="0" w:color="auto"/>
              <w:right w:val="single" w:sz="6" w:space="0" w:color="auto"/>
            </w:tcBorders>
            <w:shd w:val="clear" w:color="auto" w:fill="auto"/>
          </w:tcPr>
          <w:p w14:paraId="039FB214" w14:textId="0D64A2AA" w:rsidR="006328B6" w:rsidRPr="006328B6" w:rsidRDefault="006328B6" w:rsidP="006328B6">
            <w:pPr>
              <w:rPr>
                <w:sz w:val="18"/>
                <w:szCs w:val="18"/>
              </w:rPr>
            </w:pPr>
            <w:r w:rsidRPr="006A282F" w:rsidDel="002A0CDF">
              <w:rPr>
                <w:sz w:val="18"/>
                <w:szCs w:val="18"/>
              </w:rPr>
              <w:t>ML/TF</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207F67D5" w14:textId="68C11DA3" w:rsidR="006328B6" w:rsidRPr="006328B6" w:rsidRDefault="006328B6" w:rsidP="006328B6">
            <w:pPr>
              <w:rPr>
                <w:sz w:val="18"/>
                <w:szCs w:val="18"/>
              </w:rPr>
            </w:pPr>
            <w:r w:rsidRPr="006A282F">
              <w:rPr>
                <w:sz w:val="18"/>
                <w:szCs w:val="18"/>
              </w:rPr>
              <w:t>M</w:t>
            </w:r>
            <w:r w:rsidRPr="006A282F" w:rsidDel="002A0CDF">
              <w:rPr>
                <w:sz w:val="18"/>
                <w:szCs w:val="18"/>
              </w:rPr>
              <w:t xml:space="preserve">oney laundering and </w:t>
            </w:r>
            <w:r w:rsidRPr="006A282F" w:rsidDel="00451F12">
              <w:rPr>
                <w:sz w:val="18"/>
                <w:szCs w:val="18"/>
              </w:rPr>
              <w:t>terror</w:t>
            </w:r>
            <w:r w:rsidRPr="006A282F">
              <w:rPr>
                <w:sz w:val="18"/>
                <w:szCs w:val="18"/>
              </w:rPr>
              <w:t>ism</w:t>
            </w:r>
            <w:r w:rsidRPr="006A282F" w:rsidDel="002A0CDF">
              <w:rPr>
                <w:sz w:val="18"/>
                <w:szCs w:val="18"/>
              </w:rPr>
              <w:t xml:space="preserve"> financing.</w:t>
            </w:r>
          </w:p>
        </w:tc>
      </w:tr>
      <w:tr w:rsidR="0080587F" w:rsidRPr="00E03D4D" w14:paraId="296911E8" w14:textId="77777777" w:rsidTr="00744410">
        <w:tc>
          <w:tcPr>
            <w:tcW w:w="1978" w:type="dxa"/>
            <w:tcBorders>
              <w:top w:val="single" w:sz="6" w:space="0" w:color="auto"/>
              <w:left w:val="single" w:sz="6" w:space="0" w:color="auto"/>
              <w:bottom w:val="single" w:sz="6" w:space="0" w:color="auto"/>
              <w:right w:val="single" w:sz="6" w:space="0" w:color="auto"/>
            </w:tcBorders>
            <w:shd w:val="clear" w:color="auto" w:fill="auto"/>
          </w:tcPr>
          <w:p w14:paraId="1A09F74E" w14:textId="77777777" w:rsidR="0080587F" w:rsidRPr="0076699D" w:rsidRDefault="0080587F" w:rsidP="00E42AA2">
            <w:pPr>
              <w:rPr>
                <w:sz w:val="18"/>
                <w:szCs w:val="18"/>
              </w:rPr>
            </w:pPr>
            <w:r w:rsidRPr="0076699D">
              <w:rPr>
                <w:sz w:val="18"/>
                <w:szCs w:val="18"/>
              </w:rPr>
              <w:t>Non-cash payments</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0B6128DB" w14:textId="77777777" w:rsidR="0080587F" w:rsidRPr="0076699D" w:rsidRDefault="0080587F" w:rsidP="00E42AA2">
            <w:pPr>
              <w:rPr>
                <w:sz w:val="18"/>
                <w:szCs w:val="18"/>
              </w:rPr>
            </w:pPr>
            <w:r w:rsidRPr="0076699D">
              <w:rPr>
                <w:sz w:val="18"/>
                <w:szCs w:val="18"/>
              </w:rPr>
              <w:t>A person makes</w:t>
            </w:r>
            <w:r w:rsidRPr="0076699D" w:rsidDel="003862D8">
              <w:rPr>
                <w:sz w:val="18"/>
                <w:szCs w:val="18"/>
              </w:rPr>
              <w:t xml:space="preserve"> </w:t>
            </w:r>
            <w:r w:rsidRPr="0076699D">
              <w:rPr>
                <w:sz w:val="18"/>
                <w:szCs w:val="18"/>
              </w:rPr>
              <w:t>non-cash payments ‘if they make payments, or cause payments to be made, otherwise than by the physical delivery of Australian or foreign currency in the form of notes and/or coins’ (</w:t>
            </w:r>
            <w:r w:rsidRPr="0076699D">
              <w:rPr>
                <w:i/>
                <w:sz w:val="18"/>
                <w:szCs w:val="18"/>
              </w:rPr>
              <w:t xml:space="preserve">Corporations Act </w:t>
            </w:r>
            <w:r w:rsidRPr="0076699D">
              <w:rPr>
                <w:sz w:val="18"/>
                <w:szCs w:val="18"/>
              </w:rPr>
              <w:t>s 763D).</w:t>
            </w:r>
          </w:p>
        </w:tc>
      </w:tr>
      <w:tr w:rsidR="0080587F" w:rsidRPr="00E03D4D" w:rsidDel="002A0CDF" w14:paraId="3834E1F5" w14:textId="77777777" w:rsidTr="00744410">
        <w:tc>
          <w:tcPr>
            <w:tcW w:w="1978" w:type="dxa"/>
            <w:tcBorders>
              <w:top w:val="single" w:sz="6" w:space="0" w:color="auto"/>
              <w:left w:val="single" w:sz="6" w:space="0" w:color="auto"/>
              <w:bottom w:val="single" w:sz="6" w:space="0" w:color="auto"/>
              <w:right w:val="single" w:sz="6" w:space="0" w:color="auto"/>
            </w:tcBorders>
            <w:shd w:val="clear" w:color="auto" w:fill="auto"/>
          </w:tcPr>
          <w:p w14:paraId="3EE0BB89" w14:textId="77777777" w:rsidR="0080587F" w:rsidRPr="0076699D" w:rsidDel="002A0CDF" w:rsidRDefault="0080587F" w:rsidP="00E42AA2">
            <w:pPr>
              <w:rPr>
                <w:sz w:val="18"/>
                <w:szCs w:val="18"/>
              </w:rPr>
            </w:pPr>
            <w:r w:rsidRPr="0076699D" w:rsidDel="002A0CDF">
              <w:rPr>
                <w:sz w:val="18"/>
                <w:szCs w:val="18"/>
              </w:rPr>
              <w:lastRenderedPageBreak/>
              <w:t xml:space="preserve">Participant </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769C60E1" w14:textId="77777777" w:rsidR="0080587F" w:rsidRDefault="0080587F" w:rsidP="00E42AA2">
            <w:pPr>
              <w:rPr>
                <w:sz w:val="18"/>
                <w:szCs w:val="18"/>
              </w:rPr>
            </w:pPr>
            <w:r w:rsidRPr="0076699D" w:rsidDel="002A0CDF">
              <w:rPr>
                <w:sz w:val="18"/>
                <w:szCs w:val="18"/>
              </w:rPr>
              <w:t xml:space="preserve">An entity that facilitates or enables payments to be made through a payment system. Participants include </w:t>
            </w:r>
            <w:r w:rsidRPr="0076699D">
              <w:rPr>
                <w:sz w:val="18"/>
                <w:szCs w:val="18"/>
              </w:rPr>
              <w:t>PSPs</w:t>
            </w:r>
            <w:r w:rsidRPr="0076699D" w:rsidDel="002A0CDF">
              <w:rPr>
                <w:sz w:val="18"/>
                <w:szCs w:val="18"/>
              </w:rPr>
              <w:t xml:space="preserve"> (see below), operators of payment systems and payments infrastructure providers.</w:t>
            </w:r>
          </w:p>
          <w:p w14:paraId="4E8750D5" w14:textId="5249DC7C" w:rsidR="0080587F" w:rsidRPr="0076699D" w:rsidDel="002A0CDF" w:rsidRDefault="0080587F" w:rsidP="00E42AA2">
            <w:pPr>
              <w:rPr>
                <w:sz w:val="18"/>
                <w:szCs w:val="18"/>
              </w:rPr>
            </w:pPr>
          </w:p>
        </w:tc>
      </w:tr>
      <w:tr w:rsidR="003400F6" w:rsidRPr="00E03D4D" w14:paraId="57FF4B43" w14:textId="77777777" w:rsidTr="00744410">
        <w:tc>
          <w:tcPr>
            <w:tcW w:w="1978" w:type="dxa"/>
            <w:tcBorders>
              <w:top w:val="single" w:sz="6" w:space="0" w:color="auto"/>
              <w:left w:val="single" w:sz="6" w:space="0" w:color="auto"/>
              <w:bottom w:val="single" w:sz="6" w:space="0" w:color="auto"/>
              <w:right w:val="single" w:sz="6" w:space="0" w:color="auto"/>
            </w:tcBorders>
            <w:shd w:val="clear" w:color="auto" w:fill="auto"/>
          </w:tcPr>
          <w:p w14:paraId="7EB732AF" w14:textId="205E153D" w:rsidR="003400F6" w:rsidRPr="0076699D" w:rsidDel="00780795" w:rsidRDefault="003400F6" w:rsidP="00E42AA2">
            <w:pPr>
              <w:rPr>
                <w:sz w:val="18"/>
                <w:szCs w:val="18"/>
              </w:rPr>
            </w:pPr>
            <w:r>
              <w:rPr>
                <w:sz w:val="18"/>
                <w:szCs w:val="18"/>
              </w:rPr>
              <w:t>Payment Account</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55206CEB" w14:textId="1D6D2035" w:rsidR="003400F6" w:rsidRPr="003400F6" w:rsidRDefault="003400F6" w:rsidP="003400F6">
            <w:pPr>
              <w:rPr>
                <w:sz w:val="18"/>
                <w:szCs w:val="18"/>
              </w:rPr>
            </w:pPr>
            <w:r w:rsidRPr="00D974B5">
              <w:rPr>
                <w:sz w:val="18"/>
                <w:szCs w:val="18"/>
              </w:rPr>
              <w:t>An account or facility held by a payment service provider in the name of one or more user, for the execution of payment transactions. A payment account includes but is not limited to bank transaction accounts, SVF accounts, or accounts used for transferring funds between a payer and payee.</w:t>
            </w:r>
          </w:p>
        </w:tc>
      </w:tr>
      <w:tr w:rsidR="0080587F" w:rsidRPr="00E03D4D" w14:paraId="3818F4F9" w14:textId="77777777" w:rsidTr="00744410">
        <w:tc>
          <w:tcPr>
            <w:tcW w:w="1978" w:type="dxa"/>
            <w:tcBorders>
              <w:top w:val="single" w:sz="6" w:space="0" w:color="auto"/>
              <w:left w:val="single" w:sz="6" w:space="0" w:color="auto"/>
              <w:bottom w:val="single" w:sz="6" w:space="0" w:color="auto"/>
              <w:right w:val="single" w:sz="6" w:space="0" w:color="auto"/>
            </w:tcBorders>
            <w:shd w:val="clear" w:color="auto" w:fill="auto"/>
          </w:tcPr>
          <w:p w14:paraId="2F0EEE26" w14:textId="77777777" w:rsidR="0080587F" w:rsidRPr="0076699D" w:rsidRDefault="0080587F" w:rsidP="00E42AA2">
            <w:pPr>
              <w:rPr>
                <w:sz w:val="18"/>
                <w:szCs w:val="18"/>
              </w:rPr>
            </w:pPr>
            <w:r w:rsidRPr="0076699D" w:rsidDel="00780795">
              <w:rPr>
                <w:sz w:val="18"/>
                <w:szCs w:val="18"/>
              </w:rPr>
              <w:t>Payment Service Provider</w:t>
            </w:r>
            <w:r w:rsidRPr="0076699D">
              <w:rPr>
                <w:sz w:val="18"/>
                <w:szCs w:val="18"/>
              </w:rPr>
              <w:t xml:space="preserve"> (PSP)</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6AD2E7F1" w14:textId="7BF94032" w:rsidR="0080587F" w:rsidRPr="0076699D" w:rsidRDefault="0080587F" w:rsidP="00E42AA2">
            <w:pPr>
              <w:rPr>
                <w:sz w:val="18"/>
                <w:szCs w:val="18"/>
              </w:rPr>
            </w:pPr>
            <w:r w:rsidRPr="0076699D">
              <w:rPr>
                <w:sz w:val="18"/>
                <w:szCs w:val="18"/>
              </w:rPr>
              <w:t xml:space="preserve">Organisations that provide a </w:t>
            </w:r>
            <w:r w:rsidRPr="0076699D" w:rsidDel="009045A8">
              <w:rPr>
                <w:sz w:val="18"/>
                <w:szCs w:val="18"/>
              </w:rPr>
              <w:t xml:space="preserve">payment </w:t>
            </w:r>
            <w:r w:rsidR="009045A8" w:rsidRPr="0076699D">
              <w:rPr>
                <w:sz w:val="18"/>
                <w:szCs w:val="18"/>
              </w:rPr>
              <w:t>function defined in this paper</w:t>
            </w:r>
            <w:r w:rsidRPr="0076699D">
              <w:rPr>
                <w:sz w:val="18"/>
                <w:szCs w:val="18"/>
              </w:rPr>
              <w:t>. PSPs are a subset of the participants in the payments system.</w:t>
            </w:r>
          </w:p>
        </w:tc>
      </w:tr>
      <w:tr w:rsidR="0080587F" w:rsidRPr="00E03D4D" w14:paraId="1EED371E" w14:textId="77777777" w:rsidTr="00744410">
        <w:tc>
          <w:tcPr>
            <w:tcW w:w="1978" w:type="dxa"/>
            <w:tcBorders>
              <w:top w:val="single" w:sz="6" w:space="0" w:color="auto"/>
              <w:left w:val="single" w:sz="6" w:space="0" w:color="auto"/>
              <w:bottom w:val="single" w:sz="6" w:space="0" w:color="auto"/>
              <w:right w:val="single" w:sz="6" w:space="0" w:color="auto"/>
            </w:tcBorders>
            <w:shd w:val="clear" w:color="auto" w:fill="auto"/>
          </w:tcPr>
          <w:p w14:paraId="3D585221" w14:textId="77777777" w:rsidR="0080587F" w:rsidRPr="0076699D" w:rsidRDefault="0080587F" w:rsidP="00E42AA2">
            <w:pPr>
              <w:rPr>
                <w:sz w:val="18"/>
                <w:szCs w:val="18"/>
              </w:rPr>
            </w:pPr>
            <w:r w:rsidRPr="0076699D" w:rsidDel="00540656">
              <w:rPr>
                <w:i/>
                <w:sz w:val="18"/>
                <w:szCs w:val="18"/>
              </w:rPr>
              <w:t xml:space="preserve">Payment System (Regulation) Act </w:t>
            </w:r>
            <w:r w:rsidRPr="0076699D">
              <w:rPr>
                <w:i/>
                <w:sz w:val="18"/>
                <w:szCs w:val="18"/>
              </w:rPr>
              <w:t>1998 (Cth)</w:t>
            </w:r>
            <w:r w:rsidRPr="0076699D">
              <w:rPr>
                <w:sz w:val="18"/>
                <w:szCs w:val="18"/>
              </w:rPr>
              <w:t xml:space="preserve"> (</w:t>
            </w:r>
            <w:r w:rsidRPr="0076699D" w:rsidDel="00540656">
              <w:rPr>
                <w:sz w:val="18"/>
                <w:szCs w:val="18"/>
              </w:rPr>
              <w:t xml:space="preserve">PSRA) </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005383A0" w14:textId="0BF89E41" w:rsidR="0080587F" w:rsidRPr="0076699D" w:rsidRDefault="0080587F" w:rsidP="00E42AA2">
            <w:pPr>
              <w:rPr>
                <w:sz w:val="18"/>
                <w:szCs w:val="18"/>
              </w:rPr>
            </w:pPr>
            <w:r w:rsidRPr="0076699D" w:rsidDel="00540656">
              <w:rPr>
                <w:sz w:val="18"/>
                <w:szCs w:val="18"/>
              </w:rPr>
              <w:t>The Act currently provides the RBA with the power to regulate payment systems and participants if it is in the public interest to do so. In the Act</w:t>
            </w:r>
            <w:r w:rsidR="004F2398" w:rsidRPr="0076699D">
              <w:rPr>
                <w:sz w:val="18"/>
                <w:szCs w:val="18"/>
              </w:rPr>
              <w:t>,</w:t>
            </w:r>
            <w:r w:rsidRPr="0076699D" w:rsidDel="00540656">
              <w:rPr>
                <w:sz w:val="18"/>
                <w:szCs w:val="18"/>
              </w:rPr>
              <w:t xml:space="preserve"> public interest means the Bank must consider the desirability of payment systems being financially safe, efficient, </w:t>
            </w:r>
            <w:r w:rsidRPr="0076699D">
              <w:rPr>
                <w:sz w:val="18"/>
                <w:szCs w:val="18"/>
              </w:rPr>
              <w:t>competitive</w:t>
            </w:r>
            <w:r w:rsidRPr="0076699D" w:rsidDel="00D12784">
              <w:rPr>
                <w:sz w:val="18"/>
                <w:szCs w:val="18"/>
              </w:rPr>
              <w:t>,</w:t>
            </w:r>
            <w:r w:rsidRPr="0076699D" w:rsidDel="00540656">
              <w:rPr>
                <w:sz w:val="18"/>
                <w:szCs w:val="18"/>
              </w:rPr>
              <w:t xml:space="preserve"> and not causing risk to the financial system.</w:t>
            </w:r>
          </w:p>
        </w:tc>
      </w:tr>
    </w:tbl>
    <w:p w14:paraId="50302373" w14:textId="67E4A8B5" w:rsidR="0080587F" w:rsidRDefault="0080587F" w:rsidP="00E42AA2"/>
    <w:p w14:paraId="65FD667E" w14:textId="025A2CE9" w:rsidR="00437E12" w:rsidRPr="0080587F" w:rsidRDefault="00437E12" w:rsidP="00E42AA2"/>
    <w:sectPr w:rsidR="00437E12" w:rsidRPr="0080587F" w:rsidSect="009927E5">
      <w:headerReference w:type="even" r:id="rId27"/>
      <w:headerReference w:type="default" r:id="rId28"/>
      <w:footerReference w:type="even" r:id="rId29"/>
      <w:footerReference w:type="default" r:id="rId30"/>
      <w:headerReference w:type="first" r:id="rId31"/>
      <w:footerReference w:type="first" r:id="rId32"/>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D8EB" w14:textId="77777777" w:rsidR="00D05B72" w:rsidRDefault="00D05B72" w:rsidP="00E42AA2">
      <w:r>
        <w:separator/>
      </w:r>
    </w:p>
  </w:endnote>
  <w:endnote w:type="continuationSeparator" w:id="0">
    <w:p w14:paraId="521A9CC2" w14:textId="77777777" w:rsidR="00D05B72" w:rsidRDefault="00D05B72" w:rsidP="00E42AA2">
      <w:r>
        <w:continuationSeparator/>
      </w:r>
    </w:p>
  </w:endnote>
  <w:endnote w:type="continuationNotice" w:id="1">
    <w:p w14:paraId="31891751" w14:textId="77777777" w:rsidR="00D05B72" w:rsidRDefault="00D05B72" w:rsidP="00E42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5133"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026C" w14:textId="0CEA63A4" w:rsidR="009927E5" w:rsidRPr="008043EA" w:rsidRDefault="009927E5" w:rsidP="0009151A">
    <w:r w:rsidRPr="00742366">
      <w:rPr>
        <w:noProof/>
      </w:rPr>
      <w:drawing>
        <wp:anchor distT="0" distB="0" distL="114300" distR="114300" simplePos="0" relativeHeight="251658241" behindDoc="1" locked="1" layoutInCell="1" allowOverlap="1" wp14:anchorId="6295EE34" wp14:editId="2CE03122">
          <wp:simplePos x="0" y="0"/>
          <wp:positionH relativeFrom="margin">
            <wp:posOffset>5459095</wp:posOffset>
          </wp:positionH>
          <wp:positionV relativeFrom="page">
            <wp:posOffset>3280410</wp:posOffset>
          </wp:positionV>
          <wp:extent cx="7574280" cy="1043940"/>
          <wp:effectExtent l="762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2FC9C2F0" wp14:editId="6A484601">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9C6398">
        <w:rPr>
          <w:noProof/>
        </w:rPr>
        <w:t>Consultation process</w:t>
      </w:r>
    </w:fldSimple>
    <w:r>
      <w:t xml:space="preserve"> | </w:t>
    </w:r>
    <w:r>
      <w:fldChar w:fldCharType="begin"/>
    </w:r>
    <w:r>
      <w:instrText xml:space="preserve"> PAGE   \* MERGEFORMAT </w:instrText>
    </w:r>
    <w:r>
      <w:fldChar w:fldCharType="separate"/>
    </w:r>
    <w:r>
      <w:t>1</w:t>
    </w:r>
    <w:r>
      <w:fldChar w:fldCharType="end"/>
    </w:r>
  </w:p>
  <w:p w14:paraId="24CCCFF7"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E294"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8D87" w14:textId="4A4FBD92" w:rsidR="00E81A40" w:rsidRPr="00E13E90" w:rsidRDefault="00E81A40" w:rsidP="00E13E90">
    <w:pPr>
      <w:pStyle w:val="Footer"/>
    </w:pPr>
    <w:r w:rsidRPr="00742366">
      <w:drawing>
        <wp:anchor distT="0" distB="0" distL="114300" distR="114300" simplePos="0" relativeHeight="251658243" behindDoc="1" locked="1" layoutInCell="1" allowOverlap="1" wp14:anchorId="32002D4D" wp14:editId="4BD6C26E">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08EDDF8A" wp14:editId="28A561FD">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7F1859">
        <w:t>ePayments Code</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6117"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BB2E4" w14:textId="77777777" w:rsidR="00D05B72" w:rsidRDefault="00D05B72" w:rsidP="00E42AA2">
      <w:r>
        <w:separator/>
      </w:r>
    </w:p>
  </w:footnote>
  <w:footnote w:type="continuationSeparator" w:id="0">
    <w:p w14:paraId="575CDACA" w14:textId="77777777" w:rsidR="00D05B72" w:rsidRDefault="00D05B72" w:rsidP="00E42AA2">
      <w:r>
        <w:continuationSeparator/>
      </w:r>
    </w:p>
  </w:footnote>
  <w:footnote w:type="continuationNotice" w:id="1">
    <w:p w14:paraId="2C0A5FAE" w14:textId="77777777" w:rsidR="00D05B72" w:rsidRDefault="00D05B72" w:rsidP="00E42AA2"/>
  </w:footnote>
  <w:footnote w:id="2">
    <w:p w14:paraId="2237BB9F" w14:textId="2405FE21" w:rsidR="00784DB9" w:rsidRDefault="00784DB9" w:rsidP="00302354">
      <w:pPr>
        <w:pStyle w:val="FootnoteText"/>
        <w:ind w:left="0" w:firstLine="0"/>
      </w:pPr>
      <w:r>
        <w:rPr>
          <w:rStyle w:val="FootnoteReference"/>
        </w:rPr>
        <w:footnoteRef/>
      </w:r>
      <w:r>
        <w:t xml:space="preserve"> </w:t>
      </w:r>
      <w:r w:rsidRPr="00196B2F">
        <w:t>Treasury Laws Amendment (Better Targeted Superannuation Concessions and Other Measures) Bill 2023</w:t>
      </w:r>
      <w:r>
        <w:t>, Schedule 8.</w:t>
      </w:r>
    </w:p>
  </w:footnote>
  <w:footnote w:id="3">
    <w:p w14:paraId="2C9B29F0" w14:textId="49F4844B" w:rsidR="0053162C" w:rsidRDefault="0053162C" w:rsidP="00514701">
      <w:pPr>
        <w:pStyle w:val="FootnoteText"/>
      </w:pPr>
      <w:r>
        <w:rPr>
          <w:rStyle w:val="FootnoteReference"/>
        </w:rPr>
        <w:footnoteRef/>
      </w:r>
      <w:r w:rsidR="001D48BC">
        <w:t xml:space="preserve"> </w:t>
      </w:r>
      <w:r>
        <w:t xml:space="preserve">Treasury, </w:t>
      </w:r>
      <w:hyperlink r:id="rId1" w:history="1">
        <w:r w:rsidRPr="00085112">
          <w:rPr>
            <w:rStyle w:val="Hyperlink"/>
            <w:i/>
            <w:iCs/>
          </w:rPr>
          <w:t>Licensing of payment service providers – payment functions</w:t>
        </w:r>
      </w:hyperlink>
      <w:r>
        <w:t>, Treasury, June 2023.</w:t>
      </w:r>
    </w:p>
  </w:footnote>
  <w:footnote w:id="4">
    <w:p w14:paraId="68EC3DD9" w14:textId="7F3DD4A0" w:rsidR="004D487D" w:rsidRDefault="004D487D" w:rsidP="002B3546">
      <w:pPr>
        <w:pStyle w:val="FootnoteText"/>
        <w:ind w:left="0" w:firstLine="0"/>
      </w:pPr>
      <w:r>
        <w:rPr>
          <w:rStyle w:val="FootnoteReference"/>
        </w:rPr>
        <w:footnoteRef/>
      </w:r>
      <w:r w:rsidR="002B3546">
        <w:t xml:space="preserve"> </w:t>
      </w:r>
      <w:r w:rsidR="00B34B9F">
        <w:t xml:space="preserve">UK Financial Conduct Authority (FCA), </w:t>
      </w:r>
      <w:hyperlink r:id="rId2" w:history="1">
        <w:r w:rsidRPr="00B8592D">
          <w:rPr>
            <w:rStyle w:val="Hyperlink"/>
            <w:i/>
            <w:iCs/>
          </w:rPr>
          <w:t>FCA Handbook</w:t>
        </w:r>
      </w:hyperlink>
      <w:r w:rsidRPr="004D487D">
        <w:t>, PERG 3A.3: The definition of electronic money, ‘Q15. How does electronic money differ from deposits?’</w:t>
      </w:r>
      <w:r w:rsidR="002958EC">
        <w:t>.</w:t>
      </w:r>
    </w:p>
  </w:footnote>
  <w:footnote w:id="5">
    <w:p w14:paraId="0AB61735" w14:textId="0212ED53" w:rsidR="008B3E2F" w:rsidRDefault="008B3E2F" w:rsidP="008B3E2F">
      <w:pPr>
        <w:pStyle w:val="FootnoteText"/>
      </w:pPr>
      <w:r>
        <w:rPr>
          <w:rStyle w:val="FootnoteReference"/>
        </w:rPr>
        <w:footnoteRef/>
      </w:r>
      <w:r>
        <w:t xml:space="preserve"> </w:t>
      </w:r>
      <w:r w:rsidRPr="003F50E5">
        <w:rPr>
          <w:i/>
        </w:rPr>
        <w:t>Banking Regulations 2016</w:t>
      </w:r>
      <w:r w:rsidR="002B2BF7">
        <w:t xml:space="preserve"> (Cth)</w:t>
      </w:r>
      <w:r w:rsidR="001F286E">
        <w:t xml:space="preserve"> reg 6</w:t>
      </w:r>
      <w:r>
        <w:t>.</w:t>
      </w:r>
    </w:p>
  </w:footnote>
  <w:footnote w:id="6">
    <w:p w14:paraId="540DB016" w14:textId="18BE5BA7" w:rsidR="00095C5B" w:rsidRDefault="00A1428F" w:rsidP="00A1428F">
      <w:pPr>
        <w:pStyle w:val="FootnoteText"/>
      </w:pPr>
      <w:r>
        <w:rPr>
          <w:rStyle w:val="FootnoteReference"/>
        </w:rPr>
        <w:footnoteRef/>
      </w:r>
      <w:r>
        <w:t xml:space="preserve"> See </w:t>
      </w:r>
      <w:r w:rsidRPr="003F50E5">
        <w:rPr>
          <w:i/>
        </w:rPr>
        <w:t>A new Tax System (Goods and Services Tax) Regulations 2019</w:t>
      </w:r>
      <w:r>
        <w:t xml:space="preserve"> </w:t>
      </w:r>
      <w:r w:rsidR="002B2BF7">
        <w:t xml:space="preserve">(Cth) </w:t>
      </w:r>
      <w:r>
        <w:t>(</w:t>
      </w:r>
      <w:r w:rsidRPr="00B8592D">
        <w:rPr>
          <w:i/>
          <w:iCs/>
        </w:rPr>
        <w:t>GST Regulations</w:t>
      </w:r>
      <w:r>
        <w:t>)</w:t>
      </w:r>
      <w:r w:rsidR="001D48BC">
        <w:t xml:space="preserve"> </w:t>
      </w:r>
      <w:r w:rsidR="002B2BF7">
        <w:t>s</w:t>
      </w:r>
      <w:r w:rsidR="001D48BC">
        <w:t xml:space="preserve"> 40-5.09(3).</w:t>
      </w:r>
    </w:p>
  </w:footnote>
  <w:footnote w:id="7">
    <w:p w14:paraId="047D48E4" w14:textId="56EB0EBE" w:rsidR="008B3E2F" w:rsidRDefault="008B3E2F" w:rsidP="002B3546">
      <w:pPr>
        <w:pStyle w:val="FootnoteText"/>
        <w:ind w:left="0" w:firstLine="0"/>
      </w:pPr>
      <w:r>
        <w:rPr>
          <w:rStyle w:val="FootnoteReference"/>
        </w:rPr>
        <w:footnoteRef/>
      </w:r>
      <w:r w:rsidR="002B3546">
        <w:t xml:space="preserve"> </w:t>
      </w:r>
      <w:r>
        <w:t xml:space="preserve">For example, </w:t>
      </w:r>
      <w:r w:rsidR="00243AF1">
        <w:t>European Banking Authority’s (</w:t>
      </w:r>
      <w:r>
        <w:t>EBA</w:t>
      </w:r>
      <w:r w:rsidR="00243AF1">
        <w:t>)</w:t>
      </w:r>
      <w:r>
        <w:t xml:space="preserve"> submission to the Call for Advice for the review of PSD2 provides a summary of the difficulty in distinguishing between </w:t>
      </w:r>
      <w:r w:rsidR="00B660FE">
        <w:t>‘</w:t>
      </w:r>
      <w:r>
        <w:t>payment accounts</w:t>
      </w:r>
      <w:r w:rsidR="00B660FE">
        <w:t>’</w:t>
      </w:r>
      <w:r>
        <w:t xml:space="preserve"> and </w:t>
      </w:r>
      <w:r w:rsidR="00B660FE">
        <w:t>‘</w:t>
      </w:r>
      <w:r>
        <w:t>electronic money accounts</w:t>
      </w:r>
      <w:r w:rsidR="00B660FE">
        <w:t>’</w:t>
      </w:r>
      <w:r>
        <w:t xml:space="preserve">. See </w:t>
      </w:r>
      <w:hyperlink r:id="rId3" w:history="1">
        <w:r w:rsidR="0041389F" w:rsidRPr="004F6F90">
          <w:rPr>
            <w:rStyle w:val="Hyperlink"/>
          </w:rPr>
          <w:t>Opinion on EBA’s response to the call for advice on the review of PSD2</w:t>
        </w:r>
      </w:hyperlink>
      <w:r w:rsidR="0041389F">
        <w:t xml:space="preserve">, </w:t>
      </w:r>
      <w:r w:rsidR="0058576A">
        <w:t xml:space="preserve">23 June 2022, </w:t>
      </w:r>
      <w:r w:rsidR="00DD7B80">
        <w:t>p 27.</w:t>
      </w:r>
    </w:p>
  </w:footnote>
  <w:footnote w:id="8">
    <w:p w14:paraId="69C08F63" w14:textId="12A1717B" w:rsidR="00AA61EE" w:rsidRDefault="00AA61EE">
      <w:pPr>
        <w:pStyle w:val="FootnoteText"/>
      </w:pPr>
      <w:r>
        <w:rPr>
          <w:rStyle w:val="FootnoteReference"/>
        </w:rPr>
        <w:footnoteRef/>
      </w:r>
      <w:r w:rsidR="002B3546">
        <w:t xml:space="preserve"> </w:t>
      </w:r>
      <w:r w:rsidR="00D52682">
        <w:t xml:space="preserve">Treasury, </w:t>
      </w:r>
      <w:hyperlink r:id="rId4" w:history="1">
        <w:r w:rsidR="00D52682" w:rsidRPr="00B8592D">
          <w:rPr>
            <w:rStyle w:val="Hyperlink"/>
            <w:i/>
            <w:iCs/>
          </w:rPr>
          <w:t>Reforms to the Payment System (Regulation) Act</w:t>
        </w:r>
        <w:r w:rsidR="006E7ED0" w:rsidRPr="00B8592D">
          <w:rPr>
            <w:rStyle w:val="Hyperlink"/>
            <w:i/>
            <w:iCs/>
          </w:rPr>
          <w:t xml:space="preserve"> 1998</w:t>
        </w:r>
      </w:hyperlink>
      <w:r w:rsidR="006E7ED0">
        <w:t xml:space="preserve">, </w:t>
      </w:r>
      <w:r w:rsidR="005176CE">
        <w:t xml:space="preserve">Treasury, </w:t>
      </w:r>
      <w:r w:rsidR="00A0213C">
        <w:t xml:space="preserve">June 2023, </w:t>
      </w:r>
      <w:r w:rsidR="006E7ED0">
        <w:t xml:space="preserve">p 6. </w:t>
      </w:r>
    </w:p>
  </w:footnote>
  <w:footnote w:id="9">
    <w:p w14:paraId="627CE2F5" w14:textId="0FDE2E8C" w:rsidR="002E6868" w:rsidRDefault="002E6868">
      <w:pPr>
        <w:pStyle w:val="FootnoteText"/>
      </w:pPr>
      <w:r>
        <w:rPr>
          <w:rStyle w:val="FootnoteReference"/>
        </w:rPr>
        <w:footnoteRef/>
      </w:r>
      <w:r>
        <w:t xml:space="preserve"> </w:t>
      </w:r>
      <w:r w:rsidR="00D9779B">
        <w:t>See</w:t>
      </w:r>
      <w:r w:rsidR="00AE59A0">
        <w:t xml:space="preserve"> Treasury, </w:t>
      </w:r>
      <w:hyperlink r:id="rId5" w:history="1">
        <w:r w:rsidR="00AE59A0" w:rsidRPr="00B8592D">
          <w:rPr>
            <w:rStyle w:val="Hyperlink"/>
            <w:i/>
            <w:iCs/>
          </w:rPr>
          <w:t>Regulating digital asset platforms</w:t>
        </w:r>
      </w:hyperlink>
      <w:r w:rsidR="00AE59A0">
        <w:t>,</w:t>
      </w:r>
      <w:r w:rsidR="008E7DE5">
        <w:t xml:space="preserve"> </w:t>
      </w:r>
      <w:r w:rsidR="005067B2">
        <w:t xml:space="preserve">Treasury, October 2023. </w:t>
      </w:r>
    </w:p>
  </w:footnote>
  <w:footnote w:id="10">
    <w:p w14:paraId="7DA2F1F1" w14:textId="1DECFD40" w:rsidR="005C13B0" w:rsidRDefault="005C13B0">
      <w:pPr>
        <w:pStyle w:val="FootnoteText"/>
      </w:pPr>
      <w:r>
        <w:rPr>
          <w:rStyle w:val="FootnoteReference"/>
        </w:rPr>
        <w:footnoteRef/>
      </w:r>
      <w:r w:rsidR="002B3546">
        <w:t xml:space="preserve"> </w:t>
      </w:r>
      <w:r w:rsidRPr="00B8592D">
        <w:rPr>
          <w:i/>
          <w:iCs/>
        </w:rPr>
        <w:t>Corporations Act</w:t>
      </w:r>
      <w:r>
        <w:t xml:space="preserve"> </w:t>
      </w:r>
      <w:r w:rsidR="003D1DA1" w:rsidRPr="003D1DA1">
        <w:rPr>
          <w:i/>
          <w:iCs/>
        </w:rPr>
        <w:t>2001</w:t>
      </w:r>
      <w:r w:rsidR="003D1DA1">
        <w:t xml:space="preserve"> (Cth) </w:t>
      </w:r>
      <w:r w:rsidR="00184746">
        <w:t>(</w:t>
      </w:r>
      <w:r w:rsidR="00184746" w:rsidRPr="00184746">
        <w:rPr>
          <w:i/>
          <w:iCs/>
        </w:rPr>
        <w:t>Corporations Act</w:t>
      </w:r>
      <w:r w:rsidR="00184746">
        <w:t xml:space="preserve">) </w:t>
      </w:r>
      <w:r>
        <w:t>s 764A(1)(i).</w:t>
      </w:r>
    </w:p>
  </w:footnote>
  <w:footnote w:id="11">
    <w:p w14:paraId="40FDE9DC" w14:textId="0A7193BD" w:rsidR="00755873" w:rsidRDefault="00755873" w:rsidP="002B3546">
      <w:pPr>
        <w:pStyle w:val="FootnoteText"/>
        <w:ind w:left="0" w:firstLine="0"/>
      </w:pPr>
      <w:r>
        <w:rPr>
          <w:rStyle w:val="FootnoteReference"/>
        </w:rPr>
        <w:footnoteRef/>
      </w:r>
      <w:r w:rsidR="002B3546">
        <w:t xml:space="preserve"> </w:t>
      </w:r>
      <w:r>
        <w:t>For example, a secondary market for physical theatre tickets can exist without being facilitated by the issuer of that ticket. Crypto tokens are used for stablecoins because they act like digital versions of physical tokens, in a way that would not be possible with a conventional digital ticket (such as a pdf ticket sent by email). For</w:t>
      </w:r>
      <w:r w:rsidDel="00AA3E72">
        <w:t xml:space="preserve"> </w:t>
      </w:r>
      <w:r>
        <w:t xml:space="preserve">an overview of token-based systems, see </w:t>
      </w:r>
      <w:r w:rsidR="0075503E">
        <w:t xml:space="preserve">Treasury, </w:t>
      </w:r>
      <w:hyperlink r:id="rId6" w:history="1">
        <w:r w:rsidR="0075503E" w:rsidRPr="00E54139">
          <w:rPr>
            <w:rStyle w:val="Hyperlink"/>
            <w:i/>
            <w:iCs/>
          </w:rPr>
          <w:t>Regulating digital asset platforms</w:t>
        </w:r>
      </w:hyperlink>
      <w:r w:rsidR="0075503E">
        <w:t>, Treasury, October 2023.</w:t>
      </w:r>
    </w:p>
  </w:footnote>
  <w:footnote w:id="12">
    <w:p w14:paraId="68017C27" w14:textId="3ACF84AF" w:rsidR="00755873" w:rsidRDefault="00755873" w:rsidP="002B3546">
      <w:pPr>
        <w:pStyle w:val="FootnoteText"/>
        <w:ind w:left="0" w:firstLine="0"/>
      </w:pPr>
      <w:r>
        <w:rPr>
          <w:rStyle w:val="FootnoteReference"/>
        </w:rPr>
        <w:footnoteRef/>
      </w:r>
      <w:r w:rsidR="002B3546">
        <w:t xml:space="preserve"> </w:t>
      </w:r>
      <w:r>
        <w:t xml:space="preserve">This can be compared to an ‘account-based system’ where entitlements accrue to a particular person named in an account entry (and where transactions between account holders must be facilitated by the person that manages the accounts). </w:t>
      </w:r>
    </w:p>
  </w:footnote>
  <w:footnote w:id="13">
    <w:p w14:paraId="1C04DF34" w14:textId="177FAE96" w:rsidR="00755873" w:rsidRDefault="00755873" w:rsidP="002B3546">
      <w:pPr>
        <w:pStyle w:val="FootnoteText"/>
        <w:ind w:left="0" w:firstLine="0"/>
      </w:pPr>
      <w:r>
        <w:rPr>
          <w:rStyle w:val="FootnoteReference"/>
        </w:rPr>
        <w:footnoteRef/>
      </w:r>
      <w:r w:rsidR="002B3546">
        <w:t xml:space="preserve"> </w:t>
      </w:r>
      <w:r>
        <w:t xml:space="preserve">Unlike the asset-backed tokens that can be created pursuant to the digital asset platform framework, a </w:t>
      </w:r>
      <w:r w:rsidR="00CB30CC">
        <w:t>Payment Stablecoin</w:t>
      </w:r>
      <w:r>
        <w:t xml:space="preserve"> arrangement does not provide a token holder with ownership or beneficial ownership of underlying assets. Rather, it is a ‘token-based system’ version of a traditional SVF, such as a payment network. </w:t>
      </w:r>
    </w:p>
  </w:footnote>
  <w:footnote w:id="14">
    <w:p w14:paraId="43922332" w14:textId="4CF2AECB" w:rsidR="000A1253" w:rsidRDefault="000A1253" w:rsidP="002B3546">
      <w:pPr>
        <w:pStyle w:val="FootnoteText"/>
        <w:ind w:left="0" w:firstLine="0"/>
      </w:pPr>
      <w:r>
        <w:rPr>
          <w:rStyle w:val="FootnoteReference"/>
        </w:rPr>
        <w:footnoteRef/>
      </w:r>
      <w:r w:rsidR="002B3546">
        <w:t xml:space="preserve"> </w:t>
      </w:r>
      <w:r w:rsidR="006B4455">
        <w:t>If the business responsible for issuing and redeeming entitlements can facilitate transactional functions, the arrangement is not a token-based system (it is an ‘account-based system’ and can be regulated under conventional frameworks). D</w:t>
      </w:r>
      <w:r>
        <w:t>igital tokens (including many stablecoins) created in a certain way can effectively replicate physical tokens in this respect</w:t>
      </w:r>
      <w:r w:rsidR="009468E7">
        <w:t>.</w:t>
      </w:r>
      <w:r w:rsidRPr="000F6435">
        <w:t xml:space="preserve"> </w:t>
      </w:r>
      <w:r w:rsidR="009468E7">
        <w:t>See</w:t>
      </w:r>
      <w:r>
        <w:t xml:space="preserve"> </w:t>
      </w:r>
      <w:r w:rsidR="00D82E54">
        <w:t xml:space="preserve">Treasury, </w:t>
      </w:r>
      <w:hyperlink r:id="rId7" w:history="1">
        <w:r w:rsidR="00D82E54" w:rsidRPr="00E54139">
          <w:rPr>
            <w:rStyle w:val="Hyperlink"/>
            <w:i/>
            <w:iCs/>
          </w:rPr>
          <w:t>Regulating digital asset platforms</w:t>
        </w:r>
      </w:hyperlink>
      <w:r w:rsidR="00D82E54">
        <w:t>, Treasury, October 2023.</w:t>
      </w:r>
    </w:p>
  </w:footnote>
  <w:footnote w:id="15">
    <w:p w14:paraId="585D1ED0" w14:textId="0DB23C46" w:rsidR="000A1253" w:rsidRDefault="000A1253" w:rsidP="002B3546">
      <w:pPr>
        <w:pStyle w:val="FootnoteText"/>
        <w:ind w:left="0" w:firstLine="0"/>
      </w:pPr>
      <w:r>
        <w:rPr>
          <w:rStyle w:val="FootnoteReference"/>
        </w:rPr>
        <w:footnoteRef/>
      </w:r>
      <w:r w:rsidR="002B3546">
        <w:t xml:space="preserve"> </w:t>
      </w:r>
      <w:r>
        <w:t xml:space="preserve">The business responsible for issuance and redemption will often have the ability to freeze tokens in response to requests from law enforcement or to comply with sanctions or </w:t>
      </w:r>
      <w:r w:rsidR="00653B7E" w:rsidRPr="00653B7E">
        <w:t>anti-money laundering/counter-terrorism financing</w:t>
      </w:r>
      <w:r>
        <w:t xml:space="preserve"> obligations. However, they cannot facilitate transactions.  If they can facilitate transactional functions, it would not be a token system and would be covered by the traditional SVF framework. </w:t>
      </w:r>
    </w:p>
  </w:footnote>
  <w:footnote w:id="16">
    <w:p w14:paraId="0773EFC0" w14:textId="6C9E5693" w:rsidR="000A1253" w:rsidRDefault="000A1253" w:rsidP="00A27424">
      <w:pPr>
        <w:pStyle w:val="FootnoteText"/>
        <w:ind w:left="0" w:firstLine="0"/>
      </w:pPr>
      <w:r>
        <w:rPr>
          <w:rStyle w:val="FootnoteReference"/>
        </w:rPr>
        <w:footnoteRef/>
      </w:r>
      <w:r w:rsidR="00A27424">
        <w:t xml:space="preserve"> </w:t>
      </w:r>
      <w:r>
        <w:t xml:space="preserve">This is because parties to a token transaction only have two options: (i) do it themselves; or (ii) use an intermediary token holder. If either party uses an intermediary token holder, the transaction is not peer-to-peer. </w:t>
      </w:r>
    </w:p>
  </w:footnote>
  <w:footnote w:id="17">
    <w:p w14:paraId="6878AA49" w14:textId="69146421" w:rsidR="008249A1" w:rsidRDefault="008249A1" w:rsidP="00A27424">
      <w:pPr>
        <w:pStyle w:val="FootnoteText"/>
        <w:ind w:left="0" w:firstLine="0"/>
      </w:pPr>
      <w:r>
        <w:rPr>
          <w:rStyle w:val="FootnoteReference"/>
        </w:rPr>
        <w:footnoteRef/>
      </w:r>
      <w:r>
        <w:t xml:space="preserve"> It could not, for example, be structured such that the entitlement is a unit in a managed investment scheme or a derivative. </w:t>
      </w:r>
    </w:p>
  </w:footnote>
  <w:footnote w:id="18">
    <w:p w14:paraId="06F5C6A7" w14:textId="7D808A7D" w:rsidR="0045230F" w:rsidRDefault="0045230F" w:rsidP="00EE3541">
      <w:pPr>
        <w:pStyle w:val="FootnoteText"/>
        <w:ind w:left="0" w:firstLine="0"/>
      </w:pPr>
      <w:r>
        <w:rPr>
          <w:rStyle w:val="FootnoteReference"/>
        </w:rPr>
        <w:footnoteRef/>
      </w:r>
      <w:r w:rsidR="00EE3541">
        <w:t xml:space="preserve"> </w:t>
      </w:r>
      <w:r w:rsidRPr="00AA2332">
        <w:rPr>
          <w:rFonts w:cs="Calibri Light"/>
          <w:color w:val="000000"/>
          <w:shd w:val="clear" w:color="auto" w:fill="FFFFFF"/>
        </w:rPr>
        <w:t xml:space="preserve">i.e. the person controlling the supply of </w:t>
      </w:r>
      <w:r w:rsidR="00CB30CC">
        <w:rPr>
          <w:rFonts w:cs="Calibri Light"/>
          <w:color w:val="000000"/>
          <w:shd w:val="clear" w:color="auto" w:fill="FFFFFF"/>
        </w:rPr>
        <w:t>Payment Stablecoin</w:t>
      </w:r>
      <w:r w:rsidRPr="00AA2332">
        <w:rPr>
          <w:rFonts w:cs="Calibri Light"/>
          <w:color w:val="000000"/>
          <w:shd w:val="clear" w:color="auto" w:fill="FFFFFF"/>
        </w:rPr>
        <w:t>s</w:t>
      </w:r>
      <w:r>
        <w:rPr>
          <w:rFonts w:cs="Calibri Light"/>
          <w:color w:val="000000"/>
          <w:shd w:val="clear" w:color="auto" w:fill="FFFFFF"/>
        </w:rPr>
        <w:t xml:space="preserve"> with responsibility for</w:t>
      </w:r>
      <w:r w:rsidRPr="00AA2332">
        <w:rPr>
          <w:rFonts w:cs="Calibri Light"/>
          <w:color w:val="000000"/>
          <w:shd w:val="clear" w:color="auto" w:fill="FFFFFF"/>
        </w:rPr>
        <w:t xml:space="preserve"> </w:t>
      </w:r>
      <w:r>
        <w:t>ensuring that the issuance and redemption of entitlements matches the ‘minting’ and ‘burning’ of PSC</w:t>
      </w:r>
      <w:r w:rsidRPr="00AA2332">
        <w:t xml:space="preserve"> </w:t>
      </w:r>
      <w:r>
        <w:t xml:space="preserve">tokens. </w:t>
      </w:r>
    </w:p>
  </w:footnote>
  <w:footnote w:id="19">
    <w:p w14:paraId="1DD2BAF4" w14:textId="58F42679" w:rsidR="0045230F" w:rsidRDefault="0045230F" w:rsidP="00EE3541">
      <w:pPr>
        <w:pStyle w:val="FootnoteText"/>
        <w:ind w:left="0" w:firstLine="0"/>
      </w:pPr>
      <w:r>
        <w:rPr>
          <w:rStyle w:val="FootnoteReference"/>
        </w:rPr>
        <w:footnoteRef/>
      </w:r>
      <w:r w:rsidR="00EE3541">
        <w:t xml:space="preserve"> </w:t>
      </w:r>
      <w:r>
        <w:rPr>
          <w:shd w:val="clear" w:color="auto" w:fill="FFFFFF"/>
        </w:rPr>
        <w:t>Another example of d</w:t>
      </w:r>
      <w:r w:rsidRPr="00D84181">
        <w:rPr>
          <w:shd w:val="clear" w:color="auto" w:fill="FFFFFF"/>
        </w:rPr>
        <w:t xml:space="preserve">ealing in a PSC facility would be a </w:t>
      </w:r>
      <w:r>
        <w:rPr>
          <w:shd w:val="clear" w:color="auto" w:fill="FFFFFF"/>
        </w:rPr>
        <w:t xml:space="preserve">specific </w:t>
      </w:r>
      <w:r w:rsidRPr="00D84181">
        <w:rPr>
          <w:shd w:val="clear" w:color="auto" w:fill="FFFFFF"/>
        </w:rPr>
        <w:t>third-party redemption service</w:t>
      </w:r>
      <w:r>
        <w:rPr>
          <w:shd w:val="clear" w:color="auto" w:fill="FFFFFF"/>
        </w:rPr>
        <w:t xml:space="preserve"> (e.g. a business that buys PSC tokens slightly below face value and redeems them at par). Depending on structure, these businesses might also be considered market makers or liquidity providers for a digital asset facility.</w:t>
      </w:r>
    </w:p>
  </w:footnote>
  <w:footnote w:id="20">
    <w:p w14:paraId="2C9F1C79" w14:textId="706D3C98" w:rsidR="00D9457B" w:rsidRDefault="00D9457B" w:rsidP="00EE3541">
      <w:pPr>
        <w:pStyle w:val="FootnoteText"/>
        <w:ind w:left="0" w:firstLine="0"/>
      </w:pPr>
      <w:r>
        <w:rPr>
          <w:rStyle w:val="FootnoteReference"/>
        </w:rPr>
        <w:footnoteRef/>
      </w:r>
      <w:r w:rsidR="00EE3541">
        <w:t xml:space="preserve"> </w:t>
      </w:r>
      <w:r>
        <w:t>This would not cover all payments made between buyers and sellers (for example, a peer-to-peer transfer could still be agreed between parties). However, it would cover the third-party products typically used by merchants to facilitate these payments.</w:t>
      </w:r>
    </w:p>
  </w:footnote>
  <w:footnote w:id="21">
    <w:p w14:paraId="6F141789" w14:textId="4A693DA5" w:rsidR="00D9457B" w:rsidRDefault="00D9457B" w:rsidP="00EE3541">
      <w:pPr>
        <w:pStyle w:val="FootnoteText"/>
        <w:ind w:left="0" w:firstLine="0"/>
      </w:pPr>
      <w:r w:rsidRPr="007163DB">
        <w:rPr>
          <w:rStyle w:val="FootnoteReference"/>
        </w:rPr>
        <w:footnoteRef/>
      </w:r>
      <w:r w:rsidR="00EE3541">
        <w:t xml:space="preserve"> </w:t>
      </w:r>
      <w:r w:rsidRPr="007163DB">
        <w:t xml:space="preserve">This could replicate the approach taken by the Monetary Authority of Singapore (MAS) whereby various stablecoins can be sold but only those regulated under a particular framework can use a special notation of ‘MAS regulated’ </w:t>
      </w:r>
      <w:r w:rsidRPr="00372706">
        <w:t>or similar.</w:t>
      </w:r>
    </w:p>
  </w:footnote>
  <w:footnote w:id="22">
    <w:p w14:paraId="5A93CCA8" w14:textId="1909B6D5" w:rsidR="00961F56" w:rsidRDefault="00961F56" w:rsidP="00E0432C">
      <w:pPr>
        <w:pStyle w:val="FootnoteText"/>
        <w:ind w:left="0" w:firstLine="0"/>
      </w:pPr>
      <w:r>
        <w:rPr>
          <w:rStyle w:val="FootnoteReference"/>
        </w:rPr>
        <w:footnoteRef/>
      </w:r>
      <w:r w:rsidR="00E0432C">
        <w:t xml:space="preserve"> </w:t>
      </w:r>
      <w:r>
        <w:t>Note</w:t>
      </w:r>
      <w:r w:rsidR="008B7005">
        <w:t>,</w:t>
      </w:r>
      <w:r>
        <w:t xml:space="preserve"> however</w:t>
      </w:r>
      <w:r w:rsidR="008B7005">
        <w:t>,</w:t>
      </w:r>
      <w:r>
        <w:t xml:space="preserve"> that </w:t>
      </w:r>
      <w:r w:rsidR="006B1A5A">
        <w:t xml:space="preserve">no changes to the </w:t>
      </w:r>
      <w:r w:rsidR="006B1A5A" w:rsidRPr="006B1A5A">
        <w:t>exclusion for credit facilities</w:t>
      </w:r>
      <w:r w:rsidR="00A47010">
        <w:t xml:space="preserve"> in </w:t>
      </w:r>
      <w:r w:rsidR="003F5BCE" w:rsidRPr="00E0432C">
        <w:rPr>
          <w:i/>
          <w:iCs/>
        </w:rPr>
        <w:t>Corporations Act</w:t>
      </w:r>
      <w:r w:rsidR="003F5BCE">
        <w:t xml:space="preserve"> s 765A(1)(h)(</w:t>
      </w:r>
      <w:r w:rsidR="00E0432C">
        <w:t>i) are proposed</w:t>
      </w:r>
      <w:r w:rsidR="00453080">
        <w:t xml:space="preserve">, see </w:t>
      </w:r>
      <w:r w:rsidR="00453080">
        <w:rPr>
          <w:b/>
          <w:bCs/>
        </w:rPr>
        <w:t>S</w:t>
      </w:r>
      <w:r w:rsidR="00453080" w:rsidRPr="00453080">
        <w:rPr>
          <w:b/>
          <w:bCs/>
        </w:rPr>
        <w:t xml:space="preserve">ection </w:t>
      </w:r>
      <w:r w:rsidR="00104954">
        <w:rPr>
          <w:b/>
          <w:bCs/>
        </w:rPr>
        <w:t>3.1</w:t>
      </w:r>
      <w:r w:rsidR="00453080">
        <w:t>.</w:t>
      </w:r>
    </w:p>
  </w:footnote>
  <w:footnote w:id="23">
    <w:p w14:paraId="53C173A0" w14:textId="62CDB30B" w:rsidR="00D17E48" w:rsidRDefault="00D17E48" w:rsidP="00EE3541">
      <w:pPr>
        <w:pStyle w:val="FootnoteText"/>
        <w:ind w:left="0" w:firstLine="0"/>
      </w:pPr>
      <w:r>
        <w:rPr>
          <w:rStyle w:val="FootnoteReference"/>
        </w:rPr>
        <w:footnoteRef/>
      </w:r>
      <w:r w:rsidR="00EE3541">
        <w:t xml:space="preserve"> </w:t>
      </w:r>
      <w:r w:rsidR="00BC0707">
        <w:t>A payment token</w:t>
      </w:r>
      <w:r>
        <w:t xml:space="preserve"> is only a subset of </w:t>
      </w:r>
      <w:r w:rsidR="00473550">
        <w:t xml:space="preserve">the more general concept of </w:t>
      </w:r>
      <w:r w:rsidR="00BC0707">
        <w:t xml:space="preserve">tokens </w:t>
      </w:r>
      <w:r w:rsidR="00FC3A04">
        <w:t>in account-based or token-based systems</w:t>
      </w:r>
      <w:r w:rsidR="00473550">
        <w:t>. These are</w:t>
      </w:r>
      <w:r w:rsidR="00BC0707">
        <w:t xml:space="preserve"> defined </w:t>
      </w:r>
      <w:r w:rsidR="00C65C58">
        <w:t>in</w:t>
      </w:r>
      <w:r w:rsidR="00BC0707">
        <w:t xml:space="preserve"> </w:t>
      </w:r>
      <w:r w:rsidR="000E1EE2">
        <w:t xml:space="preserve">Treasury, </w:t>
      </w:r>
      <w:hyperlink r:id="rId8" w:history="1">
        <w:r w:rsidR="000E1EE2" w:rsidRPr="00E54139">
          <w:rPr>
            <w:rStyle w:val="Hyperlink"/>
            <w:i/>
            <w:iCs/>
          </w:rPr>
          <w:t>Regulating digital asset platforms</w:t>
        </w:r>
      </w:hyperlink>
      <w:r w:rsidR="000E1EE2">
        <w:t>, Treasury, October 2023</w:t>
      </w:r>
      <w:r w:rsidR="00C65C58">
        <w:t>.</w:t>
      </w:r>
      <w:r w:rsidR="005C080C">
        <w:t xml:space="preserve"> A payment token is also a distinct concept from a </w:t>
      </w:r>
      <w:r w:rsidR="00CB30CC">
        <w:t>Payment Stablecoin</w:t>
      </w:r>
      <w:r w:rsidR="005C080C">
        <w:t xml:space="preserve">, which is defined in </w:t>
      </w:r>
      <w:r w:rsidR="00137C38">
        <w:rPr>
          <w:b/>
          <w:bCs/>
        </w:rPr>
        <w:t>S</w:t>
      </w:r>
      <w:r w:rsidR="005C080C" w:rsidRPr="00BE3751">
        <w:rPr>
          <w:b/>
          <w:bCs/>
        </w:rPr>
        <w:t xml:space="preserve">ection </w:t>
      </w:r>
      <w:r w:rsidR="00104954">
        <w:rPr>
          <w:b/>
          <w:bCs/>
        </w:rPr>
        <w:t>2.2.2</w:t>
      </w:r>
      <w:r w:rsidR="005C080C">
        <w:t>.</w:t>
      </w:r>
    </w:p>
  </w:footnote>
  <w:footnote w:id="24">
    <w:p w14:paraId="13EF22AE" w14:textId="50699AF4" w:rsidR="00A83A93" w:rsidRDefault="00A83A93">
      <w:pPr>
        <w:pStyle w:val="FootnoteText"/>
      </w:pPr>
      <w:r>
        <w:rPr>
          <w:rStyle w:val="FootnoteReference"/>
        </w:rPr>
        <w:footnoteRef/>
      </w:r>
      <w:r>
        <w:t xml:space="preserve"> Note that </w:t>
      </w:r>
      <w:r w:rsidR="00E11294">
        <w:t xml:space="preserve">the Government is </w:t>
      </w:r>
      <w:r w:rsidR="00F23022">
        <w:t>supporting an industry-led, phased transition away from BECS.</w:t>
      </w:r>
      <w:r w:rsidR="00B9728A">
        <w:t xml:space="preserve"> </w:t>
      </w:r>
    </w:p>
  </w:footnote>
  <w:footnote w:id="25">
    <w:p w14:paraId="2BD840E5" w14:textId="5B8DC99D" w:rsidR="000C072D" w:rsidRDefault="000C072D" w:rsidP="00EE3541">
      <w:pPr>
        <w:pStyle w:val="FootnoteText"/>
        <w:ind w:left="0" w:firstLine="0"/>
      </w:pPr>
      <w:r>
        <w:rPr>
          <w:rStyle w:val="FootnoteReference"/>
        </w:rPr>
        <w:footnoteRef/>
      </w:r>
      <w:r w:rsidR="00EE3541">
        <w:t xml:space="preserve"> </w:t>
      </w:r>
      <w:r>
        <w:t xml:space="preserve">For example, Indonesia’s payment </w:t>
      </w:r>
      <w:r w:rsidR="00A365CF">
        <w:t>services regulations apply to payment gateway providers</w:t>
      </w:r>
      <w:r w:rsidR="00B07BFB">
        <w:t xml:space="preserve">, </w:t>
      </w:r>
      <w:r w:rsidR="00832A69">
        <w:t>see Makarim &amp; Taira</w:t>
      </w:r>
      <w:r w:rsidR="00891F24">
        <w:t xml:space="preserve"> S, </w:t>
      </w:r>
      <w:hyperlink r:id="rId9" w:history="1">
        <w:r w:rsidR="00614095" w:rsidRPr="002B1BD8">
          <w:rPr>
            <w:rStyle w:val="Hyperlink"/>
            <w:i/>
            <w:iCs/>
          </w:rPr>
          <w:t>The Implementing Regulation of the Payment Systems Regulation: Payment Services Providers</w:t>
        </w:r>
      </w:hyperlink>
      <w:r w:rsidR="00614095">
        <w:t xml:space="preserve">, </w:t>
      </w:r>
      <w:r w:rsidR="00196775">
        <w:t>August 2021.</w:t>
      </w:r>
      <w:r w:rsidR="009E17AB">
        <w:t xml:space="preserve"> See also </w:t>
      </w:r>
      <w:r w:rsidR="00FF2472">
        <w:t xml:space="preserve">Bank of Canada, </w:t>
      </w:r>
      <w:hyperlink r:id="rId10" w:history="1">
        <w:r w:rsidR="001D085F" w:rsidRPr="00DB3533">
          <w:rPr>
            <w:rStyle w:val="Hyperlink"/>
            <w:i/>
            <w:iCs/>
          </w:rPr>
          <w:t>Retail Payments Advisory Committee – Registration Scope</w:t>
        </w:r>
      </w:hyperlink>
      <w:r w:rsidR="001D085F">
        <w:t>, September 2021.</w:t>
      </w:r>
    </w:p>
  </w:footnote>
  <w:footnote w:id="26">
    <w:p w14:paraId="0B87A699" w14:textId="44620C78" w:rsidR="008C1A15" w:rsidRDefault="008C1A15" w:rsidP="008C1A15">
      <w:pPr>
        <w:pStyle w:val="FootnoteText"/>
      </w:pPr>
      <w:r>
        <w:rPr>
          <w:rStyle w:val="FootnoteReference"/>
        </w:rPr>
        <w:footnoteRef/>
      </w:r>
      <w:r>
        <w:t xml:space="preserve"> </w:t>
      </w:r>
      <w:r w:rsidRPr="003F50E5">
        <w:rPr>
          <w:i/>
        </w:rPr>
        <w:t>Corporations Act</w:t>
      </w:r>
      <w:r w:rsidRPr="00F05017">
        <w:t xml:space="preserve"> </w:t>
      </w:r>
      <w:r>
        <w:t>s 763A.</w:t>
      </w:r>
    </w:p>
  </w:footnote>
  <w:footnote w:id="27">
    <w:p w14:paraId="7977FB93" w14:textId="0E6D7C07" w:rsidR="008C1A15" w:rsidRDefault="008C1A15" w:rsidP="008C1A15">
      <w:pPr>
        <w:pStyle w:val="FootnoteText"/>
      </w:pPr>
      <w:r>
        <w:rPr>
          <w:rStyle w:val="FootnoteReference"/>
        </w:rPr>
        <w:footnoteRef/>
      </w:r>
      <w:r>
        <w:t xml:space="preserve"> </w:t>
      </w:r>
      <w:r w:rsidRPr="003F50E5">
        <w:rPr>
          <w:i/>
        </w:rPr>
        <w:t>Corporations Act</w:t>
      </w:r>
      <w:r w:rsidRPr="00F05017">
        <w:t xml:space="preserve"> </w:t>
      </w:r>
      <w:r>
        <w:t>s 766A.</w:t>
      </w:r>
    </w:p>
  </w:footnote>
  <w:footnote w:id="28">
    <w:p w14:paraId="299E1EA8" w14:textId="209CA386" w:rsidR="00B96958" w:rsidRDefault="00B96958">
      <w:pPr>
        <w:pStyle w:val="FootnoteText"/>
      </w:pPr>
      <w:r>
        <w:rPr>
          <w:rStyle w:val="FootnoteReference"/>
        </w:rPr>
        <w:footnoteRef/>
      </w:r>
      <w:r>
        <w:t xml:space="preserve"> </w:t>
      </w:r>
      <w:r w:rsidR="00DA4574" w:rsidRPr="003F50E5">
        <w:rPr>
          <w:i/>
        </w:rPr>
        <w:t>Corporations Act</w:t>
      </w:r>
      <w:r w:rsidR="00DA4574">
        <w:t xml:space="preserve"> s 766C.</w:t>
      </w:r>
    </w:p>
  </w:footnote>
  <w:footnote w:id="29">
    <w:p w14:paraId="7E01F168" w14:textId="4AE7C989" w:rsidR="007359C3" w:rsidRDefault="007359C3" w:rsidP="00B8592D">
      <w:pPr>
        <w:spacing w:before="0" w:after="0"/>
      </w:pPr>
      <w:r>
        <w:rPr>
          <w:rStyle w:val="FootnoteReference"/>
        </w:rPr>
        <w:footnoteRef/>
      </w:r>
      <w:r>
        <w:t xml:space="preserve"> </w:t>
      </w:r>
      <w:r w:rsidRPr="003F50E5">
        <w:rPr>
          <w:sz w:val="20"/>
        </w:rPr>
        <w:t xml:space="preserve">For example, </w:t>
      </w:r>
      <w:r w:rsidR="002C36E2" w:rsidRPr="003F50E5">
        <w:rPr>
          <w:sz w:val="20"/>
        </w:rPr>
        <w:t xml:space="preserve">the </w:t>
      </w:r>
      <w:r w:rsidR="00331781" w:rsidRPr="003F50E5">
        <w:rPr>
          <w:sz w:val="20"/>
        </w:rPr>
        <w:t>exemption</w:t>
      </w:r>
      <w:r w:rsidR="009125B2" w:rsidRPr="003F50E5">
        <w:rPr>
          <w:sz w:val="20"/>
        </w:rPr>
        <w:t xml:space="preserve"> for facilities for the exchange and settlement of non-cash payments between providers of non-cash payment facilities would need to be updated (see </w:t>
      </w:r>
      <w:r w:rsidR="009125B2" w:rsidRPr="008321CC">
        <w:rPr>
          <w:i/>
          <w:sz w:val="20"/>
        </w:rPr>
        <w:t>Corporations Act</w:t>
      </w:r>
      <w:r w:rsidR="009125B2" w:rsidRPr="003F50E5">
        <w:rPr>
          <w:sz w:val="20"/>
        </w:rPr>
        <w:t xml:space="preserve"> </w:t>
      </w:r>
      <w:r w:rsidR="00182CAF" w:rsidRPr="003F50E5">
        <w:rPr>
          <w:sz w:val="20"/>
        </w:rPr>
        <w:t>s</w:t>
      </w:r>
      <w:r w:rsidR="00331781" w:rsidRPr="003F50E5">
        <w:rPr>
          <w:sz w:val="20"/>
        </w:rPr>
        <w:t> </w:t>
      </w:r>
      <w:r w:rsidR="00182CAF" w:rsidRPr="003F50E5">
        <w:rPr>
          <w:sz w:val="20"/>
        </w:rPr>
        <w:t>765A(1)(k)</w:t>
      </w:r>
      <w:r w:rsidR="00331781" w:rsidRPr="003F50E5">
        <w:rPr>
          <w:sz w:val="20"/>
        </w:rPr>
        <w:t>).</w:t>
      </w:r>
    </w:p>
  </w:footnote>
  <w:footnote w:id="30">
    <w:p w14:paraId="337E6127" w14:textId="77777777" w:rsidR="00AC5867" w:rsidRDefault="00AC5867" w:rsidP="003063B2">
      <w:pPr>
        <w:pStyle w:val="FootnoteText"/>
        <w:ind w:left="0" w:firstLine="0"/>
      </w:pPr>
      <w:r>
        <w:rPr>
          <w:rStyle w:val="FootnoteReference"/>
        </w:rPr>
        <w:footnoteRef/>
      </w:r>
      <w:r w:rsidR="003063B2">
        <w:t xml:space="preserve"> </w:t>
      </w:r>
      <w:r>
        <w:t>Noting that the definition of financial product also captures facilities for making a financial investment, or managing financial risk.</w:t>
      </w:r>
    </w:p>
  </w:footnote>
  <w:footnote w:id="31">
    <w:p w14:paraId="20B162D0" w14:textId="2BA13B1C" w:rsidR="00AC5867" w:rsidRDefault="00AC5867">
      <w:pPr>
        <w:pStyle w:val="FootnoteText"/>
      </w:pPr>
      <w:r>
        <w:rPr>
          <w:rStyle w:val="FootnoteReference"/>
        </w:rPr>
        <w:footnoteRef/>
      </w:r>
      <w:r>
        <w:t xml:space="preserve"> </w:t>
      </w:r>
      <w:r w:rsidRPr="00B8592D">
        <w:rPr>
          <w:i/>
          <w:iCs/>
        </w:rPr>
        <w:t>Corporations Act</w:t>
      </w:r>
      <w:r>
        <w:t xml:space="preserve"> s 763A(1)(c).</w:t>
      </w:r>
    </w:p>
  </w:footnote>
  <w:footnote w:id="32">
    <w:p w14:paraId="7B77C040" w14:textId="4B36F6F8" w:rsidR="00AC5867" w:rsidRDefault="00AC5867">
      <w:pPr>
        <w:pStyle w:val="FootnoteText"/>
      </w:pPr>
      <w:r>
        <w:rPr>
          <w:rStyle w:val="FootnoteReference"/>
        </w:rPr>
        <w:footnoteRef/>
      </w:r>
      <w:r>
        <w:t xml:space="preserve"> </w:t>
      </w:r>
      <w:r w:rsidRPr="00114161">
        <w:rPr>
          <w:i/>
          <w:iCs/>
        </w:rPr>
        <w:t>Corporations Act</w:t>
      </w:r>
      <w:r>
        <w:t xml:space="preserve"> s 763D.</w:t>
      </w:r>
    </w:p>
  </w:footnote>
  <w:footnote w:id="33">
    <w:p w14:paraId="32707B3B" w14:textId="2BE2B7EF" w:rsidR="00AC5867" w:rsidRDefault="00AC5867" w:rsidP="00FA2B55">
      <w:pPr>
        <w:pStyle w:val="FootnoteText"/>
        <w:ind w:left="0" w:firstLine="0"/>
      </w:pPr>
      <w:r>
        <w:rPr>
          <w:rStyle w:val="FootnoteReference"/>
        </w:rPr>
        <w:footnoteRef/>
      </w:r>
      <w:r w:rsidR="00FA2B55">
        <w:t xml:space="preserve"> </w:t>
      </w:r>
      <w:r>
        <w:t>Noting that the definition of financial service also captures other activities not relevant to payments.</w:t>
      </w:r>
    </w:p>
  </w:footnote>
  <w:footnote w:id="34">
    <w:p w14:paraId="78D5A256" w14:textId="61212AAD" w:rsidR="00AC5867" w:rsidRDefault="00AC5867">
      <w:pPr>
        <w:pStyle w:val="FootnoteText"/>
      </w:pPr>
      <w:r>
        <w:rPr>
          <w:rStyle w:val="FootnoteReference"/>
        </w:rPr>
        <w:footnoteRef/>
      </w:r>
      <w:r>
        <w:t xml:space="preserve"> </w:t>
      </w:r>
      <w:r w:rsidRPr="0022074E">
        <w:t>Note the paper also uses the term payment service as a general term to refer to all payment functions.</w:t>
      </w:r>
      <w:r>
        <w:t xml:space="preserve"> </w:t>
      </w:r>
    </w:p>
  </w:footnote>
  <w:footnote w:id="35">
    <w:p w14:paraId="6E2BAC89" w14:textId="28957BE5" w:rsidR="00B57A43" w:rsidRDefault="00B57A43">
      <w:pPr>
        <w:pStyle w:val="FootnoteText"/>
      </w:pPr>
      <w:r>
        <w:rPr>
          <w:rStyle w:val="FootnoteReference"/>
        </w:rPr>
        <w:footnoteRef/>
      </w:r>
      <w:r>
        <w:t xml:space="preserve"> </w:t>
      </w:r>
      <w:r w:rsidRPr="00114161">
        <w:rPr>
          <w:i/>
          <w:iCs/>
        </w:rPr>
        <w:t>Corporations Act</w:t>
      </w:r>
      <w:r w:rsidRPr="00B57A43">
        <w:t xml:space="preserve"> </w:t>
      </w:r>
      <w:r>
        <w:t xml:space="preserve">s </w:t>
      </w:r>
      <w:r w:rsidRPr="00B57A43">
        <w:t>761E(4)).</w:t>
      </w:r>
    </w:p>
  </w:footnote>
  <w:footnote w:id="36">
    <w:p w14:paraId="58E1C284" w14:textId="21124839" w:rsidR="001254FA" w:rsidRDefault="001254FA" w:rsidP="001254FA">
      <w:pPr>
        <w:pStyle w:val="FootnoteText"/>
      </w:pPr>
      <w:r>
        <w:rPr>
          <w:rStyle w:val="FootnoteReference"/>
        </w:rPr>
        <w:footnoteRef/>
      </w:r>
      <w:r>
        <w:t xml:space="preserve"> </w:t>
      </w:r>
      <w:r w:rsidRPr="00114161">
        <w:rPr>
          <w:i/>
          <w:iCs/>
        </w:rPr>
        <w:t>Corporations Act</w:t>
      </w:r>
      <w:r>
        <w:t xml:space="preserve"> s 911D.</w:t>
      </w:r>
    </w:p>
  </w:footnote>
  <w:footnote w:id="37">
    <w:p w14:paraId="021F0425" w14:textId="7E78D817" w:rsidR="001254FA" w:rsidRDefault="001254FA" w:rsidP="002D2CA3">
      <w:pPr>
        <w:pStyle w:val="FootnoteText"/>
      </w:pPr>
      <w:r>
        <w:rPr>
          <w:rStyle w:val="FootnoteReference"/>
        </w:rPr>
        <w:footnoteRef/>
      </w:r>
      <w:r>
        <w:t xml:space="preserve"> </w:t>
      </w:r>
      <w:r w:rsidR="00100AEA">
        <w:t>See</w:t>
      </w:r>
      <w:r>
        <w:t xml:space="preserve"> </w:t>
      </w:r>
      <w:r w:rsidR="002D2CA3">
        <w:t xml:space="preserve">ASIC, </w:t>
      </w:r>
      <w:hyperlink r:id="rId11" w:history="1">
        <w:r w:rsidR="00981308" w:rsidRPr="00981308">
          <w:rPr>
            <w:rStyle w:val="Hyperlink"/>
            <w:i/>
            <w:iCs/>
          </w:rPr>
          <w:t>Regulatory Guide 121 Doing financial services business in Australia</w:t>
        </w:r>
      </w:hyperlink>
      <w:r w:rsidR="00981308">
        <w:t>,</w:t>
      </w:r>
      <w:r w:rsidR="00353F30">
        <w:t xml:space="preserve"> 30 July 2013.</w:t>
      </w:r>
    </w:p>
  </w:footnote>
  <w:footnote w:id="38">
    <w:p w14:paraId="500DB7FD" w14:textId="6F0FF5AF" w:rsidR="00E92F57" w:rsidRDefault="00E92F57" w:rsidP="00E92F57">
      <w:pPr>
        <w:pStyle w:val="FootnoteText"/>
        <w:ind w:left="0" w:firstLine="0"/>
      </w:pPr>
      <w:r>
        <w:rPr>
          <w:rStyle w:val="FootnoteReference"/>
        </w:rPr>
        <w:footnoteRef/>
      </w:r>
      <w:r>
        <w:t xml:space="preserve"> </w:t>
      </w:r>
      <w:r w:rsidRPr="00196B2F">
        <w:t>Treasury Laws Amendment (Better Targeted Superannuation Concessions and Other Measures) Bill 2023</w:t>
      </w:r>
      <w:r>
        <w:t>, Schedule 7.</w:t>
      </w:r>
    </w:p>
  </w:footnote>
  <w:footnote w:id="39">
    <w:p w14:paraId="2BB27018" w14:textId="45A22B6F" w:rsidR="000C33EA" w:rsidRDefault="000C33EA">
      <w:pPr>
        <w:pStyle w:val="FootnoteText"/>
      </w:pPr>
      <w:r>
        <w:rPr>
          <w:rStyle w:val="FootnoteReference"/>
        </w:rPr>
        <w:footnoteRef/>
      </w:r>
      <w:r>
        <w:t xml:space="preserve"> </w:t>
      </w:r>
      <w:r w:rsidRPr="00E86FA8">
        <w:rPr>
          <w:i/>
          <w:iCs/>
        </w:rPr>
        <w:t>Corporations Regulations</w:t>
      </w:r>
      <w:r>
        <w:t xml:space="preserve"> reg 7.1.07G</w:t>
      </w:r>
      <w:r w:rsidDel="003B782F">
        <w:t>.</w:t>
      </w:r>
    </w:p>
  </w:footnote>
  <w:footnote w:id="40">
    <w:p w14:paraId="0B0FE0ED" w14:textId="3226243F" w:rsidR="0040352A" w:rsidRDefault="0040352A">
      <w:pPr>
        <w:pStyle w:val="FootnoteText"/>
      </w:pPr>
      <w:r>
        <w:rPr>
          <w:rStyle w:val="FootnoteReference"/>
        </w:rPr>
        <w:footnoteRef/>
      </w:r>
      <w:r>
        <w:t xml:space="preserve"> </w:t>
      </w:r>
      <w:r w:rsidRPr="00F40024">
        <w:rPr>
          <w:i/>
          <w:iCs/>
        </w:rPr>
        <w:t>Corporations Act</w:t>
      </w:r>
      <w:r>
        <w:t xml:space="preserve"> s 763D(</w:t>
      </w:r>
      <w:r w:rsidR="00453121">
        <w:t>2)(</w:t>
      </w:r>
      <w:r w:rsidR="00A51908">
        <w:t>a</w:t>
      </w:r>
      <w:r w:rsidR="00F40024">
        <w:t>)</w:t>
      </w:r>
      <w:r w:rsidR="00631877">
        <w:t>(i).</w:t>
      </w:r>
    </w:p>
  </w:footnote>
  <w:footnote w:id="41">
    <w:p w14:paraId="101C65AC" w14:textId="34B8D51A" w:rsidR="00351843" w:rsidRDefault="00351843">
      <w:pPr>
        <w:pStyle w:val="FootnoteText"/>
      </w:pPr>
      <w:r>
        <w:rPr>
          <w:rStyle w:val="FootnoteReference"/>
        </w:rPr>
        <w:footnoteRef/>
      </w:r>
      <w:r>
        <w:t xml:space="preserve"> </w:t>
      </w:r>
      <w:r w:rsidRPr="00F23CC2">
        <w:rPr>
          <w:i/>
          <w:iCs/>
        </w:rPr>
        <w:t>Corporations Act</w:t>
      </w:r>
      <w:r>
        <w:t xml:space="preserve"> s 765A(1)(h)</w:t>
      </w:r>
      <w:r w:rsidR="00F23CC2">
        <w:t>(ii).</w:t>
      </w:r>
    </w:p>
  </w:footnote>
  <w:footnote w:id="42">
    <w:p w14:paraId="0F35522B" w14:textId="01BCF190" w:rsidR="0075141E" w:rsidRDefault="0075141E">
      <w:pPr>
        <w:pStyle w:val="FootnoteText"/>
      </w:pPr>
      <w:r>
        <w:rPr>
          <w:rStyle w:val="FootnoteReference"/>
        </w:rPr>
        <w:footnoteRef/>
      </w:r>
      <w:r>
        <w:t xml:space="preserve"> See</w:t>
      </w:r>
      <w:r w:rsidR="00F716A6">
        <w:t xml:space="preserve">, for example, </w:t>
      </w:r>
      <w:r w:rsidR="00227723" w:rsidRPr="0027541F">
        <w:rPr>
          <w:i/>
          <w:iCs/>
        </w:rPr>
        <w:t>National Consumer Credit Protection Act 2009</w:t>
      </w:r>
      <w:r w:rsidR="00353BAC">
        <w:t xml:space="preserve"> (Cth) s 47</w:t>
      </w:r>
      <w:r w:rsidR="0027541F">
        <w:t>.</w:t>
      </w:r>
    </w:p>
  </w:footnote>
  <w:footnote w:id="43">
    <w:p w14:paraId="7D52C5B3" w14:textId="77777777" w:rsidR="00590546" w:rsidRDefault="00590546" w:rsidP="00590546">
      <w:pPr>
        <w:pStyle w:val="FootnoteText"/>
      </w:pPr>
      <w:r>
        <w:rPr>
          <w:rStyle w:val="FootnoteReference"/>
        </w:rPr>
        <w:footnoteRef/>
      </w:r>
      <w:r>
        <w:t xml:space="preserve"> </w:t>
      </w:r>
      <w:r w:rsidRPr="00395615">
        <w:t>Financial Services Reform Bill 2001</w:t>
      </w:r>
      <w:r>
        <w:t xml:space="preserve">, </w:t>
      </w:r>
      <w:hyperlink r:id="rId12" w:history="1">
        <w:r w:rsidRPr="00DB3533">
          <w:rPr>
            <w:rStyle w:val="Hyperlink"/>
            <w:i/>
          </w:rPr>
          <w:t>Revised Explanatory Memorandum</w:t>
        </w:r>
      </w:hyperlink>
      <w:r>
        <w:t>, p 43.</w:t>
      </w:r>
    </w:p>
  </w:footnote>
  <w:footnote w:id="44">
    <w:p w14:paraId="4CA07B53" w14:textId="6EBFE74A" w:rsidR="00805601" w:rsidRDefault="00805601" w:rsidP="00265CB3">
      <w:pPr>
        <w:pStyle w:val="FootnoteText"/>
        <w:ind w:left="0" w:firstLine="0"/>
      </w:pPr>
      <w:r>
        <w:rPr>
          <w:rStyle w:val="FootnoteReference"/>
        </w:rPr>
        <w:footnoteRef/>
      </w:r>
      <w:r w:rsidR="00265CB3">
        <w:t xml:space="preserve"> </w:t>
      </w:r>
      <w:r w:rsidRPr="00265CB3">
        <w:rPr>
          <w:i/>
          <w:iCs/>
        </w:rPr>
        <w:t>Corporations Act</w:t>
      </w:r>
      <w:r>
        <w:t xml:space="preserve"> s 765A(1)(j); and </w:t>
      </w:r>
      <w:r w:rsidR="002D557A" w:rsidRPr="00B110FA">
        <w:rPr>
          <w:i/>
          <w:iCs/>
        </w:rPr>
        <w:t>ASIC Act</w:t>
      </w:r>
      <w:r w:rsidR="002D557A">
        <w:t xml:space="preserve"> </w:t>
      </w:r>
      <w:r w:rsidR="004E0B19" w:rsidRPr="004E0B19">
        <w:rPr>
          <w:i/>
          <w:iCs/>
        </w:rPr>
        <w:t>2001</w:t>
      </w:r>
      <w:r w:rsidR="004E0B19">
        <w:t xml:space="preserve"> (Cth) (</w:t>
      </w:r>
      <w:r w:rsidR="004E0B19" w:rsidRPr="004E0B19">
        <w:rPr>
          <w:i/>
          <w:iCs/>
        </w:rPr>
        <w:t>ASIC Act</w:t>
      </w:r>
      <w:r w:rsidR="004E0B19">
        <w:t xml:space="preserve">) </w:t>
      </w:r>
      <w:r>
        <w:t>s 12BAA(1)(e).</w:t>
      </w:r>
    </w:p>
  </w:footnote>
  <w:footnote w:id="45">
    <w:p w14:paraId="2DAAA5E8" w14:textId="0FF98161" w:rsidR="00EE6DB4" w:rsidRDefault="00EE6DB4" w:rsidP="00BF3C61">
      <w:pPr>
        <w:pStyle w:val="FootnoteText"/>
        <w:ind w:left="0" w:firstLine="0"/>
      </w:pPr>
      <w:r>
        <w:rPr>
          <w:rStyle w:val="FootnoteReference"/>
        </w:rPr>
        <w:footnoteRef/>
      </w:r>
      <w:r w:rsidR="00BF3C61">
        <w:t xml:space="preserve"> </w:t>
      </w:r>
      <w:r w:rsidR="004671AA" w:rsidRPr="00DB3533">
        <w:rPr>
          <w:i/>
        </w:rPr>
        <w:t>Corporations Act</w:t>
      </w:r>
      <w:r w:rsidR="004671AA">
        <w:t xml:space="preserve"> s 911A</w:t>
      </w:r>
      <w:r w:rsidR="008B2787">
        <w:t xml:space="preserve">(2)(b). </w:t>
      </w:r>
      <w:r w:rsidR="00F41DDC">
        <w:t>D</w:t>
      </w:r>
      <w:r w:rsidR="00DB2C41">
        <w:t xml:space="preserve">ispute resolution obligations apply to unlicensed product issuers, under </w:t>
      </w:r>
      <w:r w:rsidR="00DB2C41" w:rsidRPr="00437A8B">
        <w:rPr>
          <w:i/>
          <w:iCs/>
        </w:rPr>
        <w:t>Corporations Act</w:t>
      </w:r>
      <w:r w:rsidR="00DB2C41">
        <w:t xml:space="preserve"> s 1017G.</w:t>
      </w:r>
    </w:p>
  </w:footnote>
  <w:footnote w:id="46">
    <w:p w14:paraId="675FB93B" w14:textId="311EC131" w:rsidR="004051E1" w:rsidRDefault="004051E1">
      <w:pPr>
        <w:pStyle w:val="FootnoteText"/>
      </w:pPr>
      <w:r>
        <w:rPr>
          <w:rStyle w:val="FootnoteReference"/>
        </w:rPr>
        <w:footnoteRef/>
      </w:r>
      <w:r>
        <w:t xml:space="preserve"> </w:t>
      </w:r>
      <w:r w:rsidRPr="007F2CB0">
        <w:rPr>
          <w:i/>
          <w:iCs/>
        </w:rPr>
        <w:t>Corporations Regulations</w:t>
      </w:r>
      <w:r w:rsidR="00990007">
        <w:t xml:space="preserve"> r</w:t>
      </w:r>
      <w:r w:rsidR="00F9090A">
        <w:t xml:space="preserve">eg </w:t>
      </w:r>
      <w:r w:rsidR="00990007" w:rsidRPr="00796107">
        <w:t>7.6.01(1)(n)</w:t>
      </w:r>
      <w:r w:rsidR="00F9090A">
        <w:t>.</w:t>
      </w:r>
    </w:p>
  </w:footnote>
  <w:footnote w:id="47">
    <w:p w14:paraId="05F68EDC" w14:textId="22006817" w:rsidR="004051E1" w:rsidRDefault="004051E1">
      <w:pPr>
        <w:pStyle w:val="FootnoteText"/>
      </w:pPr>
      <w:r>
        <w:rPr>
          <w:rStyle w:val="FootnoteReference"/>
        </w:rPr>
        <w:footnoteRef/>
      </w:r>
      <w:r>
        <w:t xml:space="preserve"> </w:t>
      </w:r>
      <w:r w:rsidRPr="007F2CB0">
        <w:rPr>
          <w:i/>
          <w:iCs/>
        </w:rPr>
        <w:t>Corporations Regulations</w:t>
      </w:r>
      <w:r w:rsidR="00F9090A">
        <w:t xml:space="preserve"> reg </w:t>
      </w:r>
      <w:r w:rsidR="00F9090A" w:rsidRPr="00796107">
        <w:t>7.6.01(1)(na)</w:t>
      </w:r>
      <w:r w:rsidR="00F9090A">
        <w:t>.</w:t>
      </w:r>
    </w:p>
  </w:footnote>
  <w:footnote w:id="48">
    <w:p w14:paraId="3D31BC2C" w14:textId="323B693D" w:rsidR="00C70F66" w:rsidRDefault="00C70F66">
      <w:pPr>
        <w:pStyle w:val="FootnoteText"/>
      </w:pPr>
      <w:r>
        <w:rPr>
          <w:rStyle w:val="FootnoteReference"/>
        </w:rPr>
        <w:footnoteRef/>
      </w:r>
      <w:r>
        <w:t xml:space="preserve"> </w:t>
      </w:r>
      <w:r w:rsidR="00257A50">
        <w:t>W</w:t>
      </w:r>
      <w:r>
        <w:t xml:space="preserve">hich would be similar in effect to </w:t>
      </w:r>
      <w:r w:rsidRPr="00B8592D">
        <w:rPr>
          <w:i/>
          <w:iCs/>
        </w:rPr>
        <w:t>Corporations Act</w:t>
      </w:r>
      <w:r w:rsidR="00257A50">
        <w:t xml:space="preserve"> s 912C.</w:t>
      </w:r>
    </w:p>
  </w:footnote>
  <w:footnote w:id="49">
    <w:p w14:paraId="318EF6A3" w14:textId="5B68AE39" w:rsidR="00EC7C1B" w:rsidRDefault="00EC7C1B">
      <w:pPr>
        <w:pStyle w:val="FootnoteText"/>
      </w:pPr>
      <w:r>
        <w:rPr>
          <w:rStyle w:val="FootnoteReference"/>
        </w:rPr>
        <w:footnoteRef/>
      </w:r>
      <w:r>
        <w:t xml:space="preserve"> </w:t>
      </w:r>
      <w:r w:rsidR="00E10208" w:rsidRPr="00F117F4">
        <w:rPr>
          <w:i/>
          <w:iCs/>
        </w:rPr>
        <w:t>ASIC Corporations (Non-cash Payment Facilities) Instrument 2016/211</w:t>
      </w:r>
      <w:r w:rsidR="003979A5">
        <w:t xml:space="preserve"> s 9.</w:t>
      </w:r>
    </w:p>
  </w:footnote>
  <w:footnote w:id="50">
    <w:p w14:paraId="6B2C4B50" w14:textId="64638552" w:rsidR="00D16597" w:rsidRDefault="00D16597">
      <w:pPr>
        <w:pStyle w:val="FootnoteText"/>
      </w:pPr>
      <w:r>
        <w:rPr>
          <w:rStyle w:val="FootnoteReference"/>
        </w:rPr>
        <w:footnoteRef/>
      </w:r>
      <w:r>
        <w:t xml:space="preserve"> </w:t>
      </w:r>
      <w:r w:rsidR="00435618">
        <w:t xml:space="preserve">RBA, </w:t>
      </w:r>
      <w:hyperlink r:id="rId13" w:history="1">
        <w:r w:rsidR="00A318A8">
          <w:rPr>
            <w:rStyle w:val="Hyperlink"/>
            <w:i/>
            <w:iCs/>
          </w:rPr>
          <w:t>Declaration No. 2, 2006 regarding Purchased Payment Facilities</w:t>
        </w:r>
      </w:hyperlink>
      <w:r w:rsidR="00530909">
        <w:t xml:space="preserve">, </w:t>
      </w:r>
      <w:r w:rsidR="00655181">
        <w:t>2006</w:t>
      </w:r>
      <w:r w:rsidR="006D3E90">
        <w:t>.</w:t>
      </w:r>
    </w:p>
  </w:footnote>
  <w:footnote w:id="51">
    <w:p w14:paraId="07D012D2" w14:textId="7E32FB1B" w:rsidR="005B63CD" w:rsidRDefault="005B63CD" w:rsidP="00F117F4">
      <w:pPr>
        <w:pStyle w:val="FootnoteText"/>
        <w:ind w:left="0" w:firstLine="0"/>
      </w:pPr>
      <w:r>
        <w:rPr>
          <w:rStyle w:val="FootnoteReference"/>
        </w:rPr>
        <w:footnoteRef/>
      </w:r>
      <w:r w:rsidR="00F117F4">
        <w:t xml:space="preserve"> </w:t>
      </w:r>
      <w:r w:rsidR="00004CF3">
        <w:t xml:space="preserve">ASIC currently provides </w:t>
      </w:r>
      <w:r w:rsidR="00F52DBD">
        <w:t xml:space="preserve">unconditional class relief </w:t>
      </w:r>
      <w:r w:rsidR="000950F9">
        <w:t>to persons providing financial services in relation to prepaid mobile phone accounts</w:t>
      </w:r>
      <w:r w:rsidR="00164B22">
        <w:t xml:space="preserve">, see </w:t>
      </w:r>
      <w:r w:rsidR="00164B22" w:rsidRPr="00A318A8">
        <w:rPr>
          <w:i/>
          <w:iCs/>
        </w:rPr>
        <w:t>ASIC Corporations (Non-cash Payment Facilities) Instrument 2016/211</w:t>
      </w:r>
      <w:r w:rsidR="0091622C" w:rsidRPr="00A318A8">
        <w:rPr>
          <w:i/>
          <w:iCs/>
        </w:rPr>
        <w:t>.</w:t>
      </w:r>
    </w:p>
  </w:footnote>
  <w:footnote w:id="52">
    <w:p w14:paraId="02026F1F" w14:textId="09AC84E1" w:rsidR="00B41F54" w:rsidRDefault="00B41F54">
      <w:pPr>
        <w:pStyle w:val="FootnoteText"/>
      </w:pPr>
      <w:r>
        <w:rPr>
          <w:rStyle w:val="FootnoteReference"/>
        </w:rPr>
        <w:footnoteRef/>
      </w:r>
      <w:r>
        <w:t xml:space="preserve"> </w:t>
      </w:r>
      <w:r w:rsidR="00DC08CA">
        <w:t>MAS</w:t>
      </w:r>
      <w:r>
        <w:t>,</w:t>
      </w:r>
      <w:r w:rsidR="000F7905">
        <w:t xml:space="preserve"> </w:t>
      </w:r>
      <w:hyperlink r:id="rId14" w:history="1">
        <w:r w:rsidR="000F7905" w:rsidRPr="00D57D4D">
          <w:rPr>
            <w:rStyle w:val="Hyperlink"/>
            <w:i/>
            <w:iCs/>
          </w:rPr>
          <w:t>Frequently Asked Questions on the Payment Services Act</w:t>
        </w:r>
      </w:hyperlink>
      <w:r w:rsidR="00B66285">
        <w:t xml:space="preserve">, </w:t>
      </w:r>
      <w:r w:rsidR="00755BFD">
        <w:t xml:space="preserve">MAS website, </w:t>
      </w:r>
      <w:r w:rsidR="00B66285">
        <w:t>p</w:t>
      </w:r>
      <w:r w:rsidR="007740CC">
        <w:t xml:space="preserve"> 9.</w:t>
      </w:r>
    </w:p>
  </w:footnote>
  <w:footnote w:id="53">
    <w:p w14:paraId="436C7770" w14:textId="39B6DCA2" w:rsidR="00C80CA9" w:rsidRDefault="00C80CA9" w:rsidP="00824C76">
      <w:pPr>
        <w:pStyle w:val="FootnoteText"/>
        <w:ind w:left="0" w:firstLine="0"/>
      </w:pPr>
      <w:r>
        <w:rPr>
          <w:rStyle w:val="FootnoteReference"/>
        </w:rPr>
        <w:footnoteRef/>
      </w:r>
      <w:r w:rsidR="00824C76">
        <w:t xml:space="preserve"> </w:t>
      </w:r>
      <w:r w:rsidR="00373F85">
        <w:t xml:space="preserve">See, for example, </w:t>
      </w:r>
      <w:r w:rsidR="00824C76">
        <w:t xml:space="preserve">FCA, </w:t>
      </w:r>
      <w:hyperlink r:id="rId15" w:history="1">
        <w:r w:rsidR="00824C76" w:rsidRPr="00B8592D">
          <w:rPr>
            <w:rStyle w:val="Hyperlink"/>
            <w:i/>
            <w:iCs/>
          </w:rPr>
          <w:t>FCA Handbook</w:t>
        </w:r>
      </w:hyperlink>
      <w:r w:rsidR="00824C76" w:rsidRPr="004D487D">
        <w:t xml:space="preserve">, PERG </w:t>
      </w:r>
      <w:r w:rsidR="00A765DE">
        <w:t>15.5</w:t>
      </w:r>
      <w:r w:rsidR="00824C76" w:rsidRPr="004D487D">
        <w:t xml:space="preserve">: </w:t>
      </w:r>
      <w:r w:rsidR="00A765DE">
        <w:t>Negative scope/exclusions</w:t>
      </w:r>
      <w:r w:rsidR="00824C76" w:rsidRPr="004D487D">
        <w:t>, ‘Q</w:t>
      </w:r>
      <w:r w:rsidR="006A67DF">
        <w:t>37</w:t>
      </w:r>
      <w:r w:rsidR="00824C76" w:rsidRPr="004D487D">
        <w:t xml:space="preserve">. </w:t>
      </w:r>
      <w:r w:rsidR="00A578F5" w:rsidRPr="00A578F5">
        <w:t>Do the regulations distinguish between (i) payment transactions between payment service providers and (ii) payment services provided to clients</w:t>
      </w:r>
      <w:r w:rsidR="00824C76" w:rsidRPr="004D487D">
        <w:t>?’</w:t>
      </w:r>
      <w:r w:rsidR="00824C76">
        <w:t>.</w:t>
      </w:r>
    </w:p>
  </w:footnote>
  <w:footnote w:id="54">
    <w:p w14:paraId="45331728" w14:textId="4F34A43D" w:rsidR="007F7EB2" w:rsidRDefault="007F7EB2">
      <w:pPr>
        <w:pStyle w:val="FootnoteText"/>
      </w:pPr>
      <w:r>
        <w:rPr>
          <w:rStyle w:val="FootnoteReference"/>
        </w:rPr>
        <w:footnoteRef/>
      </w:r>
      <w:r>
        <w:t xml:space="preserve"> </w:t>
      </w:r>
      <w:r w:rsidRPr="003F50E5">
        <w:rPr>
          <w:i/>
        </w:rPr>
        <w:t>Corporations Regulations</w:t>
      </w:r>
      <w:r w:rsidRPr="004C4AE5">
        <w:t xml:space="preserve"> </w:t>
      </w:r>
      <w:r w:rsidR="004C4AE5">
        <w:t xml:space="preserve">reg </w:t>
      </w:r>
      <w:r>
        <w:t>7.6.01</w:t>
      </w:r>
      <w:r w:rsidR="008779A3">
        <w:t>(1)</w:t>
      </w:r>
      <w:r w:rsidR="004C4AE5">
        <w:t>(lb).</w:t>
      </w:r>
    </w:p>
  </w:footnote>
  <w:footnote w:id="55">
    <w:p w14:paraId="2763FCAD" w14:textId="0F1067BF" w:rsidR="005B76C8" w:rsidRDefault="005B76C8">
      <w:pPr>
        <w:pStyle w:val="FootnoteText"/>
      </w:pPr>
      <w:r>
        <w:rPr>
          <w:rStyle w:val="FootnoteReference"/>
        </w:rPr>
        <w:footnoteRef/>
      </w:r>
      <w:r>
        <w:t xml:space="preserve"> </w:t>
      </w:r>
      <w:r w:rsidRPr="003F50E5">
        <w:rPr>
          <w:i/>
        </w:rPr>
        <w:t>Corporations Act</w:t>
      </w:r>
      <w:r>
        <w:t xml:space="preserve"> s 76</w:t>
      </w:r>
      <w:r w:rsidR="00A22FD9">
        <w:t>5A(1)(j)</w:t>
      </w:r>
      <w:r w:rsidR="00713E99">
        <w:t>.</w:t>
      </w:r>
    </w:p>
  </w:footnote>
  <w:footnote w:id="56">
    <w:p w14:paraId="5C3A9BA1" w14:textId="0E8E31B9" w:rsidR="003807C3" w:rsidRDefault="003807C3">
      <w:pPr>
        <w:pStyle w:val="FootnoteText"/>
      </w:pPr>
      <w:r>
        <w:rPr>
          <w:rStyle w:val="FootnoteReference"/>
        </w:rPr>
        <w:footnoteRef/>
      </w:r>
      <w:r>
        <w:t xml:space="preserve"> </w:t>
      </w:r>
      <w:r w:rsidR="004D45E9">
        <w:t xml:space="preserve">RBA, </w:t>
      </w:r>
      <w:hyperlink r:id="rId16" w:history="1">
        <w:r w:rsidR="004D45E9" w:rsidRPr="00437D22">
          <w:rPr>
            <w:rStyle w:val="Hyperlink"/>
            <w:i/>
            <w:iCs/>
          </w:rPr>
          <w:t>Regulations</w:t>
        </w:r>
      </w:hyperlink>
      <w:r w:rsidR="004E0F2B">
        <w:t>, RBA website.</w:t>
      </w:r>
    </w:p>
  </w:footnote>
  <w:footnote w:id="57">
    <w:p w14:paraId="4EC30719" w14:textId="63C07FE6" w:rsidR="00F0232A" w:rsidRDefault="00F0232A">
      <w:pPr>
        <w:pStyle w:val="FootnoteText"/>
      </w:pPr>
      <w:r>
        <w:rPr>
          <w:rStyle w:val="FootnoteReference"/>
        </w:rPr>
        <w:footnoteRef/>
      </w:r>
      <w:r>
        <w:t xml:space="preserve"> See, for example, </w:t>
      </w:r>
      <w:hyperlink r:id="rId17" w:history="1">
        <w:r w:rsidR="00B01CF8" w:rsidRPr="00437D22">
          <w:rPr>
            <w:rStyle w:val="Hyperlink"/>
            <w:i/>
            <w:iCs/>
          </w:rPr>
          <w:t>Retail Payment Activities Act</w:t>
        </w:r>
        <w:r w:rsidR="008D7C0F" w:rsidRPr="00437D22">
          <w:rPr>
            <w:rStyle w:val="Hyperlink"/>
            <w:i/>
            <w:iCs/>
          </w:rPr>
          <w:t xml:space="preserve"> 2021</w:t>
        </w:r>
      </w:hyperlink>
      <w:r w:rsidR="008D7C0F">
        <w:t xml:space="preserve"> (Canada) s 7.</w:t>
      </w:r>
    </w:p>
  </w:footnote>
  <w:footnote w:id="58">
    <w:p w14:paraId="60FA2B34" w14:textId="724FD4B2" w:rsidR="00827166" w:rsidRDefault="00827166" w:rsidP="00404563">
      <w:pPr>
        <w:pStyle w:val="FootnoteText"/>
        <w:ind w:left="0" w:firstLine="0"/>
      </w:pPr>
      <w:r>
        <w:rPr>
          <w:rStyle w:val="FootnoteReference"/>
        </w:rPr>
        <w:footnoteRef/>
      </w:r>
      <w:r>
        <w:t xml:space="preserve"> </w:t>
      </w:r>
      <w:r w:rsidR="00196B2F" w:rsidRPr="00196B2F">
        <w:t>Treasury Laws Amendment (Better Targeted Superannuation Concessions and Other Measures) Bill 2023</w:t>
      </w:r>
      <w:r w:rsidR="00196B2F">
        <w:t xml:space="preserve">, </w:t>
      </w:r>
      <w:r w:rsidR="00511665">
        <w:t xml:space="preserve">Schedule 8, </w:t>
      </w:r>
      <w:r w:rsidR="00A703EC">
        <w:t>s 127</w:t>
      </w:r>
      <w:r w:rsidR="001F7A05">
        <w:t>.</w:t>
      </w:r>
    </w:p>
  </w:footnote>
  <w:footnote w:id="59">
    <w:p w14:paraId="5A4B444E" w14:textId="695C8254" w:rsidR="002B6B8B" w:rsidRDefault="002B6B8B" w:rsidP="00404563">
      <w:pPr>
        <w:pStyle w:val="FootnoteText"/>
        <w:ind w:left="0" w:firstLine="0"/>
      </w:pPr>
      <w:r>
        <w:rPr>
          <w:rStyle w:val="FootnoteReference"/>
        </w:rPr>
        <w:footnoteRef/>
      </w:r>
      <w:r w:rsidR="00A51A4A">
        <w:t xml:space="preserve"> </w:t>
      </w:r>
      <w:r w:rsidR="00454DB8">
        <w:t xml:space="preserve">Explanatory Memorandum, </w:t>
      </w:r>
      <w:r w:rsidR="00A51A4A" w:rsidRPr="00196B2F">
        <w:t>Treasury Laws Amendment (Better Targeted Superannuation Concessions and Other Measures) Bill 2023</w:t>
      </w:r>
      <w:r w:rsidR="00A51A4A">
        <w:t xml:space="preserve">, pp </w:t>
      </w:r>
      <w:r>
        <w:t>159</w:t>
      </w:r>
      <w:r w:rsidR="000D032A">
        <w:t>-160.</w:t>
      </w:r>
    </w:p>
  </w:footnote>
  <w:footnote w:id="60">
    <w:p w14:paraId="14C35DF1" w14:textId="50E51E16" w:rsidR="00D9177E" w:rsidRDefault="00D9177E">
      <w:pPr>
        <w:pStyle w:val="FootnoteText"/>
      </w:pPr>
      <w:r>
        <w:rPr>
          <w:rStyle w:val="FootnoteReference"/>
        </w:rPr>
        <w:footnoteRef/>
      </w:r>
      <w:r>
        <w:t xml:space="preserve"> RBA, </w:t>
      </w:r>
      <w:hyperlink r:id="rId18" w:history="1">
        <w:r w:rsidRPr="005E0C34">
          <w:rPr>
            <w:rStyle w:val="Hyperlink"/>
            <w:i/>
            <w:iCs/>
          </w:rPr>
          <w:t>High Value Payments</w:t>
        </w:r>
      </w:hyperlink>
      <w:r>
        <w:t>,</w:t>
      </w:r>
      <w:r w:rsidR="003427BA">
        <w:t xml:space="preserve"> RBA website</w:t>
      </w:r>
      <w:r w:rsidR="00AC3CE7">
        <w:t>.</w:t>
      </w:r>
    </w:p>
  </w:footnote>
  <w:footnote w:id="61">
    <w:p w14:paraId="004CE612" w14:textId="6FDCB76B" w:rsidR="00BF6F0C" w:rsidRDefault="00BF6F0C">
      <w:pPr>
        <w:pStyle w:val="FootnoteText"/>
      </w:pPr>
      <w:r>
        <w:rPr>
          <w:rStyle w:val="FootnoteReference"/>
        </w:rPr>
        <w:footnoteRef/>
      </w:r>
      <w:r>
        <w:t xml:space="preserve"> MAS, </w:t>
      </w:r>
      <w:hyperlink r:id="rId19" w:history="1">
        <w:r w:rsidRPr="00196642">
          <w:rPr>
            <w:rStyle w:val="Hyperlink"/>
            <w:i/>
            <w:iCs/>
          </w:rPr>
          <w:t>Guidelines on outsourcing</w:t>
        </w:r>
      </w:hyperlink>
      <w:r>
        <w:t xml:space="preserve">, </w:t>
      </w:r>
      <w:r w:rsidR="0038139B">
        <w:t xml:space="preserve">MAS website, </w:t>
      </w:r>
      <w:r w:rsidR="00E81743">
        <w:t>27 July 2016,</w:t>
      </w:r>
      <w:r w:rsidR="003010C8">
        <w:t xml:space="preserve"> updated 5 October 2018.</w:t>
      </w:r>
    </w:p>
  </w:footnote>
  <w:footnote w:id="62">
    <w:p w14:paraId="5F223A7A" w14:textId="03298327" w:rsidR="005F582E" w:rsidRDefault="005F582E" w:rsidP="003E3916">
      <w:pPr>
        <w:pStyle w:val="FootnoteText"/>
        <w:ind w:left="0" w:firstLine="0"/>
      </w:pPr>
      <w:r>
        <w:rPr>
          <w:rStyle w:val="FootnoteReference"/>
        </w:rPr>
        <w:footnoteRef/>
      </w:r>
      <w:r w:rsidR="002C16C7">
        <w:t xml:space="preserve"> </w:t>
      </w:r>
      <w:r>
        <w:t xml:space="preserve">This would not include online fundraising platforms, which support charitable activities but </w:t>
      </w:r>
      <w:r w:rsidR="00731327">
        <w:t xml:space="preserve">are not themselves a charitable </w:t>
      </w:r>
      <w:r w:rsidR="00333674">
        <w:t>organisation.</w:t>
      </w:r>
    </w:p>
  </w:footnote>
  <w:footnote w:id="63">
    <w:p w14:paraId="565BC48A" w14:textId="7EBBC73E" w:rsidR="00E92341" w:rsidRDefault="00E92341" w:rsidP="003E3916">
      <w:pPr>
        <w:pStyle w:val="FootnoteText"/>
        <w:ind w:left="0" w:firstLine="0"/>
      </w:pPr>
      <w:r>
        <w:rPr>
          <w:rStyle w:val="FootnoteReference"/>
        </w:rPr>
        <w:footnoteRef/>
      </w:r>
      <w:r w:rsidR="002C16C7">
        <w:t xml:space="preserve"> </w:t>
      </w:r>
      <w:r w:rsidR="004748F3">
        <w:t>Electronic lodgement network operat</w:t>
      </w:r>
      <w:r w:rsidR="001F0284">
        <w:t xml:space="preserve">ors (ELNOs) provide financial services involved in electronic conveyancing systems. </w:t>
      </w:r>
      <w:r w:rsidR="00836830">
        <w:t xml:space="preserve">ELNOs are subject to state-based conveyancing laws. </w:t>
      </w:r>
      <w:r w:rsidR="00055200">
        <w:t>ASIC has provided ELNOs with c</w:t>
      </w:r>
      <w:r w:rsidR="00055200" w:rsidRPr="00055200">
        <w:t>onditional relief from the AFS licensing, disclosure and conduct obligations</w:t>
      </w:r>
      <w:r w:rsidR="00055200">
        <w:t>.</w:t>
      </w:r>
    </w:p>
  </w:footnote>
  <w:footnote w:id="64">
    <w:p w14:paraId="43C42A2F" w14:textId="12C747AA" w:rsidR="00937E8F" w:rsidRDefault="00937E8F">
      <w:pPr>
        <w:pStyle w:val="FootnoteText"/>
      </w:pPr>
      <w:r>
        <w:rPr>
          <w:rStyle w:val="FootnoteReference"/>
        </w:rPr>
        <w:footnoteRef/>
      </w:r>
      <w:r>
        <w:t xml:space="preserve"> </w:t>
      </w:r>
      <w:hyperlink r:id="rId20" w:history="1">
        <w:r w:rsidR="00DC1F7C" w:rsidRPr="00DC1F7C">
          <w:rPr>
            <w:rStyle w:val="Hyperlink"/>
          </w:rPr>
          <w:t>ASIC Statement Payroll Service Providers</w:t>
        </w:r>
      </w:hyperlink>
      <w:r w:rsidR="00DC1F7C">
        <w:t>, Australian Payroll Association website, 21 July 2019.</w:t>
      </w:r>
    </w:p>
  </w:footnote>
  <w:footnote w:id="65">
    <w:p w14:paraId="5C572660" w14:textId="5682BDAD" w:rsidR="00353C9A" w:rsidRDefault="00353C9A">
      <w:pPr>
        <w:pStyle w:val="FootnoteText"/>
      </w:pPr>
      <w:r>
        <w:rPr>
          <w:rStyle w:val="FootnoteReference"/>
        </w:rPr>
        <w:footnoteRef/>
      </w:r>
      <w:r>
        <w:t xml:space="preserve"> </w:t>
      </w:r>
      <w:r w:rsidRPr="00F64E09">
        <w:rPr>
          <w:i/>
          <w:iCs/>
        </w:rPr>
        <w:t>ASIC Corporations (Non-cash Payment Facilities) Instrument 2016/211</w:t>
      </w:r>
      <w:r>
        <w:t xml:space="preserve"> ss 6, 7.</w:t>
      </w:r>
    </w:p>
  </w:footnote>
  <w:footnote w:id="66">
    <w:p w14:paraId="72C269AA" w14:textId="40C1E25E" w:rsidR="0048643D" w:rsidRDefault="0048643D">
      <w:pPr>
        <w:pStyle w:val="FootnoteText"/>
      </w:pPr>
      <w:r>
        <w:rPr>
          <w:rStyle w:val="FootnoteReference"/>
        </w:rPr>
        <w:footnoteRef/>
      </w:r>
      <w:r>
        <w:t xml:space="preserve"> </w:t>
      </w:r>
      <w:r w:rsidR="00A1092C" w:rsidRPr="006A7491">
        <w:rPr>
          <w:i/>
          <w:iCs/>
        </w:rPr>
        <w:t>Corporations Act</w:t>
      </w:r>
      <w:r w:rsidR="00A1092C">
        <w:t xml:space="preserve"> s 763D(2)(a)(ii).</w:t>
      </w:r>
    </w:p>
  </w:footnote>
  <w:footnote w:id="67">
    <w:p w14:paraId="55D6A461" w14:textId="146B6E37" w:rsidR="00D41C48" w:rsidRDefault="00D41C48">
      <w:pPr>
        <w:pStyle w:val="FootnoteText"/>
      </w:pPr>
      <w:r>
        <w:rPr>
          <w:rStyle w:val="FootnoteReference"/>
        </w:rPr>
        <w:footnoteRef/>
      </w:r>
      <w:r>
        <w:t xml:space="preserve"> </w:t>
      </w:r>
      <w:r w:rsidRPr="008B52AE">
        <w:rPr>
          <w:i/>
          <w:iCs/>
        </w:rPr>
        <w:t>ASIC Corporations (Non-cash Payment Facilities) Instrument 2016/211</w:t>
      </w:r>
      <w:r>
        <w:t xml:space="preserve"> s 8.</w:t>
      </w:r>
    </w:p>
  </w:footnote>
  <w:footnote w:id="68">
    <w:p w14:paraId="74444328" w14:textId="05F80662" w:rsidR="00F2662F" w:rsidRDefault="00F2662F" w:rsidP="00F2662F">
      <w:pPr>
        <w:pStyle w:val="FootnoteText"/>
      </w:pPr>
      <w:r>
        <w:rPr>
          <w:rStyle w:val="FootnoteReference"/>
        </w:rPr>
        <w:footnoteRef/>
      </w:r>
      <w:r>
        <w:t xml:space="preserve"> </w:t>
      </w:r>
      <w:r w:rsidR="006C479A">
        <w:t>U</w:t>
      </w:r>
      <w:r>
        <w:t xml:space="preserve">nder the </w:t>
      </w:r>
      <w:r w:rsidRPr="008B52AE">
        <w:rPr>
          <w:i/>
          <w:iCs/>
        </w:rPr>
        <w:t>Anti-Money Laundering and Counter-Terrorism Financing Act 2006</w:t>
      </w:r>
      <w:r w:rsidR="002C3EAC">
        <w:t xml:space="preserve"> </w:t>
      </w:r>
      <w:r w:rsidR="002C3EAC" w:rsidRPr="008A5736">
        <w:t>(Cth)</w:t>
      </w:r>
      <w:r w:rsidRPr="002C3EAC">
        <w:t>.</w:t>
      </w:r>
    </w:p>
  </w:footnote>
  <w:footnote w:id="69">
    <w:p w14:paraId="334C92D4" w14:textId="4E22289E" w:rsidR="00B826CA" w:rsidRDefault="00B826CA" w:rsidP="008B52AE">
      <w:pPr>
        <w:pStyle w:val="FootnoteText"/>
        <w:ind w:left="0" w:firstLine="0"/>
      </w:pPr>
      <w:r>
        <w:rPr>
          <w:rStyle w:val="FootnoteReference"/>
        </w:rPr>
        <w:footnoteRef/>
      </w:r>
      <w:r w:rsidR="008B52AE">
        <w:t xml:space="preserve"> </w:t>
      </w:r>
      <w:r>
        <w:t>These entry requirements and conditions are set by Government through the</w:t>
      </w:r>
      <w:r w:rsidRPr="00E85075">
        <w:t xml:space="preserve"> </w:t>
      </w:r>
      <w:r w:rsidRPr="008B52AE">
        <w:rPr>
          <w:i/>
          <w:iCs/>
        </w:rPr>
        <w:t>Corporations (FinTech Sandbox Australian Financial Services Licence Exemption) Regulations 2020</w:t>
      </w:r>
      <w:r>
        <w:t>.</w:t>
      </w:r>
    </w:p>
  </w:footnote>
  <w:footnote w:id="70">
    <w:p w14:paraId="0B0B9AEA" w14:textId="57572F45" w:rsidR="00F97406" w:rsidRDefault="00F97406" w:rsidP="008B52AE">
      <w:pPr>
        <w:pStyle w:val="FootnoteText"/>
        <w:ind w:left="0" w:firstLine="0"/>
      </w:pPr>
      <w:r>
        <w:rPr>
          <w:rStyle w:val="FootnoteReference"/>
        </w:rPr>
        <w:footnoteRef/>
      </w:r>
      <w:r w:rsidR="008B52AE">
        <w:t xml:space="preserve"> </w:t>
      </w:r>
      <w:r w:rsidR="000E1CDA">
        <w:t>For example, entities regulated by APRA are not required to comply with the general AFS requirements to have adequate financial, technological and human resources or adequate risk management systems,</w:t>
      </w:r>
      <w:r w:rsidR="00AD735E" w:rsidRPr="00AD735E">
        <w:t xml:space="preserve"> </w:t>
      </w:r>
      <w:r w:rsidR="00AD735E">
        <w:t>given duplication with APRA prudential requirements</w:t>
      </w:r>
      <w:r w:rsidR="00AD735E">
        <w:rPr>
          <w:i/>
          <w:iCs/>
        </w:rPr>
        <w:t xml:space="preserve">. </w:t>
      </w:r>
      <w:r w:rsidR="00AD735E" w:rsidRPr="000B54C5">
        <w:t xml:space="preserve">See </w:t>
      </w:r>
      <w:r w:rsidRPr="00FA2409">
        <w:rPr>
          <w:i/>
          <w:iCs/>
        </w:rPr>
        <w:t xml:space="preserve">Corporations Act </w:t>
      </w:r>
      <w:r>
        <w:t>ss 912A(4)-(5).</w:t>
      </w:r>
    </w:p>
  </w:footnote>
  <w:footnote w:id="71">
    <w:p w14:paraId="1630FBAB" w14:textId="20190497" w:rsidR="00E00113" w:rsidRDefault="00E00113">
      <w:pPr>
        <w:pStyle w:val="FootnoteText"/>
      </w:pPr>
      <w:r>
        <w:rPr>
          <w:rStyle w:val="FootnoteReference"/>
        </w:rPr>
        <w:footnoteRef/>
      </w:r>
      <w:r w:rsidR="00FD7FB0">
        <w:t xml:space="preserve"> </w:t>
      </w:r>
      <w:r>
        <w:t>F</w:t>
      </w:r>
      <w:r w:rsidRPr="00E00113">
        <w:t xml:space="preserve">or example, procedural requirements under </w:t>
      </w:r>
      <w:r w:rsidR="00FD7FB0">
        <w:t>the</w:t>
      </w:r>
      <w:r w:rsidR="00552569">
        <w:t xml:space="preserve"> </w:t>
      </w:r>
      <w:r w:rsidR="001A54F7" w:rsidRPr="003E3916">
        <w:rPr>
          <w:i/>
          <w:iCs/>
        </w:rPr>
        <w:t>Corporations Act</w:t>
      </w:r>
      <w:r w:rsidR="00FD7FB0">
        <w:t xml:space="preserve"> </w:t>
      </w:r>
      <w:r w:rsidR="00FD7FB0" w:rsidRPr="00E00113">
        <w:t>s</w:t>
      </w:r>
      <w:r w:rsidR="00FD7FB0">
        <w:t xml:space="preserve"> </w:t>
      </w:r>
      <w:r w:rsidR="00FD7FB0" w:rsidRPr="00E00113">
        <w:t>914A</w:t>
      </w:r>
      <w:r>
        <w:t>.</w:t>
      </w:r>
    </w:p>
  </w:footnote>
  <w:footnote w:id="72">
    <w:p w14:paraId="2EB21457" w14:textId="57141EEC" w:rsidR="00A656D0" w:rsidRDefault="00A656D0" w:rsidP="003E3916">
      <w:pPr>
        <w:pStyle w:val="FootnoteText"/>
        <w:ind w:left="0" w:firstLine="0"/>
      </w:pPr>
      <w:r>
        <w:rPr>
          <w:rStyle w:val="FootnoteReference"/>
        </w:rPr>
        <w:footnoteRef/>
      </w:r>
      <w:r w:rsidR="00B00DEB">
        <w:t xml:space="preserve"> </w:t>
      </w:r>
      <w:r w:rsidR="00950C3A">
        <w:t xml:space="preserve">ASIC, </w:t>
      </w:r>
      <w:r w:rsidR="00480C7B" w:rsidRPr="00DB3533">
        <w:rPr>
          <w:i/>
        </w:rPr>
        <w:t xml:space="preserve">Information Sheet 134: </w:t>
      </w:r>
      <w:hyperlink r:id="rId21" w:history="1">
        <w:r w:rsidR="00F86B61" w:rsidRPr="00DB3533">
          <w:rPr>
            <w:rStyle w:val="Hyperlink"/>
            <w:i/>
          </w:rPr>
          <w:t>Complying with your obligations if both credit licensee and AFS licensee</w:t>
        </w:r>
      </w:hyperlink>
      <w:r w:rsidR="00F86B61" w:rsidRPr="00480C7B">
        <w:t>,</w:t>
      </w:r>
      <w:r w:rsidR="00F86B61">
        <w:t xml:space="preserve"> </w:t>
      </w:r>
      <w:r w:rsidR="00480C7B">
        <w:t>reissued July 2021.</w:t>
      </w:r>
    </w:p>
  </w:footnote>
  <w:footnote w:id="73">
    <w:p w14:paraId="58F7B746" w14:textId="33D7B669" w:rsidR="00F02E07" w:rsidRDefault="00F02E07">
      <w:pPr>
        <w:pStyle w:val="FootnoteText"/>
      </w:pPr>
      <w:r>
        <w:rPr>
          <w:rStyle w:val="FootnoteReference"/>
        </w:rPr>
        <w:footnoteRef/>
      </w:r>
      <w:r>
        <w:t xml:space="preserve"> </w:t>
      </w:r>
      <w:r w:rsidR="000522E5" w:rsidRPr="000522E5">
        <w:t>Treasury Laws Amendment (Consumer Data Right) Bill 2022</w:t>
      </w:r>
      <w:r w:rsidR="000522E5">
        <w:t>.</w:t>
      </w:r>
    </w:p>
  </w:footnote>
  <w:footnote w:id="74">
    <w:p w14:paraId="2C4831C3" w14:textId="5F538306" w:rsidR="005F478F" w:rsidRDefault="005F478F">
      <w:pPr>
        <w:pStyle w:val="FootnoteText"/>
      </w:pPr>
      <w:r>
        <w:rPr>
          <w:rStyle w:val="FootnoteReference"/>
        </w:rPr>
        <w:footnoteRef/>
      </w:r>
      <w:r>
        <w:t xml:space="preserve"> </w:t>
      </w:r>
      <w:r w:rsidR="00665245">
        <w:t xml:space="preserve">Treasury, </w:t>
      </w:r>
      <w:hyperlink r:id="rId22" w:history="1">
        <w:r w:rsidR="00665245" w:rsidRPr="00E54139">
          <w:rPr>
            <w:rStyle w:val="Hyperlink"/>
            <w:i/>
            <w:iCs/>
          </w:rPr>
          <w:t>Regulating digital asset platforms</w:t>
        </w:r>
      </w:hyperlink>
      <w:r w:rsidR="00665245">
        <w:t>, Treasury, October 2023</w:t>
      </w:r>
      <w:r w:rsidDel="00665245">
        <w:t>.</w:t>
      </w:r>
    </w:p>
  </w:footnote>
  <w:footnote w:id="75">
    <w:p w14:paraId="44EA320A" w14:textId="51F2BF06" w:rsidR="001E5569" w:rsidRDefault="001E5569">
      <w:pPr>
        <w:pStyle w:val="FootnoteText"/>
      </w:pPr>
      <w:r>
        <w:rPr>
          <w:rStyle w:val="FootnoteReference"/>
        </w:rPr>
        <w:footnoteRef/>
      </w:r>
      <w:r>
        <w:t xml:space="preserve"> </w:t>
      </w:r>
      <w:r w:rsidRPr="003E3916">
        <w:rPr>
          <w:i/>
          <w:iCs/>
        </w:rPr>
        <w:t>Corporations Act</w:t>
      </w:r>
      <w:r w:rsidR="008148AC">
        <w:t xml:space="preserve"> s 912C</w:t>
      </w:r>
      <w:r>
        <w:t>.</w:t>
      </w:r>
    </w:p>
  </w:footnote>
  <w:footnote w:id="76">
    <w:p w14:paraId="2EC15F7A" w14:textId="7E179F2C" w:rsidR="003768BE" w:rsidRDefault="003768BE">
      <w:pPr>
        <w:pStyle w:val="FootnoteText"/>
      </w:pPr>
      <w:r>
        <w:rPr>
          <w:rStyle w:val="FootnoteReference"/>
        </w:rPr>
        <w:footnoteRef/>
      </w:r>
      <w:r>
        <w:t xml:space="preserve"> </w:t>
      </w:r>
      <w:r w:rsidRPr="003E3916">
        <w:rPr>
          <w:i/>
          <w:iCs/>
        </w:rPr>
        <w:t>Banking Act</w:t>
      </w:r>
      <w:r w:rsidR="00345E42">
        <w:rPr>
          <w:i/>
          <w:iCs/>
        </w:rPr>
        <w:t xml:space="preserve"> 1959 </w:t>
      </w:r>
      <w:r w:rsidR="00345E42" w:rsidRPr="003E3916">
        <w:t>(Cth)</w:t>
      </w:r>
      <w:r w:rsidR="008148AC">
        <w:t xml:space="preserve"> </w:t>
      </w:r>
      <w:r w:rsidR="00767D67">
        <w:t>(</w:t>
      </w:r>
      <w:r w:rsidR="00767D67" w:rsidRPr="003E3916">
        <w:rPr>
          <w:i/>
          <w:iCs/>
        </w:rPr>
        <w:t>Banking Act</w:t>
      </w:r>
      <w:r w:rsidR="00767D67">
        <w:t xml:space="preserve">) </w:t>
      </w:r>
      <w:r w:rsidR="008148AC">
        <w:t>ss</w:t>
      </w:r>
      <w:r w:rsidR="008148AC" w:rsidRPr="003768BE">
        <w:t xml:space="preserve"> 13 and 14D</w:t>
      </w:r>
      <w:r w:rsidR="008148AC">
        <w:t>.</w:t>
      </w:r>
    </w:p>
  </w:footnote>
  <w:footnote w:id="77">
    <w:p w14:paraId="74463807" w14:textId="25051C9C" w:rsidR="003B7DEB" w:rsidRDefault="003B7DEB" w:rsidP="00E42AA2">
      <w:pPr>
        <w:pStyle w:val="FootnoteText"/>
      </w:pPr>
      <w:r>
        <w:rPr>
          <w:rStyle w:val="FootnoteReference"/>
        </w:rPr>
        <w:footnoteRef/>
      </w:r>
      <w:r>
        <w:t xml:space="preserve"> This table summarises key general obligations. It does not cover </w:t>
      </w:r>
      <w:r w:rsidR="00070518">
        <w:t xml:space="preserve">financial advice </w:t>
      </w:r>
      <w:r>
        <w:t>obligations.</w:t>
      </w:r>
    </w:p>
  </w:footnote>
  <w:footnote w:id="78">
    <w:p w14:paraId="4111F034" w14:textId="01444827" w:rsidR="00D72A3E" w:rsidRDefault="00D72A3E" w:rsidP="00E844EF">
      <w:pPr>
        <w:pStyle w:val="FootnoteText"/>
      </w:pPr>
      <w:r>
        <w:rPr>
          <w:rStyle w:val="FootnoteReference"/>
        </w:rPr>
        <w:footnoteRef/>
      </w:r>
      <w:r>
        <w:t xml:space="preserve"> </w:t>
      </w:r>
      <w:r w:rsidRPr="00931762">
        <w:rPr>
          <w:i/>
          <w:iCs/>
        </w:rPr>
        <w:t>Corporations Act</w:t>
      </w:r>
      <w:r>
        <w:t xml:space="preserve"> ss 911A, 912A.</w:t>
      </w:r>
    </w:p>
  </w:footnote>
  <w:footnote w:id="79">
    <w:p w14:paraId="3BE87EF3" w14:textId="414EE99B" w:rsidR="00D72A3E" w:rsidRDefault="00D72A3E" w:rsidP="00E42AA2">
      <w:pPr>
        <w:pStyle w:val="FootnoteText"/>
      </w:pPr>
      <w:r>
        <w:rPr>
          <w:rStyle w:val="FootnoteReference"/>
        </w:rPr>
        <w:footnoteRef/>
      </w:r>
      <w:r>
        <w:t xml:space="preserve"> </w:t>
      </w:r>
      <w:r w:rsidR="00BD0731">
        <w:t>S</w:t>
      </w:r>
      <w:r w:rsidR="00FB4CAD">
        <w:t xml:space="preserve">ee </w:t>
      </w:r>
      <w:r w:rsidRPr="001B587B">
        <w:rPr>
          <w:i/>
        </w:rPr>
        <w:t>Corporations Regulations</w:t>
      </w:r>
      <w:r>
        <w:t xml:space="preserve"> reg 7.6.01. This is in addition to the ASIC relief for low value facilities etc.</w:t>
      </w:r>
    </w:p>
  </w:footnote>
  <w:footnote w:id="80">
    <w:p w14:paraId="6838CDD6" w14:textId="77777777" w:rsidR="00D72A3E" w:rsidRDefault="00D72A3E" w:rsidP="00E844EF">
      <w:pPr>
        <w:pStyle w:val="FootnoteText"/>
      </w:pPr>
      <w:r>
        <w:rPr>
          <w:rStyle w:val="FootnoteReference"/>
        </w:rPr>
        <w:footnoteRef/>
      </w:r>
      <w:r>
        <w:t xml:space="preserve"> </w:t>
      </w:r>
      <w:r w:rsidRPr="00E042B7">
        <w:rPr>
          <w:i/>
          <w:iCs/>
        </w:rPr>
        <w:t>Corporations Act</w:t>
      </w:r>
      <w:r>
        <w:t xml:space="preserve"> s 912A, see also discussion below.</w:t>
      </w:r>
    </w:p>
  </w:footnote>
  <w:footnote w:id="81">
    <w:p w14:paraId="5CB894C1" w14:textId="77777777" w:rsidR="00D72A3E" w:rsidRDefault="00D72A3E" w:rsidP="00E844EF">
      <w:pPr>
        <w:pStyle w:val="FootnoteText"/>
      </w:pPr>
      <w:r>
        <w:rPr>
          <w:rStyle w:val="FootnoteReference"/>
        </w:rPr>
        <w:footnoteRef/>
      </w:r>
      <w:r>
        <w:t xml:space="preserve"> </w:t>
      </w:r>
      <w:r w:rsidRPr="00F12F80">
        <w:rPr>
          <w:i/>
          <w:iCs/>
        </w:rPr>
        <w:t>Corporations Act</w:t>
      </w:r>
      <w:r>
        <w:t xml:space="preserve"> s 912B, see also discussion below.</w:t>
      </w:r>
    </w:p>
  </w:footnote>
  <w:footnote w:id="82">
    <w:p w14:paraId="302FA899" w14:textId="77777777" w:rsidR="00D72A3E" w:rsidRDefault="00D72A3E" w:rsidP="00E844EF">
      <w:pPr>
        <w:pStyle w:val="FootnoteText"/>
      </w:pPr>
      <w:r>
        <w:rPr>
          <w:rStyle w:val="FootnoteReference"/>
        </w:rPr>
        <w:footnoteRef/>
      </w:r>
      <w:r>
        <w:t xml:space="preserve"> </w:t>
      </w:r>
      <w:r w:rsidRPr="003E3916">
        <w:rPr>
          <w:i/>
          <w:iCs/>
        </w:rPr>
        <w:t>Corporations Regulations</w:t>
      </w:r>
      <w:r>
        <w:t xml:space="preserve"> reg </w:t>
      </w:r>
      <w:r w:rsidRPr="003941D5">
        <w:t>7.6.02AAA</w:t>
      </w:r>
      <w:r>
        <w:t>(3).</w:t>
      </w:r>
    </w:p>
  </w:footnote>
  <w:footnote w:id="83">
    <w:p w14:paraId="5AE2B3F3" w14:textId="77777777" w:rsidR="00D72A3E" w:rsidRDefault="00D72A3E" w:rsidP="00921579">
      <w:pPr>
        <w:pStyle w:val="FootnoteText"/>
      </w:pPr>
      <w:r>
        <w:rPr>
          <w:rStyle w:val="FootnoteReference"/>
        </w:rPr>
        <w:footnoteRef/>
      </w:r>
      <w:r>
        <w:t xml:space="preserve"> </w:t>
      </w:r>
      <w:r w:rsidRPr="00F12F80">
        <w:rPr>
          <w:i/>
          <w:iCs/>
        </w:rPr>
        <w:t>Corporations Act</w:t>
      </w:r>
      <w:r>
        <w:t xml:space="preserve"> ch 7, pt 7.7, div 2.</w:t>
      </w:r>
    </w:p>
  </w:footnote>
  <w:footnote w:id="84">
    <w:p w14:paraId="461E5588" w14:textId="77777777" w:rsidR="00D72A3E" w:rsidRDefault="00D72A3E" w:rsidP="00921579">
      <w:pPr>
        <w:pStyle w:val="FootnoteText"/>
      </w:pPr>
      <w:r>
        <w:rPr>
          <w:rStyle w:val="FootnoteReference"/>
        </w:rPr>
        <w:footnoteRef/>
      </w:r>
      <w:r>
        <w:t xml:space="preserve"> </w:t>
      </w:r>
      <w:r w:rsidRPr="003E3916">
        <w:rPr>
          <w:i/>
          <w:iCs/>
        </w:rPr>
        <w:t>Corporations Act</w:t>
      </w:r>
      <w:r>
        <w:t xml:space="preserve"> s 941C.</w:t>
      </w:r>
    </w:p>
  </w:footnote>
  <w:footnote w:id="85">
    <w:p w14:paraId="13869904" w14:textId="77777777" w:rsidR="00D72A3E" w:rsidRDefault="00D72A3E" w:rsidP="00DF2FAE">
      <w:pPr>
        <w:pStyle w:val="FootnoteText"/>
      </w:pPr>
      <w:r>
        <w:rPr>
          <w:rStyle w:val="FootnoteReference"/>
        </w:rPr>
        <w:footnoteRef/>
      </w:r>
      <w:r>
        <w:t xml:space="preserve"> </w:t>
      </w:r>
      <w:r w:rsidRPr="00F12F80">
        <w:rPr>
          <w:i/>
          <w:iCs/>
        </w:rPr>
        <w:t>Corporations Act</w:t>
      </w:r>
      <w:r>
        <w:t xml:space="preserve"> ch 7, pt 7.6, div 3.</w:t>
      </w:r>
    </w:p>
  </w:footnote>
  <w:footnote w:id="86">
    <w:p w14:paraId="7F64659B" w14:textId="77777777" w:rsidR="00D72A3E" w:rsidRDefault="00D72A3E" w:rsidP="00DF2FAE">
      <w:pPr>
        <w:pStyle w:val="FootnoteText"/>
      </w:pPr>
      <w:r>
        <w:rPr>
          <w:rStyle w:val="FootnoteReference"/>
        </w:rPr>
        <w:footnoteRef/>
      </w:r>
      <w:r>
        <w:t xml:space="preserve"> </w:t>
      </w:r>
      <w:r w:rsidRPr="00564028">
        <w:rPr>
          <w:i/>
        </w:rPr>
        <w:t>Corporations Act</w:t>
      </w:r>
      <w:r>
        <w:t xml:space="preserve"> ch 7, pt 7.8, div 6.</w:t>
      </w:r>
    </w:p>
  </w:footnote>
  <w:footnote w:id="87">
    <w:p w14:paraId="1D6DFB6C" w14:textId="77777777" w:rsidR="004E5BF9" w:rsidRDefault="004E5BF9" w:rsidP="00896F50">
      <w:pPr>
        <w:pStyle w:val="FootnoteText"/>
      </w:pPr>
      <w:r>
        <w:rPr>
          <w:rStyle w:val="FootnoteReference"/>
        </w:rPr>
        <w:footnoteRef/>
      </w:r>
      <w:r>
        <w:t xml:space="preserve"> </w:t>
      </w:r>
      <w:r w:rsidRPr="003E3916">
        <w:rPr>
          <w:i/>
          <w:iCs/>
        </w:rPr>
        <w:t>Corporations Act</w:t>
      </w:r>
      <w:r>
        <w:t xml:space="preserve"> s 994B.</w:t>
      </w:r>
    </w:p>
  </w:footnote>
  <w:footnote w:id="88">
    <w:p w14:paraId="1F531216" w14:textId="1CA6109E" w:rsidR="004E5BF9" w:rsidRDefault="004E5BF9" w:rsidP="00896F50">
      <w:pPr>
        <w:pStyle w:val="FootnoteText"/>
      </w:pPr>
      <w:r>
        <w:rPr>
          <w:rStyle w:val="FootnoteReference"/>
        </w:rPr>
        <w:footnoteRef/>
      </w:r>
      <w:r>
        <w:t xml:space="preserve"> </w:t>
      </w:r>
      <w:r w:rsidRPr="003E3916">
        <w:rPr>
          <w:i/>
          <w:iCs/>
        </w:rPr>
        <w:t>Corporations Regulations</w:t>
      </w:r>
      <w:r w:rsidRPr="00694275">
        <w:t xml:space="preserve"> </w:t>
      </w:r>
      <w:r>
        <w:t>reg 7.8A.20.</w:t>
      </w:r>
    </w:p>
  </w:footnote>
  <w:footnote w:id="89">
    <w:p w14:paraId="50E9A424" w14:textId="13B0B836" w:rsidR="004E5BF9" w:rsidRDefault="004E5BF9" w:rsidP="00896F50">
      <w:pPr>
        <w:pStyle w:val="FootnoteText"/>
      </w:pPr>
      <w:r>
        <w:rPr>
          <w:rStyle w:val="FootnoteReference"/>
        </w:rPr>
        <w:footnoteRef/>
      </w:r>
      <w:r>
        <w:t xml:space="preserve"> </w:t>
      </w:r>
      <w:r w:rsidRPr="003E3916">
        <w:rPr>
          <w:i/>
          <w:iCs/>
        </w:rPr>
        <w:t>ASIC Corporations (Amendment) Instrument 2023/706</w:t>
      </w:r>
      <w:r>
        <w:t>.</w:t>
      </w:r>
    </w:p>
  </w:footnote>
  <w:footnote w:id="90">
    <w:p w14:paraId="0A22552C" w14:textId="77777777" w:rsidR="004E5BF9" w:rsidRDefault="004E5BF9" w:rsidP="00896F50">
      <w:pPr>
        <w:pStyle w:val="FootnoteText"/>
      </w:pPr>
      <w:r>
        <w:rPr>
          <w:rStyle w:val="FootnoteReference"/>
        </w:rPr>
        <w:footnoteRef/>
      </w:r>
      <w:r>
        <w:t xml:space="preserve"> See, for example, </w:t>
      </w:r>
      <w:r w:rsidRPr="00F87239">
        <w:rPr>
          <w:i/>
          <w:iCs/>
        </w:rPr>
        <w:t>Corporations Act</w:t>
      </w:r>
      <w:r>
        <w:t xml:space="preserve"> s 1012B.</w:t>
      </w:r>
    </w:p>
  </w:footnote>
  <w:footnote w:id="91">
    <w:p w14:paraId="622A3321" w14:textId="27A3C693" w:rsidR="004E5BF9" w:rsidRDefault="004E5BF9" w:rsidP="003E3916">
      <w:pPr>
        <w:pStyle w:val="FootnoteText"/>
        <w:ind w:left="0" w:firstLine="0"/>
      </w:pPr>
      <w:r>
        <w:rPr>
          <w:rStyle w:val="FootnoteReference"/>
        </w:rPr>
        <w:footnoteRef/>
      </w:r>
      <w:r w:rsidR="008148AC">
        <w:t xml:space="preserve"> </w:t>
      </w:r>
      <w:r w:rsidRPr="00694275">
        <w:rPr>
          <w:i/>
          <w:iCs/>
        </w:rPr>
        <w:t xml:space="preserve">Corporations Regulations </w:t>
      </w:r>
      <w:r>
        <w:t xml:space="preserve">reg </w:t>
      </w:r>
      <w:r w:rsidRPr="00733302">
        <w:t>7.9.07FA</w:t>
      </w:r>
      <w:r>
        <w:t>. The regulated person must instead provide certain information including regarding the cost of the product, and whether any amounts will be payable (i.e. fees).</w:t>
      </w:r>
    </w:p>
  </w:footnote>
  <w:footnote w:id="92">
    <w:p w14:paraId="00EA3EF3" w14:textId="6BD2654A" w:rsidR="004E5BF9" w:rsidRDefault="004E5BF9" w:rsidP="00E61650">
      <w:pPr>
        <w:pStyle w:val="FootnoteText"/>
      </w:pPr>
      <w:r>
        <w:rPr>
          <w:rStyle w:val="FootnoteReference"/>
        </w:rPr>
        <w:footnoteRef/>
      </w:r>
      <w:r>
        <w:t xml:space="preserve"> </w:t>
      </w:r>
      <w:r w:rsidRPr="003E3916">
        <w:rPr>
          <w:i/>
          <w:iCs/>
        </w:rPr>
        <w:t>Corporations Act</w:t>
      </w:r>
      <w:r w:rsidRPr="00236CA9">
        <w:t xml:space="preserve"> </w:t>
      </w:r>
      <w:r>
        <w:t>s 992A.</w:t>
      </w:r>
    </w:p>
  </w:footnote>
  <w:footnote w:id="93">
    <w:p w14:paraId="0F337CF4" w14:textId="77777777" w:rsidR="004E5BF9" w:rsidRDefault="004E5BF9" w:rsidP="00B32877">
      <w:pPr>
        <w:pStyle w:val="FootnoteText"/>
      </w:pPr>
      <w:r>
        <w:rPr>
          <w:rStyle w:val="FootnoteReference"/>
        </w:rPr>
        <w:footnoteRef/>
      </w:r>
      <w:r>
        <w:t xml:space="preserve"> </w:t>
      </w:r>
      <w:r w:rsidRPr="003E3916">
        <w:rPr>
          <w:i/>
          <w:iCs/>
        </w:rPr>
        <w:t>Corporations Act</w:t>
      </w:r>
      <w:r>
        <w:t xml:space="preserve"> s 961F.</w:t>
      </w:r>
    </w:p>
  </w:footnote>
  <w:footnote w:id="94">
    <w:p w14:paraId="454D5164" w14:textId="4D63EF7D" w:rsidR="004E5BF9" w:rsidRDefault="004E5BF9" w:rsidP="00B32877">
      <w:pPr>
        <w:pStyle w:val="FootnoteText"/>
      </w:pPr>
      <w:r>
        <w:rPr>
          <w:rStyle w:val="FootnoteReference"/>
        </w:rPr>
        <w:footnoteRef/>
      </w:r>
      <w:r>
        <w:t xml:space="preserve"> </w:t>
      </w:r>
      <w:r w:rsidRPr="003E3916">
        <w:rPr>
          <w:i/>
          <w:iCs/>
        </w:rPr>
        <w:t>Corporations Regulations</w:t>
      </w:r>
      <w:r w:rsidRPr="009727B4">
        <w:t xml:space="preserve"> </w:t>
      </w:r>
      <w:r>
        <w:t>reg 7.8.21A.</w:t>
      </w:r>
    </w:p>
  </w:footnote>
  <w:footnote w:id="95">
    <w:p w14:paraId="277FC0B5" w14:textId="140A84CA" w:rsidR="0062778E" w:rsidRDefault="0062778E">
      <w:pPr>
        <w:pStyle w:val="FootnoteText"/>
      </w:pPr>
      <w:r>
        <w:rPr>
          <w:rStyle w:val="FootnoteReference"/>
        </w:rPr>
        <w:footnoteRef/>
      </w:r>
      <w:r>
        <w:t xml:space="preserve"> </w:t>
      </w:r>
      <w:r w:rsidR="00975593" w:rsidRPr="003E3916">
        <w:rPr>
          <w:i/>
          <w:iCs/>
        </w:rPr>
        <w:t>ASIC Act</w:t>
      </w:r>
      <w:r w:rsidR="00975593" w:rsidRPr="00C54115">
        <w:t xml:space="preserve"> </w:t>
      </w:r>
      <w:r w:rsidR="00D639E9">
        <w:t>s 12DJ</w:t>
      </w:r>
      <w:r w:rsidR="002568FC">
        <w:t>.</w:t>
      </w:r>
    </w:p>
  </w:footnote>
  <w:footnote w:id="96">
    <w:p w14:paraId="5CE4DD75" w14:textId="7E160E63" w:rsidR="001F39CC" w:rsidRDefault="001F39CC">
      <w:pPr>
        <w:pStyle w:val="FootnoteText"/>
      </w:pPr>
      <w:r>
        <w:rPr>
          <w:rStyle w:val="FootnoteReference"/>
        </w:rPr>
        <w:footnoteRef/>
      </w:r>
      <w:r>
        <w:t xml:space="preserve"> </w:t>
      </w:r>
      <w:r w:rsidRPr="003E3916">
        <w:rPr>
          <w:i/>
          <w:iCs/>
        </w:rPr>
        <w:t>Corporations Act</w:t>
      </w:r>
      <w:r>
        <w:t xml:space="preserve"> s 99</w:t>
      </w:r>
      <w:r w:rsidR="00722DE3">
        <w:t>1A.</w:t>
      </w:r>
    </w:p>
  </w:footnote>
  <w:footnote w:id="97">
    <w:p w14:paraId="16215BE9" w14:textId="269298A6" w:rsidR="009F493F" w:rsidRDefault="009F493F">
      <w:pPr>
        <w:pStyle w:val="FootnoteText"/>
      </w:pPr>
      <w:r>
        <w:rPr>
          <w:rStyle w:val="FootnoteReference"/>
        </w:rPr>
        <w:footnoteRef/>
      </w:r>
      <w:r>
        <w:t xml:space="preserve"> </w:t>
      </w:r>
      <w:r w:rsidRPr="00DE12A7">
        <w:rPr>
          <w:i/>
          <w:iCs/>
        </w:rPr>
        <w:t>Corporations Act</w:t>
      </w:r>
      <w:r>
        <w:t xml:space="preserve"> </w:t>
      </w:r>
      <w:r w:rsidR="00DE12A7">
        <w:t xml:space="preserve">ch 7, </w:t>
      </w:r>
      <w:r w:rsidR="00311AE9">
        <w:t>pt 7.10</w:t>
      </w:r>
      <w:r w:rsidR="00DE12A7">
        <w:t>,</w:t>
      </w:r>
      <w:r w:rsidR="005E646F">
        <w:t xml:space="preserve"> div </w:t>
      </w:r>
      <w:r w:rsidR="00DE12A7">
        <w:t>2.</w:t>
      </w:r>
    </w:p>
  </w:footnote>
  <w:footnote w:id="98">
    <w:p w14:paraId="2D43303E" w14:textId="77777777" w:rsidR="00376F8F" w:rsidRDefault="00376F8F" w:rsidP="00376F8F">
      <w:pPr>
        <w:pStyle w:val="FootnoteText"/>
      </w:pPr>
      <w:r>
        <w:rPr>
          <w:rStyle w:val="FootnoteReference"/>
        </w:rPr>
        <w:footnoteRef/>
      </w:r>
      <w:r>
        <w:t xml:space="preserve"> </w:t>
      </w:r>
      <w:r w:rsidRPr="00C07385">
        <w:rPr>
          <w:i/>
          <w:iCs/>
        </w:rPr>
        <w:t>Corporations Act</w:t>
      </w:r>
      <w:r>
        <w:t xml:space="preserve"> ss 1023D, 1023P.</w:t>
      </w:r>
    </w:p>
  </w:footnote>
  <w:footnote w:id="99">
    <w:p w14:paraId="7E29DFB6" w14:textId="25408EC0" w:rsidR="002133F1" w:rsidRDefault="002133F1" w:rsidP="003E3916">
      <w:pPr>
        <w:pStyle w:val="FootnoteText"/>
        <w:ind w:left="0" w:firstLine="0"/>
      </w:pPr>
      <w:r>
        <w:rPr>
          <w:rStyle w:val="FootnoteReference"/>
        </w:rPr>
        <w:footnoteRef/>
      </w:r>
      <w:r w:rsidR="00250894" w:rsidDel="008148AC">
        <w:t xml:space="preserve"> </w:t>
      </w:r>
      <w:r w:rsidRPr="003E3916">
        <w:rPr>
          <w:i/>
        </w:rPr>
        <w:t>Corporations Act</w:t>
      </w:r>
      <w:r w:rsidDel="00516D3F">
        <w:t xml:space="preserve"> </w:t>
      </w:r>
      <w:r>
        <w:t>s</w:t>
      </w:r>
      <w:r w:rsidR="007D4806">
        <w:t>s</w:t>
      </w:r>
      <w:r>
        <w:t xml:space="preserve"> 912A; See also ASIC, </w:t>
      </w:r>
      <w:hyperlink r:id="rId23" w:history="1">
        <w:r w:rsidRPr="002849D0">
          <w:rPr>
            <w:rStyle w:val="Hyperlink"/>
            <w:i/>
          </w:rPr>
          <w:t>Regulatory Guide 121 Doing Financial services business in Australia</w:t>
        </w:r>
      </w:hyperlink>
      <w:r>
        <w:t>, July 2013.</w:t>
      </w:r>
    </w:p>
  </w:footnote>
  <w:footnote w:id="100">
    <w:p w14:paraId="60AA70DC" w14:textId="60404E9A" w:rsidR="001E4A53" w:rsidRDefault="001E4A53" w:rsidP="003E3916">
      <w:pPr>
        <w:pStyle w:val="FootnoteText"/>
        <w:ind w:left="0" w:firstLine="0"/>
      </w:pPr>
      <w:r>
        <w:rPr>
          <w:rStyle w:val="FootnoteReference"/>
        </w:rPr>
        <w:footnoteRef/>
      </w:r>
      <w:r w:rsidR="00740F27">
        <w:t xml:space="preserve"> </w:t>
      </w:r>
      <w:r w:rsidR="008A040C">
        <w:t>E</w:t>
      </w:r>
      <w:r w:rsidRPr="001E4A53">
        <w:t>ntities regulated by APRA</w:t>
      </w:r>
      <w:r>
        <w:t xml:space="preserve"> </w:t>
      </w:r>
      <w:r w:rsidR="00B440C7">
        <w:t>(which will include</w:t>
      </w:r>
      <w:r w:rsidRPr="001E4A53">
        <w:t xml:space="preserve"> Major SVFs</w:t>
      </w:r>
      <w:r w:rsidR="00B440C7">
        <w:t>)</w:t>
      </w:r>
      <w:r>
        <w:t>,</w:t>
      </w:r>
      <w:r w:rsidRPr="001E4A53">
        <w:t xml:space="preserve"> are generally not required to comply with the requirements to have adequate financial, technological and human resources or adequate risk management systems, given the duplication with APRA requirements.</w:t>
      </w:r>
      <w:r>
        <w:t xml:space="preserve"> See</w:t>
      </w:r>
      <w:r w:rsidRPr="001E4A53">
        <w:t xml:space="preserve"> </w:t>
      </w:r>
      <w:r w:rsidRPr="00FA2409">
        <w:rPr>
          <w:i/>
          <w:iCs/>
        </w:rPr>
        <w:t xml:space="preserve">Corporations Act </w:t>
      </w:r>
      <w:r>
        <w:t>ss 912A(4)-(5).</w:t>
      </w:r>
    </w:p>
  </w:footnote>
  <w:footnote w:id="101">
    <w:p w14:paraId="7D3C1A7C" w14:textId="32FE564B" w:rsidR="007B27E4" w:rsidRDefault="007B27E4">
      <w:pPr>
        <w:pStyle w:val="FootnoteText"/>
      </w:pPr>
      <w:r>
        <w:rPr>
          <w:rStyle w:val="FootnoteReference"/>
        </w:rPr>
        <w:footnoteRef/>
      </w:r>
      <w:r w:rsidR="00F61A28">
        <w:t xml:space="preserve"> ASIC, </w:t>
      </w:r>
      <w:hyperlink r:id="rId24" w:history="1">
        <w:r w:rsidR="00176498" w:rsidRPr="00176498">
          <w:rPr>
            <w:rStyle w:val="Hyperlink"/>
            <w:i/>
            <w:iCs/>
          </w:rPr>
          <w:t>Regulatory Guide 166, AFS Licensing: Financial requirements</w:t>
        </w:r>
      </w:hyperlink>
      <w:r w:rsidR="00176498">
        <w:t xml:space="preserve">, </w:t>
      </w:r>
      <w:r w:rsidR="00F26967">
        <w:t>September 2023.</w:t>
      </w:r>
    </w:p>
  </w:footnote>
  <w:footnote w:id="102">
    <w:p w14:paraId="4F5AE7F9" w14:textId="09809867" w:rsidR="00AA6A5B" w:rsidRDefault="00AA6A5B" w:rsidP="00E42AA2">
      <w:pPr>
        <w:pStyle w:val="FootnoteText"/>
      </w:pPr>
      <w:r>
        <w:rPr>
          <w:rStyle w:val="FootnoteReference"/>
        </w:rPr>
        <w:footnoteRef/>
      </w:r>
      <w:r>
        <w:t xml:space="preserve"> </w:t>
      </w:r>
      <w:r w:rsidR="00A569E0">
        <w:t xml:space="preserve">ASIC, </w:t>
      </w:r>
      <w:hyperlink r:id="rId25" w:history="1">
        <w:r w:rsidR="00A569E0" w:rsidRPr="00176498">
          <w:rPr>
            <w:rStyle w:val="Hyperlink"/>
            <w:i/>
            <w:iCs/>
          </w:rPr>
          <w:t xml:space="preserve">Regulatory Guide 166, </w:t>
        </w:r>
        <w:r w:rsidR="00F65964" w:rsidRPr="00176498">
          <w:rPr>
            <w:rStyle w:val="Hyperlink"/>
            <w:i/>
            <w:iCs/>
          </w:rPr>
          <w:t>AFS Licensing: Financial requirements</w:t>
        </w:r>
      </w:hyperlink>
      <w:r w:rsidR="00B23918">
        <w:t xml:space="preserve">, </w:t>
      </w:r>
      <w:r w:rsidR="00176498">
        <w:t xml:space="preserve">September 2023, </w:t>
      </w:r>
      <w:r w:rsidR="00B23918">
        <w:t>p 27.</w:t>
      </w:r>
    </w:p>
  </w:footnote>
  <w:footnote w:id="103">
    <w:p w14:paraId="76E0EE04" w14:textId="54B63D7D" w:rsidR="006955D6" w:rsidRDefault="006955D6" w:rsidP="006955D6">
      <w:pPr>
        <w:pStyle w:val="FootnoteText"/>
      </w:pPr>
      <w:r>
        <w:rPr>
          <w:rStyle w:val="FootnoteReference"/>
        </w:rPr>
        <w:footnoteRef/>
      </w:r>
      <w:r>
        <w:t xml:space="preserve"> ASIC, </w:t>
      </w:r>
      <w:hyperlink r:id="rId26" w:history="1">
        <w:r w:rsidRPr="002849D0">
          <w:rPr>
            <w:rStyle w:val="Hyperlink"/>
            <w:i/>
            <w:iCs/>
          </w:rPr>
          <w:t xml:space="preserve">Regulatory Guide 166, AFS Licensing: </w:t>
        </w:r>
        <w:r w:rsidR="00630430" w:rsidRPr="002849D0">
          <w:rPr>
            <w:rStyle w:val="Hyperlink"/>
            <w:i/>
            <w:iCs/>
          </w:rPr>
          <w:t xml:space="preserve">Financial </w:t>
        </w:r>
        <w:r w:rsidRPr="002849D0">
          <w:rPr>
            <w:rStyle w:val="Hyperlink"/>
            <w:i/>
            <w:iCs/>
          </w:rPr>
          <w:t>requirements</w:t>
        </w:r>
      </w:hyperlink>
      <w:r w:rsidRPr="00176498">
        <w:rPr>
          <w:i/>
          <w:iCs/>
        </w:rPr>
        <w:t>,</w:t>
      </w:r>
      <w:r>
        <w:t xml:space="preserve"> p 29. </w:t>
      </w:r>
    </w:p>
  </w:footnote>
  <w:footnote w:id="104">
    <w:p w14:paraId="326E12DE" w14:textId="018F6C70" w:rsidR="00A70E03" w:rsidRDefault="00A70E03" w:rsidP="00A70E03">
      <w:pPr>
        <w:pStyle w:val="FootnoteText"/>
      </w:pPr>
      <w:r>
        <w:rPr>
          <w:rStyle w:val="FootnoteReference"/>
        </w:rPr>
        <w:footnoteRef/>
      </w:r>
      <w:r>
        <w:t xml:space="preserve"> Made </w:t>
      </w:r>
      <w:r w:rsidRPr="0093270B">
        <w:rPr>
          <w:rStyle w:val="cf01"/>
          <w:rFonts w:ascii="Calibri Light" w:hAnsi="Calibri Light" w:cs="Times New Roman"/>
          <w:sz w:val="20"/>
          <w:szCs w:val="20"/>
        </w:rPr>
        <w:t xml:space="preserve">under </w:t>
      </w:r>
      <w:r w:rsidRPr="00176498">
        <w:rPr>
          <w:rStyle w:val="cf01"/>
          <w:rFonts w:ascii="Calibri Light" w:hAnsi="Calibri Light" w:cs="Times New Roman"/>
          <w:i/>
          <w:iCs/>
          <w:sz w:val="20"/>
          <w:szCs w:val="20"/>
        </w:rPr>
        <w:t>Corporations Act</w:t>
      </w:r>
      <w:r w:rsidR="00EA067A">
        <w:rPr>
          <w:rStyle w:val="cf01"/>
          <w:rFonts w:ascii="Calibri Light" w:hAnsi="Calibri Light" w:cs="Times New Roman"/>
          <w:sz w:val="20"/>
          <w:szCs w:val="20"/>
        </w:rPr>
        <w:t xml:space="preserve"> </w:t>
      </w:r>
      <w:r w:rsidR="00EA067A" w:rsidRPr="0093270B">
        <w:rPr>
          <w:rStyle w:val="cf01"/>
          <w:rFonts w:ascii="Calibri Light" w:hAnsi="Calibri Light" w:cs="Times New Roman"/>
          <w:sz w:val="20"/>
          <w:szCs w:val="20"/>
        </w:rPr>
        <w:t>s 914A(8)</w:t>
      </w:r>
      <w:r>
        <w:rPr>
          <w:rStyle w:val="cf01"/>
          <w:rFonts w:ascii="Calibri Light" w:hAnsi="Calibri Light" w:cs="Times New Roman"/>
          <w:sz w:val="20"/>
          <w:szCs w:val="20"/>
        </w:rPr>
        <w:t>.</w:t>
      </w:r>
    </w:p>
  </w:footnote>
  <w:footnote w:id="105">
    <w:p w14:paraId="6DB3DBAF" w14:textId="542B52E2" w:rsidR="00320CE7" w:rsidRDefault="00320CE7">
      <w:pPr>
        <w:pStyle w:val="FootnoteText"/>
      </w:pPr>
      <w:r>
        <w:rPr>
          <w:rStyle w:val="FootnoteReference"/>
        </w:rPr>
        <w:footnoteRef/>
      </w:r>
      <w:r>
        <w:t xml:space="preserve"> </w:t>
      </w:r>
      <w:r w:rsidR="00920D02">
        <w:t>Unless these functions are prudentially regulated</w:t>
      </w:r>
      <w:r w:rsidR="00BF6A82">
        <w:t>.</w:t>
      </w:r>
    </w:p>
  </w:footnote>
  <w:footnote w:id="106">
    <w:p w14:paraId="5012CE27" w14:textId="0DC38A03" w:rsidR="00250894" w:rsidRPr="002849D0" w:rsidRDefault="00B34174" w:rsidP="00250894">
      <w:pPr>
        <w:pStyle w:val="FootnoteText"/>
        <w:rPr>
          <w:rStyle w:val="Hyperlink"/>
          <w:i/>
          <w:iCs/>
        </w:rPr>
      </w:pPr>
      <w:r>
        <w:rPr>
          <w:rStyle w:val="FootnoteReference"/>
        </w:rPr>
        <w:footnoteRef/>
      </w:r>
      <w:r>
        <w:t xml:space="preserve"> </w:t>
      </w:r>
      <w:r w:rsidRPr="00176498">
        <w:rPr>
          <w:i/>
          <w:iCs/>
        </w:rPr>
        <w:t>Corporations Act</w:t>
      </w:r>
      <w:r>
        <w:t xml:space="preserve"> </w:t>
      </w:r>
      <w:r w:rsidR="00E77CAF">
        <w:t>s</w:t>
      </w:r>
      <w:r w:rsidR="00E832E5">
        <w:t xml:space="preserve"> </w:t>
      </w:r>
      <w:r w:rsidR="00E77CAF">
        <w:t>912</w:t>
      </w:r>
      <w:r w:rsidR="00EC2B1D">
        <w:t>B</w:t>
      </w:r>
      <w:r>
        <w:t xml:space="preserve">; See also ASIC, </w:t>
      </w:r>
      <w:r w:rsidR="00B15F1C" w:rsidRPr="002849D0">
        <w:rPr>
          <w:i/>
          <w:iCs/>
        </w:rPr>
        <w:fldChar w:fldCharType="begin"/>
      </w:r>
      <w:r w:rsidR="00B15F1C" w:rsidRPr="002849D0">
        <w:rPr>
          <w:i/>
          <w:iCs/>
        </w:rPr>
        <w:instrText xml:space="preserve"> HYPERLINK "https://download.asic.gov.au/media/niddj53n/rg126-published-06-july-2022.pdf" </w:instrText>
      </w:r>
      <w:r w:rsidR="00B15F1C" w:rsidRPr="002849D0">
        <w:rPr>
          <w:i/>
          <w:iCs/>
        </w:rPr>
      </w:r>
      <w:r w:rsidR="00B15F1C" w:rsidRPr="002849D0">
        <w:rPr>
          <w:i/>
          <w:iCs/>
        </w:rPr>
        <w:fldChar w:fldCharType="separate"/>
      </w:r>
      <w:r w:rsidRPr="002849D0">
        <w:rPr>
          <w:rStyle w:val="Hyperlink"/>
          <w:i/>
          <w:iCs/>
        </w:rPr>
        <w:t>Regulatory Guide 12</w:t>
      </w:r>
      <w:r w:rsidR="00250894" w:rsidRPr="002849D0">
        <w:rPr>
          <w:rStyle w:val="Hyperlink"/>
          <w:i/>
          <w:iCs/>
        </w:rPr>
        <w:t>6</w:t>
      </w:r>
      <w:r w:rsidRPr="002849D0">
        <w:rPr>
          <w:rStyle w:val="Hyperlink"/>
          <w:i/>
          <w:iCs/>
        </w:rPr>
        <w:t xml:space="preserve"> </w:t>
      </w:r>
      <w:r w:rsidR="00250894" w:rsidRPr="002849D0">
        <w:rPr>
          <w:rStyle w:val="Hyperlink"/>
          <w:i/>
          <w:iCs/>
        </w:rPr>
        <w:t xml:space="preserve">Compensation and insurance </w:t>
      </w:r>
    </w:p>
    <w:p w14:paraId="3E3DF169" w14:textId="5CDF0730" w:rsidR="00B34174" w:rsidRPr="00250894" w:rsidRDefault="00250894" w:rsidP="00250894">
      <w:pPr>
        <w:pStyle w:val="FootnoteText"/>
      </w:pPr>
      <w:r w:rsidRPr="002849D0">
        <w:rPr>
          <w:rStyle w:val="Hyperlink"/>
          <w:i/>
          <w:iCs/>
        </w:rPr>
        <w:t>arrangements for AFS licensees</w:t>
      </w:r>
      <w:r w:rsidR="00B15F1C" w:rsidRPr="002849D0">
        <w:rPr>
          <w:i/>
          <w:iCs/>
        </w:rPr>
        <w:fldChar w:fldCharType="end"/>
      </w:r>
      <w:r>
        <w:t>, July 2022.</w:t>
      </w:r>
    </w:p>
  </w:footnote>
  <w:footnote w:id="107">
    <w:p w14:paraId="658C3F55" w14:textId="01AB6257" w:rsidR="00EA1336" w:rsidRDefault="00EA1336">
      <w:pPr>
        <w:pStyle w:val="FootnoteText"/>
      </w:pPr>
      <w:r>
        <w:rPr>
          <w:rStyle w:val="FootnoteReference"/>
        </w:rPr>
        <w:footnoteRef/>
      </w:r>
      <w:r>
        <w:t xml:space="preserve"> </w:t>
      </w:r>
      <w:r w:rsidRPr="00176498">
        <w:rPr>
          <w:i/>
          <w:iCs/>
        </w:rPr>
        <w:t>Corporations Regulations</w:t>
      </w:r>
      <w:r>
        <w:t xml:space="preserve"> reg 7.6.02AAA.</w:t>
      </w:r>
    </w:p>
  </w:footnote>
  <w:footnote w:id="108">
    <w:p w14:paraId="39576A96" w14:textId="3E7B187C" w:rsidR="009B4637" w:rsidRDefault="009B4637" w:rsidP="00E42AA2">
      <w:pPr>
        <w:pStyle w:val="FootnoteText"/>
      </w:pPr>
      <w:r>
        <w:rPr>
          <w:rStyle w:val="FootnoteReference"/>
        </w:rPr>
        <w:footnoteRef/>
      </w:r>
      <w:r>
        <w:t xml:space="preserve"> </w:t>
      </w:r>
      <w:r w:rsidR="00F734BB">
        <w:t xml:space="preserve">ASIC, </w:t>
      </w:r>
      <w:hyperlink r:id="rId27" w:history="1">
        <w:r w:rsidR="00F734BB" w:rsidRPr="002849D0">
          <w:rPr>
            <w:rStyle w:val="Hyperlink"/>
            <w:i/>
            <w:iCs/>
          </w:rPr>
          <w:t>Regulatory Guide 274 Product design and distribution obligations</w:t>
        </w:r>
      </w:hyperlink>
      <w:r w:rsidR="00F734BB">
        <w:t>, December 2020,</w:t>
      </w:r>
      <w:r>
        <w:t xml:space="preserve"> </w:t>
      </w:r>
      <w:r w:rsidR="00BA44BB">
        <w:t>p 10</w:t>
      </w:r>
      <w:r w:rsidR="00F734BB">
        <w:t>.</w:t>
      </w:r>
    </w:p>
  </w:footnote>
  <w:footnote w:id="109">
    <w:p w14:paraId="3C120582" w14:textId="27C9FDFB" w:rsidR="00EE0E67" w:rsidRDefault="00EE0E67">
      <w:pPr>
        <w:pStyle w:val="FootnoteText"/>
      </w:pPr>
      <w:r>
        <w:rPr>
          <w:rStyle w:val="FootnoteReference"/>
        </w:rPr>
        <w:footnoteRef/>
      </w:r>
      <w:r>
        <w:t xml:space="preserve"> </w:t>
      </w:r>
      <w:r w:rsidR="00765240" w:rsidRPr="008D4D9C">
        <w:rPr>
          <w:i/>
          <w:iCs/>
        </w:rPr>
        <w:t>ASIC Corporations (Design and Distribution Obligations Interim Measures) Instrument 2021/784</w:t>
      </w:r>
      <w:r w:rsidR="00765240">
        <w:t>.</w:t>
      </w:r>
    </w:p>
  </w:footnote>
  <w:footnote w:id="110">
    <w:p w14:paraId="293F7111" w14:textId="69299139" w:rsidR="006A2DF6" w:rsidRDefault="006A2DF6">
      <w:pPr>
        <w:pStyle w:val="FootnoteText"/>
      </w:pPr>
      <w:r>
        <w:rPr>
          <w:rStyle w:val="FootnoteReference"/>
        </w:rPr>
        <w:footnoteRef/>
      </w:r>
      <w:r>
        <w:t xml:space="preserve"> </w:t>
      </w:r>
      <w:r w:rsidRPr="008D4D9C">
        <w:rPr>
          <w:i/>
          <w:iCs/>
        </w:rPr>
        <w:t>Corporations Act</w:t>
      </w:r>
      <w:r>
        <w:t xml:space="preserve"> s 961F</w:t>
      </w:r>
      <w:r w:rsidR="00B52A8A">
        <w:t xml:space="preserve">, </w:t>
      </w:r>
      <w:r w:rsidR="00B52A8A" w:rsidRPr="008D4D9C">
        <w:rPr>
          <w:i/>
          <w:iCs/>
        </w:rPr>
        <w:t>Corporations Regulations</w:t>
      </w:r>
      <w:r w:rsidR="00B52A8A" w:rsidRPr="009727B4">
        <w:t xml:space="preserve"> </w:t>
      </w:r>
      <w:r w:rsidR="00B52A8A">
        <w:t>reg 7.8.21A.</w:t>
      </w:r>
    </w:p>
  </w:footnote>
  <w:footnote w:id="111">
    <w:p w14:paraId="1AD7540D" w14:textId="3895F4B6" w:rsidR="00103350" w:rsidRDefault="00103350" w:rsidP="008D4D9C">
      <w:pPr>
        <w:pStyle w:val="FootnoteText"/>
        <w:ind w:left="0" w:firstLine="0"/>
      </w:pPr>
      <w:r>
        <w:rPr>
          <w:rStyle w:val="FootnoteReference"/>
        </w:rPr>
        <w:footnoteRef/>
      </w:r>
      <w:r w:rsidR="00BA5A07">
        <w:t xml:space="preserve"> </w:t>
      </w:r>
      <w:r>
        <w:t xml:space="preserve">As distinct from the Short-Form PDS rules. The Shorter PDS regime currently only applies to certain financial products, including </w:t>
      </w:r>
      <w:r w:rsidRPr="001E055F">
        <w:t>superannuation and simple managed investment schemes</w:t>
      </w:r>
      <w:r>
        <w:t xml:space="preserve">. See The Hon Bill Shorten MP, </w:t>
      </w:r>
      <w:hyperlink r:id="rId28" w:history="1">
        <w:r w:rsidRPr="008D4D9C">
          <w:rPr>
            <w:rStyle w:val="Hyperlink"/>
            <w:i/>
            <w:iCs/>
          </w:rPr>
          <w:t>Shorter Product Disclosure Statements</w:t>
        </w:r>
      </w:hyperlink>
      <w:r>
        <w:t>, 22 December 2011.</w:t>
      </w:r>
    </w:p>
  </w:footnote>
  <w:footnote w:id="112">
    <w:p w14:paraId="2B7211BF" w14:textId="03150BC1" w:rsidR="001B22FF" w:rsidRDefault="001B22FF">
      <w:pPr>
        <w:pStyle w:val="FootnoteText"/>
      </w:pPr>
      <w:r>
        <w:rPr>
          <w:rStyle w:val="FootnoteReference"/>
        </w:rPr>
        <w:footnoteRef/>
      </w:r>
      <w:r>
        <w:t xml:space="preserve"> </w:t>
      </w:r>
      <w:r w:rsidR="003B7DFD">
        <w:t xml:space="preserve">Under </w:t>
      </w:r>
      <w:r w:rsidR="003B7DFD" w:rsidRPr="00B936F6">
        <w:rPr>
          <w:i/>
          <w:iCs/>
        </w:rPr>
        <w:t>Corporations Act</w:t>
      </w:r>
      <w:r w:rsidR="00BA5A07">
        <w:t xml:space="preserve"> pt 7.8.</w:t>
      </w:r>
    </w:p>
  </w:footnote>
  <w:footnote w:id="113">
    <w:p w14:paraId="427D7DEE" w14:textId="369707DF" w:rsidR="008A166C" w:rsidRDefault="008A166C">
      <w:pPr>
        <w:pStyle w:val="FootnoteText"/>
      </w:pPr>
      <w:r>
        <w:rPr>
          <w:rStyle w:val="FootnoteReference"/>
        </w:rPr>
        <w:footnoteRef/>
      </w:r>
      <w:r>
        <w:t xml:space="preserve"> </w:t>
      </w:r>
      <w:r w:rsidR="00836CAA">
        <w:t xml:space="preserve">ASIC, </w:t>
      </w:r>
      <w:hyperlink r:id="rId29" w:history="1">
        <w:r w:rsidR="00836CAA" w:rsidRPr="00B936F6">
          <w:rPr>
            <w:rStyle w:val="Hyperlink"/>
            <w:i/>
            <w:iCs/>
          </w:rPr>
          <w:t xml:space="preserve">Information Sheet 226 Complying with </w:t>
        </w:r>
        <w:r w:rsidR="007B3ECD" w:rsidRPr="00B936F6">
          <w:rPr>
            <w:rStyle w:val="Hyperlink"/>
            <w:i/>
            <w:iCs/>
          </w:rPr>
          <w:t>the ASIC Client Money Reporting Rules 2017</w:t>
        </w:r>
      </w:hyperlink>
      <w:r w:rsidR="004F65C3">
        <w:t xml:space="preserve">, updated May 2022. </w:t>
      </w:r>
    </w:p>
  </w:footnote>
  <w:footnote w:id="114">
    <w:p w14:paraId="23A73EF5" w14:textId="4E846376" w:rsidR="005A3CDE" w:rsidRDefault="005A3CDE">
      <w:pPr>
        <w:pStyle w:val="FootnoteText"/>
      </w:pPr>
      <w:r>
        <w:rPr>
          <w:rStyle w:val="FootnoteReference"/>
        </w:rPr>
        <w:footnoteRef/>
      </w:r>
      <w:r>
        <w:t xml:space="preserve"> </w:t>
      </w:r>
      <w:r w:rsidR="00D966D5">
        <w:t>Including</w:t>
      </w:r>
      <w:r w:rsidR="00E16ECA">
        <w:t xml:space="preserve"> </w:t>
      </w:r>
      <w:r w:rsidR="00E16ECA" w:rsidRPr="00B936F6">
        <w:rPr>
          <w:i/>
          <w:iCs/>
        </w:rPr>
        <w:t>Corporations Act</w:t>
      </w:r>
      <w:r>
        <w:t xml:space="preserve"> s</w:t>
      </w:r>
      <w:r w:rsidR="00E16ECA">
        <w:t xml:space="preserve"> </w:t>
      </w:r>
      <w:r>
        <w:t>981A(1) (client money) and s</w:t>
      </w:r>
      <w:r w:rsidR="00E16ECA">
        <w:t xml:space="preserve"> </w:t>
      </w:r>
      <w:r>
        <w:t>984A (other client property).</w:t>
      </w:r>
    </w:p>
  </w:footnote>
  <w:footnote w:id="115">
    <w:p w14:paraId="385B0C21" w14:textId="1FD9DFBB" w:rsidR="00900DBC" w:rsidRDefault="00900DBC" w:rsidP="00900DBC">
      <w:pPr>
        <w:pStyle w:val="FootnoteText"/>
      </w:pPr>
      <w:r>
        <w:rPr>
          <w:rStyle w:val="FootnoteReference"/>
        </w:rPr>
        <w:footnoteRef/>
      </w:r>
      <w:r>
        <w:t xml:space="preserve"> </w:t>
      </w:r>
      <w:r w:rsidR="00363664" w:rsidRPr="00B936F6">
        <w:rPr>
          <w:i/>
          <w:iCs/>
        </w:rPr>
        <w:t>Corporations Act</w:t>
      </w:r>
      <w:r w:rsidR="00363664">
        <w:t xml:space="preserve"> s </w:t>
      </w:r>
      <w:r>
        <w:t>981A(2)(a)</w:t>
      </w:r>
      <w:r w:rsidR="00BB677F">
        <w:t>.</w:t>
      </w:r>
    </w:p>
  </w:footnote>
  <w:footnote w:id="116">
    <w:p w14:paraId="2EED5D81" w14:textId="54547ACD" w:rsidR="0013549B" w:rsidRDefault="0013549B" w:rsidP="0013549B">
      <w:pPr>
        <w:pStyle w:val="FootnoteText"/>
      </w:pPr>
      <w:r>
        <w:rPr>
          <w:rStyle w:val="FootnoteReference"/>
        </w:rPr>
        <w:footnoteRef/>
      </w:r>
      <w:r>
        <w:t xml:space="preserve"> </w:t>
      </w:r>
      <w:r w:rsidR="00363664" w:rsidRPr="00B936F6">
        <w:rPr>
          <w:i/>
          <w:iCs/>
        </w:rPr>
        <w:t>Corporations Act</w:t>
      </w:r>
      <w:r w:rsidR="00363664" w:rsidRPr="002F1630">
        <w:t xml:space="preserve"> </w:t>
      </w:r>
      <w:r w:rsidRPr="002F1630">
        <w:t>s 981A(2)</w:t>
      </w:r>
      <w:r w:rsidR="003F2CDF">
        <w:t>(</w:t>
      </w:r>
      <w:r w:rsidR="0083603D">
        <w:t>c</w:t>
      </w:r>
      <w:r>
        <w:t>).</w:t>
      </w:r>
    </w:p>
  </w:footnote>
  <w:footnote w:id="117">
    <w:p w14:paraId="57F96477" w14:textId="726F601C" w:rsidR="00EB2B3A" w:rsidRDefault="00EB2B3A" w:rsidP="00EB2B3A">
      <w:pPr>
        <w:pStyle w:val="FootnoteText"/>
      </w:pPr>
      <w:r>
        <w:rPr>
          <w:rStyle w:val="FootnoteReference"/>
        </w:rPr>
        <w:footnoteRef/>
      </w:r>
      <w:r>
        <w:t xml:space="preserve"> Currently permitted under </w:t>
      </w:r>
      <w:r w:rsidRPr="00B936F6">
        <w:rPr>
          <w:i/>
          <w:iCs/>
        </w:rPr>
        <w:t>Corporations Regulations</w:t>
      </w:r>
      <w:r w:rsidR="00363664">
        <w:t xml:space="preserve"> reg 7.8.02(1)(a)</w:t>
      </w:r>
      <w:r>
        <w:t>.</w:t>
      </w:r>
    </w:p>
  </w:footnote>
  <w:footnote w:id="118">
    <w:p w14:paraId="2C74CEB2" w14:textId="58ABEEB0" w:rsidR="00D30D96" w:rsidRDefault="00D30D96">
      <w:pPr>
        <w:pStyle w:val="FootnoteText"/>
      </w:pPr>
      <w:r>
        <w:rPr>
          <w:rStyle w:val="FootnoteReference"/>
        </w:rPr>
        <w:footnoteRef/>
      </w:r>
      <w:r w:rsidR="00E1206E">
        <w:t xml:space="preserve"> </w:t>
      </w:r>
      <w:r w:rsidR="000A236C" w:rsidRPr="00B936F6">
        <w:rPr>
          <w:i/>
          <w:iCs/>
        </w:rPr>
        <w:t>ASIC Corporations (Non-cash Payment Facilities) Instrument 2016/211</w:t>
      </w:r>
      <w:r w:rsidR="000A236C">
        <w:t xml:space="preserve"> s </w:t>
      </w:r>
      <w:r w:rsidR="00E1206E">
        <w:t>9(4)</w:t>
      </w:r>
      <w:r w:rsidR="000A236C">
        <w:t>.</w:t>
      </w:r>
    </w:p>
  </w:footnote>
  <w:footnote w:id="119">
    <w:p w14:paraId="10A77F22" w14:textId="4489018C" w:rsidR="00D812CB" w:rsidRDefault="00D812CB">
      <w:pPr>
        <w:pStyle w:val="FootnoteText"/>
      </w:pPr>
      <w:r>
        <w:rPr>
          <w:rStyle w:val="FootnoteReference"/>
        </w:rPr>
        <w:footnoteRef/>
      </w:r>
      <w:r>
        <w:t xml:space="preserve"> </w:t>
      </w:r>
      <w:r w:rsidRPr="00B936F6">
        <w:rPr>
          <w:i/>
          <w:iCs/>
        </w:rPr>
        <w:t>Corporations Act</w:t>
      </w:r>
      <w:r w:rsidR="003915FF">
        <w:t xml:space="preserve"> s 981B</w:t>
      </w:r>
      <w:r>
        <w:t>.</w:t>
      </w:r>
    </w:p>
  </w:footnote>
  <w:footnote w:id="120">
    <w:p w14:paraId="1EE00BA3" w14:textId="3BC554DD" w:rsidR="00F31410" w:rsidRDefault="00F31410">
      <w:pPr>
        <w:pStyle w:val="FootnoteText"/>
      </w:pPr>
      <w:r>
        <w:rPr>
          <w:rStyle w:val="FootnoteReference"/>
        </w:rPr>
        <w:footnoteRef/>
      </w:r>
      <w:r>
        <w:t xml:space="preserve"> </w:t>
      </w:r>
      <w:r w:rsidR="00803CBB">
        <w:t>See for example</w:t>
      </w:r>
      <w:r w:rsidR="005614FF">
        <w:t xml:space="preserve"> </w:t>
      </w:r>
      <w:r w:rsidR="005614FF" w:rsidRPr="007259CB">
        <w:rPr>
          <w:i/>
        </w:rPr>
        <w:t xml:space="preserve">The </w:t>
      </w:r>
      <w:r w:rsidR="00C45A1A" w:rsidRPr="007259CB">
        <w:rPr>
          <w:i/>
        </w:rPr>
        <w:t>E</w:t>
      </w:r>
      <w:r w:rsidR="005614FF" w:rsidRPr="007259CB">
        <w:rPr>
          <w:i/>
        </w:rPr>
        <w:t xml:space="preserve">lectric </w:t>
      </w:r>
      <w:r w:rsidR="00C45A1A" w:rsidRPr="007259CB">
        <w:rPr>
          <w:i/>
        </w:rPr>
        <w:t>Money Regulations</w:t>
      </w:r>
      <w:r w:rsidR="00D64CC8" w:rsidRPr="007259CB">
        <w:rPr>
          <w:i/>
        </w:rPr>
        <w:t xml:space="preserve"> </w:t>
      </w:r>
      <w:r w:rsidR="005614FF" w:rsidRPr="007259CB">
        <w:rPr>
          <w:i/>
        </w:rPr>
        <w:t>2011</w:t>
      </w:r>
      <w:r w:rsidR="00D64CC8">
        <w:t xml:space="preserve"> </w:t>
      </w:r>
      <w:r w:rsidR="005614FF">
        <w:t xml:space="preserve">(UK) </w:t>
      </w:r>
      <w:r w:rsidR="00081726">
        <w:t xml:space="preserve">reg 45 </w:t>
      </w:r>
      <w:r w:rsidR="00D64CC8">
        <w:t xml:space="preserve">and </w:t>
      </w:r>
      <w:r w:rsidR="00081F6A">
        <w:t>EU</w:t>
      </w:r>
      <w:r w:rsidR="00D64CC8">
        <w:t xml:space="preserve"> Directive</w:t>
      </w:r>
      <w:r w:rsidR="00081F6A" w:rsidRPr="00081F6A">
        <w:t xml:space="preserve"> 2009/110/EC</w:t>
      </w:r>
      <w:r w:rsidR="00081726">
        <w:t xml:space="preserve"> article 12</w:t>
      </w:r>
      <w:r w:rsidR="00152DC3">
        <w:t>.</w:t>
      </w:r>
    </w:p>
  </w:footnote>
  <w:footnote w:id="121">
    <w:p w14:paraId="4EFC46CC" w14:textId="0E4AB1A7" w:rsidR="00D34E8E" w:rsidRDefault="00D34E8E" w:rsidP="00D34E8E">
      <w:pPr>
        <w:pStyle w:val="FootnoteText"/>
      </w:pPr>
      <w:r>
        <w:rPr>
          <w:rStyle w:val="FootnoteReference"/>
        </w:rPr>
        <w:footnoteRef/>
      </w:r>
      <w:r>
        <w:t xml:space="preserve"> Similar to </w:t>
      </w:r>
      <w:r w:rsidRPr="00B936F6">
        <w:rPr>
          <w:i/>
          <w:iCs/>
        </w:rPr>
        <w:t>Corporations Act</w:t>
      </w:r>
      <w:r w:rsidR="003915FF">
        <w:t xml:space="preserve"> s 1017F</w:t>
      </w:r>
      <w:r>
        <w:t>.</w:t>
      </w:r>
    </w:p>
  </w:footnote>
  <w:footnote w:id="122">
    <w:p w14:paraId="3F34E99C" w14:textId="11104E3A" w:rsidR="00D34E8E" w:rsidRDefault="00D34E8E" w:rsidP="00D34E8E">
      <w:pPr>
        <w:pStyle w:val="FootnoteText"/>
      </w:pPr>
      <w:r>
        <w:rPr>
          <w:rStyle w:val="FootnoteReference"/>
        </w:rPr>
        <w:footnoteRef/>
      </w:r>
      <w:r>
        <w:t xml:space="preserve"> Similar to </w:t>
      </w:r>
      <w:r w:rsidRPr="00B936F6">
        <w:rPr>
          <w:i/>
          <w:iCs/>
        </w:rPr>
        <w:t>Corporations Act</w:t>
      </w:r>
      <w:r w:rsidR="003915FF">
        <w:t xml:space="preserve"> s</w:t>
      </w:r>
      <w:r w:rsidR="00CB7E5F">
        <w:t xml:space="preserve"> </w:t>
      </w:r>
      <w:r w:rsidR="003915FF" w:rsidRPr="000D6A3D">
        <w:t>1017D</w:t>
      </w:r>
      <w:r>
        <w:t>.</w:t>
      </w:r>
    </w:p>
  </w:footnote>
  <w:footnote w:id="123">
    <w:p w14:paraId="236A02B7" w14:textId="20CE9C9E" w:rsidR="00913FA3" w:rsidRDefault="00913FA3">
      <w:pPr>
        <w:pStyle w:val="FootnoteText"/>
      </w:pPr>
      <w:r>
        <w:rPr>
          <w:rStyle w:val="FootnoteReference"/>
        </w:rPr>
        <w:footnoteRef/>
      </w:r>
      <w:r>
        <w:t xml:space="preserve"> </w:t>
      </w:r>
      <w:r w:rsidR="00C326B6">
        <w:t xml:space="preserve">APRA, </w:t>
      </w:r>
      <w:hyperlink r:id="rId30" w:history="1">
        <w:r w:rsidR="005552C9" w:rsidRPr="00B936F6">
          <w:rPr>
            <w:rStyle w:val="Hyperlink"/>
            <w:i/>
            <w:iCs/>
          </w:rPr>
          <w:t>APRA consults on minimum capital requirements for PPF providers</w:t>
        </w:r>
      </w:hyperlink>
      <w:r w:rsidR="003D56BD">
        <w:t xml:space="preserve"> </w:t>
      </w:r>
      <w:r w:rsidR="00D450A6">
        <w:t>[</w:t>
      </w:r>
      <w:r w:rsidR="00D85C5E">
        <w:t>media release</w:t>
      </w:r>
      <w:r w:rsidR="00D450A6">
        <w:t>]</w:t>
      </w:r>
      <w:r w:rsidR="00D85C5E">
        <w:t xml:space="preserve">, </w:t>
      </w:r>
      <w:r w:rsidR="003D56BD">
        <w:t>14 November 2022.</w:t>
      </w:r>
      <w:r>
        <w:t xml:space="preserve"> </w:t>
      </w:r>
    </w:p>
  </w:footnote>
  <w:footnote w:id="124">
    <w:p w14:paraId="34F6F9CD" w14:textId="72D6A96F" w:rsidR="003372F7" w:rsidRDefault="003372F7" w:rsidP="00B936F6">
      <w:pPr>
        <w:pStyle w:val="FootnoteText"/>
        <w:ind w:left="0" w:firstLine="0"/>
      </w:pPr>
      <w:r>
        <w:rPr>
          <w:rStyle w:val="FootnoteReference"/>
        </w:rPr>
        <w:footnoteRef/>
      </w:r>
      <w:r w:rsidR="00353487">
        <w:t xml:space="preserve"> </w:t>
      </w:r>
      <w:r w:rsidRPr="008D0BCC">
        <w:t xml:space="preserve">Consistent with other </w:t>
      </w:r>
      <w:r w:rsidR="008B6935">
        <w:t>financial sector companies</w:t>
      </w:r>
      <w:r w:rsidRPr="008D0BCC">
        <w:t xml:space="preserve">, this paper proposes that the </w:t>
      </w:r>
      <w:r w:rsidR="0059411D" w:rsidRPr="00B936F6">
        <w:rPr>
          <w:i/>
          <w:iCs/>
        </w:rPr>
        <w:t>Financial Sector (Shareholdings</w:t>
      </w:r>
      <w:r w:rsidR="000169C5" w:rsidRPr="00B936F6">
        <w:rPr>
          <w:i/>
          <w:iCs/>
        </w:rPr>
        <w:t>)</w:t>
      </w:r>
      <w:r w:rsidR="0059411D" w:rsidRPr="00B936F6">
        <w:rPr>
          <w:i/>
          <w:iCs/>
        </w:rPr>
        <w:t xml:space="preserve"> </w:t>
      </w:r>
      <w:r w:rsidR="009E65BF" w:rsidRPr="00B936F6">
        <w:rPr>
          <w:i/>
          <w:iCs/>
        </w:rPr>
        <w:t>Act</w:t>
      </w:r>
      <w:r w:rsidRPr="008D0BCC">
        <w:t xml:space="preserve"> limit shareholders of an individual shareholder or a group of associated shareholders in an SVF provider, whether held directly or through another entity or entities. The Treasurer, or in some cases APRA under delegated authority from the Treasurer, may approve a higher shareholding limit for particular entities on national interest grounds.</w:t>
      </w:r>
    </w:p>
  </w:footnote>
  <w:footnote w:id="125">
    <w:p w14:paraId="45DB1BB2" w14:textId="30A8FDAA" w:rsidR="00307F6A" w:rsidRDefault="00307F6A" w:rsidP="00B936F6">
      <w:pPr>
        <w:pStyle w:val="FootnoteText"/>
        <w:ind w:left="0" w:firstLine="0"/>
      </w:pPr>
      <w:r>
        <w:rPr>
          <w:rStyle w:val="FootnoteReference"/>
        </w:rPr>
        <w:footnoteRef/>
      </w:r>
      <w:r w:rsidR="00353487">
        <w:t xml:space="preserve"> </w:t>
      </w:r>
      <w:r>
        <w:t xml:space="preserve">For the avoidance of doubt, the licensing reforms are not intended to impact securities clearing and settlement. Securities clearing and settlement (referred to as ‘clearing and settlement’ in the </w:t>
      </w:r>
      <w:r w:rsidRPr="0088742B">
        <w:rPr>
          <w:i/>
          <w:iCs/>
        </w:rPr>
        <w:t>Corporations Act</w:t>
      </w:r>
      <w:r>
        <w:t xml:space="preserve">) and payment systems operated as part of a securities clearing and settlement facility are excluded from the definition of financial product, see </w:t>
      </w:r>
      <w:r w:rsidRPr="00202829">
        <w:rPr>
          <w:i/>
          <w:iCs/>
        </w:rPr>
        <w:t>Corporations Act</w:t>
      </w:r>
      <w:r>
        <w:t xml:space="preserve"> s 765A(1)(l).</w:t>
      </w:r>
    </w:p>
  </w:footnote>
  <w:footnote w:id="126">
    <w:p w14:paraId="5A4D16EE" w14:textId="291F08B3" w:rsidR="00855652" w:rsidRDefault="00855652">
      <w:pPr>
        <w:pStyle w:val="FootnoteText"/>
      </w:pPr>
      <w:r>
        <w:rPr>
          <w:rStyle w:val="FootnoteReference"/>
        </w:rPr>
        <w:footnoteRef/>
      </w:r>
      <w:r>
        <w:t xml:space="preserve"> </w:t>
      </w:r>
      <w:r w:rsidRPr="00DB3533">
        <w:rPr>
          <w:i/>
        </w:rPr>
        <w:t>APRA Act</w:t>
      </w:r>
      <w:r>
        <w:t xml:space="preserve"> s 8.</w:t>
      </w:r>
    </w:p>
  </w:footnote>
  <w:footnote w:id="127">
    <w:p w14:paraId="495B8DDE" w14:textId="46BE3B0C" w:rsidR="004515F3" w:rsidRDefault="004515F3" w:rsidP="003213CF">
      <w:pPr>
        <w:pStyle w:val="FootnoteText"/>
        <w:ind w:left="0" w:firstLine="0"/>
      </w:pPr>
      <w:r>
        <w:rPr>
          <w:rStyle w:val="FootnoteReference"/>
        </w:rPr>
        <w:footnoteRef/>
      </w:r>
      <w:r w:rsidR="005D4863">
        <w:t xml:space="preserve"> </w:t>
      </w:r>
      <w:r>
        <w:t xml:space="preserve">Note also </w:t>
      </w:r>
      <w:r w:rsidR="00AF0493">
        <w:t xml:space="preserve">in the discussion above, it is not proposed that any entity undertaking payments clearing and settling should </w:t>
      </w:r>
      <w:r w:rsidR="003E434D">
        <w:t>require an AFSL</w:t>
      </w:r>
      <w:r w:rsidR="00236B5C">
        <w:t xml:space="preserve"> (which is a separate question to whether CARs licensees should require an AFSL).</w:t>
      </w:r>
    </w:p>
  </w:footnote>
  <w:footnote w:id="128">
    <w:p w14:paraId="48E44B84" w14:textId="7DB0556F" w:rsidR="001A5EB0" w:rsidRDefault="001A5EB0">
      <w:pPr>
        <w:pStyle w:val="FootnoteText"/>
      </w:pPr>
      <w:r>
        <w:rPr>
          <w:rStyle w:val="FootnoteReference"/>
        </w:rPr>
        <w:footnoteRef/>
      </w:r>
      <w:r>
        <w:t xml:space="preserve"> </w:t>
      </w:r>
      <w:r w:rsidRPr="009B28AC">
        <w:rPr>
          <w:i/>
          <w:iCs/>
        </w:rPr>
        <w:t>Corporations Act</w:t>
      </w:r>
      <w:r w:rsidR="009B28AC">
        <w:t xml:space="preserve"> s 911A(2)(g).</w:t>
      </w:r>
    </w:p>
  </w:footnote>
  <w:footnote w:id="129">
    <w:p w14:paraId="04F7FB09" w14:textId="17481760" w:rsidR="008144E7" w:rsidRDefault="008144E7">
      <w:pPr>
        <w:pStyle w:val="FootnoteText"/>
      </w:pPr>
      <w:r>
        <w:rPr>
          <w:rStyle w:val="FootnoteReference"/>
        </w:rPr>
        <w:footnoteRef/>
      </w:r>
      <w:r>
        <w:t xml:space="preserve"> See, for example, </w:t>
      </w:r>
      <w:r w:rsidRPr="00FA2409">
        <w:rPr>
          <w:i/>
          <w:iCs/>
        </w:rPr>
        <w:t>Corporations Act</w:t>
      </w:r>
      <w:r>
        <w:t xml:space="preserve"> ss 912A(4)-(5).</w:t>
      </w:r>
    </w:p>
  </w:footnote>
  <w:footnote w:id="130">
    <w:p w14:paraId="5806A3DA" w14:textId="48E2A17E" w:rsidR="002F539E" w:rsidRDefault="002F539E" w:rsidP="00C242C1">
      <w:pPr>
        <w:pStyle w:val="FootnoteText"/>
        <w:ind w:left="0" w:firstLine="0"/>
      </w:pPr>
      <w:r>
        <w:rPr>
          <w:rStyle w:val="FootnoteReference"/>
        </w:rPr>
        <w:footnoteRef/>
      </w:r>
      <w:r w:rsidR="007B1C4D">
        <w:t xml:space="preserve"> </w:t>
      </w:r>
      <w:r w:rsidR="007B1C4D" w:rsidRPr="00196B2F">
        <w:t>Treasury Laws Amendment (Better Targeted Superannuation Concessions and Other Measures) Bill 2023</w:t>
      </w:r>
      <w:r w:rsidR="007B1C4D">
        <w:t xml:space="preserve">, Schedule 8, </w:t>
      </w:r>
      <w:r w:rsidR="003649E7">
        <w:t>pt</w:t>
      </w:r>
      <w:r w:rsidR="00C42089">
        <w:t xml:space="preserve"> 1, </w:t>
      </w:r>
      <w:r w:rsidR="000F2398">
        <w:t>s 5.</w:t>
      </w:r>
    </w:p>
  </w:footnote>
  <w:footnote w:id="131">
    <w:p w14:paraId="5287A2DB" w14:textId="0AC0A723" w:rsidR="00D34672" w:rsidRPr="003213CF" w:rsidRDefault="00D34672" w:rsidP="003213CF">
      <w:pPr>
        <w:pStyle w:val="FootnoteText"/>
        <w:ind w:left="0" w:firstLine="0"/>
        <w:rPr>
          <w:b/>
          <w:bCs/>
        </w:rPr>
      </w:pPr>
      <w:r>
        <w:rPr>
          <w:rStyle w:val="FootnoteReference"/>
        </w:rPr>
        <w:footnoteRef/>
      </w:r>
      <w:r w:rsidR="00EF6AAA">
        <w:t xml:space="preserve"> </w:t>
      </w:r>
      <w:r>
        <w:t>However</w:t>
      </w:r>
      <w:r w:rsidR="007F3A4A">
        <w:t>,</w:t>
      </w:r>
      <w:r>
        <w:t xml:space="preserve"> note the proposed exclusion for </w:t>
      </w:r>
      <w:r w:rsidR="00F2748F">
        <w:t xml:space="preserve">designated payment systems </w:t>
      </w:r>
      <w:r w:rsidR="0040461A">
        <w:t xml:space="preserve">under PSRA </w:t>
      </w:r>
      <w:r w:rsidR="00F2748F">
        <w:t>that have been declared not to be a financial product</w:t>
      </w:r>
      <w:r w:rsidR="0040461A">
        <w:t xml:space="preserve">, see </w:t>
      </w:r>
      <w:r w:rsidR="000D10D5">
        <w:rPr>
          <w:b/>
        </w:rPr>
        <w:t>S</w:t>
      </w:r>
      <w:r w:rsidR="000D10D5" w:rsidRPr="003213CF">
        <w:rPr>
          <w:b/>
        </w:rPr>
        <w:t>ection</w:t>
      </w:r>
      <w:r w:rsidR="0040461A" w:rsidRPr="003213CF">
        <w:rPr>
          <w:b/>
          <w:bCs/>
        </w:rPr>
        <w:t xml:space="preserve"> </w:t>
      </w:r>
      <w:r w:rsidR="00104954">
        <w:rPr>
          <w:b/>
          <w:bCs/>
        </w:rPr>
        <w:t>3.2.6</w:t>
      </w:r>
      <w:r w:rsidR="0040461A" w:rsidRPr="003213CF">
        <w:rPr>
          <w:b/>
          <w:bCs/>
        </w:rPr>
        <w:t>.</w:t>
      </w:r>
      <w:r w:rsidRPr="003213CF">
        <w:rPr>
          <w:b/>
          <w:bCs/>
        </w:rPr>
        <w:t xml:space="preserve"> </w:t>
      </w:r>
    </w:p>
  </w:footnote>
  <w:footnote w:id="132">
    <w:p w14:paraId="7D25354E" w14:textId="3101228F" w:rsidR="00DB6B82" w:rsidRDefault="00DB6B82">
      <w:pPr>
        <w:pStyle w:val="FootnoteText"/>
      </w:pPr>
      <w:r>
        <w:rPr>
          <w:rStyle w:val="FootnoteReference"/>
        </w:rPr>
        <w:footnoteRef/>
      </w:r>
      <w:r>
        <w:t xml:space="preserve"> </w:t>
      </w:r>
      <w:r w:rsidR="00C735AC">
        <w:t xml:space="preserve">Treasury, </w:t>
      </w:r>
      <w:hyperlink r:id="rId31" w:history="1">
        <w:r w:rsidR="00C735AC" w:rsidRPr="00072FC1">
          <w:rPr>
            <w:rStyle w:val="Hyperlink"/>
            <w:i/>
            <w:iCs/>
          </w:rPr>
          <w:t>Screen scraping – policy and regulatory implications</w:t>
        </w:r>
      </w:hyperlink>
      <w:r w:rsidR="00C735AC">
        <w:t xml:space="preserve">, </w:t>
      </w:r>
      <w:r w:rsidR="00505BEB">
        <w:t xml:space="preserve">Treasury, </w:t>
      </w:r>
      <w:r w:rsidR="00C735AC">
        <w:t>August 2023.</w:t>
      </w:r>
    </w:p>
  </w:footnote>
  <w:footnote w:id="133">
    <w:p w14:paraId="3D3F6DEE" w14:textId="2C46835A" w:rsidR="00827593" w:rsidRDefault="00827593">
      <w:pPr>
        <w:pStyle w:val="FootnoteText"/>
      </w:pPr>
      <w:r>
        <w:rPr>
          <w:rStyle w:val="FootnoteReference"/>
        </w:rPr>
        <w:footnoteRef/>
      </w:r>
      <w:r>
        <w:t xml:space="preserve"> </w:t>
      </w:r>
      <w:r w:rsidR="001055EF">
        <w:t xml:space="preserve">Treasury, </w:t>
      </w:r>
      <w:hyperlink r:id="rId32" w:history="1">
        <w:r w:rsidR="001055EF" w:rsidRPr="00140FCF">
          <w:rPr>
            <w:rStyle w:val="Hyperlink"/>
            <w:i/>
            <w:iCs/>
          </w:rPr>
          <w:t>Scams – Mandatory Industry Codes</w:t>
        </w:r>
      </w:hyperlink>
      <w:r w:rsidR="00DE2DEC">
        <w:t xml:space="preserve">, </w:t>
      </w:r>
      <w:r w:rsidR="00505BEB">
        <w:t xml:space="preserve">Treasury, </w:t>
      </w:r>
      <w:r w:rsidR="00DE2DEC">
        <w:t>November 2023.</w:t>
      </w:r>
    </w:p>
  </w:footnote>
  <w:footnote w:id="134">
    <w:p w14:paraId="219DCDA6" w14:textId="589D55C0" w:rsidR="004277BE" w:rsidRDefault="004277BE">
      <w:pPr>
        <w:pStyle w:val="FootnoteText"/>
      </w:pPr>
      <w:r>
        <w:rPr>
          <w:rStyle w:val="FootnoteReference"/>
        </w:rPr>
        <w:footnoteRef/>
      </w:r>
      <w:r w:rsidR="00A06500">
        <w:t xml:space="preserve"> RBA,</w:t>
      </w:r>
      <w:r w:rsidR="008C018D">
        <w:t xml:space="preserve"> </w:t>
      </w:r>
      <w:hyperlink r:id="rId33" w:history="1">
        <w:r w:rsidR="008C018D" w:rsidRPr="003213CF">
          <w:rPr>
            <w:rStyle w:val="Hyperlink"/>
            <w:i/>
            <w:iCs/>
          </w:rPr>
          <w:t>Exemption notice for Certain Guaranteed Holders of Stored Value Under Section 25</w:t>
        </w:r>
      </w:hyperlink>
      <w:r w:rsidR="008C018D">
        <w:t>, 4 March 2004.</w:t>
      </w:r>
    </w:p>
  </w:footnote>
  <w:footnote w:id="135">
    <w:p w14:paraId="6E4018F1" w14:textId="77777777" w:rsidR="00294224" w:rsidRDefault="00294224" w:rsidP="00294224">
      <w:pPr>
        <w:pStyle w:val="FootnoteText"/>
      </w:pPr>
      <w:r>
        <w:rPr>
          <w:rStyle w:val="FootnoteReference"/>
        </w:rPr>
        <w:footnoteRef/>
      </w:r>
      <w:r>
        <w:t xml:space="preserve"> MAS, </w:t>
      </w:r>
      <w:hyperlink r:id="rId34" w:history="1">
        <w:r w:rsidRPr="00196642">
          <w:rPr>
            <w:rStyle w:val="Hyperlink"/>
            <w:i/>
            <w:iCs/>
          </w:rPr>
          <w:t>Guidelines on outsourcing</w:t>
        </w:r>
      </w:hyperlink>
      <w:r>
        <w:t>, MAS website, 27 July 2016, updated 5 October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E5BA"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BF86"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C2DB"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39E1"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71B285E0" wp14:editId="68C6E9B1">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F02A"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9AC"/>
    <w:multiLevelType w:val="multilevel"/>
    <w:tmpl w:val="D4D2385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F77057"/>
    <w:multiLevelType w:val="singleLevel"/>
    <w:tmpl w:val="0C09000F"/>
    <w:lvl w:ilvl="0">
      <w:start w:val="1"/>
      <w:numFmt w:val="decimal"/>
      <w:lvlText w:val="%1."/>
      <w:lvlJc w:val="left"/>
      <w:pPr>
        <w:ind w:left="360" w:hanging="360"/>
      </w:pPr>
      <w:rPr>
        <w:rFonts w:hint="default"/>
        <w:b w:val="0"/>
        <w:i w:val="0"/>
        <w:sz w:val="16"/>
      </w:rPr>
    </w:lvl>
  </w:abstractNum>
  <w:abstractNum w:abstractNumId="2" w15:restartNumberingAfterBreak="0">
    <w:nsid w:val="04863F1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ED3FC7"/>
    <w:multiLevelType w:val="multilevel"/>
    <w:tmpl w:val="79E48CD8"/>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91170FE"/>
    <w:multiLevelType w:val="hybridMultilevel"/>
    <w:tmpl w:val="2A9295CE"/>
    <w:lvl w:ilvl="0" w:tplc="86E2308A">
      <w:start w:val="1"/>
      <w:numFmt w:val="bullet"/>
      <w:lvlText w:val=""/>
      <w:lvlJc w:val="left"/>
      <w:pPr>
        <w:ind w:left="720" w:hanging="360"/>
      </w:pPr>
      <w:rPr>
        <w:rFonts w:ascii="Symbol" w:hAnsi="Symbol"/>
      </w:rPr>
    </w:lvl>
    <w:lvl w:ilvl="1" w:tplc="8B56DCBA">
      <w:start w:val="1"/>
      <w:numFmt w:val="bullet"/>
      <w:lvlText w:val=""/>
      <w:lvlJc w:val="left"/>
      <w:pPr>
        <w:ind w:left="720" w:hanging="360"/>
      </w:pPr>
      <w:rPr>
        <w:rFonts w:ascii="Symbol" w:hAnsi="Symbol"/>
      </w:rPr>
    </w:lvl>
    <w:lvl w:ilvl="2" w:tplc="4EBCF156">
      <w:start w:val="1"/>
      <w:numFmt w:val="bullet"/>
      <w:lvlText w:val=""/>
      <w:lvlJc w:val="left"/>
      <w:pPr>
        <w:ind w:left="720" w:hanging="360"/>
      </w:pPr>
      <w:rPr>
        <w:rFonts w:ascii="Symbol" w:hAnsi="Symbol"/>
      </w:rPr>
    </w:lvl>
    <w:lvl w:ilvl="3" w:tplc="0574896A">
      <w:start w:val="1"/>
      <w:numFmt w:val="bullet"/>
      <w:lvlText w:val=""/>
      <w:lvlJc w:val="left"/>
      <w:pPr>
        <w:ind w:left="720" w:hanging="360"/>
      </w:pPr>
      <w:rPr>
        <w:rFonts w:ascii="Symbol" w:hAnsi="Symbol"/>
      </w:rPr>
    </w:lvl>
    <w:lvl w:ilvl="4" w:tplc="3D540D78">
      <w:start w:val="1"/>
      <w:numFmt w:val="bullet"/>
      <w:lvlText w:val=""/>
      <w:lvlJc w:val="left"/>
      <w:pPr>
        <w:ind w:left="720" w:hanging="360"/>
      </w:pPr>
      <w:rPr>
        <w:rFonts w:ascii="Symbol" w:hAnsi="Symbol"/>
      </w:rPr>
    </w:lvl>
    <w:lvl w:ilvl="5" w:tplc="091E1410">
      <w:start w:val="1"/>
      <w:numFmt w:val="bullet"/>
      <w:lvlText w:val=""/>
      <w:lvlJc w:val="left"/>
      <w:pPr>
        <w:ind w:left="720" w:hanging="360"/>
      </w:pPr>
      <w:rPr>
        <w:rFonts w:ascii="Symbol" w:hAnsi="Symbol"/>
      </w:rPr>
    </w:lvl>
    <w:lvl w:ilvl="6" w:tplc="2CB0BF54">
      <w:start w:val="1"/>
      <w:numFmt w:val="bullet"/>
      <w:lvlText w:val=""/>
      <w:lvlJc w:val="left"/>
      <w:pPr>
        <w:ind w:left="720" w:hanging="360"/>
      </w:pPr>
      <w:rPr>
        <w:rFonts w:ascii="Symbol" w:hAnsi="Symbol"/>
      </w:rPr>
    </w:lvl>
    <w:lvl w:ilvl="7" w:tplc="7B6AFC60">
      <w:start w:val="1"/>
      <w:numFmt w:val="bullet"/>
      <w:lvlText w:val=""/>
      <w:lvlJc w:val="left"/>
      <w:pPr>
        <w:ind w:left="720" w:hanging="360"/>
      </w:pPr>
      <w:rPr>
        <w:rFonts w:ascii="Symbol" w:hAnsi="Symbol"/>
      </w:rPr>
    </w:lvl>
    <w:lvl w:ilvl="8" w:tplc="8A2E9056">
      <w:start w:val="1"/>
      <w:numFmt w:val="bullet"/>
      <w:lvlText w:val=""/>
      <w:lvlJc w:val="left"/>
      <w:pPr>
        <w:ind w:left="720" w:hanging="360"/>
      </w:pPr>
      <w:rPr>
        <w:rFonts w:ascii="Symbol" w:hAnsi="Symbol"/>
      </w:rPr>
    </w:lvl>
  </w:abstractNum>
  <w:abstractNum w:abstractNumId="5"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E57D4F"/>
    <w:multiLevelType w:val="hybridMultilevel"/>
    <w:tmpl w:val="3A122A84"/>
    <w:lvl w:ilvl="0" w:tplc="55BC8E42">
      <w:start w:val="1"/>
      <w:numFmt w:val="lowerLetter"/>
      <w:pStyle w:val="letternumbering"/>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 w15:restartNumberingAfterBreak="0">
    <w:nsid w:val="0FEB5DC0"/>
    <w:multiLevelType w:val="hybridMultilevel"/>
    <w:tmpl w:val="D44A91BC"/>
    <w:lvl w:ilvl="0" w:tplc="74008DEC">
      <w:start w:val="1"/>
      <w:numFmt w:val="bullet"/>
      <w:lvlText w:val=""/>
      <w:lvlJc w:val="left"/>
      <w:pPr>
        <w:ind w:left="720" w:hanging="360"/>
      </w:pPr>
      <w:rPr>
        <w:rFonts w:ascii="Symbol" w:hAnsi="Symbol"/>
      </w:rPr>
    </w:lvl>
    <w:lvl w:ilvl="1" w:tplc="30FA666E">
      <w:start w:val="1"/>
      <w:numFmt w:val="bullet"/>
      <w:lvlText w:val=""/>
      <w:lvlJc w:val="left"/>
      <w:pPr>
        <w:ind w:left="720" w:hanging="360"/>
      </w:pPr>
      <w:rPr>
        <w:rFonts w:ascii="Symbol" w:hAnsi="Symbol"/>
      </w:rPr>
    </w:lvl>
    <w:lvl w:ilvl="2" w:tplc="DED88008">
      <w:start w:val="1"/>
      <w:numFmt w:val="bullet"/>
      <w:lvlText w:val=""/>
      <w:lvlJc w:val="left"/>
      <w:pPr>
        <w:ind w:left="720" w:hanging="360"/>
      </w:pPr>
      <w:rPr>
        <w:rFonts w:ascii="Symbol" w:hAnsi="Symbol"/>
      </w:rPr>
    </w:lvl>
    <w:lvl w:ilvl="3" w:tplc="193EAEDC">
      <w:start w:val="1"/>
      <w:numFmt w:val="bullet"/>
      <w:lvlText w:val=""/>
      <w:lvlJc w:val="left"/>
      <w:pPr>
        <w:ind w:left="720" w:hanging="360"/>
      </w:pPr>
      <w:rPr>
        <w:rFonts w:ascii="Symbol" w:hAnsi="Symbol"/>
      </w:rPr>
    </w:lvl>
    <w:lvl w:ilvl="4" w:tplc="C3EA9A10">
      <w:start w:val="1"/>
      <w:numFmt w:val="bullet"/>
      <w:lvlText w:val=""/>
      <w:lvlJc w:val="left"/>
      <w:pPr>
        <w:ind w:left="720" w:hanging="360"/>
      </w:pPr>
      <w:rPr>
        <w:rFonts w:ascii="Symbol" w:hAnsi="Symbol"/>
      </w:rPr>
    </w:lvl>
    <w:lvl w:ilvl="5" w:tplc="EA92A04A">
      <w:start w:val="1"/>
      <w:numFmt w:val="bullet"/>
      <w:lvlText w:val=""/>
      <w:lvlJc w:val="left"/>
      <w:pPr>
        <w:ind w:left="720" w:hanging="360"/>
      </w:pPr>
      <w:rPr>
        <w:rFonts w:ascii="Symbol" w:hAnsi="Symbol"/>
      </w:rPr>
    </w:lvl>
    <w:lvl w:ilvl="6" w:tplc="CE448DE4">
      <w:start w:val="1"/>
      <w:numFmt w:val="bullet"/>
      <w:lvlText w:val=""/>
      <w:lvlJc w:val="left"/>
      <w:pPr>
        <w:ind w:left="720" w:hanging="360"/>
      </w:pPr>
      <w:rPr>
        <w:rFonts w:ascii="Symbol" w:hAnsi="Symbol"/>
      </w:rPr>
    </w:lvl>
    <w:lvl w:ilvl="7" w:tplc="F59AC380">
      <w:start w:val="1"/>
      <w:numFmt w:val="bullet"/>
      <w:lvlText w:val=""/>
      <w:lvlJc w:val="left"/>
      <w:pPr>
        <w:ind w:left="720" w:hanging="360"/>
      </w:pPr>
      <w:rPr>
        <w:rFonts w:ascii="Symbol" w:hAnsi="Symbol"/>
      </w:rPr>
    </w:lvl>
    <w:lvl w:ilvl="8" w:tplc="A12ED5B6">
      <w:start w:val="1"/>
      <w:numFmt w:val="bullet"/>
      <w:lvlText w:val=""/>
      <w:lvlJc w:val="left"/>
      <w:pPr>
        <w:ind w:left="720" w:hanging="360"/>
      </w:pPr>
      <w:rPr>
        <w:rFonts w:ascii="Symbol" w:hAnsi="Symbol"/>
      </w:rPr>
    </w:lvl>
  </w:abstractNum>
  <w:abstractNum w:abstractNumId="8" w15:restartNumberingAfterBreak="0">
    <w:nsid w:val="10653560"/>
    <w:multiLevelType w:val="multilevel"/>
    <w:tmpl w:val="20C6D62C"/>
    <w:styleLink w:val="Outline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A276DD"/>
    <w:multiLevelType w:val="hybridMultilevel"/>
    <w:tmpl w:val="A15A90DA"/>
    <w:lvl w:ilvl="0" w:tplc="52865D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C20451"/>
    <w:multiLevelType w:val="multilevel"/>
    <w:tmpl w:val="771E307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5A1FC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6CC4E5D"/>
    <w:multiLevelType w:val="multilevel"/>
    <w:tmpl w:val="32BA81B0"/>
    <w:numStyleLink w:val="OneLevelList"/>
  </w:abstractNum>
  <w:abstractNum w:abstractNumId="13" w15:restartNumberingAfterBreak="0">
    <w:nsid w:val="173347AF"/>
    <w:multiLevelType w:val="hybridMultilevel"/>
    <w:tmpl w:val="750CB8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DF7717"/>
    <w:multiLevelType w:val="multilevel"/>
    <w:tmpl w:val="32BA81B0"/>
    <w:styleLink w:val="OneLevelList"/>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5" w15:restartNumberingAfterBreak="0">
    <w:nsid w:val="190B72B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A956FBF"/>
    <w:multiLevelType w:val="hybridMultilevel"/>
    <w:tmpl w:val="9AF651CC"/>
    <w:lvl w:ilvl="0" w:tplc="4E628DF6">
      <w:start w:val="1"/>
      <w:numFmt w:val="bullet"/>
      <w:lvlText w:val=""/>
      <w:lvlJc w:val="left"/>
      <w:pPr>
        <w:ind w:left="720" w:hanging="360"/>
      </w:pPr>
      <w:rPr>
        <w:rFonts w:ascii="Symbol" w:hAnsi="Symbol"/>
      </w:rPr>
    </w:lvl>
    <w:lvl w:ilvl="1" w:tplc="AADC4EC0">
      <w:start w:val="1"/>
      <w:numFmt w:val="bullet"/>
      <w:lvlText w:val=""/>
      <w:lvlJc w:val="left"/>
      <w:pPr>
        <w:ind w:left="720" w:hanging="360"/>
      </w:pPr>
      <w:rPr>
        <w:rFonts w:ascii="Symbol" w:hAnsi="Symbol"/>
      </w:rPr>
    </w:lvl>
    <w:lvl w:ilvl="2" w:tplc="6F1E4266">
      <w:start w:val="1"/>
      <w:numFmt w:val="bullet"/>
      <w:lvlText w:val=""/>
      <w:lvlJc w:val="left"/>
      <w:pPr>
        <w:ind w:left="720" w:hanging="360"/>
      </w:pPr>
      <w:rPr>
        <w:rFonts w:ascii="Symbol" w:hAnsi="Symbol"/>
      </w:rPr>
    </w:lvl>
    <w:lvl w:ilvl="3" w:tplc="BA062826">
      <w:start w:val="1"/>
      <w:numFmt w:val="bullet"/>
      <w:lvlText w:val=""/>
      <w:lvlJc w:val="left"/>
      <w:pPr>
        <w:ind w:left="720" w:hanging="360"/>
      </w:pPr>
      <w:rPr>
        <w:rFonts w:ascii="Symbol" w:hAnsi="Symbol"/>
      </w:rPr>
    </w:lvl>
    <w:lvl w:ilvl="4" w:tplc="ADD440F8">
      <w:start w:val="1"/>
      <w:numFmt w:val="bullet"/>
      <w:lvlText w:val=""/>
      <w:lvlJc w:val="left"/>
      <w:pPr>
        <w:ind w:left="720" w:hanging="360"/>
      </w:pPr>
      <w:rPr>
        <w:rFonts w:ascii="Symbol" w:hAnsi="Symbol"/>
      </w:rPr>
    </w:lvl>
    <w:lvl w:ilvl="5" w:tplc="CA6883D6">
      <w:start w:val="1"/>
      <w:numFmt w:val="bullet"/>
      <w:lvlText w:val=""/>
      <w:lvlJc w:val="left"/>
      <w:pPr>
        <w:ind w:left="720" w:hanging="360"/>
      </w:pPr>
      <w:rPr>
        <w:rFonts w:ascii="Symbol" w:hAnsi="Symbol"/>
      </w:rPr>
    </w:lvl>
    <w:lvl w:ilvl="6" w:tplc="52088904">
      <w:start w:val="1"/>
      <w:numFmt w:val="bullet"/>
      <w:lvlText w:val=""/>
      <w:lvlJc w:val="left"/>
      <w:pPr>
        <w:ind w:left="720" w:hanging="360"/>
      </w:pPr>
      <w:rPr>
        <w:rFonts w:ascii="Symbol" w:hAnsi="Symbol"/>
      </w:rPr>
    </w:lvl>
    <w:lvl w:ilvl="7" w:tplc="CC683E1C">
      <w:start w:val="1"/>
      <w:numFmt w:val="bullet"/>
      <w:lvlText w:val=""/>
      <w:lvlJc w:val="left"/>
      <w:pPr>
        <w:ind w:left="720" w:hanging="360"/>
      </w:pPr>
      <w:rPr>
        <w:rFonts w:ascii="Symbol" w:hAnsi="Symbol"/>
      </w:rPr>
    </w:lvl>
    <w:lvl w:ilvl="8" w:tplc="0D8CF18C">
      <w:start w:val="1"/>
      <w:numFmt w:val="bullet"/>
      <w:lvlText w:val=""/>
      <w:lvlJc w:val="left"/>
      <w:pPr>
        <w:ind w:left="720" w:hanging="360"/>
      </w:pPr>
      <w:rPr>
        <w:rFonts w:ascii="Symbol" w:hAnsi="Symbol"/>
      </w:rPr>
    </w:lvl>
  </w:abstractNum>
  <w:abstractNum w:abstractNumId="17" w15:restartNumberingAfterBreak="0">
    <w:nsid w:val="1BC62BA1"/>
    <w:multiLevelType w:val="hybridMultilevel"/>
    <w:tmpl w:val="F9642FFA"/>
    <w:lvl w:ilvl="0" w:tplc="0CAEE8A2">
      <w:start w:val="1"/>
      <w:numFmt w:val="bullet"/>
      <w:lvlText w:val=""/>
      <w:lvlJc w:val="left"/>
      <w:pPr>
        <w:ind w:left="1080" w:hanging="360"/>
      </w:pPr>
      <w:rPr>
        <w:rFonts w:ascii="Symbol" w:hAnsi="Symbol"/>
      </w:rPr>
    </w:lvl>
    <w:lvl w:ilvl="1" w:tplc="33C22378">
      <w:start w:val="1"/>
      <w:numFmt w:val="bullet"/>
      <w:lvlText w:val=""/>
      <w:lvlJc w:val="left"/>
      <w:pPr>
        <w:ind w:left="1080" w:hanging="360"/>
      </w:pPr>
      <w:rPr>
        <w:rFonts w:ascii="Symbol" w:hAnsi="Symbol"/>
      </w:rPr>
    </w:lvl>
    <w:lvl w:ilvl="2" w:tplc="3060437C">
      <w:start w:val="1"/>
      <w:numFmt w:val="bullet"/>
      <w:lvlText w:val=""/>
      <w:lvlJc w:val="left"/>
      <w:pPr>
        <w:ind w:left="1080" w:hanging="360"/>
      </w:pPr>
      <w:rPr>
        <w:rFonts w:ascii="Symbol" w:hAnsi="Symbol"/>
      </w:rPr>
    </w:lvl>
    <w:lvl w:ilvl="3" w:tplc="41F4BD60">
      <w:start w:val="1"/>
      <w:numFmt w:val="bullet"/>
      <w:lvlText w:val=""/>
      <w:lvlJc w:val="left"/>
      <w:pPr>
        <w:ind w:left="1080" w:hanging="360"/>
      </w:pPr>
      <w:rPr>
        <w:rFonts w:ascii="Symbol" w:hAnsi="Symbol"/>
      </w:rPr>
    </w:lvl>
    <w:lvl w:ilvl="4" w:tplc="8A7051C6">
      <w:start w:val="1"/>
      <w:numFmt w:val="bullet"/>
      <w:lvlText w:val=""/>
      <w:lvlJc w:val="left"/>
      <w:pPr>
        <w:ind w:left="1080" w:hanging="360"/>
      </w:pPr>
      <w:rPr>
        <w:rFonts w:ascii="Symbol" w:hAnsi="Symbol"/>
      </w:rPr>
    </w:lvl>
    <w:lvl w:ilvl="5" w:tplc="77A227DE">
      <w:start w:val="1"/>
      <w:numFmt w:val="bullet"/>
      <w:lvlText w:val=""/>
      <w:lvlJc w:val="left"/>
      <w:pPr>
        <w:ind w:left="1080" w:hanging="360"/>
      </w:pPr>
      <w:rPr>
        <w:rFonts w:ascii="Symbol" w:hAnsi="Symbol"/>
      </w:rPr>
    </w:lvl>
    <w:lvl w:ilvl="6" w:tplc="CA00049C">
      <w:start w:val="1"/>
      <w:numFmt w:val="bullet"/>
      <w:lvlText w:val=""/>
      <w:lvlJc w:val="left"/>
      <w:pPr>
        <w:ind w:left="1080" w:hanging="360"/>
      </w:pPr>
      <w:rPr>
        <w:rFonts w:ascii="Symbol" w:hAnsi="Symbol"/>
      </w:rPr>
    </w:lvl>
    <w:lvl w:ilvl="7" w:tplc="3ED6E820">
      <w:start w:val="1"/>
      <w:numFmt w:val="bullet"/>
      <w:lvlText w:val=""/>
      <w:lvlJc w:val="left"/>
      <w:pPr>
        <w:ind w:left="1080" w:hanging="360"/>
      </w:pPr>
      <w:rPr>
        <w:rFonts w:ascii="Symbol" w:hAnsi="Symbol"/>
      </w:rPr>
    </w:lvl>
    <w:lvl w:ilvl="8" w:tplc="D8B4067A">
      <w:start w:val="1"/>
      <w:numFmt w:val="bullet"/>
      <w:lvlText w:val=""/>
      <w:lvlJc w:val="left"/>
      <w:pPr>
        <w:ind w:left="1080" w:hanging="360"/>
      </w:pPr>
      <w:rPr>
        <w:rFonts w:ascii="Symbol" w:hAnsi="Symbol"/>
      </w:rPr>
    </w:lvl>
  </w:abstractNum>
  <w:abstractNum w:abstractNumId="18" w15:restartNumberingAfterBreak="0">
    <w:nsid w:val="1CB20A39"/>
    <w:multiLevelType w:val="hybridMultilevel"/>
    <w:tmpl w:val="BAE2E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D823208"/>
    <w:multiLevelType w:val="multilevel"/>
    <w:tmpl w:val="788C186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B46AA6"/>
    <w:multiLevelType w:val="hybridMultilevel"/>
    <w:tmpl w:val="53F8A4CC"/>
    <w:lvl w:ilvl="0" w:tplc="D5106452">
      <w:start w:val="1"/>
      <w:numFmt w:val="bullet"/>
      <w:lvlText w:val=""/>
      <w:lvlJc w:val="left"/>
      <w:pPr>
        <w:ind w:left="720" w:hanging="360"/>
      </w:pPr>
      <w:rPr>
        <w:rFonts w:ascii="Symbol" w:hAnsi="Symbol"/>
      </w:rPr>
    </w:lvl>
    <w:lvl w:ilvl="1" w:tplc="0CAC5D4E">
      <w:start w:val="1"/>
      <w:numFmt w:val="bullet"/>
      <w:lvlText w:val=""/>
      <w:lvlJc w:val="left"/>
      <w:pPr>
        <w:ind w:left="720" w:hanging="360"/>
      </w:pPr>
      <w:rPr>
        <w:rFonts w:ascii="Symbol" w:hAnsi="Symbol"/>
      </w:rPr>
    </w:lvl>
    <w:lvl w:ilvl="2" w:tplc="DD48D5AA">
      <w:start w:val="1"/>
      <w:numFmt w:val="bullet"/>
      <w:lvlText w:val=""/>
      <w:lvlJc w:val="left"/>
      <w:pPr>
        <w:ind w:left="720" w:hanging="360"/>
      </w:pPr>
      <w:rPr>
        <w:rFonts w:ascii="Symbol" w:hAnsi="Symbol"/>
      </w:rPr>
    </w:lvl>
    <w:lvl w:ilvl="3" w:tplc="926A517A">
      <w:start w:val="1"/>
      <w:numFmt w:val="bullet"/>
      <w:lvlText w:val=""/>
      <w:lvlJc w:val="left"/>
      <w:pPr>
        <w:ind w:left="720" w:hanging="360"/>
      </w:pPr>
      <w:rPr>
        <w:rFonts w:ascii="Symbol" w:hAnsi="Symbol"/>
      </w:rPr>
    </w:lvl>
    <w:lvl w:ilvl="4" w:tplc="0876DD5A">
      <w:start w:val="1"/>
      <w:numFmt w:val="bullet"/>
      <w:lvlText w:val=""/>
      <w:lvlJc w:val="left"/>
      <w:pPr>
        <w:ind w:left="720" w:hanging="360"/>
      </w:pPr>
      <w:rPr>
        <w:rFonts w:ascii="Symbol" w:hAnsi="Symbol"/>
      </w:rPr>
    </w:lvl>
    <w:lvl w:ilvl="5" w:tplc="894E0CAA">
      <w:start w:val="1"/>
      <w:numFmt w:val="bullet"/>
      <w:lvlText w:val=""/>
      <w:lvlJc w:val="left"/>
      <w:pPr>
        <w:ind w:left="720" w:hanging="360"/>
      </w:pPr>
      <w:rPr>
        <w:rFonts w:ascii="Symbol" w:hAnsi="Symbol"/>
      </w:rPr>
    </w:lvl>
    <w:lvl w:ilvl="6" w:tplc="268418E2">
      <w:start w:val="1"/>
      <w:numFmt w:val="bullet"/>
      <w:lvlText w:val=""/>
      <w:lvlJc w:val="left"/>
      <w:pPr>
        <w:ind w:left="720" w:hanging="360"/>
      </w:pPr>
      <w:rPr>
        <w:rFonts w:ascii="Symbol" w:hAnsi="Symbol"/>
      </w:rPr>
    </w:lvl>
    <w:lvl w:ilvl="7" w:tplc="EBEC4FC4">
      <w:start w:val="1"/>
      <w:numFmt w:val="bullet"/>
      <w:lvlText w:val=""/>
      <w:lvlJc w:val="left"/>
      <w:pPr>
        <w:ind w:left="720" w:hanging="360"/>
      </w:pPr>
      <w:rPr>
        <w:rFonts w:ascii="Symbol" w:hAnsi="Symbol"/>
      </w:rPr>
    </w:lvl>
    <w:lvl w:ilvl="8" w:tplc="63A4FCD0">
      <w:start w:val="1"/>
      <w:numFmt w:val="bullet"/>
      <w:lvlText w:val=""/>
      <w:lvlJc w:val="left"/>
      <w:pPr>
        <w:ind w:left="720" w:hanging="360"/>
      </w:pPr>
      <w:rPr>
        <w:rFonts w:ascii="Symbol" w:hAnsi="Symbol"/>
      </w:rPr>
    </w:lvl>
  </w:abstractNum>
  <w:abstractNum w:abstractNumId="21" w15:restartNumberingAfterBreak="0">
    <w:nsid w:val="2416252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4616342"/>
    <w:multiLevelType w:val="multilevel"/>
    <w:tmpl w:val="82F8E6D8"/>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numFmt w:val="bullet"/>
      <w:pStyle w:val="DoubleDot"/>
      <w:lvlText w:val="-"/>
      <w:lvlJc w:val="left"/>
      <w:pPr>
        <w:ind w:left="927" w:hanging="360"/>
      </w:pPr>
      <w:rPr>
        <w:rFonts w:ascii="Calibri" w:eastAsiaTheme="minorHAnsi" w:hAnsi="Calibri" w:cs="Calibri" w:hint="default"/>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3" w15:restartNumberingAfterBreak="0">
    <w:nsid w:val="26595A26"/>
    <w:multiLevelType w:val="hybridMultilevel"/>
    <w:tmpl w:val="0E30A72C"/>
    <w:lvl w:ilvl="0" w:tplc="B9C2004C">
      <w:start w:val="1"/>
      <w:numFmt w:val="decimal"/>
      <w:pStyle w:val="Consultationquestions"/>
      <w:lvlText w:val="%1."/>
      <w:lvlJc w:val="left"/>
      <w:pPr>
        <w:ind w:left="360" w:hanging="360"/>
      </w:pPr>
      <w:rPr>
        <w:b/>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AC44FC3"/>
    <w:multiLevelType w:val="hybridMultilevel"/>
    <w:tmpl w:val="750CB8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ED7D3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8" w15:restartNumberingAfterBreak="0">
    <w:nsid w:val="3238442C"/>
    <w:multiLevelType w:val="hybridMultilevel"/>
    <w:tmpl w:val="750CB824"/>
    <w:styleLink w:val="ChartandTableFootnoteAlphaList"/>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23B374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0C16AD"/>
    <w:multiLevelType w:val="multilevel"/>
    <w:tmpl w:val="D10E9CF6"/>
    <w:styleLink w:val="BoxBulleted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8B23199"/>
    <w:multiLevelType w:val="hybridMultilevel"/>
    <w:tmpl w:val="DBEEB328"/>
    <w:lvl w:ilvl="0" w:tplc="9FB21BB8">
      <w:start w:val="4"/>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C1656C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FF71FB1"/>
    <w:multiLevelType w:val="hybridMultilevel"/>
    <w:tmpl w:val="750CB8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03D2236"/>
    <w:multiLevelType w:val="hybridMultilevel"/>
    <w:tmpl w:val="6D0A8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04444E6"/>
    <w:multiLevelType w:val="multilevel"/>
    <w:tmpl w:val="FFF4E98A"/>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heme="minorHAnsi" w:eastAsiaTheme="minorHAnsi" w:hAnsiTheme="minorHAnsi" w:cstheme="minorBid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09A043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196669B"/>
    <w:multiLevelType w:val="hybridMultilevel"/>
    <w:tmpl w:val="750CB8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1A10ACE"/>
    <w:multiLevelType w:val="multilevel"/>
    <w:tmpl w:val="3570670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3B52690"/>
    <w:multiLevelType w:val="hybridMultilevel"/>
    <w:tmpl w:val="225ED8A4"/>
    <w:lvl w:ilvl="0" w:tplc="CA26BCD4">
      <w:start w:val="1"/>
      <w:numFmt w:val="bullet"/>
      <w:lvlText w:val=""/>
      <w:lvlJc w:val="left"/>
      <w:pPr>
        <w:ind w:left="1080" w:hanging="360"/>
      </w:pPr>
      <w:rPr>
        <w:rFonts w:ascii="Symbol" w:hAnsi="Symbol"/>
      </w:rPr>
    </w:lvl>
    <w:lvl w:ilvl="1" w:tplc="9ADC99D6">
      <w:start w:val="1"/>
      <w:numFmt w:val="bullet"/>
      <w:lvlText w:val=""/>
      <w:lvlJc w:val="left"/>
      <w:pPr>
        <w:ind w:left="1080" w:hanging="360"/>
      </w:pPr>
      <w:rPr>
        <w:rFonts w:ascii="Symbol" w:hAnsi="Symbol"/>
      </w:rPr>
    </w:lvl>
    <w:lvl w:ilvl="2" w:tplc="1A824A32">
      <w:start w:val="1"/>
      <w:numFmt w:val="bullet"/>
      <w:lvlText w:val=""/>
      <w:lvlJc w:val="left"/>
      <w:pPr>
        <w:ind w:left="1080" w:hanging="360"/>
      </w:pPr>
      <w:rPr>
        <w:rFonts w:ascii="Symbol" w:hAnsi="Symbol"/>
      </w:rPr>
    </w:lvl>
    <w:lvl w:ilvl="3" w:tplc="E94CBEB0">
      <w:start w:val="1"/>
      <w:numFmt w:val="bullet"/>
      <w:lvlText w:val=""/>
      <w:lvlJc w:val="left"/>
      <w:pPr>
        <w:ind w:left="1080" w:hanging="360"/>
      </w:pPr>
      <w:rPr>
        <w:rFonts w:ascii="Symbol" w:hAnsi="Symbol"/>
      </w:rPr>
    </w:lvl>
    <w:lvl w:ilvl="4" w:tplc="FA728D86">
      <w:start w:val="1"/>
      <w:numFmt w:val="bullet"/>
      <w:lvlText w:val=""/>
      <w:lvlJc w:val="left"/>
      <w:pPr>
        <w:ind w:left="1080" w:hanging="360"/>
      </w:pPr>
      <w:rPr>
        <w:rFonts w:ascii="Symbol" w:hAnsi="Symbol"/>
      </w:rPr>
    </w:lvl>
    <w:lvl w:ilvl="5" w:tplc="DD34C72E">
      <w:start w:val="1"/>
      <w:numFmt w:val="bullet"/>
      <w:lvlText w:val=""/>
      <w:lvlJc w:val="left"/>
      <w:pPr>
        <w:ind w:left="1080" w:hanging="360"/>
      </w:pPr>
      <w:rPr>
        <w:rFonts w:ascii="Symbol" w:hAnsi="Symbol"/>
      </w:rPr>
    </w:lvl>
    <w:lvl w:ilvl="6" w:tplc="DD0A81B6">
      <w:start w:val="1"/>
      <w:numFmt w:val="bullet"/>
      <w:lvlText w:val=""/>
      <w:lvlJc w:val="left"/>
      <w:pPr>
        <w:ind w:left="1080" w:hanging="360"/>
      </w:pPr>
      <w:rPr>
        <w:rFonts w:ascii="Symbol" w:hAnsi="Symbol"/>
      </w:rPr>
    </w:lvl>
    <w:lvl w:ilvl="7" w:tplc="B94289E0">
      <w:start w:val="1"/>
      <w:numFmt w:val="bullet"/>
      <w:lvlText w:val=""/>
      <w:lvlJc w:val="left"/>
      <w:pPr>
        <w:ind w:left="1080" w:hanging="360"/>
      </w:pPr>
      <w:rPr>
        <w:rFonts w:ascii="Symbol" w:hAnsi="Symbol"/>
      </w:rPr>
    </w:lvl>
    <w:lvl w:ilvl="8" w:tplc="E3245ADE">
      <w:start w:val="1"/>
      <w:numFmt w:val="bullet"/>
      <w:lvlText w:val=""/>
      <w:lvlJc w:val="left"/>
      <w:pPr>
        <w:ind w:left="1080" w:hanging="360"/>
      </w:pPr>
      <w:rPr>
        <w:rFonts w:ascii="Symbol" w:hAnsi="Symbol"/>
      </w:rPr>
    </w:lvl>
  </w:abstractNum>
  <w:abstractNum w:abstractNumId="40" w15:restartNumberingAfterBreak="0">
    <w:nsid w:val="44616F9D"/>
    <w:multiLevelType w:val="multilevel"/>
    <w:tmpl w:val="CEFC286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103B84"/>
    <w:multiLevelType w:val="hybridMultilevel"/>
    <w:tmpl w:val="CBD2B4AA"/>
    <w:lvl w:ilvl="0" w:tplc="840AFCE4">
      <w:start w:val="1"/>
      <w:numFmt w:val="bullet"/>
      <w:lvlText w:val=""/>
      <w:lvlJc w:val="left"/>
      <w:pPr>
        <w:ind w:left="720" w:hanging="360"/>
      </w:pPr>
      <w:rPr>
        <w:rFonts w:ascii="Symbol" w:hAnsi="Symbol"/>
      </w:rPr>
    </w:lvl>
    <w:lvl w:ilvl="1" w:tplc="3D843E84">
      <w:start w:val="1"/>
      <w:numFmt w:val="bullet"/>
      <w:lvlText w:val=""/>
      <w:lvlJc w:val="left"/>
      <w:pPr>
        <w:ind w:left="720" w:hanging="360"/>
      </w:pPr>
      <w:rPr>
        <w:rFonts w:ascii="Symbol" w:hAnsi="Symbol"/>
      </w:rPr>
    </w:lvl>
    <w:lvl w:ilvl="2" w:tplc="D60E61E6">
      <w:start w:val="1"/>
      <w:numFmt w:val="bullet"/>
      <w:lvlText w:val=""/>
      <w:lvlJc w:val="left"/>
      <w:pPr>
        <w:ind w:left="720" w:hanging="360"/>
      </w:pPr>
      <w:rPr>
        <w:rFonts w:ascii="Symbol" w:hAnsi="Symbol"/>
      </w:rPr>
    </w:lvl>
    <w:lvl w:ilvl="3" w:tplc="26E8F1D8">
      <w:start w:val="1"/>
      <w:numFmt w:val="bullet"/>
      <w:lvlText w:val=""/>
      <w:lvlJc w:val="left"/>
      <w:pPr>
        <w:ind w:left="720" w:hanging="360"/>
      </w:pPr>
      <w:rPr>
        <w:rFonts w:ascii="Symbol" w:hAnsi="Symbol"/>
      </w:rPr>
    </w:lvl>
    <w:lvl w:ilvl="4" w:tplc="98CC6F56">
      <w:start w:val="1"/>
      <w:numFmt w:val="bullet"/>
      <w:lvlText w:val=""/>
      <w:lvlJc w:val="left"/>
      <w:pPr>
        <w:ind w:left="720" w:hanging="360"/>
      </w:pPr>
      <w:rPr>
        <w:rFonts w:ascii="Symbol" w:hAnsi="Symbol"/>
      </w:rPr>
    </w:lvl>
    <w:lvl w:ilvl="5" w:tplc="C84EDA20">
      <w:start w:val="1"/>
      <w:numFmt w:val="bullet"/>
      <w:lvlText w:val=""/>
      <w:lvlJc w:val="left"/>
      <w:pPr>
        <w:ind w:left="720" w:hanging="360"/>
      </w:pPr>
      <w:rPr>
        <w:rFonts w:ascii="Symbol" w:hAnsi="Symbol"/>
      </w:rPr>
    </w:lvl>
    <w:lvl w:ilvl="6" w:tplc="C134A34A">
      <w:start w:val="1"/>
      <w:numFmt w:val="bullet"/>
      <w:lvlText w:val=""/>
      <w:lvlJc w:val="left"/>
      <w:pPr>
        <w:ind w:left="720" w:hanging="360"/>
      </w:pPr>
      <w:rPr>
        <w:rFonts w:ascii="Symbol" w:hAnsi="Symbol"/>
      </w:rPr>
    </w:lvl>
    <w:lvl w:ilvl="7" w:tplc="CC186262">
      <w:start w:val="1"/>
      <w:numFmt w:val="bullet"/>
      <w:lvlText w:val=""/>
      <w:lvlJc w:val="left"/>
      <w:pPr>
        <w:ind w:left="720" w:hanging="360"/>
      </w:pPr>
      <w:rPr>
        <w:rFonts w:ascii="Symbol" w:hAnsi="Symbol"/>
      </w:rPr>
    </w:lvl>
    <w:lvl w:ilvl="8" w:tplc="D4F67C28">
      <w:start w:val="1"/>
      <w:numFmt w:val="bullet"/>
      <w:lvlText w:val=""/>
      <w:lvlJc w:val="left"/>
      <w:pPr>
        <w:ind w:left="720" w:hanging="360"/>
      </w:pPr>
      <w:rPr>
        <w:rFonts w:ascii="Symbol" w:hAnsi="Symbol"/>
      </w:rPr>
    </w:lvl>
  </w:abstractNum>
  <w:abstractNum w:abstractNumId="42" w15:restartNumberingAfterBreak="0">
    <w:nsid w:val="45C97B32"/>
    <w:multiLevelType w:val="hybridMultilevel"/>
    <w:tmpl w:val="EF4E46B0"/>
    <w:lvl w:ilvl="0" w:tplc="39A0180A">
      <w:start w:val="1"/>
      <w:numFmt w:val="bullet"/>
      <w:lvlText w:val=""/>
      <w:lvlJc w:val="left"/>
      <w:pPr>
        <w:ind w:left="1080" w:hanging="360"/>
      </w:pPr>
      <w:rPr>
        <w:rFonts w:ascii="Symbol" w:hAnsi="Symbol"/>
      </w:rPr>
    </w:lvl>
    <w:lvl w:ilvl="1" w:tplc="9D22A7DA">
      <w:start w:val="1"/>
      <w:numFmt w:val="bullet"/>
      <w:lvlText w:val=""/>
      <w:lvlJc w:val="left"/>
      <w:pPr>
        <w:ind w:left="1080" w:hanging="360"/>
      </w:pPr>
      <w:rPr>
        <w:rFonts w:ascii="Symbol" w:hAnsi="Symbol"/>
      </w:rPr>
    </w:lvl>
    <w:lvl w:ilvl="2" w:tplc="C146366E">
      <w:start w:val="1"/>
      <w:numFmt w:val="bullet"/>
      <w:lvlText w:val=""/>
      <w:lvlJc w:val="left"/>
      <w:pPr>
        <w:ind w:left="1080" w:hanging="360"/>
      </w:pPr>
      <w:rPr>
        <w:rFonts w:ascii="Symbol" w:hAnsi="Symbol"/>
      </w:rPr>
    </w:lvl>
    <w:lvl w:ilvl="3" w:tplc="7DCEE1CE">
      <w:start w:val="1"/>
      <w:numFmt w:val="bullet"/>
      <w:lvlText w:val=""/>
      <w:lvlJc w:val="left"/>
      <w:pPr>
        <w:ind w:left="1080" w:hanging="360"/>
      </w:pPr>
      <w:rPr>
        <w:rFonts w:ascii="Symbol" w:hAnsi="Symbol"/>
      </w:rPr>
    </w:lvl>
    <w:lvl w:ilvl="4" w:tplc="519081BA">
      <w:start w:val="1"/>
      <w:numFmt w:val="bullet"/>
      <w:lvlText w:val=""/>
      <w:lvlJc w:val="left"/>
      <w:pPr>
        <w:ind w:left="1080" w:hanging="360"/>
      </w:pPr>
      <w:rPr>
        <w:rFonts w:ascii="Symbol" w:hAnsi="Symbol"/>
      </w:rPr>
    </w:lvl>
    <w:lvl w:ilvl="5" w:tplc="327E7C28">
      <w:start w:val="1"/>
      <w:numFmt w:val="bullet"/>
      <w:lvlText w:val=""/>
      <w:lvlJc w:val="left"/>
      <w:pPr>
        <w:ind w:left="1080" w:hanging="360"/>
      </w:pPr>
      <w:rPr>
        <w:rFonts w:ascii="Symbol" w:hAnsi="Symbol"/>
      </w:rPr>
    </w:lvl>
    <w:lvl w:ilvl="6" w:tplc="689A4E8C">
      <w:start w:val="1"/>
      <w:numFmt w:val="bullet"/>
      <w:lvlText w:val=""/>
      <w:lvlJc w:val="left"/>
      <w:pPr>
        <w:ind w:left="1080" w:hanging="360"/>
      </w:pPr>
      <w:rPr>
        <w:rFonts w:ascii="Symbol" w:hAnsi="Symbol"/>
      </w:rPr>
    </w:lvl>
    <w:lvl w:ilvl="7" w:tplc="BB7E5938">
      <w:start w:val="1"/>
      <w:numFmt w:val="bullet"/>
      <w:lvlText w:val=""/>
      <w:lvlJc w:val="left"/>
      <w:pPr>
        <w:ind w:left="1080" w:hanging="360"/>
      </w:pPr>
      <w:rPr>
        <w:rFonts w:ascii="Symbol" w:hAnsi="Symbol"/>
      </w:rPr>
    </w:lvl>
    <w:lvl w:ilvl="8" w:tplc="191A3EC0">
      <w:start w:val="1"/>
      <w:numFmt w:val="bullet"/>
      <w:lvlText w:val=""/>
      <w:lvlJc w:val="left"/>
      <w:pPr>
        <w:ind w:left="1080" w:hanging="360"/>
      </w:pPr>
      <w:rPr>
        <w:rFonts w:ascii="Symbol" w:hAnsi="Symbol"/>
      </w:rPr>
    </w:lvl>
  </w:abstractNum>
  <w:abstractNum w:abstractNumId="43" w15:restartNumberingAfterBreak="0">
    <w:nsid w:val="492C5215"/>
    <w:multiLevelType w:val="multilevel"/>
    <w:tmpl w:val="8B76A740"/>
    <w:lvl w:ilvl="0">
      <w:start w:val="4"/>
      <w:numFmt w:val="bullet"/>
      <w:lvlText w:val=""/>
      <w:lvlJc w:val="left"/>
      <w:pPr>
        <w:tabs>
          <w:tab w:val="num" w:pos="520"/>
        </w:tabs>
        <w:ind w:left="520" w:hanging="520"/>
      </w:pPr>
      <w:rPr>
        <w:rFonts w:ascii="Symbol" w:eastAsiaTheme="minorHAnsi" w:hAnsi="Symbol" w:cstheme="minorBidi"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A6C4782"/>
    <w:multiLevelType w:val="hybridMultilevel"/>
    <w:tmpl w:val="C366B188"/>
    <w:lvl w:ilvl="0" w:tplc="E6423280">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ADF137F"/>
    <w:multiLevelType w:val="hybridMultilevel"/>
    <w:tmpl w:val="BADE4B6C"/>
    <w:lvl w:ilvl="0" w:tplc="6CEE4B1A">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B2E657A"/>
    <w:multiLevelType w:val="hybridMultilevel"/>
    <w:tmpl w:val="0ACEBB8C"/>
    <w:lvl w:ilvl="0" w:tplc="0602F3D6">
      <w:start w:val="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10D2021"/>
    <w:multiLevelType w:val="multilevel"/>
    <w:tmpl w:val="20C6D62C"/>
    <w:numStyleLink w:val="OutlineList"/>
  </w:abstractNum>
  <w:abstractNum w:abstractNumId="48" w15:restartNumberingAfterBreak="0">
    <w:nsid w:val="51E16D74"/>
    <w:multiLevelType w:val="multilevel"/>
    <w:tmpl w:val="B52037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52704D91"/>
    <w:multiLevelType w:val="hybridMultilevel"/>
    <w:tmpl w:val="F9BE842A"/>
    <w:lvl w:ilvl="0" w:tplc="9D3A3790">
      <w:start w:val="1"/>
      <w:numFmt w:val="bullet"/>
      <w:lvlText w:val=""/>
      <w:lvlJc w:val="left"/>
      <w:pPr>
        <w:ind w:left="720" w:hanging="360"/>
      </w:pPr>
      <w:rPr>
        <w:rFonts w:ascii="Symbol" w:hAnsi="Symbol"/>
      </w:rPr>
    </w:lvl>
    <w:lvl w:ilvl="1" w:tplc="D8CCBF4A">
      <w:start w:val="1"/>
      <w:numFmt w:val="bullet"/>
      <w:lvlText w:val=""/>
      <w:lvlJc w:val="left"/>
      <w:pPr>
        <w:ind w:left="720" w:hanging="360"/>
      </w:pPr>
      <w:rPr>
        <w:rFonts w:ascii="Symbol" w:hAnsi="Symbol"/>
      </w:rPr>
    </w:lvl>
    <w:lvl w:ilvl="2" w:tplc="14765DBA">
      <w:start w:val="1"/>
      <w:numFmt w:val="bullet"/>
      <w:lvlText w:val=""/>
      <w:lvlJc w:val="left"/>
      <w:pPr>
        <w:ind w:left="720" w:hanging="360"/>
      </w:pPr>
      <w:rPr>
        <w:rFonts w:ascii="Symbol" w:hAnsi="Symbol"/>
      </w:rPr>
    </w:lvl>
    <w:lvl w:ilvl="3" w:tplc="23BC42A8">
      <w:start w:val="1"/>
      <w:numFmt w:val="bullet"/>
      <w:lvlText w:val=""/>
      <w:lvlJc w:val="left"/>
      <w:pPr>
        <w:ind w:left="720" w:hanging="360"/>
      </w:pPr>
      <w:rPr>
        <w:rFonts w:ascii="Symbol" w:hAnsi="Symbol"/>
      </w:rPr>
    </w:lvl>
    <w:lvl w:ilvl="4" w:tplc="B448DADC">
      <w:start w:val="1"/>
      <w:numFmt w:val="bullet"/>
      <w:lvlText w:val=""/>
      <w:lvlJc w:val="left"/>
      <w:pPr>
        <w:ind w:left="720" w:hanging="360"/>
      </w:pPr>
      <w:rPr>
        <w:rFonts w:ascii="Symbol" w:hAnsi="Symbol"/>
      </w:rPr>
    </w:lvl>
    <w:lvl w:ilvl="5" w:tplc="D090C39C">
      <w:start w:val="1"/>
      <w:numFmt w:val="bullet"/>
      <w:lvlText w:val=""/>
      <w:lvlJc w:val="left"/>
      <w:pPr>
        <w:ind w:left="720" w:hanging="360"/>
      </w:pPr>
      <w:rPr>
        <w:rFonts w:ascii="Symbol" w:hAnsi="Symbol"/>
      </w:rPr>
    </w:lvl>
    <w:lvl w:ilvl="6" w:tplc="BD1A3B8E">
      <w:start w:val="1"/>
      <w:numFmt w:val="bullet"/>
      <w:lvlText w:val=""/>
      <w:lvlJc w:val="left"/>
      <w:pPr>
        <w:ind w:left="720" w:hanging="360"/>
      </w:pPr>
      <w:rPr>
        <w:rFonts w:ascii="Symbol" w:hAnsi="Symbol"/>
      </w:rPr>
    </w:lvl>
    <w:lvl w:ilvl="7" w:tplc="3D9029A4">
      <w:start w:val="1"/>
      <w:numFmt w:val="bullet"/>
      <w:lvlText w:val=""/>
      <w:lvlJc w:val="left"/>
      <w:pPr>
        <w:ind w:left="720" w:hanging="360"/>
      </w:pPr>
      <w:rPr>
        <w:rFonts w:ascii="Symbol" w:hAnsi="Symbol"/>
      </w:rPr>
    </w:lvl>
    <w:lvl w:ilvl="8" w:tplc="D624C018">
      <w:start w:val="1"/>
      <w:numFmt w:val="bullet"/>
      <w:lvlText w:val=""/>
      <w:lvlJc w:val="left"/>
      <w:pPr>
        <w:ind w:left="720" w:hanging="360"/>
      </w:pPr>
      <w:rPr>
        <w:rFonts w:ascii="Symbol" w:hAnsi="Symbol"/>
      </w:rPr>
    </w:lvl>
  </w:abstractNum>
  <w:abstractNum w:abstractNumId="50" w15:restartNumberingAfterBreak="0">
    <w:nsid w:val="5B5E61CC"/>
    <w:multiLevelType w:val="hybridMultilevel"/>
    <w:tmpl w:val="4F446B3A"/>
    <w:lvl w:ilvl="0" w:tplc="0C9655E8">
      <w:start w:val="1"/>
      <w:numFmt w:val="bullet"/>
      <w:lvlText w:val=""/>
      <w:lvlJc w:val="left"/>
      <w:pPr>
        <w:ind w:left="1080" w:hanging="360"/>
      </w:pPr>
      <w:rPr>
        <w:rFonts w:ascii="Symbol" w:hAnsi="Symbol"/>
      </w:rPr>
    </w:lvl>
    <w:lvl w:ilvl="1" w:tplc="FD5AF0D6">
      <w:start w:val="1"/>
      <w:numFmt w:val="bullet"/>
      <w:lvlText w:val=""/>
      <w:lvlJc w:val="left"/>
      <w:pPr>
        <w:ind w:left="1080" w:hanging="360"/>
      </w:pPr>
      <w:rPr>
        <w:rFonts w:ascii="Symbol" w:hAnsi="Symbol"/>
      </w:rPr>
    </w:lvl>
    <w:lvl w:ilvl="2" w:tplc="FA08D28C">
      <w:start w:val="1"/>
      <w:numFmt w:val="bullet"/>
      <w:lvlText w:val=""/>
      <w:lvlJc w:val="left"/>
      <w:pPr>
        <w:ind w:left="1080" w:hanging="360"/>
      </w:pPr>
      <w:rPr>
        <w:rFonts w:ascii="Symbol" w:hAnsi="Symbol"/>
      </w:rPr>
    </w:lvl>
    <w:lvl w:ilvl="3" w:tplc="EB9691E2">
      <w:start w:val="1"/>
      <w:numFmt w:val="bullet"/>
      <w:lvlText w:val=""/>
      <w:lvlJc w:val="left"/>
      <w:pPr>
        <w:ind w:left="1080" w:hanging="360"/>
      </w:pPr>
      <w:rPr>
        <w:rFonts w:ascii="Symbol" w:hAnsi="Symbol"/>
      </w:rPr>
    </w:lvl>
    <w:lvl w:ilvl="4" w:tplc="0CA68E8A">
      <w:start w:val="1"/>
      <w:numFmt w:val="bullet"/>
      <w:lvlText w:val=""/>
      <w:lvlJc w:val="left"/>
      <w:pPr>
        <w:ind w:left="1080" w:hanging="360"/>
      </w:pPr>
      <w:rPr>
        <w:rFonts w:ascii="Symbol" w:hAnsi="Symbol"/>
      </w:rPr>
    </w:lvl>
    <w:lvl w:ilvl="5" w:tplc="CA42D2A6">
      <w:start w:val="1"/>
      <w:numFmt w:val="bullet"/>
      <w:lvlText w:val=""/>
      <w:lvlJc w:val="left"/>
      <w:pPr>
        <w:ind w:left="1080" w:hanging="360"/>
      </w:pPr>
      <w:rPr>
        <w:rFonts w:ascii="Symbol" w:hAnsi="Symbol"/>
      </w:rPr>
    </w:lvl>
    <w:lvl w:ilvl="6" w:tplc="B0985B02">
      <w:start w:val="1"/>
      <w:numFmt w:val="bullet"/>
      <w:lvlText w:val=""/>
      <w:lvlJc w:val="left"/>
      <w:pPr>
        <w:ind w:left="1080" w:hanging="360"/>
      </w:pPr>
      <w:rPr>
        <w:rFonts w:ascii="Symbol" w:hAnsi="Symbol"/>
      </w:rPr>
    </w:lvl>
    <w:lvl w:ilvl="7" w:tplc="E0CC73F0">
      <w:start w:val="1"/>
      <w:numFmt w:val="bullet"/>
      <w:lvlText w:val=""/>
      <w:lvlJc w:val="left"/>
      <w:pPr>
        <w:ind w:left="1080" w:hanging="360"/>
      </w:pPr>
      <w:rPr>
        <w:rFonts w:ascii="Symbol" w:hAnsi="Symbol"/>
      </w:rPr>
    </w:lvl>
    <w:lvl w:ilvl="8" w:tplc="318E9A3C">
      <w:start w:val="1"/>
      <w:numFmt w:val="bullet"/>
      <w:lvlText w:val=""/>
      <w:lvlJc w:val="left"/>
      <w:pPr>
        <w:ind w:left="1080" w:hanging="360"/>
      </w:pPr>
      <w:rPr>
        <w:rFonts w:ascii="Symbol" w:hAnsi="Symbol"/>
      </w:rPr>
    </w:lvl>
  </w:abstractNum>
  <w:abstractNum w:abstractNumId="51" w15:restartNumberingAfterBreak="0">
    <w:nsid w:val="5CBD7BFE"/>
    <w:multiLevelType w:val="singleLevel"/>
    <w:tmpl w:val="0C09000F"/>
    <w:lvl w:ilvl="0">
      <w:start w:val="1"/>
      <w:numFmt w:val="decimal"/>
      <w:lvlText w:val="%1."/>
      <w:lvlJc w:val="left"/>
      <w:pPr>
        <w:tabs>
          <w:tab w:val="num" w:pos="284"/>
        </w:tabs>
        <w:ind w:left="284" w:hanging="284"/>
      </w:pPr>
      <w:rPr>
        <w:rFonts w:hint="default"/>
        <w:b w:val="0"/>
        <w:i w:val="0"/>
        <w:sz w:val="16"/>
      </w:rPr>
    </w:lvl>
  </w:abstractNum>
  <w:abstractNum w:abstractNumId="52" w15:restartNumberingAfterBreak="0">
    <w:nsid w:val="5DB66290"/>
    <w:multiLevelType w:val="hybridMultilevel"/>
    <w:tmpl w:val="56124A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EE07A1A"/>
    <w:multiLevelType w:val="multilevel"/>
    <w:tmpl w:val="CA1ABED2"/>
    <w:name w:val="StandardNumberedList"/>
    <w:lvl w:ilvl="0">
      <w:start w:val="1"/>
      <w:numFmt w:val="decimal"/>
      <w:pStyle w:val="OutlineNumbered1"/>
      <w:lvlText w:val="%1."/>
      <w:lvlJc w:val="left"/>
      <w:pPr>
        <w:tabs>
          <w:tab w:val="num" w:pos="520"/>
        </w:tabs>
        <w:ind w:left="520" w:hanging="520"/>
      </w:pPr>
      <w:rPr>
        <w:rFonts w:ascii="Calibri Light" w:eastAsia="Times New Roman" w:hAnsi="Calibri Light" w:cs="Times New Roman"/>
      </w:r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0CB16EA"/>
    <w:multiLevelType w:val="hybridMultilevel"/>
    <w:tmpl w:val="750CB8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26F0809"/>
    <w:multiLevelType w:val="hybridMultilevel"/>
    <w:tmpl w:val="F0266F66"/>
    <w:lvl w:ilvl="0" w:tplc="FE1AD102">
      <w:start w:val="1"/>
      <w:numFmt w:val="bullet"/>
      <w:lvlText w:val=""/>
      <w:lvlJc w:val="left"/>
      <w:pPr>
        <w:ind w:left="720" w:hanging="360"/>
      </w:pPr>
      <w:rPr>
        <w:rFonts w:ascii="Symbol" w:hAnsi="Symbol"/>
      </w:rPr>
    </w:lvl>
    <w:lvl w:ilvl="1" w:tplc="C6A66508">
      <w:start w:val="1"/>
      <w:numFmt w:val="bullet"/>
      <w:lvlText w:val=""/>
      <w:lvlJc w:val="left"/>
      <w:pPr>
        <w:ind w:left="720" w:hanging="360"/>
      </w:pPr>
      <w:rPr>
        <w:rFonts w:ascii="Symbol" w:hAnsi="Symbol"/>
      </w:rPr>
    </w:lvl>
    <w:lvl w:ilvl="2" w:tplc="632290D8">
      <w:start w:val="1"/>
      <w:numFmt w:val="bullet"/>
      <w:lvlText w:val=""/>
      <w:lvlJc w:val="left"/>
      <w:pPr>
        <w:ind w:left="720" w:hanging="360"/>
      </w:pPr>
      <w:rPr>
        <w:rFonts w:ascii="Symbol" w:hAnsi="Symbol"/>
      </w:rPr>
    </w:lvl>
    <w:lvl w:ilvl="3" w:tplc="25D6C57C">
      <w:start w:val="1"/>
      <w:numFmt w:val="bullet"/>
      <w:lvlText w:val=""/>
      <w:lvlJc w:val="left"/>
      <w:pPr>
        <w:ind w:left="720" w:hanging="360"/>
      </w:pPr>
      <w:rPr>
        <w:rFonts w:ascii="Symbol" w:hAnsi="Symbol"/>
      </w:rPr>
    </w:lvl>
    <w:lvl w:ilvl="4" w:tplc="C4C08DC6">
      <w:start w:val="1"/>
      <w:numFmt w:val="bullet"/>
      <w:lvlText w:val=""/>
      <w:lvlJc w:val="left"/>
      <w:pPr>
        <w:ind w:left="720" w:hanging="360"/>
      </w:pPr>
      <w:rPr>
        <w:rFonts w:ascii="Symbol" w:hAnsi="Symbol"/>
      </w:rPr>
    </w:lvl>
    <w:lvl w:ilvl="5" w:tplc="5FFA57E6">
      <w:start w:val="1"/>
      <w:numFmt w:val="bullet"/>
      <w:lvlText w:val=""/>
      <w:lvlJc w:val="left"/>
      <w:pPr>
        <w:ind w:left="720" w:hanging="360"/>
      </w:pPr>
      <w:rPr>
        <w:rFonts w:ascii="Symbol" w:hAnsi="Symbol"/>
      </w:rPr>
    </w:lvl>
    <w:lvl w:ilvl="6" w:tplc="ACC0F024">
      <w:start w:val="1"/>
      <w:numFmt w:val="bullet"/>
      <w:lvlText w:val=""/>
      <w:lvlJc w:val="left"/>
      <w:pPr>
        <w:ind w:left="720" w:hanging="360"/>
      </w:pPr>
      <w:rPr>
        <w:rFonts w:ascii="Symbol" w:hAnsi="Symbol"/>
      </w:rPr>
    </w:lvl>
    <w:lvl w:ilvl="7" w:tplc="4DF8778E">
      <w:start w:val="1"/>
      <w:numFmt w:val="bullet"/>
      <w:lvlText w:val=""/>
      <w:lvlJc w:val="left"/>
      <w:pPr>
        <w:ind w:left="720" w:hanging="360"/>
      </w:pPr>
      <w:rPr>
        <w:rFonts w:ascii="Symbol" w:hAnsi="Symbol"/>
      </w:rPr>
    </w:lvl>
    <w:lvl w:ilvl="8" w:tplc="08ACEBEC">
      <w:start w:val="1"/>
      <w:numFmt w:val="bullet"/>
      <w:lvlText w:val=""/>
      <w:lvlJc w:val="left"/>
      <w:pPr>
        <w:ind w:left="720" w:hanging="360"/>
      </w:pPr>
      <w:rPr>
        <w:rFonts w:ascii="Symbol" w:hAnsi="Symbol"/>
      </w:rPr>
    </w:lvl>
  </w:abstractNum>
  <w:abstractNum w:abstractNumId="56" w15:restartNumberingAfterBreak="0">
    <w:nsid w:val="636440E6"/>
    <w:multiLevelType w:val="multilevel"/>
    <w:tmpl w:val="D2C0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5FA65A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8C64AE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9B17A3F"/>
    <w:multiLevelType w:val="multilevel"/>
    <w:tmpl w:val="3D181B2C"/>
    <w:styleLink w:val="1ai"/>
    <w:lvl w:ilvl="0">
      <w:start w:val="1"/>
      <w:numFmt w:val="bullet"/>
      <w:lvlText w:val=""/>
      <w:lvlJc w:val="left"/>
      <w:pPr>
        <w:ind w:left="0" w:firstLine="0"/>
      </w:pPr>
      <w:rPr>
        <w:rFonts w:ascii="Symbol" w:hAnsi="Symbol"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0" w15:restartNumberingAfterBreak="0">
    <w:nsid w:val="6B2A68B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BD931F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6DCE44E2"/>
    <w:multiLevelType w:val="hybridMultilevel"/>
    <w:tmpl w:val="1B446BE4"/>
    <w:lvl w:ilvl="0" w:tplc="CFD0D5B4">
      <w:numFmt w:val="bullet"/>
      <w:lvlText w:val=""/>
      <w:lvlJc w:val="left"/>
      <w:pPr>
        <w:ind w:left="720" w:hanging="360"/>
      </w:pPr>
      <w:rPr>
        <w:rFonts w:ascii="Symbol" w:eastAsiaTheme="minorHAnsi" w:hAnsi="Symbol"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DDA1C3A"/>
    <w:multiLevelType w:val="hybridMultilevel"/>
    <w:tmpl w:val="79C86BBE"/>
    <w:lvl w:ilvl="0" w:tplc="BF7689C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0AC4CD1"/>
    <w:multiLevelType w:val="hybridMultilevel"/>
    <w:tmpl w:val="73F27702"/>
    <w:lvl w:ilvl="0" w:tplc="F684B120">
      <w:start w:val="1"/>
      <w:numFmt w:val="bullet"/>
      <w:lvlText w:val=""/>
      <w:lvlJc w:val="left"/>
      <w:pPr>
        <w:ind w:left="1080" w:hanging="360"/>
      </w:pPr>
      <w:rPr>
        <w:rFonts w:ascii="Symbol" w:hAnsi="Symbol"/>
      </w:rPr>
    </w:lvl>
    <w:lvl w:ilvl="1" w:tplc="A530B30C">
      <w:start w:val="1"/>
      <w:numFmt w:val="bullet"/>
      <w:lvlText w:val=""/>
      <w:lvlJc w:val="left"/>
      <w:pPr>
        <w:ind w:left="1080" w:hanging="360"/>
      </w:pPr>
      <w:rPr>
        <w:rFonts w:ascii="Symbol" w:hAnsi="Symbol"/>
      </w:rPr>
    </w:lvl>
    <w:lvl w:ilvl="2" w:tplc="55260C60">
      <w:start w:val="1"/>
      <w:numFmt w:val="bullet"/>
      <w:lvlText w:val=""/>
      <w:lvlJc w:val="left"/>
      <w:pPr>
        <w:ind w:left="1080" w:hanging="360"/>
      </w:pPr>
      <w:rPr>
        <w:rFonts w:ascii="Symbol" w:hAnsi="Symbol"/>
      </w:rPr>
    </w:lvl>
    <w:lvl w:ilvl="3" w:tplc="13DAF624">
      <w:start w:val="1"/>
      <w:numFmt w:val="bullet"/>
      <w:lvlText w:val=""/>
      <w:lvlJc w:val="left"/>
      <w:pPr>
        <w:ind w:left="1080" w:hanging="360"/>
      </w:pPr>
      <w:rPr>
        <w:rFonts w:ascii="Symbol" w:hAnsi="Symbol"/>
      </w:rPr>
    </w:lvl>
    <w:lvl w:ilvl="4" w:tplc="8E9ED84A">
      <w:start w:val="1"/>
      <w:numFmt w:val="bullet"/>
      <w:lvlText w:val=""/>
      <w:lvlJc w:val="left"/>
      <w:pPr>
        <w:ind w:left="1080" w:hanging="360"/>
      </w:pPr>
      <w:rPr>
        <w:rFonts w:ascii="Symbol" w:hAnsi="Symbol"/>
      </w:rPr>
    </w:lvl>
    <w:lvl w:ilvl="5" w:tplc="0972A92E">
      <w:start w:val="1"/>
      <w:numFmt w:val="bullet"/>
      <w:lvlText w:val=""/>
      <w:lvlJc w:val="left"/>
      <w:pPr>
        <w:ind w:left="1080" w:hanging="360"/>
      </w:pPr>
      <w:rPr>
        <w:rFonts w:ascii="Symbol" w:hAnsi="Symbol"/>
      </w:rPr>
    </w:lvl>
    <w:lvl w:ilvl="6" w:tplc="F5A43D5E">
      <w:start w:val="1"/>
      <w:numFmt w:val="bullet"/>
      <w:lvlText w:val=""/>
      <w:lvlJc w:val="left"/>
      <w:pPr>
        <w:ind w:left="1080" w:hanging="360"/>
      </w:pPr>
      <w:rPr>
        <w:rFonts w:ascii="Symbol" w:hAnsi="Symbol"/>
      </w:rPr>
    </w:lvl>
    <w:lvl w:ilvl="7" w:tplc="AAAE5BDC">
      <w:start w:val="1"/>
      <w:numFmt w:val="bullet"/>
      <w:lvlText w:val=""/>
      <w:lvlJc w:val="left"/>
      <w:pPr>
        <w:ind w:left="1080" w:hanging="360"/>
      </w:pPr>
      <w:rPr>
        <w:rFonts w:ascii="Symbol" w:hAnsi="Symbol"/>
      </w:rPr>
    </w:lvl>
    <w:lvl w:ilvl="8" w:tplc="60FE7FE6">
      <w:start w:val="1"/>
      <w:numFmt w:val="bullet"/>
      <w:lvlText w:val=""/>
      <w:lvlJc w:val="left"/>
      <w:pPr>
        <w:ind w:left="1080" w:hanging="360"/>
      </w:pPr>
      <w:rPr>
        <w:rFonts w:ascii="Symbol" w:hAnsi="Symbol"/>
      </w:rPr>
    </w:lvl>
  </w:abstractNum>
  <w:abstractNum w:abstractNumId="65" w15:restartNumberingAfterBreak="0">
    <w:nsid w:val="71046D22"/>
    <w:multiLevelType w:val="multilevel"/>
    <w:tmpl w:val="139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21E3B6D"/>
    <w:multiLevelType w:val="hybridMultilevel"/>
    <w:tmpl w:val="22FEBFD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67" w15:restartNumberingAfterBreak="0">
    <w:nsid w:val="73845F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431FF3"/>
    <w:multiLevelType w:val="multilevel"/>
    <w:tmpl w:val="D7102EEA"/>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794" w:hanging="437"/>
      </w:pPr>
      <w:rPr>
        <w:rFonts w:hint="default"/>
      </w:rPr>
    </w:lvl>
    <w:lvl w:ilvl="2">
      <w:start w:val="1"/>
      <w:numFmt w:val="decimal"/>
      <w:pStyle w:val="Heading3"/>
      <w:lvlText w:val="%1.%2.%3."/>
      <w:lvlJc w:val="left"/>
      <w:pPr>
        <w:ind w:left="1071" w:hanging="357"/>
      </w:pPr>
      <w:rPr>
        <w:rFonts w:hint="default"/>
        <w:b/>
        <w:bCs w:val="0"/>
        <w:i w:val="0"/>
        <w:iCs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9" w15:restartNumberingAfterBreak="0">
    <w:nsid w:val="77DD2EEC"/>
    <w:multiLevelType w:val="hybridMultilevel"/>
    <w:tmpl w:val="930CBA98"/>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786B64F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7D6B5224"/>
    <w:multiLevelType w:val="multilevel"/>
    <w:tmpl w:val="1110EBB4"/>
    <w:lvl w:ilvl="0">
      <w:start w:val="1"/>
      <w:numFmt w:val="bullet"/>
      <w:pStyle w:val="Bullet"/>
      <w:lvlText w:val=""/>
      <w:lvlJc w:val="left"/>
      <w:pPr>
        <w:tabs>
          <w:tab w:val="num" w:pos="520"/>
        </w:tabs>
        <w:ind w:left="520" w:hanging="520"/>
      </w:pPr>
      <w:rPr>
        <w:rFonts w:ascii="Symbol" w:hAnsi="Symbol" w:hint="default"/>
        <w:color w:val="auto"/>
        <w:sz w:val="22"/>
        <w:szCs w:val="22"/>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ascii="Calibri Light" w:hAnsi="Calibri Light" w:cs="Calibri Light"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7DF0471C"/>
    <w:multiLevelType w:val="multilevel"/>
    <w:tmpl w:val="15969C76"/>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4" w15:restartNumberingAfterBreak="0">
    <w:nsid w:val="7ED90D47"/>
    <w:multiLevelType w:val="hybridMultilevel"/>
    <w:tmpl w:val="1B2A99A0"/>
    <w:lvl w:ilvl="0" w:tplc="BF466076">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705851">
    <w:abstractNumId w:val="27"/>
  </w:num>
  <w:num w:numId="2" w16cid:durableId="1274632293">
    <w:abstractNumId w:val="3"/>
  </w:num>
  <w:num w:numId="3" w16cid:durableId="1921476926">
    <w:abstractNumId w:val="30"/>
  </w:num>
  <w:num w:numId="4" w16cid:durableId="2059041175">
    <w:abstractNumId w:val="8"/>
  </w:num>
  <w:num w:numId="5" w16cid:durableId="1627277477">
    <w:abstractNumId w:val="12"/>
  </w:num>
  <w:num w:numId="6" w16cid:durableId="164170867">
    <w:abstractNumId w:val="47"/>
  </w:num>
  <w:num w:numId="7" w16cid:durableId="1257401093">
    <w:abstractNumId w:val="28"/>
    <w:lvlOverride w:ilvl="0">
      <w:lvl w:ilvl="0" w:tplc="FFFFFFFF">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plc="FFFFFFFF" w:tentative="1">
        <w:start w:val="1"/>
        <w:numFmt w:val="lowerLetter"/>
        <w:lvlText w:val="%2."/>
        <w:lvlJc w:val="left"/>
        <w:pPr>
          <w:ind w:left="1080" w:hanging="360"/>
        </w:pPr>
      </w:lvl>
    </w:lvlOverride>
    <w:lvlOverride w:ilvl="2">
      <w:lvl w:ilvl="2" w:tplc="FFFFFFFF" w:tentative="1">
        <w:start w:val="1"/>
        <w:numFmt w:val="lowerRoman"/>
        <w:lvlText w:val="%3."/>
        <w:lvlJc w:val="right"/>
        <w:pPr>
          <w:ind w:left="1800" w:hanging="180"/>
        </w:pPr>
      </w:lvl>
    </w:lvlOverride>
    <w:lvlOverride w:ilvl="3">
      <w:lvl w:ilvl="3" w:tplc="FFFFFFFF" w:tentative="1">
        <w:start w:val="1"/>
        <w:numFmt w:val="decimal"/>
        <w:lvlText w:val="%4."/>
        <w:lvlJc w:val="left"/>
        <w:pPr>
          <w:ind w:left="2520" w:hanging="360"/>
        </w:pPr>
      </w:lvl>
    </w:lvlOverride>
    <w:lvlOverride w:ilvl="4">
      <w:lvl w:ilvl="4" w:tplc="FFFFFFFF" w:tentative="1">
        <w:start w:val="1"/>
        <w:numFmt w:val="lowerLetter"/>
        <w:lvlText w:val="%5."/>
        <w:lvlJc w:val="left"/>
        <w:pPr>
          <w:ind w:left="3240" w:hanging="360"/>
        </w:pPr>
      </w:lvl>
    </w:lvlOverride>
    <w:lvlOverride w:ilvl="5">
      <w:lvl w:ilvl="5" w:tplc="FFFFFFFF" w:tentative="1">
        <w:start w:val="1"/>
        <w:numFmt w:val="lowerRoman"/>
        <w:lvlText w:val="%6."/>
        <w:lvlJc w:val="right"/>
        <w:pPr>
          <w:ind w:left="3960" w:hanging="180"/>
        </w:pPr>
      </w:lvl>
    </w:lvlOverride>
    <w:lvlOverride w:ilvl="6">
      <w:lvl w:ilvl="6" w:tplc="FFFFFFFF" w:tentative="1">
        <w:start w:val="1"/>
        <w:numFmt w:val="decimal"/>
        <w:lvlText w:val="%7."/>
        <w:lvlJc w:val="left"/>
        <w:pPr>
          <w:ind w:left="4680" w:hanging="360"/>
        </w:pPr>
      </w:lvl>
    </w:lvlOverride>
    <w:lvlOverride w:ilvl="7">
      <w:lvl w:ilvl="7" w:tplc="FFFFFFFF" w:tentative="1">
        <w:start w:val="1"/>
        <w:numFmt w:val="lowerLetter"/>
        <w:lvlText w:val="%8."/>
        <w:lvlJc w:val="left"/>
        <w:pPr>
          <w:ind w:left="5400" w:hanging="360"/>
        </w:pPr>
      </w:lvl>
    </w:lvlOverride>
    <w:lvlOverride w:ilvl="8">
      <w:lvl w:ilvl="8" w:tplc="FFFFFFFF" w:tentative="1">
        <w:start w:val="1"/>
        <w:numFmt w:val="lowerRoman"/>
        <w:lvlText w:val="%9."/>
        <w:lvlJc w:val="right"/>
        <w:pPr>
          <w:ind w:left="6120" w:hanging="180"/>
        </w:pPr>
      </w:lvl>
    </w:lvlOverride>
  </w:num>
  <w:num w:numId="8" w16cid:durableId="471099185">
    <w:abstractNumId w:val="14"/>
  </w:num>
  <w:num w:numId="9" w16cid:durableId="365713946">
    <w:abstractNumId w:val="5"/>
  </w:num>
  <w:num w:numId="10" w16cid:durableId="1113017693">
    <w:abstractNumId w:val="24"/>
  </w:num>
  <w:num w:numId="11" w16cid:durableId="314263173">
    <w:abstractNumId w:val="73"/>
  </w:num>
  <w:num w:numId="12" w16cid:durableId="1980571085">
    <w:abstractNumId w:val="47"/>
  </w:num>
  <w:num w:numId="13" w16cid:durableId="1901014173">
    <w:abstractNumId w:val="24"/>
  </w:num>
  <w:num w:numId="14" w16cid:durableId="2094625754">
    <w:abstractNumId w:val="28"/>
  </w:num>
  <w:num w:numId="15" w16cid:durableId="383523972">
    <w:abstractNumId w:val="24"/>
  </w:num>
  <w:num w:numId="16" w16cid:durableId="1994137259">
    <w:abstractNumId w:val="7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2610204">
    <w:abstractNumId w:val="7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956778">
    <w:abstractNumId w:val="3"/>
  </w:num>
  <w:num w:numId="19" w16cid:durableId="237328305">
    <w:abstractNumId w:val="27"/>
  </w:num>
  <w:num w:numId="20" w16cid:durableId="82798228">
    <w:abstractNumId w:val="27"/>
  </w:num>
  <w:num w:numId="21" w16cid:durableId="1758791420">
    <w:abstractNumId w:val="27"/>
  </w:num>
  <w:num w:numId="22" w16cid:durableId="1799690060">
    <w:abstractNumId w:val="27"/>
  </w:num>
  <w:num w:numId="23" w16cid:durableId="514732703">
    <w:abstractNumId w:val="27"/>
  </w:num>
  <w:num w:numId="24" w16cid:durableId="2022855012">
    <w:abstractNumId w:val="28"/>
    <w:lvlOverride w:ilvl="0">
      <w:lvl w:ilvl="0" w:tplc="FFFFFFFF">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plc="FFFFFFFF" w:tentative="1">
        <w:start w:val="1"/>
        <w:numFmt w:val="lowerLetter"/>
        <w:lvlText w:val="%2."/>
        <w:lvlJc w:val="left"/>
        <w:pPr>
          <w:ind w:left="1080" w:hanging="360"/>
        </w:pPr>
      </w:lvl>
    </w:lvlOverride>
    <w:lvlOverride w:ilvl="2">
      <w:lvl w:ilvl="2" w:tplc="FFFFFFFF" w:tentative="1">
        <w:start w:val="1"/>
        <w:numFmt w:val="lowerRoman"/>
        <w:lvlText w:val="%3."/>
        <w:lvlJc w:val="right"/>
        <w:pPr>
          <w:ind w:left="1800" w:hanging="180"/>
        </w:pPr>
      </w:lvl>
    </w:lvlOverride>
    <w:lvlOverride w:ilvl="3">
      <w:lvl w:ilvl="3" w:tplc="FFFFFFFF" w:tentative="1">
        <w:start w:val="1"/>
        <w:numFmt w:val="decimal"/>
        <w:lvlText w:val="%4."/>
        <w:lvlJc w:val="left"/>
        <w:pPr>
          <w:ind w:left="2520" w:hanging="360"/>
        </w:pPr>
      </w:lvl>
    </w:lvlOverride>
    <w:lvlOverride w:ilvl="4">
      <w:lvl w:ilvl="4" w:tplc="FFFFFFFF" w:tentative="1">
        <w:start w:val="1"/>
        <w:numFmt w:val="lowerLetter"/>
        <w:lvlText w:val="%5."/>
        <w:lvlJc w:val="left"/>
        <w:pPr>
          <w:ind w:left="3240" w:hanging="360"/>
        </w:pPr>
      </w:lvl>
    </w:lvlOverride>
    <w:lvlOverride w:ilvl="5">
      <w:lvl w:ilvl="5" w:tplc="FFFFFFFF" w:tentative="1">
        <w:start w:val="1"/>
        <w:numFmt w:val="lowerRoman"/>
        <w:lvlText w:val="%6."/>
        <w:lvlJc w:val="right"/>
        <w:pPr>
          <w:ind w:left="3960" w:hanging="180"/>
        </w:pPr>
      </w:lvl>
    </w:lvlOverride>
    <w:lvlOverride w:ilvl="6">
      <w:lvl w:ilvl="6" w:tplc="FFFFFFFF" w:tentative="1">
        <w:start w:val="1"/>
        <w:numFmt w:val="decimal"/>
        <w:lvlText w:val="%7."/>
        <w:lvlJc w:val="left"/>
        <w:pPr>
          <w:ind w:left="4680" w:hanging="360"/>
        </w:pPr>
      </w:lvl>
    </w:lvlOverride>
    <w:lvlOverride w:ilvl="7">
      <w:lvl w:ilvl="7" w:tplc="FFFFFFFF" w:tentative="1">
        <w:start w:val="1"/>
        <w:numFmt w:val="lowerLetter"/>
        <w:lvlText w:val="%8."/>
        <w:lvlJc w:val="left"/>
        <w:pPr>
          <w:ind w:left="5400" w:hanging="360"/>
        </w:pPr>
      </w:lvl>
    </w:lvlOverride>
    <w:lvlOverride w:ilvl="8">
      <w:lvl w:ilvl="8" w:tplc="FFFFFFFF" w:tentative="1">
        <w:start w:val="1"/>
        <w:numFmt w:val="lowerRoman"/>
        <w:lvlText w:val="%9."/>
        <w:lvlJc w:val="right"/>
        <w:pPr>
          <w:ind w:left="6120" w:hanging="180"/>
        </w:pPr>
      </w:lvl>
    </w:lvlOverride>
  </w:num>
  <w:num w:numId="25" w16cid:durableId="1339190521">
    <w:abstractNumId w:val="28"/>
  </w:num>
  <w:num w:numId="26" w16cid:durableId="490295738">
    <w:abstractNumId w:val="14"/>
  </w:num>
  <w:num w:numId="27" w16cid:durableId="1568151396">
    <w:abstractNumId w:val="14"/>
  </w:num>
  <w:num w:numId="28" w16cid:durableId="1596985346">
    <w:abstractNumId w:val="14"/>
  </w:num>
  <w:num w:numId="29" w16cid:durableId="1554150298">
    <w:abstractNumId w:val="12"/>
  </w:num>
  <w:num w:numId="30" w16cid:durableId="2099792931">
    <w:abstractNumId w:val="30"/>
  </w:num>
  <w:num w:numId="31" w16cid:durableId="1922134523">
    <w:abstractNumId w:val="47"/>
  </w:num>
  <w:num w:numId="32" w16cid:durableId="1967006849">
    <w:abstractNumId w:val="47"/>
  </w:num>
  <w:num w:numId="33" w16cid:durableId="506794999">
    <w:abstractNumId w:val="47"/>
  </w:num>
  <w:num w:numId="34" w16cid:durableId="1572961494">
    <w:abstractNumId w:val="8"/>
  </w:num>
  <w:num w:numId="35" w16cid:durableId="1244954075">
    <w:abstractNumId w:val="24"/>
  </w:num>
  <w:num w:numId="36" w16cid:durableId="1116675277">
    <w:abstractNumId w:val="31"/>
  </w:num>
  <w:num w:numId="37" w16cid:durableId="1533306441">
    <w:abstractNumId w:val="63"/>
  </w:num>
  <w:num w:numId="38" w16cid:durableId="132218328">
    <w:abstractNumId w:val="44"/>
  </w:num>
  <w:num w:numId="39" w16cid:durableId="79765207">
    <w:abstractNumId w:val="71"/>
  </w:num>
  <w:num w:numId="40" w16cid:durableId="1238203871">
    <w:abstractNumId w:val="66"/>
  </w:num>
  <w:num w:numId="41" w16cid:durableId="297149344">
    <w:abstractNumId w:val="62"/>
  </w:num>
  <w:num w:numId="42" w16cid:durableId="661814260">
    <w:abstractNumId w:val="40"/>
  </w:num>
  <w:num w:numId="43" w16cid:durableId="1655375545">
    <w:abstractNumId w:val="27"/>
    <w:lvlOverride w:ilvl="0">
      <w:lvl w:ilvl="0">
        <w:start w:val="1"/>
        <w:numFmt w:val="bullet"/>
        <w:lvlRestart w:val="0"/>
        <w:lvlText w:val="•"/>
        <w:lvlJc w:val="left"/>
        <w:pPr>
          <w:tabs>
            <w:tab w:val="num" w:pos="283"/>
          </w:tabs>
          <w:ind w:left="283" w:hanging="283"/>
        </w:pPr>
        <w:rPr>
          <w:rFonts w:ascii="Times New Roman" w:hAnsi="Times New Roman" w:cs="Times New Roman" w:hint="default"/>
          <w:b w:val="0"/>
          <w:i w:val="0"/>
          <w:color w:val="auto"/>
        </w:rPr>
      </w:lvl>
    </w:lvlOverride>
  </w:num>
  <w:num w:numId="44" w16cid:durableId="20255536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30775466">
    <w:abstractNumId w:val="53"/>
  </w:num>
  <w:num w:numId="46" w16cid:durableId="660157304">
    <w:abstractNumId w:val="74"/>
  </w:num>
  <w:num w:numId="47" w16cid:durableId="1866207548">
    <w:abstractNumId w:val="35"/>
  </w:num>
  <w:num w:numId="48" w16cid:durableId="107283916">
    <w:abstractNumId w:val="72"/>
  </w:num>
  <w:num w:numId="49" w16cid:durableId="10752081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06670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6940459">
    <w:abstractNumId w:val="71"/>
  </w:num>
  <w:num w:numId="52" w16cid:durableId="1438789461">
    <w:abstractNumId w:val="39"/>
  </w:num>
  <w:num w:numId="53" w16cid:durableId="215553509">
    <w:abstractNumId w:val="42"/>
  </w:num>
  <w:num w:numId="54" w16cid:durableId="704914229">
    <w:abstractNumId w:val="64"/>
  </w:num>
  <w:num w:numId="55" w16cid:durableId="440151100">
    <w:abstractNumId w:val="46"/>
  </w:num>
  <w:num w:numId="56" w16cid:durableId="1837332918">
    <w:abstractNumId w:val="71"/>
  </w:num>
  <w:num w:numId="57" w16cid:durableId="1287932100">
    <w:abstractNumId w:val="54"/>
  </w:num>
  <w:num w:numId="58" w16cid:durableId="1049955498">
    <w:abstractNumId w:val="25"/>
  </w:num>
  <w:num w:numId="59" w16cid:durableId="799954461">
    <w:abstractNumId w:val="33"/>
  </w:num>
  <w:num w:numId="60" w16cid:durableId="1595746355">
    <w:abstractNumId w:val="48"/>
  </w:num>
  <w:num w:numId="61" w16cid:durableId="1783960661">
    <w:abstractNumId w:val="59"/>
  </w:num>
  <w:num w:numId="62" w16cid:durableId="156649686">
    <w:abstractNumId w:val="71"/>
  </w:num>
  <w:num w:numId="63" w16cid:durableId="221868719">
    <w:abstractNumId w:val="45"/>
  </w:num>
  <w:num w:numId="64" w16cid:durableId="986084021">
    <w:abstractNumId w:val="10"/>
  </w:num>
  <w:num w:numId="65" w16cid:durableId="1053457232">
    <w:abstractNumId w:val="71"/>
  </w:num>
  <w:num w:numId="66" w16cid:durableId="894973378">
    <w:abstractNumId w:val="38"/>
  </w:num>
  <w:num w:numId="67" w16cid:durableId="1715888509">
    <w:abstractNumId w:val="18"/>
  </w:num>
  <w:num w:numId="68" w16cid:durableId="309022801">
    <w:abstractNumId w:val="32"/>
  </w:num>
  <w:num w:numId="69" w16cid:durableId="921334789">
    <w:abstractNumId w:val="21"/>
  </w:num>
  <w:num w:numId="70" w16cid:durableId="1806393545">
    <w:abstractNumId w:val="43"/>
  </w:num>
  <w:num w:numId="71" w16cid:durableId="858860269">
    <w:abstractNumId w:val="23"/>
  </w:num>
  <w:num w:numId="72" w16cid:durableId="539169884">
    <w:abstractNumId w:val="13"/>
  </w:num>
  <w:num w:numId="73" w16cid:durableId="1458793781">
    <w:abstractNumId w:val="9"/>
  </w:num>
  <w:num w:numId="74" w16cid:durableId="1394083622">
    <w:abstractNumId w:val="34"/>
  </w:num>
  <w:num w:numId="75" w16cid:durableId="916553322">
    <w:abstractNumId w:val="2"/>
  </w:num>
  <w:num w:numId="76" w16cid:durableId="1770659408">
    <w:abstractNumId w:val="67"/>
  </w:num>
  <w:num w:numId="77" w16cid:durableId="1209684958">
    <w:abstractNumId w:val="26"/>
  </w:num>
  <w:num w:numId="78" w16cid:durableId="401753196">
    <w:abstractNumId w:val="65"/>
  </w:num>
  <w:num w:numId="79" w16cid:durableId="918563318">
    <w:abstractNumId w:val="11"/>
  </w:num>
  <w:num w:numId="80" w16cid:durableId="1085569054">
    <w:abstractNumId w:val="61"/>
  </w:num>
  <w:num w:numId="81" w16cid:durableId="1816675117">
    <w:abstractNumId w:val="70"/>
  </w:num>
  <w:num w:numId="82" w16cid:durableId="400639955">
    <w:abstractNumId w:val="15"/>
  </w:num>
  <w:num w:numId="83" w16cid:durableId="363868981">
    <w:abstractNumId w:val="29"/>
  </w:num>
  <w:num w:numId="84" w16cid:durableId="1505393727">
    <w:abstractNumId w:val="60"/>
  </w:num>
  <w:num w:numId="85" w16cid:durableId="583031836">
    <w:abstractNumId w:val="36"/>
  </w:num>
  <w:num w:numId="86" w16cid:durableId="1326980683">
    <w:abstractNumId w:val="50"/>
  </w:num>
  <w:num w:numId="87" w16cid:durableId="514804171">
    <w:abstractNumId w:val="51"/>
  </w:num>
  <w:num w:numId="88" w16cid:durableId="659819445">
    <w:abstractNumId w:val="1"/>
  </w:num>
  <w:num w:numId="89" w16cid:durableId="839782975">
    <w:abstractNumId w:val="17"/>
  </w:num>
  <w:num w:numId="90" w16cid:durableId="1836215003">
    <w:abstractNumId w:val="41"/>
  </w:num>
  <w:num w:numId="91" w16cid:durableId="1186210594">
    <w:abstractNumId w:val="69"/>
  </w:num>
  <w:num w:numId="92" w16cid:durableId="1992975807">
    <w:abstractNumId w:val="68"/>
  </w:num>
  <w:num w:numId="93" w16cid:durableId="389428003">
    <w:abstractNumId w:val="16"/>
  </w:num>
  <w:num w:numId="94" w16cid:durableId="2056853294">
    <w:abstractNumId w:val="55"/>
  </w:num>
  <w:num w:numId="95" w16cid:durableId="2090080629">
    <w:abstractNumId w:val="4"/>
  </w:num>
  <w:num w:numId="96" w16cid:durableId="1645819023">
    <w:abstractNumId w:val="20"/>
  </w:num>
  <w:num w:numId="97" w16cid:durableId="166553553">
    <w:abstractNumId w:val="49"/>
  </w:num>
  <w:num w:numId="98" w16cid:durableId="102381128">
    <w:abstractNumId w:val="7"/>
  </w:num>
  <w:num w:numId="99" w16cid:durableId="832375685">
    <w:abstractNumId w:val="37"/>
  </w:num>
  <w:num w:numId="100" w16cid:durableId="2052609098">
    <w:abstractNumId w:val="23"/>
    <w:lvlOverride w:ilvl="0">
      <w:startOverride w:val="1"/>
    </w:lvlOverride>
  </w:num>
  <w:num w:numId="101" w16cid:durableId="925652052">
    <w:abstractNumId w:val="19"/>
  </w:num>
  <w:num w:numId="102" w16cid:durableId="1949241824">
    <w:abstractNumId w:val="0"/>
    <w:lvlOverride w:ilvl="0">
      <w:startOverride w:val="1"/>
    </w:lvlOverride>
  </w:num>
  <w:num w:numId="103" w16cid:durableId="1211530119">
    <w:abstractNumId w:val="56"/>
  </w:num>
  <w:num w:numId="104" w16cid:durableId="446242553">
    <w:abstractNumId w:val="68"/>
  </w:num>
  <w:num w:numId="105" w16cid:durableId="1023049260">
    <w:abstractNumId w:val="23"/>
    <w:lvlOverride w:ilvl="0">
      <w:startOverride w:val="1"/>
    </w:lvlOverride>
  </w:num>
  <w:num w:numId="106" w16cid:durableId="14475807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16962468">
    <w:abstractNumId w:val="68"/>
  </w:num>
  <w:num w:numId="108" w16cid:durableId="1620918582">
    <w:abstractNumId w:val="22"/>
  </w:num>
  <w:num w:numId="109" w16cid:durableId="1163738244">
    <w:abstractNumId w:val="68"/>
  </w:num>
  <w:num w:numId="110" w16cid:durableId="2086341694">
    <w:abstractNumId w:val="68"/>
  </w:num>
  <w:num w:numId="111" w16cid:durableId="1376853190">
    <w:abstractNumId w:val="6"/>
  </w:num>
  <w:num w:numId="112" w16cid:durableId="542913155">
    <w:abstractNumId w:val="6"/>
    <w:lvlOverride w:ilvl="0">
      <w:startOverride w:val="1"/>
    </w:lvlOverride>
  </w:num>
  <w:num w:numId="113" w16cid:durableId="460462088">
    <w:abstractNumId w:val="23"/>
    <w:lvlOverride w:ilvl="0">
      <w:startOverride w:val="1"/>
    </w:lvlOverride>
  </w:num>
  <w:num w:numId="114" w16cid:durableId="9922248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313805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042254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7745997">
    <w:abstractNumId w:val="27"/>
    <w:lvlOverride w:ilvl="0">
      <w:lvl w:ilvl="0">
        <w:start w:val="1"/>
        <w:numFmt w:val="bullet"/>
        <w:lvlRestart w:val="0"/>
        <w:lvlText w:val="•"/>
        <w:lvlJc w:val="left"/>
        <w:pPr>
          <w:tabs>
            <w:tab w:val="num" w:pos="283"/>
          </w:tabs>
          <w:ind w:left="283" w:hanging="283"/>
        </w:pPr>
        <w:rPr>
          <w:rFonts w:ascii="Times New Roman" w:hAnsi="Times New Roman" w:cs="Times New Roman" w:hint="default"/>
          <w:b w:val="0"/>
          <w:i w:val="0"/>
          <w:color w:val="auto"/>
        </w:rPr>
      </w:lvl>
    </w:lvlOverride>
  </w:num>
  <w:num w:numId="118" w16cid:durableId="1405300234">
    <w:abstractNumId w:val="5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C1"/>
    <w:rsid w:val="0000003C"/>
    <w:rsid w:val="0000007F"/>
    <w:rsid w:val="000000F8"/>
    <w:rsid w:val="0000012A"/>
    <w:rsid w:val="000001D5"/>
    <w:rsid w:val="0000020A"/>
    <w:rsid w:val="0000024E"/>
    <w:rsid w:val="0000029A"/>
    <w:rsid w:val="000002D1"/>
    <w:rsid w:val="000002DA"/>
    <w:rsid w:val="000003F6"/>
    <w:rsid w:val="0000042A"/>
    <w:rsid w:val="0000043D"/>
    <w:rsid w:val="00000485"/>
    <w:rsid w:val="000004CC"/>
    <w:rsid w:val="000005B0"/>
    <w:rsid w:val="000005F7"/>
    <w:rsid w:val="00000605"/>
    <w:rsid w:val="000006E3"/>
    <w:rsid w:val="00000883"/>
    <w:rsid w:val="000008ED"/>
    <w:rsid w:val="00000903"/>
    <w:rsid w:val="0000090E"/>
    <w:rsid w:val="000009B5"/>
    <w:rsid w:val="000009CF"/>
    <w:rsid w:val="00000AAB"/>
    <w:rsid w:val="00000B02"/>
    <w:rsid w:val="00000B28"/>
    <w:rsid w:val="00000CB2"/>
    <w:rsid w:val="00000CEE"/>
    <w:rsid w:val="00000D31"/>
    <w:rsid w:val="00000D41"/>
    <w:rsid w:val="00000D64"/>
    <w:rsid w:val="00000D75"/>
    <w:rsid w:val="00000DD3"/>
    <w:rsid w:val="00000E5D"/>
    <w:rsid w:val="00000E88"/>
    <w:rsid w:val="00000F83"/>
    <w:rsid w:val="00000FD2"/>
    <w:rsid w:val="00000FD7"/>
    <w:rsid w:val="0000105F"/>
    <w:rsid w:val="000011C6"/>
    <w:rsid w:val="000011EB"/>
    <w:rsid w:val="0000121E"/>
    <w:rsid w:val="0000124D"/>
    <w:rsid w:val="000012AF"/>
    <w:rsid w:val="00001322"/>
    <w:rsid w:val="00001370"/>
    <w:rsid w:val="00001388"/>
    <w:rsid w:val="000013A0"/>
    <w:rsid w:val="000013B5"/>
    <w:rsid w:val="00001429"/>
    <w:rsid w:val="0000147D"/>
    <w:rsid w:val="000014F4"/>
    <w:rsid w:val="000015AA"/>
    <w:rsid w:val="000015FC"/>
    <w:rsid w:val="00001650"/>
    <w:rsid w:val="000016AC"/>
    <w:rsid w:val="0000171D"/>
    <w:rsid w:val="00001763"/>
    <w:rsid w:val="00001796"/>
    <w:rsid w:val="000017AC"/>
    <w:rsid w:val="00001824"/>
    <w:rsid w:val="00001866"/>
    <w:rsid w:val="00001881"/>
    <w:rsid w:val="000019A1"/>
    <w:rsid w:val="000019A7"/>
    <w:rsid w:val="00001A2F"/>
    <w:rsid w:val="00001A35"/>
    <w:rsid w:val="00001A95"/>
    <w:rsid w:val="00001B8C"/>
    <w:rsid w:val="00001B92"/>
    <w:rsid w:val="00001BA3"/>
    <w:rsid w:val="00001BC9"/>
    <w:rsid w:val="00001BD9"/>
    <w:rsid w:val="00001BE8"/>
    <w:rsid w:val="00001C30"/>
    <w:rsid w:val="00001C82"/>
    <w:rsid w:val="00001C86"/>
    <w:rsid w:val="00001CEA"/>
    <w:rsid w:val="00001D2B"/>
    <w:rsid w:val="00001D36"/>
    <w:rsid w:val="00001D5A"/>
    <w:rsid w:val="00001D85"/>
    <w:rsid w:val="00001DF8"/>
    <w:rsid w:val="00001E12"/>
    <w:rsid w:val="00001EA2"/>
    <w:rsid w:val="00001EF9"/>
    <w:rsid w:val="00001F72"/>
    <w:rsid w:val="00001FAA"/>
    <w:rsid w:val="00001FC4"/>
    <w:rsid w:val="00001FF1"/>
    <w:rsid w:val="00002076"/>
    <w:rsid w:val="000020B7"/>
    <w:rsid w:val="000020DB"/>
    <w:rsid w:val="00002107"/>
    <w:rsid w:val="0000215E"/>
    <w:rsid w:val="0000219E"/>
    <w:rsid w:val="000021A8"/>
    <w:rsid w:val="00002233"/>
    <w:rsid w:val="0000223C"/>
    <w:rsid w:val="000022A3"/>
    <w:rsid w:val="00002307"/>
    <w:rsid w:val="0000239F"/>
    <w:rsid w:val="000023FD"/>
    <w:rsid w:val="00002468"/>
    <w:rsid w:val="0000246A"/>
    <w:rsid w:val="00002483"/>
    <w:rsid w:val="000024B9"/>
    <w:rsid w:val="000024BF"/>
    <w:rsid w:val="000024C9"/>
    <w:rsid w:val="000024DC"/>
    <w:rsid w:val="0000256F"/>
    <w:rsid w:val="0000259E"/>
    <w:rsid w:val="000025BA"/>
    <w:rsid w:val="000027D0"/>
    <w:rsid w:val="000027E7"/>
    <w:rsid w:val="0000282D"/>
    <w:rsid w:val="00002836"/>
    <w:rsid w:val="000028EA"/>
    <w:rsid w:val="000028EC"/>
    <w:rsid w:val="00002AB6"/>
    <w:rsid w:val="00002AC2"/>
    <w:rsid w:val="00002AF1"/>
    <w:rsid w:val="00002B4D"/>
    <w:rsid w:val="00002C45"/>
    <w:rsid w:val="00002C56"/>
    <w:rsid w:val="00002CAA"/>
    <w:rsid w:val="00002CED"/>
    <w:rsid w:val="00002D54"/>
    <w:rsid w:val="00002D63"/>
    <w:rsid w:val="00002DAA"/>
    <w:rsid w:val="00002DAD"/>
    <w:rsid w:val="00002E66"/>
    <w:rsid w:val="00002F0A"/>
    <w:rsid w:val="00002F3C"/>
    <w:rsid w:val="00003018"/>
    <w:rsid w:val="00003039"/>
    <w:rsid w:val="00003108"/>
    <w:rsid w:val="00003128"/>
    <w:rsid w:val="00003179"/>
    <w:rsid w:val="000031B5"/>
    <w:rsid w:val="000031F4"/>
    <w:rsid w:val="00003286"/>
    <w:rsid w:val="0000328A"/>
    <w:rsid w:val="0000334A"/>
    <w:rsid w:val="000033A0"/>
    <w:rsid w:val="000033D0"/>
    <w:rsid w:val="00003402"/>
    <w:rsid w:val="00003476"/>
    <w:rsid w:val="00003478"/>
    <w:rsid w:val="000034FF"/>
    <w:rsid w:val="00003509"/>
    <w:rsid w:val="00003532"/>
    <w:rsid w:val="000035CF"/>
    <w:rsid w:val="0000363E"/>
    <w:rsid w:val="0000368C"/>
    <w:rsid w:val="00003692"/>
    <w:rsid w:val="0000372F"/>
    <w:rsid w:val="000037C5"/>
    <w:rsid w:val="000037EC"/>
    <w:rsid w:val="0000380A"/>
    <w:rsid w:val="00003846"/>
    <w:rsid w:val="00003854"/>
    <w:rsid w:val="0000385A"/>
    <w:rsid w:val="0000399F"/>
    <w:rsid w:val="000039B3"/>
    <w:rsid w:val="00003A21"/>
    <w:rsid w:val="00003A5E"/>
    <w:rsid w:val="00003A6A"/>
    <w:rsid w:val="00003A9F"/>
    <w:rsid w:val="00003B38"/>
    <w:rsid w:val="00003B43"/>
    <w:rsid w:val="00003B6D"/>
    <w:rsid w:val="00003BAE"/>
    <w:rsid w:val="00003C6B"/>
    <w:rsid w:val="00003F09"/>
    <w:rsid w:val="00003F2F"/>
    <w:rsid w:val="00003F36"/>
    <w:rsid w:val="00003F64"/>
    <w:rsid w:val="00003F78"/>
    <w:rsid w:val="00003FBE"/>
    <w:rsid w:val="0000400B"/>
    <w:rsid w:val="0000402E"/>
    <w:rsid w:val="000040FA"/>
    <w:rsid w:val="000040FE"/>
    <w:rsid w:val="0000419B"/>
    <w:rsid w:val="000041DA"/>
    <w:rsid w:val="000042A7"/>
    <w:rsid w:val="0000458D"/>
    <w:rsid w:val="00004600"/>
    <w:rsid w:val="0000460B"/>
    <w:rsid w:val="00004614"/>
    <w:rsid w:val="0000466C"/>
    <w:rsid w:val="000046D3"/>
    <w:rsid w:val="0000474E"/>
    <w:rsid w:val="00004754"/>
    <w:rsid w:val="00004796"/>
    <w:rsid w:val="000047B6"/>
    <w:rsid w:val="0000491D"/>
    <w:rsid w:val="00004948"/>
    <w:rsid w:val="00004975"/>
    <w:rsid w:val="000049DB"/>
    <w:rsid w:val="00004A17"/>
    <w:rsid w:val="00004A83"/>
    <w:rsid w:val="00004ADF"/>
    <w:rsid w:val="00004B35"/>
    <w:rsid w:val="00004B51"/>
    <w:rsid w:val="00004BCC"/>
    <w:rsid w:val="00004C26"/>
    <w:rsid w:val="00004C69"/>
    <w:rsid w:val="00004C95"/>
    <w:rsid w:val="00004CD3"/>
    <w:rsid w:val="00004CF3"/>
    <w:rsid w:val="00004D00"/>
    <w:rsid w:val="00004D17"/>
    <w:rsid w:val="00004D4D"/>
    <w:rsid w:val="00004D66"/>
    <w:rsid w:val="00004E22"/>
    <w:rsid w:val="00004FC9"/>
    <w:rsid w:val="00005087"/>
    <w:rsid w:val="00005094"/>
    <w:rsid w:val="000050DA"/>
    <w:rsid w:val="0000513A"/>
    <w:rsid w:val="000051B8"/>
    <w:rsid w:val="000051E2"/>
    <w:rsid w:val="00005272"/>
    <w:rsid w:val="0000528A"/>
    <w:rsid w:val="000052FB"/>
    <w:rsid w:val="000052FD"/>
    <w:rsid w:val="00005377"/>
    <w:rsid w:val="000053F6"/>
    <w:rsid w:val="000054B3"/>
    <w:rsid w:val="000054DA"/>
    <w:rsid w:val="0000559F"/>
    <w:rsid w:val="000055CC"/>
    <w:rsid w:val="0000565B"/>
    <w:rsid w:val="00005666"/>
    <w:rsid w:val="0000569C"/>
    <w:rsid w:val="00005785"/>
    <w:rsid w:val="000057CB"/>
    <w:rsid w:val="00005847"/>
    <w:rsid w:val="000058E7"/>
    <w:rsid w:val="0000594A"/>
    <w:rsid w:val="00005977"/>
    <w:rsid w:val="00005A81"/>
    <w:rsid w:val="00005AB5"/>
    <w:rsid w:val="00005ABE"/>
    <w:rsid w:val="00005AD3"/>
    <w:rsid w:val="00005B65"/>
    <w:rsid w:val="00005BEF"/>
    <w:rsid w:val="00005C83"/>
    <w:rsid w:val="00005CBD"/>
    <w:rsid w:val="00005DDF"/>
    <w:rsid w:val="00005E52"/>
    <w:rsid w:val="00005E68"/>
    <w:rsid w:val="00005F48"/>
    <w:rsid w:val="00005F4F"/>
    <w:rsid w:val="00005F8C"/>
    <w:rsid w:val="00005FD1"/>
    <w:rsid w:val="00006016"/>
    <w:rsid w:val="0000601C"/>
    <w:rsid w:val="000060B9"/>
    <w:rsid w:val="00006184"/>
    <w:rsid w:val="0000619F"/>
    <w:rsid w:val="00006203"/>
    <w:rsid w:val="000062C3"/>
    <w:rsid w:val="000062D0"/>
    <w:rsid w:val="00006322"/>
    <w:rsid w:val="0000633A"/>
    <w:rsid w:val="0000634F"/>
    <w:rsid w:val="00006497"/>
    <w:rsid w:val="00006641"/>
    <w:rsid w:val="000066C5"/>
    <w:rsid w:val="00006719"/>
    <w:rsid w:val="000067DD"/>
    <w:rsid w:val="0000680D"/>
    <w:rsid w:val="00006827"/>
    <w:rsid w:val="00006839"/>
    <w:rsid w:val="0000696B"/>
    <w:rsid w:val="00006983"/>
    <w:rsid w:val="00006A0F"/>
    <w:rsid w:val="00006A1E"/>
    <w:rsid w:val="00006A9B"/>
    <w:rsid w:val="00006AB6"/>
    <w:rsid w:val="00006AB8"/>
    <w:rsid w:val="00006AE0"/>
    <w:rsid w:val="00006AE8"/>
    <w:rsid w:val="00006B03"/>
    <w:rsid w:val="00006B42"/>
    <w:rsid w:val="00006B7B"/>
    <w:rsid w:val="00006BF3"/>
    <w:rsid w:val="00006C9D"/>
    <w:rsid w:val="00006D08"/>
    <w:rsid w:val="00006D32"/>
    <w:rsid w:val="00006D4A"/>
    <w:rsid w:val="00006DBF"/>
    <w:rsid w:val="00006E2F"/>
    <w:rsid w:val="00006E5E"/>
    <w:rsid w:val="00006E75"/>
    <w:rsid w:val="00006EAD"/>
    <w:rsid w:val="00006EF8"/>
    <w:rsid w:val="00006F58"/>
    <w:rsid w:val="00006F80"/>
    <w:rsid w:val="00006FC4"/>
    <w:rsid w:val="00006FCF"/>
    <w:rsid w:val="00007021"/>
    <w:rsid w:val="0000703F"/>
    <w:rsid w:val="00007058"/>
    <w:rsid w:val="00007095"/>
    <w:rsid w:val="000070B8"/>
    <w:rsid w:val="000070BE"/>
    <w:rsid w:val="00007145"/>
    <w:rsid w:val="0000718D"/>
    <w:rsid w:val="000071B4"/>
    <w:rsid w:val="000071FF"/>
    <w:rsid w:val="00007237"/>
    <w:rsid w:val="00007252"/>
    <w:rsid w:val="000073E9"/>
    <w:rsid w:val="0000741D"/>
    <w:rsid w:val="00007441"/>
    <w:rsid w:val="000074CD"/>
    <w:rsid w:val="000074EF"/>
    <w:rsid w:val="00007660"/>
    <w:rsid w:val="00007685"/>
    <w:rsid w:val="000076A4"/>
    <w:rsid w:val="000076E2"/>
    <w:rsid w:val="00007784"/>
    <w:rsid w:val="0000785D"/>
    <w:rsid w:val="000078D2"/>
    <w:rsid w:val="000078D5"/>
    <w:rsid w:val="0000790A"/>
    <w:rsid w:val="00007936"/>
    <w:rsid w:val="00007956"/>
    <w:rsid w:val="0000799E"/>
    <w:rsid w:val="00007A0B"/>
    <w:rsid w:val="00007A7B"/>
    <w:rsid w:val="00007AA9"/>
    <w:rsid w:val="00007B3E"/>
    <w:rsid w:val="00007B53"/>
    <w:rsid w:val="00007B63"/>
    <w:rsid w:val="00007B6C"/>
    <w:rsid w:val="00007B6F"/>
    <w:rsid w:val="00007B77"/>
    <w:rsid w:val="00007B92"/>
    <w:rsid w:val="00007BBF"/>
    <w:rsid w:val="00007BCC"/>
    <w:rsid w:val="00007C66"/>
    <w:rsid w:val="00007C81"/>
    <w:rsid w:val="00007D1A"/>
    <w:rsid w:val="00007D7A"/>
    <w:rsid w:val="00007DE9"/>
    <w:rsid w:val="00007DF7"/>
    <w:rsid w:val="00007E2E"/>
    <w:rsid w:val="00007E4D"/>
    <w:rsid w:val="00007E59"/>
    <w:rsid w:val="00007E7B"/>
    <w:rsid w:val="00007E87"/>
    <w:rsid w:val="00007EC3"/>
    <w:rsid w:val="00007F15"/>
    <w:rsid w:val="00007FBC"/>
    <w:rsid w:val="00010067"/>
    <w:rsid w:val="000100E8"/>
    <w:rsid w:val="000100EA"/>
    <w:rsid w:val="000100F5"/>
    <w:rsid w:val="0001013C"/>
    <w:rsid w:val="00010168"/>
    <w:rsid w:val="0001018D"/>
    <w:rsid w:val="0001024F"/>
    <w:rsid w:val="000102AF"/>
    <w:rsid w:val="00010519"/>
    <w:rsid w:val="00010739"/>
    <w:rsid w:val="00010857"/>
    <w:rsid w:val="00010879"/>
    <w:rsid w:val="000108C7"/>
    <w:rsid w:val="0001091A"/>
    <w:rsid w:val="0001091D"/>
    <w:rsid w:val="00010927"/>
    <w:rsid w:val="0001093B"/>
    <w:rsid w:val="000109E3"/>
    <w:rsid w:val="00010B5E"/>
    <w:rsid w:val="00010B84"/>
    <w:rsid w:val="00010C11"/>
    <w:rsid w:val="00010CDA"/>
    <w:rsid w:val="00010E07"/>
    <w:rsid w:val="00010E25"/>
    <w:rsid w:val="00010E7B"/>
    <w:rsid w:val="00010EDA"/>
    <w:rsid w:val="00010EF4"/>
    <w:rsid w:val="00010FC4"/>
    <w:rsid w:val="0001100B"/>
    <w:rsid w:val="0001102F"/>
    <w:rsid w:val="0001103D"/>
    <w:rsid w:val="00011111"/>
    <w:rsid w:val="00011201"/>
    <w:rsid w:val="00011293"/>
    <w:rsid w:val="000112B9"/>
    <w:rsid w:val="00011312"/>
    <w:rsid w:val="00011376"/>
    <w:rsid w:val="00011396"/>
    <w:rsid w:val="000113C2"/>
    <w:rsid w:val="000114F3"/>
    <w:rsid w:val="0001150A"/>
    <w:rsid w:val="00011525"/>
    <w:rsid w:val="00011616"/>
    <w:rsid w:val="00011637"/>
    <w:rsid w:val="00011695"/>
    <w:rsid w:val="000116CE"/>
    <w:rsid w:val="000116EF"/>
    <w:rsid w:val="000116F5"/>
    <w:rsid w:val="00011708"/>
    <w:rsid w:val="00011725"/>
    <w:rsid w:val="0001189D"/>
    <w:rsid w:val="000118BA"/>
    <w:rsid w:val="0001193D"/>
    <w:rsid w:val="00011950"/>
    <w:rsid w:val="00011952"/>
    <w:rsid w:val="00011968"/>
    <w:rsid w:val="0001196E"/>
    <w:rsid w:val="00011B78"/>
    <w:rsid w:val="00011B7C"/>
    <w:rsid w:val="00011C03"/>
    <w:rsid w:val="00011C38"/>
    <w:rsid w:val="00011C3A"/>
    <w:rsid w:val="00011C8A"/>
    <w:rsid w:val="00011CD9"/>
    <w:rsid w:val="00011D05"/>
    <w:rsid w:val="00011DC5"/>
    <w:rsid w:val="00011DE4"/>
    <w:rsid w:val="00011DE9"/>
    <w:rsid w:val="00011E53"/>
    <w:rsid w:val="00011EA7"/>
    <w:rsid w:val="00011ED6"/>
    <w:rsid w:val="00011EF4"/>
    <w:rsid w:val="00011EF5"/>
    <w:rsid w:val="00011F0C"/>
    <w:rsid w:val="00011F5C"/>
    <w:rsid w:val="00011F6D"/>
    <w:rsid w:val="00011FA9"/>
    <w:rsid w:val="0001200A"/>
    <w:rsid w:val="00012078"/>
    <w:rsid w:val="0001209A"/>
    <w:rsid w:val="000120A3"/>
    <w:rsid w:val="000120A6"/>
    <w:rsid w:val="000120FF"/>
    <w:rsid w:val="000121A9"/>
    <w:rsid w:val="000122A0"/>
    <w:rsid w:val="00012390"/>
    <w:rsid w:val="000123A7"/>
    <w:rsid w:val="00012431"/>
    <w:rsid w:val="0001246A"/>
    <w:rsid w:val="000124AC"/>
    <w:rsid w:val="00012524"/>
    <w:rsid w:val="00012540"/>
    <w:rsid w:val="00012543"/>
    <w:rsid w:val="00012600"/>
    <w:rsid w:val="0001264E"/>
    <w:rsid w:val="000126B3"/>
    <w:rsid w:val="00012712"/>
    <w:rsid w:val="0001276F"/>
    <w:rsid w:val="000127D5"/>
    <w:rsid w:val="00012871"/>
    <w:rsid w:val="00012875"/>
    <w:rsid w:val="0001288B"/>
    <w:rsid w:val="000128CE"/>
    <w:rsid w:val="000128EA"/>
    <w:rsid w:val="00012944"/>
    <w:rsid w:val="00012992"/>
    <w:rsid w:val="000129B2"/>
    <w:rsid w:val="00012A2B"/>
    <w:rsid w:val="00012A48"/>
    <w:rsid w:val="00012A91"/>
    <w:rsid w:val="00012ABE"/>
    <w:rsid w:val="00012AF7"/>
    <w:rsid w:val="00012C13"/>
    <w:rsid w:val="00012C55"/>
    <w:rsid w:val="00012C62"/>
    <w:rsid w:val="00012C9D"/>
    <w:rsid w:val="00012CC2"/>
    <w:rsid w:val="00012D29"/>
    <w:rsid w:val="00012D6F"/>
    <w:rsid w:val="00012D88"/>
    <w:rsid w:val="00012DF1"/>
    <w:rsid w:val="00012DFF"/>
    <w:rsid w:val="00012E5D"/>
    <w:rsid w:val="00012E96"/>
    <w:rsid w:val="00012ED0"/>
    <w:rsid w:val="00012EF7"/>
    <w:rsid w:val="00012FAE"/>
    <w:rsid w:val="00013093"/>
    <w:rsid w:val="000130EE"/>
    <w:rsid w:val="0001311B"/>
    <w:rsid w:val="0001323E"/>
    <w:rsid w:val="00013252"/>
    <w:rsid w:val="0001328D"/>
    <w:rsid w:val="000132E2"/>
    <w:rsid w:val="0001335E"/>
    <w:rsid w:val="0001336C"/>
    <w:rsid w:val="000133AD"/>
    <w:rsid w:val="000133E4"/>
    <w:rsid w:val="000134A4"/>
    <w:rsid w:val="00013534"/>
    <w:rsid w:val="00013568"/>
    <w:rsid w:val="000135B5"/>
    <w:rsid w:val="000135F9"/>
    <w:rsid w:val="0001360B"/>
    <w:rsid w:val="00013614"/>
    <w:rsid w:val="00013630"/>
    <w:rsid w:val="00013644"/>
    <w:rsid w:val="0001370A"/>
    <w:rsid w:val="0001373F"/>
    <w:rsid w:val="0001374C"/>
    <w:rsid w:val="00013843"/>
    <w:rsid w:val="000138B5"/>
    <w:rsid w:val="000138E5"/>
    <w:rsid w:val="00013A5D"/>
    <w:rsid w:val="00013BA9"/>
    <w:rsid w:val="00013BAF"/>
    <w:rsid w:val="00013C48"/>
    <w:rsid w:val="00013C4F"/>
    <w:rsid w:val="00013D0A"/>
    <w:rsid w:val="00013D23"/>
    <w:rsid w:val="00013D49"/>
    <w:rsid w:val="00013D98"/>
    <w:rsid w:val="00013E4D"/>
    <w:rsid w:val="00013E85"/>
    <w:rsid w:val="00013EFF"/>
    <w:rsid w:val="00013F22"/>
    <w:rsid w:val="00013F91"/>
    <w:rsid w:val="0001400D"/>
    <w:rsid w:val="00014102"/>
    <w:rsid w:val="00014163"/>
    <w:rsid w:val="00014176"/>
    <w:rsid w:val="00014184"/>
    <w:rsid w:val="000141AE"/>
    <w:rsid w:val="00014236"/>
    <w:rsid w:val="000142FF"/>
    <w:rsid w:val="00014320"/>
    <w:rsid w:val="0001438F"/>
    <w:rsid w:val="000143CD"/>
    <w:rsid w:val="000143EA"/>
    <w:rsid w:val="00014451"/>
    <w:rsid w:val="00014463"/>
    <w:rsid w:val="000144B9"/>
    <w:rsid w:val="0001455F"/>
    <w:rsid w:val="0001457C"/>
    <w:rsid w:val="000147A3"/>
    <w:rsid w:val="000147B1"/>
    <w:rsid w:val="000147B7"/>
    <w:rsid w:val="000147C5"/>
    <w:rsid w:val="000147D5"/>
    <w:rsid w:val="000147E2"/>
    <w:rsid w:val="00014811"/>
    <w:rsid w:val="0001481B"/>
    <w:rsid w:val="00014823"/>
    <w:rsid w:val="00014826"/>
    <w:rsid w:val="00014937"/>
    <w:rsid w:val="00014965"/>
    <w:rsid w:val="0001496E"/>
    <w:rsid w:val="00014A62"/>
    <w:rsid w:val="00014A9B"/>
    <w:rsid w:val="00014ABD"/>
    <w:rsid w:val="00014AC3"/>
    <w:rsid w:val="00014AFD"/>
    <w:rsid w:val="00014B2D"/>
    <w:rsid w:val="00014BBA"/>
    <w:rsid w:val="00014BC7"/>
    <w:rsid w:val="00014C0F"/>
    <w:rsid w:val="00014C10"/>
    <w:rsid w:val="00014CCA"/>
    <w:rsid w:val="00014CDE"/>
    <w:rsid w:val="00014D1A"/>
    <w:rsid w:val="00014D72"/>
    <w:rsid w:val="00014DDF"/>
    <w:rsid w:val="00014E1E"/>
    <w:rsid w:val="00014EB8"/>
    <w:rsid w:val="00014EBC"/>
    <w:rsid w:val="00014FAA"/>
    <w:rsid w:val="00014FDC"/>
    <w:rsid w:val="00014FF5"/>
    <w:rsid w:val="00015174"/>
    <w:rsid w:val="000151E0"/>
    <w:rsid w:val="000151F3"/>
    <w:rsid w:val="0001524F"/>
    <w:rsid w:val="00015271"/>
    <w:rsid w:val="000152C3"/>
    <w:rsid w:val="000152F2"/>
    <w:rsid w:val="000153A2"/>
    <w:rsid w:val="000153EC"/>
    <w:rsid w:val="0001544C"/>
    <w:rsid w:val="00015455"/>
    <w:rsid w:val="00015481"/>
    <w:rsid w:val="00015512"/>
    <w:rsid w:val="00015552"/>
    <w:rsid w:val="00015579"/>
    <w:rsid w:val="0001557F"/>
    <w:rsid w:val="0001558D"/>
    <w:rsid w:val="000155A3"/>
    <w:rsid w:val="000155C3"/>
    <w:rsid w:val="000155F7"/>
    <w:rsid w:val="0001564C"/>
    <w:rsid w:val="000156DB"/>
    <w:rsid w:val="000156E4"/>
    <w:rsid w:val="0001573D"/>
    <w:rsid w:val="00015753"/>
    <w:rsid w:val="00015807"/>
    <w:rsid w:val="00015821"/>
    <w:rsid w:val="0001585B"/>
    <w:rsid w:val="0001587B"/>
    <w:rsid w:val="000158A5"/>
    <w:rsid w:val="00015951"/>
    <w:rsid w:val="0001598E"/>
    <w:rsid w:val="00015A0A"/>
    <w:rsid w:val="00015A14"/>
    <w:rsid w:val="00015A47"/>
    <w:rsid w:val="00015A52"/>
    <w:rsid w:val="00015A83"/>
    <w:rsid w:val="00015B0B"/>
    <w:rsid w:val="00015B18"/>
    <w:rsid w:val="00015B23"/>
    <w:rsid w:val="00015B30"/>
    <w:rsid w:val="00015BEF"/>
    <w:rsid w:val="00015C49"/>
    <w:rsid w:val="00015C59"/>
    <w:rsid w:val="00015CC4"/>
    <w:rsid w:val="00015CF8"/>
    <w:rsid w:val="00015D3C"/>
    <w:rsid w:val="00015D58"/>
    <w:rsid w:val="00015DC5"/>
    <w:rsid w:val="00015E44"/>
    <w:rsid w:val="00015EEF"/>
    <w:rsid w:val="000160FA"/>
    <w:rsid w:val="0001611D"/>
    <w:rsid w:val="0001616D"/>
    <w:rsid w:val="0001622D"/>
    <w:rsid w:val="0001624D"/>
    <w:rsid w:val="000162E9"/>
    <w:rsid w:val="00016394"/>
    <w:rsid w:val="000163C7"/>
    <w:rsid w:val="000163F0"/>
    <w:rsid w:val="00016410"/>
    <w:rsid w:val="0001649E"/>
    <w:rsid w:val="000164BC"/>
    <w:rsid w:val="00016533"/>
    <w:rsid w:val="000165D9"/>
    <w:rsid w:val="000166B5"/>
    <w:rsid w:val="000166E3"/>
    <w:rsid w:val="0001671D"/>
    <w:rsid w:val="00016724"/>
    <w:rsid w:val="000167F8"/>
    <w:rsid w:val="00016815"/>
    <w:rsid w:val="000168D8"/>
    <w:rsid w:val="000168EB"/>
    <w:rsid w:val="0001690C"/>
    <w:rsid w:val="00016925"/>
    <w:rsid w:val="00016942"/>
    <w:rsid w:val="00016961"/>
    <w:rsid w:val="00016989"/>
    <w:rsid w:val="000169B3"/>
    <w:rsid w:val="000169C5"/>
    <w:rsid w:val="00016A31"/>
    <w:rsid w:val="00016AE3"/>
    <w:rsid w:val="00016BC1"/>
    <w:rsid w:val="00016C20"/>
    <w:rsid w:val="00016C6B"/>
    <w:rsid w:val="00016CB5"/>
    <w:rsid w:val="00016CD2"/>
    <w:rsid w:val="00016D68"/>
    <w:rsid w:val="00016DE0"/>
    <w:rsid w:val="00016E48"/>
    <w:rsid w:val="00016E49"/>
    <w:rsid w:val="00016EBC"/>
    <w:rsid w:val="00016F9C"/>
    <w:rsid w:val="0001707B"/>
    <w:rsid w:val="000170B0"/>
    <w:rsid w:val="000170D6"/>
    <w:rsid w:val="0001717C"/>
    <w:rsid w:val="000171EE"/>
    <w:rsid w:val="000171F4"/>
    <w:rsid w:val="000171F5"/>
    <w:rsid w:val="0001724F"/>
    <w:rsid w:val="00017259"/>
    <w:rsid w:val="00017275"/>
    <w:rsid w:val="000172B2"/>
    <w:rsid w:val="000172DE"/>
    <w:rsid w:val="000172E2"/>
    <w:rsid w:val="0001730A"/>
    <w:rsid w:val="00017315"/>
    <w:rsid w:val="0001731B"/>
    <w:rsid w:val="000173BB"/>
    <w:rsid w:val="000173DB"/>
    <w:rsid w:val="000173E1"/>
    <w:rsid w:val="000173FD"/>
    <w:rsid w:val="0001743B"/>
    <w:rsid w:val="00017471"/>
    <w:rsid w:val="000174A7"/>
    <w:rsid w:val="000174ED"/>
    <w:rsid w:val="0001753A"/>
    <w:rsid w:val="0001761E"/>
    <w:rsid w:val="0001763C"/>
    <w:rsid w:val="00017758"/>
    <w:rsid w:val="000177F7"/>
    <w:rsid w:val="00017831"/>
    <w:rsid w:val="000178A4"/>
    <w:rsid w:val="000178B3"/>
    <w:rsid w:val="00017955"/>
    <w:rsid w:val="0001797D"/>
    <w:rsid w:val="00017AC8"/>
    <w:rsid w:val="00017ACB"/>
    <w:rsid w:val="00017AEA"/>
    <w:rsid w:val="00017B19"/>
    <w:rsid w:val="00017B23"/>
    <w:rsid w:val="00017B38"/>
    <w:rsid w:val="00017BA9"/>
    <w:rsid w:val="00017BC8"/>
    <w:rsid w:val="00017C55"/>
    <w:rsid w:val="00017CD8"/>
    <w:rsid w:val="00017D44"/>
    <w:rsid w:val="00017E97"/>
    <w:rsid w:val="00017EBD"/>
    <w:rsid w:val="00017EFB"/>
    <w:rsid w:val="00020074"/>
    <w:rsid w:val="00020180"/>
    <w:rsid w:val="000201B5"/>
    <w:rsid w:val="000201C9"/>
    <w:rsid w:val="00020263"/>
    <w:rsid w:val="000202DD"/>
    <w:rsid w:val="00020314"/>
    <w:rsid w:val="00020316"/>
    <w:rsid w:val="00020409"/>
    <w:rsid w:val="00020457"/>
    <w:rsid w:val="000204A6"/>
    <w:rsid w:val="000204A8"/>
    <w:rsid w:val="00020563"/>
    <w:rsid w:val="000205A3"/>
    <w:rsid w:val="00020665"/>
    <w:rsid w:val="0002070E"/>
    <w:rsid w:val="0002072A"/>
    <w:rsid w:val="00020758"/>
    <w:rsid w:val="000207BF"/>
    <w:rsid w:val="000207DE"/>
    <w:rsid w:val="00020868"/>
    <w:rsid w:val="000208C7"/>
    <w:rsid w:val="00020957"/>
    <w:rsid w:val="000209BD"/>
    <w:rsid w:val="00020A30"/>
    <w:rsid w:val="00020B42"/>
    <w:rsid w:val="00020B87"/>
    <w:rsid w:val="00020B9E"/>
    <w:rsid w:val="00020BD6"/>
    <w:rsid w:val="00020C11"/>
    <w:rsid w:val="00020C47"/>
    <w:rsid w:val="00020C60"/>
    <w:rsid w:val="00020C6E"/>
    <w:rsid w:val="00020D2D"/>
    <w:rsid w:val="00020D4D"/>
    <w:rsid w:val="00020D4E"/>
    <w:rsid w:val="00020EE2"/>
    <w:rsid w:val="00020F57"/>
    <w:rsid w:val="00020FDD"/>
    <w:rsid w:val="00021052"/>
    <w:rsid w:val="0002109A"/>
    <w:rsid w:val="00021188"/>
    <w:rsid w:val="000211A3"/>
    <w:rsid w:val="000211E3"/>
    <w:rsid w:val="00021203"/>
    <w:rsid w:val="00021242"/>
    <w:rsid w:val="00021294"/>
    <w:rsid w:val="00021353"/>
    <w:rsid w:val="000213BB"/>
    <w:rsid w:val="000213EF"/>
    <w:rsid w:val="00021480"/>
    <w:rsid w:val="0002148D"/>
    <w:rsid w:val="00021501"/>
    <w:rsid w:val="0002151E"/>
    <w:rsid w:val="0002161D"/>
    <w:rsid w:val="00021677"/>
    <w:rsid w:val="000218DA"/>
    <w:rsid w:val="000218EF"/>
    <w:rsid w:val="000218FA"/>
    <w:rsid w:val="0002191C"/>
    <w:rsid w:val="0002196A"/>
    <w:rsid w:val="00021974"/>
    <w:rsid w:val="00021998"/>
    <w:rsid w:val="000219FA"/>
    <w:rsid w:val="00021A01"/>
    <w:rsid w:val="00021A0A"/>
    <w:rsid w:val="00021A77"/>
    <w:rsid w:val="00021AC6"/>
    <w:rsid w:val="00021ACD"/>
    <w:rsid w:val="00021B07"/>
    <w:rsid w:val="00021B2D"/>
    <w:rsid w:val="00021B88"/>
    <w:rsid w:val="00021C89"/>
    <w:rsid w:val="00021CCB"/>
    <w:rsid w:val="00021D3B"/>
    <w:rsid w:val="00021DA9"/>
    <w:rsid w:val="00021DE0"/>
    <w:rsid w:val="00021DF6"/>
    <w:rsid w:val="00021E1F"/>
    <w:rsid w:val="00021EBF"/>
    <w:rsid w:val="00021F1A"/>
    <w:rsid w:val="00021F23"/>
    <w:rsid w:val="00021FCA"/>
    <w:rsid w:val="0002200F"/>
    <w:rsid w:val="00022146"/>
    <w:rsid w:val="00022172"/>
    <w:rsid w:val="000221E0"/>
    <w:rsid w:val="00022209"/>
    <w:rsid w:val="0002221C"/>
    <w:rsid w:val="00022269"/>
    <w:rsid w:val="00022312"/>
    <w:rsid w:val="00022392"/>
    <w:rsid w:val="000223B3"/>
    <w:rsid w:val="0002245E"/>
    <w:rsid w:val="00022495"/>
    <w:rsid w:val="000224A8"/>
    <w:rsid w:val="000224C9"/>
    <w:rsid w:val="000224D4"/>
    <w:rsid w:val="0002250D"/>
    <w:rsid w:val="0002258C"/>
    <w:rsid w:val="000225A8"/>
    <w:rsid w:val="000225B1"/>
    <w:rsid w:val="00022610"/>
    <w:rsid w:val="00022631"/>
    <w:rsid w:val="0002265A"/>
    <w:rsid w:val="000226D4"/>
    <w:rsid w:val="00022706"/>
    <w:rsid w:val="0002277E"/>
    <w:rsid w:val="0002281F"/>
    <w:rsid w:val="00022826"/>
    <w:rsid w:val="00022847"/>
    <w:rsid w:val="0002289F"/>
    <w:rsid w:val="0002290E"/>
    <w:rsid w:val="0002297E"/>
    <w:rsid w:val="000229BA"/>
    <w:rsid w:val="000229E5"/>
    <w:rsid w:val="00022A7C"/>
    <w:rsid w:val="00022AB6"/>
    <w:rsid w:val="00022B47"/>
    <w:rsid w:val="00022B9C"/>
    <w:rsid w:val="00022C03"/>
    <w:rsid w:val="00022C55"/>
    <w:rsid w:val="00022C6E"/>
    <w:rsid w:val="00022CAA"/>
    <w:rsid w:val="00022D1E"/>
    <w:rsid w:val="00022D38"/>
    <w:rsid w:val="00022D42"/>
    <w:rsid w:val="00022DF8"/>
    <w:rsid w:val="00022E19"/>
    <w:rsid w:val="00022EC0"/>
    <w:rsid w:val="00023000"/>
    <w:rsid w:val="00023001"/>
    <w:rsid w:val="0002305C"/>
    <w:rsid w:val="0002312D"/>
    <w:rsid w:val="00023143"/>
    <w:rsid w:val="00023194"/>
    <w:rsid w:val="000231AA"/>
    <w:rsid w:val="000231B8"/>
    <w:rsid w:val="000231BD"/>
    <w:rsid w:val="00023257"/>
    <w:rsid w:val="00023280"/>
    <w:rsid w:val="0002328E"/>
    <w:rsid w:val="00023367"/>
    <w:rsid w:val="0002343C"/>
    <w:rsid w:val="00023548"/>
    <w:rsid w:val="0002356C"/>
    <w:rsid w:val="00023584"/>
    <w:rsid w:val="00023615"/>
    <w:rsid w:val="000236A1"/>
    <w:rsid w:val="00023722"/>
    <w:rsid w:val="000237B5"/>
    <w:rsid w:val="000238EF"/>
    <w:rsid w:val="0002396E"/>
    <w:rsid w:val="000239A0"/>
    <w:rsid w:val="000239C7"/>
    <w:rsid w:val="00023A75"/>
    <w:rsid w:val="00023AB6"/>
    <w:rsid w:val="00023B15"/>
    <w:rsid w:val="00023BC6"/>
    <w:rsid w:val="00023C03"/>
    <w:rsid w:val="00023C0B"/>
    <w:rsid w:val="00023CD2"/>
    <w:rsid w:val="00023CF1"/>
    <w:rsid w:val="00023D8A"/>
    <w:rsid w:val="00023E04"/>
    <w:rsid w:val="00023E79"/>
    <w:rsid w:val="00023F2D"/>
    <w:rsid w:val="00023F48"/>
    <w:rsid w:val="00023F9D"/>
    <w:rsid w:val="00023FCD"/>
    <w:rsid w:val="000240CB"/>
    <w:rsid w:val="00024106"/>
    <w:rsid w:val="0002414F"/>
    <w:rsid w:val="000241B9"/>
    <w:rsid w:val="000241EB"/>
    <w:rsid w:val="000241F4"/>
    <w:rsid w:val="00024208"/>
    <w:rsid w:val="0002421D"/>
    <w:rsid w:val="00024246"/>
    <w:rsid w:val="0002424E"/>
    <w:rsid w:val="00024281"/>
    <w:rsid w:val="0002428B"/>
    <w:rsid w:val="00024293"/>
    <w:rsid w:val="00024302"/>
    <w:rsid w:val="0002435E"/>
    <w:rsid w:val="00024382"/>
    <w:rsid w:val="00024383"/>
    <w:rsid w:val="000243CB"/>
    <w:rsid w:val="00024425"/>
    <w:rsid w:val="00024428"/>
    <w:rsid w:val="0002443B"/>
    <w:rsid w:val="00024471"/>
    <w:rsid w:val="00024524"/>
    <w:rsid w:val="00024562"/>
    <w:rsid w:val="00024565"/>
    <w:rsid w:val="000245AB"/>
    <w:rsid w:val="000245D1"/>
    <w:rsid w:val="000245F6"/>
    <w:rsid w:val="0002463E"/>
    <w:rsid w:val="0002467E"/>
    <w:rsid w:val="000246B7"/>
    <w:rsid w:val="000246C0"/>
    <w:rsid w:val="000246C5"/>
    <w:rsid w:val="00024729"/>
    <w:rsid w:val="00024735"/>
    <w:rsid w:val="00024795"/>
    <w:rsid w:val="000247A3"/>
    <w:rsid w:val="000247BF"/>
    <w:rsid w:val="00024840"/>
    <w:rsid w:val="0002488A"/>
    <w:rsid w:val="000248A5"/>
    <w:rsid w:val="000248E2"/>
    <w:rsid w:val="00024904"/>
    <w:rsid w:val="00024911"/>
    <w:rsid w:val="0002496E"/>
    <w:rsid w:val="0002498D"/>
    <w:rsid w:val="00024997"/>
    <w:rsid w:val="00024999"/>
    <w:rsid w:val="000249A8"/>
    <w:rsid w:val="00024A0D"/>
    <w:rsid w:val="00024A29"/>
    <w:rsid w:val="00024A60"/>
    <w:rsid w:val="00024ACE"/>
    <w:rsid w:val="00024AF2"/>
    <w:rsid w:val="00024B1C"/>
    <w:rsid w:val="00024B7E"/>
    <w:rsid w:val="00024B8C"/>
    <w:rsid w:val="00024BC0"/>
    <w:rsid w:val="00024BD2"/>
    <w:rsid w:val="00024BE3"/>
    <w:rsid w:val="00024C42"/>
    <w:rsid w:val="00024D29"/>
    <w:rsid w:val="00024D2A"/>
    <w:rsid w:val="00024DCE"/>
    <w:rsid w:val="00024E45"/>
    <w:rsid w:val="00024E6D"/>
    <w:rsid w:val="00024E8D"/>
    <w:rsid w:val="00024F43"/>
    <w:rsid w:val="00024FF6"/>
    <w:rsid w:val="00025013"/>
    <w:rsid w:val="00025054"/>
    <w:rsid w:val="000250DB"/>
    <w:rsid w:val="00025124"/>
    <w:rsid w:val="00025192"/>
    <w:rsid w:val="000251C0"/>
    <w:rsid w:val="000251CE"/>
    <w:rsid w:val="000251E7"/>
    <w:rsid w:val="00025223"/>
    <w:rsid w:val="0002531B"/>
    <w:rsid w:val="00025396"/>
    <w:rsid w:val="000253B6"/>
    <w:rsid w:val="000253BB"/>
    <w:rsid w:val="0002544D"/>
    <w:rsid w:val="0002544F"/>
    <w:rsid w:val="00025480"/>
    <w:rsid w:val="000254F5"/>
    <w:rsid w:val="0002553A"/>
    <w:rsid w:val="0002553F"/>
    <w:rsid w:val="00025542"/>
    <w:rsid w:val="00025546"/>
    <w:rsid w:val="0002559D"/>
    <w:rsid w:val="000255DF"/>
    <w:rsid w:val="0002565C"/>
    <w:rsid w:val="00025664"/>
    <w:rsid w:val="000256EA"/>
    <w:rsid w:val="000256FF"/>
    <w:rsid w:val="00025727"/>
    <w:rsid w:val="00025778"/>
    <w:rsid w:val="00025799"/>
    <w:rsid w:val="000257C8"/>
    <w:rsid w:val="000257F0"/>
    <w:rsid w:val="00025812"/>
    <w:rsid w:val="00025838"/>
    <w:rsid w:val="000258D9"/>
    <w:rsid w:val="0002591B"/>
    <w:rsid w:val="0002595A"/>
    <w:rsid w:val="00025A20"/>
    <w:rsid w:val="00025A23"/>
    <w:rsid w:val="00025AFC"/>
    <w:rsid w:val="00025B04"/>
    <w:rsid w:val="00025B08"/>
    <w:rsid w:val="00025B3B"/>
    <w:rsid w:val="00025BB3"/>
    <w:rsid w:val="00025C83"/>
    <w:rsid w:val="00025C8C"/>
    <w:rsid w:val="00025CD4"/>
    <w:rsid w:val="00025D00"/>
    <w:rsid w:val="00025D9B"/>
    <w:rsid w:val="00025DD4"/>
    <w:rsid w:val="00025E06"/>
    <w:rsid w:val="00025E3F"/>
    <w:rsid w:val="00025E95"/>
    <w:rsid w:val="00025EDE"/>
    <w:rsid w:val="00025EEA"/>
    <w:rsid w:val="00025F44"/>
    <w:rsid w:val="00025F9F"/>
    <w:rsid w:val="00026070"/>
    <w:rsid w:val="00026092"/>
    <w:rsid w:val="000260D4"/>
    <w:rsid w:val="0002612F"/>
    <w:rsid w:val="00026144"/>
    <w:rsid w:val="00026157"/>
    <w:rsid w:val="000262D6"/>
    <w:rsid w:val="000262ED"/>
    <w:rsid w:val="00026405"/>
    <w:rsid w:val="0002640D"/>
    <w:rsid w:val="00026410"/>
    <w:rsid w:val="00026464"/>
    <w:rsid w:val="00026592"/>
    <w:rsid w:val="00026661"/>
    <w:rsid w:val="000266AC"/>
    <w:rsid w:val="000266BC"/>
    <w:rsid w:val="00026721"/>
    <w:rsid w:val="00026794"/>
    <w:rsid w:val="000267F6"/>
    <w:rsid w:val="00026871"/>
    <w:rsid w:val="000268A0"/>
    <w:rsid w:val="0002697D"/>
    <w:rsid w:val="00026999"/>
    <w:rsid w:val="000269A7"/>
    <w:rsid w:val="000269D7"/>
    <w:rsid w:val="000269EA"/>
    <w:rsid w:val="00026A0D"/>
    <w:rsid w:val="00026A14"/>
    <w:rsid w:val="00026A46"/>
    <w:rsid w:val="00026A4B"/>
    <w:rsid w:val="00026A7F"/>
    <w:rsid w:val="00026AEB"/>
    <w:rsid w:val="00026B14"/>
    <w:rsid w:val="00026B4D"/>
    <w:rsid w:val="00026B6C"/>
    <w:rsid w:val="00026BB0"/>
    <w:rsid w:val="00026BD7"/>
    <w:rsid w:val="00026C45"/>
    <w:rsid w:val="00026C84"/>
    <w:rsid w:val="00026D54"/>
    <w:rsid w:val="00026EC1"/>
    <w:rsid w:val="00026F3C"/>
    <w:rsid w:val="00026FC4"/>
    <w:rsid w:val="00026FF7"/>
    <w:rsid w:val="00027029"/>
    <w:rsid w:val="0002703F"/>
    <w:rsid w:val="00027053"/>
    <w:rsid w:val="0002705C"/>
    <w:rsid w:val="00027083"/>
    <w:rsid w:val="000270E4"/>
    <w:rsid w:val="00027150"/>
    <w:rsid w:val="0002723C"/>
    <w:rsid w:val="00027257"/>
    <w:rsid w:val="000272A3"/>
    <w:rsid w:val="000272AB"/>
    <w:rsid w:val="000272E4"/>
    <w:rsid w:val="00027316"/>
    <w:rsid w:val="000273A2"/>
    <w:rsid w:val="000274AD"/>
    <w:rsid w:val="000274FC"/>
    <w:rsid w:val="0002760A"/>
    <w:rsid w:val="00027733"/>
    <w:rsid w:val="000277FC"/>
    <w:rsid w:val="0002782C"/>
    <w:rsid w:val="0002783B"/>
    <w:rsid w:val="0002786A"/>
    <w:rsid w:val="0002786F"/>
    <w:rsid w:val="0002788E"/>
    <w:rsid w:val="000278AF"/>
    <w:rsid w:val="000278C4"/>
    <w:rsid w:val="000278D5"/>
    <w:rsid w:val="0002791C"/>
    <w:rsid w:val="0002797F"/>
    <w:rsid w:val="000279C9"/>
    <w:rsid w:val="000279CF"/>
    <w:rsid w:val="00027A31"/>
    <w:rsid w:val="00027A45"/>
    <w:rsid w:val="00027AC5"/>
    <w:rsid w:val="00027B80"/>
    <w:rsid w:val="00027BB0"/>
    <w:rsid w:val="00027BCD"/>
    <w:rsid w:val="00027BCE"/>
    <w:rsid w:val="00027C2A"/>
    <w:rsid w:val="00027D00"/>
    <w:rsid w:val="00027D30"/>
    <w:rsid w:val="00027D41"/>
    <w:rsid w:val="00027D4C"/>
    <w:rsid w:val="00027D53"/>
    <w:rsid w:val="00027D90"/>
    <w:rsid w:val="00027DD9"/>
    <w:rsid w:val="00027DFD"/>
    <w:rsid w:val="00027E52"/>
    <w:rsid w:val="00027E54"/>
    <w:rsid w:val="00027E58"/>
    <w:rsid w:val="00027EB0"/>
    <w:rsid w:val="00027F55"/>
    <w:rsid w:val="00027F68"/>
    <w:rsid w:val="00027F8A"/>
    <w:rsid w:val="00027F97"/>
    <w:rsid w:val="00027FDA"/>
    <w:rsid w:val="00030015"/>
    <w:rsid w:val="00030031"/>
    <w:rsid w:val="000301CB"/>
    <w:rsid w:val="000301F0"/>
    <w:rsid w:val="000301F9"/>
    <w:rsid w:val="000301FB"/>
    <w:rsid w:val="00030223"/>
    <w:rsid w:val="00030321"/>
    <w:rsid w:val="00030425"/>
    <w:rsid w:val="00030454"/>
    <w:rsid w:val="00030468"/>
    <w:rsid w:val="000304BF"/>
    <w:rsid w:val="00030510"/>
    <w:rsid w:val="0003056A"/>
    <w:rsid w:val="00030587"/>
    <w:rsid w:val="000305D8"/>
    <w:rsid w:val="00030641"/>
    <w:rsid w:val="00030667"/>
    <w:rsid w:val="000306C9"/>
    <w:rsid w:val="000306E3"/>
    <w:rsid w:val="00030747"/>
    <w:rsid w:val="0003074C"/>
    <w:rsid w:val="00030778"/>
    <w:rsid w:val="000307DD"/>
    <w:rsid w:val="00030867"/>
    <w:rsid w:val="00030908"/>
    <w:rsid w:val="00030925"/>
    <w:rsid w:val="00030964"/>
    <w:rsid w:val="0003097B"/>
    <w:rsid w:val="000309D6"/>
    <w:rsid w:val="000309E2"/>
    <w:rsid w:val="00030A0B"/>
    <w:rsid w:val="00030A24"/>
    <w:rsid w:val="00030A26"/>
    <w:rsid w:val="00030A42"/>
    <w:rsid w:val="00030A66"/>
    <w:rsid w:val="00030B03"/>
    <w:rsid w:val="00030B1C"/>
    <w:rsid w:val="00030B29"/>
    <w:rsid w:val="00030BF9"/>
    <w:rsid w:val="00030BFE"/>
    <w:rsid w:val="00030D1F"/>
    <w:rsid w:val="00030D48"/>
    <w:rsid w:val="00030D62"/>
    <w:rsid w:val="00030D76"/>
    <w:rsid w:val="00030D8C"/>
    <w:rsid w:val="00030DC1"/>
    <w:rsid w:val="00030E2F"/>
    <w:rsid w:val="00030F24"/>
    <w:rsid w:val="00030F5D"/>
    <w:rsid w:val="00030F7D"/>
    <w:rsid w:val="0003105B"/>
    <w:rsid w:val="000310B2"/>
    <w:rsid w:val="000310D7"/>
    <w:rsid w:val="000310DC"/>
    <w:rsid w:val="000311D6"/>
    <w:rsid w:val="00031320"/>
    <w:rsid w:val="00031327"/>
    <w:rsid w:val="0003135E"/>
    <w:rsid w:val="00031398"/>
    <w:rsid w:val="0003147E"/>
    <w:rsid w:val="00031490"/>
    <w:rsid w:val="00031659"/>
    <w:rsid w:val="00031675"/>
    <w:rsid w:val="000316AF"/>
    <w:rsid w:val="000316DF"/>
    <w:rsid w:val="000316EF"/>
    <w:rsid w:val="0003170B"/>
    <w:rsid w:val="000317D8"/>
    <w:rsid w:val="000317FD"/>
    <w:rsid w:val="000318B1"/>
    <w:rsid w:val="00031918"/>
    <w:rsid w:val="00031920"/>
    <w:rsid w:val="00031956"/>
    <w:rsid w:val="00031B12"/>
    <w:rsid w:val="00031B19"/>
    <w:rsid w:val="00031B65"/>
    <w:rsid w:val="00031BAF"/>
    <w:rsid w:val="00031BBE"/>
    <w:rsid w:val="00031BCB"/>
    <w:rsid w:val="00031C15"/>
    <w:rsid w:val="00031C6B"/>
    <w:rsid w:val="00031D86"/>
    <w:rsid w:val="00031D8E"/>
    <w:rsid w:val="00031E80"/>
    <w:rsid w:val="00031E91"/>
    <w:rsid w:val="00031EB0"/>
    <w:rsid w:val="00031EF4"/>
    <w:rsid w:val="00031F2C"/>
    <w:rsid w:val="00031F75"/>
    <w:rsid w:val="00031FE2"/>
    <w:rsid w:val="00031FEB"/>
    <w:rsid w:val="00031FF0"/>
    <w:rsid w:val="0003204F"/>
    <w:rsid w:val="000320B1"/>
    <w:rsid w:val="000320F4"/>
    <w:rsid w:val="00032101"/>
    <w:rsid w:val="00032170"/>
    <w:rsid w:val="000321C5"/>
    <w:rsid w:val="000321EF"/>
    <w:rsid w:val="00032244"/>
    <w:rsid w:val="00032304"/>
    <w:rsid w:val="00032357"/>
    <w:rsid w:val="000323A4"/>
    <w:rsid w:val="000323E0"/>
    <w:rsid w:val="000323E2"/>
    <w:rsid w:val="000324E4"/>
    <w:rsid w:val="00032564"/>
    <w:rsid w:val="000325C8"/>
    <w:rsid w:val="000325CF"/>
    <w:rsid w:val="000325D4"/>
    <w:rsid w:val="00032633"/>
    <w:rsid w:val="00032678"/>
    <w:rsid w:val="0003272D"/>
    <w:rsid w:val="0003274C"/>
    <w:rsid w:val="0003276B"/>
    <w:rsid w:val="00032787"/>
    <w:rsid w:val="0003279C"/>
    <w:rsid w:val="000327B9"/>
    <w:rsid w:val="00032802"/>
    <w:rsid w:val="00032871"/>
    <w:rsid w:val="0003289E"/>
    <w:rsid w:val="000328DF"/>
    <w:rsid w:val="00032908"/>
    <w:rsid w:val="0003293C"/>
    <w:rsid w:val="000329B7"/>
    <w:rsid w:val="00032A75"/>
    <w:rsid w:val="00032B0C"/>
    <w:rsid w:val="00032B94"/>
    <w:rsid w:val="00032BB7"/>
    <w:rsid w:val="00032C17"/>
    <w:rsid w:val="00032C51"/>
    <w:rsid w:val="00032C56"/>
    <w:rsid w:val="00032D12"/>
    <w:rsid w:val="00032D5B"/>
    <w:rsid w:val="00032D82"/>
    <w:rsid w:val="00032DBA"/>
    <w:rsid w:val="00032E0E"/>
    <w:rsid w:val="00032E36"/>
    <w:rsid w:val="00032EE8"/>
    <w:rsid w:val="00032F25"/>
    <w:rsid w:val="00032F31"/>
    <w:rsid w:val="00032F4A"/>
    <w:rsid w:val="00032F5C"/>
    <w:rsid w:val="00032F75"/>
    <w:rsid w:val="00032F85"/>
    <w:rsid w:val="00032FEF"/>
    <w:rsid w:val="00033056"/>
    <w:rsid w:val="00033077"/>
    <w:rsid w:val="00033267"/>
    <w:rsid w:val="00033294"/>
    <w:rsid w:val="00033307"/>
    <w:rsid w:val="0003330A"/>
    <w:rsid w:val="000333B6"/>
    <w:rsid w:val="0003343E"/>
    <w:rsid w:val="00033489"/>
    <w:rsid w:val="0003348B"/>
    <w:rsid w:val="00033528"/>
    <w:rsid w:val="0003355F"/>
    <w:rsid w:val="00033582"/>
    <w:rsid w:val="000335C9"/>
    <w:rsid w:val="000336B8"/>
    <w:rsid w:val="000336FB"/>
    <w:rsid w:val="000337DE"/>
    <w:rsid w:val="0003380D"/>
    <w:rsid w:val="00033830"/>
    <w:rsid w:val="00033862"/>
    <w:rsid w:val="000338E7"/>
    <w:rsid w:val="0003391A"/>
    <w:rsid w:val="000339D2"/>
    <w:rsid w:val="00033A01"/>
    <w:rsid w:val="00033A17"/>
    <w:rsid w:val="00033A2F"/>
    <w:rsid w:val="00033A68"/>
    <w:rsid w:val="00033A76"/>
    <w:rsid w:val="00033A88"/>
    <w:rsid w:val="00033B23"/>
    <w:rsid w:val="00033B36"/>
    <w:rsid w:val="00033B51"/>
    <w:rsid w:val="00033B6B"/>
    <w:rsid w:val="00033B93"/>
    <w:rsid w:val="00033B9A"/>
    <w:rsid w:val="00033BA8"/>
    <w:rsid w:val="00033BAA"/>
    <w:rsid w:val="00033BD7"/>
    <w:rsid w:val="00033C1A"/>
    <w:rsid w:val="00033CAD"/>
    <w:rsid w:val="00033D17"/>
    <w:rsid w:val="00033D38"/>
    <w:rsid w:val="00033D87"/>
    <w:rsid w:val="00033DCD"/>
    <w:rsid w:val="00033E82"/>
    <w:rsid w:val="00033E96"/>
    <w:rsid w:val="00033ED3"/>
    <w:rsid w:val="00033FE0"/>
    <w:rsid w:val="00034073"/>
    <w:rsid w:val="000340B5"/>
    <w:rsid w:val="00034156"/>
    <w:rsid w:val="0003418E"/>
    <w:rsid w:val="000341D3"/>
    <w:rsid w:val="00034238"/>
    <w:rsid w:val="0003423E"/>
    <w:rsid w:val="0003428E"/>
    <w:rsid w:val="0003430A"/>
    <w:rsid w:val="0003431F"/>
    <w:rsid w:val="0003434D"/>
    <w:rsid w:val="00034379"/>
    <w:rsid w:val="000343CD"/>
    <w:rsid w:val="00034456"/>
    <w:rsid w:val="0003445C"/>
    <w:rsid w:val="00034495"/>
    <w:rsid w:val="000344E5"/>
    <w:rsid w:val="0003454D"/>
    <w:rsid w:val="000345E8"/>
    <w:rsid w:val="00034631"/>
    <w:rsid w:val="00034679"/>
    <w:rsid w:val="000346A9"/>
    <w:rsid w:val="0003479B"/>
    <w:rsid w:val="000347F5"/>
    <w:rsid w:val="00034893"/>
    <w:rsid w:val="0003496E"/>
    <w:rsid w:val="00034A5C"/>
    <w:rsid w:val="00034A87"/>
    <w:rsid w:val="00034A92"/>
    <w:rsid w:val="00034B23"/>
    <w:rsid w:val="00034C6D"/>
    <w:rsid w:val="00034C87"/>
    <w:rsid w:val="00034C88"/>
    <w:rsid w:val="00034CB1"/>
    <w:rsid w:val="00034CBC"/>
    <w:rsid w:val="00034D0A"/>
    <w:rsid w:val="00034D12"/>
    <w:rsid w:val="00034D92"/>
    <w:rsid w:val="00034DBC"/>
    <w:rsid w:val="00034E2F"/>
    <w:rsid w:val="00034E60"/>
    <w:rsid w:val="00034E72"/>
    <w:rsid w:val="00034EC9"/>
    <w:rsid w:val="00034F21"/>
    <w:rsid w:val="00034F74"/>
    <w:rsid w:val="0003505C"/>
    <w:rsid w:val="0003506F"/>
    <w:rsid w:val="000350A7"/>
    <w:rsid w:val="000350BE"/>
    <w:rsid w:val="000350E4"/>
    <w:rsid w:val="0003514E"/>
    <w:rsid w:val="00035179"/>
    <w:rsid w:val="000351DF"/>
    <w:rsid w:val="000351F7"/>
    <w:rsid w:val="00035209"/>
    <w:rsid w:val="00035332"/>
    <w:rsid w:val="00035393"/>
    <w:rsid w:val="000353C8"/>
    <w:rsid w:val="0003541F"/>
    <w:rsid w:val="000354F6"/>
    <w:rsid w:val="00035521"/>
    <w:rsid w:val="0003555A"/>
    <w:rsid w:val="0003555F"/>
    <w:rsid w:val="00035684"/>
    <w:rsid w:val="000358C8"/>
    <w:rsid w:val="000359AF"/>
    <w:rsid w:val="000359BD"/>
    <w:rsid w:val="00035A32"/>
    <w:rsid w:val="00035AFC"/>
    <w:rsid w:val="00035B63"/>
    <w:rsid w:val="00035B94"/>
    <w:rsid w:val="00035BE4"/>
    <w:rsid w:val="00035C0F"/>
    <w:rsid w:val="00035C13"/>
    <w:rsid w:val="00035C56"/>
    <w:rsid w:val="00035CA9"/>
    <w:rsid w:val="00035D01"/>
    <w:rsid w:val="00035D24"/>
    <w:rsid w:val="00035D52"/>
    <w:rsid w:val="00035D93"/>
    <w:rsid w:val="00035E3E"/>
    <w:rsid w:val="00035E81"/>
    <w:rsid w:val="00035EC0"/>
    <w:rsid w:val="00036012"/>
    <w:rsid w:val="0003601F"/>
    <w:rsid w:val="00036021"/>
    <w:rsid w:val="00036067"/>
    <w:rsid w:val="0003622C"/>
    <w:rsid w:val="0003623A"/>
    <w:rsid w:val="00036283"/>
    <w:rsid w:val="000362D0"/>
    <w:rsid w:val="000362F0"/>
    <w:rsid w:val="000363DF"/>
    <w:rsid w:val="000363FF"/>
    <w:rsid w:val="0003649B"/>
    <w:rsid w:val="000364E7"/>
    <w:rsid w:val="00036559"/>
    <w:rsid w:val="0003658A"/>
    <w:rsid w:val="000365A0"/>
    <w:rsid w:val="000365FF"/>
    <w:rsid w:val="00036620"/>
    <w:rsid w:val="00036881"/>
    <w:rsid w:val="00036888"/>
    <w:rsid w:val="000368C7"/>
    <w:rsid w:val="00036914"/>
    <w:rsid w:val="00036952"/>
    <w:rsid w:val="0003697F"/>
    <w:rsid w:val="000369D3"/>
    <w:rsid w:val="00036A00"/>
    <w:rsid w:val="00036A13"/>
    <w:rsid w:val="00036A34"/>
    <w:rsid w:val="00036B6C"/>
    <w:rsid w:val="00036BAF"/>
    <w:rsid w:val="00036CB8"/>
    <w:rsid w:val="00036CF1"/>
    <w:rsid w:val="00036E20"/>
    <w:rsid w:val="00036E6D"/>
    <w:rsid w:val="00036E6F"/>
    <w:rsid w:val="00036F1F"/>
    <w:rsid w:val="00036F54"/>
    <w:rsid w:val="00036F66"/>
    <w:rsid w:val="00036F7D"/>
    <w:rsid w:val="00036FCA"/>
    <w:rsid w:val="00037021"/>
    <w:rsid w:val="00037051"/>
    <w:rsid w:val="0003709B"/>
    <w:rsid w:val="000370E7"/>
    <w:rsid w:val="0003713C"/>
    <w:rsid w:val="00037144"/>
    <w:rsid w:val="00037165"/>
    <w:rsid w:val="0003717B"/>
    <w:rsid w:val="000371F8"/>
    <w:rsid w:val="0003721C"/>
    <w:rsid w:val="00037238"/>
    <w:rsid w:val="000372B1"/>
    <w:rsid w:val="00037375"/>
    <w:rsid w:val="0003739D"/>
    <w:rsid w:val="000373D5"/>
    <w:rsid w:val="00037481"/>
    <w:rsid w:val="000374A8"/>
    <w:rsid w:val="000374CC"/>
    <w:rsid w:val="000374DE"/>
    <w:rsid w:val="00037571"/>
    <w:rsid w:val="00037599"/>
    <w:rsid w:val="000375AB"/>
    <w:rsid w:val="000375DF"/>
    <w:rsid w:val="000375EB"/>
    <w:rsid w:val="00037740"/>
    <w:rsid w:val="000377A1"/>
    <w:rsid w:val="000377FB"/>
    <w:rsid w:val="000378BA"/>
    <w:rsid w:val="00037917"/>
    <w:rsid w:val="00037927"/>
    <w:rsid w:val="00037933"/>
    <w:rsid w:val="000379C4"/>
    <w:rsid w:val="000379CA"/>
    <w:rsid w:val="00037A01"/>
    <w:rsid w:val="00037A7B"/>
    <w:rsid w:val="00037A84"/>
    <w:rsid w:val="00037AD7"/>
    <w:rsid w:val="00037B61"/>
    <w:rsid w:val="00037B6B"/>
    <w:rsid w:val="00037BB0"/>
    <w:rsid w:val="00037BF8"/>
    <w:rsid w:val="00037CD4"/>
    <w:rsid w:val="00037D60"/>
    <w:rsid w:val="00037E0F"/>
    <w:rsid w:val="00037E9C"/>
    <w:rsid w:val="00037EF8"/>
    <w:rsid w:val="00037F6A"/>
    <w:rsid w:val="00037F77"/>
    <w:rsid w:val="00037FAB"/>
    <w:rsid w:val="00037FBE"/>
    <w:rsid w:val="00040028"/>
    <w:rsid w:val="0004002C"/>
    <w:rsid w:val="0004003B"/>
    <w:rsid w:val="000400CC"/>
    <w:rsid w:val="000400F9"/>
    <w:rsid w:val="00040126"/>
    <w:rsid w:val="00040181"/>
    <w:rsid w:val="0004019F"/>
    <w:rsid w:val="000401D8"/>
    <w:rsid w:val="000401F6"/>
    <w:rsid w:val="00040228"/>
    <w:rsid w:val="0004023D"/>
    <w:rsid w:val="000402F0"/>
    <w:rsid w:val="00040328"/>
    <w:rsid w:val="00040330"/>
    <w:rsid w:val="000403D5"/>
    <w:rsid w:val="00040433"/>
    <w:rsid w:val="0004046D"/>
    <w:rsid w:val="00040476"/>
    <w:rsid w:val="0004049B"/>
    <w:rsid w:val="000404F8"/>
    <w:rsid w:val="000404FF"/>
    <w:rsid w:val="0004054A"/>
    <w:rsid w:val="00040557"/>
    <w:rsid w:val="000405E5"/>
    <w:rsid w:val="0004060D"/>
    <w:rsid w:val="0004066D"/>
    <w:rsid w:val="00040696"/>
    <w:rsid w:val="000406DD"/>
    <w:rsid w:val="00040719"/>
    <w:rsid w:val="0004075B"/>
    <w:rsid w:val="0004076D"/>
    <w:rsid w:val="00040785"/>
    <w:rsid w:val="00040960"/>
    <w:rsid w:val="00040A28"/>
    <w:rsid w:val="00040A2A"/>
    <w:rsid w:val="00040A51"/>
    <w:rsid w:val="00040A79"/>
    <w:rsid w:val="00040BE2"/>
    <w:rsid w:val="00040C0F"/>
    <w:rsid w:val="00040C83"/>
    <w:rsid w:val="00040CF0"/>
    <w:rsid w:val="00040D47"/>
    <w:rsid w:val="00040D59"/>
    <w:rsid w:val="00040D7C"/>
    <w:rsid w:val="00040D98"/>
    <w:rsid w:val="00040E2A"/>
    <w:rsid w:val="00040E45"/>
    <w:rsid w:val="00040F22"/>
    <w:rsid w:val="0004107F"/>
    <w:rsid w:val="0004109C"/>
    <w:rsid w:val="00041197"/>
    <w:rsid w:val="000411E2"/>
    <w:rsid w:val="00041215"/>
    <w:rsid w:val="0004122D"/>
    <w:rsid w:val="000412CF"/>
    <w:rsid w:val="000412E8"/>
    <w:rsid w:val="000413B9"/>
    <w:rsid w:val="000413E2"/>
    <w:rsid w:val="000413EE"/>
    <w:rsid w:val="000414D5"/>
    <w:rsid w:val="00041535"/>
    <w:rsid w:val="00041590"/>
    <w:rsid w:val="00041649"/>
    <w:rsid w:val="00041684"/>
    <w:rsid w:val="000417A1"/>
    <w:rsid w:val="000417B4"/>
    <w:rsid w:val="000417B5"/>
    <w:rsid w:val="000417F6"/>
    <w:rsid w:val="0004181A"/>
    <w:rsid w:val="00041850"/>
    <w:rsid w:val="00041876"/>
    <w:rsid w:val="00041924"/>
    <w:rsid w:val="0004197B"/>
    <w:rsid w:val="000419AC"/>
    <w:rsid w:val="000419E2"/>
    <w:rsid w:val="000419FB"/>
    <w:rsid w:val="00041A14"/>
    <w:rsid w:val="00041A15"/>
    <w:rsid w:val="00041A63"/>
    <w:rsid w:val="00041A8B"/>
    <w:rsid w:val="00041A98"/>
    <w:rsid w:val="00041B23"/>
    <w:rsid w:val="00041B5E"/>
    <w:rsid w:val="00041BCA"/>
    <w:rsid w:val="00041BFA"/>
    <w:rsid w:val="00041C01"/>
    <w:rsid w:val="00041C22"/>
    <w:rsid w:val="00041C35"/>
    <w:rsid w:val="00041C45"/>
    <w:rsid w:val="00041C60"/>
    <w:rsid w:val="00041CA7"/>
    <w:rsid w:val="00041CD6"/>
    <w:rsid w:val="00041CD9"/>
    <w:rsid w:val="00041D02"/>
    <w:rsid w:val="00041D03"/>
    <w:rsid w:val="00041D60"/>
    <w:rsid w:val="00041E1A"/>
    <w:rsid w:val="00041E9E"/>
    <w:rsid w:val="00041EC1"/>
    <w:rsid w:val="00041ECE"/>
    <w:rsid w:val="00041F54"/>
    <w:rsid w:val="00041F72"/>
    <w:rsid w:val="00041F94"/>
    <w:rsid w:val="00041FD7"/>
    <w:rsid w:val="00042029"/>
    <w:rsid w:val="0004203A"/>
    <w:rsid w:val="00042096"/>
    <w:rsid w:val="00042164"/>
    <w:rsid w:val="00042188"/>
    <w:rsid w:val="000421AC"/>
    <w:rsid w:val="000422AE"/>
    <w:rsid w:val="000422C9"/>
    <w:rsid w:val="00042303"/>
    <w:rsid w:val="0004237F"/>
    <w:rsid w:val="00042396"/>
    <w:rsid w:val="000423A1"/>
    <w:rsid w:val="000423EE"/>
    <w:rsid w:val="0004243F"/>
    <w:rsid w:val="00042464"/>
    <w:rsid w:val="000424B4"/>
    <w:rsid w:val="000424F5"/>
    <w:rsid w:val="00042532"/>
    <w:rsid w:val="00042537"/>
    <w:rsid w:val="00042544"/>
    <w:rsid w:val="000425B4"/>
    <w:rsid w:val="000425D8"/>
    <w:rsid w:val="000425DE"/>
    <w:rsid w:val="000425EE"/>
    <w:rsid w:val="0004260E"/>
    <w:rsid w:val="000426B0"/>
    <w:rsid w:val="000426B8"/>
    <w:rsid w:val="000426D0"/>
    <w:rsid w:val="0004270F"/>
    <w:rsid w:val="0004274D"/>
    <w:rsid w:val="00042865"/>
    <w:rsid w:val="00042867"/>
    <w:rsid w:val="00042890"/>
    <w:rsid w:val="000428B1"/>
    <w:rsid w:val="000428B8"/>
    <w:rsid w:val="000428EF"/>
    <w:rsid w:val="000429A7"/>
    <w:rsid w:val="000429C2"/>
    <w:rsid w:val="00042A32"/>
    <w:rsid w:val="00042A49"/>
    <w:rsid w:val="00042AA7"/>
    <w:rsid w:val="00042AB1"/>
    <w:rsid w:val="00042AFB"/>
    <w:rsid w:val="00042B70"/>
    <w:rsid w:val="00042BED"/>
    <w:rsid w:val="00042C2B"/>
    <w:rsid w:val="00042C78"/>
    <w:rsid w:val="00042C83"/>
    <w:rsid w:val="00042CA4"/>
    <w:rsid w:val="00042CE4"/>
    <w:rsid w:val="00042D1D"/>
    <w:rsid w:val="00042D28"/>
    <w:rsid w:val="00042D53"/>
    <w:rsid w:val="00042E3A"/>
    <w:rsid w:val="00042E51"/>
    <w:rsid w:val="00042E5C"/>
    <w:rsid w:val="00042E79"/>
    <w:rsid w:val="00042F42"/>
    <w:rsid w:val="00042F4F"/>
    <w:rsid w:val="00042F94"/>
    <w:rsid w:val="00042FEC"/>
    <w:rsid w:val="00042FF5"/>
    <w:rsid w:val="0004301C"/>
    <w:rsid w:val="00043175"/>
    <w:rsid w:val="000431C9"/>
    <w:rsid w:val="0004324F"/>
    <w:rsid w:val="000432B7"/>
    <w:rsid w:val="00043357"/>
    <w:rsid w:val="00043393"/>
    <w:rsid w:val="0004348C"/>
    <w:rsid w:val="000434FC"/>
    <w:rsid w:val="00043544"/>
    <w:rsid w:val="00043562"/>
    <w:rsid w:val="0004356D"/>
    <w:rsid w:val="000435BD"/>
    <w:rsid w:val="000435E4"/>
    <w:rsid w:val="000435F5"/>
    <w:rsid w:val="00043610"/>
    <w:rsid w:val="000436F3"/>
    <w:rsid w:val="00043740"/>
    <w:rsid w:val="0004375F"/>
    <w:rsid w:val="00043925"/>
    <w:rsid w:val="0004394B"/>
    <w:rsid w:val="00043975"/>
    <w:rsid w:val="000439A6"/>
    <w:rsid w:val="00043A1D"/>
    <w:rsid w:val="00043ACD"/>
    <w:rsid w:val="00043BBF"/>
    <w:rsid w:val="00043BC5"/>
    <w:rsid w:val="00043C20"/>
    <w:rsid w:val="00043CDC"/>
    <w:rsid w:val="00043CE8"/>
    <w:rsid w:val="00043D79"/>
    <w:rsid w:val="00043E2F"/>
    <w:rsid w:val="00043E5F"/>
    <w:rsid w:val="00043E82"/>
    <w:rsid w:val="00043F20"/>
    <w:rsid w:val="00043F34"/>
    <w:rsid w:val="00043FB9"/>
    <w:rsid w:val="00043FBB"/>
    <w:rsid w:val="00043FEE"/>
    <w:rsid w:val="00044154"/>
    <w:rsid w:val="00044180"/>
    <w:rsid w:val="000441CC"/>
    <w:rsid w:val="00044281"/>
    <w:rsid w:val="00044371"/>
    <w:rsid w:val="0004438C"/>
    <w:rsid w:val="000443C9"/>
    <w:rsid w:val="000443D9"/>
    <w:rsid w:val="0004455C"/>
    <w:rsid w:val="0004459C"/>
    <w:rsid w:val="000445BF"/>
    <w:rsid w:val="000445DF"/>
    <w:rsid w:val="00044640"/>
    <w:rsid w:val="000446CC"/>
    <w:rsid w:val="000446FD"/>
    <w:rsid w:val="00044719"/>
    <w:rsid w:val="00044797"/>
    <w:rsid w:val="000447AC"/>
    <w:rsid w:val="00044977"/>
    <w:rsid w:val="0004498B"/>
    <w:rsid w:val="000449B5"/>
    <w:rsid w:val="000449F9"/>
    <w:rsid w:val="00044A41"/>
    <w:rsid w:val="00044A7D"/>
    <w:rsid w:val="00044AB1"/>
    <w:rsid w:val="00044AB9"/>
    <w:rsid w:val="00044AC9"/>
    <w:rsid w:val="00044B24"/>
    <w:rsid w:val="00044B87"/>
    <w:rsid w:val="00044C0A"/>
    <w:rsid w:val="00044CC0"/>
    <w:rsid w:val="00044CF6"/>
    <w:rsid w:val="00044DFA"/>
    <w:rsid w:val="00044EB3"/>
    <w:rsid w:val="00044FA9"/>
    <w:rsid w:val="00044FFC"/>
    <w:rsid w:val="00045024"/>
    <w:rsid w:val="00045125"/>
    <w:rsid w:val="0004513A"/>
    <w:rsid w:val="0004515D"/>
    <w:rsid w:val="00045171"/>
    <w:rsid w:val="000451B1"/>
    <w:rsid w:val="000451B2"/>
    <w:rsid w:val="00045245"/>
    <w:rsid w:val="00045309"/>
    <w:rsid w:val="00045313"/>
    <w:rsid w:val="000453CB"/>
    <w:rsid w:val="00045425"/>
    <w:rsid w:val="000454FE"/>
    <w:rsid w:val="00045516"/>
    <w:rsid w:val="0004554F"/>
    <w:rsid w:val="00045586"/>
    <w:rsid w:val="000455BD"/>
    <w:rsid w:val="000458BB"/>
    <w:rsid w:val="0004593C"/>
    <w:rsid w:val="0004596A"/>
    <w:rsid w:val="000459C3"/>
    <w:rsid w:val="000459EC"/>
    <w:rsid w:val="00045A34"/>
    <w:rsid w:val="00045A36"/>
    <w:rsid w:val="00045AC7"/>
    <w:rsid w:val="00045B3C"/>
    <w:rsid w:val="00045B58"/>
    <w:rsid w:val="00045B85"/>
    <w:rsid w:val="00045BB6"/>
    <w:rsid w:val="00045BD6"/>
    <w:rsid w:val="00045BE3"/>
    <w:rsid w:val="00045C0A"/>
    <w:rsid w:val="00045C11"/>
    <w:rsid w:val="00045C15"/>
    <w:rsid w:val="00045CEF"/>
    <w:rsid w:val="00045D47"/>
    <w:rsid w:val="00045D7A"/>
    <w:rsid w:val="00045DA7"/>
    <w:rsid w:val="00045E14"/>
    <w:rsid w:val="00045EA9"/>
    <w:rsid w:val="00045ECE"/>
    <w:rsid w:val="00045FAF"/>
    <w:rsid w:val="000460CE"/>
    <w:rsid w:val="000460E1"/>
    <w:rsid w:val="000460EC"/>
    <w:rsid w:val="0004610A"/>
    <w:rsid w:val="00046117"/>
    <w:rsid w:val="0004618F"/>
    <w:rsid w:val="00046261"/>
    <w:rsid w:val="0004631F"/>
    <w:rsid w:val="0004635E"/>
    <w:rsid w:val="00046361"/>
    <w:rsid w:val="000463AA"/>
    <w:rsid w:val="000463CA"/>
    <w:rsid w:val="0004640E"/>
    <w:rsid w:val="00046440"/>
    <w:rsid w:val="0004644F"/>
    <w:rsid w:val="00046456"/>
    <w:rsid w:val="0004647B"/>
    <w:rsid w:val="000464FA"/>
    <w:rsid w:val="00046512"/>
    <w:rsid w:val="0004655B"/>
    <w:rsid w:val="000465C4"/>
    <w:rsid w:val="00046629"/>
    <w:rsid w:val="00046642"/>
    <w:rsid w:val="0004665A"/>
    <w:rsid w:val="000466CA"/>
    <w:rsid w:val="00046765"/>
    <w:rsid w:val="000467FB"/>
    <w:rsid w:val="000468D0"/>
    <w:rsid w:val="000468F6"/>
    <w:rsid w:val="00046914"/>
    <w:rsid w:val="00046964"/>
    <w:rsid w:val="000469D5"/>
    <w:rsid w:val="00046A6D"/>
    <w:rsid w:val="00046A71"/>
    <w:rsid w:val="00046A7F"/>
    <w:rsid w:val="00046AB4"/>
    <w:rsid w:val="00046BA6"/>
    <w:rsid w:val="00046BC5"/>
    <w:rsid w:val="00046C5A"/>
    <w:rsid w:val="00046C62"/>
    <w:rsid w:val="00046D10"/>
    <w:rsid w:val="00046D13"/>
    <w:rsid w:val="00046D61"/>
    <w:rsid w:val="00046D8D"/>
    <w:rsid w:val="00046DB4"/>
    <w:rsid w:val="00046E0D"/>
    <w:rsid w:val="00046E5D"/>
    <w:rsid w:val="00046E80"/>
    <w:rsid w:val="00046EB2"/>
    <w:rsid w:val="00046EF0"/>
    <w:rsid w:val="00046F5A"/>
    <w:rsid w:val="00046F68"/>
    <w:rsid w:val="00046F96"/>
    <w:rsid w:val="00046FF1"/>
    <w:rsid w:val="00047022"/>
    <w:rsid w:val="00047090"/>
    <w:rsid w:val="0004709C"/>
    <w:rsid w:val="000470EA"/>
    <w:rsid w:val="00047272"/>
    <w:rsid w:val="0004728F"/>
    <w:rsid w:val="000472B2"/>
    <w:rsid w:val="000472F9"/>
    <w:rsid w:val="00047326"/>
    <w:rsid w:val="0004732F"/>
    <w:rsid w:val="00047350"/>
    <w:rsid w:val="00047364"/>
    <w:rsid w:val="000473D8"/>
    <w:rsid w:val="00047493"/>
    <w:rsid w:val="0004755D"/>
    <w:rsid w:val="000475D7"/>
    <w:rsid w:val="00047612"/>
    <w:rsid w:val="00047617"/>
    <w:rsid w:val="0004761B"/>
    <w:rsid w:val="0004768C"/>
    <w:rsid w:val="000476FC"/>
    <w:rsid w:val="00047716"/>
    <w:rsid w:val="00047770"/>
    <w:rsid w:val="00047791"/>
    <w:rsid w:val="00047804"/>
    <w:rsid w:val="00047844"/>
    <w:rsid w:val="00047850"/>
    <w:rsid w:val="0004794D"/>
    <w:rsid w:val="000479AC"/>
    <w:rsid w:val="000479DE"/>
    <w:rsid w:val="000479EC"/>
    <w:rsid w:val="00047A55"/>
    <w:rsid w:val="00047A82"/>
    <w:rsid w:val="00047AF6"/>
    <w:rsid w:val="00047B72"/>
    <w:rsid w:val="00047B79"/>
    <w:rsid w:val="00047C14"/>
    <w:rsid w:val="00047C36"/>
    <w:rsid w:val="00047CA3"/>
    <w:rsid w:val="00047D11"/>
    <w:rsid w:val="00047D2A"/>
    <w:rsid w:val="00047D39"/>
    <w:rsid w:val="00047D3A"/>
    <w:rsid w:val="00047E40"/>
    <w:rsid w:val="00047E9C"/>
    <w:rsid w:val="00047EC5"/>
    <w:rsid w:val="00047F36"/>
    <w:rsid w:val="00047F8B"/>
    <w:rsid w:val="00047F91"/>
    <w:rsid w:val="00047F95"/>
    <w:rsid w:val="00047FEB"/>
    <w:rsid w:val="00050018"/>
    <w:rsid w:val="000500C3"/>
    <w:rsid w:val="000501A6"/>
    <w:rsid w:val="000501AB"/>
    <w:rsid w:val="00050264"/>
    <w:rsid w:val="000502D2"/>
    <w:rsid w:val="00050335"/>
    <w:rsid w:val="0005034B"/>
    <w:rsid w:val="00050376"/>
    <w:rsid w:val="000503B6"/>
    <w:rsid w:val="000503EE"/>
    <w:rsid w:val="00050474"/>
    <w:rsid w:val="0005052F"/>
    <w:rsid w:val="00050531"/>
    <w:rsid w:val="000505C2"/>
    <w:rsid w:val="000505D1"/>
    <w:rsid w:val="00050640"/>
    <w:rsid w:val="00050697"/>
    <w:rsid w:val="000506B4"/>
    <w:rsid w:val="0005074C"/>
    <w:rsid w:val="00050768"/>
    <w:rsid w:val="000507D1"/>
    <w:rsid w:val="0005087F"/>
    <w:rsid w:val="0005092C"/>
    <w:rsid w:val="0005093F"/>
    <w:rsid w:val="000509AA"/>
    <w:rsid w:val="00050AA1"/>
    <w:rsid w:val="00050AD3"/>
    <w:rsid w:val="00050B4A"/>
    <w:rsid w:val="00050B4D"/>
    <w:rsid w:val="00050B6F"/>
    <w:rsid w:val="00050B7B"/>
    <w:rsid w:val="00050B7C"/>
    <w:rsid w:val="00050BFA"/>
    <w:rsid w:val="00050C0D"/>
    <w:rsid w:val="00050C6E"/>
    <w:rsid w:val="00050D1A"/>
    <w:rsid w:val="00050D79"/>
    <w:rsid w:val="00050DEF"/>
    <w:rsid w:val="00050E1C"/>
    <w:rsid w:val="00050E3E"/>
    <w:rsid w:val="00050EF9"/>
    <w:rsid w:val="00050FED"/>
    <w:rsid w:val="00051066"/>
    <w:rsid w:val="0005107D"/>
    <w:rsid w:val="0005108D"/>
    <w:rsid w:val="000510C0"/>
    <w:rsid w:val="00051106"/>
    <w:rsid w:val="00051120"/>
    <w:rsid w:val="00051131"/>
    <w:rsid w:val="00051133"/>
    <w:rsid w:val="0005116A"/>
    <w:rsid w:val="000511AA"/>
    <w:rsid w:val="000511BF"/>
    <w:rsid w:val="00051207"/>
    <w:rsid w:val="00051234"/>
    <w:rsid w:val="0005128D"/>
    <w:rsid w:val="000512E8"/>
    <w:rsid w:val="000512F2"/>
    <w:rsid w:val="000512F9"/>
    <w:rsid w:val="00051375"/>
    <w:rsid w:val="000513E2"/>
    <w:rsid w:val="00051418"/>
    <w:rsid w:val="0005143E"/>
    <w:rsid w:val="00051448"/>
    <w:rsid w:val="00051472"/>
    <w:rsid w:val="000515A3"/>
    <w:rsid w:val="000515CD"/>
    <w:rsid w:val="0005160E"/>
    <w:rsid w:val="0005163F"/>
    <w:rsid w:val="00051687"/>
    <w:rsid w:val="00051697"/>
    <w:rsid w:val="00051729"/>
    <w:rsid w:val="00051730"/>
    <w:rsid w:val="000517AA"/>
    <w:rsid w:val="0005183B"/>
    <w:rsid w:val="00051849"/>
    <w:rsid w:val="000518A8"/>
    <w:rsid w:val="00051AB3"/>
    <w:rsid w:val="00051B93"/>
    <w:rsid w:val="00051BE6"/>
    <w:rsid w:val="00051BEB"/>
    <w:rsid w:val="00051D14"/>
    <w:rsid w:val="00051D60"/>
    <w:rsid w:val="00051D6E"/>
    <w:rsid w:val="00051D73"/>
    <w:rsid w:val="00051DD5"/>
    <w:rsid w:val="00051ED8"/>
    <w:rsid w:val="00051F20"/>
    <w:rsid w:val="00051F45"/>
    <w:rsid w:val="00051FBA"/>
    <w:rsid w:val="00051FCC"/>
    <w:rsid w:val="00051FD1"/>
    <w:rsid w:val="00051FF1"/>
    <w:rsid w:val="00051FFF"/>
    <w:rsid w:val="0005203F"/>
    <w:rsid w:val="00052068"/>
    <w:rsid w:val="00052099"/>
    <w:rsid w:val="000520CD"/>
    <w:rsid w:val="000521C0"/>
    <w:rsid w:val="0005220C"/>
    <w:rsid w:val="000522B6"/>
    <w:rsid w:val="000522E5"/>
    <w:rsid w:val="00052379"/>
    <w:rsid w:val="0005248A"/>
    <w:rsid w:val="000524AB"/>
    <w:rsid w:val="000524DC"/>
    <w:rsid w:val="00052515"/>
    <w:rsid w:val="000525A5"/>
    <w:rsid w:val="000525E8"/>
    <w:rsid w:val="00052671"/>
    <w:rsid w:val="000526A2"/>
    <w:rsid w:val="000526AF"/>
    <w:rsid w:val="000526C2"/>
    <w:rsid w:val="00052720"/>
    <w:rsid w:val="0005272E"/>
    <w:rsid w:val="00052770"/>
    <w:rsid w:val="000527DC"/>
    <w:rsid w:val="000527E6"/>
    <w:rsid w:val="000527ED"/>
    <w:rsid w:val="0005286C"/>
    <w:rsid w:val="00052890"/>
    <w:rsid w:val="0005289D"/>
    <w:rsid w:val="000528FC"/>
    <w:rsid w:val="00052944"/>
    <w:rsid w:val="00052988"/>
    <w:rsid w:val="00052A4E"/>
    <w:rsid w:val="00052B60"/>
    <w:rsid w:val="00052BB2"/>
    <w:rsid w:val="00052C64"/>
    <w:rsid w:val="00052CE4"/>
    <w:rsid w:val="00052D75"/>
    <w:rsid w:val="00052ED6"/>
    <w:rsid w:val="00052F9F"/>
    <w:rsid w:val="00053030"/>
    <w:rsid w:val="00053055"/>
    <w:rsid w:val="00053061"/>
    <w:rsid w:val="00053093"/>
    <w:rsid w:val="0005317D"/>
    <w:rsid w:val="0005323E"/>
    <w:rsid w:val="00053334"/>
    <w:rsid w:val="00053335"/>
    <w:rsid w:val="0005339B"/>
    <w:rsid w:val="000533A8"/>
    <w:rsid w:val="000534A3"/>
    <w:rsid w:val="0005353C"/>
    <w:rsid w:val="0005357F"/>
    <w:rsid w:val="000535EA"/>
    <w:rsid w:val="00053686"/>
    <w:rsid w:val="0005371F"/>
    <w:rsid w:val="00053791"/>
    <w:rsid w:val="000537B8"/>
    <w:rsid w:val="0005382A"/>
    <w:rsid w:val="0005387C"/>
    <w:rsid w:val="0005392F"/>
    <w:rsid w:val="0005396B"/>
    <w:rsid w:val="0005399B"/>
    <w:rsid w:val="000539ED"/>
    <w:rsid w:val="00053A0A"/>
    <w:rsid w:val="00053A3D"/>
    <w:rsid w:val="00053A9B"/>
    <w:rsid w:val="00053B41"/>
    <w:rsid w:val="00053B4D"/>
    <w:rsid w:val="00053B87"/>
    <w:rsid w:val="00053BAB"/>
    <w:rsid w:val="00053BAD"/>
    <w:rsid w:val="00053BCC"/>
    <w:rsid w:val="00053C32"/>
    <w:rsid w:val="00053D26"/>
    <w:rsid w:val="00053DD8"/>
    <w:rsid w:val="00053E5E"/>
    <w:rsid w:val="00053E68"/>
    <w:rsid w:val="00053F04"/>
    <w:rsid w:val="00053F56"/>
    <w:rsid w:val="00053FFA"/>
    <w:rsid w:val="0005400F"/>
    <w:rsid w:val="00054018"/>
    <w:rsid w:val="00054060"/>
    <w:rsid w:val="0005406E"/>
    <w:rsid w:val="00054087"/>
    <w:rsid w:val="000540B0"/>
    <w:rsid w:val="00054131"/>
    <w:rsid w:val="00054212"/>
    <w:rsid w:val="0005438D"/>
    <w:rsid w:val="00054394"/>
    <w:rsid w:val="0005440F"/>
    <w:rsid w:val="00054451"/>
    <w:rsid w:val="00054489"/>
    <w:rsid w:val="00054548"/>
    <w:rsid w:val="00054564"/>
    <w:rsid w:val="00054584"/>
    <w:rsid w:val="000545EC"/>
    <w:rsid w:val="0005466B"/>
    <w:rsid w:val="000546C3"/>
    <w:rsid w:val="00054789"/>
    <w:rsid w:val="00054826"/>
    <w:rsid w:val="000548B5"/>
    <w:rsid w:val="000548EC"/>
    <w:rsid w:val="000548FE"/>
    <w:rsid w:val="00054A4F"/>
    <w:rsid w:val="00054A57"/>
    <w:rsid w:val="00054B79"/>
    <w:rsid w:val="00054BF2"/>
    <w:rsid w:val="00054C2D"/>
    <w:rsid w:val="00054C51"/>
    <w:rsid w:val="00054C63"/>
    <w:rsid w:val="00054D37"/>
    <w:rsid w:val="00054D3F"/>
    <w:rsid w:val="00054D6D"/>
    <w:rsid w:val="00054E5C"/>
    <w:rsid w:val="00054EFF"/>
    <w:rsid w:val="00054F13"/>
    <w:rsid w:val="00054FD0"/>
    <w:rsid w:val="0005505B"/>
    <w:rsid w:val="000550A6"/>
    <w:rsid w:val="000550DC"/>
    <w:rsid w:val="00055153"/>
    <w:rsid w:val="000551A3"/>
    <w:rsid w:val="000551F0"/>
    <w:rsid w:val="000551F8"/>
    <w:rsid w:val="00055200"/>
    <w:rsid w:val="00055245"/>
    <w:rsid w:val="00055341"/>
    <w:rsid w:val="00055385"/>
    <w:rsid w:val="000553AB"/>
    <w:rsid w:val="000553F3"/>
    <w:rsid w:val="00055405"/>
    <w:rsid w:val="0005548E"/>
    <w:rsid w:val="00055512"/>
    <w:rsid w:val="0005567E"/>
    <w:rsid w:val="000556A0"/>
    <w:rsid w:val="000556CF"/>
    <w:rsid w:val="0005571F"/>
    <w:rsid w:val="0005573F"/>
    <w:rsid w:val="00055754"/>
    <w:rsid w:val="00055784"/>
    <w:rsid w:val="00055820"/>
    <w:rsid w:val="0005582F"/>
    <w:rsid w:val="000558F8"/>
    <w:rsid w:val="0005593E"/>
    <w:rsid w:val="00055976"/>
    <w:rsid w:val="00055A18"/>
    <w:rsid w:val="00055A45"/>
    <w:rsid w:val="00055AC6"/>
    <w:rsid w:val="00055AEC"/>
    <w:rsid w:val="00055AF3"/>
    <w:rsid w:val="00055BD1"/>
    <w:rsid w:val="00055C1A"/>
    <w:rsid w:val="00055C52"/>
    <w:rsid w:val="00055C74"/>
    <w:rsid w:val="00055CC4"/>
    <w:rsid w:val="00055CF1"/>
    <w:rsid w:val="00055D21"/>
    <w:rsid w:val="00055D36"/>
    <w:rsid w:val="00055D56"/>
    <w:rsid w:val="00055D76"/>
    <w:rsid w:val="00055D90"/>
    <w:rsid w:val="00055DD7"/>
    <w:rsid w:val="00055E1A"/>
    <w:rsid w:val="00055E29"/>
    <w:rsid w:val="00055E82"/>
    <w:rsid w:val="00055EA6"/>
    <w:rsid w:val="00055F35"/>
    <w:rsid w:val="00055F5F"/>
    <w:rsid w:val="00055F81"/>
    <w:rsid w:val="00055F87"/>
    <w:rsid w:val="00055FAE"/>
    <w:rsid w:val="0005601B"/>
    <w:rsid w:val="0005605A"/>
    <w:rsid w:val="0005607B"/>
    <w:rsid w:val="000560EE"/>
    <w:rsid w:val="00056157"/>
    <w:rsid w:val="0005618D"/>
    <w:rsid w:val="000561D4"/>
    <w:rsid w:val="0005623E"/>
    <w:rsid w:val="00056275"/>
    <w:rsid w:val="000562A8"/>
    <w:rsid w:val="000563EF"/>
    <w:rsid w:val="00056419"/>
    <w:rsid w:val="00056424"/>
    <w:rsid w:val="00056426"/>
    <w:rsid w:val="00056491"/>
    <w:rsid w:val="0005649E"/>
    <w:rsid w:val="000564B0"/>
    <w:rsid w:val="000564BD"/>
    <w:rsid w:val="000564F0"/>
    <w:rsid w:val="000564F6"/>
    <w:rsid w:val="000565BC"/>
    <w:rsid w:val="00056613"/>
    <w:rsid w:val="0005663E"/>
    <w:rsid w:val="00056662"/>
    <w:rsid w:val="00056670"/>
    <w:rsid w:val="0005678D"/>
    <w:rsid w:val="000567D1"/>
    <w:rsid w:val="00056880"/>
    <w:rsid w:val="000568AF"/>
    <w:rsid w:val="000568D5"/>
    <w:rsid w:val="00056939"/>
    <w:rsid w:val="000569D3"/>
    <w:rsid w:val="00056A24"/>
    <w:rsid w:val="00056A3F"/>
    <w:rsid w:val="00056AC1"/>
    <w:rsid w:val="00056AE8"/>
    <w:rsid w:val="00056B21"/>
    <w:rsid w:val="00056BCB"/>
    <w:rsid w:val="00056C17"/>
    <w:rsid w:val="00056CA1"/>
    <w:rsid w:val="00056CBD"/>
    <w:rsid w:val="00056D6B"/>
    <w:rsid w:val="00056E33"/>
    <w:rsid w:val="00056F2D"/>
    <w:rsid w:val="00056F3A"/>
    <w:rsid w:val="00056F50"/>
    <w:rsid w:val="00056F6D"/>
    <w:rsid w:val="00056F7E"/>
    <w:rsid w:val="00057016"/>
    <w:rsid w:val="00057022"/>
    <w:rsid w:val="0005704C"/>
    <w:rsid w:val="00057058"/>
    <w:rsid w:val="000570EF"/>
    <w:rsid w:val="0005711B"/>
    <w:rsid w:val="0005723D"/>
    <w:rsid w:val="000572EF"/>
    <w:rsid w:val="00057301"/>
    <w:rsid w:val="00057330"/>
    <w:rsid w:val="0005743B"/>
    <w:rsid w:val="00057519"/>
    <w:rsid w:val="0005751E"/>
    <w:rsid w:val="00057559"/>
    <w:rsid w:val="00057565"/>
    <w:rsid w:val="000575C9"/>
    <w:rsid w:val="000575E4"/>
    <w:rsid w:val="00057644"/>
    <w:rsid w:val="000576EF"/>
    <w:rsid w:val="0005773A"/>
    <w:rsid w:val="000577FB"/>
    <w:rsid w:val="000577FD"/>
    <w:rsid w:val="0005782A"/>
    <w:rsid w:val="000578E9"/>
    <w:rsid w:val="00057981"/>
    <w:rsid w:val="000579B1"/>
    <w:rsid w:val="00057A07"/>
    <w:rsid w:val="00057B11"/>
    <w:rsid w:val="00057B45"/>
    <w:rsid w:val="00057B6D"/>
    <w:rsid w:val="00057B84"/>
    <w:rsid w:val="00057BA7"/>
    <w:rsid w:val="00057BED"/>
    <w:rsid w:val="00057BF1"/>
    <w:rsid w:val="00057C65"/>
    <w:rsid w:val="00057C95"/>
    <w:rsid w:val="00057D02"/>
    <w:rsid w:val="00057D6A"/>
    <w:rsid w:val="00057D77"/>
    <w:rsid w:val="00057DE8"/>
    <w:rsid w:val="00057E82"/>
    <w:rsid w:val="00057E8F"/>
    <w:rsid w:val="00057EF3"/>
    <w:rsid w:val="00057F65"/>
    <w:rsid w:val="00057F78"/>
    <w:rsid w:val="00057FC9"/>
    <w:rsid w:val="00060038"/>
    <w:rsid w:val="00060059"/>
    <w:rsid w:val="0006007E"/>
    <w:rsid w:val="000601B9"/>
    <w:rsid w:val="0006029D"/>
    <w:rsid w:val="000602D2"/>
    <w:rsid w:val="0006034E"/>
    <w:rsid w:val="00060363"/>
    <w:rsid w:val="000603ED"/>
    <w:rsid w:val="000603F1"/>
    <w:rsid w:val="00060400"/>
    <w:rsid w:val="0006040C"/>
    <w:rsid w:val="00060490"/>
    <w:rsid w:val="000604E4"/>
    <w:rsid w:val="00060502"/>
    <w:rsid w:val="00060537"/>
    <w:rsid w:val="00060558"/>
    <w:rsid w:val="0006059E"/>
    <w:rsid w:val="000605B0"/>
    <w:rsid w:val="000605ED"/>
    <w:rsid w:val="00060605"/>
    <w:rsid w:val="00060628"/>
    <w:rsid w:val="00060653"/>
    <w:rsid w:val="00060654"/>
    <w:rsid w:val="0006067E"/>
    <w:rsid w:val="00060759"/>
    <w:rsid w:val="0006081D"/>
    <w:rsid w:val="000608F5"/>
    <w:rsid w:val="00060963"/>
    <w:rsid w:val="00060997"/>
    <w:rsid w:val="0006099E"/>
    <w:rsid w:val="000609C5"/>
    <w:rsid w:val="00060A09"/>
    <w:rsid w:val="00060A2D"/>
    <w:rsid w:val="00060A49"/>
    <w:rsid w:val="00060AA3"/>
    <w:rsid w:val="00060B58"/>
    <w:rsid w:val="00060C26"/>
    <w:rsid w:val="00060DD8"/>
    <w:rsid w:val="00060E0D"/>
    <w:rsid w:val="00060E84"/>
    <w:rsid w:val="00060F0A"/>
    <w:rsid w:val="00060F2D"/>
    <w:rsid w:val="00060FBB"/>
    <w:rsid w:val="00060FE6"/>
    <w:rsid w:val="00061009"/>
    <w:rsid w:val="00061024"/>
    <w:rsid w:val="000610C8"/>
    <w:rsid w:val="00061111"/>
    <w:rsid w:val="0006118B"/>
    <w:rsid w:val="000611CC"/>
    <w:rsid w:val="0006125D"/>
    <w:rsid w:val="000612DE"/>
    <w:rsid w:val="000612E2"/>
    <w:rsid w:val="00061304"/>
    <w:rsid w:val="0006138C"/>
    <w:rsid w:val="00061436"/>
    <w:rsid w:val="00061513"/>
    <w:rsid w:val="0006157C"/>
    <w:rsid w:val="00061663"/>
    <w:rsid w:val="0006168A"/>
    <w:rsid w:val="0006174C"/>
    <w:rsid w:val="00061760"/>
    <w:rsid w:val="0006176B"/>
    <w:rsid w:val="00061790"/>
    <w:rsid w:val="000617ED"/>
    <w:rsid w:val="000618D8"/>
    <w:rsid w:val="0006196E"/>
    <w:rsid w:val="00061993"/>
    <w:rsid w:val="00061A7B"/>
    <w:rsid w:val="00061AAD"/>
    <w:rsid w:val="00061ACE"/>
    <w:rsid w:val="00061B05"/>
    <w:rsid w:val="00061B38"/>
    <w:rsid w:val="00061BA5"/>
    <w:rsid w:val="00061D28"/>
    <w:rsid w:val="00061D7C"/>
    <w:rsid w:val="00061DDF"/>
    <w:rsid w:val="00061F79"/>
    <w:rsid w:val="0006205D"/>
    <w:rsid w:val="000620B7"/>
    <w:rsid w:val="000620C0"/>
    <w:rsid w:val="0006211D"/>
    <w:rsid w:val="000621A5"/>
    <w:rsid w:val="00062212"/>
    <w:rsid w:val="00062241"/>
    <w:rsid w:val="000622A1"/>
    <w:rsid w:val="000623C3"/>
    <w:rsid w:val="000624B7"/>
    <w:rsid w:val="000624B8"/>
    <w:rsid w:val="000624D9"/>
    <w:rsid w:val="00062568"/>
    <w:rsid w:val="00062599"/>
    <w:rsid w:val="0006260A"/>
    <w:rsid w:val="00062625"/>
    <w:rsid w:val="00062636"/>
    <w:rsid w:val="00062650"/>
    <w:rsid w:val="000626BC"/>
    <w:rsid w:val="00062744"/>
    <w:rsid w:val="00062745"/>
    <w:rsid w:val="000627A1"/>
    <w:rsid w:val="000627C6"/>
    <w:rsid w:val="00062920"/>
    <w:rsid w:val="00062934"/>
    <w:rsid w:val="00062AA9"/>
    <w:rsid w:val="00062B5B"/>
    <w:rsid w:val="00062BA1"/>
    <w:rsid w:val="00062BEE"/>
    <w:rsid w:val="00062BF9"/>
    <w:rsid w:val="00062C04"/>
    <w:rsid w:val="00062C87"/>
    <w:rsid w:val="00062D0C"/>
    <w:rsid w:val="00062D12"/>
    <w:rsid w:val="00062DCB"/>
    <w:rsid w:val="00062E01"/>
    <w:rsid w:val="00062F51"/>
    <w:rsid w:val="0006300B"/>
    <w:rsid w:val="00063021"/>
    <w:rsid w:val="00063034"/>
    <w:rsid w:val="000630CB"/>
    <w:rsid w:val="000630D0"/>
    <w:rsid w:val="000630D4"/>
    <w:rsid w:val="000630D9"/>
    <w:rsid w:val="00063118"/>
    <w:rsid w:val="00063121"/>
    <w:rsid w:val="000631F8"/>
    <w:rsid w:val="0006323D"/>
    <w:rsid w:val="000632BC"/>
    <w:rsid w:val="0006331E"/>
    <w:rsid w:val="000634BD"/>
    <w:rsid w:val="00063516"/>
    <w:rsid w:val="0006352F"/>
    <w:rsid w:val="00063590"/>
    <w:rsid w:val="000636E2"/>
    <w:rsid w:val="00063774"/>
    <w:rsid w:val="00063873"/>
    <w:rsid w:val="00063940"/>
    <w:rsid w:val="0006394C"/>
    <w:rsid w:val="00063963"/>
    <w:rsid w:val="000639CB"/>
    <w:rsid w:val="00063A1E"/>
    <w:rsid w:val="00063A7F"/>
    <w:rsid w:val="00063A9D"/>
    <w:rsid w:val="00063B89"/>
    <w:rsid w:val="00063B9B"/>
    <w:rsid w:val="00063CEF"/>
    <w:rsid w:val="00063D06"/>
    <w:rsid w:val="00063D49"/>
    <w:rsid w:val="00063D4F"/>
    <w:rsid w:val="00063D5E"/>
    <w:rsid w:val="00063E04"/>
    <w:rsid w:val="00063E2B"/>
    <w:rsid w:val="00063EE3"/>
    <w:rsid w:val="00063F1A"/>
    <w:rsid w:val="00063F20"/>
    <w:rsid w:val="00063F92"/>
    <w:rsid w:val="00063FC8"/>
    <w:rsid w:val="00063FE4"/>
    <w:rsid w:val="0006404F"/>
    <w:rsid w:val="000640C9"/>
    <w:rsid w:val="00064116"/>
    <w:rsid w:val="00064165"/>
    <w:rsid w:val="0006417A"/>
    <w:rsid w:val="000641C9"/>
    <w:rsid w:val="000642B3"/>
    <w:rsid w:val="000642E0"/>
    <w:rsid w:val="00064362"/>
    <w:rsid w:val="0006437C"/>
    <w:rsid w:val="00064386"/>
    <w:rsid w:val="000643A9"/>
    <w:rsid w:val="00064441"/>
    <w:rsid w:val="000644BD"/>
    <w:rsid w:val="00064553"/>
    <w:rsid w:val="00064581"/>
    <w:rsid w:val="00064624"/>
    <w:rsid w:val="0006462F"/>
    <w:rsid w:val="00064675"/>
    <w:rsid w:val="00064683"/>
    <w:rsid w:val="0006469A"/>
    <w:rsid w:val="000646FB"/>
    <w:rsid w:val="0006474C"/>
    <w:rsid w:val="000647AE"/>
    <w:rsid w:val="000647C5"/>
    <w:rsid w:val="000647F7"/>
    <w:rsid w:val="0006482C"/>
    <w:rsid w:val="0006485E"/>
    <w:rsid w:val="000648B0"/>
    <w:rsid w:val="000648FA"/>
    <w:rsid w:val="000648FE"/>
    <w:rsid w:val="00064916"/>
    <w:rsid w:val="00064921"/>
    <w:rsid w:val="00064981"/>
    <w:rsid w:val="00064BD6"/>
    <w:rsid w:val="00064C2B"/>
    <w:rsid w:val="00064C5F"/>
    <w:rsid w:val="00064CB4"/>
    <w:rsid w:val="00064E21"/>
    <w:rsid w:val="00064E3E"/>
    <w:rsid w:val="00064E7C"/>
    <w:rsid w:val="00064E92"/>
    <w:rsid w:val="00064ECA"/>
    <w:rsid w:val="00064F43"/>
    <w:rsid w:val="00064F82"/>
    <w:rsid w:val="00064F9D"/>
    <w:rsid w:val="00064FFF"/>
    <w:rsid w:val="0006508F"/>
    <w:rsid w:val="00065125"/>
    <w:rsid w:val="00065193"/>
    <w:rsid w:val="00065194"/>
    <w:rsid w:val="000651AA"/>
    <w:rsid w:val="00065262"/>
    <w:rsid w:val="0006529A"/>
    <w:rsid w:val="00065336"/>
    <w:rsid w:val="0006537F"/>
    <w:rsid w:val="00065491"/>
    <w:rsid w:val="000654A5"/>
    <w:rsid w:val="00065520"/>
    <w:rsid w:val="0006552D"/>
    <w:rsid w:val="00065592"/>
    <w:rsid w:val="00065596"/>
    <w:rsid w:val="0006563F"/>
    <w:rsid w:val="000656EB"/>
    <w:rsid w:val="00065709"/>
    <w:rsid w:val="0006580C"/>
    <w:rsid w:val="0006584F"/>
    <w:rsid w:val="0006585F"/>
    <w:rsid w:val="0006587A"/>
    <w:rsid w:val="000658D6"/>
    <w:rsid w:val="00065908"/>
    <w:rsid w:val="00065988"/>
    <w:rsid w:val="000659CC"/>
    <w:rsid w:val="000659F3"/>
    <w:rsid w:val="00065A72"/>
    <w:rsid w:val="00065A7E"/>
    <w:rsid w:val="00065ADA"/>
    <w:rsid w:val="00065ADD"/>
    <w:rsid w:val="00065B7A"/>
    <w:rsid w:val="00065B8C"/>
    <w:rsid w:val="00065C8E"/>
    <w:rsid w:val="00065CA9"/>
    <w:rsid w:val="00065D30"/>
    <w:rsid w:val="00065D5C"/>
    <w:rsid w:val="00065D5D"/>
    <w:rsid w:val="00065D63"/>
    <w:rsid w:val="00065D69"/>
    <w:rsid w:val="00065D70"/>
    <w:rsid w:val="00065E40"/>
    <w:rsid w:val="00065F0D"/>
    <w:rsid w:val="00065F2E"/>
    <w:rsid w:val="00065FFD"/>
    <w:rsid w:val="00066024"/>
    <w:rsid w:val="00066058"/>
    <w:rsid w:val="0006609E"/>
    <w:rsid w:val="00066104"/>
    <w:rsid w:val="00066237"/>
    <w:rsid w:val="0006629B"/>
    <w:rsid w:val="00066316"/>
    <w:rsid w:val="0006633D"/>
    <w:rsid w:val="00066346"/>
    <w:rsid w:val="000663C6"/>
    <w:rsid w:val="0006640C"/>
    <w:rsid w:val="00066411"/>
    <w:rsid w:val="00066435"/>
    <w:rsid w:val="00066470"/>
    <w:rsid w:val="000664C3"/>
    <w:rsid w:val="000664E2"/>
    <w:rsid w:val="0006655D"/>
    <w:rsid w:val="0006656A"/>
    <w:rsid w:val="000665C9"/>
    <w:rsid w:val="000665EB"/>
    <w:rsid w:val="00066684"/>
    <w:rsid w:val="00066686"/>
    <w:rsid w:val="0006668A"/>
    <w:rsid w:val="000666F4"/>
    <w:rsid w:val="0006675D"/>
    <w:rsid w:val="00066762"/>
    <w:rsid w:val="000667A6"/>
    <w:rsid w:val="000667D3"/>
    <w:rsid w:val="00066830"/>
    <w:rsid w:val="00066872"/>
    <w:rsid w:val="00066884"/>
    <w:rsid w:val="000668A0"/>
    <w:rsid w:val="00066955"/>
    <w:rsid w:val="000669FA"/>
    <w:rsid w:val="00066A0D"/>
    <w:rsid w:val="00066A82"/>
    <w:rsid w:val="00066AD8"/>
    <w:rsid w:val="00066B1A"/>
    <w:rsid w:val="00066B33"/>
    <w:rsid w:val="00066B45"/>
    <w:rsid w:val="00066B5C"/>
    <w:rsid w:val="00066B84"/>
    <w:rsid w:val="00066B9A"/>
    <w:rsid w:val="00066BDD"/>
    <w:rsid w:val="00066C26"/>
    <w:rsid w:val="00066C44"/>
    <w:rsid w:val="00066C65"/>
    <w:rsid w:val="00066C66"/>
    <w:rsid w:val="00066C89"/>
    <w:rsid w:val="00066CA9"/>
    <w:rsid w:val="00066CE4"/>
    <w:rsid w:val="00066DB5"/>
    <w:rsid w:val="00066DC1"/>
    <w:rsid w:val="00066E15"/>
    <w:rsid w:val="00066E24"/>
    <w:rsid w:val="00066E25"/>
    <w:rsid w:val="00066E4A"/>
    <w:rsid w:val="00066E7D"/>
    <w:rsid w:val="00066E95"/>
    <w:rsid w:val="00066EE7"/>
    <w:rsid w:val="00066EF6"/>
    <w:rsid w:val="00066EFE"/>
    <w:rsid w:val="00066FAC"/>
    <w:rsid w:val="00066FB4"/>
    <w:rsid w:val="0006700B"/>
    <w:rsid w:val="00067070"/>
    <w:rsid w:val="000670BB"/>
    <w:rsid w:val="00067107"/>
    <w:rsid w:val="0006711E"/>
    <w:rsid w:val="0006712C"/>
    <w:rsid w:val="00067216"/>
    <w:rsid w:val="00067257"/>
    <w:rsid w:val="000672CE"/>
    <w:rsid w:val="00067318"/>
    <w:rsid w:val="00067336"/>
    <w:rsid w:val="00067384"/>
    <w:rsid w:val="000673A8"/>
    <w:rsid w:val="000673F4"/>
    <w:rsid w:val="00067417"/>
    <w:rsid w:val="00067554"/>
    <w:rsid w:val="00067580"/>
    <w:rsid w:val="00067584"/>
    <w:rsid w:val="000675AA"/>
    <w:rsid w:val="000675D1"/>
    <w:rsid w:val="00067713"/>
    <w:rsid w:val="00067813"/>
    <w:rsid w:val="00067894"/>
    <w:rsid w:val="0006793D"/>
    <w:rsid w:val="000679A4"/>
    <w:rsid w:val="000679C5"/>
    <w:rsid w:val="000679EE"/>
    <w:rsid w:val="000679F3"/>
    <w:rsid w:val="00067A72"/>
    <w:rsid w:val="00067A8D"/>
    <w:rsid w:val="00067AD4"/>
    <w:rsid w:val="00067AE9"/>
    <w:rsid w:val="00067AFB"/>
    <w:rsid w:val="00067BB4"/>
    <w:rsid w:val="00067BE9"/>
    <w:rsid w:val="00067BF0"/>
    <w:rsid w:val="00067CFD"/>
    <w:rsid w:val="00067D21"/>
    <w:rsid w:val="00067DD0"/>
    <w:rsid w:val="00067DE6"/>
    <w:rsid w:val="00067E80"/>
    <w:rsid w:val="00067FB9"/>
    <w:rsid w:val="00070036"/>
    <w:rsid w:val="00070070"/>
    <w:rsid w:val="000700C4"/>
    <w:rsid w:val="000700F7"/>
    <w:rsid w:val="00070144"/>
    <w:rsid w:val="00070159"/>
    <w:rsid w:val="000701C0"/>
    <w:rsid w:val="00070223"/>
    <w:rsid w:val="00070237"/>
    <w:rsid w:val="00070239"/>
    <w:rsid w:val="0007035B"/>
    <w:rsid w:val="000703AA"/>
    <w:rsid w:val="000703E4"/>
    <w:rsid w:val="000704FE"/>
    <w:rsid w:val="00070518"/>
    <w:rsid w:val="0007055C"/>
    <w:rsid w:val="00070630"/>
    <w:rsid w:val="00070632"/>
    <w:rsid w:val="00070635"/>
    <w:rsid w:val="000706D5"/>
    <w:rsid w:val="000706F0"/>
    <w:rsid w:val="00070810"/>
    <w:rsid w:val="00070812"/>
    <w:rsid w:val="00070862"/>
    <w:rsid w:val="00070874"/>
    <w:rsid w:val="0007089B"/>
    <w:rsid w:val="000708FA"/>
    <w:rsid w:val="0007098D"/>
    <w:rsid w:val="00070994"/>
    <w:rsid w:val="0007099A"/>
    <w:rsid w:val="000709AA"/>
    <w:rsid w:val="000709CC"/>
    <w:rsid w:val="00070A0C"/>
    <w:rsid w:val="00070A30"/>
    <w:rsid w:val="00070A60"/>
    <w:rsid w:val="00070AA0"/>
    <w:rsid w:val="00070AFB"/>
    <w:rsid w:val="00070B0C"/>
    <w:rsid w:val="00070B6E"/>
    <w:rsid w:val="00070B87"/>
    <w:rsid w:val="00070C01"/>
    <w:rsid w:val="00070C71"/>
    <w:rsid w:val="00070CD7"/>
    <w:rsid w:val="00070DB2"/>
    <w:rsid w:val="00070E14"/>
    <w:rsid w:val="00070E3F"/>
    <w:rsid w:val="00070E6E"/>
    <w:rsid w:val="00070E8B"/>
    <w:rsid w:val="00070EDF"/>
    <w:rsid w:val="00070F1E"/>
    <w:rsid w:val="00070F58"/>
    <w:rsid w:val="0007102C"/>
    <w:rsid w:val="00071049"/>
    <w:rsid w:val="00071150"/>
    <w:rsid w:val="00071198"/>
    <w:rsid w:val="0007119F"/>
    <w:rsid w:val="000711C7"/>
    <w:rsid w:val="00071229"/>
    <w:rsid w:val="00071243"/>
    <w:rsid w:val="00071252"/>
    <w:rsid w:val="0007125F"/>
    <w:rsid w:val="0007127B"/>
    <w:rsid w:val="000712B7"/>
    <w:rsid w:val="000713BC"/>
    <w:rsid w:val="000713F3"/>
    <w:rsid w:val="00071403"/>
    <w:rsid w:val="00071464"/>
    <w:rsid w:val="00071476"/>
    <w:rsid w:val="000714A2"/>
    <w:rsid w:val="000714F9"/>
    <w:rsid w:val="00071502"/>
    <w:rsid w:val="00071529"/>
    <w:rsid w:val="00071575"/>
    <w:rsid w:val="0007159B"/>
    <w:rsid w:val="00071610"/>
    <w:rsid w:val="00071620"/>
    <w:rsid w:val="00071648"/>
    <w:rsid w:val="00071673"/>
    <w:rsid w:val="00071677"/>
    <w:rsid w:val="000716F1"/>
    <w:rsid w:val="00071714"/>
    <w:rsid w:val="0007174C"/>
    <w:rsid w:val="0007175B"/>
    <w:rsid w:val="000717C9"/>
    <w:rsid w:val="000717D9"/>
    <w:rsid w:val="00071844"/>
    <w:rsid w:val="0007185D"/>
    <w:rsid w:val="000718C5"/>
    <w:rsid w:val="0007190A"/>
    <w:rsid w:val="00071910"/>
    <w:rsid w:val="000719CA"/>
    <w:rsid w:val="00071A44"/>
    <w:rsid w:val="00071A86"/>
    <w:rsid w:val="00071B87"/>
    <w:rsid w:val="00071B91"/>
    <w:rsid w:val="00071C31"/>
    <w:rsid w:val="00071C32"/>
    <w:rsid w:val="00071C3F"/>
    <w:rsid w:val="00071C63"/>
    <w:rsid w:val="00071C7F"/>
    <w:rsid w:val="00071D00"/>
    <w:rsid w:val="00071D33"/>
    <w:rsid w:val="00071D3A"/>
    <w:rsid w:val="00071D50"/>
    <w:rsid w:val="00071E30"/>
    <w:rsid w:val="00071E8E"/>
    <w:rsid w:val="00071EDB"/>
    <w:rsid w:val="00071F19"/>
    <w:rsid w:val="00071F40"/>
    <w:rsid w:val="0007208C"/>
    <w:rsid w:val="0007208D"/>
    <w:rsid w:val="000720C9"/>
    <w:rsid w:val="0007211F"/>
    <w:rsid w:val="00072181"/>
    <w:rsid w:val="00072311"/>
    <w:rsid w:val="00072352"/>
    <w:rsid w:val="00072440"/>
    <w:rsid w:val="00072460"/>
    <w:rsid w:val="0007248A"/>
    <w:rsid w:val="000724A6"/>
    <w:rsid w:val="000724BA"/>
    <w:rsid w:val="000724D9"/>
    <w:rsid w:val="000724FF"/>
    <w:rsid w:val="00072520"/>
    <w:rsid w:val="0007253E"/>
    <w:rsid w:val="00072584"/>
    <w:rsid w:val="00072631"/>
    <w:rsid w:val="000726C7"/>
    <w:rsid w:val="00072821"/>
    <w:rsid w:val="00072903"/>
    <w:rsid w:val="00072916"/>
    <w:rsid w:val="00072932"/>
    <w:rsid w:val="00072939"/>
    <w:rsid w:val="00072981"/>
    <w:rsid w:val="000729AF"/>
    <w:rsid w:val="00072A52"/>
    <w:rsid w:val="00072AFB"/>
    <w:rsid w:val="00072B06"/>
    <w:rsid w:val="00072B1E"/>
    <w:rsid w:val="00072B2C"/>
    <w:rsid w:val="00072B32"/>
    <w:rsid w:val="00072B8A"/>
    <w:rsid w:val="00072C19"/>
    <w:rsid w:val="00072C85"/>
    <w:rsid w:val="00072C9F"/>
    <w:rsid w:val="00072D53"/>
    <w:rsid w:val="00072EC5"/>
    <w:rsid w:val="00072F35"/>
    <w:rsid w:val="00072F67"/>
    <w:rsid w:val="00072F7E"/>
    <w:rsid w:val="0007309D"/>
    <w:rsid w:val="000730B8"/>
    <w:rsid w:val="000730F4"/>
    <w:rsid w:val="00073136"/>
    <w:rsid w:val="00073180"/>
    <w:rsid w:val="000731CA"/>
    <w:rsid w:val="00073243"/>
    <w:rsid w:val="000732CB"/>
    <w:rsid w:val="000732D1"/>
    <w:rsid w:val="000732F0"/>
    <w:rsid w:val="0007330E"/>
    <w:rsid w:val="00073344"/>
    <w:rsid w:val="000733A6"/>
    <w:rsid w:val="000733AA"/>
    <w:rsid w:val="000733F2"/>
    <w:rsid w:val="0007346E"/>
    <w:rsid w:val="0007346F"/>
    <w:rsid w:val="00073521"/>
    <w:rsid w:val="00073575"/>
    <w:rsid w:val="000735AD"/>
    <w:rsid w:val="000735F2"/>
    <w:rsid w:val="00073622"/>
    <w:rsid w:val="000736AE"/>
    <w:rsid w:val="00073741"/>
    <w:rsid w:val="00073760"/>
    <w:rsid w:val="00073763"/>
    <w:rsid w:val="0007381F"/>
    <w:rsid w:val="0007382F"/>
    <w:rsid w:val="0007386F"/>
    <w:rsid w:val="000738A9"/>
    <w:rsid w:val="000738BE"/>
    <w:rsid w:val="000738DA"/>
    <w:rsid w:val="00073923"/>
    <w:rsid w:val="00073940"/>
    <w:rsid w:val="0007399A"/>
    <w:rsid w:val="00073A39"/>
    <w:rsid w:val="00073A5A"/>
    <w:rsid w:val="00073A60"/>
    <w:rsid w:val="00073A9B"/>
    <w:rsid w:val="00073B9C"/>
    <w:rsid w:val="00073D12"/>
    <w:rsid w:val="00073D63"/>
    <w:rsid w:val="00073DDC"/>
    <w:rsid w:val="00073DE6"/>
    <w:rsid w:val="00073DEF"/>
    <w:rsid w:val="00073E02"/>
    <w:rsid w:val="00073E38"/>
    <w:rsid w:val="00073ED4"/>
    <w:rsid w:val="00073FE1"/>
    <w:rsid w:val="00074122"/>
    <w:rsid w:val="0007413E"/>
    <w:rsid w:val="00074166"/>
    <w:rsid w:val="000741B4"/>
    <w:rsid w:val="000741DE"/>
    <w:rsid w:val="00074214"/>
    <w:rsid w:val="00074241"/>
    <w:rsid w:val="0007424C"/>
    <w:rsid w:val="000742DF"/>
    <w:rsid w:val="00074312"/>
    <w:rsid w:val="00074404"/>
    <w:rsid w:val="00074441"/>
    <w:rsid w:val="00074450"/>
    <w:rsid w:val="00074454"/>
    <w:rsid w:val="00074459"/>
    <w:rsid w:val="00074475"/>
    <w:rsid w:val="0007449D"/>
    <w:rsid w:val="000744EF"/>
    <w:rsid w:val="0007454B"/>
    <w:rsid w:val="00074587"/>
    <w:rsid w:val="0007459F"/>
    <w:rsid w:val="000745CB"/>
    <w:rsid w:val="0007460D"/>
    <w:rsid w:val="00074643"/>
    <w:rsid w:val="00074686"/>
    <w:rsid w:val="000746AA"/>
    <w:rsid w:val="00074724"/>
    <w:rsid w:val="000747A9"/>
    <w:rsid w:val="000747B8"/>
    <w:rsid w:val="000747DB"/>
    <w:rsid w:val="000747EE"/>
    <w:rsid w:val="000747F9"/>
    <w:rsid w:val="00074827"/>
    <w:rsid w:val="00074833"/>
    <w:rsid w:val="0007483C"/>
    <w:rsid w:val="00074898"/>
    <w:rsid w:val="0007490F"/>
    <w:rsid w:val="00074984"/>
    <w:rsid w:val="0007499E"/>
    <w:rsid w:val="00074A39"/>
    <w:rsid w:val="00074A7A"/>
    <w:rsid w:val="00074A9A"/>
    <w:rsid w:val="00074B22"/>
    <w:rsid w:val="00074B5F"/>
    <w:rsid w:val="00074C84"/>
    <w:rsid w:val="00074C8C"/>
    <w:rsid w:val="00074C94"/>
    <w:rsid w:val="00074DA2"/>
    <w:rsid w:val="00074DDB"/>
    <w:rsid w:val="00074E41"/>
    <w:rsid w:val="00074E5E"/>
    <w:rsid w:val="00074E7D"/>
    <w:rsid w:val="00074E8D"/>
    <w:rsid w:val="00074EC1"/>
    <w:rsid w:val="00074F20"/>
    <w:rsid w:val="00074F52"/>
    <w:rsid w:val="00074F76"/>
    <w:rsid w:val="00075038"/>
    <w:rsid w:val="00075077"/>
    <w:rsid w:val="000750D5"/>
    <w:rsid w:val="000750D8"/>
    <w:rsid w:val="000750E5"/>
    <w:rsid w:val="000750F3"/>
    <w:rsid w:val="000750F6"/>
    <w:rsid w:val="000750FB"/>
    <w:rsid w:val="000751D8"/>
    <w:rsid w:val="00075287"/>
    <w:rsid w:val="0007528E"/>
    <w:rsid w:val="000752BD"/>
    <w:rsid w:val="000752FE"/>
    <w:rsid w:val="00075317"/>
    <w:rsid w:val="00075486"/>
    <w:rsid w:val="00075598"/>
    <w:rsid w:val="000755C1"/>
    <w:rsid w:val="000755C5"/>
    <w:rsid w:val="00075669"/>
    <w:rsid w:val="00075671"/>
    <w:rsid w:val="000756D9"/>
    <w:rsid w:val="00075732"/>
    <w:rsid w:val="0007574A"/>
    <w:rsid w:val="0007574B"/>
    <w:rsid w:val="00075774"/>
    <w:rsid w:val="00075778"/>
    <w:rsid w:val="0007577E"/>
    <w:rsid w:val="0007579F"/>
    <w:rsid w:val="0007580B"/>
    <w:rsid w:val="00075823"/>
    <w:rsid w:val="00075887"/>
    <w:rsid w:val="0007589E"/>
    <w:rsid w:val="000758DC"/>
    <w:rsid w:val="0007595C"/>
    <w:rsid w:val="000759B8"/>
    <w:rsid w:val="00075A6E"/>
    <w:rsid w:val="00075A72"/>
    <w:rsid w:val="00075A92"/>
    <w:rsid w:val="00075B5D"/>
    <w:rsid w:val="00075B6B"/>
    <w:rsid w:val="00075B80"/>
    <w:rsid w:val="00075C36"/>
    <w:rsid w:val="00075CC5"/>
    <w:rsid w:val="00075CEE"/>
    <w:rsid w:val="00075CF0"/>
    <w:rsid w:val="00075D49"/>
    <w:rsid w:val="00075D4B"/>
    <w:rsid w:val="00075D55"/>
    <w:rsid w:val="00075D87"/>
    <w:rsid w:val="00075D8A"/>
    <w:rsid w:val="00075D93"/>
    <w:rsid w:val="00075E60"/>
    <w:rsid w:val="00075E66"/>
    <w:rsid w:val="00075EA4"/>
    <w:rsid w:val="00075FA5"/>
    <w:rsid w:val="0007606A"/>
    <w:rsid w:val="000760A9"/>
    <w:rsid w:val="00076189"/>
    <w:rsid w:val="000761BC"/>
    <w:rsid w:val="0007623F"/>
    <w:rsid w:val="00076295"/>
    <w:rsid w:val="000762ED"/>
    <w:rsid w:val="0007631C"/>
    <w:rsid w:val="000763DD"/>
    <w:rsid w:val="000763F9"/>
    <w:rsid w:val="00076401"/>
    <w:rsid w:val="00076430"/>
    <w:rsid w:val="0007645F"/>
    <w:rsid w:val="00076481"/>
    <w:rsid w:val="000764FD"/>
    <w:rsid w:val="0007655C"/>
    <w:rsid w:val="00076592"/>
    <w:rsid w:val="000765D6"/>
    <w:rsid w:val="000765E9"/>
    <w:rsid w:val="000765F8"/>
    <w:rsid w:val="0007665F"/>
    <w:rsid w:val="000766A6"/>
    <w:rsid w:val="000766EC"/>
    <w:rsid w:val="00076754"/>
    <w:rsid w:val="0007675A"/>
    <w:rsid w:val="00076775"/>
    <w:rsid w:val="000767A2"/>
    <w:rsid w:val="000768A3"/>
    <w:rsid w:val="000768C5"/>
    <w:rsid w:val="00076903"/>
    <w:rsid w:val="00076905"/>
    <w:rsid w:val="00076928"/>
    <w:rsid w:val="0007694F"/>
    <w:rsid w:val="000769D2"/>
    <w:rsid w:val="000769DB"/>
    <w:rsid w:val="000769E0"/>
    <w:rsid w:val="000769FC"/>
    <w:rsid w:val="00076AC2"/>
    <w:rsid w:val="00076AC7"/>
    <w:rsid w:val="00076B40"/>
    <w:rsid w:val="00076B6F"/>
    <w:rsid w:val="00076BB0"/>
    <w:rsid w:val="00076BD4"/>
    <w:rsid w:val="00076C02"/>
    <w:rsid w:val="00076C04"/>
    <w:rsid w:val="00076C28"/>
    <w:rsid w:val="00076C73"/>
    <w:rsid w:val="00076D00"/>
    <w:rsid w:val="00076D1D"/>
    <w:rsid w:val="00076D4A"/>
    <w:rsid w:val="00076DF3"/>
    <w:rsid w:val="00076E2B"/>
    <w:rsid w:val="00076E3A"/>
    <w:rsid w:val="00076EB1"/>
    <w:rsid w:val="00076ED4"/>
    <w:rsid w:val="00076EF4"/>
    <w:rsid w:val="00076F55"/>
    <w:rsid w:val="00076F5F"/>
    <w:rsid w:val="00076F65"/>
    <w:rsid w:val="00076FFE"/>
    <w:rsid w:val="0007706D"/>
    <w:rsid w:val="00077078"/>
    <w:rsid w:val="000770F8"/>
    <w:rsid w:val="00077167"/>
    <w:rsid w:val="0007719D"/>
    <w:rsid w:val="000771BB"/>
    <w:rsid w:val="0007722A"/>
    <w:rsid w:val="00077232"/>
    <w:rsid w:val="00077250"/>
    <w:rsid w:val="00077261"/>
    <w:rsid w:val="000772C4"/>
    <w:rsid w:val="00077417"/>
    <w:rsid w:val="000774AE"/>
    <w:rsid w:val="000774F6"/>
    <w:rsid w:val="00077530"/>
    <w:rsid w:val="0007753F"/>
    <w:rsid w:val="00077557"/>
    <w:rsid w:val="000775DE"/>
    <w:rsid w:val="0007765F"/>
    <w:rsid w:val="000776A6"/>
    <w:rsid w:val="00077729"/>
    <w:rsid w:val="000777AD"/>
    <w:rsid w:val="00077895"/>
    <w:rsid w:val="00077896"/>
    <w:rsid w:val="0007791E"/>
    <w:rsid w:val="000779E0"/>
    <w:rsid w:val="00077A35"/>
    <w:rsid w:val="00077A3D"/>
    <w:rsid w:val="00077AE8"/>
    <w:rsid w:val="00077AF3"/>
    <w:rsid w:val="00077B13"/>
    <w:rsid w:val="00077BC9"/>
    <w:rsid w:val="00077CD3"/>
    <w:rsid w:val="00077D29"/>
    <w:rsid w:val="00077D35"/>
    <w:rsid w:val="00077D48"/>
    <w:rsid w:val="00077D63"/>
    <w:rsid w:val="00077DB1"/>
    <w:rsid w:val="00077E16"/>
    <w:rsid w:val="00077E67"/>
    <w:rsid w:val="00080013"/>
    <w:rsid w:val="0008007F"/>
    <w:rsid w:val="00080086"/>
    <w:rsid w:val="0008011C"/>
    <w:rsid w:val="00080133"/>
    <w:rsid w:val="000802CA"/>
    <w:rsid w:val="00080328"/>
    <w:rsid w:val="00080348"/>
    <w:rsid w:val="00080529"/>
    <w:rsid w:val="00080560"/>
    <w:rsid w:val="00080622"/>
    <w:rsid w:val="0008065B"/>
    <w:rsid w:val="0008065D"/>
    <w:rsid w:val="00080660"/>
    <w:rsid w:val="00080675"/>
    <w:rsid w:val="0008069A"/>
    <w:rsid w:val="000806D7"/>
    <w:rsid w:val="00080735"/>
    <w:rsid w:val="00080739"/>
    <w:rsid w:val="00080868"/>
    <w:rsid w:val="0008086E"/>
    <w:rsid w:val="000808C3"/>
    <w:rsid w:val="00080960"/>
    <w:rsid w:val="000809CF"/>
    <w:rsid w:val="000809F2"/>
    <w:rsid w:val="00080A3E"/>
    <w:rsid w:val="00080A61"/>
    <w:rsid w:val="00080BC8"/>
    <w:rsid w:val="00080C03"/>
    <w:rsid w:val="00080C31"/>
    <w:rsid w:val="00080D0E"/>
    <w:rsid w:val="00080D23"/>
    <w:rsid w:val="00080D72"/>
    <w:rsid w:val="00080D84"/>
    <w:rsid w:val="00080D8F"/>
    <w:rsid w:val="00080DD9"/>
    <w:rsid w:val="00080E08"/>
    <w:rsid w:val="00080E90"/>
    <w:rsid w:val="00080EC4"/>
    <w:rsid w:val="00080ECC"/>
    <w:rsid w:val="00080EF0"/>
    <w:rsid w:val="00080F52"/>
    <w:rsid w:val="00080F84"/>
    <w:rsid w:val="00080FD4"/>
    <w:rsid w:val="00081068"/>
    <w:rsid w:val="00081072"/>
    <w:rsid w:val="00081074"/>
    <w:rsid w:val="00081080"/>
    <w:rsid w:val="000810BB"/>
    <w:rsid w:val="00081170"/>
    <w:rsid w:val="000811A8"/>
    <w:rsid w:val="000811B8"/>
    <w:rsid w:val="000811BD"/>
    <w:rsid w:val="000811D0"/>
    <w:rsid w:val="0008120A"/>
    <w:rsid w:val="00081232"/>
    <w:rsid w:val="000812B9"/>
    <w:rsid w:val="00081349"/>
    <w:rsid w:val="000813BC"/>
    <w:rsid w:val="0008142E"/>
    <w:rsid w:val="0008144A"/>
    <w:rsid w:val="000814B3"/>
    <w:rsid w:val="000814C3"/>
    <w:rsid w:val="000814E1"/>
    <w:rsid w:val="000814E8"/>
    <w:rsid w:val="00081589"/>
    <w:rsid w:val="00081604"/>
    <w:rsid w:val="0008162C"/>
    <w:rsid w:val="0008166E"/>
    <w:rsid w:val="00081686"/>
    <w:rsid w:val="0008170B"/>
    <w:rsid w:val="00081726"/>
    <w:rsid w:val="0008174F"/>
    <w:rsid w:val="00081784"/>
    <w:rsid w:val="0008179C"/>
    <w:rsid w:val="000817FC"/>
    <w:rsid w:val="0008183A"/>
    <w:rsid w:val="00081873"/>
    <w:rsid w:val="000818A2"/>
    <w:rsid w:val="000818D6"/>
    <w:rsid w:val="000818DD"/>
    <w:rsid w:val="000819F0"/>
    <w:rsid w:val="00081A0B"/>
    <w:rsid w:val="00081A75"/>
    <w:rsid w:val="00081AA4"/>
    <w:rsid w:val="00081AC2"/>
    <w:rsid w:val="00081AF7"/>
    <w:rsid w:val="00081B2C"/>
    <w:rsid w:val="00081B5D"/>
    <w:rsid w:val="00081BAF"/>
    <w:rsid w:val="00081BFA"/>
    <w:rsid w:val="00081C81"/>
    <w:rsid w:val="00081CD9"/>
    <w:rsid w:val="00081D21"/>
    <w:rsid w:val="00081D8B"/>
    <w:rsid w:val="00081DDE"/>
    <w:rsid w:val="00081E66"/>
    <w:rsid w:val="00081EE3"/>
    <w:rsid w:val="00081F0A"/>
    <w:rsid w:val="00081F6A"/>
    <w:rsid w:val="00081FEF"/>
    <w:rsid w:val="0008200B"/>
    <w:rsid w:val="00082026"/>
    <w:rsid w:val="000820BA"/>
    <w:rsid w:val="000820D9"/>
    <w:rsid w:val="000820EB"/>
    <w:rsid w:val="0008213C"/>
    <w:rsid w:val="000821CE"/>
    <w:rsid w:val="0008223A"/>
    <w:rsid w:val="00082279"/>
    <w:rsid w:val="000822B5"/>
    <w:rsid w:val="000822F1"/>
    <w:rsid w:val="0008232D"/>
    <w:rsid w:val="00082342"/>
    <w:rsid w:val="00082436"/>
    <w:rsid w:val="000824C6"/>
    <w:rsid w:val="000824FA"/>
    <w:rsid w:val="000824FE"/>
    <w:rsid w:val="000825A0"/>
    <w:rsid w:val="000825B5"/>
    <w:rsid w:val="000825C8"/>
    <w:rsid w:val="000825CE"/>
    <w:rsid w:val="0008269D"/>
    <w:rsid w:val="000826D4"/>
    <w:rsid w:val="000826ED"/>
    <w:rsid w:val="0008280D"/>
    <w:rsid w:val="00082846"/>
    <w:rsid w:val="00082847"/>
    <w:rsid w:val="00082874"/>
    <w:rsid w:val="00082994"/>
    <w:rsid w:val="000829FA"/>
    <w:rsid w:val="00082A1E"/>
    <w:rsid w:val="00082A6E"/>
    <w:rsid w:val="00082A77"/>
    <w:rsid w:val="00082A7A"/>
    <w:rsid w:val="00082B23"/>
    <w:rsid w:val="00082B3D"/>
    <w:rsid w:val="00082C12"/>
    <w:rsid w:val="00082C82"/>
    <w:rsid w:val="00082D1C"/>
    <w:rsid w:val="00082DC4"/>
    <w:rsid w:val="00082E4B"/>
    <w:rsid w:val="00082F5E"/>
    <w:rsid w:val="00082FC2"/>
    <w:rsid w:val="00082FE0"/>
    <w:rsid w:val="00082FEB"/>
    <w:rsid w:val="00082FFD"/>
    <w:rsid w:val="000830A1"/>
    <w:rsid w:val="0008312D"/>
    <w:rsid w:val="00083130"/>
    <w:rsid w:val="0008314B"/>
    <w:rsid w:val="000831E1"/>
    <w:rsid w:val="00083214"/>
    <w:rsid w:val="00083228"/>
    <w:rsid w:val="0008327D"/>
    <w:rsid w:val="00083304"/>
    <w:rsid w:val="00083335"/>
    <w:rsid w:val="0008340D"/>
    <w:rsid w:val="00083453"/>
    <w:rsid w:val="00083454"/>
    <w:rsid w:val="0008346D"/>
    <w:rsid w:val="0008346E"/>
    <w:rsid w:val="0008347D"/>
    <w:rsid w:val="00083485"/>
    <w:rsid w:val="000834FE"/>
    <w:rsid w:val="00083590"/>
    <w:rsid w:val="000835A0"/>
    <w:rsid w:val="000835B0"/>
    <w:rsid w:val="000836C3"/>
    <w:rsid w:val="0008372B"/>
    <w:rsid w:val="000837CB"/>
    <w:rsid w:val="000837DA"/>
    <w:rsid w:val="000838AA"/>
    <w:rsid w:val="000838DA"/>
    <w:rsid w:val="000838E1"/>
    <w:rsid w:val="000838E6"/>
    <w:rsid w:val="0008391A"/>
    <w:rsid w:val="00083985"/>
    <w:rsid w:val="0008399C"/>
    <w:rsid w:val="000839A3"/>
    <w:rsid w:val="000839C4"/>
    <w:rsid w:val="000839F0"/>
    <w:rsid w:val="00083AAE"/>
    <w:rsid w:val="00083AF0"/>
    <w:rsid w:val="00083B5F"/>
    <w:rsid w:val="00083BB7"/>
    <w:rsid w:val="00083C81"/>
    <w:rsid w:val="00083D33"/>
    <w:rsid w:val="00083D7E"/>
    <w:rsid w:val="00083E17"/>
    <w:rsid w:val="00083E33"/>
    <w:rsid w:val="00083E78"/>
    <w:rsid w:val="00083F55"/>
    <w:rsid w:val="00083F6E"/>
    <w:rsid w:val="00083F9A"/>
    <w:rsid w:val="00084045"/>
    <w:rsid w:val="0008405A"/>
    <w:rsid w:val="000840B6"/>
    <w:rsid w:val="000840C5"/>
    <w:rsid w:val="00084101"/>
    <w:rsid w:val="000841CC"/>
    <w:rsid w:val="0008422D"/>
    <w:rsid w:val="00084275"/>
    <w:rsid w:val="000842B8"/>
    <w:rsid w:val="000842C0"/>
    <w:rsid w:val="0008437F"/>
    <w:rsid w:val="000843AF"/>
    <w:rsid w:val="00084459"/>
    <w:rsid w:val="000844E8"/>
    <w:rsid w:val="00084500"/>
    <w:rsid w:val="00084530"/>
    <w:rsid w:val="0008453E"/>
    <w:rsid w:val="00084573"/>
    <w:rsid w:val="000845DC"/>
    <w:rsid w:val="0008461E"/>
    <w:rsid w:val="00084641"/>
    <w:rsid w:val="00084650"/>
    <w:rsid w:val="00084663"/>
    <w:rsid w:val="0008468E"/>
    <w:rsid w:val="000846EC"/>
    <w:rsid w:val="00084714"/>
    <w:rsid w:val="0008471E"/>
    <w:rsid w:val="00084748"/>
    <w:rsid w:val="0008476F"/>
    <w:rsid w:val="000847A9"/>
    <w:rsid w:val="00084814"/>
    <w:rsid w:val="0008482B"/>
    <w:rsid w:val="000848AC"/>
    <w:rsid w:val="00084912"/>
    <w:rsid w:val="000849A1"/>
    <w:rsid w:val="00084A25"/>
    <w:rsid w:val="00084A28"/>
    <w:rsid w:val="00084A87"/>
    <w:rsid w:val="00084ABC"/>
    <w:rsid w:val="00084BA9"/>
    <w:rsid w:val="00084BF7"/>
    <w:rsid w:val="00084C48"/>
    <w:rsid w:val="00084DD0"/>
    <w:rsid w:val="00084E6B"/>
    <w:rsid w:val="00084E80"/>
    <w:rsid w:val="00084E97"/>
    <w:rsid w:val="00084EC5"/>
    <w:rsid w:val="00084EE3"/>
    <w:rsid w:val="00084F6C"/>
    <w:rsid w:val="00084FF9"/>
    <w:rsid w:val="0008501D"/>
    <w:rsid w:val="00085075"/>
    <w:rsid w:val="00085087"/>
    <w:rsid w:val="000850B6"/>
    <w:rsid w:val="000850DD"/>
    <w:rsid w:val="00085112"/>
    <w:rsid w:val="0008512F"/>
    <w:rsid w:val="000851B3"/>
    <w:rsid w:val="000852A3"/>
    <w:rsid w:val="000852B3"/>
    <w:rsid w:val="000852FA"/>
    <w:rsid w:val="000852FB"/>
    <w:rsid w:val="000854A3"/>
    <w:rsid w:val="00085531"/>
    <w:rsid w:val="0008553F"/>
    <w:rsid w:val="0008556D"/>
    <w:rsid w:val="0008563B"/>
    <w:rsid w:val="00085653"/>
    <w:rsid w:val="0008569E"/>
    <w:rsid w:val="00085773"/>
    <w:rsid w:val="00085808"/>
    <w:rsid w:val="000858F2"/>
    <w:rsid w:val="000858F8"/>
    <w:rsid w:val="00085918"/>
    <w:rsid w:val="0008596B"/>
    <w:rsid w:val="000859A2"/>
    <w:rsid w:val="000859B2"/>
    <w:rsid w:val="000859DD"/>
    <w:rsid w:val="000859FA"/>
    <w:rsid w:val="000859FE"/>
    <w:rsid w:val="00085A4C"/>
    <w:rsid w:val="00085A8C"/>
    <w:rsid w:val="00085AB0"/>
    <w:rsid w:val="00085B3D"/>
    <w:rsid w:val="00085C1B"/>
    <w:rsid w:val="00085C3C"/>
    <w:rsid w:val="00085C55"/>
    <w:rsid w:val="00085CDD"/>
    <w:rsid w:val="00085D73"/>
    <w:rsid w:val="00085DC7"/>
    <w:rsid w:val="00085E51"/>
    <w:rsid w:val="00085EAA"/>
    <w:rsid w:val="00085EC8"/>
    <w:rsid w:val="00085EFC"/>
    <w:rsid w:val="00085F01"/>
    <w:rsid w:val="00085F2B"/>
    <w:rsid w:val="00085F37"/>
    <w:rsid w:val="00085F4D"/>
    <w:rsid w:val="00085F88"/>
    <w:rsid w:val="00085FD3"/>
    <w:rsid w:val="0008600D"/>
    <w:rsid w:val="00086154"/>
    <w:rsid w:val="00086178"/>
    <w:rsid w:val="000861A2"/>
    <w:rsid w:val="00086244"/>
    <w:rsid w:val="0008636A"/>
    <w:rsid w:val="000863B9"/>
    <w:rsid w:val="00086417"/>
    <w:rsid w:val="000864B1"/>
    <w:rsid w:val="000864B6"/>
    <w:rsid w:val="000864DA"/>
    <w:rsid w:val="0008650D"/>
    <w:rsid w:val="000865D9"/>
    <w:rsid w:val="000866A3"/>
    <w:rsid w:val="000867A9"/>
    <w:rsid w:val="000867BE"/>
    <w:rsid w:val="000867D7"/>
    <w:rsid w:val="000867DA"/>
    <w:rsid w:val="00086847"/>
    <w:rsid w:val="00086863"/>
    <w:rsid w:val="000868C6"/>
    <w:rsid w:val="000868F6"/>
    <w:rsid w:val="0008695B"/>
    <w:rsid w:val="000869E4"/>
    <w:rsid w:val="00086A02"/>
    <w:rsid w:val="00086A1E"/>
    <w:rsid w:val="00086A4D"/>
    <w:rsid w:val="00086A72"/>
    <w:rsid w:val="00086B3D"/>
    <w:rsid w:val="00086B61"/>
    <w:rsid w:val="00086B8D"/>
    <w:rsid w:val="00086B8F"/>
    <w:rsid w:val="00086BFD"/>
    <w:rsid w:val="00086C0A"/>
    <w:rsid w:val="00086CBF"/>
    <w:rsid w:val="00086CC5"/>
    <w:rsid w:val="00086D3E"/>
    <w:rsid w:val="00086D65"/>
    <w:rsid w:val="00086D6C"/>
    <w:rsid w:val="00086D74"/>
    <w:rsid w:val="00086E05"/>
    <w:rsid w:val="00086E2D"/>
    <w:rsid w:val="00086EA3"/>
    <w:rsid w:val="00086EDE"/>
    <w:rsid w:val="00086F05"/>
    <w:rsid w:val="00086F4E"/>
    <w:rsid w:val="00086F66"/>
    <w:rsid w:val="00086F81"/>
    <w:rsid w:val="00086FDD"/>
    <w:rsid w:val="00087013"/>
    <w:rsid w:val="00087059"/>
    <w:rsid w:val="000870A1"/>
    <w:rsid w:val="00087130"/>
    <w:rsid w:val="00087152"/>
    <w:rsid w:val="00087249"/>
    <w:rsid w:val="0008729E"/>
    <w:rsid w:val="000872A5"/>
    <w:rsid w:val="000872AB"/>
    <w:rsid w:val="000872B7"/>
    <w:rsid w:val="000872F2"/>
    <w:rsid w:val="000872F5"/>
    <w:rsid w:val="00087319"/>
    <w:rsid w:val="0008733A"/>
    <w:rsid w:val="0008733F"/>
    <w:rsid w:val="0008734F"/>
    <w:rsid w:val="00087371"/>
    <w:rsid w:val="000873C2"/>
    <w:rsid w:val="00087432"/>
    <w:rsid w:val="0008749B"/>
    <w:rsid w:val="0008750F"/>
    <w:rsid w:val="00087552"/>
    <w:rsid w:val="00087580"/>
    <w:rsid w:val="000875CE"/>
    <w:rsid w:val="0008768A"/>
    <w:rsid w:val="00087715"/>
    <w:rsid w:val="00087736"/>
    <w:rsid w:val="00087747"/>
    <w:rsid w:val="000877C8"/>
    <w:rsid w:val="00087802"/>
    <w:rsid w:val="0008781F"/>
    <w:rsid w:val="00087852"/>
    <w:rsid w:val="000878A5"/>
    <w:rsid w:val="000878F9"/>
    <w:rsid w:val="000879BE"/>
    <w:rsid w:val="00087A2D"/>
    <w:rsid w:val="00087AF4"/>
    <w:rsid w:val="00087B68"/>
    <w:rsid w:val="00087C2F"/>
    <w:rsid w:val="00087D12"/>
    <w:rsid w:val="00087D4B"/>
    <w:rsid w:val="00087D6E"/>
    <w:rsid w:val="00087D8E"/>
    <w:rsid w:val="00087D9B"/>
    <w:rsid w:val="00087DAE"/>
    <w:rsid w:val="00087DDF"/>
    <w:rsid w:val="00087E51"/>
    <w:rsid w:val="00087E79"/>
    <w:rsid w:val="00087EBA"/>
    <w:rsid w:val="00087F2A"/>
    <w:rsid w:val="00087F4F"/>
    <w:rsid w:val="00087FAA"/>
    <w:rsid w:val="00087FAF"/>
    <w:rsid w:val="00087FB3"/>
    <w:rsid w:val="00087FDB"/>
    <w:rsid w:val="00087FEA"/>
    <w:rsid w:val="000900A1"/>
    <w:rsid w:val="00090118"/>
    <w:rsid w:val="000901B9"/>
    <w:rsid w:val="00090227"/>
    <w:rsid w:val="0009022C"/>
    <w:rsid w:val="0009023C"/>
    <w:rsid w:val="0009027C"/>
    <w:rsid w:val="00090293"/>
    <w:rsid w:val="000902BF"/>
    <w:rsid w:val="000902C7"/>
    <w:rsid w:val="00090329"/>
    <w:rsid w:val="00090359"/>
    <w:rsid w:val="00090414"/>
    <w:rsid w:val="0009041F"/>
    <w:rsid w:val="00090566"/>
    <w:rsid w:val="0009060D"/>
    <w:rsid w:val="000906EB"/>
    <w:rsid w:val="0009074C"/>
    <w:rsid w:val="000907DD"/>
    <w:rsid w:val="00090809"/>
    <w:rsid w:val="0009090C"/>
    <w:rsid w:val="0009098C"/>
    <w:rsid w:val="000909FF"/>
    <w:rsid w:val="00090A0E"/>
    <w:rsid w:val="00090A1F"/>
    <w:rsid w:val="00090A68"/>
    <w:rsid w:val="00090B40"/>
    <w:rsid w:val="00090B8E"/>
    <w:rsid w:val="00090BA4"/>
    <w:rsid w:val="00090BC7"/>
    <w:rsid w:val="00090BFF"/>
    <w:rsid w:val="00090C79"/>
    <w:rsid w:val="00090C85"/>
    <w:rsid w:val="00090D07"/>
    <w:rsid w:val="00090D24"/>
    <w:rsid w:val="00090D51"/>
    <w:rsid w:val="00090D76"/>
    <w:rsid w:val="00090D82"/>
    <w:rsid w:val="00090E7A"/>
    <w:rsid w:val="00090EEC"/>
    <w:rsid w:val="00090F68"/>
    <w:rsid w:val="00090FE3"/>
    <w:rsid w:val="00091071"/>
    <w:rsid w:val="000910B1"/>
    <w:rsid w:val="00091105"/>
    <w:rsid w:val="0009112A"/>
    <w:rsid w:val="0009114E"/>
    <w:rsid w:val="000911C7"/>
    <w:rsid w:val="00091244"/>
    <w:rsid w:val="00091257"/>
    <w:rsid w:val="0009126B"/>
    <w:rsid w:val="000912DD"/>
    <w:rsid w:val="0009143F"/>
    <w:rsid w:val="00091443"/>
    <w:rsid w:val="000914BC"/>
    <w:rsid w:val="000914D2"/>
    <w:rsid w:val="000914FB"/>
    <w:rsid w:val="0009151A"/>
    <w:rsid w:val="00091597"/>
    <w:rsid w:val="000915E4"/>
    <w:rsid w:val="0009162D"/>
    <w:rsid w:val="00091692"/>
    <w:rsid w:val="00091770"/>
    <w:rsid w:val="0009182F"/>
    <w:rsid w:val="00091862"/>
    <w:rsid w:val="000918CE"/>
    <w:rsid w:val="000918F1"/>
    <w:rsid w:val="0009192B"/>
    <w:rsid w:val="00091958"/>
    <w:rsid w:val="000919C1"/>
    <w:rsid w:val="00091A68"/>
    <w:rsid w:val="00091B14"/>
    <w:rsid w:val="00091BC3"/>
    <w:rsid w:val="00091C1E"/>
    <w:rsid w:val="00091C2E"/>
    <w:rsid w:val="00091C8C"/>
    <w:rsid w:val="00091CED"/>
    <w:rsid w:val="00091DE0"/>
    <w:rsid w:val="00091DEF"/>
    <w:rsid w:val="00091DF4"/>
    <w:rsid w:val="00091DFE"/>
    <w:rsid w:val="00091ED5"/>
    <w:rsid w:val="00091EE0"/>
    <w:rsid w:val="00091F2E"/>
    <w:rsid w:val="00091F78"/>
    <w:rsid w:val="00091FDF"/>
    <w:rsid w:val="0009200C"/>
    <w:rsid w:val="00092029"/>
    <w:rsid w:val="0009204F"/>
    <w:rsid w:val="00092179"/>
    <w:rsid w:val="000921EA"/>
    <w:rsid w:val="0009222D"/>
    <w:rsid w:val="0009223B"/>
    <w:rsid w:val="0009224A"/>
    <w:rsid w:val="00092258"/>
    <w:rsid w:val="000922A6"/>
    <w:rsid w:val="0009232B"/>
    <w:rsid w:val="0009233A"/>
    <w:rsid w:val="000923E1"/>
    <w:rsid w:val="00092407"/>
    <w:rsid w:val="00092429"/>
    <w:rsid w:val="0009250B"/>
    <w:rsid w:val="00092537"/>
    <w:rsid w:val="0009257D"/>
    <w:rsid w:val="000925AD"/>
    <w:rsid w:val="00092705"/>
    <w:rsid w:val="00092722"/>
    <w:rsid w:val="000927DE"/>
    <w:rsid w:val="0009284D"/>
    <w:rsid w:val="00092888"/>
    <w:rsid w:val="000928B1"/>
    <w:rsid w:val="000928BF"/>
    <w:rsid w:val="000928DC"/>
    <w:rsid w:val="0009296D"/>
    <w:rsid w:val="00092A1F"/>
    <w:rsid w:val="00092AB3"/>
    <w:rsid w:val="00092B7F"/>
    <w:rsid w:val="00092B82"/>
    <w:rsid w:val="00092C25"/>
    <w:rsid w:val="00092C67"/>
    <w:rsid w:val="00092C7C"/>
    <w:rsid w:val="00092C92"/>
    <w:rsid w:val="00092CA8"/>
    <w:rsid w:val="00092CB4"/>
    <w:rsid w:val="00092CD8"/>
    <w:rsid w:val="00092CF9"/>
    <w:rsid w:val="00092DDC"/>
    <w:rsid w:val="00092E0A"/>
    <w:rsid w:val="00092E1E"/>
    <w:rsid w:val="00092E4F"/>
    <w:rsid w:val="00092EA2"/>
    <w:rsid w:val="00092EA5"/>
    <w:rsid w:val="00092EB9"/>
    <w:rsid w:val="00092EC4"/>
    <w:rsid w:val="00092EFC"/>
    <w:rsid w:val="00092F8D"/>
    <w:rsid w:val="00092FE9"/>
    <w:rsid w:val="0009302C"/>
    <w:rsid w:val="00093081"/>
    <w:rsid w:val="00093247"/>
    <w:rsid w:val="0009326A"/>
    <w:rsid w:val="00093371"/>
    <w:rsid w:val="000933B6"/>
    <w:rsid w:val="000933FE"/>
    <w:rsid w:val="0009345E"/>
    <w:rsid w:val="0009347B"/>
    <w:rsid w:val="00093499"/>
    <w:rsid w:val="000934A7"/>
    <w:rsid w:val="000934A8"/>
    <w:rsid w:val="000934B2"/>
    <w:rsid w:val="0009358E"/>
    <w:rsid w:val="000935AD"/>
    <w:rsid w:val="000935C8"/>
    <w:rsid w:val="000935DE"/>
    <w:rsid w:val="0009362A"/>
    <w:rsid w:val="00093695"/>
    <w:rsid w:val="0009369A"/>
    <w:rsid w:val="000936AC"/>
    <w:rsid w:val="000936B3"/>
    <w:rsid w:val="000936BF"/>
    <w:rsid w:val="0009371D"/>
    <w:rsid w:val="000937A4"/>
    <w:rsid w:val="00093811"/>
    <w:rsid w:val="0009385A"/>
    <w:rsid w:val="000938AB"/>
    <w:rsid w:val="00093971"/>
    <w:rsid w:val="0009397D"/>
    <w:rsid w:val="00093A00"/>
    <w:rsid w:val="00093A31"/>
    <w:rsid w:val="00093A8C"/>
    <w:rsid w:val="00093B32"/>
    <w:rsid w:val="00093B53"/>
    <w:rsid w:val="00093B83"/>
    <w:rsid w:val="00093B98"/>
    <w:rsid w:val="00093B9C"/>
    <w:rsid w:val="00093BB2"/>
    <w:rsid w:val="00093BDF"/>
    <w:rsid w:val="00093C1E"/>
    <w:rsid w:val="00093C2A"/>
    <w:rsid w:val="00093C60"/>
    <w:rsid w:val="00093C6F"/>
    <w:rsid w:val="00093CF8"/>
    <w:rsid w:val="00093D1A"/>
    <w:rsid w:val="00093E06"/>
    <w:rsid w:val="00093E1C"/>
    <w:rsid w:val="00093E5B"/>
    <w:rsid w:val="00093E7B"/>
    <w:rsid w:val="00093ED6"/>
    <w:rsid w:val="00093EEE"/>
    <w:rsid w:val="00093EF9"/>
    <w:rsid w:val="00093EFB"/>
    <w:rsid w:val="00093EFF"/>
    <w:rsid w:val="00093FD5"/>
    <w:rsid w:val="00093FDA"/>
    <w:rsid w:val="000940CB"/>
    <w:rsid w:val="000940D5"/>
    <w:rsid w:val="0009414E"/>
    <w:rsid w:val="000941DA"/>
    <w:rsid w:val="0009425F"/>
    <w:rsid w:val="000942A2"/>
    <w:rsid w:val="000942A7"/>
    <w:rsid w:val="000942D7"/>
    <w:rsid w:val="00094304"/>
    <w:rsid w:val="0009431A"/>
    <w:rsid w:val="0009434C"/>
    <w:rsid w:val="00094386"/>
    <w:rsid w:val="0009438C"/>
    <w:rsid w:val="00094392"/>
    <w:rsid w:val="000943B0"/>
    <w:rsid w:val="000943F2"/>
    <w:rsid w:val="00094447"/>
    <w:rsid w:val="000944BB"/>
    <w:rsid w:val="000944E7"/>
    <w:rsid w:val="00094507"/>
    <w:rsid w:val="00094519"/>
    <w:rsid w:val="00094527"/>
    <w:rsid w:val="0009457D"/>
    <w:rsid w:val="000945C4"/>
    <w:rsid w:val="000945E3"/>
    <w:rsid w:val="000945EA"/>
    <w:rsid w:val="0009462F"/>
    <w:rsid w:val="0009464E"/>
    <w:rsid w:val="0009469F"/>
    <w:rsid w:val="000946DD"/>
    <w:rsid w:val="0009471E"/>
    <w:rsid w:val="00094779"/>
    <w:rsid w:val="000947AA"/>
    <w:rsid w:val="000947E7"/>
    <w:rsid w:val="000948FF"/>
    <w:rsid w:val="00094926"/>
    <w:rsid w:val="00094978"/>
    <w:rsid w:val="00094985"/>
    <w:rsid w:val="000949B4"/>
    <w:rsid w:val="00094A9E"/>
    <w:rsid w:val="00094ACE"/>
    <w:rsid w:val="00094B62"/>
    <w:rsid w:val="00094BD4"/>
    <w:rsid w:val="00094C1E"/>
    <w:rsid w:val="00094C3D"/>
    <w:rsid w:val="00094C66"/>
    <w:rsid w:val="00094C6A"/>
    <w:rsid w:val="00094CA9"/>
    <w:rsid w:val="00094CFB"/>
    <w:rsid w:val="00094D35"/>
    <w:rsid w:val="00094D93"/>
    <w:rsid w:val="00094DBA"/>
    <w:rsid w:val="00094DD0"/>
    <w:rsid w:val="00094E2C"/>
    <w:rsid w:val="00094E55"/>
    <w:rsid w:val="00094EA5"/>
    <w:rsid w:val="00094EC9"/>
    <w:rsid w:val="00094ED6"/>
    <w:rsid w:val="00094EF5"/>
    <w:rsid w:val="00094EF7"/>
    <w:rsid w:val="00094F00"/>
    <w:rsid w:val="00094F2C"/>
    <w:rsid w:val="00094F66"/>
    <w:rsid w:val="00095062"/>
    <w:rsid w:val="00095065"/>
    <w:rsid w:val="00095088"/>
    <w:rsid w:val="000950DA"/>
    <w:rsid w:val="000950F9"/>
    <w:rsid w:val="00095114"/>
    <w:rsid w:val="00095149"/>
    <w:rsid w:val="00095170"/>
    <w:rsid w:val="00095186"/>
    <w:rsid w:val="000951C4"/>
    <w:rsid w:val="000951DF"/>
    <w:rsid w:val="000951F8"/>
    <w:rsid w:val="00095236"/>
    <w:rsid w:val="000952C4"/>
    <w:rsid w:val="0009534E"/>
    <w:rsid w:val="00095399"/>
    <w:rsid w:val="000953AB"/>
    <w:rsid w:val="00095457"/>
    <w:rsid w:val="000954A9"/>
    <w:rsid w:val="000954F9"/>
    <w:rsid w:val="00095513"/>
    <w:rsid w:val="0009559E"/>
    <w:rsid w:val="0009563C"/>
    <w:rsid w:val="00095655"/>
    <w:rsid w:val="00095660"/>
    <w:rsid w:val="000956BE"/>
    <w:rsid w:val="000956C1"/>
    <w:rsid w:val="00095738"/>
    <w:rsid w:val="00095774"/>
    <w:rsid w:val="0009582D"/>
    <w:rsid w:val="00095898"/>
    <w:rsid w:val="000958E2"/>
    <w:rsid w:val="00095913"/>
    <w:rsid w:val="00095A10"/>
    <w:rsid w:val="00095A4F"/>
    <w:rsid w:val="00095B07"/>
    <w:rsid w:val="00095B7B"/>
    <w:rsid w:val="00095B8F"/>
    <w:rsid w:val="00095BD1"/>
    <w:rsid w:val="00095C0A"/>
    <w:rsid w:val="00095C3C"/>
    <w:rsid w:val="00095C5B"/>
    <w:rsid w:val="00095C65"/>
    <w:rsid w:val="00095C6F"/>
    <w:rsid w:val="00095D0F"/>
    <w:rsid w:val="00095D4E"/>
    <w:rsid w:val="00095E28"/>
    <w:rsid w:val="00095EA1"/>
    <w:rsid w:val="00095F1E"/>
    <w:rsid w:val="00095F36"/>
    <w:rsid w:val="00095FBD"/>
    <w:rsid w:val="00095FE4"/>
    <w:rsid w:val="00096037"/>
    <w:rsid w:val="0009613F"/>
    <w:rsid w:val="00096183"/>
    <w:rsid w:val="000961D9"/>
    <w:rsid w:val="0009622B"/>
    <w:rsid w:val="00096242"/>
    <w:rsid w:val="000962D0"/>
    <w:rsid w:val="0009637A"/>
    <w:rsid w:val="00096398"/>
    <w:rsid w:val="00096422"/>
    <w:rsid w:val="0009643A"/>
    <w:rsid w:val="00096443"/>
    <w:rsid w:val="0009646A"/>
    <w:rsid w:val="000964AD"/>
    <w:rsid w:val="0009651A"/>
    <w:rsid w:val="00096525"/>
    <w:rsid w:val="00096537"/>
    <w:rsid w:val="0009653E"/>
    <w:rsid w:val="0009653F"/>
    <w:rsid w:val="00096541"/>
    <w:rsid w:val="0009655C"/>
    <w:rsid w:val="0009658F"/>
    <w:rsid w:val="000965FF"/>
    <w:rsid w:val="00096609"/>
    <w:rsid w:val="0009661C"/>
    <w:rsid w:val="00096659"/>
    <w:rsid w:val="0009675E"/>
    <w:rsid w:val="0009687C"/>
    <w:rsid w:val="00096890"/>
    <w:rsid w:val="00096917"/>
    <w:rsid w:val="00096988"/>
    <w:rsid w:val="00096A3A"/>
    <w:rsid w:val="00096A67"/>
    <w:rsid w:val="00096B11"/>
    <w:rsid w:val="00096B14"/>
    <w:rsid w:val="00096B1A"/>
    <w:rsid w:val="00096B67"/>
    <w:rsid w:val="00096B71"/>
    <w:rsid w:val="00096BD1"/>
    <w:rsid w:val="00096C39"/>
    <w:rsid w:val="00096CC0"/>
    <w:rsid w:val="00096DA7"/>
    <w:rsid w:val="00096DE2"/>
    <w:rsid w:val="00096DED"/>
    <w:rsid w:val="00096E75"/>
    <w:rsid w:val="00096E9C"/>
    <w:rsid w:val="00096EEE"/>
    <w:rsid w:val="00096EEF"/>
    <w:rsid w:val="00096F48"/>
    <w:rsid w:val="00096F69"/>
    <w:rsid w:val="00096F7A"/>
    <w:rsid w:val="00096F7D"/>
    <w:rsid w:val="00096F84"/>
    <w:rsid w:val="00096F89"/>
    <w:rsid w:val="00096FE2"/>
    <w:rsid w:val="00097052"/>
    <w:rsid w:val="00097060"/>
    <w:rsid w:val="00097065"/>
    <w:rsid w:val="00097128"/>
    <w:rsid w:val="00097140"/>
    <w:rsid w:val="00097148"/>
    <w:rsid w:val="0009715F"/>
    <w:rsid w:val="000971F7"/>
    <w:rsid w:val="00097288"/>
    <w:rsid w:val="000972FB"/>
    <w:rsid w:val="00097379"/>
    <w:rsid w:val="000973BA"/>
    <w:rsid w:val="000973FF"/>
    <w:rsid w:val="00097482"/>
    <w:rsid w:val="00097488"/>
    <w:rsid w:val="0009748D"/>
    <w:rsid w:val="0009749F"/>
    <w:rsid w:val="000974A7"/>
    <w:rsid w:val="000974C2"/>
    <w:rsid w:val="000974F5"/>
    <w:rsid w:val="00097506"/>
    <w:rsid w:val="000975AA"/>
    <w:rsid w:val="000975AD"/>
    <w:rsid w:val="000975D4"/>
    <w:rsid w:val="000975F4"/>
    <w:rsid w:val="000976AD"/>
    <w:rsid w:val="000976C5"/>
    <w:rsid w:val="0009770C"/>
    <w:rsid w:val="0009778A"/>
    <w:rsid w:val="00097845"/>
    <w:rsid w:val="00097850"/>
    <w:rsid w:val="0009787C"/>
    <w:rsid w:val="000978CD"/>
    <w:rsid w:val="000978D2"/>
    <w:rsid w:val="00097907"/>
    <w:rsid w:val="0009790F"/>
    <w:rsid w:val="000979A2"/>
    <w:rsid w:val="000979D6"/>
    <w:rsid w:val="00097A6E"/>
    <w:rsid w:val="00097A9E"/>
    <w:rsid w:val="00097ABB"/>
    <w:rsid w:val="00097B81"/>
    <w:rsid w:val="00097BAB"/>
    <w:rsid w:val="00097BC2"/>
    <w:rsid w:val="00097BE5"/>
    <w:rsid w:val="00097C5A"/>
    <w:rsid w:val="00097C82"/>
    <w:rsid w:val="00097CA1"/>
    <w:rsid w:val="00097CF4"/>
    <w:rsid w:val="00097CF5"/>
    <w:rsid w:val="00097D3A"/>
    <w:rsid w:val="00097DBF"/>
    <w:rsid w:val="00097E40"/>
    <w:rsid w:val="00097E8F"/>
    <w:rsid w:val="00097EB2"/>
    <w:rsid w:val="00097EF1"/>
    <w:rsid w:val="00097FAF"/>
    <w:rsid w:val="000A0041"/>
    <w:rsid w:val="000A0074"/>
    <w:rsid w:val="000A016C"/>
    <w:rsid w:val="000A025B"/>
    <w:rsid w:val="000A0264"/>
    <w:rsid w:val="000A02C2"/>
    <w:rsid w:val="000A0321"/>
    <w:rsid w:val="000A03A2"/>
    <w:rsid w:val="000A042D"/>
    <w:rsid w:val="000A0480"/>
    <w:rsid w:val="000A04C1"/>
    <w:rsid w:val="000A04C8"/>
    <w:rsid w:val="000A04F9"/>
    <w:rsid w:val="000A0511"/>
    <w:rsid w:val="000A0514"/>
    <w:rsid w:val="000A056F"/>
    <w:rsid w:val="000A0581"/>
    <w:rsid w:val="000A05AE"/>
    <w:rsid w:val="000A05B4"/>
    <w:rsid w:val="000A0602"/>
    <w:rsid w:val="000A061D"/>
    <w:rsid w:val="000A0664"/>
    <w:rsid w:val="000A069A"/>
    <w:rsid w:val="000A072C"/>
    <w:rsid w:val="000A0745"/>
    <w:rsid w:val="000A082C"/>
    <w:rsid w:val="000A0855"/>
    <w:rsid w:val="000A087F"/>
    <w:rsid w:val="000A08A7"/>
    <w:rsid w:val="000A08CC"/>
    <w:rsid w:val="000A0967"/>
    <w:rsid w:val="000A0977"/>
    <w:rsid w:val="000A09A9"/>
    <w:rsid w:val="000A09B0"/>
    <w:rsid w:val="000A09D3"/>
    <w:rsid w:val="000A09F4"/>
    <w:rsid w:val="000A0A20"/>
    <w:rsid w:val="000A0A27"/>
    <w:rsid w:val="000A0BA4"/>
    <w:rsid w:val="000A0BDF"/>
    <w:rsid w:val="000A0C20"/>
    <w:rsid w:val="000A0C2D"/>
    <w:rsid w:val="000A0C6F"/>
    <w:rsid w:val="000A0D05"/>
    <w:rsid w:val="000A0D0D"/>
    <w:rsid w:val="000A0DA1"/>
    <w:rsid w:val="000A0DC3"/>
    <w:rsid w:val="000A0DC7"/>
    <w:rsid w:val="000A0DD3"/>
    <w:rsid w:val="000A0E06"/>
    <w:rsid w:val="000A0EFB"/>
    <w:rsid w:val="000A0F7A"/>
    <w:rsid w:val="000A101A"/>
    <w:rsid w:val="000A1090"/>
    <w:rsid w:val="000A10AE"/>
    <w:rsid w:val="000A10BD"/>
    <w:rsid w:val="000A10CD"/>
    <w:rsid w:val="000A1130"/>
    <w:rsid w:val="000A11E2"/>
    <w:rsid w:val="000A11E8"/>
    <w:rsid w:val="000A11F5"/>
    <w:rsid w:val="000A1200"/>
    <w:rsid w:val="000A1237"/>
    <w:rsid w:val="000A1247"/>
    <w:rsid w:val="000A1253"/>
    <w:rsid w:val="000A1341"/>
    <w:rsid w:val="000A136D"/>
    <w:rsid w:val="000A13AA"/>
    <w:rsid w:val="000A1495"/>
    <w:rsid w:val="000A1514"/>
    <w:rsid w:val="000A152A"/>
    <w:rsid w:val="000A1546"/>
    <w:rsid w:val="000A1578"/>
    <w:rsid w:val="000A15CD"/>
    <w:rsid w:val="000A16B5"/>
    <w:rsid w:val="000A16D8"/>
    <w:rsid w:val="000A16FD"/>
    <w:rsid w:val="000A173E"/>
    <w:rsid w:val="000A176D"/>
    <w:rsid w:val="000A176F"/>
    <w:rsid w:val="000A1771"/>
    <w:rsid w:val="000A18F2"/>
    <w:rsid w:val="000A196E"/>
    <w:rsid w:val="000A197A"/>
    <w:rsid w:val="000A198C"/>
    <w:rsid w:val="000A19D2"/>
    <w:rsid w:val="000A19F7"/>
    <w:rsid w:val="000A1B09"/>
    <w:rsid w:val="000A1B2E"/>
    <w:rsid w:val="000A1BAE"/>
    <w:rsid w:val="000A1BD6"/>
    <w:rsid w:val="000A1BDC"/>
    <w:rsid w:val="000A1BE0"/>
    <w:rsid w:val="000A1BFE"/>
    <w:rsid w:val="000A1C6D"/>
    <w:rsid w:val="000A1C8C"/>
    <w:rsid w:val="000A1CD9"/>
    <w:rsid w:val="000A1CF0"/>
    <w:rsid w:val="000A1CFC"/>
    <w:rsid w:val="000A1D05"/>
    <w:rsid w:val="000A1D87"/>
    <w:rsid w:val="000A1DC1"/>
    <w:rsid w:val="000A1E89"/>
    <w:rsid w:val="000A1EBA"/>
    <w:rsid w:val="000A1FBE"/>
    <w:rsid w:val="000A2078"/>
    <w:rsid w:val="000A214F"/>
    <w:rsid w:val="000A2186"/>
    <w:rsid w:val="000A21B1"/>
    <w:rsid w:val="000A220B"/>
    <w:rsid w:val="000A226C"/>
    <w:rsid w:val="000A22B8"/>
    <w:rsid w:val="000A22FE"/>
    <w:rsid w:val="000A2328"/>
    <w:rsid w:val="000A2330"/>
    <w:rsid w:val="000A234E"/>
    <w:rsid w:val="000A236C"/>
    <w:rsid w:val="000A2431"/>
    <w:rsid w:val="000A245F"/>
    <w:rsid w:val="000A2492"/>
    <w:rsid w:val="000A2509"/>
    <w:rsid w:val="000A255B"/>
    <w:rsid w:val="000A25CC"/>
    <w:rsid w:val="000A2647"/>
    <w:rsid w:val="000A2678"/>
    <w:rsid w:val="000A26DB"/>
    <w:rsid w:val="000A2701"/>
    <w:rsid w:val="000A27D3"/>
    <w:rsid w:val="000A27E9"/>
    <w:rsid w:val="000A27FC"/>
    <w:rsid w:val="000A2834"/>
    <w:rsid w:val="000A287B"/>
    <w:rsid w:val="000A28BE"/>
    <w:rsid w:val="000A28FC"/>
    <w:rsid w:val="000A2936"/>
    <w:rsid w:val="000A2A0E"/>
    <w:rsid w:val="000A2A14"/>
    <w:rsid w:val="000A2A23"/>
    <w:rsid w:val="000A2A61"/>
    <w:rsid w:val="000A2ADB"/>
    <w:rsid w:val="000A2B16"/>
    <w:rsid w:val="000A2C21"/>
    <w:rsid w:val="000A2C2B"/>
    <w:rsid w:val="000A2D0D"/>
    <w:rsid w:val="000A2D1A"/>
    <w:rsid w:val="000A2D81"/>
    <w:rsid w:val="000A2D9B"/>
    <w:rsid w:val="000A2E12"/>
    <w:rsid w:val="000A2F00"/>
    <w:rsid w:val="000A2FB5"/>
    <w:rsid w:val="000A2FB7"/>
    <w:rsid w:val="000A2FE4"/>
    <w:rsid w:val="000A2FFE"/>
    <w:rsid w:val="000A3002"/>
    <w:rsid w:val="000A303A"/>
    <w:rsid w:val="000A3138"/>
    <w:rsid w:val="000A317F"/>
    <w:rsid w:val="000A31C6"/>
    <w:rsid w:val="000A31CC"/>
    <w:rsid w:val="000A31E6"/>
    <w:rsid w:val="000A3248"/>
    <w:rsid w:val="000A3263"/>
    <w:rsid w:val="000A32B8"/>
    <w:rsid w:val="000A330F"/>
    <w:rsid w:val="000A33B2"/>
    <w:rsid w:val="000A33BE"/>
    <w:rsid w:val="000A33D7"/>
    <w:rsid w:val="000A3434"/>
    <w:rsid w:val="000A3437"/>
    <w:rsid w:val="000A34BF"/>
    <w:rsid w:val="000A34D6"/>
    <w:rsid w:val="000A354F"/>
    <w:rsid w:val="000A3597"/>
    <w:rsid w:val="000A360F"/>
    <w:rsid w:val="000A3630"/>
    <w:rsid w:val="000A3670"/>
    <w:rsid w:val="000A36EB"/>
    <w:rsid w:val="000A3716"/>
    <w:rsid w:val="000A37F2"/>
    <w:rsid w:val="000A380D"/>
    <w:rsid w:val="000A3890"/>
    <w:rsid w:val="000A38D8"/>
    <w:rsid w:val="000A38EB"/>
    <w:rsid w:val="000A3915"/>
    <w:rsid w:val="000A3922"/>
    <w:rsid w:val="000A3982"/>
    <w:rsid w:val="000A399D"/>
    <w:rsid w:val="000A3A13"/>
    <w:rsid w:val="000A3A89"/>
    <w:rsid w:val="000A3AA6"/>
    <w:rsid w:val="000A3AC5"/>
    <w:rsid w:val="000A3AE6"/>
    <w:rsid w:val="000A3B8D"/>
    <w:rsid w:val="000A3BC1"/>
    <w:rsid w:val="000A3BEB"/>
    <w:rsid w:val="000A3BF0"/>
    <w:rsid w:val="000A3BF8"/>
    <w:rsid w:val="000A3C2D"/>
    <w:rsid w:val="000A3C54"/>
    <w:rsid w:val="000A3C6E"/>
    <w:rsid w:val="000A3CA2"/>
    <w:rsid w:val="000A3CAF"/>
    <w:rsid w:val="000A3CBE"/>
    <w:rsid w:val="000A3CED"/>
    <w:rsid w:val="000A3CEF"/>
    <w:rsid w:val="000A3D96"/>
    <w:rsid w:val="000A3DE0"/>
    <w:rsid w:val="000A3E50"/>
    <w:rsid w:val="000A3E80"/>
    <w:rsid w:val="000A3EB3"/>
    <w:rsid w:val="000A3ECB"/>
    <w:rsid w:val="000A3EDE"/>
    <w:rsid w:val="000A3EE5"/>
    <w:rsid w:val="000A3F78"/>
    <w:rsid w:val="000A3F8F"/>
    <w:rsid w:val="000A3FA1"/>
    <w:rsid w:val="000A3FFE"/>
    <w:rsid w:val="000A4005"/>
    <w:rsid w:val="000A4085"/>
    <w:rsid w:val="000A408F"/>
    <w:rsid w:val="000A40B2"/>
    <w:rsid w:val="000A41AF"/>
    <w:rsid w:val="000A420F"/>
    <w:rsid w:val="000A4248"/>
    <w:rsid w:val="000A425B"/>
    <w:rsid w:val="000A42AC"/>
    <w:rsid w:val="000A42B4"/>
    <w:rsid w:val="000A4394"/>
    <w:rsid w:val="000A43A3"/>
    <w:rsid w:val="000A4423"/>
    <w:rsid w:val="000A443F"/>
    <w:rsid w:val="000A45BE"/>
    <w:rsid w:val="000A45EE"/>
    <w:rsid w:val="000A4601"/>
    <w:rsid w:val="000A4618"/>
    <w:rsid w:val="000A4626"/>
    <w:rsid w:val="000A463B"/>
    <w:rsid w:val="000A463E"/>
    <w:rsid w:val="000A4678"/>
    <w:rsid w:val="000A46EF"/>
    <w:rsid w:val="000A474F"/>
    <w:rsid w:val="000A47A5"/>
    <w:rsid w:val="000A480D"/>
    <w:rsid w:val="000A485B"/>
    <w:rsid w:val="000A48D4"/>
    <w:rsid w:val="000A48E3"/>
    <w:rsid w:val="000A4963"/>
    <w:rsid w:val="000A4992"/>
    <w:rsid w:val="000A499B"/>
    <w:rsid w:val="000A49DD"/>
    <w:rsid w:val="000A4B69"/>
    <w:rsid w:val="000A4BA2"/>
    <w:rsid w:val="000A4C07"/>
    <w:rsid w:val="000A4C58"/>
    <w:rsid w:val="000A4E00"/>
    <w:rsid w:val="000A4E0F"/>
    <w:rsid w:val="000A4E46"/>
    <w:rsid w:val="000A4F44"/>
    <w:rsid w:val="000A4F59"/>
    <w:rsid w:val="000A4F6B"/>
    <w:rsid w:val="000A4F86"/>
    <w:rsid w:val="000A4F8F"/>
    <w:rsid w:val="000A4FA4"/>
    <w:rsid w:val="000A4FD0"/>
    <w:rsid w:val="000A505D"/>
    <w:rsid w:val="000A5090"/>
    <w:rsid w:val="000A50B3"/>
    <w:rsid w:val="000A511D"/>
    <w:rsid w:val="000A5136"/>
    <w:rsid w:val="000A5274"/>
    <w:rsid w:val="000A528B"/>
    <w:rsid w:val="000A5292"/>
    <w:rsid w:val="000A52F9"/>
    <w:rsid w:val="000A536C"/>
    <w:rsid w:val="000A5390"/>
    <w:rsid w:val="000A53B2"/>
    <w:rsid w:val="000A53B3"/>
    <w:rsid w:val="000A5464"/>
    <w:rsid w:val="000A54CA"/>
    <w:rsid w:val="000A5506"/>
    <w:rsid w:val="000A5608"/>
    <w:rsid w:val="000A563A"/>
    <w:rsid w:val="000A5673"/>
    <w:rsid w:val="000A56AF"/>
    <w:rsid w:val="000A5707"/>
    <w:rsid w:val="000A5726"/>
    <w:rsid w:val="000A5733"/>
    <w:rsid w:val="000A5772"/>
    <w:rsid w:val="000A586A"/>
    <w:rsid w:val="000A58D6"/>
    <w:rsid w:val="000A5932"/>
    <w:rsid w:val="000A59ED"/>
    <w:rsid w:val="000A59F8"/>
    <w:rsid w:val="000A5A2C"/>
    <w:rsid w:val="000A5A7F"/>
    <w:rsid w:val="000A5AD1"/>
    <w:rsid w:val="000A5B36"/>
    <w:rsid w:val="000A5B4D"/>
    <w:rsid w:val="000A5BE9"/>
    <w:rsid w:val="000A5C11"/>
    <w:rsid w:val="000A5CB7"/>
    <w:rsid w:val="000A5CED"/>
    <w:rsid w:val="000A5D04"/>
    <w:rsid w:val="000A5D2A"/>
    <w:rsid w:val="000A5D3C"/>
    <w:rsid w:val="000A5DA0"/>
    <w:rsid w:val="000A5DC2"/>
    <w:rsid w:val="000A5DC9"/>
    <w:rsid w:val="000A5DF0"/>
    <w:rsid w:val="000A5E40"/>
    <w:rsid w:val="000A5E49"/>
    <w:rsid w:val="000A5E76"/>
    <w:rsid w:val="000A5E7F"/>
    <w:rsid w:val="000A5E9D"/>
    <w:rsid w:val="000A5EC2"/>
    <w:rsid w:val="000A5F07"/>
    <w:rsid w:val="000A5F1E"/>
    <w:rsid w:val="000A5FA4"/>
    <w:rsid w:val="000A5FE3"/>
    <w:rsid w:val="000A604C"/>
    <w:rsid w:val="000A6065"/>
    <w:rsid w:val="000A60D8"/>
    <w:rsid w:val="000A62D5"/>
    <w:rsid w:val="000A62FF"/>
    <w:rsid w:val="000A6366"/>
    <w:rsid w:val="000A6473"/>
    <w:rsid w:val="000A64D4"/>
    <w:rsid w:val="000A64E4"/>
    <w:rsid w:val="000A654F"/>
    <w:rsid w:val="000A6564"/>
    <w:rsid w:val="000A6574"/>
    <w:rsid w:val="000A658C"/>
    <w:rsid w:val="000A65B8"/>
    <w:rsid w:val="000A65FC"/>
    <w:rsid w:val="000A6724"/>
    <w:rsid w:val="000A6778"/>
    <w:rsid w:val="000A67E9"/>
    <w:rsid w:val="000A67EF"/>
    <w:rsid w:val="000A683C"/>
    <w:rsid w:val="000A6867"/>
    <w:rsid w:val="000A689D"/>
    <w:rsid w:val="000A68A9"/>
    <w:rsid w:val="000A694E"/>
    <w:rsid w:val="000A6959"/>
    <w:rsid w:val="000A6999"/>
    <w:rsid w:val="000A6A08"/>
    <w:rsid w:val="000A6A0B"/>
    <w:rsid w:val="000A6A4C"/>
    <w:rsid w:val="000A6A99"/>
    <w:rsid w:val="000A6AE8"/>
    <w:rsid w:val="000A6B21"/>
    <w:rsid w:val="000A6B23"/>
    <w:rsid w:val="000A6B5A"/>
    <w:rsid w:val="000A6B6E"/>
    <w:rsid w:val="000A6B9A"/>
    <w:rsid w:val="000A6C01"/>
    <w:rsid w:val="000A6CA5"/>
    <w:rsid w:val="000A6CE8"/>
    <w:rsid w:val="000A6CEE"/>
    <w:rsid w:val="000A6CF9"/>
    <w:rsid w:val="000A6D09"/>
    <w:rsid w:val="000A6D33"/>
    <w:rsid w:val="000A6DAD"/>
    <w:rsid w:val="000A6DDC"/>
    <w:rsid w:val="000A6E2B"/>
    <w:rsid w:val="000A6E7A"/>
    <w:rsid w:val="000A6EF4"/>
    <w:rsid w:val="000A6F3E"/>
    <w:rsid w:val="000A6F7E"/>
    <w:rsid w:val="000A7027"/>
    <w:rsid w:val="000A707A"/>
    <w:rsid w:val="000A710E"/>
    <w:rsid w:val="000A711A"/>
    <w:rsid w:val="000A7136"/>
    <w:rsid w:val="000A7147"/>
    <w:rsid w:val="000A716C"/>
    <w:rsid w:val="000A725C"/>
    <w:rsid w:val="000A725E"/>
    <w:rsid w:val="000A7280"/>
    <w:rsid w:val="000A72EA"/>
    <w:rsid w:val="000A7316"/>
    <w:rsid w:val="000A7367"/>
    <w:rsid w:val="000A7385"/>
    <w:rsid w:val="000A739A"/>
    <w:rsid w:val="000A7513"/>
    <w:rsid w:val="000A751F"/>
    <w:rsid w:val="000A7534"/>
    <w:rsid w:val="000A75DA"/>
    <w:rsid w:val="000A75E6"/>
    <w:rsid w:val="000A76D6"/>
    <w:rsid w:val="000A779B"/>
    <w:rsid w:val="000A77EA"/>
    <w:rsid w:val="000A783A"/>
    <w:rsid w:val="000A7860"/>
    <w:rsid w:val="000A7887"/>
    <w:rsid w:val="000A7937"/>
    <w:rsid w:val="000A7946"/>
    <w:rsid w:val="000A799D"/>
    <w:rsid w:val="000A7A0D"/>
    <w:rsid w:val="000A7A61"/>
    <w:rsid w:val="000A7AB5"/>
    <w:rsid w:val="000A7BFF"/>
    <w:rsid w:val="000A7C49"/>
    <w:rsid w:val="000A7C85"/>
    <w:rsid w:val="000A7CBB"/>
    <w:rsid w:val="000A7CC6"/>
    <w:rsid w:val="000A7D0A"/>
    <w:rsid w:val="000A7D13"/>
    <w:rsid w:val="000A7D90"/>
    <w:rsid w:val="000A7DC7"/>
    <w:rsid w:val="000A7F5F"/>
    <w:rsid w:val="000A7F74"/>
    <w:rsid w:val="000A7FC3"/>
    <w:rsid w:val="000B0008"/>
    <w:rsid w:val="000B0057"/>
    <w:rsid w:val="000B007C"/>
    <w:rsid w:val="000B0095"/>
    <w:rsid w:val="000B00A0"/>
    <w:rsid w:val="000B00A1"/>
    <w:rsid w:val="000B00A5"/>
    <w:rsid w:val="000B0105"/>
    <w:rsid w:val="000B0175"/>
    <w:rsid w:val="000B0227"/>
    <w:rsid w:val="000B0323"/>
    <w:rsid w:val="000B034F"/>
    <w:rsid w:val="000B0385"/>
    <w:rsid w:val="000B055C"/>
    <w:rsid w:val="000B0569"/>
    <w:rsid w:val="000B05A3"/>
    <w:rsid w:val="000B05CC"/>
    <w:rsid w:val="000B0681"/>
    <w:rsid w:val="000B0701"/>
    <w:rsid w:val="000B07DB"/>
    <w:rsid w:val="000B0814"/>
    <w:rsid w:val="000B081B"/>
    <w:rsid w:val="000B0836"/>
    <w:rsid w:val="000B0837"/>
    <w:rsid w:val="000B08E2"/>
    <w:rsid w:val="000B0939"/>
    <w:rsid w:val="000B0A92"/>
    <w:rsid w:val="000B0AC3"/>
    <w:rsid w:val="000B0B5D"/>
    <w:rsid w:val="000B0B8A"/>
    <w:rsid w:val="000B0BAD"/>
    <w:rsid w:val="000B0BE1"/>
    <w:rsid w:val="000B0BF3"/>
    <w:rsid w:val="000B0C12"/>
    <w:rsid w:val="000B0C5E"/>
    <w:rsid w:val="000B0CAB"/>
    <w:rsid w:val="000B0CBE"/>
    <w:rsid w:val="000B0CE8"/>
    <w:rsid w:val="000B0D56"/>
    <w:rsid w:val="000B0D59"/>
    <w:rsid w:val="000B0DA8"/>
    <w:rsid w:val="000B0E23"/>
    <w:rsid w:val="000B0E44"/>
    <w:rsid w:val="000B0EEF"/>
    <w:rsid w:val="000B0F0D"/>
    <w:rsid w:val="000B0FAE"/>
    <w:rsid w:val="000B101B"/>
    <w:rsid w:val="000B1044"/>
    <w:rsid w:val="000B10AD"/>
    <w:rsid w:val="000B1144"/>
    <w:rsid w:val="000B1193"/>
    <w:rsid w:val="000B1256"/>
    <w:rsid w:val="000B1320"/>
    <w:rsid w:val="000B1360"/>
    <w:rsid w:val="000B1388"/>
    <w:rsid w:val="000B13B5"/>
    <w:rsid w:val="000B13CF"/>
    <w:rsid w:val="000B1438"/>
    <w:rsid w:val="000B144B"/>
    <w:rsid w:val="000B145F"/>
    <w:rsid w:val="000B1483"/>
    <w:rsid w:val="000B1528"/>
    <w:rsid w:val="000B157A"/>
    <w:rsid w:val="000B158C"/>
    <w:rsid w:val="000B15C6"/>
    <w:rsid w:val="000B15EA"/>
    <w:rsid w:val="000B15EC"/>
    <w:rsid w:val="000B1631"/>
    <w:rsid w:val="000B1646"/>
    <w:rsid w:val="000B1674"/>
    <w:rsid w:val="000B16A3"/>
    <w:rsid w:val="000B16F4"/>
    <w:rsid w:val="000B1743"/>
    <w:rsid w:val="000B1779"/>
    <w:rsid w:val="000B1829"/>
    <w:rsid w:val="000B1854"/>
    <w:rsid w:val="000B1882"/>
    <w:rsid w:val="000B188F"/>
    <w:rsid w:val="000B1893"/>
    <w:rsid w:val="000B18B1"/>
    <w:rsid w:val="000B1984"/>
    <w:rsid w:val="000B1994"/>
    <w:rsid w:val="000B19B0"/>
    <w:rsid w:val="000B1A4F"/>
    <w:rsid w:val="000B1B35"/>
    <w:rsid w:val="000B1BBB"/>
    <w:rsid w:val="000B1BD4"/>
    <w:rsid w:val="000B1BE6"/>
    <w:rsid w:val="000B1C31"/>
    <w:rsid w:val="000B1C34"/>
    <w:rsid w:val="000B1C8C"/>
    <w:rsid w:val="000B1CA0"/>
    <w:rsid w:val="000B1DF7"/>
    <w:rsid w:val="000B1EA7"/>
    <w:rsid w:val="000B1EA9"/>
    <w:rsid w:val="000B1F02"/>
    <w:rsid w:val="000B1FB5"/>
    <w:rsid w:val="000B1FFE"/>
    <w:rsid w:val="000B208A"/>
    <w:rsid w:val="000B2116"/>
    <w:rsid w:val="000B216A"/>
    <w:rsid w:val="000B2226"/>
    <w:rsid w:val="000B226D"/>
    <w:rsid w:val="000B2291"/>
    <w:rsid w:val="000B2296"/>
    <w:rsid w:val="000B2314"/>
    <w:rsid w:val="000B23DE"/>
    <w:rsid w:val="000B2427"/>
    <w:rsid w:val="000B2442"/>
    <w:rsid w:val="000B2459"/>
    <w:rsid w:val="000B245A"/>
    <w:rsid w:val="000B2473"/>
    <w:rsid w:val="000B24AF"/>
    <w:rsid w:val="000B24C7"/>
    <w:rsid w:val="000B24C9"/>
    <w:rsid w:val="000B24D4"/>
    <w:rsid w:val="000B253A"/>
    <w:rsid w:val="000B25DE"/>
    <w:rsid w:val="000B25ED"/>
    <w:rsid w:val="000B260A"/>
    <w:rsid w:val="000B2633"/>
    <w:rsid w:val="000B263C"/>
    <w:rsid w:val="000B266F"/>
    <w:rsid w:val="000B26E8"/>
    <w:rsid w:val="000B2758"/>
    <w:rsid w:val="000B2796"/>
    <w:rsid w:val="000B27BF"/>
    <w:rsid w:val="000B27C5"/>
    <w:rsid w:val="000B27EB"/>
    <w:rsid w:val="000B2834"/>
    <w:rsid w:val="000B283B"/>
    <w:rsid w:val="000B2843"/>
    <w:rsid w:val="000B2859"/>
    <w:rsid w:val="000B285D"/>
    <w:rsid w:val="000B28B6"/>
    <w:rsid w:val="000B28BD"/>
    <w:rsid w:val="000B28C2"/>
    <w:rsid w:val="000B2931"/>
    <w:rsid w:val="000B2948"/>
    <w:rsid w:val="000B29F0"/>
    <w:rsid w:val="000B29FC"/>
    <w:rsid w:val="000B29FF"/>
    <w:rsid w:val="000B2B3F"/>
    <w:rsid w:val="000B2B45"/>
    <w:rsid w:val="000B2B62"/>
    <w:rsid w:val="000B2BA1"/>
    <w:rsid w:val="000B2BCF"/>
    <w:rsid w:val="000B2C0F"/>
    <w:rsid w:val="000B2C2E"/>
    <w:rsid w:val="000B2C9B"/>
    <w:rsid w:val="000B2D46"/>
    <w:rsid w:val="000B2DE4"/>
    <w:rsid w:val="000B2E7E"/>
    <w:rsid w:val="000B2EAF"/>
    <w:rsid w:val="000B2F88"/>
    <w:rsid w:val="000B3080"/>
    <w:rsid w:val="000B3100"/>
    <w:rsid w:val="000B311C"/>
    <w:rsid w:val="000B312C"/>
    <w:rsid w:val="000B3192"/>
    <w:rsid w:val="000B31B3"/>
    <w:rsid w:val="000B31D7"/>
    <w:rsid w:val="000B32B8"/>
    <w:rsid w:val="000B32C2"/>
    <w:rsid w:val="000B32C4"/>
    <w:rsid w:val="000B333F"/>
    <w:rsid w:val="000B334C"/>
    <w:rsid w:val="000B335A"/>
    <w:rsid w:val="000B337A"/>
    <w:rsid w:val="000B33E4"/>
    <w:rsid w:val="000B3416"/>
    <w:rsid w:val="000B346A"/>
    <w:rsid w:val="000B3488"/>
    <w:rsid w:val="000B34BC"/>
    <w:rsid w:val="000B3509"/>
    <w:rsid w:val="000B350B"/>
    <w:rsid w:val="000B3597"/>
    <w:rsid w:val="000B3646"/>
    <w:rsid w:val="000B3691"/>
    <w:rsid w:val="000B36EC"/>
    <w:rsid w:val="000B374A"/>
    <w:rsid w:val="000B37E5"/>
    <w:rsid w:val="000B39F8"/>
    <w:rsid w:val="000B3A73"/>
    <w:rsid w:val="000B3B61"/>
    <w:rsid w:val="000B3B69"/>
    <w:rsid w:val="000B3B7A"/>
    <w:rsid w:val="000B3B94"/>
    <w:rsid w:val="000B3BAA"/>
    <w:rsid w:val="000B3BCA"/>
    <w:rsid w:val="000B3BEF"/>
    <w:rsid w:val="000B3C09"/>
    <w:rsid w:val="000B3CD1"/>
    <w:rsid w:val="000B3CE4"/>
    <w:rsid w:val="000B3D48"/>
    <w:rsid w:val="000B3D63"/>
    <w:rsid w:val="000B3DC1"/>
    <w:rsid w:val="000B3DC2"/>
    <w:rsid w:val="000B3DEC"/>
    <w:rsid w:val="000B3E25"/>
    <w:rsid w:val="000B3E60"/>
    <w:rsid w:val="000B3E7C"/>
    <w:rsid w:val="000B3E95"/>
    <w:rsid w:val="000B3F26"/>
    <w:rsid w:val="000B3F4A"/>
    <w:rsid w:val="000B3FA1"/>
    <w:rsid w:val="000B4007"/>
    <w:rsid w:val="000B4009"/>
    <w:rsid w:val="000B403F"/>
    <w:rsid w:val="000B405D"/>
    <w:rsid w:val="000B40B3"/>
    <w:rsid w:val="000B40EA"/>
    <w:rsid w:val="000B41A4"/>
    <w:rsid w:val="000B41E0"/>
    <w:rsid w:val="000B4210"/>
    <w:rsid w:val="000B4258"/>
    <w:rsid w:val="000B42F4"/>
    <w:rsid w:val="000B42FF"/>
    <w:rsid w:val="000B430E"/>
    <w:rsid w:val="000B4326"/>
    <w:rsid w:val="000B43A3"/>
    <w:rsid w:val="000B44AA"/>
    <w:rsid w:val="000B44D3"/>
    <w:rsid w:val="000B452D"/>
    <w:rsid w:val="000B4568"/>
    <w:rsid w:val="000B457C"/>
    <w:rsid w:val="000B459A"/>
    <w:rsid w:val="000B461E"/>
    <w:rsid w:val="000B4687"/>
    <w:rsid w:val="000B468D"/>
    <w:rsid w:val="000B47C9"/>
    <w:rsid w:val="000B48D7"/>
    <w:rsid w:val="000B4976"/>
    <w:rsid w:val="000B499D"/>
    <w:rsid w:val="000B49AD"/>
    <w:rsid w:val="000B4A58"/>
    <w:rsid w:val="000B4A87"/>
    <w:rsid w:val="000B4A96"/>
    <w:rsid w:val="000B4AE5"/>
    <w:rsid w:val="000B4AFE"/>
    <w:rsid w:val="000B4B66"/>
    <w:rsid w:val="000B4BFC"/>
    <w:rsid w:val="000B4CF3"/>
    <w:rsid w:val="000B4D39"/>
    <w:rsid w:val="000B4D58"/>
    <w:rsid w:val="000B4DC1"/>
    <w:rsid w:val="000B4EB1"/>
    <w:rsid w:val="000B4EB9"/>
    <w:rsid w:val="000B4F9D"/>
    <w:rsid w:val="000B4FA4"/>
    <w:rsid w:val="000B5106"/>
    <w:rsid w:val="000B52F5"/>
    <w:rsid w:val="000B533E"/>
    <w:rsid w:val="000B544E"/>
    <w:rsid w:val="000B545C"/>
    <w:rsid w:val="000B54C2"/>
    <w:rsid w:val="000B54C5"/>
    <w:rsid w:val="000B54E5"/>
    <w:rsid w:val="000B551A"/>
    <w:rsid w:val="000B5580"/>
    <w:rsid w:val="000B55B6"/>
    <w:rsid w:val="000B5680"/>
    <w:rsid w:val="000B5686"/>
    <w:rsid w:val="000B5736"/>
    <w:rsid w:val="000B5784"/>
    <w:rsid w:val="000B5785"/>
    <w:rsid w:val="000B57A4"/>
    <w:rsid w:val="000B5843"/>
    <w:rsid w:val="000B5885"/>
    <w:rsid w:val="000B588E"/>
    <w:rsid w:val="000B58A9"/>
    <w:rsid w:val="000B58B2"/>
    <w:rsid w:val="000B5910"/>
    <w:rsid w:val="000B594E"/>
    <w:rsid w:val="000B5A00"/>
    <w:rsid w:val="000B5A01"/>
    <w:rsid w:val="000B5B24"/>
    <w:rsid w:val="000B5B99"/>
    <w:rsid w:val="000B5C9C"/>
    <w:rsid w:val="000B5CB8"/>
    <w:rsid w:val="000B5CBC"/>
    <w:rsid w:val="000B5D2E"/>
    <w:rsid w:val="000B5D3A"/>
    <w:rsid w:val="000B5DBE"/>
    <w:rsid w:val="000B5DE5"/>
    <w:rsid w:val="000B5DF8"/>
    <w:rsid w:val="000B5EA6"/>
    <w:rsid w:val="000B5EE8"/>
    <w:rsid w:val="000B5EEB"/>
    <w:rsid w:val="000B5F19"/>
    <w:rsid w:val="000B5F81"/>
    <w:rsid w:val="000B5F90"/>
    <w:rsid w:val="000B6073"/>
    <w:rsid w:val="000B608B"/>
    <w:rsid w:val="000B60C7"/>
    <w:rsid w:val="000B615F"/>
    <w:rsid w:val="000B6170"/>
    <w:rsid w:val="000B6180"/>
    <w:rsid w:val="000B6181"/>
    <w:rsid w:val="000B6194"/>
    <w:rsid w:val="000B6232"/>
    <w:rsid w:val="000B627D"/>
    <w:rsid w:val="000B6284"/>
    <w:rsid w:val="000B62FF"/>
    <w:rsid w:val="000B6369"/>
    <w:rsid w:val="000B6489"/>
    <w:rsid w:val="000B6494"/>
    <w:rsid w:val="000B64B0"/>
    <w:rsid w:val="000B64B4"/>
    <w:rsid w:val="000B651A"/>
    <w:rsid w:val="000B6541"/>
    <w:rsid w:val="000B6544"/>
    <w:rsid w:val="000B659E"/>
    <w:rsid w:val="000B65B9"/>
    <w:rsid w:val="000B6603"/>
    <w:rsid w:val="000B6621"/>
    <w:rsid w:val="000B6643"/>
    <w:rsid w:val="000B666F"/>
    <w:rsid w:val="000B6842"/>
    <w:rsid w:val="000B689C"/>
    <w:rsid w:val="000B68A4"/>
    <w:rsid w:val="000B69BF"/>
    <w:rsid w:val="000B69ED"/>
    <w:rsid w:val="000B6A30"/>
    <w:rsid w:val="000B6A61"/>
    <w:rsid w:val="000B6ACA"/>
    <w:rsid w:val="000B6B5D"/>
    <w:rsid w:val="000B6BF5"/>
    <w:rsid w:val="000B6C63"/>
    <w:rsid w:val="000B6CD3"/>
    <w:rsid w:val="000B6CD7"/>
    <w:rsid w:val="000B6D5F"/>
    <w:rsid w:val="000B6DEF"/>
    <w:rsid w:val="000B6DFC"/>
    <w:rsid w:val="000B6E2B"/>
    <w:rsid w:val="000B6E3D"/>
    <w:rsid w:val="000B6E5E"/>
    <w:rsid w:val="000B6E65"/>
    <w:rsid w:val="000B6F0B"/>
    <w:rsid w:val="000B6F7E"/>
    <w:rsid w:val="000B704E"/>
    <w:rsid w:val="000B7068"/>
    <w:rsid w:val="000B7088"/>
    <w:rsid w:val="000B70E9"/>
    <w:rsid w:val="000B712C"/>
    <w:rsid w:val="000B7185"/>
    <w:rsid w:val="000B71C6"/>
    <w:rsid w:val="000B7200"/>
    <w:rsid w:val="000B720E"/>
    <w:rsid w:val="000B7222"/>
    <w:rsid w:val="000B7228"/>
    <w:rsid w:val="000B7280"/>
    <w:rsid w:val="000B730D"/>
    <w:rsid w:val="000B7311"/>
    <w:rsid w:val="000B732B"/>
    <w:rsid w:val="000B73BE"/>
    <w:rsid w:val="000B751A"/>
    <w:rsid w:val="000B751B"/>
    <w:rsid w:val="000B7594"/>
    <w:rsid w:val="000B75C7"/>
    <w:rsid w:val="000B75DA"/>
    <w:rsid w:val="000B75F4"/>
    <w:rsid w:val="000B76CA"/>
    <w:rsid w:val="000B771A"/>
    <w:rsid w:val="000B78CA"/>
    <w:rsid w:val="000B78F2"/>
    <w:rsid w:val="000B7905"/>
    <w:rsid w:val="000B795E"/>
    <w:rsid w:val="000B79E5"/>
    <w:rsid w:val="000B7A29"/>
    <w:rsid w:val="000B7A79"/>
    <w:rsid w:val="000B7AD5"/>
    <w:rsid w:val="000B7BAE"/>
    <w:rsid w:val="000B7BE9"/>
    <w:rsid w:val="000B7BEE"/>
    <w:rsid w:val="000B7C3A"/>
    <w:rsid w:val="000B7CCC"/>
    <w:rsid w:val="000B7D39"/>
    <w:rsid w:val="000B7D4C"/>
    <w:rsid w:val="000B7D8E"/>
    <w:rsid w:val="000B7E3E"/>
    <w:rsid w:val="000B7EE3"/>
    <w:rsid w:val="000B7EF2"/>
    <w:rsid w:val="000B7F12"/>
    <w:rsid w:val="000B7F21"/>
    <w:rsid w:val="000B7F67"/>
    <w:rsid w:val="000B7F8B"/>
    <w:rsid w:val="000C0029"/>
    <w:rsid w:val="000C0088"/>
    <w:rsid w:val="000C00C5"/>
    <w:rsid w:val="000C00DB"/>
    <w:rsid w:val="000C012F"/>
    <w:rsid w:val="000C0140"/>
    <w:rsid w:val="000C0151"/>
    <w:rsid w:val="000C017B"/>
    <w:rsid w:val="000C01A1"/>
    <w:rsid w:val="000C01F4"/>
    <w:rsid w:val="000C01F5"/>
    <w:rsid w:val="000C02B7"/>
    <w:rsid w:val="000C02C6"/>
    <w:rsid w:val="000C0356"/>
    <w:rsid w:val="000C03B4"/>
    <w:rsid w:val="000C03D8"/>
    <w:rsid w:val="000C03D9"/>
    <w:rsid w:val="000C040D"/>
    <w:rsid w:val="000C042E"/>
    <w:rsid w:val="000C0564"/>
    <w:rsid w:val="000C056C"/>
    <w:rsid w:val="000C058F"/>
    <w:rsid w:val="000C0617"/>
    <w:rsid w:val="000C0628"/>
    <w:rsid w:val="000C063B"/>
    <w:rsid w:val="000C072D"/>
    <w:rsid w:val="000C0759"/>
    <w:rsid w:val="000C0779"/>
    <w:rsid w:val="000C081A"/>
    <w:rsid w:val="000C09EA"/>
    <w:rsid w:val="000C09F1"/>
    <w:rsid w:val="000C0A1F"/>
    <w:rsid w:val="000C0A6C"/>
    <w:rsid w:val="000C0AA7"/>
    <w:rsid w:val="000C0B7C"/>
    <w:rsid w:val="000C0B9D"/>
    <w:rsid w:val="000C0CB2"/>
    <w:rsid w:val="000C0CB7"/>
    <w:rsid w:val="000C0D03"/>
    <w:rsid w:val="000C0D04"/>
    <w:rsid w:val="000C0DA7"/>
    <w:rsid w:val="000C0DF3"/>
    <w:rsid w:val="000C0DF8"/>
    <w:rsid w:val="000C0E51"/>
    <w:rsid w:val="000C0E8F"/>
    <w:rsid w:val="000C0F0E"/>
    <w:rsid w:val="000C0F2C"/>
    <w:rsid w:val="000C0F53"/>
    <w:rsid w:val="000C0FAF"/>
    <w:rsid w:val="000C0FBB"/>
    <w:rsid w:val="000C0FED"/>
    <w:rsid w:val="000C1045"/>
    <w:rsid w:val="000C105C"/>
    <w:rsid w:val="000C1074"/>
    <w:rsid w:val="000C10C7"/>
    <w:rsid w:val="000C1115"/>
    <w:rsid w:val="000C11D7"/>
    <w:rsid w:val="000C12ED"/>
    <w:rsid w:val="000C1343"/>
    <w:rsid w:val="000C1376"/>
    <w:rsid w:val="000C139A"/>
    <w:rsid w:val="000C13BF"/>
    <w:rsid w:val="000C1446"/>
    <w:rsid w:val="000C15C0"/>
    <w:rsid w:val="000C15E3"/>
    <w:rsid w:val="000C15EC"/>
    <w:rsid w:val="000C16AF"/>
    <w:rsid w:val="000C16E3"/>
    <w:rsid w:val="000C16E8"/>
    <w:rsid w:val="000C1756"/>
    <w:rsid w:val="000C180E"/>
    <w:rsid w:val="000C1818"/>
    <w:rsid w:val="000C1845"/>
    <w:rsid w:val="000C1929"/>
    <w:rsid w:val="000C1970"/>
    <w:rsid w:val="000C1A63"/>
    <w:rsid w:val="000C1B0A"/>
    <w:rsid w:val="000C1B2E"/>
    <w:rsid w:val="000C1B8B"/>
    <w:rsid w:val="000C1BE1"/>
    <w:rsid w:val="000C1C0A"/>
    <w:rsid w:val="000C1C12"/>
    <w:rsid w:val="000C1C24"/>
    <w:rsid w:val="000C1C93"/>
    <w:rsid w:val="000C1CA2"/>
    <w:rsid w:val="000C1CBC"/>
    <w:rsid w:val="000C1CC5"/>
    <w:rsid w:val="000C1E3C"/>
    <w:rsid w:val="000C1E6E"/>
    <w:rsid w:val="000C1E7F"/>
    <w:rsid w:val="000C1E9B"/>
    <w:rsid w:val="000C1EA5"/>
    <w:rsid w:val="000C1EB6"/>
    <w:rsid w:val="000C1EC7"/>
    <w:rsid w:val="000C1EC9"/>
    <w:rsid w:val="000C1EF4"/>
    <w:rsid w:val="000C1F61"/>
    <w:rsid w:val="000C2060"/>
    <w:rsid w:val="000C2159"/>
    <w:rsid w:val="000C21A6"/>
    <w:rsid w:val="000C21D3"/>
    <w:rsid w:val="000C220D"/>
    <w:rsid w:val="000C22F2"/>
    <w:rsid w:val="000C2313"/>
    <w:rsid w:val="000C2356"/>
    <w:rsid w:val="000C2366"/>
    <w:rsid w:val="000C2415"/>
    <w:rsid w:val="000C2446"/>
    <w:rsid w:val="000C2452"/>
    <w:rsid w:val="000C2506"/>
    <w:rsid w:val="000C2580"/>
    <w:rsid w:val="000C25A7"/>
    <w:rsid w:val="000C25DC"/>
    <w:rsid w:val="000C2695"/>
    <w:rsid w:val="000C26E6"/>
    <w:rsid w:val="000C271C"/>
    <w:rsid w:val="000C2725"/>
    <w:rsid w:val="000C272E"/>
    <w:rsid w:val="000C27F5"/>
    <w:rsid w:val="000C2848"/>
    <w:rsid w:val="000C2865"/>
    <w:rsid w:val="000C2A98"/>
    <w:rsid w:val="000C2B85"/>
    <w:rsid w:val="000C2BC3"/>
    <w:rsid w:val="000C2C0C"/>
    <w:rsid w:val="000C2CD8"/>
    <w:rsid w:val="000C2E00"/>
    <w:rsid w:val="000C2E21"/>
    <w:rsid w:val="000C2E49"/>
    <w:rsid w:val="000C2E69"/>
    <w:rsid w:val="000C2EC4"/>
    <w:rsid w:val="000C2FF1"/>
    <w:rsid w:val="000C3079"/>
    <w:rsid w:val="000C3196"/>
    <w:rsid w:val="000C32D0"/>
    <w:rsid w:val="000C32D3"/>
    <w:rsid w:val="000C32DD"/>
    <w:rsid w:val="000C3320"/>
    <w:rsid w:val="000C3376"/>
    <w:rsid w:val="000C337D"/>
    <w:rsid w:val="000C33A8"/>
    <w:rsid w:val="000C33E5"/>
    <w:rsid w:val="000C33EA"/>
    <w:rsid w:val="000C344B"/>
    <w:rsid w:val="000C3467"/>
    <w:rsid w:val="000C34EB"/>
    <w:rsid w:val="000C3503"/>
    <w:rsid w:val="000C35CE"/>
    <w:rsid w:val="000C3654"/>
    <w:rsid w:val="000C36D5"/>
    <w:rsid w:val="000C3779"/>
    <w:rsid w:val="000C3815"/>
    <w:rsid w:val="000C38DC"/>
    <w:rsid w:val="000C3925"/>
    <w:rsid w:val="000C3984"/>
    <w:rsid w:val="000C39BE"/>
    <w:rsid w:val="000C39FC"/>
    <w:rsid w:val="000C3A2D"/>
    <w:rsid w:val="000C3A8B"/>
    <w:rsid w:val="000C3AB1"/>
    <w:rsid w:val="000C3B3A"/>
    <w:rsid w:val="000C3B64"/>
    <w:rsid w:val="000C3BF1"/>
    <w:rsid w:val="000C3C7A"/>
    <w:rsid w:val="000C3C7B"/>
    <w:rsid w:val="000C3C88"/>
    <w:rsid w:val="000C3C9F"/>
    <w:rsid w:val="000C3CAB"/>
    <w:rsid w:val="000C3CE9"/>
    <w:rsid w:val="000C3D23"/>
    <w:rsid w:val="000C3E07"/>
    <w:rsid w:val="000C3E13"/>
    <w:rsid w:val="000C3E91"/>
    <w:rsid w:val="000C3EA4"/>
    <w:rsid w:val="000C3EC0"/>
    <w:rsid w:val="000C3FA9"/>
    <w:rsid w:val="000C402C"/>
    <w:rsid w:val="000C40B5"/>
    <w:rsid w:val="000C4105"/>
    <w:rsid w:val="000C4175"/>
    <w:rsid w:val="000C417C"/>
    <w:rsid w:val="000C426F"/>
    <w:rsid w:val="000C42CA"/>
    <w:rsid w:val="000C4344"/>
    <w:rsid w:val="000C4369"/>
    <w:rsid w:val="000C442F"/>
    <w:rsid w:val="000C4436"/>
    <w:rsid w:val="000C4498"/>
    <w:rsid w:val="000C4538"/>
    <w:rsid w:val="000C4665"/>
    <w:rsid w:val="000C4690"/>
    <w:rsid w:val="000C46F9"/>
    <w:rsid w:val="000C479A"/>
    <w:rsid w:val="000C47E5"/>
    <w:rsid w:val="000C47EF"/>
    <w:rsid w:val="000C481A"/>
    <w:rsid w:val="000C482A"/>
    <w:rsid w:val="000C490C"/>
    <w:rsid w:val="000C4985"/>
    <w:rsid w:val="000C498B"/>
    <w:rsid w:val="000C4A30"/>
    <w:rsid w:val="000C4A33"/>
    <w:rsid w:val="000C4A41"/>
    <w:rsid w:val="000C4A49"/>
    <w:rsid w:val="000C4A54"/>
    <w:rsid w:val="000C4A78"/>
    <w:rsid w:val="000C4AAB"/>
    <w:rsid w:val="000C4B25"/>
    <w:rsid w:val="000C4B28"/>
    <w:rsid w:val="000C4B2C"/>
    <w:rsid w:val="000C4BD0"/>
    <w:rsid w:val="000C4C01"/>
    <w:rsid w:val="000C4C8C"/>
    <w:rsid w:val="000C4C90"/>
    <w:rsid w:val="000C4D01"/>
    <w:rsid w:val="000C4D14"/>
    <w:rsid w:val="000C4D4F"/>
    <w:rsid w:val="000C4D6B"/>
    <w:rsid w:val="000C4D76"/>
    <w:rsid w:val="000C4DFE"/>
    <w:rsid w:val="000C4E17"/>
    <w:rsid w:val="000C4E1F"/>
    <w:rsid w:val="000C4E60"/>
    <w:rsid w:val="000C4E98"/>
    <w:rsid w:val="000C4EFA"/>
    <w:rsid w:val="000C4F94"/>
    <w:rsid w:val="000C4FB1"/>
    <w:rsid w:val="000C4FED"/>
    <w:rsid w:val="000C4FEF"/>
    <w:rsid w:val="000C502E"/>
    <w:rsid w:val="000C50FF"/>
    <w:rsid w:val="000C5115"/>
    <w:rsid w:val="000C511B"/>
    <w:rsid w:val="000C515A"/>
    <w:rsid w:val="000C51BA"/>
    <w:rsid w:val="000C5258"/>
    <w:rsid w:val="000C52CC"/>
    <w:rsid w:val="000C5310"/>
    <w:rsid w:val="000C5362"/>
    <w:rsid w:val="000C5373"/>
    <w:rsid w:val="000C53A7"/>
    <w:rsid w:val="000C53B1"/>
    <w:rsid w:val="000C5412"/>
    <w:rsid w:val="000C5423"/>
    <w:rsid w:val="000C547D"/>
    <w:rsid w:val="000C54BE"/>
    <w:rsid w:val="000C5517"/>
    <w:rsid w:val="000C55CD"/>
    <w:rsid w:val="000C5666"/>
    <w:rsid w:val="000C5748"/>
    <w:rsid w:val="000C577F"/>
    <w:rsid w:val="000C579F"/>
    <w:rsid w:val="000C588D"/>
    <w:rsid w:val="000C58C7"/>
    <w:rsid w:val="000C5AF7"/>
    <w:rsid w:val="000C5B01"/>
    <w:rsid w:val="000C5B0B"/>
    <w:rsid w:val="000C5BB3"/>
    <w:rsid w:val="000C5C07"/>
    <w:rsid w:val="000C5C13"/>
    <w:rsid w:val="000C5C54"/>
    <w:rsid w:val="000C5C99"/>
    <w:rsid w:val="000C5CAB"/>
    <w:rsid w:val="000C5D52"/>
    <w:rsid w:val="000C5D7D"/>
    <w:rsid w:val="000C5DD5"/>
    <w:rsid w:val="000C5E0C"/>
    <w:rsid w:val="000C5E99"/>
    <w:rsid w:val="000C5ED0"/>
    <w:rsid w:val="000C5F40"/>
    <w:rsid w:val="000C5FC8"/>
    <w:rsid w:val="000C5FE2"/>
    <w:rsid w:val="000C60A4"/>
    <w:rsid w:val="000C61D5"/>
    <w:rsid w:val="000C61F1"/>
    <w:rsid w:val="000C61F4"/>
    <w:rsid w:val="000C62DB"/>
    <w:rsid w:val="000C633A"/>
    <w:rsid w:val="000C6364"/>
    <w:rsid w:val="000C641D"/>
    <w:rsid w:val="000C6550"/>
    <w:rsid w:val="000C6572"/>
    <w:rsid w:val="000C65B1"/>
    <w:rsid w:val="000C65DF"/>
    <w:rsid w:val="000C6643"/>
    <w:rsid w:val="000C674F"/>
    <w:rsid w:val="000C6781"/>
    <w:rsid w:val="000C678B"/>
    <w:rsid w:val="000C690E"/>
    <w:rsid w:val="000C6944"/>
    <w:rsid w:val="000C698F"/>
    <w:rsid w:val="000C6A05"/>
    <w:rsid w:val="000C6A4D"/>
    <w:rsid w:val="000C6A57"/>
    <w:rsid w:val="000C6AA5"/>
    <w:rsid w:val="000C6AAB"/>
    <w:rsid w:val="000C6B33"/>
    <w:rsid w:val="000C6B37"/>
    <w:rsid w:val="000C6B46"/>
    <w:rsid w:val="000C6B54"/>
    <w:rsid w:val="000C6C7C"/>
    <w:rsid w:val="000C6D4C"/>
    <w:rsid w:val="000C6E3F"/>
    <w:rsid w:val="000C6EE3"/>
    <w:rsid w:val="000C6F42"/>
    <w:rsid w:val="000C6F76"/>
    <w:rsid w:val="000C7026"/>
    <w:rsid w:val="000C7029"/>
    <w:rsid w:val="000C705C"/>
    <w:rsid w:val="000C7087"/>
    <w:rsid w:val="000C70E4"/>
    <w:rsid w:val="000C7136"/>
    <w:rsid w:val="000C721D"/>
    <w:rsid w:val="000C722F"/>
    <w:rsid w:val="000C7256"/>
    <w:rsid w:val="000C725C"/>
    <w:rsid w:val="000C727E"/>
    <w:rsid w:val="000C72BD"/>
    <w:rsid w:val="000C72CC"/>
    <w:rsid w:val="000C72CE"/>
    <w:rsid w:val="000C72DD"/>
    <w:rsid w:val="000C736E"/>
    <w:rsid w:val="000C73B1"/>
    <w:rsid w:val="000C7446"/>
    <w:rsid w:val="000C7453"/>
    <w:rsid w:val="000C7456"/>
    <w:rsid w:val="000C7480"/>
    <w:rsid w:val="000C7516"/>
    <w:rsid w:val="000C7579"/>
    <w:rsid w:val="000C7582"/>
    <w:rsid w:val="000C7584"/>
    <w:rsid w:val="000C758E"/>
    <w:rsid w:val="000C75B3"/>
    <w:rsid w:val="000C75DC"/>
    <w:rsid w:val="000C762D"/>
    <w:rsid w:val="000C76AD"/>
    <w:rsid w:val="000C76E2"/>
    <w:rsid w:val="000C7759"/>
    <w:rsid w:val="000C781F"/>
    <w:rsid w:val="000C789F"/>
    <w:rsid w:val="000C7911"/>
    <w:rsid w:val="000C791C"/>
    <w:rsid w:val="000C7929"/>
    <w:rsid w:val="000C7A35"/>
    <w:rsid w:val="000C7A7B"/>
    <w:rsid w:val="000C7A8C"/>
    <w:rsid w:val="000C7AE7"/>
    <w:rsid w:val="000C7B38"/>
    <w:rsid w:val="000C7B69"/>
    <w:rsid w:val="000C7B9A"/>
    <w:rsid w:val="000C7BF8"/>
    <w:rsid w:val="000C7C03"/>
    <w:rsid w:val="000C7C3E"/>
    <w:rsid w:val="000C7C67"/>
    <w:rsid w:val="000C7C87"/>
    <w:rsid w:val="000C7C9F"/>
    <w:rsid w:val="000C7D28"/>
    <w:rsid w:val="000C7DF7"/>
    <w:rsid w:val="000C7E01"/>
    <w:rsid w:val="000C7E08"/>
    <w:rsid w:val="000C7E99"/>
    <w:rsid w:val="000C7F03"/>
    <w:rsid w:val="000C7F6B"/>
    <w:rsid w:val="000C7FA9"/>
    <w:rsid w:val="000D00BE"/>
    <w:rsid w:val="000D019B"/>
    <w:rsid w:val="000D01A8"/>
    <w:rsid w:val="000D020E"/>
    <w:rsid w:val="000D0233"/>
    <w:rsid w:val="000D026A"/>
    <w:rsid w:val="000D0291"/>
    <w:rsid w:val="000D029C"/>
    <w:rsid w:val="000D02AF"/>
    <w:rsid w:val="000D02E0"/>
    <w:rsid w:val="000D02FF"/>
    <w:rsid w:val="000D032A"/>
    <w:rsid w:val="000D032F"/>
    <w:rsid w:val="000D039C"/>
    <w:rsid w:val="000D03A9"/>
    <w:rsid w:val="000D03F3"/>
    <w:rsid w:val="000D040C"/>
    <w:rsid w:val="000D0484"/>
    <w:rsid w:val="000D0497"/>
    <w:rsid w:val="000D04A1"/>
    <w:rsid w:val="000D04AD"/>
    <w:rsid w:val="000D04E0"/>
    <w:rsid w:val="000D04F4"/>
    <w:rsid w:val="000D051F"/>
    <w:rsid w:val="000D0573"/>
    <w:rsid w:val="000D0578"/>
    <w:rsid w:val="000D0599"/>
    <w:rsid w:val="000D05C4"/>
    <w:rsid w:val="000D07CA"/>
    <w:rsid w:val="000D086A"/>
    <w:rsid w:val="000D0889"/>
    <w:rsid w:val="000D08AE"/>
    <w:rsid w:val="000D08DB"/>
    <w:rsid w:val="000D0910"/>
    <w:rsid w:val="000D0957"/>
    <w:rsid w:val="000D0A6B"/>
    <w:rsid w:val="000D0C53"/>
    <w:rsid w:val="000D0C5D"/>
    <w:rsid w:val="000D0C6F"/>
    <w:rsid w:val="000D0CC8"/>
    <w:rsid w:val="000D0D0F"/>
    <w:rsid w:val="000D0D44"/>
    <w:rsid w:val="000D0EFA"/>
    <w:rsid w:val="000D102F"/>
    <w:rsid w:val="000D108F"/>
    <w:rsid w:val="000D1092"/>
    <w:rsid w:val="000D10D5"/>
    <w:rsid w:val="000D1162"/>
    <w:rsid w:val="000D11CA"/>
    <w:rsid w:val="000D11D6"/>
    <w:rsid w:val="000D124B"/>
    <w:rsid w:val="000D124F"/>
    <w:rsid w:val="000D1270"/>
    <w:rsid w:val="000D1284"/>
    <w:rsid w:val="000D12B4"/>
    <w:rsid w:val="000D1342"/>
    <w:rsid w:val="000D1410"/>
    <w:rsid w:val="000D14C8"/>
    <w:rsid w:val="000D14D0"/>
    <w:rsid w:val="000D153C"/>
    <w:rsid w:val="000D15A8"/>
    <w:rsid w:val="000D1630"/>
    <w:rsid w:val="000D163C"/>
    <w:rsid w:val="000D168E"/>
    <w:rsid w:val="000D16A3"/>
    <w:rsid w:val="000D1705"/>
    <w:rsid w:val="000D17EB"/>
    <w:rsid w:val="000D186E"/>
    <w:rsid w:val="000D18E5"/>
    <w:rsid w:val="000D18E6"/>
    <w:rsid w:val="000D190B"/>
    <w:rsid w:val="000D197F"/>
    <w:rsid w:val="000D19DB"/>
    <w:rsid w:val="000D1AA7"/>
    <w:rsid w:val="000D1AD7"/>
    <w:rsid w:val="000D1B80"/>
    <w:rsid w:val="000D1B8F"/>
    <w:rsid w:val="000D1BA1"/>
    <w:rsid w:val="000D1BF0"/>
    <w:rsid w:val="000D1C05"/>
    <w:rsid w:val="000D1C4C"/>
    <w:rsid w:val="000D1CFD"/>
    <w:rsid w:val="000D1D59"/>
    <w:rsid w:val="000D1D8C"/>
    <w:rsid w:val="000D1D96"/>
    <w:rsid w:val="000D1D9B"/>
    <w:rsid w:val="000D1DF3"/>
    <w:rsid w:val="000D1E24"/>
    <w:rsid w:val="000D1E31"/>
    <w:rsid w:val="000D1E52"/>
    <w:rsid w:val="000D1ECE"/>
    <w:rsid w:val="000D1EDF"/>
    <w:rsid w:val="000D1F42"/>
    <w:rsid w:val="000D1F7E"/>
    <w:rsid w:val="000D1FEA"/>
    <w:rsid w:val="000D2068"/>
    <w:rsid w:val="000D20A4"/>
    <w:rsid w:val="000D2103"/>
    <w:rsid w:val="000D2108"/>
    <w:rsid w:val="000D2164"/>
    <w:rsid w:val="000D227F"/>
    <w:rsid w:val="000D22AA"/>
    <w:rsid w:val="000D22B2"/>
    <w:rsid w:val="000D234B"/>
    <w:rsid w:val="000D23B1"/>
    <w:rsid w:val="000D23BB"/>
    <w:rsid w:val="000D23E0"/>
    <w:rsid w:val="000D2427"/>
    <w:rsid w:val="000D24DC"/>
    <w:rsid w:val="000D2571"/>
    <w:rsid w:val="000D2593"/>
    <w:rsid w:val="000D25FB"/>
    <w:rsid w:val="000D2611"/>
    <w:rsid w:val="000D2661"/>
    <w:rsid w:val="000D26A1"/>
    <w:rsid w:val="000D26B1"/>
    <w:rsid w:val="000D26C5"/>
    <w:rsid w:val="000D2714"/>
    <w:rsid w:val="000D271C"/>
    <w:rsid w:val="000D272F"/>
    <w:rsid w:val="000D2757"/>
    <w:rsid w:val="000D2864"/>
    <w:rsid w:val="000D28F4"/>
    <w:rsid w:val="000D2952"/>
    <w:rsid w:val="000D2968"/>
    <w:rsid w:val="000D2A68"/>
    <w:rsid w:val="000D2A6E"/>
    <w:rsid w:val="000D2ABB"/>
    <w:rsid w:val="000D2AC8"/>
    <w:rsid w:val="000D2ACC"/>
    <w:rsid w:val="000D2AEC"/>
    <w:rsid w:val="000D2B1F"/>
    <w:rsid w:val="000D2B68"/>
    <w:rsid w:val="000D2BBE"/>
    <w:rsid w:val="000D2C90"/>
    <w:rsid w:val="000D2D54"/>
    <w:rsid w:val="000D2D5A"/>
    <w:rsid w:val="000D2D5F"/>
    <w:rsid w:val="000D2D90"/>
    <w:rsid w:val="000D2D94"/>
    <w:rsid w:val="000D2E73"/>
    <w:rsid w:val="000D2EF0"/>
    <w:rsid w:val="000D2F11"/>
    <w:rsid w:val="000D2F16"/>
    <w:rsid w:val="000D300D"/>
    <w:rsid w:val="000D30D6"/>
    <w:rsid w:val="000D30F0"/>
    <w:rsid w:val="000D3102"/>
    <w:rsid w:val="000D31D4"/>
    <w:rsid w:val="000D3245"/>
    <w:rsid w:val="000D3273"/>
    <w:rsid w:val="000D32E0"/>
    <w:rsid w:val="000D32E5"/>
    <w:rsid w:val="000D32EE"/>
    <w:rsid w:val="000D3351"/>
    <w:rsid w:val="000D336D"/>
    <w:rsid w:val="000D33A3"/>
    <w:rsid w:val="000D3417"/>
    <w:rsid w:val="000D34B7"/>
    <w:rsid w:val="000D34B8"/>
    <w:rsid w:val="000D34BF"/>
    <w:rsid w:val="000D3542"/>
    <w:rsid w:val="000D3557"/>
    <w:rsid w:val="000D355C"/>
    <w:rsid w:val="000D362D"/>
    <w:rsid w:val="000D365A"/>
    <w:rsid w:val="000D36F5"/>
    <w:rsid w:val="000D378D"/>
    <w:rsid w:val="000D39D7"/>
    <w:rsid w:val="000D3A41"/>
    <w:rsid w:val="000D3A96"/>
    <w:rsid w:val="000D3AE5"/>
    <w:rsid w:val="000D3B34"/>
    <w:rsid w:val="000D3B89"/>
    <w:rsid w:val="000D3B8B"/>
    <w:rsid w:val="000D3BD0"/>
    <w:rsid w:val="000D3C58"/>
    <w:rsid w:val="000D3C69"/>
    <w:rsid w:val="000D3C73"/>
    <w:rsid w:val="000D3D21"/>
    <w:rsid w:val="000D3D78"/>
    <w:rsid w:val="000D3DA5"/>
    <w:rsid w:val="000D3DAB"/>
    <w:rsid w:val="000D3DB0"/>
    <w:rsid w:val="000D3DCA"/>
    <w:rsid w:val="000D3E82"/>
    <w:rsid w:val="000D3EB5"/>
    <w:rsid w:val="000D3F57"/>
    <w:rsid w:val="000D3FA2"/>
    <w:rsid w:val="000D3FBF"/>
    <w:rsid w:val="000D40A2"/>
    <w:rsid w:val="000D40AE"/>
    <w:rsid w:val="000D41E0"/>
    <w:rsid w:val="000D41F0"/>
    <w:rsid w:val="000D420C"/>
    <w:rsid w:val="000D4210"/>
    <w:rsid w:val="000D4219"/>
    <w:rsid w:val="000D4258"/>
    <w:rsid w:val="000D426F"/>
    <w:rsid w:val="000D431D"/>
    <w:rsid w:val="000D4321"/>
    <w:rsid w:val="000D4342"/>
    <w:rsid w:val="000D4372"/>
    <w:rsid w:val="000D4380"/>
    <w:rsid w:val="000D4381"/>
    <w:rsid w:val="000D439F"/>
    <w:rsid w:val="000D43A1"/>
    <w:rsid w:val="000D4446"/>
    <w:rsid w:val="000D44E2"/>
    <w:rsid w:val="000D44FB"/>
    <w:rsid w:val="000D4640"/>
    <w:rsid w:val="000D46A9"/>
    <w:rsid w:val="000D46BE"/>
    <w:rsid w:val="000D46C8"/>
    <w:rsid w:val="000D4795"/>
    <w:rsid w:val="000D4806"/>
    <w:rsid w:val="000D4850"/>
    <w:rsid w:val="000D48D8"/>
    <w:rsid w:val="000D48DB"/>
    <w:rsid w:val="000D48DF"/>
    <w:rsid w:val="000D4938"/>
    <w:rsid w:val="000D49CF"/>
    <w:rsid w:val="000D49E0"/>
    <w:rsid w:val="000D4A0A"/>
    <w:rsid w:val="000D4A7B"/>
    <w:rsid w:val="000D4AB1"/>
    <w:rsid w:val="000D4ACD"/>
    <w:rsid w:val="000D4C6A"/>
    <w:rsid w:val="000D4D1C"/>
    <w:rsid w:val="000D4D43"/>
    <w:rsid w:val="000D4D6B"/>
    <w:rsid w:val="000D4DF1"/>
    <w:rsid w:val="000D4E1C"/>
    <w:rsid w:val="000D4E20"/>
    <w:rsid w:val="000D4EC9"/>
    <w:rsid w:val="000D4EDC"/>
    <w:rsid w:val="000D4F10"/>
    <w:rsid w:val="000D4FC1"/>
    <w:rsid w:val="000D4FED"/>
    <w:rsid w:val="000D507C"/>
    <w:rsid w:val="000D5100"/>
    <w:rsid w:val="000D525E"/>
    <w:rsid w:val="000D52D1"/>
    <w:rsid w:val="000D5302"/>
    <w:rsid w:val="000D538A"/>
    <w:rsid w:val="000D53DA"/>
    <w:rsid w:val="000D542B"/>
    <w:rsid w:val="000D544C"/>
    <w:rsid w:val="000D557B"/>
    <w:rsid w:val="000D55BF"/>
    <w:rsid w:val="000D5626"/>
    <w:rsid w:val="000D56B1"/>
    <w:rsid w:val="000D56B3"/>
    <w:rsid w:val="000D56F2"/>
    <w:rsid w:val="000D5732"/>
    <w:rsid w:val="000D576B"/>
    <w:rsid w:val="000D57CB"/>
    <w:rsid w:val="000D59FF"/>
    <w:rsid w:val="000D5A25"/>
    <w:rsid w:val="000D5A36"/>
    <w:rsid w:val="000D5ABB"/>
    <w:rsid w:val="000D5B39"/>
    <w:rsid w:val="000D5B84"/>
    <w:rsid w:val="000D5B93"/>
    <w:rsid w:val="000D5C12"/>
    <w:rsid w:val="000D5C7F"/>
    <w:rsid w:val="000D5CF7"/>
    <w:rsid w:val="000D5D35"/>
    <w:rsid w:val="000D5D5D"/>
    <w:rsid w:val="000D5D85"/>
    <w:rsid w:val="000D5D8D"/>
    <w:rsid w:val="000D5DA4"/>
    <w:rsid w:val="000D5DF8"/>
    <w:rsid w:val="000D5DFB"/>
    <w:rsid w:val="000D5E76"/>
    <w:rsid w:val="000D5E86"/>
    <w:rsid w:val="000D5EA7"/>
    <w:rsid w:val="000D5EAE"/>
    <w:rsid w:val="000D5F0B"/>
    <w:rsid w:val="000D60FD"/>
    <w:rsid w:val="000D6142"/>
    <w:rsid w:val="000D617A"/>
    <w:rsid w:val="000D6202"/>
    <w:rsid w:val="000D626C"/>
    <w:rsid w:val="000D62F1"/>
    <w:rsid w:val="000D633D"/>
    <w:rsid w:val="000D6341"/>
    <w:rsid w:val="000D636B"/>
    <w:rsid w:val="000D63B9"/>
    <w:rsid w:val="000D63FB"/>
    <w:rsid w:val="000D646D"/>
    <w:rsid w:val="000D646F"/>
    <w:rsid w:val="000D64B6"/>
    <w:rsid w:val="000D64CF"/>
    <w:rsid w:val="000D6515"/>
    <w:rsid w:val="000D6516"/>
    <w:rsid w:val="000D655F"/>
    <w:rsid w:val="000D6561"/>
    <w:rsid w:val="000D6577"/>
    <w:rsid w:val="000D65FC"/>
    <w:rsid w:val="000D6635"/>
    <w:rsid w:val="000D6641"/>
    <w:rsid w:val="000D66BF"/>
    <w:rsid w:val="000D6712"/>
    <w:rsid w:val="000D6744"/>
    <w:rsid w:val="000D67E0"/>
    <w:rsid w:val="000D6839"/>
    <w:rsid w:val="000D684E"/>
    <w:rsid w:val="000D687A"/>
    <w:rsid w:val="000D689E"/>
    <w:rsid w:val="000D68B9"/>
    <w:rsid w:val="000D6912"/>
    <w:rsid w:val="000D691E"/>
    <w:rsid w:val="000D697E"/>
    <w:rsid w:val="000D6B09"/>
    <w:rsid w:val="000D6B47"/>
    <w:rsid w:val="000D6B9C"/>
    <w:rsid w:val="000D6B9F"/>
    <w:rsid w:val="000D6BD8"/>
    <w:rsid w:val="000D6C7B"/>
    <w:rsid w:val="000D6CF9"/>
    <w:rsid w:val="000D6D9A"/>
    <w:rsid w:val="000D6DAB"/>
    <w:rsid w:val="000D6DF2"/>
    <w:rsid w:val="000D6E16"/>
    <w:rsid w:val="000D6F06"/>
    <w:rsid w:val="000D6F7C"/>
    <w:rsid w:val="000D6FBF"/>
    <w:rsid w:val="000D6FCF"/>
    <w:rsid w:val="000D7013"/>
    <w:rsid w:val="000D701B"/>
    <w:rsid w:val="000D701F"/>
    <w:rsid w:val="000D7105"/>
    <w:rsid w:val="000D713A"/>
    <w:rsid w:val="000D71D3"/>
    <w:rsid w:val="000D72EF"/>
    <w:rsid w:val="000D72F6"/>
    <w:rsid w:val="000D738D"/>
    <w:rsid w:val="000D73BC"/>
    <w:rsid w:val="000D73F4"/>
    <w:rsid w:val="000D7400"/>
    <w:rsid w:val="000D74AE"/>
    <w:rsid w:val="000D74CB"/>
    <w:rsid w:val="000D74E5"/>
    <w:rsid w:val="000D74FD"/>
    <w:rsid w:val="000D750A"/>
    <w:rsid w:val="000D750B"/>
    <w:rsid w:val="000D751F"/>
    <w:rsid w:val="000D752E"/>
    <w:rsid w:val="000D7537"/>
    <w:rsid w:val="000D7620"/>
    <w:rsid w:val="000D766C"/>
    <w:rsid w:val="000D77B6"/>
    <w:rsid w:val="000D77DB"/>
    <w:rsid w:val="000D7802"/>
    <w:rsid w:val="000D784D"/>
    <w:rsid w:val="000D7852"/>
    <w:rsid w:val="000D7877"/>
    <w:rsid w:val="000D787C"/>
    <w:rsid w:val="000D7885"/>
    <w:rsid w:val="000D791F"/>
    <w:rsid w:val="000D7988"/>
    <w:rsid w:val="000D79FC"/>
    <w:rsid w:val="000D7A06"/>
    <w:rsid w:val="000D7A4A"/>
    <w:rsid w:val="000D7A5B"/>
    <w:rsid w:val="000D7A6A"/>
    <w:rsid w:val="000D7A8A"/>
    <w:rsid w:val="000D7BBF"/>
    <w:rsid w:val="000D7BD4"/>
    <w:rsid w:val="000D7C9A"/>
    <w:rsid w:val="000D7CDC"/>
    <w:rsid w:val="000D7CE1"/>
    <w:rsid w:val="000D7D0E"/>
    <w:rsid w:val="000D7D17"/>
    <w:rsid w:val="000D7D3A"/>
    <w:rsid w:val="000D7D5B"/>
    <w:rsid w:val="000D7D61"/>
    <w:rsid w:val="000D7DC7"/>
    <w:rsid w:val="000D7EE1"/>
    <w:rsid w:val="000D7F06"/>
    <w:rsid w:val="000D7F29"/>
    <w:rsid w:val="000D7F45"/>
    <w:rsid w:val="000D7F85"/>
    <w:rsid w:val="000E0034"/>
    <w:rsid w:val="000E0071"/>
    <w:rsid w:val="000E0077"/>
    <w:rsid w:val="000E00F9"/>
    <w:rsid w:val="000E0128"/>
    <w:rsid w:val="000E0161"/>
    <w:rsid w:val="000E01A6"/>
    <w:rsid w:val="000E0233"/>
    <w:rsid w:val="000E02A4"/>
    <w:rsid w:val="000E0304"/>
    <w:rsid w:val="000E031E"/>
    <w:rsid w:val="000E0381"/>
    <w:rsid w:val="000E039D"/>
    <w:rsid w:val="000E03A4"/>
    <w:rsid w:val="000E03E5"/>
    <w:rsid w:val="000E0402"/>
    <w:rsid w:val="000E0431"/>
    <w:rsid w:val="000E045A"/>
    <w:rsid w:val="000E04BD"/>
    <w:rsid w:val="000E0514"/>
    <w:rsid w:val="000E051A"/>
    <w:rsid w:val="000E05C7"/>
    <w:rsid w:val="000E0639"/>
    <w:rsid w:val="000E06D6"/>
    <w:rsid w:val="000E06F0"/>
    <w:rsid w:val="000E070B"/>
    <w:rsid w:val="000E071A"/>
    <w:rsid w:val="000E076D"/>
    <w:rsid w:val="000E077A"/>
    <w:rsid w:val="000E0793"/>
    <w:rsid w:val="000E081F"/>
    <w:rsid w:val="000E083D"/>
    <w:rsid w:val="000E084A"/>
    <w:rsid w:val="000E0864"/>
    <w:rsid w:val="000E08C7"/>
    <w:rsid w:val="000E08F9"/>
    <w:rsid w:val="000E0902"/>
    <w:rsid w:val="000E0987"/>
    <w:rsid w:val="000E0999"/>
    <w:rsid w:val="000E09FC"/>
    <w:rsid w:val="000E0A36"/>
    <w:rsid w:val="000E0A4C"/>
    <w:rsid w:val="000E0A66"/>
    <w:rsid w:val="000E0A81"/>
    <w:rsid w:val="000E0A85"/>
    <w:rsid w:val="000E0B74"/>
    <w:rsid w:val="000E0B7A"/>
    <w:rsid w:val="000E0BAA"/>
    <w:rsid w:val="000E0BAD"/>
    <w:rsid w:val="000E0BC1"/>
    <w:rsid w:val="000E0C3E"/>
    <w:rsid w:val="000E0C46"/>
    <w:rsid w:val="000E0CBB"/>
    <w:rsid w:val="000E0CE2"/>
    <w:rsid w:val="000E0D1E"/>
    <w:rsid w:val="000E0D34"/>
    <w:rsid w:val="000E0E23"/>
    <w:rsid w:val="000E0ECF"/>
    <w:rsid w:val="000E0ED9"/>
    <w:rsid w:val="000E0F17"/>
    <w:rsid w:val="000E1137"/>
    <w:rsid w:val="000E1197"/>
    <w:rsid w:val="000E11AD"/>
    <w:rsid w:val="000E11E1"/>
    <w:rsid w:val="000E11F6"/>
    <w:rsid w:val="000E1221"/>
    <w:rsid w:val="000E127E"/>
    <w:rsid w:val="000E12C4"/>
    <w:rsid w:val="000E12D2"/>
    <w:rsid w:val="000E12DA"/>
    <w:rsid w:val="000E131C"/>
    <w:rsid w:val="000E1364"/>
    <w:rsid w:val="000E1383"/>
    <w:rsid w:val="000E13F0"/>
    <w:rsid w:val="000E1455"/>
    <w:rsid w:val="000E1465"/>
    <w:rsid w:val="000E15A6"/>
    <w:rsid w:val="000E15DF"/>
    <w:rsid w:val="000E15F5"/>
    <w:rsid w:val="000E1604"/>
    <w:rsid w:val="000E1638"/>
    <w:rsid w:val="000E1658"/>
    <w:rsid w:val="000E165D"/>
    <w:rsid w:val="000E1687"/>
    <w:rsid w:val="000E1692"/>
    <w:rsid w:val="000E16CF"/>
    <w:rsid w:val="000E1705"/>
    <w:rsid w:val="000E1779"/>
    <w:rsid w:val="000E1888"/>
    <w:rsid w:val="000E18F7"/>
    <w:rsid w:val="000E192A"/>
    <w:rsid w:val="000E192E"/>
    <w:rsid w:val="000E195A"/>
    <w:rsid w:val="000E1960"/>
    <w:rsid w:val="000E19B1"/>
    <w:rsid w:val="000E19F9"/>
    <w:rsid w:val="000E19FB"/>
    <w:rsid w:val="000E1B42"/>
    <w:rsid w:val="000E1B57"/>
    <w:rsid w:val="000E1BFE"/>
    <w:rsid w:val="000E1C10"/>
    <w:rsid w:val="000E1C1C"/>
    <w:rsid w:val="000E1C36"/>
    <w:rsid w:val="000E1C4A"/>
    <w:rsid w:val="000E1C50"/>
    <w:rsid w:val="000E1C59"/>
    <w:rsid w:val="000E1C97"/>
    <w:rsid w:val="000E1CCD"/>
    <w:rsid w:val="000E1CDA"/>
    <w:rsid w:val="000E1D11"/>
    <w:rsid w:val="000E1D57"/>
    <w:rsid w:val="000E1E20"/>
    <w:rsid w:val="000E1E35"/>
    <w:rsid w:val="000E1E61"/>
    <w:rsid w:val="000E1EBB"/>
    <w:rsid w:val="000E1EE2"/>
    <w:rsid w:val="000E1FAC"/>
    <w:rsid w:val="000E1FC3"/>
    <w:rsid w:val="000E1FDB"/>
    <w:rsid w:val="000E2039"/>
    <w:rsid w:val="000E205B"/>
    <w:rsid w:val="000E2157"/>
    <w:rsid w:val="000E21AA"/>
    <w:rsid w:val="000E2206"/>
    <w:rsid w:val="000E221E"/>
    <w:rsid w:val="000E222E"/>
    <w:rsid w:val="000E225B"/>
    <w:rsid w:val="000E2268"/>
    <w:rsid w:val="000E22FF"/>
    <w:rsid w:val="000E231A"/>
    <w:rsid w:val="000E2378"/>
    <w:rsid w:val="000E2528"/>
    <w:rsid w:val="000E2542"/>
    <w:rsid w:val="000E25BA"/>
    <w:rsid w:val="000E26B8"/>
    <w:rsid w:val="000E2855"/>
    <w:rsid w:val="000E28CD"/>
    <w:rsid w:val="000E29C6"/>
    <w:rsid w:val="000E2A68"/>
    <w:rsid w:val="000E2A99"/>
    <w:rsid w:val="000E2AC9"/>
    <w:rsid w:val="000E2B19"/>
    <w:rsid w:val="000E2B21"/>
    <w:rsid w:val="000E2B32"/>
    <w:rsid w:val="000E2B4D"/>
    <w:rsid w:val="000E2B52"/>
    <w:rsid w:val="000E2B5F"/>
    <w:rsid w:val="000E2B85"/>
    <w:rsid w:val="000E2BD7"/>
    <w:rsid w:val="000E2BD8"/>
    <w:rsid w:val="000E2BEE"/>
    <w:rsid w:val="000E2C92"/>
    <w:rsid w:val="000E2CB4"/>
    <w:rsid w:val="000E2CBA"/>
    <w:rsid w:val="000E2CC8"/>
    <w:rsid w:val="000E2CDB"/>
    <w:rsid w:val="000E2D06"/>
    <w:rsid w:val="000E2D08"/>
    <w:rsid w:val="000E2D1B"/>
    <w:rsid w:val="000E2D78"/>
    <w:rsid w:val="000E2DD2"/>
    <w:rsid w:val="000E2DFE"/>
    <w:rsid w:val="000E2E73"/>
    <w:rsid w:val="000E2E8A"/>
    <w:rsid w:val="000E2EC1"/>
    <w:rsid w:val="000E2EC7"/>
    <w:rsid w:val="000E2F94"/>
    <w:rsid w:val="000E2FAB"/>
    <w:rsid w:val="000E2FDD"/>
    <w:rsid w:val="000E301E"/>
    <w:rsid w:val="000E3022"/>
    <w:rsid w:val="000E302F"/>
    <w:rsid w:val="000E3032"/>
    <w:rsid w:val="000E3098"/>
    <w:rsid w:val="000E30BC"/>
    <w:rsid w:val="000E30F9"/>
    <w:rsid w:val="000E3104"/>
    <w:rsid w:val="000E3140"/>
    <w:rsid w:val="000E318E"/>
    <w:rsid w:val="000E319E"/>
    <w:rsid w:val="000E31A7"/>
    <w:rsid w:val="000E31D4"/>
    <w:rsid w:val="000E321E"/>
    <w:rsid w:val="000E329C"/>
    <w:rsid w:val="000E337B"/>
    <w:rsid w:val="000E337F"/>
    <w:rsid w:val="000E33F4"/>
    <w:rsid w:val="000E345E"/>
    <w:rsid w:val="000E3491"/>
    <w:rsid w:val="000E34FC"/>
    <w:rsid w:val="000E359D"/>
    <w:rsid w:val="000E35B5"/>
    <w:rsid w:val="000E35DC"/>
    <w:rsid w:val="000E3631"/>
    <w:rsid w:val="000E36E7"/>
    <w:rsid w:val="000E36F5"/>
    <w:rsid w:val="000E3717"/>
    <w:rsid w:val="000E3718"/>
    <w:rsid w:val="000E374A"/>
    <w:rsid w:val="000E3778"/>
    <w:rsid w:val="000E37F2"/>
    <w:rsid w:val="000E3866"/>
    <w:rsid w:val="000E386F"/>
    <w:rsid w:val="000E38DD"/>
    <w:rsid w:val="000E38EC"/>
    <w:rsid w:val="000E399D"/>
    <w:rsid w:val="000E39A6"/>
    <w:rsid w:val="000E39BE"/>
    <w:rsid w:val="000E3A83"/>
    <w:rsid w:val="000E3AB5"/>
    <w:rsid w:val="000E3ACA"/>
    <w:rsid w:val="000E3ADF"/>
    <w:rsid w:val="000E3B08"/>
    <w:rsid w:val="000E3B42"/>
    <w:rsid w:val="000E3B7F"/>
    <w:rsid w:val="000E3B9B"/>
    <w:rsid w:val="000E3C03"/>
    <w:rsid w:val="000E3D10"/>
    <w:rsid w:val="000E3D43"/>
    <w:rsid w:val="000E3DE8"/>
    <w:rsid w:val="000E3E2E"/>
    <w:rsid w:val="000E3E96"/>
    <w:rsid w:val="000E3ECB"/>
    <w:rsid w:val="000E3F61"/>
    <w:rsid w:val="000E3F78"/>
    <w:rsid w:val="000E3F95"/>
    <w:rsid w:val="000E3FFB"/>
    <w:rsid w:val="000E4036"/>
    <w:rsid w:val="000E4044"/>
    <w:rsid w:val="000E404B"/>
    <w:rsid w:val="000E40C5"/>
    <w:rsid w:val="000E40FC"/>
    <w:rsid w:val="000E410A"/>
    <w:rsid w:val="000E412A"/>
    <w:rsid w:val="000E4154"/>
    <w:rsid w:val="000E416C"/>
    <w:rsid w:val="000E418B"/>
    <w:rsid w:val="000E419A"/>
    <w:rsid w:val="000E41BF"/>
    <w:rsid w:val="000E4200"/>
    <w:rsid w:val="000E4229"/>
    <w:rsid w:val="000E42BF"/>
    <w:rsid w:val="000E42EE"/>
    <w:rsid w:val="000E43FC"/>
    <w:rsid w:val="000E4408"/>
    <w:rsid w:val="000E443E"/>
    <w:rsid w:val="000E446F"/>
    <w:rsid w:val="000E447C"/>
    <w:rsid w:val="000E4540"/>
    <w:rsid w:val="000E4556"/>
    <w:rsid w:val="000E4563"/>
    <w:rsid w:val="000E468D"/>
    <w:rsid w:val="000E4706"/>
    <w:rsid w:val="000E4792"/>
    <w:rsid w:val="000E47C0"/>
    <w:rsid w:val="000E4838"/>
    <w:rsid w:val="000E48E3"/>
    <w:rsid w:val="000E496D"/>
    <w:rsid w:val="000E4AAC"/>
    <w:rsid w:val="000E4AEF"/>
    <w:rsid w:val="000E4B10"/>
    <w:rsid w:val="000E4B45"/>
    <w:rsid w:val="000E4BB2"/>
    <w:rsid w:val="000E4BB5"/>
    <w:rsid w:val="000E4BBA"/>
    <w:rsid w:val="000E4C42"/>
    <w:rsid w:val="000E4D1C"/>
    <w:rsid w:val="000E4D61"/>
    <w:rsid w:val="000E4D95"/>
    <w:rsid w:val="000E4DB3"/>
    <w:rsid w:val="000E4DC2"/>
    <w:rsid w:val="000E4DF3"/>
    <w:rsid w:val="000E4E90"/>
    <w:rsid w:val="000E4F04"/>
    <w:rsid w:val="000E4F0A"/>
    <w:rsid w:val="000E4F5B"/>
    <w:rsid w:val="000E4F7D"/>
    <w:rsid w:val="000E5062"/>
    <w:rsid w:val="000E512C"/>
    <w:rsid w:val="000E522C"/>
    <w:rsid w:val="000E52C4"/>
    <w:rsid w:val="000E53AB"/>
    <w:rsid w:val="000E53C6"/>
    <w:rsid w:val="000E53C9"/>
    <w:rsid w:val="000E53D2"/>
    <w:rsid w:val="000E540D"/>
    <w:rsid w:val="000E542F"/>
    <w:rsid w:val="000E546E"/>
    <w:rsid w:val="000E5476"/>
    <w:rsid w:val="000E551B"/>
    <w:rsid w:val="000E551C"/>
    <w:rsid w:val="000E554C"/>
    <w:rsid w:val="000E5551"/>
    <w:rsid w:val="000E5569"/>
    <w:rsid w:val="000E5576"/>
    <w:rsid w:val="000E56DA"/>
    <w:rsid w:val="000E56EA"/>
    <w:rsid w:val="000E5754"/>
    <w:rsid w:val="000E575E"/>
    <w:rsid w:val="000E57A2"/>
    <w:rsid w:val="000E57CB"/>
    <w:rsid w:val="000E583C"/>
    <w:rsid w:val="000E584F"/>
    <w:rsid w:val="000E5862"/>
    <w:rsid w:val="000E58D3"/>
    <w:rsid w:val="000E5901"/>
    <w:rsid w:val="000E5956"/>
    <w:rsid w:val="000E5986"/>
    <w:rsid w:val="000E59CF"/>
    <w:rsid w:val="000E5A05"/>
    <w:rsid w:val="000E5A6D"/>
    <w:rsid w:val="000E5AD1"/>
    <w:rsid w:val="000E5B6B"/>
    <w:rsid w:val="000E5B94"/>
    <w:rsid w:val="000E5BCB"/>
    <w:rsid w:val="000E5BCC"/>
    <w:rsid w:val="000E5BE1"/>
    <w:rsid w:val="000E5C87"/>
    <w:rsid w:val="000E5C96"/>
    <w:rsid w:val="000E5D35"/>
    <w:rsid w:val="000E5D38"/>
    <w:rsid w:val="000E5D5C"/>
    <w:rsid w:val="000E5D74"/>
    <w:rsid w:val="000E5DAE"/>
    <w:rsid w:val="000E5E05"/>
    <w:rsid w:val="000E5E52"/>
    <w:rsid w:val="000E5EA9"/>
    <w:rsid w:val="000E5FDC"/>
    <w:rsid w:val="000E611F"/>
    <w:rsid w:val="000E612A"/>
    <w:rsid w:val="000E61AD"/>
    <w:rsid w:val="000E61BD"/>
    <w:rsid w:val="000E6272"/>
    <w:rsid w:val="000E62A3"/>
    <w:rsid w:val="000E62AA"/>
    <w:rsid w:val="000E6318"/>
    <w:rsid w:val="000E6369"/>
    <w:rsid w:val="000E636F"/>
    <w:rsid w:val="000E63DC"/>
    <w:rsid w:val="000E6429"/>
    <w:rsid w:val="000E64C5"/>
    <w:rsid w:val="000E6552"/>
    <w:rsid w:val="000E655F"/>
    <w:rsid w:val="000E6574"/>
    <w:rsid w:val="000E6666"/>
    <w:rsid w:val="000E66B7"/>
    <w:rsid w:val="000E66BE"/>
    <w:rsid w:val="000E66C7"/>
    <w:rsid w:val="000E6735"/>
    <w:rsid w:val="000E678D"/>
    <w:rsid w:val="000E67DB"/>
    <w:rsid w:val="000E67FC"/>
    <w:rsid w:val="000E68C3"/>
    <w:rsid w:val="000E68C5"/>
    <w:rsid w:val="000E68F9"/>
    <w:rsid w:val="000E692B"/>
    <w:rsid w:val="000E69D8"/>
    <w:rsid w:val="000E6A03"/>
    <w:rsid w:val="000E6A07"/>
    <w:rsid w:val="000E6A2E"/>
    <w:rsid w:val="000E6A53"/>
    <w:rsid w:val="000E6B07"/>
    <w:rsid w:val="000E6BB2"/>
    <w:rsid w:val="000E6BFA"/>
    <w:rsid w:val="000E6C27"/>
    <w:rsid w:val="000E6C34"/>
    <w:rsid w:val="000E6C49"/>
    <w:rsid w:val="000E6C5C"/>
    <w:rsid w:val="000E6C67"/>
    <w:rsid w:val="000E6C87"/>
    <w:rsid w:val="000E6C8E"/>
    <w:rsid w:val="000E6CDB"/>
    <w:rsid w:val="000E6CDF"/>
    <w:rsid w:val="000E6CE5"/>
    <w:rsid w:val="000E6D3E"/>
    <w:rsid w:val="000E6DC4"/>
    <w:rsid w:val="000E6E25"/>
    <w:rsid w:val="000E6E37"/>
    <w:rsid w:val="000E6E65"/>
    <w:rsid w:val="000E6E8E"/>
    <w:rsid w:val="000E6EF8"/>
    <w:rsid w:val="000E6F37"/>
    <w:rsid w:val="000E6F90"/>
    <w:rsid w:val="000E7013"/>
    <w:rsid w:val="000E7015"/>
    <w:rsid w:val="000E7075"/>
    <w:rsid w:val="000E707C"/>
    <w:rsid w:val="000E70BB"/>
    <w:rsid w:val="000E71C6"/>
    <w:rsid w:val="000E71CA"/>
    <w:rsid w:val="000E71EF"/>
    <w:rsid w:val="000E7205"/>
    <w:rsid w:val="000E7211"/>
    <w:rsid w:val="000E7222"/>
    <w:rsid w:val="000E725F"/>
    <w:rsid w:val="000E7264"/>
    <w:rsid w:val="000E7321"/>
    <w:rsid w:val="000E736A"/>
    <w:rsid w:val="000E736D"/>
    <w:rsid w:val="000E73F8"/>
    <w:rsid w:val="000E74B4"/>
    <w:rsid w:val="000E74E6"/>
    <w:rsid w:val="000E753F"/>
    <w:rsid w:val="000E7585"/>
    <w:rsid w:val="000E75A7"/>
    <w:rsid w:val="000E75BD"/>
    <w:rsid w:val="000E7646"/>
    <w:rsid w:val="000E76A0"/>
    <w:rsid w:val="000E7772"/>
    <w:rsid w:val="000E77A9"/>
    <w:rsid w:val="000E77D0"/>
    <w:rsid w:val="000E77E5"/>
    <w:rsid w:val="000E786D"/>
    <w:rsid w:val="000E7870"/>
    <w:rsid w:val="000E79B6"/>
    <w:rsid w:val="000E7AC5"/>
    <w:rsid w:val="000E7AE9"/>
    <w:rsid w:val="000E7B45"/>
    <w:rsid w:val="000E7B69"/>
    <w:rsid w:val="000E7BDC"/>
    <w:rsid w:val="000E7BF4"/>
    <w:rsid w:val="000E7C0D"/>
    <w:rsid w:val="000E7C48"/>
    <w:rsid w:val="000E7C71"/>
    <w:rsid w:val="000E7C85"/>
    <w:rsid w:val="000E7D6D"/>
    <w:rsid w:val="000E7E8D"/>
    <w:rsid w:val="000E7E96"/>
    <w:rsid w:val="000E7ED5"/>
    <w:rsid w:val="000E7F06"/>
    <w:rsid w:val="000E7F23"/>
    <w:rsid w:val="000E7F9D"/>
    <w:rsid w:val="000F000F"/>
    <w:rsid w:val="000F0082"/>
    <w:rsid w:val="000F00CE"/>
    <w:rsid w:val="000F00D2"/>
    <w:rsid w:val="000F0128"/>
    <w:rsid w:val="000F0165"/>
    <w:rsid w:val="000F0192"/>
    <w:rsid w:val="000F01B8"/>
    <w:rsid w:val="000F02DC"/>
    <w:rsid w:val="000F035F"/>
    <w:rsid w:val="000F0391"/>
    <w:rsid w:val="000F03B9"/>
    <w:rsid w:val="000F03D1"/>
    <w:rsid w:val="000F0418"/>
    <w:rsid w:val="000F042C"/>
    <w:rsid w:val="000F04BB"/>
    <w:rsid w:val="000F04EE"/>
    <w:rsid w:val="000F0561"/>
    <w:rsid w:val="000F0575"/>
    <w:rsid w:val="000F05DB"/>
    <w:rsid w:val="000F0628"/>
    <w:rsid w:val="000F0639"/>
    <w:rsid w:val="000F0701"/>
    <w:rsid w:val="000F077A"/>
    <w:rsid w:val="000F07F7"/>
    <w:rsid w:val="000F0921"/>
    <w:rsid w:val="000F0986"/>
    <w:rsid w:val="000F09B1"/>
    <w:rsid w:val="000F0A5D"/>
    <w:rsid w:val="000F0AE0"/>
    <w:rsid w:val="000F0AE5"/>
    <w:rsid w:val="000F0B25"/>
    <w:rsid w:val="000F0BF8"/>
    <w:rsid w:val="000F0C0F"/>
    <w:rsid w:val="000F0C4C"/>
    <w:rsid w:val="000F0CE1"/>
    <w:rsid w:val="000F0D42"/>
    <w:rsid w:val="000F0D4C"/>
    <w:rsid w:val="000F0D69"/>
    <w:rsid w:val="000F0D79"/>
    <w:rsid w:val="000F0E83"/>
    <w:rsid w:val="000F0ECD"/>
    <w:rsid w:val="000F0F32"/>
    <w:rsid w:val="000F0F8C"/>
    <w:rsid w:val="000F0FB0"/>
    <w:rsid w:val="000F1018"/>
    <w:rsid w:val="000F10B7"/>
    <w:rsid w:val="000F114F"/>
    <w:rsid w:val="000F115E"/>
    <w:rsid w:val="000F117D"/>
    <w:rsid w:val="000F11A5"/>
    <w:rsid w:val="000F11BE"/>
    <w:rsid w:val="000F121F"/>
    <w:rsid w:val="000F1316"/>
    <w:rsid w:val="000F136C"/>
    <w:rsid w:val="000F13FC"/>
    <w:rsid w:val="000F1436"/>
    <w:rsid w:val="000F1467"/>
    <w:rsid w:val="000F1505"/>
    <w:rsid w:val="000F15D9"/>
    <w:rsid w:val="000F1665"/>
    <w:rsid w:val="000F16A6"/>
    <w:rsid w:val="000F16B3"/>
    <w:rsid w:val="000F16B6"/>
    <w:rsid w:val="000F16F1"/>
    <w:rsid w:val="000F1824"/>
    <w:rsid w:val="000F1857"/>
    <w:rsid w:val="000F186E"/>
    <w:rsid w:val="000F1923"/>
    <w:rsid w:val="000F1933"/>
    <w:rsid w:val="000F19A8"/>
    <w:rsid w:val="000F1B30"/>
    <w:rsid w:val="000F1BB7"/>
    <w:rsid w:val="000F1BEE"/>
    <w:rsid w:val="000F1C13"/>
    <w:rsid w:val="000F1C34"/>
    <w:rsid w:val="000F1C3D"/>
    <w:rsid w:val="000F1C64"/>
    <w:rsid w:val="000F1CCA"/>
    <w:rsid w:val="000F1D0D"/>
    <w:rsid w:val="000F1D72"/>
    <w:rsid w:val="000F1DA2"/>
    <w:rsid w:val="000F1DD0"/>
    <w:rsid w:val="000F1E44"/>
    <w:rsid w:val="000F1E4A"/>
    <w:rsid w:val="000F1E5C"/>
    <w:rsid w:val="000F1ED6"/>
    <w:rsid w:val="000F1F00"/>
    <w:rsid w:val="000F1F50"/>
    <w:rsid w:val="000F1F6F"/>
    <w:rsid w:val="000F203F"/>
    <w:rsid w:val="000F2066"/>
    <w:rsid w:val="000F2105"/>
    <w:rsid w:val="000F21A6"/>
    <w:rsid w:val="000F21E0"/>
    <w:rsid w:val="000F221A"/>
    <w:rsid w:val="000F2234"/>
    <w:rsid w:val="000F2251"/>
    <w:rsid w:val="000F2296"/>
    <w:rsid w:val="000F2299"/>
    <w:rsid w:val="000F22C1"/>
    <w:rsid w:val="000F237F"/>
    <w:rsid w:val="000F2398"/>
    <w:rsid w:val="000F23AB"/>
    <w:rsid w:val="000F23D1"/>
    <w:rsid w:val="000F23F7"/>
    <w:rsid w:val="000F2422"/>
    <w:rsid w:val="000F246B"/>
    <w:rsid w:val="000F2475"/>
    <w:rsid w:val="000F2557"/>
    <w:rsid w:val="000F25A2"/>
    <w:rsid w:val="000F25D6"/>
    <w:rsid w:val="000F2655"/>
    <w:rsid w:val="000F266F"/>
    <w:rsid w:val="000F2751"/>
    <w:rsid w:val="000F2796"/>
    <w:rsid w:val="000F279D"/>
    <w:rsid w:val="000F27A6"/>
    <w:rsid w:val="000F27E5"/>
    <w:rsid w:val="000F2887"/>
    <w:rsid w:val="000F288A"/>
    <w:rsid w:val="000F2897"/>
    <w:rsid w:val="000F290C"/>
    <w:rsid w:val="000F291F"/>
    <w:rsid w:val="000F29ED"/>
    <w:rsid w:val="000F2A8B"/>
    <w:rsid w:val="000F2A90"/>
    <w:rsid w:val="000F2AA8"/>
    <w:rsid w:val="000F2B76"/>
    <w:rsid w:val="000F2B96"/>
    <w:rsid w:val="000F2B98"/>
    <w:rsid w:val="000F2B9B"/>
    <w:rsid w:val="000F2C3B"/>
    <w:rsid w:val="000F2C7C"/>
    <w:rsid w:val="000F2C8C"/>
    <w:rsid w:val="000F2D0F"/>
    <w:rsid w:val="000F2D7B"/>
    <w:rsid w:val="000F2D85"/>
    <w:rsid w:val="000F2DA3"/>
    <w:rsid w:val="000F2DEA"/>
    <w:rsid w:val="000F2EDB"/>
    <w:rsid w:val="000F2EF1"/>
    <w:rsid w:val="000F301D"/>
    <w:rsid w:val="000F3038"/>
    <w:rsid w:val="000F3074"/>
    <w:rsid w:val="000F309F"/>
    <w:rsid w:val="000F30C9"/>
    <w:rsid w:val="000F311C"/>
    <w:rsid w:val="000F3121"/>
    <w:rsid w:val="000F3198"/>
    <w:rsid w:val="000F3205"/>
    <w:rsid w:val="000F3220"/>
    <w:rsid w:val="000F3283"/>
    <w:rsid w:val="000F328C"/>
    <w:rsid w:val="000F3291"/>
    <w:rsid w:val="000F32C6"/>
    <w:rsid w:val="000F3335"/>
    <w:rsid w:val="000F335D"/>
    <w:rsid w:val="000F338A"/>
    <w:rsid w:val="000F33E5"/>
    <w:rsid w:val="000F3434"/>
    <w:rsid w:val="000F343C"/>
    <w:rsid w:val="000F3494"/>
    <w:rsid w:val="000F34CD"/>
    <w:rsid w:val="000F351E"/>
    <w:rsid w:val="000F35DB"/>
    <w:rsid w:val="000F3627"/>
    <w:rsid w:val="000F363A"/>
    <w:rsid w:val="000F3657"/>
    <w:rsid w:val="000F36E1"/>
    <w:rsid w:val="000F3850"/>
    <w:rsid w:val="000F38F1"/>
    <w:rsid w:val="000F3947"/>
    <w:rsid w:val="000F39E4"/>
    <w:rsid w:val="000F39FE"/>
    <w:rsid w:val="000F3A1A"/>
    <w:rsid w:val="000F3A5E"/>
    <w:rsid w:val="000F3A7B"/>
    <w:rsid w:val="000F3B1B"/>
    <w:rsid w:val="000F3B77"/>
    <w:rsid w:val="000F3BAA"/>
    <w:rsid w:val="000F3BC7"/>
    <w:rsid w:val="000F3BE7"/>
    <w:rsid w:val="000F3C89"/>
    <w:rsid w:val="000F3C8B"/>
    <w:rsid w:val="000F3D12"/>
    <w:rsid w:val="000F3D1A"/>
    <w:rsid w:val="000F3D35"/>
    <w:rsid w:val="000F3D87"/>
    <w:rsid w:val="000F3E06"/>
    <w:rsid w:val="000F3E46"/>
    <w:rsid w:val="000F3E5B"/>
    <w:rsid w:val="000F3E7F"/>
    <w:rsid w:val="000F40A6"/>
    <w:rsid w:val="000F417A"/>
    <w:rsid w:val="000F419D"/>
    <w:rsid w:val="000F41AF"/>
    <w:rsid w:val="000F41BC"/>
    <w:rsid w:val="000F426A"/>
    <w:rsid w:val="000F42F2"/>
    <w:rsid w:val="000F4347"/>
    <w:rsid w:val="000F43A5"/>
    <w:rsid w:val="000F4400"/>
    <w:rsid w:val="000F4552"/>
    <w:rsid w:val="000F4557"/>
    <w:rsid w:val="000F4560"/>
    <w:rsid w:val="000F45E4"/>
    <w:rsid w:val="000F460C"/>
    <w:rsid w:val="000F467F"/>
    <w:rsid w:val="000F4691"/>
    <w:rsid w:val="000F46FA"/>
    <w:rsid w:val="000F471F"/>
    <w:rsid w:val="000F4745"/>
    <w:rsid w:val="000F47DE"/>
    <w:rsid w:val="000F47F9"/>
    <w:rsid w:val="000F481A"/>
    <w:rsid w:val="000F486F"/>
    <w:rsid w:val="000F48BE"/>
    <w:rsid w:val="000F48D0"/>
    <w:rsid w:val="000F48F8"/>
    <w:rsid w:val="000F493A"/>
    <w:rsid w:val="000F493D"/>
    <w:rsid w:val="000F4992"/>
    <w:rsid w:val="000F4995"/>
    <w:rsid w:val="000F4A05"/>
    <w:rsid w:val="000F4A24"/>
    <w:rsid w:val="000F4A31"/>
    <w:rsid w:val="000F4A9E"/>
    <w:rsid w:val="000F4AB0"/>
    <w:rsid w:val="000F4AFF"/>
    <w:rsid w:val="000F4B27"/>
    <w:rsid w:val="000F4B79"/>
    <w:rsid w:val="000F4BF7"/>
    <w:rsid w:val="000F4BF8"/>
    <w:rsid w:val="000F4C36"/>
    <w:rsid w:val="000F4D3C"/>
    <w:rsid w:val="000F4E85"/>
    <w:rsid w:val="000F4E8D"/>
    <w:rsid w:val="000F4ED5"/>
    <w:rsid w:val="000F4EF0"/>
    <w:rsid w:val="000F4F0E"/>
    <w:rsid w:val="000F4F60"/>
    <w:rsid w:val="000F500C"/>
    <w:rsid w:val="000F5048"/>
    <w:rsid w:val="000F50F0"/>
    <w:rsid w:val="000F5108"/>
    <w:rsid w:val="000F513B"/>
    <w:rsid w:val="000F51D0"/>
    <w:rsid w:val="000F522C"/>
    <w:rsid w:val="000F522F"/>
    <w:rsid w:val="000F528D"/>
    <w:rsid w:val="000F52E3"/>
    <w:rsid w:val="000F5391"/>
    <w:rsid w:val="000F53C5"/>
    <w:rsid w:val="000F53E2"/>
    <w:rsid w:val="000F5423"/>
    <w:rsid w:val="000F5453"/>
    <w:rsid w:val="000F5472"/>
    <w:rsid w:val="000F5536"/>
    <w:rsid w:val="000F5559"/>
    <w:rsid w:val="000F5597"/>
    <w:rsid w:val="000F55B3"/>
    <w:rsid w:val="000F55F3"/>
    <w:rsid w:val="000F5622"/>
    <w:rsid w:val="000F568B"/>
    <w:rsid w:val="000F56DF"/>
    <w:rsid w:val="000F578B"/>
    <w:rsid w:val="000F57C3"/>
    <w:rsid w:val="000F57DD"/>
    <w:rsid w:val="000F5829"/>
    <w:rsid w:val="000F58D6"/>
    <w:rsid w:val="000F592B"/>
    <w:rsid w:val="000F5966"/>
    <w:rsid w:val="000F5A17"/>
    <w:rsid w:val="000F5A3C"/>
    <w:rsid w:val="000F5A9C"/>
    <w:rsid w:val="000F5B07"/>
    <w:rsid w:val="000F5B26"/>
    <w:rsid w:val="000F5B59"/>
    <w:rsid w:val="000F5B89"/>
    <w:rsid w:val="000F5BFC"/>
    <w:rsid w:val="000F5C5E"/>
    <w:rsid w:val="000F5C67"/>
    <w:rsid w:val="000F5CCC"/>
    <w:rsid w:val="000F5D96"/>
    <w:rsid w:val="000F5DD0"/>
    <w:rsid w:val="000F5E05"/>
    <w:rsid w:val="000F5E46"/>
    <w:rsid w:val="000F5E7B"/>
    <w:rsid w:val="000F5ED0"/>
    <w:rsid w:val="000F5ED5"/>
    <w:rsid w:val="000F5F27"/>
    <w:rsid w:val="000F5FA8"/>
    <w:rsid w:val="000F605A"/>
    <w:rsid w:val="000F609F"/>
    <w:rsid w:val="000F60A1"/>
    <w:rsid w:val="000F60F7"/>
    <w:rsid w:val="000F6127"/>
    <w:rsid w:val="000F6200"/>
    <w:rsid w:val="000F625A"/>
    <w:rsid w:val="000F6287"/>
    <w:rsid w:val="000F62F9"/>
    <w:rsid w:val="000F6363"/>
    <w:rsid w:val="000F63BE"/>
    <w:rsid w:val="000F63EE"/>
    <w:rsid w:val="000F64AC"/>
    <w:rsid w:val="000F64BB"/>
    <w:rsid w:val="000F64C1"/>
    <w:rsid w:val="000F64F4"/>
    <w:rsid w:val="000F657E"/>
    <w:rsid w:val="000F658A"/>
    <w:rsid w:val="000F6601"/>
    <w:rsid w:val="000F6630"/>
    <w:rsid w:val="000F6652"/>
    <w:rsid w:val="000F6694"/>
    <w:rsid w:val="000F67E6"/>
    <w:rsid w:val="000F67FD"/>
    <w:rsid w:val="000F6846"/>
    <w:rsid w:val="000F68A5"/>
    <w:rsid w:val="000F68AC"/>
    <w:rsid w:val="000F68DC"/>
    <w:rsid w:val="000F6907"/>
    <w:rsid w:val="000F690D"/>
    <w:rsid w:val="000F6935"/>
    <w:rsid w:val="000F698F"/>
    <w:rsid w:val="000F6991"/>
    <w:rsid w:val="000F69B7"/>
    <w:rsid w:val="000F6A0B"/>
    <w:rsid w:val="000F6A18"/>
    <w:rsid w:val="000F6A5A"/>
    <w:rsid w:val="000F6A99"/>
    <w:rsid w:val="000F6ACF"/>
    <w:rsid w:val="000F6B0A"/>
    <w:rsid w:val="000F6B5A"/>
    <w:rsid w:val="000F6B9C"/>
    <w:rsid w:val="000F6BB5"/>
    <w:rsid w:val="000F6BDC"/>
    <w:rsid w:val="000F6C30"/>
    <w:rsid w:val="000F6C54"/>
    <w:rsid w:val="000F6C64"/>
    <w:rsid w:val="000F6D0E"/>
    <w:rsid w:val="000F6E16"/>
    <w:rsid w:val="000F6E37"/>
    <w:rsid w:val="000F6E76"/>
    <w:rsid w:val="000F6E85"/>
    <w:rsid w:val="000F6EAC"/>
    <w:rsid w:val="000F6EB8"/>
    <w:rsid w:val="000F6EC2"/>
    <w:rsid w:val="000F6F12"/>
    <w:rsid w:val="000F6F14"/>
    <w:rsid w:val="000F6F19"/>
    <w:rsid w:val="000F6F27"/>
    <w:rsid w:val="000F6FA9"/>
    <w:rsid w:val="000F6FBD"/>
    <w:rsid w:val="000F7002"/>
    <w:rsid w:val="000F703D"/>
    <w:rsid w:val="000F7043"/>
    <w:rsid w:val="000F706C"/>
    <w:rsid w:val="000F70AC"/>
    <w:rsid w:val="000F71A2"/>
    <w:rsid w:val="000F725C"/>
    <w:rsid w:val="000F7261"/>
    <w:rsid w:val="000F7271"/>
    <w:rsid w:val="000F728E"/>
    <w:rsid w:val="000F7306"/>
    <w:rsid w:val="000F7336"/>
    <w:rsid w:val="000F7353"/>
    <w:rsid w:val="000F73EF"/>
    <w:rsid w:val="000F740C"/>
    <w:rsid w:val="000F7507"/>
    <w:rsid w:val="000F7517"/>
    <w:rsid w:val="000F7552"/>
    <w:rsid w:val="000F755A"/>
    <w:rsid w:val="000F75C9"/>
    <w:rsid w:val="000F7602"/>
    <w:rsid w:val="000F7633"/>
    <w:rsid w:val="000F76BF"/>
    <w:rsid w:val="000F76E1"/>
    <w:rsid w:val="000F7710"/>
    <w:rsid w:val="000F776B"/>
    <w:rsid w:val="000F779E"/>
    <w:rsid w:val="000F77D6"/>
    <w:rsid w:val="000F77FF"/>
    <w:rsid w:val="000F7855"/>
    <w:rsid w:val="000F78A0"/>
    <w:rsid w:val="000F78E6"/>
    <w:rsid w:val="000F7905"/>
    <w:rsid w:val="000F7990"/>
    <w:rsid w:val="000F7994"/>
    <w:rsid w:val="000F7A21"/>
    <w:rsid w:val="000F7A40"/>
    <w:rsid w:val="000F7A98"/>
    <w:rsid w:val="000F7AC5"/>
    <w:rsid w:val="000F7B2A"/>
    <w:rsid w:val="000F7B6E"/>
    <w:rsid w:val="000F7B9B"/>
    <w:rsid w:val="000F7C68"/>
    <w:rsid w:val="000F7C6E"/>
    <w:rsid w:val="000F7C8D"/>
    <w:rsid w:val="000F7CE1"/>
    <w:rsid w:val="000F7D33"/>
    <w:rsid w:val="000F7D39"/>
    <w:rsid w:val="000F7E2D"/>
    <w:rsid w:val="000F7E44"/>
    <w:rsid w:val="000F7E49"/>
    <w:rsid w:val="000F7EB4"/>
    <w:rsid w:val="000F7EDC"/>
    <w:rsid w:val="000F7EEA"/>
    <w:rsid w:val="000F7F38"/>
    <w:rsid w:val="000F7FD9"/>
    <w:rsid w:val="0010007C"/>
    <w:rsid w:val="001000CB"/>
    <w:rsid w:val="00100192"/>
    <w:rsid w:val="001001AF"/>
    <w:rsid w:val="001001CE"/>
    <w:rsid w:val="00100264"/>
    <w:rsid w:val="0010028A"/>
    <w:rsid w:val="00100292"/>
    <w:rsid w:val="001003A4"/>
    <w:rsid w:val="001003E4"/>
    <w:rsid w:val="001003EF"/>
    <w:rsid w:val="00100407"/>
    <w:rsid w:val="0010040F"/>
    <w:rsid w:val="00100454"/>
    <w:rsid w:val="00100477"/>
    <w:rsid w:val="001004A0"/>
    <w:rsid w:val="00100529"/>
    <w:rsid w:val="0010056E"/>
    <w:rsid w:val="001005D6"/>
    <w:rsid w:val="001005EF"/>
    <w:rsid w:val="0010066C"/>
    <w:rsid w:val="001006A0"/>
    <w:rsid w:val="001006DC"/>
    <w:rsid w:val="001007EC"/>
    <w:rsid w:val="00100868"/>
    <w:rsid w:val="0010086D"/>
    <w:rsid w:val="001008FA"/>
    <w:rsid w:val="00100964"/>
    <w:rsid w:val="00100A34"/>
    <w:rsid w:val="00100A8D"/>
    <w:rsid w:val="00100AA7"/>
    <w:rsid w:val="00100AB1"/>
    <w:rsid w:val="00100AEA"/>
    <w:rsid w:val="00100B94"/>
    <w:rsid w:val="00100BF3"/>
    <w:rsid w:val="00100C23"/>
    <w:rsid w:val="00100C53"/>
    <w:rsid w:val="00100CE0"/>
    <w:rsid w:val="00100D0F"/>
    <w:rsid w:val="00100D10"/>
    <w:rsid w:val="00100D26"/>
    <w:rsid w:val="00100E3C"/>
    <w:rsid w:val="00100E48"/>
    <w:rsid w:val="00100EA7"/>
    <w:rsid w:val="00100F05"/>
    <w:rsid w:val="00100FE0"/>
    <w:rsid w:val="00101026"/>
    <w:rsid w:val="00101038"/>
    <w:rsid w:val="00101049"/>
    <w:rsid w:val="001010A7"/>
    <w:rsid w:val="00101188"/>
    <w:rsid w:val="001011BE"/>
    <w:rsid w:val="00101275"/>
    <w:rsid w:val="001012F4"/>
    <w:rsid w:val="00101355"/>
    <w:rsid w:val="0010136D"/>
    <w:rsid w:val="001013C6"/>
    <w:rsid w:val="00101437"/>
    <w:rsid w:val="0010143D"/>
    <w:rsid w:val="00101453"/>
    <w:rsid w:val="00101459"/>
    <w:rsid w:val="001014E6"/>
    <w:rsid w:val="0010152A"/>
    <w:rsid w:val="0010152C"/>
    <w:rsid w:val="001015AC"/>
    <w:rsid w:val="001015F7"/>
    <w:rsid w:val="00101615"/>
    <w:rsid w:val="0010167A"/>
    <w:rsid w:val="00101686"/>
    <w:rsid w:val="001016EF"/>
    <w:rsid w:val="00101723"/>
    <w:rsid w:val="00101728"/>
    <w:rsid w:val="00101766"/>
    <w:rsid w:val="00101782"/>
    <w:rsid w:val="001018B2"/>
    <w:rsid w:val="00101990"/>
    <w:rsid w:val="00101999"/>
    <w:rsid w:val="00101A71"/>
    <w:rsid w:val="00101B0F"/>
    <w:rsid w:val="00101B74"/>
    <w:rsid w:val="00101C13"/>
    <w:rsid w:val="00101DFC"/>
    <w:rsid w:val="00101E17"/>
    <w:rsid w:val="00101F68"/>
    <w:rsid w:val="00101FB3"/>
    <w:rsid w:val="00101FD6"/>
    <w:rsid w:val="0010201C"/>
    <w:rsid w:val="001020D9"/>
    <w:rsid w:val="00102127"/>
    <w:rsid w:val="00102155"/>
    <w:rsid w:val="0010218A"/>
    <w:rsid w:val="001021E4"/>
    <w:rsid w:val="001021F8"/>
    <w:rsid w:val="00102226"/>
    <w:rsid w:val="0010230C"/>
    <w:rsid w:val="0010230E"/>
    <w:rsid w:val="00102337"/>
    <w:rsid w:val="00102402"/>
    <w:rsid w:val="00102405"/>
    <w:rsid w:val="00102490"/>
    <w:rsid w:val="0010262A"/>
    <w:rsid w:val="001026AA"/>
    <w:rsid w:val="001026DA"/>
    <w:rsid w:val="001026F6"/>
    <w:rsid w:val="0010279F"/>
    <w:rsid w:val="001027B1"/>
    <w:rsid w:val="001027E4"/>
    <w:rsid w:val="00102847"/>
    <w:rsid w:val="00102896"/>
    <w:rsid w:val="00102948"/>
    <w:rsid w:val="001029A0"/>
    <w:rsid w:val="001029FC"/>
    <w:rsid w:val="00102A0C"/>
    <w:rsid w:val="00102A31"/>
    <w:rsid w:val="00102A74"/>
    <w:rsid w:val="00102A7A"/>
    <w:rsid w:val="00102B16"/>
    <w:rsid w:val="00102B5D"/>
    <w:rsid w:val="00102D39"/>
    <w:rsid w:val="00102E11"/>
    <w:rsid w:val="00102E53"/>
    <w:rsid w:val="00102E87"/>
    <w:rsid w:val="00102EE6"/>
    <w:rsid w:val="00102F03"/>
    <w:rsid w:val="00102FBD"/>
    <w:rsid w:val="00102FE2"/>
    <w:rsid w:val="00103067"/>
    <w:rsid w:val="0010309B"/>
    <w:rsid w:val="001030F5"/>
    <w:rsid w:val="0010310F"/>
    <w:rsid w:val="0010314E"/>
    <w:rsid w:val="0010315C"/>
    <w:rsid w:val="00103166"/>
    <w:rsid w:val="00103240"/>
    <w:rsid w:val="00103271"/>
    <w:rsid w:val="0010327E"/>
    <w:rsid w:val="001032A5"/>
    <w:rsid w:val="001032E9"/>
    <w:rsid w:val="001032F6"/>
    <w:rsid w:val="00103350"/>
    <w:rsid w:val="00103361"/>
    <w:rsid w:val="00103424"/>
    <w:rsid w:val="00103519"/>
    <w:rsid w:val="00103547"/>
    <w:rsid w:val="00103744"/>
    <w:rsid w:val="00103897"/>
    <w:rsid w:val="001038B8"/>
    <w:rsid w:val="00103938"/>
    <w:rsid w:val="0010393D"/>
    <w:rsid w:val="0010394E"/>
    <w:rsid w:val="0010394F"/>
    <w:rsid w:val="001039A6"/>
    <w:rsid w:val="00103AA2"/>
    <w:rsid w:val="00103ABD"/>
    <w:rsid w:val="00103AED"/>
    <w:rsid w:val="00103B74"/>
    <w:rsid w:val="00103B97"/>
    <w:rsid w:val="00103BEE"/>
    <w:rsid w:val="00103C5E"/>
    <w:rsid w:val="00103C99"/>
    <w:rsid w:val="00103CAE"/>
    <w:rsid w:val="00103DBC"/>
    <w:rsid w:val="00103ED6"/>
    <w:rsid w:val="00103F31"/>
    <w:rsid w:val="00103FA0"/>
    <w:rsid w:val="00103FB0"/>
    <w:rsid w:val="00103FFF"/>
    <w:rsid w:val="00104053"/>
    <w:rsid w:val="0010406B"/>
    <w:rsid w:val="0010408E"/>
    <w:rsid w:val="001040B1"/>
    <w:rsid w:val="001040E9"/>
    <w:rsid w:val="00104115"/>
    <w:rsid w:val="0010416D"/>
    <w:rsid w:val="001041F1"/>
    <w:rsid w:val="00104254"/>
    <w:rsid w:val="0010437D"/>
    <w:rsid w:val="001043E3"/>
    <w:rsid w:val="001043EE"/>
    <w:rsid w:val="001043EF"/>
    <w:rsid w:val="00104426"/>
    <w:rsid w:val="001044B5"/>
    <w:rsid w:val="0010450F"/>
    <w:rsid w:val="001045DF"/>
    <w:rsid w:val="00104611"/>
    <w:rsid w:val="00104629"/>
    <w:rsid w:val="00104681"/>
    <w:rsid w:val="00104704"/>
    <w:rsid w:val="00104753"/>
    <w:rsid w:val="00104754"/>
    <w:rsid w:val="001047D8"/>
    <w:rsid w:val="00104820"/>
    <w:rsid w:val="00104845"/>
    <w:rsid w:val="0010491C"/>
    <w:rsid w:val="00104954"/>
    <w:rsid w:val="00104A17"/>
    <w:rsid w:val="00104A6D"/>
    <w:rsid w:val="00104A90"/>
    <w:rsid w:val="00104AAB"/>
    <w:rsid w:val="00104AF5"/>
    <w:rsid w:val="00104B50"/>
    <w:rsid w:val="00104B6A"/>
    <w:rsid w:val="00104B78"/>
    <w:rsid w:val="00104BBB"/>
    <w:rsid w:val="00104C94"/>
    <w:rsid w:val="00104C95"/>
    <w:rsid w:val="00104D3B"/>
    <w:rsid w:val="00104D98"/>
    <w:rsid w:val="00104E28"/>
    <w:rsid w:val="00104E82"/>
    <w:rsid w:val="00104ECA"/>
    <w:rsid w:val="00104ED0"/>
    <w:rsid w:val="00104F95"/>
    <w:rsid w:val="00105067"/>
    <w:rsid w:val="00105069"/>
    <w:rsid w:val="001050A6"/>
    <w:rsid w:val="00105116"/>
    <w:rsid w:val="0010514C"/>
    <w:rsid w:val="00105182"/>
    <w:rsid w:val="0010518E"/>
    <w:rsid w:val="00105238"/>
    <w:rsid w:val="001052BC"/>
    <w:rsid w:val="001052C2"/>
    <w:rsid w:val="00105306"/>
    <w:rsid w:val="001053CE"/>
    <w:rsid w:val="00105460"/>
    <w:rsid w:val="00105462"/>
    <w:rsid w:val="001054DE"/>
    <w:rsid w:val="00105566"/>
    <w:rsid w:val="001055A8"/>
    <w:rsid w:val="001055AC"/>
    <w:rsid w:val="001055EF"/>
    <w:rsid w:val="00105693"/>
    <w:rsid w:val="001056C5"/>
    <w:rsid w:val="001056CE"/>
    <w:rsid w:val="001056E2"/>
    <w:rsid w:val="001056F6"/>
    <w:rsid w:val="0010574C"/>
    <w:rsid w:val="001058B1"/>
    <w:rsid w:val="001058BD"/>
    <w:rsid w:val="001058CA"/>
    <w:rsid w:val="001058F4"/>
    <w:rsid w:val="00105918"/>
    <w:rsid w:val="00105959"/>
    <w:rsid w:val="001059D8"/>
    <w:rsid w:val="001059E5"/>
    <w:rsid w:val="00105A5D"/>
    <w:rsid w:val="00105A70"/>
    <w:rsid w:val="00105AFE"/>
    <w:rsid w:val="00105B58"/>
    <w:rsid w:val="00105C09"/>
    <w:rsid w:val="00105D0B"/>
    <w:rsid w:val="00105D56"/>
    <w:rsid w:val="00105D5B"/>
    <w:rsid w:val="00105DB2"/>
    <w:rsid w:val="00105DEB"/>
    <w:rsid w:val="00105ED1"/>
    <w:rsid w:val="00105F58"/>
    <w:rsid w:val="00105FF8"/>
    <w:rsid w:val="00106004"/>
    <w:rsid w:val="00106034"/>
    <w:rsid w:val="00106052"/>
    <w:rsid w:val="00106134"/>
    <w:rsid w:val="00106174"/>
    <w:rsid w:val="001061E6"/>
    <w:rsid w:val="00106210"/>
    <w:rsid w:val="00106278"/>
    <w:rsid w:val="0010627E"/>
    <w:rsid w:val="00106300"/>
    <w:rsid w:val="00106315"/>
    <w:rsid w:val="00106335"/>
    <w:rsid w:val="00106364"/>
    <w:rsid w:val="001063BC"/>
    <w:rsid w:val="0010645D"/>
    <w:rsid w:val="001064A2"/>
    <w:rsid w:val="00106520"/>
    <w:rsid w:val="00106588"/>
    <w:rsid w:val="001065CF"/>
    <w:rsid w:val="001065D0"/>
    <w:rsid w:val="001065D8"/>
    <w:rsid w:val="00106688"/>
    <w:rsid w:val="0010672A"/>
    <w:rsid w:val="00106753"/>
    <w:rsid w:val="001067DE"/>
    <w:rsid w:val="0010681F"/>
    <w:rsid w:val="001069D3"/>
    <w:rsid w:val="001069EE"/>
    <w:rsid w:val="00106A67"/>
    <w:rsid w:val="00106A78"/>
    <w:rsid w:val="00106A83"/>
    <w:rsid w:val="00106ABA"/>
    <w:rsid w:val="00106B9B"/>
    <w:rsid w:val="00106C5C"/>
    <w:rsid w:val="00106C60"/>
    <w:rsid w:val="00106C8C"/>
    <w:rsid w:val="00106D2E"/>
    <w:rsid w:val="00106D49"/>
    <w:rsid w:val="00106D6C"/>
    <w:rsid w:val="00106E4E"/>
    <w:rsid w:val="00106E6C"/>
    <w:rsid w:val="00106F04"/>
    <w:rsid w:val="00106F42"/>
    <w:rsid w:val="00106FC4"/>
    <w:rsid w:val="00106FFC"/>
    <w:rsid w:val="00107039"/>
    <w:rsid w:val="001070D9"/>
    <w:rsid w:val="001070F8"/>
    <w:rsid w:val="0010713F"/>
    <w:rsid w:val="0010714B"/>
    <w:rsid w:val="001071B4"/>
    <w:rsid w:val="001071C9"/>
    <w:rsid w:val="001071EE"/>
    <w:rsid w:val="00107211"/>
    <w:rsid w:val="00107279"/>
    <w:rsid w:val="001072DE"/>
    <w:rsid w:val="00107366"/>
    <w:rsid w:val="0010737C"/>
    <w:rsid w:val="0010738A"/>
    <w:rsid w:val="001073CA"/>
    <w:rsid w:val="001074EC"/>
    <w:rsid w:val="001074FA"/>
    <w:rsid w:val="00107544"/>
    <w:rsid w:val="0010754B"/>
    <w:rsid w:val="001075E3"/>
    <w:rsid w:val="00107619"/>
    <w:rsid w:val="0010764D"/>
    <w:rsid w:val="00107651"/>
    <w:rsid w:val="00107684"/>
    <w:rsid w:val="001076F1"/>
    <w:rsid w:val="0010786D"/>
    <w:rsid w:val="00107959"/>
    <w:rsid w:val="00107961"/>
    <w:rsid w:val="0010796B"/>
    <w:rsid w:val="0010798A"/>
    <w:rsid w:val="001079E4"/>
    <w:rsid w:val="001079E6"/>
    <w:rsid w:val="00107A27"/>
    <w:rsid w:val="00107A44"/>
    <w:rsid w:val="00107ACF"/>
    <w:rsid w:val="00107B3D"/>
    <w:rsid w:val="00107BF7"/>
    <w:rsid w:val="00107D54"/>
    <w:rsid w:val="00107D90"/>
    <w:rsid w:val="00107E2C"/>
    <w:rsid w:val="00107E95"/>
    <w:rsid w:val="00107EDF"/>
    <w:rsid w:val="00107F29"/>
    <w:rsid w:val="00107F2C"/>
    <w:rsid w:val="00107F8D"/>
    <w:rsid w:val="00107FB3"/>
    <w:rsid w:val="00107FD5"/>
    <w:rsid w:val="00110086"/>
    <w:rsid w:val="001100DC"/>
    <w:rsid w:val="001101B9"/>
    <w:rsid w:val="001101DC"/>
    <w:rsid w:val="00110213"/>
    <w:rsid w:val="0011034A"/>
    <w:rsid w:val="0011034C"/>
    <w:rsid w:val="00110353"/>
    <w:rsid w:val="00110366"/>
    <w:rsid w:val="001103C8"/>
    <w:rsid w:val="001103E2"/>
    <w:rsid w:val="0011041D"/>
    <w:rsid w:val="001104BC"/>
    <w:rsid w:val="00110520"/>
    <w:rsid w:val="00110547"/>
    <w:rsid w:val="00110549"/>
    <w:rsid w:val="001105D7"/>
    <w:rsid w:val="00110618"/>
    <w:rsid w:val="00110664"/>
    <w:rsid w:val="00110698"/>
    <w:rsid w:val="0011072F"/>
    <w:rsid w:val="0011074E"/>
    <w:rsid w:val="001107DD"/>
    <w:rsid w:val="001107E5"/>
    <w:rsid w:val="0011081D"/>
    <w:rsid w:val="00110864"/>
    <w:rsid w:val="0011098F"/>
    <w:rsid w:val="00110AAE"/>
    <w:rsid w:val="00110AC3"/>
    <w:rsid w:val="00110AC5"/>
    <w:rsid w:val="00110B37"/>
    <w:rsid w:val="00110B6E"/>
    <w:rsid w:val="00110B9E"/>
    <w:rsid w:val="00110C09"/>
    <w:rsid w:val="00110C0E"/>
    <w:rsid w:val="00110C5D"/>
    <w:rsid w:val="00110CC6"/>
    <w:rsid w:val="00110CD1"/>
    <w:rsid w:val="00110E36"/>
    <w:rsid w:val="00110E78"/>
    <w:rsid w:val="00110F9E"/>
    <w:rsid w:val="00111028"/>
    <w:rsid w:val="0011102C"/>
    <w:rsid w:val="00111056"/>
    <w:rsid w:val="0011106B"/>
    <w:rsid w:val="0011110E"/>
    <w:rsid w:val="00111123"/>
    <w:rsid w:val="00111144"/>
    <w:rsid w:val="0011118F"/>
    <w:rsid w:val="00111197"/>
    <w:rsid w:val="001111BF"/>
    <w:rsid w:val="001111D4"/>
    <w:rsid w:val="001111EF"/>
    <w:rsid w:val="0011122C"/>
    <w:rsid w:val="00111305"/>
    <w:rsid w:val="00111392"/>
    <w:rsid w:val="001113AF"/>
    <w:rsid w:val="001113CF"/>
    <w:rsid w:val="001114B5"/>
    <w:rsid w:val="00111528"/>
    <w:rsid w:val="001115AB"/>
    <w:rsid w:val="001115B1"/>
    <w:rsid w:val="001115BA"/>
    <w:rsid w:val="00111636"/>
    <w:rsid w:val="0011164E"/>
    <w:rsid w:val="0011166C"/>
    <w:rsid w:val="001116E4"/>
    <w:rsid w:val="00111756"/>
    <w:rsid w:val="001117ED"/>
    <w:rsid w:val="00111867"/>
    <w:rsid w:val="001118BD"/>
    <w:rsid w:val="001118E4"/>
    <w:rsid w:val="00111923"/>
    <w:rsid w:val="00111932"/>
    <w:rsid w:val="0011199C"/>
    <w:rsid w:val="001119FF"/>
    <w:rsid w:val="00111A0F"/>
    <w:rsid w:val="00111AC3"/>
    <w:rsid w:val="00111AD4"/>
    <w:rsid w:val="00111B3D"/>
    <w:rsid w:val="00111B9D"/>
    <w:rsid w:val="00111BFC"/>
    <w:rsid w:val="00111C52"/>
    <w:rsid w:val="00111D87"/>
    <w:rsid w:val="00111D99"/>
    <w:rsid w:val="00111DFE"/>
    <w:rsid w:val="00111E16"/>
    <w:rsid w:val="00111E26"/>
    <w:rsid w:val="00111E2C"/>
    <w:rsid w:val="00111EDA"/>
    <w:rsid w:val="00111EE6"/>
    <w:rsid w:val="00111EF7"/>
    <w:rsid w:val="00111EFC"/>
    <w:rsid w:val="00111F33"/>
    <w:rsid w:val="00111F34"/>
    <w:rsid w:val="00111F5D"/>
    <w:rsid w:val="00111F60"/>
    <w:rsid w:val="00111FA9"/>
    <w:rsid w:val="00111FB3"/>
    <w:rsid w:val="0011203A"/>
    <w:rsid w:val="001121A2"/>
    <w:rsid w:val="001121AF"/>
    <w:rsid w:val="001121C2"/>
    <w:rsid w:val="00112222"/>
    <w:rsid w:val="0011222E"/>
    <w:rsid w:val="00112358"/>
    <w:rsid w:val="0011235E"/>
    <w:rsid w:val="0011235F"/>
    <w:rsid w:val="001123F5"/>
    <w:rsid w:val="001123F8"/>
    <w:rsid w:val="00112425"/>
    <w:rsid w:val="00112443"/>
    <w:rsid w:val="00112460"/>
    <w:rsid w:val="00112495"/>
    <w:rsid w:val="001124A2"/>
    <w:rsid w:val="001124AC"/>
    <w:rsid w:val="00112558"/>
    <w:rsid w:val="0011259E"/>
    <w:rsid w:val="001125E9"/>
    <w:rsid w:val="001126A3"/>
    <w:rsid w:val="001126BB"/>
    <w:rsid w:val="00112743"/>
    <w:rsid w:val="00112744"/>
    <w:rsid w:val="00112785"/>
    <w:rsid w:val="0011279A"/>
    <w:rsid w:val="00112818"/>
    <w:rsid w:val="0011287D"/>
    <w:rsid w:val="001128EB"/>
    <w:rsid w:val="00112908"/>
    <w:rsid w:val="0011298F"/>
    <w:rsid w:val="001129BF"/>
    <w:rsid w:val="001129D7"/>
    <w:rsid w:val="001129D8"/>
    <w:rsid w:val="00112A52"/>
    <w:rsid w:val="00112AEA"/>
    <w:rsid w:val="00112B04"/>
    <w:rsid w:val="00112B12"/>
    <w:rsid w:val="00112B30"/>
    <w:rsid w:val="00112B8C"/>
    <w:rsid w:val="00112C2B"/>
    <w:rsid w:val="00112C7D"/>
    <w:rsid w:val="00112CCD"/>
    <w:rsid w:val="00112D0B"/>
    <w:rsid w:val="00112E0C"/>
    <w:rsid w:val="00112E2C"/>
    <w:rsid w:val="00112E4E"/>
    <w:rsid w:val="00112E94"/>
    <w:rsid w:val="00112F03"/>
    <w:rsid w:val="00112F09"/>
    <w:rsid w:val="00112FC2"/>
    <w:rsid w:val="00112FF6"/>
    <w:rsid w:val="001130B7"/>
    <w:rsid w:val="001130CD"/>
    <w:rsid w:val="001130F0"/>
    <w:rsid w:val="00113102"/>
    <w:rsid w:val="001131AA"/>
    <w:rsid w:val="001131EF"/>
    <w:rsid w:val="00113200"/>
    <w:rsid w:val="0011321D"/>
    <w:rsid w:val="00113267"/>
    <w:rsid w:val="0011326F"/>
    <w:rsid w:val="00113356"/>
    <w:rsid w:val="00113393"/>
    <w:rsid w:val="001133A4"/>
    <w:rsid w:val="001133AD"/>
    <w:rsid w:val="001134D0"/>
    <w:rsid w:val="00113511"/>
    <w:rsid w:val="00113516"/>
    <w:rsid w:val="00113528"/>
    <w:rsid w:val="00113546"/>
    <w:rsid w:val="0011359D"/>
    <w:rsid w:val="00113638"/>
    <w:rsid w:val="0011364B"/>
    <w:rsid w:val="00113660"/>
    <w:rsid w:val="001138DE"/>
    <w:rsid w:val="00113906"/>
    <w:rsid w:val="001139F2"/>
    <w:rsid w:val="001139F8"/>
    <w:rsid w:val="00113A3A"/>
    <w:rsid w:val="00113B40"/>
    <w:rsid w:val="00113B66"/>
    <w:rsid w:val="00113BAF"/>
    <w:rsid w:val="00113C4C"/>
    <w:rsid w:val="00113C66"/>
    <w:rsid w:val="00113D29"/>
    <w:rsid w:val="00113D2C"/>
    <w:rsid w:val="00113D43"/>
    <w:rsid w:val="00113DFF"/>
    <w:rsid w:val="00113EA4"/>
    <w:rsid w:val="00113F73"/>
    <w:rsid w:val="00113FAC"/>
    <w:rsid w:val="00113FBA"/>
    <w:rsid w:val="00113FBC"/>
    <w:rsid w:val="00113FC1"/>
    <w:rsid w:val="00114080"/>
    <w:rsid w:val="00114108"/>
    <w:rsid w:val="0011414C"/>
    <w:rsid w:val="00114161"/>
    <w:rsid w:val="00114206"/>
    <w:rsid w:val="00114225"/>
    <w:rsid w:val="0011427A"/>
    <w:rsid w:val="001142C8"/>
    <w:rsid w:val="001142EE"/>
    <w:rsid w:val="001142F4"/>
    <w:rsid w:val="001142FD"/>
    <w:rsid w:val="0011435A"/>
    <w:rsid w:val="0011438C"/>
    <w:rsid w:val="001143E6"/>
    <w:rsid w:val="001144DD"/>
    <w:rsid w:val="001145D8"/>
    <w:rsid w:val="0011462B"/>
    <w:rsid w:val="001146C7"/>
    <w:rsid w:val="00114747"/>
    <w:rsid w:val="001147BC"/>
    <w:rsid w:val="00114848"/>
    <w:rsid w:val="0011486D"/>
    <w:rsid w:val="001148EB"/>
    <w:rsid w:val="0011490E"/>
    <w:rsid w:val="00114915"/>
    <w:rsid w:val="00114948"/>
    <w:rsid w:val="00114953"/>
    <w:rsid w:val="00114977"/>
    <w:rsid w:val="001149D5"/>
    <w:rsid w:val="00114AA8"/>
    <w:rsid w:val="00114AE0"/>
    <w:rsid w:val="00114B30"/>
    <w:rsid w:val="00114B40"/>
    <w:rsid w:val="00114BDA"/>
    <w:rsid w:val="00114C2C"/>
    <w:rsid w:val="00114C58"/>
    <w:rsid w:val="00114C96"/>
    <w:rsid w:val="00114CF9"/>
    <w:rsid w:val="00114D34"/>
    <w:rsid w:val="00114D81"/>
    <w:rsid w:val="00114E60"/>
    <w:rsid w:val="00114EAA"/>
    <w:rsid w:val="00114EE0"/>
    <w:rsid w:val="00114F82"/>
    <w:rsid w:val="0011501F"/>
    <w:rsid w:val="001151E6"/>
    <w:rsid w:val="00115210"/>
    <w:rsid w:val="00115265"/>
    <w:rsid w:val="001152CB"/>
    <w:rsid w:val="00115337"/>
    <w:rsid w:val="0011534A"/>
    <w:rsid w:val="001153C8"/>
    <w:rsid w:val="001153CA"/>
    <w:rsid w:val="0011540D"/>
    <w:rsid w:val="00115455"/>
    <w:rsid w:val="001154DB"/>
    <w:rsid w:val="001154DD"/>
    <w:rsid w:val="001154E1"/>
    <w:rsid w:val="00115547"/>
    <w:rsid w:val="0011559E"/>
    <w:rsid w:val="001155CF"/>
    <w:rsid w:val="001155F9"/>
    <w:rsid w:val="00115675"/>
    <w:rsid w:val="001156C7"/>
    <w:rsid w:val="00115705"/>
    <w:rsid w:val="00115735"/>
    <w:rsid w:val="00115751"/>
    <w:rsid w:val="00115773"/>
    <w:rsid w:val="0011578A"/>
    <w:rsid w:val="001157C7"/>
    <w:rsid w:val="001157FF"/>
    <w:rsid w:val="00115838"/>
    <w:rsid w:val="001158D5"/>
    <w:rsid w:val="00115938"/>
    <w:rsid w:val="00115A14"/>
    <w:rsid w:val="00115A5A"/>
    <w:rsid w:val="00115AE2"/>
    <w:rsid w:val="00115B2B"/>
    <w:rsid w:val="00115B3F"/>
    <w:rsid w:val="00115C0E"/>
    <w:rsid w:val="00115C1C"/>
    <w:rsid w:val="00115C8C"/>
    <w:rsid w:val="00115CC1"/>
    <w:rsid w:val="00115D3B"/>
    <w:rsid w:val="00115D44"/>
    <w:rsid w:val="00115D56"/>
    <w:rsid w:val="00115DB1"/>
    <w:rsid w:val="00115DE3"/>
    <w:rsid w:val="00115DE6"/>
    <w:rsid w:val="00115E2A"/>
    <w:rsid w:val="00115F2E"/>
    <w:rsid w:val="00115FC8"/>
    <w:rsid w:val="0011602B"/>
    <w:rsid w:val="0011610B"/>
    <w:rsid w:val="0011611B"/>
    <w:rsid w:val="0011616F"/>
    <w:rsid w:val="00116176"/>
    <w:rsid w:val="001161C0"/>
    <w:rsid w:val="00116289"/>
    <w:rsid w:val="00116291"/>
    <w:rsid w:val="00116342"/>
    <w:rsid w:val="00116377"/>
    <w:rsid w:val="001163E8"/>
    <w:rsid w:val="0011642B"/>
    <w:rsid w:val="0011646A"/>
    <w:rsid w:val="00116485"/>
    <w:rsid w:val="00116490"/>
    <w:rsid w:val="001164A1"/>
    <w:rsid w:val="00116542"/>
    <w:rsid w:val="0011655B"/>
    <w:rsid w:val="0011658F"/>
    <w:rsid w:val="001165CC"/>
    <w:rsid w:val="001166A8"/>
    <w:rsid w:val="00116735"/>
    <w:rsid w:val="00116737"/>
    <w:rsid w:val="00116773"/>
    <w:rsid w:val="00116781"/>
    <w:rsid w:val="001167D0"/>
    <w:rsid w:val="001167E1"/>
    <w:rsid w:val="001167EE"/>
    <w:rsid w:val="001168AB"/>
    <w:rsid w:val="001168AF"/>
    <w:rsid w:val="001168DB"/>
    <w:rsid w:val="001168F4"/>
    <w:rsid w:val="0011698A"/>
    <w:rsid w:val="001169AB"/>
    <w:rsid w:val="001169B8"/>
    <w:rsid w:val="001169DE"/>
    <w:rsid w:val="001169F6"/>
    <w:rsid w:val="00116A8B"/>
    <w:rsid w:val="00116AFB"/>
    <w:rsid w:val="00116B32"/>
    <w:rsid w:val="00116BD5"/>
    <w:rsid w:val="00116C46"/>
    <w:rsid w:val="00116C5F"/>
    <w:rsid w:val="00116C8B"/>
    <w:rsid w:val="00116D01"/>
    <w:rsid w:val="00116D56"/>
    <w:rsid w:val="00116D7D"/>
    <w:rsid w:val="00116E24"/>
    <w:rsid w:val="00116EC1"/>
    <w:rsid w:val="00116ED4"/>
    <w:rsid w:val="00116EE7"/>
    <w:rsid w:val="00116F0C"/>
    <w:rsid w:val="00116F13"/>
    <w:rsid w:val="00116F1A"/>
    <w:rsid w:val="00116F2F"/>
    <w:rsid w:val="00116FA0"/>
    <w:rsid w:val="00116FC7"/>
    <w:rsid w:val="00116FF5"/>
    <w:rsid w:val="0011707D"/>
    <w:rsid w:val="00117106"/>
    <w:rsid w:val="0011710C"/>
    <w:rsid w:val="0011730B"/>
    <w:rsid w:val="00117459"/>
    <w:rsid w:val="00117474"/>
    <w:rsid w:val="001174B6"/>
    <w:rsid w:val="001174F8"/>
    <w:rsid w:val="00117588"/>
    <w:rsid w:val="001175D5"/>
    <w:rsid w:val="0011762F"/>
    <w:rsid w:val="00117633"/>
    <w:rsid w:val="001176CD"/>
    <w:rsid w:val="00117701"/>
    <w:rsid w:val="00117729"/>
    <w:rsid w:val="00117739"/>
    <w:rsid w:val="00117780"/>
    <w:rsid w:val="00117789"/>
    <w:rsid w:val="00117856"/>
    <w:rsid w:val="00117880"/>
    <w:rsid w:val="001178DD"/>
    <w:rsid w:val="0011795F"/>
    <w:rsid w:val="00117975"/>
    <w:rsid w:val="00117A33"/>
    <w:rsid w:val="00117A73"/>
    <w:rsid w:val="00117AA3"/>
    <w:rsid w:val="00117ABA"/>
    <w:rsid w:val="00117AD1"/>
    <w:rsid w:val="00117AF1"/>
    <w:rsid w:val="00117B6F"/>
    <w:rsid w:val="00117BB2"/>
    <w:rsid w:val="00117C3E"/>
    <w:rsid w:val="00117C51"/>
    <w:rsid w:val="00117D07"/>
    <w:rsid w:val="00117D34"/>
    <w:rsid w:val="00117D69"/>
    <w:rsid w:val="00117E49"/>
    <w:rsid w:val="00117ECF"/>
    <w:rsid w:val="00117F39"/>
    <w:rsid w:val="00117F80"/>
    <w:rsid w:val="00120006"/>
    <w:rsid w:val="001200F4"/>
    <w:rsid w:val="0012015E"/>
    <w:rsid w:val="0012017E"/>
    <w:rsid w:val="00120236"/>
    <w:rsid w:val="001202E7"/>
    <w:rsid w:val="00120323"/>
    <w:rsid w:val="00120357"/>
    <w:rsid w:val="001203D3"/>
    <w:rsid w:val="001203D6"/>
    <w:rsid w:val="0012043B"/>
    <w:rsid w:val="001204AA"/>
    <w:rsid w:val="001204D4"/>
    <w:rsid w:val="00120545"/>
    <w:rsid w:val="00120548"/>
    <w:rsid w:val="001205A1"/>
    <w:rsid w:val="001205BA"/>
    <w:rsid w:val="001206C8"/>
    <w:rsid w:val="001206DF"/>
    <w:rsid w:val="00120724"/>
    <w:rsid w:val="0012077E"/>
    <w:rsid w:val="0012084A"/>
    <w:rsid w:val="00120873"/>
    <w:rsid w:val="00120885"/>
    <w:rsid w:val="001208B0"/>
    <w:rsid w:val="001208E8"/>
    <w:rsid w:val="001208EA"/>
    <w:rsid w:val="00120953"/>
    <w:rsid w:val="0012097A"/>
    <w:rsid w:val="00120A0D"/>
    <w:rsid w:val="00120A30"/>
    <w:rsid w:val="00120A4B"/>
    <w:rsid w:val="00120A98"/>
    <w:rsid w:val="00120B4D"/>
    <w:rsid w:val="00120BCF"/>
    <w:rsid w:val="00120BD4"/>
    <w:rsid w:val="00120C8C"/>
    <w:rsid w:val="00120DC2"/>
    <w:rsid w:val="00120DDC"/>
    <w:rsid w:val="00120F68"/>
    <w:rsid w:val="00121151"/>
    <w:rsid w:val="00121168"/>
    <w:rsid w:val="0012117D"/>
    <w:rsid w:val="001211CA"/>
    <w:rsid w:val="001211F6"/>
    <w:rsid w:val="00121204"/>
    <w:rsid w:val="00121275"/>
    <w:rsid w:val="001213A3"/>
    <w:rsid w:val="001213C6"/>
    <w:rsid w:val="00121460"/>
    <w:rsid w:val="0012148B"/>
    <w:rsid w:val="0012148C"/>
    <w:rsid w:val="00121599"/>
    <w:rsid w:val="00121664"/>
    <w:rsid w:val="00121695"/>
    <w:rsid w:val="001216A6"/>
    <w:rsid w:val="001216FC"/>
    <w:rsid w:val="0012170E"/>
    <w:rsid w:val="00121724"/>
    <w:rsid w:val="00121777"/>
    <w:rsid w:val="001218AD"/>
    <w:rsid w:val="001218B1"/>
    <w:rsid w:val="001218D9"/>
    <w:rsid w:val="001218E5"/>
    <w:rsid w:val="0012192E"/>
    <w:rsid w:val="00121951"/>
    <w:rsid w:val="00121990"/>
    <w:rsid w:val="00121A42"/>
    <w:rsid w:val="00121A79"/>
    <w:rsid w:val="00121AA5"/>
    <w:rsid w:val="00121ABA"/>
    <w:rsid w:val="00121AD2"/>
    <w:rsid w:val="00121AF3"/>
    <w:rsid w:val="00121B0A"/>
    <w:rsid w:val="00121B0F"/>
    <w:rsid w:val="00121B16"/>
    <w:rsid w:val="00121B67"/>
    <w:rsid w:val="00121BF8"/>
    <w:rsid w:val="00121C12"/>
    <w:rsid w:val="00121CF7"/>
    <w:rsid w:val="00121D43"/>
    <w:rsid w:val="00121D47"/>
    <w:rsid w:val="00121E8B"/>
    <w:rsid w:val="00121ECB"/>
    <w:rsid w:val="00121EE3"/>
    <w:rsid w:val="00121F45"/>
    <w:rsid w:val="00121F77"/>
    <w:rsid w:val="00121FE4"/>
    <w:rsid w:val="00122018"/>
    <w:rsid w:val="00122094"/>
    <w:rsid w:val="001220E3"/>
    <w:rsid w:val="00122127"/>
    <w:rsid w:val="00122174"/>
    <w:rsid w:val="0012218C"/>
    <w:rsid w:val="001221A7"/>
    <w:rsid w:val="001221B2"/>
    <w:rsid w:val="001221F3"/>
    <w:rsid w:val="00122210"/>
    <w:rsid w:val="00122217"/>
    <w:rsid w:val="00122221"/>
    <w:rsid w:val="00122243"/>
    <w:rsid w:val="00122247"/>
    <w:rsid w:val="00122257"/>
    <w:rsid w:val="0012226C"/>
    <w:rsid w:val="001222DD"/>
    <w:rsid w:val="00122357"/>
    <w:rsid w:val="0012236F"/>
    <w:rsid w:val="001223CD"/>
    <w:rsid w:val="001224D7"/>
    <w:rsid w:val="00122513"/>
    <w:rsid w:val="0012267D"/>
    <w:rsid w:val="00122683"/>
    <w:rsid w:val="00122706"/>
    <w:rsid w:val="0012282F"/>
    <w:rsid w:val="00122835"/>
    <w:rsid w:val="00122848"/>
    <w:rsid w:val="00122890"/>
    <w:rsid w:val="001228A0"/>
    <w:rsid w:val="001228B2"/>
    <w:rsid w:val="001228D8"/>
    <w:rsid w:val="00122966"/>
    <w:rsid w:val="001229B2"/>
    <w:rsid w:val="001229CB"/>
    <w:rsid w:val="00122A07"/>
    <w:rsid w:val="00122A72"/>
    <w:rsid w:val="00122AEC"/>
    <w:rsid w:val="00122B0D"/>
    <w:rsid w:val="00122C25"/>
    <w:rsid w:val="00122C53"/>
    <w:rsid w:val="00122C8F"/>
    <w:rsid w:val="00122D12"/>
    <w:rsid w:val="00122D1C"/>
    <w:rsid w:val="00122D4C"/>
    <w:rsid w:val="00122D82"/>
    <w:rsid w:val="00122DC7"/>
    <w:rsid w:val="00122DCB"/>
    <w:rsid w:val="00122DFE"/>
    <w:rsid w:val="00122E14"/>
    <w:rsid w:val="00122E1E"/>
    <w:rsid w:val="00122E3A"/>
    <w:rsid w:val="00122E59"/>
    <w:rsid w:val="00122ECA"/>
    <w:rsid w:val="00122F0C"/>
    <w:rsid w:val="00122FE9"/>
    <w:rsid w:val="00122FEA"/>
    <w:rsid w:val="0012300C"/>
    <w:rsid w:val="00123028"/>
    <w:rsid w:val="001230A3"/>
    <w:rsid w:val="001230B8"/>
    <w:rsid w:val="00123120"/>
    <w:rsid w:val="0012313A"/>
    <w:rsid w:val="001231D4"/>
    <w:rsid w:val="00123206"/>
    <w:rsid w:val="00123223"/>
    <w:rsid w:val="00123233"/>
    <w:rsid w:val="00123252"/>
    <w:rsid w:val="0012325B"/>
    <w:rsid w:val="001232A1"/>
    <w:rsid w:val="001232E4"/>
    <w:rsid w:val="00123312"/>
    <w:rsid w:val="001233C8"/>
    <w:rsid w:val="001233E4"/>
    <w:rsid w:val="00123437"/>
    <w:rsid w:val="0012343B"/>
    <w:rsid w:val="00123471"/>
    <w:rsid w:val="001234A2"/>
    <w:rsid w:val="001234A3"/>
    <w:rsid w:val="001234CB"/>
    <w:rsid w:val="00123551"/>
    <w:rsid w:val="001236AD"/>
    <w:rsid w:val="001236B5"/>
    <w:rsid w:val="001236D1"/>
    <w:rsid w:val="001236FA"/>
    <w:rsid w:val="0012373E"/>
    <w:rsid w:val="00123755"/>
    <w:rsid w:val="00123771"/>
    <w:rsid w:val="0012380A"/>
    <w:rsid w:val="0012384D"/>
    <w:rsid w:val="001238CA"/>
    <w:rsid w:val="001238E1"/>
    <w:rsid w:val="001238F7"/>
    <w:rsid w:val="001239BF"/>
    <w:rsid w:val="001239C8"/>
    <w:rsid w:val="001239D8"/>
    <w:rsid w:val="00123AC3"/>
    <w:rsid w:val="00123AF4"/>
    <w:rsid w:val="00123AF5"/>
    <w:rsid w:val="00123B16"/>
    <w:rsid w:val="00123B80"/>
    <w:rsid w:val="00123B88"/>
    <w:rsid w:val="00123BEF"/>
    <w:rsid w:val="00123C23"/>
    <w:rsid w:val="00123C27"/>
    <w:rsid w:val="00123C8F"/>
    <w:rsid w:val="00123C9A"/>
    <w:rsid w:val="00123DA6"/>
    <w:rsid w:val="00123E97"/>
    <w:rsid w:val="00123F22"/>
    <w:rsid w:val="00123FA3"/>
    <w:rsid w:val="00124008"/>
    <w:rsid w:val="00124054"/>
    <w:rsid w:val="0012406B"/>
    <w:rsid w:val="00124146"/>
    <w:rsid w:val="00124154"/>
    <w:rsid w:val="00124192"/>
    <w:rsid w:val="001241A3"/>
    <w:rsid w:val="001241BC"/>
    <w:rsid w:val="001241E9"/>
    <w:rsid w:val="0012420C"/>
    <w:rsid w:val="00124224"/>
    <w:rsid w:val="00124231"/>
    <w:rsid w:val="001242DA"/>
    <w:rsid w:val="00124407"/>
    <w:rsid w:val="00124440"/>
    <w:rsid w:val="0012446B"/>
    <w:rsid w:val="0012448D"/>
    <w:rsid w:val="001244C8"/>
    <w:rsid w:val="00124507"/>
    <w:rsid w:val="00124548"/>
    <w:rsid w:val="00124563"/>
    <w:rsid w:val="0012457A"/>
    <w:rsid w:val="001245F3"/>
    <w:rsid w:val="0012468B"/>
    <w:rsid w:val="0012474B"/>
    <w:rsid w:val="00124786"/>
    <w:rsid w:val="0012486B"/>
    <w:rsid w:val="001248E0"/>
    <w:rsid w:val="001248E1"/>
    <w:rsid w:val="0012490F"/>
    <w:rsid w:val="0012491B"/>
    <w:rsid w:val="00124929"/>
    <w:rsid w:val="0012496D"/>
    <w:rsid w:val="001249F3"/>
    <w:rsid w:val="00124A04"/>
    <w:rsid w:val="00124A33"/>
    <w:rsid w:val="00124A80"/>
    <w:rsid w:val="00124ABB"/>
    <w:rsid w:val="00124B35"/>
    <w:rsid w:val="00124B64"/>
    <w:rsid w:val="00124BE4"/>
    <w:rsid w:val="00124C00"/>
    <w:rsid w:val="00124C58"/>
    <w:rsid w:val="00124C69"/>
    <w:rsid w:val="00124CCE"/>
    <w:rsid w:val="00124D0C"/>
    <w:rsid w:val="00124D54"/>
    <w:rsid w:val="00124DAD"/>
    <w:rsid w:val="00124DC2"/>
    <w:rsid w:val="00124DFE"/>
    <w:rsid w:val="00124E89"/>
    <w:rsid w:val="00124E9A"/>
    <w:rsid w:val="00124EF5"/>
    <w:rsid w:val="00124F35"/>
    <w:rsid w:val="00124F3D"/>
    <w:rsid w:val="00124FB8"/>
    <w:rsid w:val="001250AE"/>
    <w:rsid w:val="00125133"/>
    <w:rsid w:val="00125148"/>
    <w:rsid w:val="0012515A"/>
    <w:rsid w:val="00125193"/>
    <w:rsid w:val="0012520D"/>
    <w:rsid w:val="00125320"/>
    <w:rsid w:val="0012534F"/>
    <w:rsid w:val="00125398"/>
    <w:rsid w:val="001253A9"/>
    <w:rsid w:val="001253BD"/>
    <w:rsid w:val="001253F9"/>
    <w:rsid w:val="00125495"/>
    <w:rsid w:val="001254A5"/>
    <w:rsid w:val="001254CD"/>
    <w:rsid w:val="001254FA"/>
    <w:rsid w:val="0012554F"/>
    <w:rsid w:val="00125561"/>
    <w:rsid w:val="00125583"/>
    <w:rsid w:val="001255B8"/>
    <w:rsid w:val="00125677"/>
    <w:rsid w:val="001256CE"/>
    <w:rsid w:val="00125798"/>
    <w:rsid w:val="001257BB"/>
    <w:rsid w:val="00125823"/>
    <w:rsid w:val="001258B0"/>
    <w:rsid w:val="001258DB"/>
    <w:rsid w:val="0012596D"/>
    <w:rsid w:val="001259B8"/>
    <w:rsid w:val="00125A68"/>
    <w:rsid w:val="00125AEB"/>
    <w:rsid w:val="00125AF2"/>
    <w:rsid w:val="00125AF5"/>
    <w:rsid w:val="00125B23"/>
    <w:rsid w:val="00125C21"/>
    <w:rsid w:val="00125C77"/>
    <w:rsid w:val="00125C85"/>
    <w:rsid w:val="00125CD2"/>
    <w:rsid w:val="00125D80"/>
    <w:rsid w:val="00125E25"/>
    <w:rsid w:val="00125EAA"/>
    <w:rsid w:val="00125ED0"/>
    <w:rsid w:val="00125EF0"/>
    <w:rsid w:val="00125FB1"/>
    <w:rsid w:val="00125FF7"/>
    <w:rsid w:val="00126166"/>
    <w:rsid w:val="001261F0"/>
    <w:rsid w:val="001261F7"/>
    <w:rsid w:val="00126219"/>
    <w:rsid w:val="00126231"/>
    <w:rsid w:val="00126243"/>
    <w:rsid w:val="001262AF"/>
    <w:rsid w:val="00126315"/>
    <w:rsid w:val="0012633B"/>
    <w:rsid w:val="001263CF"/>
    <w:rsid w:val="001263FC"/>
    <w:rsid w:val="00126434"/>
    <w:rsid w:val="00126435"/>
    <w:rsid w:val="0012643F"/>
    <w:rsid w:val="001264D6"/>
    <w:rsid w:val="00126534"/>
    <w:rsid w:val="0012654E"/>
    <w:rsid w:val="00126552"/>
    <w:rsid w:val="00126577"/>
    <w:rsid w:val="0012658B"/>
    <w:rsid w:val="001265B7"/>
    <w:rsid w:val="00126600"/>
    <w:rsid w:val="00126680"/>
    <w:rsid w:val="001266F0"/>
    <w:rsid w:val="0012677D"/>
    <w:rsid w:val="001267D6"/>
    <w:rsid w:val="001267D9"/>
    <w:rsid w:val="00126931"/>
    <w:rsid w:val="00126A77"/>
    <w:rsid w:val="00126A7A"/>
    <w:rsid w:val="00126ABF"/>
    <w:rsid w:val="00126AEB"/>
    <w:rsid w:val="00126B21"/>
    <w:rsid w:val="00126B63"/>
    <w:rsid w:val="00126B68"/>
    <w:rsid w:val="00126BCC"/>
    <w:rsid w:val="00126C1A"/>
    <w:rsid w:val="00126CBB"/>
    <w:rsid w:val="00126D1B"/>
    <w:rsid w:val="00126D2A"/>
    <w:rsid w:val="00126D86"/>
    <w:rsid w:val="00126DBA"/>
    <w:rsid w:val="00126DE9"/>
    <w:rsid w:val="00126E21"/>
    <w:rsid w:val="00126E7F"/>
    <w:rsid w:val="00126EA8"/>
    <w:rsid w:val="00126EAE"/>
    <w:rsid w:val="00126EE7"/>
    <w:rsid w:val="00126F19"/>
    <w:rsid w:val="00126F4C"/>
    <w:rsid w:val="00126FAA"/>
    <w:rsid w:val="00127025"/>
    <w:rsid w:val="0012702F"/>
    <w:rsid w:val="00127078"/>
    <w:rsid w:val="001270AE"/>
    <w:rsid w:val="001270EA"/>
    <w:rsid w:val="0012710A"/>
    <w:rsid w:val="00127114"/>
    <w:rsid w:val="00127128"/>
    <w:rsid w:val="00127135"/>
    <w:rsid w:val="001271F8"/>
    <w:rsid w:val="0012723D"/>
    <w:rsid w:val="0012724D"/>
    <w:rsid w:val="001273BC"/>
    <w:rsid w:val="00127426"/>
    <w:rsid w:val="00127522"/>
    <w:rsid w:val="00127536"/>
    <w:rsid w:val="0012759F"/>
    <w:rsid w:val="00127688"/>
    <w:rsid w:val="001276A2"/>
    <w:rsid w:val="001276C5"/>
    <w:rsid w:val="001277EF"/>
    <w:rsid w:val="0012780A"/>
    <w:rsid w:val="0012782A"/>
    <w:rsid w:val="0012793D"/>
    <w:rsid w:val="00127A10"/>
    <w:rsid w:val="00127A19"/>
    <w:rsid w:val="00127A96"/>
    <w:rsid w:val="00127ADE"/>
    <w:rsid w:val="00127B7F"/>
    <w:rsid w:val="00127B8A"/>
    <w:rsid w:val="00127B98"/>
    <w:rsid w:val="00127C20"/>
    <w:rsid w:val="00127C7B"/>
    <w:rsid w:val="00127CBC"/>
    <w:rsid w:val="00127D06"/>
    <w:rsid w:val="00127D18"/>
    <w:rsid w:val="00127DB2"/>
    <w:rsid w:val="00127E19"/>
    <w:rsid w:val="00127E50"/>
    <w:rsid w:val="00127E53"/>
    <w:rsid w:val="00127E6E"/>
    <w:rsid w:val="00127E9B"/>
    <w:rsid w:val="00127ECF"/>
    <w:rsid w:val="00127F0C"/>
    <w:rsid w:val="00127F2C"/>
    <w:rsid w:val="00127F30"/>
    <w:rsid w:val="00127F95"/>
    <w:rsid w:val="00127FDA"/>
    <w:rsid w:val="001300A6"/>
    <w:rsid w:val="0013011B"/>
    <w:rsid w:val="0013022E"/>
    <w:rsid w:val="00130256"/>
    <w:rsid w:val="00130293"/>
    <w:rsid w:val="0013029D"/>
    <w:rsid w:val="001302A0"/>
    <w:rsid w:val="001302F0"/>
    <w:rsid w:val="00130326"/>
    <w:rsid w:val="001303C7"/>
    <w:rsid w:val="001303D6"/>
    <w:rsid w:val="00130423"/>
    <w:rsid w:val="001304B6"/>
    <w:rsid w:val="001304D6"/>
    <w:rsid w:val="001304E8"/>
    <w:rsid w:val="001304EB"/>
    <w:rsid w:val="001304FA"/>
    <w:rsid w:val="00130608"/>
    <w:rsid w:val="00130630"/>
    <w:rsid w:val="001306E2"/>
    <w:rsid w:val="00130711"/>
    <w:rsid w:val="00130719"/>
    <w:rsid w:val="00130743"/>
    <w:rsid w:val="001307C4"/>
    <w:rsid w:val="0013089F"/>
    <w:rsid w:val="001309ED"/>
    <w:rsid w:val="00130A4A"/>
    <w:rsid w:val="00130A79"/>
    <w:rsid w:val="00130AA5"/>
    <w:rsid w:val="00130AAD"/>
    <w:rsid w:val="00130AC8"/>
    <w:rsid w:val="00130B2D"/>
    <w:rsid w:val="00130BE7"/>
    <w:rsid w:val="00130C0E"/>
    <w:rsid w:val="00130C58"/>
    <w:rsid w:val="00130D65"/>
    <w:rsid w:val="00130DAC"/>
    <w:rsid w:val="00130DBD"/>
    <w:rsid w:val="00130E4C"/>
    <w:rsid w:val="00130E91"/>
    <w:rsid w:val="00130F67"/>
    <w:rsid w:val="00130FA8"/>
    <w:rsid w:val="0013103A"/>
    <w:rsid w:val="0013105E"/>
    <w:rsid w:val="00131065"/>
    <w:rsid w:val="001310BE"/>
    <w:rsid w:val="001310C6"/>
    <w:rsid w:val="00131121"/>
    <w:rsid w:val="00131145"/>
    <w:rsid w:val="00131171"/>
    <w:rsid w:val="00131195"/>
    <w:rsid w:val="001311DE"/>
    <w:rsid w:val="001311EC"/>
    <w:rsid w:val="001311FF"/>
    <w:rsid w:val="00131269"/>
    <w:rsid w:val="001312F4"/>
    <w:rsid w:val="00131392"/>
    <w:rsid w:val="001314F1"/>
    <w:rsid w:val="00131531"/>
    <w:rsid w:val="00131542"/>
    <w:rsid w:val="001315B2"/>
    <w:rsid w:val="001315B4"/>
    <w:rsid w:val="00131617"/>
    <w:rsid w:val="00131662"/>
    <w:rsid w:val="001316BD"/>
    <w:rsid w:val="001317A7"/>
    <w:rsid w:val="0013183F"/>
    <w:rsid w:val="00131997"/>
    <w:rsid w:val="001319F6"/>
    <w:rsid w:val="00131A00"/>
    <w:rsid w:val="00131A70"/>
    <w:rsid w:val="00131ACE"/>
    <w:rsid w:val="00131B5F"/>
    <w:rsid w:val="00131C3E"/>
    <w:rsid w:val="00131C40"/>
    <w:rsid w:val="00131CF0"/>
    <w:rsid w:val="00131D06"/>
    <w:rsid w:val="00131D09"/>
    <w:rsid w:val="00131DD1"/>
    <w:rsid w:val="00131DF4"/>
    <w:rsid w:val="00131E08"/>
    <w:rsid w:val="00131E76"/>
    <w:rsid w:val="00131E87"/>
    <w:rsid w:val="00131F3E"/>
    <w:rsid w:val="00131FBB"/>
    <w:rsid w:val="00131FBC"/>
    <w:rsid w:val="001320EE"/>
    <w:rsid w:val="00132120"/>
    <w:rsid w:val="00132193"/>
    <w:rsid w:val="001321E2"/>
    <w:rsid w:val="00132246"/>
    <w:rsid w:val="00132298"/>
    <w:rsid w:val="001322A5"/>
    <w:rsid w:val="001322C3"/>
    <w:rsid w:val="001322EC"/>
    <w:rsid w:val="00132381"/>
    <w:rsid w:val="001323CE"/>
    <w:rsid w:val="0013240B"/>
    <w:rsid w:val="00132427"/>
    <w:rsid w:val="0013242E"/>
    <w:rsid w:val="0013244D"/>
    <w:rsid w:val="0013247C"/>
    <w:rsid w:val="0013247D"/>
    <w:rsid w:val="001324A6"/>
    <w:rsid w:val="001324CD"/>
    <w:rsid w:val="00132562"/>
    <w:rsid w:val="0013257C"/>
    <w:rsid w:val="00132605"/>
    <w:rsid w:val="00132620"/>
    <w:rsid w:val="00132632"/>
    <w:rsid w:val="0013264B"/>
    <w:rsid w:val="00132674"/>
    <w:rsid w:val="00132691"/>
    <w:rsid w:val="001326F6"/>
    <w:rsid w:val="00132751"/>
    <w:rsid w:val="00132775"/>
    <w:rsid w:val="00132839"/>
    <w:rsid w:val="00132907"/>
    <w:rsid w:val="00132911"/>
    <w:rsid w:val="00132935"/>
    <w:rsid w:val="001329A7"/>
    <w:rsid w:val="001329D0"/>
    <w:rsid w:val="00132A75"/>
    <w:rsid w:val="00132AAF"/>
    <w:rsid w:val="00132AEB"/>
    <w:rsid w:val="00132BA1"/>
    <w:rsid w:val="00132C2B"/>
    <w:rsid w:val="00132C78"/>
    <w:rsid w:val="00132C94"/>
    <w:rsid w:val="00132D06"/>
    <w:rsid w:val="00132D1F"/>
    <w:rsid w:val="00132D25"/>
    <w:rsid w:val="00132D77"/>
    <w:rsid w:val="00132D7C"/>
    <w:rsid w:val="00132D9E"/>
    <w:rsid w:val="00132DCF"/>
    <w:rsid w:val="00132E4C"/>
    <w:rsid w:val="00132E75"/>
    <w:rsid w:val="00132F49"/>
    <w:rsid w:val="00132FC5"/>
    <w:rsid w:val="00132FF3"/>
    <w:rsid w:val="00133005"/>
    <w:rsid w:val="0013300C"/>
    <w:rsid w:val="0013303F"/>
    <w:rsid w:val="001330A7"/>
    <w:rsid w:val="001330E8"/>
    <w:rsid w:val="001330F2"/>
    <w:rsid w:val="00133169"/>
    <w:rsid w:val="00133174"/>
    <w:rsid w:val="0013319C"/>
    <w:rsid w:val="001331CC"/>
    <w:rsid w:val="00133288"/>
    <w:rsid w:val="00133326"/>
    <w:rsid w:val="001333F2"/>
    <w:rsid w:val="00133415"/>
    <w:rsid w:val="00133416"/>
    <w:rsid w:val="0013342E"/>
    <w:rsid w:val="001334B8"/>
    <w:rsid w:val="00133583"/>
    <w:rsid w:val="0013361A"/>
    <w:rsid w:val="00133649"/>
    <w:rsid w:val="00133663"/>
    <w:rsid w:val="00133669"/>
    <w:rsid w:val="0013367F"/>
    <w:rsid w:val="0013369D"/>
    <w:rsid w:val="00133717"/>
    <w:rsid w:val="00133761"/>
    <w:rsid w:val="00133766"/>
    <w:rsid w:val="00133836"/>
    <w:rsid w:val="00133882"/>
    <w:rsid w:val="001338A5"/>
    <w:rsid w:val="001338D5"/>
    <w:rsid w:val="00133900"/>
    <w:rsid w:val="00133951"/>
    <w:rsid w:val="00133967"/>
    <w:rsid w:val="001339FB"/>
    <w:rsid w:val="00133A2D"/>
    <w:rsid w:val="00133A73"/>
    <w:rsid w:val="00133AAA"/>
    <w:rsid w:val="00133B1C"/>
    <w:rsid w:val="00133B7A"/>
    <w:rsid w:val="00133BCF"/>
    <w:rsid w:val="00133C2A"/>
    <w:rsid w:val="00133D02"/>
    <w:rsid w:val="00133D08"/>
    <w:rsid w:val="00133D25"/>
    <w:rsid w:val="00133D55"/>
    <w:rsid w:val="00133DEB"/>
    <w:rsid w:val="00133E14"/>
    <w:rsid w:val="00133E17"/>
    <w:rsid w:val="00133E78"/>
    <w:rsid w:val="00133E9F"/>
    <w:rsid w:val="00133EE0"/>
    <w:rsid w:val="00133F0C"/>
    <w:rsid w:val="00133F66"/>
    <w:rsid w:val="00133F76"/>
    <w:rsid w:val="00133F8F"/>
    <w:rsid w:val="00133FA6"/>
    <w:rsid w:val="00133FBA"/>
    <w:rsid w:val="00133FE5"/>
    <w:rsid w:val="0013400E"/>
    <w:rsid w:val="0013406E"/>
    <w:rsid w:val="00134081"/>
    <w:rsid w:val="00134084"/>
    <w:rsid w:val="001340D9"/>
    <w:rsid w:val="001340FD"/>
    <w:rsid w:val="00134116"/>
    <w:rsid w:val="0013417E"/>
    <w:rsid w:val="0013418C"/>
    <w:rsid w:val="001341F0"/>
    <w:rsid w:val="00134262"/>
    <w:rsid w:val="001342CC"/>
    <w:rsid w:val="001343A4"/>
    <w:rsid w:val="00134403"/>
    <w:rsid w:val="00134441"/>
    <w:rsid w:val="001344D1"/>
    <w:rsid w:val="00134511"/>
    <w:rsid w:val="0013453A"/>
    <w:rsid w:val="0013453C"/>
    <w:rsid w:val="00134541"/>
    <w:rsid w:val="0013456C"/>
    <w:rsid w:val="001345AA"/>
    <w:rsid w:val="001345FE"/>
    <w:rsid w:val="00134673"/>
    <w:rsid w:val="001346A5"/>
    <w:rsid w:val="001347D6"/>
    <w:rsid w:val="0013489A"/>
    <w:rsid w:val="001348B1"/>
    <w:rsid w:val="001348C3"/>
    <w:rsid w:val="001348C6"/>
    <w:rsid w:val="0013490A"/>
    <w:rsid w:val="0013490D"/>
    <w:rsid w:val="0013492F"/>
    <w:rsid w:val="00134931"/>
    <w:rsid w:val="001349B9"/>
    <w:rsid w:val="00134B88"/>
    <w:rsid w:val="00134BC5"/>
    <w:rsid w:val="00134C13"/>
    <w:rsid w:val="00134C7B"/>
    <w:rsid w:val="00134CAC"/>
    <w:rsid w:val="00134D20"/>
    <w:rsid w:val="00134D41"/>
    <w:rsid w:val="00134D84"/>
    <w:rsid w:val="00134DD4"/>
    <w:rsid w:val="00134E2C"/>
    <w:rsid w:val="00134E91"/>
    <w:rsid w:val="00134E93"/>
    <w:rsid w:val="00134EF2"/>
    <w:rsid w:val="00134F0C"/>
    <w:rsid w:val="00134F2C"/>
    <w:rsid w:val="0013500F"/>
    <w:rsid w:val="00135032"/>
    <w:rsid w:val="00135051"/>
    <w:rsid w:val="0013511B"/>
    <w:rsid w:val="00135128"/>
    <w:rsid w:val="001351AD"/>
    <w:rsid w:val="001351C1"/>
    <w:rsid w:val="00135276"/>
    <w:rsid w:val="00135287"/>
    <w:rsid w:val="0013536F"/>
    <w:rsid w:val="0013537A"/>
    <w:rsid w:val="0013538E"/>
    <w:rsid w:val="001353B4"/>
    <w:rsid w:val="001353CD"/>
    <w:rsid w:val="0013540A"/>
    <w:rsid w:val="00135428"/>
    <w:rsid w:val="00135471"/>
    <w:rsid w:val="0013549B"/>
    <w:rsid w:val="001354C3"/>
    <w:rsid w:val="001354D7"/>
    <w:rsid w:val="00135517"/>
    <w:rsid w:val="0013554C"/>
    <w:rsid w:val="0013557B"/>
    <w:rsid w:val="001355C7"/>
    <w:rsid w:val="001356AE"/>
    <w:rsid w:val="001356E5"/>
    <w:rsid w:val="001357B1"/>
    <w:rsid w:val="001357E7"/>
    <w:rsid w:val="001358B9"/>
    <w:rsid w:val="0013590B"/>
    <w:rsid w:val="0013594B"/>
    <w:rsid w:val="00135A3B"/>
    <w:rsid w:val="00135A64"/>
    <w:rsid w:val="00135AF1"/>
    <w:rsid w:val="00135C0E"/>
    <w:rsid w:val="00135C77"/>
    <w:rsid w:val="00135CA7"/>
    <w:rsid w:val="00135CBF"/>
    <w:rsid w:val="00135CD2"/>
    <w:rsid w:val="00135CE4"/>
    <w:rsid w:val="00135D40"/>
    <w:rsid w:val="00135D7C"/>
    <w:rsid w:val="00135E3D"/>
    <w:rsid w:val="00135EA8"/>
    <w:rsid w:val="00135EE5"/>
    <w:rsid w:val="00135F6F"/>
    <w:rsid w:val="00135F7B"/>
    <w:rsid w:val="00135FBA"/>
    <w:rsid w:val="00135FC9"/>
    <w:rsid w:val="00135FD3"/>
    <w:rsid w:val="00136001"/>
    <w:rsid w:val="00136014"/>
    <w:rsid w:val="00136175"/>
    <w:rsid w:val="001361EC"/>
    <w:rsid w:val="0013622D"/>
    <w:rsid w:val="00136311"/>
    <w:rsid w:val="0013633D"/>
    <w:rsid w:val="0013640B"/>
    <w:rsid w:val="0013640C"/>
    <w:rsid w:val="00136495"/>
    <w:rsid w:val="001364C4"/>
    <w:rsid w:val="00136561"/>
    <w:rsid w:val="0013656F"/>
    <w:rsid w:val="00136570"/>
    <w:rsid w:val="001365B0"/>
    <w:rsid w:val="001365B9"/>
    <w:rsid w:val="001365D9"/>
    <w:rsid w:val="00136603"/>
    <w:rsid w:val="001366C0"/>
    <w:rsid w:val="0013674A"/>
    <w:rsid w:val="0013682B"/>
    <w:rsid w:val="0013683C"/>
    <w:rsid w:val="00136894"/>
    <w:rsid w:val="0013698E"/>
    <w:rsid w:val="001369AD"/>
    <w:rsid w:val="001369CF"/>
    <w:rsid w:val="001369D7"/>
    <w:rsid w:val="001369F1"/>
    <w:rsid w:val="00136A28"/>
    <w:rsid w:val="00136A74"/>
    <w:rsid w:val="00136ABA"/>
    <w:rsid w:val="00136ABD"/>
    <w:rsid w:val="00136AD4"/>
    <w:rsid w:val="00136B03"/>
    <w:rsid w:val="00136B13"/>
    <w:rsid w:val="00136B3B"/>
    <w:rsid w:val="00136BB7"/>
    <w:rsid w:val="00136BCB"/>
    <w:rsid w:val="00136BDF"/>
    <w:rsid w:val="00136C03"/>
    <w:rsid w:val="00136C05"/>
    <w:rsid w:val="00136C2C"/>
    <w:rsid w:val="00136CB6"/>
    <w:rsid w:val="00136CD3"/>
    <w:rsid w:val="00136CF9"/>
    <w:rsid w:val="00136D46"/>
    <w:rsid w:val="00136D85"/>
    <w:rsid w:val="00136DD7"/>
    <w:rsid w:val="00136E31"/>
    <w:rsid w:val="00136E60"/>
    <w:rsid w:val="00136F2F"/>
    <w:rsid w:val="00136F6A"/>
    <w:rsid w:val="00136FBD"/>
    <w:rsid w:val="00136FC1"/>
    <w:rsid w:val="00136FCB"/>
    <w:rsid w:val="00137066"/>
    <w:rsid w:val="001370B4"/>
    <w:rsid w:val="001370BC"/>
    <w:rsid w:val="001370DC"/>
    <w:rsid w:val="00137123"/>
    <w:rsid w:val="0013717C"/>
    <w:rsid w:val="001371FD"/>
    <w:rsid w:val="0013722D"/>
    <w:rsid w:val="0013723D"/>
    <w:rsid w:val="00137243"/>
    <w:rsid w:val="001372A4"/>
    <w:rsid w:val="001372D1"/>
    <w:rsid w:val="00137301"/>
    <w:rsid w:val="00137330"/>
    <w:rsid w:val="00137345"/>
    <w:rsid w:val="00137420"/>
    <w:rsid w:val="00137499"/>
    <w:rsid w:val="00137506"/>
    <w:rsid w:val="0013756E"/>
    <w:rsid w:val="0013768F"/>
    <w:rsid w:val="00137708"/>
    <w:rsid w:val="00137749"/>
    <w:rsid w:val="00137752"/>
    <w:rsid w:val="001377EA"/>
    <w:rsid w:val="0013780C"/>
    <w:rsid w:val="0013783D"/>
    <w:rsid w:val="0013784E"/>
    <w:rsid w:val="0013785C"/>
    <w:rsid w:val="0013786B"/>
    <w:rsid w:val="00137888"/>
    <w:rsid w:val="0013789F"/>
    <w:rsid w:val="001378C2"/>
    <w:rsid w:val="0013796D"/>
    <w:rsid w:val="00137978"/>
    <w:rsid w:val="001379C9"/>
    <w:rsid w:val="00137A6D"/>
    <w:rsid w:val="00137AE1"/>
    <w:rsid w:val="00137B27"/>
    <w:rsid w:val="00137B3C"/>
    <w:rsid w:val="00137B60"/>
    <w:rsid w:val="00137BA2"/>
    <w:rsid w:val="00137BD1"/>
    <w:rsid w:val="00137C09"/>
    <w:rsid w:val="00137C14"/>
    <w:rsid w:val="00137C38"/>
    <w:rsid w:val="00137C3C"/>
    <w:rsid w:val="00137CEE"/>
    <w:rsid w:val="00137D09"/>
    <w:rsid w:val="00137DD9"/>
    <w:rsid w:val="00137DDB"/>
    <w:rsid w:val="00137E5A"/>
    <w:rsid w:val="00137F04"/>
    <w:rsid w:val="00137F9B"/>
    <w:rsid w:val="00137FCE"/>
    <w:rsid w:val="00140010"/>
    <w:rsid w:val="00140025"/>
    <w:rsid w:val="00140062"/>
    <w:rsid w:val="001400B8"/>
    <w:rsid w:val="001400DB"/>
    <w:rsid w:val="001401F6"/>
    <w:rsid w:val="001401F8"/>
    <w:rsid w:val="001402B4"/>
    <w:rsid w:val="0014032E"/>
    <w:rsid w:val="001403BF"/>
    <w:rsid w:val="001403F5"/>
    <w:rsid w:val="00140415"/>
    <w:rsid w:val="00140447"/>
    <w:rsid w:val="0014045B"/>
    <w:rsid w:val="0014046B"/>
    <w:rsid w:val="001404EB"/>
    <w:rsid w:val="001404F4"/>
    <w:rsid w:val="00140521"/>
    <w:rsid w:val="0014055B"/>
    <w:rsid w:val="0014057E"/>
    <w:rsid w:val="001405D2"/>
    <w:rsid w:val="00140611"/>
    <w:rsid w:val="00140643"/>
    <w:rsid w:val="0014068A"/>
    <w:rsid w:val="001406BF"/>
    <w:rsid w:val="001406E6"/>
    <w:rsid w:val="0014071C"/>
    <w:rsid w:val="0014071F"/>
    <w:rsid w:val="00140742"/>
    <w:rsid w:val="0014075A"/>
    <w:rsid w:val="0014079F"/>
    <w:rsid w:val="001407B3"/>
    <w:rsid w:val="001407CF"/>
    <w:rsid w:val="0014081D"/>
    <w:rsid w:val="0014091C"/>
    <w:rsid w:val="0014099C"/>
    <w:rsid w:val="001409C4"/>
    <w:rsid w:val="001409D0"/>
    <w:rsid w:val="001409D4"/>
    <w:rsid w:val="001409F2"/>
    <w:rsid w:val="00140A19"/>
    <w:rsid w:val="00140AA6"/>
    <w:rsid w:val="00140B30"/>
    <w:rsid w:val="00140B4A"/>
    <w:rsid w:val="00140B76"/>
    <w:rsid w:val="00140C31"/>
    <w:rsid w:val="00140CC1"/>
    <w:rsid w:val="00140D46"/>
    <w:rsid w:val="00140D8F"/>
    <w:rsid w:val="00140DAC"/>
    <w:rsid w:val="00140F26"/>
    <w:rsid w:val="00140FCF"/>
    <w:rsid w:val="00140FD2"/>
    <w:rsid w:val="00140FDC"/>
    <w:rsid w:val="00141043"/>
    <w:rsid w:val="0014106D"/>
    <w:rsid w:val="00141102"/>
    <w:rsid w:val="001411AB"/>
    <w:rsid w:val="00141200"/>
    <w:rsid w:val="00141212"/>
    <w:rsid w:val="00141230"/>
    <w:rsid w:val="0014123C"/>
    <w:rsid w:val="001412B4"/>
    <w:rsid w:val="001412C1"/>
    <w:rsid w:val="001413EA"/>
    <w:rsid w:val="001413F2"/>
    <w:rsid w:val="0014152F"/>
    <w:rsid w:val="00141569"/>
    <w:rsid w:val="00141673"/>
    <w:rsid w:val="0014167B"/>
    <w:rsid w:val="001416B5"/>
    <w:rsid w:val="001416BC"/>
    <w:rsid w:val="001416BF"/>
    <w:rsid w:val="001416F5"/>
    <w:rsid w:val="00141708"/>
    <w:rsid w:val="00141740"/>
    <w:rsid w:val="00141745"/>
    <w:rsid w:val="001418E2"/>
    <w:rsid w:val="001418F8"/>
    <w:rsid w:val="001419CF"/>
    <w:rsid w:val="00141A1F"/>
    <w:rsid w:val="00141A72"/>
    <w:rsid w:val="00141B0A"/>
    <w:rsid w:val="00141BAB"/>
    <w:rsid w:val="00141C24"/>
    <w:rsid w:val="00141C5F"/>
    <w:rsid w:val="00141CA8"/>
    <w:rsid w:val="00141D50"/>
    <w:rsid w:val="00141D8B"/>
    <w:rsid w:val="00141DA1"/>
    <w:rsid w:val="00141DD4"/>
    <w:rsid w:val="00141DF1"/>
    <w:rsid w:val="00141E3F"/>
    <w:rsid w:val="00141E45"/>
    <w:rsid w:val="00141E46"/>
    <w:rsid w:val="00141E63"/>
    <w:rsid w:val="00141EC1"/>
    <w:rsid w:val="00141ED3"/>
    <w:rsid w:val="00141EF5"/>
    <w:rsid w:val="00141F43"/>
    <w:rsid w:val="00141F4A"/>
    <w:rsid w:val="00141F91"/>
    <w:rsid w:val="00141FA0"/>
    <w:rsid w:val="00141FBF"/>
    <w:rsid w:val="00141FC1"/>
    <w:rsid w:val="00141FF9"/>
    <w:rsid w:val="0014200D"/>
    <w:rsid w:val="00142033"/>
    <w:rsid w:val="00142072"/>
    <w:rsid w:val="0014208A"/>
    <w:rsid w:val="001420AB"/>
    <w:rsid w:val="001420FE"/>
    <w:rsid w:val="001421AE"/>
    <w:rsid w:val="0014221E"/>
    <w:rsid w:val="00142366"/>
    <w:rsid w:val="0014242B"/>
    <w:rsid w:val="0014243B"/>
    <w:rsid w:val="0014245B"/>
    <w:rsid w:val="0014245E"/>
    <w:rsid w:val="00142461"/>
    <w:rsid w:val="0014246E"/>
    <w:rsid w:val="001424E1"/>
    <w:rsid w:val="0014251C"/>
    <w:rsid w:val="00142537"/>
    <w:rsid w:val="00142569"/>
    <w:rsid w:val="00142618"/>
    <w:rsid w:val="0014265E"/>
    <w:rsid w:val="00142740"/>
    <w:rsid w:val="00142748"/>
    <w:rsid w:val="001427E8"/>
    <w:rsid w:val="00142808"/>
    <w:rsid w:val="00142858"/>
    <w:rsid w:val="001428AC"/>
    <w:rsid w:val="001428E0"/>
    <w:rsid w:val="00142A0F"/>
    <w:rsid w:val="00142BE3"/>
    <w:rsid w:val="00142C66"/>
    <w:rsid w:val="00142CC8"/>
    <w:rsid w:val="00142D2E"/>
    <w:rsid w:val="00142D96"/>
    <w:rsid w:val="00142DC4"/>
    <w:rsid w:val="00142E7E"/>
    <w:rsid w:val="00142EB8"/>
    <w:rsid w:val="00142EE4"/>
    <w:rsid w:val="00142F3D"/>
    <w:rsid w:val="00142F93"/>
    <w:rsid w:val="00142FA5"/>
    <w:rsid w:val="00142FC3"/>
    <w:rsid w:val="0014302B"/>
    <w:rsid w:val="00143039"/>
    <w:rsid w:val="00143044"/>
    <w:rsid w:val="00143094"/>
    <w:rsid w:val="001430C6"/>
    <w:rsid w:val="0014311A"/>
    <w:rsid w:val="00143143"/>
    <w:rsid w:val="00143155"/>
    <w:rsid w:val="00143246"/>
    <w:rsid w:val="0014325A"/>
    <w:rsid w:val="00143309"/>
    <w:rsid w:val="00143320"/>
    <w:rsid w:val="0014336B"/>
    <w:rsid w:val="00143375"/>
    <w:rsid w:val="001433B2"/>
    <w:rsid w:val="0014347E"/>
    <w:rsid w:val="0014348B"/>
    <w:rsid w:val="001434D7"/>
    <w:rsid w:val="001434DD"/>
    <w:rsid w:val="001434E3"/>
    <w:rsid w:val="00143527"/>
    <w:rsid w:val="0014352E"/>
    <w:rsid w:val="0014354D"/>
    <w:rsid w:val="0014356A"/>
    <w:rsid w:val="001435BF"/>
    <w:rsid w:val="001435E4"/>
    <w:rsid w:val="0014360D"/>
    <w:rsid w:val="00143673"/>
    <w:rsid w:val="00143716"/>
    <w:rsid w:val="00143743"/>
    <w:rsid w:val="0014376E"/>
    <w:rsid w:val="001437C6"/>
    <w:rsid w:val="001437CF"/>
    <w:rsid w:val="00143984"/>
    <w:rsid w:val="00143A22"/>
    <w:rsid w:val="00143A9D"/>
    <w:rsid w:val="00143AD3"/>
    <w:rsid w:val="00143AD9"/>
    <w:rsid w:val="00143B34"/>
    <w:rsid w:val="00143BD0"/>
    <w:rsid w:val="00143C1F"/>
    <w:rsid w:val="00143C4B"/>
    <w:rsid w:val="00143C97"/>
    <w:rsid w:val="00143D47"/>
    <w:rsid w:val="00143F71"/>
    <w:rsid w:val="00143FDC"/>
    <w:rsid w:val="001440B3"/>
    <w:rsid w:val="001440BB"/>
    <w:rsid w:val="00144105"/>
    <w:rsid w:val="00144124"/>
    <w:rsid w:val="00144157"/>
    <w:rsid w:val="001441F0"/>
    <w:rsid w:val="00144214"/>
    <w:rsid w:val="00144252"/>
    <w:rsid w:val="0014426B"/>
    <w:rsid w:val="001442B9"/>
    <w:rsid w:val="001442C6"/>
    <w:rsid w:val="0014430F"/>
    <w:rsid w:val="0014432E"/>
    <w:rsid w:val="00144345"/>
    <w:rsid w:val="00144369"/>
    <w:rsid w:val="001443DA"/>
    <w:rsid w:val="001444E7"/>
    <w:rsid w:val="001445A5"/>
    <w:rsid w:val="001445AB"/>
    <w:rsid w:val="001445B0"/>
    <w:rsid w:val="00144644"/>
    <w:rsid w:val="0014477F"/>
    <w:rsid w:val="0014483F"/>
    <w:rsid w:val="001448C7"/>
    <w:rsid w:val="001448E0"/>
    <w:rsid w:val="00144960"/>
    <w:rsid w:val="00144963"/>
    <w:rsid w:val="0014496B"/>
    <w:rsid w:val="00144972"/>
    <w:rsid w:val="00144973"/>
    <w:rsid w:val="001449B9"/>
    <w:rsid w:val="00144A1C"/>
    <w:rsid w:val="00144A31"/>
    <w:rsid w:val="00144AB6"/>
    <w:rsid w:val="00144AF8"/>
    <w:rsid w:val="00144B49"/>
    <w:rsid w:val="00144B50"/>
    <w:rsid w:val="00144B87"/>
    <w:rsid w:val="00144BFA"/>
    <w:rsid w:val="00144CBD"/>
    <w:rsid w:val="00144D28"/>
    <w:rsid w:val="00144E53"/>
    <w:rsid w:val="00144EF4"/>
    <w:rsid w:val="00144EFD"/>
    <w:rsid w:val="00144F76"/>
    <w:rsid w:val="00144F92"/>
    <w:rsid w:val="00144FDF"/>
    <w:rsid w:val="00144FFD"/>
    <w:rsid w:val="00145003"/>
    <w:rsid w:val="00145012"/>
    <w:rsid w:val="0014513B"/>
    <w:rsid w:val="0014519A"/>
    <w:rsid w:val="00145252"/>
    <w:rsid w:val="0014525B"/>
    <w:rsid w:val="001453F7"/>
    <w:rsid w:val="00145421"/>
    <w:rsid w:val="001454D3"/>
    <w:rsid w:val="0014553D"/>
    <w:rsid w:val="00145559"/>
    <w:rsid w:val="0014556D"/>
    <w:rsid w:val="00145583"/>
    <w:rsid w:val="001455EC"/>
    <w:rsid w:val="00145682"/>
    <w:rsid w:val="00145684"/>
    <w:rsid w:val="00145749"/>
    <w:rsid w:val="00145756"/>
    <w:rsid w:val="0014578A"/>
    <w:rsid w:val="001457A3"/>
    <w:rsid w:val="00145841"/>
    <w:rsid w:val="00145861"/>
    <w:rsid w:val="001458A1"/>
    <w:rsid w:val="001458B9"/>
    <w:rsid w:val="001458EC"/>
    <w:rsid w:val="00145904"/>
    <w:rsid w:val="00145930"/>
    <w:rsid w:val="0014595B"/>
    <w:rsid w:val="00145A05"/>
    <w:rsid w:val="00145A38"/>
    <w:rsid w:val="00145A39"/>
    <w:rsid w:val="00145A71"/>
    <w:rsid w:val="00145B05"/>
    <w:rsid w:val="00145B5B"/>
    <w:rsid w:val="00145BC2"/>
    <w:rsid w:val="00145BC7"/>
    <w:rsid w:val="00145C1E"/>
    <w:rsid w:val="00145C7E"/>
    <w:rsid w:val="00145CA2"/>
    <w:rsid w:val="00145CDC"/>
    <w:rsid w:val="00145E49"/>
    <w:rsid w:val="00145E67"/>
    <w:rsid w:val="00145E70"/>
    <w:rsid w:val="00145EEF"/>
    <w:rsid w:val="00145F2F"/>
    <w:rsid w:val="00145F6F"/>
    <w:rsid w:val="00145F77"/>
    <w:rsid w:val="0014601C"/>
    <w:rsid w:val="00146108"/>
    <w:rsid w:val="0014628D"/>
    <w:rsid w:val="001462C7"/>
    <w:rsid w:val="001462D9"/>
    <w:rsid w:val="0014637B"/>
    <w:rsid w:val="001463EB"/>
    <w:rsid w:val="001463ED"/>
    <w:rsid w:val="00146401"/>
    <w:rsid w:val="0014648B"/>
    <w:rsid w:val="001464D1"/>
    <w:rsid w:val="00146593"/>
    <w:rsid w:val="001465A7"/>
    <w:rsid w:val="00146676"/>
    <w:rsid w:val="00146713"/>
    <w:rsid w:val="0014672D"/>
    <w:rsid w:val="00146733"/>
    <w:rsid w:val="001467AF"/>
    <w:rsid w:val="001467E9"/>
    <w:rsid w:val="001468C3"/>
    <w:rsid w:val="00146943"/>
    <w:rsid w:val="00146946"/>
    <w:rsid w:val="001469AF"/>
    <w:rsid w:val="00146A52"/>
    <w:rsid w:val="00146A8F"/>
    <w:rsid w:val="00146A9E"/>
    <w:rsid w:val="00146AD8"/>
    <w:rsid w:val="00146B17"/>
    <w:rsid w:val="00146B2C"/>
    <w:rsid w:val="00146BA2"/>
    <w:rsid w:val="00146BBD"/>
    <w:rsid w:val="00146BCD"/>
    <w:rsid w:val="00146C53"/>
    <w:rsid w:val="00146CBE"/>
    <w:rsid w:val="00146CF5"/>
    <w:rsid w:val="00146D37"/>
    <w:rsid w:val="00146D70"/>
    <w:rsid w:val="00146E66"/>
    <w:rsid w:val="00146ED1"/>
    <w:rsid w:val="00146EE1"/>
    <w:rsid w:val="00146F53"/>
    <w:rsid w:val="00146FBF"/>
    <w:rsid w:val="00147005"/>
    <w:rsid w:val="00147040"/>
    <w:rsid w:val="0014706F"/>
    <w:rsid w:val="001471A4"/>
    <w:rsid w:val="00147346"/>
    <w:rsid w:val="001473C3"/>
    <w:rsid w:val="001473FF"/>
    <w:rsid w:val="00147401"/>
    <w:rsid w:val="0014741D"/>
    <w:rsid w:val="00147420"/>
    <w:rsid w:val="00147421"/>
    <w:rsid w:val="001474B2"/>
    <w:rsid w:val="001474F7"/>
    <w:rsid w:val="0014759C"/>
    <w:rsid w:val="001475B7"/>
    <w:rsid w:val="0014773B"/>
    <w:rsid w:val="00147769"/>
    <w:rsid w:val="001477AC"/>
    <w:rsid w:val="001477BE"/>
    <w:rsid w:val="001477D8"/>
    <w:rsid w:val="001477F4"/>
    <w:rsid w:val="0014783D"/>
    <w:rsid w:val="0014783F"/>
    <w:rsid w:val="00147870"/>
    <w:rsid w:val="00147871"/>
    <w:rsid w:val="0014787E"/>
    <w:rsid w:val="00147917"/>
    <w:rsid w:val="0014794A"/>
    <w:rsid w:val="00147964"/>
    <w:rsid w:val="00147995"/>
    <w:rsid w:val="00147B03"/>
    <w:rsid w:val="00147B3B"/>
    <w:rsid w:val="00147C12"/>
    <w:rsid w:val="00147CBD"/>
    <w:rsid w:val="00147CDF"/>
    <w:rsid w:val="00147D23"/>
    <w:rsid w:val="00147E88"/>
    <w:rsid w:val="00147EB1"/>
    <w:rsid w:val="00147ECE"/>
    <w:rsid w:val="00147EE3"/>
    <w:rsid w:val="0015006A"/>
    <w:rsid w:val="00150085"/>
    <w:rsid w:val="001500FE"/>
    <w:rsid w:val="0015012B"/>
    <w:rsid w:val="00150172"/>
    <w:rsid w:val="001501A5"/>
    <w:rsid w:val="001501C1"/>
    <w:rsid w:val="00150260"/>
    <w:rsid w:val="00150263"/>
    <w:rsid w:val="0015027A"/>
    <w:rsid w:val="001502BD"/>
    <w:rsid w:val="00150311"/>
    <w:rsid w:val="001503AE"/>
    <w:rsid w:val="001503CD"/>
    <w:rsid w:val="00150519"/>
    <w:rsid w:val="00150616"/>
    <w:rsid w:val="00150660"/>
    <w:rsid w:val="00150670"/>
    <w:rsid w:val="001506EA"/>
    <w:rsid w:val="001506ED"/>
    <w:rsid w:val="0015072F"/>
    <w:rsid w:val="00150753"/>
    <w:rsid w:val="001507B9"/>
    <w:rsid w:val="001507D4"/>
    <w:rsid w:val="00150810"/>
    <w:rsid w:val="0015083B"/>
    <w:rsid w:val="001508C4"/>
    <w:rsid w:val="00150978"/>
    <w:rsid w:val="001509EA"/>
    <w:rsid w:val="00150A63"/>
    <w:rsid w:val="00150A98"/>
    <w:rsid w:val="00150ABF"/>
    <w:rsid w:val="00150AE2"/>
    <w:rsid w:val="00150B80"/>
    <w:rsid w:val="00150B9A"/>
    <w:rsid w:val="00150C4B"/>
    <w:rsid w:val="00150C9F"/>
    <w:rsid w:val="00150CF4"/>
    <w:rsid w:val="00150D9D"/>
    <w:rsid w:val="00150E0D"/>
    <w:rsid w:val="00150E56"/>
    <w:rsid w:val="00150E64"/>
    <w:rsid w:val="00150F07"/>
    <w:rsid w:val="00150F87"/>
    <w:rsid w:val="0015102A"/>
    <w:rsid w:val="00151056"/>
    <w:rsid w:val="00151085"/>
    <w:rsid w:val="001510C5"/>
    <w:rsid w:val="00151101"/>
    <w:rsid w:val="001511B2"/>
    <w:rsid w:val="001511FA"/>
    <w:rsid w:val="0015121B"/>
    <w:rsid w:val="0015121D"/>
    <w:rsid w:val="0015126E"/>
    <w:rsid w:val="001512DB"/>
    <w:rsid w:val="0015138B"/>
    <w:rsid w:val="00151430"/>
    <w:rsid w:val="0015144C"/>
    <w:rsid w:val="0015148C"/>
    <w:rsid w:val="001514CF"/>
    <w:rsid w:val="001514E1"/>
    <w:rsid w:val="0015152F"/>
    <w:rsid w:val="00151539"/>
    <w:rsid w:val="00151550"/>
    <w:rsid w:val="00151585"/>
    <w:rsid w:val="00151628"/>
    <w:rsid w:val="0015167E"/>
    <w:rsid w:val="001516EB"/>
    <w:rsid w:val="001517B1"/>
    <w:rsid w:val="001517C8"/>
    <w:rsid w:val="00151803"/>
    <w:rsid w:val="00151806"/>
    <w:rsid w:val="00151856"/>
    <w:rsid w:val="00151888"/>
    <w:rsid w:val="001518AE"/>
    <w:rsid w:val="00151983"/>
    <w:rsid w:val="00151A27"/>
    <w:rsid w:val="00151A53"/>
    <w:rsid w:val="00151B59"/>
    <w:rsid w:val="00151BD4"/>
    <w:rsid w:val="00151C30"/>
    <w:rsid w:val="00151C65"/>
    <w:rsid w:val="00151D36"/>
    <w:rsid w:val="00151D3A"/>
    <w:rsid w:val="00151D40"/>
    <w:rsid w:val="00151D6B"/>
    <w:rsid w:val="00151DE1"/>
    <w:rsid w:val="00151DFA"/>
    <w:rsid w:val="00151E12"/>
    <w:rsid w:val="00151E1D"/>
    <w:rsid w:val="00151E8B"/>
    <w:rsid w:val="00151EAD"/>
    <w:rsid w:val="00151ECD"/>
    <w:rsid w:val="00151ED4"/>
    <w:rsid w:val="00151F08"/>
    <w:rsid w:val="00151FE3"/>
    <w:rsid w:val="00152144"/>
    <w:rsid w:val="00152148"/>
    <w:rsid w:val="00152192"/>
    <w:rsid w:val="001521A9"/>
    <w:rsid w:val="00152233"/>
    <w:rsid w:val="001522BE"/>
    <w:rsid w:val="00152375"/>
    <w:rsid w:val="00152383"/>
    <w:rsid w:val="00152478"/>
    <w:rsid w:val="0015248D"/>
    <w:rsid w:val="001524BC"/>
    <w:rsid w:val="001524E1"/>
    <w:rsid w:val="00152508"/>
    <w:rsid w:val="00152510"/>
    <w:rsid w:val="00152540"/>
    <w:rsid w:val="00152555"/>
    <w:rsid w:val="0015258A"/>
    <w:rsid w:val="001525AD"/>
    <w:rsid w:val="001525FE"/>
    <w:rsid w:val="00152645"/>
    <w:rsid w:val="00152666"/>
    <w:rsid w:val="0015266F"/>
    <w:rsid w:val="00152684"/>
    <w:rsid w:val="001526F4"/>
    <w:rsid w:val="001527B9"/>
    <w:rsid w:val="0015282E"/>
    <w:rsid w:val="001528BF"/>
    <w:rsid w:val="001528E1"/>
    <w:rsid w:val="001528FF"/>
    <w:rsid w:val="0015291B"/>
    <w:rsid w:val="00152979"/>
    <w:rsid w:val="00152A02"/>
    <w:rsid w:val="00152A04"/>
    <w:rsid w:val="00152A75"/>
    <w:rsid w:val="00152A78"/>
    <w:rsid w:val="00152C40"/>
    <w:rsid w:val="00152C5D"/>
    <w:rsid w:val="00152C87"/>
    <w:rsid w:val="00152CCE"/>
    <w:rsid w:val="00152CD7"/>
    <w:rsid w:val="00152D24"/>
    <w:rsid w:val="00152D33"/>
    <w:rsid w:val="00152D68"/>
    <w:rsid w:val="00152DC3"/>
    <w:rsid w:val="00152E50"/>
    <w:rsid w:val="00152E5B"/>
    <w:rsid w:val="00152E7D"/>
    <w:rsid w:val="00152E8E"/>
    <w:rsid w:val="00152E97"/>
    <w:rsid w:val="00152E9F"/>
    <w:rsid w:val="00152EDC"/>
    <w:rsid w:val="00152F0E"/>
    <w:rsid w:val="00152FAF"/>
    <w:rsid w:val="00153009"/>
    <w:rsid w:val="00153019"/>
    <w:rsid w:val="0015303D"/>
    <w:rsid w:val="0015307A"/>
    <w:rsid w:val="001530A0"/>
    <w:rsid w:val="0015313A"/>
    <w:rsid w:val="0015319D"/>
    <w:rsid w:val="001531AE"/>
    <w:rsid w:val="00153233"/>
    <w:rsid w:val="00153249"/>
    <w:rsid w:val="00153345"/>
    <w:rsid w:val="001533EC"/>
    <w:rsid w:val="001533F3"/>
    <w:rsid w:val="0015344C"/>
    <w:rsid w:val="001534E5"/>
    <w:rsid w:val="001534ED"/>
    <w:rsid w:val="0015351F"/>
    <w:rsid w:val="00153553"/>
    <w:rsid w:val="00153563"/>
    <w:rsid w:val="001535A9"/>
    <w:rsid w:val="00153678"/>
    <w:rsid w:val="001536C9"/>
    <w:rsid w:val="001536F9"/>
    <w:rsid w:val="00153799"/>
    <w:rsid w:val="001537A6"/>
    <w:rsid w:val="00153803"/>
    <w:rsid w:val="0015386C"/>
    <w:rsid w:val="001538BF"/>
    <w:rsid w:val="00153941"/>
    <w:rsid w:val="00153AAE"/>
    <w:rsid w:val="00153B4F"/>
    <w:rsid w:val="00153BC3"/>
    <w:rsid w:val="00153CB8"/>
    <w:rsid w:val="00153CED"/>
    <w:rsid w:val="00153CF9"/>
    <w:rsid w:val="00153D18"/>
    <w:rsid w:val="00153D45"/>
    <w:rsid w:val="00153E22"/>
    <w:rsid w:val="00153E2A"/>
    <w:rsid w:val="00153F0B"/>
    <w:rsid w:val="00153F7C"/>
    <w:rsid w:val="00153FC0"/>
    <w:rsid w:val="00154052"/>
    <w:rsid w:val="0015414D"/>
    <w:rsid w:val="00154195"/>
    <w:rsid w:val="001541BD"/>
    <w:rsid w:val="0015433B"/>
    <w:rsid w:val="001543FF"/>
    <w:rsid w:val="0015440B"/>
    <w:rsid w:val="0015441F"/>
    <w:rsid w:val="0015443F"/>
    <w:rsid w:val="00154469"/>
    <w:rsid w:val="001544B6"/>
    <w:rsid w:val="0015452F"/>
    <w:rsid w:val="00154544"/>
    <w:rsid w:val="00154551"/>
    <w:rsid w:val="001545C5"/>
    <w:rsid w:val="001545CC"/>
    <w:rsid w:val="001545FA"/>
    <w:rsid w:val="00154609"/>
    <w:rsid w:val="00154621"/>
    <w:rsid w:val="00154672"/>
    <w:rsid w:val="001546C4"/>
    <w:rsid w:val="001546E7"/>
    <w:rsid w:val="00154714"/>
    <w:rsid w:val="00154755"/>
    <w:rsid w:val="001547CB"/>
    <w:rsid w:val="001547F3"/>
    <w:rsid w:val="00154833"/>
    <w:rsid w:val="00154836"/>
    <w:rsid w:val="00154875"/>
    <w:rsid w:val="00154899"/>
    <w:rsid w:val="001548A5"/>
    <w:rsid w:val="00154915"/>
    <w:rsid w:val="00154A1C"/>
    <w:rsid w:val="00154AE6"/>
    <w:rsid w:val="00154AFE"/>
    <w:rsid w:val="00154B15"/>
    <w:rsid w:val="00154B39"/>
    <w:rsid w:val="00154B49"/>
    <w:rsid w:val="00154BDB"/>
    <w:rsid w:val="00154BDE"/>
    <w:rsid w:val="00154CB1"/>
    <w:rsid w:val="00154CB9"/>
    <w:rsid w:val="00154CCA"/>
    <w:rsid w:val="00154CD8"/>
    <w:rsid w:val="00154D4E"/>
    <w:rsid w:val="00154D59"/>
    <w:rsid w:val="00154DA3"/>
    <w:rsid w:val="00154DCB"/>
    <w:rsid w:val="00154E78"/>
    <w:rsid w:val="00154EBC"/>
    <w:rsid w:val="00154ED3"/>
    <w:rsid w:val="00154F25"/>
    <w:rsid w:val="00154F3A"/>
    <w:rsid w:val="00154F52"/>
    <w:rsid w:val="00154F94"/>
    <w:rsid w:val="00155007"/>
    <w:rsid w:val="001550B5"/>
    <w:rsid w:val="001550F0"/>
    <w:rsid w:val="00155156"/>
    <w:rsid w:val="001551C8"/>
    <w:rsid w:val="00155216"/>
    <w:rsid w:val="001552A6"/>
    <w:rsid w:val="00155390"/>
    <w:rsid w:val="00155391"/>
    <w:rsid w:val="001553AE"/>
    <w:rsid w:val="001553D2"/>
    <w:rsid w:val="00155415"/>
    <w:rsid w:val="00155451"/>
    <w:rsid w:val="0015549B"/>
    <w:rsid w:val="001554D3"/>
    <w:rsid w:val="001554DC"/>
    <w:rsid w:val="0015550D"/>
    <w:rsid w:val="0015564F"/>
    <w:rsid w:val="00155652"/>
    <w:rsid w:val="00155680"/>
    <w:rsid w:val="001557E6"/>
    <w:rsid w:val="001557FE"/>
    <w:rsid w:val="00155862"/>
    <w:rsid w:val="00155920"/>
    <w:rsid w:val="00155944"/>
    <w:rsid w:val="001559BD"/>
    <w:rsid w:val="001559C2"/>
    <w:rsid w:val="001559E3"/>
    <w:rsid w:val="00155A36"/>
    <w:rsid w:val="00155AB7"/>
    <w:rsid w:val="00155ACB"/>
    <w:rsid w:val="00155B58"/>
    <w:rsid w:val="00155B7C"/>
    <w:rsid w:val="00155B93"/>
    <w:rsid w:val="00155BD4"/>
    <w:rsid w:val="00155C17"/>
    <w:rsid w:val="00155C24"/>
    <w:rsid w:val="00155C9B"/>
    <w:rsid w:val="00155CAE"/>
    <w:rsid w:val="00155CF5"/>
    <w:rsid w:val="00155D3C"/>
    <w:rsid w:val="00155D48"/>
    <w:rsid w:val="00155DE7"/>
    <w:rsid w:val="00155E6D"/>
    <w:rsid w:val="00155E7B"/>
    <w:rsid w:val="00155E97"/>
    <w:rsid w:val="00155EDA"/>
    <w:rsid w:val="00155EF8"/>
    <w:rsid w:val="00155F29"/>
    <w:rsid w:val="001560C5"/>
    <w:rsid w:val="0015612F"/>
    <w:rsid w:val="00156173"/>
    <w:rsid w:val="0015637D"/>
    <w:rsid w:val="001563A5"/>
    <w:rsid w:val="001563AC"/>
    <w:rsid w:val="00156429"/>
    <w:rsid w:val="00156458"/>
    <w:rsid w:val="0015648D"/>
    <w:rsid w:val="001564CD"/>
    <w:rsid w:val="00156528"/>
    <w:rsid w:val="00156531"/>
    <w:rsid w:val="0015657B"/>
    <w:rsid w:val="001565A4"/>
    <w:rsid w:val="001565BC"/>
    <w:rsid w:val="00156658"/>
    <w:rsid w:val="00156687"/>
    <w:rsid w:val="00156700"/>
    <w:rsid w:val="00156786"/>
    <w:rsid w:val="0015678A"/>
    <w:rsid w:val="00156796"/>
    <w:rsid w:val="001567BF"/>
    <w:rsid w:val="00156804"/>
    <w:rsid w:val="001568D9"/>
    <w:rsid w:val="00156989"/>
    <w:rsid w:val="001569E4"/>
    <w:rsid w:val="00156A1F"/>
    <w:rsid w:val="00156A4A"/>
    <w:rsid w:val="00156A5E"/>
    <w:rsid w:val="00156A84"/>
    <w:rsid w:val="00156A8C"/>
    <w:rsid w:val="00156AB8"/>
    <w:rsid w:val="00156B75"/>
    <w:rsid w:val="00156B77"/>
    <w:rsid w:val="00156B8B"/>
    <w:rsid w:val="00156B95"/>
    <w:rsid w:val="00156BB8"/>
    <w:rsid w:val="00156BCE"/>
    <w:rsid w:val="00156BE0"/>
    <w:rsid w:val="00156C56"/>
    <w:rsid w:val="00156D32"/>
    <w:rsid w:val="00156D5B"/>
    <w:rsid w:val="00156F5B"/>
    <w:rsid w:val="00156FB9"/>
    <w:rsid w:val="00156FD5"/>
    <w:rsid w:val="001570B1"/>
    <w:rsid w:val="00157128"/>
    <w:rsid w:val="001571A5"/>
    <w:rsid w:val="001571B3"/>
    <w:rsid w:val="001571BE"/>
    <w:rsid w:val="00157210"/>
    <w:rsid w:val="0015724D"/>
    <w:rsid w:val="0015729B"/>
    <w:rsid w:val="001572C7"/>
    <w:rsid w:val="00157304"/>
    <w:rsid w:val="0015733E"/>
    <w:rsid w:val="0015738D"/>
    <w:rsid w:val="001573B1"/>
    <w:rsid w:val="001573F9"/>
    <w:rsid w:val="00157412"/>
    <w:rsid w:val="00157486"/>
    <w:rsid w:val="001574C4"/>
    <w:rsid w:val="001574CC"/>
    <w:rsid w:val="00157502"/>
    <w:rsid w:val="0015750A"/>
    <w:rsid w:val="00157544"/>
    <w:rsid w:val="001575DF"/>
    <w:rsid w:val="001575F3"/>
    <w:rsid w:val="00157629"/>
    <w:rsid w:val="0015765E"/>
    <w:rsid w:val="00157771"/>
    <w:rsid w:val="00157850"/>
    <w:rsid w:val="0015787B"/>
    <w:rsid w:val="00157911"/>
    <w:rsid w:val="001579B8"/>
    <w:rsid w:val="00157A0F"/>
    <w:rsid w:val="00157A58"/>
    <w:rsid w:val="00157AB3"/>
    <w:rsid w:val="00157ABF"/>
    <w:rsid w:val="00157B00"/>
    <w:rsid w:val="00157B15"/>
    <w:rsid w:val="00157B25"/>
    <w:rsid w:val="00157C65"/>
    <w:rsid w:val="00157CA4"/>
    <w:rsid w:val="00157CA7"/>
    <w:rsid w:val="00157CB9"/>
    <w:rsid w:val="00157CF7"/>
    <w:rsid w:val="00157D03"/>
    <w:rsid w:val="00157D19"/>
    <w:rsid w:val="00157E22"/>
    <w:rsid w:val="00157EDC"/>
    <w:rsid w:val="00157F02"/>
    <w:rsid w:val="00157F36"/>
    <w:rsid w:val="00157FBD"/>
    <w:rsid w:val="00157FFE"/>
    <w:rsid w:val="00160003"/>
    <w:rsid w:val="00160008"/>
    <w:rsid w:val="00160032"/>
    <w:rsid w:val="0016005A"/>
    <w:rsid w:val="00160076"/>
    <w:rsid w:val="001600C6"/>
    <w:rsid w:val="0016011C"/>
    <w:rsid w:val="0016013D"/>
    <w:rsid w:val="0016015B"/>
    <w:rsid w:val="00160174"/>
    <w:rsid w:val="00160215"/>
    <w:rsid w:val="00160248"/>
    <w:rsid w:val="0016027C"/>
    <w:rsid w:val="00160288"/>
    <w:rsid w:val="001602F8"/>
    <w:rsid w:val="0016031B"/>
    <w:rsid w:val="00160394"/>
    <w:rsid w:val="00160417"/>
    <w:rsid w:val="0016041E"/>
    <w:rsid w:val="00160438"/>
    <w:rsid w:val="00160450"/>
    <w:rsid w:val="00160468"/>
    <w:rsid w:val="0016047A"/>
    <w:rsid w:val="001604CC"/>
    <w:rsid w:val="00160522"/>
    <w:rsid w:val="0016067E"/>
    <w:rsid w:val="001606BA"/>
    <w:rsid w:val="001606C2"/>
    <w:rsid w:val="001606CF"/>
    <w:rsid w:val="001606E4"/>
    <w:rsid w:val="00160738"/>
    <w:rsid w:val="0016079C"/>
    <w:rsid w:val="001607AB"/>
    <w:rsid w:val="001607D9"/>
    <w:rsid w:val="0016085D"/>
    <w:rsid w:val="001608D8"/>
    <w:rsid w:val="0016099F"/>
    <w:rsid w:val="00160AC9"/>
    <w:rsid w:val="00160B7C"/>
    <w:rsid w:val="00160CA3"/>
    <w:rsid w:val="00160CE2"/>
    <w:rsid w:val="00160D04"/>
    <w:rsid w:val="00160D0A"/>
    <w:rsid w:val="00160D80"/>
    <w:rsid w:val="00160E46"/>
    <w:rsid w:val="00160F01"/>
    <w:rsid w:val="00160F84"/>
    <w:rsid w:val="00160FA3"/>
    <w:rsid w:val="00161033"/>
    <w:rsid w:val="001610BA"/>
    <w:rsid w:val="001610DC"/>
    <w:rsid w:val="00161110"/>
    <w:rsid w:val="00161153"/>
    <w:rsid w:val="0016128D"/>
    <w:rsid w:val="001612EA"/>
    <w:rsid w:val="00161367"/>
    <w:rsid w:val="001613DE"/>
    <w:rsid w:val="001613DF"/>
    <w:rsid w:val="001613EE"/>
    <w:rsid w:val="00161464"/>
    <w:rsid w:val="001614AA"/>
    <w:rsid w:val="001614E5"/>
    <w:rsid w:val="0016150B"/>
    <w:rsid w:val="00161517"/>
    <w:rsid w:val="0016151A"/>
    <w:rsid w:val="00161566"/>
    <w:rsid w:val="001615A2"/>
    <w:rsid w:val="001615B0"/>
    <w:rsid w:val="001615E4"/>
    <w:rsid w:val="001615EF"/>
    <w:rsid w:val="0016160F"/>
    <w:rsid w:val="00161725"/>
    <w:rsid w:val="00161747"/>
    <w:rsid w:val="0016178F"/>
    <w:rsid w:val="00161884"/>
    <w:rsid w:val="00161962"/>
    <w:rsid w:val="001619B4"/>
    <w:rsid w:val="001619F3"/>
    <w:rsid w:val="00161A52"/>
    <w:rsid w:val="00161A79"/>
    <w:rsid w:val="00161ACF"/>
    <w:rsid w:val="00161B21"/>
    <w:rsid w:val="00161B4E"/>
    <w:rsid w:val="00161BBC"/>
    <w:rsid w:val="00161BD0"/>
    <w:rsid w:val="00161BD1"/>
    <w:rsid w:val="00161C5C"/>
    <w:rsid w:val="00161D90"/>
    <w:rsid w:val="00161DE3"/>
    <w:rsid w:val="00161E62"/>
    <w:rsid w:val="00161E92"/>
    <w:rsid w:val="00161E97"/>
    <w:rsid w:val="00161F22"/>
    <w:rsid w:val="00161F24"/>
    <w:rsid w:val="00161F62"/>
    <w:rsid w:val="00161FB7"/>
    <w:rsid w:val="00161FE9"/>
    <w:rsid w:val="00162016"/>
    <w:rsid w:val="0016207F"/>
    <w:rsid w:val="001620BD"/>
    <w:rsid w:val="00162108"/>
    <w:rsid w:val="0016212D"/>
    <w:rsid w:val="00162143"/>
    <w:rsid w:val="001621BA"/>
    <w:rsid w:val="00162204"/>
    <w:rsid w:val="0016221F"/>
    <w:rsid w:val="0016222A"/>
    <w:rsid w:val="001622A7"/>
    <w:rsid w:val="0016239F"/>
    <w:rsid w:val="00162447"/>
    <w:rsid w:val="001624A2"/>
    <w:rsid w:val="001624AA"/>
    <w:rsid w:val="00162521"/>
    <w:rsid w:val="0016253E"/>
    <w:rsid w:val="001625F3"/>
    <w:rsid w:val="00162609"/>
    <w:rsid w:val="00162624"/>
    <w:rsid w:val="00162638"/>
    <w:rsid w:val="00162659"/>
    <w:rsid w:val="001626C8"/>
    <w:rsid w:val="0016271B"/>
    <w:rsid w:val="0016277B"/>
    <w:rsid w:val="0016278A"/>
    <w:rsid w:val="001627AF"/>
    <w:rsid w:val="001627C1"/>
    <w:rsid w:val="0016281E"/>
    <w:rsid w:val="0016282B"/>
    <w:rsid w:val="00162861"/>
    <w:rsid w:val="0016289C"/>
    <w:rsid w:val="001628A2"/>
    <w:rsid w:val="001628B8"/>
    <w:rsid w:val="001629AE"/>
    <w:rsid w:val="001629C3"/>
    <w:rsid w:val="00162A21"/>
    <w:rsid w:val="00162A43"/>
    <w:rsid w:val="00162A68"/>
    <w:rsid w:val="00162AAC"/>
    <w:rsid w:val="00162CD8"/>
    <w:rsid w:val="00162D5B"/>
    <w:rsid w:val="00162D99"/>
    <w:rsid w:val="00162DE7"/>
    <w:rsid w:val="00162E61"/>
    <w:rsid w:val="00162EF2"/>
    <w:rsid w:val="00162EFE"/>
    <w:rsid w:val="00162F32"/>
    <w:rsid w:val="00162FB4"/>
    <w:rsid w:val="00162FEB"/>
    <w:rsid w:val="00162FF0"/>
    <w:rsid w:val="00163024"/>
    <w:rsid w:val="001630C7"/>
    <w:rsid w:val="001631C8"/>
    <w:rsid w:val="00163203"/>
    <w:rsid w:val="0016325A"/>
    <w:rsid w:val="0016325D"/>
    <w:rsid w:val="0016326A"/>
    <w:rsid w:val="0016326F"/>
    <w:rsid w:val="00163274"/>
    <w:rsid w:val="0016339E"/>
    <w:rsid w:val="001633D5"/>
    <w:rsid w:val="0016343F"/>
    <w:rsid w:val="0016349F"/>
    <w:rsid w:val="001634BC"/>
    <w:rsid w:val="00163551"/>
    <w:rsid w:val="00163584"/>
    <w:rsid w:val="001635F5"/>
    <w:rsid w:val="0016366E"/>
    <w:rsid w:val="00163675"/>
    <w:rsid w:val="001636C5"/>
    <w:rsid w:val="001636D5"/>
    <w:rsid w:val="001636F9"/>
    <w:rsid w:val="00163700"/>
    <w:rsid w:val="00163793"/>
    <w:rsid w:val="001638D4"/>
    <w:rsid w:val="00163993"/>
    <w:rsid w:val="001639BD"/>
    <w:rsid w:val="00163A04"/>
    <w:rsid w:val="00163A1C"/>
    <w:rsid w:val="00163AA0"/>
    <w:rsid w:val="00163ABF"/>
    <w:rsid w:val="00163B17"/>
    <w:rsid w:val="00163B9B"/>
    <w:rsid w:val="00163BC2"/>
    <w:rsid w:val="00163BE2"/>
    <w:rsid w:val="00163BF2"/>
    <w:rsid w:val="00163BF4"/>
    <w:rsid w:val="00163C0D"/>
    <w:rsid w:val="00163C20"/>
    <w:rsid w:val="00163C2D"/>
    <w:rsid w:val="00163CD7"/>
    <w:rsid w:val="00163D32"/>
    <w:rsid w:val="00163D47"/>
    <w:rsid w:val="00163F48"/>
    <w:rsid w:val="00163F59"/>
    <w:rsid w:val="00163FC3"/>
    <w:rsid w:val="00164069"/>
    <w:rsid w:val="0016407D"/>
    <w:rsid w:val="0016409A"/>
    <w:rsid w:val="001640CC"/>
    <w:rsid w:val="00164119"/>
    <w:rsid w:val="0016416F"/>
    <w:rsid w:val="00164183"/>
    <w:rsid w:val="0016418C"/>
    <w:rsid w:val="001641DB"/>
    <w:rsid w:val="001642A1"/>
    <w:rsid w:val="00164398"/>
    <w:rsid w:val="0016441C"/>
    <w:rsid w:val="001644E0"/>
    <w:rsid w:val="001644F6"/>
    <w:rsid w:val="00164516"/>
    <w:rsid w:val="001645A2"/>
    <w:rsid w:val="00164618"/>
    <w:rsid w:val="00164671"/>
    <w:rsid w:val="001646C5"/>
    <w:rsid w:val="001646F4"/>
    <w:rsid w:val="00164737"/>
    <w:rsid w:val="001647CD"/>
    <w:rsid w:val="00164805"/>
    <w:rsid w:val="00164828"/>
    <w:rsid w:val="0016483E"/>
    <w:rsid w:val="00164877"/>
    <w:rsid w:val="00164894"/>
    <w:rsid w:val="0016499E"/>
    <w:rsid w:val="001649A2"/>
    <w:rsid w:val="001649C9"/>
    <w:rsid w:val="001649DA"/>
    <w:rsid w:val="001649ED"/>
    <w:rsid w:val="001649F8"/>
    <w:rsid w:val="00164B22"/>
    <w:rsid w:val="00164B4F"/>
    <w:rsid w:val="00164BD6"/>
    <w:rsid w:val="00164C77"/>
    <w:rsid w:val="00164D56"/>
    <w:rsid w:val="00164D76"/>
    <w:rsid w:val="00164E19"/>
    <w:rsid w:val="00164E2D"/>
    <w:rsid w:val="00164E6A"/>
    <w:rsid w:val="00164E73"/>
    <w:rsid w:val="00164EE5"/>
    <w:rsid w:val="00164F5B"/>
    <w:rsid w:val="0016502D"/>
    <w:rsid w:val="00165051"/>
    <w:rsid w:val="001650D4"/>
    <w:rsid w:val="0016512F"/>
    <w:rsid w:val="0016514C"/>
    <w:rsid w:val="0016515F"/>
    <w:rsid w:val="0016516B"/>
    <w:rsid w:val="001651AB"/>
    <w:rsid w:val="001651F1"/>
    <w:rsid w:val="0016522B"/>
    <w:rsid w:val="00165325"/>
    <w:rsid w:val="00165379"/>
    <w:rsid w:val="001653A3"/>
    <w:rsid w:val="0016542B"/>
    <w:rsid w:val="00165450"/>
    <w:rsid w:val="001654E0"/>
    <w:rsid w:val="001655FA"/>
    <w:rsid w:val="00165627"/>
    <w:rsid w:val="00165640"/>
    <w:rsid w:val="00165653"/>
    <w:rsid w:val="00165656"/>
    <w:rsid w:val="0016569B"/>
    <w:rsid w:val="00165731"/>
    <w:rsid w:val="0016574F"/>
    <w:rsid w:val="00165878"/>
    <w:rsid w:val="00165905"/>
    <w:rsid w:val="00165929"/>
    <w:rsid w:val="00165987"/>
    <w:rsid w:val="001659D1"/>
    <w:rsid w:val="001659DC"/>
    <w:rsid w:val="001659F4"/>
    <w:rsid w:val="00165A0C"/>
    <w:rsid w:val="00165A0D"/>
    <w:rsid w:val="00165A19"/>
    <w:rsid w:val="00165AF6"/>
    <w:rsid w:val="00165AFD"/>
    <w:rsid w:val="00165B40"/>
    <w:rsid w:val="00165B5E"/>
    <w:rsid w:val="00165B69"/>
    <w:rsid w:val="00165B71"/>
    <w:rsid w:val="00165B8C"/>
    <w:rsid w:val="00165BE5"/>
    <w:rsid w:val="00165C2C"/>
    <w:rsid w:val="00165C87"/>
    <w:rsid w:val="00165CA6"/>
    <w:rsid w:val="00165CE5"/>
    <w:rsid w:val="00165D03"/>
    <w:rsid w:val="00165D19"/>
    <w:rsid w:val="00165D5D"/>
    <w:rsid w:val="00165DCE"/>
    <w:rsid w:val="00165E0A"/>
    <w:rsid w:val="00165E18"/>
    <w:rsid w:val="00165E24"/>
    <w:rsid w:val="00165E29"/>
    <w:rsid w:val="00165E4B"/>
    <w:rsid w:val="00165E77"/>
    <w:rsid w:val="00165E95"/>
    <w:rsid w:val="00165EA4"/>
    <w:rsid w:val="00165EF3"/>
    <w:rsid w:val="00165F37"/>
    <w:rsid w:val="00165F3A"/>
    <w:rsid w:val="00165F82"/>
    <w:rsid w:val="00165FB9"/>
    <w:rsid w:val="00165FF5"/>
    <w:rsid w:val="00166002"/>
    <w:rsid w:val="001660F3"/>
    <w:rsid w:val="00166117"/>
    <w:rsid w:val="0016611B"/>
    <w:rsid w:val="00166122"/>
    <w:rsid w:val="0016619B"/>
    <w:rsid w:val="001661FE"/>
    <w:rsid w:val="00166273"/>
    <w:rsid w:val="001662B8"/>
    <w:rsid w:val="001662D7"/>
    <w:rsid w:val="00166324"/>
    <w:rsid w:val="00166515"/>
    <w:rsid w:val="001665CC"/>
    <w:rsid w:val="001665D9"/>
    <w:rsid w:val="0016660E"/>
    <w:rsid w:val="00166611"/>
    <w:rsid w:val="00166626"/>
    <w:rsid w:val="00166769"/>
    <w:rsid w:val="001667C5"/>
    <w:rsid w:val="001667DC"/>
    <w:rsid w:val="001667F0"/>
    <w:rsid w:val="0016682A"/>
    <w:rsid w:val="0016682C"/>
    <w:rsid w:val="0016685B"/>
    <w:rsid w:val="001668B9"/>
    <w:rsid w:val="00166A30"/>
    <w:rsid w:val="00166A42"/>
    <w:rsid w:val="00166B18"/>
    <w:rsid w:val="00166B41"/>
    <w:rsid w:val="00166B63"/>
    <w:rsid w:val="00166B7D"/>
    <w:rsid w:val="00166C51"/>
    <w:rsid w:val="00166C6D"/>
    <w:rsid w:val="00166D97"/>
    <w:rsid w:val="00166E06"/>
    <w:rsid w:val="00166E33"/>
    <w:rsid w:val="00166E38"/>
    <w:rsid w:val="00166F94"/>
    <w:rsid w:val="00166FD2"/>
    <w:rsid w:val="00167045"/>
    <w:rsid w:val="00167091"/>
    <w:rsid w:val="00167150"/>
    <w:rsid w:val="001671BB"/>
    <w:rsid w:val="001671D2"/>
    <w:rsid w:val="0016728F"/>
    <w:rsid w:val="0016734F"/>
    <w:rsid w:val="0016738C"/>
    <w:rsid w:val="00167396"/>
    <w:rsid w:val="001673C5"/>
    <w:rsid w:val="00167434"/>
    <w:rsid w:val="00167455"/>
    <w:rsid w:val="001674A2"/>
    <w:rsid w:val="001674B4"/>
    <w:rsid w:val="001674BA"/>
    <w:rsid w:val="001674FF"/>
    <w:rsid w:val="00167594"/>
    <w:rsid w:val="0016759A"/>
    <w:rsid w:val="001675DB"/>
    <w:rsid w:val="00167613"/>
    <w:rsid w:val="0016768B"/>
    <w:rsid w:val="001676EE"/>
    <w:rsid w:val="001676F4"/>
    <w:rsid w:val="001676FC"/>
    <w:rsid w:val="0016774C"/>
    <w:rsid w:val="00167757"/>
    <w:rsid w:val="00167850"/>
    <w:rsid w:val="0016792E"/>
    <w:rsid w:val="0016792F"/>
    <w:rsid w:val="0016794C"/>
    <w:rsid w:val="00167992"/>
    <w:rsid w:val="00167999"/>
    <w:rsid w:val="001679B3"/>
    <w:rsid w:val="001679C4"/>
    <w:rsid w:val="001679DF"/>
    <w:rsid w:val="00167A8A"/>
    <w:rsid w:val="00167AF0"/>
    <w:rsid w:val="00167B5A"/>
    <w:rsid w:val="00167B8E"/>
    <w:rsid w:val="00167BF6"/>
    <w:rsid w:val="00167C35"/>
    <w:rsid w:val="00167CF9"/>
    <w:rsid w:val="00167D09"/>
    <w:rsid w:val="00167D15"/>
    <w:rsid w:val="00167D22"/>
    <w:rsid w:val="00167D34"/>
    <w:rsid w:val="00167D43"/>
    <w:rsid w:val="00167E0A"/>
    <w:rsid w:val="00167E48"/>
    <w:rsid w:val="00167E64"/>
    <w:rsid w:val="00167F87"/>
    <w:rsid w:val="00167F9A"/>
    <w:rsid w:val="00170017"/>
    <w:rsid w:val="0017005C"/>
    <w:rsid w:val="00170077"/>
    <w:rsid w:val="0017022B"/>
    <w:rsid w:val="00170238"/>
    <w:rsid w:val="00170272"/>
    <w:rsid w:val="0017029E"/>
    <w:rsid w:val="001703A5"/>
    <w:rsid w:val="001703B3"/>
    <w:rsid w:val="00170443"/>
    <w:rsid w:val="0017044B"/>
    <w:rsid w:val="0017045F"/>
    <w:rsid w:val="001704A2"/>
    <w:rsid w:val="00170562"/>
    <w:rsid w:val="00170577"/>
    <w:rsid w:val="0017057E"/>
    <w:rsid w:val="00170598"/>
    <w:rsid w:val="0017059B"/>
    <w:rsid w:val="001705A9"/>
    <w:rsid w:val="001705C3"/>
    <w:rsid w:val="0017067F"/>
    <w:rsid w:val="0017074C"/>
    <w:rsid w:val="00170778"/>
    <w:rsid w:val="001707B5"/>
    <w:rsid w:val="00170872"/>
    <w:rsid w:val="0017089D"/>
    <w:rsid w:val="001708C5"/>
    <w:rsid w:val="00170918"/>
    <w:rsid w:val="001709FB"/>
    <w:rsid w:val="00170A01"/>
    <w:rsid w:val="00170A58"/>
    <w:rsid w:val="00170A5C"/>
    <w:rsid w:val="00170A64"/>
    <w:rsid w:val="00170AE8"/>
    <w:rsid w:val="00170B1C"/>
    <w:rsid w:val="00170B78"/>
    <w:rsid w:val="00170B9C"/>
    <w:rsid w:val="00170BF2"/>
    <w:rsid w:val="00170BF8"/>
    <w:rsid w:val="00170C10"/>
    <w:rsid w:val="00170C5E"/>
    <w:rsid w:val="00170C69"/>
    <w:rsid w:val="00170D05"/>
    <w:rsid w:val="00170D1D"/>
    <w:rsid w:val="00170D44"/>
    <w:rsid w:val="00170D47"/>
    <w:rsid w:val="00170D91"/>
    <w:rsid w:val="00170DA3"/>
    <w:rsid w:val="00170E64"/>
    <w:rsid w:val="00170E65"/>
    <w:rsid w:val="00170E8B"/>
    <w:rsid w:val="00170E94"/>
    <w:rsid w:val="00170F02"/>
    <w:rsid w:val="00170F7A"/>
    <w:rsid w:val="00170FB5"/>
    <w:rsid w:val="00170FCA"/>
    <w:rsid w:val="00171091"/>
    <w:rsid w:val="0017109B"/>
    <w:rsid w:val="001710DE"/>
    <w:rsid w:val="001710F4"/>
    <w:rsid w:val="00171117"/>
    <w:rsid w:val="00171183"/>
    <w:rsid w:val="001711E5"/>
    <w:rsid w:val="00171204"/>
    <w:rsid w:val="00171236"/>
    <w:rsid w:val="00171277"/>
    <w:rsid w:val="0017127D"/>
    <w:rsid w:val="001712B8"/>
    <w:rsid w:val="001712E7"/>
    <w:rsid w:val="00171319"/>
    <w:rsid w:val="00171330"/>
    <w:rsid w:val="00171336"/>
    <w:rsid w:val="00171346"/>
    <w:rsid w:val="00171356"/>
    <w:rsid w:val="00171357"/>
    <w:rsid w:val="00171377"/>
    <w:rsid w:val="0017139C"/>
    <w:rsid w:val="001713B0"/>
    <w:rsid w:val="00171428"/>
    <w:rsid w:val="0017142D"/>
    <w:rsid w:val="001714BB"/>
    <w:rsid w:val="00171561"/>
    <w:rsid w:val="0017165E"/>
    <w:rsid w:val="00171774"/>
    <w:rsid w:val="0017178E"/>
    <w:rsid w:val="00171792"/>
    <w:rsid w:val="001717DC"/>
    <w:rsid w:val="001717EE"/>
    <w:rsid w:val="0017181D"/>
    <w:rsid w:val="00171835"/>
    <w:rsid w:val="001718FB"/>
    <w:rsid w:val="0017191D"/>
    <w:rsid w:val="00171964"/>
    <w:rsid w:val="00171968"/>
    <w:rsid w:val="001719C5"/>
    <w:rsid w:val="001719E6"/>
    <w:rsid w:val="00171A18"/>
    <w:rsid w:val="00171A27"/>
    <w:rsid w:val="00171A2A"/>
    <w:rsid w:val="00171A30"/>
    <w:rsid w:val="00171AC9"/>
    <w:rsid w:val="00171B59"/>
    <w:rsid w:val="00171B5F"/>
    <w:rsid w:val="00171B75"/>
    <w:rsid w:val="00171BC5"/>
    <w:rsid w:val="00171BCE"/>
    <w:rsid w:val="00171C61"/>
    <w:rsid w:val="00171CC7"/>
    <w:rsid w:val="00171DB0"/>
    <w:rsid w:val="00171E4C"/>
    <w:rsid w:val="00171E7D"/>
    <w:rsid w:val="00171EE5"/>
    <w:rsid w:val="00171EF5"/>
    <w:rsid w:val="00171F5B"/>
    <w:rsid w:val="00171FE2"/>
    <w:rsid w:val="00171FFE"/>
    <w:rsid w:val="00172099"/>
    <w:rsid w:val="001720BD"/>
    <w:rsid w:val="001721CB"/>
    <w:rsid w:val="00172370"/>
    <w:rsid w:val="00172379"/>
    <w:rsid w:val="00172390"/>
    <w:rsid w:val="001723BD"/>
    <w:rsid w:val="00172477"/>
    <w:rsid w:val="001724A4"/>
    <w:rsid w:val="0017250E"/>
    <w:rsid w:val="00172696"/>
    <w:rsid w:val="001726E1"/>
    <w:rsid w:val="001726E3"/>
    <w:rsid w:val="001727BF"/>
    <w:rsid w:val="001727C9"/>
    <w:rsid w:val="001727E5"/>
    <w:rsid w:val="00172846"/>
    <w:rsid w:val="001728E5"/>
    <w:rsid w:val="001728EE"/>
    <w:rsid w:val="00172960"/>
    <w:rsid w:val="001729B5"/>
    <w:rsid w:val="001729CC"/>
    <w:rsid w:val="00172A2A"/>
    <w:rsid w:val="00172AF3"/>
    <w:rsid w:val="00172B7F"/>
    <w:rsid w:val="00172C04"/>
    <w:rsid w:val="00172CC9"/>
    <w:rsid w:val="00172D72"/>
    <w:rsid w:val="00172E61"/>
    <w:rsid w:val="00172E78"/>
    <w:rsid w:val="00172F54"/>
    <w:rsid w:val="00172F88"/>
    <w:rsid w:val="00172F8D"/>
    <w:rsid w:val="00172FCD"/>
    <w:rsid w:val="00173068"/>
    <w:rsid w:val="001730DC"/>
    <w:rsid w:val="00173112"/>
    <w:rsid w:val="0017315B"/>
    <w:rsid w:val="00173167"/>
    <w:rsid w:val="001732AA"/>
    <w:rsid w:val="001733DB"/>
    <w:rsid w:val="00173418"/>
    <w:rsid w:val="00173427"/>
    <w:rsid w:val="0017345C"/>
    <w:rsid w:val="0017346F"/>
    <w:rsid w:val="001734DE"/>
    <w:rsid w:val="00173533"/>
    <w:rsid w:val="0017353B"/>
    <w:rsid w:val="0017359F"/>
    <w:rsid w:val="00173643"/>
    <w:rsid w:val="00173722"/>
    <w:rsid w:val="00173728"/>
    <w:rsid w:val="00173765"/>
    <w:rsid w:val="001737D8"/>
    <w:rsid w:val="0017382F"/>
    <w:rsid w:val="0017383B"/>
    <w:rsid w:val="0017383E"/>
    <w:rsid w:val="001738C6"/>
    <w:rsid w:val="001738E3"/>
    <w:rsid w:val="001738E6"/>
    <w:rsid w:val="00173911"/>
    <w:rsid w:val="00173917"/>
    <w:rsid w:val="001739BF"/>
    <w:rsid w:val="001739D9"/>
    <w:rsid w:val="001739F8"/>
    <w:rsid w:val="00173A58"/>
    <w:rsid w:val="00173A8F"/>
    <w:rsid w:val="00173BBD"/>
    <w:rsid w:val="00173BC2"/>
    <w:rsid w:val="00173BDE"/>
    <w:rsid w:val="00173C1E"/>
    <w:rsid w:val="00173C21"/>
    <w:rsid w:val="00173C48"/>
    <w:rsid w:val="00173D18"/>
    <w:rsid w:val="00173D29"/>
    <w:rsid w:val="00173D81"/>
    <w:rsid w:val="00173E66"/>
    <w:rsid w:val="00173E67"/>
    <w:rsid w:val="00173EE1"/>
    <w:rsid w:val="00173F69"/>
    <w:rsid w:val="00173F88"/>
    <w:rsid w:val="00173FA2"/>
    <w:rsid w:val="0017407F"/>
    <w:rsid w:val="0017408C"/>
    <w:rsid w:val="001741B4"/>
    <w:rsid w:val="00174241"/>
    <w:rsid w:val="00174266"/>
    <w:rsid w:val="00174363"/>
    <w:rsid w:val="0017438B"/>
    <w:rsid w:val="0017438E"/>
    <w:rsid w:val="001743AD"/>
    <w:rsid w:val="0017450F"/>
    <w:rsid w:val="00174523"/>
    <w:rsid w:val="0017453D"/>
    <w:rsid w:val="00174560"/>
    <w:rsid w:val="001745C4"/>
    <w:rsid w:val="001745F3"/>
    <w:rsid w:val="0017460D"/>
    <w:rsid w:val="0017465E"/>
    <w:rsid w:val="001746AC"/>
    <w:rsid w:val="00174766"/>
    <w:rsid w:val="00174841"/>
    <w:rsid w:val="0017486A"/>
    <w:rsid w:val="001748C9"/>
    <w:rsid w:val="001748D7"/>
    <w:rsid w:val="001748DB"/>
    <w:rsid w:val="00174920"/>
    <w:rsid w:val="00174973"/>
    <w:rsid w:val="001749BE"/>
    <w:rsid w:val="001749C7"/>
    <w:rsid w:val="001749D1"/>
    <w:rsid w:val="00174A3C"/>
    <w:rsid w:val="00174A51"/>
    <w:rsid w:val="00174A5B"/>
    <w:rsid w:val="00174A6F"/>
    <w:rsid w:val="00174A8C"/>
    <w:rsid w:val="00174AA6"/>
    <w:rsid w:val="00174ADB"/>
    <w:rsid w:val="00174B4F"/>
    <w:rsid w:val="00174BEE"/>
    <w:rsid w:val="00174C1C"/>
    <w:rsid w:val="00174C30"/>
    <w:rsid w:val="00174C44"/>
    <w:rsid w:val="00174C47"/>
    <w:rsid w:val="00174C5F"/>
    <w:rsid w:val="00174C6C"/>
    <w:rsid w:val="00174C71"/>
    <w:rsid w:val="00174CB0"/>
    <w:rsid w:val="00174D28"/>
    <w:rsid w:val="00174D38"/>
    <w:rsid w:val="00174DB9"/>
    <w:rsid w:val="00174E18"/>
    <w:rsid w:val="00174E5C"/>
    <w:rsid w:val="0017502D"/>
    <w:rsid w:val="0017503F"/>
    <w:rsid w:val="0017505B"/>
    <w:rsid w:val="00175079"/>
    <w:rsid w:val="00175088"/>
    <w:rsid w:val="0017511D"/>
    <w:rsid w:val="001752D4"/>
    <w:rsid w:val="001752D5"/>
    <w:rsid w:val="00175323"/>
    <w:rsid w:val="00175336"/>
    <w:rsid w:val="0017536E"/>
    <w:rsid w:val="00175385"/>
    <w:rsid w:val="00175414"/>
    <w:rsid w:val="00175489"/>
    <w:rsid w:val="001754A3"/>
    <w:rsid w:val="0017556F"/>
    <w:rsid w:val="00175641"/>
    <w:rsid w:val="00175647"/>
    <w:rsid w:val="00175690"/>
    <w:rsid w:val="0017574A"/>
    <w:rsid w:val="00175783"/>
    <w:rsid w:val="00175803"/>
    <w:rsid w:val="00175823"/>
    <w:rsid w:val="00175824"/>
    <w:rsid w:val="00175830"/>
    <w:rsid w:val="0017583F"/>
    <w:rsid w:val="001759A7"/>
    <w:rsid w:val="001759F5"/>
    <w:rsid w:val="001759FE"/>
    <w:rsid w:val="00175A86"/>
    <w:rsid w:val="00175A92"/>
    <w:rsid w:val="00175BB7"/>
    <w:rsid w:val="00175D54"/>
    <w:rsid w:val="00175D65"/>
    <w:rsid w:val="00175D8E"/>
    <w:rsid w:val="00175E5A"/>
    <w:rsid w:val="00175E92"/>
    <w:rsid w:val="00175F30"/>
    <w:rsid w:val="00175F48"/>
    <w:rsid w:val="00175F83"/>
    <w:rsid w:val="00175FA4"/>
    <w:rsid w:val="00175FDB"/>
    <w:rsid w:val="00176001"/>
    <w:rsid w:val="0017600A"/>
    <w:rsid w:val="001760C1"/>
    <w:rsid w:val="00176116"/>
    <w:rsid w:val="0017618D"/>
    <w:rsid w:val="001761ED"/>
    <w:rsid w:val="0017632F"/>
    <w:rsid w:val="00176364"/>
    <w:rsid w:val="0017645B"/>
    <w:rsid w:val="00176483"/>
    <w:rsid w:val="00176498"/>
    <w:rsid w:val="0017657C"/>
    <w:rsid w:val="001765B5"/>
    <w:rsid w:val="00176615"/>
    <w:rsid w:val="001768AC"/>
    <w:rsid w:val="001768CE"/>
    <w:rsid w:val="001768E1"/>
    <w:rsid w:val="0017691B"/>
    <w:rsid w:val="001769B5"/>
    <w:rsid w:val="001769BD"/>
    <w:rsid w:val="00176A0C"/>
    <w:rsid w:val="00176A70"/>
    <w:rsid w:val="00176ABE"/>
    <w:rsid w:val="00176B0E"/>
    <w:rsid w:val="00176B18"/>
    <w:rsid w:val="00176B56"/>
    <w:rsid w:val="00176BBC"/>
    <w:rsid w:val="00176BE8"/>
    <w:rsid w:val="00176C1B"/>
    <w:rsid w:val="00176C2E"/>
    <w:rsid w:val="00176C38"/>
    <w:rsid w:val="00176D5E"/>
    <w:rsid w:val="00176D85"/>
    <w:rsid w:val="00176E06"/>
    <w:rsid w:val="00176E18"/>
    <w:rsid w:val="00176E44"/>
    <w:rsid w:val="00176E65"/>
    <w:rsid w:val="00176E81"/>
    <w:rsid w:val="00176F5A"/>
    <w:rsid w:val="00176F6F"/>
    <w:rsid w:val="00176F7C"/>
    <w:rsid w:val="00176FB6"/>
    <w:rsid w:val="00177024"/>
    <w:rsid w:val="0017703D"/>
    <w:rsid w:val="00177069"/>
    <w:rsid w:val="00177075"/>
    <w:rsid w:val="001770A9"/>
    <w:rsid w:val="001770AA"/>
    <w:rsid w:val="001770AE"/>
    <w:rsid w:val="001770EE"/>
    <w:rsid w:val="001770FB"/>
    <w:rsid w:val="00177106"/>
    <w:rsid w:val="001771A1"/>
    <w:rsid w:val="0017723D"/>
    <w:rsid w:val="001772C9"/>
    <w:rsid w:val="001772D5"/>
    <w:rsid w:val="00177391"/>
    <w:rsid w:val="001773D9"/>
    <w:rsid w:val="00177423"/>
    <w:rsid w:val="0017742D"/>
    <w:rsid w:val="00177474"/>
    <w:rsid w:val="0017747E"/>
    <w:rsid w:val="00177512"/>
    <w:rsid w:val="0017760D"/>
    <w:rsid w:val="00177657"/>
    <w:rsid w:val="0017769D"/>
    <w:rsid w:val="00177751"/>
    <w:rsid w:val="001777C2"/>
    <w:rsid w:val="001777F1"/>
    <w:rsid w:val="001777F6"/>
    <w:rsid w:val="00177832"/>
    <w:rsid w:val="001778B6"/>
    <w:rsid w:val="001778B8"/>
    <w:rsid w:val="001778C5"/>
    <w:rsid w:val="001778D0"/>
    <w:rsid w:val="00177941"/>
    <w:rsid w:val="00177985"/>
    <w:rsid w:val="0017798C"/>
    <w:rsid w:val="001779B7"/>
    <w:rsid w:val="00177A4B"/>
    <w:rsid w:val="00177B59"/>
    <w:rsid w:val="00177B5A"/>
    <w:rsid w:val="00177BE7"/>
    <w:rsid w:val="00177C14"/>
    <w:rsid w:val="00177C71"/>
    <w:rsid w:val="00177CAC"/>
    <w:rsid w:val="00177D70"/>
    <w:rsid w:val="00177E77"/>
    <w:rsid w:val="00177E7B"/>
    <w:rsid w:val="00177EF9"/>
    <w:rsid w:val="00177FAD"/>
    <w:rsid w:val="00177FE0"/>
    <w:rsid w:val="001800A3"/>
    <w:rsid w:val="001800E2"/>
    <w:rsid w:val="001800FB"/>
    <w:rsid w:val="00180107"/>
    <w:rsid w:val="0018010C"/>
    <w:rsid w:val="00180185"/>
    <w:rsid w:val="0018019C"/>
    <w:rsid w:val="001801A4"/>
    <w:rsid w:val="001801E9"/>
    <w:rsid w:val="001801EE"/>
    <w:rsid w:val="001801FB"/>
    <w:rsid w:val="0018021C"/>
    <w:rsid w:val="00180271"/>
    <w:rsid w:val="0018031D"/>
    <w:rsid w:val="001803B5"/>
    <w:rsid w:val="0018045C"/>
    <w:rsid w:val="0018047E"/>
    <w:rsid w:val="001804D0"/>
    <w:rsid w:val="00180509"/>
    <w:rsid w:val="0018051F"/>
    <w:rsid w:val="0018058A"/>
    <w:rsid w:val="001805DF"/>
    <w:rsid w:val="001805E9"/>
    <w:rsid w:val="00180621"/>
    <w:rsid w:val="00180665"/>
    <w:rsid w:val="0018068B"/>
    <w:rsid w:val="0018069E"/>
    <w:rsid w:val="001806BC"/>
    <w:rsid w:val="001806EB"/>
    <w:rsid w:val="0018074E"/>
    <w:rsid w:val="00180772"/>
    <w:rsid w:val="001807ED"/>
    <w:rsid w:val="001808DB"/>
    <w:rsid w:val="00180904"/>
    <w:rsid w:val="00180935"/>
    <w:rsid w:val="0018093E"/>
    <w:rsid w:val="0018095D"/>
    <w:rsid w:val="0018099B"/>
    <w:rsid w:val="00180A4D"/>
    <w:rsid w:val="00180A71"/>
    <w:rsid w:val="00180ACB"/>
    <w:rsid w:val="00180AD1"/>
    <w:rsid w:val="00180B5B"/>
    <w:rsid w:val="00180B9A"/>
    <w:rsid w:val="00180BDE"/>
    <w:rsid w:val="00180C29"/>
    <w:rsid w:val="00180CE9"/>
    <w:rsid w:val="00180D5E"/>
    <w:rsid w:val="00180DAA"/>
    <w:rsid w:val="00180DB9"/>
    <w:rsid w:val="00180E35"/>
    <w:rsid w:val="00180E3C"/>
    <w:rsid w:val="00180E5D"/>
    <w:rsid w:val="00180E8C"/>
    <w:rsid w:val="00180F08"/>
    <w:rsid w:val="00180F0E"/>
    <w:rsid w:val="00181066"/>
    <w:rsid w:val="00181146"/>
    <w:rsid w:val="00181166"/>
    <w:rsid w:val="001811C1"/>
    <w:rsid w:val="001811F4"/>
    <w:rsid w:val="001811F9"/>
    <w:rsid w:val="001812B3"/>
    <w:rsid w:val="001812E1"/>
    <w:rsid w:val="00181382"/>
    <w:rsid w:val="001813C1"/>
    <w:rsid w:val="0018140F"/>
    <w:rsid w:val="001815CB"/>
    <w:rsid w:val="00181659"/>
    <w:rsid w:val="0018166B"/>
    <w:rsid w:val="00181709"/>
    <w:rsid w:val="0018170E"/>
    <w:rsid w:val="00181735"/>
    <w:rsid w:val="00181753"/>
    <w:rsid w:val="00181781"/>
    <w:rsid w:val="00181813"/>
    <w:rsid w:val="00181828"/>
    <w:rsid w:val="00181830"/>
    <w:rsid w:val="00181833"/>
    <w:rsid w:val="00181885"/>
    <w:rsid w:val="00181886"/>
    <w:rsid w:val="001818E0"/>
    <w:rsid w:val="001818EA"/>
    <w:rsid w:val="00181963"/>
    <w:rsid w:val="001819B0"/>
    <w:rsid w:val="00181A0B"/>
    <w:rsid w:val="00181AAA"/>
    <w:rsid w:val="00181B12"/>
    <w:rsid w:val="00181B5B"/>
    <w:rsid w:val="00181B7C"/>
    <w:rsid w:val="00181BCE"/>
    <w:rsid w:val="00181BF9"/>
    <w:rsid w:val="00181C11"/>
    <w:rsid w:val="00181C16"/>
    <w:rsid w:val="00181C66"/>
    <w:rsid w:val="00181C77"/>
    <w:rsid w:val="00181C9C"/>
    <w:rsid w:val="00181CD8"/>
    <w:rsid w:val="00181D55"/>
    <w:rsid w:val="00181D82"/>
    <w:rsid w:val="00181DF2"/>
    <w:rsid w:val="00181E3F"/>
    <w:rsid w:val="00181EB7"/>
    <w:rsid w:val="00181F5C"/>
    <w:rsid w:val="00181F95"/>
    <w:rsid w:val="00181FE0"/>
    <w:rsid w:val="00182007"/>
    <w:rsid w:val="001820E9"/>
    <w:rsid w:val="00182127"/>
    <w:rsid w:val="00182156"/>
    <w:rsid w:val="001821C5"/>
    <w:rsid w:val="001821F0"/>
    <w:rsid w:val="001822D2"/>
    <w:rsid w:val="001822D4"/>
    <w:rsid w:val="0018244A"/>
    <w:rsid w:val="00182452"/>
    <w:rsid w:val="00182485"/>
    <w:rsid w:val="00182498"/>
    <w:rsid w:val="00182499"/>
    <w:rsid w:val="001824A2"/>
    <w:rsid w:val="001824C4"/>
    <w:rsid w:val="001824CD"/>
    <w:rsid w:val="001825AF"/>
    <w:rsid w:val="001825EA"/>
    <w:rsid w:val="00182633"/>
    <w:rsid w:val="001826D0"/>
    <w:rsid w:val="0018279E"/>
    <w:rsid w:val="001827B4"/>
    <w:rsid w:val="001827FF"/>
    <w:rsid w:val="00182859"/>
    <w:rsid w:val="001828D6"/>
    <w:rsid w:val="00182934"/>
    <w:rsid w:val="001829E1"/>
    <w:rsid w:val="00182A22"/>
    <w:rsid w:val="00182AC3"/>
    <w:rsid w:val="00182B6B"/>
    <w:rsid w:val="00182BCF"/>
    <w:rsid w:val="00182CAC"/>
    <w:rsid w:val="00182CAF"/>
    <w:rsid w:val="00182CC2"/>
    <w:rsid w:val="00182CE5"/>
    <w:rsid w:val="00182D82"/>
    <w:rsid w:val="00182D8E"/>
    <w:rsid w:val="00182DCD"/>
    <w:rsid w:val="00182E2D"/>
    <w:rsid w:val="00182E69"/>
    <w:rsid w:val="00182E6D"/>
    <w:rsid w:val="00182EAA"/>
    <w:rsid w:val="00182EFA"/>
    <w:rsid w:val="00182F73"/>
    <w:rsid w:val="00182F98"/>
    <w:rsid w:val="0018305C"/>
    <w:rsid w:val="0018306A"/>
    <w:rsid w:val="00183107"/>
    <w:rsid w:val="001831D0"/>
    <w:rsid w:val="00183202"/>
    <w:rsid w:val="00183250"/>
    <w:rsid w:val="001832A2"/>
    <w:rsid w:val="001832E8"/>
    <w:rsid w:val="001832E9"/>
    <w:rsid w:val="001832EF"/>
    <w:rsid w:val="0018334F"/>
    <w:rsid w:val="0018342D"/>
    <w:rsid w:val="001834BB"/>
    <w:rsid w:val="001834E0"/>
    <w:rsid w:val="001834FB"/>
    <w:rsid w:val="00183507"/>
    <w:rsid w:val="001835F9"/>
    <w:rsid w:val="00183609"/>
    <w:rsid w:val="00183667"/>
    <w:rsid w:val="00183743"/>
    <w:rsid w:val="0018375C"/>
    <w:rsid w:val="00183786"/>
    <w:rsid w:val="001837FB"/>
    <w:rsid w:val="001838C5"/>
    <w:rsid w:val="00183935"/>
    <w:rsid w:val="0018396D"/>
    <w:rsid w:val="00183977"/>
    <w:rsid w:val="00183985"/>
    <w:rsid w:val="0018398F"/>
    <w:rsid w:val="001839B5"/>
    <w:rsid w:val="001839DE"/>
    <w:rsid w:val="00183A2E"/>
    <w:rsid w:val="00183A8C"/>
    <w:rsid w:val="00183B9F"/>
    <w:rsid w:val="00183BD3"/>
    <w:rsid w:val="00183BEE"/>
    <w:rsid w:val="00183C9E"/>
    <w:rsid w:val="00183CAC"/>
    <w:rsid w:val="00183CDF"/>
    <w:rsid w:val="00183CED"/>
    <w:rsid w:val="00183D89"/>
    <w:rsid w:val="00183E32"/>
    <w:rsid w:val="00183E48"/>
    <w:rsid w:val="00183EEE"/>
    <w:rsid w:val="00183F56"/>
    <w:rsid w:val="00183F9A"/>
    <w:rsid w:val="00183FD8"/>
    <w:rsid w:val="0018400C"/>
    <w:rsid w:val="00184065"/>
    <w:rsid w:val="0018407E"/>
    <w:rsid w:val="001840D8"/>
    <w:rsid w:val="001840FC"/>
    <w:rsid w:val="00184105"/>
    <w:rsid w:val="00184135"/>
    <w:rsid w:val="0018413B"/>
    <w:rsid w:val="00184147"/>
    <w:rsid w:val="00184169"/>
    <w:rsid w:val="0018422F"/>
    <w:rsid w:val="00184360"/>
    <w:rsid w:val="0018439C"/>
    <w:rsid w:val="00184402"/>
    <w:rsid w:val="00184410"/>
    <w:rsid w:val="00184453"/>
    <w:rsid w:val="00184487"/>
    <w:rsid w:val="00184520"/>
    <w:rsid w:val="00184601"/>
    <w:rsid w:val="0018464C"/>
    <w:rsid w:val="00184667"/>
    <w:rsid w:val="001846BC"/>
    <w:rsid w:val="00184721"/>
    <w:rsid w:val="00184745"/>
    <w:rsid w:val="00184746"/>
    <w:rsid w:val="00184764"/>
    <w:rsid w:val="00184789"/>
    <w:rsid w:val="00184905"/>
    <w:rsid w:val="0018490E"/>
    <w:rsid w:val="0018497A"/>
    <w:rsid w:val="00184A4D"/>
    <w:rsid w:val="00184BB9"/>
    <w:rsid w:val="00184CFB"/>
    <w:rsid w:val="00184D05"/>
    <w:rsid w:val="00184D19"/>
    <w:rsid w:val="00184D39"/>
    <w:rsid w:val="00184DB4"/>
    <w:rsid w:val="00184E23"/>
    <w:rsid w:val="00184EB7"/>
    <w:rsid w:val="00184EE6"/>
    <w:rsid w:val="00184EFE"/>
    <w:rsid w:val="00185003"/>
    <w:rsid w:val="0018506A"/>
    <w:rsid w:val="001850A1"/>
    <w:rsid w:val="001851A2"/>
    <w:rsid w:val="001851A5"/>
    <w:rsid w:val="001851DA"/>
    <w:rsid w:val="001851F2"/>
    <w:rsid w:val="0018523C"/>
    <w:rsid w:val="00185336"/>
    <w:rsid w:val="00185351"/>
    <w:rsid w:val="001853A5"/>
    <w:rsid w:val="00185464"/>
    <w:rsid w:val="00185572"/>
    <w:rsid w:val="0018557D"/>
    <w:rsid w:val="00185586"/>
    <w:rsid w:val="00185699"/>
    <w:rsid w:val="001856D7"/>
    <w:rsid w:val="00185735"/>
    <w:rsid w:val="00185833"/>
    <w:rsid w:val="00185956"/>
    <w:rsid w:val="00185996"/>
    <w:rsid w:val="00185A1A"/>
    <w:rsid w:val="00185A25"/>
    <w:rsid w:val="00185A36"/>
    <w:rsid w:val="00185A58"/>
    <w:rsid w:val="00185A5F"/>
    <w:rsid w:val="00185AB9"/>
    <w:rsid w:val="00185B21"/>
    <w:rsid w:val="00185C03"/>
    <w:rsid w:val="00185C08"/>
    <w:rsid w:val="00185C1B"/>
    <w:rsid w:val="00185CDF"/>
    <w:rsid w:val="00185D1A"/>
    <w:rsid w:val="00185D7D"/>
    <w:rsid w:val="00185DBA"/>
    <w:rsid w:val="00185DED"/>
    <w:rsid w:val="00185DF6"/>
    <w:rsid w:val="00185E2A"/>
    <w:rsid w:val="00185E4E"/>
    <w:rsid w:val="00185ECD"/>
    <w:rsid w:val="00185EE5"/>
    <w:rsid w:val="00185F9B"/>
    <w:rsid w:val="001860D2"/>
    <w:rsid w:val="001860F8"/>
    <w:rsid w:val="0018619F"/>
    <w:rsid w:val="001861D2"/>
    <w:rsid w:val="00186203"/>
    <w:rsid w:val="0018620B"/>
    <w:rsid w:val="0018622A"/>
    <w:rsid w:val="00186294"/>
    <w:rsid w:val="001862C5"/>
    <w:rsid w:val="001862CD"/>
    <w:rsid w:val="001862D0"/>
    <w:rsid w:val="001862E2"/>
    <w:rsid w:val="00186320"/>
    <w:rsid w:val="0018633C"/>
    <w:rsid w:val="00186383"/>
    <w:rsid w:val="00186478"/>
    <w:rsid w:val="00186482"/>
    <w:rsid w:val="0018649F"/>
    <w:rsid w:val="001864B1"/>
    <w:rsid w:val="00186503"/>
    <w:rsid w:val="0018652A"/>
    <w:rsid w:val="00186538"/>
    <w:rsid w:val="0018655D"/>
    <w:rsid w:val="001865AB"/>
    <w:rsid w:val="00186655"/>
    <w:rsid w:val="00186696"/>
    <w:rsid w:val="0018669B"/>
    <w:rsid w:val="001866DB"/>
    <w:rsid w:val="0018671E"/>
    <w:rsid w:val="00186785"/>
    <w:rsid w:val="0018678A"/>
    <w:rsid w:val="0018678F"/>
    <w:rsid w:val="001867BC"/>
    <w:rsid w:val="00186812"/>
    <w:rsid w:val="00186830"/>
    <w:rsid w:val="00186867"/>
    <w:rsid w:val="0018689E"/>
    <w:rsid w:val="001868E8"/>
    <w:rsid w:val="0018697E"/>
    <w:rsid w:val="001869F8"/>
    <w:rsid w:val="00186A11"/>
    <w:rsid w:val="00186A24"/>
    <w:rsid w:val="00186A89"/>
    <w:rsid w:val="00186AC7"/>
    <w:rsid w:val="00186AF6"/>
    <w:rsid w:val="00186B5A"/>
    <w:rsid w:val="00186B67"/>
    <w:rsid w:val="00186BC7"/>
    <w:rsid w:val="00186C06"/>
    <w:rsid w:val="00186C62"/>
    <w:rsid w:val="00186CCE"/>
    <w:rsid w:val="00186CF1"/>
    <w:rsid w:val="00186D01"/>
    <w:rsid w:val="00186D5C"/>
    <w:rsid w:val="00186D85"/>
    <w:rsid w:val="00186E70"/>
    <w:rsid w:val="00186F1B"/>
    <w:rsid w:val="00187055"/>
    <w:rsid w:val="0018708D"/>
    <w:rsid w:val="001870AC"/>
    <w:rsid w:val="00187146"/>
    <w:rsid w:val="00187149"/>
    <w:rsid w:val="001871B3"/>
    <w:rsid w:val="001871C9"/>
    <w:rsid w:val="001871CD"/>
    <w:rsid w:val="001871D4"/>
    <w:rsid w:val="00187306"/>
    <w:rsid w:val="00187321"/>
    <w:rsid w:val="0018733C"/>
    <w:rsid w:val="001873D7"/>
    <w:rsid w:val="0018740D"/>
    <w:rsid w:val="00187423"/>
    <w:rsid w:val="001874D9"/>
    <w:rsid w:val="001874DF"/>
    <w:rsid w:val="0018756C"/>
    <w:rsid w:val="00187603"/>
    <w:rsid w:val="00187658"/>
    <w:rsid w:val="0018775F"/>
    <w:rsid w:val="0018776C"/>
    <w:rsid w:val="001877C7"/>
    <w:rsid w:val="00187804"/>
    <w:rsid w:val="00187825"/>
    <w:rsid w:val="00187838"/>
    <w:rsid w:val="00187840"/>
    <w:rsid w:val="0018785C"/>
    <w:rsid w:val="00187861"/>
    <w:rsid w:val="0018786F"/>
    <w:rsid w:val="001878F3"/>
    <w:rsid w:val="00187913"/>
    <w:rsid w:val="00187930"/>
    <w:rsid w:val="00187933"/>
    <w:rsid w:val="001879B0"/>
    <w:rsid w:val="001879D5"/>
    <w:rsid w:val="00187A3E"/>
    <w:rsid w:val="00187A98"/>
    <w:rsid w:val="00187B0D"/>
    <w:rsid w:val="00187B6B"/>
    <w:rsid w:val="00187BDE"/>
    <w:rsid w:val="00187C54"/>
    <w:rsid w:val="00187CD8"/>
    <w:rsid w:val="00187CFB"/>
    <w:rsid w:val="00187D7A"/>
    <w:rsid w:val="00187D86"/>
    <w:rsid w:val="00187DEE"/>
    <w:rsid w:val="00187E11"/>
    <w:rsid w:val="00187E49"/>
    <w:rsid w:val="00187E88"/>
    <w:rsid w:val="00187EF6"/>
    <w:rsid w:val="00187F0F"/>
    <w:rsid w:val="00187F1B"/>
    <w:rsid w:val="00187F43"/>
    <w:rsid w:val="00187FD1"/>
    <w:rsid w:val="0019008F"/>
    <w:rsid w:val="001900A5"/>
    <w:rsid w:val="00190121"/>
    <w:rsid w:val="0019016B"/>
    <w:rsid w:val="0019019B"/>
    <w:rsid w:val="001901DE"/>
    <w:rsid w:val="0019023D"/>
    <w:rsid w:val="00190307"/>
    <w:rsid w:val="001903AB"/>
    <w:rsid w:val="001903BF"/>
    <w:rsid w:val="00190446"/>
    <w:rsid w:val="0019047B"/>
    <w:rsid w:val="001904A4"/>
    <w:rsid w:val="001904C9"/>
    <w:rsid w:val="001904F3"/>
    <w:rsid w:val="0019050F"/>
    <w:rsid w:val="001905A1"/>
    <w:rsid w:val="001905A6"/>
    <w:rsid w:val="001905E0"/>
    <w:rsid w:val="00190642"/>
    <w:rsid w:val="001906B7"/>
    <w:rsid w:val="001906CA"/>
    <w:rsid w:val="001906D3"/>
    <w:rsid w:val="001906E0"/>
    <w:rsid w:val="001906F3"/>
    <w:rsid w:val="001906FD"/>
    <w:rsid w:val="00190767"/>
    <w:rsid w:val="0019087A"/>
    <w:rsid w:val="001908B6"/>
    <w:rsid w:val="001908FD"/>
    <w:rsid w:val="00190911"/>
    <w:rsid w:val="00190928"/>
    <w:rsid w:val="00190938"/>
    <w:rsid w:val="001909F2"/>
    <w:rsid w:val="00190AC4"/>
    <w:rsid w:val="00190B8D"/>
    <w:rsid w:val="00190BD2"/>
    <w:rsid w:val="00190C3F"/>
    <w:rsid w:val="00190CBB"/>
    <w:rsid w:val="00190CFE"/>
    <w:rsid w:val="00190D37"/>
    <w:rsid w:val="00190D55"/>
    <w:rsid w:val="00190D65"/>
    <w:rsid w:val="00190E23"/>
    <w:rsid w:val="00190E7A"/>
    <w:rsid w:val="00190EA2"/>
    <w:rsid w:val="00190EDE"/>
    <w:rsid w:val="00190F18"/>
    <w:rsid w:val="00190F39"/>
    <w:rsid w:val="00190F5A"/>
    <w:rsid w:val="00190F8F"/>
    <w:rsid w:val="00191008"/>
    <w:rsid w:val="0019101A"/>
    <w:rsid w:val="0019109B"/>
    <w:rsid w:val="001910FD"/>
    <w:rsid w:val="00191170"/>
    <w:rsid w:val="0019118E"/>
    <w:rsid w:val="001911A9"/>
    <w:rsid w:val="00191264"/>
    <w:rsid w:val="00191285"/>
    <w:rsid w:val="0019129C"/>
    <w:rsid w:val="001912C6"/>
    <w:rsid w:val="001912CA"/>
    <w:rsid w:val="0019136A"/>
    <w:rsid w:val="001913B1"/>
    <w:rsid w:val="001913C8"/>
    <w:rsid w:val="00191459"/>
    <w:rsid w:val="0019146C"/>
    <w:rsid w:val="0019146F"/>
    <w:rsid w:val="001914AA"/>
    <w:rsid w:val="001914BD"/>
    <w:rsid w:val="001914D2"/>
    <w:rsid w:val="00191556"/>
    <w:rsid w:val="001915A4"/>
    <w:rsid w:val="001915D4"/>
    <w:rsid w:val="001915DD"/>
    <w:rsid w:val="001916AF"/>
    <w:rsid w:val="00191737"/>
    <w:rsid w:val="0019173D"/>
    <w:rsid w:val="0019173E"/>
    <w:rsid w:val="0019181B"/>
    <w:rsid w:val="0019185C"/>
    <w:rsid w:val="00191926"/>
    <w:rsid w:val="00191953"/>
    <w:rsid w:val="00191A43"/>
    <w:rsid w:val="00191AB9"/>
    <w:rsid w:val="00191AE0"/>
    <w:rsid w:val="00191B29"/>
    <w:rsid w:val="00191B8E"/>
    <w:rsid w:val="00191B8F"/>
    <w:rsid w:val="00191C61"/>
    <w:rsid w:val="00191CCC"/>
    <w:rsid w:val="00191CFD"/>
    <w:rsid w:val="00191D3E"/>
    <w:rsid w:val="00191D95"/>
    <w:rsid w:val="00191E03"/>
    <w:rsid w:val="00191E1F"/>
    <w:rsid w:val="00191E5F"/>
    <w:rsid w:val="00191E6D"/>
    <w:rsid w:val="00191E82"/>
    <w:rsid w:val="00191FFA"/>
    <w:rsid w:val="00192035"/>
    <w:rsid w:val="00192080"/>
    <w:rsid w:val="0019208F"/>
    <w:rsid w:val="001920B1"/>
    <w:rsid w:val="001920BC"/>
    <w:rsid w:val="001920C1"/>
    <w:rsid w:val="00192101"/>
    <w:rsid w:val="00192135"/>
    <w:rsid w:val="00192159"/>
    <w:rsid w:val="001921A8"/>
    <w:rsid w:val="001921AF"/>
    <w:rsid w:val="001921BD"/>
    <w:rsid w:val="001921ED"/>
    <w:rsid w:val="00192255"/>
    <w:rsid w:val="00192296"/>
    <w:rsid w:val="0019229D"/>
    <w:rsid w:val="001922BD"/>
    <w:rsid w:val="001923EA"/>
    <w:rsid w:val="001923F6"/>
    <w:rsid w:val="0019240B"/>
    <w:rsid w:val="001924E1"/>
    <w:rsid w:val="00192503"/>
    <w:rsid w:val="0019256D"/>
    <w:rsid w:val="0019257C"/>
    <w:rsid w:val="00192584"/>
    <w:rsid w:val="001925A1"/>
    <w:rsid w:val="001925B9"/>
    <w:rsid w:val="001925BD"/>
    <w:rsid w:val="001925E9"/>
    <w:rsid w:val="001925F4"/>
    <w:rsid w:val="00192602"/>
    <w:rsid w:val="00192605"/>
    <w:rsid w:val="00192649"/>
    <w:rsid w:val="0019264D"/>
    <w:rsid w:val="0019267F"/>
    <w:rsid w:val="001926C7"/>
    <w:rsid w:val="00192747"/>
    <w:rsid w:val="0019274B"/>
    <w:rsid w:val="00192779"/>
    <w:rsid w:val="001927BE"/>
    <w:rsid w:val="001927EF"/>
    <w:rsid w:val="001927F4"/>
    <w:rsid w:val="00192804"/>
    <w:rsid w:val="0019280A"/>
    <w:rsid w:val="001928AB"/>
    <w:rsid w:val="001928CB"/>
    <w:rsid w:val="001928F9"/>
    <w:rsid w:val="0019291B"/>
    <w:rsid w:val="0019291D"/>
    <w:rsid w:val="0019299F"/>
    <w:rsid w:val="001929FB"/>
    <w:rsid w:val="00192A5A"/>
    <w:rsid w:val="00192AAE"/>
    <w:rsid w:val="00192AC1"/>
    <w:rsid w:val="00192AE9"/>
    <w:rsid w:val="00192B31"/>
    <w:rsid w:val="00192B3C"/>
    <w:rsid w:val="00192B44"/>
    <w:rsid w:val="00192B98"/>
    <w:rsid w:val="00192BED"/>
    <w:rsid w:val="00192CBA"/>
    <w:rsid w:val="00192CC3"/>
    <w:rsid w:val="00192DE7"/>
    <w:rsid w:val="00192E01"/>
    <w:rsid w:val="00192E20"/>
    <w:rsid w:val="00192E38"/>
    <w:rsid w:val="00192EB4"/>
    <w:rsid w:val="00192FCD"/>
    <w:rsid w:val="001930DF"/>
    <w:rsid w:val="001931A0"/>
    <w:rsid w:val="001932BA"/>
    <w:rsid w:val="001932EA"/>
    <w:rsid w:val="001932EC"/>
    <w:rsid w:val="0019331A"/>
    <w:rsid w:val="0019334F"/>
    <w:rsid w:val="001933BF"/>
    <w:rsid w:val="001933E3"/>
    <w:rsid w:val="00193433"/>
    <w:rsid w:val="00193448"/>
    <w:rsid w:val="00193542"/>
    <w:rsid w:val="0019357C"/>
    <w:rsid w:val="001935A3"/>
    <w:rsid w:val="001935D9"/>
    <w:rsid w:val="00193694"/>
    <w:rsid w:val="001936AF"/>
    <w:rsid w:val="001936CD"/>
    <w:rsid w:val="001936EE"/>
    <w:rsid w:val="001936FC"/>
    <w:rsid w:val="00193736"/>
    <w:rsid w:val="00193746"/>
    <w:rsid w:val="00193782"/>
    <w:rsid w:val="00193789"/>
    <w:rsid w:val="001937AF"/>
    <w:rsid w:val="001937FE"/>
    <w:rsid w:val="00193800"/>
    <w:rsid w:val="0019381F"/>
    <w:rsid w:val="0019386B"/>
    <w:rsid w:val="0019386E"/>
    <w:rsid w:val="001938D2"/>
    <w:rsid w:val="001938D4"/>
    <w:rsid w:val="0019392D"/>
    <w:rsid w:val="00193A53"/>
    <w:rsid w:val="00193ADD"/>
    <w:rsid w:val="00193B37"/>
    <w:rsid w:val="00193B7D"/>
    <w:rsid w:val="00193B8E"/>
    <w:rsid w:val="00193BD5"/>
    <w:rsid w:val="00193BED"/>
    <w:rsid w:val="00193CCE"/>
    <w:rsid w:val="00193CD6"/>
    <w:rsid w:val="00193D39"/>
    <w:rsid w:val="00193DA5"/>
    <w:rsid w:val="00193E23"/>
    <w:rsid w:val="00193E93"/>
    <w:rsid w:val="00193F45"/>
    <w:rsid w:val="00193F90"/>
    <w:rsid w:val="00193FB3"/>
    <w:rsid w:val="00193FE5"/>
    <w:rsid w:val="00194015"/>
    <w:rsid w:val="00194039"/>
    <w:rsid w:val="0019409C"/>
    <w:rsid w:val="001940A9"/>
    <w:rsid w:val="001940F3"/>
    <w:rsid w:val="00194128"/>
    <w:rsid w:val="0019433F"/>
    <w:rsid w:val="00194368"/>
    <w:rsid w:val="001943A3"/>
    <w:rsid w:val="001943D1"/>
    <w:rsid w:val="001943DE"/>
    <w:rsid w:val="001943F0"/>
    <w:rsid w:val="0019452F"/>
    <w:rsid w:val="0019457F"/>
    <w:rsid w:val="001945A7"/>
    <w:rsid w:val="001945C4"/>
    <w:rsid w:val="001945E6"/>
    <w:rsid w:val="00194645"/>
    <w:rsid w:val="0019465C"/>
    <w:rsid w:val="001947B3"/>
    <w:rsid w:val="00194853"/>
    <w:rsid w:val="00194855"/>
    <w:rsid w:val="001948A7"/>
    <w:rsid w:val="0019498D"/>
    <w:rsid w:val="00194A17"/>
    <w:rsid w:val="00194AC4"/>
    <w:rsid w:val="00194AE6"/>
    <w:rsid w:val="00194BB7"/>
    <w:rsid w:val="00194BBE"/>
    <w:rsid w:val="00194CCE"/>
    <w:rsid w:val="00194CFF"/>
    <w:rsid w:val="00194D0D"/>
    <w:rsid w:val="00194D7B"/>
    <w:rsid w:val="00194D8F"/>
    <w:rsid w:val="00194DDD"/>
    <w:rsid w:val="00194DF6"/>
    <w:rsid w:val="00194E81"/>
    <w:rsid w:val="00194E84"/>
    <w:rsid w:val="00194EA7"/>
    <w:rsid w:val="00194FE6"/>
    <w:rsid w:val="00195075"/>
    <w:rsid w:val="001950DD"/>
    <w:rsid w:val="00195138"/>
    <w:rsid w:val="001951C8"/>
    <w:rsid w:val="00195228"/>
    <w:rsid w:val="00195278"/>
    <w:rsid w:val="001952D2"/>
    <w:rsid w:val="00195374"/>
    <w:rsid w:val="001953C6"/>
    <w:rsid w:val="001953DE"/>
    <w:rsid w:val="00195437"/>
    <w:rsid w:val="00195449"/>
    <w:rsid w:val="0019544E"/>
    <w:rsid w:val="0019548B"/>
    <w:rsid w:val="0019558C"/>
    <w:rsid w:val="001955FB"/>
    <w:rsid w:val="0019568B"/>
    <w:rsid w:val="001956DD"/>
    <w:rsid w:val="00195765"/>
    <w:rsid w:val="0019576B"/>
    <w:rsid w:val="00195839"/>
    <w:rsid w:val="00195861"/>
    <w:rsid w:val="001958CD"/>
    <w:rsid w:val="00195908"/>
    <w:rsid w:val="00195971"/>
    <w:rsid w:val="00195A19"/>
    <w:rsid w:val="00195A25"/>
    <w:rsid w:val="00195A4C"/>
    <w:rsid w:val="00195A61"/>
    <w:rsid w:val="00195A85"/>
    <w:rsid w:val="00195C5A"/>
    <w:rsid w:val="00195C6C"/>
    <w:rsid w:val="00195D2F"/>
    <w:rsid w:val="00195DA4"/>
    <w:rsid w:val="00195DCD"/>
    <w:rsid w:val="00195E50"/>
    <w:rsid w:val="00195EBE"/>
    <w:rsid w:val="00195EFA"/>
    <w:rsid w:val="00195F62"/>
    <w:rsid w:val="00195F94"/>
    <w:rsid w:val="00195FD3"/>
    <w:rsid w:val="0019600E"/>
    <w:rsid w:val="0019611B"/>
    <w:rsid w:val="00196189"/>
    <w:rsid w:val="00196190"/>
    <w:rsid w:val="001961CF"/>
    <w:rsid w:val="00196203"/>
    <w:rsid w:val="0019624D"/>
    <w:rsid w:val="0019626B"/>
    <w:rsid w:val="001962E6"/>
    <w:rsid w:val="0019633F"/>
    <w:rsid w:val="001963A8"/>
    <w:rsid w:val="001963E2"/>
    <w:rsid w:val="0019640C"/>
    <w:rsid w:val="00196450"/>
    <w:rsid w:val="00196497"/>
    <w:rsid w:val="001964D7"/>
    <w:rsid w:val="001964E0"/>
    <w:rsid w:val="00196538"/>
    <w:rsid w:val="00196615"/>
    <w:rsid w:val="0019662F"/>
    <w:rsid w:val="00196642"/>
    <w:rsid w:val="00196658"/>
    <w:rsid w:val="00196693"/>
    <w:rsid w:val="001966BF"/>
    <w:rsid w:val="00196735"/>
    <w:rsid w:val="0019675D"/>
    <w:rsid w:val="00196774"/>
    <w:rsid w:val="00196775"/>
    <w:rsid w:val="001967AF"/>
    <w:rsid w:val="00196832"/>
    <w:rsid w:val="00196837"/>
    <w:rsid w:val="00196891"/>
    <w:rsid w:val="001969FB"/>
    <w:rsid w:val="00196A18"/>
    <w:rsid w:val="00196A30"/>
    <w:rsid w:val="00196AF9"/>
    <w:rsid w:val="00196B2F"/>
    <w:rsid w:val="00196B9B"/>
    <w:rsid w:val="00196BD3"/>
    <w:rsid w:val="00196CA7"/>
    <w:rsid w:val="00196CD1"/>
    <w:rsid w:val="00196CF5"/>
    <w:rsid w:val="00196EF9"/>
    <w:rsid w:val="00196F89"/>
    <w:rsid w:val="00197054"/>
    <w:rsid w:val="00197062"/>
    <w:rsid w:val="00197077"/>
    <w:rsid w:val="00197149"/>
    <w:rsid w:val="001971F6"/>
    <w:rsid w:val="00197247"/>
    <w:rsid w:val="0019726A"/>
    <w:rsid w:val="001973DB"/>
    <w:rsid w:val="0019742E"/>
    <w:rsid w:val="001974DE"/>
    <w:rsid w:val="001974DF"/>
    <w:rsid w:val="0019757C"/>
    <w:rsid w:val="001975A5"/>
    <w:rsid w:val="001975B4"/>
    <w:rsid w:val="001975B8"/>
    <w:rsid w:val="00197616"/>
    <w:rsid w:val="00197623"/>
    <w:rsid w:val="00197668"/>
    <w:rsid w:val="00197708"/>
    <w:rsid w:val="00197773"/>
    <w:rsid w:val="001977A8"/>
    <w:rsid w:val="001977FE"/>
    <w:rsid w:val="00197867"/>
    <w:rsid w:val="001978A2"/>
    <w:rsid w:val="00197935"/>
    <w:rsid w:val="0019798B"/>
    <w:rsid w:val="00197A14"/>
    <w:rsid w:val="00197B2A"/>
    <w:rsid w:val="00197B5E"/>
    <w:rsid w:val="00197B5F"/>
    <w:rsid w:val="00197B64"/>
    <w:rsid w:val="00197BA0"/>
    <w:rsid w:val="00197BD3"/>
    <w:rsid w:val="00197BEA"/>
    <w:rsid w:val="00197D81"/>
    <w:rsid w:val="00197D8F"/>
    <w:rsid w:val="00197E56"/>
    <w:rsid w:val="00197E5C"/>
    <w:rsid w:val="00197E8B"/>
    <w:rsid w:val="00197E8D"/>
    <w:rsid w:val="00197F01"/>
    <w:rsid w:val="00197F2B"/>
    <w:rsid w:val="00197F3A"/>
    <w:rsid w:val="00197F86"/>
    <w:rsid w:val="00197F98"/>
    <w:rsid w:val="00197FA4"/>
    <w:rsid w:val="00197FB7"/>
    <w:rsid w:val="00197FBC"/>
    <w:rsid w:val="00197FFA"/>
    <w:rsid w:val="001A0009"/>
    <w:rsid w:val="001A0072"/>
    <w:rsid w:val="001A017E"/>
    <w:rsid w:val="001A0196"/>
    <w:rsid w:val="001A01DE"/>
    <w:rsid w:val="001A0237"/>
    <w:rsid w:val="001A0279"/>
    <w:rsid w:val="001A0288"/>
    <w:rsid w:val="001A02B4"/>
    <w:rsid w:val="001A0308"/>
    <w:rsid w:val="001A03BD"/>
    <w:rsid w:val="001A03D0"/>
    <w:rsid w:val="001A03FF"/>
    <w:rsid w:val="001A05A0"/>
    <w:rsid w:val="001A06D8"/>
    <w:rsid w:val="001A06FA"/>
    <w:rsid w:val="001A0756"/>
    <w:rsid w:val="001A0784"/>
    <w:rsid w:val="001A07A1"/>
    <w:rsid w:val="001A07AC"/>
    <w:rsid w:val="001A0833"/>
    <w:rsid w:val="001A086A"/>
    <w:rsid w:val="001A0945"/>
    <w:rsid w:val="001A095E"/>
    <w:rsid w:val="001A096E"/>
    <w:rsid w:val="001A0992"/>
    <w:rsid w:val="001A0999"/>
    <w:rsid w:val="001A09A4"/>
    <w:rsid w:val="001A09B9"/>
    <w:rsid w:val="001A0AB3"/>
    <w:rsid w:val="001A0B8E"/>
    <w:rsid w:val="001A0B9E"/>
    <w:rsid w:val="001A0C0E"/>
    <w:rsid w:val="001A0C6B"/>
    <w:rsid w:val="001A0CBC"/>
    <w:rsid w:val="001A0CC9"/>
    <w:rsid w:val="001A0DB6"/>
    <w:rsid w:val="001A0E28"/>
    <w:rsid w:val="001A0EF4"/>
    <w:rsid w:val="001A0F5F"/>
    <w:rsid w:val="001A1100"/>
    <w:rsid w:val="001A112B"/>
    <w:rsid w:val="001A1180"/>
    <w:rsid w:val="001A11A8"/>
    <w:rsid w:val="001A11AD"/>
    <w:rsid w:val="001A11C5"/>
    <w:rsid w:val="001A1303"/>
    <w:rsid w:val="001A1351"/>
    <w:rsid w:val="001A1362"/>
    <w:rsid w:val="001A13A0"/>
    <w:rsid w:val="001A13A7"/>
    <w:rsid w:val="001A1425"/>
    <w:rsid w:val="001A1477"/>
    <w:rsid w:val="001A1542"/>
    <w:rsid w:val="001A1557"/>
    <w:rsid w:val="001A1559"/>
    <w:rsid w:val="001A15CF"/>
    <w:rsid w:val="001A16A3"/>
    <w:rsid w:val="001A18C3"/>
    <w:rsid w:val="001A18EB"/>
    <w:rsid w:val="001A1907"/>
    <w:rsid w:val="001A1922"/>
    <w:rsid w:val="001A19E5"/>
    <w:rsid w:val="001A1AE7"/>
    <w:rsid w:val="001A1B75"/>
    <w:rsid w:val="001A1B81"/>
    <w:rsid w:val="001A1BA7"/>
    <w:rsid w:val="001A1C1D"/>
    <w:rsid w:val="001A1C78"/>
    <w:rsid w:val="001A1CAD"/>
    <w:rsid w:val="001A1D0F"/>
    <w:rsid w:val="001A1D41"/>
    <w:rsid w:val="001A1EA1"/>
    <w:rsid w:val="001A1F0C"/>
    <w:rsid w:val="001A1FAB"/>
    <w:rsid w:val="001A1FBF"/>
    <w:rsid w:val="001A1FFB"/>
    <w:rsid w:val="001A2067"/>
    <w:rsid w:val="001A2132"/>
    <w:rsid w:val="001A2164"/>
    <w:rsid w:val="001A21DF"/>
    <w:rsid w:val="001A21F1"/>
    <w:rsid w:val="001A2263"/>
    <w:rsid w:val="001A226D"/>
    <w:rsid w:val="001A227D"/>
    <w:rsid w:val="001A235E"/>
    <w:rsid w:val="001A2366"/>
    <w:rsid w:val="001A23A8"/>
    <w:rsid w:val="001A2409"/>
    <w:rsid w:val="001A24A5"/>
    <w:rsid w:val="001A25D7"/>
    <w:rsid w:val="001A260E"/>
    <w:rsid w:val="001A267D"/>
    <w:rsid w:val="001A26A4"/>
    <w:rsid w:val="001A2708"/>
    <w:rsid w:val="001A2719"/>
    <w:rsid w:val="001A276A"/>
    <w:rsid w:val="001A27EB"/>
    <w:rsid w:val="001A27EF"/>
    <w:rsid w:val="001A2919"/>
    <w:rsid w:val="001A2936"/>
    <w:rsid w:val="001A2953"/>
    <w:rsid w:val="001A29DC"/>
    <w:rsid w:val="001A29DF"/>
    <w:rsid w:val="001A2A10"/>
    <w:rsid w:val="001A2AB3"/>
    <w:rsid w:val="001A2AF9"/>
    <w:rsid w:val="001A2B02"/>
    <w:rsid w:val="001A2B3A"/>
    <w:rsid w:val="001A2B57"/>
    <w:rsid w:val="001A2BCD"/>
    <w:rsid w:val="001A2BFE"/>
    <w:rsid w:val="001A2C1B"/>
    <w:rsid w:val="001A2C3C"/>
    <w:rsid w:val="001A2C5F"/>
    <w:rsid w:val="001A2CB2"/>
    <w:rsid w:val="001A2DA3"/>
    <w:rsid w:val="001A2DB6"/>
    <w:rsid w:val="001A2DCF"/>
    <w:rsid w:val="001A2DDE"/>
    <w:rsid w:val="001A2F35"/>
    <w:rsid w:val="001A2F68"/>
    <w:rsid w:val="001A2F7D"/>
    <w:rsid w:val="001A2FDB"/>
    <w:rsid w:val="001A302A"/>
    <w:rsid w:val="001A3117"/>
    <w:rsid w:val="001A3144"/>
    <w:rsid w:val="001A31AD"/>
    <w:rsid w:val="001A31BA"/>
    <w:rsid w:val="001A3289"/>
    <w:rsid w:val="001A3370"/>
    <w:rsid w:val="001A33EE"/>
    <w:rsid w:val="001A33F0"/>
    <w:rsid w:val="001A340E"/>
    <w:rsid w:val="001A3441"/>
    <w:rsid w:val="001A344E"/>
    <w:rsid w:val="001A345F"/>
    <w:rsid w:val="001A34CE"/>
    <w:rsid w:val="001A34D3"/>
    <w:rsid w:val="001A34FA"/>
    <w:rsid w:val="001A3506"/>
    <w:rsid w:val="001A351E"/>
    <w:rsid w:val="001A3556"/>
    <w:rsid w:val="001A3557"/>
    <w:rsid w:val="001A35A7"/>
    <w:rsid w:val="001A35C3"/>
    <w:rsid w:val="001A362E"/>
    <w:rsid w:val="001A365D"/>
    <w:rsid w:val="001A36A2"/>
    <w:rsid w:val="001A37C4"/>
    <w:rsid w:val="001A37C8"/>
    <w:rsid w:val="001A386E"/>
    <w:rsid w:val="001A3965"/>
    <w:rsid w:val="001A39DE"/>
    <w:rsid w:val="001A3A5D"/>
    <w:rsid w:val="001A3A9C"/>
    <w:rsid w:val="001A3ABC"/>
    <w:rsid w:val="001A3AF9"/>
    <w:rsid w:val="001A3BC0"/>
    <w:rsid w:val="001A3BCA"/>
    <w:rsid w:val="001A3C00"/>
    <w:rsid w:val="001A3C9F"/>
    <w:rsid w:val="001A3CF6"/>
    <w:rsid w:val="001A3D13"/>
    <w:rsid w:val="001A3D34"/>
    <w:rsid w:val="001A3D57"/>
    <w:rsid w:val="001A3DCA"/>
    <w:rsid w:val="001A3E22"/>
    <w:rsid w:val="001A3E49"/>
    <w:rsid w:val="001A3EC6"/>
    <w:rsid w:val="001A3EEC"/>
    <w:rsid w:val="001A3F19"/>
    <w:rsid w:val="001A3F41"/>
    <w:rsid w:val="001A3F93"/>
    <w:rsid w:val="001A3FB5"/>
    <w:rsid w:val="001A4000"/>
    <w:rsid w:val="001A4003"/>
    <w:rsid w:val="001A4012"/>
    <w:rsid w:val="001A421A"/>
    <w:rsid w:val="001A4269"/>
    <w:rsid w:val="001A4351"/>
    <w:rsid w:val="001A4389"/>
    <w:rsid w:val="001A4397"/>
    <w:rsid w:val="001A43D2"/>
    <w:rsid w:val="001A440E"/>
    <w:rsid w:val="001A4419"/>
    <w:rsid w:val="001A4508"/>
    <w:rsid w:val="001A4577"/>
    <w:rsid w:val="001A45A0"/>
    <w:rsid w:val="001A45D1"/>
    <w:rsid w:val="001A465E"/>
    <w:rsid w:val="001A4682"/>
    <w:rsid w:val="001A46B6"/>
    <w:rsid w:val="001A476B"/>
    <w:rsid w:val="001A47B7"/>
    <w:rsid w:val="001A47F1"/>
    <w:rsid w:val="001A480C"/>
    <w:rsid w:val="001A4884"/>
    <w:rsid w:val="001A48C5"/>
    <w:rsid w:val="001A48CE"/>
    <w:rsid w:val="001A48D8"/>
    <w:rsid w:val="001A48EB"/>
    <w:rsid w:val="001A48F7"/>
    <w:rsid w:val="001A4955"/>
    <w:rsid w:val="001A49DD"/>
    <w:rsid w:val="001A4A1E"/>
    <w:rsid w:val="001A4A60"/>
    <w:rsid w:val="001A4A6F"/>
    <w:rsid w:val="001A4A74"/>
    <w:rsid w:val="001A4AAD"/>
    <w:rsid w:val="001A4ACF"/>
    <w:rsid w:val="001A4AE1"/>
    <w:rsid w:val="001A4AEE"/>
    <w:rsid w:val="001A4B3F"/>
    <w:rsid w:val="001A4BFF"/>
    <w:rsid w:val="001A4C50"/>
    <w:rsid w:val="001A4D84"/>
    <w:rsid w:val="001A4D9B"/>
    <w:rsid w:val="001A4E40"/>
    <w:rsid w:val="001A4F3E"/>
    <w:rsid w:val="001A502D"/>
    <w:rsid w:val="001A5069"/>
    <w:rsid w:val="001A508F"/>
    <w:rsid w:val="001A50D8"/>
    <w:rsid w:val="001A51D6"/>
    <w:rsid w:val="001A51D8"/>
    <w:rsid w:val="001A5249"/>
    <w:rsid w:val="001A526F"/>
    <w:rsid w:val="001A5302"/>
    <w:rsid w:val="001A53A1"/>
    <w:rsid w:val="001A5418"/>
    <w:rsid w:val="001A545F"/>
    <w:rsid w:val="001A5474"/>
    <w:rsid w:val="001A549E"/>
    <w:rsid w:val="001A54A7"/>
    <w:rsid w:val="001A54F7"/>
    <w:rsid w:val="001A55F1"/>
    <w:rsid w:val="001A5641"/>
    <w:rsid w:val="001A5647"/>
    <w:rsid w:val="001A566D"/>
    <w:rsid w:val="001A569E"/>
    <w:rsid w:val="001A56D1"/>
    <w:rsid w:val="001A574E"/>
    <w:rsid w:val="001A5872"/>
    <w:rsid w:val="001A58A1"/>
    <w:rsid w:val="001A58A7"/>
    <w:rsid w:val="001A58C9"/>
    <w:rsid w:val="001A5967"/>
    <w:rsid w:val="001A5972"/>
    <w:rsid w:val="001A59EB"/>
    <w:rsid w:val="001A5A3F"/>
    <w:rsid w:val="001A5A66"/>
    <w:rsid w:val="001A5A96"/>
    <w:rsid w:val="001A5AEE"/>
    <w:rsid w:val="001A5B51"/>
    <w:rsid w:val="001A5BE6"/>
    <w:rsid w:val="001A5C06"/>
    <w:rsid w:val="001A5C7E"/>
    <w:rsid w:val="001A5CDE"/>
    <w:rsid w:val="001A5CE0"/>
    <w:rsid w:val="001A5CE4"/>
    <w:rsid w:val="001A5D19"/>
    <w:rsid w:val="001A5D3B"/>
    <w:rsid w:val="001A5D46"/>
    <w:rsid w:val="001A5D62"/>
    <w:rsid w:val="001A5DA4"/>
    <w:rsid w:val="001A5E3D"/>
    <w:rsid w:val="001A5EB0"/>
    <w:rsid w:val="001A5EC5"/>
    <w:rsid w:val="001A5EFB"/>
    <w:rsid w:val="001A5FDE"/>
    <w:rsid w:val="001A6026"/>
    <w:rsid w:val="001A60A6"/>
    <w:rsid w:val="001A613F"/>
    <w:rsid w:val="001A62F1"/>
    <w:rsid w:val="001A6303"/>
    <w:rsid w:val="001A6373"/>
    <w:rsid w:val="001A63B6"/>
    <w:rsid w:val="001A6424"/>
    <w:rsid w:val="001A645E"/>
    <w:rsid w:val="001A64A9"/>
    <w:rsid w:val="001A64C8"/>
    <w:rsid w:val="001A64D3"/>
    <w:rsid w:val="001A64E9"/>
    <w:rsid w:val="001A65AD"/>
    <w:rsid w:val="001A65B1"/>
    <w:rsid w:val="001A65BB"/>
    <w:rsid w:val="001A6609"/>
    <w:rsid w:val="001A6616"/>
    <w:rsid w:val="001A66A1"/>
    <w:rsid w:val="001A67D8"/>
    <w:rsid w:val="001A684E"/>
    <w:rsid w:val="001A691E"/>
    <w:rsid w:val="001A6970"/>
    <w:rsid w:val="001A6A3D"/>
    <w:rsid w:val="001A6A53"/>
    <w:rsid w:val="001A6B38"/>
    <w:rsid w:val="001A6BE0"/>
    <w:rsid w:val="001A6C8A"/>
    <w:rsid w:val="001A6CAA"/>
    <w:rsid w:val="001A6D18"/>
    <w:rsid w:val="001A6D6B"/>
    <w:rsid w:val="001A6DCD"/>
    <w:rsid w:val="001A6DEF"/>
    <w:rsid w:val="001A6E08"/>
    <w:rsid w:val="001A6E44"/>
    <w:rsid w:val="001A6E7B"/>
    <w:rsid w:val="001A6F3C"/>
    <w:rsid w:val="001A6FB7"/>
    <w:rsid w:val="001A6FFD"/>
    <w:rsid w:val="001A703E"/>
    <w:rsid w:val="001A7071"/>
    <w:rsid w:val="001A70A8"/>
    <w:rsid w:val="001A70B0"/>
    <w:rsid w:val="001A70D2"/>
    <w:rsid w:val="001A7151"/>
    <w:rsid w:val="001A71F9"/>
    <w:rsid w:val="001A7304"/>
    <w:rsid w:val="001A7387"/>
    <w:rsid w:val="001A73CA"/>
    <w:rsid w:val="001A7438"/>
    <w:rsid w:val="001A7452"/>
    <w:rsid w:val="001A7492"/>
    <w:rsid w:val="001A74CB"/>
    <w:rsid w:val="001A7535"/>
    <w:rsid w:val="001A7565"/>
    <w:rsid w:val="001A75C8"/>
    <w:rsid w:val="001A75D0"/>
    <w:rsid w:val="001A75E6"/>
    <w:rsid w:val="001A75E7"/>
    <w:rsid w:val="001A7637"/>
    <w:rsid w:val="001A765C"/>
    <w:rsid w:val="001A765F"/>
    <w:rsid w:val="001A767C"/>
    <w:rsid w:val="001A7692"/>
    <w:rsid w:val="001A76DE"/>
    <w:rsid w:val="001A7795"/>
    <w:rsid w:val="001A77B1"/>
    <w:rsid w:val="001A77D0"/>
    <w:rsid w:val="001A77EC"/>
    <w:rsid w:val="001A780C"/>
    <w:rsid w:val="001A795A"/>
    <w:rsid w:val="001A795F"/>
    <w:rsid w:val="001A797A"/>
    <w:rsid w:val="001A79FA"/>
    <w:rsid w:val="001A7A64"/>
    <w:rsid w:val="001A7A88"/>
    <w:rsid w:val="001A7ADE"/>
    <w:rsid w:val="001A7B1A"/>
    <w:rsid w:val="001A7B7C"/>
    <w:rsid w:val="001A7C5C"/>
    <w:rsid w:val="001A7CB9"/>
    <w:rsid w:val="001A7CC7"/>
    <w:rsid w:val="001A7D5B"/>
    <w:rsid w:val="001A7D9A"/>
    <w:rsid w:val="001A7DD3"/>
    <w:rsid w:val="001A7DF9"/>
    <w:rsid w:val="001A7E9B"/>
    <w:rsid w:val="001A7EAF"/>
    <w:rsid w:val="001A7F96"/>
    <w:rsid w:val="001A7FC9"/>
    <w:rsid w:val="001A7FE9"/>
    <w:rsid w:val="001B0097"/>
    <w:rsid w:val="001B00B7"/>
    <w:rsid w:val="001B00E2"/>
    <w:rsid w:val="001B00F1"/>
    <w:rsid w:val="001B0151"/>
    <w:rsid w:val="001B0171"/>
    <w:rsid w:val="001B0217"/>
    <w:rsid w:val="001B023D"/>
    <w:rsid w:val="001B026D"/>
    <w:rsid w:val="001B02BF"/>
    <w:rsid w:val="001B0317"/>
    <w:rsid w:val="001B0319"/>
    <w:rsid w:val="001B0331"/>
    <w:rsid w:val="001B0390"/>
    <w:rsid w:val="001B03C0"/>
    <w:rsid w:val="001B03D7"/>
    <w:rsid w:val="001B0459"/>
    <w:rsid w:val="001B0525"/>
    <w:rsid w:val="001B0526"/>
    <w:rsid w:val="001B0533"/>
    <w:rsid w:val="001B0579"/>
    <w:rsid w:val="001B057F"/>
    <w:rsid w:val="001B05C8"/>
    <w:rsid w:val="001B06AA"/>
    <w:rsid w:val="001B06B6"/>
    <w:rsid w:val="001B0837"/>
    <w:rsid w:val="001B0889"/>
    <w:rsid w:val="001B08AF"/>
    <w:rsid w:val="001B08D3"/>
    <w:rsid w:val="001B093F"/>
    <w:rsid w:val="001B09EB"/>
    <w:rsid w:val="001B09F2"/>
    <w:rsid w:val="001B09FB"/>
    <w:rsid w:val="001B0A27"/>
    <w:rsid w:val="001B0A56"/>
    <w:rsid w:val="001B0A99"/>
    <w:rsid w:val="001B0AAB"/>
    <w:rsid w:val="001B0AB9"/>
    <w:rsid w:val="001B0AE1"/>
    <w:rsid w:val="001B0B0D"/>
    <w:rsid w:val="001B0BCA"/>
    <w:rsid w:val="001B0BD9"/>
    <w:rsid w:val="001B0BDF"/>
    <w:rsid w:val="001B0C1A"/>
    <w:rsid w:val="001B0C1E"/>
    <w:rsid w:val="001B0C9A"/>
    <w:rsid w:val="001B0CDF"/>
    <w:rsid w:val="001B0CF5"/>
    <w:rsid w:val="001B0D0A"/>
    <w:rsid w:val="001B0D20"/>
    <w:rsid w:val="001B0D60"/>
    <w:rsid w:val="001B0DDD"/>
    <w:rsid w:val="001B0DE7"/>
    <w:rsid w:val="001B0E13"/>
    <w:rsid w:val="001B0EC0"/>
    <w:rsid w:val="001B0EF5"/>
    <w:rsid w:val="001B0F03"/>
    <w:rsid w:val="001B0F08"/>
    <w:rsid w:val="001B0F5D"/>
    <w:rsid w:val="001B0F8E"/>
    <w:rsid w:val="001B0FB5"/>
    <w:rsid w:val="001B1043"/>
    <w:rsid w:val="001B105C"/>
    <w:rsid w:val="001B1091"/>
    <w:rsid w:val="001B11B7"/>
    <w:rsid w:val="001B11E4"/>
    <w:rsid w:val="001B1266"/>
    <w:rsid w:val="001B1268"/>
    <w:rsid w:val="001B1346"/>
    <w:rsid w:val="001B1354"/>
    <w:rsid w:val="001B1401"/>
    <w:rsid w:val="001B1466"/>
    <w:rsid w:val="001B154F"/>
    <w:rsid w:val="001B1605"/>
    <w:rsid w:val="001B179F"/>
    <w:rsid w:val="001B1846"/>
    <w:rsid w:val="001B18A0"/>
    <w:rsid w:val="001B18CC"/>
    <w:rsid w:val="001B1901"/>
    <w:rsid w:val="001B1929"/>
    <w:rsid w:val="001B199D"/>
    <w:rsid w:val="001B19D2"/>
    <w:rsid w:val="001B1ABE"/>
    <w:rsid w:val="001B1AD0"/>
    <w:rsid w:val="001B1AD5"/>
    <w:rsid w:val="001B1AF5"/>
    <w:rsid w:val="001B1B1D"/>
    <w:rsid w:val="001B1C04"/>
    <w:rsid w:val="001B1C18"/>
    <w:rsid w:val="001B1C76"/>
    <w:rsid w:val="001B1C7C"/>
    <w:rsid w:val="001B1D13"/>
    <w:rsid w:val="001B1D18"/>
    <w:rsid w:val="001B1DE1"/>
    <w:rsid w:val="001B1DE5"/>
    <w:rsid w:val="001B1E50"/>
    <w:rsid w:val="001B1E8D"/>
    <w:rsid w:val="001B1ED7"/>
    <w:rsid w:val="001B1EEC"/>
    <w:rsid w:val="001B1F32"/>
    <w:rsid w:val="001B1F33"/>
    <w:rsid w:val="001B1F53"/>
    <w:rsid w:val="001B1F82"/>
    <w:rsid w:val="001B1FFA"/>
    <w:rsid w:val="001B200C"/>
    <w:rsid w:val="001B2067"/>
    <w:rsid w:val="001B2085"/>
    <w:rsid w:val="001B20E8"/>
    <w:rsid w:val="001B21B0"/>
    <w:rsid w:val="001B21F4"/>
    <w:rsid w:val="001B21F7"/>
    <w:rsid w:val="001B22FF"/>
    <w:rsid w:val="001B237E"/>
    <w:rsid w:val="001B23A5"/>
    <w:rsid w:val="001B246B"/>
    <w:rsid w:val="001B24C9"/>
    <w:rsid w:val="001B24CB"/>
    <w:rsid w:val="001B24FB"/>
    <w:rsid w:val="001B252A"/>
    <w:rsid w:val="001B260D"/>
    <w:rsid w:val="001B26AE"/>
    <w:rsid w:val="001B26F0"/>
    <w:rsid w:val="001B2731"/>
    <w:rsid w:val="001B2766"/>
    <w:rsid w:val="001B276E"/>
    <w:rsid w:val="001B2781"/>
    <w:rsid w:val="001B27A9"/>
    <w:rsid w:val="001B27E0"/>
    <w:rsid w:val="001B280D"/>
    <w:rsid w:val="001B281A"/>
    <w:rsid w:val="001B288B"/>
    <w:rsid w:val="001B28ED"/>
    <w:rsid w:val="001B2904"/>
    <w:rsid w:val="001B29B7"/>
    <w:rsid w:val="001B29C5"/>
    <w:rsid w:val="001B2A0C"/>
    <w:rsid w:val="001B2A10"/>
    <w:rsid w:val="001B2A17"/>
    <w:rsid w:val="001B2A4A"/>
    <w:rsid w:val="001B2A79"/>
    <w:rsid w:val="001B2AC0"/>
    <w:rsid w:val="001B2B3B"/>
    <w:rsid w:val="001B2B8D"/>
    <w:rsid w:val="001B2BA6"/>
    <w:rsid w:val="001B2D20"/>
    <w:rsid w:val="001B2D80"/>
    <w:rsid w:val="001B2DE9"/>
    <w:rsid w:val="001B2E34"/>
    <w:rsid w:val="001B2E48"/>
    <w:rsid w:val="001B2EB1"/>
    <w:rsid w:val="001B2FD8"/>
    <w:rsid w:val="001B303F"/>
    <w:rsid w:val="001B3087"/>
    <w:rsid w:val="001B30D0"/>
    <w:rsid w:val="001B30DC"/>
    <w:rsid w:val="001B30F3"/>
    <w:rsid w:val="001B3100"/>
    <w:rsid w:val="001B312D"/>
    <w:rsid w:val="001B31B1"/>
    <w:rsid w:val="001B3238"/>
    <w:rsid w:val="001B3256"/>
    <w:rsid w:val="001B32DF"/>
    <w:rsid w:val="001B3319"/>
    <w:rsid w:val="001B3465"/>
    <w:rsid w:val="001B3548"/>
    <w:rsid w:val="001B3616"/>
    <w:rsid w:val="001B3625"/>
    <w:rsid w:val="001B365A"/>
    <w:rsid w:val="001B369B"/>
    <w:rsid w:val="001B36CD"/>
    <w:rsid w:val="001B372A"/>
    <w:rsid w:val="001B373C"/>
    <w:rsid w:val="001B3749"/>
    <w:rsid w:val="001B3758"/>
    <w:rsid w:val="001B383D"/>
    <w:rsid w:val="001B38AB"/>
    <w:rsid w:val="001B396A"/>
    <w:rsid w:val="001B3A4D"/>
    <w:rsid w:val="001B3AEE"/>
    <w:rsid w:val="001B3B78"/>
    <w:rsid w:val="001B3B80"/>
    <w:rsid w:val="001B3B98"/>
    <w:rsid w:val="001B3BA9"/>
    <w:rsid w:val="001B3C08"/>
    <w:rsid w:val="001B3D07"/>
    <w:rsid w:val="001B3D09"/>
    <w:rsid w:val="001B3D58"/>
    <w:rsid w:val="001B3DA3"/>
    <w:rsid w:val="001B3DA5"/>
    <w:rsid w:val="001B3DAB"/>
    <w:rsid w:val="001B3DB9"/>
    <w:rsid w:val="001B3DCD"/>
    <w:rsid w:val="001B3DEE"/>
    <w:rsid w:val="001B3DF0"/>
    <w:rsid w:val="001B3E03"/>
    <w:rsid w:val="001B3E1B"/>
    <w:rsid w:val="001B3F0C"/>
    <w:rsid w:val="001B3F24"/>
    <w:rsid w:val="001B3F32"/>
    <w:rsid w:val="001B3F44"/>
    <w:rsid w:val="001B4004"/>
    <w:rsid w:val="001B404A"/>
    <w:rsid w:val="001B40EF"/>
    <w:rsid w:val="001B4123"/>
    <w:rsid w:val="001B4149"/>
    <w:rsid w:val="001B41D4"/>
    <w:rsid w:val="001B41D5"/>
    <w:rsid w:val="001B4202"/>
    <w:rsid w:val="001B420D"/>
    <w:rsid w:val="001B4231"/>
    <w:rsid w:val="001B425E"/>
    <w:rsid w:val="001B429F"/>
    <w:rsid w:val="001B432C"/>
    <w:rsid w:val="001B4368"/>
    <w:rsid w:val="001B4374"/>
    <w:rsid w:val="001B439B"/>
    <w:rsid w:val="001B43AF"/>
    <w:rsid w:val="001B43EC"/>
    <w:rsid w:val="001B4405"/>
    <w:rsid w:val="001B440C"/>
    <w:rsid w:val="001B442A"/>
    <w:rsid w:val="001B4467"/>
    <w:rsid w:val="001B4503"/>
    <w:rsid w:val="001B452F"/>
    <w:rsid w:val="001B453F"/>
    <w:rsid w:val="001B4650"/>
    <w:rsid w:val="001B4663"/>
    <w:rsid w:val="001B479C"/>
    <w:rsid w:val="001B482A"/>
    <w:rsid w:val="001B4840"/>
    <w:rsid w:val="001B485B"/>
    <w:rsid w:val="001B48A7"/>
    <w:rsid w:val="001B493C"/>
    <w:rsid w:val="001B49E5"/>
    <w:rsid w:val="001B4A11"/>
    <w:rsid w:val="001B4AA8"/>
    <w:rsid w:val="001B4AAD"/>
    <w:rsid w:val="001B4ABA"/>
    <w:rsid w:val="001B4AD3"/>
    <w:rsid w:val="001B4AF1"/>
    <w:rsid w:val="001B4B0F"/>
    <w:rsid w:val="001B4B28"/>
    <w:rsid w:val="001B4B55"/>
    <w:rsid w:val="001B4B97"/>
    <w:rsid w:val="001B4BB6"/>
    <w:rsid w:val="001B4BF9"/>
    <w:rsid w:val="001B4C2B"/>
    <w:rsid w:val="001B4C93"/>
    <w:rsid w:val="001B4CD1"/>
    <w:rsid w:val="001B4DA7"/>
    <w:rsid w:val="001B4DDB"/>
    <w:rsid w:val="001B4E59"/>
    <w:rsid w:val="001B4E72"/>
    <w:rsid w:val="001B4E76"/>
    <w:rsid w:val="001B4EBC"/>
    <w:rsid w:val="001B4EDA"/>
    <w:rsid w:val="001B4F57"/>
    <w:rsid w:val="001B4FBD"/>
    <w:rsid w:val="001B506C"/>
    <w:rsid w:val="001B5136"/>
    <w:rsid w:val="001B514C"/>
    <w:rsid w:val="001B5236"/>
    <w:rsid w:val="001B525F"/>
    <w:rsid w:val="001B5280"/>
    <w:rsid w:val="001B5396"/>
    <w:rsid w:val="001B53DD"/>
    <w:rsid w:val="001B53F3"/>
    <w:rsid w:val="001B5406"/>
    <w:rsid w:val="001B545F"/>
    <w:rsid w:val="001B5460"/>
    <w:rsid w:val="001B54E3"/>
    <w:rsid w:val="001B54FA"/>
    <w:rsid w:val="001B5505"/>
    <w:rsid w:val="001B550C"/>
    <w:rsid w:val="001B5527"/>
    <w:rsid w:val="001B5535"/>
    <w:rsid w:val="001B5680"/>
    <w:rsid w:val="001B5721"/>
    <w:rsid w:val="001B5725"/>
    <w:rsid w:val="001B5726"/>
    <w:rsid w:val="001B574D"/>
    <w:rsid w:val="001B576D"/>
    <w:rsid w:val="001B57D5"/>
    <w:rsid w:val="001B57E1"/>
    <w:rsid w:val="001B57FE"/>
    <w:rsid w:val="001B587B"/>
    <w:rsid w:val="001B5890"/>
    <w:rsid w:val="001B5906"/>
    <w:rsid w:val="001B590D"/>
    <w:rsid w:val="001B5970"/>
    <w:rsid w:val="001B5973"/>
    <w:rsid w:val="001B5AF0"/>
    <w:rsid w:val="001B5B52"/>
    <w:rsid w:val="001B5BBD"/>
    <w:rsid w:val="001B5C49"/>
    <w:rsid w:val="001B5C92"/>
    <w:rsid w:val="001B5C94"/>
    <w:rsid w:val="001B5D10"/>
    <w:rsid w:val="001B5D27"/>
    <w:rsid w:val="001B5E09"/>
    <w:rsid w:val="001B5E27"/>
    <w:rsid w:val="001B5E52"/>
    <w:rsid w:val="001B5EBB"/>
    <w:rsid w:val="001B5ED0"/>
    <w:rsid w:val="001B5F12"/>
    <w:rsid w:val="001B5F16"/>
    <w:rsid w:val="001B5F50"/>
    <w:rsid w:val="001B5F54"/>
    <w:rsid w:val="001B5F62"/>
    <w:rsid w:val="001B5F87"/>
    <w:rsid w:val="001B5FAD"/>
    <w:rsid w:val="001B6021"/>
    <w:rsid w:val="001B602A"/>
    <w:rsid w:val="001B6086"/>
    <w:rsid w:val="001B60A2"/>
    <w:rsid w:val="001B60D9"/>
    <w:rsid w:val="001B6111"/>
    <w:rsid w:val="001B6205"/>
    <w:rsid w:val="001B6228"/>
    <w:rsid w:val="001B6249"/>
    <w:rsid w:val="001B62F0"/>
    <w:rsid w:val="001B62F6"/>
    <w:rsid w:val="001B62FE"/>
    <w:rsid w:val="001B6368"/>
    <w:rsid w:val="001B6393"/>
    <w:rsid w:val="001B63E6"/>
    <w:rsid w:val="001B64E3"/>
    <w:rsid w:val="001B651E"/>
    <w:rsid w:val="001B65C7"/>
    <w:rsid w:val="001B65D9"/>
    <w:rsid w:val="001B6653"/>
    <w:rsid w:val="001B6687"/>
    <w:rsid w:val="001B66AB"/>
    <w:rsid w:val="001B6752"/>
    <w:rsid w:val="001B675D"/>
    <w:rsid w:val="001B6764"/>
    <w:rsid w:val="001B679B"/>
    <w:rsid w:val="001B6809"/>
    <w:rsid w:val="001B6844"/>
    <w:rsid w:val="001B68E0"/>
    <w:rsid w:val="001B68EC"/>
    <w:rsid w:val="001B68F9"/>
    <w:rsid w:val="001B6915"/>
    <w:rsid w:val="001B6988"/>
    <w:rsid w:val="001B69E1"/>
    <w:rsid w:val="001B6A08"/>
    <w:rsid w:val="001B6A22"/>
    <w:rsid w:val="001B6A6C"/>
    <w:rsid w:val="001B6ABB"/>
    <w:rsid w:val="001B6B1D"/>
    <w:rsid w:val="001B6C5E"/>
    <w:rsid w:val="001B6CCE"/>
    <w:rsid w:val="001B6CDC"/>
    <w:rsid w:val="001B6CE7"/>
    <w:rsid w:val="001B6D09"/>
    <w:rsid w:val="001B6E27"/>
    <w:rsid w:val="001B6E59"/>
    <w:rsid w:val="001B6E75"/>
    <w:rsid w:val="001B6E79"/>
    <w:rsid w:val="001B6EBA"/>
    <w:rsid w:val="001B6EE9"/>
    <w:rsid w:val="001B6F31"/>
    <w:rsid w:val="001B7064"/>
    <w:rsid w:val="001B7177"/>
    <w:rsid w:val="001B7240"/>
    <w:rsid w:val="001B72BE"/>
    <w:rsid w:val="001B72D9"/>
    <w:rsid w:val="001B72F2"/>
    <w:rsid w:val="001B7345"/>
    <w:rsid w:val="001B739A"/>
    <w:rsid w:val="001B73B4"/>
    <w:rsid w:val="001B743A"/>
    <w:rsid w:val="001B7453"/>
    <w:rsid w:val="001B74CB"/>
    <w:rsid w:val="001B755D"/>
    <w:rsid w:val="001B760A"/>
    <w:rsid w:val="001B7693"/>
    <w:rsid w:val="001B76B9"/>
    <w:rsid w:val="001B76DF"/>
    <w:rsid w:val="001B7734"/>
    <w:rsid w:val="001B7747"/>
    <w:rsid w:val="001B778C"/>
    <w:rsid w:val="001B77C2"/>
    <w:rsid w:val="001B77E5"/>
    <w:rsid w:val="001B77FB"/>
    <w:rsid w:val="001B7935"/>
    <w:rsid w:val="001B793F"/>
    <w:rsid w:val="001B79D5"/>
    <w:rsid w:val="001B7A1C"/>
    <w:rsid w:val="001B7A20"/>
    <w:rsid w:val="001B7ACB"/>
    <w:rsid w:val="001B7B47"/>
    <w:rsid w:val="001B7C4C"/>
    <w:rsid w:val="001B7CBE"/>
    <w:rsid w:val="001B7E05"/>
    <w:rsid w:val="001B7E6E"/>
    <w:rsid w:val="001B7EB9"/>
    <w:rsid w:val="001B7F94"/>
    <w:rsid w:val="001B7FE1"/>
    <w:rsid w:val="001C0079"/>
    <w:rsid w:val="001C00C7"/>
    <w:rsid w:val="001C00E6"/>
    <w:rsid w:val="001C00F6"/>
    <w:rsid w:val="001C0176"/>
    <w:rsid w:val="001C017C"/>
    <w:rsid w:val="001C01A7"/>
    <w:rsid w:val="001C024E"/>
    <w:rsid w:val="001C0269"/>
    <w:rsid w:val="001C02C0"/>
    <w:rsid w:val="001C02CD"/>
    <w:rsid w:val="001C0303"/>
    <w:rsid w:val="001C034A"/>
    <w:rsid w:val="001C042B"/>
    <w:rsid w:val="001C0572"/>
    <w:rsid w:val="001C0575"/>
    <w:rsid w:val="001C0584"/>
    <w:rsid w:val="001C059E"/>
    <w:rsid w:val="001C05E9"/>
    <w:rsid w:val="001C067B"/>
    <w:rsid w:val="001C068D"/>
    <w:rsid w:val="001C06B6"/>
    <w:rsid w:val="001C06DE"/>
    <w:rsid w:val="001C077F"/>
    <w:rsid w:val="001C07F5"/>
    <w:rsid w:val="001C084D"/>
    <w:rsid w:val="001C08C2"/>
    <w:rsid w:val="001C08F1"/>
    <w:rsid w:val="001C096D"/>
    <w:rsid w:val="001C099D"/>
    <w:rsid w:val="001C09B4"/>
    <w:rsid w:val="001C09C4"/>
    <w:rsid w:val="001C09D4"/>
    <w:rsid w:val="001C09F4"/>
    <w:rsid w:val="001C0A30"/>
    <w:rsid w:val="001C0A31"/>
    <w:rsid w:val="001C0AA1"/>
    <w:rsid w:val="001C0AA5"/>
    <w:rsid w:val="001C0B0C"/>
    <w:rsid w:val="001C0B85"/>
    <w:rsid w:val="001C0BAA"/>
    <w:rsid w:val="001C0BE6"/>
    <w:rsid w:val="001C0C0E"/>
    <w:rsid w:val="001C0C1D"/>
    <w:rsid w:val="001C0C36"/>
    <w:rsid w:val="001C0C54"/>
    <w:rsid w:val="001C0D04"/>
    <w:rsid w:val="001C0D0F"/>
    <w:rsid w:val="001C0D19"/>
    <w:rsid w:val="001C0DB4"/>
    <w:rsid w:val="001C0E35"/>
    <w:rsid w:val="001C0E7D"/>
    <w:rsid w:val="001C0F33"/>
    <w:rsid w:val="001C0F80"/>
    <w:rsid w:val="001C0F9B"/>
    <w:rsid w:val="001C0FD7"/>
    <w:rsid w:val="001C0FF2"/>
    <w:rsid w:val="001C1018"/>
    <w:rsid w:val="001C1066"/>
    <w:rsid w:val="001C110D"/>
    <w:rsid w:val="001C1146"/>
    <w:rsid w:val="001C1165"/>
    <w:rsid w:val="001C11A1"/>
    <w:rsid w:val="001C1257"/>
    <w:rsid w:val="001C126D"/>
    <w:rsid w:val="001C12F1"/>
    <w:rsid w:val="001C13D6"/>
    <w:rsid w:val="001C1407"/>
    <w:rsid w:val="001C1413"/>
    <w:rsid w:val="001C14F6"/>
    <w:rsid w:val="001C157F"/>
    <w:rsid w:val="001C159E"/>
    <w:rsid w:val="001C15B5"/>
    <w:rsid w:val="001C15F9"/>
    <w:rsid w:val="001C1648"/>
    <w:rsid w:val="001C1729"/>
    <w:rsid w:val="001C176D"/>
    <w:rsid w:val="001C17A9"/>
    <w:rsid w:val="001C17C5"/>
    <w:rsid w:val="001C1826"/>
    <w:rsid w:val="001C184C"/>
    <w:rsid w:val="001C18D4"/>
    <w:rsid w:val="001C1903"/>
    <w:rsid w:val="001C19EA"/>
    <w:rsid w:val="001C1B1C"/>
    <w:rsid w:val="001C1B8E"/>
    <w:rsid w:val="001C1BAC"/>
    <w:rsid w:val="001C1C28"/>
    <w:rsid w:val="001C1C33"/>
    <w:rsid w:val="001C1C40"/>
    <w:rsid w:val="001C1C5A"/>
    <w:rsid w:val="001C1CDE"/>
    <w:rsid w:val="001C1D0F"/>
    <w:rsid w:val="001C1D91"/>
    <w:rsid w:val="001C1D97"/>
    <w:rsid w:val="001C1E41"/>
    <w:rsid w:val="001C1E52"/>
    <w:rsid w:val="001C1E74"/>
    <w:rsid w:val="001C1EB8"/>
    <w:rsid w:val="001C1EE1"/>
    <w:rsid w:val="001C1F66"/>
    <w:rsid w:val="001C1FE6"/>
    <w:rsid w:val="001C2007"/>
    <w:rsid w:val="001C2056"/>
    <w:rsid w:val="001C2137"/>
    <w:rsid w:val="001C21A4"/>
    <w:rsid w:val="001C21AE"/>
    <w:rsid w:val="001C21D1"/>
    <w:rsid w:val="001C228A"/>
    <w:rsid w:val="001C229E"/>
    <w:rsid w:val="001C22BB"/>
    <w:rsid w:val="001C2371"/>
    <w:rsid w:val="001C2408"/>
    <w:rsid w:val="001C242D"/>
    <w:rsid w:val="001C245C"/>
    <w:rsid w:val="001C2489"/>
    <w:rsid w:val="001C2590"/>
    <w:rsid w:val="001C25A0"/>
    <w:rsid w:val="001C25BD"/>
    <w:rsid w:val="001C264B"/>
    <w:rsid w:val="001C2658"/>
    <w:rsid w:val="001C2679"/>
    <w:rsid w:val="001C26CD"/>
    <w:rsid w:val="001C2705"/>
    <w:rsid w:val="001C2732"/>
    <w:rsid w:val="001C27B9"/>
    <w:rsid w:val="001C27DB"/>
    <w:rsid w:val="001C2809"/>
    <w:rsid w:val="001C2915"/>
    <w:rsid w:val="001C292E"/>
    <w:rsid w:val="001C2931"/>
    <w:rsid w:val="001C2940"/>
    <w:rsid w:val="001C2A07"/>
    <w:rsid w:val="001C2A75"/>
    <w:rsid w:val="001C2AD4"/>
    <w:rsid w:val="001C2B7D"/>
    <w:rsid w:val="001C2BB2"/>
    <w:rsid w:val="001C2BC6"/>
    <w:rsid w:val="001C2BCF"/>
    <w:rsid w:val="001C2C08"/>
    <w:rsid w:val="001C2C90"/>
    <w:rsid w:val="001C2D2B"/>
    <w:rsid w:val="001C2E85"/>
    <w:rsid w:val="001C2E96"/>
    <w:rsid w:val="001C2F34"/>
    <w:rsid w:val="001C2F3F"/>
    <w:rsid w:val="001C2F62"/>
    <w:rsid w:val="001C2FEF"/>
    <w:rsid w:val="001C2FFB"/>
    <w:rsid w:val="001C30B6"/>
    <w:rsid w:val="001C3106"/>
    <w:rsid w:val="001C3176"/>
    <w:rsid w:val="001C3190"/>
    <w:rsid w:val="001C31D0"/>
    <w:rsid w:val="001C31EC"/>
    <w:rsid w:val="001C3212"/>
    <w:rsid w:val="001C3224"/>
    <w:rsid w:val="001C3260"/>
    <w:rsid w:val="001C32A6"/>
    <w:rsid w:val="001C32FD"/>
    <w:rsid w:val="001C3321"/>
    <w:rsid w:val="001C3358"/>
    <w:rsid w:val="001C347E"/>
    <w:rsid w:val="001C34E0"/>
    <w:rsid w:val="001C34F5"/>
    <w:rsid w:val="001C3519"/>
    <w:rsid w:val="001C3528"/>
    <w:rsid w:val="001C352D"/>
    <w:rsid w:val="001C3538"/>
    <w:rsid w:val="001C357C"/>
    <w:rsid w:val="001C358D"/>
    <w:rsid w:val="001C3597"/>
    <w:rsid w:val="001C35E9"/>
    <w:rsid w:val="001C3617"/>
    <w:rsid w:val="001C3725"/>
    <w:rsid w:val="001C3738"/>
    <w:rsid w:val="001C38FE"/>
    <w:rsid w:val="001C392D"/>
    <w:rsid w:val="001C398A"/>
    <w:rsid w:val="001C39A0"/>
    <w:rsid w:val="001C39F2"/>
    <w:rsid w:val="001C3A55"/>
    <w:rsid w:val="001C3B75"/>
    <w:rsid w:val="001C3BC3"/>
    <w:rsid w:val="001C3C08"/>
    <w:rsid w:val="001C3C0D"/>
    <w:rsid w:val="001C3C57"/>
    <w:rsid w:val="001C3C96"/>
    <w:rsid w:val="001C3CBF"/>
    <w:rsid w:val="001C3D2E"/>
    <w:rsid w:val="001C3D36"/>
    <w:rsid w:val="001C3D4E"/>
    <w:rsid w:val="001C3DA8"/>
    <w:rsid w:val="001C3E20"/>
    <w:rsid w:val="001C3E30"/>
    <w:rsid w:val="001C3E89"/>
    <w:rsid w:val="001C3EAE"/>
    <w:rsid w:val="001C3ED3"/>
    <w:rsid w:val="001C3F31"/>
    <w:rsid w:val="001C3F35"/>
    <w:rsid w:val="001C3F43"/>
    <w:rsid w:val="001C3F47"/>
    <w:rsid w:val="001C3FAF"/>
    <w:rsid w:val="001C3FB8"/>
    <w:rsid w:val="001C407A"/>
    <w:rsid w:val="001C4091"/>
    <w:rsid w:val="001C40CD"/>
    <w:rsid w:val="001C41FB"/>
    <w:rsid w:val="001C420B"/>
    <w:rsid w:val="001C422B"/>
    <w:rsid w:val="001C4236"/>
    <w:rsid w:val="001C4246"/>
    <w:rsid w:val="001C4255"/>
    <w:rsid w:val="001C42E5"/>
    <w:rsid w:val="001C4303"/>
    <w:rsid w:val="001C433F"/>
    <w:rsid w:val="001C4349"/>
    <w:rsid w:val="001C434C"/>
    <w:rsid w:val="001C437A"/>
    <w:rsid w:val="001C446C"/>
    <w:rsid w:val="001C4496"/>
    <w:rsid w:val="001C449A"/>
    <w:rsid w:val="001C44C8"/>
    <w:rsid w:val="001C45A4"/>
    <w:rsid w:val="001C45CB"/>
    <w:rsid w:val="001C45E2"/>
    <w:rsid w:val="001C4607"/>
    <w:rsid w:val="001C4653"/>
    <w:rsid w:val="001C468A"/>
    <w:rsid w:val="001C468F"/>
    <w:rsid w:val="001C46B7"/>
    <w:rsid w:val="001C4709"/>
    <w:rsid w:val="001C4740"/>
    <w:rsid w:val="001C47D1"/>
    <w:rsid w:val="001C488E"/>
    <w:rsid w:val="001C48BE"/>
    <w:rsid w:val="001C4926"/>
    <w:rsid w:val="001C4949"/>
    <w:rsid w:val="001C495D"/>
    <w:rsid w:val="001C4978"/>
    <w:rsid w:val="001C4984"/>
    <w:rsid w:val="001C49C9"/>
    <w:rsid w:val="001C49FE"/>
    <w:rsid w:val="001C4AA8"/>
    <w:rsid w:val="001C4AFA"/>
    <w:rsid w:val="001C4B4E"/>
    <w:rsid w:val="001C4B79"/>
    <w:rsid w:val="001C4BB7"/>
    <w:rsid w:val="001C4BD3"/>
    <w:rsid w:val="001C4C30"/>
    <w:rsid w:val="001C4C4F"/>
    <w:rsid w:val="001C4CBE"/>
    <w:rsid w:val="001C4D54"/>
    <w:rsid w:val="001C4D56"/>
    <w:rsid w:val="001C4D92"/>
    <w:rsid w:val="001C4DA9"/>
    <w:rsid w:val="001C4E41"/>
    <w:rsid w:val="001C4ED3"/>
    <w:rsid w:val="001C4FD3"/>
    <w:rsid w:val="001C4FF7"/>
    <w:rsid w:val="001C5008"/>
    <w:rsid w:val="001C5092"/>
    <w:rsid w:val="001C50DD"/>
    <w:rsid w:val="001C50FF"/>
    <w:rsid w:val="001C5136"/>
    <w:rsid w:val="001C5157"/>
    <w:rsid w:val="001C52A9"/>
    <w:rsid w:val="001C52BB"/>
    <w:rsid w:val="001C534B"/>
    <w:rsid w:val="001C5376"/>
    <w:rsid w:val="001C53B6"/>
    <w:rsid w:val="001C53BB"/>
    <w:rsid w:val="001C53FC"/>
    <w:rsid w:val="001C547C"/>
    <w:rsid w:val="001C54DB"/>
    <w:rsid w:val="001C54EE"/>
    <w:rsid w:val="001C54F1"/>
    <w:rsid w:val="001C5502"/>
    <w:rsid w:val="001C5584"/>
    <w:rsid w:val="001C5587"/>
    <w:rsid w:val="001C55A2"/>
    <w:rsid w:val="001C5613"/>
    <w:rsid w:val="001C56D3"/>
    <w:rsid w:val="001C5737"/>
    <w:rsid w:val="001C573C"/>
    <w:rsid w:val="001C5740"/>
    <w:rsid w:val="001C5750"/>
    <w:rsid w:val="001C57D2"/>
    <w:rsid w:val="001C57E6"/>
    <w:rsid w:val="001C5855"/>
    <w:rsid w:val="001C58D8"/>
    <w:rsid w:val="001C58E3"/>
    <w:rsid w:val="001C5936"/>
    <w:rsid w:val="001C59A0"/>
    <w:rsid w:val="001C5A27"/>
    <w:rsid w:val="001C5A2C"/>
    <w:rsid w:val="001C5A44"/>
    <w:rsid w:val="001C5A9B"/>
    <w:rsid w:val="001C5B71"/>
    <w:rsid w:val="001C5B9A"/>
    <w:rsid w:val="001C5BCA"/>
    <w:rsid w:val="001C5C04"/>
    <w:rsid w:val="001C5C17"/>
    <w:rsid w:val="001C5C21"/>
    <w:rsid w:val="001C5C4E"/>
    <w:rsid w:val="001C5C71"/>
    <w:rsid w:val="001C5CA9"/>
    <w:rsid w:val="001C5CB2"/>
    <w:rsid w:val="001C5CBA"/>
    <w:rsid w:val="001C5CCC"/>
    <w:rsid w:val="001C5CF3"/>
    <w:rsid w:val="001C5D08"/>
    <w:rsid w:val="001C5D22"/>
    <w:rsid w:val="001C5D55"/>
    <w:rsid w:val="001C5E7D"/>
    <w:rsid w:val="001C5EA2"/>
    <w:rsid w:val="001C5EB3"/>
    <w:rsid w:val="001C5F8D"/>
    <w:rsid w:val="001C6049"/>
    <w:rsid w:val="001C60A6"/>
    <w:rsid w:val="001C60E5"/>
    <w:rsid w:val="001C6103"/>
    <w:rsid w:val="001C61B4"/>
    <w:rsid w:val="001C61B9"/>
    <w:rsid w:val="001C61ED"/>
    <w:rsid w:val="001C627F"/>
    <w:rsid w:val="001C62AA"/>
    <w:rsid w:val="001C6308"/>
    <w:rsid w:val="001C635D"/>
    <w:rsid w:val="001C6368"/>
    <w:rsid w:val="001C6369"/>
    <w:rsid w:val="001C63DC"/>
    <w:rsid w:val="001C6499"/>
    <w:rsid w:val="001C64AF"/>
    <w:rsid w:val="001C6530"/>
    <w:rsid w:val="001C6650"/>
    <w:rsid w:val="001C6695"/>
    <w:rsid w:val="001C66ED"/>
    <w:rsid w:val="001C6708"/>
    <w:rsid w:val="001C6789"/>
    <w:rsid w:val="001C685A"/>
    <w:rsid w:val="001C689D"/>
    <w:rsid w:val="001C68C4"/>
    <w:rsid w:val="001C68EE"/>
    <w:rsid w:val="001C6938"/>
    <w:rsid w:val="001C6978"/>
    <w:rsid w:val="001C69CC"/>
    <w:rsid w:val="001C69DD"/>
    <w:rsid w:val="001C69E1"/>
    <w:rsid w:val="001C6A33"/>
    <w:rsid w:val="001C6A8F"/>
    <w:rsid w:val="001C6AC2"/>
    <w:rsid w:val="001C6B8F"/>
    <w:rsid w:val="001C6BF0"/>
    <w:rsid w:val="001C6C13"/>
    <w:rsid w:val="001C6C75"/>
    <w:rsid w:val="001C6C8D"/>
    <w:rsid w:val="001C6CC5"/>
    <w:rsid w:val="001C6CE6"/>
    <w:rsid w:val="001C6D19"/>
    <w:rsid w:val="001C6E14"/>
    <w:rsid w:val="001C6E47"/>
    <w:rsid w:val="001C6E94"/>
    <w:rsid w:val="001C6E95"/>
    <w:rsid w:val="001C6EB7"/>
    <w:rsid w:val="001C6EEA"/>
    <w:rsid w:val="001C6F28"/>
    <w:rsid w:val="001C6F3C"/>
    <w:rsid w:val="001C6F8C"/>
    <w:rsid w:val="001C6FAA"/>
    <w:rsid w:val="001C6FCA"/>
    <w:rsid w:val="001C7058"/>
    <w:rsid w:val="001C70BC"/>
    <w:rsid w:val="001C7121"/>
    <w:rsid w:val="001C712D"/>
    <w:rsid w:val="001C7160"/>
    <w:rsid w:val="001C716C"/>
    <w:rsid w:val="001C71C2"/>
    <w:rsid w:val="001C723C"/>
    <w:rsid w:val="001C725E"/>
    <w:rsid w:val="001C7265"/>
    <w:rsid w:val="001C72D1"/>
    <w:rsid w:val="001C73A6"/>
    <w:rsid w:val="001C741F"/>
    <w:rsid w:val="001C744D"/>
    <w:rsid w:val="001C746B"/>
    <w:rsid w:val="001C74A8"/>
    <w:rsid w:val="001C74B1"/>
    <w:rsid w:val="001C74BB"/>
    <w:rsid w:val="001C74D7"/>
    <w:rsid w:val="001C7501"/>
    <w:rsid w:val="001C75BB"/>
    <w:rsid w:val="001C7648"/>
    <w:rsid w:val="001C7659"/>
    <w:rsid w:val="001C76BE"/>
    <w:rsid w:val="001C7772"/>
    <w:rsid w:val="001C777F"/>
    <w:rsid w:val="001C77EB"/>
    <w:rsid w:val="001C7878"/>
    <w:rsid w:val="001C7890"/>
    <w:rsid w:val="001C78A6"/>
    <w:rsid w:val="001C78EC"/>
    <w:rsid w:val="001C7954"/>
    <w:rsid w:val="001C7971"/>
    <w:rsid w:val="001C79EF"/>
    <w:rsid w:val="001C79F9"/>
    <w:rsid w:val="001C7A56"/>
    <w:rsid w:val="001C7ACA"/>
    <w:rsid w:val="001C7ACB"/>
    <w:rsid w:val="001C7AF8"/>
    <w:rsid w:val="001C7B0B"/>
    <w:rsid w:val="001C7B5F"/>
    <w:rsid w:val="001C7B8B"/>
    <w:rsid w:val="001C7C4A"/>
    <w:rsid w:val="001C7C65"/>
    <w:rsid w:val="001C7D23"/>
    <w:rsid w:val="001C7D4F"/>
    <w:rsid w:val="001C7DAE"/>
    <w:rsid w:val="001C7DFF"/>
    <w:rsid w:val="001C7E32"/>
    <w:rsid w:val="001C7E5D"/>
    <w:rsid w:val="001C7E78"/>
    <w:rsid w:val="001C7EB9"/>
    <w:rsid w:val="001C7FE3"/>
    <w:rsid w:val="001D00CB"/>
    <w:rsid w:val="001D0125"/>
    <w:rsid w:val="001D01CA"/>
    <w:rsid w:val="001D01D3"/>
    <w:rsid w:val="001D01E0"/>
    <w:rsid w:val="001D021B"/>
    <w:rsid w:val="001D0243"/>
    <w:rsid w:val="001D024A"/>
    <w:rsid w:val="001D0262"/>
    <w:rsid w:val="001D02C5"/>
    <w:rsid w:val="001D02D3"/>
    <w:rsid w:val="001D02F2"/>
    <w:rsid w:val="001D0300"/>
    <w:rsid w:val="001D033F"/>
    <w:rsid w:val="001D0340"/>
    <w:rsid w:val="001D0392"/>
    <w:rsid w:val="001D040C"/>
    <w:rsid w:val="001D05B7"/>
    <w:rsid w:val="001D0672"/>
    <w:rsid w:val="001D06A5"/>
    <w:rsid w:val="001D071A"/>
    <w:rsid w:val="001D07DC"/>
    <w:rsid w:val="001D0859"/>
    <w:rsid w:val="001D085F"/>
    <w:rsid w:val="001D0896"/>
    <w:rsid w:val="001D08FC"/>
    <w:rsid w:val="001D09FF"/>
    <w:rsid w:val="001D0A4D"/>
    <w:rsid w:val="001D0AC9"/>
    <w:rsid w:val="001D0B12"/>
    <w:rsid w:val="001D0B5A"/>
    <w:rsid w:val="001D0B6C"/>
    <w:rsid w:val="001D0BC3"/>
    <w:rsid w:val="001D0C69"/>
    <w:rsid w:val="001D0CA6"/>
    <w:rsid w:val="001D0DC8"/>
    <w:rsid w:val="001D0E0A"/>
    <w:rsid w:val="001D0E0B"/>
    <w:rsid w:val="001D0E10"/>
    <w:rsid w:val="001D0E27"/>
    <w:rsid w:val="001D0E40"/>
    <w:rsid w:val="001D0EE5"/>
    <w:rsid w:val="001D0EF4"/>
    <w:rsid w:val="001D0F30"/>
    <w:rsid w:val="001D0F35"/>
    <w:rsid w:val="001D0FAE"/>
    <w:rsid w:val="001D0FB7"/>
    <w:rsid w:val="001D0FF1"/>
    <w:rsid w:val="001D104E"/>
    <w:rsid w:val="001D105A"/>
    <w:rsid w:val="001D1077"/>
    <w:rsid w:val="001D1114"/>
    <w:rsid w:val="001D1120"/>
    <w:rsid w:val="001D116D"/>
    <w:rsid w:val="001D1172"/>
    <w:rsid w:val="001D11AE"/>
    <w:rsid w:val="001D11B8"/>
    <w:rsid w:val="001D11FB"/>
    <w:rsid w:val="001D123F"/>
    <w:rsid w:val="001D1287"/>
    <w:rsid w:val="001D12C5"/>
    <w:rsid w:val="001D12EB"/>
    <w:rsid w:val="001D1340"/>
    <w:rsid w:val="001D1399"/>
    <w:rsid w:val="001D13EC"/>
    <w:rsid w:val="001D1509"/>
    <w:rsid w:val="001D1567"/>
    <w:rsid w:val="001D15F2"/>
    <w:rsid w:val="001D1606"/>
    <w:rsid w:val="001D1636"/>
    <w:rsid w:val="001D1673"/>
    <w:rsid w:val="001D170C"/>
    <w:rsid w:val="001D1793"/>
    <w:rsid w:val="001D17BC"/>
    <w:rsid w:val="001D1845"/>
    <w:rsid w:val="001D18A6"/>
    <w:rsid w:val="001D18CD"/>
    <w:rsid w:val="001D1A34"/>
    <w:rsid w:val="001D1A3C"/>
    <w:rsid w:val="001D1A53"/>
    <w:rsid w:val="001D1AD4"/>
    <w:rsid w:val="001D1B15"/>
    <w:rsid w:val="001D1BC8"/>
    <w:rsid w:val="001D1C8D"/>
    <w:rsid w:val="001D1CD5"/>
    <w:rsid w:val="001D1CEE"/>
    <w:rsid w:val="001D1D4C"/>
    <w:rsid w:val="001D1D95"/>
    <w:rsid w:val="001D1DEB"/>
    <w:rsid w:val="001D1E61"/>
    <w:rsid w:val="001D1EC0"/>
    <w:rsid w:val="001D1F06"/>
    <w:rsid w:val="001D1F36"/>
    <w:rsid w:val="001D2041"/>
    <w:rsid w:val="001D207E"/>
    <w:rsid w:val="001D218F"/>
    <w:rsid w:val="001D21A2"/>
    <w:rsid w:val="001D21AC"/>
    <w:rsid w:val="001D21B2"/>
    <w:rsid w:val="001D223A"/>
    <w:rsid w:val="001D2242"/>
    <w:rsid w:val="001D226F"/>
    <w:rsid w:val="001D22B1"/>
    <w:rsid w:val="001D2307"/>
    <w:rsid w:val="001D2371"/>
    <w:rsid w:val="001D2399"/>
    <w:rsid w:val="001D23AA"/>
    <w:rsid w:val="001D23C1"/>
    <w:rsid w:val="001D23D2"/>
    <w:rsid w:val="001D2401"/>
    <w:rsid w:val="001D2407"/>
    <w:rsid w:val="001D2441"/>
    <w:rsid w:val="001D2449"/>
    <w:rsid w:val="001D24DD"/>
    <w:rsid w:val="001D24FA"/>
    <w:rsid w:val="001D256C"/>
    <w:rsid w:val="001D25B6"/>
    <w:rsid w:val="001D2605"/>
    <w:rsid w:val="001D264B"/>
    <w:rsid w:val="001D266F"/>
    <w:rsid w:val="001D269B"/>
    <w:rsid w:val="001D2734"/>
    <w:rsid w:val="001D28A2"/>
    <w:rsid w:val="001D28F6"/>
    <w:rsid w:val="001D28F8"/>
    <w:rsid w:val="001D29B8"/>
    <w:rsid w:val="001D29F3"/>
    <w:rsid w:val="001D2A36"/>
    <w:rsid w:val="001D2A9C"/>
    <w:rsid w:val="001D2BB1"/>
    <w:rsid w:val="001D2C23"/>
    <w:rsid w:val="001D2CB4"/>
    <w:rsid w:val="001D2CE7"/>
    <w:rsid w:val="001D2CFC"/>
    <w:rsid w:val="001D2D15"/>
    <w:rsid w:val="001D2D91"/>
    <w:rsid w:val="001D2DD8"/>
    <w:rsid w:val="001D2E35"/>
    <w:rsid w:val="001D2E46"/>
    <w:rsid w:val="001D2E5C"/>
    <w:rsid w:val="001D2EC7"/>
    <w:rsid w:val="001D2F3A"/>
    <w:rsid w:val="001D2F44"/>
    <w:rsid w:val="001D2FAC"/>
    <w:rsid w:val="001D2FCB"/>
    <w:rsid w:val="001D300B"/>
    <w:rsid w:val="001D3037"/>
    <w:rsid w:val="001D30E6"/>
    <w:rsid w:val="001D3111"/>
    <w:rsid w:val="001D3144"/>
    <w:rsid w:val="001D3191"/>
    <w:rsid w:val="001D31BD"/>
    <w:rsid w:val="001D321A"/>
    <w:rsid w:val="001D333E"/>
    <w:rsid w:val="001D3388"/>
    <w:rsid w:val="001D33AC"/>
    <w:rsid w:val="001D340A"/>
    <w:rsid w:val="001D3427"/>
    <w:rsid w:val="001D3430"/>
    <w:rsid w:val="001D3473"/>
    <w:rsid w:val="001D34C6"/>
    <w:rsid w:val="001D3664"/>
    <w:rsid w:val="001D36B3"/>
    <w:rsid w:val="001D36E8"/>
    <w:rsid w:val="001D3710"/>
    <w:rsid w:val="001D3719"/>
    <w:rsid w:val="001D3797"/>
    <w:rsid w:val="001D393E"/>
    <w:rsid w:val="001D3975"/>
    <w:rsid w:val="001D3A29"/>
    <w:rsid w:val="001D3A5A"/>
    <w:rsid w:val="001D3A85"/>
    <w:rsid w:val="001D3B08"/>
    <w:rsid w:val="001D3B33"/>
    <w:rsid w:val="001D3C19"/>
    <w:rsid w:val="001D3C4B"/>
    <w:rsid w:val="001D3C92"/>
    <w:rsid w:val="001D3D58"/>
    <w:rsid w:val="001D3D89"/>
    <w:rsid w:val="001D3DA9"/>
    <w:rsid w:val="001D3DB3"/>
    <w:rsid w:val="001D3E34"/>
    <w:rsid w:val="001D3E91"/>
    <w:rsid w:val="001D3ED3"/>
    <w:rsid w:val="001D3EEA"/>
    <w:rsid w:val="001D3F0C"/>
    <w:rsid w:val="001D3FBD"/>
    <w:rsid w:val="001D3FC6"/>
    <w:rsid w:val="001D4047"/>
    <w:rsid w:val="001D40AD"/>
    <w:rsid w:val="001D4107"/>
    <w:rsid w:val="001D4147"/>
    <w:rsid w:val="001D414E"/>
    <w:rsid w:val="001D415A"/>
    <w:rsid w:val="001D4173"/>
    <w:rsid w:val="001D41D7"/>
    <w:rsid w:val="001D41FA"/>
    <w:rsid w:val="001D421C"/>
    <w:rsid w:val="001D4224"/>
    <w:rsid w:val="001D4375"/>
    <w:rsid w:val="001D4383"/>
    <w:rsid w:val="001D43A4"/>
    <w:rsid w:val="001D43E7"/>
    <w:rsid w:val="001D4449"/>
    <w:rsid w:val="001D4502"/>
    <w:rsid w:val="001D459E"/>
    <w:rsid w:val="001D45BB"/>
    <w:rsid w:val="001D45DB"/>
    <w:rsid w:val="001D46CE"/>
    <w:rsid w:val="001D473B"/>
    <w:rsid w:val="001D475D"/>
    <w:rsid w:val="001D479F"/>
    <w:rsid w:val="001D4814"/>
    <w:rsid w:val="001D4852"/>
    <w:rsid w:val="001D48AF"/>
    <w:rsid w:val="001D48BC"/>
    <w:rsid w:val="001D493D"/>
    <w:rsid w:val="001D495E"/>
    <w:rsid w:val="001D4975"/>
    <w:rsid w:val="001D49A9"/>
    <w:rsid w:val="001D49B2"/>
    <w:rsid w:val="001D4A38"/>
    <w:rsid w:val="001D4AB1"/>
    <w:rsid w:val="001D4AD5"/>
    <w:rsid w:val="001D4B37"/>
    <w:rsid w:val="001D4B5D"/>
    <w:rsid w:val="001D4B6F"/>
    <w:rsid w:val="001D4B90"/>
    <w:rsid w:val="001D4C36"/>
    <w:rsid w:val="001D4D51"/>
    <w:rsid w:val="001D4E34"/>
    <w:rsid w:val="001D4E65"/>
    <w:rsid w:val="001D4EAA"/>
    <w:rsid w:val="001D4EF4"/>
    <w:rsid w:val="001D4F04"/>
    <w:rsid w:val="001D4F15"/>
    <w:rsid w:val="001D4F77"/>
    <w:rsid w:val="001D4F8C"/>
    <w:rsid w:val="001D4F93"/>
    <w:rsid w:val="001D5008"/>
    <w:rsid w:val="001D5022"/>
    <w:rsid w:val="001D50F2"/>
    <w:rsid w:val="001D5123"/>
    <w:rsid w:val="001D5215"/>
    <w:rsid w:val="001D5269"/>
    <w:rsid w:val="001D527E"/>
    <w:rsid w:val="001D52E7"/>
    <w:rsid w:val="001D530C"/>
    <w:rsid w:val="001D5312"/>
    <w:rsid w:val="001D53A8"/>
    <w:rsid w:val="001D53C5"/>
    <w:rsid w:val="001D53DA"/>
    <w:rsid w:val="001D541F"/>
    <w:rsid w:val="001D547E"/>
    <w:rsid w:val="001D54AE"/>
    <w:rsid w:val="001D54B8"/>
    <w:rsid w:val="001D5506"/>
    <w:rsid w:val="001D5554"/>
    <w:rsid w:val="001D5566"/>
    <w:rsid w:val="001D55D1"/>
    <w:rsid w:val="001D55FD"/>
    <w:rsid w:val="001D56AD"/>
    <w:rsid w:val="001D56DE"/>
    <w:rsid w:val="001D573F"/>
    <w:rsid w:val="001D5748"/>
    <w:rsid w:val="001D5785"/>
    <w:rsid w:val="001D57CC"/>
    <w:rsid w:val="001D5801"/>
    <w:rsid w:val="001D5859"/>
    <w:rsid w:val="001D5868"/>
    <w:rsid w:val="001D588B"/>
    <w:rsid w:val="001D58E8"/>
    <w:rsid w:val="001D59C4"/>
    <w:rsid w:val="001D5A63"/>
    <w:rsid w:val="001D5AE6"/>
    <w:rsid w:val="001D5D50"/>
    <w:rsid w:val="001D5D76"/>
    <w:rsid w:val="001D5DB3"/>
    <w:rsid w:val="001D5DE9"/>
    <w:rsid w:val="001D5E14"/>
    <w:rsid w:val="001D5E1D"/>
    <w:rsid w:val="001D5E7F"/>
    <w:rsid w:val="001D5E89"/>
    <w:rsid w:val="001D5E9C"/>
    <w:rsid w:val="001D5F62"/>
    <w:rsid w:val="001D5FDD"/>
    <w:rsid w:val="001D604F"/>
    <w:rsid w:val="001D60CB"/>
    <w:rsid w:val="001D61A5"/>
    <w:rsid w:val="001D61B1"/>
    <w:rsid w:val="001D61D3"/>
    <w:rsid w:val="001D6243"/>
    <w:rsid w:val="001D6250"/>
    <w:rsid w:val="001D627A"/>
    <w:rsid w:val="001D6291"/>
    <w:rsid w:val="001D6300"/>
    <w:rsid w:val="001D6302"/>
    <w:rsid w:val="001D634C"/>
    <w:rsid w:val="001D635E"/>
    <w:rsid w:val="001D63B7"/>
    <w:rsid w:val="001D641E"/>
    <w:rsid w:val="001D6483"/>
    <w:rsid w:val="001D6487"/>
    <w:rsid w:val="001D65B0"/>
    <w:rsid w:val="001D65D0"/>
    <w:rsid w:val="001D6666"/>
    <w:rsid w:val="001D66A1"/>
    <w:rsid w:val="001D66D7"/>
    <w:rsid w:val="001D674E"/>
    <w:rsid w:val="001D675A"/>
    <w:rsid w:val="001D6762"/>
    <w:rsid w:val="001D6770"/>
    <w:rsid w:val="001D6776"/>
    <w:rsid w:val="001D6866"/>
    <w:rsid w:val="001D6937"/>
    <w:rsid w:val="001D6958"/>
    <w:rsid w:val="001D6AC4"/>
    <w:rsid w:val="001D6B3B"/>
    <w:rsid w:val="001D6B3C"/>
    <w:rsid w:val="001D6B8A"/>
    <w:rsid w:val="001D6C5E"/>
    <w:rsid w:val="001D6D24"/>
    <w:rsid w:val="001D6DA4"/>
    <w:rsid w:val="001D6DAC"/>
    <w:rsid w:val="001D6E0A"/>
    <w:rsid w:val="001D6E0E"/>
    <w:rsid w:val="001D6E4E"/>
    <w:rsid w:val="001D6E72"/>
    <w:rsid w:val="001D6E7A"/>
    <w:rsid w:val="001D6EA3"/>
    <w:rsid w:val="001D6F1C"/>
    <w:rsid w:val="001D6F58"/>
    <w:rsid w:val="001D6FA5"/>
    <w:rsid w:val="001D6FDA"/>
    <w:rsid w:val="001D7040"/>
    <w:rsid w:val="001D704A"/>
    <w:rsid w:val="001D706D"/>
    <w:rsid w:val="001D7095"/>
    <w:rsid w:val="001D70E1"/>
    <w:rsid w:val="001D7166"/>
    <w:rsid w:val="001D7247"/>
    <w:rsid w:val="001D7267"/>
    <w:rsid w:val="001D7352"/>
    <w:rsid w:val="001D735B"/>
    <w:rsid w:val="001D7392"/>
    <w:rsid w:val="001D73BC"/>
    <w:rsid w:val="001D7402"/>
    <w:rsid w:val="001D749B"/>
    <w:rsid w:val="001D7506"/>
    <w:rsid w:val="001D7576"/>
    <w:rsid w:val="001D7579"/>
    <w:rsid w:val="001D75AA"/>
    <w:rsid w:val="001D75C8"/>
    <w:rsid w:val="001D7622"/>
    <w:rsid w:val="001D7675"/>
    <w:rsid w:val="001D76F9"/>
    <w:rsid w:val="001D7790"/>
    <w:rsid w:val="001D7806"/>
    <w:rsid w:val="001D78A4"/>
    <w:rsid w:val="001D78A6"/>
    <w:rsid w:val="001D78A7"/>
    <w:rsid w:val="001D790F"/>
    <w:rsid w:val="001D7935"/>
    <w:rsid w:val="001D7945"/>
    <w:rsid w:val="001D794A"/>
    <w:rsid w:val="001D7958"/>
    <w:rsid w:val="001D79CD"/>
    <w:rsid w:val="001D7B52"/>
    <w:rsid w:val="001D7BBF"/>
    <w:rsid w:val="001D7C46"/>
    <w:rsid w:val="001D7C4A"/>
    <w:rsid w:val="001D7C59"/>
    <w:rsid w:val="001D7CC6"/>
    <w:rsid w:val="001D7CE8"/>
    <w:rsid w:val="001D7D0A"/>
    <w:rsid w:val="001D7E5C"/>
    <w:rsid w:val="001D7EAA"/>
    <w:rsid w:val="001D7EEB"/>
    <w:rsid w:val="001D7F2F"/>
    <w:rsid w:val="001D7F5C"/>
    <w:rsid w:val="001D7F5F"/>
    <w:rsid w:val="001D7FDC"/>
    <w:rsid w:val="001D7FE0"/>
    <w:rsid w:val="001D7FF7"/>
    <w:rsid w:val="001E0018"/>
    <w:rsid w:val="001E0041"/>
    <w:rsid w:val="001E0044"/>
    <w:rsid w:val="001E0178"/>
    <w:rsid w:val="001E0198"/>
    <w:rsid w:val="001E0211"/>
    <w:rsid w:val="001E027D"/>
    <w:rsid w:val="001E0310"/>
    <w:rsid w:val="001E0355"/>
    <w:rsid w:val="001E035C"/>
    <w:rsid w:val="001E0410"/>
    <w:rsid w:val="001E0465"/>
    <w:rsid w:val="001E048E"/>
    <w:rsid w:val="001E04AC"/>
    <w:rsid w:val="001E055F"/>
    <w:rsid w:val="001E065E"/>
    <w:rsid w:val="001E06D0"/>
    <w:rsid w:val="001E06DA"/>
    <w:rsid w:val="001E0772"/>
    <w:rsid w:val="001E0774"/>
    <w:rsid w:val="001E07A6"/>
    <w:rsid w:val="001E07E1"/>
    <w:rsid w:val="001E0802"/>
    <w:rsid w:val="001E0880"/>
    <w:rsid w:val="001E0889"/>
    <w:rsid w:val="001E0891"/>
    <w:rsid w:val="001E089D"/>
    <w:rsid w:val="001E08A7"/>
    <w:rsid w:val="001E08E7"/>
    <w:rsid w:val="001E090F"/>
    <w:rsid w:val="001E093A"/>
    <w:rsid w:val="001E093C"/>
    <w:rsid w:val="001E09EB"/>
    <w:rsid w:val="001E09FC"/>
    <w:rsid w:val="001E0B41"/>
    <w:rsid w:val="001E0BD6"/>
    <w:rsid w:val="001E0BD7"/>
    <w:rsid w:val="001E0C0D"/>
    <w:rsid w:val="001E0C86"/>
    <w:rsid w:val="001E0E18"/>
    <w:rsid w:val="001E0E60"/>
    <w:rsid w:val="001E0EC2"/>
    <w:rsid w:val="001E0EEF"/>
    <w:rsid w:val="001E0F6E"/>
    <w:rsid w:val="001E1018"/>
    <w:rsid w:val="001E101F"/>
    <w:rsid w:val="001E107C"/>
    <w:rsid w:val="001E1109"/>
    <w:rsid w:val="001E112B"/>
    <w:rsid w:val="001E11F2"/>
    <w:rsid w:val="001E1237"/>
    <w:rsid w:val="001E125C"/>
    <w:rsid w:val="001E1280"/>
    <w:rsid w:val="001E1300"/>
    <w:rsid w:val="001E1399"/>
    <w:rsid w:val="001E1437"/>
    <w:rsid w:val="001E1464"/>
    <w:rsid w:val="001E14DA"/>
    <w:rsid w:val="001E15DC"/>
    <w:rsid w:val="001E1765"/>
    <w:rsid w:val="001E178D"/>
    <w:rsid w:val="001E179F"/>
    <w:rsid w:val="001E17DF"/>
    <w:rsid w:val="001E1853"/>
    <w:rsid w:val="001E1860"/>
    <w:rsid w:val="001E18A0"/>
    <w:rsid w:val="001E1906"/>
    <w:rsid w:val="001E1921"/>
    <w:rsid w:val="001E1985"/>
    <w:rsid w:val="001E198D"/>
    <w:rsid w:val="001E19A1"/>
    <w:rsid w:val="001E19FE"/>
    <w:rsid w:val="001E1A2A"/>
    <w:rsid w:val="001E1A5D"/>
    <w:rsid w:val="001E1A7A"/>
    <w:rsid w:val="001E1AA1"/>
    <w:rsid w:val="001E1ABD"/>
    <w:rsid w:val="001E1ACE"/>
    <w:rsid w:val="001E1AD1"/>
    <w:rsid w:val="001E1ADD"/>
    <w:rsid w:val="001E1B08"/>
    <w:rsid w:val="001E1B2A"/>
    <w:rsid w:val="001E1B3B"/>
    <w:rsid w:val="001E1B62"/>
    <w:rsid w:val="001E1BB8"/>
    <w:rsid w:val="001E1BF9"/>
    <w:rsid w:val="001E1C21"/>
    <w:rsid w:val="001E1C2F"/>
    <w:rsid w:val="001E1CAD"/>
    <w:rsid w:val="001E1CDC"/>
    <w:rsid w:val="001E1CEF"/>
    <w:rsid w:val="001E1CF4"/>
    <w:rsid w:val="001E1D12"/>
    <w:rsid w:val="001E1D5A"/>
    <w:rsid w:val="001E1DBA"/>
    <w:rsid w:val="001E1E3D"/>
    <w:rsid w:val="001E1E73"/>
    <w:rsid w:val="001E1E8F"/>
    <w:rsid w:val="001E1EF4"/>
    <w:rsid w:val="001E1EFC"/>
    <w:rsid w:val="001E1F20"/>
    <w:rsid w:val="001E1F26"/>
    <w:rsid w:val="001E1FE8"/>
    <w:rsid w:val="001E2038"/>
    <w:rsid w:val="001E203E"/>
    <w:rsid w:val="001E2057"/>
    <w:rsid w:val="001E20A3"/>
    <w:rsid w:val="001E20A7"/>
    <w:rsid w:val="001E20B0"/>
    <w:rsid w:val="001E20F3"/>
    <w:rsid w:val="001E2100"/>
    <w:rsid w:val="001E210E"/>
    <w:rsid w:val="001E2128"/>
    <w:rsid w:val="001E213D"/>
    <w:rsid w:val="001E214A"/>
    <w:rsid w:val="001E2170"/>
    <w:rsid w:val="001E21A2"/>
    <w:rsid w:val="001E2382"/>
    <w:rsid w:val="001E238F"/>
    <w:rsid w:val="001E2395"/>
    <w:rsid w:val="001E23E1"/>
    <w:rsid w:val="001E242C"/>
    <w:rsid w:val="001E24F5"/>
    <w:rsid w:val="001E25B7"/>
    <w:rsid w:val="001E261A"/>
    <w:rsid w:val="001E261C"/>
    <w:rsid w:val="001E26A7"/>
    <w:rsid w:val="001E2732"/>
    <w:rsid w:val="001E274F"/>
    <w:rsid w:val="001E2837"/>
    <w:rsid w:val="001E2875"/>
    <w:rsid w:val="001E287A"/>
    <w:rsid w:val="001E287E"/>
    <w:rsid w:val="001E293A"/>
    <w:rsid w:val="001E29A0"/>
    <w:rsid w:val="001E2A04"/>
    <w:rsid w:val="001E2A32"/>
    <w:rsid w:val="001E2ACB"/>
    <w:rsid w:val="001E2B07"/>
    <w:rsid w:val="001E2B57"/>
    <w:rsid w:val="001E2B71"/>
    <w:rsid w:val="001E2B8B"/>
    <w:rsid w:val="001E2BEC"/>
    <w:rsid w:val="001E2C0E"/>
    <w:rsid w:val="001E2C5E"/>
    <w:rsid w:val="001E2C8E"/>
    <w:rsid w:val="001E2CE1"/>
    <w:rsid w:val="001E2DB9"/>
    <w:rsid w:val="001E2DFB"/>
    <w:rsid w:val="001E2EAA"/>
    <w:rsid w:val="001E2EAB"/>
    <w:rsid w:val="001E2EC8"/>
    <w:rsid w:val="001E2F53"/>
    <w:rsid w:val="001E2F5E"/>
    <w:rsid w:val="001E2F8B"/>
    <w:rsid w:val="001E2FA6"/>
    <w:rsid w:val="001E2FAA"/>
    <w:rsid w:val="001E3056"/>
    <w:rsid w:val="001E305A"/>
    <w:rsid w:val="001E3090"/>
    <w:rsid w:val="001E30D9"/>
    <w:rsid w:val="001E30FF"/>
    <w:rsid w:val="001E3139"/>
    <w:rsid w:val="001E31E9"/>
    <w:rsid w:val="001E32EA"/>
    <w:rsid w:val="001E33C2"/>
    <w:rsid w:val="001E34D1"/>
    <w:rsid w:val="001E3512"/>
    <w:rsid w:val="001E3520"/>
    <w:rsid w:val="001E352B"/>
    <w:rsid w:val="001E357D"/>
    <w:rsid w:val="001E35DE"/>
    <w:rsid w:val="001E35E5"/>
    <w:rsid w:val="001E36AA"/>
    <w:rsid w:val="001E373F"/>
    <w:rsid w:val="001E37E9"/>
    <w:rsid w:val="001E380E"/>
    <w:rsid w:val="001E383D"/>
    <w:rsid w:val="001E39BD"/>
    <w:rsid w:val="001E3A21"/>
    <w:rsid w:val="001E3A2F"/>
    <w:rsid w:val="001E3A71"/>
    <w:rsid w:val="001E3AA0"/>
    <w:rsid w:val="001E3B67"/>
    <w:rsid w:val="001E3B77"/>
    <w:rsid w:val="001E3BDA"/>
    <w:rsid w:val="001E3BF0"/>
    <w:rsid w:val="001E3D3B"/>
    <w:rsid w:val="001E3D6D"/>
    <w:rsid w:val="001E3DA5"/>
    <w:rsid w:val="001E3DBD"/>
    <w:rsid w:val="001E3E00"/>
    <w:rsid w:val="001E3E18"/>
    <w:rsid w:val="001E3E9E"/>
    <w:rsid w:val="001E3EC9"/>
    <w:rsid w:val="001E3EED"/>
    <w:rsid w:val="001E3F3D"/>
    <w:rsid w:val="001E3F83"/>
    <w:rsid w:val="001E3FD6"/>
    <w:rsid w:val="001E4038"/>
    <w:rsid w:val="001E403F"/>
    <w:rsid w:val="001E40D1"/>
    <w:rsid w:val="001E4113"/>
    <w:rsid w:val="001E41E4"/>
    <w:rsid w:val="001E4220"/>
    <w:rsid w:val="001E424B"/>
    <w:rsid w:val="001E424C"/>
    <w:rsid w:val="001E429A"/>
    <w:rsid w:val="001E42EB"/>
    <w:rsid w:val="001E4308"/>
    <w:rsid w:val="001E432B"/>
    <w:rsid w:val="001E4354"/>
    <w:rsid w:val="001E446D"/>
    <w:rsid w:val="001E449A"/>
    <w:rsid w:val="001E459B"/>
    <w:rsid w:val="001E4618"/>
    <w:rsid w:val="001E476A"/>
    <w:rsid w:val="001E489C"/>
    <w:rsid w:val="001E4906"/>
    <w:rsid w:val="001E49D0"/>
    <w:rsid w:val="001E4A1F"/>
    <w:rsid w:val="001E4A53"/>
    <w:rsid w:val="001E4A69"/>
    <w:rsid w:val="001E4ABA"/>
    <w:rsid w:val="001E4AC3"/>
    <w:rsid w:val="001E4B07"/>
    <w:rsid w:val="001E4B98"/>
    <w:rsid w:val="001E4BE5"/>
    <w:rsid w:val="001E4C0E"/>
    <w:rsid w:val="001E4C14"/>
    <w:rsid w:val="001E4C79"/>
    <w:rsid w:val="001E4CB8"/>
    <w:rsid w:val="001E4CCD"/>
    <w:rsid w:val="001E4D2A"/>
    <w:rsid w:val="001E4E3C"/>
    <w:rsid w:val="001E4E8E"/>
    <w:rsid w:val="001E4EE3"/>
    <w:rsid w:val="001E4F43"/>
    <w:rsid w:val="001E4F71"/>
    <w:rsid w:val="001E4F96"/>
    <w:rsid w:val="001E4F99"/>
    <w:rsid w:val="001E4FE0"/>
    <w:rsid w:val="001E50CC"/>
    <w:rsid w:val="001E5108"/>
    <w:rsid w:val="001E517C"/>
    <w:rsid w:val="001E520B"/>
    <w:rsid w:val="001E5224"/>
    <w:rsid w:val="001E52C8"/>
    <w:rsid w:val="001E5335"/>
    <w:rsid w:val="001E54D6"/>
    <w:rsid w:val="001E550B"/>
    <w:rsid w:val="001E5526"/>
    <w:rsid w:val="001E5569"/>
    <w:rsid w:val="001E5581"/>
    <w:rsid w:val="001E55F8"/>
    <w:rsid w:val="001E5615"/>
    <w:rsid w:val="001E56EE"/>
    <w:rsid w:val="001E56EF"/>
    <w:rsid w:val="001E5707"/>
    <w:rsid w:val="001E5810"/>
    <w:rsid w:val="001E5825"/>
    <w:rsid w:val="001E5828"/>
    <w:rsid w:val="001E582E"/>
    <w:rsid w:val="001E587B"/>
    <w:rsid w:val="001E589E"/>
    <w:rsid w:val="001E5944"/>
    <w:rsid w:val="001E5980"/>
    <w:rsid w:val="001E59F3"/>
    <w:rsid w:val="001E5A4E"/>
    <w:rsid w:val="001E5A88"/>
    <w:rsid w:val="001E5AA4"/>
    <w:rsid w:val="001E5BDC"/>
    <w:rsid w:val="001E5BFB"/>
    <w:rsid w:val="001E5C38"/>
    <w:rsid w:val="001E5C7B"/>
    <w:rsid w:val="001E5CCA"/>
    <w:rsid w:val="001E5D68"/>
    <w:rsid w:val="001E5D7F"/>
    <w:rsid w:val="001E5DC7"/>
    <w:rsid w:val="001E5DCE"/>
    <w:rsid w:val="001E5E86"/>
    <w:rsid w:val="001E5E98"/>
    <w:rsid w:val="001E5E99"/>
    <w:rsid w:val="001E5ECF"/>
    <w:rsid w:val="001E5EDE"/>
    <w:rsid w:val="001E5F58"/>
    <w:rsid w:val="001E5FE1"/>
    <w:rsid w:val="001E6031"/>
    <w:rsid w:val="001E60BD"/>
    <w:rsid w:val="001E6179"/>
    <w:rsid w:val="001E617E"/>
    <w:rsid w:val="001E61F4"/>
    <w:rsid w:val="001E6273"/>
    <w:rsid w:val="001E631F"/>
    <w:rsid w:val="001E632F"/>
    <w:rsid w:val="001E6355"/>
    <w:rsid w:val="001E63A5"/>
    <w:rsid w:val="001E640F"/>
    <w:rsid w:val="001E6431"/>
    <w:rsid w:val="001E643F"/>
    <w:rsid w:val="001E6487"/>
    <w:rsid w:val="001E64BD"/>
    <w:rsid w:val="001E65B9"/>
    <w:rsid w:val="001E6633"/>
    <w:rsid w:val="001E665E"/>
    <w:rsid w:val="001E6667"/>
    <w:rsid w:val="001E6695"/>
    <w:rsid w:val="001E6697"/>
    <w:rsid w:val="001E6699"/>
    <w:rsid w:val="001E6740"/>
    <w:rsid w:val="001E6743"/>
    <w:rsid w:val="001E679C"/>
    <w:rsid w:val="001E682C"/>
    <w:rsid w:val="001E6871"/>
    <w:rsid w:val="001E68B7"/>
    <w:rsid w:val="001E68D4"/>
    <w:rsid w:val="001E6930"/>
    <w:rsid w:val="001E69C4"/>
    <w:rsid w:val="001E69C7"/>
    <w:rsid w:val="001E69FC"/>
    <w:rsid w:val="001E6AA9"/>
    <w:rsid w:val="001E6AEB"/>
    <w:rsid w:val="001E6B26"/>
    <w:rsid w:val="001E6B3A"/>
    <w:rsid w:val="001E6B55"/>
    <w:rsid w:val="001E6B6E"/>
    <w:rsid w:val="001E6B92"/>
    <w:rsid w:val="001E6C1F"/>
    <w:rsid w:val="001E6C3D"/>
    <w:rsid w:val="001E6C9C"/>
    <w:rsid w:val="001E6D6E"/>
    <w:rsid w:val="001E6DB8"/>
    <w:rsid w:val="001E6E11"/>
    <w:rsid w:val="001E6E36"/>
    <w:rsid w:val="001E6E4B"/>
    <w:rsid w:val="001E6E80"/>
    <w:rsid w:val="001E6EB2"/>
    <w:rsid w:val="001E6EB8"/>
    <w:rsid w:val="001E6EED"/>
    <w:rsid w:val="001E6F20"/>
    <w:rsid w:val="001E6F23"/>
    <w:rsid w:val="001E6F98"/>
    <w:rsid w:val="001E7008"/>
    <w:rsid w:val="001E7029"/>
    <w:rsid w:val="001E7057"/>
    <w:rsid w:val="001E7197"/>
    <w:rsid w:val="001E71E0"/>
    <w:rsid w:val="001E720C"/>
    <w:rsid w:val="001E728B"/>
    <w:rsid w:val="001E7298"/>
    <w:rsid w:val="001E7304"/>
    <w:rsid w:val="001E740E"/>
    <w:rsid w:val="001E745F"/>
    <w:rsid w:val="001E749D"/>
    <w:rsid w:val="001E74BC"/>
    <w:rsid w:val="001E74E1"/>
    <w:rsid w:val="001E7570"/>
    <w:rsid w:val="001E759F"/>
    <w:rsid w:val="001E75D0"/>
    <w:rsid w:val="001E7608"/>
    <w:rsid w:val="001E7614"/>
    <w:rsid w:val="001E7661"/>
    <w:rsid w:val="001E76D1"/>
    <w:rsid w:val="001E76E2"/>
    <w:rsid w:val="001E772D"/>
    <w:rsid w:val="001E775F"/>
    <w:rsid w:val="001E777E"/>
    <w:rsid w:val="001E78CE"/>
    <w:rsid w:val="001E7904"/>
    <w:rsid w:val="001E7944"/>
    <w:rsid w:val="001E79F1"/>
    <w:rsid w:val="001E7A04"/>
    <w:rsid w:val="001E7A10"/>
    <w:rsid w:val="001E7A32"/>
    <w:rsid w:val="001E7A68"/>
    <w:rsid w:val="001E7AA2"/>
    <w:rsid w:val="001E7AFD"/>
    <w:rsid w:val="001E7B36"/>
    <w:rsid w:val="001E7BC0"/>
    <w:rsid w:val="001E7C07"/>
    <w:rsid w:val="001E7C26"/>
    <w:rsid w:val="001E7C5A"/>
    <w:rsid w:val="001E7CF0"/>
    <w:rsid w:val="001E7CFC"/>
    <w:rsid w:val="001E7DA6"/>
    <w:rsid w:val="001E7DCD"/>
    <w:rsid w:val="001E7DFA"/>
    <w:rsid w:val="001E7E29"/>
    <w:rsid w:val="001E7EDC"/>
    <w:rsid w:val="001E7FA4"/>
    <w:rsid w:val="001E7FB7"/>
    <w:rsid w:val="001F002B"/>
    <w:rsid w:val="001F00E0"/>
    <w:rsid w:val="001F00E5"/>
    <w:rsid w:val="001F00F4"/>
    <w:rsid w:val="001F0104"/>
    <w:rsid w:val="001F0115"/>
    <w:rsid w:val="001F0127"/>
    <w:rsid w:val="001F0156"/>
    <w:rsid w:val="001F01E6"/>
    <w:rsid w:val="001F01F9"/>
    <w:rsid w:val="001F0284"/>
    <w:rsid w:val="001F030C"/>
    <w:rsid w:val="001F039A"/>
    <w:rsid w:val="001F03A2"/>
    <w:rsid w:val="001F03A3"/>
    <w:rsid w:val="001F03B7"/>
    <w:rsid w:val="001F03BC"/>
    <w:rsid w:val="001F0481"/>
    <w:rsid w:val="001F04A4"/>
    <w:rsid w:val="001F04FF"/>
    <w:rsid w:val="001F05AE"/>
    <w:rsid w:val="001F05E3"/>
    <w:rsid w:val="001F0600"/>
    <w:rsid w:val="001F065E"/>
    <w:rsid w:val="001F070D"/>
    <w:rsid w:val="001F0731"/>
    <w:rsid w:val="001F078B"/>
    <w:rsid w:val="001F07A2"/>
    <w:rsid w:val="001F086E"/>
    <w:rsid w:val="001F0979"/>
    <w:rsid w:val="001F09A8"/>
    <w:rsid w:val="001F09AA"/>
    <w:rsid w:val="001F09DC"/>
    <w:rsid w:val="001F0A52"/>
    <w:rsid w:val="001F0B00"/>
    <w:rsid w:val="001F0B2F"/>
    <w:rsid w:val="001F0C2E"/>
    <w:rsid w:val="001F0C47"/>
    <w:rsid w:val="001F0C67"/>
    <w:rsid w:val="001F0C91"/>
    <w:rsid w:val="001F0D04"/>
    <w:rsid w:val="001F0DE0"/>
    <w:rsid w:val="001F0E01"/>
    <w:rsid w:val="001F0E5E"/>
    <w:rsid w:val="001F0E76"/>
    <w:rsid w:val="001F0E93"/>
    <w:rsid w:val="001F0F2A"/>
    <w:rsid w:val="001F0F65"/>
    <w:rsid w:val="001F1024"/>
    <w:rsid w:val="001F107F"/>
    <w:rsid w:val="001F10F1"/>
    <w:rsid w:val="001F1123"/>
    <w:rsid w:val="001F113A"/>
    <w:rsid w:val="001F1144"/>
    <w:rsid w:val="001F11C4"/>
    <w:rsid w:val="001F11F4"/>
    <w:rsid w:val="001F1218"/>
    <w:rsid w:val="001F1285"/>
    <w:rsid w:val="001F135F"/>
    <w:rsid w:val="001F1375"/>
    <w:rsid w:val="001F13B4"/>
    <w:rsid w:val="001F13F0"/>
    <w:rsid w:val="001F1497"/>
    <w:rsid w:val="001F14D7"/>
    <w:rsid w:val="001F154E"/>
    <w:rsid w:val="001F15B4"/>
    <w:rsid w:val="001F15BD"/>
    <w:rsid w:val="001F15EB"/>
    <w:rsid w:val="001F15EC"/>
    <w:rsid w:val="001F1603"/>
    <w:rsid w:val="001F1661"/>
    <w:rsid w:val="001F16BD"/>
    <w:rsid w:val="001F16F8"/>
    <w:rsid w:val="001F1725"/>
    <w:rsid w:val="001F176D"/>
    <w:rsid w:val="001F177C"/>
    <w:rsid w:val="001F1782"/>
    <w:rsid w:val="001F1793"/>
    <w:rsid w:val="001F17FC"/>
    <w:rsid w:val="001F18B4"/>
    <w:rsid w:val="001F191C"/>
    <w:rsid w:val="001F191E"/>
    <w:rsid w:val="001F1969"/>
    <w:rsid w:val="001F197E"/>
    <w:rsid w:val="001F19C4"/>
    <w:rsid w:val="001F19D5"/>
    <w:rsid w:val="001F19FB"/>
    <w:rsid w:val="001F1A13"/>
    <w:rsid w:val="001F1A7A"/>
    <w:rsid w:val="001F1B19"/>
    <w:rsid w:val="001F1B1F"/>
    <w:rsid w:val="001F1B7A"/>
    <w:rsid w:val="001F1B9F"/>
    <w:rsid w:val="001F1BB8"/>
    <w:rsid w:val="001F1BDE"/>
    <w:rsid w:val="001F1D5A"/>
    <w:rsid w:val="001F1E28"/>
    <w:rsid w:val="001F1E69"/>
    <w:rsid w:val="001F1F1C"/>
    <w:rsid w:val="001F1F86"/>
    <w:rsid w:val="001F1FB5"/>
    <w:rsid w:val="001F1FC6"/>
    <w:rsid w:val="001F2010"/>
    <w:rsid w:val="001F202C"/>
    <w:rsid w:val="001F207D"/>
    <w:rsid w:val="001F2080"/>
    <w:rsid w:val="001F20E4"/>
    <w:rsid w:val="001F216A"/>
    <w:rsid w:val="001F220D"/>
    <w:rsid w:val="001F2210"/>
    <w:rsid w:val="001F2226"/>
    <w:rsid w:val="001F22A9"/>
    <w:rsid w:val="001F22C1"/>
    <w:rsid w:val="001F2477"/>
    <w:rsid w:val="001F24D1"/>
    <w:rsid w:val="001F254C"/>
    <w:rsid w:val="001F2550"/>
    <w:rsid w:val="001F25A1"/>
    <w:rsid w:val="001F25E1"/>
    <w:rsid w:val="001F2600"/>
    <w:rsid w:val="001F2646"/>
    <w:rsid w:val="001F266C"/>
    <w:rsid w:val="001F282D"/>
    <w:rsid w:val="001F2834"/>
    <w:rsid w:val="001F2863"/>
    <w:rsid w:val="001F286E"/>
    <w:rsid w:val="001F2876"/>
    <w:rsid w:val="001F28B5"/>
    <w:rsid w:val="001F28E8"/>
    <w:rsid w:val="001F2955"/>
    <w:rsid w:val="001F2957"/>
    <w:rsid w:val="001F2987"/>
    <w:rsid w:val="001F29A7"/>
    <w:rsid w:val="001F2A5A"/>
    <w:rsid w:val="001F2A8D"/>
    <w:rsid w:val="001F2B0B"/>
    <w:rsid w:val="001F2B1D"/>
    <w:rsid w:val="001F2B68"/>
    <w:rsid w:val="001F2BA6"/>
    <w:rsid w:val="001F2BA9"/>
    <w:rsid w:val="001F2BDD"/>
    <w:rsid w:val="001F2BE6"/>
    <w:rsid w:val="001F2C14"/>
    <w:rsid w:val="001F2C63"/>
    <w:rsid w:val="001F2D36"/>
    <w:rsid w:val="001F2D39"/>
    <w:rsid w:val="001F2D73"/>
    <w:rsid w:val="001F2DA6"/>
    <w:rsid w:val="001F2DCA"/>
    <w:rsid w:val="001F2E45"/>
    <w:rsid w:val="001F2E5A"/>
    <w:rsid w:val="001F2EA2"/>
    <w:rsid w:val="001F2EBF"/>
    <w:rsid w:val="001F2ED0"/>
    <w:rsid w:val="001F2EED"/>
    <w:rsid w:val="001F2F04"/>
    <w:rsid w:val="001F2F1A"/>
    <w:rsid w:val="001F2F44"/>
    <w:rsid w:val="001F2FB4"/>
    <w:rsid w:val="001F2FD8"/>
    <w:rsid w:val="001F3077"/>
    <w:rsid w:val="001F309B"/>
    <w:rsid w:val="001F311E"/>
    <w:rsid w:val="001F317D"/>
    <w:rsid w:val="001F3182"/>
    <w:rsid w:val="001F31AB"/>
    <w:rsid w:val="001F31BB"/>
    <w:rsid w:val="001F32D7"/>
    <w:rsid w:val="001F32EA"/>
    <w:rsid w:val="001F3324"/>
    <w:rsid w:val="001F3352"/>
    <w:rsid w:val="001F3392"/>
    <w:rsid w:val="001F33A5"/>
    <w:rsid w:val="001F33D4"/>
    <w:rsid w:val="001F3417"/>
    <w:rsid w:val="001F3445"/>
    <w:rsid w:val="001F3446"/>
    <w:rsid w:val="001F3464"/>
    <w:rsid w:val="001F3487"/>
    <w:rsid w:val="001F3498"/>
    <w:rsid w:val="001F351E"/>
    <w:rsid w:val="001F3531"/>
    <w:rsid w:val="001F35BE"/>
    <w:rsid w:val="001F35E4"/>
    <w:rsid w:val="001F36BB"/>
    <w:rsid w:val="001F36DF"/>
    <w:rsid w:val="001F370F"/>
    <w:rsid w:val="001F371B"/>
    <w:rsid w:val="001F3750"/>
    <w:rsid w:val="001F37F1"/>
    <w:rsid w:val="001F3800"/>
    <w:rsid w:val="001F380B"/>
    <w:rsid w:val="001F3841"/>
    <w:rsid w:val="001F3872"/>
    <w:rsid w:val="001F38B7"/>
    <w:rsid w:val="001F38ED"/>
    <w:rsid w:val="001F3954"/>
    <w:rsid w:val="001F39CC"/>
    <w:rsid w:val="001F3A18"/>
    <w:rsid w:val="001F3A2E"/>
    <w:rsid w:val="001F3AE6"/>
    <w:rsid w:val="001F3B76"/>
    <w:rsid w:val="001F3BBE"/>
    <w:rsid w:val="001F3BD7"/>
    <w:rsid w:val="001F3C6B"/>
    <w:rsid w:val="001F3CAE"/>
    <w:rsid w:val="001F3D0D"/>
    <w:rsid w:val="001F3D28"/>
    <w:rsid w:val="001F3D4D"/>
    <w:rsid w:val="001F3D90"/>
    <w:rsid w:val="001F3D9D"/>
    <w:rsid w:val="001F3FB9"/>
    <w:rsid w:val="001F4021"/>
    <w:rsid w:val="001F4024"/>
    <w:rsid w:val="001F4084"/>
    <w:rsid w:val="001F40AC"/>
    <w:rsid w:val="001F40BF"/>
    <w:rsid w:val="001F416B"/>
    <w:rsid w:val="001F4185"/>
    <w:rsid w:val="001F421C"/>
    <w:rsid w:val="001F4227"/>
    <w:rsid w:val="001F422D"/>
    <w:rsid w:val="001F427E"/>
    <w:rsid w:val="001F42BD"/>
    <w:rsid w:val="001F42E4"/>
    <w:rsid w:val="001F43F2"/>
    <w:rsid w:val="001F440F"/>
    <w:rsid w:val="001F4464"/>
    <w:rsid w:val="001F44DF"/>
    <w:rsid w:val="001F4534"/>
    <w:rsid w:val="001F4633"/>
    <w:rsid w:val="001F4655"/>
    <w:rsid w:val="001F4661"/>
    <w:rsid w:val="001F482E"/>
    <w:rsid w:val="001F48B5"/>
    <w:rsid w:val="001F48BE"/>
    <w:rsid w:val="001F48D2"/>
    <w:rsid w:val="001F490D"/>
    <w:rsid w:val="001F4913"/>
    <w:rsid w:val="001F49B7"/>
    <w:rsid w:val="001F4A27"/>
    <w:rsid w:val="001F4A7E"/>
    <w:rsid w:val="001F4AA1"/>
    <w:rsid w:val="001F4AC9"/>
    <w:rsid w:val="001F4AFA"/>
    <w:rsid w:val="001F4BF9"/>
    <w:rsid w:val="001F4C87"/>
    <w:rsid w:val="001F4C8E"/>
    <w:rsid w:val="001F4C96"/>
    <w:rsid w:val="001F4CEF"/>
    <w:rsid w:val="001F4CFA"/>
    <w:rsid w:val="001F4D3D"/>
    <w:rsid w:val="001F4DD0"/>
    <w:rsid w:val="001F502F"/>
    <w:rsid w:val="001F5047"/>
    <w:rsid w:val="001F50FA"/>
    <w:rsid w:val="001F50FD"/>
    <w:rsid w:val="001F5115"/>
    <w:rsid w:val="001F511F"/>
    <w:rsid w:val="001F5127"/>
    <w:rsid w:val="001F5145"/>
    <w:rsid w:val="001F5164"/>
    <w:rsid w:val="001F51DB"/>
    <w:rsid w:val="001F5210"/>
    <w:rsid w:val="001F526E"/>
    <w:rsid w:val="001F52F6"/>
    <w:rsid w:val="001F5390"/>
    <w:rsid w:val="001F53DC"/>
    <w:rsid w:val="001F5400"/>
    <w:rsid w:val="001F544C"/>
    <w:rsid w:val="001F5492"/>
    <w:rsid w:val="001F552C"/>
    <w:rsid w:val="001F5534"/>
    <w:rsid w:val="001F5557"/>
    <w:rsid w:val="001F5576"/>
    <w:rsid w:val="001F55AA"/>
    <w:rsid w:val="001F5610"/>
    <w:rsid w:val="001F5617"/>
    <w:rsid w:val="001F5702"/>
    <w:rsid w:val="001F57A0"/>
    <w:rsid w:val="001F57B2"/>
    <w:rsid w:val="001F5891"/>
    <w:rsid w:val="001F58C8"/>
    <w:rsid w:val="001F59CE"/>
    <w:rsid w:val="001F5A74"/>
    <w:rsid w:val="001F5AA7"/>
    <w:rsid w:val="001F5B0A"/>
    <w:rsid w:val="001F5B39"/>
    <w:rsid w:val="001F5BA9"/>
    <w:rsid w:val="001F5BDC"/>
    <w:rsid w:val="001F5C08"/>
    <w:rsid w:val="001F5C80"/>
    <w:rsid w:val="001F5CCB"/>
    <w:rsid w:val="001F5E49"/>
    <w:rsid w:val="001F5E9B"/>
    <w:rsid w:val="001F5F1B"/>
    <w:rsid w:val="001F5F4F"/>
    <w:rsid w:val="001F5F9C"/>
    <w:rsid w:val="001F5FBC"/>
    <w:rsid w:val="001F600A"/>
    <w:rsid w:val="001F600C"/>
    <w:rsid w:val="001F6071"/>
    <w:rsid w:val="001F6090"/>
    <w:rsid w:val="001F60C1"/>
    <w:rsid w:val="001F6143"/>
    <w:rsid w:val="001F6191"/>
    <w:rsid w:val="001F61EA"/>
    <w:rsid w:val="001F621E"/>
    <w:rsid w:val="001F6221"/>
    <w:rsid w:val="001F638F"/>
    <w:rsid w:val="001F63B2"/>
    <w:rsid w:val="001F63EF"/>
    <w:rsid w:val="001F64CC"/>
    <w:rsid w:val="001F64D9"/>
    <w:rsid w:val="001F64F6"/>
    <w:rsid w:val="001F6666"/>
    <w:rsid w:val="001F6670"/>
    <w:rsid w:val="001F668A"/>
    <w:rsid w:val="001F66A2"/>
    <w:rsid w:val="001F66B9"/>
    <w:rsid w:val="001F6715"/>
    <w:rsid w:val="001F6805"/>
    <w:rsid w:val="001F681B"/>
    <w:rsid w:val="001F687A"/>
    <w:rsid w:val="001F68BA"/>
    <w:rsid w:val="001F68D6"/>
    <w:rsid w:val="001F6933"/>
    <w:rsid w:val="001F69BA"/>
    <w:rsid w:val="001F6A01"/>
    <w:rsid w:val="001F6A79"/>
    <w:rsid w:val="001F6A92"/>
    <w:rsid w:val="001F6AEC"/>
    <w:rsid w:val="001F6B25"/>
    <w:rsid w:val="001F6BDD"/>
    <w:rsid w:val="001F6C5D"/>
    <w:rsid w:val="001F6C9C"/>
    <w:rsid w:val="001F6D26"/>
    <w:rsid w:val="001F6DAD"/>
    <w:rsid w:val="001F6DF9"/>
    <w:rsid w:val="001F6E54"/>
    <w:rsid w:val="001F6EAE"/>
    <w:rsid w:val="001F6EF9"/>
    <w:rsid w:val="001F6EFF"/>
    <w:rsid w:val="001F6F13"/>
    <w:rsid w:val="001F6F6E"/>
    <w:rsid w:val="001F6FF4"/>
    <w:rsid w:val="001F70C8"/>
    <w:rsid w:val="001F711C"/>
    <w:rsid w:val="001F7142"/>
    <w:rsid w:val="001F71A2"/>
    <w:rsid w:val="001F7215"/>
    <w:rsid w:val="001F7219"/>
    <w:rsid w:val="001F723E"/>
    <w:rsid w:val="001F7272"/>
    <w:rsid w:val="001F72B7"/>
    <w:rsid w:val="001F72D1"/>
    <w:rsid w:val="001F7352"/>
    <w:rsid w:val="001F7360"/>
    <w:rsid w:val="001F7399"/>
    <w:rsid w:val="001F73A3"/>
    <w:rsid w:val="001F73B0"/>
    <w:rsid w:val="001F73B9"/>
    <w:rsid w:val="001F7435"/>
    <w:rsid w:val="001F747A"/>
    <w:rsid w:val="001F7484"/>
    <w:rsid w:val="001F74D9"/>
    <w:rsid w:val="001F74E1"/>
    <w:rsid w:val="001F75AD"/>
    <w:rsid w:val="001F75BD"/>
    <w:rsid w:val="001F75F5"/>
    <w:rsid w:val="001F7647"/>
    <w:rsid w:val="001F765F"/>
    <w:rsid w:val="001F7678"/>
    <w:rsid w:val="001F7688"/>
    <w:rsid w:val="001F76B0"/>
    <w:rsid w:val="001F76E2"/>
    <w:rsid w:val="001F7715"/>
    <w:rsid w:val="001F7763"/>
    <w:rsid w:val="001F77BD"/>
    <w:rsid w:val="001F7848"/>
    <w:rsid w:val="001F78E3"/>
    <w:rsid w:val="001F796D"/>
    <w:rsid w:val="001F79DB"/>
    <w:rsid w:val="001F7A05"/>
    <w:rsid w:val="001F7AA7"/>
    <w:rsid w:val="001F7B39"/>
    <w:rsid w:val="001F7BA7"/>
    <w:rsid w:val="001F7C17"/>
    <w:rsid w:val="001F7C30"/>
    <w:rsid w:val="001F7C41"/>
    <w:rsid w:val="001F7C4A"/>
    <w:rsid w:val="001F7D40"/>
    <w:rsid w:val="001F7D53"/>
    <w:rsid w:val="001F7D72"/>
    <w:rsid w:val="001F7DC2"/>
    <w:rsid w:val="001F7E5D"/>
    <w:rsid w:val="001F7ED1"/>
    <w:rsid w:val="001F7EEF"/>
    <w:rsid w:val="001F7F28"/>
    <w:rsid w:val="001F7F3F"/>
    <w:rsid w:val="001F7F43"/>
    <w:rsid w:val="001F7F5D"/>
    <w:rsid w:val="001F7FA9"/>
    <w:rsid w:val="001F7FEA"/>
    <w:rsid w:val="00200000"/>
    <w:rsid w:val="0020000B"/>
    <w:rsid w:val="00200103"/>
    <w:rsid w:val="00200108"/>
    <w:rsid w:val="0020016F"/>
    <w:rsid w:val="00200234"/>
    <w:rsid w:val="00200251"/>
    <w:rsid w:val="00200267"/>
    <w:rsid w:val="0020029E"/>
    <w:rsid w:val="002002AB"/>
    <w:rsid w:val="002002D0"/>
    <w:rsid w:val="0020035B"/>
    <w:rsid w:val="00200372"/>
    <w:rsid w:val="00200379"/>
    <w:rsid w:val="00200437"/>
    <w:rsid w:val="0020044A"/>
    <w:rsid w:val="00200489"/>
    <w:rsid w:val="002004A6"/>
    <w:rsid w:val="00200522"/>
    <w:rsid w:val="0020055A"/>
    <w:rsid w:val="00200597"/>
    <w:rsid w:val="002005AF"/>
    <w:rsid w:val="002005CC"/>
    <w:rsid w:val="00200606"/>
    <w:rsid w:val="00200607"/>
    <w:rsid w:val="002006CD"/>
    <w:rsid w:val="002006E7"/>
    <w:rsid w:val="00200703"/>
    <w:rsid w:val="00200716"/>
    <w:rsid w:val="00200752"/>
    <w:rsid w:val="0020075D"/>
    <w:rsid w:val="002007B6"/>
    <w:rsid w:val="00200843"/>
    <w:rsid w:val="002008D6"/>
    <w:rsid w:val="00200946"/>
    <w:rsid w:val="0020097F"/>
    <w:rsid w:val="0020098E"/>
    <w:rsid w:val="002009A0"/>
    <w:rsid w:val="00200A27"/>
    <w:rsid w:val="00200A2B"/>
    <w:rsid w:val="00200A2E"/>
    <w:rsid w:val="00200A48"/>
    <w:rsid w:val="00200A9A"/>
    <w:rsid w:val="00200AAC"/>
    <w:rsid w:val="00200AF0"/>
    <w:rsid w:val="00200B71"/>
    <w:rsid w:val="00200B7D"/>
    <w:rsid w:val="00200D2B"/>
    <w:rsid w:val="00200D34"/>
    <w:rsid w:val="00200DDC"/>
    <w:rsid w:val="00200E20"/>
    <w:rsid w:val="00200E22"/>
    <w:rsid w:val="00200EEB"/>
    <w:rsid w:val="00200F2F"/>
    <w:rsid w:val="00200FC5"/>
    <w:rsid w:val="00201028"/>
    <w:rsid w:val="00201062"/>
    <w:rsid w:val="0020106D"/>
    <w:rsid w:val="002010FE"/>
    <w:rsid w:val="002011AC"/>
    <w:rsid w:val="002011E3"/>
    <w:rsid w:val="00201262"/>
    <w:rsid w:val="0020129C"/>
    <w:rsid w:val="0020129D"/>
    <w:rsid w:val="002013D4"/>
    <w:rsid w:val="002013F4"/>
    <w:rsid w:val="002013F5"/>
    <w:rsid w:val="0020140E"/>
    <w:rsid w:val="0020142E"/>
    <w:rsid w:val="00201445"/>
    <w:rsid w:val="00201530"/>
    <w:rsid w:val="00201565"/>
    <w:rsid w:val="002015A7"/>
    <w:rsid w:val="002015D3"/>
    <w:rsid w:val="002015F1"/>
    <w:rsid w:val="00201603"/>
    <w:rsid w:val="00201611"/>
    <w:rsid w:val="00201635"/>
    <w:rsid w:val="00201652"/>
    <w:rsid w:val="002016B2"/>
    <w:rsid w:val="0020172D"/>
    <w:rsid w:val="0020176B"/>
    <w:rsid w:val="002017A7"/>
    <w:rsid w:val="002017AF"/>
    <w:rsid w:val="00201840"/>
    <w:rsid w:val="00201846"/>
    <w:rsid w:val="002018C0"/>
    <w:rsid w:val="002018C1"/>
    <w:rsid w:val="00201AA4"/>
    <w:rsid w:val="00201ACD"/>
    <w:rsid w:val="00201AD1"/>
    <w:rsid w:val="00201BFB"/>
    <w:rsid w:val="00201C57"/>
    <w:rsid w:val="00201C86"/>
    <w:rsid w:val="00201CD0"/>
    <w:rsid w:val="00201CEE"/>
    <w:rsid w:val="00201DE4"/>
    <w:rsid w:val="00201E78"/>
    <w:rsid w:val="00201EE3"/>
    <w:rsid w:val="00201EEC"/>
    <w:rsid w:val="00201F1B"/>
    <w:rsid w:val="00201F86"/>
    <w:rsid w:val="00201FAB"/>
    <w:rsid w:val="00202038"/>
    <w:rsid w:val="002020BC"/>
    <w:rsid w:val="0020215C"/>
    <w:rsid w:val="00202190"/>
    <w:rsid w:val="002021FB"/>
    <w:rsid w:val="0020220F"/>
    <w:rsid w:val="002022A2"/>
    <w:rsid w:val="002022BA"/>
    <w:rsid w:val="002022CC"/>
    <w:rsid w:val="002023A9"/>
    <w:rsid w:val="00202577"/>
    <w:rsid w:val="002025D1"/>
    <w:rsid w:val="0020260B"/>
    <w:rsid w:val="00202661"/>
    <w:rsid w:val="00202702"/>
    <w:rsid w:val="0020270B"/>
    <w:rsid w:val="00202796"/>
    <w:rsid w:val="0020279A"/>
    <w:rsid w:val="002027DF"/>
    <w:rsid w:val="00202829"/>
    <w:rsid w:val="0020288A"/>
    <w:rsid w:val="00202908"/>
    <w:rsid w:val="0020294A"/>
    <w:rsid w:val="00202954"/>
    <w:rsid w:val="00202982"/>
    <w:rsid w:val="002029DD"/>
    <w:rsid w:val="00202A52"/>
    <w:rsid w:val="00202A76"/>
    <w:rsid w:val="00202A80"/>
    <w:rsid w:val="00202AA3"/>
    <w:rsid w:val="00202AE9"/>
    <w:rsid w:val="00202B8F"/>
    <w:rsid w:val="00202B90"/>
    <w:rsid w:val="00202BC7"/>
    <w:rsid w:val="00202C85"/>
    <w:rsid w:val="00202CA5"/>
    <w:rsid w:val="00202CAC"/>
    <w:rsid w:val="00202D14"/>
    <w:rsid w:val="00202D29"/>
    <w:rsid w:val="00202E00"/>
    <w:rsid w:val="00202E07"/>
    <w:rsid w:val="00202E1D"/>
    <w:rsid w:val="00202E4C"/>
    <w:rsid w:val="00202E67"/>
    <w:rsid w:val="00202E6D"/>
    <w:rsid w:val="00202F3D"/>
    <w:rsid w:val="00202F3F"/>
    <w:rsid w:val="00202F4E"/>
    <w:rsid w:val="00202F77"/>
    <w:rsid w:val="00202FF6"/>
    <w:rsid w:val="00203020"/>
    <w:rsid w:val="00203047"/>
    <w:rsid w:val="00203115"/>
    <w:rsid w:val="00203121"/>
    <w:rsid w:val="00203134"/>
    <w:rsid w:val="002031CA"/>
    <w:rsid w:val="002031DA"/>
    <w:rsid w:val="00203260"/>
    <w:rsid w:val="002032B1"/>
    <w:rsid w:val="00203306"/>
    <w:rsid w:val="0020333D"/>
    <w:rsid w:val="00203350"/>
    <w:rsid w:val="002033E6"/>
    <w:rsid w:val="002033EF"/>
    <w:rsid w:val="00203477"/>
    <w:rsid w:val="0020357B"/>
    <w:rsid w:val="00203630"/>
    <w:rsid w:val="0020369B"/>
    <w:rsid w:val="00203706"/>
    <w:rsid w:val="00203718"/>
    <w:rsid w:val="00203741"/>
    <w:rsid w:val="00203764"/>
    <w:rsid w:val="002037C6"/>
    <w:rsid w:val="0020383E"/>
    <w:rsid w:val="002039DD"/>
    <w:rsid w:val="00203A24"/>
    <w:rsid w:val="00203AB3"/>
    <w:rsid w:val="00203AE9"/>
    <w:rsid w:val="00203B75"/>
    <w:rsid w:val="00203CDB"/>
    <w:rsid w:val="00203D00"/>
    <w:rsid w:val="00203D0E"/>
    <w:rsid w:val="00203DAA"/>
    <w:rsid w:val="00203DAD"/>
    <w:rsid w:val="00203E22"/>
    <w:rsid w:val="00203E6A"/>
    <w:rsid w:val="00203E6F"/>
    <w:rsid w:val="00203E73"/>
    <w:rsid w:val="00203F83"/>
    <w:rsid w:val="00203FD1"/>
    <w:rsid w:val="002040C4"/>
    <w:rsid w:val="002041FC"/>
    <w:rsid w:val="00204261"/>
    <w:rsid w:val="0020426D"/>
    <w:rsid w:val="002042F4"/>
    <w:rsid w:val="00204339"/>
    <w:rsid w:val="00204379"/>
    <w:rsid w:val="00204431"/>
    <w:rsid w:val="0020454B"/>
    <w:rsid w:val="002045A7"/>
    <w:rsid w:val="00204632"/>
    <w:rsid w:val="00204667"/>
    <w:rsid w:val="002046C4"/>
    <w:rsid w:val="002046DA"/>
    <w:rsid w:val="0020470F"/>
    <w:rsid w:val="00204738"/>
    <w:rsid w:val="00204799"/>
    <w:rsid w:val="002047B7"/>
    <w:rsid w:val="00204821"/>
    <w:rsid w:val="00204953"/>
    <w:rsid w:val="00204955"/>
    <w:rsid w:val="00204989"/>
    <w:rsid w:val="002049BF"/>
    <w:rsid w:val="00204A37"/>
    <w:rsid w:val="00204A48"/>
    <w:rsid w:val="00204A49"/>
    <w:rsid w:val="00204A9F"/>
    <w:rsid w:val="00204B0D"/>
    <w:rsid w:val="00204BEE"/>
    <w:rsid w:val="00204BF7"/>
    <w:rsid w:val="00204C4A"/>
    <w:rsid w:val="00204C69"/>
    <w:rsid w:val="00204D70"/>
    <w:rsid w:val="00204DF7"/>
    <w:rsid w:val="00204E93"/>
    <w:rsid w:val="00204E95"/>
    <w:rsid w:val="00204EC4"/>
    <w:rsid w:val="00204F13"/>
    <w:rsid w:val="00205083"/>
    <w:rsid w:val="002050BC"/>
    <w:rsid w:val="0020510D"/>
    <w:rsid w:val="00205119"/>
    <w:rsid w:val="00205137"/>
    <w:rsid w:val="0020515B"/>
    <w:rsid w:val="0020521A"/>
    <w:rsid w:val="0020523E"/>
    <w:rsid w:val="002052A4"/>
    <w:rsid w:val="002052BE"/>
    <w:rsid w:val="002052DD"/>
    <w:rsid w:val="0020535F"/>
    <w:rsid w:val="00205365"/>
    <w:rsid w:val="0020536B"/>
    <w:rsid w:val="002053DC"/>
    <w:rsid w:val="0020546C"/>
    <w:rsid w:val="0020548C"/>
    <w:rsid w:val="00205492"/>
    <w:rsid w:val="002054D8"/>
    <w:rsid w:val="0020551B"/>
    <w:rsid w:val="002055CD"/>
    <w:rsid w:val="00205627"/>
    <w:rsid w:val="00205690"/>
    <w:rsid w:val="002056AA"/>
    <w:rsid w:val="002056EF"/>
    <w:rsid w:val="0020573C"/>
    <w:rsid w:val="0020576C"/>
    <w:rsid w:val="002057C4"/>
    <w:rsid w:val="00205841"/>
    <w:rsid w:val="002058CB"/>
    <w:rsid w:val="0020593D"/>
    <w:rsid w:val="00205941"/>
    <w:rsid w:val="00205A31"/>
    <w:rsid w:val="00205AE6"/>
    <w:rsid w:val="00205AEB"/>
    <w:rsid w:val="00205B00"/>
    <w:rsid w:val="00205B1D"/>
    <w:rsid w:val="00205B49"/>
    <w:rsid w:val="00205BBE"/>
    <w:rsid w:val="00205BD5"/>
    <w:rsid w:val="00205BE5"/>
    <w:rsid w:val="00205C24"/>
    <w:rsid w:val="00205C52"/>
    <w:rsid w:val="00205C65"/>
    <w:rsid w:val="00205CB1"/>
    <w:rsid w:val="00205D24"/>
    <w:rsid w:val="00205D48"/>
    <w:rsid w:val="00205D66"/>
    <w:rsid w:val="00205E14"/>
    <w:rsid w:val="00205E8B"/>
    <w:rsid w:val="00205EA5"/>
    <w:rsid w:val="00205F83"/>
    <w:rsid w:val="00205FC1"/>
    <w:rsid w:val="0020604B"/>
    <w:rsid w:val="002060C9"/>
    <w:rsid w:val="002061AE"/>
    <w:rsid w:val="00206202"/>
    <w:rsid w:val="0020624F"/>
    <w:rsid w:val="0020627B"/>
    <w:rsid w:val="00206291"/>
    <w:rsid w:val="00206298"/>
    <w:rsid w:val="002062A5"/>
    <w:rsid w:val="002062CA"/>
    <w:rsid w:val="00206332"/>
    <w:rsid w:val="00206386"/>
    <w:rsid w:val="002063AE"/>
    <w:rsid w:val="00206416"/>
    <w:rsid w:val="0020644B"/>
    <w:rsid w:val="0020657E"/>
    <w:rsid w:val="002065E1"/>
    <w:rsid w:val="00206624"/>
    <w:rsid w:val="0020668A"/>
    <w:rsid w:val="00206781"/>
    <w:rsid w:val="002067AD"/>
    <w:rsid w:val="002067FB"/>
    <w:rsid w:val="00206810"/>
    <w:rsid w:val="00206898"/>
    <w:rsid w:val="00206922"/>
    <w:rsid w:val="002069A3"/>
    <w:rsid w:val="002069B8"/>
    <w:rsid w:val="002069EA"/>
    <w:rsid w:val="00206A64"/>
    <w:rsid w:val="00206AEA"/>
    <w:rsid w:val="00206B01"/>
    <w:rsid w:val="00206B34"/>
    <w:rsid w:val="00206B6B"/>
    <w:rsid w:val="00206CA6"/>
    <w:rsid w:val="00206CD8"/>
    <w:rsid w:val="00206D1D"/>
    <w:rsid w:val="00206D2B"/>
    <w:rsid w:val="00206DBB"/>
    <w:rsid w:val="00206DDA"/>
    <w:rsid w:val="0020703B"/>
    <w:rsid w:val="00207067"/>
    <w:rsid w:val="002070A8"/>
    <w:rsid w:val="0020711F"/>
    <w:rsid w:val="0020717C"/>
    <w:rsid w:val="0020718D"/>
    <w:rsid w:val="002071EE"/>
    <w:rsid w:val="0020721E"/>
    <w:rsid w:val="002072CC"/>
    <w:rsid w:val="002073D2"/>
    <w:rsid w:val="00207411"/>
    <w:rsid w:val="00207458"/>
    <w:rsid w:val="00207520"/>
    <w:rsid w:val="00207608"/>
    <w:rsid w:val="0020760B"/>
    <w:rsid w:val="00207610"/>
    <w:rsid w:val="00207677"/>
    <w:rsid w:val="0020773F"/>
    <w:rsid w:val="00207786"/>
    <w:rsid w:val="002077AE"/>
    <w:rsid w:val="002077CA"/>
    <w:rsid w:val="0020780E"/>
    <w:rsid w:val="00207842"/>
    <w:rsid w:val="002079A7"/>
    <w:rsid w:val="002079D3"/>
    <w:rsid w:val="00207A5E"/>
    <w:rsid w:val="00207AAB"/>
    <w:rsid w:val="00207AEC"/>
    <w:rsid w:val="00207AF9"/>
    <w:rsid w:val="00207B0D"/>
    <w:rsid w:val="00207B2F"/>
    <w:rsid w:val="00207B7D"/>
    <w:rsid w:val="00207BD5"/>
    <w:rsid w:val="00207BF8"/>
    <w:rsid w:val="00207C12"/>
    <w:rsid w:val="00207C1F"/>
    <w:rsid w:val="00207C91"/>
    <w:rsid w:val="00207CCD"/>
    <w:rsid w:val="00207D81"/>
    <w:rsid w:val="00207DBB"/>
    <w:rsid w:val="00207EA0"/>
    <w:rsid w:val="00207EAD"/>
    <w:rsid w:val="00207ECF"/>
    <w:rsid w:val="00207F12"/>
    <w:rsid w:val="00207F3C"/>
    <w:rsid w:val="00207F6F"/>
    <w:rsid w:val="00207FCE"/>
    <w:rsid w:val="00210026"/>
    <w:rsid w:val="002100D2"/>
    <w:rsid w:val="00210162"/>
    <w:rsid w:val="00210164"/>
    <w:rsid w:val="0021017E"/>
    <w:rsid w:val="002101F9"/>
    <w:rsid w:val="00210239"/>
    <w:rsid w:val="00210249"/>
    <w:rsid w:val="0021024E"/>
    <w:rsid w:val="00210250"/>
    <w:rsid w:val="00210266"/>
    <w:rsid w:val="00210297"/>
    <w:rsid w:val="002102C1"/>
    <w:rsid w:val="00210375"/>
    <w:rsid w:val="002103E8"/>
    <w:rsid w:val="002103F9"/>
    <w:rsid w:val="002104AF"/>
    <w:rsid w:val="00210577"/>
    <w:rsid w:val="002105A9"/>
    <w:rsid w:val="002105FA"/>
    <w:rsid w:val="00210604"/>
    <w:rsid w:val="00210633"/>
    <w:rsid w:val="0021070D"/>
    <w:rsid w:val="0021075E"/>
    <w:rsid w:val="00210779"/>
    <w:rsid w:val="002107BC"/>
    <w:rsid w:val="00210817"/>
    <w:rsid w:val="00210857"/>
    <w:rsid w:val="00210878"/>
    <w:rsid w:val="00210893"/>
    <w:rsid w:val="002108CB"/>
    <w:rsid w:val="0021094D"/>
    <w:rsid w:val="00210965"/>
    <w:rsid w:val="00210974"/>
    <w:rsid w:val="00210980"/>
    <w:rsid w:val="002109A2"/>
    <w:rsid w:val="00210A2A"/>
    <w:rsid w:val="00210A7D"/>
    <w:rsid w:val="00210AF2"/>
    <w:rsid w:val="00210B33"/>
    <w:rsid w:val="00210B6B"/>
    <w:rsid w:val="00210CC7"/>
    <w:rsid w:val="00210CCD"/>
    <w:rsid w:val="00210D6F"/>
    <w:rsid w:val="00210D94"/>
    <w:rsid w:val="00210DB1"/>
    <w:rsid w:val="00210DEB"/>
    <w:rsid w:val="00210EFF"/>
    <w:rsid w:val="00210FC4"/>
    <w:rsid w:val="0021103F"/>
    <w:rsid w:val="00211048"/>
    <w:rsid w:val="002110A2"/>
    <w:rsid w:val="0021111A"/>
    <w:rsid w:val="00211127"/>
    <w:rsid w:val="002111A8"/>
    <w:rsid w:val="002111AD"/>
    <w:rsid w:val="00211202"/>
    <w:rsid w:val="00211205"/>
    <w:rsid w:val="00211369"/>
    <w:rsid w:val="002113CE"/>
    <w:rsid w:val="00211460"/>
    <w:rsid w:val="002114A9"/>
    <w:rsid w:val="002114AC"/>
    <w:rsid w:val="0021150C"/>
    <w:rsid w:val="002115FB"/>
    <w:rsid w:val="00211668"/>
    <w:rsid w:val="00211748"/>
    <w:rsid w:val="002117BF"/>
    <w:rsid w:val="002117F1"/>
    <w:rsid w:val="00211800"/>
    <w:rsid w:val="00211874"/>
    <w:rsid w:val="0021189B"/>
    <w:rsid w:val="002118A1"/>
    <w:rsid w:val="00211947"/>
    <w:rsid w:val="0021197B"/>
    <w:rsid w:val="0021199B"/>
    <w:rsid w:val="00211A5B"/>
    <w:rsid w:val="00211B3B"/>
    <w:rsid w:val="00211C2C"/>
    <w:rsid w:val="00211D70"/>
    <w:rsid w:val="00211D7A"/>
    <w:rsid w:val="00211D9C"/>
    <w:rsid w:val="00211DE8"/>
    <w:rsid w:val="00211DE9"/>
    <w:rsid w:val="00211E15"/>
    <w:rsid w:val="00211ED3"/>
    <w:rsid w:val="00211EDC"/>
    <w:rsid w:val="00211EF6"/>
    <w:rsid w:val="00211F54"/>
    <w:rsid w:val="0021204B"/>
    <w:rsid w:val="002120A3"/>
    <w:rsid w:val="002120DD"/>
    <w:rsid w:val="002120F7"/>
    <w:rsid w:val="00212104"/>
    <w:rsid w:val="00212149"/>
    <w:rsid w:val="002121EE"/>
    <w:rsid w:val="00212203"/>
    <w:rsid w:val="00212287"/>
    <w:rsid w:val="0021237D"/>
    <w:rsid w:val="002123D0"/>
    <w:rsid w:val="00212416"/>
    <w:rsid w:val="0021245F"/>
    <w:rsid w:val="002124A5"/>
    <w:rsid w:val="0021253D"/>
    <w:rsid w:val="00212572"/>
    <w:rsid w:val="00212581"/>
    <w:rsid w:val="002125C3"/>
    <w:rsid w:val="002125D3"/>
    <w:rsid w:val="00212620"/>
    <w:rsid w:val="0021266A"/>
    <w:rsid w:val="002126D1"/>
    <w:rsid w:val="00212737"/>
    <w:rsid w:val="00212808"/>
    <w:rsid w:val="00212816"/>
    <w:rsid w:val="002128B0"/>
    <w:rsid w:val="0021296D"/>
    <w:rsid w:val="0021296F"/>
    <w:rsid w:val="00212974"/>
    <w:rsid w:val="00212984"/>
    <w:rsid w:val="00212A2D"/>
    <w:rsid w:val="00212A7E"/>
    <w:rsid w:val="00212A9F"/>
    <w:rsid w:val="00212ACA"/>
    <w:rsid w:val="00212B6E"/>
    <w:rsid w:val="00212BC6"/>
    <w:rsid w:val="00212BEC"/>
    <w:rsid w:val="00212C81"/>
    <w:rsid w:val="00212CBA"/>
    <w:rsid w:val="00212CF8"/>
    <w:rsid w:val="00212D75"/>
    <w:rsid w:val="00212D85"/>
    <w:rsid w:val="00212DB9"/>
    <w:rsid w:val="00212FA0"/>
    <w:rsid w:val="00212FCE"/>
    <w:rsid w:val="00213096"/>
    <w:rsid w:val="002130B0"/>
    <w:rsid w:val="002130E3"/>
    <w:rsid w:val="002130F1"/>
    <w:rsid w:val="0021313E"/>
    <w:rsid w:val="00213162"/>
    <w:rsid w:val="0021316B"/>
    <w:rsid w:val="0021317A"/>
    <w:rsid w:val="0021319D"/>
    <w:rsid w:val="002131E0"/>
    <w:rsid w:val="00213236"/>
    <w:rsid w:val="0021328A"/>
    <w:rsid w:val="002133F1"/>
    <w:rsid w:val="00213432"/>
    <w:rsid w:val="00213454"/>
    <w:rsid w:val="0021346A"/>
    <w:rsid w:val="002134C3"/>
    <w:rsid w:val="0021351A"/>
    <w:rsid w:val="00213556"/>
    <w:rsid w:val="002135A9"/>
    <w:rsid w:val="0021363A"/>
    <w:rsid w:val="0021374A"/>
    <w:rsid w:val="00213777"/>
    <w:rsid w:val="002137E9"/>
    <w:rsid w:val="002137F6"/>
    <w:rsid w:val="00213810"/>
    <w:rsid w:val="0021388C"/>
    <w:rsid w:val="00213979"/>
    <w:rsid w:val="002139F6"/>
    <w:rsid w:val="002139FF"/>
    <w:rsid w:val="00213A14"/>
    <w:rsid w:val="00213AB3"/>
    <w:rsid w:val="00213AD5"/>
    <w:rsid w:val="00213B34"/>
    <w:rsid w:val="00213BA9"/>
    <w:rsid w:val="00213C2A"/>
    <w:rsid w:val="00213C52"/>
    <w:rsid w:val="00213CE7"/>
    <w:rsid w:val="00213E09"/>
    <w:rsid w:val="00213EDE"/>
    <w:rsid w:val="00213F00"/>
    <w:rsid w:val="00213F98"/>
    <w:rsid w:val="00214038"/>
    <w:rsid w:val="00214041"/>
    <w:rsid w:val="0021404F"/>
    <w:rsid w:val="0021409B"/>
    <w:rsid w:val="0021409C"/>
    <w:rsid w:val="00214132"/>
    <w:rsid w:val="0021415A"/>
    <w:rsid w:val="002141EA"/>
    <w:rsid w:val="0021426E"/>
    <w:rsid w:val="0021426F"/>
    <w:rsid w:val="00214284"/>
    <w:rsid w:val="00214291"/>
    <w:rsid w:val="002142A3"/>
    <w:rsid w:val="002143A1"/>
    <w:rsid w:val="002143CD"/>
    <w:rsid w:val="002143D2"/>
    <w:rsid w:val="0021440E"/>
    <w:rsid w:val="0021441B"/>
    <w:rsid w:val="0021444E"/>
    <w:rsid w:val="00214476"/>
    <w:rsid w:val="002144B4"/>
    <w:rsid w:val="002144EF"/>
    <w:rsid w:val="0021452E"/>
    <w:rsid w:val="002145B9"/>
    <w:rsid w:val="002145EB"/>
    <w:rsid w:val="0021470C"/>
    <w:rsid w:val="00214756"/>
    <w:rsid w:val="00214847"/>
    <w:rsid w:val="002148A5"/>
    <w:rsid w:val="002148EE"/>
    <w:rsid w:val="002149C9"/>
    <w:rsid w:val="002149CF"/>
    <w:rsid w:val="00214AD4"/>
    <w:rsid w:val="00214AF2"/>
    <w:rsid w:val="00214B39"/>
    <w:rsid w:val="00214B3C"/>
    <w:rsid w:val="00214B6B"/>
    <w:rsid w:val="00214C15"/>
    <w:rsid w:val="00214C2B"/>
    <w:rsid w:val="00214C40"/>
    <w:rsid w:val="00214C5B"/>
    <w:rsid w:val="00214D22"/>
    <w:rsid w:val="00214D29"/>
    <w:rsid w:val="00214DD8"/>
    <w:rsid w:val="00214E9C"/>
    <w:rsid w:val="00214F5F"/>
    <w:rsid w:val="00215063"/>
    <w:rsid w:val="00215146"/>
    <w:rsid w:val="0021514F"/>
    <w:rsid w:val="00215151"/>
    <w:rsid w:val="0021517F"/>
    <w:rsid w:val="002151D5"/>
    <w:rsid w:val="00215274"/>
    <w:rsid w:val="0021529F"/>
    <w:rsid w:val="0021535B"/>
    <w:rsid w:val="0021537A"/>
    <w:rsid w:val="0021539F"/>
    <w:rsid w:val="002153F8"/>
    <w:rsid w:val="00215503"/>
    <w:rsid w:val="00215540"/>
    <w:rsid w:val="0021555E"/>
    <w:rsid w:val="00215633"/>
    <w:rsid w:val="0021563F"/>
    <w:rsid w:val="00215645"/>
    <w:rsid w:val="0021564A"/>
    <w:rsid w:val="00215671"/>
    <w:rsid w:val="00215759"/>
    <w:rsid w:val="0021578F"/>
    <w:rsid w:val="00215838"/>
    <w:rsid w:val="0021588C"/>
    <w:rsid w:val="002158A3"/>
    <w:rsid w:val="002159C8"/>
    <w:rsid w:val="002159EE"/>
    <w:rsid w:val="00215A49"/>
    <w:rsid w:val="00215A9F"/>
    <w:rsid w:val="00215AC3"/>
    <w:rsid w:val="00215B4D"/>
    <w:rsid w:val="00215BB5"/>
    <w:rsid w:val="00215BD0"/>
    <w:rsid w:val="00215C51"/>
    <w:rsid w:val="00215D40"/>
    <w:rsid w:val="00215D68"/>
    <w:rsid w:val="00215E8F"/>
    <w:rsid w:val="00215EA9"/>
    <w:rsid w:val="00215F41"/>
    <w:rsid w:val="002160E1"/>
    <w:rsid w:val="00216138"/>
    <w:rsid w:val="002161D3"/>
    <w:rsid w:val="00216219"/>
    <w:rsid w:val="00216237"/>
    <w:rsid w:val="00216286"/>
    <w:rsid w:val="002162E3"/>
    <w:rsid w:val="00216362"/>
    <w:rsid w:val="00216371"/>
    <w:rsid w:val="00216390"/>
    <w:rsid w:val="002163BA"/>
    <w:rsid w:val="002163D3"/>
    <w:rsid w:val="00216423"/>
    <w:rsid w:val="00216439"/>
    <w:rsid w:val="002164AC"/>
    <w:rsid w:val="00216585"/>
    <w:rsid w:val="002165D2"/>
    <w:rsid w:val="002165F4"/>
    <w:rsid w:val="00216649"/>
    <w:rsid w:val="00216662"/>
    <w:rsid w:val="00216682"/>
    <w:rsid w:val="00216761"/>
    <w:rsid w:val="002167F8"/>
    <w:rsid w:val="0021689B"/>
    <w:rsid w:val="002168A9"/>
    <w:rsid w:val="0021694C"/>
    <w:rsid w:val="0021697B"/>
    <w:rsid w:val="00216981"/>
    <w:rsid w:val="00216A5A"/>
    <w:rsid w:val="00216B15"/>
    <w:rsid w:val="00216DE4"/>
    <w:rsid w:val="00216E75"/>
    <w:rsid w:val="00216E79"/>
    <w:rsid w:val="00216F22"/>
    <w:rsid w:val="00216FAF"/>
    <w:rsid w:val="00217021"/>
    <w:rsid w:val="0021703D"/>
    <w:rsid w:val="002170CD"/>
    <w:rsid w:val="0021712D"/>
    <w:rsid w:val="002171B5"/>
    <w:rsid w:val="002171DA"/>
    <w:rsid w:val="00217222"/>
    <w:rsid w:val="00217243"/>
    <w:rsid w:val="0021727B"/>
    <w:rsid w:val="0021729B"/>
    <w:rsid w:val="002172A7"/>
    <w:rsid w:val="0021733B"/>
    <w:rsid w:val="00217356"/>
    <w:rsid w:val="0021735F"/>
    <w:rsid w:val="0021736D"/>
    <w:rsid w:val="00217371"/>
    <w:rsid w:val="002173B9"/>
    <w:rsid w:val="0021740B"/>
    <w:rsid w:val="0021744E"/>
    <w:rsid w:val="0021752D"/>
    <w:rsid w:val="00217565"/>
    <w:rsid w:val="0021757F"/>
    <w:rsid w:val="002175C3"/>
    <w:rsid w:val="002175C6"/>
    <w:rsid w:val="002175C9"/>
    <w:rsid w:val="002175F3"/>
    <w:rsid w:val="00217600"/>
    <w:rsid w:val="0021760C"/>
    <w:rsid w:val="0021767C"/>
    <w:rsid w:val="00217736"/>
    <w:rsid w:val="00217760"/>
    <w:rsid w:val="002178C5"/>
    <w:rsid w:val="00217949"/>
    <w:rsid w:val="0021794E"/>
    <w:rsid w:val="0021796B"/>
    <w:rsid w:val="002179A8"/>
    <w:rsid w:val="00217A06"/>
    <w:rsid w:val="00217A18"/>
    <w:rsid w:val="00217A1A"/>
    <w:rsid w:val="00217ADC"/>
    <w:rsid w:val="00217B35"/>
    <w:rsid w:val="00217B4D"/>
    <w:rsid w:val="00217C0D"/>
    <w:rsid w:val="00217C41"/>
    <w:rsid w:val="00217CEB"/>
    <w:rsid w:val="00217CF4"/>
    <w:rsid w:val="00217D3B"/>
    <w:rsid w:val="00217D5F"/>
    <w:rsid w:val="00217EB5"/>
    <w:rsid w:val="00217EF9"/>
    <w:rsid w:val="00217F12"/>
    <w:rsid w:val="00217F68"/>
    <w:rsid w:val="00217FA6"/>
    <w:rsid w:val="0022000D"/>
    <w:rsid w:val="0022001B"/>
    <w:rsid w:val="00220022"/>
    <w:rsid w:val="002200C7"/>
    <w:rsid w:val="0022014D"/>
    <w:rsid w:val="0022019B"/>
    <w:rsid w:val="00220215"/>
    <w:rsid w:val="0022026A"/>
    <w:rsid w:val="0022027C"/>
    <w:rsid w:val="002202A9"/>
    <w:rsid w:val="002202E6"/>
    <w:rsid w:val="0022031F"/>
    <w:rsid w:val="00220323"/>
    <w:rsid w:val="002203DE"/>
    <w:rsid w:val="00220421"/>
    <w:rsid w:val="00220460"/>
    <w:rsid w:val="002204BF"/>
    <w:rsid w:val="002204E2"/>
    <w:rsid w:val="00220550"/>
    <w:rsid w:val="002206CA"/>
    <w:rsid w:val="002206CD"/>
    <w:rsid w:val="00220703"/>
    <w:rsid w:val="0022070C"/>
    <w:rsid w:val="00220732"/>
    <w:rsid w:val="0022074E"/>
    <w:rsid w:val="00220845"/>
    <w:rsid w:val="00220961"/>
    <w:rsid w:val="002209AC"/>
    <w:rsid w:val="00220A0E"/>
    <w:rsid w:val="00220A59"/>
    <w:rsid w:val="00220A84"/>
    <w:rsid w:val="00220A93"/>
    <w:rsid w:val="00220ABC"/>
    <w:rsid w:val="00220ADA"/>
    <w:rsid w:val="00220B59"/>
    <w:rsid w:val="00220B5C"/>
    <w:rsid w:val="00220B84"/>
    <w:rsid w:val="00220BA7"/>
    <w:rsid w:val="00220BC5"/>
    <w:rsid w:val="00220C73"/>
    <w:rsid w:val="00220D5B"/>
    <w:rsid w:val="00220DA3"/>
    <w:rsid w:val="00220DDC"/>
    <w:rsid w:val="00220E1B"/>
    <w:rsid w:val="00220E4D"/>
    <w:rsid w:val="00220E6B"/>
    <w:rsid w:val="00220EA1"/>
    <w:rsid w:val="00220EC5"/>
    <w:rsid w:val="00220F27"/>
    <w:rsid w:val="00220F4F"/>
    <w:rsid w:val="00220F5C"/>
    <w:rsid w:val="00220F7B"/>
    <w:rsid w:val="00220FB4"/>
    <w:rsid w:val="0022108E"/>
    <w:rsid w:val="002210D8"/>
    <w:rsid w:val="0022111B"/>
    <w:rsid w:val="00221176"/>
    <w:rsid w:val="002212B2"/>
    <w:rsid w:val="002212E1"/>
    <w:rsid w:val="00221330"/>
    <w:rsid w:val="00221331"/>
    <w:rsid w:val="00221374"/>
    <w:rsid w:val="002213CB"/>
    <w:rsid w:val="0022140F"/>
    <w:rsid w:val="0022141F"/>
    <w:rsid w:val="0022145E"/>
    <w:rsid w:val="00221475"/>
    <w:rsid w:val="002214FB"/>
    <w:rsid w:val="00221553"/>
    <w:rsid w:val="002215BB"/>
    <w:rsid w:val="002216A5"/>
    <w:rsid w:val="002216AE"/>
    <w:rsid w:val="002216BD"/>
    <w:rsid w:val="002216C0"/>
    <w:rsid w:val="002216CE"/>
    <w:rsid w:val="00221733"/>
    <w:rsid w:val="00221798"/>
    <w:rsid w:val="002217B5"/>
    <w:rsid w:val="002217DE"/>
    <w:rsid w:val="00221835"/>
    <w:rsid w:val="00221878"/>
    <w:rsid w:val="00221891"/>
    <w:rsid w:val="002218B8"/>
    <w:rsid w:val="002218D3"/>
    <w:rsid w:val="002218D5"/>
    <w:rsid w:val="002218E8"/>
    <w:rsid w:val="00221903"/>
    <w:rsid w:val="0022190D"/>
    <w:rsid w:val="0022190E"/>
    <w:rsid w:val="0022198D"/>
    <w:rsid w:val="00221A57"/>
    <w:rsid w:val="00221A5B"/>
    <w:rsid w:val="00221AC3"/>
    <w:rsid w:val="00221AD6"/>
    <w:rsid w:val="00221ADE"/>
    <w:rsid w:val="00221B1E"/>
    <w:rsid w:val="00221C1B"/>
    <w:rsid w:val="00221CE9"/>
    <w:rsid w:val="00221CED"/>
    <w:rsid w:val="00221D0A"/>
    <w:rsid w:val="00221D6D"/>
    <w:rsid w:val="00221D8D"/>
    <w:rsid w:val="00221E5C"/>
    <w:rsid w:val="00221EE9"/>
    <w:rsid w:val="00221EF5"/>
    <w:rsid w:val="00221F02"/>
    <w:rsid w:val="00221F2F"/>
    <w:rsid w:val="00221F35"/>
    <w:rsid w:val="00221F4D"/>
    <w:rsid w:val="00221F86"/>
    <w:rsid w:val="00222075"/>
    <w:rsid w:val="002220D3"/>
    <w:rsid w:val="002220EF"/>
    <w:rsid w:val="00222107"/>
    <w:rsid w:val="0022218D"/>
    <w:rsid w:val="002221A7"/>
    <w:rsid w:val="00222279"/>
    <w:rsid w:val="002222C5"/>
    <w:rsid w:val="00222302"/>
    <w:rsid w:val="002223A1"/>
    <w:rsid w:val="002223BB"/>
    <w:rsid w:val="002223C4"/>
    <w:rsid w:val="002223DB"/>
    <w:rsid w:val="002223EE"/>
    <w:rsid w:val="00222449"/>
    <w:rsid w:val="0022246F"/>
    <w:rsid w:val="00222494"/>
    <w:rsid w:val="00222737"/>
    <w:rsid w:val="00222773"/>
    <w:rsid w:val="0022278C"/>
    <w:rsid w:val="002227F6"/>
    <w:rsid w:val="00222855"/>
    <w:rsid w:val="002228D3"/>
    <w:rsid w:val="0022293E"/>
    <w:rsid w:val="00222974"/>
    <w:rsid w:val="00222988"/>
    <w:rsid w:val="00222A65"/>
    <w:rsid w:val="00222AA0"/>
    <w:rsid w:val="00222ACC"/>
    <w:rsid w:val="00222B10"/>
    <w:rsid w:val="00222B17"/>
    <w:rsid w:val="00222BE4"/>
    <w:rsid w:val="00222C2E"/>
    <w:rsid w:val="00222C89"/>
    <w:rsid w:val="00222C97"/>
    <w:rsid w:val="00222D46"/>
    <w:rsid w:val="00222D7F"/>
    <w:rsid w:val="00222DC7"/>
    <w:rsid w:val="00222F61"/>
    <w:rsid w:val="00222F64"/>
    <w:rsid w:val="00223118"/>
    <w:rsid w:val="00223136"/>
    <w:rsid w:val="00223160"/>
    <w:rsid w:val="00223253"/>
    <w:rsid w:val="0022325E"/>
    <w:rsid w:val="002232C2"/>
    <w:rsid w:val="002232CF"/>
    <w:rsid w:val="002232D3"/>
    <w:rsid w:val="00223311"/>
    <w:rsid w:val="00223345"/>
    <w:rsid w:val="00223352"/>
    <w:rsid w:val="00223386"/>
    <w:rsid w:val="002233D5"/>
    <w:rsid w:val="00223510"/>
    <w:rsid w:val="00223526"/>
    <w:rsid w:val="0022352A"/>
    <w:rsid w:val="0022353A"/>
    <w:rsid w:val="0022353B"/>
    <w:rsid w:val="00223561"/>
    <w:rsid w:val="0022361F"/>
    <w:rsid w:val="00223644"/>
    <w:rsid w:val="00223686"/>
    <w:rsid w:val="002236A8"/>
    <w:rsid w:val="00223792"/>
    <w:rsid w:val="002237A5"/>
    <w:rsid w:val="002237EA"/>
    <w:rsid w:val="00223808"/>
    <w:rsid w:val="0022382B"/>
    <w:rsid w:val="0022388B"/>
    <w:rsid w:val="002238BA"/>
    <w:rsid w:val="00223968"/>
    <w:rsid w:val="00223972"/>
    <w:rsid w:val="00223A15"/>
    <w:rsid w:val="00223A27"/>
    <w:rsid w:val="00223A70"/>
    <w:rsid w:val="00223AA1"/>
    <w:rsid w:val="00223AC1"/>
    <w:rsid w:val="00223B41"/>
    <w:rsid w:val="00223B54"/>
    <w:rsid w:val="00223B7E"/>
    <w:rsid w:val="00223BBB"/>
    <w:rsid w:val="00223BD8"/>
    <w:rsid w:val="00223BE7"/>
    <w:rsid w:val="00223C18"/>
    <w:rsid w:val="00223C46"/>
    <w:rsid w:val="00223C91"/>
    <w:rsid w:val="00223CAA"/>
    <w:rsid w:val="00223D38"/>
    <w:rsid w:val="00223D46"/>
    <w:rsid w:val="00223DB5"/>
    <w:rsid w:val="00223DC2"/>
    <w:rsid w:val="00223E1D"/>
    <w:rsid w:val="00223E7D"/>
    <w:rsid w:val="00223E90"/>
    <w:rsid w:val="00223ED7"/>
    <w:rsid w:val="00223EEE"/>
    <w:rsid w:val="00223EFE"/>
    <w:rsid w:val="00223F9A"/>
    <w:rsid w:val="00223FCE"/>
    <w:rsid w:val="002240A4"/>
    <w:rsid w:val="0022411E"/>
    <w:rsid w:val="00224130"/>
    <w:rsid w:val="0022414C"/>
    <w:rsid w:val="00224165"/>
    <w:rsid w:val="0022418E"/>
    <w:rsid w:val="002241B9"/>
    <w:rsid w:val="00224265"/>
    <w:rsid w:val="0022426E"/>
    <w:rsid w:val="00224276"/>
    <w:rsid w:val="002242EB"/>
    <w:rsid w:val="0022437B"/>
    <w:rsid w:val="0022441E"/>
    <w:rsid w:val="00224431"/>
    <w:rsid w:val="00224496"/>
    <w:rsid w:val="002244F4"/>
    <w:rsid w:val="002244FA"/>
    <w:rsid w:val="0022453F"/>
    <w:rsid w:val="00224553"/>
    <w:rsid w:val="00224595"/>
    <w:rsid w:val="00224667"/>
    <w:rsid w:val="0022471D"/>
    <w:rsid w:val="002247C1"/>
    <w:rsid w:val="002247F1"/>
    <w:rsid w:val="0022481F"/>
    <w:rsid w:val="00224876"/>
    <w:rsid w:val="002248A6"/>
    <w:rsid w:val="002248E5"/>
    <w:rsid w:val="002248FF"/>
    <w:rsid w:val="00224937"/>
    <w:rsid w:val="00224959"/>
    <w:rsid w:val="0022497B"/>
    <w:rsid w:val="002249C8"/>
    <w:rsid w:val="002249F5"/>
    <w:rsid w:val="00224AF0"/>
    <w:rsid w:val="00224B8A"/>
    <w:rsid w:val="00224BCC"/>
    <w:rsid w:val="00224BF9"/>
    <w:rsid w:val="00224D11"/>
    <w:rsid w:val="00224DAA"/>
    <w:rsid w:val="00224E0E"/>
    <w:rsid w:val="00224E13"/>
    <w:rsid w:val="00224E32"/>
    <w:rsid w:val="00224E5E"/>
    <w:rsid w:val="00224E70"/>
    <w:rsid w:val="00224E80"/>
    <w:rsid w:val="00224EB5"/>
    <w:rsid w:val="00224FAE"/>
    <w:rsid w:val="00224FE4"/>
    <w:rsid w:val="0022502B"/>
    <w:rsid w:val="00225056"/>
    <w:rsid w:val="00225153"/>
    <w:rsid w:val="00225158"/>
    <w:rsid w:val="00225194"/>
    <w:rsid w:val="00225215"/>
    <w:rsid w:val="0022524C"/>
    <w:rsid w:val="00225289"/>
    <w:rsid w:val="0022529B"/>
    <w:rsid w:val="002252AE"/>
    <w:rsid w:val="00225314"/>
    <w:rsid w:val="00225349"/>
    <w:rsid w:val="00225364"/>
    <w:rsid w:val="002253B7"/>
    <w:rsid w:val="002253D1"/>
    <w:rsid w:val="0022549A"/>
    <w:rsid w:val="002254EA"/>
    <w:rsid w:val="0022554C"/>
    <w:rsid w:val="002255FA"/>
    <w:rsid w:val="002256DA"/>
    <w:rsid w:val="00225757"/>
    <w:rsid w:val="0022575C"/>
    <w:rsid w:val="00225789"/>
    <w:rsid w:val="002257C8"/>
    <w:rsid w:val="002257D5"/>
    <w:rsid w:val="002258B6"/>
    <w:rsid w:val="002258BF"/>
    <w:rsid w:val="00225915"/>
    <w:rsid w:val="00225962"/>
    <w:rsid w:val="00225982"/>
    <w:rsid w:val="002259C9"/>
    <w:rsid w:val="00225A27"/>
    <w:rsid w:val="00225AC5"/>
    <w:rsid w:val="00225AE8"/>
    <w:rsid w:val="00225B2D"/>
    <w:rsid w:val="00225BA4"/>
    <w:rsid w:val="00225BD4"/>
    <w:rsid w:val="00225BFD"/>
    <w:rsid w:val="00225C79"/>
    <w:rsid w:val="00225C87"/>
    <w:rsid w:val="00225D0B"/>
    <w:rsid w:val="00225DCA"/>
    <w:rsid w:val="00225E29"/>
    <w:rsid w:val="00225E87"/>
    <w:rsid w:val="00225EA6"/>
    <w:rsid w:val="00225FFB"/>
    <w:rsid w:val="00226065"/>
    <w:rsid w:val="00226083"/>
    <w:rsid w:val="002260E9"/>
    <w:rsid w:val="002260F9"/>
    <w:rsid w:val="00226167"/>
    <w:rsid w:val="0022619E"/>
    <w:rsid w:val="00226294"/>
    <w:rsid w:val="00226385"/>
    <w:rsid w:val="00226394"/>
    <w:rsid w:val="00226457"/>
    <w:rsid w:val="00226483"/>
    <w:rsid w:val="002264B3"/>
    <w:rsid w:val="00226527"/>
    <w:rsid w:val="00226574"/>
    <w:rsid w:val="00226578"/>
    <w:rsid w:val="00226625"/>
    <w:rsid w:val="002266E6"/>
    <w:rsid w:val="00226752"/>
    <w:rsid w:val="002267B7"/>
    <w:rsid w:val="00226860"/>
    <w:rsid w:val="00226874"/>
    <w:rsid w:val="00226A24"/>
    <w:rsid w:val="00226A28"/>
    <w:rsid w:val="00226A46"/>
    <w:rsid w:val="00226A65"/>
    <w:rsid w:val="00226A6A"/>
    <w:rsid w:val="00226A6F"/>
    <w:rsid w:val="00226A81"/>
    <w:rsid w:val="00226AB8"/>
    <w:rsid w:val="00226B66"/>
    <w:rsid w:val="00226B7D"/>
    <w:rsid w:val="00226BA3"/>
    <w:rsid w:val="00226BBA"/>
    <w:rsid w:val="00226BF6"/>
    <w:rsid w:val="00226C73"/>
    <w:rsid w:val="00226CAD"/>
    <w:rsid w:val="00226CB2"/>
    <w:rsid w:val="00226CEB"/>
    <w:rsid w:val="00226CF8"/>
    <w:rsid w:val="00226D0E"/>
    <w:rsid w:val="00226D3D"/>
    <w:rsid w:val="00226D88"/>
    <w:rsid w:val="00226DB8"/>
    <w:rsid w:val="00226DD4"/>
    <w:rsid w:val="00226EA9"/>
    <w:rsid w:val="00226EBB"/>
    <w:rsid w:val="00226F18"/>
    <w:rsid w:val="00226F22"/>
    <w:rsid w:val="00226F98"/>
    <w:rsid w:val="0022702C"/>
    <w:rsid w:val="00227054"/>
    <w:rsid w:val="00227068"/>
    <w:rsid w:val="0022708E"/>
    <w:rsid w:val="002270A3"/>
    <w:rsid w:val="002270C7"/>
    <w:rsid w:val="002270F0"/>
    <w:rsid w:val="002270FF"/>
    <w:rsid w:val="002271E9"/>
    <w:rsid w:val="002271EC"/>
    <w:rsid w:val="002271FB"/>
    <w:rsid w:val="00227296"/>
    <w:rsid w:val="002272B4"/>
    <w:rsid w:val="0022735D"/>
    <w:rsid w:val="0022738A"/>
    <w:rsid w:val="002273F6"/>
    <w:rsid w:val="002273FD"/>
    <w:rsid w:val="00227458"/>
    <w:rsid w:val="00227483"/>
    <w:rsid w:val="002274A5"/>
    <w:rsid w:val="00227563"/>
    <w:rsid w:val="002275A1"/>
    <w:rsid w:val="00227607"/>
    <w:rsid w:val="00227610"/>
    <w:rsid w:val="0022761D"/>
    <w:rsid w:val="00227622"/>
    <w:rsid w:val="00227643"/>
    <w:rsid w:val="00227658"/>
    <w:rsid w:val="00227686"/>
    <w:rsid w:val="00227687"/>
    <w:rsid w:val="002276A2"/>
    <w:rsid w:val="00227723"/>
    <w:rsid w:val="002277EA"/>
    <w:rsid w:val="00227943"/>
    <w:rsid w:val="00227988"/>
    <w:rsid w:val="002279CE"/>
    <w:rsid w:val="00227A0F"/>
    <w:rsid w:val="00227A53"/>
    <w:rsid w:val="00227A74"/>
    <w:rsid w:val="00227A7D"/>
    <w:rsid w:val="00227A9C"/>
    <w:rsid w:val="00227ADB"/>
    <w:rsid w:val="00227B48"/>
    <w:rsid w:val="00227B86"/>
    <w:rsid w:val="00227C2E"/>
    <w:rsid w:val="00227C3F"/>
    <w:rsid w:val="00227C45"/>
    <w:rsid w:val="00227CAB"/>
    <w:rsid w:val="00227D87"/>
    <w:rsid w:val="00227D9A"/>
    <w:rsid w:val="00227DAD"/>
    <w:rsid w:val="00227E32"/>
    <w:rsid w:val="00227E34"/>
    <w:rsid w:val="00227EAE"/>
    <w:rsid w:val="00227FC3"/>
    <w:rsid w:val="00230041"/>
    <w:rsid w:val="00230077"/>
    <w:rsid w:val="002300DB"/>
    <w:rsid w:val="002300E8"/>
    <w:rsid w:val="002302F1"/>
    <w:rsid w:val="00230313"/>
    <w:rsid w:val="0023039D"/>
    <w:rsid w:val="0023044F"/>
    <w:rsid w:val="002304A1"/>
    <w:rsid w:val="002304D7"/>
    <w:rsid w:val="00230568"/>
    <w:rsid w:val="002306E1"/>
    <w:rsid w:val="00230750"/>
    <w:rsid w:val="0023078D"/>
    <w:rsid w:val="00230799"/>
    <w:rsid w:val="002307E7"/>
    <w:rsid w:val="00230903"/>
    <w:rsid w:val="00230975"/>
    <w:rsid w:val="0023097C"/>
    <w:rsid w:val="00230A0D"/>
    <w:rsid w:val="00230A56"/>
    <w:rsid w:val="00230A5F"/>
    <w:rsid w:val="00230AA2"/>
    <w:rsid w:val="00230AA3"/>
    <w:rsid w:val="00230AFC"/>
    <w:rsid w:val="00230B36"/>
    <w:rsid w:val="00230C9F"/>
    <w:rsid w:val="00230CAD"/>
    <w:rsid w:val="00230CC8"/>
    <w:rsid w:val="00230CEC"/>
    <w:rsid w:val="00230CFB"/>
    <w:rsid w:val="00230D07"/>
    <w:rsid w:val="00230DAB"/>
    <w:rsid w:val="00230E6C"/>
    <w:rsid w:val="00230ED4"/>
    <w:rsid w:val="00230F36"/>
    <w:rsid w:val="00230FCA"/>
    <w:rsid w:val="00230FCB"/>
    <w:rsid w:val="00230FCE"/>
    <w:rsid w:val="00230FD6"/>
    <w:rsid w:val="00231049"/>
    <w:rsid w:val="002310A0"/>
    <w:rsid w:val="002310EE"/>
    <w:rsid w:val="00231149"/>
    <w:rsid w:val="00231157"/>
    <w:rsid w:val="002311A0"/>
    <w:rsid w:val="002312C9"/>
    <w:rsid w:val="002312CA"/>
    <w:rsid w:val="00231337"/>
    <w:rsid w:val="00231344"/>
    <w:rsid w:val="00231354"/>
    <w:rsid w:val="00231395"/>
    <w:rsid w:val="002313E5"/>
    <w:rsid w:val="00231433"/>
    <w:rsid w:val="00231460"/>
    <w:rsid w:val="00231474"/>
    <w:rsid w:val="002314CF"/>
    <w:rsid w:val="002314D2"/>
    <w:rsid w:val="00231685"/>
    <w:rsid w:val="0023171A"/>
    <w:rsid w:val="00231764"/>
    <w:rsid w:val="002317C7"/>
    <w:rsid w:val="002317FD"/>
    <w:rsid w:val="00231802"/>
    <w:rsid w:val="00231815"/>
    <w:rsid w:val="002318AD"/>
    <w:rsid w:val="002318EF"/>
    <w:rsid w:val="0023199E"/>
    <w:rsid w:val="00231A36"/>
    <w:rsid w:val="00231A3F"/>
    <w:rsid w:val="00231A98"/>
    <w:rsid w:val="00231B0E"/>
    <w:rsid w:val="00231B2C"/>
    <w:rsid w:val="00231C0C"/>
    <w:rsid w:val="00231C4D"/>
    <w:rsid w:val="00231CB0"/>
    <w:rsid w:val="00231CE6"/>
    <w:rsid w:val="00231CFE"/>
    <w:rsid w:val="00231D1D"/>
    <w:rsid w:val="00231D44"/>
    <w:rsid w:val="00231D4E"/>
    <w:rsid w:val="00231D91"/>
    <w:rsid w:val="00231E08"/>
    <w:rsid w:val="00231E5D"/>
    <w:rsid w:val="00231E68"/>
    <w:rsid w:val="00231F38"/>
    <w:rsid w:val="00231F39"/>
    <w:rsid w:val="00231F7C"/>
    <w:rsid w:val="00231FA5"/>
    <w:rsid w:val="00231FCE"/>
    <w:rsid w:val="00231FDF"/>
    <w:rsid w:val="0023203F"/>
    <w:rsid w:val="002320AA"/>
    <w:rsid w:val="002320FD"/>
    <w:rsid w:val="0023211C"/>
    <w:rsid w:val="00232134"/>
    <w:rsid w:val="0023213C"/>
    <w:rsid w:val="00232153"/>
    <w:rsid w:val="002321B7"/>
    <w:rsid w:val="002322DF"/>
    <w:rsid w:val="0023232E"/>
    <w:rsid w:val="0023239B"/>
    <w:rsid w:val="002323A3"/>
    <w:rsid w:val="00232435"/>
    <w:rsid w:val="00232459"/>
    <w:rsid w:val="00232476"/>
    <w:rsid w:val="002324C2"/>
    <w:rsid w:val="0023250E"/>
    <w:rsid w:val="00232547"/>
    <w:rsid w:val="002325A8"/>
    <w:rsid w:val="0023267E"/>
    <w:rsid w:val="002326E4"/>
    <w:rsid w:val="002326FD"/>
    <w:rsid w:val="00232711"/>
    <w:rsid w:val="00232795"/>
    <w:rsid w:val="0023281B"/>
    <w:rsid w:val="00232828"/>
    <w:rsid w:val="0023282F"/>
    <w:rsid w:val="002328B0"/>
    <w:rsid w:val="002328E6"/>
    <w:rsid w:val="002329A0"/>
    <w:rsid w:val="002329C9"/>
    <w:rsid w:val="00232A48"/>
    <w:rsid w:val="00232A89"/>
    <w:rsid w:val="00232AE3"/>
    <w:rsid w:val="00232AFD"/>
    <w:rsid w:val="00232B01"/>
    <w:rsid w:val="00232B21"/>
    <w:rsid w:val="00232B39"/>
    <w:rsid w:val="00232B9D"/>
    <w:rsid w:val="00232BFF"/>
    <w:rsid w:val="00232D4E"/>
    <w:rsid w:val="00232D5B"/>
    <w:rsid w:val="00232D98"/>
    <w:rsid w:val="00232DE2"/>
    <w:rsid w:val="00232DE6"/>
    <w:rsid w:val="00232DEB"/>
    <w:rsid w:val="00232E6C"/>
    <w:rsid w:val="00232E72"/>
    <w:rsid w:val="00232E85"/>
    <w:rsid w:val="00232E90"/>
    <w:rsid w:val="00232EE2"/>
    <w:rsid w:val="00232F43"/>
    <w:rsid w:val="00232F87"/>
    <w:rsid w:val="00232F91"/>
    <w:rsid w:val="00232FA4"/>
    <w:rsid w:val="00232FF5"/>
    <w:rsid w:val="0023301F"/>
    <w:rsid w:val="00233084"/>
    <w:rsid w:val="002330B2"/>
    <w:rsid w:val="002330B6"/>
    <w:rsid w:val="002330E3"/>
    <w:rsid w:val="002330EE"/>
    <w:rsid w:val="0023314F"/>
    <w:rsid w:val="00233154"/>
    <w:rsid w:val="00233196"/>
    <w:rsid w:val="002331B5"/>
    <w:rsid w:val="00233233"/>
    <w:rsid w:val="00233337"/>
    <w:rsid w:val="0023335A"/>
    <w:rsid w:val="00233374"/>
    <w:rsid w:val="002333AA"/>
    <w:rsid w:val="002333AC"/>
    <w:rsid w:val="002333C1"/>
    <w:rsid w:val="002333ED"/>
    <w:rsid w:val="002334A7"/>
    <w:rsid w:val="00233565"/>
    <w:rsid w:val="0023359B"/>
    <w:rsid w:val="002335D4"/>
    <w:rsid w:val="002335D8"/>
    <w:rsid w:val="0023366F"/>
    <w:rsid w:val="00233698"/>
    <w:rsid w:val="002336E5"/>
    <w:rsid w:val="002337A4"/>
    <w:rsid w:val="002337F9"/>
    <w:rsid w:val="002338DE"/>
    <w:rsid w:val="00233907"/>
    <w:rsid w:val="00233924"/>
    <w:rsid w:val="00233946"/>
    <w:rsid w:val="00233968"/>
    <w:rsid w:val="002339A4"/>
    <w:rsid w:val="002339AE"/>
    <w:rsid w:val="00233A12"/>
    <w:rsid w:val="00233AB7"/>
    <w:rsid w:val="00233AF5"/>
    <w:rsid w:val="00233B48"/>
    <w:rsid w:val="00233B5F"/>
    <w:rsid w:val="00233B8F"/>
    <w:rsid w:val="00233C16"/>
    <w:rsid w:val="00233C25"/>
    <w:rsid w:val="00233C74"/>
    <w:rsid w:val="00233CC1"/>
    <w:rsid w:val="00233CEE"/>
    <w:rsid w:val="00233D76"/>
    <w:rsid w:val="00233D7E"/>
    <w:rsid w:val="00233D90"/>
    <w:rsid w:val="00233DA0"/>
    <w:rsid w:val="00233DB7"/>
    <w:rsid w:val="00233DEE"/>
    <w:rsid w:val="00233EC1"/>
    <w:rsid w:val="00233F02"/>
    <w:rsid w:val="00233F09"/>
    <w:rsid w:val="00233F3B"/>
    <w:rsid w:val="00233F6D"/>
    <w:rsid w:val="002340A9"/>
    <w:rsid w:val="00234146"/>
    <w:rsid w:val="00234156"/>
    <w:rsid w:val="00234170"/>
    <w:rsid w:val="00234265"/>
    <w:rsid w:val="00234274"/>
    <w:rsid w:val="002342C9"/>
    <w:rsid w:val="002343D3"/>
    <w:rsid w:val="002343E2"/>
    <w:rsid w:val="0023442C"/>
    <w:rsid w:val="00234466"/>
    <w:rsid w:val="002344B2"/>
    <w:rsid w:val="0023452A"/>
    <w:rsid w:val="0023458E"/>
    <w:rsid w:val="00234716"/>
    <w:rsid w:val="0023473B"/>
    <w:rsid w:val="0023477D"/>
    <w:rsid w:val="002347A2"/>
    <w:rsid w:val="0023485B"/>
    <w:rsid w:val="00234889"/>
    <w:rsid w:val="0023498D"/>
    <w:rsid w:val="002349A3"/>
    <w:rsid w:val="002349B3"/>
    <w:rsid w:val="00234A03"/>
    <w:rsid w:val="00234A47"/>
    <w:rsid w:val="00234A7C"/>
    <w:rsid w:val="00234A96"/>
    <w:rsid w:val="00234AD6"/>
    <w:rsid w:val="00234B57"/>
    <w:rsid w:val="00234B69"/>
    <w:rsid w:val="00234B6D"/>
    <w:rsid w:val="00234BA3"/>
    <w:rsid w:val="00234C04"/>
    <w:rsid w:val="00234C49"/>
    <w:rsid w:val="00234C73"/>
    <w:rsid w:val="00234D25"/>
    <w:rsid w:val="00234DF4"/>
    <w:rsid w:val="00234FDF"/>
    <w:rsid w:val="00235024"/>
    <w:rsid w:val="00235060"/>
    <w:rsid w:val="00235068"/>
    <w:rsid w:val="002350A4"/>
    <w:rsid w:val="00235122"/>
    <w:rsid w:val="00235132"/>
    <w:rsid w:val="00235151"/>
    <w:rsid w:val="0023520C"/>
    <w:rsid w:val="00235210"/>
    <w:rsid w:val="0023522E"/>
    <w:rsid w:val="00235231"/>
    <w:rsid w:val="0023523C"/>
    <w:rsid w:val="0023523F"/>
    <w:rsid w:val="002352D5"/>
    <w:rsid w:val="002352E7"/>
    <w:rsid w:val="002352F9"/>
    <w:rsid w:val="00235322"/>
    <w:rsid w:val="0023533F"/>
    <w:rsid w:val="002353DD"/>
    <w:rsid w:val="002353FB"/>
    <w:rsid w:val="00235470"/>
    <w:rsid w:val="002354A0"/>
    <w:rsid w:val="0023551A"/>
    <w:rsid w:val="00235571"/>
    <w:rsid w:val="00235588"/>
    <w:rsid w:val="002355F8"/>
    <w:rsid w:val="0023560C"/>
    <w:rsid w:val="00235643"/>
    <w:rsid w:val="0023567A"/>
    <w:rsid w:val="002356FB"/>
    <w:rsid w:val="002357DA"/>
    <w:rsid w:val="00235802"/>
    <w:rsid w:val="0023581E"/>
    <w:rsid w:val="00235860"/>
    <w:rsid w:val="002358A0"/>
    <w:rsid w:val="002358BA"/>
    <w:rsid w:val="00235907"/>
    <w:rsid w:val="00235912"/>
    <w:rsid w:val="0023595F"/>
    <w:rsid w:val="002359CD"/>
    <w:rsid w:val="00235A41"/>
    <w:rsid w:val="00235AA3"/>
    <w:rsid w:val="00235B1A"/>
    <w:rsid w:val="00235B1F"/>
    <w:rsid w:val="00235B31"/>
    <w:rsid w:val="00235B5E"/>
    <w:rsid w:val="00235B95"/>
    <w:rsid w:val="00235C00"/>
    <w:rsid w:val="00235C2F"/>
    <w:rsid w:val="00235D1D"/>
    <w:rsid w:val="00235D38"/>
    <w:rsid w:val="00235D61"/>
    <w:rsid w:val="00235D79"/>
    <w:rsid w:val="00235DE9"/>
    <w:rsid w:val="00235EE3"/>
    <w:rsid w:val="00235F33"/>
    <w:rsid w:val="00235F5F"/>
    <w:rsid w:val="00235FE1"/>
    <w:rsid w:val="00236025"/>
    <w:rsid w:val="00236035"/>
    <w:rsid w:val="0023615A"/>
    <w:rsid w:val="00236184"/>
    <w:rsid w:val="00236238"/>
    <w:rsid w:val="002362B1"/>
    <w:rsid w:val="00236331"/>
    <w:rsid w:val="00236353"/>
    <w:rsid w:val="0023635E"/>
    <w:rsid w:val="00236361"/>
    <w:rsid w:val="00236374"/>
    <w:rsid w:val="002363DA"/>
    <w:rsid w:val="00236450"/>
    <w:rsid w:val="00236510"/>
    <w:rsid w:val="00236560"/>
    <w:rsid w:val="0023656B"/>
    <w:rsid w:val="00236677"/>
    <w:rsid w:val="002367FA"/>
    <w:rsid w:val="0023687E"/>
    <w:rsid w:val="00236A32"/>
    <w:rsid w:val="00236B14"/>
    <w:rsid w:val="00236B5C"/>
    <w:rsid w:val="00236B9D"/>
    <w:rsid w:val="00236BA4"/>
    <w:rsid w:val="00236BCF"/>
    <w:rsid w:val="00236CA9"/>
    <w:rsid w:val="00236CB4"/>
    <w:rsid w:val="00236D32"/>
    <w:rsid w:val="00236D6F"/>
    <w:rsid w:val="00236D8C"/>
    <w:rsid w:val="00236E3D"/>
    <w:rsid w:val="00236EEC"/>
    <w:rsid w:val="00236EF8"/>
    <w:rsid w:val="00236EFE"/>
    <w:rsid w:val="00236F28"/>
    <w:rsid w:val="00236F2C"/>
    <w:rsid w:val="00236F33"/>
    <w:rsid w:val="00236FBA"/>
    <w:rsid w:val="00237016"/>
    <w:rsid w:val="0023706D"/>
    <w:rsid w:val="00237195"/>
    <w:rsid w:val="0023720E"/>
    <w:rsid w:val="0023723C"/>
    <w:rsid w:val="002372A6"/>
    <w:rsid w:val="002372C1"/>
    <w:rsid w:val="002372D3"/>
    <w:rsid w:val="002372D8"/>
    <w:rsid w:val="00237341"/>
    <w:rsid w:val="0023735E"/>
    <w:rsid w:val="0023752E"/>
    <w:rsid w:val="002375BF"/>
    <w:rsid w:val="00237670"/>
    <w:rsid w:val="00237678"/>
    <w:rsid w:val="0023773D"/>
    <w:rsid w:val="002377A6"/>
    <w:rsid w:val="002377E4"/>
    <w:rsid w:val="00237875"/>
    <w:rsid w:val="00237891"/>
    <w:rsid w:val="002378B8"/>
    <w:rsid w:val="00237956"/>
    <w:rsid w:val="00237959"/>
    <w:rsid w:val="0023797B"/>
    <w:rsid w:val="002379EA"/>
    <w:rsid w:val="00237B2C"/>
    <w:rsid w:val="00237B70"/>
    <w:rsid w:val="00237BA3"/>
    <w:rsid w:val="00237BDC"/>
    <w:rsid w:val="00237BE9"/>
    <w:rsid w:val="00237E40"/>
    <w:rsid w:val="00237EE9"/>
    <w:rsid w:val="00237EF8"/>
    <w:rsid w:val="00237F01"/>
    <w:rsid w:val="00237F3D"/>
    <w:rsid w:val="00237F5E"/>
    <w:rsid w:val="00237F66"/>
    <w:rsid w:val="0024002F"/>
    <w:rsid w:val="00240041"/>
    <w:rsid w:val="00240089"/>
    <w:rsid w:val="002400A0"/>
    <w:rsid w:val="002400C0"/>
    <w:rsid w:val="002400FE"/>
    <w:rsid w:val="0024017E"/>
    <w:rsid w:val="002401C8"/>
    <w:rsid w:val="002402A3"/>
    <w:rsid w:val="00240300"/>
    <w:rsid w:val="00240357"/>
    <w:rsid w:val="0024036E"/>
    <w:rsid w:val="00240389"/>
    <w:rsid w:val="002403CB"/>
    <w:rsid w:val="00240431"/>
    <w:rsid w:val="00240439"/>
    <w:rsid w:val="00240493"/>
    <w:rsid w:val="0024049B"/>
    <w:rsid w:val="002404BC"/>
    <w:rsid w:val="002404DE"/>
    <w:rsid w:val="0024054F"/>
    <w:rsid w:val="00240593"/>
    <w:rsid w:val="002405F1"/>
    <w:rsid w:val="002406A4"/>
    <w:rsid w:val="002406DC"/>
    <w:rsid w:val="002406E6"/>
    <w:rsid w:val="002406EB"/>
    <w:rsid w:val="0024074D"/>
    <w:rsid w:val="00240934"/>
    <w:rsid w:val="002409BD"/>
    <w:rsid w:val="002409D2"/>
    <w:rsid w:val="00240A1E"/>
    <w:rsid w:val="00240A53"/>
    <w:rsid w:val="00240ADC"/>
    <w:rsid w:val="00240B23"/>
    <w:rsid w:val="00240B7C"/>
    <w:rsid w:val="00240BE3"/>
    <w:rsid w:val="00240BF4"/>
    <w:rsid w:val="00240C51"/>
    <w:rsid w:val="00240CE6"/>
    <w:rsid w:val="00240DC9"/>
    <w:rsid w:val="00240E02"/>
    <w:rsid w:val="00240E1A"/>
    <w:rsid w:val="00240E27"/>
    <w:rsid w:val="00240E46"/>
    <w:rsid w:val="00240E83"/>
    <w:rsid w:val="00240EDF"/>
    <w:rsid w:val="00240F06"/>
    <w:rsid w:val="00240F43"/>
    <w:rsid w:val="00240F6D"/>
    <w:rsid w:val="00240F74"/>
    <w:rsid w:val="00240F7A"/>
    <w:rsid w:val="00241025"/>
    <w:rsid w:val="00241031"/>
    <w:rsid w:val="00241098"/>
    <w:rsid w:val="002411AE"/>
    <w:rsid w:val="002411FD"/>
    <w:rsid w:val="0024121C"/>
    <w:rsid w:val="00241237"/>
    <w:rsid w:val="002412E4"/>
    <w:rsid w:val="00241369"/>
    <w:rsid w:val="002413EC"/>
    <w:rsid w:val="0024143D"/>
    <w:rsid w:val="00241538"/>
    <w:rsid w:val="00241550"/>
    <w:rsid w:val="002415E0"/>
    <w:rsid w:val="002415F6"/>
    <w:rsid w:val="00241676"/>
    <w:rsid w:val="002416C8"/>
    <w:rsid w:val="0024179B"/>
    <w:rsid w:val="00241881"/>
    <w:rsid w:val="002418D1"/>
    <w:rsid w:val="00241984"/>
    <w:rsid w:val="002419E2"/>
    <w:rsid w:val="00241A2B"/>
    <w:rsid w:val="00241BD9"/>
    <w:rsid w:val="00241C04"/>
    <w:rsid w:val="00241C06"/>
    <w:rsid w:val="00241C4F"/>
    <w:rsid w:val="00241CB7"/>
    <w:rsid w:val="00241D0F"/>
    <w:rsid w:val="00241D24"/>
    <w:rsid w:val="00241DC8"/>
    <w:rsid w:val="00241DE9"/>
    <w:rsid w:val="00241EF1"/>
    <w:rsid w:val="00241F29"/>
    <w:rsid w:val="00241FF0"/>
    <w:rsid w:val="00242060"/>
    <w:rsid w:val="0024214F"/>
    <w:rsid w:val="00242151"/>
    <w:rsid w:val="0024216A"/>
    <w:rsid w:val="0024219A"/>
    <w:rsid w:val="00242240"/>
    <w:rsid w:val="00242253"/>
    <w:rsid w:val="0024227A"/>
    <w:rsid w:val="002422BD"/>
    <w:rsid w:val="00242342"/>
    <w:rsid w:val="00242371"/>
    <w:rsid w:val="0024237D"/>
    <w:rsid w:val="002423AB"/>
    <w:rsid w:val="002424CF"/>
    <w:rsid w:val="00242503"/>
    <w:rsid w:val="00242560"/>
    <w:rsid w:val="0024258C"/>
    <w:rsid w:val="002425BD"/>
    <w:rsid w:val="002425E6"/>
    <w:rsid w:val="00242631"/>
    <w:rsid w:val="0024268A"/>
    <w:rsid w:val="002426A3"/>
    <w:rsid w:val="002426FA"/>
    <w:rsid w:val="00242770"/>
    <w:rsid w:val="002427F4"/>
    <w:rsid w:val="00242808"/>
    <w:rsid w:val="00242881"/>
    <w:rsid w:val="002428B1"/>
    <w:rsid w:val="002428CA"/>
    <w:rsid w:val="002428D9"/>
    <w:rsid w:val="002428E0"/>
    <w:rsid w:val="0024296A"/>
    <w:rsid w:val="0024297E"/>
    <w:rsid w:val="002429ED"/>
    <w:rsid w:val="002429F2"/>
    <w:rsid w:val="00242A18"/>
    <w:rsid w:val="00242A64"/>
    <w:rsid w:val="00242AD1"/>
    <w:rsid w:val="00242AE7"/>
    <w:rsid w:val="00242B56"/>
    <w:rsid w:val="00242B5C"/>
    <w:rsid w:val="00242BCF"/>
    <w:rsid w:val="00242BD6"/>
    <w:rsid w:val="00242BFF"/>
    <w:rsid w:val="00242C10"/>
    <w:rsid w:val="00242C16"/>
    <w:rsid w:val="00242C4D"/>
    <w:rsid w:val="00242C6F"/>
    <w:rsid w:val="00242CE6"/>
    <w:rsid w:val="00242CF2"/>
    <w:rsid w:val="00242D11"/>
    <w:rsid w:val="00242D55"/>
    <w:rsid w:val="00242DC5"/>
    <w:rsid w:val="00242DE2"/>
    <w:rsid w:val="00242DE8"/>
    <w:rsid w:val="00242DF0"/>
    <w:rsid w:val="00242E2D"/>
    <w:rsid w:val="00242E86"/>
    <w:rsid w:val="00242EEF"/>
    <w:rsid w:val="00242FF0"/>
    <w:rsid w:val="0024308D"/>
    <w:rsid w:val="00243111"/>
    <w:rsid w:val="0024318B"/>
    <w:rsid w:val="002431B5"/>
    <w:rsid w:val="002431D1"/>
    <w:rsid w:val="0024322F"/>
    <w:rsid w:val="00243235"/>
    <w:rsid w:val="002432E0"/>
    <w:rsid w:val="002432F9"/>
    <w:rsid w:val="00243357"/>
    <w:rsid w:val="002433D7"/>
    <w:rsid w:val="00243448"/>
    <w:rsid w:val="002434C7"/>
    <w:rsid w:val="002434ED"/>
    <w:rsid w:val="0024355B"/>
    <w:rsid w:val="002435A6"/>
    <w:rsid w:val="0024361E"/>
    <w:rsid w:val="002436B6"/>
    <w:rsid w:val="00243783"/>
    <w:rsid w:val="0024378C"/>
    <w:rsid w:val="002437B5"/>
    <w:rsid w:val="0024385F"/>
    <w:rsid w:val="002438AC"/>
    <w:rsid w:val="00243923"/>
    <w:rsid w:val="00243942"/>
    <w:rsid w:val="00243A12"/>
    <w:rsid w:val="00243ABA"/>
    <w:rsid w:val="00243AF1"/>
    <w:rsid w:val="00243B6A"/>
    <w:rsid w:val="00243BE7"/>
    <w:rsid w:val="00243D10"/>
    <w:rsid w:val="00243D6B"/>
    <w:rsid w:val="00243F18"/>
    <w:rsid w:val="00243F21"/>
    <w:rsid w:val="00243F2E"/>
    <w:rsid w:val="00243F54"/>
    <w:rsid w:val="00243F75"/>
    <w:rsid w:val="00243F77"/>
    <w:rsid w:val="00243FFC"/>
    <w:rsid w:val="00244015"/>
    <w:rsid w:val="00244075"/>
    <w:rsid w:val="002440A9"/>
    <w:rsid w:val="002440B2"/>
    <w:rsid w:val="002441CE"/>
    <w:rsid w:val="002441E6"/>
    <w:rsid w:val="002442B4"/>
    <w:rsid w:val="00244366"/>
    <w:rsid w:val="002443B3"/>
    <w:rsid w:val="002443B7"/>
    <w:rsid w:val="002443E5"/>
    <w:rsid w:val="0024449A"/>
    <w:rsid w:val="00244513"/>
    <w:rsid w:val="00244567"/>
    <w:rsid w:val="002445CF"/>
    <w:rsid w:val="002445E4"/>
    <w:rsid w:val="002445F9"/>
    <w:rsid w:val="0024473F"/>
    <w:rsid w:val="00244740"/>
    <w:rsid w:val="00244770"/>
    <w:rsid w:val="002447B3"/>
    <w:rsid w:val="0024485A"/>
    <w:rsid w:val="002448D3"/>
    <w:rsid w:val="002448DE"/>
    <w:rsid w:val="002448E1"/>
    <w:rsid w:val="00244967"/>
    <w:rsid w:val="00244992"/>
    <w:rsid w:val="00244A13"/>
    <w:rsid w:val="00244A76"/>
    <w:rsid w:val="00244A9A"/>
    <w:rsid w:val="00244B49"/>
    <w:rsid w:val="00244B56"/>
    <w:rsid w:val="00244B6F"/>
    <w:rsid w:val="00244C23"/>
    <w:rsid w:val="00244C35"/>
    <w:rsid w:val="00244DC7"/>
    <w:rsid w:val="00244DE3"/>
    <w:rsid w:val="00244E07"/>
    <w:rsid w:val="00244E71"/>
    <w:rsid w:val="00244E89"/>
    <w:rsid w:val="00244E9F"/>
    <w:rsid w:val="00244EC5"/>
    <w:rsid w:val="00244EE4"/>
    <w:rsid w:val="00244F27"/>
    <w:rsid w:val="0024501F"/>
    <w:rsid w:val="00245036"/>
    <w:rsid w:val="00245064"/>
    <w:rsid w:val="002450AF"/>
    <w:rsid w:val="002450C6"/>
    <w:rsid w:val="002450FA"/>
    <w:rsid w:val="0024511B"/>
    <w:rsid w:val="00245123"/>
    <w:rsid w:val="0024512E"/>
    <w:rsid w:val="0024516D"/>
    <w:rsid w:val="0024518B"/>
    <w:rsid w:val="002451B0"/>
    <w:rsid w:val="00245240"/>
    <w:rsid w:val="00245242"/>
    <w:rsid w:val="002452B6"/>
    <w:rsid w:val="002452DF"/>
    <w:rsid w:val="002452F6"/>
    <w:rsid w:val="00245310"/>
    <w:rsid w:val="0024531F"/>
    <w:rsid w:val="002453A1"/>
    <w:rsid w:val="0024545A"/>
    <w:rsid w:val="0024546F"/>
    <w:rsid w:val="00245481"/>
    <w:rsid w:val="002454BC"/>
    <w:rsid w:val="002454CB"/>
    <w:rsid w:val="002454E8"/>
    <w:rsid w:val="00245566"/>
    <w:rsid w:val="0024565A"/>
    <w:rsid w:val="0024572A"/>
    <w:rsid w:val="00245738"/>
    <w:rsid w:val="00245797"/>
    <w:rsid w:val="002457F5"/>
    <w:rsid w:val="00245855"/>
    <w:rsid w:val="002458A6"/>
    <w:rsid w:val="002458C3"/>
    <w:rsid w:val="0024592D"/>
    <w:rsid w:val="0024596D"/>
    <w:rsid w:val="002459E5"/>
    <w:rsid w:val="00245A0B"/>
    <w:rsid w:val="00245AE5"/>
    <w:rsid w:val="00245B53"/>
    <w:rsid w:val="00245B80"/>
    <w:rsid w:val="00245BBB"/>
    <w:rsid w:val="00245BC4"/>
    <w:rsid w:val="00245C4E"/>
    <w:rsid w:val="00245CEE"/>
    <w:rsid w:val="00245D11"/>
    <w:rsid w:val="00245D2B"/>
    <w:rsid w:val="00245D45"/>
    <w:rsid w:val="00245D4C"/>
    <w:rsid w:val="00245DBE"/>
    <w:rsid w:val="00245E81"/>
    <w:rsid w:val="00245E8E"/>
    <w:rsid w:val="00245EA7"/>
    <w:rsid w:val="00245EC9"/>
    <w:rsid w:val="00245EE3"/>
    <w:rsid w:val="00245EEC"/>
    <w:rsid w:val="00245F14"/>
    <w:rsid w:val="00245F25"/>
    <w:rsid w:val="00245F4A"/>
    <w:rsid w:val="00245F6C"/>
    <w:rsid w:val="00245FA7"/>
    <w:rsid w:val="00245FAF"/>
    <w:rsid w:val="00245FBC"/>
    <w:rsid w:val="00246023"/>
    <w:rsid w:val="0024608A"/>
    <w:rsid w:val="0024609D"/>
    <w:rsid w:val="0024617C"/>
    <w:rsid w:val="0024617F"/>
    <w:rsid w:val="00246180"/>
    <w:rsid w:val="0024624C"/>
    <w:rsid w:val="00246268"/>
    <w:rsid w:val="00246288"/>
    <w:rsid w:val="002462D1"/>
    <w:rsid w:val="0024636B"/>
    <w:rsid w:val="00246413"/>
    <w:rsid w:val="002464DE"/>
    <w:rsid w:val="002464EA"/>
    <w:rsid w:val="002464FA"/>
    <w:rsid w:val="0024659E"/>
    <w:rsid w:val="0024661B"/>
    <w:rsid w:val="00246733"/>
    <w:rsid w:val="0024681A"/>
    <w:rsid w:val="00246850"/>
    <w:rsid w:val="002468DD"/>
    <w:rsid w:val="002468F8"/>
    <w:rsid w:val="00246938"/>
    <w:rsid w:val="0024693E"/>
    <w:rsid w:val="002469AA"/>
    <w:rsid w:val="00246A6E"/>
    <w:rsid w:val="00246A7B"/>
    <w:rsid w:val="00246AE6"/>
    <w:rsid w:val="00246B4B"/>
    <w:rsid w:val="00246B4D"/>
    <w:rsid w:val="00246B56"/>
    <w:rsid w:val="00246B6E"/>
    <w:rsid w:val="00246C26"/>
    <w:rsid w:val="00246C5D"/>
    <w:rsid w:val="00246C6D"/>
    <w:rsid w:val="00246C76"/>
    <w:rsid w:val="00246C9A"/>
    <w:rsid w:val="00246D2E"/>
    <w:rsid w:val="00246D45"/>
    <w:rsid w:val="00246D89"/>
    <w:rsid w:val="00246DD4"/>
    <w:rsid w:val="00246DE3"/>
    <w:rsid w:val="00246E95"/>
    <w:rsid w:val="00246EE2"/>
    <w:rsid w:val="00246EEE"/>
    <w:rsid w:val="00246FEE"/>
    <w:rsid w:val="0024704E"/>
    <w:rsid w:val="00247087"/>
    <w:rsid w:val="0024711C"/>
    <w:rsid w:val="002471B7"/>
    <w:rsid w:val="002471E0"/>
    <w:rsid w:val="002472A2"/>
    <w:rsid w:val="0024735A"/>
    <w:rsid w:val="0024737A"/>
    <w:rsid w:val="00247418"/>
    <w:rsid w:val="00247482"/>
    <w:rsid w:val="002474CB"/>
    <w:rsid w:val="00247511"/>
    <w:rsid w:val="002475B7"/>
    <w:rsid w:val="0024764E"/>
    <w:rsid w:val="00247742"/>
    <w:rsid w:val="00247752"/>
    <w:rsid w:val="0024778F"/>
    <w:rsid w:val="002478EA"/>
    <w:rsid w:val="00247938"/>
    <w:rsid w:val="002479ED"/>
    <w:rsid w:val="00247A26"/>
    <w:rsid w:val="00247A42"/>
    <w:rsid w:val="00247A86"/>
    <w:rsid w:val="00247A90"/>
    <w:rsid w:val="00247AE3"/>
    <w:rsid w:val="00247B1A"/>
    <w:rsid w:val="00247B23"/>
    <w:rsid w:val="00247B6B"/>
    <w:rsid w:val="00247B9D"/>
    <w:rsid w:val="00247BA3"/>
    <w:rsid w:val="00247C13"/>
    <w:rsid w:val="00247C16"/>
    <w:rsid w:val="00247C7D"/>
    <w:rsid w:val="00247CB0"/>
    <w:rsid w:val="00247CB2"/>
    <w:rsid w:val="00247CC2"/>
    <w:rsid w:val="00247CEA"/>
    <w:rsid w:val="00247D0C"/>
    <w:rsid w:val="00247D76"/>
    <w:rsid w:val="00247E02"/>
    <w:rsid w:val="00247E34"/>
    <w:rsid w:val="00247F7C"/>
    <w:rsid w:val="00247FFE"/>
    <w:rsid w:val="0025008D"/>
    <w:rsid w:val="002500D3"/>
    <w:rsid w:val="00250129"/>
    <w:rsid w:val="00250166"/>
    <w:rsid w:val="002501AE"/>
    <w:rsid w:val="00250232"/>
    <w:rsid w:val="00250280"/>
    <w:rsid w:val="00250295"/>
    <w:rsid w:val="0025029E"/>
    <w:rsid w:val="0025035F"/>
    <w:rsid w:val="00250388"/>
    <w:rsid w:val="002503B8"/>
    <w:rsid w:val="0025042D"/>
    <w:rsid w:val="0025044C"/>
    <w:rsid w:val="0025049D"/>
    <w:rsid w:val="002504BF"/>
    <w:rsid w:val="0025065B"/>
    <w:rsid w:val="00250723"/>
    <w:rsid w:val="0025074D"/>
    <w:rsid w:val="00250760"/>
    <w:rsid w:val="0025077C"/>
    <w:rsid w:val="002507A0"/>
    <w:rsid w:val="0025081F"/>
    <w:rsid w:val="00250837"/>
    <w:rsid w:val="00250894"/>
    <w:rsid w:val="002508C5"/>
    <w:rsid w:val="00250A4B"/>
    <w:rsid w:val="00250ADA"/>
    <w:rsid w:val="00250B22"/>
    <w:rsid w:val="00250B3D"/>
    <w:rsid w:val="00250B97"/>
    <w:rsid w:val="00250BAA"/>
    <w:rsid w:val="00250C96"/>
    <w:rsid w:val="00250CA2"/>
    <w:rsid w:val="00250CAD"/>
    <w:rsid w:val="00250CD2"/>
    <w:rsid w:val="00250CDC"/>
    <w:rsid w:val="00250CEC"/>
    <w:rsid w:val="00250D76"/>
    <w:rsid w:val="00250D97"/>
    <w:rsid w:val="00250D98"/>
    <w:rsid w:val="00250DF9"/>
    <w:rsid w:val="00250E66"/>
    <w:rsid w:val="00250E6B"/>
    <w:rsid w:val="00250F0B"/>
    <w:rsid w:val="00250F77"/>
    <w:rsid w:val="00250F83"/>
    <w:rsid w:val="00250FB6"/>
    <w:rsid w:val="00251001"/>
    <w:rsid w:val="002510C2"/>
    <w:rsid w:val="002510DD"/>
    <w:rsid w:val="00251122"/>
    <w:rsid w:val="002512EE"/>
    <w:rsid w:val="00251346"/>
    <w:rsid w:val="002513A1"/>
    <w:rsid w:val="00251457"/>
    <w:rsid w:val="0025148B"/>
    <w:rsid w:val="00251521"/>
    <w:rsid w:val="00251536"/>
    <w:rsid w:val="002515C6"/>
    <w:rsid w:val="002515ED"/>
    <w:rsid w:val="002515F3"/>
    <w:rsid w:val="0025170A"/>
    <w:rsid w:val="0025174F"/>
    <w:rsid w:val="00251848"/>
    <w:rsid w:val="002518B2"/>
    <w:rsid w:val="002518E9"/>
    <w:rsid w:val="00251910"/>
    <w:rsid w:val="00251967"/>
    <w:rsid w:val="00251A3D"/>
    <w:rsid w:val="00251AD3"/>
    <w:rsid w:val="00251AED"/>
    <w:rsid w:val="00251B00"/>
    <w:rsid w:val="00251B26"/>
    <w:rsid w:val="00251B35"/>
    <w:rsid w:val="00251B43"/>
    <w:rsid w:val="00251BC3"/>
    <w:rsid w:val="00251BFB"/>
    <w:rsid w:val="00251C0A"/>
    <w:rsid w:val="00251C58"/>
    <w:rsid w:val="00251C8C"/>
    <w:rsid w:val="00251C8D"/>
    <w:rsid w:val="00251CDB"/>
    <w:rsid w:val="00251CEE"/>
    <w:rsid w:val="00251CF8"/>
    <w:rsid w:val="00251CFE"/>
    <w:rsid w:val="00251D46"/>
    <w:rsid w:val="00251D9E"/>
    <w:rsid w:val="00251E8A"/>
    <w:rsid w:val="00251F3E"/>
    <w:rsid w:val="00251FC8"/>
    <w:rsid w:val="00252012"/>
    <w:rsid w:val="00252029"/>
    <w:rsid w:val="0025208C"/>
    <w:rsid w:val="00252092"/>
    <w:rsid w:val="0025216F"/>
    <w:rsid w:val="002521CC"/>
    <w:rsid w:val="0025220B"/>
    <w:rsid w:val="0025221C"/>
    <w:rsid w:val="0025229D"/>
    <w:rsid w:val="00252357"/>
    <w:rsid w:val="0025238A"/>
    <w:rsid w:val="002523B2"/>
    <w:rsid w:val="00252437"/>
    <w:rsid w:val="0025260F"/>
    <w:rsid w:val="0025267D"/>
    <w:rsid w:val="002526C0"/>
    <w:rsid w:val="002526C3"/>
    <w:rsid w:val="00252748"/>
    <w:rsid w:val="0025279A"/>
    <w:rsid w:val="002527A7"/>
    <w:rsid w:val="002527DB"/>
    <w:rsid w:val="00252801"/>
    <w:rsid w:val="0025281C"/>
    <w:rsid w:val="002528B4"/>
    <w:rsid w:val="00252906"/>
    <w:rsid w:val="00252926"/>
    <w:rsid w:val="00252970"/>
    <w:rsid w:val="00252999"/>
    <w:rsid w:val="002529A8"/>
    <w:rsid w:val="002529E3"/>
    <w:rsid w:val="00252A6F"/>
    <w:rsid w:val="00252A7B"/>
    <w:rsid w:val="00252ACC"/>
    <w:rsid w:val="00252B62"/>
    <w:rsid w:val="00252B80"/>
    <w:rsid w:val="00252B9F"/>
    <w:rsid w:val="00252BFD"/>
    <w:rsid w:val="00252C17"/>
    <w:rsid w:val="00252CC8"/>
    <w:rsid w:val="00252CCE"/>
    <w:rsid w:val="00252D37"/>
    <w:rsid w:val="00252D72"/>
    <w:rsid w:val="00252DF1"/>
    <w:rsid w:val="00252E49"/>
    <w:rsid w:val="00252E61"/>
    <w:rsid w:val="00252EB6"/>
    <w:rsid w:val="00252FAC"/>
    <w:rsid w:val="00253001"/>
    <w:rsid w:val="0025300E"/>
    <w:rsid w:val="0025303A"/>
    <w:rsid w:val="00253049"/>
    <w:rsid w:val="0025314E"/>
    <w:rsid w:val="0025317F"/>
    <w:rsid w:val="00253193"/>
    <w:rsid w:val="002531E8"/>
    <w:rsid w:val="00253247"/>
    <w:rsid w:val="0025329A"/>
    <w:rsid w:val="002532B3"/>
    <w:rsid w:val="0025337E"/>
    <w:rsid w:val="002533D5"/>
    <w:rsid w:val="002533F9"/>
    <w:rsid w:val="00253493"/>
    <w:rsid w:val="002534B6"/>
    <w:rsid w:val="002534C7"/>
    <w:rsid w:val="002534CD"/>
    <w:rsid w:val="00253568"/>
    <w:rsid w:val="0025358F"/>
    <w:rsid w:val="0025360B"/>
    <w:rsid w:val="0025361D"/>
    <w:rsid w:val="0025363D"/>
    <w:rsid w:val="00253652"/>
    <w:rsid w:val="0025365A"/>
    <w:rsid w:val="0025365D"/>
    <w:rsid w:val="002536AF"/>
    <w:rsid w:val="0025371E"/>
    <w:rsid w:val="0025373F"/>
    <w:rsid w:val="00253793"/>
    <w:rsid w:val="002537B0"/>
    <w:rsid w:val="002537C3"/>
    <w:rsid w:val="002537F7"/>
    <w:rsid w:val="00253856"/>
    <w:rsid w:val="002538D6"/>
    <w:rsid w:val="00253A6E"/>
    <w:rsid w:val="00253AF0"/>
    <w:rsid w:val="00253BBD"/>
    <w:rsid w:val="00253BCB"/>
    <w:rsid w:val="00253BD8"/>
    <w:rsid w:val="00253CD1"/>
    <w:rsid w:val="00253D4F"/>
    <w:rsid w:val="00253DD0"/>
    <w:rsid w:val="00253E1C"/>
    <w:rsid w:val="00253E2A"/>
    <w:rsid w:val="00253ED9"/>
    <w:rsid w:val="00253EED"/>
    <w:rsid w:val="00253F29"/>
    <w:rsid w:val="00253FDB"/>
    <w:rsid w:val="00254000"/>
    <w:rsid w:val="0025409C"/>
    <w:rsid w:val="002540DE"/>
    <w:rsid w:val="00254225"/>
    <w:rsid w:val="00254269"/>
    <w:rsid w:val="002542A7"/>
    <w:rsid w:val="002542FD"/>
    <w:rsid w:val="0025435C"/>
    <w:rsid w:val="002543DE"/>
    <w:rsid w:val="00254435"/>
    <w:rsid w:val="0025447D"/>
    <w:rsid w:val="00254580"/>
    <w:rsid w:val="002545A6"/>
    <w:rsid w:val="002545AD"/>
    <w:rsid w:val="002546E6"/>
    <w:rsid w:val="002547C1"/>
    <w:rsid w:val="002547E1"/>
    <w:rsid w:val="002547F2"/>
    <w:rsid w:val="00254813"/>
    <w:rsid w:val="00254820"/>
    <w:rsid w:val="00254824"/>
    <w:rsid w:val="00254835"/>
    <w:rsid w:val="002548B4"/>
    <w:rsid w:val="002548E9"/>
    <w:rsid w:val="00254931"/>
    <w:rsid w:val="00254B5F"/>
    <w:rsid w:val="00254BAD"/>
    <w:rsid w:val="00254BD8"/>
    <w:rsid w:val="00254CAA"/>
    <w:rsid w:val="00254CD3"/>
    <w:rsid w:val="00254CEF"/>
    <w:rsid w:val="00254DD0"/>
    <w:rsid w:val="00254E24"/>
    <w:rsid w:val="00254ED2"/>
    <w:rsid w:val="00254EF3"/>
    <w:rsid w:val="00254FA0"/>
    <w:rsid w:val="002550A5"/>
    <w:rsid w:val="002550AA"/>
    <w:rsid w:val="0025512B"/>
    <w:rsid w:val="00255171"/>
    <w:rsid w:val="002551B2"/>
    <w:rsid w:val="002551EC"/>
    <w:rsid w:val="002552CF"/>
    <w:rsid w:val="0025532E"/>
    <w:rsid w:val="002553FF"/>
    <w:rsid w:val="002554A2"/>
    <w:rsid w:val="002554E9"/>
    <w:rsid w:val="00255525"/>
    <w:rsid w:val="00255653"/>
    <w:rsid w:val="00255663"/>
    <w:rsid w:val="0025568B"/>
    <w:rsid w:val="002556E5"/>
    <w:rsid w:val="00255794"/>
    <w:rsid w:val="002557B4"/>
    <w:rsid w:val="002557E4"/>
    <w:rsid w:val="00255826"/>
    <w:rsid w:val="0025583A"/>
    <w:rsid w:val="00255889"/>
    <w:rsid w:val="002558B2"/>
    <w:rsid w:val="0025592D"/>
    <w:rsid w:val="00255939"/>
    <w:rsid w:val="00255943"/>
    <w:rsid w:val="00255948"/>
    <w:rsid w:val="00255966"/>
    <w:rsid w:val="002559EF"/>
    <w:rsid w:val="00255A09"/>
    <w:rsid w:val="00255A4F"/>
    <w:rsid w:val="00255A69"/>
    <w:rsid w:val="00255AE9"/>
    <w:rsid w:val="00255B7F"/>
    <w:rsid w:val="00255B8B"/>
    <w:rsid w:val="00255BDC"/>
    <w:rsid w:val="00255C67"/>
    <w:rsid w:val="00255C95"/>
    <w:rsid w:val="00255CAC"/>
    <w:rsid w:val="00255D06"/>
    <w:rsid w:val="00255D10"/>
    <w:rsid w:val="00255D4F"/>
    <w:rsid w:val="00255D59"/>
    <w:rsid w:val="00255E55"/>
    <w:rsid w:val="00255F12"/>
    <w:rsid w:val="00255F1B"/>
    <w:rsid w:val="00255F1C"/>
    <w:rsid w:val="00255F76"/>
    <w:rsid w:val="00255F9F"/>
    <w:rsid w:val="00255FB3"/>
    <w:rsid w:val="0025601B"/>
    <w:rsid w:val="002560BD"/>
    <w:rsid w:val="002560C2"/>
    <w:rsid w:val="00256132"/>
    <w:rsid w:val="00256137"/>
    <w:rsid w:val="00256150"/>
    <w:rsid w:val="002561C9"/>
    <w:rsid w:val="002561DD"/>
    <w:rsid w:val="002561FC"/>
    <w:rsid w:val="00256204"/>
    <w:rsid w:val="00256269"/>
    <w:rsid w:val="002562D3"/>
    <w:rsid w:val="0025632E"/>
    <w:rsid w:val="00256410"/>
    <w:rsid w:val="00256424"/>
    <w:rsid w:val="00256430"/>
    <w:rsid w:val="002565A0"/>
    <w:rsid w:val="002565D0"/>
    <w:rsid w:val="00256638"/>
    <w:rsid w:val="0025668B"/>
    <w:rsid w:val="002566B4"/>
    <w:rsid w:val="002566C2"/>
    <w:rsid w:val="002566C3"/>
    <w:rsid w:val="0025679B"/>
    <w:rsid w:val="0025681E"/>
    <w:rsid w:val="002568C7"/>
    <w:rsid w:val="002568F3"/>
    <w:rsid w:val="002568FC"/>
    <w:rsid w:val="0025691A"/>
    <w:rsid w:val="00256939"/>
    <w:rsid w:val="0025697F"/>
    <w:rsid w:val="002569B3"/>
    <w:rsid w:val="002569F0"/>
    <w:rsid w:val="00256A2F"/>
    <w:rsid w:val="00256A31"/>
    <w:rsid w:val="00256A62"/>
    <w:rsid w:val="00256A7F"/>
    <w:rsid w:val="00256AA8"/>
    <w:rsid w:val="00256AE9"/>
    <w:rsid w:val="00256B01"/>
    <w:rsid w:val="00256B0F"/>
    <w:rsid w:val="00256B7F"/>
    <w:rsid w:val="00256C0F"/>
    <w:rsid w:val="00256C44"/>
    <w:rsid w:val="00256C52"/>
    <w:rsid w:val="00256C89"/>
    <w:rsid w:val="00256D7E"/>
    <w:rsid w:val="00256E53"/>
    <w:rsid w:val="00256E64"/>
    <w:rsid w:val="00256E7C"/>
    <w:rsid w:val="00256F25"/>
    <w:rsid w:val="00256F26"/>
    <w:rsid w:val="00256F47"/>
    <w:rsid w:val="00256F75"/>
    <w:rsid w:val="00256F7B"/>
    <w:rsid w:val="00256FCC"/>
    <w:rsid w:val="00257046"/>
    <w:rsid w:val="002570A2"/>
    <w:rsid w:val="002570FE"/>
    <w:rsid w:val="00257117"/>
    <w:rsid w:val="00257199"/>
    <w:rsid w:val="002571AD"/>
    <w:rsid w:val="002571C6"/>
    <w:rsid w:val="0025726B"/>
    <w:rsid w:val="0025729F"/>
    <w:rsid w:val="002573C2"/>
    <w:rsid w:val="002573DE"/>
    <w:rsid w:val="00257455"/>
    <w:rsid w:val="00257491"/>
    <w:rsid w:val="002574A1"/>
    <w:rsid w:val="002574C7"/>
    <w:rsid w:val="002574CB"/>
    <w:rsid w:val="002574E4"/>
    <w:rsid w:val="0025750A"/>
    <w:rsid w:val="00257534"/>
    <w:rsid w:val="00257560"/>
    <w:rsid w:val="00257598"/>
    <w:rsid w:val="002576A3"/>
    <w:rsid w:val="002576CD"/>
    <w:rsid w:val="0025770A"/>
    <w:rsid w:val="0025772D"/>
    <w:rsid w:val="00257782"/>
    <w:rsid w:val="002577CB"/>
    <w:rsid w:val="00257802"/>
    <w:rsid w:val="00257814"/>
    <w:rsid w:val="002578D0"/>
    <w:rsid w:val="00257907"/>
    <w:rsid w:val="002579F3"/>
    <w:rsid w:val="00257A50"/>
    <w:rsid w:val="00257A67"/>
    <w:rsid w:val="00257A76"/>
    <w:rsid w:val="00257AEE"/>
    <w:rsid w:val="00257B1E"/>
    <w:rsid w:val="00257B7F"/>
    <w:rsid w:val="00257B96"/>
    <w:rsid w:val="00257BE9"/>
    <w:rsid w:val="00257BF1"/>
    <w:rsid w:val="00257C48"/>
    <w:rsid w:val="00257C68"/>
    <w:rsid w:val="00257C6A"/>
    <w:rsid w:val="00257C87"/>
    <w:rsid w:val="00257CF5"/>
    <w:rsid w:val="00257D4C"/>
    <w:rsid w:val="00257DC9"/>
    <w:rsid w:val="00257EFC"/>
    <w:rsid w:val="00257F29"/>
    <w:rsid w:val="00257F38"/>
    <w:rsid w:val="00257F4F"/>
    <w:rsid w:val="00257F84"/>
    <w:rsid w:val="00257F88"/>
    <w:rsid w:val="00257F9A"/>
    <w:rsid w:val="00257FBC"/>
    <w:rsid w:val="00257FC3"/>
    <w:rsid w:val="00257FDD"/>
    <w:rsid w:val="00260019"/>
    <w:rsid w:val="00260052"/>
    <w:rsid w:val="002600AD"/>
    <w:rsid w:val="002600E2"/>
    <w:rsid w:val="0026010C"/>
    <w:rsid w:val="002601C2"/>
    <w:rsid w:val="002601DF"/>
    <w:rsid w:val="00260224"/>
    <w:rsid w:val="002602E4"/>
    <w:rsid w:val="00260344"/>
    <w:rsid w:val="00260353"/>
    <w:rsid w:val="002603DE"/>
    <w:rsid w:val="002603EA"/>
    <w:rsid w:val="0026042B"/>
    <w:rsid w:val="0026043A"/>
    <w:rsid w:val="0026043D"/>
    <w:rsid w:val="0026045A"/>
    <w:rsid w:val="0026047F"/>
    <w:rsid w:val="002604A3"/>
    <w:rsid w:val="00260536"/>
    <w:rsid w:val="002605CE"/>
    <w:rsid w:val="002605E4"/>
    <w:rsid w:val="00260649"/>
    <w:rsid w:val="002606B5"/>
    <w:rsid w:val="002606FE"/>
    <w:rsid w:val="0026073F"/>
    <w:rsid w:val="0026076D"/>
    <w:rsid w:val="0026083E"/>
    <w:rsid w:val="00260844"/>
    <w:rsid w:val="0026089E"/>
    <w:rsid w:val="002608AF"/>
    <w:rsid w:val="002608EC"/>
    <w:rsid w:val="002609A7"/>
    <w:rsid w:val="00260A2D"/>
    <w:rsid w:val="00260A6C"/>
    <w:rsid w:val="00260A93"/>
    <w:rsid w:val="00260A9D"/>
    <w:rsid w:val="00260AAC"/>
    <w:rsid w:val="00260B37"/>
    <w:rsid w:val="00260B4F"/>
    <w:rsid w:val="00260B67"/>
    <w:rsid w:val="00260C0F"/>
    <w:rsid w:val="00260C17"/>
    <w:rsid w:val="00260C20"/>
    <w:rsid w:val="00260CBC"/>
    <w:rsid w:val="00260D9B"/>
    <w:rsid w:val="00260DCD"/>
    <w:rsid w:val="00260E7A"/>
    <w:rsid w:val="00260F2F"/>
    <w:rsid w:val="00260F38"/>
    <w:rsid w:val="00260FAA"/>
    <w:rsid w:val="00260FEE"/>
    <w:rsid w:val="00261004"/>
    <w:rsid w:val="00261044"/>
    <w:rsid w:val="00261057"/>
    <w:rsid w:val="00261071"/>
    <w:rsid w:val="0026108E"/>
    <w:rsid w:val="002610DD"/>
    <w:rsid w:val="0026118A"/>
    <w:rsid w:val="0026120C"/>
    <w:rsid w:val="00261212"/>
    <w:rsid w:val="002612B7"/>
    <w:rsid w:val="00261331"/>
    <w:rsid w:val="00261395"/>
    <w:rsid w:val="00261474"/>
    <w:rsid w:val="00261531"/>
    <w:rsid w:val="0026157A"/>
    <w:rsid w:val="002615DD"/>
    <w:rsid w:val="002615F1"/>
    <w:rsid w:val="002615F5"/>
    <w:rsid w:val="0026164A"/>
    <w:rsid w:val="0026166E"/>
    <w:rsid w:val="00261676"/>
    <w:rsid w:val="002616C9"/>
    <w:rsid w:val="002617BF"/>
    <w:rsid w:val="002617D5"/>
    <w:rsid w:val="002617EA"/>
    <w:rsid w:val="00261803"/>
    <w:rsid w:val="00261851"/>
    <w:rsid w:val="00261854"/>
    <w:rsid w:val="0026187A"/>
    <w:rsid w:val="0026188F"/>
    <w:rsid w:val="0026190C"/>
    <w:rsid w:val="00261937"/>
    <w:rsid w:val="00261969"/>
    <w:rsid w:val="002619CF"/>
    <w:rsid w:val="00261A0E"/>
    <w:rsid w:val="00261A15"/>
    <w:rsid w:val="00261A44"/>
    <w:rsid w:val="00261A7B"/>
    <w:rsid w:val="00261AD6"/>
    <w:rsid w:val="00261AFA"/>
    <w:rsid w:val="00261B55"/>
    <w:rsid w:val="00261B60"/>
    <w:rsid w:val="00261B78"/>
    <w:rsid w:val="00261BB9"/>
    <w:rsid w:val="00261BDA"/>
    <w:rsid w:val="00261BEC"/>
    <w:rsid w:val="00261CC2"/>
    <w:rsid w:val="00261CF4"/>
    <w:rsid w:val="00261D47"/>
    <w:rsid w:val="00261D81"/>
    <w:rsid w:val="00261DA8"/>
    <w:rsid w:val="00261F05"/>
    <w:rsid w:val="00261F66"/>
    <w:rsid w:val="00261F81"/>
    <w:rsid w:val="00261F90"/>
    <w:rsid w:val="0026201F"/>
    <w:rsid w:val="0026203A"/>
    <w:rsid w:val="00262095"/>
    <w:rsid w:val="002620A4"/>
    <w:rsid w:val="002620CA"/>
    <w:rsid w:val="00262124"/>
    <w:rsid w:val="0026212C"/>
    <w:rsid w:val="0026214C"/>
    <w:rsid w:val="0026215B"/>
    <w:rsid w:val="002621E2"/>
    <w:rsid w:val="0026223D"/>
    <w:rsid w:val="0026226A"/>
    <w:rsid w:val="002622BE"/>
    <w:rsid w:val="00262306"/>
    <w:rsid w:val="0026244D"/>
    <w:rsid w:val="0026244F"/>
    <w:rsid w:val="00262463"/>
    <w:rsid w:val="00262483"/>
    <w:rsid w:val="002624B1"/>
    <w:rsid w:val="002624DF"/>
    <w:rsid w:val="002624FA"/>
    <w:rsid w:val="0026259E"/>
    <w:rsid w:val="002625C2"/>
    <w:rsid w:val="00262692"/>
    <w:rsid w:val="002626E2"/>
    <w:rsid w:val="002626F4"/>
    <w:rsid w:val="00262735"/>
    <w:rsid w:val="00262794"/>
    <w:rsid w:val="002627D8"/>
    <w:rsid w:val="002628E3"/>
    <w:rsid w:val="0026294B"/>
    <w:rsid w:val="00262993"/>
    <w:rsid w:val="002629A7"/>
    <w:rsid w:val="002629CA"/>
    <w:rsid w:val="002629DC"/>
    <w:rsid w:val="002629DD"/>
    <w:rsid w:val="002629F0"/>
    <w:rsid w:val="00262A2E"/>
    <w:rsid w:val="00262A97"/>
    <w:rsid w:val="00262ABD"/>
    <w:rsid w:val="00262BAD"/>
    <w:rsid w:val="00262C6A"/>
    <w:rsid w:val="00262C94"/>
    <w:rsid w:val="00262C99"/>
    <w:rsid w:val="00262CCF"/>
    <w:rsid w:val="00262CD8"/>
    <w:rsid w:val="00262D23"/>
    <w:rsid w:val="00262D86"/>
    <w:rsid w:val="00262D98"/>
    <w:rsid w:val="00262DC9"/>
    <w:rsid w:val="00262DF8"/>
    <w:rsid w:val="00262F21"/>
    <w:rsid w:val="00262F27"/>
    <w:rsid w:val="00262F35"/>
    <w:rsid w:val="00262F7C"/>
    <w:rsid w:val="00262FB8"/>
    <w:rsid w:val="00262FD7"/>
    <w:rsid w:val="00262FFF"/>
    <w:rsid w:val="002630AE"/>
    <w:rsid w:val="002630C0"/>
    <w:rsid w:val="00263144"/>
    <w:rsid w:val="00263190"/>
    <w:rsid w:val="002631BB"/>
    <w:rsid w:val="00263209"/>
    <w:rsid w:val="0026327D"/>
    <w:rsid w:val="002632D9"/>
    <w:rsid w:val="00263329"/>
    <w:rsid w:val="0026344F"/>
    <w:rsid w:val="00263495"/>
    <w:rsid w:val="00263497"/>
    <w:rsid w:val="00263499"/>
    <w:rsid w:val="002634BC"/>
    <w:rsid w:val="002634E3"/>
    <w:rsid w:val="00263563"/>
    <w:rsid w:val="00263570"/>
    <w:rsid w:val="002635A0"/>
    <w:rsid w:val="002635C0"/>
    <w:rsid w:val="002635CD"/>
    <w:rsid w:val="0026363B"/>
    <w:rsid w:val="0026363E"/>
    <w:rsid w:val="0026366D"/>
    <w:rsid w:val="00263677"/>
    <w:rsid w:val="002637BE"/>
    <w:rsid w:val="00263833"/>
    <w:rsid w:val="002638B5"/>
    <w:rsid w:val="002638CA"/>
    <w:rsid w:val="00263963"/>
    <w:rsid w:val="00263998"/>
    <w:rsid w:val="00263A26"/>
    <w:rsid w:val="00263A44"/>
    <w:rsid w:val="00263AEE"/>
    <w:rsid w:val="00263B05"/>
    <w:rsid w:val="00263B6C"/>
    <w:rsid w:val="00263B6D"/>
    <w:rsid w:val="00263BB2"/>
    <w:rsid w:val="00263C15"/>
    <w:rsid w:val="00263C46"/>
    <w:rsid w:val="00263D01"/>
    <w:rsid w:val="00263D31"/>
    <w:rsid w:val="00263D6E"/>
    <w:rsid w:val="00263D8C"/>
    <w:rsid w:val="00263DD6"/>
    <w:rsid w:val="00263E47"/>
    <w:rsid w:val="00263E4C"/>
    <w:rsid w:val="00263E72"/>
    <w:rsid w:val="00263EB2"/>
    <w:rsid w:val="00263EE5"/>
    <w:rsid w:val="00263EF6"/>
    <w:rsid w:val="00263F55"/>
    <w:rsid w:val="00263F9E"/>
    <w:rsid w:val="0026404C"/>
    <w:rsid w:val="0026406C"/>
    <w:rsid w:val="00264126"/>
    <w:rsid w:val="0026413E"/>
    <w:rsid w:val="00264176"/>
    <w:rsid w:val="002641CB"/>
    <w:rsid w:val="0026427C"/>
    <w:rsid w:val="00264346"/>
    <w:rsid w:val="0026436F"/>
    <w:rsid w:val="002644A2"/>
    <w:rsid w:val="002644B4"/>
    <w:rsid w:val="002644E8"/>
    <w:rsid w:val="00264505"/>
    <w:rsid w:val="00264591"/>
    <w:rsid w:val="002645C7"/>
    <w:rsid w:val="0026461A"/>
    <w:rsid w:val="002646F0"/>
    <w:rsid w:val="002646FA"/>
    <w:rsid w:val="0026474C"/>
    <w:rsid w:val="00264777"/>
    <w:rsid w:val="00264783"/>
    <w:rsid w:val="002647B1"/>
    <w:rsid w:val="002647B3"/>
    <w:rsid w:val="0026480C"/>
    <w:rsid w:val="00264813"/>
    <w:rsid w:val="002648B9"/>
    <w:rsid w:val="002648CC"/>
    <w:rsid w:val="00264973"/>
    <w:rsid w:val="0026499C"/>
    <w:rsid w:val="002649F5"/>
    <w:rsid w:val="00264A2C"/>
    <w:rsid w:val="00264AAD"/>
    <w:rsid w:val="00264B0B"/>
    <w:rsid w:val="00264B58"/>
    <w:rsid w:val="00264B6F"/>
    <w:rsid w:val="00264B81"/>
    <w:rsid w:val="00264C3C"/>
    <w:rsid w:val="00264C79"/>
    <w:rsid w:val="00264C89"/>
    <w:rsid w:val="00264CDD"/>
    <w:rsid w:val="00264D1C"/>
    <w:rsid w:val="00264D1E"/>
    <w:rsid w:val="00264D2E"/>
    <w:rsid w:val="00264D70"/>
    <w:rsid w:val="00264E53"/>
    <w:rsid w:val="00264FAC"/>
    <w:rsid w:val="00264FD6"/>
    <w:rsid w:val="00264FF1"/>
    <w:rsid w:val="00264FF2"/>
    <w:rsid w:val="0026506A"/>
    <w:rsid w:val="00265078"/>
    <w:rsid w:val="002650D3"/>
    <w:rsid w:val="002650F7"/>
    <w:rsid w:val="00265179"/>
    <w:rsid w:val="002651F3"/>
    <w:rsid w:val="0026529E"/>
    <w:rsid w:val="00265348"/>
    <w:rsid w:val="002653CB"/>
    <w:rsid w:val="00265402"/>
    <w:rsid w:val="00265418"/>
    <w:rsid w:val="00265436"/>
    <w:rsid w:val="00265566"/>
    <w:rsid w:val="0026556F"/>
    <w:rsid w:val="002655AD"/>
    <w:rsid w:val="002655E5"/>
    <w:rsid w:val="002656A1"/>
    <w:rsid w:val="00265744"/>
    <w:rsid w:val="00265746"/>
    <w:rsid w:val="00265755"/>
    <w:rsid w:val="00265794"/>
    <w:rsid w:val="002657C1"/>
    <w:rsid w:val="002657E7"/>
    <w:rsid w:val="00265826"/>
    <w:rsid w:val="00265830"/>
    <w:rsid w:val="00265881"/>
    <w:rsid w:val="002658EE"/>
    <w:rsid w:val="0026597C"/>
    <w:rsid w:val="00265A0A"/>
    <w:rsid w:val="00265A24"/>
    <w:rsid w:val="00265A4B"/>
    <w:rsid w:val="00265A52"/>
    <w:rsid w:val="00265A65"/>
    <w:rsid w:val="00265A6A"/>
    <w:rsid w:val="00265AD8"/>
    <w:rsid w:val="00265ADF"/>
    <w:rsid w:val="00265AE0"/>
    <w:rsid w:val="00265C52"/>
    <w:rsid w:val="00265C79"/>
    <w:rsid w:val="00265C9A"/>
    <w:rsid w:val="00265CB3"/>
    <w:rsid w:val="00265CD9"/>
    <w:rsid w:val="00265CDB"/>
    <w:rsid w:val="00265CED"/>
    <w:rsid w:val="00265D97"/>
    <w:rsid w:val="00265DCE"/>
    <w:rsid w:val="00265E7E"/>
    <w:rsid w:val="00265EC4"/>
    <w:rsid w:val="00265F04"/>
    <w:rsid w:val="00265F16"/>
    <w:rsid w:val="00265F36"/>
    <w:rsid w:val="00265F3E"/>
    <w:rsid w:val="00265F52"/>
    <w:rsid w:val="00265F85"/>
    <w:rsid w:val="00265FF2"/>
    <w:rsid w:val="00266046"/>
    <w:rsid w:val="0026608B"/>
    <w:rsid w:val="002660F1"/>
    <w:rsid w:val="0026616F"/>
    <w:rsid w:val="002661F8"/>
    <w:rsid w:val="00266226"/>
    <w:rsid w:val="00266244"/>
    <w:rsid w:val="00266267"/>
    <w:rsid w:val="00266268"/>
    <w:rsid w:val="00266309"/>
    <w:rsid w:val="00266329"/>
    <w:rsid w:val="00266392"/>
    <w:rsid w:val="00266394"/>
    <w:rsid w:val="002663C0"/>
    <w:rsid w:val="002663EE"/>
    <w:rsid w:val="0026650A"/>
    <w:rsid w:val="00266598"/>
    <w:rsid w:val="002665F5"/>
    <w:rsid w:val="00266607"/>
    <w:rsid w:val="0026660A"/>
    <w:rsid w:val="0026661D"/>
    <w:rsid w:val="0026664B"/>
    <w:rsid w:val="0026664F"/>
    <w:rsid w:val="00266697"/>
    <w:rsid w:val="00266737"/>
    <w:rsid w:val="00266758"/>
    <w:rsid w:val="0026678E"/>
    <w:rsid w:val="00266833"/>
    <w:rsid w:val="0026690B"/>
    <w:rsid w:val="002669C4"/>
    <w:rsid w:val="00266A8E"/>
    <w:rsid w:val="00266B84"/>
    <w:rsid w:val="00266C16"/>
    <w:rsid w:val="00266C8F"/>
    <w:rsid w:val="00266D54"/>
    <w:rsid w:val="00266DB9"/>
    <w:rsid w:val="00266DC6"/>
    <w:rsid w:val="00266EC0"/>
    <w:rsid w:val="00266EFC"/>
    <w:rsid w:val="00266F08"/>
    <w:rsid w:val="00266F0F"/>
    <w:rsid w:val="00266FD7"/>
    <w:rsid w:val="00267023"/>
    <w:rsid w:val="00267071"/>
    <w:rsid w:val="002670E8"/>
    <w:rsid w:val="0026710A"/>
    <w:rsid w:val="0026722B"/>
    <w:rsid w:val="00267233"/>
    <w:rsid w:val="00267266"/>
    <w:rsid w:val="0026727C"/>
    <w:rsid w:val="002672D0"/>
    <w:rsid w:val="00267365"/>
    <w:rsid w:val="00267396"/>
    <w:rsid w:val="002673B6"/>
    <w:rsid w:val="002673EC"/>
    <w:rsid w:val="00267425"/>
    <w:rsid w:val="00267484"/>
    <w:rsid w:val="002674C6"/>
    <w:rsid w:val="002674D3"/>
    <w:rsid w:val="002674E0"/>
    <w:rsid w:val="00267500"/>
    <w:rsid w:val="0026754D"/>
    <w:rsid w:val="00267682"/>
    <w:rsid w:val="002676DB"/>
    <w:rsid w:val="00267772"/>
    <w:rsid w:val="00267794"/>
    <w:rsid w:val="00267796"/>
    <w:rsid w:val="002677D6"/>
    <w:rsid w:val="002678CE"/>
    <w:rsid w:val="002678D8"/>
    <w:rsid w:val="00267938"/>
    <w:rsid w:val="002679C6"/>
    <w:rsid w:val="00267A0A"/>
    <w:rsid w:val="00267A2E"/>
    <w:rsid w:val="00267A40"/>
    <w:rsid w:val="00267A6E"/>
    <w:rsid w:val="00267AA3"/>
    <w:rsid w:val="00267AB2"/>
    <w:rsid w:val="00267AD7"/>
    <w:rsid w:val="00267ADE"/>
    <w:rsid w:val="00267B01"/>
    <w:rsid w:val="00267B16"/>
    <w:rsid w:val="00267B32"/>
    <w:rsid w:val="00267B47"/>
    <w:rsid w:val="00267BB9"/>
    <w:rsid w:val="00267BDE"/>
    <w:rsid w:val="00267C6C"/>
    <w:rsid w:val="00267CB1"/>
    <w:rsid w:val="00267CFC"/>
    <w:rsid w:val="00267DE7"/>
    <w:rsid w:val="00267F0E"/>
    <w:rsid w:val="00267F9A"/>
    <w:rsid w:val="00267FA0"/>
    <w:rsid w:val="00267FF8"/>
    <w:rsid w:val="002700E1"/>
    <w:rsid w:val="00270104"/>
    <w:rsid w:val="00270135"/>
    <w:rsid w:val="00270141"/>
    <w:rsid w:val="00270194"/>
    <w:rsid w:val="002701C8"/>
    <w:rsid w:val="002701FC"/>
    <w:rsid w:val="00270213"/>
    <w:rsid w:val="0027026F"/>
    <w:rsid w:val="00270286"/>
    <w:rsid w:val="002702CD"/>
    <w:rsid w:val="00270309"/>
    <w:rsid w:val="0027030C"/>
    <w:rsid w:val="00270323"/>
    <w:rsid w:val="0027032B"/>
    <w:rsid w:val="00270387"/>
    <w:rsid w:val="0027038A"/>
    <w:rsid w:val="00270419"/>
    <w:rsid w:val="00270529"/>
    <w:rsid w:val="0027053B"/>
    <w:rsid w:val="0027054C"/>
    <w:rsid w:val="0027066E"/>
    <w:rsid w:val="002706BB"/>
    <w:rsid w:val="002706C0"/>
    <w:rsid w:val="00270720"/>
    <w:rsid w:val="00270730"/>
    <w:rsid w:val="00270757"/>
    <w:rsid w:val="00270758"/>
    <w:rsid w:val="002707CA"/>
    <w:rsid w:val="00270841"/>
    <w:rsid w:val="00270852"/>
    <w:rsid w:val="00270853"/>
    <w:rsid w:val="002708B6"/>
    <w:rsid w:val="002708F4"/>
    <w:rsid w:val="00270B1D"/>
    <w:rsid w:val="00270B73"/>
    <w:rsid w:val="00270B79"/>
    <w:rsid w:val="00270B7E"/>
    <w:rsid w:val="00270B80"/>
    <w:rsid w:val="00270BFC"/>
    <w:rsid w:val="00270C71"/>
    <w:rsid w:val="00270D2E"/>
    <w:rsid w:val="00270D67"/>
    <w:rsid w:val="00270D70"/>
    <w:rsid w:val="00270D93"/>
    <w:rsid w:val="00270D98"/>
    <w:rsid w:val="00270E1A"/>
    <w:rsid w:val="00270E8F"/>
    <w:rsid w:val="00270F2A"/>
    <w:rsid w:val="00270F7C"/>
    <w:rsid w:val="00270F9A"/>
    <w:rsid w:val="00270FE0"/>
    <w:rsid w:val="00270FFD"/>
    <w:rsid w:val="00271021"/>
    <w:rsid w:val="0027105E"/>
    <w:rsid w:val="002710F7"/>
    <w:rsid w:val="00271130"/>
    <w:rsid w:val="00271176"/>
    <w:rsid w:val="00271187"/>
    <w:rsid w:val="00271196"/>
    <w:rsid w:val="002711BD"/>
    <w:rsid w:val="0027122A"/>
    <w:rsid w:val="00271255"/>
    <w:rsid w:val="002712A1"/>
    <w:rsid w:val="0027131D"/>
    <w:rsid w:val="0027131E"/>
    <w:rsid w:val="00271379"/>
    <w:rsid w:val="0027139E"/>
    <w:rsid w:val="002713BE"/>
    <w:rsid w:val="0027140D"/>
    <w:rsid w:val="002714D5"/>
    <w:rsid w:val="002714D8"/>
    <w:rsid w:val="00271508"/>
    <w:rsid w:val="0027154F"/>
    <w:rsid w:val="0027168A"/>
    <w:rsid w:val="002716AD"/>
    <w:rsid w:val="0027170C"/>
    <w:rsid w:val="00271737"/>
    <w:rsid w:val="0027174E"/>
    <w:rsid w:val="00271768"/>
    <w:rsid w:val="002717A3"/>
    <w:rsid w:val="002717A5"/>
    <w:rsid w:val="0027181A"/>
    <w:rsid w:val="00271872"/>
    <w:rsid w:val="002718D9"/>
    <w:rsid w:val="002718E2"/>
    <w:rsid w:val="002718FD"/>
    <w:rsid w:val="002719DC"/>
    <w:rsid w:val="00271A3E"/>
    <w:rsid w:val="00271A77"/>
    <w:rsid w:val="00271A9C"/>
    <w:rsid w:val="00271AC6"/>
    <w:rsid w:val="00271B97"/>
    <w:rsid w:val="00271BD0"/>
    <w:rsid w:val="00271BD3"/>
    <w:rsid w:val="00271BE1"/>
    <w:rsid w:val="00271BFE"/>
    <w:rsid w:val="00271C4C"/>
    <w:rsid w:val="00271CC5"/>
    <w:rsid w:val="00271CCE"/>
    <w:rsid w:val="00271D3F"/>
    <w:rsid w:val="00271D54"/>
    <w:rsid w:val="00271DCC"/>
    <w:rsid w:val="00271DEE"/>
    <w:rsid w:val="00271E3A"/>
    <w:rsid w:val="00271E43"/>
    <w:rsid w:val="00271E50"/>
    <w:rsid w:val="00271F4D"/>
    <w:rsid w:val="00271FAE"/>
    <w:rsid w:val="00271FD7"/>
    <w:rsid w:val="002720BC"/>
    <w:rsid w:val="002720D8"/>
    <w:rsid w:val="00272143"/>
    <w:rsid w:val="0027217A"/>
    <w:rsid w:val="0027220A"/>
    <w:rsid w:val="00272210"/>
    <w:rsid w:val="00272251"/>
    <w:rsid w:val="00272275"/>
    <w:rsid w:val="002722E2"/>
    <w:rsid w:val="0027233C"/>
    <w:rsid w:val="00272428"/>
    <w:rsid w:val="0027245C"/>
    <w:rsid w:val="002724C9"/>
    <w:rsid w:val="00272527"/>
    <w:rsid w:val="00272541"/>
    <w:rsid w:val="00272558"/>
    <w:rsid w:val="0027259D"/>
    <w:rsid w:val="002725BB"/>
    <w:rsid w:val="002725F5"/>
    <w:rsid w:val="0027262C"/>
    <w:rsid w:val="00272636"/>
    <w:rsid w:val="00272639"/>
    <w:rsid w:val="0027263D"/>
    <w:rsid w:val="00272650"/>
    <w:rsid w:val="00272664"/>
    <w:rsid w:val="00272689"/>
    <w:rsid w:val="002726C8"/>
    <w:rsid w:val="002726DA"/>
    <w:rsid w:val="002726DD"/>
    <w:rsid w:val="002726DF"/>
    <w:rsid w:val="002726E2"/>
    <w:rsid w:val="002726FF"/>
    <w:rsid w:val="0027270A"/>
    <w:rsid w:val="002727C3"/>
    <w:rsid w:val="002727DB"/>
    <w:rsid w:val="00272881"/>
    <w:rsid w:val="002728E5"/>
    <w:rsid w:val="002728E7"/>
    <w:rsid w:val="0027294D"/>
    <w:rsid w:val="00272972"/>
    <w:rsid w:val="0027298F"/>
    <w:rsid w:val="00272A64"/>
    <w:rsid w:val="00272A7B"/>
    <w:rsid w:val="00272B78"/>
    <w:rsid w:val="00272BD7"/>
    <w:rsid w:val="00272C2C"/>
    <w:rsid w:val="00272C56"/>
    <w:rsid w:val="00272CCA"/>
    <w:rsid w:val="00272E5B"/>
    <w:rsid w:val="00272E9B"/>
    <w:rsid w:val="00272EAB"/>
    <w:rsid w:val="00272EB3"/>
    <w:rsid w:val="00272EFA"/>
    <w:rsid w:val="00272F05"/>
    <w:rsid w:val="00272F2A"/>
    <w:rsid w:val="00272F48"/>
    <w:rsid w:val="0027302E"/>
    <w:rsid w:val="002730CE"/>
    <w:rsid w:val="002730E1"/>
    <w:rsid w:val="002730F8"/>
    <w:rsid w:val="00273108"/>
    <w:rsid w:val="00273194"/>
    <w:rsid w:val="002731FA"/>
    <w:rsid w:val="0027321C"/>
    <w:rsid w:val="0027325D"/>
    <w:rsid w:val="00273277"/>
    <w:rsid w:val="0027327C"/>
    <w:rsid w:val="002732D3"/>
    <w:rsid w:val="00273314"/>
    <w:rsid w:val="00273397"/>
    <w:rsid w:val="002733C8"/>
    <w:rsid w:val="0027340C"/>
    <w:rsid w:val="00273494"/>
    <w:rsid w:val="002734B8"/>
    <w:rsid w:val="002734F0"/>
    <w:rsid w:val="00273562"/>
    <w:rsid w:val="00273568"/>
    <w:rsid w:val="00273594"/>
    <w:rsid w:val="00273629"/>
    <w:rsid w:val="0027368E"/>
    <w:rsid w:val="0027369C"/>
    <w:rsid w:val="00273717"/>
    <w:rsid w:val="0027375A"/>
    <w:rsid w:val="0027379C"/>
    <w:rsid w:val="002737BF"/>
    <w:rsid w:val="002737ED"/>
    <w:rsid w:val="00273804"/>
    <w:rsid w:val="00273833"/>
    <w:rsid w:val="00273846"/>
    <w:rsid w:val="00273867"/>
    <w:rsid w:val="00273888"/>
    <w:rsid w:val="002738EB"/>
    <w:rsid w:val="00273944"/>
    <w:rsid w:val="002739AF"/>
    <w:rsid w:val="00273A4B"/>
    <w:rsid w:val="00273AA6"/>
    <w:rsid w:val="00273AE5"/>
    <w:rsid w:val="00273B51"/>
    <w:rsid w:val="00273C3C"/>
    <w:rsid w:val="00273D03"/>
    <w:rsid w:val="00273D04"/>
    <w:rsid w:val="00273D05"/>
    <w:rsid w:val="00273D11"/>
    <w:rsid w:val="00273D1D"/>
    <w:rsid w:val="00273D77"/>
    <w:rsid w:val="00273DA0"/>
    <w:rsid w:val="00273DC5"/>
    <w:rsid w:val="00273E65"/>
    <w:rsid w:val="00273E7E"/>
    <w:rsid w:val="00273E83"/>
    <w:rsid w:val="00273ED3"/>
    <w:rsid w:val="00273FCB"/>
    <w:rsid w:val="0027403D"/>
    <w:rsid w:val="00274053"/>
    <w:rsid w:val="002740C4"/>
    <w:rsid w:val="002740E9"/>
    <w:rsid w:val="002740EF"/>
    <w:rsid w:val="0027410F"/>
    <w:rsid w:val="00274146"/>
    <w:rsid w:val="002741A0"/>
    <w:rsid w:val="002741C7"/>
    <w:rsid w:val="0027423B"/>
    <w:rsid w:val="00274247"/>
    <w:rsid w:val="002742C0"/>
    <w:rsid w:val="0027434D"/>
    <w:rsid w:val="00274375"/>
    <w:rsid w:val="002743A1"/>
    <w:rsid w:val="002744A8"/>
    <w:rsid w:val="002745D3"/>
    <w:rsid w:val="002745E1"/>
    <w:rsid w:val="00274606"/>
    <w:rsid w:val="0027463E"/>
    <w:rsid w:val="0027464B"/>
    <w:rsid w:val="00274809"/>
    <w:rsid w:val="00274848"/>
    <w:rsid w:val="00274864"/>
    <w:rsid w:val="00274885"/>
    <w:rsid w:val="00274904"/>
    <w:rsid w:val="0027491E"/>
    <w:rsid w:val="0027494B"/>
    <w:rsid w:val="00274960"/>
    <w:rsid w:val="0027498C"/>
    <w:rsid w:val="002749F2"/>
    <w:rsid w:val="00274AA3"/>
    <w:rsid w:val="00274B73"/>
    <w:rsid w:val="00274BCC"/>
    <w:rsid w:val="00274C65"/>
    <w:rsid w:val="00274C95"/>
    <w:rsid w:val="00274D2F"/>
    <w:rsid w:val="00274D5E"/>
    <w:rsid w:val="00274D67"/>
    <w:rsid w:val="00274E90"/>
    <w:rsid w:val="00274EA6"/>
    <w:rsid w:val="00274EB8"/>
    <w:rsid w:val="00274ECA"/>
    <w:rsid w:val="00274EE2"/>
    <w:rsid w:val="00274F15"/>
    <w:rsid w:val="00274F5B"/>
    <w:rsid w:val="00274FB6"/>
    <w:rsid w:val="00275020"/>
    <w:rsid w:val="00275092"/>
    <w:rsid w:val="002750CA"/>
    <w:rsid w:val="0027513F"/>
    <w:rsid w:val="002752BD"/>
    <w:rsid w:val="002752C1"/>
    <w:rsid w:val="002752C6"/>
    <w:rsid w:val="002752E3"/>
    <w:rsid w:val="0027531E"/>
    <w:rsid w:val="0027533B"/>
    <w:rsid w:val="002753AE"/>
    <w:rsid w:val="002753C2"/>
    <w:rsid w:val="002753F8"/>
    <w:rsid w:val="00275405"/>
    <w:rsid w:val="00275416"/>
    <w:rsid w:val="0027541F"/>
    <w:rsid w:val="0027549F"/>
    <w:rsid w:val="002754AB"/>
    <w:rsid w:val="002754BC"/>
    <w:rsid w:val="002754DE"/>
    <w:rsid w:val="00275594"/>
    <w:rsid w:val="002755E4"/>
    <w:rsid w:val="0027568B"/>
    <w:rsid w:val="0027569C"/>
    <w:rsid w:val="002756EF"/>
    <w:rsid w:val="00275753"/>
    <w:rsid w:val="0027577B"/>
    <w:rsid w:val="0027579D"/>
    <w:rsid w:val="00275831"/>
    <w:rsid w:val="00275873"/>
    <w:rsid w:val="0027588A"/>
    <w:rsid w:val="002758AE"/>
    <w:rsid w:val="002758FA"/>
    <w:rsid w:val="0027590B"/>
    <w:rsid w:val="00275919"/>
    <w:rsid w:val="0027595E"/>
    <w:rsid w:val="0027596E"/>
    <w:rsid w:val="00275983"/>
    <w:rsid w:val="002759A2"/>
    <w:rsid w:val="002759AA"/>
    <w:rsid w:val="002759B6"/>
    <w:rsid w:val="002759E5"/>
    <w:rsid w:val="002759F8"/>
    <w:rsid w:val="00275A53"/>
    <w:rsid w:val="00275A8E"/>
    <w:rsid w:val="00275AC0"/>
    <w:rsid w:val="00275B20"/>
    <w:rsid w:val="00275B27"/>
    <w:rsid w:val="00275C8B"/>
    <w:rsid w:val="00275D42"/>
    <w:rsid w:val="00275D46"/>
    <w:rsid w:val="00275DAC"/>
    <w:rsid w:val="00275DC7"/>
    <w:rsid w:val="00275EB7"/>
    <w:rsid w:val="00275F1C"/>
    <w:rsid w:val="00275F84"/>
    <w:rsid w:val="00275FCE"/>
    <w:rsid w:val="0027601B"/>
    <w:rsid w:val="00276080"/>
    <w:rsid w:val="002760D6"/>
    <w:rsid w:val="0027613B"/>
    <w:rsid w:val="00276171"/>
    <w:rsid w:val="00276175"/>
    <w:rsid w:val="002761A1"/>
    <w:rsid w:val="00276255"/>
    <w:rsid w:val="00276266"/>
    <w:rsid w:val="00276267"/>
    <w:rsid w:val="002762AF"/>
    <w:rsid w:val="00276322"/>
    <w:rsid w:val="00276338"/>
    <w:rsid w:val="002763A7"/>
    <w:rsid w:val="002764BE"/>
    <w:rsid w:val="00276505"/>
    <w:rsid w:val="002765C2"/>
    <w:rsid w:val="00276607"/>
    <w:rsid w:val="00276642"/>
    <w:rsid w:val="00276662"/>
    <w:rsid w:val="00276695"/>
    <w:rsid w:val="00276704"/>
    <w:rsid w:val="00276711"/>
    <w:rsid w:val="00276783"/>
    <w:rsid w:val="002767EF"/>
    <w:rsid w:val="002767F1"/>
    <w:rsid w:val="00276817"/>
    <w:rsid w:val="0027682A"/>
    <w:rsid w:val="0027687A"/>
    <w:rsid w:val="002768DB"/>
    <w:rsid w:val="002768E2"/>
    <w:rsid w:val="002768E3"/>
    <w:rsid w:val="0027693D"/>
    <w:rsid w:val="002769A3"/>
    <w:rsid w:val="002769B8"/>
    <w:rsid w:val="002769F2"/>
    <w:rsid w:val="00276A24"/>
    <w:rsid w:val="00276A8C"/>
    <w:rsid w:val="00276AEF"/>
    <w:rsid w:val="00276B31"/>
    <w:rsid w:val="00276B62"/>
    <w:rsid w:val="00276B70"/>
    <w:rsid w:val="00276B80"/>
    <w:rsid w:val="00276B85"/>
    <w:rsid w:val="00276BF8"/>
    <w:rsid w:val="00276C2B"/>
    <w:rsid w:val="00276C52"/>
    <w:rsid w:val="00276D03"/>
    <w:rsid w:val="00276D0A"/>
    <w:rsid w:val="00276D39"/>
    <w:rsid w:val="00276D68"/>
    <w:rsid w:val="00276DAC"/>
    <w:rsid w:val="00276E01"/>
    <w:rsid w:val="00276E0A"/>
    <w:rsid w:val="00276E57"/>
    <w:rsid w:val="00276E6A"/>
    <w:rsid w:val="00276EEA"/>
    <w:rsid w:val="00276FC0"/>
    <w:rsid w:val="00277050"/>
    <w:rsid w:val="0027712B"/>
    <w:rsid w:val="00277149"/>
    <w:rsid w:val="00277268"/>
    <w:rsid w:val="00277290"/>
    <w:rsid w:val="002772BE"/>
    <w:rsid w:val="00277363"/>
    <w:rsid w:val="0027739B"/>
    <w:rsid w:val="002773E8"/>
    <w:rsid w:val="00277407"/>
    <w:rsid w:val="00277420"/>
    <w:rsid w:val="00277424"/>
    <w:rsid w:val="0027746C"/>
    <w:rsid w:val="002774BE"/>
    <w:rsid w:val="002774D6"/>
    <w:rsid w:val="002774DC"/>
    <w:rsid w:val="00277538"/>
    <w:rsid w:val="00277590"/>
    <w:rsid w:val="0027760D"/>
    <w:rsid w:val="00277694"/>
    <w:rsid w:val="0027769E"/>
    <w:rsid w:val="002777F4"/>
    <w:rsid w:val="00277809"/>
    <w:rsid w:val="00277859"/>
    <w:rsid w:val="00277890"/>
    <w:rsid w:val="00277928"/>
    <w:rsid w:val="0027798C"/>
    <w:rsid w:val="00277999"/>
    <w:rsid w:val="002779B2"/>
    <w:rsid w:val="002779C0"/>
    <w:rsid w:val="002779E7"/>
    <w:rsid w:val="00277A67"/>
    <w:rsid w:val="00277A80"/>
    <w:rsid w:val="00277B46"/>
    <w:rsid w:val="00277B50"/>
    <w:rsid w:val="00277C5E"/>
    <w:rsid w:val="00277C7E"/>
    <w:rsid w:val="00277D16"/>
    <w:rsid w:val="00277DD7"/>
    <w:rsid w:val="00277DFF"/>
    <w:rsid w:val="00277E14"/>
    <w:rsid w:val="00277E1D"/>
    <w:rsid w:val="00277E6B"/>
    <w:rsid w:val="00277EBA"/>
    <w:rsid w:val="00277F6B"/>
    <w:rsid w:val="00277F93"/>
    <w:rsid w:val="00277FAC"/>
    <w:rsid w:val="00277FBE"/>
    <w:rsid w:val="00277FC3"/>
    <w:rsid w:val="0028007D"/>
    <w:rsid w:val="0028007F"/>
    <w:rsid w:val="002800A6"/>
    <w:rsid w:val="00280153"/>
    <w:rsid w:val="002801E4"/>
    <w:rsid w:val="0028020F"/>
    <w:rsid w:val="0028034C"/>
    <w:rsid w:val="00280378"/>
    <w:rsid w:val="0028038D"/>
    <w:rsid w:val="0028038F"/>
    <w:rsid w:val="002803AE"/>
    <w:rsid w:val="002803B8"/>
    <w:rsid w:val="002803C7"/>
    <w:rsid w:val="002803EA"/>
    <w:rsid w:val="00280452"/>
    <w:rsid w:val="00280460"/>
    <w:rsid w:val="00280491"/>
    <w:rsid w:val="00280598"/>
    <w:rsid w:val="002805A2"/>
    <w:rsid w:val="002805F3"/>
    <w:rsid w:val="00280619"/>
    <w:rsid w:val="00280767"/>
    <w:rsid w:val="0028076E"/>
    <w:rsid w:val="00280775"/>
    <w:rsid w:val="00280784"/>
    <w:rsid w:val="002807B0"/>
    <w:rsid w:val="00280865"/>
    <w:rsid w:val="0028089C"/>
    <w:rsid w:val="002808BD"/>
    <w:rsid w:val="002808E1"/>
    <w:rsid w:val="002808E9"/>
    <w:rsid w:val="00280A0E"/>
    <w:rsid w:val="00280A29"/>
    <w:rsid w:val="00280ACF"/>
    <w:rsid w:val="00280AD6"/>
    <w:rsid w:val="00280B21"/>
    <w:rsid w:val="00280B35"/>
    <w:rsid w:val="00280B8F"/>
    <w:rsid w:val="00280BA3"/>
    <w:rsid w:val="00280C19"/>
    <w:rsid w:val="00280D44"/>
    <w:rsid w:val="00280D61"/>
    <w:rsid w:val="00280D9C"/>
    <w:rsid w:val="00280DC4"/>
    <w:rsid w:val="00280DC6"/>
    <w:rsid w:val="00280DEE"/>
    <w:rsid w:val="00280EA7"/>
    <w:rsid w:val="00280EB6"/>
    <w:rsid w:val="00280ED9"/>
    <w:rsid w:val="00280F17"/>
    <w:rsid w:val="00280F56"/>
    <w:rsid w:val="00280FD0"/>
    <w:rsid w:val="00280FE8"/>
    <w:rsid w:val="00281018"/>
    <w:rsid w:val="00281037"/>
    <w:rsid w:val="00281075"/>
    <w:rsid w:val="002810CF"/>
    <w:rsid w:val="00281188"/>
    <w:rsid w:val="00281229"/>
    <w:rsid w:val="00281257"/>
    <w:rsid w:val="00281323"/>
    <w:rsid w:val="0028141B"/>
    <w:rsid w:val="0028142F"/>
    <w:rsid w:val="002814CC"/>
    <w:rsid w:val="00281519"/>
    <w:rsid w:val="00281530"/>
    <w:rsid w:val="00281574"/>
    <w:rsid w:val="0028160B"/>
    <w:rsid w:val="00281649"/>
    <w:rsid w:val="00281675"/>
    <w:rsid w:val="0028172C"/>
    <w:rsid w:val="00281770"/>
    <w:rsid w:val="0028189F"/>
    <w:rsid w:val="002818C3"/>
    <w:rsid w:val="002818F9"/>
    <w:rsid w:val="00281937"/>
    <w:rsid w:val="002819BB"/>
    <w:rsid w:val="002819D2"/>
    <w:rsid w:val="002819DC"/>
    <w:rsid w:val="002819F6"/>
    <w:rsid w:val="00281A16"/>
    <w:rsid w:val="00281A40"/>
    <w:rsid w:val="00281A4D"/>
    <w:rsid w:val="00281A79"/>
    <w:rsid w:val="00281AB7"/>
    <w:rsid w:val="00281C02"/>
    <w:rsid w:val="00281C09"/>
    <w:rsid w:val="00281CF3"/>
    <w:rsid w:val="00281E0C"/>
    <w:rsid w:val="00281E87"/>
    <w:rsid w:val="00281E92"/>
    <w:rsid w:val="00281EB5"/>
    <w:rsid w:val="00281EC9"/>
    <w:rsid w:val="00281EDD"/>
    <w:rsid w:val="00281F2C"/>
    <w:rsid w:val="00281F53"/>
    <w:rsid w:val="00281F98"/>
    <w:rsid w:val="00282199"/>
    <w:rsid w:val="002821BD"/>
    <w:rsid w:val="002821BF"/>
    <w:rsid w:val="002821D0"/>
    <w:rsid w:val="002821D2"/>
    <w:rsid w:val="002821E4"/>
    <w:rsid w:val="00282215"/>
    <w:rsid w:val="0028221B"/>
    <w:rsid w:val="0028230E"/>
    <w:rsid w:val="00282310"/>
    <w:rsid w:val="002823C6"/>
    <w:rsid w:val="00282403"/>
    <w:rsid w:val="00282438"/>
    <w:rsid w:val="002824FB"/>
    <w:rsid w:val="00282510"/>
    <w:rsid w:val="0028251D"/>
    <w:rsid w:val="00282566"/>
    <w:rsid w:val="002825A0"/>
    <w:rsid w:val="002825A6"/>
    <w:rsid w:val="002825CB"/>
    <w:rsid w:val="00282642"/>
    <w:rsid w:val="002826D0"/>
    <w:rsid w:val="00282703"/>
    <w:rsid w:val="0028288F"/>
    <w:rsid w:val="00282966"/>
    <w:rsid w:val="0028297A"/>
    <w:rsid w:val="002829E2"/>
    <w:rsid w:val="00282A90"/>
    <w:rsid w:val="00282AB3"/>
    <w:rsid w:val="00282ACF"/>
    <w:rsid w:val="00282B86"/>
    <w:rsid w:val="00282B8C"/>
    <w:rsid w:val="00282C0D"/>
    <w:rsid w:val="00282CAC"/>
    <w:rsid w:val="00282CAD"/>
    <w:rsid w:val="00282D0C"/>
    <w:rsid w:val="00282D22"/>
    <w:rsid w:val="00282D29"/>
    <w:rsid w:val="00282D2F"/>
    <w:rsid w:val="00282D8F"/>
    <w:rsid w:val="00282E6B"/>
    <w:rsid w:val="00282E8B"/>
    <w:rsid w:val="00282E94"/>
    <w:rsid w:val="00282F6D"/>
    <w:rsid w:val="00283073"/>
    <w:rsid w:val="002830BA"/>
    <w:rsid w:val="002830D7"/>
    <w:rsid w:val="0028315C"/>
    <w:rsid w:val="00283187"/>
    <w:rsid w:val="002831BB"/>
    <w:rsid w:val="0028327B"/>
    <w:rsid w:val="002832E8"/>
    <w:rsid w:val="002832E9"/>
    <w:rsid w:val="0028336A"/>
    <w:rsid w:val="00283375"/>
    <w:rsid w:val="0028339E"/>
    <w:rsid w:val="00283401"/>
    <w:rsid w:val="002834C6"/>
    <w:rsid w:val="0028352A"/>
    <w:rsid w:val="00283548"/>
    <w:rsid w:val="00283599"/>
    <w:rsid w:val="002835C2"/>
    <w:rsid w:val="002835E8"/>
    <w:rsid w:val="00283639"/>
    <w:rsid w:val="002836A1"/>
    <w:rsid w:val="002836E8"/>
    <w:rsid w:val="00283725"/>
    <w:rsid w:val="0028373A"/>
    <w:rsid w:val="0028373E"/>
    <w:rsid w:val="00283764"/>
    <w:rsid w:val="00283798"/>
    <w:rsid w:val="002837AC"/>
    <w:rsid w:val="002837AE"/>
    <w:rsid w:val="00283841"/>
    <w:rsid w:val="00283872"/>
    <w:rsid w:val="002838D0"/>
    <w:rsid w:val="002838FF"/>
    <w:rsid w:val="0028391C"/>
    <w:rsid w:val="00283925"/>
    <w:rsid w:val="0028392E"/>
    <w:rsid w:val="00283992"/>
    <w:rsid w:val="00283997"/>
    <w:rsid w:val="00283B1D"/>
    <w:rsid w:val="00283BC5"/>
    <w:rsid w:val="00283BE2"/>
    <w:rsid w:val="00283BF3"/>
    <w:rsid w:val="00283C06"/>
    <w:rsid w:val="00283C4B"/>
    <w:rsid w:val="00283C79"/>
    <w:rsid w:val="00283C95"/>
    <w:rsid w:val="00283CD0"/>
    <w:rsid w:val="00283D16"/>
    <w:rsid w:val="00283D64"/>
    <w:rsid w:val="00283DB9"/>
    <w:rsid w:val="00283DE4"/>
    <w:rsid w:val="00283DE5"/>
    <w:rsid w:val="00283E5F"/>
    <w:rsid w:val="00283E84"/>
    <w:rsid w:val="00283E9B"/>
    <w:rsid w:val="00283EC1"/>
    <w:rsid w:val="00283ED2"/>
    <w:rsid w:val="00283F97"/>
    <w:rsid w:val="00284028"/>
    <w:rsid w:val="0028406E"/>
    <w:rsid w:val="0028407A"/>
    <w:rsid w:val="002840C2"/>
    <w:rsid w:val="00284119"/>
    <w:rsid w:val="0028413C"/>
    <w:rsid w:val="002841C6"/>
    <w:rsid w:val="002841F7"/>
    <w:rsid w:val="00284285"/>
    <w:rsid w:val="00284341"/>
    <w:rsid w:val="00284370"/>
    <w:rsid w:val="0028439A"/>
    <w:rsid w:val="002843A5"/>
    <w:rsid w:val="0028444D"/>
    <w:rsid w:val="002844EC"/>
    <w:rsid w:val="002844EF"/>
    <w:rsid w:val="0028450B"/>
    <w:rsid w:val="00284597"/>
    <w:rsid w:val="002845B5"/>
    <w:rsid w:val="00284640"/>
    <w:rsid w:val="00284684"/>
    <w:rsid w:val="00284723"/>
    <w:rsid w:val="00284742"/>
    <w:rsid w:val="0028478F"/>
    <w:rsid w:val="002847B1"/>
    <w:rsid w:val="0028481E"/>
    <w:rsid w:val="0028491E"/>
    <w:rsid w:val="00284940"/>
    <w:rsid w:val="00284955"/>
    <w:rsid w:val="00284993"/>
    <w:rsid w:val="002849A6"/>
    <w:rsid w:val="002849D0"/>
    <w:rsid w:val="002849E6"/>
    <w:rsid w:val="002849E7"/>
    <w:rsid w:val="00284A6F"/>
    <w:rsid w:val="00284B13"/>
    <w:rsid w:val="00284B65"/>
    <w:rsid w:val="00284B6E"/>
    <w:rsid w:val="00284B70"/>
    <w:rsid w:val="00284BC8"/>
    <w:rsid w:val="00284C7A"/>
    <w:rsid w:val="00284CAE"/>
    <w:rsid w:val="00284D65"/>
    <w:rsid w:val="00284D6E"/>
    <w:rsid w:val="00284D73"/>
    <w:rsid w:val="00284DC0"/>
    <w:rsid w:val="00284E84"/>
    <w:rsid w:val="00284E85"/>
    <w:rsid w:val="00284E9D"/>
    <w:rsid w:val="00284F19"/>
    <w:rsid w:val="00284F7C"/>
    <w:rsid w:val="00284FA7"/>
    <w:rsid w:val="00284FC8"/>
    <w:rsid w:val="00284FD6"/>
    <w:rsid w:val="0028505F"/>
    <w:rsid w:val="00285073"/>
    <w:rsid w:val="002850AA"/>
    <w:rsid w:val="002850D2"/>
    <w:rsid w:val="002851BF"/>
    <w:rsid w:val="002851C2"/>
    <w:rsid w:val="002851C3"/>
    <w:rsid w:val="00285270"/>
    <w:rsid w:val="0028531B"/>
    <w:rsid w:val="002853FC"/>
    <w:rsid w:val="00285453"/>
    <w:rsid w:val="00285461"/>
    <w:rsid w:val="0028546B"/>
    <w:rsid w:val="00285563"/>
    <w:rsid w:val="002855D9"/>
    <w:rsid w:val="00285625"/>
    <w:rsid w:val="00285781"/>
    <w:rsid w:val="002857D9"/>
    <w:rsid w:val="002857DC"/>
    <w:rsid w:val="002857DF"/>
    <w:rsid w:val="002857E3"/>
    <w:rsid w:val="0028580C"/>
    <w:rsid w:val="0028582F"/>
    <w:rsid w:val="0028584F"/>
    <w:rsid w:val="00285863"/>
    <w:rsid w:val="002858A7"/>
    <w:rsid w:val="002858D5"/>
    <w:rsid w:val="002858F4"/>
    <w:rsid w:val="00285969"/>
    <w:rsid w:val="00285981"/>
    <w:rsid w:val="002859B6"/>
    <w:rsid w:val="002859D7"/>
    <w:rsid w:val="002859E6"/>
    <w:rsid w:val="002859EF"/>
    <w:rsid w:val="002859F6"/>
    <w:rsid w:val="00285AC5"/>
    <w:rsid w:val="00285AC9"/>
    <w:rsid w:val="00285AE0"/>
    <w:rsid w:val="00285B4A"/>
    <w:rsid w:val="00285B65"/>
    <w:rsid w:val="00285B7E"/>
    <w:rsid w:val="00285BB0"/>
    <w:rsid w:val="00285BB2"/>
    <w:rsid w:val="00285C09"/>
    <w:rsid w:val="00285C0A"/>
    <w:rsid w:val="00285C80"/>
    <w:rsid w:val="00285D33"/>
    <w:rsid w:val="00285D36"/>
    <w:rsid w:val="00285D81"/>
    <w:rsid w:val="00285D89"/>
    <w:rsid w:val="00285E28"/>
    <w:rsid w:val="00285EBC"/>
    <w:rsid w:val="00285ED3"/>
    <w:rsid w:val="00285EDF"/>
    <w:rsid w:val="00285F62"/>
    <w:rsid w:val="00285F6D"/>
    <w:rsid w:val="00285FB1"/>
    <w:rsid w:val="00285FE3"/>
    <w:rsid w:val="002860A2"/>
    <w:rsid w:val="002860B8"/>
    <w:rsid w:val="002860F8"/>
    <w:rsid w:val="0028613C"/>
    <w:rsid w:val="0028614F"/>
    <w:rsid w:val="00286181"/>
    <w:rsid w:val="00286205"/>
    <w:rsid w:val="0028623D"/>
    <w:rsid w:val="002863A8"/>
    <w:rsid w:val="00286461"/>
    <w:rsid w:val="002864A9"/>
    <w:rsid w:val="0028650A"/>
    <w:rsid w:val="0028651C"/>
    <w:rsid w:val="0028654F"/>
    <w:rsid w:val="0028656C"/>
    <w:rsid w:val="00286626"/>
    <w:rsid w:val="002867A0"/>
    <w:rsid w:val="002867B9"/>
    <w:rsid w:val="002867E4"/>
    <w:rsid w:val="0028681B"/>
    <w:rsid w:val="00286849"/>
    <w:rsid w:val="0028685A"/>
    <w:rsid w:val="002868AE"/>
    <w:rsid w:val="002868E6"/>
    <w:rsid w:val="002868F1"/>
    <w:rsid w:val="00286911"/>
    <w:rsid w:val="002869E9"/>
    <w:rsid w:val="00286A3C"/>
    <w:rsid w:val="00286A7D"/>
    <w:rsid w:val="00286A8A"/>
    <w:rsid w:val="00286AC3"/>
    <w:rsid w:val="00286B00"/>
    <w:rsid w:val="00286B06"/>
    <w:rsid w:val="00286B45"/>
    <w:rsid w:val="00286B4E"/>
    <w:rsid w:val="00286B6E"/>
    <w:rsid w:val="00286BB8"/>
    <w:rsid w:val="00286CBA"/>
    <w:rsid w:val="00286CC5"/>
    <w:rsid w:val="00286CC8"/>
    <w:rsid w:val="00286CF9"/>
    <w:rsid w:val="00286CFB"/>
    <w:rsid w:val="00286D53"/>
    <w:rsid w:val="00286D90"/>
    <w:rsid w:val="00286DB3"/>
    <w:rsid w:val="00286DCE"/>
    <w:rsid w:val="00286E14"/>
    <w:rsid w:val="00286E29"/>
    <w:rsid w:val="00286E47"/>
    <w:rsid w:val="00286EE6"/>
    <w:rsid w:val="00286EF7"/>
    <w:rsid w:val="00286F30"/>
    <w:rsid w:val="00286F33"/>
    <w:rsid w:val="00286FB9"/>
    <w:rsid w:val="00286FFE"/>
    <w:rsid w:val="002871CF"/>
    <w:rsid w:val="0028728F"/>
    <w:rsid w:val="002872D2"/>
    <w:rsid w:val="0028732A"/>
    <w:rsid w:val="0028734D"/>
    <w:rsid w:val="0028734F"/>
    <w:rsid w:val="00287425"/>
    <w:rsid w:val="00287490"/>
    <w:rsid w:val="002875BD"/>
    <w:rsid w:val="00287643"/>
    <w:rsid w:val="002876C7"/>
    <w:rsid w:val="0028777A"/>
    <w:rsid w:val="00287797"/>
    <w:rsid w:val="002877A1"/>
    <w:rsid w:val="00287819"/>
    <w:rsid w:val="0028784E"/>
    <w:rsid w:val="0028794C"/>
    <w:rsid w:val="0028796C"/>
    <w:rsid w:val="0028797A"/>
    <w:rsid w:val="002879B6"/>
    <w:rsid w:val="00287A21"/>
    <w:rsid w:val="00287A3D"/>
    <w:rsid w:val="00287AA0"/>
    <w:rsid w:val="00287AE8"/>
    <w:rsid w:val="00287B14"/>
    <w:rsid w:val="00287B7F"/>
    <w:rsid w:val="00287BCB"/>
    <w:rsid w:val="00287C21"/>
    <w:rsid w:val="00287CD3"/>
    <w:rsid w:val="00287D32"/>
    <w:rsid w:val="00287DFF"/>
    <w:rsid w:val="00287E99"/>
    <w:rsid w:val="00287EDE"/>
    <w:rsid w:val="00287F3A"/>
    <w:rsid w:val="00287F3D"/>
    <w:rsid w:val="00290078"/>
    <w:rsid w:val="00290095"/>
    <w:rsid w:val="002900B3"/>
    <w:rsid w:val="0029014B"/>
    <w:rsid w:val="002901A9"/>
    <w:rsid w:val="002901DA"/>
    <w:rsid w:val="002901DD"/>
    <w:rsid w:val="00290229"/>
    <w:rsid w:val="00290231"/>
    <w:rsid w:val="0029026C"/>
    <w:rsid w:val="00290281"/>
    <w:rsid w:val="00290287"/>
    <w:rsid w:val="00290300"/>
    <w:rsid w:val="00290313"/>
    <w:rsid w:val="00290327"/>
    <w:rsid w:val="00290336"/>
    <w:rsid w:val="0029035C"/>
    <w:rsid w:val="00290394"/>
    <w:rsid w:val="00290417"/>
    <w:rsid w:val="0029046C"/>
    <w:rsid w:val="002904A9"/>
    <w:rsid w:val="002904D7"/>
    <w:rsid w:val="002904EB"/>
    <w:rsid w:val="0029057C"/>
    <w:rsid w:val="0029058F"/>
    <w:rsid w:val="00290602"/>
    <w:rsid w:val="00290656"/>
    <w:rsid w:val="002906DA"/>
    <w:rsid w:val="002906EB"/>
    <w:rsid w:val="002906F5"/>
    <w:rsid w:val="0029071B"/>
    <w:rsid w:val="00290859"/>
    <w:rsid w:val="0029086E"/>
    <w:rsid w:val="002908E2"/>
    <w:rsid w:val="00290914"/>
    <w:rsid w:val="0029094A"/>
    <w:rsid w:val="00290954"/>
    <w:rsid w:val="0029096E"/>
    <w:rsid w:val="0029097B"/>
    <w:rsid w:val="00290988"/>
    <w:rsid w:val="002909B7"/>
    <w:rsid w:val="00290A15"/>
    <w:rsid w:val="00290A8C"/>
    <w:rsid w:val="00290AB4"/>
    <w:rsid w:val="00290B3A"/>
    <w:rsid w:val="00290C3B"/>
    <w:rsid w:val="00290C43"/>
    <w:rsid w:val="00290C58"/>
    <w:rsid w:val="00290C69"/>
    <w:rsid w:val="00290CD2"/>
    <w:rsid w:val="00290CDB"/>
    <w:rsid w:val="00290D08"/>
    <w:rsid w:val="00290D6D"/>
    <w:rsid w:val="00290DAB"/>
    <w:rsid w:val="00290E95"/>
    <w:rsid w:val="00290EFD"/>
    <w:rsid w:val="00290F62"/>
    <w:rsid w:val="00290FF1"/>
    <w:rsid w:val="0029100F"/>
    <w:rsid w:val="00291145"/>
    <w:rsid w:val="0029114F"/>
    <w:rsid w:val="00291189"/>
    <w:rsid w:val="002911F3"/>
    <w:rsid w:val="00291253"/>
    <w:rsid w:val="002912A6"/>
    <w:rsid w:val="00291332"/>
    <w:rsid w:val="002913E6"/>
    <w:rsid w:val="002913FB"/>
    <w:rsid w:val="00291471"/>
    <w:rsid w:val="0029149E"/>
    <w:rsid w:val="002914FE"/>
    <w:rsid w:val="00291542"/>
    <w:rsid w:val="00291573"/>
    <w:rsid w:val="002915AB"/>
    <w:rsid w:val="002915B1"/>
    <w:rsid w:val="002915EE"/>
    <w:rsid w:val="00291601"/>
    <w:rsid w:val="00291625"/>
    <w:rsid w:val="00291647"/>
    <w:rsid w:val="00291661"/>
    <w:rsid w:val="002916EB"/>
    <w:rsid w:val="002916F5"/>
    <w:rsid w:val="00291717"/>
    <w:rsid w:val="00291735"/>
    <w:rsid w:val="00291738"/>
    <w:rsid w:val="00291768"/>
    <w:rsid w:val="00291891"/>
    <w:rsid w:val="00291892"/>
    <w:rsid w:val="00291985"/>
    <w:rsid w:val="00291A0E"/>
    <w:rsid w:val="00291A40"/>
    <w:rsid w:val="00291B34"/>
    <w:rsid w:val="00291B36"/>
    <w:rsid w:val="00291B57"/>
    <w:rsid w:val="00291BC0"/>
    <w:rsid w:val="00291C01"/>
    <w:rsid w:val="00291C5C"/>
    <w:rsid w:val="00291D04"/>
    <w:rsid w:val="00291DC0"/>
    <w:rsid w:val="00291DDE"/>
    <w:rsid w:val="00291E0D"/>
    <w:rsid w:val="00291E1C"/>
    <w:rsid w:val="00291E48"/>
    <w:rsid w:val="00291E7B"/>
    <w:rsid w:val="00291E9E"/>
    <w:rsid w:val="00291EAD"/>
    <w:rsid w:val="00291EF2"/>
    <w:rsid w:val="00291F46"/>
    <w:rsid w:val="00291F5C"/>
    <w:rsid w:val="00291F81"/>
    <w:rsid w:val="00291FA4"/>
    <w:rsid w:val="002921FA"/>
    <w:rsid w:val="00292283"/>
    <w:rsid w:val="002922B0"/>
    <w:rsid w:val="002922B2"/>
    <w:rsid w:val="0029233E"/>
    <w:rsid w:val="002923D3"/>
    <w:rsid w:val="002923E0"/>
    <w:rsid w:val="002923FA"/>
    <w:rsid w:val="00292526"/>
    <w:rsid w:val="00292586"/>
    <w:rsid w:val="00292620"/>
    <w:rsid w:val="00292676"/>
    <w:rsid w:val="002926CB"/>
    <w:rsid w:val="0029276D"/>
    <w:rsid w:val="00292818"/>
    <w:rsid w:val="00292821"/>
    <w:rsid w:val="002928BD"/>
    <w:rsid w:val="002928EF"/>
    <w:rsid w:val="002928F3"/>
    <w:rsid w:val="00292970"/>
    <w:rsid w:val="002929DC"/>
    <w:rsid w:val="002929E1"/>
    <w:rsid w:val="00292A2D"/>
    <w:rsid w:val="00292B1F"/>
    <w:rsid w:val="00292BA7"/>
    <w:rsid w:val="00292BF5"/>
    <w:rsid w:val="00292C51"/>
    <w:rsid w:val="00292C7D"/>
    <w:rsid w:val="00292D30"/>
    <w:rsid w:val="00292D41"/>
    <w:rsid w:val="00292EC0"/>
    <w:rsid w:val="00292EF8"/>
    <w:rsid w:val="00292F1F"/>
    <w:rsid w:val="00292F6C"/>
    <w:rsid w:val="00292F87"/>
    <w:rsid w:val="00292FDD"/>
    <w:rsid w:val="0029301B"/>
    <w:rsid w:val="00293044"/>
    <w:rsid w:val="0029304E"/>
    <w:rsid w:val="00293120"/>
    <w:rsid w:val="002931A1"/>
    <w:rsid w:val="002931AE"/>
    <w:rsid w:val="0029321D"/>
    <w:rsid w:val="00293241"/>
    <w:rsid w:val="002933F3"/>
    <w:rsid w:val="002934B5"/>
    <w:rsid w:val="002934C1"/>
    <w:rsid w:val="002934D0"/>
    <w:rsid w:val="00293553"/>
    <w:rsid w:val="0029357D"/>
    <w:rsid w:val="00293649"/>
    <w:rsid w:val="00293669"/>
    <w:rsid w:val="0029369A"/>
    <w:rsid w:val="00293723"/>
    <w:rsid w:val="0029376D"/>
    <w:rsid w:val="00293788"/>
    <w:rsid w:val="0029378D"/>
    <w:rsid w:val="0029380C"/>
    <w:rsid w:val="00293875"/>
    <w:rsid w:val="0029396B"/>
    <w:rsid w:val="00293A48"/>
    <w:rsid w:val="00293A7D"/>
    <w:rsid w:val="00293AAB"/>
    <w:rsid w:val="00293B0B"/>
    <w:rsid w:val="00293BCA"/>
    <w:rsid w:val="00293C00"/>
    <w:rsid w:val="00293C0E"/>
    <w:rsid w:val="00293D38"/>
    <w:rsid w:val="00293D5E"/>
    <w:rsid w:val="00293D83"/>
    <w:rsid w:val="00293D95"/>
    <w:rsid w:val="00293E05"/>
    <w:rsid w:val="00293E24"/>
    <w:rsid w:val="00293E26"/>
    <w:rsid w:val="00293E3F"/>
    <w:rsid w:val="00293E97"/>
    <w:rsid w:val="00293F9B"/>
    <w:rsid w:val="00293FFD"/>
    <w:rsid w:val="00294016"/>
    <w:rsid w:val="0029404B"/>
    <w:rsid w:val="0029409C"/>
    <w:rsid w:val="002940EC"/>
    <w:rsid w:val="00294102"/>
    <w:rsid w:val="00294141"/>
    <w:rsid w:val="0029418B"/>
    <w:rsid w:val="002941AA"/>
    <w:rsid w:val="002941D2"/>
    <w:rsid w:val="00294224"/>
    <w:rsid w:val="0029422D"/>
    <w:rsid w:val="00294274"/>
    <w:rsid w:val="002942F7"/>
    <w:rsid w:val="0029431C"/>
    <w:rsid w:val="0029436B"/>
    <w:rsid w:val="00294380"/>
    <w:rsid w:val="002943D3"/>
    <w:rsid w:val="00294410"/>
    <w:rsid w:val="00294467"/>
    <w:rsid w:val="002944A9"/>
    <w:rsid w:val="002944D8"/>
    <w:rsid w:val="002944E3"/>
    <w:rsid w:val="002944EF"/>
    <w:rsid w:val="00294534"/>
    <w:rsid w:val="00294562"/>
    <w:rsid w:val="00294584"/>
    <w:rsid w:val="0029459D"/>
    <w:rsid w:val="0029460D"/>
    <w:rsid w:val="0029460F"/>
    <w:rsid w:val="00294628"/>
    <w:rsid w:val="0029465C"/>
    <w:rsid w:val="00294702"/>
    <w:rsid w:val="0029470C"/>
    <w:rsid w:val="00294821"/>
    <w:rsid w:val="00294829"/>
    <w:rsid w:val="0029486D"/>
    <w:rsid w:val="002949ED"/>
    <w:rsid w:val="002949F7"/>
    <w:rsid w:val="00294B31"/>
    <w:rsid w:val="00294B50"/>
    <w:rsid w:val="00294BF9"/>
    <w:rsid w:val="00294CA7"/>
    <w:rsid w:val="00294CD1"/>
    <w:rsid w:val="00294D19"/>
    <w:rsid w:val="00294D23"/>
    <w:rsid w:val="00294D50"/>
    <w:rsid w:val="00294D53"/>
    <w:rsid w:val="00294D64"/>
    <w:rsid w:val="00294DDB"/>
    <w:rsid w:val="00294E35"/>
    <w:rsid w:val="00294EDD"/>
    <w:rsid w:val="00294F1B"/>
    <w:rsid w:val="00294F34"/>
    <w:rsid w:val="00294FBF"/>
    <w:rsid w:val="00294FFF"/>
    <w:rsid w:val="00295003"/>
    <w:rsid w:val="00295044"/>
    <w:rsid w:val="00295085"/>
    <w:rsid w:val="002950BA"/>
    <w:rsid w:val="002950E6"/>
    <w:rsid w:val="00295167"/>
    <w:rsid w:val="00295195"/>
    <w:rsid w:val="002951B1"/>
    <w:rsid w:val="002951E8"/>
    <w:rsid w:val="00295237"/>
    <w:rsid w:val="0029527C"/>
    <w:rsid w:val="00295290"/>
    <w:rsid w:val="00295301"/>
    <w:rsid w:val="0029532E"/>
    <w:rsid w:val="0029536C"/>
    <w:rsid w:val="00295393"/>
    <w:rsid w:val="0029547F"/>
    <w:rsid w:val="0029549A"/>
    <w:rsid w:val="002954B8"/>
    <w:rsid w:val="002954CE"/>
    <w:rsid w:val="002954F2"/>
    <w:rsid w:val="002954FD"/>
    <w:rsid w:val="00295616"/>
    <w:rsid w:val="0029563D"/>
    <w:rsid w:val="00295653"/>
    <w:rsid w:val="002956B8"/>
    <w:rsid w:val="0029571E"/>
    <w:rsid w:val="00295747"/>
    <w:rsid w:val="00295799"/>
    <w:rsid w:val="002957C2"/>
    <w:rsid w:val="002957D9"/>
    <w:rsid w:val="002957DC"/>
    <w:rsid w:val="002957EF"/>
    <w:rsid w:val="00295885"/>
    <w:rsid w:val="00295897"/>
    <w:rsid w:val="002958D6"/>
    <w:rsid w:val="002958EC"/>
    <w:rsid w:val="00295913"/>
    <w:rsid w:val="00295959"/>
    <w:rsid w:val="002959BF"/>
    <w:rsid w:val="00295A22"/>
    <w:rsid w:val="00295A5A"/>
    <w:rsid w:val="00295A63"/>
    <w:rsid w:val="00295AA3"/>
    <w:rsid w:val="00295B31"/>
    <w:rsid w:val="00295B69"/>
    <w:rsid w:val="00295BA3"/>
    <w:rsid w:val="00295BD7"/>
    <w:rsid w:val="00295C23"/>
    <w:rsid w:val="00295C50"/>
    <w:rsid w:val="00295C92"/>
    <w:rsid w:val="00295CA6"/>
    <w:rsid w:val="00295CD7"/>
    <w:rsid w:val="00295D8F"/>
    <w:rsid w:val="00295E70"/>
    <w:rsid w:val="00295EDE"/>
    <w:rsid w:val="00295F30"/>
    <w:rsid w:val="00295F58"/>
    <w:rsid w:val="00296042"/>
    <w:rsid w:val="00296084"/>
    <w:rsid w:val="002960D5"/>
    <w:rsid w:val="002961E0"/>
    <w:rsid w:val="002962FC"/>
    <w:rsid w:val="0029638A"/>
    <w:rsid w:val="00296397"/>
    <w:rsid w:val="002963AF"/>
    <w:rsid w:val="002963DA"/>
    <w:rsid w:val="0029641D"/>
    <w:rsid w:val="00296432"/>
    <w:rsid w:val="00296444"/>
    <w:rsid w:val="002964DC"/>
    <w:rsid w:val="002964FD"/>
    <w:rsid w:val="00296582"/>
    <w:rsid w:val="002965AC"/>
    <w:rsid w:val="002965F6"/>
    <w:rsid w:val="0029674E"/>
    <w:rsid w:val="00296804"/>
    <w:rsid w:val="00296851"/>
    <w:rsid w:val="0029694F"/>
    <w:rsid w:val="0029696F"/>
    <w:rsid w:val="002969CB"/>
    <w:rsid w:val="00296A25"/>
    <w:rsid w:val="00296A4E"/>
    <w:rsid w:val="00296B14"/>
    <w:rsid w:val="00296B33"/>
    <w:rsid w:val="00296B74"/>
    <w:rsid w:val="00296BDD"/>
    <w:rsid w:val="00296BF2"/>
    <w:rsid w:val="00296CA6"/>
    <w:rsid w:val="00296CD5"/>
    <w:rsid w:val="00296DF3"/>
    <w:rsid w:val="00296F43"/>
    <w:rsid w:val="00296F73"/>
    <w:rsid w:val="00296F75"/>
    <w:rsid w:val="00296FAD"/>
    <w:rsid w:val="00297007"/>
    <w:rsid w:val="00297017"/>
    <w:rsid w:val="00297019"/>
    <w:rsid w:val="002970F4"/>
    <w:rsid w:val="0029712E"/>
    <w:rsid w:val="00297217"/>
    <w:rsid w:val="0029724C"/>
    <w:rsid w:val="00297265"/>
    <w:rsid w:val="0029728F"/>
    <w:rsid w:val="002972BB"/>
    <w:rsid w:val="002972C2"/>
    <w:rsid w:val="002972FB"/>
    <w:rsid w:val="00297343"/>
    <w:rsid w:val="002973AE"/>
    <w:rsid w:val="0029743E"/>
    <w:rsid w:val="002974EC"/>
    <w:rsid w:val="0029751A"/>
    <w:rsid w:val="0029757B"/>
    <w:rsid w:val="00297636"/>
    <w:rsid w:val="00297767"/>
    <w:rsid w:val="00297853"/>
    <w:rsid w:val="002978B0"/>
    <w:rsid w:val="0029795A"/>
    <w:rsid w:val="002979D6"/>
    <w:rsid w:val="002979DC"/>
    <w:rsid w:val="002979E5"/>
    <w:rsid w:val="00297A41"/>
    <w:rsid w:val="00297A8A"/>
    <w:rsid w:val="00297AB1"/>
    <w:rsid w:val="00297AE1"/>
    <w:rsid w:val="00297B81"/>
    <w:rsid w:val="00297B88"/>
    <w:rsid w:val="00297C42"/>
    <w:rsid w:val="00297CDF"/>
    <w:rsid w:val="00297D4C"/>
    <w:rsid w:val="00297D79"/>
    <w:rsid w:val="00297DA0"/>
    <w:rsid w:val="00297E10"/>
    <w:rsid w:val="00297E17"/>
    <w:rsid w:val="00297E26"/>
    <w:rsid w:val="00297E62"/>
    <w:rsid w:val="00297F16"/>
    <w:rsid w:val="00297F2A"/>
    <w:rsid w:val="00297F7B"/>
    <w:rsid w:val="00297F91"/>
    <w:rsid w:val="00297FDA"/>
    <w:rsid w:val="002A0088"/>
    <w:rsid w:val="002A00B7"/>
    <w:rsid w:val="002A00EB"/>
    <w:rsid w:val="002A00FE"/>
    <w:rsid w:val="002A0182"/>
    <w:rsid w:val="002A0360"/>
    <w:rsid w:val="002A0379"/>
    <w:rsid w:val="002A03CC"/>
    <w:rsid w:val="002A03E6"/>
    <w:rsid w:val="002A040C"/>
    <w:rsid w:val="002A0471"/>
    <w:rsid w:val="002A04E2"/>
    <w:rsid w:val="002A0543"/>
    <w:rsid w:val="002A064D"/>
    <w:rsid w:val="002A068B"/>
    <w:rsid w:val="002A068F"/>
    <w:rsid w:val="002A06CF"/>
    <w:rsid w:val="002A06D3"/>
    <w:rsid w:val="002A06E0"/>
    <w:rsid w:val="002A0716"/>
    <w:rsid w:val="002A075F"/>
    <w:rsid w:val="002A079A"/>
    <w:rsid w:val="002A09B0"/>
    <w:rsid w:val="002A09C4"/>
    <w:rsid w:val="002A0A34"/>
    <w:rsid w:val="002A0A53"/>
    <w:rsid w:val="002A0AA5"/>
    <w:rsid w:val="002A0B3D"/>
    <w:rsid w:val="002A0B60"/>
    <w:rsid w:val="002A0B8D"/>
    <w:rsid w:val="002A0CB6"/>
    <w:rsid w:val="002A0CEC"/>
    <w:rsid w:val="002A0D03"/>
    <w:rsid w:val="002A0D29"/>
    <w:rsid w:val="002A0D33"/>
    <w:rsid w:val="002A0D54"/>
    <w:rsid w:val="002A0DDC"/>
    <w:rsid w:val="002A0E19"/>
    <w:rsid w:val="002A0ECB"/>
    <w:rsid w:val="002A0FBB"/>
    <w:rsid w:val="002A0FE8"/>
    <w:rsid w:val="002A1041"/>
    <w:rsid w:val="002A106F"/>
    <w:rsid w:val="002A1073"/>
    <w:rsid w:val="002A10C1"/>
    <w:rsid w:val="002A1106"/>
    <w:rsid w:val="002A1150"/>
    <w:rsid w:val="002A1170"/>
    <w:rsid w:val="002A11E2"/>
    <w:rsid w:val="002A11FB"/>
    <w:rsid w:val="002A1291"/>
    <w:rsid w:val="002A12CB"/>
    <w:rsid w:val="002A133A"/>
    <w:rsid w:val="002A137C"/>
    <w:rsid w:val="002A13BA"/>
    <w:rsid w:val="002A14A4"/>
    <w:rsid w:val="002A1500"/>
    <w:rsid w:val="002A1508"/>
    <w:rsid w:val="002A1569"/>
    <w:rsid w:val="002A159C"/>
    <w:rsid w:val="002A15F7"/>
    <w:rsid w:val="002A1613"/>
    <w:rsid w:val="002A164A"/>
    <w:rsid w:val="002A165E"/>
    <w:rsid w:val="002A16FA"/>
    <w:rsid w:val="002A16FF"/>
    <w:rsid w:val="002A1760"/>
    <w:rsid w:val="002A17D4"/>
    <w:rsid w:val="002A1925"/>
    <w:rsid w:val="002A1963"/>
    <w:rsid w:val="002A19C1"/>
    <w:rsid w:val="002A1A1E"/>
    <w:rsid w:val="002A1A28"/>
    <w:rsid w:val="002A1AE2"/>
    <w:rsid w:val="002A1B1F"/>
    <w:rsid w:val="002A1B74"/>
    <w:rsid w:val="002A1B84"/>
    <w:rsid w:val="002A1BC1"/>
    <w:rsid w:val="002A1BDF"/>
    <w:rsid w:val="002A1C5C"/>
    <w:rsid w:val="002A1C65"/>
    <w:rsid w:val="002A1D23"/>
    <w:rsid w:val="002A1E20"/>
    <w:rsid w:val="002A1ECC"/>
    <w:rsid w:val="002A1F0D"/>
    <w:rsid w:val="002A1FB3"/>
    <w:rsid w:val="002A1FC2"/>
    <w:rsid w:val="002A1FCC"/>
    <w:rsid w:val="002A1FE6"/>
    <w:rsid w:val="002A2007"/>
    <w:rsid w:val="002A2073"/>
    <w:rsid w:val="002A20DF"/>
    <w:rsid w:val="002A2165"/>
    <w:rsid w:val="002A219E"/>
    <w:rsid w:val="002A223D"/>
    <w:rsid w:val="002A22A5"/>
    <w:rsid w:val="002A2343"/>
    <w:rsid w:val="002A2373"/>
    <w:rsid w:val="002A2384"/>
    <w:rsid w:val="002A23CD"/>
    <w:rsid w:val="002A2439"/>
    <w:rsid w:val="002A24D9"/>
    <w:rsid w:val="002A25A1"/>
    <w:rsid w:val="002A25EA"/>
    <w:rsid w:val="002A2605"/>
    <w:rsid w:val="002A26B6"/>
    <w:rsid w:val="002A26E2"/>
    <w:rsid w:val="002A26F5"/>
    <w:rsid w:val="002A2702"/>
    <w:rsid w:val="002A2745"/>
    <w:rsid w:val="002A27DD"/>
    <w:rsid w:val="002A297B"/>
    <w:rsid w:val="002A298E"/>
    <w:rsid w:val="002A29A1"/>
    <w:rsid w:val="002A2A01"/>
    <w:rsid w:val="002A2AD5"/>
    <w:rsid w:val="002A2AFC"/>
    <w:rsid w:val="002A2B0B"/>
    <w:rsid w:val="002A2BCB"/>
    <w:rsid w:val="002A2C0C"/>
    <w:rsid w:val="002A2C0F"/>
    <w:rsid w:val="002A2C43"/>
    <w:rsid w:val="002A2C9C"/>
    <w:rsid w:val="002A2CCF"/>
    <w:rsid w:val="002A2D16"/>
    <w:rsid w:val="002A2E60"/>
    <w:rsid w:val="002A2E73"/>
    <w:rsid w:val="002A2EA0"/>
    <w:rsid w:val="002A2EAD"/>
    <w:rsid w:val="002A2F17"/>
    <w:rsid w:val="002A2F7E"/>
    <w:rsid w:val="002A2FB1"/>
    <w:rsid w:val="002A2FD9"/>
    <w:rsid w:val="002A30A5"/>
    <w:rsid w:val="002A30BE"/>
    <w:rsid w:val="002A30FA"/>
    <w:rsid w:val="002A3175"/>
    <w:rsid w:val="002A3239"/>
    <w:rsid w:val="002A328A"/>
    <w:rsid w:val="002A32B3"/>
    <w:rsid w:val="002A32CF"/>
    <w:rsid w:val="002A333C"/>
    <w:rsid w:val="002A3383"/>
    <w:rsid w:val="002A339F"/>
    <w:rsid w:val="002A33CC"/>
    <w:rsid w:val="002A3407"/>
    <w:rsid w:val="002A34DE"/>
    <w:rsid w:val="002A34E2"/>
    <w:rsid w:val="002A34EA"/>
    <w:rsid w:val="002A35A3"/>
    <w:rsid w:val="002A35C2"/>
    <w:rsid w:val="002A35EF"/>
    <w:rsid w:val="002A35FA"/>
    <w:rsid w:val="002A3638"/>
    <w:rsid w:val="002A3639"/>
    <w:rsid w:val="002A36AF"/>
    <w:rsid w:val="002A36BF"/>
    <w:rsid w:val="002A36CA"/>
    <w:rsid w:val="002A36E7"/>
    <w:rsid w:val="002A36E8"/>
    <w:rsid w:val="002A3765"/>
    <w:rsid w:val="002A37EA"/>
    <w:rsid w:val="002A37F1"/>
    <w:rsid w:val="002A3829"/>
    <w:rsid w:val="002A3835"/>
    <w:rsid w:val="002A386F"/>
    <w:rsid w:val="002A387F"/>
    <w:rsid w:val="002A3906"/>
    <w:rsid w:val="002A3909"/>
    <w:rsid w:val="002A391B"/>
    <w:rsid w:val="002A391E"/>
    <w:rsid w:val="002A392B"/>
    <w:rsid w:val="002A3975"/>
    <w:rsid w:val="002A39A9"/>
    <w:rsid w:val="002A3AB7"/>
    <w:rsid w:val="002A3ABD"/>
    <w:rsid w:val="002A3AE4"/>
    <w:rsid w:val="002A3B06"/>
    <w:rsid w:val="002A3B5C"/>
    <w:rsid w:val="002A3BD2"/>
    <w:rsid w:val="002A3BD3"/>
    <w:rsid w:val="002A3CAA"/>
    <w:rsid w:val="002A3CBC"/>
    <w:rsid w:val="002A3CE8"/>
    <w:rsid w:val="002A3D3C"/>
    <w:rsid w:val="002A3D74"/>
    <w:rsid w:val="002A3DB8"/>
    <w:rsid w:val="002A3DEF"/>
    <w:rsid w:val="002A3E13"/>
    <w:rsid w:val="002A3F1E"/>
    <w:rsid w:val="002A3FB0"/>
    <w:rsid w:val="002A400E"/>
    <w:rsid w:val="002A4094"/>
    <w:rsid w:val="002A42B6"/>
    <w:rsid w:val="002A4323"/>
    <w:rsid w:val="002A43B9"/>
    <w:rsid w:val="002A4402"/>
    <w:rsid w:val="002A4574"/>
    <w:rsid w:val="002A4590"/>
    <w:rsid w:val="002A4682"/>
    <w:rsid w:val="002A4738"/>
    <w:rsid w:val="002A475A"/>
    <w:rsid w:val="002A4822"/>
    <w:rsid w:val="002A4870"/>
    <w:rsid w:val="002A4895"/>
    <w:rsid w:val="002A48D7"/>
    <w:rsid w:val="002A49EB"/>
    <w:rsid w:val="002A4AA8"/>
    <w:rsid w:val="002A4B1F"/>
    <w:rsid w:val="002A4B66"/>
    <w:rsid w:val="002A4BA6"/>
    <w:rsid w:val="002A4BD0"/>
    <w:rsid w:val="002A4C04"/>
    <w:rsid w:val="002A4C27"/>
    <w:rsid w:val="002A4C6B"/>
    <w:rsid w:val="002A4C96"/>
    <w:rsid w:val="002A4CB1"/>
    <w:rsid w:val="002A4CF4"/>
    <w:rsid w:val="002A4D6F"/>
    <w:rsid w:val="002A4D7D"/>
    <w:rsid w:val="002A4DB7"/>
    <w:rsid w:val="002A4E48"/>
    <w:rsid w:val="002A4F33"/>
    <w:rsid w:val="002A4F56"/>
    <w:rsid w:val="002A4FAA"/>
    <w:rsid w:val="002A4FFE"/>
    <w:rsid w:val="002A5001"/>
    <w:rsid w:val="002A502F"/>
    <w:rsid w:val="002A50E1"/>
    <w:rsid w:val="002A5138"/>
    <w:rsid w:val="002A5183"/>
    <w:rsid w:val="002A5254"/>
    <w:rsid w:val="002A525F"/>
    <w:rsid w:val="002A5292"/>
    <w:rsid w:val="002A529D"/>
    <w:rsid w:val="002A52C3"/>
    <w:rsid w:val="002A52C6"/>
    <w:rsid w:val="002A52EC"/>
    <w:rsid w:val="002A535F"/>
    <w:rsid w:val="002A5377"/>
    <w:rsid w:val="002A53C7"/>
    <w:rsid w:val="002A540A"/>
    <w:rsid w:val="002A540B"/>
    <w:rsid w:val="002A5454"/>
    <w:rsid w:val="002A5456"/>
    <w:rsid w:val="002A54DE"/>
    <w:rsid w:val="002A5510"/>
    <w:rsid w:val="002A5579"/>
    <w:rsid w:val="002A5590"/>
    <w:rsid w:val="002A55A4"/>
    <w:rsid w:val="002A55D9"/>
    <w:rsid w:val="002A566F"/>
    <w:rsid w:val="002A56EA"/>
    <w:rsid w:val="002A56F8"/>
    <w:rsid w:val="002A579F"/>
    <w:rsid w:val="002A57E6"/>
    <w:rsid w:val="002A58D5"/>
    <w:rsid w:val="002A58F6"/>
    <w:rsid w:val="002A5930"/>
    <w:rsid w:val="002A5968"/>
    <w:rsid w:val="002A5971"/>
    <w:rsid w:val="002A59C1"/>
    <w:rsid w:val="002A59DA"/>
    <w:rsid w:val="002A59E4"/>
    <w:rsid w:val="002A59ED"/>
    <w:rsid w:val="002A5A7C"/>
    <w:rsid w:val="002A5B60"/>
    <w:rsid w:val="002A5BC6"/>
    <w:rsid w:val="002A5C1D"/>
    <w:rsid w:val="002A5D6C"/>
    <w:rsid w:val="002A5DCA"/>
    <w:rsid w:val="002A5DE3"/>
    <w:rsid w:val="002A5E0E"/>
    <w:rsid w:val="002A5E41"/>
    <w:rsid w:val="002A5E85"/>
    <w:rsid w:val="002A5ECB"/>
    <w:rsid w:val="002A5EFD"/>
    <w:rsid w:val="002A5F10"/>
    <w:rsid w:val="002A5F43"/>
    <w:rsid w:val="002A5FC3"/>
    <w:rsid w:val="002A6023"/>
    <w:rsid w:val="002A6082"/>
    <w:rsid w:val="002A60BC"/>
    <w:rsid w:val="002A6112"/>
    <w:rsid w:val="002A61C0"/>
    <w:rsid w:val="002A630E"/>
    <w:rsid w:val="002A63F3"/>
    <w:rsid w:val="002A6403"/>
    <w:rsid w:val="002A6462"/>
    <w:rsid w:val="002A6466"/>
    <w:rsid w:val="002A64B7"/>
    <w:rsid w:val="002A64BB"/>
    <w:rsid w:val="002A64CC"/>
    <w:rsid w:val="002A653A"/>
    <w:rsid w:val="002A654B"/>
    <w:rsid w:val="002A65B4"/>
    <w:rsid w:val="002A6626"/>
    <w:rsid w:val="002A6687"/>
    <w:rsid w:val="002A677C"/>
    <w:rsid w:val="002A681E"/>
    <w:rsid w:val="002A684A"/>
    <w:rsid w:val="002A6861"/>
    <w:rsid w:val="002A68C6"/>
    <w:rsid w:val="002A6919"/>
    <w:rsid w:val="002A692C"/>
    <w:rsid w:val="002A6958"/>
    <w:rsid w:val="002A696A"/>
    <w:rsid w:val="002A6970"/>
    <w:rsid w:val="002A6982"/>
    <w:rsid w:val="002A69A9"/>
    <w:rsid w:val="002A69D7"/>
    <w:rsid w:val="002A69ED"/>
    <w:rsid w:val="002A69F7"/>
    <w:rsid w:val="002A6A13"/>
    <w:rsid w:val="002A6A65"/>
    <w:rsid w:val="002A6A89"/>
    <w:rsid w:val="002A6A97"/>
    <w:rsid w:val="002A6B4A"/>
    <w:rsid w:val="002A6B7E"/>
    <w:rsid w:val="002A6BD9"/>
    <w:rsid w:val="002A6C95"/>
    <w:rsid w:val="002A6CA8"/>
    <w:rsid w:val="002A6CB4"/>
    <w:rsid w:val="002A6CF2"/>
    <w:rsid w:val="002A6CF3"/>
    <w:rsid w:val="002A6D47"/>
    <w:rsid w:val="002A6E08"/>
    <w:rsid w:val="002A6E0E"/>
    <w:rsid w:val="002A6E0F"/>
    <w:rsid w:val="002A6E73"/>
    <w:rsid w:val="002A6ED9"/>
    <w:rsid w:val="002A6F3D"/>
    <w:rsid w:val="002A6F63"/>
    <w:rsid w:val="002A702D"/>
    <w:rsid w:val="002A708B"/>
    <w:rsid w:val="002A7112"/>
    <w:rsid w:val="002A711F"/>
    <w:rsid w:val="002A7184"/>
    <w:rsid w:val="002A71DB"/>
    <w:rsid w:val="002A7250"/>
    <w:rsid w:val="002A7255"/>
    <w:rsid w:val="002A7287"/>
    <w:rsid w:val="002A72CA"/>
    <w:rsid w:val="002A7433"/>
    <w:rsid w:val="002A74EE"/>
    <w:rsid w:val="002A7594"/>
    <w:rsid w:val="002A75C2"/>
    <w:rsid w:val="002A75EB"/>
    <w:rsid w:val="002A761B"/>
    <w:rsid w:val="002A76B1"/>
    <w:rsid w:val="002A76C0"/>
    <w:rsid w:val="002A76D7"/>
    <w:rsid w:val="002A777E"/>
    <w:rsid w:val="002A778C"/>
    <w:rsid w:val="002A77E3"/>
    <w:rsid w:val="002A780F"/>
    <w:rsid w:val="002A787B"/>
    <w:rsid w:val="002A78CC"/>
    <w:rsid w:val="002A7977"/>
    <w:rsid w:val="002A79B8"/>
    <w:rsid w:val="002A7B4E"/>
    <w:rsid w:val="002A7B6D"/>
    <w:rsid w:val="002A7B97"/>
    <w:rsid w:val="002A7BA9"/>
    <w:rsid w:val="002A7C69"/>
    <w:rsid w:val="002A7CBF"/>
    <w:rsid w:val="002A7CD8"/>
    <w:rsid w:val="002A7D03"/>
    <w:rsid w:val="002A7D70"/>
    <w:rsid w:val="002A7D72"/>
    <w:rsid w:val="002A7DD4"/>
    <w:rsid w:val="002A7E2A"/>
    <w:rsid w:val="002A7E38"/>
    <w:rsid w:val="002A7E70"/>
    <w:rsid w:val="002A7ECA"/>
    <w:rsid w:val="002A7ED0"/>
    <w:rsid w:val="002A7F7E"/>
    <w:rsid w:val="002A7F80"/>
    <w:rsid w:val="002B000E"/>
    <w:rsid w:val="002B0048"/>
    <w:rsid w:val="002B008D"/>
    <w:rsid w:val="002B01BC"/>
    <w:rsid w:val="002B01D1"/>
    <w:rsid w:val="002B01D6"/>
    <w:rsid w:val="002B0208"/>
    <w:rsid w:val="002B029E"/>
    <w:rsid w:val="002B02AA"/>
    <w:rsid w:val="002B02EE"/>
    <w:rsid w:val="002B030E"/>
    <w:rsid w:val="002B03BC"/>
    <w:rsid w:val="002B03D7"/>
    <w:rsid w:val="002B0457"/>
    <w:rsid w:val="002B04E7"/>
    <w:rsid w:val="002B0562"/>
    <w:rsid w:val="002B056C"/>
    <w:rsid w:val="002B0641"/>
    <w:rsid w:val="002B0670"/>
    <w:rsid w:val="002B0687"/>
    <w:rsid w:val="002B06AB"/>
    <w:rsid w:val="002B0741"/>
    <w:rsid w:val="002B07A5"/>
    <w:rsid w:val="002B07C5"/>
    <w:rsid w:val="002B07D6"/>
    <w:rsid w:val="002B07E1"/>
    <w:rsid w:val="002B0872"/>
    <w:rsid w:val="002B087C"/>
    <w:rsid w:val="002B0901"/>
    <w:rsid w:val="002B0920"/>
    <w:rsid w:val="002B0959"/>
    <w:rsid w:val="002B0960"/>
    <w:rsid w:val="002B0A0A"/>
    <w:rsid w:val="002B0A2E"/>
    <w:rsid w:val="002B0AFD"/>
    <w:rsid w:val="002B0BE6"/>
    <w:rsid w:val="002B0CE2"/>
    <w:rsid w:val="002B0D99"/>
    <w:rsid w:val="002B0DAD"/>
    <w:rsid w:val="002B0DB9"/>
    <w:rsid w:val="002B0DD2"/>
    <w:rsid w:val="002B0E2A"/>
    <w:rsid w:val="002B0EAB"/>
    <w:rsid w:val="002B0EB2"/>
    <w:rsid w:val="002B0F15"/>
    <w:rsid w:val="002B0F20"/>
    <w:rsid w:val="002B0FBD"/>
    <w:rsid w:val="002B1038"/>
    <w:rsid w:val="002B103B"/>
    <w:rsid w:val="002B104D"/>
    <w:rsid w:val="002B10E9"/>
    <w:rsid w:val="002B1110"/>
    <w:rsid w:val="002B1124"/>
    <w:rsid w:val="002B11E9"/>
    <w:rsid w:val="002B1264"/>
    <w:rsid w:val="002B126A"/>
    <w:rsid w:val="002B129B"/>
    <w:rsid w:val="002B1310"/>
    <w:rsid w:val="002B1376"/>
    <w:rsid w:val="002B1398"/>
    <w:rsid w:val="002B140E"/>
    <w:rsid w:val="002B142D"/>
    <w:rsid w:val="002B144E"/>
    <w:rsid w:val="002B14BC"/>
    <w:rsid w:val="002B1592"/>
    <w:rsid w:val="002B15A3"/>
    <w:rsid w:val="002B165A"/>
    <w:rsid w:val="002B165E"/>
    <w:rsid w:val="002B16A5"/>
    <w:rsid w:val="002B16BE"/>
    <w:rsid w:val="002B16BF"/>
    <w:rsid w:val="002B173C"/>
    <w:rsid w:val="002B1758"/>
    <w:rsid w:val="002B179F"/>
    <w:rsid w:val="002B17B8"/>
    <w:rsid w:val="002B1816"/>
    <w:rsid w:val="002B1855"/>
    <w:rsid w:val="002B1856"/>
    <w:rsid w:val="002B1861"/>
    <w:rsid w:val="002B18DD"/>
    <w:rsid w:val="002B19E5"/>
    <w:rsid w:val="002B1A1C"/>
    <w:rsid w:val="002B1A9A"/>
    <w:rsid w:val="002B1BD8"/>
    <w:rsid w:val="002B1C09"/>
    <w:rsid w:val="002B1C41"/>
    <w:rsid w:val="002B1C72"/>
    <w:rsid w:val="002B1D31"/>
    <w:rsid w:val="002B1DA9"/>
    <w:rsid w:val="002B1E34"/>
    <w:rsid w:val="002B1E90"/>
    <w:rsid w:val="002B1ED3"/>
    <w:rsid w:val="002B1EE6"/>
    <w:rsid w:val="002B1F74"/>
    <w:rsid w:val="002B1FD8"/>
    <w:rsid w:val="002B1FF5"/>
    <w:rsid w:val="002B2008"/>
    <w:rsid w:val="002B201B"/>
    <w:rsid w:val="002B20AC"/>
    <w:rsid w:val="002B20BD"/>
    <w:rsid w:val="002B20CA"/>
    <w:rsid w:val="002B20E7"/>
    <w:rsid w:val="002B21A4"/>
    <w:rsid w:val="002B21EB"/>
    <w:rsid w:val="002B2235"/>
    <w:rsid w:val="002B22B7"/>
    <w:rsid w:val="002B22E9"/>
    <w:rsid w:val="002B2396"/>
    <w:rsid w:val="002B23AE"/>
    <w:rsid w:val="002B23D2"/>
    <w:rsid w:val="002B2434"/>
    <w:rsid w:val="002B24F4"/>
    <w:rsid w:val="002B254A"/>
    <w:rsid w:val="002B2575"/>
    <w:rsid w:val="002B25D2"/>
    <w:rsid w:val="002B25D3"/>
    <w:rsid w:val="002B25DC"/>
    <w:rsid w:val="002B2608"/>
    <w:rsid w:val="002B2633"/>
    <w:rsid w:val="002B26AC"/>
    <w:rsid w:val="002B26C1"/>
    <w:rsid w:val="002B26DA"/>
    <w:rsid w:val="002B26E8"/>
    <w:rsid w:val="002B2754"/>
    <w:rsid w:val="002B27AC"/>
    <w:rsid w:val="002B2802"/>
    <w:rsid w:val="002B2816"/>
    <w:rsid w:val="002B28A5"/>
    <w:rsid w:val="002B28D6"/>
    <w:rsid w:val="002B28F3"/>
    <w:rsid w:val="002B29E7"/>
    <w:rsid w:val="002B2A23"/>
    <w:rsid w:val="002B2A4E"/>
    <w:rsid w:val="002B2A7A"/>
    <w:rsid w:val="002B2B28"/>
    <w:rsid w:val="002B2B40"/>
    <w:rsid w:val="002B2BF7"/>
    <w:rsid w:val="002B2C41"/>
    <w:rsid w:val="002B2C42"/>
    <w:rsid w:val="002B2C8C"/>
    <w:rsid w:val="002B2C8D"/>
    <w:rsid w:val="002B2C9F"/>
    <w:rsid w:val="002B2CAB"/>
    <w:rsid w:val="002B2CB8"/>
    <w:rsid w:val="002B2D27"/>
    <w:rsid w:val="002B2D71"/>
    <w:rsid w:val="002B2D85"/>
    <w:rsid w:val="002B2DAD"/>
    <w:rsid w:val="002B2E0D"/>
    <w:rsid w:val="002B2E4E"/>
    <w:rsid w:val="002B2E98"/>
    <w:rsid w:val="002B2E9F"/>
    <w:rsid w:val="002B2ECA"/>
    <w:rsid w:val="002B2EF3"/>
    <w:rsid w:val="002B2F55"/>
    <w:rsid w:val="002B2FF7"/>
    <w:rsid w:val="002B2FF9"/>
    <w:rsid w:val="002B3006"/>
    <w:rsid w:val="002B3084"/>
    <w:rsid w:val="002B3100"/>
    <w:rsid w:val="002B3151"/>
    <w:rsid w:val="002B3174"/>
    <w:rsid w:val="002B31DE"/>
    <w:rsid w:val="002B324D"/>
    <w:rsid w:val="002B3266"/>
    <w:rsid w:val="002B3274"/>
    <w:rsid w:val="002B3276"/>
    <w:rsid w:val="002B327F"/>
    <w:rsid w:val="002B3287"/>
    <w:rsid w:val="002B32C7"/>
    <w:rsid w:val="002B32CF"/>
    <w:rsid w:val="002B32E6"/>
    <w:rsid w:val="002B3332"/>
    <w:rsid w:val="002B333C"/>
    <w:rsid w:val="002B3360"/>
    <w:rsid w:val="002B3371"/>
    <w:rsid w:val="002B33D8"/>
    <w:rsid w:val="002B3546"/>
    <w:rsid w:val="002B3552"/>
    <w:rsid w:val="002B358F"/>
    <w:rsid w:val="002B3600"/>
    <w:rsid w:val="002B363E"/>
    <w:rsid w:val="002B3673"/>
    <w:rsid w:val="002B3695"/>
    <w:rsid w:val="002B375E"/>
    <w:rsid w:val="002B3829"/>
    <w:rsid w:val="002B389E"/>
    <w:rsid w:val="002B38E0"/>
    <w:rsid w:val="002B3972"/>
    <w:rsid w:val="002B39F9"/>
    <w:rsid w:val="002B3A55"/>
    <w:rsid w:val="002B3AB2"/>
    <w:rsid w:val="002B3AE6"/>
    <w:rsid w:val="002B3B23"/>
    <w:rsid w:val="002B3B6A"/>
    <w:rsid w:val="002B3BAE"/>
    <w:rsid w:val="002B3C2A"/>
    <w:rsid w:val="002B3C41"/>
    <w:rsid w:val="002B3C4E"/>
    <w:rsid w:val="002B3D25"/>
    <w:rsid w:val="002B3D6C"/>
    <w:rsid w:val="002B3E66"/>
    <w:rsid w:val="002B3E78"/>
    <w:rsid w:val="002B3F25"/>
    <w:rsid w:val="002B400B"/>
    <w:rsid w:val="002B40A0"/>
    <w:rsid w:val="002B414A"/>
    <w:rsid w:val="002B42A8"/>
    <w:rsid w:val="002B42DD"/>
    <w:rsid w:val="002B4339"/>
    <w:rsid w:val="002B4344"/>
    <w:rsid w:val="002B436A"/>
    <w:rsid w:val="002B436C"/>
    <w:rsid w:val="002B4375"/>
    <w:rsid w:val="002B4399"/>
    <w:rsid w:val="002B43A0"/>
    <w:rsid w:val="002B43FF"/>
    <w:rsid w:val="002B443B"/>
    <w:rsid w:val="002B44FD"/>
    <w:rsid w:val="002B450D"/>
    <w:rsid w:val="002B4524"/>
    <w:rsid w:val="002B4581"/>
    <w:rsid w:val="002B4614"/>
    <w:rsid w:val="002B4667"/>
    <w:rsid w:val="002B46BF"/>
    <w:rsid w:val="002B46D4"/>
    <w:rsid w:val="002B46E5"/>
    <w:rsid w:val="002B482D"/>
    <w:rsid w:val="002B4852"/>
    <w:rsid w:val="002B488E"/>
    <w:rsid w:val="002B48CF"/>
    <w:rsid w:val="002B4929"/>
    <w:rsid w:val="002B4984"/>
    <w:rsid w:val="002B49E2"/>
    <w:rsid w:val="002B49EB"/>
    <w:rsid w:val="002B49F8"/>
    <w:rsid w:val="002B4A98"/>
    <w:rsid w:val="002B4AE8"/>
    <w:rsid w:val="002B4AF9"/>
    <w:rsid w:val="002B4B07"/>
    <w:rsid w:val="002B4B3E"/>
    <w:rsid w:val="002B4B43"/>
    <w:rsid w:val="002B4BD9"/>
    <w:rsid w:val="002B4C8D"/>
    <w:rsid w:val="002B4CF3"/>
    <w:rsid w:val="002B4D4D"/>
    <w:rsid w:val="002B4DD1"/>
    <w:rsid w:val="002B4E00"/>
    <w:rsid w:val="002B4E41"/>
    <w:rsid w:val="002B4E72"/>
    <w:rsid w:val="002B4E95"/>
    <w:rsid w:val="002B4EB6"/>
    <w:rsid w:val="002B4EEE"/>
    <w:rsid w:val="002B4F68"/>
    <w:rsid w:val="002B4F8A"/>
    <w:rsid w:val="002B5048"/>
    <w:rsid w:val="002B517B"/>
    <w:rsid w:val="002B51AE"/>
    <w:rsid w:val="002B51E6"/>
    <w:rsid w:val="002B51E7"/>
    <w:rsid w:val="002B51F5"/>
    <w:rsid w:val="002B521B"/>
    <w:rsid w:val="002B5274"/>
    <w:rsid w:val="002B52CE"/>
    <w:rsid w:val="002B52DD"/>
    <w:rsid w:val="002B53AB"/>
    <w:rsid w:val="002B53BD"/>
    <w:rsid w:val="002B53BE"/>
    <w:rsid w:val="002B53ED"/>
    <w:rsid w:val="002B53F7"/>
    <w:rsid w:val="002B54EC"/>
    <w:rsid w:val="002B54F6"/>
    <w:rsid w:val="002B5594"/>
    <w:rsid w:val="002B55DC"/>
    <w:rsid w:val="002B5606"/>
    <w:rsid w:val="002B56D4"/>
    <w:rsid w:val="002B5748"/>
    <w:rsid w:val="002B57D6"/>
    <w:rsid w:val="002B582C"/>
    <w:rsid w:val="002B5834"/>
    <w:rsid w:val="002B5841"/>
    <w:rsid w:val="002B5859"/>
    <w:rsid w:val="002B58AD"/>
    <w:rsid w:val="002B58FC"/>
    <w:rsid w:val="002B5926"/>
    <w:rsid w:val="002B5958"/>
    <w:rsid w:val="002B59AA"/>
    <w:rsid w:val="002B59FA"/>
    <w:rsid w:val="002B5A4D"/>
    <w:rsid w:val="002B5AB0"/>
    <w:rsid w:val="002B5AC8"/>
    <w:rsid w:val="002B5BB5"/>
    <w:rsid w:val="002B5BCF"/>
    <w:rsid w:val="002B5C39"/>
    <w:rsid w:val="002B5C3F"/>
    <w:rsid w:val="002B5C73"/>
    <w:rsid w:val="002B5CCC"/>
    <w:rsid w:val="002B5D08"/>
    <w:rsid w:val="002B5D21"/>
    <w:rsid w:val="002B5D27"/>
    <w:rsid w:val="002B5D6B"/>
    <w:rsid w:val="002B5D79"/>
    <w:rsid w:val="002B5DE2"/>
    <w:rsid w:val="002B5E64"/>
    <w:rsid w:val="002B5E90"/>
    <w:rsid w:val="002B5F93"/>
    <w:rsid w:val="002B5FA7"/>
    <w:rsid w:val="002B5FCB"/>
    <w:rsid w:val="002B60DE"/>
    <w:rsid w:val="002B6159"/>
    <w:rsid w:val="002B615F"/>
    <w:rsid w:val="002B61AA"/>
    <w:rsid w:val="002B61CD"/>
    <w:rsid w:val="002B6201"/>
    <w:rsid w:val="002B6279"/>
    <w:rsid w:val="002B62E8"/>
    <w:rsid w:val="002B62FA"/>
    <w:rsid w:val="002B6307"/>
    <w:rsid w:val="002B640E"/>
    <w:rsid w:val="002B6434"/>
    <w:rsid w:val="002B646C"/>
    <w:rsid w:val="002B6540"/>
    <w:rsid w:val="002B6585"/>
    <w:rsid w:val="002B65B2"/>
    <w:rsid w:val="002B667E"/>
    <w:rsid w:val="002B6698"/>
    <w:rsid w:val="002B66A1"/>
    <w:rsid w:val="002B66BF"/>
    <w:rsid w:val="002B6731"/>
    <w:rsid w:val="002B676A"/>
    <w:rsid w:val="002B696D"/>
    <w:rsid w:val="002B6AA0"/>
    <w:rsid w:val="002B6B8B"/>
    <w:rsid w:val="002B6C39"/>
    <w:rsid w:val="002B6C7C"/>
    <w:rsid w:val="002B6C80"/>
    <w:rsid w:val="002B6CC8"/>
    <w:rsid w:val="002B6D76"/>
    <w:rsid w:val="002B6DA8"/>
    <w:rsid w:val="002B6DB4"/>
    <w:rsid w:val="002B6E2B"/>
    <w:rsid w:val="002B6F18"/>
    <w:rsid w:val="002B6F87"/>
    <w:rsid w:val="002B6FBE"/>
    <w:rsid w:val="002B7004"/>
    <w:rsid w:val="002B704C"/>
    <w:rsid w:val="002B70BC"/>
    <w:rsid w:val="002B7119"/>
    <w:rsid w:val="002B717A"/>
    <w:rsid w:val="002B719F"/>
    <w:rsid w:val="002B71B2"/>
    <w:rsid w:val="002B71DE"/>
    <w:rsid w:val="002B7231"/>
    <w:rsid w:val="002B7243"/>
    <w:rsid w:val="002B7388"/>
    <w:rsid w:val="002B74EC"/>
    <w:rsid w:val="002B7548"/>
    <w:rsid w:val="002B7552"/>
    <w:rsid w:val="002B7553"/>
    <w:rsid w:val="002B75EC"/>
    <w:rsid w:val="002B7651"/>
    <w:rsid w:val="002B7655"/>
    <w:rsid w:val="002B76D5"/>
    <w:rsid w:val="002B7779"/>
    <w:rsid w:val="002B77AF"/>
    <w:rsid w:val="002B77FA"/>
    <w:rsid w:val="002B782F"/>
    <w:rsid w:val="002B786F"/>
    <w:rsid w:val="002B78A8"/>
    <w:rsid w:val="002B78CC"/>
    <w:rsid w:val="002B78E1"/>
    <w:rsid w:val="002B78FA"/>
    <w:rsid w:val="002B795C"/>
    <w:rsid w:val="002B7964"/>
    <w:rsid w:val="002B7976"/>
    <w:rsid w:val="002B798C"/>
    <w:rsid w:val="002B79BB"/>
    <w:rsid w:val="002B79F5"/>
    <w:rsid w:val="002B7A42"/>
    <w:rsid w:val="002B7AB8"/>
    <w:rsid w:val="002B7ADB"/>
    <w:rsid w:val="002B7C46"/>
    <w:rsid w:val="002B7C4C"/>
    <w:rsid w:val="002B7C66"/>
    <w:rsid w:val="002B7C76"/>
    <w:rsid w:val="002B7CD9"/>
    <w:rsid w:val="002B7CF2"/>
    <w:rsid w:val="002B7D12"/>
    <w:rsid w:val="002B7D37"/>
    <w:rsid w:val="002B7E50"/>
    <w:rsid w:val="002B7EF6"/>
    <w:rsid w:val="002B7F3C"/>
    <w:rsid w:val="002B7F92"/>
    <w:rsid w:val="002C0006"/>
    <w:rsid w:val="002C005D"/>
    <w:rsid w:val="002C0067"/>
    <w:rsid w:val="002C00BB"/>
    <w:rsid w:val="002C0157"/>
    <w:rsid w:val="002C01E9"/>
    <w:rsid w:val="002C023F"/>
    <w:rsid w:val="002C02E9"/>
    <w:rsid w:val="002C02F4"/>
    <w:rsid w:val="002C03A4"/>
    <w:rsid w:val="002C03D1"/>
    <w:rsid w:val="002C03D3"/>
    <w:rsid w:val="002C03D9"/>
    <w:rsid w:val="002C042D"/>
    <w:rsid w:val="002C0468"/>
    <w:rsid w:val="002C0474"/>
    <w:rsid w:val="002C0477"/>
    <w:rsid w:val="002C0595"/>
    <w:rsid w:val="002C05B1"/>
    <w:rsid w:val="002C0606"/>
    <w:rsid w:val="002C061D"/>
    <w:rsid w:val="002C0642"/>
    <w:rsid w:val="002C0675"/>
    <w:rsid w:val="002C06B8"/>
    <w:rsid w:val="002C06C2"/>
    <w:rsid w:val="002C06D9"/>
    <w:rsid w:val="002C070D"/>
    <w:rsid w:val="002C076D"/>
    <w:rsid w:val="002C07AB"/>
    <w:rsid w:val="002C07DE"/>
    <w:rsid w:val="002C0839"/>
    <w:rsid w:val="002C083C"/>
    <w:rsid w:val="002C086B"/>
    <w:rsid w:val="002C08C3"/>
    <w:rsid w:val="002C08F2"/>
    <w:rsid w:val="002C08FD"/>
    <w:rsid w:val="002C0922"/>
    <w:rsid w:val="002C093D"/>
    <w:rsid w:val="002C09A4"/>
    <w:rsid w:val="002C0A00"/>
    <w:rsid w:val="002C0A4F"/>
    <w:rsid w:val="002C0A6F"/>
    <w:rsid w:val="002C0A94"/>
    <w:rsid w:val="002C0B2D"/>
    <w:rsid w:val="002C0B33"/>
    <w:rsid w:val="002C0BB3"/>
    <w:rsid w:val="002C0BDC"/>
    <w:rsid w:val="002C0D0A"/>
    <w:rsid w:val="002C0D77"/>
    <w:rsid w:val="002C0D7F"/>
    <w:rsid w:val="002C0DF3"/>
    <w:rsid w:val="002C0E34"/>
    <w:rsid w:val="002C0E51"/>
    <w:rsid w:val="002C0E61"/>
    <w:rsid w:val="002C0EF0"/>
    <w:rsid w:val="002C0F06"/>
    <w:rsid w:val="002C0FCF"/>
    <w:rsid w:val="002C0FD4"/>
    <w:rsid w:val="002C0FE7"/>
    <w:rsid w:val="002C1008"/>
    <w:rsid w:val="002C102F"/>
    <w:rsid w:val="002C1109"/>
    <w:rsid w:val="002C114E"/>
    <w:rsid w:val="002C124C"/>
    <w:rsid w:val="002C124F"/>
    <w:rsid w:val="002C12A1"/>
    <w:rsid w:val="002C131E"/>
    <w:rsid w:val="002C1346"/>
    <w:rsid w:val="002C1414"/>
    <w:rsid w:val="002C147D"/>
    <w:rsid w:val="002C15A3"/>
    <w:rsid w:val="002C1678"/>
    <w:rsid w:val="002C16AB"/>
    <w:rsid w:val="002C16B9"/>
    <w:rsid w:val="002C16C7"/>
    <w:rsid w:val="002C17AD"/>
    <w:rsid w:val="002C17CF"/>
    <w:rsid w:val="002C17E3"/>
    <w:rsid w:val="002C19EA"/>
    <w:rsid w:val="002C1A1D"/>
    <w:rsid w:val="002C1A51"/>
    <w:rsid w:val="002C1A98"/>
    <w:rsid w:val="002C1AD7"/>
    <w:rsid w:val="002C1AD8"/>
    <w:rsid w:val="002C1B0F"/>
    <w:rsid w:val="002C1B22"/>
    <w:rsid w:val="002C1B3E"/>
    <w:rsid w:val="002C1BBC"/>
    <w:rsid w:val="002C1BCE"/>
    <w:rsid w:val="002C1D2C"/>
    <w:rsid w:val="002C1DA6"/>
    <w:rsid w:val="002C1F41"/>
    <w:rsid w:val="002C2001"/>
    <w:rsid w:val="002C20CC"/>
    <w:rsid w:val="002C211B"/>
    <w:rsid w:val="002C2128"/>
    <w:rsid w:val="002C2136"/>
    <w:rsid w:val="002C2168"/>
    <w:rsid w:val="002C21A5"/>
    <w:rsid w:val="002C21AA"/>
    <w:rsid w:val="002C21C5"/>
    <w:rsid w:val="002C21D7"/>
    <w:rsid w:val="002C2208"/>
    <w:rsid w:val="002C2342"/>
    <w:rsid w:val="002C2348"/>
    <w:rsid w:val="002C2368"/>
    <w:rsid w:val="002C23A3"/>
    <w:rsid w:val="002C23CF"/>
    <w:rsid w:val="002C2410"/>
    <w:rsid w:val="002C247F"/>
    <w:rsid w:val="002C2589"/>
    <w:rsid w:val="002C2675"/>
    <w:rsid w:val="002C26B4"/>
    <w:rsid w:val="002C2892"/>
    <w:rsid w:val="002C28E4"/>
    <w:rsid w:val="002C28EC"/>
    <w:rsid w:val="002C28F9"/>
    <w:rsid w:val="002C2952"/>
    <w:rsid w:val="002C2955"/>
    <w:rsid w:val="002C297B"/>
    <w:rsid w:val="002C2A3C"/>
    <w:rsid w:val="002C2B66"/>
    <w:rsid w:val="002C2BBD"/>
    <w:rsid w:val="002C2BD9"/>
    <w:rsid w:val="002C2C10"/>
    <w:rsid w:val="002C2C11"/>
    <w:rsid w:val="002C2C7F"/>
    <w:rsid w:val="002C2CA1"/>
    <w:rsid w:val="002C2CE2"/>
    <w:rsid w:val="002C2CEC"/>
    <w:rsid w:val="002C2D0A"/>
    <w:rsid w:val="002C2D3B"/>
    <w:rsid w:val="002C2E7F"/>
    <w:rsid w:val="002C2EA0"/>
    <w:rsid w:val="002C2EC0"/>
    <w:rsid w:val="002C2EC1"/>
    <w:rsid w:val="002C2EFA"/>
    <w:rsid w:val="002C2F3E"/>
    <w:rsid w:val="002C2F56"/>
    <w:rsid w:val="002C300E"/>
    <w:rsid w:val="002C3011"/>
    <w:rsid w:val="002C302F"/>
    <w:rsid w:val="002C305E"/>
    <w:rsid w:val="002C30DA"/>
    <w:rsid w:val="002C319F"/>
    <w:rsid w:val="002C31D6"/>
    <w:rsid w:val="002C3280"/>
    <w:rsid w:val="002C3282"/>
    <w:rsid w:val="002C3284"/>
    <w:rsid w:val="002C330E"/>
    <w:rsid w:val="002C3318"/>
    <w:rsid w:val="002C337E"/>
    <w:rsid w:val="002C3481"/>
    <w:rsid w:val="002C34BB"/>
    <w:rsid w:val="002C34BD"/>
    <w:rsid w:val="002C3578"/>
    <w:rsid w:val="002C357D"/>
    <w:rsid w:val="002C359C"/>
    <w:rsid w:val="002C35AD"/>
    <w:rsid w:val="002C3657"/>
    <w:rsid w:val="002C36B0"/>
    <w:rsid w:val="002C36D1"/>
    <w:rsid w:val="002C36DE"/>
    <w:rsid w:val="002C36E2"/>
    <w:rsid w:val="002C3721"/>
    <w:rsid w:val="002C37A8"/>
    <w:rsid w:val="002C37D8"/>
    <w:rsid w:val="002C37F4"/>
    <w:rsid w:val="002C37FE"/>
    <w:rsid w:val="002C385A"/>
    <w:rsid w:val="002C386E"/>
    <w:rsid w:val="002C3953"/>
    <w:rsid w:val="002C3963"/>
    <w:rsid w:val="002C399D"/>
    <w:rsid w:val="002C39F2"/>
    <w:rsid w:val="002C39F9"/>
    <w:rsid w:val="002C3B25"/>
    <w:rsid w:val="002C3B3E"/>
    <w:rsid w:val="002C3BE3"/>
    <w:rsid w:val="002C3C00"/>
    <w:rsid w:val="002C3C64"/>
    <w:rsid w:val="002C3D01"/>
    <w:rsid w:val="002C3D14"/>
    <w:rsid w:val="002C3D89"/>
    <w:rsid w:val="002C3DC8"/>
    <w:rsid w:val="002C3E19"/>
    <w:rsid w:val="002C3EAC"/>
    <w:rsid w:val="002C3F06"/>
    <w:rsid w:val="002C3F14"/>
    <w:rsid w:val="002C3FA5"/>
    <w:rsid w:val="002C3FA6"/>
    <w:rsid w:val="002C4094"/>
    <w:rsid w:val="002C4166"/>
    <w:rsid w:val="002C41BF"/>
    <w:rsid w:val="002C41E7"/>
    <w:rsid w:val="002C4206"/>
    <w:rsid w:val="002C4231"/>
    <w:rsid w:val="002C4291"/>
    <w:rsid w:val="002C42A8"/>
    <w:rsid w:val="002C42DF"/>
    <w:rsid w:val="002C432A"/>
    <w:rsid w:val="002C439C"/>
    <w:rsid w:val="002C43A1"/>
    <w:rsid w:val="002C43B3"/>
    <w:rsid w:val="002C44B7"/>
    <w:rsid w:val="002C456A"/>
    <w:rsid w:val="002C45FC"/>
    <w:rsid w:val="002C4624"/>
    <w:rsid w:val="002C465B"/>
    <w:rsid w:val="002C46EB"/>
    <w:rsid w:val="002C4705"/>
    <w:rsid w:val="002C47A0"/>
    <w:rsid w:val="002C47CE"/>
    <w:rsid w:val="002C47DB"/>
    <w:rsid w:val="002C47E1"/>
    <w:rsid w:val="002C4818"/>
    <w:rsid w:val="002C4858"/>
    <w:rsid w:val="002C48E5"/>
    <w:rsid w:val="002C4902"/>
    <w:rsid w:val="002C49E4"/>
    <w:rsid w:val="002C4AE2"/>
    <w:rsid w:val="002C4AEE"/>
    <w:rsid w:val="002C4AFA"/>
    <w:rsid w:val="002C4B2C"/>
    <w:rsid w:val="002C4B31"/>
    <w:rsid w:val="002C4B49"/>
    <w:rsid w:val="002C4B9D"/>
    <w:rsid w:val="002C4BA6"/>
    <w:rsid w:val="002C4BC0"/>
    <w:rsid w:val="002C4BDE"/>
    <w:rsid w:val="002C4BF5"/>
    <w:rsid w:val="002C4C39"/>
    <w:rsid w:val="002C4C42"/>
    <w:rsid w:val="002C4C4E"/>
    <w:rsid w:val="002C4C8A"/>
    <w:rsid w:val="002C4CF3"/>
    <w:rsid w:val="002C4D62"/>
    <w:rsid w:val="002C4D72"/>
    <w:rsid w:val="002C4DBC"/>
    <w:rsid w:val="002C4E07"/>
    <w:rsid w:val="002C4E2D"/>
    <w:rsid w:val="002C4E35"/>
    <w:rsid w:val="002C4E4B"/>
    <w:rsid w:val="002C4E61"/>
    <w:rsid w:val="002C4E96"/>
    <w:rsid w:val="002C4F06"/>
    <w:rsid w:val="002C4F1C"/>
    <w:rsid w:val="002C4F29"/>
    <w:rsid w:val="002C4F3F"/>
    <w:rsid w:val="002C4F6E"/>
    <w:rsid w:val="002C5007"/>
    <w:rsid w:val="002C5046"/>
    <w:rsid w:val="002C5068"/>
    <w:rsid w:val="002C506F"/>
    <w:rsid w:val="002C5191"/>
    <w:rsid w:val="002C51E2"/>
    <w:rsid w:val="002C522A"/>
    <w:rsid w:val="002C5287"/>
    <w:rsid w:val="002C52C2"/>
    <w:rsid w:val="002C52C4"/>
    <w:rsid w:val="002C52EF"/>
    <w:rsid w:val="002C5329"/>
    <w:rsid w:val="002C545A"/>
    <w:rsid w:val="002C548D"/>
    <w:rsid w:val="002C54A8"/>
    <w:rsid w:val="002C5521"/>
    <w:rsid w:val="002C5556"/>
    <w:rsid w:val="002C556D"/>
    <w:rsid w:val="002C5591"/>
    <w:rsid w:val="002C55AA"/>
    <w:rsid w:val="002C55DC"/>
    <w:rsid w:val="002C5619"/>
    <w:rsid w:val="002C569B"/>
    <w:rsid w:val="002C57B7"/>
    <w:rsid w:val="002C57D8"/>
    <w:rsid w:val="002C584E"/>
    <w:rsid w:val="002C590D"/>
    <w:rsid w:val="002C5969"/>
    <w:rsid w:val="002C599F"/>
    <w:rsid w:val="002C5A50"/>
    <w:rsid w:val="002C5A9A"/>
    <w:rsid w:val="002C5AE1"/>
    <w:rsid w:val="002C5B17"/>
    <w:rsid w:val="002C5BD4"/>
    <w:rsid w:val="002C5BE2"/>
    <w:rsid w:val="002C5C4D"/>
    <w:rsid w:val="002C5C80"/>
    <w:rsid w:val="002C5C9C"/>
    <w:rsid w:val="002C5DAD"/>
    <w:rsid w:val="002C5DBD"/>
    <w:rsid w:val="002C5DCD"/>
    <w:rsid w:val="002C5DF9"/>
    <w:rsid w:val="002C5EA1"/>
    <w:rsid w:val="002C5EB7"/>
    <w:rsid w:val="002C5EC9"/>
    <w:rsid w:val="002C5F5F"/>
    <w:rsid w:val="002C5FD3"/>
    <w:rsid w:val="002C6005"/>
    <w:rsid w:val="002C616E"/>
    <w:rsid w:val="002C61AC"/>
    <w:rsid w:val="002C6256"/>
    <w:rsid w:val="002C626C"/>
    <w:rsid w:val="002C6299"/>
    <w:rsid w:val="002C634C"/>
    <w:rsid w:val="002C6374"/>
    <w:rsid w:val="002C63BA"/>
    <w:rsid w:val="002C6407"/>
    <w:rsid w:val="002C64F4"/>
    <w:rsid w:val="002C6606"/>
    <w:rsid w:val="002C6642"/>
    <w:rsid w:val="002C665E"/>
    <w:rsid w:val="002C66A8"/>
    <w:rsid w:val="002C66F8"/>
    <w:rsid w:val="002C6772"/>
    <w:rsid w:val="002C6775"/>
    <w:rsid w:val="002C6778"/>
    <w:rsid w:val="002C686D"/>
    <w:rsid w:val="002C68B0"/>
    <w:rsid w:val="002C68EF"/>
    <w:rsid w:val="002C6932"/>
    <w:rsid w:val="002C696D"/>
    <w:rsid w:val="002C69A6"/>
    <w:rsid w:val="002C6A14"/>
    <w:rsid w:val="002C6A2B"/>
    <w:rsid w:val="002C6A43"/>
    <w:rsid w:val="002C6A61"/>
    <w:rsid w:val="002C6AA8"/>
    <w:rsid w:val="002C6ADE"/>
    <w:rsid w:val="002C6B10"/>
    <w:rsid w:val="002C6B46"/>
    <w:rsid w:val="002C6B9A"/>
    <w:rsid w:val="002C6BB5"/>
    <w:rsid w:val="002C6C50"/>
    <w:rsid w:val="002C6C68"/>
    <w:rsid w:val="002C6CF9"/>
    <w:rsid w:val="002C6D0C"/>
    <w:rsid w:val="002C6D21"/>
    <w:rsid w:val="002C6D5D"/>
    <w:rsid w:val="002C6E1B"/>
    <w:rsid w:val="002C6E1C"/>
    <w:rsid w:val="002C6FB1"/>
    <w:rsid w:val="002C6FC8"/>
    <w:rsid w:val="002C7030"/>
    <w:rsid w:val="002C7048"/>
    <w:rsid w:val="002C708E"/>
    <w:rsid w:val="002C713B"/>
    <w:rsid w:val="002C7154"/>
    <w:rsid w:val="002C7163"/>
    <w:rsid w:val="002C716A"/>
    <w:rsid w:val="002C7180"/>
    <w:rsid w:val="002C7197"/>
    <w:rsid w:val="002C724C"/>
    <w:rsid w:val="002C7311"/>
    <w:rsid w:val="002C739A"/>
    <w:rsid w:val="002C7434"/>
    <w:rsid w:val="002C743F"/>
    <w:rsid w:val="002C744C"/>
    <w:rsid w:val="002C746C"/>
    <w:rsid w:val="002C7477"/>
    <w:rsid w:val="002C7498"/>
    <w:rsid w:val="002C752A"/>
    <w:rsid w:val="002C7587"/>
    <w:rsid w:val="002C75AD"/>
    <w:rsid w:val="002C75F8"/>
    <w:rsid w:val="002C7624"/>
    <w:rsid w:val="002C773E"/>
    <w:rsid w:val="002C7786"/>
    <w:rsid w:val="002C7878"/>
    <w:rsid w:val="002C79D1"/>
    <w:rsid w:val="002C7A1B"/>
    <w:rsid w:val="002C7AF7"/>
    <w:rsid w:val="002C7B1C"/>
    <w:rsid w:val="002C7B6B"/>
    <w:rsid w:val="002C7B9E"/>
    <w:rsid w:val="002C7C01"/>
    <w:rsid w:val="002C7C08"/>
    <w:rsid w:val="002C7C98"/>
    <w:rsid w:val="002C7CD8"/>
    <w:rsid w:val="002C7D23"/>
    <w:rsid w:val="002C7D63"/>
    <w:rsid w:val="002C7D84"/>
    <w:rsid w:val="002C7DE1"/>
    <w:rsid w:val="002C7E4F"/>
    <w:rsid w:val="002C7E5F"/>
    <w:rsid w:val="002C7E96"/>
    <w:rsid w:val="002C7EC7"/>
    <w:rsid w:val="002C7ED0"/>
    <w:rsid w:val="002C7ED5"/>
    <w:rsid w:val="002C7F2E"/>
    <w:rsid w:val="002C7F40"/>
    <w:rsid w:val="002C7FFD"/>
    <w:rsid w:val="002D0005"/>
    <w:rsid w:val="002D001B"/>
    <w:rsid w:val="002D0024"/>
    <w:rsid w:val="002D00B0"/>
    <w:rsid w:val="002D01B9"/>
    <w:rsid w:val="002D01BB"/>
    <w:rsid w:val="002D01BC"/>
    <w:rsid w:val="002D01D7"/>
    <w:rsid w:val="002D01E7"/>
    <w:rsid w:val="002D0213"/>
    <w:rsid w:val="002D02FB"/>
    <w:rsid w:val="002D0323"/>
    <w:rsid w:val="002D0329"/>
    <w:rsid w:val="002D034E"/>
    <w:rsid w:val="002D03F0"/>
    <w:rsid w:val="002D0406"/>
    <w:rsid w:val="002D040C"/>
    <w:rsid w:val="002D0422"/>
    <w:rsid w:val="002D04DE"/>
    <w:rsid w:val="002D0502"/>
    <w:rsid w:val="002D0533"/>
    <w:rsid w:val="002D0534"/>
    <w:rsid w:val="002D05B0"/>
    <w:rsid w:val="002D0697"/>
    <w:rsid w:val="002D06A8"/>
    <w:rsid w:val="002D06B4"/>
    <w:rsid w:val="002D06D0"/>
    <w:rsid w:val="002D070A"/>
    <w:rsid w:val="002D0861"/>
    <w:rsid w:val="002D08D4"/>
    <w:rsid w:val="002D08E1"/>
    <w:rsid w:val="002D0961"/>
    <w:rsid w:val="002D096A"/>
    <w:rsid w:val="002D0A52"/>
    <w:rsid w:val="002D0A55"/>
    <w:rsid w:val="002D0A62"/>
    <w:rsid w:val="002D0B0C"/>
    <w:rsid w:val="002D0C43"/>
    <w:rsid w:val="002D0CAF"/>
    <w:rsid w:val="002D0D86"/>
    <w:rsid w:val="002D0D9D"/>
    <w:rsid w:val="002D0DBA"/>
    <w:rsid w:val="002D0DC2"/>
    <w:rsid w:val="002D0DFF"/>
    <w:rsid w:val="002D0EDD"/>
    <w:rsid w:val="002D0EE2"/>
    <w:rsid w:val="002D0F51"/>
    <w:rsid w:val="002D0FF8"/>
    <w:rsid w:val="002D0FFF"/>
    <w:rsid w:val="002D1009"/>
    <w:rsid w:val="002D1055"/>
    <w:rsid w:val="002D108C"/>
    <w:rsid w:val="002D110D"/>
    <w:rsid w:val="002D1195"/>
    <w:rsid w:val="002D11C4"/>
    <w:rsid w:val="002D1232"/>
    <w:rsid w:val="002D123B"/>
    <w:rsid w:val="002D126E"/>
    <w:rsid w:val="002D1282"/>
    <w:rsid w:val="002D12A8"/>
    <w:rsid w:val="002D12D0"/>
    <w:rsid w:val="002D12E3"/>
    <w:rsid w:val="002D134D"/>
    <w:rsid w:val="002D1356"/>
    <w:rsid w:val="002D1389"/>
    <w:rsid w:val="002D13CA"/>
    <w:rsid w:val="002D1427"/>
    <w:rsid w:val="002D14C5"/>
    <w:rsid w:val="002D1657"/>
    <w:rsid w:val="002D1767"/>
    <w:rsid w:val="002D178B"/>
    <w:rsid w:val="002D17A9"/>
    <w:rsid w:val="002D17E3"/>
    <w:rsid w:val="002D181C"/>
    <w:rsid w:val="002D183E"/>
    <w:rsid w:val="002D18A3"/>
    <w:rsid w:val="002D18C4"/>
    <w:rsid w:val="002D19D4"/>
    <w:rsid w:val="002D1A4D"/>
    <w:rsid w:val="002D1A80"/>
    <w:rsid w:val="002D1B2D"/>
    <w:rsid w:val="002D1B51"/>
    <w:rsid w:val="002D1B63"/>
    <w:rsid w:val="002D1BDD"/>
    <w:rsid w:val="002D1BEC"/>
    <w:rsid w:val="002D1C1E"/>
    <w:rsid w:val="002D1C83"/>
    <w:rsid w:val="002D1CA4"/>
    <w:rsid w:val="002D1CA9"/>
    <w:rsid w:val="002D1CAA"/>
    <w:rsid w:val="002D1CBE"/>
    <w:rsid w:val="002D1DA7"/>
    <w:rsid w:val="002D1DD0"/>
    <w:rsid w:val="002D1E3F"/>
    <w:rsid w:val="002D1E97"/>
    <w:rsid w:val="002D1EE3"/>
    <w:rsid w:val="002D1F2C"/>
    <w:rsid w:val="002D1F33"/>
    <w:rsid w:val="002D1F66"/>
    <w:rsid w:val="002D1F90"/>
    <w:rsid w:val="002D2039"/>
    <w:rsid w:val="002D2089"/>
    <w:rsid w:val="002D20FC"/>
    <w:rsid w:val="002D2140"/>
    <w:rsid w:val="002D21F8"/>
    <w:rsid w:val="002D21FE"/>
    <w:rsid w:val="002D2239"/>
    <w:rsid w:val="002D2268"/>
    <w:rsid w:val="002D2269"/>
    <w:rsid w:val="002D22BC"/>
    <w:rsid w:val="002D22FA"/>
    <w:rsid w:val="002D2373"/>
    <w:rsid w:val="002D23A3"/>
    <w:rsid w:val="002D2478"/>
    <w:rsid w:val="002D2498"/>
    <w:rsid w:val="002D24A3"/>
    <w:rsid w:val="002D24C2"/>
    <w:rsid w:val="002D24D7"/>
    <w:rsid w:val="002D2510"/>
    <w:rsid w:val="002D2532"/>
    <w:rsid w:val="002D2578"/>
    <w:rsid w:val="002D2580"/>
    <w:rsid w:val="002D2599"/>
    <w:rsid w:val="002D2649"/>
    <w:rsid w:val="002D271C"/>
    <w:rsid w:val="002D27A3"/>
    <w:rsid w:val="002D27E2"/>
    <w:rsid w:val="002D280D"/>
    <w:rsid w:val="002D28D3"/>
    <w:rsid w:val="002D2902"/>
    <w:rsid w:val="002D293F"/>
    <w:rsid w:val="002D299E"/>
    <w:rsid w:val="002D2A12"/>
    <w:rsid w:val="002D2A7D"/>
    <w:rsid w:val="002D2AD6"/>
    <w:rsid w:val="002D2AE5"/>
    <w:rsid w:val="002D2B3E"/>
    <w:rsid w:val="002D2BCC"/>
    <w:rsid w:val="002D2C67"/>
    <w:rsid w:val="002D2C6C"/>
    <w:rsid w:val="002D2CA3"/>
    <w:rsid w:val="002D2CA5"/>
    <w:rsid w:val="002D2CA6"/>
    <w:rsid w:val="002D2CAF"/>
    <w:rsid w:val="002D2D7C"/>
    <w:rsid w:val="002D2E02"/>
    <w:rsid w:val="002D2E53"/>
    <w:rsid w:val="002D2EA0"/>
    <w:rsid w:val="002D2EC9"/>
    <w:rsid w:val="002D2EFE"/>
    <w:rsid w:val="002D2F12"/>
    <w:rsid w:val="002D2F61"/>
    <w:rsid w:val="002D2FBB"/>
    <w:rsid w:val="002D2FD9"/>
    <w:rsid w:val="002D307F"/>
    <w:rsid w:val="002D30B8"/>
    <w:rsid w:val="002D30E5"/>
    <w:rsid w:val="002D310B"/>
    <w:rsid w:val="002D310E"/>
    <w:rsid w:val="002D3119"/>
    <w:rsid w:val="002D3173"/>
    <w:rsid w:val="002D31F0"/>
    <w:rsid w:val="002D31F3"/>
    <w:rsid w:val="002D3200"/>
    <w:rsid w:val="002D3310"/>
    <w:rsid w:val="002D3329"/>
    <w:rsid w:val="002D3419"/>
    <w:rsid w:val="002D343F"/>
    <w:rsid w:val="002D3463"/>
    <w:rsid w:val="002D3483"/>
    <w:rsid w:val="002D34B2"/>
    <w:rsid w:val="002D35BB"/>
    <w:rsid w:val="002D361F"/>
    <w:rsid w:val="002D3649"/>
    <w:rsid w:val="002D36CE"/>
    <w:rsid w:val="002D3727"/>
    <w:rsid w:val="002D376D"/>
    <w:rsid w:val="002D3783"/>
    <w:rsid w:val="002D37BF"/>
    <w:rsid w:val="002D380B"/>
    <w:rsid w:val="002D3857"/>
    <w:rsid w:val="002D3887"/>
    <w:rsid w:val="002D3890"/>
    <w:rsid w:val="002D396D"/>
    <w:rsid w:val="002D3A42"/>
    <w:rsid w:val="002D3C98"/>
    <w:rsid w:val="002D3CE9"/>
    <w:rsid w:val="002D3CF8"/>
    <w:rsid w:val="002D3D45"/>
    <w:rsid w:val="002D3D4C"/>
    <w:rsid w:val="002D3D5E"/>
    <w:rsid w:val="002D3DBC"/>
    <w:rsid w:val="002D3DE4"/>
    <w:rsid w:val="002D3E1F"/>
    <w:rsid w:val="002D3E72"/>
    <w:rsid w:val="002D3F97"/>
    <w:rsid w:val="002D402A"/>
    <w:rsid w:val="002D4050"/>
    <w:rsid w:val="002D4055"/>
    <w:rsid w:val="002D40A7"/>
    <w:rsid w:val="002D4100"/>
    <w:rsid w:val="002D4101"/>
    <w:rsid w:val="002D4130"/>
    <w:rsid w:val="002D413A"/>
    <w:rsid w:val="002D415F"/>
    <w:rsid w:val="002D4178"/>
    <w:rsid w:val="002D41B1"/>
    <w:rsid w:val="002D42C1"/>
    <w:rsid w:val="002D42E5"/>
    <w:rsid w:val="002D42E7"/>
    <w:rsid w:val="002D4300"/>
    <w:rsid w:val="002D4328"/>
    <w:rsid w:val="002D433B"/>
    <w:rsid w:val="002D4372"/>
    <w:rsid w:val="002D438D"/>
    <w:rsid w:val="002D4400"/>
    <w:rsid w:val="002D4492"/>
    <w:rsid w:val="002D4596"/>
    <w:rsid w:val="002D45C7"/>
    <w:rsid w:val="002D45CB"/>
    <w:rsid w:val="002D4650"/>
    <w:rsid w:val="002D46D8"/>
    <w:rsid w:val="002D47B2"/>
    <w:rsid w:val="002D483E"/>
    <w:rsid w:val="002D484F"/>
    <w:rsid w:val="002D4864"/>
    <w:rsid w:val="002D488F"/>
    <w:rsid w:val="002D489A"/>
    <w:rsid w:val="002D4950"/>
    <w:rsid w:val="002D4953"/>
    <w:rsid w:val="002D4982"/>
    <w:rsid w:val="002D4997"/>
    <w:rsid w:val="002D49ED"/>
    <w:rsid w:val="002D4A62"/>
    <w:rsid w:val="002D4AE9"/>
    <w:rsid w:val="002D4AF4"/>
    <w:rsid w:val="002D4B4F"/>
    <w:rsid w:val="002D4B78"/>
    <w:rsid w:val="002D4C1C"/>
    <w:rsid w:val="002D4D02"/>
    <w:rsid w:val="002D4D89"/>
    <w:rsid w:val="002D4E5A"/>
    <w:rsid w:val="002D4F35"/>
    <w:rsid w:val="002D4F42"/>
    <w:rsid w:val="002D4F6E"/>
    <w:rsid w:val="002D4F9B"/>
    <w:rsid w:val="002D4FA6"/>
    <w:rsid w:val="002D500E"/>
    <w:rsid w:val="002D5032"/>
    <w:rsid w:val="002D5093"/>
    <w:rsid w:val="002D50A6"/>
    <w:rsid w:val="002D50B5"/>
    <w:rsid w:val="002D5106"/>
    <w:rsid w:val="002D513B"/>
    <w:rsid w:val="002D525E"/>
    <w:rsid w:val="002D529C"/>
    <w:rsid w:val="002D533D"/>
    <w:rsid w:val="002D5388"/>
    <w:rsid w:val="002D53D8"/>
    <w:rsid w:val="002D53E9"/>
    <w:rsid w:val="002D546C"/>
    <w:rsid w:val="002D5498"/>
    <w:rsid w:val="002D54A6"/>
    <w:rsid w:val="002D54C0"/>
    <w:rsid w:val="002D5522"/>
    <w:rsid w:val="002D555B"/>
    <w:rsid w:val="002D557A"/>
    <w:rsid w:val="002D5592"/>
    <w:rsid w:val="002D5649"/>
    <w:rsid w:val="002D564F"/>
    <w:rsid w:val="002D56D0"/>
    <w:rsid w:val="002D56E6"/>
    <w:rsid w:val="002D5732"/>
    <w:rsid w:val="002D5734"/>
    <w:rsid w:val="002D5767"/>
    <w:rsid w:val="002D57C8"/>
    <w:rsid w:val="002D590C"/>
    <w:rsid w:val="002D596A"/>
    <w:rsid w:val="002D5983"/>
    <w:rsid w:val="002D5A35"/>
    <w:rsid w:val="002D5C30"/>
    <w:rsid w:val="002D5CCA"/>
    <w:rsid w:val="002D5D0A"/>
    <w:rsid w:val="002D5E36"/>
    <w:rsid w:val="002D5E52"/>
    <w:rsid w:val="002D5E70"/>
    <w:rsid w:val="002D5E7A"/>
    <w:rsid w:val="002D5EBD"/>
    <w:rsid w:val="002D5F0B"/>
    <w:rsid w:val="002D5FD6"/>
    <w:rsid w:val="002D5FF7"/>
    <w:rsid w:val="002D6009"/>
    <w:rsid w:val="002D6067"/>
    <w:rsid w:val="002D6069"/>
    <w:rsid w:val="002D60F3"/>
    <w:rsid w:val="002D6190"/>
    <w:rsid w:val="002D61E8"/>
    <w:rsid w:val="002D61F7"/>
    <w:rsid w:val="002D627C"/>
    <w:rsid w:val="002D630C"/>
    <w:rsid w:val="002D6330"/>
    <w:rsid w:val="002D6356"/>
    <w:rsid w:val="002D638C"/>
    <w:rsid w:val="002D63C9"/>
    <w:rsid w:val="002D643B"/>
    <w:rsid w:val="002D6479"/>
    <w:rsid w:val="002D64C8"/>
    <w:rsid w:val="002D6570"/>
    <w:rsid w:val="002D6571"/>
    <w:rsid w:val="002D6664"/>
    <w:rsid w:val="002D66F1"/>
    <w:rsid w:val="002D673E"/>
    <w:rsid w:val="002D677E"/>
    <w:rsid w:val="002D6863"/>
    <w:rsid w:val="002D6883"/>
    <w:rsid w:val="002D688A"/>
    <w:rsid w:val="002D6892"/>
    <w:rsid w:val="002D6894"/>
    <w:rsid w:val="002D68E3"/>
    <w:rsid w:val="002D68E6"/>
    <w:rsid w:val="002D69D3"/>
    <w:rsid w:val="002D6A13"/>
    <w:rsid w:val="002D6A57"/>
    <w:rsid w:val="002D6ADE"/>
    <w:rsid w:val="002D6B44"/>
    <w:rsid w:val="002D6BD6"/>
    <w:rsid w:val="002D6BE2"/>
    <w:rsid w:val="002D6C03"/>
    <w:rsid w:val="002D6C26"/>
    <w:rsid w:val="002D6C51"/>
    <w:rsid w:val="002D6CDB"/>
    <w:rsid w:val="002D6DA6"/>
    <w:rsid w:val="002D6DF2"/>
    <w:rsid w:val="002D6E26"/>
    <w:rsid w:val="002D6E47"/>
    <w:rsid w:val="002D6E6C"/>
    <w:rsid w:val="002D6EA8"/>
    <w:rsid w:val="002D6EDF"/>
    <w:rsid w:val="002D6F86"/>
    <w:rsid w:val="002D6FC8"/>
    <w:rsid w:val="002D7178"/>
    <w:rsid w:val="002D718D"/>
    <w:rsid w:val="002D71A5"/>
    <w:rsid w:val="002D71C2"/>
    <w:rsid w:val="002D71DD"/>
    <w:rsid w:val="002D7225"/>
    <w:rsid w:val="002D72AB"/>
    <w:rsid w:val="002D72B7"/>
    <w:rsid w:val="002D734A"/>
    <w:rsid w:val="002D737F"/>
    <w:rsid w:val="002D73ED"/>
    <w:rsid w:val="002D745F"/>
    <w:rsid w:val="002D7515"/>
    <w:rsid w:val="002D7576"/>
    <w:rsid w:val="002D7582"/>
    <w:rsid w:val="002D75D1"/>
    <w:rsid w:val="002D76B9"/>
    <w:rsid w:val="002D7807"/>
    <w:rsid w:val="002D7860"/>
    <w:rsid w:val="002D789C"/>
    <w:rsid w:val="002D7900"/>
    <w:rsid w:val="002D797C"/>
    <w:rsid w:val="002D79E6"/>
    <w:rsid w:val="002D7A27"/>
    <w:rsid w:val="002D7B33"/>
    <w:rsid w:val="002D7BC2"/>
    <w:rsid w:val="002D7C1E"/>
    <w:rsid w:val="002D7C57"/>
    <w:rsid w:val="002D7CD5"/>
    <w:rsid w:val="002D7D40"/>
    <w:rsid w:val="002D7E0A"/>
    <w:rsid w:val="002D7E51"/>
    <w:rsid w:val="002D7EE0"/>
    <w:rsid w:val="002D7EF0"/>
    <w:rsid w:val="002D7F81"/>
    <w:rsid w:val="002D7FB5"/>
    <w:rsid w:val="002E0003"/>
    <w:rsid w:val="002E0157"/>
    <w:rsid w:val="002E018F"/>
    <w:rsid w:val="002E01B3"/>
    <w:rsid w:val="002E01FD"/>
    <w:rsid w:val="002E0205"/>
    <w:rsid w:val="002E0244"/>
    <w:rsid w:val="002E0275"/>
    <w:rsid w:val="002E02B1"/>
    <w:rsid w:val="002E0365"/>
    <w:rsid w:val="002E0387"/>
    <w:rsid w:val="002E03B7"/>
    <w:rsid w:val="002E03C0"/>
    <w:rsid w:val="002E03DB"/>
    <w:rsid w:val="002E03FF"/>
    <w:rsid w:val="002E050C"/>
    <w:rsid w:val="002E0515"/>
    <w:rsid w:val="002E060F"/>
    <w:rsid w:val="002E06D0"/>
    <w:rsid w:val="002E06EF"/>
    <w:rsid w:val="002E072B"/>
    <w:rsid w:val="002E0736"/>
    <w:rsid w:val="002E0858"/>
    <w:rsid w:val="002E0892"/>
    <w:rsid w:val="002E0992"/>
    <w:rsid w:val="002E09E1"/>
    <w:rsid w:val="002E0A40"/>
    <w:rsid w:val="002E0A53"/>
    <w:rsid w:val="002E0A5F"/>
    <w:rsid w:val="002E0AD9"/>
    <w:rsid w:val="002E0BA9"/>
    <w:rsid w:val="002E0C1F"/>
    <w:rsid w:val="002E0CB0"/>
    <w:rsid w:val="002E0CB8"/>
    <w:rsid w:val="002E0CD7"/>
    <w:rsid w:val="002E0CEE"/>
    <w:rsid w:val="002E0D0B"/>
    <w:rsid w:val="002E0D6F"/>
    <w:rsid w:val="002E0DD2"/>
    <w:rsid w:val="002E0DED"/>
    <w:rsid w:val="002E0DFB"/>
    <w:rsid w:val="002E0E4D"/>
    <w:rsid w:val="002E0E82"/>
    <w:rsid w:val="002E0F02"/>
    <w:rsid w:val="002E1022"/>
    <w:rsid w:val="002E1087"/>
    <w:rsid w:val="002E10CE"/>
    <w:rsid w:val="002E1106"/>
    <w:rsid w:val="002E1110"/>
    <w:rsid w:val="002E1149"/>
    <w:rsid w:val="002E1233"/>
    <w:rsid w:val="002E12DA"/>
    <w:rsid w:val="002E12EF"/>
    <w:rsid w:val="002E139D"/>
    <w:rsid w:val="002E13CB"/>
    <w:rsid w:val="002E13CC"/>
    <w:rsid w:val="002E1426"/>
    <w:rsid w:val="002E1458"/>
    <w:rsid w:val="002E1493"/>
    <w:rsid w:val="002E1509"/>
    <w:rsid w:val="002E150B"/>
    <w:rsid w:val="002E1535"/>
    <w:rsid w:val="002E1584"/>
    <w:rsid w:val="002E163B"/>
    <w:rsid w:val="002E165C"/>
    <w:rsid w:val="002E168B"/>
    <w:rsid w:val="002E16C3"/>
    <w:rsid w:val="002E1743"/>
    <w:rsid w:val="002E17A1"/>
    <w:rsid w:val="002E17B5"/>
    <w:rsid w:val="002E17D8"/>
    <w:rsid w:val="002E184A"/>
    <w:rsid w:val="002E1897"/>
    <w:rsid w:val="002E1940"/>
    <w:rsid w:val="002E1967"/>
    <w:rsid w:val="002E1A12"/>
    <w:rsid w:val="002E1A84"/>
    <w:rsid w:val="002E1C76"/>
    <w:rsid w:val="002E1CA2"/>
    <w:rsid w:val="002E1D40"/>
    <w:rsid w:val="002E1D70"/>
    <w:rsid w:val="002E1D72"/>
    <w:rsid w:val="002E1E9D"/>
    <w:rsid w:val="002E1ECC"/>
    <w:rsid w:val="002E1F0B"/>
    <w:rsid w:val="002E1F9E"/>
    <w:rsid w:val="002E205E"/>
    <w:rsid w:val="002E2127"/>
    <w:rsid w:val="002E2150"/>
    <w:rsid w:val="002E224D"/>
    <w:rsid w:val="002E226B"/>
    <w:rsid w:val="002E22BD"/>
    <w:rsid w:val="002E2385"/>
    <w:rsid w:val="002E23C5"/>
    <w:rsid w:val="002E2441"/>
    <w:rsid w:val="002E246A"/>
    <w:rsid w:val="002E24BC"/>
    <w:rsid w:val="002E250D"/>
    <w:rsid w:val="002E2554"/>
    <w:rsid w:val="002E25A8"/>
    <w:rsid w:val="002E25B4"/>
    <w:rsid w:val="002E25CB"/>
    <w:rsid w:val="002E263F"/>
    <w:rsid w:val="002E266F"/>
    <w:rsid w:val="002E27A4"/>
    <w:rsid w:val="002E280E"/>
    <w:rsid w:val="002E282C"/>
    <w:rsid w:val="002E285F"/>
    <w:rsid w:val="002E28F2"/>
    <w:rsid w:val="002E2921"/>
    <w:rsid w:val="002E29DF"/>
    <w:rsid w:val="002E2A0B"/>
    <w:rsid w:val="002E2AB1"/>
    <w:rsid w:val="002E2ADF"/>
    <w:rsid w:val="002E2AE6"/>
    <w:rsid w:val="002E2B51"/>
    <w:rsid w:val="002E2B72"/>
    <w:rsid w:val="002E2BAC"/>
    <w:rsid w:val="002E2BBA"/>
    <w:rsid w:val="002E2C37"/>
    <w:rsid w:val="002E2D20"/>
    <w:rsid w:val="002E2D45"/>
    <w:rsid w:val="002E2D5E"/>
    <w:rsid w:val="002E2D61"/>
    <w:rsid w:val="002E2D68"/>
    <w:rsid w:val="002E2DC0"/>
    <w:rsid w:val="002E2E26"/>
    <w:rsid w:val="002E2EA1"/>
    <w:rsid w:val="002E2EF3"/>
    <w:rsid w:val="002E2F31"/>
    <w:rsid w:val="002E2F46"/>
    <w:rsid w:val="002E2FBE"/>
    <w:rsid w:val="002E3073"/>
    <w:rsid w:val="002E30BB"/>
    <w:rsid w:val="002E31A5"/>
    <w:rsid w:val="002E3311"/>
    <w:rsid w:val="002E3317"/>
    <w:rsid w:val="002E339A"/>
    <w:rsid w:val="002E3413"/>
    <w:rsid w:val="002E3441"/>
    <w:rsid w:val="002E3464"/>
    <w:rsid w:val="002E3465"/>
    <w:rsid w:val="002E3487"/>
    <w:rsid w:val="002E34A9"/>
    <w:rsid w:val="002E34FE"/>
    <w:rsid w:val="002E352A"/>
    <w:rsid w:val="002E35B7"/>
    <w:rsid w:val="002E35D7"/>
    <w:rsid w:val="002E364E"/>
    <w:rsid w:val="002E367F"/>
    <w:rsid w:val="002E3682"/>
    <w:rsid w:val="002E36F7"/>
    <w:rsid w:val="002E3774"/>
    <w:rsid w:val="002E378B"/>
    <w:rsid w:val="002E378F"/>
    <w:rsid w:val="002E3810"/>
    <w:rsid w:val="002E38A0"/>
    <w:rsid w:val="002E38EA"/>
    <w:rsid w:val="002E38F8"/>
    <w:rsid w:val="002E3944"/>
    <w:rsid w:val="002E3955"/>
    <w:rsid w:val="002E3956"/>
    <w:rsid w:val="002E3AEB"/>
    <w:rsid w:val="002E3B0E"/>
    <w:rsid w:val="002E3B91"/>
    <w:rsid w:val="002E3C54"/>
    <w:rsid w:val="002E3CE4"/>
    <w:rsid w:val="002E3CE9"/>
    <w:rsid w:val="002E3D07"/>
    <w:rsid w:val="002E3D36"/>
    <w:rsid w:val="002E3D57"/>
    <w:rsid w:val="002E3DD1"/>
    <w:rsid w:val="002E3E54"/>
    <w:rsid w:val="002E3F09"/>
    <w:rsid w:val="002E3F11"/>
    <w:rsid w:val="002E3F8E"/>
    <w:rsid w:val="002E4030"/>
    <w:rsid w:val="002E412B"/>
    <w:rsid w:val="002E413B"/>
    <w:rsid w:val="002E4197"/>
    <w:rsid w:val="002E41A0"/>
    <w:rsid w:val="002E41A7"/>
    <w:rsid w:val="002E4281"/>
    <w:rsid w:val="002E42CF"/>
    <w:rsid w:val="002E4348"/>
    <w:rsid w:val="002E4395"/>
    <w:rsid w:val="002E43B6"/>
    <w:rsid w:val="002E4432"/>
    <w:rsid w:val="002E44AC"/>
    <w:rsid w:val="002E44BD"/>
    <w:rsid w:val="002E44CD"/>
    <w:rsid w:val="002E44F7"/>
    <w:rsid w:val="002E44F9"/>
    <w:rsid w:val="002E455E"/>
    <w:rsid w:val="002E4587"/>
    <w:rsid w:val="002E45A2"/>
    <w:rsid w:val="002E467C"/>
    <w:rsid w:val="002E467E"/>
    <w:rsid w:val="002E4684"/>
    <w:rsid w:val="002E4687"/>
    <w:rsid w:val="002E46F3"/>
    <w:rsid w:val="002E4701"/>
    <w:rsid w:val="002E4704"/>
    <w:rsid w:val="002E4750"/>
    <w:rsid w:val="002E4758"/>
    <w:rsid w:val="002E4768"/>
    <w:rsid w:val="002E4793"/>
    <w:rsid w:val="002E4843"/>
    <w:rsid w:val="002E4857"/>
    <w:rsid w:val="002E485A"/>
    <w:rsid w:val="002E4904"/>
    <w:rsid w:val="002E492B"/>
    <w:rsid w:val="002E4952"/>
    <w:rsid w:val="002E4956"/>
    <w:rsid w:val="002E49A5"/>
    <w:rsid w:val="002E49E9"/>
    <w:rsid w:val="002E49F2"/>
    <w:rsid w:val="002E49F3"/>
    <w:rsid w:val="002E49F9"/>
    <w:rsid w:val="002E4A52"/>
    <w:rsid w:val="002E4AE3"/>
    <w:rsid w:val="002E4B08"/>
    <w:rsid w:val="002E4B0C"/>
    <w:rsid w:val="002E4B17"/>
    <w:rsid w:val="002E4B23"/>
    <w:rsid w:val="002E4C1F"/>
    <w:rsid w:val="002E4C3B"/>
    <w:rsid w:val="002E4C8B"/>
    <w:rsid w:val="002E4CBD"/>
    <w:rsid w:val="002E4CD8"/>
    <w:rsid w:val="002E4DD3"/>
    <w:rsid w:val="002E4E08"/>
    <w:rsid w:val="002E4E6B"/>
    <w:rsid w:val="002E4F5D"/>
    <w:rsid w:val="002E4F70"/>
    <w:rsid w:val="002E509A"/>
    <w:rsid w:val="002E50D7"/>
    <w:rsid w:val="002E5228"/>
    <w:rsid w:val="002E52AE"/>
    <w:rsid w:val="002E52FE"/>
    <w:rsid w:val="002E5346"/>
    <w:rsid w:val="002E53C6"/>
    <w:rsid w:val="002E5473"/>
    <w:rsid w:val="002E548D"/>
    <w:rsid w:val="002E54B0"/>
    <w:rsid w:val="002E5533"/>
    <w:rsid w:val="002E5548"/>
    <w:rsid w:val="002E554E"/>
    <w:rsid w:val="002E556E"/>
    <w:rsid w:val="002E55B7"/>
    <w:rsid w:val="002E56C8"/>
    <w:rsid w:val="002E5771"/>
    <w:rsid w:val="002E5804"/>
    <w:rsid w:val="002E5836"/>
    <w:rsid w:val="002E5866"/>
    <w:rsid w:val="002E586C"/>
    <w:rsid w:val="002E58A3"/>
    <w:rsid w:val="002E5907"/>
    <w:rsid w:val="002E5962"/>
    <w:rsid w:val="002E598E"/>
    <w:rsid w:val="002E59E2"/>
    <w:rsid w:val="002E59F1"/>
    <w:rsid w:val="002E5A74"/>
    <w:rsid w:val="002E5A88"/>
    <w:rsid w:val="002E5B01"/>
    <w:rsid w:val="002E5B43"/>
    <w:rsid w:val="002E5BC4"/>
    <w:rsid w:val="002E5C65"/>
    <w:rsid w:val="002E5CC8"/>
    <w:rsid w:val="002E5D05"/>
    <w:rsid w:val="002E5D9A"/>
    <w:rsid w:val="002E5DA0"/>
    <w:rsid w:val="002E5DB9"/>
    <w:rsid w:val="002E5E0D"/>
    <w:rsid w:val="002E5E16"/>
    <w:rsid w:val="002E5E28"/>
    <w:rsid w:val="002E5E96"/>
    <w:rsid w:val="002E5EE7"/>
    <w:rsid w:val="002E5F47"/>
    <w:rsid w:val="002E5FA4"/>
    <w:rsid w:val="002E6006"/>
    <w:rsid w:val="002E600F"/>
    <w:rsid w:val="002E6071"/>
    <w:rsid w:val="002E619F"/>
    <w:rsid w:val="002E61F8"/>
    <w:rsid w:val="002E6236"/>
    <w:rsid w:val="002E625A"/>
    <w:rsid w:val="002E6298"/>
    <w:rsid w:val="002E6473"/>
    <w:rsid w:val="002E64B6"/>
    <w:rsid w:val="002E6566"/>
    <w:rsid w:val="002E6595"/>
    <w:rsid w:val="002E65CB"/>
    <w:rsid w:val="002E6628"/>
    <w:rsid w:val="002E66B8"/>
    <w:rsid w:val="002E66FC"/>
    <w:rsid w:val="002E677D"/>
    <w:rsid w:val="002E6787"/>
    <w:rsid w:val="002E680B"/>
    <w:rsid w:val="002E6853"/>
    <w:rsid w:val="002E6868"/>
    <w:rsid w:val="002E687D"/>
    <w:rsid w:val="002E68B3"/>
    <w:rsid w:val="002E69C7"/>
    <w:rsid w:val="002E6AA2"/>
    <w:rsid w:val="002E6B58"/>
    <w:rsid w:val="002E6B88"/>
    <w:rsid w:val="002E6BB6"/>
    <w:rsid w:val="002E6BCC"/>
    <w:rsid w:val="002E6BD7"/>
    <w:rsid w:val="002E6BF5"/>
    <w:rsid w:val="002E6C5F"/>
    <w:rsid w:val="002E6C89"/>
    <w:rsid w:val="002E6CAC"/>
    <w:rsid w:val="002E6CE2"/>
    <w:rsid w:val="002E6EFA"/>
    <w:rsid w:val="002E6F8B"/>
    <w:rsid w:val="002E6F99"/>
    <w:rsid w:val="002E6F9D"/>
    <w:rsid w:val="002E6FC5"/>
    <w:rsid w:val="002E6FE1"/>
    <w:rsid w:val="002E6FE4"/>
    <w:rsid w:val="002E701A"/>
    <w:rsid w:val="002E709B"/>
    <w:rsid w:val="002E70CD"/>
    <w:rsid w:val="002E7113"/>
    <w:rsid w:val="002E712B"/>
    <w:rsid w:val="002E7176"/>
    <w:rsid w:val="002E717E"/>
    <w:rsid w:val="002E71E5"/>
    <w:rsid w:val="002E7219"/>
    <w:rsid w:val="002E7227"/>
    <w:rsid w:val="002E72C3"/>
    <w:rsid w:val="002E7377"/>
    <w:rsid w:val="002E740A"/>
    <w:rsid w:val="002E741E"/>
    <w:rsid w:val="002E7499"/>
    <w:rsid w:val="002E74D0"/>
    <w:rsid w:val="002E74EC"/>
    <w:rsid w:val="002E74F9"/>
    <w:rsid w:val="002E759D"/>
    <w:rsid w:val="002E75A1"/>
    <w:rsid w:val="002E75EA"/>
    <w:rsid w:val="002E75FF"/>
    <w:rsid w:val="002E7675"/>
    <w:rsid w:val="002E76B6"/>
    <w:rsid w:val="002E76B8"/>
    <w:rsid w:val="002E76E6"/>
    <w:rsid w:val="002E771F"/>
    <w:rsid w:val="002E7779"/>
    <w:rsid w:val="002E7792"/>
    <w:rsid w:val="002E7827"/>
    <w:rsid w:val="002E7896"/>
    <w:rsid w:val="002E792C"/>
    <w:rsid w:val="002E7A7C"/>
    <w:rsid w:val="002E7A8E"/>
    <w:rsid w:val="002E7AC7"/>
    <w:rsid w:val="002E7ADB"/>
    <w:rsid w:val="002E7B41"/>
    <w:rsid w:val="002E7B46"/>
    <w:rsid w:val="002E7BBD"/>
    <w:rsid w:val="002E7BE4"/>
    <w:rsid w:val="002E7C4B"/>
    <w:rsid w:val="002E7C69"/>
    <w:rsid w:val="002E7D0E"/>
    <w:rsid w:val="002E7DB4"/>
    <w:rsid w:val="002E7DC6"/>
    <w:rsid w:val="002E7DE9"/>
    <w:rsid w:val="002E7E53"/>
    <w:rsid w:val="002E7E9C"/>
    <w:rsid w:val="002E7F3C"/>
    <w:rsid w:val="002E7FBF"/>
    <w:rsid w:val="002E7FDA"/>
    <w:rsid w:val="002F0020"/>
    <w:rsid w:val="002F0054"/>
    <w:rsid w:val="002F00B6"/>
    <w:rsid w:val="002F017E"/>
    <w:rsid w:val="002F0180"/>
    <w:rsid w:val="002F01DA"/>
    <w:rsid w:val="002F01F1"/>
    <w:rsid w:val="002F031A"/>
    <w:rsid w:val="002F031F"/>
    <w:rsid w:val="002F03D1"/>
    <w:rsid w:val="002F03F1"/>
    <w:rsid w:val="002F043C"/>
    <w:rsid w:val="002F044F"/>
    <w:rsid w:val="002F0458"/>
    <w:rsid w:val="002F047B"/>
    <w:rsid w:val="002F0485"/>
    <w:rsid w:val="002F04BA"/>
    <w:rsid w:val="002F0505"/>
    <w:rsid w:val="002F0516"/>
    <w:rsid w:val="002F05D6"/>
    <w:rsid w:val="002F05FF"/>
    <w:rsid w:val="002F0667"/>
    <w:rsid w:val="002F0701"/>
    <w:rsid w:val="002F07D3"/>
    <w:rsid w:val="002F07DC"/>
    <w:rsid w:val="002F07E7"/>
    <w:rsid w:val="002F07EE"/>
    <w:rsid w:val="002F0829"/>
    <w:rsid w:val="002F083A"/>
    <w:rsid w:val="002F08FC"/>
    <w:rsid w:val="002F09B4"/>
    <w:rsid w:val="002F09F3"/>
    <w:rsid w:val="002F0A68"/>
    <w:rsid w:val="002F0A8A"/>
    <w:rsid w:val="002F0B0F"/>
    <w:rsid w:val="002F0B68"/>
    <w:rsid w:val="002F0C69"/>
    <w:rsid w:val="002F0C9D"/>
    <w:rsid w:val="002F0CBC"/>
    <w:rsid w:val="002F0CD9"/>
    <w:rsid w:val="002F0D3D"/>
    <w:rsid w:val="002F0E82"/>
    <w:rsid w:val="002F0F22"/>
    <w:rsid w:val="002F0FB8"/>
    <w:rsid w:val="002F0FBE"/>
    <w:rsid w:val="002F11B1"/>
    <w:rsid w:val="002F11D3"/>
    <w:rsid w:val="002F11D7"/>
    <w:rsid w:val="002F11E6"/>
    <w:rsid w:val="002F11F1"/>
    <w:rsid w:val="002F1207"/>
    <w:rsid w:val="002F120E"/>
    <w:rsid w:val="002F1214"/>
    <w:rsid w:val="002F1224"/>
    <w:rsid w:val="002F12B1"/>
    <w:rsid w:val="002F12D0"/>
    <w:rsid w:val="002F1306"/>
    <w:rsid w:val="002F13C2"/>
    <w:rsid w:val="002F13E5"/>
    <w:rsid w:val="002F1411"/>
    <w:rsid w:val="002F1630"/>
    <w:rsid w:val="002F164D"/>
    <w:rsid w:val="002F16CD"/>
    <w:rsid w:val="002F1766"/>
    <w:rsid w:val="002F1776"/>
    <w:rsid w:val="002F1777"/>
    <w:rsid w:val="002F1864"/>
    <w:rsid w:val="002F1895"/>
    <w:rsid w:val="002F1927"/>
    <w:rsid w:val="002F1951"/>
    <w:rsid w:val="002F1956"/>
    <w:rsid w:val="002F19C6"/>
    <w:rsid w:val="002F19C7"/>
    <w:rsid w:val="002F1A9E"/>
    <w:rsid w:val="002F1AEC"/>
    <w:rsid w:val="002F1B4E"/>
    <w:rsid w:val="002F1B5C"/>
    <w:rsid w:val="002F1BB8"/>
    <w:rsid w:val="002F1C09"/>
    <w:rsid w:val="002F1CA7"/>
    <w:rsid w:val="002F1D3D"/>
    <w:rsid w:val="002F1D9C"/>
    <w:rsid w:val="002F1DF8"/>
    <w:rsid w:val="002F1E3C"/>
    <w:rsid w:val="002F1E47"/>
    <w:rsid w:val="002F1E4B"/>
    <w:rsid w:val="002F1ED8"/>
    <w:rsid w:val="002F1EEE"/>
    <w:rsid w:val="002F1F2A"/>
    <w:rsid w:val="002F2084"/>
    <w:rsid w:val="002F20F7"/>
    <w:rsid w:val="002F2106"/>
    <w:rsid w:val="002F2143"/>
    <w:rsid w:val="002F218E"/>
    <w:rsid w:val="002F21C5"/>
    <w:rsid w:val="002F220F"/>
    <w:rsid w:val="002F2230"/>
    <w:rsid w:val="002F22B3"/>
    <w:rsid w:val="002F22BA"/>
    <w:rsid w:val="002F2303"/>
    <w:rsid w:val="002F2395"/>
    <w:rsid w:val="002F2407"/>
    <w:rsid w:val="002F2470"/>
    <w:rsid w:val="002F2477"/>
    <w:rsid w:val="002F267E"/>
    <w:rsid w:val="002F26B6"/>
    <w:rsid w:val="002F2719"/>
    <w:rsid w:val="002F275B"/>
    <w:rsid w:val="002F275E"/>
    <w:rsid w:val="002F2762"/>
    <w:rsid w:val="002F2814"/>
    <w:rsid w:val="002F2818"/>
    <w:rsid w:val="002F2844"/>
    <w:rsid w:val="002F2866"/>
    <w:rsid w:val="002F286F"/>
    <w:rsid w:val="002F28F9"/>
    <w:rsid w:val="002F2AF3"/>
    <w:rsid w:val="002F2B2F"/>
    <w:rsid w:val="002F2B5F"/>
    <w:rsid w:val="002F2BE1"/>
    <w:rsid w:val="002F2C4F"/>
    <w:rsid w:val="002F2C56"/>
    <w:rsid w:val="002F2C77"/>
    <w:rsid w:val="002F2C7C"/>
    <w:rsid w:val="002F2CBA"/>
    <w:rsid w:val="002F2CD1"/>
    <w:rsid w:val="002F2CE9"/>
    <w:rsid w:val="002F2D45"/>
    <w:rsid w:val="002F2E66"/>
    <w:rsid w:val="002F2E6B"/>
    <w:rsid w:val="002F2E78"/>
    <w:rsid w:val="002F2EAD"/>
    <w:rsid w:val="002F2EF5"/>
    <w:rsid w:val="002F2F33"/>
    <w:rsid w:val="002F2F7D"/>
    <w:rsid w:val="002F2FBD"/>
    <w:rsid w:val="002F3034"/>
    <w:rsid w:val="002F30B1"/>
    <w:rsid w:val="002F30B9"/>
    <w:rsid w:val="002F30F8"/>
    <w:rsid w:val="002F3287"/>
    <w:rsid w:val="002F32C9"/>
    <w:rsid w:val="002F34AA"/>
    <w:rsid w:val="002F34BD"/>
    <w:rsid w:val="002F34D8"/>
    <w:rsid w:val="002F34DE"/>
    <w:rsid w:val="002F354C"/>
    <w:rsid w:val="002F3556"/>
    <w:rsid w:val="002F3590"/>
    <w:rsid w:val="002F35B6"/>
    <w:rsid w:val="002F35E1"/>
    <w:rsid w:val="002F35EB"/>
    <w:rsid w:val="002F3608"/>
    <w:rsid w:val="002F3633"/>
    <w:rsid w:val="002F3646"/>
    <w:rsid w:val="002F36C0"/>
    <w:rsid w:val="002F3722"/>
    <w:rsid w:val="002F3739"/>
    <w:rsid w:val="002F379F"/>
    <w:rsid w:val="002F37CD"/>
    <w:rsid w:val="002F37D7"/>
    <w:rsid w:val="002F3855"/>
    <w:rsid w:val="002F387E"/>
    <w:rsid w:val="002F388D"/>
    <w:rsid w:val="002F38BC"/>
    <w:rsid w:val="002F3952"/>
    <w:rsid w:val="002F3963"/>
    <w:rsid w:val="002F3976"/>
    <w:rsid w:val="002F3986"/>
    <w:rsid w:val="002F39CB"/>
    <w:rsid w:val="002F3A12"/>
    <w:rsid w:val="002F3A22"/>
    <w:rsid w:val="002F3A35"/>
    <w:rsid w:val="002F3A7B"/>
    <w:rsid w:val="002F3A9C"/>
    <w:rsid w:val="002F3AFD"/>
    <w:rsid w:val="002F3B6D"/>
    <w:rsid w:val="002F3B72"/>
    <w:rsid w:val="002F3BFE"/>
    <w:rsid w:val="002F3C45"/>
    <w:rsid w:val="002F3C4E"/>
    <w:rsid w:val="002F3C76"/>
    <w:rsid w:val="002F3D09"/>
    <w:rsid w:val="002F3D1D"/>
    <w:rsid w:val="002F3D23"/>
    <w:rsid w:val="002F3D36"/>
    <w:rsid w:val="002F3E3B"/>
    <w:rsid w:val="002F3ED7"/>
    <w:rsid w:val="002F3EF2"/>
    <w:rsid w:val="002F3F0D"/>
    <w:rsid w:val="002F3FBD"/>
    <w:rsid w:val="002F403C"/>
    <w:rsid w:val="002F4046"/>
    <w:rsid w:val="002F404B"/>
    <w:rsid w:val="002F405E"/>
    <w:rsid w:val="002F418E"/>
    <w:rsid w:val="002F419B"/>
    <w:rsid w:val="002F42A2"/>
    <w:rsid w:val="002F42B6"/>
    <w:rsid w:val="002F4357"/>
    <w:rsid w:val="002F43B2"/>
    <w:rsid w:val="002F442D"/>
    <w:rsid w:val="002F44E1"/>
    <w:rsid w:val="002F4503"/>
    <w:rsid w:val="002F454A"/>
    <w:rsid w:val="002F45F9"/>
    <w:rsid w:val="002F473C"/>
    <w:rsid w:val="002F47A3"/>
    <w:rsid w:val="002F4874"/>
    <w:rsid w:val="002F4887"/>
    <w:rsid w:val="002F48D0"/>
    <w:rsid w:val="002F4A5A"/>
    <w:rsid w:val="002F4A63"/>
    <w:rsid w:val="002F4AE6"/>
    <w:rsid w:val="002F4B62"/>
    <w:rsid w:val="002F4BFB"/>
    <w:rsid w:val="002F4C86"/>
    <w:rsid w:val="002F4CAD"/>
    <w:rsid w:val="002F4CBF"/>
    <w:rsid w:val="002F4CC3"/>
    <w:rsid w:val="002F4CF7"/>
    <w:rsid w:val="002F4D17"/>
    <w:rsid w:val="002F4D5D"/>
    <w:rsid w:val="002F4D8C"/>
    <w:rsid w:val="002F4D96"/>
    <w:rsid w:val="002F4DDE"/>
    <w:rsid w:val="002F4DF2"/>
    <w:rsid w:val="002F4E39"/>
    <w:rsid w:val="002F4E40"/>
    <w:rsid w:val="002F4E7A"/>
    <w:rsid w:val="002F4F4C"/>
    <w:rsid w:val="002F4FD4"/>
    <w:rsid w:val="002F4FE6"/>
    <w:rsid w:val="002F4FFF"/>
    <w:rsid w:val="002F50EC"/>
    <w:rsid w:val="002F5107"/>
    <w:rsid w:val="002F5132"/>
    <w:rsid w:val="002F5177"/>
    <w:rsid w:val="002F51B6"/>
    <w:rsid w:val="002F5201"/>
    <w:rsid w:val="002F527C"/>
    <w:rsid w:val="002F529E"/>
    <w:rsid w:val="002F5322"/>
    <w:rsid w:val="002F539E"/>
    <w:rsid w:val="002F542D"/>
    <w:rsid w:val="002F5491"/>
    <w:rsid w:val="002F5498"/>
    <w:rsid w:val="002F54C9"/>
    <w:rsid w:val="002F55F2"/>
    <w:rsid w:val="002F5609"/>
    <w:rsid w:val="002F5653"/>
    <w:rsid w:val="002F5655"/>
    <w:rsid w:val="002F565C"/>
    <w:rsid w:val="002F56D5"/>
    <w:rsid w:val="002F5709"/>
    <w:rsid w:val="002F579D"/>
    <w:rsid w:val="002F57A2"/>
    <w:rsid w:val="002F57A4"/>
    <w:rsid w:val="002F57C9"/>
    <w:rsid w:val="002F580D"/>
    <w:rsid w:val="002F5869"/>
    <w:rsid w:val="002F58A3"/>
    <w:rsid w:val="002F5921"/>
    <w:rsid w:val="002F5994"/>
    <w:rsid w:val="002F599F"/>
    <w:rsid w:val="002F59B2"/>
    <w:rsid w:val="002F59C1"/>
    <w:rsid w:val="002F59EA"/>
    <w:rsid w:val="002F5AC5"/>
    <w:rsid w:val="002F5B70"/>
    <w:rsid w:val="002F5B81"/>
    <w:rsid w:val="002F5C2F"/>
    <w:rsid w:val="002F5C30"/>
    <w:rsid w:val="002F5D27"/>
    <w:rsid w:val="002F5D81"/>
    <w:rsid w:val="002F5DB2"/>
    <w:rsid w:val="002F5E47"/>
    <w:rsid w:val="002F5E5B"/>
    <w:rsid w:val="002F5EC2"/>
    <w:rsid w:val="002F5ECB"/>
    <w:rsid w:val="002F5F54"/>
    <w:rsid w:val="002F601F"/>
    <w:rsid w:val="002F6024"/>
    <w:rsid w:val="002F60A8"/>
    <w:rsid w:val="002F60B2"/>
    <w:rsid w:val="002F6138"/>
    <w:rsid w:val="002F6146"/>
    <w:rsid w:val="002F617F"/>
    <w:rsid w:val="002F61B7"/>
    <w:rsid w:val="002F61D3"/>
    <w:rsid w:val="002F6211"/>
    <w:rsid w:val="002F6226"/>
    <w:rsid w:val="002F625B"/>
    <w:rsid w:val="002F62FE"/>
    <w:rsid w:val="002F63C0"/>
    <w:rsid w:val="002F659E"/>
    <w:rsid w:val="002F65D1"/>
    <w:rsid w:val="002F661C"/>
    <w:rsid w:val="002F6675"/>
    <w:rsid w:val="002F6682"/>
    <w:rsid w:val="002F66E2"/>
    <w:rsid w:val="002F6735"/>
    <w:rsid w:val="002F6769"/>
    <w:rsid w:val="002F6783"/>
    <w:rsid w:val="002F67C8"/>
    <w:rsid w:val="002F68BC"/>
    <w:rsid w:val="002F6933"/>
    <w:rsid w:val="002F6A24"/>
    <w:rsid w:val="002F6A2D"/>
    <w:rsid w:val="002F6A75"/>
    <w:rsid w:val="002F6A96"/>
    <w:rsid w:val="002F6AB3"/>
    <w:rsid w:val="002F6AE3"/>
    <w:rsid w:val="002F6B1F"/>
    <w:rsid w:val="002F6B80"/>
    <w:rsid w:val="002F6BA9"/>
    <w:rsid w:val="002F6BFE"/>
    <w:rsid w:val="002F6C6F"/>
    <w:rsid w:val="002F6C79"/>
    <w:rsid w:val="002F6D00"/>
    <w:rsid w:val="002F6DCE"/>
    <w:rsid w:val="002F6DFC"/>
    <w:rsid w:val="002F6F67"/>
    <w:rsid w:val="002F6F9E"/>
    <w:rsid w:val="002F6FFA"/>
    <w:rsid w:val="002F7006"/>
    <w:rsid w:val="002F703B"/>
    <w:rsid w:val="002F706D"/>
    <w:rsid w:val="002F7093"/>
    <w:rsid w:val="002F7105"/>
    <w:rsid w:val="002F7131"/>
    <w:rsid w:val="002F723B"/>
    <w:rsid w:val="002F72A0"/>
    <w:rsid w:val="002F72A3"/>
    <w:rsid w:val="002F733C"/>
    <w:rsid w:val="002F73C4"/>
    <w:rsid w:val="002F73D5"/>
    <w:rsid w:val="002F73FB"/>
    <w:rsid w:val="002F741E"/>
    <w:rsid w:val="002F7469"/>
    <w:rsid w:val="002F74F0"/>
    <w:rsid w:val="002F7509"/>
    <w:rsid w:val="002F751D"/>
    <w:rsid w:val="002F7541"/>
    <w:rsid w:val="002F755E"/>
    <w:rsid w:val="002F75BD"/>
    <w:rsid w:val="002F7658"/>
    <w:rsid w:val="002F769D"/>
    <w:rsid w:val="002F76A1"/>
    <w:rsid w:val="002F76A2"/>
    <w:rsid w:val="002F7702"/>
    <w:rsid w:val="002F772F"/>
    <w:rsid w:val="002F77BE"/>
    <w:rsid w:val="002F77CB"/>
    <w:rsid w:val="002F77F1"/>
    <w:rsid w:val="002F78A5"/>
    <w:rsid w:val="002F78D0"/>
    <w:rsid w:val="002F7909"/>
    <w:rsid w:val="002F792E"/>
    <w:rsid w:val="002F798A"/>
    <w:rsid w:val="002F79CD"/>
    <w:rsid w:val="002F7A10"/>
    <w:rsid w:val="002F7A24"/>
    <w:rsid w:val="002F7A35"/>
    <w:rsid w:val="002F7AA2"/>
    <w:rsid w:val="002F7ACB"/>
    <w:rsid w:val="002F7B4B"/>
    <w:rsid w:val="002F7B72"/>
    <w:rsid w:val="002F7C6F"/>
    <w:rsid w:val="002F7CEF"/>
    <w:rsid w:val="002F7D5F"/>
    <w:rsid w:val="002F7DEA"/>
    <w:rsid w:val="002F7E37"/>
    <w:rsid w:val="002F7ECA"/>
    <w:rsid w:val="002F7F5D"/>
    <w:rsid w:val="00300057"/>
    <w:rsid w:val="003000DC"/>
    <w:rsid w:val="0030011D"/>
    <w:rsid w:val="0030012B"/>
    <w:rsid w:val="00300155"/>
    <w:rsid w:val="00300174"/>
    <w:rsid w:val="003002D1"/>
    <w:rsid w:val="0030033E"/>
    <w:rsid w:val="00300346"/>
    <w:rsid w:val="0030034C"/>
    <w:rsid w:val="003003A1"/>
    <w:rsid w:val="003003C1"/>
    <w:rsid w:val="003003FA"/>
    <w:rsid w:val="003004D0"/>
    <w:rsid w:val="00300508"/>
    <w:rsid w:val="00300596"/>
    <w:rsid w:val="003006B6"/>
    <w:rsid w:val="003006BD"/>
    <w:rsid w:val="003006D5"/>
    <w:rsid w:val="003007EC"/>
    <w:rsid w:val="003007EF"/>
    <w:rsid w:val="00300804"/>
    <w:rsid w:val="0030080D"/>
    <w:rsid w:val="003008AA"/>
    <w:rsid w:val="00300903"/>
    <w:rsid w:val="0030092E"/>
    <w:rsid w:val="00300998"/>
    <w:rsid w:val="003009D4"/>
    <w:rsid w:val="00300A43"/>
    <w:rsid w:val="00300AA0"/>
    <w:rsid w:val="00300ABB"/>
    <w:rsid w:val="00300AF4"/>
    <w:rsid w:val="00300B0E"/>
    <w:rsid w:val="00300BAF"/>
    <w:rsid w:val="00300BB9"/>
    <w:rsid w:val="00300CBA"/>
    <w:rsid w:val="00300D4F"/>
    <w:rsid w:val="00300D67"/>
    <w:rsid w:val="00300DEF"/>
    <w:rsid w:val="00300E2C"/>
    <w:rsid w:val="00300E69"/>
    <w:rsid w:val="00300F59"/>
    <w:rsid w:val="0030100B"/>
    <w:rsid w:val="003010C8"/>
    <w:rsid w:val="00301118"/>
    <w:rsid w:val="0030115E"/>
    <w:rsid w:val="003011A9"/>
    <w:rsid w:val="003011BF"/>
    <w:rsid w:val="003011DD"/>
    <w:rsid w:val="00301263"/>
    <w:rsid w:val="003012A3"/>
    <w:rsid w:val="003012B7"/>
    <w:rsid w:val="00301340"/>
    <w:rsid w:val="0030135C"/>
    <w:rsid w:val="003013B8"/>
    <w:rsid w:val="003013E8"/>
    <w:rsid w:val="003013FF"/>
    <w:rsid w:val="0030144D"/>
    <w:rsid w:val="003014B8"/>
    <w:rsid w:val="0030156C"/>
    <w:rsid w:val="003015BB"/>
    <w:rsid w:val="003015D5"/>
    <w:rsid w:val="00301629"/>
    <w:rsid w:val="003016CD"/>
    <w:rsid w:val="003016D4"/>
    <w:rsid w:val="003017A6"/>
    <w:rsid w:val="003017CF"/>
    <w:rsid w:val="00301839"/>
    <w:rsid w:val="0030193A"/>
    <w:rsid w:val="003019D8"/>
    <w:rsid w:val="00301A82"/>
    <w:rsid w:val="00301AB1"/>
    <w:rsid w:val="00301AE6"/>
    <w:rsid w:val="00301B38"/>
    <w:rsid w:val="00301B7E"/>
    <w:rsid w:val="00301BD9"/>
    <w:rsid w:val="00301BE3"/>
    <w:rsid w:val="00301BE5"/>
    <w:rsid w:val="00301BF9"/>
    <w:rsid w:val="00301C7B"/>
    <w:rsid w:val="00301CBB"/>
    <w:rsid w:val="00301D9F"/>
    <w:rsid w:val="00301DF4"/>
    <w:rsid w:val="00301E00"/>
    <w:rsid w:val="00301E9B"/>
    <w:rsid w:val="00301F2D"/>
    <w:rsid w:val="00301F5A"/>
    <w:rsid w:val="00301F95"/>
    <w:rsid w:val="00301FAC"/>
    <w:rsid w:val="00301FC2"/>
    <w:rsid w:val="00301FC6"/>
    <w:rsid w:val="00301FFF"/>
    <w:rsid w:val="00302023"/>
    <w:rsid w:val="0030204D"/>
    <w:rsid w:val="00302054"/>
    <w:rsid w:val="003020BA"/>
    <w:rsid w:val="0030213D"/>
    <w:rsid w:val="0030214B"/>
    <w:rsid w:val="00302192"/>
    <w:rsid w:val="003021C8"/>
    <w:rsid w:val="00302203"/>
    <w:rsid w:val="00302211"/>
    <w:rsid w:val="00302241"/>
    <w:rsid w:val="00302253"/>
    <w:rsid w:val="003022D1"/>
    <w:rsid w:val="00302354"/>
    <w:rsid w:val="0030235D"/>
    <w:rsid w:val="00302386"/>
    <w:rsid w:val="00302399"/>
    <w:rsid w:val="003023DB"/>
    <w:rsid w:val="003023F5"/>
    <w:rsid w:val="00302438"/>
    <w:rsid w:val="0030249B"/>
    <w:rsid w:val="003024F5"/>
    <w:rsid w:val="00302538"/>
    <w:rsid w:val="003025B9"/>
    <w:rsid w:val="00302682"/>
    <w:rsid w:val="00302699"/>
    <w:rsid w:val="003026A5"/>
    <w:rsid w:val="003026F0"/>
    <w:rsid w:val="0030280E"/>
    <w:rsid w:val="00302865"/>
    <w:rsid w:val="00302894"/>
    <w:rsid w:val="00302895"/>
    <w:rsid w:val="003028C4"/>
    <w:rsid w:val="00302915"/>
    <w:rsid w:val="00302924"/>
    <w:rsid w:val="00302946"/>
    <w:rsid w:val="00302A66"/>
    <w:rsid w:val="00302AD6"/>
    <w:rsid w:val="00302ADE"/>
    <w:rsid w:val="00302B3F"/>
    <w:rsid w:val="00302BE1"/>
    <w:rsid w:val="00302BE4"/>
    <w:rsid w:val="00302C26"/>
    <w:rsid w:val="00302D42"/>
    <w:rsid w:val="00302EFC"/>
    <w:rsid w:val="00302FB3"/>
    <w:rsid w:val="00303001"/>
    <w:rsid w:val="0030300F"/>
    <w:rsid w:val="003030C3"/>
    <w:rsid w:val="00303107"/>
    <w:rsid w:val="0030315B"/>
    <w:rsid w:val="0030316A"/>
    <w:rsid w:val="00303222"/>
    <w:rsid w:val="00303238"/>
    <w:rsid w:val="0030324A"/>
    <w:rsid w:val="0030327F"/>
    <w:rsid w:val="00303285"/>
    <w:rsid w:val="003032B3"/>
    <w:rsid w:val="003033DB"/>
    <w:rsid w:val="003034E3"/>
    <w:rsid w:val="003034F5"/>
    <w:rsid w:val="003035FE"/>
    <w:rsid w:val="00303624"/>
    <w:rsid w:val="00303641"/>
    <w:rsid w:val="003036BA"/>
    <w:rsid w:val="003036EE"/>
    <w:rsid w:val="003036F0"/>
    <w:rsid w:val="003036F4"/>
    <w:rsid w:val="00303718"/>
    <w:rsid w:val="0030375A"/>
    <w:rsid w:val="003037E0"/>
    <w:rsid w:val="00303824"/>
    <w:rsid w:val="003038C3"/>
    <w:rsid w:val="00303964"/>
    <w:rsid w:val="00303972"/>
    <w:rsid w:val="00303976"/>
    <w:rsid w:val="00303A15"/>
    <w:rsid w:val="00303A30"/>
    <w:rsid w:val="00303A73"/>
    <w:rsid w:val="00303A87"/>
    <w:rsid w:val="00303B84"/>
    <w:rsid w:val="00303B92"/>
    <w:rsid w:val="00303BC4"/>
    <w:rsid w:val="00303BD0"/>
    <w:rsid w:val="00303C5E"/>
    <w:rsid w:val="00303CA1"/>
    <w:rsid w:val="00303CAE"/>
    <w:rsid w:val="00303CE0"/>
    <w:rsid w:val="00303D21"/>
    <w:rsid w:val="00303DE1"/>
    <w:rsid w:val="00303E1E"/>
    <w:rsid w:val="00303E61"/>
    <w:rsid w:val="00303E6B"/>
    <w:rsid w:val="00303E7B"/>
    <w:rsid w:val="00303F38"/>
    <w:rsid w:val="00303F9A"/>
    <w:rsid w:val="00303FA6"/>
    <w:rsid w:val="00303FC3"/>
    <w:rsid w:val="00304034"/>
    <w:rsid w:val="00304037"/>
    <w:rsid w:val="003040E1"/>
    <w:rsid w:val="00304135"/>
    <w:rsid w:val="0030414A"/>
    <w:rsid w:val="00304183"/>
    <w:rsid w:val="003041A3"/>
    <w:rsid w:val="003041BF"/>
    <w:rsid w:val="003041E5"/>
    <w:rsid w:val="0030421B"/>
    <w:rsid w:val="00304278"/>
    <w:rsid w:val="00304292"/>
    <w:rsid w:val="0030432C"/>
    <w:rsid w:val="00304338"/>
    <w:rsid w:val="00304406"/>
    <w:rsid w:val="00304434"/>
    <w:rsid w:val="0030452A"/>
    <w:rsid w:val="00304557"/>
    <w:rsid w:val="0030458C"/>
    <w:rsid w:val="0030459D"/>
    <w:rsid w:val="00304693"/>
    <w:rsid w:val="0030470D"/>
    <w:rsid w:val="00304713"/>
    <w:rsid w:val="00304741"/>
    <w:rsid w:val="00304795"/>
    <w:rsid w:val="003047D3"/>
    <w:rsid w:val="00304823"/>
    <w:rsid w:val="003048A3"/>
    <w:rsid w:val="003048BE"/>
    <w:rsid w:val="00304952"/>
    <w:rsid w:val="0030495D"/>
    <w:rsid w:val="003049A7"/>
    <w:rsid w:val="00304A4C"/>
    <w:rsid w:val="00304B3D"/>
    <w:rsid w:val="00304C03"/>
    <w:rsid w:val="00304C4F"/>
    <w:rsid w:val="00304CAB"/>
    <w:rsid w:val="00304CB2"/>
    <w:rsid w:val="00304E06"/>
    <w:rsid w:val="00304E33"/>
    <w:rsid w:val="00304E74"/>
    <w:rsid w:val="00304E85"/>
    <w:rsid w:val="00304EA1"/>
    <w:rsid w:val="00304FB1"/>
    <w:rsid w:val="00304FB9"/>
    <w:rsid w:val="00304FC4"/>
    <w:rsid w:val="00304FDB"/>
    <w:rsid w:val="0030508D"/>
    <w:rsid w:val="003050A1"/>
    <w:rsid w:val="003050F8"/>
    <w:rsid w:val="00305101"/>
    <w:rsid w:val="00305125"/>
    <w:rsid w:val="00305168"/>
    <w:rsid w:val="00305183"/>
    <w:rsid w:val="00305242"/>
    <w:rsid w:val="003052AB"/>
    <w:rsid w:val="003053A7"/>
    <w:rsid w:val="003053AD"/>
    <w:rsid w:val="003053F2"/>
    <w:rsid w:val="00305535"/>
    <w:rsid w:val="0030556D"/>
    <w:rsid w:val="0030558E"/>
    <w:rsid w:val="003055B1"/>
    <w:rsid w:val="00305631"/>
    <w:rsid w:val="00305736"/>
    <w:rsid w:val="00305737"/>
    <w:rsid w:val="00305744"/>
    <w:rsid w:val="003057AD"/>
    <w:rsid w:val="0030583D"/>
    <w:rsid w:val="003058A9"/>
    <w:rsid w:val="003058EE"/>
    <w:rsid w:val="00305923"/>
    <w:rsid w:val="00305924"/>
    <w:rsid w:val="00305930"/>
    <w:rsid w:val="00305973"/>
    <w:rsid w:val="003059E8"/>
    <w:rsid w:val="00305A3D"/>
    <w:rsid w:val="00305A71"/>
    <w:rsid w:val="00305A97"/>
    <w:rsid w:val="00305AFC"/>
    <w:rsid w:val="00305B3C"/>
    <w:rsid w:val="00305B41"/>
    <w:rsid w:val="00305BAE"/>
    <w:rsid w:val="00305BC5"/>
    <w:rsid w:val="00305BD6"/>
    <w:rsid w:val="00305BF0"/>
    <w:rsid w:val="00305C1A"/>
    <w:rsid w:val="00305C3D"/>
    <w:rsid w:val="00305CE3"/>
    <w:rsid w:val="00305CF6"/>
    <w:rsid w:val="00305D94"/>
    <w:rsid w:val="00305DF8"/>
    <w:rsid w:val="00305E15"/>
    <w:rsid w:val="00305E17"/>
    <w:rsid w:val="00305E43"/>
    <w:rsid w:val="00305E9D"/>
    <w:rsid w:val="00305FE4"/>
    <w:rsid w:val="00306085"/>
    <w:rsid w:val="00306162"/>
    <w:rsid w:val="00306207"/>
    <w:rsid w:val="0030627D"/>
    <w:rsid w:val="003062CB"/>
    <w:rsid w:val="003063B2"/>
    <w:rsid w:val="00306576"/>
    <w:rsid w:val="00306592"/>
    <w:rsid w:val="003065AA"/>
    <w:rsid w:val="00306700"/>
    <w:rsid w:val="00306744"/>
    <w:rsid w:val="0030675C"/>
    <w:rsid w:val="00306778"/>
    <w:rsid w:val="0030678A"/>
    <w:rsid w:val="003067B2"/>
    <w:rsid w:val="003067C1"/>
    <w:rsid w:val="0030680F"/>
    <w:rsid w:val="0030681E"/>
    <w:rsid w:val="0030687D"/>
    <w:rsid w:val="00306889"/>
    <w:rsid w:val="003068C1"/>
    <w:rsid w:val="003068C9"/>
    <w:rsid w:val="0030690B"/>
    <w:rsid w:val="00306928"/>
    <w:rsid w:val="0030697A"/>
    <w:rsid w:val="00306A27"/>
    <w:rsid w:val="00306AFF"/>
    <w:rsid w:val="00306B1F"/>
    <w:rsid w:val="00306B3A"/>
    <w:rsid w:val="00306B68"/>
    <w:rsid w:val="00306BBE"/>
    <w:rsid w:val="00306C2A"/>
    <w:rsid w:val="00306C34"/>
    <w:rsid w:val="00306DB4"/>
    <w:rsid w:val="00306E5B"/>
    <w:rsid w:val="00306EEE"/>
    <w:rsid w:val="00306F1B"/>
    <w:rsid w:val="00306F20"/>
    <w:rsid w:val="00306F57"/>
    <w:rsid w:val="00307015"/>
    <w:rsid w:val="0030705B"/>
    <w:rsid w:val="0030707C"/>
    <w:rsid w:val="003070E0"/>
    <w:rsid w:val="003070F9"/>
    <w:rsid w:val="00307127"/>
    <w:rsid w:val="00307129"/>
    <w:rsid w:val="00307148"/>
    <w:rsid w:val="00307149"/>
    <w:rsid w:val="003071BF"/>
    <w:rsid w:val="003071C2"/>
    <w:rsid w:val="003072BB"/>
    <w:rsid w:val="003072BC"/>
    <w:rsid w:val="00307304"/>
    <w:rsid w:val="00307326"/>
    <w:rsid w:val="0030732B"/>
    <w:rsid w:val="00307338"/>
    <w:rsid w:val="0030734D"/>
    <w:rsid w:val="0030737C"/>
    <w:rsid w:val="00307427"/>
    <w:rsid w:val="0030742E"/>
    <w:rsid w:val="00307496"/>
    <w:rsid w:val="0030753A"/>
    <w:rsid w:val="003075EF"/>
    <w:rsid w:val="00307666"/>
    <w:rsid w:val="003076D6"/>
    <w:rsid w:val="00307724"/>
    <w:rsid w:val="00307760"/>
    <w:rsid w:val="003077B0"/>
    <w:rsid w:val="003077F8"/>
    <w:rsid w:val="00307824"/>
    <w:rsid w:val="0030792E"/>
    <w:rsid w:val="003079C9"/>
    <w:rsid w:val="00307AD7"/>
    <w:rsid w:val="00307B9C"/>
    <w:rsid w:val="00307BD2"/>
    <w:rsid w:val="00307BE1"/>
    <w:rsid w:val="00307C00"/>
    <w:rsid w:val="00307C09"/>
    <w:rsid w:val="00307C3A"/>
    <w:rsid w:val="00307C6F"/>
    <w:rsid w:val="00307C77"/>
    <w:rsid w:val="00307CD0"/>
    <w:rsid w:val="00307D13"/>
    <w:rsid w:val="00307EB0"/>
    <w:rsid w:val="00307EB5"/>
    <w:rsid w:val="00307F0F"/>
    <w:rsid w:val="00307F6A"/>
    <w:rsid w:val="00307FC1"/>
    <w:rsid w:val="00310045"/>
    <w:rsid w:val="003100D1"/>
    <w:rsid w:val="003101A0"/>
    <w:rsid w:val="003101B4"/>
    <w:rsid w:val="00310207"/>
    <w:rsid w:val="0031021C"/>
    <w:rsid w:val="00310256"/>
    <w:rsid w:val="00310289"/>
    <w:rsid w:val="00310292"/>
    <w:rsid w:val="003102C4"/>
    <w:rsid w:val="003102EB"/>
    <w:rsid w:val="003103C3"/>
    <w:rsid w:val="00310412"/>
    <w:rsid w:val="00310419"/>
    <w:rsid w:val="0031042E"/>
    <w:rsid w:val="003104CE"/>
    <w:rsid w:val="003104ED"/>
    <w:rsid w:val="00310501"/>
    <w:rsid w:val="0031050C"/>
    <w:rsid w:val="003105A7"/>
    <w:rsid w:val="00310645"/>
    <w:rsid w:val="003106A4"/>
    <w:rsid w:val="003107F8"/>
    <w:rsid w:val="0031082A"/>
    <w:rsid w:val="0031086B"/>
    <w:rsid w:val="003108C1"/>
    <w:rsid w:val="0031093E"/>
    <w:rsid w:val="0031096C"/>
    <w:rsid w:val="003109C5"/>
    <w:rsid w:val="00310A6F"/>
    <w:rsid w:val="00310ACB"/>
    <w:rsid w:val="00310B11"/>
    <w:rsid w:val="00310B14"/>
    <w:rsid w:val="00310B25"/>
    <w:rsid w:val="00310B5A"/>
    <w:rsid w:val="00310B68"/>
    <w:rsid w:val="00310C0E"/>
    <w:rsid w:val="00310C96"/>
    <w:rsid w:val="00310CB9"/>
    <w:rsid w:val="00310CCA"/>
    <w:rsid w:val="00310D8A"/>
    <w:rsid w:val="00310E28"/>
    <w:rsid w:val="00310E2D"/>
    <w:rsid w:val="00310E51"/>
    <w:rsid w:val="00310F84"/>
    <w:rsid w:val="00310FC7"/>
    <w:rsid w:val="00310FC8"/>
    <w:rsid w:val="003110A8"/>
    <w:rsid w:val="0031116A"/>
    <w:rsid w:val="00311190"/>
    <w:rsid w:val="00311250"/>
    <w:rsid w:val="00311314"/>
    <w:rsid w:val="0031134B"/>
    <w:rsid w:val="0031139E"/>
    <w:rsid w:val="00311459"/>
    <w:rsid w:val="0031145A"/>
    <w:rsid w:val="00311473"/>
    <w:rsid w:val="003114CC"/>
    <w:rsid w:val="0031152D"/>
    <w:rsid w:val="003115BD"/>
    <w:rsid w:val="003115C7"/>
    <w:rsid w:val="003115CF"/>
    <w:rsid w:val="003115F2"/>
    <w:rsid w:val="00311670"/>
    <w:rsid w:val="003116E4"/>
    <w:rsid w:val="00311739"/>
    <w:rsid w:val="00311747"/>
    <w:rsid w:val="003117C0"/>
    <w:rsid w:val="00311826"/>
    <w:rsid w:val="00311914"/>
    <w:rsid w:val="0031191A"/>
    <w:rsid w:val="0031196B"/>
    <w:rsid w:val="00311A3B"/>
    <w:rsid w:val="00311A55"/>
    <w:rsid w:val="00311A72"/>
    <w:rsid w:val="00311AE5"/>
    <w:rsid w:val="00311AE9"/>
    <w:rsid w:val="00311B41"/>
    <w:rsid w:val="00311B8D"/>
    <w:rsid w:val="00311BBD"/>
    <w:rsid w:val="00311C4F"/>
    <w:rsid w:val="00311C53"/>
    <w:rsid w:val="00311CA9"/>
    <w:rsid w:val="00311CB1"/>
    <w:rsid w:val="00311CFC"/>
    <w:rsid w:val="00311CFE"/>
    <w:rsid w:val="00311D24"/>
    <w:rsid w:val="00311D37"/>
    <w:rsid w:val="00311D70"/>
    <w:rsid w:val="00311E52"/>
    <w:rsid w:val="00311E71"/>
    <w:rsid w:val="00311EDE"/>
    <w:rsid w:val="00311F07"/>
    <w:rsid w:val="00311FAD"/>
    <w:rsid w:val="00312028"/>
    <w:rsid w:val="00312082"/>
    <w:rsid w:val="00312099"/>
    <w:rsid w:val="00312125"/>
    <w:rsid w:val="00312199"/>
    <w:rsid w:val="003121A7"/>
    <w:rsid w:val="003121EC"/>
    <w:rsid w:val="00312262"/>
    <w:rsid w:val="0031229E"/>
    <w:rsid w:val="003122BE"/>
    <w:rsid w:val="003122DB"/>
    <w:rsid w:val="003122F4"/>
    <w:rsid w:val="00312321"/>
    <w:rsid w:val="00312327"/>
    <w:rsid w:val="003124EB"/>
    <w:rsid w:val="0031254E"/>
    <w:rsid w:val="003125A1"/>
    <w:rsid w:val="003125B6"/>
    <w:rsid w:val="003125C7"/>
    <w:rsid w:val="003125F0"/>
    <w:rsid w:val="00312612"/>
    <w:rsid w:val="0031264D"/>
    <w:rsid w:val="003126A0"/>
    <w:rsid w:val="003126F0"/>
    <w:rsid w:val="00312713"/>
    <w:rsid w:val="00312755"/>
    <w:rsid w:val="00312761"/>
    <w:rsid w:val="0031276B"/>
    <w:rsid w:val="0031276E"/>
    <w:rsid w:val="00312775"/>
    <w:rsid w:val="00312821"/>
    <w:rsid w:val="00312849"/>
    <w:rsid w:val="003129A5"/>
    <w:rsid w:val="003129BC"/>
    <w:rsid w:val="003129D4"/>
    <w:rsid w:val="00312A53"/>
    <w:rsid w:val="00312A7D"/>
    <w:rsid w:val="00312AB8"/>
    <w:rsid w:val="00312ABA"/>
    <w:rsid w:val="00312AD3"/>
    <w:rsid w:val="00312C23"/>
    <w:rsid w:val="00312C2F"/>
    <w:rsid w:val="00312C57"/>
    <w:rsid w:val="00312C5B"/>
    <w:rsid w:val="00312C7F"/>
    <w:rsid w:val="00312D78"/>
    <w:rsid w:val="00312E78"/>
    <w:rsid w:val="00312EBF"/>
    <w:rsid w:val="00312F18"/>
    <w:rsid w:val="00313006"/>
    <w:rsid w:val="0031306E"/>
    <w:rsid w:val="00313103"/>
    <w:rsid w:val="00313145"/>
    <w:rsid w:val="00313196"/>
    <w:rsid w:val="003131D2"/>
    <w:rsid w:val="00313255"/>
    <w:rsid w:val="0031329A"/>
    <w:rsid w:val="003132D4"/>
    <w:rsid w:val="003132FA"/>
    <w:rsid w:val="00313327"/>
    <w:rsid w:val="00313347"/>
    <w:rsid w:val="00313352"/>
    <w:rsid w:val="0031336B"/>
    <w:rsid w:val="0031345D"/>
    <w:rsid w:val="00313471"/>
    <w:rsid w:val="0031349B"/>
    <w:rsid w:val="00313547"/>
    <w:rsid w:val="00313549"/>
    <w:rsid w:val="00313567"/>
    <w:rsid w:val="003135F6"/>
    <w:rsid w:val="00313600"/>
    <w:rsid w:val="00313617"/>
    <w:rsid w:val="00313647"/>
    <w:rsid w:val="00313711"/>
    <w:rsid w:val="00313719"/>
    <w:rsid w:val="00313797"/>
    <w:rsid w:val="003137DF"/>
    <w:rsid w:val="003137F4"/>
    <w:rsid w:val="003137FE"/>
    <w:rsid w:val="00313909"/>
    <w:rsid w:val="003139C3"/>
    <w:rsid w:val="003139EB"/>
    <w:rsid w:val="00313A86"/>
    <w:rsid w:val="00313AA8"/>
    <w:rsid w:val="00313AD7"/>
    <w:rsid w:val="00313AD8"/>
    <w:rsid w:val="00313B3F"/>
    <w:rsid w:val="00313BD0"/>
    <w:rsid w:val="00313BEE"/>
    <w:rsid w:val="00313BF5"/>
    <w:rsid w:val="00313C56"/>
    <w:rsid w:val="00313CC5"/>
    <w:rsid w:val="00313D40"/>
    <w:rsid w:val="00313D74"/>
    <w:rsid w:val="00313DC7"/>
    <w:rsid w:val="00313E46"/>
    <w:rsid w:val="00313E56"/>
    <w:rsid w:val="00313E5E"/>
    <w:rsid w:val="00313E6E"/>
    <w:rsid w:val="00313E7A"/>
    <w:rsid w:val="00313E7B"/>
    <w:rsid w:val="00313E86"/>
    <w:rsid w:val="00313EAF"/>
    <w:rsid w:val="00313EF0"/>
    <w:rsid w:val="00313F20"/>
    <w:rsid w:val="00313F8C"/>
    <w:rsid w:val="00313FC7"/>
    <w:rsid w:val="00314009"/>
    <w:rsid w:val="00314024"/>
    <w:rsid w:val="0031404A"/>
    <w:rsid w:val="0031411A"/>
    <w:rsid w:val="00314283"/>
    <w:rsid w:val="00314290"/>
    <w:rsid w:val="003142F6"/>
    <w:rsid w:val="0031432F"/>
    <w:rsid w:val="00314390"/>
    <w:rsid w:val="0031439F"/>
    <w:rsid w:val="003143CA"/>
    <w:rsid w:val="003143CE"/>
    <w:rsid w:val="00314400"/>
    <w:rsid w:val="003144B0"/>
    <w:rsid w:val="003144B2"/>
    <w:rsid w:val="00314528"/>
    <w:rsid w:val="0031452F"/>
    <w:rsid w:val="0031456F"/>
    <w:rsid w:val="00314583"/>
    <w:rsid w:val="003145D7"/>
    <w:rsid w:val="003145F3"/>
    <w:rsid w:val="003145F6"/>
    <w:rsid w:val="00314632"/>
    <w:rsid w:val="0031467B"/>
    <w:rsid w:val="0031467E"/>
    <w:rsid w:val="003146F4"/>
    <w:rsid w:val="00314779"/>
    <w:rsid w:val="003147A1"/>
    <w:rsid w:val="0031484F"/>
    <w:rsid w:val="00314852"/>
    <w:rsid w:val="003148C8"/>
    <w:rsid w:val="003148EA"/>
    <w:rsid w:val="00314954"/>
    <w:rsid w:val="003149AB"/>
    <w:rsid w:val="00314A23"/>
    <w:rsid w:val="00314AB3"/>
    <w:rsid w:val="00314AC4"/>
    <w:rsid w:val="00314B42"/>
    <w:rsid w:val="00314B81"/>
    <w:rsid w:val="00314B89"/>
    <w:rsid w:val="00314BA6"/>
    <w:rsid w:val="00314BBE"/>
    <w:rsid w:val="00314C0F"/>
    <w:rsid w:val="00314C77"/>
    <w:rsid w:val="00314C7C"/>
    <w:rsid w:val="00314CC3"/>
    <w:rsid w:val="00314D2F"/>
    <w:rsid w:val="00314D43"/>
    <w:rsid w:val="00314DFB"/>
    <w:rsid w:val="00314EAB"/>
    <w:rsid w:val="00314F22"/>
    <w:rsid w:val="00314F82"/>
    <w:rsid w:val="00314FBE"/>
    <w:rsid w:val="00314FD8"/>
    <w:rsid w:val="00314FFF"/>
    <w:rsid w:val="00315025"/>
    <w:rsid w:val="0031512B"/>
    <w:rsid w:val="00315174"/>
    <w:rsid w:val="00315177"/>
    <w:rsid w:val="003151D6"/>
    <w:rsid w:val="003151E6"/>
    <w:rsid w:val="003152C2"/>
    <w:rsid w:val="00315344"/>
    <w:rsid w:val="00315503"/>
    <w:rsid w:val="00315561"/>
    <w:rsid w:val="00315565"/>
    <w:rsid w:val="00315587"/>
    <w:rsid w:val="0031562F"/>
    <w:rsid w:val="00315676"/>
    <w:rsid w:val="003156AE"/>
    <w:rsid w:val="00315772"/>
    <w:rsid w:val="00315775"/>
    <w:rsid w:val="0031578D"/>
    <w:rsid w:val="003157B3"/>
    <w:rsid w:val="003157C2"/>
    <w:rsid w:val="00315879"/>
    <w:rsid w:val="003158D4"/>
    <w:rsid w:val="0031593E"/>
    <w:rsid w:val="00315948"/>
    <w:rsid w:val="003159F6"/>
    <w:rsid w:val="003159FE"/>
    <w:rsid w:val="00315C68"/>
    <w:rsid w:val="00315CE7"/>
    <w:rsid w:val="00315DAC"/>
    <w:rsid w:val="00315DBA"/>
    <w:rsid w:val="00315DBC"/>
    <w:rsid w:val="00315E13"/>
    <w:rsid w:val="00315E55"/>
    <w:rsid w:val="00315E62"/>
    <w:rsid w:val="00315EA8"/>
    <w:rsid w:val="00315F60"/>
    <w:rsid w:val="00315FAF"/>
    <w:rsid w:val="00315FD8"/>
    <w:rsid w:val="00316115"/>
    <w:rsid w:val="003161C7"/>
    <w:rsid w:val="00316299"/>
    <w:rsid w:val="0031629E"/>
    <w:rsid w:val="00316337"/>
    <w:rsid w:val="003163C1"/>
    <w:rsid w:val="003163DB"/>
    <w:rsid w:val="003163FD"/>
    <w:rsid w:val="0031642D"/>
    <w:rsid w:val="0031642E"/>
    <w:rsid w:val="003164F0"/>
    <w:rsid w:val="0031650F"/>
    <w:rsid w:val="00316561"/>
    <w:rsid w:val="003165FD"/>
    <w:rsid w:val="00316672"/>
    <w:rsid w:val="0031677E"/>
    <w:rsid w:val="003167CB"/>
    <w:rsid w:val="003167F9"/>
    <w:rsid w:val="00316907"/>
    <w:rsid w:val="00316976"/>
    <w:rsid w:val="00316980"/>
    <w:rsid w:val="00316A12"/>
    <w:rsid w:val="00316A59"/>
    <w:rsid w:val="00316A7A"/>
    <w:rsid w:val="00316A89"/>
    <w:rsid w:val="00316AA9"/>
    <w:rsid w:val="00316AEC"/>
    <w:rsid w:val="00316BBA"/>
    <w:rsid w:val="00316C0A"/>
    <w:rsid w:val="00316C49"/>
    <w:rsid w:val="00316D05"/>
    <w:rsid w:val="00316D06"/>
    <w:rsid w:val="00316D2D"/>
    <w:rsid w:val="00316DB0"/>
    <w:rsid w:val="00316DEA"/>
    <w:rsid w:val="00316E5A"/>
    <w:rsid w:val="00316EBF"/>
    <w:rsid w:val="00316F46"/>
    <w:rsid w:val="00316F5F"/>
    <w:rsid w:val="00316FA3"/>
    <w:rsid w:val="0031705D"/>
    <w:rsid w:val="0031714E"/>
    <w:rsid w:val="0031716F"/>
    <w:rsid w:val="003171D7"/>
    <w:rsid w:val="003171EA"/>
    <w:rsid w:val="003171F8"/>
    <w:rsid w:val="00317222"/>
    <w:rsid w:val="0031727B"/>
    <w:rsid w:val="003172A4"/>
    <w:rsid w:val="003172B4"/>
    <w:rsid w:val="003173B7"/>
    <w:rsid w:val="0031743D"/>
    <w:rsid w:val="00317452"/>
    <w:rsid w:val="0031749B"/>
    <w:rsid w:val="003174C1"/>
    <w:rsid w:val="003175BA"/>
    <w:rsid w:val="003175EA"/>
    <w:rsid w:val="003175F0"/>
    <w:rsid w:val="003175FA"/>
    <w:rsid w:val="0031760D"/>
    <w:rsid w:val="0031761E"/>
    <w:rsid w:val="00317767"/>
    <w:rsid w:val="003177FD"/>
    <w:rsid w:val="00317887"/>
    <w:rsid w:val="00317900"/>
    <w:rsid w:val="0031793C"/>
    <w:rsid w:val="00317940"/>
    <w:rsid w:val="00317955"/>
    <w:rsid w:val="00317986"/>
    <w:rsid w:val="00317A2B"/>
    <w:rsid w:val="00317A39"/>
    <w:rsid w:val="00317A71"/>
    <w:rsid w:val="00317AAF"/>
    <w:rsid w:val="00317AC5"/>
    <w:rsid w:val="00317B21"/>
    <w:rsid w:val="00317B3E"/>
    <w:rsid w:val="00317BA1"/>
    <w:rsid w:val="00317C2B"/>
    <w:rsid w:val="00317C4A"/>
    <w:rsid w:val="00317DA5"/>
    <w:rsid w:val="00317E42"/>
    <w:rsid w:val="00317E71"/>
    <w:rsid w:val="00317EC1"/>
    <w:rsid w:val="00317F38"/>
    <w:rsid w:val="00317F6F"/>
    <w:rsid w:val="00317F83"/>
    <w:rsid w:val="00317F9F"/>
    <w:rsid w:val="00320078"/>
    <w:rsid w:val="003200B4"/>
    <w:rsid w:val="0032021E"/>
    <w:rsid w:val="003202F0"/>
    <w:rsid w:val="00320346"/>
    <w:rsid w:val="00320544"/>
    <w:rsid w:val="003205A5"/>
    <w:rsid w:val="003205B9"/>
    <w:rsid w:val="003205DD"/>
    <w:rsid w:val="00320693"/>
    <w:rsid w:val="003207B8"/>
    <w:rsid w:val="00320835"/>
    <w:rsid w:val="0032085B"/>
    <w:rsid w:val="00320868"/>
    <w:rsid w:val="0032092E"/>
    <w:rsid w:val="00320939"/>
    <w:rsid w:val="0032096E"/>
    <w:rsid w:val="00320988"/>
    <w:rsid w:val="00320990"/>
    <w:rsid w:val="00320A69"/>
    <w:rsid w:val="00320A87"/>
    <w:rsid w:val="00320AA8"/>
    <w:rsid w:val="00320AB5"/>
    <w:rsid w:val="00320AEA"/>
    <w:rsid w:val="00320B58"/>
    <w:rsid w:val="00320C07"/>
    <w:rsid w:val="00320C94"/>
    <w:rsid w:val="00320CE7"/>
    <w:rsid w:val="00320D06"/>
    <w:rsid w:val="00320D6F"/>
    <w:rsid w:val="00320DC6"/>
    <w:rsid w:val="00320DCD"/>
    <w:rsid w:val="00320E0F"/>
    <w:rsid w:val="00320E1E"/>
    <w:rsid w:val="00320FB7"/>
    <w:rsid w:val="00321015"/>
    <w:rsid w:val="0032104B"/>
    <w:rsid w:val="003210FD"/>
    <w:rsid w:val="0032110D"/>
    <w:rsid w:val="00321166"/>
    <w:rsid w:val="003211E1"/>
    <w:rsid w:val="00321204"/>
    <w:rsid w:val="00321260"/>
    <w:rsid w:val="00321269"/>
    <w:rsid w:val="003212C7"/>
    <w:rsid w:val="00321386"/>
    <w:rsid w:val="003213CF"/>
    <w:rsid w:val="00321424"/>
    <w:rsid w:val="00321536"/>
    <w:rsid w:val="00321558"/>
    <w:rsid w:val="0032160A"/>
    <w:rsid w:val="00321619"/>
    <w:rsid w:val="00321636"/>
    <w:rsid w:val="0032166D"/>
    <w:rsid w:val="0032172D"/>
    <w:rsid w:val="00321759"/>
    <w:rsid w:val="003217A4"/>
    <w:rsid w:val="003217CF"/>
    <w:rsid w:val="0032182A"/>
    <w:rsid w:val="003218D1"/>
    <w:rsid w:val="003218F4"/>
    <w:rsid w:val="0032193B"/>
    <w:rsid w:val="00321961"/>
    <w:rsid w:val="003219A0"/>
    <w:rsid w:val="003219ED"/>
    <w:rsid w:val="00321A29"/>
    <w:rsid w:val="00321A49"/>
    <w:rsid w:val="00321A4A"/>
    <w:rsid w:val="00321A95"/>
    <w:rsid w:val="00321ABB"/>
    <w:rsid w:val="00321ADA"/>
    <w:rsid w:val="00321ADE"/>
    <w:rsid w:val="00321B1A"/>
    <w:rsid w:val="00321B29"/>
    <w:rsid w:val="00321B61"/>
    <w:rsid w:val="00321B84"/>
    <w:rsid w:val="00321BB8"/>
    <w:rsid w:val="00321BEA"/>
    <w:rsid w:val="00321C16"/>
    <w:rsid w:val="00321C5B"/>
    <w:rsid w:val="00321CAB"/>
    <w:rsid w:val="00321CF5"/>
    <w:rsid w:val="00321DA1"/>
    <w:rsid w:val="00321DE7"/>
    <w:rsid w:val="00321DEA"/>
    <w:rsid w:val="00321E0D"/>
    <w:rsid w:val="00321E39"/>
    <w:rsid w:val="00321E3A"/>
    <w:rsid w:val="00321E40"/>
    <w:rsid w:val="00321E48"/>
    <w:rsid w:val="00321E8C"/>
    <w:rsid w:val="00321F18"/>
    <w:rsid w:val="00321F1A"/>
    <w:rsid w:val="00321F23"/>
    <w:rsid w:val="00321FE7"/>
    <w:rsid w:val="00321FEE"/>
    <w:rsid w:val="00322037"/>
    <w:rsid w:val="00322054"/>
    <w:rsid w:val="0032205F"/>
    <w:rsid w:val="003220A6"/>
    <w:rsid w:val="00322135"/>
    <w:rsid w:val="00322187"/>
    <w:rsid w:val="0032218C"/>
    <w:rsid w:val="003221E4"/>
    <w:rsid w:val="0032223C"/>
    <w:rsid w:val="0032224E"/>
    <w:rsid w:val="00322275"/>
    <w:rsid w:val="003222F0"/>
    <w:rsid w:val="003223A3"/>
    <w:rsid w:val="003223C3"/>
    <w:rsid w:val="003223CB"/>
    <w:rsid w:val="003224A6"/>
    <w:rsid w:val="003226A1"/>
    <w:rsid w:val="003226BB"/>
    <w:rsid w:val="003226D4"/>
    <w:rsid w:val="00322796"/>
    <w:rsid w:val="003227C0"/>
    <w:rsid w:val="003227CE"/>
    <w:rsid w:val="003227FA"/>
    <w:rsid w:val="0032289D"/>
    <w:rsid w:val="003228B3"/>
    <w:rsid w:val="003228CD"/>
    <w:rsid w:val="00322914"/>
    <w:rsid w:val="00322953"/>
    <w:rsid w:val="00322A5F"/>
    <w:rsid w:val="00322A8A"/>
    <w:rsid w:val="00322AD4"/>
    <w:rsid w:val="00322B5B"/>
    <w:rsid w:val="00322C57"/>
    <w:rsid w:val="00322C5D"/>
    <w:rsid w:val="00322C61"/>
    <w:rsid w:val="00322C6F"/>
    <w:rsid w:val="00322C7D"/>
    <w:rsid w:val="00322D78"/>
    <w:rsid w:val="00322DE3"/>
    <w:rsid w:val="00322E3C"/>
    <w:rsid w:val="00322EDF"/>
    <w:rsid w:val="00322F44"/>
    <w:rsid w:val="00322FD2"/>
    <w:rsid w:val="0032300C"/>
    <w:rsid w:val="0032301A"/>
    <w:rsid w:val="00323038"/>
    <w:rsid w:val="003230E2"/>
    <w:rsid w:val="003231E6"/>
    <w:rsid w:val="0032322D"/>
    <w:rsid w:val="0032324E"/>
    <w:rsid w:val="00323271"/>
    <w:rsid w:val="0032332F"/>
    <w:rsid w:val="00323352"/>
    <w:rsid w:val="003233AE"/>
    <w:rsid w:val="00323415"/>
    <w:rsid w:val="0032341A"/>
    <w:rsid w:val="00323462"/>
    <w:rsid w:val="00323476"/>
    <w:rsid w:val="003234C0"/>
    <w:rsid w:val="003235F6"/>
    <w:rsid w:val="003236A3"/>
    <w:rsid w:val="003236C4"/>
    <w:rsid w:val="0032370D"/>
    <w:rsid w:val="003237C8"/>
    <w:rsid w:val="003237DB"/>
    <w:rsid w:val="0032387E"/>
    <w:rsid w:val="0032388B"/>
    <w:rsid w:val="003238FB"/>
    <w:rsid w:val="00323923"/>
    <w:rsid w:val="003239F9"/>
    <w:rsid w:val="00323AC2"/>
    <w:rsid w:val="00323AD6"/>
    <w:rsid w:val="00323AF4"/>
    <w:rsid w:val="00323B83"/>
    <w:rsid w:val="00323BA2"/>
    <w:rsid w:val="00323C2B"/>
    <w:rsid w:val="00323CAB"/>
    <w:rsid w:val="00323D05"/>
    <w:rsid w:val="00323D70"/>
    <w:rsid w:val="00323DFB"/>
    <w:rsid w:val="00323EDD"/>
    <w:rsid w:val="00323F25"/>
    <w:rsid w:val="00323F4E"/>
    <w:rsid w:val="00324037"/>
    <w:rsid w:val="00324049"/>
    <w:rsid w:val="0032404E"/>
    <w:rsid w:val="00324056"/>
    <w:rsid w:val="0032407B"/>
    <w:rsid w:val="0032408A"/>
    <w:rsid w:val="003240C9"/>
    <w:rsid w:val="003240EF"/>
    <w:rsid w:val="00324100"/>
    <w:rsid w:val="0032413E"/>
    <w:rsid w:val="003241CB"/>
    <w:rsid w:val="003242DF"/>
    <w:rsid w:val="00324304"/>
    <w:rsid w:val="00324317"/>
    <w:rsid w:val="00324348"/>
    <w:rsid w:val="00324355"/>
    <w:rsid w:val="0032439F"/>
    <w:rsid w:val="003243C2"/>
    <w:rsid w:val="003243CF"/>
    <w:rsid w:val="003243D7"/>
    <w:rsid w:val="003243E5"/>
    <w:rsid w:val="00324482"/>
    <w:rsid w:val="003244F8"/>
    <w:rsid w:val="00324518"/>
    <w:rsid w:val="00324565"/>
    <w:rsid w:val="003245C7"/>
    <w:rsid w:val="003246FA"/>
    <w:rsid w:val="00324725"/>
    <w:rsid w:val="0032476F"/>
    <w:rsid w:val="003247A6"/>
    <w:rsid w:val="003247BB"/>
    <w:rsid w:val="0032489A"/>
    <w:rsid w:val="003248B5"/>
    <w:rsid w:val="003249CD"/>
    <w:rsid w:val="003249D7"/>
    <w:rsid w:val="00324ACE"/>
    <w:rsid w:val="00324AF8"/>
    <w:rsid w:val="00324B03"/>
    <w:rsid w:val="00324B20"/>
    <w:rsid w:val="00324B85"/>
    <w:rsid w:val="00324BCE"/>
    <w:rsid w:val="00324C20"/>
    <w:rsid w:val="00324C2C"/>
    <w:rsid w:val="00324C54"/>
    <w:rsid w:val="00324C72"/>
    <w:rsid w:val="00324C77"/>
    <w:rsid w:val="00324D26"/>
    <w:rsid w:val="00324D91"/>
    <w:rsid w:val="00324E05"/>
    <w:rsid w:val="00324E08"/>
    <w:rsid w:val="00324E0C"/>
    <w:rsid w:val="00324E5D"/>
    <w:rsid w:val="0032501A"/>
    <w:rsid w:val="0032508F"/>
    <w:rsid w:val="003250DB"/>
    <w:rsid w:val="0032510A"/>
    <w:rsid w:val="003251AB"/>
    <w:rsid w:val="003251B4"/>
    <w:rsid w:val="003251F6"/>
    <w:rsid w:val="003251FB"/>
    <w:rsid w:val="00325212"/>
    <w:rsid w:val="00325233"/>
    <w:rsid w:val="003252B8"/>
    <w:rsid w:val="003252E0"/>
    <w:rsid w:val="00325387"/>
    <w:rsid w:val="0032548C"/>
    <w:rsid w:val="003254B4"/>
    <w:rsid w:val="00325507"/>
    <w:rsid w:val="00325539"/>
    <w:rsid w:val="003255A4"/>
    <w:rsid w:val="003255A5"/>
    <w:rsid w:val="003255FA"/>
    <w:rsid w:val="0032562B"/>
    <w:rsid w:val="0032562C"/>
    <w:rsid w:val="00325632"/>
    <w:rsid w:val="003256CD"/>
    <w:rsid w:val="003256D7"/>
    <w:rsid w:val="00325702"/>
    <w:rsid w:val="00325713"/>
    <w:rsid w:val="003257F2"/>
    <w:rsid w:val="00325803"/>
    <w:rsid w:val="003258A9"/>
    <w:rsid w:val="00325931"/>
    <w:rsid w:val="00325A44"/>
    <w:rsid w:val="00325A5C"/>
    <w:rsid w:val="00325B4E"/>
    <w:rsid w:val="00325B53"/>
    <w:rsid w:val="00325C5F"/>
    <w:rsid w:val="00325C74"/>
    <w:rsid w:val="00325DC5"/>
    <w:rsid w:val="00325E24"/>
    <w:rsid w:val="00325E75"/>
    <w:rsid w:val="00325F1A"/>
    <w:rsid w:val="00325F57"/>
    <w:rsid w:val="00325FF8"/>
    <w:rsid w:val="00325FFD"/>
    <w:rsid w:val="00326062"/>
    <w:rsid w:val="00326095"/>
    <w:rsid w:val="00326227"/>
    <w:rsid w:val="00326234"/>
    <w:rsid w:val="003262F0"/>
    <w:rsid w:val="00326335"/>
    <w:rsid w:val="0032636F"/>
    <w:rsid w:val="00326411"/>
    <w:rsid w:val="0032641E"/>
    <w:rsid w:val="00326420"/>
    <w:rsid w:val="0032644A"/>
    <w:rsid w:val="0032645A"/>
    <w:rsid w:val="003265B6"/>
    <w:rsid w:val="003265FF"/>
    <w:rsid w:val="0032668E"/>
    <w:rsid w:val="003266BB"/>
    <w:rsid w:val="003266E9"/>
    <w:rsid w:val="0032670B"/>
    <w:rsid w:val="0032675F"/>
    <w:rsid w:val="003268A5"/>
    <w:rsid w:val="003268CF"/>
    <w:rsid w:val="003268D5"/>
    <w:rsid w:val="00326990"/>
    <w:rsid w:val="003269BC"/>
    <w:rsid w:val="00326A23"/>
    <w:rsid w:val="00326A52"/>
    <w:rsid w:val="00326ADC"/>
    <w:rsid w:val="00326B04"/>
    <w:rsid w:val="00326B44"/>
    <w:rsid w:val="00326BA1"/>
    <w:rsid w:val="00326BB6"/>
    <w:rsid w:val="00326C0C"/>
    <w:rsid w:val="00326C86"/>
    <w:rsid w:val="00326CCA"/>
    <w:rsid w:val="00326D2A"/>
    <w:rsid w:val="00326D85"/>
    <w:rsid w:val="00326DCE"/>
    <w:rsid w:val="00326E1F"/>
    <w:rsid w:val="00326E74"/>
    <w:rsid w:val="00326EC5"/>
    <w:rsid w:val="00326EF4"/>
    <w:rsid w:val="00326EF9"/>
    <w:rsid w:val="00326F58"/>
    <w:rsid w:val="00326F65"/>
    <w:rsid w:val="00326F7F"/>
    <w:rsid w:val="00326FC6"/>
    <w:rsid w:val="00326FFB"/>
    <w:rsid w:val="0032700A"/>
    <w:rsid w:val="0032703F"/>
    <w:rsid w:val="0032710A"/>
    <w:rsid w:val="00327116"/>
    <w:rsid w:val="0032714A"/>
    <w:rsid w:val="003271F3"/>
    <w:rsid w:val="0032722F"/>
    <w:rsid w:val="00327238"/>
    <w:rsid w:val="00327330"/>
    <w:rsid w:val="003273AA"/>
    <w:rsid w:val="003273C9"/>
    <w:rsid w:val="00327473"/>
    <w:rsid w:val="00327477"/>
    <w:rsid w:val="00327482"/>
    <w:rsid w:val="00327486"/>
    <w:rsid w:val="003274CF"/>
    <w:rsid w:val="003274EF"/>
    <w:rsid w:val="00327554"/>
    <w:rsid w:val="00327566"/>
    <w:rsid w:val="003275BC"/>
    <w:rsid w:val="003275E8"/>
    <w:rsid w:val="00327606"/>
    <w:rsid w:val="003276AE"/>
    <w:rsid w:val="003276C2"/>
    <w:rsid w:val="00327737"/>
    <w:rsid w:val="003277CE"/>
    <w:rsid w:val="00327824"/>
    <w:rsid w:val="00327827"/>
    <w:rsid w:val="00327912"/>
    <w:rsid w:val="0032793E"/>
    <w:rsid w:val="0032795B"/>
    <w:rsid w:val="003279EC"/>
    <w:rsid w:val="00327A6D"/>
    <w:rsid w:val="00327A77"/>
    <w:rsid w:val="00327ADA"/>
    <w:rsid w:val="00327B1C"/>
    <w:rsid w:val="00327BD9"/>
    <w:rsid w:val="00327CE6"/>
    <w:rsid w:val="00327D5E"/>
    <w:rsid w:val="00327E81"/>
    <w:rsid w:val="00327E9F"/>
    <w:rsid w:val="00327EC0"/>
    <w:rsid w:val="00327F91"/>
    <w:rsid w:val="00327FD9"/>
    <w:rsid w:val="003300D4"/>
    <w:rsid w:val="00330102"/>
    <w:rsid w:val="00330127"/>
    <w:rsid w:val="00330137"/>
    <w:rsid w:val="00330150"/>
    <w:rsid w:val="0033026F"/>
    <w:rsid w:val="00330282"/>
    <w:rsid w:val="00330287"/>
    <w:rsid w:val="0033029B"/>
    <w:rsid w:val="003302C1"/>
    <w:rsid w:val="003302CB"/>
    <w:rsid w:val="003303AF"/>
    <w:rsid w:val="003303B6"/>
    <w:rsid w:val="00330480"/>
    <w:rsid w:val="003304E1"/>
    <w:rsid w:val="00330521"/>
    <w:rsid w:val="0033057C"/>
    <w:rsid w:val="003305F5"/>
    <w:rsid w:val="003306A8"/>
    <w:rsid w:val="0033070C"/>
    <w:rsid w:val="00330711"/>
    <w:rsid w:val="00330789"/>
    <w:rsid w:val="003307A9"/>
    <w:rsid w:val="0033083C"/>
    <w:rsid w:val="0033085F"/>
    <w:rsid w:val="003308BB"/>
    <w:rsid w:val="003308CD"/>
    <w:rsid w:val="003308F5"/>
    <w:rsid w:val="00330983"/>
    <w:rsid w:val="00330A62"/>
    <w:rsid w:val="00330A76"/>
    <w:rsid w:val="00330B38"/>
    <w:rsid w:val="00330BF0"/>
    <w:rsid w:val="00330C02"/>
    <w:rsid w:val="00330C42"/>
    <w:rsid w:val="00330C6C"/>
    <w:rsid w:val="00330CA8"/>
    <w:rsid w:val="00330CBB"/>
    <w:rsid w:val="00330CDB"/>
    <w:rsid w:val="00330D40"/>
    <w:rsid w:val="00330D78"/>
    <w:rsid w:val="00330DAF"/>
    <w:rsid w:val="00330E00"/>
    <w:rsid w:val="00330E66"/>
    <w:rsid w:val="00330E89"/>
    <w:rsid w:val="00330F15"/>
    <w:rsid w:val="00330F9D"/>
    <w:rsid w:val="0033105C"/>
    <w:rsid w:val="0033110D"/>
    <w:rsid w:val="00331192"/>
    <w:rsid w:val="003311F9"/>
    <w:rsid w:val="003312CB"/>
    <w:rsid w:val="003312D2"/>
    <w:rsid w:val="00331335"/>
    <w:rsid w:val="003313F2"/>
    <w:rsid w:val="00331423"/>
    <w:rsid w:val="00331458"/>
    <w:rsid w:val="003314A5"/>
    <w:rsid w:val="003314BE"/>
    <w:rsid w:val="003314EF"/>
    <w:rsid w:val="003315B4"/>
    <w:rsid w:val="003315BB"/>
    <w:rsid w:val="00331650"/>
    <w:rsid w:val="00331690"/>
    <w:rsid w:val="003316BA"/>
    <w:rsid w:val="003316E7"/>
    <w:rsid w:val="0033171A"/>
    <w:rsid w:val="00331755"/>
    <w:rsid w:val="00331781"/>
    <w:rsid w:val="00331787"/>
    <w:rsid w:val="00331793"/>
    <w:rsid w:val="00331800"/>
    <w:rsid w:val="00331876"/>
    <w:rsid w:val="003318F8"/>
    <w:rsid w:val="00331951"/>
    <w:rsid w:val="003319C8"/>
    <w:rsid w:val="00331A0F"/>
    <w:rsid w:val="00331A74"/>
    <w:rsid w:val="00331A75"/>
    <w:rsid w:val="00331B8D"/>
    <w:rsid w:val="00331B98"/>
    <w:rsid w:val="00331BD7"/>
    <w:rsid w:val="00331C3B"/>
    <w:rsid w:val="00331C3C"/>
    <w:rsid w:val="00331C4B"/>
    <w:rsid w:val="00331C93"/>
    <w:rsid w:val="00331CDA"/>
    <w:rsid w:val="00331D15"/>
    <w:rsid w:val="00331D56"/>
    <w:rsid w:val="00331DD2"/>
    <w:rsid w:val="00331E0B"/>
    <w:rsid w:val="00331E1C"/>
    <w:rsid w:val="00331E3C"/>
    <w:rsid w:val="00331E55"/>
    <w:rsid w:val="00331EBA"/>
    <w:rsid w:val="00331EC2"/>
    <w:rsid w:val="00331F6E"/>
    <w:rsid w:val="00331FAA"/>
    <w:rsid w:val="00331FB9"/>
    <w:rsid w:val="00331FC8"/>
    <w:rsid w:val="00331FF0"/>
    <w:rsid w:val="0033206B"/>
    <w:rsid w:val="003320B5"/>
    <w:rsid w:val="003320D8"/>
    <w:rsid w:val="00332103"/>
    <w:rsid w:val="00332177"/>
    <w:rsid w:val="003321A5"/>
    <w:rsid w:val="003321F8"/>
    <w:rsid w:val="003321F9"/>
    <w:rsid w:val="00332230"/>
    <w:rsid w:val="0033223F"/>
    <w:rsid w:val="00332261"/>
    <w:rsid w:val="003322C9"/>
    <w:rsid w:val="003322D4"/>
    <w:rsid w:val="003322DC"/>
    <w:rsid w:val="0033239C"/>
    <w:rsid w:val="0033243D"/>
    <w:rsid w:val="00332442"/>
    <w:rsid w:val="00332460"/>
    <w:rsid w:val="00332493"/>
    <w:rsid w:val="0033249A"/>
    <w:rsid w:val="003324AD"/>
    <w:rsid w:val="0033250A"/>
    <w:rsid w:val="0033269F"/>
    <w:rsid w:val="003326AD"/>
    <w:rsid w:val="00332704"/>
    <w:rsid w:val="00332784"/>
    <w:rsid w:val="0033278B"/>
    <w:rsid w:val="0033279E"/>
    <w:rsid w:val="00332802"/>
    <w:rsid w:val="003328A9"/>
    <w:rsid w:val="003328C9"/>
    <w:rsid w:val="00332957"/>
    <w:rsid w:val="00332A1B"/>
    <w:rsid w:val="00332A36"/>
    <w:rsid w:val="00332A3A"/>
    <w:rsid w:val="00332A47"/>
    <w:rsid w:val="00332A53"/>
    <w:rsid w:val="00332AAB"/>
    <w:rsid w:val="00332AEC"/>
    <w:rsid w:val="00332C48"/>
    <w:rsid w:val="00332C7A"/>
    <w:rsid w:val="00332CFC"/>
    <w:rsid w:val="00332D42"/>
    <w:rsid w:val="00332D8D"/>
    <w:rsid w:val="00332DB8"/>
    <w:rsid w:val="00332E5B"/>
    <w:rsid w:val="00332E8E"/>
    <w:rsid w:val="00332E9D"/>
    <w:rsid w:val="00332ED5"/>
    <w:rsid w:val="00332EED"/>
    <w:rsid w:val="00332F61"/>
    <w:rsid w:val="0033301D"/>
    <w:rsid w:val="003330EC"/>
    <w:rsid w:val="00333181"/>
    <w:rsid w:val="00333187"/>
    <w:rsid w:val="00333193"/>
    <w:rsid w:val="003331D3"/>
    <w:rsid w:val="003331EE"/>
    <w:rsid w:val="00333235"/>
    <w:rsid w:val="0033324A"/>
    <w:rsid w:val="00333290"/>
    <w:rsid w:val="003332CD"/>
    <w:rsid w:val="00333301"/>
    <w:rsid w:val="0033331E"/>
    <w:rsid w:val="00333347"/>
    <w:rsid w:val="0033339A"/>
    <w:rsid w:val="003333B3"/>
    <w:rsid w:val="003333D5"/>
    <w:rsid w:val="003333EC"/>
    <w:rsid w:val="0033342A"/>
    <w:rsid w:val="0033346D"/>
    <w:rsid w:val="003334A2"/>
    <w:rsid w:val="003334C1"/>
    <w:rsid w:val="0033350F"/>
    <w:rsid w:val="00333674"/>
    <w:rsid w:val="003336C9"/>
    <w:rsid w:val="0033379F"/>
    <w:rsid w:val="0033382B"/>
    <w:rsid w:val="00333839"/>
    <w:rsid w:val="00333899"/>
    <w:rsid w:val="003338DE"/>
    <w:rsid w:val="003339F9"/>
    <w:rsid w:val="00333A22"/>
    <w:rsid w:val="00333A47"/>
    <w:rsid w:val="00333A7B"/>
    <w:rsid w:val="00333AA7"/>
    <w:rsid w:val="00333B40"/>
    <w:rsid w:val="00333B7E"/>
    <w:rsid w:val="00333BFD"/>
    <w:rsid w:val="00333C76"/>
    <w:rsid w:val="00333CB7"/>
    <w:rsid w:val="00333D22"/>
    <w:rsid w:val="00333D8E"/>
    <w:rsid w:val="00333D94"/>
    <w:rsid w:val="00333DA5"/>
    <w:rsid w:val="00333E32"/>
    <w:rsid w:val="00333F35"/>
    <w:rsid w:val="00333FB6"/>
    <w:rsid w:val="00333FEB"/>
    <w:rsid w:val="00334055"/>
    <w:rsid w:val="00334143"/>
    <w:rsid w:val="0033420E"/>
    <w:rsid w:val="0033423F"/>
    <w:rsid w:val="00334263"/>
    <w:rsid w:val="003342BB"/>
    <w:rsid w:val="003342D2"/>
    <w:rsid w:val="0033437B"/>
    <w:rsid w:val="00334443"/>
    <w:rsid w:val="003344AF"/>
    <w:rsid w:val="003344C8"/>
    <w:rsid w:val="003344EE"/>
    <w:rsid w:val="00334501"/>
    <w:rsid w:val="00334549"/>
    <w:rsid w:val="0033454E"/>
    <w:rsid w:val="0033458A"/>
    <w:rsid w:val="003345E5"/>
    <w:rsid w:val="00334635"/>
    <w:rsid w:val="00334652"/>
    <w:rsid w:val="00334669"/>
    <w:rsid w:val="0033483B"/>
    <w:rsid w:val="0033488E"/>
    <w:rsid w:val="003348DF"/>
    <w:rsid w:val="00334911"/>
    <w:rsid w:val="003349B6"/>
    <w:rsid w:val="003349C4"/>
    <w:rsid w:val="00334A17"/>
    <w:rsid w:val="00334A3A"/>
    <w:rsid w:val="00334A54"/>
    <w:rsid w:val="00334B8A"/>
    <w:rsid w:val="00334B96"/>
    <w:rsid w:val="00334BD3"/>
    <w:rsid w:val="00334BD8"/>
    <w:rsid w:val="00334C27"/>
    <w:rsid w:val="00334C64"/>
    <w:rsid w:val="00334C7A"/>
    <w:rsid w:val="00334CBE"/>
    <w:rsid w:val="00334CFA"/>
    <w:rsid w:val="00334CFE"/>
    <w:rsid w:val="00334D42"/>
    <w:rsid w:val="00334EA7"/>
    <w:rsid w:val="00334EA9"/>
    <w:rsid w:val="00334ECC"/>
    <w:rsid w:val="00334FD8"/>
    <w:rsid w:val="00335051"/>
    <w:rsid w:val="0033510A"/>
    <w:rsid w:val="00335135"/>
    <w:rsid w:val="003351C4"/>
    <w:rsid w:val="003351EE"/>
    <w:rsid w:val="00335236"/>
    <w:rsid w:val="00335248"/>
    <w:rsid w:val="0033529A"/>
    <w:rsid w:val="00335376"/>
    <w:rsid w:val="00335397"/>
    <w:rsid w:val="003353F9"/>
    <w:rsid w:val="0033549E"/>
    <w:rsid w:val="00335524"/>
    <w:rsid w:val="0033562E"/>
    <w:rsid w:val="0033565D"/>
    <w:rsid w:val="003356B2"/>
    <w:rsid w:val="003356CE"/>
    <w:rsid w:val="003356CF"/>
    <w:rsid w:val="00335715"/>
    <w:rsid w:val="00335808"/>
    <w:rsid w:val="00335858"/>
    <w:rsid w:val="003358CF"/>
    <w:rsid w:val="00335931"/>
    <w:rsid w:val="0033595E"/>
    <w:rsid w:val="00335AA4"/>
    <w:rsid w:val="00335ADE"/>
    <w:rsid w:val="00335AE7"/>
    <w:rsid w:val="00335AF8"/>
    <w:rsid w:val="00335BE0"/>
    <w:rsid w:val="00335CB3"/>
    <w:rsid w:val="00335CF3"/>
    <w:rsid w:val="00335CF9"/>
    <w:rsid w:val="00335D0B"/>
    <w:rsid w:val="00335D4E"/>
    <w:rsid w:val="00335D69"/>
    <w:rsid w:val="00335D7A"/>
    <w:rsid w:val="00335DCA"/>
    <w:rsid w:val="00335E48"/>
    <w:rsid w:val="00335E8E"/>
    <w:rsid w:val="00335F3D"/>
    <w:rsid w:val="0033602F"/>
    <w:rsid w:val="00336058"/>
    <w:rsid w:val="00336075"/>
    <w:rsid w:val="003360F9"/>
    <w:rsid w:val="00336118"/>
    <w:rsid w:val="00336137"/>
    <w:rsid w:val="0033617E"/>
    <w:rsid w:val="00336181"/>
    <w:rsid w:val="003361BE"/>
    <w:rsid w:val="003361C9"/>
    <w:rsid w:val="00336207"/>
    <w:rsid w:val="00336259"/>
    <w:rsid w:val="00336282"/>
    <w:rsid w:val="003362C1"/>
    <w:rsid w:val="003362FE"/>
    <w:rsid w:val="00336314"/>
    <w:rsid w:val="0033636F"/>
    <w:rsid w:val="0033640C"/>
    <w:rsid w:val="00336418"/>
    <w:rsid w:val="00336434"/>
    <w:rsid w:val="003364CA"/>
    <w:rsid w:val="00336520"/>
    <w:rsid w:val="0033653C"/>
    <w:rsid w:val="00336549"/>
    <w:rsid w:val="0033656F"/>
    <w:rsid w:val="00336590"/>
    <w:rsid w:val="003365AB"/>
    <w:rsid w:val="003365BC"/>
    <w:rsid w:val="00336645"/>
    <w:rsid w:val="00336667"/>
    <w:rsid w:val="00336706"/>
    <w:rsid w:val="003367FA"/>
    <w:rsid w:val="003368AA"/>
    <w:rsid w:val="003368D1"/>
    <w:rsid w:val="003368E1"/>
    <w:rsid w:val="00336919"/>
    <w:rsid w:val="0033691C"/>
    <w:rsid w:val="00336924"/>
    <w:rsid w:val="00336994"/>
    <w:rsid w:val="003369B4"/>
    <w:rsid w:val="00336A08"/>
    <w:rsid w:val="00336A47"/>
    <w:rsid w:val="00336B6B"/>
    <w:rsid w:val="00336BCB"/>
    <w:rsid w:val="00336C36"/>
    <w:rsid w:val="00336C3B"/>
    <w:rsid w:val="00336CCF"/>
    <w:rsid w:val="00336D78"/>
    <w:rsid w:val="00336F74"/>
    <w:rsid w:val="00336F97"/>
    <w:rsid w:val="00336FA8"/>
    <w:rsid w:val="00336FD1"/>
    <w:rsid w:val="00336FD3"/>
    <w:rsid w:val="00337007"/>
    <w:rsid w:val="003370AC"/>
    <w:rsid w:val="003370EB"/>
    <w:rsid w:val="0033717A"/>
    <w:rsid w:val="003371C0"/>
    <w:rsid w:val="003371C6"/>
    <w:rsid w:val="003371CB"/>
    <w:rsid w:val="0033720E"/>
    <w:rsid w:val="00337214"/>
    <w:rsid w:val="00337222"/>
    <w:rsid w:val="00337283"/>
    <w:rsid w:val="003372F7"/>
    <w:rsid w:val="003372F9"/>
    <w:rsid w:val="0033733E"/>
    <w:rsid w:val="003373AD"/>
    <w:rsid w:val="00337484"/>
    <w:rsid w:val="003374B7"/>
    <w:rsid w:val="003374ED"/>
    <w:rsid w:val="00337532"/>
    <w:rsid w:val="003375AD"/>
    <w:rsid w:val="003375DF"/>
    <w:rsid w:val="0033764C"/>
    <w:rsid w:val="003376A7"/>
    <w:rsid w:val="00337707"/>
    <w:rsid w:val="0033772B"/>
    <w:rsid w:val="00337741"/>
    <w:rsid w:val="003377F2"/>
    <w:rsid w:val="00337815"/>
    <w:rsid w:val="0033789D"/>
    <w:rsid w:val="003378F3"/>
    <w:rsid w:val="0033790B"/>
    <w:rsid w:val="00337953"/>
    <w:rsid w:val="00337969"/>
    <w:rsid w:val="00337997"/>
    <w:rsid w:val="003379F7"/>
    <w:rsid w:val="003379FB"/>
    <w:rsid w:val="00337A1C"/>
    <w:rsid w:val="00337ABD"/>
    <w:rsid w:val="00337AD8"/>
    <w:rsid w:val="00337C15"/>
    <w:rsid w:val="00337C42"/>
    <w:rsid w:val="00337CB6"/>
    <w:rsid w:val="00337CCA"/>
    <w:rsid w:val="00337DC5"/>
    <w:rsid w:val="00337DF8"/>
    <w:rsid w:val="00337EA8"/>
    <w:rsid w:val="00337EAC"/>
    <w:rsid w:val="00337F07"/>
    <w:rsid w:val="00337F31"/>
    <w:rsid w:val="00337F8D"/>
    <w:rsid w:val="003400F6"/>
    <w:rsid w:val="0034012B"/>
    <w:rsid w:val="003401C1"/>
    <w:rsid w:val="00340228"/>
    <w:rsid w:val="00340243"/>
    <w:rsid w:val="00340248"/>
    <w:rsid w:val="00340299"/>
    <w:rsid w:val="0034031D"/>
    <w:rsid w:val="00340336"/>
    <w:rsid w:val="00340350"/>
    <w:rsid w:val="00340367"/>
    <w:rsid w:val="00340382"/>
    <w:rsid w:val="0034043C"/>
    <w:rsid w:val="003404C3"/>
    <w:rsid w:val="003404D3"/>
    <w:rsid w:val="00340528"/>
    <w:rsid w:val="00340545"/>
    <w:rsid w:val="0034064D"/>
    <w:rsid w:val="00340660"/>
    <w:rsid w:val="00340730"/>
    <w:rsid w:val="00340788"/>
    <w:rsid w:val="003407C8"/>
    <w:rsid w:val="00340865"/>
    <w:rsid w:val="00340882"/>
    <w:rsid w:val="003408D4"/>
    <w:rsid w:val="003408F7"/>
    <w:rsid w:val="0034093C"/>
    <w:rsid w:val="00340983"/>
    <w:rsid w:val="0034098D"/>
    <w:rsid w:val="003409F7"/>
    <w:rsid w:val="00340C04"/>
    <w:rsid w:val="00340CDA"/>
    <w:rsid w:val="00340CF0"/>
    <w:rsid w:val="00340D15"/>
    <w:rsid w:val="00340DD9"/>
    <w:rsid w:val="00340E6A"/>
    <w:rsid w:val="00340EA3"/>
    <w:rsid w:val="00340EBD"/>
    <w:rsid w:val="00340F08"/>
    <w:rsid w:val="00340F09"/>
    <w:rsid w:val="00340F4D"/>
    <w:rsid w:val="00340F56"/>
    <w:rsid w:val="00340F58"/>
    <w:rsid w:val="00340FD6"/>
    <w:rsid w:val="00341021"/>
    <w:rsid w:val="0034102B"/>
    <w:rsid w:val="00341067"/>
    <w:rsid w:val="003410A3"/>
    <w:rsid w:val="003410E7"/>
    <w:rsid w:val="00341154"/>
    <w:rsid w:val="0034119E"/>
    <w:rsid w:val="00341287"/>
    <w:rsid w:val="003412B7"/>
    <w:rsid w:val="003412E2"/>
    <w:rsid w:val="00341381"/>
    <w:rsid w:val="003413D5"/>
    <w:rsid w:val="003413E7"/>
    <w:rsid w:val="0034140B"/>
    <w:rsid w:val="0034141B"/>
    <w:rsid w:val="0034145F"/>
    <w:rsid w:val="00341559"/>
    <w:rsid w:val="00341574"/>
    <w:rsid w:val="003415B7"/>
    <w:rsid w:val="003415BC"/>
    <w:rsid w:val="00341686"/>
    <w:rsid w:val="0034168D"/>
    <w:rsid w:val="003416D6"/>
    <w:rsid w:val="00341749"/>
    <w:rsid w:val="003417AE"/>
    <w:rsid w:val="00341803"/>
    <w:rsid w:val="0034187E"/>
    <w:rsid w:val="00341893"/>
    <w:rsid w:val="0034190F"/>
    <w:rsid w:val="0034191E"/>
    <w:rsid w:val="0034194E"/>
    <w:rsid w:val="00341A72"/>
    <w:rsid w:val="00341AFC"/>
    <w:rsid w:val="00341B74"/>
    <w:rsid w:val="00341BD6"/>
    <w:rsid w:val="00341BE8"/>
    <w:rsid w:val="00341C1C"/>
    <w:rsid w:val="00341C32"/>
    <w:rsid w:val="00341C73"/>
    <w:rsid w:val="00341D09"/>
    <w:rsid w:val="00341D20"/>
    <w:rsid w:val="00341D45"/>
    <w:rsid w:val="00341D98"/>
    <w:rsid w:val="00341DCD"/>
    <w:rsid w:val="00341E1A"/>
    <w:rsid w:val="00341EAC"/>
    <w:rsid w:val="00341EDD"/>
    <w:rsid w:val="00341F06"/>
    <w:rsid w:val="00341FDC"/>
    <w:rsid w:val="0034203C"/>
    <w:rsid w:val="00342098"/>
    <w:rsid w:val="003420AF"/>
    <w:rsid w:val="003420C1"/>
    <w:rsid w:val="003420DB"/>
    <w:rsid w:val="00342111"/>
    <w:rsid w:val="0034211C"/>
    <w:rsid w:val="00342175"/>
    <w:rsid w:val="00342229"/>
    <w:rsid w:val="00342250"/>
    <w:rsid w:val="00342312"/>
    <w:rsid w:val="0034231D"/>
    <w:rsid w:val="0034234B"/>
    <w:rsid w:val="0034239F"/>
    <w:rsid w:val="003423AA"/>
    <w:rsid w:val="0034248D"/>
    <w:rsid w:val="0034249C"/>
    <w:rsid w:val="00342510"/>
    <w:rsid w:val="003425D8"/>
    <w:rsid w:val="003425FA"/>
    <w:rsid w:val="0034268B"/>
    <w:rsid w:val="003426E7"/>
    <w:rsid w:val="003427BA"/>
    <w:rsid w:val="003427F8"/>
    <w:rsid w:val="00342800"/>
    <w:rsid w:val="0034281F"/>
    <w:rsid w:val="00342826"/>
    <w:rsid w:val="0034283F"/>
    <w:rsid w:val="00342927"/>
    <w:rsid w:val="0034297D"/>
    <w:rsid w:val="00342992"/>
    <w:rsid w:val="003429F6"/>
    <w:rsid w:val="00342A5F"/>
    <w:rsid w:val="00342B4B"/>
    <w:rsid w:val="00342B6E"/>
    <w:rsid w:val="00342C78"/>
    <w:rsid w:val="00342D28"/>
    <w:rsid w:val="00342D42"/>
    <w:rsid w:val="00342D4B"/>
    <w:rsid w:val="00342D5E"/>
    <w:rsid w:val="00342DA7"/>
    <w:rsid w:val="00342DF7"/>
    <w:rsid w:val="00342E32"/>
    <w:rsid w:val="00342E48"/>
    <w:rsid w:val="00342F29"/>
    <w:rsid w:val="00342FE6"/>
    <w:rsid w:val="00343043"/>
    <w:rsid w:val="0034305D"/>
    <w:rsid w:val="0034309D"/>
    <w:rsid w:val="00343205"/>
    <w:rsid w:val="00343212"/>
    <w:rsid w:val="00343213"/>
    <w:rsid w:val="0034321E"/>
    <w:rsid w:val="0034326C"/>
    <w:rsid w:val="00343321"/>
    <w:rsid w:val="00343388"/>
    <w:rsid w:val="003433CB"/>
    <w:rsid w:val="003433FE"/>
    <w:rsid w:val="00343435"/>
    <w:rsid w:val="003434C4"/>
    <w:rsid w:val="003435B7"/>
    <w:rsid w:val="003435EF"/>
    <w:rsid w:val="00343653"/>
    <w:rsid w:val="0034369A"/>
    <w:rsid w:val="00343734"/>
    <w:rsid w:val="00343769"/>
    <w:rsid w:val="0034389B"/>
    <w:rsid w:val="00343946"/>
    <w:rsid w:val="00343A64"/>
    <w:rsid w:val="00343AF1"/>
    <w:rsid w:val="00343B49"/>
    <w:rsid w:val="00343B56"/>
    <w:rsid w:val="00343B60"/>
    <w:rsid w:val="00343B97"/>
    <w:rsid w:val="00343C56"/>
    <w:rsid w:val="00343D30"/>
    <w:rsid w:val="00343DA7"/>
    <w:rsid w:val="00343DB2"/>
    <w:rsid w:val="00343DCE"/>
    <w:rsid w:val="00343E5E"/>
    <w:rsid w:val="00343E65"/>
    <w:rsid w:val="00343EA4"/>
    <w:rsid w:val="00343EF6"/>
    <w:rsid w:val="00343F41"/>
    <w:rsid w:val="00343F49"/>
    <w:rsid w:val="00343FE1"/>
    <w:rsid w:val="003440C3"/>
    <w:rsid w:val="003440C5"/>
    <w:rsid w:val="00344104"/>
    <w:rsid w:val="00344197"/>
    <w:rsid w:val="00344264"/>
    <w:rsid w:val="00344280"/>
    <w:rsid w:val="003442B7"/>
    <w:rsid w:val="003442BE"/>
    <w:rsid w:val="00344312"/>
    <w:rsid w:val="00344322"/>
    <w:rsid w:val="00344334"/>
    <w:rsid w:val="00344345"/>
    <w:rsid w:val="003443B8"/>
    <w:rsid w:val="003443CE"/>
    <w:rsid w:val="00344403"/>
    <w:rsid w:val="00344405"/>
    <w:rsid w:val="00344413"/>
    <w:rsid w:val="003444C8"/>
    <w:rsid w:val="0034451F"/>
    <w:rsid w:val="0034452C"/>
    <w:rsid w:val="0034454D"/>
    <w:rsid w:val="0034457B"/>
    <w:rsid w:val="0034458D"/>
    <w:rsid w:val="0034459C"/>
    <w:rsid w:val="003445C3"/>
    <w:rsid w:val="003446CF"/>
    <w:rsid w:val="003446FD"/>
    <w:rsid w:val="00344769"/>
    <w:rsid w:val="00344779"/>
    <w:rsid w:val="003447B9"/>
    <w:rsid w:val="003447FF"/>
    <w:rsid w:val="003448D6"/>
    <w:rsid w:val="00344910"/>
    <w:rsid w:val="0034495F"/>
    <w:rsid w:val="00344983"/>
    <w:rsid w:val="00344992"/>
    <w:rsid w:val="00344A9B"/>
    <w:rsid w:val="00344B19"/>
    <w:rsid w:val="00344C23"/>
    <w:rsid w:val="00344C7C"/>
    <w:rsid w:val="00344C99"/>
    <w:rsid w:val="00344CCB"/>
    <w:rsid w:val="00344CD5"/>
    <w:rsid w:val="00344CD6"/>
    <w:rsid w:val="00344DD6"/>
    <w:rsid w:val="00344DF8"/>
    <w:rsid w:val="00344E64"/>
    <w:rsid w:val="00344ECF"/>
    <w:rsid w:val="00344ED1"/>
    <w:rsid w:val="00344F41"/>
    <w:rsid w:val="00344FD4"/>
    <w:rsid w:val="00345008"/>
    <w:rsid w:val="00345037"/>
    <w:rsid w:val="0034504D"/>
    <w:rsid w:val="0034506C"/>
    <w:rsid w:val="00345101"/>
    <w:rsid w:val="00345129"/>
    <w:rsid w:val="0034514C"/>
    <w:rsid w:val="0034516C"/>
    <w:rsid w:val="00345191"/>
    <w:rsid w:val="003451A8"/>
    <w:rsid w:val="00345231"/>
    <w:rsid w:val="00345256"/>
    <w:rsid w:val="00345302"/>
    <w:rsid w:val="0034531B"/>
    <w:rsid w:val="0034534A"/>
    <w:rsid w:val="00345376"/>
    <w:rsid w:val="00345396"/>
    <w:rsid w:val="0034542A"/>
    <w:rsid w:val="003454E6"/>
    <w:rsid w:val="0034551F"/>
    <w:rsid w:val="00345590"/>
    <w:rsid w:val="0034565F"/>
    <w:rsid w:val="00345761"/>
    <w:rsid w:val="003457A0"/>
    <w:rsid w:val="003457B4"/>
    <w:rsid w:val="0034581C"/>
    <w:rsid w:val="0034585E"/>
    <w:rsid w:val="003458BB"/>
    <w:rsid w:val="003458FA"/>
    <w:rsid w:val="00345966"/>
    <w:rsid w:val="0034596E"/>
    <w:rsid w:val="0034596F"/>
    <w:rsid w:val="00345976"/>
    <w:rsid w:val="003459F1"/>
    <w:rsid w:val="003459F4"/>
    <w:rsid w:val="00345A3A"/>
    <w:rsid w:val="00345A69"/>
    <w:rsid w:val="00345A6F"/>
    <w:rsid w:val="00345B3B"/>
    <w:rsid w:val="00345B5A"/>
    <w:rsid w:val="00345BD8"/>
    <w:rsid w:val="00345BF4"/>
    <w:rsid w:val="00345C2D"/>
    <w:rsid w:val="00345C75"/>
    <w:rsid w:val="00345C8A"/>
    <w:rsid w:val="00345CDE"/>
    <w:rsid w:val="00345D15"/>
    <w:rsid w:val="00345DD4"/>
    <w:rsid w:val="00345E25"/>
    <w:rsid w:val="00345E38"/>
    <w:rsid w:val="00345E42"/>
    <w:rsid w:val="00345E98"/>
    <w:rsid w:val="00345EB1"/>
    <w:rsid w:val="00345EF0"/>
    <w:rsid w:val="00345EF5"/>
    <w:rsid w:val="00345F5E"/>
    <w:rsid w:val="00345F6B"/>
    <w:rsid w:val="00345F9D"/>
    <w:rsid w:val="00346013"/>
    <w:rsid w:val="003460AC"/>
    <w:rsid w:val="003460AD"/>
    <w:rsid w:val="00346171"/>
    <w:rsid w:val="003461E5"/>
    <w:rsid w:val="0034624D"/>
    <w:rsid w:val="00346261"/>
    <w:rsid w:val="0034626E"/>
    <w:rsid w:val="0034629D"/>
    <w:rsid w:val="003462AE"/>
    <w:rsid w:val="00346315"/>
    <w:rsid w:val="0034633C"/>
    <w:rsid w:val="003463B1"/>
    <w:rsid w:val="003463D2"/>
    <w:rsid w:val="00346403"/>
    <w:rsid w:val="00346499"/>
    <w:rsid w:val="0034658D"/>
    <w:rsid w:val="0034661A"/>
    <w:rsid w:val="0034664A"/>
    <w:rsid w:val="00346695"/>
    <w:rsid w:val="003466BC"/>
    <w:rsid w:val="003467C6"/>
    <w:rsid w:val="00346906"/>
    <w:rsid w:val="0034692F"/>
    <w:rsid w:val="00346969"/>
    <w:rsid w:val="00346998"/>
    <w:rsid w:val="003469CA"/>
    <w:rsid w:val="00346A55"/>
    <w:rsid w:val="00346ADF"/>
    <w:rsid w:val="00346B70"/>
    <w:rsid w:val="00346BD1"/>
    <w:rsid w:val="00346D28"/>
    <w:rsid w:val="00346D37"/>
    <w:rsid w:val="00346DC4"/>
    <w:rsid w:val="00346EEF"/>
    <w:rsid w:val="00346F5F"/>
    <w:rsid w:val="00346F9E"/>
    <w:rsid w:val="0034701B"/>
    <w:rsid w:val="00347051"/>
    <w:rsid w:val="003470D7"/>
    <w:rsid w:val="00347143"/>
    <w:rsid w:val="00347186"/>
    <w:rsid w:val="0034718B"/>
    <w:rsid w:val="00347206"/>
    <w:rsid w:val="0034720C"/>
    <w:rsid w:val="00347216"/>
    <w:rsid w:val="00347265"/>
    <w:rsid w:val="00347281"/>
    <w:rsid w:val="003472A8"/>
    <w:rsid w:val="0034731A"/>
    <w:rsid w:val="00347363"/>
    <w:rsid w:val="00347375"/>
    <w:rsid w:val="00347393"/>
    <w:rsid w:val="00347508"/>
    <w:rsid w:val="003475DC"/>
    <w:rsid w:val="003475E9"/>
    <w:rsid w:val="00347638"/>
    <w:rsid w:val="00347720"/>
    <w:rsid w:val="00347763"/>
    <w:rsid w:val="00347767"/>
    <w:rsid w:val="00347811"/>
    <w:rsid w:val="00347820"/>
    <w:rsid w:val="00347861"/>
    <w:rsid w:val="0034789D"/>
    <w:rsid w:val="00347982"/>
    <w:rsid w:val="003479F3"/>
    <w:rsid w:val="00347AC0"/>
    <w:rsid w:val="00347B50"/>
    <w:rsid w:val="00347BB2"/>
    <w:rsid w:val="00347C54"/>
    <w:rsid w:val="00347C97"/>
    <w:rsid w:val="00347D1A"/>
    <w:rsid w:val="00347D2E"/>
    <w:rsid w:val="00347D6D"/>
    <w:rsid w:val="00347D71"/>
    <w:rsid w:val="00347D74"/>
    <w:rsid w:val="00347DFB"/>
    <w:rsid w:val="00347E3D"/>
    <w:rsid w:val="00347E51"/>
    <w:rsid w:val="00347FCB"/>
    <w:rsid w:val="0035001B"/>
    <w:rsid w:val="00350045"/>
    <w:rsid w:val="00350048"/>
    <w:rsid w:val="0035004C"/>
    <w:rsid w:val="00350079"/>
    <w:rsid w:val="003500B4"/>
    <w:rsid w:val="003500EF"/>
    <w:rsid w:val="0035019A"/>
    <w:rsid w:val="003501EE"/>
    <w:rsid w:val="0035021F"/>
    <w:rsid w:val="003502D9"/>
    <w:rsid w:val="00350302"/>
    <w:rsid w:val="0035042E"/>
    <w:rsid w:val="00350454"/>
    <w:rsid w:val="003504C1"/>
    <w:rsid w:val="00350514"/>
    <w:rsid w:val="0035052D"/>
    <w:rsid w:val="003505A4"/>
    <w:rsid w:val="00350616"/>
    <w:rsid w:val="0035063E"/>
    <w:rsid w:val="0035066F"/>
    <w:rsid w:val="00350763"/>
    <w:rsid w:val="00350769"/>
    <w:rsid w:val="00350787"/>
    <w:rsid w:val="003507CC"/>
    <w:rsid w:val="00350810"/>
    <w:rsid w:val="00350826"/>
    <w:rsid w:val="00350859"/>
    <w:rsid w:val="00350881"/>
    <w:rsid w:val="003508B2"/>
    <w:rsid w:val="003508EF"/>
    <w:rsid w:val="003508F2"/>
    <w:rsid w:val="0035093B"/>
    <w:rsid w:val="00350968"/>
    <w:rsid w:val="00350A0C"/>
    <w:rsid w:val="00350A16"/>
    <w:rsid w:val="00350A38"/>
    <w:rsid w:val="00350A9D"/>
    <w:rsid w:val="00350AC1"/>
    <w:rsid w:val="00350BAD"/>
    <w:rsid w:val="00350C1B"/>
    <w:rsid w:val="00350C5A"/>
    <w:rsid w:val="00350C68"/>
    <w:rsid w:val="00350CD9"/>
    <w:rsid w:val="00350CF6"/>
    <w:rsid w:val="00350D71"/>
    <w:rsid w:val="00350D82"/>
    <w:rsid w:val="00350DDD"/>
    <w:rsid w:val="00350EB1"/>
    <w:rsid w:val="00350EC6"/>
    <w:rsid w:val="00350F6C"/>
    <w:rsid w:val="00350F88"/>
    <w:rsid w:val="00350F9A"/>
    <w:rsid w:val="00350FD1"/>
    <w:rsid w:val="00350FFE"/>
    <w:rsid w:val="00351045"/>
    <w:rsid w:val="00351092"/>
    <w:rsid w:val="00351096"/>
    <w:rsid w:val="003510B5"/>
    <w:rsid w:val="00351121"/>
    <w:rsid w:val="00351122"/>
    <w:rsid w:val="0035119A"/>
    <w:rsid w:val="003511B9"/>
    <w:rsid w:val="003511F1"/>
    <w:rsid w:val="0035126F"/>
    <w:rsid w:val="00351271"/>
    <w:rsid w:val="00351283"/>
    <w:rsid w:val="00351339"/>
    <w:rsid w:val="0035133A"/>
    <w:rsid w:val="0035142A"/>
    <w:rsid w:val="00351435"/>
    <w:rsid w:val="0035146F"/>
    <w:rsid w:val="00351486"/>
    <w:rsid w:val="00351500"/>
    <w:rsid w:val="00351517"/>
    <w:rsid w:val="00351527"/>
    <w:rsid w:val="0035155E"/>
    <w:rsid w:val="0035155F"/>
    <w:rsid w:val="0035162D"/>
    <w:rsid w:val="0035163D"/>
    <w:rsid w:val="00351678"/>
    <w:rsid w:val="003516A7"/>
    <w:rsid w:val="00351765"/>
    <w:rsid w:val="0035176C"/>
    <w:rsid w:val="003517D9"/>
    <w:rsid w:val="00351843"/>
    <w:rsid w:val="003518B1"/>
    <w:rsid w:val="003518E9"/>
    <w:rsid w:val="00351967"/>
    <w:rsid w:val="003519B5"/>
    <w:rsid w:val="00351A0C"/>
    <w:rsid w:val="00351A62"/>
    <w:rsid w:val="00351AC6"/>
    <w:rsid w:val="00351ACF"/>
    <w:rsid w:val="00351B1F"/>
    <w:rsid w:val="00351B68"/>
    <w:rsid w:val="00351CAD"/>
    <w:rsid w:val="00351D78"/>
    <w:rsid w:val="00351D7C"/>
    <w:rsid w:val="00351D85"/>
    <w:rsid w:val="00351DC5"/>
    <w:rsid w:val="00351E00"/>
    <w:rsid w:val="00351E25"/>
    <w:rsid w:val="00351E80"/>
    <w:rsid w:val="00351EB5"/>
    <w:rsid w:val="00351ED5"/>
    <w:rsid w:val="00351F04"/>
    <w:rsid w:val="00351FF8"/>
    <w:rsid w:val="003520C6"/>
    <w:rsid w:val="003520EC"/>
    <w:rsid w:val="0035213E"/>
    <w:rsid w:val="0035217D"/>
    <w:rsid w:val="003521F5"/>
    <w:rsid w:val="00352208"/>
    <w:rsid w:val="0035224B"/>
    <w:rsid w:val="0035224F"/>
    <w:rsid w:val="003522C7"/>
    <w:rsid w:val="003522F7"/>
    <w:rsid w:val="0035239F"/>
    <w:rsid w:val="0035245C"/>
    <w:rsid w:val="00352507"/>
    <w:rsid w:val="0035257F"/>
    <w:rsid w:val="00352582"/>
    <w:rsid w:val="00352612"/>
    <w:rsid w:val="0035262E"/>
    <w:rsid w:val="00352662"/>
    <w:rsid w:val="003526D4"/>
    <w:rsid w:val="0035270F"/>
    <w:rsid w:val="003527C7"/>
    <w:rsid w:val="0035286E"/>
    <w:rsid w:val="003528B6"/>
    <w:rsid w:val="003528B7"/>
    <w:rsid w:val="00352902"/>
    <w:rsid w:val="003529D1"/>
    <w:rsid w:val="00352B3F"/>
    <w:rsid w:val="00352BC3"/>
    <w:rsid w:val="00352C39"/>
    <w:rsid w:val="00352CE1"/>
    <w:rsid w:val="00352CEA"/>
    <w:rsid w:val="00352D24"/>
    <w:rsid w:val="00352D74"/>
    <w:rsid w:val="00352D91"/>
    <w:rsid w:val="00352D95"/>
    <w:rsid w:val="00352DBF"/>
    <w:rsid w:val="00352E94"/>
    <w:rsid w:val="00352F19"/>
    <w:rsid w:val="00352F24"/>
    <w:rsid w:val="00352F7F"/>
    <w:rsid w:val="00352F8A"/>
    <w:rsid w:val="00353000"/>
    <w:rsid w:val="0035305C"/>
    <w:rsid w:val="0035308A"/>
    <w:rsid w:val="0035321D"/>
    <w:rsid w:val="003532D8"/>
    <w:rsid w:val="00353309"/>
    <w:rsid w:val="0035331A"/>
    <w:rsid w:val="0035332F"/>
    <w:rsid w:val="00353399"/>
    <w:rsid w:val="003533DD"/>
    <w:rsid w:val="00353417"/>
    <w:rsid w:val="00353487"/>
    <w:rsid w:val="003534BA"/>
    <w:rsid w:val="0035355A"/>
    <w:rsid w:val="00353594"/>
    <w:rsid w:val="003535F5"/>
    <w:rsid w:val="0035361C"/>
    <w:rsid w:val="00353708"/>
    <w:rsid w:val="0035373B"/>
    <w:rsid w:val="00353764"/>
    <w:rsid w:val="003537F0"/>
    <w:rsid w:val="003537F7"/>
    <w:rsid w:val="0035380D"/>
    <w:rsid w:val="0035381D"/>
    <w:rsid w:val="003538E5"/>
    <w:rsid w:val="0035395D"/>
    <w:rsid w:val="003539BD"/>
    <w:rsid w:val="003539F4"/>
    <w:rsid w:val="00353AF7"/>
    <w:rsid w:val="00353B05"/>
    <w:rsid w:val="00353B39"/>
    <w:rsid w:val="00353BA4"/>
    <w:rsid w:val="00353BAC"/>
    <w:rsid w:val="00353BFB"/>
    <w:rsid w:val="00353C2E"/>
    <w:rsid w:val="00353C5C"/>
    <w:rsid w:val="00353C6B"/>
    <w:rsid w:val="00353C72"/>
    <w:rsid w:val="00353C77"/>
    <w:rsid w:val="00353C9A"/>
    <w:rsid w:val="00353CDE"/>
    <w:rsid w:val="00353D3A"/>
    <w:rsid w:val="00353D45"/>
    <w:rsid w:val="00353D4E"/>
    <w:rsid w:val="00353E0B"/>
    <w:rsid w:val="00353F30"/>
    <w:rsid w:val="00353FA0"/>
    <w:rsid w:val="00353FA2"/>
    <w:rsid w:val="00353FB7"/>
    <w:rsid w:val="00353FED"/>
    <w:rsid w:val="00354008"/>
    <w:rsid w:val="00354015"/>
    <w:rsid w:val="00354016"/>
    <w:rsid w:val="0035402B"/>
    <w:rsid w:val="00354085"/>
    <w:rsid w:val="00354115"/>
    <w:rsid w:val="00354238"/>
    <w:rsid w:val="00354266"/>
    <w:rsid w:val="003542D2"/>
    <w:rsid w:val="00354365"/>
    <w:rsid w:val="00354375"/>
    <w:rsid w:val="0035437D"/>
    <w:rsid w:val="003544BA"/>
    <w:rsid w:val="00354528"/>
    <w:rsid w:val="00354529"/>
    <w:rsid w:val="00354534"/>
    <w:rsid w:val="0035455D"/>
    <w:rsid w:val="00354622"/>
    <w:rsid w:val="003546AC"/>
    <w:rsid w:val="003546B4"/>
    <w:rsid w:val="003546DD"/>
    <w:rsid w:val="003547CA"/>
    <w:rsid w:val="003547DE"/>
    <w:rsid w:val="003547E3"/>
    <w:rsid w:val="00354838"/>
    <w:rsid w:val="00354864"/>
    <w:rsid w:val="00354879"/>
    <w:rsid w:val="0035488E"/>
    <w:rsid w:val="00354987"/>
    <w:rsid w:val="0035498D"/>
    <w:rsid w:val="003549AE"/>
    <w:rsid w:val="00354A47"/>
    <w:rsid w:val="00354A68"/>
    <w:rsid w:val="00354B32"/>
    <w:rsid w:val="00354C2C"/>
    <w:rsid w:val="00354C79"/>
    <w:rsid w:val="00354C88"/>
    <w:rsid w:val="00354D27"/>
    <w:rsid w:val="00354D42"/>
    <w:rsid w:val="00354D9D"/>
    <w:rsid w:val="00354DD7"/>
    <w:rsid w:val="00354E5D"/>
    <w:rsid w:val="00354FBB"/>
    <w:rsid w:val="00355003"/>
    <w:rsid w:val="0035500B"/>
    <w:rsid w:val="00355015"/>
    <w:rsid w:val="00355054"/>
    <w:rsid w:val="003550A0"/>
    <w:rsid w:val="003550D0"/>
    <w:rsid w:val="00355102"/>
    <w:rsid w:val="00355105"/>
    <w:rsid w:val="003551C4"/>
    <w:rsid w:val="003551D9"/>
    <w:rsid w:val="00355216"/>
    <w:rsid w:val="0035521D"/>
    <w:rsid w:val="0035522C"/>
    <w:rsid w:val="00355248"/>
    <w:rsid w:val="0035525F"/>
    <w:rsid w:val="003552C8"/>
    <w:rsid w:val="00355385"/>
    <w:rsid w:val="003553D3"/>
    <w:rsid w:val="0035542F"/>
    <w:rsid w:val="00355464"/>
    <w:rsid w:val="003554AA"/>
    <w:rsid w:val="0035553C"/>
    <w:rsid w:val="00355588"/>
    <w:rsid w:val="003555D3"/>
    <w:rsid w:val="00355686"/>
    <w:rsid w:val="00355752"/>
    <w:rsid w:val="003557E0"/>
    <w:rsid w:val="0035588D"/>
    <w:rsid w:val="003558AF"/>
    <w:rsid w:val="0035594E"/>
    <w:rsid w:val="00355962"/>
    <w:rsid w:val="00355965"/>
    <w:rsid w:val="003559F9"/>
    <w:rsid w:val="00355A08"/>
    <w:rsid w:val="00355A2D"/>
    <w:rsid w:val="00355AE8"/>
    <w:rsid w:val="00355B3E"/>
    <w:rsid w:val="00355B54"/>
    <w:rsid w:val="00355D18"/>
    <w:rsid w:val="00355F2F"/>
    <w:rsid w:val="00355F3F"/>
    <w:rsid w:val="00355F6A"/>
    <w:rsid w:val="00355FDD"/>
    <w:rsid w:val="00355FE8"/>
    <w:rsid w:val="00356028"/>
    <w:rsid w:val="00356085"/>
    <w:rsid w:val="003560C0"/>
    <w:rsid w:val="0035617A"/>
    <w:rsid w:val="003561F4"/>
    <w:rsid w:val="003561FD"/>
    <w:rsid w:val="0035620B"/>
    <w:rsid w:val="00356210"/>
    <w:rsid w:val="003562E4"/>
    <w:rsid w:val="00356301"/>
    <w:rsid w:val="0035632D"/>
    <w:rsid w:val="0035640D"/>
    <w:rsid w:val="00356416"/>
    <w:rsid w:val="00356444"/>
    <w:rsid w:val="0035647A"/>
    <w:rsid w:val="0035647E"/>
    <w:rsid w:val="003564DF"/>
    <w:rsid w:val="003564E6"/>
    <w:rsid w:val="0035656F"/>
    <w:rsid w:val="003565B9"/>
    <w:rsid w:val="003565F0"/>
    <w:rsid w:val="00356628"/>
    <w:rsid w:val="0035671E"/>
    <w:rsid w:val="00356735"/>
    <w:rsid w:val="00356796"/>
    <w:rsid w:val="003567A5"/>
    <w:rsid w:val="003567CE"/>
    <w:rsid w:val="003567DE"/>
    <w:rsid w:val="003567FF"/>
    <w:rsid w:val="00356822"/>
    <w:rsid w:val="0035686E"/>
    <w:rsid w:val="00356870"/>
    <w:rsid w:val="00356918"/>
    <w:rsid w:val="00356953"/>
    <w:rsid w:val="003569AB"/>
    <w:rsid w:val="003569FD"/>
    <w:rsid w:val="00356A54"/>
    <w:rsid w:val="00356A5A"/>
    <w:rsid w:val="00356B6A"/>
    <w:rsid w:val="00356B8A"/>
    <w:rsid w:val="00356BBA"/>
    <w:rsid w:val="00356BC0"/>
    <w:rsid w:val="00356C44"/>
    <w:rsid w:val="00356C49"/>
    <w:rsid w:val="00356C75"/>
    <w:rsid w:val="00356CAC"/>
    <w:rsid w:val="00356CD0"/>
    <w:rsid w:val="00356CEC"/>
    <w:rsid w:val="00356D3D"/>
    <w:rsid w:val="00356D43"/>
    <w:rsid w:val="00356E34"/>
    <w:rsid w:val="00356E3C"/>
    <w:rsid w:val="00356E57"/>
    <w:rsid w:val="00356EA2"/>
    <w:rsid w:val="00356EC2"/>
    <w:rsid w:val="00356EF0"/>
    <w:rsid w:val="00356EFB"/>
    <w:rsid w:val="00357052"/>
    <w:rsid w:val="00357097"/>
    <w:rsid w:val="00357098"/>
    <w:rsid w:val="003570DC"/>
    <w:rsid w:val="003570E8"/>
    <w:rsid w:val="003570ED"/>
    <w:rsid w:val="00357106"/>
    <w:rsid w:val="00357117"/>
    <w:rsid w:val="00357129"/>
    <w:rsid w:val="00357136"/>
    <w:rsid w:val="00357146"/>
    <w:rsid w:val="003571B7"/>
    <w:rsid w:val="003572B0"/>
    <w:rsid w:val="0035730D"/>
    <w:rsid w:val="0035732A"/>
    <w:rsid w:val="00357339"/>
    <w:rsid w:val="00357350"/>
    <w:rsid w:val="0035737E"/>
    <w:rsid w:val="003573DD"/>
    <w:rsid w:val="00357429"/>
    <w:rsid w:val="00357467"/>
    <w:rsid w:val="003574B6"/>
    <w:rsid w:val="003574C9"/>
    <w:rsid w:val="0035751C"/>
    <w:rsid w:val="00357530"/>
    <w:rsid w:val="00357564"/>
    <w:rsid w:val="00357571"/>
    <w:rsid w:val="00357582"/>
    <w:rsid w:val="00357590"/>
    <w:rsid w:val="003575C5"/>
    <w:rsid w:val="00357626"/>
    <w:rsid w:val="0035765C"/>
    <w:rsid w:val="00357665"/>
    <w:rsid w:val="003576BC"/>
    <w:rsid w:val="003577EB"/>
    <w:rsid w:val="00357844"/>
    <w:rsid w:val="00357859"/>
    <w:rsid w:val="00357878"/>
    <w:rsid w:val="00357895"/>
    <w:rsid w:val="0035796D"/>
    <w:rsid w:val="0035799A"/>
    <w:rsid w:val="0035799C"/>
    <w:rsid w:val="003579BA"/>
    <w:rsid w:val="00357A2C"/>
    <w:rsid w:val="00357A41"/>
    <w:rsid w:val="00357A60"/>
    <w:rsid w:val="00357B77"/>
    <w:rsid w:val="00357BC6"/>
    <w:rsid w:val="00357C3A"/>
    <w:rsid w:val="00357CDF"/>
    <w:rsid w:val="00357D00"/>
    <w:rsid w:val="00357D23"/>
    <w:rsid w:val="00357DAA"/>
    <w:rsid w:val="00357DCF"/>
    <w:rsid w:val="00357F93"/>
    <w:rsid w:val="00357F99"/>
    <w:rsid w:val="00357FA9"/>
    <w:rsid w:val="0036004C"/>
    <w:rsid w:val="00360109"/>
    <w:rsid w:val="00360262"/>
    <w:rsid w:val="0036027D"/>
    <w:rsid w:val="003602AC"/>
    <w:rsid w:val="003602EC"/>
    <w:rsid w:val="0036031E"/>
    <w:rsid w:val="0036034E"/>
    <w:rsid w:val="00360361"/>
    <w:rsid w:val="0036036C"/>
    <w:rsid w:val="00360382"/>
    <w:rsid w:val="00360409"/>
    <w:rsid w:val="00360439"/>
    <w:rsid w:val="00360446"/>
    <w:rsid w:val="00360460"/>
    <w:rsid w:val="0036047D"/>
    <w:rsid w:val="00360490"/>
    <w:rsid w:val="003604B2"/>
    <w:rsid w:val="00360583"/>
    <w:rsid w:val="003605A3"/>
    <w:rsid w:val="003606BA"/>
    <w:rsid w:val="0036070A"/>
    <w:rsid w:val="003607FD"/>
    <w:rsid w:val="0036080B"/>
    <w:rsid w:val="00360871"/>
    <w:rsid w:val="00360886"/>
    <w:rsid w:val="003608F9"/>
    <w:rsid w:val="00360985"/>
    <w:rsid w:val="00360A21"/>
    <w:rsid w:val="00360A66"/>
    <w:rsid w:val="00360AC0"/>
    <w:rsid w:val="00360B07"/>
    <w:rsid w:val="00360B3A"/>
    <w:rsid w:val="00360BB9"/>
    <w:rsid w:val="00360C0D"/>
    <w:rsid w:val="00360C43"/>
    <w:rsid w:val="00360C53"/>
    <w:rsid w:val="00360C68"/>
    <w:rsid w:val="00360CA0"/>
    <w:rsid w:val="00360D32"/>
    <w:rsid w:val="00360D8B"/>
    <w:rsid w:val="00360DFB"/>
    <w:rsid w:val="00360E20"/>
    <w:rsid w:val="00360E28"/>
    <w:rsid w:val="00360E42"/>
    <w:rsid w:val="00360E4F"/>
    <w:rsid w:val="00360E8C"/>
    <w:rsid w:val="00360F03"/>
    <w:rsid w:val="00360F0A"/>
    <w:rsid w:val="00360F43"/>
    <w:rsid w:val="00360FE4"/>
    <w:rsid w:val="0036100F"/>
    <w:rsid w:val="00361075"/>
    <w:rsid w:val="003610BA"/>
    <w:rsid w:val="0036114E"/>
    <w:rsid w:val="0036119B"/>
    <w:rsid w:val="003611F9"/>
    <w:rsid w:val="0036120B"/>
    <w:rsid w:val="00361277"/>
    <w:rsid w:val="003612D0"/>
    <w:rsid w:val="00361341"/>
    <w:rsid w:val="00361349"/>
    <w:rsid w:val="00361369"/>
    <w:rsid w:val="003613CC"/>
    <w:rsid w:val="003613FA"/>
    <w:rsid w:val="00361447"/>
    <w:rsid w:val="003614EE"/>
    <w:rsid w:val="003615AB"/>
    <w:rsid w:val="003615DB"/>
    <w:rsid w:val="0036161A"/>
    <w:rsid w:val="00361634"/>
    <w:rsid w:val="00361647"/>
    <w:rsid w:val="003616E1"/>
    <w:rsid w:val="0036170B"/>
    <w:rsid w:val="0036170E"/>
    <w:rsid w:val="0036174B"/>
    <w:rsid w:val="00361767"/>
    <w:rsid w:val="003618FC"/>
    <w:rsid w:val="0036190B"/>
    <w:rsid w:val="00361950"/>
    <w:rsid w:val="003619DD"/>
    <w:rsid w:val="003619E4"/>
    <w:rsid w:val="00361A2F"/>
    <w:rsid w:val="00361A57"/>
    <w:rsid w:val="00361A72"/>
    <w:rsid w:val="00361ADC"/>
    <w:rsid w:val="00361BE4"/>
    <w:rsid w:val="00361C26"/>
    <w:rsid w:val="00361C48"/>
    <w:rsid w:val="00361CBC"/>
    <w:rsid w:val="00361D99"/>
    <w:rsid w:val="00361D9F"/>
    <w:rsid w:val="00361E12"/>
    <w:rsid w:val="00361E1B"/>
    <w:rsid w:val="00361E1C"/>
    <w:rsid w:val="00361EB4"/>
    <w:rsid w:val="00361F32"/>
    <w:rsid w:val="00361F36"/>
    <w:rsid w:val="00361F42"/>
    <w:rsid w:val="00361F45"/>
    <w:rsid w:val="00361FC7"/>
    <w:rsid w:val="00362020"/>
    <w:rsid w:val="00362171"/>
    <w:rsid w:val="003622A7"/>
    <w:rsid w:val="003622E0"/>
    <w:rsid w:val="0036232F"/>
    <w:rsid w:val="003623BB"/>
    <w:rsid w:val="003624BD"/>
    <w:rsid w:val="003624CC"/>
    <w:rsid w:val="00362518"/>
    <w:rsid w:val="00362529"/>
    <w:rsid w:val="0036254A"/>
    <w:rsid w:val="003625B4"/>
    <w:rsid w:val="003625C3"/>
    <w:rsid w:val="003625EB"/>
    <w:rsid w:val="00362618"/>
    <w:rsid w:val="00362637"/>
    <w:rsid w:val="00362645"/>
    <w:rsid w:val="003627F2"/>
    <w:rsid w:val="00362856"/>
    <w:rsid w:val="00362934"/>
    <w:rsid w:val="0036295E"/>
    <w:rsid w:val="00362A46"/>
    <w:rsid w:val="00362AE1"/>
    <w:rsid w:val="00362AEB"/>
    <w:rsid w:val="00362BE4"/>
    <w:rsid w:val="00362C48"/>
    <w:rsid w:val="00362C86"/>
    <w:rsid w:val="00362CB5"/>
    <w:rsid w:val="00362D01"/>
    <w:rsid w:val="00362D0E"/>
    <w:rsid w:val="00362D64"/>
    <w:rsid w:val="00362D76"/>
    <w:rsid w:val="00362EB1"/>
    <w:rsid w:val="00362F4C"/>
    <w:rsid w:val="00362F73"/>
    <w:rsid w:val="00362FA2"/>
    <w:rsid w:val="00362FC2"/>
    <w:rsid w:val="00362FCE"/>
    <w:rsid w:val="00362FF2"/>
    <w:rsid w:val="0036300A"/>
    <w:rsid w:val="0036301B"/>
    <w:rsid w:val="0036303B"/>
    <w:rsid w:val="0036304F"/>
    <w:rsid w:val="00363065"/>
    <w:rsid w:val="00363080"/>
    <w:rsid w:val="003630B1"/>
    <w:rsid w:val="0036322D"/>
    <w:rsid w:val="00363261"/>
    <w:rsid w:val="00363384"/>
    <w:rsid w:val="00363401"/>
    <w:rsid w:val="00363403"/>
    <w:rsid w:val="00363419"/>
    <w:rsid w:val="0036348E"/>
    <w:rsid w:val="00363539"/>
    <w:rsid w:val="0036353C"/>
    <w:rsid w:val="00363560"/>
    <w:rsid w:val="0036358F"/>
    <w:rsid w:val="003635B0"/>
    <w:rsid w:val="003635FF"/>
    <w:rsid w:val="0036364F"/>
    <w:rsid w:val="0036365E"/>
    <w:rsid w:val="00363664"/>
    <w:rsid w:val="0036370E"/>
    <w:rsid w:val="00363718"/>
    <w:rsid w:val="00363737"/>
    <w:rsid w:val="0036387D"/>
    <w:rsid w:val="003639EF"/>
    <w:rsid w:val="00363AF6"/>
    <w:rsid w:val="00363B33"/>
    <w:rsid w:val="00363B36"/>
    <w:rsid w:val="00363B4A"/>
    <w:rsid w:val="00363C3D"/>
    <w:rsid w:val="00363C56"/>
    <w:rsid w:val="00363D45"/>
    <w:rsid w:val="00363E04"/>
    <w:rsid w:val="00363E09"/>
    <w:rsid w:val="00363E6A"/>
    <w:rsid w:val="00363F0C"/>
    <w:rsid w:val="00363F30"/>
    <w:rsid w:val="00363FDC"/>
    <w:rsid w:val="00363FEA"/>
    <w:rsid w:val="0036401C"/>
    <w:rsid w:val="00364024"/>
    <w:rsid w:val="003641A4"/>
    <w:rsid w:val="003641FA"/>
    <w:rsid w:val="00364227"/>
    <w:rsid w:val="0036422A"/>
    <w:rsid w:val="00364234"/>
    <w:rsid w:val="0036424B"/>
    <w:rsid w:val="00364253"/>
    <w:rsid w:val="00364265"/>
    <w:rsid w:val="00364267"/>
    <w:rsid w:val="00364280"/>
    <w:rsid w:val="003642B3"/>
    <w:rsid w:val="003642F8"/>
    <w:rsid w:val="003643B5"/>
    <w:rsid w:val="00364426"/>
    <w:rsid w:val="0036447D"/>
    <w:rsid w:val="003644C0"/>
    <w:rsid w:val="003644C7"/>
    <w:rsid w:val="0036454D"/>
    <w:rsid w:val="003645B6"/>
    <w:rsid w:val="00364648"/>
    <w:rsid w:val="00364721"/>
    <w:rsid w:val="003647BC"/>
    <w:rsid w:val="00364847"/>
    <w:rsid w:val="00364871"/>
    <w:rsid w:val="00364879"/>
    <w:rsid w:val="00364896"/>
    <w:rsid w:val="003648BD"/>
    <w:rsid w:val="00364912"/>
    <w:rsid w:val="0036493E"/>
    <w:rsid w:val="003649E7"/>
    <w:rsid w:val="003649FD"/>
    <w:rsid w:val="00364A80"/>
    <w:rsid w:val="00364AFD"/>
    <w:rsid w:val="00364B70"/>
    <w:rsid w:val="00364B82"/>
    <w:rsid w:val="00364C3B"/>
    <w:rsid w:val="00364C53"/>
    <w:rsid w:val="00364C5E"/>
    <w:rsid w:val="00364C65"/>
    <w:rsid w:val="00364C7E"/>
    <w:rsid w:val="00364D14"/>
    <w:rsid w:val="00364D83"/>
    <w:rsid w:val="00364D91"/>
    <w:rsid w:val="00364DCC"/>
    <w:rsid w:val="00364DE1"/>
    <w:rsid w:val="00364DEE"/>
    <w:rsid w:val="00364E19"/>
    <w:rsid w:val="00364E67"/>
    <w:rsid w:val="00364E8B"/>
    <w:rsid w:val="00364EAA"/>
    <w:rsid w:val="00364ED2"/>
    <w:rsid w:val="00364EDB"/>
    <w:rsid w:val="00364EFE"/>
    <w:rsid w:val="00364F5D"/>
    <w:rsid w:val="00364FF8"/>
    <w:rsid w:val="0036506C"/>
    <w:rsid w:val="00365103"/>
    <w:rsid w:val="0036512D"/>
    <w:rsid w:val="003651FE"/>
    <w:rsid w:val="0036523E"/>
    <w:rsid w:val="00365254"/>
    <w:rsid w:val="003652BB"/>
    <w:rsid w:val="00365381"/>
    <w:rsid w:val="00365384"/>
    <w:rsid w:val="00365392"/>
    <w:rsid w:val="00365397"/>
    <w:rsid w:val="003653E0"/>
    <w:rsid w:val="00365457"/>
    <w:rsid w:val="00365561"/>
    <w:rsid w:val="00365579"/>
    <w:rsid w:val="003655E9"/>
    <w:rsid w:val="0036561D"/>
    <w:rsid w:val="00365623"/>
    <w:rsid w:val="0036562D"/>
    <w:rsid w:val="00365651"/>
    <w:rsid w:val="0036565E"/>
    <w:rsid w:val="003656D5"/>
    <w:rsid w:val="0036572A"/>
    <w:rsid w:val="003657B4"/>
    <w:rsid w:val="00365853"/>
    <w:rsid w:val="00365917"/>
    <w:rsid w:val="0036593A"/>
    <w:rsid w:val="0036593E"/>
    <w:rsid w:val="00365B10"/>
    <w:rsid w:val="00365B6F"/>
    <w:rsid w:val="00365BCC"/>
    <w:rsid w:val="00365C79"/>
    <w:rsid w:val="00365CAF"/>
    <w:rsid w:val="00365CF4"/>
    <w:rsid w:val="00365D2E"/>
    <w:rsid w:val="00365D5F"/>
    <w:rsid w:val="00365D63"/>
    <w:rsid w:val="00365D6E"/>
    <w:rsid w:val="00365DBB"/>
    <w:rsid w:val="00365DCF"/>
    <w:rsid w:val="00365E72"/>
    <w:rsid w:val="00365EC6"/>
    <w:rsid w:val="00366005"/>
    <w:rsid w:val="003660AF"/>
    <w:rsid w:val="003660B3"/>
    <w:rsid w:val="0036616E"/>
    <w:rsid w:val="0036619B"/>
    <w:rsid w:val="0036628B"/>
    <w:rsid w:val="00366308"/>
    <w:rsid w:val="00366325"/>
    <w:rsid w:val="00366336"/>
    <w:rsid w:val="0036634A"/>
    <w:rsid w:val="0036636F"/>
    <w:rsid w:val="00366375"/>
    <w:rsid w:val="0036638A"/>
    <w:rsid w:val="003663A4"/>
    <w:rsid w:val="003663F2"/>
    <w:rsid w:val="00366448"/>
    <w:rsid w:val="003664CE"/>
    <w:rsid w:val="003664F1"/>
    <w:rsid w:val="00366555"/>
    <w:rsid w:val="003665E1"/>
    <w:rsid w:val="00366605"/>
    <w:rsid w:val="00366668"/>
    <w:rsid w:val="0036666A"/>
    <w:rsid w:val="00366850"/>
    <w:rsid w:val="0036686C"/>
    <w:rsid w:val="00366886"/>
    <w:rsid w:val="003668D7"/>
    <w:rsid w:val="0036698E"/>
    <w:rsid w:val="003669BA"/>
    <w:rsid w:val="003669EE"/>
    <w:rsid w:val="00366A19"/>
    <w:rsid w:val="00366AAF"/>
    <w:rsid w:val="00366B4F"/>
    <w:rsid w:val="00366B61"/>
    <w:rsid w:val="00366BA4"/>
    <w:rsid w:val="00366CAA"/>
    <w:rsid w:val="00366D0F"/>
    <w:rsid w:val="00366D4A"/>
    <w:rsid w:val="00366DE8"/>
    <w:rsid w:val="00366F79"/>
    <w:rsid w:val="00366FAA"/>
    <w:rsid w:val="00366FB4"/>
    <w:rsid w:val="00366FBD"/>
    <w:rsid w:val="00366FD9"/>
    <w:rsid w:val="0036700B"/>
    <w:rsid w:val="0036701C"/>
    <w:rsid w:val="0036709C"/>
    <w:rsid w:val="00367275"/>
    <w:rsid w:val="003672CE"/>
    <w:rsid w:val="003672E4"/>
    <w:rsid w:val="003673D1"/>
    <w:rsid w:val="003673E9"/>
    <w:rsid w:val="003673FA"/>
    <w:rsid w:val="00367425"/>
    <w:rsid w:val="00367437"/>
    <w:rsid w:val="0036751D"/>
    <w:rsid w:val="00367557"/>
    <w:rsid w:val="0036756C"/>
    <w:rsid w:val="003675AB"/>
    <w:rsid w:val="00367615"/>
    <w:rsid w:val="0036761D"/>
    <w:rsid w:val="003676C5"/>
    <w:rsid w:val="0036772C"/>
    <w:rsid w:val="0036774C"/>
    <w:rsid w:val="003677A0"/>
    <w:rsid w:val="00367804"/>
    <w:rsid w:val="00367869"/>
    <w:rsid w:val="00367912"/>
    <w:rsid w:val="00367A31"/>
    <w:rsid w:val="00367B35"/>
    <w:rsid w:val="00367C49"/>
    <w:rsid w:val="00367CA5"/>
    <w:rsid w:val="00367D64"/>
    <w:rsid w:val="00367E47"/>
    <w:rsid w:val="00367E6A"/>
    <w:rsid w:val="00367EE4"/>
    <w:rsid w:val="00367EEA"/>
    <w:rsid w:val="00367F00"/>
    <w:rsid w:val="00367FAA"/>
    <w:rsid w:val="00370000"/>
    <w:rsid w:val="00370006"/>
    <w:rsid w:val="0037000E"/>
    <w:rsid w:val="00370060"/>
    <w:rsid w:val="00370231"/>
    <w:rsid w:val="00370331"/>
    <w:rsid w:val="0037034E"/>
    <w:rsid w:val="00370351"/>
    <w:rsid w:val="00370374"/>
    <w:rsid w:val="003703A4"/>
    <w:rsid w:val="003703C1"/>
    <w:rsid w:val="003703CF"/>
    <w:rsid w:val="003704BB"/>
    <w:rsid w:val="00370626"/>
    <w:rsid w:val="0037063E"/>
    <w:rsid w:val="00370701"/>
    <w:rsid w:val="00370746"/>
    <w:rsid w:val="003707BA"/>
    <w:rsid w:val="003707F8"/>
    <w:rsid w:val="0037085B"/>
    <w:rsid w:val="003708BD"/>
    <w:rsid w:val="003708CA"/>
    <w:rsid w:val="003708F8"/>
    <w:rsid w:val="00370A00"/>
    <w:rsid w:val="00370A92"/>
    <w:rsid w:val="00370AA1"/>
    <w:rsid w:val="00370AB6"/>
    <w:rsid w:val="00370AD8"/>
    <w:rsid w:val="00370B07"/>
    <w:rsid w:val="00370B3B"/>
    <w:rsid w:val="00370B61"/>
    <w:rsid w:val="00370B9D"/>
    <w:rsid w:val="00370BD8"/>
    <w:rsid w:val="00370C16"/>
    <w:rsid w:val="00370C20"/>
    <w:rsid w:val="00370E2C"/>
    <w:rsid w:val="00370E44"/>
    <w:rsid w:val="00370EBD"/>
    <w:rsid w:val="00370EF2"/>
    <w:rsid w:val="00370F58"/>
    <w:rsid w:val="00370F6F"/>
    <w:rsid w:val="00370FA8"/>
    <w:rsid w:val="00371001"/>
    <w:rsid w:val="00371095"/>
    <w:rsid w:val="003710B0"/>
    <w:rsid w:val="003710C0"/>
    <w:rsid w:val="003711EC"/>
    <w:rsid w:val="0037122B"/>
    <w:rsid w:val="0037123C"/>
    <w:rsid w:val="00371241"/>
    <w:rsid w:val="00371276"/>
    <w:rsid w:val="003712B2"/>
    <w:rsid w:val="003712C7"/>
    <w:rsid w:val="00371361"/>
    <w:rsid w:val="00371389"/>
    <w:rsid w:val="00371418"/>
    <w:rsid w:val="00371482"/>
    <w:rsid w:val="0037152F"/>
    <w:rsid w:val="00371530"/>
    <w:rsid w:val="00371594"/>
    <w:rsid w:val="003715A3"/>
    <w:rsid w:val="003715F2"/>
    <w:rsid w:val="00371624"/>
    <w:rsid w:val="003716E8"/>
    <w:rsid w:val="003717DA"/>
    <w:rsid w:val="00371846"/>
    <w:rsid w:val="0037188A"/>
    <w:rsid w:val="00371964"/>
    <w:rsid w:val="003719A5"/>
    <w:rsid w:val="003719CE"/>
    <w:rsid w:val="00371A5B"/>
    <w:rsid w:val="00371A66"/>
    <w:rsid w:val="00371BF8"/>
    <w:rsid w:val="00371C01"/>
    <w:rsid w:val="00371C82"/>
    <w:rsid w:val="00371CA0"/>
    <w:rsid w:val="00371CAC"/>
    <w:rsid w:val="00371DC3"/>
    <w:rsid w:val="00371E62"/>
    <w:rsid w:val="00371E75"/>
    <w:rsid w:val="00371ED4"/>
    <w:rsid w:val="00371F2A"/>
    <w:rsid w:val="00371F63"/>
    <w:rsid w:val="00371FDF"/>
    <w:rsid w:val="00372090"/>
    <w:rsid w:val="003720E3"/>
    <w:rsid w:val="003722E5"/>
    <w:rsid w:val="003722EE"/>
    <w:rsid w:val="0037234B"/>
    <w:rsid w:val="003723A2"/>
    <w:rsid w:val="003723A4"/>
    <w:rsid w:val="0037240F"/>
    <w:rsid w:val="00372489"/>
    <w:rsid w:val="003724D9"/>
    <w:rsid w:val="0037260B"/>
    <w:rsid w:val="003726A4"/>
    <w:rsid w:val="003726C2"/>
    <w:rsid w:val="00372706"/>
    <w:rsid w:val="0037273D"/>
    <w:rsid w:val="00372743"/>
    <w:rsid w:val="00372780"/>
    <w:rsid w:val="003727EF"/>
    <w:rsid w:val="00372800"/>
    <w:rsid w:val="00372801"/>
    <w:rsid w:val="00372816"/>
    <w:rsid w:val="0037287B"/>
    <w:rsid w:val="0037287C"/>
    <w:rsid w:val="003728AD"/>
    <w:rsid w:val="00372921"/>
    <w:rsid w:val="00372951"/>
    <w:rsid w:val="00372978"/>
    <w:rsid w:val="00372994"/>
    <w:rsid w:val="00372A08"/>
    <w:rsid w:val="00372A1E"/>
    <w:rsid w:val="00372AD7"/>
    <w:rsid w:val="00372B3A"/>
    <w:rsid w:val="00372BC3"/>
    <w:rsid w:val="00372C32"/>
    <w:rsid w:val="00372CD2"/>
    <w:rsid w:val="00372CD7"/>
    <w:rsid w:val="00372D47"/>
    <w:rsid w:val="00372D92"/>
    <w:rsid w:val="00373047"/>
    <w:rsid w:val="0037308E"/>
    <w:rsid w:val="0037312B"/>
    <w:rsid w:val="00373133"/>
    <w:rsid w:val="00373164"/>
    <w:rsid w:val="003731D1"/>
    <w:rsid w:val="0037340A"/>
    <w:rsid w:val="0037342F"/>
    <w:rsid w:val="00373496"/>
    <w:rsid w:val="00373554"/>
    <w:rsid w:val="0037359C"/>
    <w:rsid w:val="00373601"/>
    <w:rsid w:val="003736E2"/>
    <w:rsid w:val="0037376E"/>
    <w:rsid w:val="0037379F"/>
    <w:rsid w:val="003737BE"/>
    <w:rsid w:val="0037383C"/>
    <w:rsid w:val="003738E6"/>
    <w:rsid w:val="00373913"/>
    <w:rsid w:val="00373A5D"/>
    <w:rsid w:val="00373A66"/>
    <w:rsid w:val="00373AE7"/>
    <w:rsid w:val="00373B68"/>
    <w:rsid w:val="00373BFD"/>
    <w:rsid w:val="00373BFE"/>
    <w:rsid w:val="00373C07"/>
    <w:rsid w:val="00373C7F"/>
    <w:rsid w:val="00373CB2"/>
    <w:rsid w:val="00373CE7"/>
    <w:rsid w:val="00373DF5"/>
    <w:rsid w:val="00373E08"/>
    <w:rsid w:val="00373E20"/>
    <w:rsid w:val="00373E28"/>
    <w:rsid w:val="00373E44"/>
    <w:rsid w:val="00373F04"/>
    <w:rsid w:val="00373F70"/>
    <w:rsid w:val="00373F85"/>
    <w:rsid w:val="0037403E"/>
    <w:rsid w:val="0037408E"/>
    <w:rsid w:val="0037411D"/>
    <w:rsid w:val="00374132"/>
    <w:rsid w:val="00374133"/>
    <w:rsid w:val="00374184"/>
    <w:rsid w:val="003741BA"/>
    <w:rsid w:val="003741F8"/>
    <w:rsid w:val="00374230"/>
    <w:rsid w:val="003742A8"/>
    <w:rsid w:val="00374326"/>
    <w:rsid w:val="00374329"/>
    <w:rsid w:val="00374362"/>
    <w:rsid w:val="0037436C"/>
    <w:rsid w:val="00374375"/>
    <w:rsid w:val="003743AE"/>
    <w:rsid w:val="003743B7"/>
    <w:rsid w:val="003743F5"/>
    <w:rsid w:val="0037441D"/>
    <w:rsid w:val="0037442D"/>
    <w:rsid w:val="003744D9"/>
    <w:rsid w:val="003744F3"/>
    <w:rsid w:val="0037452D"/>
    <w:rsid w:val="0037458B"/>
    <w:rsid w:val="0037459A"/>
    <w:rsid w:val="003745A0"/>
    <w:rsid w:val="00374672"/>
    <w:rsid w:val="0037480F"/>
    <w:rsid w:val="00374811"/>
    <w:rsid w:val="00374840"/>
    <w:rsid w:val="003748A1"/>
    <w:rsid w:val="003748E8"/>
    <w:rsid w:val="0037490C"/>
    <w:rsid w:val="00374959"/>
    <w:rsid w:val="003749AF"/>
    <w:rsid w:val="003749FE"/>
    <w:rsid w:val="00374A63"/>
    <w:rsid w:val="00374AD7"/>
    <w:rsid w:val="00374B64"/>
    <w:rsid w:val="00374B89"/>
    <w:rsid w:val="00374BF7"/>
    <w:rsid w:val="00374C90"/>
    <w:rsid w:val="00374CE1"/>
    <w:rsid w:val="00374CEB"/>
    <w:rsid w:val="00374CED"/>
    <w:rsid w:val="00374D2B"/>
    <w:rsid w:val="00374D57"/>
    <w:rsid w:val="00374DDC"/>
    <w:rsid w:val="00374E07"/>
    <w:rsid w:val="00374F02"/>
    <w:rsid w:val="00374F08"/>
    <w:rsid w:val="00374F1E"/>
    <w:rsid w:val="00374F3C"/>
    <w:rsid w:val="00374F42"/>
    <w:rsid w:val="0037506C"/>
    <w:rsid w:val="00375079"/>
    <w:rsid w:val="00375090"/>
    <w:rsid w:val="003750FD"/>
    <w:rsid w:val="0037510A"/>
    <w:rsid w:val="00375111"/>
    <w:rsid w:val="0037511A"/>
    <w:rsid w:val="00375123"/>
    <w:rsid w:val="00375153"/>
    <w:rsid w:val="0037521C"/>
    <w:rsid w:val="00375221"/>
    <w:rsid w:val="0037522D"/>
    <w:rsid w:val="00375270"/>
    <w:rsid w:val="003752B0"/>
    <w:rsid w:val="003752B3"/>
    <w:rsid w:val="0037534A"/>
    <w:rsid w:val="00375359"/>
    <w:rsid w:val="00375392"/>
    <w:rsid w:val="003753B7"/>
    <w:rsid w:val="00375433"/>
    <w:rsid w:val="00375476"/>
    <w:rsid w:val="003755FF"/>
    <w:rsid w:val="00375603"/>
    <w:rsid w:val="00375622"/>
    <w:rsid w:val="00375651"/>
    <w:rsid w:val="00375687"/>
    <w:rsid w:val="003756B9"/>
    <w:rsid w:val="003757AC"/>
    <w:rsid w:val="003758C9"/>
    <w:rsid w:val="00375913"/>
    <w:rsid w:val="003759A7"/>
    <w:rsid w:val="003759D2"/>
    <w:rsid w:val="00375A27"/>
    <w:rsid w:val="00375A7A"/>
    <w:rsid w:val="00375AB1"/>
    <w:rsid w:val="00375AF7"/>
    <w:rsid w:val="00375B26"/>
    <w:rsid w:val="00375BEA"/>
    <w:rsid w:val="00375BFA"/>
    <w:rsid w:val="00375C60"/>
    <w:rsid w:val="00375CCA"/>
    <w:rsid w:val="00375CD9"/>
    <w:rsid w:val="00375D22"/>
    <w:rsid w:val="00375DE4"/>
    <w:rsid w:val="00375E18"/>
    <w:rsid w:val="00375E3A"/>
    <w:rsid w:val="00375E94"/>
    <w:rsid w:val="00376061"/>
    <w:rsid w:val="0037607E"/>
    <w:rsid w:val="00376090"/>
    <w:rsid w:val="003760DF"/>
    <w:rsid w:val="0037613A"/>
    <w:rsid w:val="003761BA"/>
    <w:rsid w:val="003761D2"/>
    <w:rsid w:val="003761EA"/>
    <w:rsid w:val="003762A8"/>
    <w:rsid w:val="00376367"/>
    <w:rsid w:val="0037640E"/>
    <w:rsid w:val="0037643D"/>
    <w:rsid w:val="00376468"/>
    <w:rsid w:val="0037657E"/>
    <w:rsid w:val="00376591"/>
    <w:rsid w:val="00376596"/>
    <w:rsid w:val="003765EA"/>
    <w:rsid w:val="003765F8"/>
    <w:rsid w:val="00376618"/>
    <w:rsid w:val="00376763"/>
    <w:rsid w:val="00376812"/>
    <w:rsid w:val="003768A1"/>
    <w:rsid w:val="003768BE"/>
    <w:rsid w:val="003768D2"/>
    <w:rsid w:val="0037692A"/>
    <w:rsid w:val="00376966"/>
    <w:rsid w:val="00376998"/>
    <w:rsid w:val="003769B1"/>
    <w:rsid w:val="003769B3"/>
    <w:rsid w:val="00376A2B"/>
    <w:rsid w:val="00376A30"/>
    <w:rsid w:val="00376A6A"/>
    <w:rsid w:val="00376AC7"/>
    <w:rsid w:val="00376B11"/>
    <w:rsid w:val="00376B83"/>
    <w:rsid w:val="00376C2B"/>
    <w:rsid w:val="00376CAF"/>
    <w:rsid w:val="00376D16"/>
    <w:rsid w:val="00376D3F"/>
    <w:rsid w:val="00376D61"/>
    <w:rsid w:val="00376D86"/>
    <w:rsid w:val="00376E80"/>
    <w:rsid w:val="00376E89"/>
    <w:rsid w:val="00376EDF"/>
    <w:rsid w:val="00376F8F"/>
    <w:rsid w:val="00376FCD"/>
    <w:rsid w:val="00377035"/>
    <w:rsid w:val="0037703E"/>
    <w:rsid w:val="00377058"/>
    <w:rsid w:val="00377099"/>
    <w:rsid w:val="00377163"/>
    <w:rsid w:val="00377189"/>
    <w:rsid w:val="003771F6"/>
    <w:rsid w:val="00377242"/>
    <w:rsid w:val="00377288"/>
    <w:rsid w:val="003772D5"/>
    <w:rsid w:val="00377321"/>
    <w:rsid w:val="00377367"/>
    <w:rsid w:val="0037736C"/>
    <w:rsid w:val="003773DB"/>
    <w:rsid w:val="0037749E"/>
    <w:rsid w:val="003774A9"/>
    <w:rsid w:val="0037751D"/>
    <w:rsid w:val="00377550"/>
    <w:rsid w:val="003775D0"/>
    <w:rsid w:val="0037760D"/>
    <w:rsid w:val="00377627"/>
    <w:rsid w:val="00377875"/>
    <w:rsid w:val="003778F8"/>
    <w:rsid w:val="00377930"/>
    <w:rsid w:val="0037796E"/>
    <w:rsid w:val="00377AD6"/>
    <w:rsid w:val="00377B02"/>
    <w:rsid w:val="00377BD9"/>
    <w:rsid w:val="00377C3B"/>
    <w:rsid w:val="00377CDA"/>
    <w:rsid w:val="00377CF1"/>
    <w:rsid w:val="00377D59"/>
    <w:rsid w:val="00377D68"/>
    <w:rsid w:val="00377D7D"/>
    <w:rsid w:val="00377E4E"/>
    <w:rsid w:val="00377F0B"/>
    <w:rsid w:val="00377F3B"/>
    <w:rsid w:val="00377F44"/>
    <w:rsid w:val="00377F59"/>
    <w:rsid w:val="00377F80"/>
    <w:rsid w:val="00380020"/>
    <w:rsid w:val="00380024"/>
    <w:rsid w:val="00380093"/>
    <w:rsid w:val="003800B2"/>
    <w:rsid w:val="00380125"/>
    <w:rsid w:val="00380150"/>
    <w:rsid w:val="00380190"/>
    <w:rsid w:val="003801EA"/>
    <w:rsid w:val="0038022F"/>
    <w:rsid w:val="00380246"/>
    <w:rsid w:val="003802DF"/>
    <w:rsid w:val="00380495"/>
    <w:rsid w:val="003804B2"/>
    <w:rsid w:val="00380530"/>
    <w:rsid w:val="00380570"/>
    <w:rsid w:val="0038059F"/>
    <w:rsid w:val="003805DF"/>
    <w:rsid w:val="0038065E"/>
    <w:rsid w:val="00380661"/>
    <w:rsid w:val="00380690"/>
    <w:rsid w:val="003806A9"/>
    <w:rsid w:val="00380798"/>
    <w:rsid w:val="003807A2"/>
    <w:rsid w:val="003807C3"/>
    <w:rsid w:val="00380842"/>
    <w:rsid w:val="00380850"/>
    <w:rsid w:val="00380892"/>
    <w:rsid w:val="00380896"/>
    <w:rsid w:val="003808CE"/>
    <w:rsid w:val="0038098C"/>
    <w:rsid w:val="00380998"/>
    <w:rsid w:val="00380A35"/>
    <w:rsid w:val="00380A46"/>
    <w:rsid w:val="00380A4F"/>
    <w:rsid w:val="00380A69"/>
    <w:rsid w:val="00380AE7"/>
    <w:rsid w:val="00380B08"/>
    <w:rsid w:val="00380B0A"/>
    <w:rsid w:val="00380B59"/>
    <w:rsid w:val="00380BF0"/>
    <w:rsid w:val="00380C1E"/>
    <w:rsid w:val="00380C60"/>
    <w:rsid w:val="00380CD2"/>
    <w:rsid w:val="00380D15"/>
    <w:rsid w:val="00380D51"/>
    <w:rsid w:val="00380D63"/>
    <w:rsid w:val="00380D9F"/>
    <w:rsid w:val="00380E04"/>
    <w:rsid w:val="00380E76"/>
    <w:rsid w:val="00380EB1"/>
    <w:rsid w:val="00380EC4"/>
    <w:rsid w:val="00380FE7"/>
    <w:rsid w:val="0038101F"/>
    <w:rsid w:val="003810D1"/>
    <w:rsid w:val="003810E4"/>
    <w:rsid w:val="00381116"/>
    <w:rsid w:val="003811B7"/>
    <w:rsid w:val="003811D5"/>
    <w:rsid w:val="00381226"/>
    <w:rsid w:val="0038122D"/>
    <w:rsid w:val="0038123C"/>
    <w:rsid w:val="00381266"/>
    <w:rsid w:val="003812F5"/>
    <w:rsid w:val="0038131C"/>
    <w:rsid w:val="00381349"/>
    <w:rsid w:val="0038139B"/>
    <w:rsid w:val="00381545"/>
    <w:rsid w:val="00381554"/>
    <w:rsid w:val="00381557"/>
    <w:rsid w:val="00381565"/>
    <w:rsid w:val="0038157B"/>
    <w:rsid w:val="0038160C"/>
    <w:rsid w:val="00381619"/>
    <w:rsid w:val="0038173E"/>
    <w:rsid w:val="00381759"/>
    <w:rsid w:val="0038176A"/>
    <w:rsid w:val="0038176D"/>
    <w:rsid w:val="0038179C"/>
    <w:rsid w:val="003817B4"/>
    <w:rsid w:val="003817B8"/>
    <w:rsid w:val="003817BC"/>
    <w:rsid w:val="00381854"/>
    <w:rsid w:val="0038189A"/>
    <w:rsid w:val="003818BF"/>
    <w:rsid w:val="003818EC"/>
    <w:rsid w:val="003818F7"/>
    <w:rsid w:val="003818FC"/>
    <w:rsid w:val="00381977"/>
    <w:rsid w:val="003819DA"/>
    <w:rsid w:val="003819E4"/>
    <w:rsid w:val="00381A08"/>
    <w:rsid w:val="00381A8A"/>
    <w:rsid w:val="00381B3D"/>
    <w:rsid w:val="00381BE3"/>
    <w:rsid w:val="00381C08"/>
    <w:rsid w:val="00381C0C"/>
    <w:rsid w:val="00381C13"/>
    <w:rsid w:val="00381C1E"/>
    <w:rsid w:val="00381C1F"/>
    <w:rsid w:val="00381C94"/>
    <w:rsid w:val="00381CB7"/>
    <w:rsid w:val="00381D27"/>
    <w:rsid w:val="00381D63"/>
    <w:rsid w:val="00381D7E"/>
    <w:rsid w:val="00381E2F"/>
    <w:rsid w:val="00381E32"/>
    <w:rsid w:val="00381E92"/>
    <w:rsid w:val="00381F05"/>
    <w:rsid w:val="00381F09"/>
    <w:rsid w:val="00381F0A"/>
    <w:rsid w:val="00381F33"/>
    <w:rsid w:val="00381F98"/>
    <w:rsid w:val="00381FBD"/>
    <w:rsid w:val="003820BD"/>
    <w:rsid w:val="00382100"/>
    <w:rsid w:val="003821B4"/>
    <w:rsid w:val="00382211"/>
    <w:rsid w:val="00382244"/>
    <w:rsid w:val="003822C2"/>
    <w:rsid w:val="00382379"/>
    <w:rsid w:val="0038244D"/>
    <w:rsid w:val="00382508"/>
    <w:rsid w:val="00382568"/>
    <w:rsid w:val="0038264D"/>
    <w:rsid w:val="003826B8"/>
    <w:rsid w:val="0038272B"/>
    <w:rsid w:val="00382782"/>
    <w:rsid w:val="003827EB"/>
    <w:rsid w:val="003827ED"/>
    <w:rsid w:val="003828CF"/>
    <w:rsid w:val="003829D7"/>
    <w:rsid w:val="00382A14"/>
    <w:rsid w:val="00382A98"/>
    <w:rsid w:val="00382AC1"/>
    <w:rsid w:val="00382B1A"/>
    <w:rsid w:val="00382B53"/>
    <w:rsid w:val="00382B65"/>
    <w:rsid w:val="00382BAD"/>
    <w:rsid w:val="00382BCC"/>
    <w:rsid w:val="00382C00"/>
    <w:rsid w:val="00382C4D"/>
    <w:rsid w:val="00382C66"/>
    <w:rsid w:val="00382C75"/>
    <w:rsid w:val="00382D19"/>
    <w:rsid w:val="00382DA2"/>
    <w:rsid w:val="00382E29"/>
    <w:rsid w:val="00382E4C"/>
    <w:rsid w:val="00382E81"/>
    <w:rsid w:val="00382EE5"/>
    <w:rsid w:val="00382F3D"/>
    <w:rsid w:val="00382F9E"/>
    <w:rsid w:val="00382FD1"/>
    <w:rsid w:val="00382FD7"/>
    <w:rsid w:val="00382FE2"/>
    <w:rsid w:val="00382FEE"/>
    <w:rsid w:val="00382FFF"/>
    <w:rsid w:val="00383046"/>
    <w:rsid w:val="0038307E"/>
    <w:rsid w:val="00383097"/>
    <w:rsid w:val="003830DA"/>
    <w:rsid w:val="00383153"/>
    <w:rsid w:val="0038317D"/>
    <w:rsid w:val="003831CD"/>
    <w:rsid w:val="003831FE"/>
    <w:rsid w:val="00383205"/>
    <w:rsid w:val="0038321A"/>
    <w:rsid w:val="0038321D"/>
    <w:rsid w:val="0038322B"/>
    <w:rsid w:val="0038322C"/>
    <w:rsid w:val="0038326C"/>
    <w:rsid w:val="003832C4"/>
    <w:rsid w:val="003832CD"/>
    <w:rsid w:val="003832EC"/>
    <w:rsid w:val="003832F4"/>
    <w:rsid w:val="003833A1"/>
    <w:rsid w:val="003833E5"/>
    <w:rsid w:val="003833F4"/>
    <w:rsid w:val="00383450"/>
    <w:rsid w:val="0038345F"/>
    <w:rsid w:val="00383461"/>
    <w:rsid w:val="00383475"/>
    <w:rsid w:val="003834CF"/>
    <w:rsid w:val="0038356A"/>
    <w:rsid w:val="00383573"/>
    <w:rsid w:val="003835FA"/>
    <w:rsid w:val="00383714"/>
    <w:rsid w:val="0038372E"/>
    <w:rsid w:val="00383737"/>
    <w:rsid w:val="0038375C"/>
    <w:rsid w:val="00383802"/>
    <w:rsid w:val="00383878"/>
    <w:rsid w:val="003838F0"/>
    <w:rsid w:val="00383914"/>
    <w:rsid w:val="00383929"/>
    <w:rsid w:val="00383933"/>
    <w:rsid w:val="00383946"/>
    <w:rsid w:val="003839A6"/>
    <w:rsid w:val="003839F0"/>
    <w:rsid w:val="00383A0A"/>
    <w:rsid w:val="00383A9E"/>
    <w:rsid w:val="00383ACE"/>
    <w:rsid w:val="00383AF1"/>
    <w:rsid w:val="00383B22"/>
    <w:rsid w:val="00383B86"/>
    <w:rsid w:val="00383BDB"/>
    <w:rsid w:val="00383BFD"/>
    <w:rsid w:val="00383C04"/>
    <w:rsid w:val="00383C14"/>
    <w:rsid w:val="00383C86"/>
    <w:rsid w:val="00383C8A"/>
    <w:rsid w:val="00383C8D"/>
    <w:rsid w:val="00383C9F"/>
    <w:rsid w:val="00383CD6"/>
    <w:rsid w:val="00383D27"/>
    <w:rsid w:val="00383DB2"/>
    <w:rsid w:val="00383EF8"/>
    <w:rsid w:val="00383F08"/>
    <w:rsid w:val="00383F7F"/>
    <w:rsid w:val="00383F8B"/>
    <w:rsid w:val="00383F91"/>
    <w:rsid w:val="00383F9A"/>
    <w:rsid w:val="00383FD5"/>
    <w:rsid w:val="00383FDF"/>
    <w:rsid w:val="00383FFA"/>
    <w:rsid w:val="00384191"/>
    <w:rsid w:val="003841A1"/>
    <w:rsid w:val="003841CF"/>
    <w:rsid w:val="003842BF"/>
    <w:rsid w:val="003842C1"/>
    <w:rsid w:val="003842E5"/>
    <w:rsid w:val="003842EF"/>
    <w:rsid w:val="00384317"/>
    <w:rsid w:val="00384335"/>
    <w:rsid w:val="00384402"/>
    <w:rsid w:val="00384427"/>
    <w:rsid w:val="00384459"/>
    <w:rsid w:val="00384492"/>
    <w:rsid w:val="003844C9"/>
    <w:rsid w:val="00384549"/>
    <w:rsid w:val="0038457D"/>
    <w:rsid w:val="003845CF"/>
    <w:rsid w:val="0038460D"/>
    <w:rsid w:val="0038460F"/>
    <w:rsid w:val="0038461E"/>
    <w:rsid w:val="003846CC"/>
    <w:rsid w:val="00384719"/>
    <w:rsid w:val="0038476A"/>
    <w:rsid w:val="0038476D"/>
    <w:rsid w:val="00384824"/>
    <w:rsid w:val="00384874"/>
    <w:rsid w:val="003848DB"/>
    <w:rsid w:val="0038495D"/>
    <w:rsid w:val="003849CA"/>
    <w:rsid w:val="00384A57"/>
    <w:rsid w:val="00384AC2"/>
    <w:rsid w:val="00384AE5"/>
    <w:rsid w:val="00384B07"/>
    <w:rsid w:val="00384B0C"/>
    <w:rsid w:val="00384B81"/>
    <w:rsid w:val="00384BD0"/>
    <w:rsid w:val="00384BD1"/>
    <w:rsid w:val="00384C05"/>
    <w:rsid w:val="00384C4B"/>
    <w:rsid w:val="00384CD8"/>
    <w:rsid w:val="00384D02"/>
    <w:rsid w:val="00384D49"/>
    <w:rsid w:val="00384DB0"/>
    <w:rsid w:val="00384E1E"/>
    <w:rsid w:val="00384F39"/>
    <w:rsid w:val="00384F7A"/>
    <w:rsid w:val="00384FAA"/>
    <w:rsid w:val="00385088"/>
    <w:rsid w:val="00385099"/>
    <w:rsid w:val="003850A0"/>
    <w:rsid w:val="00385149"/>
    <w:rsid w:val="00385201"/>
    <w:rsid w:val="0038527A"/>
    <w:rsid w:val="003852A9"/>
    <w:rsid w:val="003853C1"/>
    <w:rsid w:val="003853D6"/>
    <w:rsid w:val="003853E4"/>
    <w:rsid w:val="00385459"/>
    <w:rsid w:val="00385520"/>
    <w:rsid w:val="00385590"/>
    <w:rsid w:val="003855B1"/>
    <w:rsid w:val="00385735"/>
    <w:rsid w:val="00385777"/>
    <w:rsid w:val="003857B9"/>
    <w:rsid w:val="003857ED"/>
    <w:rsid w:val="00385839"/>
    <w:rsid w:val="0038583C"/>
    <w:rsid w:val="0038586C"/>
    <w:rsid w:val="0038587B"/>
    <w:rsid w:val="003858A6"/>
    <w:rsid w:val="003858F8"/>
    <w:rsid w:val="00385912"/>
    <w:rsid w:val="0038593D"/>
    <w:rsid w:val="0038598B"/>
    <w:rsid w:val="0038599E"/>
    <w:rsid w:val="003859B3"/>
    <w:rsid w:val="003859DC"/>
    <w:rsid w:val="003859E6"/>
    <w:rsid w:val="003859F3"/>
    <w:rsid w:val="00385A38"/>
    <w:rsid w:val="00385A66"/>
    <w:rsid w:val="00385A7B"/>
    <w:rsid w:val="00385B31"/>
    <w:rsid w:val="00385C1F"/>
    <w:rsid w:val="00385CEA"/>
    <w:rsid w:val="00385D05"/>
    <w:rsid w:val="00385D31"/>
    <w:rsid w:val="00385D33"/>
    <w:rsid w:val="00385D75"/>
    <w:rsid w:val="00385D95"/>
    <w:rsid w:val="00385DF7"/>
    <w:rsid w:val="00385E5D"/>
    <w:rsid w:val="00385E80"/>
    <w:rsid w:val="00385EB1"/>
    <w:rsid w:val="00385FB2"/>
    <w:rsid w:val="00385FDB"/>
    <w:rsid w:val="0038600C"/>
    <w:rsid w:val="0038607A"/>
    <w:rsid w:val="003860B3"/>
    <w:rsid w:val="00386111"/>
    <w:rsid w:val="00386198"/>
    <w:rsid w:val="0038619F"/>
    <w:rsid w:val="003861FD"/>
    <w:rsid w:val="00386201"/>
    <w:rsid w:val="003862A2"/>
    <w:rsid w:val="003862AD"/>
    <w:rsid w:val="003862FE"/>
    <w:rsid w:val="00386399"/>
    <w:rsid w:val="003863E1"/>
    <w:rsid w:val="003863EB"/>
    <w:rsid w:val="003864EA"/>
    <w:rsid w:val="0038653B"/>
    <w:rsid w:val="0038655A"/>
    <w:rsid w:val="003865C1"/>
    <w:rsid w:val="0038663A"/>
    <w:rsid w:val="00386707"/>
    <w:rsid w:val="003867CE"/>
    <w:rsid w:val="003867EE"/>
    <w:rsid w:val="00386812"/>
    <w:rsid w:val="00386817"/>
    <w:rsid w:val="0038683A"/>
    <w:rsid w:val="0038683C"/>
    <w:rsid w:val="00386850"/>
    <w:rsid w:val="003868A1"/>
    <w:rsid w:val="0038695C"/>
    <w:rsid w:val="00386973"/>
    <w:rsid w:val="00386A03"/>
    <w:rsid w:val="00386A4E"/>
    <w:rsid w:val="00386A56"/>
    <w:rsid w:val="00386AA2"/>
    <w:rsid w:val="00386AD7"/>
    <w:rsid w:val="00386B29"/>
    <w:rsid w:val="00386BCE"/>
    <w:rsid w:val="00386C3E"/>
    <w:rsid w:val="00386C6C"/>
    <w:rsid w:val="00386C6F"/>
    <w:rsid w:val="00386CFB"/>
    <w:rsid w:val="00386DB7"/>
    <w:rsid w:val="00386DC1"/>
    <w:rsid w:val="00386E7C"/>
    <w:rsid w:val="00386F04"/>
    <w:rsid w:val="00387005"/>
    <w:rsid w:val="003870B3"/>
    <w:rsid w:val="003870D0"/>
    <w:rsid w:val="003870D5"/>
    <w:rsid w:val="00387105"/>
    <w:rsid w:val="00387121"/>
    <w:rsid w:val="003872E0"/>
    <w:rsid w:val="003873B4"/>
    <w:rsid w:val="003873F9"/>
    <w:rsid w:val="00387403"/>
    <w:rsid w:val="00387456"/>
    <w:rsid w:val="00387469"/>
    <w:rsid w:val="0038748E"/>
    <w:rsid w:val="003874DB"/>
    <w:rsid w:val="003874DF"/>
    <w:rsid w:val="003874FC"/>
    <w:rsid w:val="00387507"/>
    <w:rsid w:val="00387540"/>
    <w:rsid w:val="0038758C"/>
    <w:rsid w:val="003875EF"/>
    <w:rsid w:val="00387634"/>
    <w:rsid w:val="00387657"/>
    <w:rsid w:val="00387670"/>
    <w:rsid w:val="00387686"/>
    <w:rsid w:val="0038769C"/>
    <w:rsid w:val="00387704"/>
    <w:rsid w:val="0038771B"/>
    <w:rsid w:val="0038774D"/>
    <w:rsid w:val="00387759"/>
    <w:rsid w:val="00387763"/>
    <w:rsid w:val="003877F0"/>
    <w:rsid w:val="003877F3"/>
    <w:rsid w:val="00387843"/>
    <w:rsid w:val="00387854"/>
    <w:rsid w:val="003878AA"/>
    <w:rsid w:val="0038792A"/>
    <w:rsid w:val="0038792B"/>
    <w:rsid w:val="0038795E"/>
    <w:rsid w:val="003879EA"/>
    <w:rsid w:val="003879F4"/>
    <w:rsid w:val="00387A6E"/>
    <w:rsid w:val="00387A90"/>
    <w:rsid w:val="00387A94"/>
    <w:rsid w:val="00387AA0"/>
    <w:rsid w:val="00387B20"/>
    <w:rsid w:val="00387B24"/>
    <w:rsid w:val="00387C64"/>
    <w:rsid w:val="00387C9A"/>
    <w:rsid w:val="00387D0C"/>
    <w:rsid w:val="00387D82"/>
    <w:rsid w:val="00387DB1"/>
    <w:rsid w:val="00387E35"/>
    <w:rsid w:val="00387F04"/>
    <w:rsid w:val="00387F09"/>
    <w:rsid w:val="00387F2F"/>
    <w:rsid w:val="00387FB6"/>
    <w:rsid w:val="00387FE6"/>
    <w:rsid w:val="003900BE"/>
    <w:rsid w:val="003900E6"/>
    <w:rsid w:val="003900F3"/>
    <w:rsid w:val="00390101"/>
    <w:rsid w:val="0039011E"/>
    <w:rsid w:val="0039012D"/>
    <w:rsid w:val="003901DC"/>
    <w:rsid w:val="003901DF"/>
    <w:rsid w:val="003901F6"/>
    <w:rsid w:val="00390285"/>
    <w:rsid w:val="0039032A"/>
    <w:rsid w:val="00390385"/>
    <w:rsid w:val="003903A0"/>
    <w:rsid w:val="003903AB"/>
    <w:rsid w:val="0039040C"/>
    <w:rsid w:val="00390416"/>
    <w:rsid w:val="00390452"/>
    <w:rsid w:val="003904A0"/>
    <w:rsid w:val="003904AE"/>
    <w:rsid w:val="003904BD"/>
    <w:rsid w:val="00390618"/>
    <w:rsid w:val="00390637"/>
    <w:rsid w:val="00390639"/>
    <w:rsid w:val="00390663"/>
    <w:rsid w:val="00390692"/>
    <w:rsid w:val="00390718"/>
    <w:rsid w:val="00390754"/>
    <w:rsid w:val="0039078E"/>
    <w:rsid w:val="0039096B"/>
    <w:rsid w:val="003909F3"/>
    <w:rsid w:val="00390A97"/>
    <w:rsid w:val="00390AC7"/>
    <w:rsid w:val="00390AD4"/>
    <w:rsid w:val="00390B5A"/>
    <w:rsid w:val="00390B7A"/>
    <w:rsid w:val="00390B86"/>
    <w:rsid w:val="00390BAB"/>
    <w:rsid w:val="00390BDA"/>
    <w:rsid w:val="00390C50"/>
    <w:rsid w:val="00390C93"/>
    <w:rsid w:val="00390C98"/>
    <w:rsid w:val="00390CEF"/>
    <w:rsid w:val="00390CFB"/>
    <w:rsid w:val="00390DE6"/>
    <w:rsid w:val="00390E07"/>
    <w:rsid w:val="00390ECD"/>
    <w:rsid w:val="00390ECF"/>
    <w:rsid w:val="00390F2B"/>
    <w:rsid w:val="00391096"/>
    <w:rsid w:val="0039109C"/>
    <w:rsid w:val="003910C8"/>
    <w:rsid w:val="00391169"/>
    <w:rsid w:val="003911BD"/>
    <w:rsid w:val="0039120B"/>
    <w:rsid w:val="0039121B"/>
    <w:rsid w:val="00391340"/>
    <w:rsid w:val="003913BC"/>
    <w:rsid w:val="003913C1"/>
    <w:rsid w:val="00391510"/>
    <w:rsid w:val="0039158B"/>
    <w:rsid w:val="0039158E"/>
    <w:rsid w:val="003915FF"/>
    <w:rsid w:val="00391601"/>
    <w:rsid w:val="00391612"/>
    <w:rsid w:val="00391615"/>
    <w:rsid w:val="00391651"/>
    <w:rsid w:val="00391674"/>
    <w:rsid w:val="00391687"/>
    <w:rsid w:val="003916D1"/>
    <w:rsid w:val="003916E9"/>
    <w:rsid w:val="00391727"/>
    <w:rsid w:val="00391782"/>
    <w:rsid w:val="003917A7"/>
    <w:rsid w:val="0039189E"/>
    <w:rsid w:val="003918C8"/>
    <w:rsid w:val="003918CE"/>
    <w:rsid w:val="0039196E"/>
    <w:rsid w:val="003919A7"/>
    <w:rsid w:val="003919C8"/>
    <w:rsid w:val="00391A88"/>
    <w:rsid w:val="00391AC8"/>
    <w:rsid w:val="00391ACD"/>
    <w:rsid w:val="00391AEB"/>
    <w:rsid w:val="00391BB7"/>
    <w:rsid w:val="00391BBF"/>
    <w:rsid w:val="00391CE0"/>
    <w:rsid w:val="00391F86"/>
    <w:rsid w:val="00391F95"/>
    <w:rsid w:val="00391F9C"/>
    <w:rsid w:val="00392029"/>
    <w:rsid w:val="003920F0"/>
    <w:rsid w:val="0039224F"/>
    <w:rsid w:val="00392269"/>
    <w:rsid w:val="00392303"/>
    <w:rsid w:val="00392305"/>
    <w:rsid w:val="00392398"/>
    <w:rsid w:val="003923BE"/>
    <w:rsid w:val="003923EF"/>
    <w:rsid w:val="00392417"/>
    <w:rsid w:val="0039245D"/>
    <w:rsid w:val="0039249A"/>
    <w:rsid w:val="0039251B"/>
    <w:rsid w:val="00392592"/>
    <w:rsid w:val="003925B1"/>
    <w:rsid w:val="003925D6"/>
    <w:rsid w:val="003925FC"/>
    <w:rsid w:val="00392613"/>
    <w:rsid w:val="0039264C"/>
    <w:rsid w:val="003926E3"/>
    <w:rsid w:val="003926E7"/>
    <w:rsid w:val="00392736"/>
    <w:rsid w:val="0039277C"/>
    <w:rsid w:val="003927BB"/>
    <w:rsid w:val="003927C0"/>
    <w:rsid w:val="003927EE"/>
    <w:rsid w:val="003927F9"/>
    <w:rsid w:val="0039281D"/>
    <w:rsid w:val="0039287B"/>
    <w:rsid w:val="003928AB"/>
    <w:rsid w:val="003928B8"/>
    <w:rsid w:val="00392A03"/>
    <w:rsid w:val="00392AAD"/>
    <w:rsid w:val="00392B21"/>
    <w:rsid w:val="00392B37"/>
    <w:rsid w:val="00392B3D"/>
    <w:rsid w:val="00392B51"/>
    <w:rsid w:val="00392B73"/>
    <w:rsid w:val="00392B78"/>
    <w:rsid w:val="00392BF0"/>
    <w:rsid w:val="00392C39"/>
    <w:rsid w:val="00392C4F"/>
    <w:rsid w:val="00392D55"/>
    <w:rsid w:val="00392D7A"/>
    <w:rsid w:val="00392DCC"/>
    <w:rsid w:val="00392F45"/>
    <w:rsid w:val="00392F6C"/>
    <w:rsid w:val="00393005"/>
    <w:rsid w:val="0039306A"/>
    <w:rsid w:val="003930B5"/>
    <w:rsid w:val="003930CF"/>
    <w:rsid w:val="003931B6"/>
    <w:rsid w:val="003931C3"/>
    <w:rsid w:val="003931EC"/>
    <w:rsid w:val="00393203"/>
    <w:rsid w:val="003932F0"/>
    <w:rsid w:val="0039334B"/>
    <w:rsid w:val="00393414"/>
    <w:rsid w:val="003934F8"/>
    <w:rsid w:val="003935E7"/>
    <w:rsid w:val="003936E5"/>
    <w:rsid w:val="0039389A"/>
    <w:rsid w:val="003938D5"/>
    <w:rsid w:val="0039392D"/>
    <w:rsid w:val="00393970"/>
    <w:rsid w:val="00393A31"/>
    <w:rsid w:val="00393A79"/>
    <w:rsid w:val="00393A89"/>
    <w:rsid w:val="00393AC8"/>
    <w:rsid w:val="00393ACA"/>
    <w:rsid w:val="00393AD6"/>
    <w:rsid w:val="00393BC2"/>
    <w:rsid w:val="00393C03"/>
    <w:rsid w:val="00393CB0"/>
    <w:rsid w:val="00393E46"/>
    <w:rsid w:val="00393E51"/>
    <w:rsid w:val="00393E5D"/>
    <w:rsid w:val="00393EAE"/>
    <w:rsid w:val="00393EBC"/>
    <w:rsid w:val="00393F26"/>
    <w:rsid w:val="00393FCE"/>
    <w:rsid w:val="00393FF5"/>
    <w:rsid w:val="003940FD"/>
    <w:rsid w:val="00394122"/>
    <w:rsid w:val="003941A4"/>
    <w:rsid w:val="003941CC"/>
    <w:rsid w:val="003941D5"/>
    <w:rsid w:val="003941E1"/>
    <w:rsid w:val="0039423D"/>
    <w:rsid w:val="00394240"/>
    <w:rsid w:val="00394284"/>
    <w:rsid w:val="00394341"/>
    <w:rsid w:val="003943A3"/>
    <w:rsid w:val="003943C2"/>
    <w:rsid w:val="00394409"/>
    <w:rsid w:val="0039440F"/>
    <w:rsid w:val="00394447"/>
    <w:rsid w:val="00394463"/>
    <w:rsid w:val="0039449B"/>
    <w:rsid w:val="003944F3"/>
    <w:rsid w:val="003945D5"/>
    <w:rsid w:val="003945D8"/>
    <w:rsid w:val="003945FE"/>
    <w:rsid w:val="00394631"/>
    <w:rsid w:val="00394634"/>
    <w:rsid w:val="003946CD"/>
    <w:rsid w:val="003946D9"/>
    <w:rsid w:val="003947B1"/>
    <w:rsid w:val="003947F4"/>
    <w:rsid w:val="00394801"/>
    <w:rsid w:val="0039487E"/>
    <w:rsid w:val="00394945"/>
    <w:rsid w:val="0039495A"/>
    <w:rsid w:val="0039496E"/>
    <w:rsid w:val="00394970"/>
    <w:rsid w:val="00394A85"/>
    <w:rsid w:val="00394ABE"/>
    <w:rsid w:val="00394B1F"/>
    <w:rsid w:val="00394C25"/>
    <w:rsid w:val="00394C59"/>
    <w:rsid w:val="00394C66"/>
    <w:rsid w:val="00394D46"/>
    <w:rsid w:val="00394D4C"/>
    <w:rsid w:val="00394EE7"/>
    <w:rsid w:val="00394F08"/>
    <w:rsid w:val="00394F15"/>
    <w:rsid w:val="00394FAA"/>
    <w:rsid w:val="00394FDF"/>
    <w:rsid w:val="003950AE"/>
    <w:rsid w:val="003950FD"/>
    <w:rsid w:val="0039514C"/>
    <w:rsid w:val="003951DE"/>
    <w:rsid w:val="003951F5"/>
    <w:rsid w:val="003951F8"/>
    <w:rsid w:val="0039521A"/>
    <w:rsid w:val="0039527D"/>
    <w:rsid w:val="003952CF"/>
    <w:rsid w:val="003952D4"/>
    <w:rsid w:val="00395302"/>
    <w:rsid w:val="00395330"/>
    <w:rsid w:val="0039533D"/>
    <w:rsid w:val="00395356"/>
    <w:rsid w:val="0039535C"/>
    <w:rsid w:val="00395390"/>
    <w:rsid w:val="003953A5"/>
    <w:rsid w:val="003953DF"/>
    <w:rsid w:val="00395478"/>
    <w:rsid w:val="00395487"/>
    <w:rsid w:val="00395595"/>
    <w:rsid w:val="003955B3"/>
    <w:rsid w:val="00395615"/>
    <w:rsid w:val="00395631"/>
    <w:rsid w:val="00395683"/>
    <w:rsid w:val="00395716"/>
    <w:rsid w:val="00395758"/>
    <w:rsid w:val="003957CD"/>
    <w:rsid w:val="00395824"/>
    <w:rsid w:val="0039584C"/>
    <w:rsid w:val="003958CB"/>
    <w:rsid w:val="003958D4"/>
    <w:rsid w:val="003958E0"/>
    <w:rsid w:val="00395953"/>
    <w:rsid w:val="0039598B"/>
    <w:rsid w:val="003959AB"/>
    <w:rsid w:val="003959B9"/>
    <w:rsid w:val="003959E9"/>
    <w:rsid w:val="00395A44"/>
    <w:rsid w:val="00395A49"/>
    <w:rsid w:val="00395A82"/>
    <w:rsid w:val="00395AE5"/>
    <w:rsid w:val="00395AE8"/>
    <w:rsid w:val="00395B2A"/>
    <w:rsid w:val="00395B47"/>
    <w:rsid w:val="00395BA0"/>
    <w:rsid w:val="00395BB4"/>
    <w:rsid w:val="00395BE7"/>
    <w:rsid w:val="00395BFC"/>
    <w:rsid w:val="00395C47"/>
    <w:rsid w:val="00395CA5"/>
    <w:rsid w:val="00395CC7"/>
    <w:rsid w:val="00395CDC"/>
    <w:rsid w:val="00395D87"/>
    <w:rsid w:val="00395DC0"/>
    <w:rsid w:val="00395DCF"/>
    <w:rsid w:val="00395E4F"/>
    <w:rsid w:val="00395EAB"/>
    <w:rsid w:val="00395EEE"/>
    <w:rsid w:val="00395EF4"/>
    <w:rsid w:val="00395EFF"/>
    <w:rsid w:val="00396007"/>
    <w:rsid w:val="0039602F"/>
    <w:rsid w:val="0039607B"/>
    <w:rsid w:val="00396086"/>
    <w:rsid w:val="003960F1"/>
    <w:rsid w:val="0039614C"/>
    <w:rsid w:val="00396185"/>
    <w:rsid w:val="0039626D"/>
    <w:rsid w:val="0039627E"/>
    <w:rsid w:val="0039629D"/>
    <w:rsid w:val="00396375"/>
    <w:rsid w:val="0039637F"/>
    <w:rsid w:val="003963ED"/>
    <w:rsid w:val="00396440"/>
    <w:rsid w:val="003964C4"/>
    <w:rsid w:val="003964DA"/>
    <w:rsid w:val="003964EF"/>
    <w:rsid w:val="00396508"/>
    <w:rsid w:val="003965CD"/>
    <w:rsid w:val="00396618"/>
    <w:rsid w:val="0039670F"/>
    <w:rsid w:val="00396733"/>
    <w:rsid w:val="00396739"/>
    <w:rsid w:val="00396741"/>
    <w:rsid w:val="003967D6"/>
    <w:rsid w:val="0039681B"/>
    <w:rsid w:val="00396837"/>
    <w:rsid w:val="0039698E"/>
    <w:rsid w:val="003969A5"/>
    <w:rsid w:val="003969D7"/>
    <w:rsid w:val="003969DE"/>
    <w:rsid w:val="003969E9"/>
    <w:rsid w:val="00396A1E"/>
    <w:rsid w:val="00396A80"/>
    <w:rsid w:val="00396AAB"/>
    <w:rsid w:val="00396B2B"/>
    <w:rsid w:val="00396BB0"/>
    <w:rsid w:val="00396BB5"/>
    <w:rsid w:val="00396C28"/>
    <w:rsid w:val="00396CDE"/>
    <w:rsid w:val="00396CF3"/>
    <w:rsid w:val="00396D0D"/>
    <w:rsid w:val="00396D3D"/>
    <w:rsid w:val="00396D4D"/>
    <w:rsid w:val="00396D54"/>
    <w:rsid w:val="00396D7C"/>
    <w:rsid w:val="00396DC9"/>
    <w:rsid w:val="00396DF7"/>
    <w:rsid w:val="00396E7B"/>
    <w:rsid w:val="00396F5E"/>
    <w:rsid w:val="00396F9E"/>
    <w:rsid w:val="00396FC2"/>
    <w:rsid w:val="00397029"/>
    <w:rsid w:val="00397034"/>
    <w:rsid w:val="00397043"/>
    <w:rsid w:val="00397066"/>
    <w:rsid w:val="00397078"/>
    <w:rsid w:val="00397081"/>
    <w:rsid w:val="003970CF"/>
    <w:rsid w:val="003970ED"/>
    <w:rsid w:val="003971D2"/>
    <w:rsid w:val="003971EB"/>
    <w:rsid w:val="00397220"/>
    <w:rsid w:val="00397276"/>
    <w:rsid w:val="00397279"/>
    <w:rsid w:val="00397297"/>
    <w:rsid w:val="003972BC"/>
    <w:rsid w:val="003972CC"/>
    <w:rsid w:val="00397319"/>
    <w:rsid w:val="00397342"/>
    <w:rsid w:val="0039734D"/>
    <w:rsid w:val="00397387"/>
    <w:rsid w:val="00397388"/>
    <w:rsid w:val="00397391"/>
    <w:rsid w:val="003973FA"/>
    <w:rsid w:val="00397470"/>
    <w:rsid w:val="00397485"/>
    <w:rsid w:val="003974E3"/>
    <w:rsid w:val="0039751C"/>
    <w:rsid w:val="00397571"/>
    <w:rsid w:val="00397586"/>
    <w:rsid w:val="003975E5"/>
    <w:rsid w:val="00397641"/>
    <w:rsid w:val="00397696"/>
    <w:rsid w:val="003976A0"/>
    <w:rsid w:val="003976BB"/>
    <w:rsid w:val="003976CA"/>
    <w:rsid w:val="003976E1"/>
    <w:rsid w:val="00397705"/>
    <w:rsid w:val="00397730"/>
    <w:rsid w:val="0039773F"/>
    <w:rsid w:val="0039782C"/>
    <w:rsid w:val="00397891"/>
    <w:rsid w:val="003979A5"/>
    <w:rsid w:val="003979EF"/>
    <w:rsid w:val="00397A4B"/>
    <w:rsid w:val="00397ADD"/>
    <w:rsid w:val="00397B66"/>
    <w:rsid w:val="00397B86"/>
    <w:rsid w:val="00397C07"/>
    <w:rsid w:val="00397C78"/>
    <w:rsid w:val="00397E15"/>
    <w:rsid w:val="00397E68"/>
    <w:rsid w:val="00397EA1"/>
    <w:rsid w:val="00397F57"/>
    <w:rsid w:val="00397F63"/>
    <w:rsid w:val="00397FB0"/>
    <w:rsid w:val="00397FBA"/>
    <w:rsid w:val="00397FC6"/>
    <w:rsid w:val="00397FD4"/>
    <w:rsid w:val="00397FDF"/>
    <w:rsid w:val="003A0097"/>
    <w:rsid w:val="003A00CB"/>
    <w:rsid w:val="003A010C"/>
    <w:rsid w:val="003A0118"/>
    <w:rsid w:val="003A017C"/>
    <w:rsid w:val="003A019F"/>
    <w:rsid w:val="003A01BE"/>
    <w:rsid w:val="003A02D4"/>
    <w:rsid w:val="003A0344"/>
    <w:rsid w:val="003A035F"/>
    <w:rsid w:val="003A041C"/>
    <w:rsid w:val="003A049D"/>
    <w:rsid w:val="003A04F2"/>
    <w:rsid w:val="003A051A"/>
    <w:rsid w:val="003A055D"/>
    <w:rsid w:val="003A058F"/>
    <w:rsid w:val="003A05CE"/>
    <w:rsid w:val="003A0689"/>
    <w:rsid w:val="003A06D0"/>
    <w:rsid w:val="003A06E0"/>
    <w:rsid w:val="003A06E6"/>
    <w:rsid w:val="003A08B2"/>
    <w:rsid w:val="003A08C4"/>
    <w:rsid w:val="003A094B"/>
    <w:rsid w:val="003A094F"/>
    <w:rsid w:val="003A0996"/>
    <w:rsid w:val="003A09CB"/>
    <w:rsid w:val="003A09EE"/>
    <w:rsid w:val="003A0A0C"/>
    <w:rsid w:val="003A0A13"/>
    <w:rsid w:val="003A0A2D"/>
    <w:rsid w:val="003A0B0B"/>
    <w:rsid w:val="003A0B57"/>
    <w:rsid w:val="003A0BDD"/>
    <w:rsid w:val="003A0BF4"/>
    <w:rsid w:val="003A0BF8"/>
    <w:rsid w:val="003A0C8B"/>
    <w:rsid w:val="003A0CA6"/>
    <w:rsid w:val="003A0D46"/>
    <w:rsid w:val="003A0D75"/>
    <w:rsid w:val="003A0DB8"/>
    <w:rsid w:val="003A0DFF"/>
    <w:rsid w:val="003A0E1B"/>
    <w:rsid w:val="003A0EA7"/>
    <w:rsid w:val="003A0EAB"/>
    <w:rsid w:val="003A0EC4"/>
    <w:rsid w:val="003A0F0F"/>
    <w:rsid w:val="003A0F9C"/>
    <w:rsid w:val="003A0FF7"/>
    <w:rsid w:val="003A100A"/>
    <w:rsid w:val="003A103E"/>
    <w:rsid w:val="003A10C6"/>
    <w:rsid w:val="003A1148"/>
    <w:rsid w:val="003A1197"/>
    <w:rsid w:val="003A119B"/>
    <w:rsid w:val="003A11B8"/>
    <w:rsid w:val="003A11CE"/>
    <w:rsid w:val="003A1288"/>
    <w:rsid w:val="003A12C3"/>
    <w:rsid w:val="003A1352"/>
    <w:rsid w:val="003A1355"/>
    <w:rsid w:val="003A136C"/>
    <w:rsid w:val="003A1420"/>
    <w:rsid w:val="003A1461"/>
    <w:rsid w:val="003A14A6"/>
    <w:rsid w:val="003A14DF"/>
    <w:rsid w:val="003A157A"/>
    <w:rsid w:val="003A158C"/>
    <w:rsid w:val="003A1598"/>
    <w:rsid w:val="003A15CF"/>
    <w:rsid w:val="003A15E3"/>
    <w:rsid w:val="003A16E1"/>
    <w:rsid w:val="003A1729"/>
    <w:rsid w:val="003A174B"/>
    <w:rsid w:val="003A17CD"/>
    <w:rsid w:val="003A1824"/>
    <w:rsid w:val="003A183F"/>
    <w:rsid w:val="003A1883"/>
    <w:rsid w:val="003A18AA"/>
    <w:rsid w:val="003A18AB"/>
    <w:rsid w:val="003A18D6"/>
    <w:rsid w:val="003A18EE"/>
    <w:rsid w:val="003A1902"/>
    <w:rsid w:val="003A192E"/>
    <w:rsid w:val="003A1932"/>
    <w:rsid w:val="003A194B"/>
    <w:rsid w:val="003A1983"/>
    <w:rsid w:val="003A199F"/>
    <w:rsid w:val="003A1A48"/>
    <w:rsid w:val="003A1A9B"/>
    <w:rsid w:val="003A1B03"/>
    <w:rsid w:val="003A1B2E"/>
    <w:rsid w:val="003A1B30"/>
    <w:rsid w:val="003A1C48"/>
    <w:rsid w:val="003A1C87"/>
    <w:rsid w:val="003A1CEB"/>
    <w:rsid w:val="003A1DB6"/>
    <w:rsid w:val="003A1E75"/>
    <w:rsid w:val="003A1ECC"/>
    <w:rsid w:val="003A1EF0"/>
    <w:rsid w:val="003A1EFB"/>
    <w:rsid w:val="003A1F95"/>
    <w:rsid w:val="003A2037"/>
    <w:rsid w:val="003A20DA"/>
    <w:rsid w:val="003A212F"/>
    <w:rsid w:val="003A21BC"/>
    <w:rsid w:val="003A21E6"/>
    <w:rsid w:val="003A220B"/>
    <w:rsid w:val="003A229E"/>
    <w:rsid w:val="003A22DE"/>
    <w:rsid w:val="003A231F"/>
    <w:rsid w:val="003A2365"/>
    <w:rsid w:val="003A23A3"/>
    <w:rsid w:val="003A23C8"/>
    <w:rsid w:val="003A23F7"/>
    <w:rsid w:val="003A23FB"/>
    <w:rsid w:val="003A2408"/>
    <w:rsid w:val="003A2452"/>
    <w:rsid w:val="003A2488"/>
    <w:rsid w:val="003A24F7"/>
    <w:rsid w:val="003A2555"/>
    <w:rsid w:val="003A256F"/>
    <w:rsid w:val="003A261C"/>
    <w:rsid w:val="003A2677"/>
    <w:rsid w:val="003A269D"/>
    <w:rsid w:val="003A271A"/>
    <w:rsid w:val="003A2730"/>
    <w:rsid w:val="003A2744"/>
    <w:rsid w:val="003A27B8"/>
    <w:rsid w:val="003A281A"/>
    <w:rsid w:val="003A283E"/>
    <w:rsid w:val="003A2846"/>
    <w:rsid w:val="003A284A"/>
    <w:rsid w:val="003A2871"/>
    <w:rsid w:val="003A287A"/>
    <w:rsid w:val="003A28F8"/>
    <w:rsid w:val="003A2904"/>
    <w:rsid w:val="003A2919"/>
    <w:rsid w:val="003A29B7"/>
    <w:rsid w:val="003A2A46"/>
    <w:rsid w:val="003A2A7A"/>
    <w:rsid w:val="003A2BFF"/>
    <w:rsid w:val="003A2C3E"/>
    <w:rsid w:val="003A2C8C"/>
    <w:rsid w:val="003A2CC1"/>
    <w:rsid w:val="003A2DD3"/>
    <w:rsid w:val="003A2EB7"/>
    <w:rsid w:val="003A2FBF"/>
    <w:rsid w:val="003A2FFF"/>
    <w:rsid w:val="003A3034"/>
    <w:rsid w:val="003A30B1"/>
    <w:rsid w:val="003A3119"/>
    <w:rsid w:val="003A312D"/>
    <w:rsid w:val="003A319D"/>
    <w:rsid w:val="003A31FA"/>
    <w:rsid w:val="003A3215"/>
    <w:rsid w:val="003A32FA"/>
    <w:rsid w:val="003A335A"/>
    <w:rsid w:val="003A33CA"/>
    <w:rsid w:val="003A33FC"/>
    <w:rsid w:val="003A342A"/>
    <w:rsid w:val="003A346D"/>
    <w:rsid w:val="003A34CC"/>
    <w:rsid w:val="003A34CF"/>
    <w:rsid w:val="003A3543"/>
    <w:rsid w:val="003A35D8"/>
    <w:rsid w:val="003A3639"/>
    <w:rsid w:val="003A36AE"/>
    <w:rsid w:val="003A3766"/>
    <w:rsid w:val="003A384E"/>
    <w:rsid w:val="003A3886"/>
    <w:rsid w:val="003A38AB"/>
    <w:rsid w:val="003A39A1"/>
    <w:rsid w:val="003A39FB"/>
    <w:rsid w:val="003A3A6E"/>
    <w:rsid w:val="003A3A76"/>
    <w:rsid w:val="003A3A95"/>
    <w:rsid w:val="003A3AC4"/>
    <w:rsid w:val="003A3B2A"/>
    <w:rsid w:val="003A3B36"/>
    <w:rsid w:val="003A3D15"/>
    <w:rsid w:val="003A3DAD"/>
    <w:rsid w:val="003A3DBE"/>
    <w:rsid w:val="003A3DFE"/>
    <w:rsid w:val="003A3E45"/>
    <w:rsid w:val="003A3EC9"/>
    <w:rsid w:val="003A3EEF"/>
    <w:rsid w:val="003A3F31"/>
    <w:rsid w:val="003A3FA1"/>
    <w:rsid w:val="003A3FF1"/>
    <w:rsid w:val="003A4023"/>
    <w:rsid w:val="003A40D4"/>
    <w:rsid w:val="003A40E9"/>
    <w:rsid w:val="003A4107"/>
    <w:rsid w:val="003A4176"/>
    <w:rsid w:val="003A4196"/>
    <w:rsid w:val="003A4199"/>
    <w:rsid w:val="003A41C4"/>
    <w:rsid w:val="003A41FC"/>
    <w:rsid w:val="003A42C8"/>
    <w:rsid w:val="003A4314"/>
    <w:rsid w:val="003A431F"/>
    <w:rsid w:val="003A4343"/>
    <w:rsid w:val="003A4378"/>
    <w:rsid w:val="003A43A9"/>
    <w:rsid w:val="003A43D1"/>
    <w:rsid w:val="003A43F2"/>
    <w:rsid w:val="003A4402"/>
    <w:rsid w:val="003A4414"/>
    <w:rsid w:val="003A4431"/>
    <w:rsid w:val="003A4436"/>
    <w:rsid w:val="003A44B1"/>
    <w:rsid w:val="003A4511"/>
    <w:rsid w:val="003A4595"/>
    <w:rsid w:val="003A45D3"/>
    <w:rsid w:val="003A45FB"/>
    <w:rsid w:val="003A4645"/>
    <w:rsid w:val="003A47A1"/>
    <w:rsid w:val="003A47A2"/>
    <w:rsid w:val="003A47B4"/>
    <w:rsid w:val="003A487B"/>
    <w:rsid w:val="003A4913"/>
    <w:rsid w:val="003A494E"/>
    <w:rsid w:val="003A4B4E"/>
    <w:rsid w:val="003A4C5E"/>
    <w:rsid w:val="003A4C67"/>
    <w:rsid w:val="003A4D1B"/>
    <w:rsid w:val="003A4D4B"/>
    <w:rsid w:val="003A4D7B"/>
    <w:rsid w:val="003A4D87"/>
    <w:rsid w:val="003A4D8F"/>
    <w:rsid w:val="003A4D9B"/>
    <w:rsid w:val="003A4DF5"/>
    <w:rsid w:val="003A4E43"/>
    <w:rsid w:val="003A4E7E"/>
    <w:rsid w:val="003A4E8E"/>
    <w:rsid w:val="003A4EC7"/>
    <w:rsid w:val="003A4FE2"/>
    <w:rsid w:val="003A4FF7"/>
    <w:rsid w:val="003A5002"/>
    <w:rsid w:val="003A5007"/>
    <w:rsid w:val="003A5057"/>
    <w:rsid w:val="003A5090"/>
    <w:rsid w:val="003A509D"/>
    <w:rsid w:val="003A535A"/>
    <w:rsid w:val="003A53DE"/>
    <w:rsid w:val="003A53F8"/>
    <w:rsid w:val="003A5484"/>
    <w:rsid w:val="003A55DE"/>
    <w:rsid w:val="003A565D"/>
    <w:rsid w:val="003A56E3"/>
    <w:rsid w:val="003A5794"/>
    <w:rsid w:val="003A57D0"/>
    <w:rsid w:val="003A585A"/>
    <w:rsid w:val="003A5875"/>
    <w:rsid w:val="003A5912"/>
    <w:rsid w:val="003A5917"/>
    <w:rsid w:val="003A592B"/>
    <w:rsid w:val="003A593D"/>
    <w:rsid w:val="003A597A"/>
    <w:rsid w:val="003A59A3"/>
    <w:rsid w:val="003A59B3"/>
    <w:rsid w:val="003A5A52"/>
    <w:rsid w:val="003A5A7F"/>
    <w:rsid w:val="003A5AC3"/>
    <w:rsid w:val="003A5B56"/>
    <w:rsid w:val="003A5B85"/>
    <w:rsid w:val="003A5C39"/>
    <w:rsid w:val="003A5C78"/>
    <w:rsid w:val="003A5CCC"/>
    <w:rsid w:val="003A5D3B"/>
    <w:rsid w:val="003A5D50"/>
    <w:rsid w:val="003A5D69"/>
    <w:rsid w:val="003A5DBA"/>
    <w:rsid w:val="003A5E7E"/>
    <w:rsid w:val="003A5EAC"/>
    <w:rsid w:val="003A5EC4"/>
    <w:rsid w:val="003A5F0D"/>
    <w:rsid w:val="003A5F1D"/>
    <w:rsid w:val="003A5F42"/>
    <w:rsid w:val="003A5F45"/>
    <w:rsid w:val="003A5F8F"/>
    <w:rsid w:val="003A5F9C"/>
    <w:rsid w:val="003A6003"/>
    <w:rsid w:val="003A6029"/>
    <w:rsid w:val="003A605E"/>
    <w:rsid w:val="003A60B1"/>
    <w:rsid w:val="003A61A4"/>
    <w:rsid w:val="003A61AD"/>
    <w:rsid w:val="003A61E5"/>
    <w:rsid w:val="003A61FA"/>
    <w:rsid w:val="003A6211"/>
    <w:rsid w:val="003A6260"/>
    <w:rsid w:val="003A62A9"/>
    <w:rsid w:val="003A6318"/>
    <w:rsid w:val="003A6471"/>
    <w:rsid w:val="003A6556"/>
    <w:rsid w:val="003A65AA"/>
    <w:rsid w:val="003A65E4"/>
    <w:rsid w:val="003A6601"/>
    <w:rsid w:val="003A6642"/>
    <w:rsid w:val="003A668B"/>
    <w:rsid w:val="003A66AB"/>
    <w:rsid w:val="003A66F3"/>
    <w:rsid w:val="003A677E"/>
    <w:rsid w:val="003A6799"/>
    <w:rsid w:val="003A679F"/>
    <w:rsid w:val="003A681C"/>
    <w:rsid w:val="003A689D"/>
    <w:rsid w:val="003A68B5"/>
    <w:rsid w:val="003A68CF"/>
    <w:rsid w:val="003A68FD"/>
    <w:rsid w:val="003A6912"/>
    <w:rsid w:val="003A6972"/>
    <w:rsid w:val="003A6988"/>
    <w:rsid w:val="003A69A7"/>
    <w:rsid w:val="003A69CD"/>
    <w:rsid w:val="003A69D4"/>
    <w:rsid w:val="003A69D6"/>
    <w:rsid w:val="003A6A9A"/>
    <w:rsid w:val="003A6A9B"/>
    <w:rsid w:val="003A6AD4"/>
    <w:rsid w:val="003A6BFC"/>
    <w:rsid w:val="003A6C24"/>
    <w:rsid w:val="003A6C29"/>
    <w:rsid w:val="003A6C7F"/>
    <w:rsid w:val="003A6D12"/>
    <w:rsid w:val="003A6D19"/>
    <w:rsid w:val="003A6D29"/>
    <w:rsid w:val="003A6D51"/>
    <w:rsid w:val="003A6D7E"/>
    <w:rsid w:val="003A6E05"/>
    <w:rsid w:val="003A6E62"/>
    <w:rsid w:val="003A6E6E"/>
    <w:rsid w:val="003A6F14"/>
    <w:rsid w:val="003A6F42"/>
    <w:rsid w:val="003A6F6D"/>
    <w:rsid w:val="003A6FA5"/>
    <w:rsid w:val="003A6FD7"/>
    <w:rsid w:val="003A7116"/>
    <w:rsid w:val="003A7248"/>
    <w:rsid w:val="003A7250"/>
    <w:rsid w:val="003A726B"/>
    <w:rsid w:val="003A72B9"/>
    <w:rsid w:val="003A7377"/>
    <w:rsid w:val="003A7397"/>
    <w:rsid w:val="003A75C3"/>
    <w:rsid w:val="003A7608"/>
    <w:rsid w:val="003A76AD"/>
    <w:rsid w:val="003A76B3"/>
    <w:rsid w:val="003A76C0"/>
    <w:rsid w:val="003A76FC"/>
    <w:rsid w:val="003A7728"/>
    <w:rsid w:val="003A7765"/>
    <w:rsid w:val="003A77B4"/>
    <w:rsid w:val="003A781A"/>
    <w:rsid w:val="003A788F"/>
    <w:rsid w:val="003A795B"/>
    <w:rsid w:val="003A79F5"/>
    <w:rsid w:val="003A7A9F"/>
    <w:rsid w:val="003A7AD6"/>
    <w:rsid w:val="003A7B33"/>
    <w:rsid w:val="003A7B62"/>
    <w:rsid w:val="003A7B71"/>
    <w:rsid w:val="003A7BDD"/>
    <w:rsid w:val="003A7C09"/>
    <w:rsid w:val="003A7C28"/>
    <w:rsid w:val="003A7C8F"/>
    <w:rsid w:val="003A7D23"/>
    <w:rsid w:val="003A7D29"/>
    <w:rsid w:val="003A7D59"/>
    <w:rsid w:val="003A7DA2"/>
    <w:rsid w:val="003A7E53"/>
    <w:rsid w:val="003A7E93"/>
    <w:rsid w:val="003A7F2E"/>
    <w:rsid w:val="003A7F4E"/>
    <w:rsid w:val="003A7F83"/>
    <w:rsid w:val="003A7F89"/>
    <w:rsid w:val="003A7FBC"/>
    <w:rsid w:val="003B00E3"/>
    <w:rsid w:val="003B00E4"/>
    <w:rsid w:val="003B0151"/>
    <w:rsid w:val="003B01DD"/>
    <w:rsid w:val="003B0211"/>
    <w:rsid w:val="003B026D"/>
    <w:rsid w:val="003B027D"/>
    <w:rsid w:val="003B02EB"/>
    <w:rsid w:val="003B0305"/>
    <w:rsid w:val="003B038E"/>
    <w:rsid w:val="003B03FD"/>
    <w:rsid w:val="003B0437"/>
    <w:rsid w:val="003B0528"/>
    <w:rsid w:val="003B05A8"/>
    <w:rsid w:val="003B0660"/>
    <w:rsid w:val="003B06D0"/>
    <w:rsid w:val="003B06D3"/>
    <w:rsid w:val="003B06E4"/>
    <w:rsid w:val="003B06EA"/>
    <w:rsid w:val="003B0701"/>
    <w:rsid w:val="003B076A"/>
    <w:rsid w:val="003B0784"/>
    <w:rsid w:val="003B07E9"/>
    <w:rsid w:val="003B083B"/>
    <w:rsid w:val="003B084C"/>
    <w:rsid w:val="003B0886"/>
    <w:rsid w:val="003B0925"/>
    <w:rsid w:val="003B096C"/>
    <w:rsid w:val="003B0976"/>
    <w:rsid w:val="003B09E1"/>
    <w:rsid w:val="003B09F3"/>
    <w:rsid w:val="003B09F7"/>
    <w:rsid w:val="003B0ACF"/>
    <w:rsid w:val="003B0B09"/>
    <w:rsid w:val="003B0B5C"/>
    <w:rsid w:val="003B0BD3"/>
    <w:rsid w:val="003B0BF5"/>
    <w:rsid w:val="003B0BF7"/>
    <w:rsid w:val="003B0C82"/>
    <w:rsid w:val="003B0CAC"/>
    <w:rsid w:val="003B0D07"/>
    <w:rsid w:val="003B0D78"/>
    <w:rsid w:val="003B0DF0"/>
    <w:rsid w:val="003B0E05"/>
    <w:rsid w:val="003B0E1C"/>
    <w:rsid w:val="003B0E59"/>
    <w:rsid w:val="003B0E5F"/>
    <w:rsid w:val="003B0ED1"/>
    <w:rsid w:val="003B0F5F"/>
    <w:rsid w:val="003B1032"/>
    <w:rsid w:val="003B10CC"/>
    <w:rsid w:val="003B10D8"/>
    <w:rsid w:val="003B10DB"/>
    <w:rsid w:val="003B10E9"/>
    <w:rsid w:val="003B10F9"/>
    <w:rsid w:val="003B1182"/>
    <w:rsid w:val="003B1221"/>
    <w:rsid w:val="003B1353"/>
    <w:rsid w:val="003B137D"/>
    <w:rsid w:val="003B13FE"/>
    <w:rsid w:val="003B1401"/>
    <w:rsid w:val="003B1474"/>
    <w:rsid w:val="003B1498"/>
    <w:rsid w:val="003B15E6"/>
    <w:rsid w:val="003B160C"/>
    <w:rsid w:val="003B161F"/>
    <w:rsid w:val="003B17F9"/>
    <w:rsid w:val="003B18A6"/>
    <w:rsid w:val="003B1912"/>
    <w:rsid w:val="003B191A"/>
    <w:rsid w:val="003B1A04"/>
    <w:rsid w:val="003B1A6A"/>
    <w:rsid w:val="003B1B45"/>
    <w:rsid w:val="003B1B4E"/>
    <w:rsid w:val="003B1B9C"/>
    <w:rsid w:val="003B1BCA"/>
    <w:rsid w:val="003B1BE0"/>
    <w:rsid w:val="003B1BE9"/>
    <w:rsid w:val="003B1BEF"/>
    <w:rsid w:val="003B1BF2"/>
    <w:rsid w:val="003B1C13"/>
    <w:rsid w:val="003B1C42"/>
    <w:rsid w:val="003B1CBE"/>
    <w:rsid w:val="003B1D35"/>
    <w:rsid w:val="003B1E5D"/>
    <w:rsid w:val="003B1E78"/>
    <w:rsid w:val="003B1EA6"/>
    <w:rsid w:val="003B1EEA"/>
    <w:rsid w:val="003B1EF1"/>
    <w:rsid w:val="003B1F35"/>
    <w:rsid w:val="003B1F9A"/>
    <w:rsid w:val="003B203D"/>
    <w:rsid w:val="003B2061"/>
    <w:rsid w:val="003B209D"/>
    <w:rsid w:val="003B215F"/>
    <w:rsid w:val="003B2168"/>
    <w:rsid w:val="003B216C"/>
    <w:rsid w:val="003B2191"/>
    <w:rsid w:val="003B2200"/>
    <w:rsid w:val="003B234C"/>
    <w:rsid w:val="003B2353"/>
    <w:rsid w:val="003B23AA"/>
    <w:rsid w:val="003B23E1"/>
    <w:rsid w:val="003B23F5"/>
    <w:rsid w:val="003B240D"/>
    <w:rsid w:val="003B2459"/>
    <w:rsid w:val="003B2479"/>
    <w:rsid w:val="003B252A"/>
    <w:rsid w:val="003B2571"/>
    <w:rsid w:val="003B25CF"/>
    <w:rsid w:val="003B25D4"/>
    <w:rsid w:val="003B25E5"/>
    <w:rsid w:val="003B2607"/>
    <w:rsid w:val="003B260C"/>
    <w:rsid w:val="003B2633"/>
    <w:rsid w:val="003B2637"/>
    <w:rsid w:val="003B278C"/>
    <w:rsid w:val="003B2798"/>
    <w:rsid w:val="003B27A4"/>
    <w:rsid w:val="003B287B"/>
    <w:rsid w:val="003B28B3"/>
    <w:rsid w:val="003B29AB"/>
    <w:rsid w:val="003B29BD"/>
    <w:rsid w:val="003B2A57"/>
    <w:rsid w:val="003B2BBE"/>
    <w:rsid w:val="003B2C25"/>
    <w:rsid w:val="003B2CAA"/>
    <w:rsid w:val="003B2DB9"/>
    <w:rsid w:val="003B2E71"/>
    <w:rsid w:val="003B2EAE"/>
    <w:rsid w:val="003B2EB5"/>
    <w:rsid w:val="003B2ED1"/>
    <w:rsid w:val="003B2EF1"/>
    <w:rsid w:val="003B2F08"/>
    <w:rsid w:val="003B2F2F"/>
    <w:rsid w:val="003B2F3C"/>
    <w:rsid w:val="003B2F3D"/>
    <w:rsid w:val="003B2F4A"/>
    <w:rsid w:val="003B2F93"/>
    <w:rsid w:val="003B2FB3"/>
    <w:rsid w:val="003B3078"/>
    <w:rsid w:val="003B3083"/>
    <w:rsid w:val="003B3097"/>
    <w:rsid w:val="003B319F"/>
    <w:rsid w:val="003B31A0"/>
    <w:rsid w:val="003B3214"/>
    <w:rsid w:val="003B3240"/>
    <w:rsid w:val="003B3264"/>
    <w:rsid w:val="003B328F"/>
    <w:rsid w:val="003B32F8"/>
    <w:rsid w:val="003B3317"/>
    <w:rsid w:val="003B3339"/>
    <w:rsid w:val="003B3356"/>
    <w:rsid w:val="003B33F7"/>
    <w:rsid w:val="003B341B"/>
    <w:rsid w:val="003B3463"/>
    <w:rsid w:val="003B348F"/>
    <w:rsid w:val="003B350F"/>
    <w:rsid w:val="003B3557"/>
    <w:rsid w:val="003B3569"/>
    <w:rsid w:val="003B3580"/>
    <w:rsid w:val="003B3597"/>
    <w:rsid w:val="003B35AE"/>
    <w:rsid w:val="003B35D1"/>
    <w:rsid w:val="003B361B"/>
    <w:rsid w:val="003B389D"/>
    <w:rsid w:val="003B38F5"/>
    <w:rsid w:val="003B3926"/>
    <w:rsid w:val="003B3974"/>
    <w:rsid w:val="003B3992"/>
    <w:rsid w:val="003B3A00"/>
    <w:rsid w:val="003B3A2D"/>
    <w:rsid w:val="003B3B68"/>
    <w:rsid w:val="003B3C8C"/>
    <w:rsid w:val="003B3CA0"/>
    <w:rsid w:val="003B3CCE"/>
    <w:rsid w:val="003B3D46"/>
    <w:rsid w:val="003B3DBD"/>
    <w:rsid w:val="003B3DDC"/>
    <w:rsid w:val="003B3F02"/>
    <w:rsid w:val="003B3F11"/>
    <w:rsid w:val="003B3F29"/>
    <w:rsid w:val="003B3FD7"/>
    <w:rsid w:val="003B3FEE"/>
    <w:rsid w:val="003B400A"/>
    <w:rsid w:val="003B4011"/>
    <w:rsid w:val="003B4057"/>
    <w:rsid w:val="003B4062"/>
    <w:rsid w:val="003B413C"/>
    <w:rsid w:val="003B41A2"/>
    <w:rsid w:val="003B41B1"/>
    <w:rsid w:val="003B4297"/>
    <w:rsid w:val="003B42C2"/>
    <w:rsid w:val="003B432E"/>
    <w:rsid w:val="003B4352"/>
    <w:rsid w:val="003B4376"/>
    <w:rsid w:val="003B43B7"/>
    <w:rsid w:val="003B43F0"/>
    <w:rsid w:val="003B4565"/>
    <w:rsid w:val="003B4582"/>
    <w:rsid w:val="003B45B5"/>
    <w:rsid w:val="003B45C2"/>
    <w:rsid w:val="003B45E6"/>
    <w:rsid w:val="003B4648"/>
    <w:rsid w:val="003B464B"/>
    <w:rsid w:val="003B466C"/>
    <w:rsid w:val="003B468D"/>
    <w:rsid w:val="003B46A0"/>
    <w:rsid w:val="003B46CA"/>
    <w:rsid w:val="003B473B"/>
    <w:rsid w:val="003B476F"/>
    <w:rsid w:val="003B4773"/>
    <w:rsid w:val="003B4780"/>
    <w:rsid w:val="003B4794"/>
    <w:rsid w:val="003B47DD"/>
    <w:rsid w:val="003B4809"/>
    <w:rsid w:val="003B4821"/>
    <w:rsid w:val="003B493B"/>
    <w:rsid w:val="003B495F"/>
    <w:rsid w:val="003B4992"/>
    <w:rsid w:val="003B49B6"/>
    <w:rsid w:val="003B49BC"/>
    <w:rsid w:val="003B49C8"/>
    <w:rsid w:val="003B49CA"/>
    <w:rsid w:val="003B4A06"/>
    <w:rsid w:val="003B4A1C"/>
    <w:rsid w:val="003B4B13"/>
    <w:rsid w:val="003B4B96"/>
    <w:rsid w:val="003B4BAE"/>
    <w:rsid w:val="003B4BAF"/>
    <w:rsid w:val="003B4BB7"/>
    <w:rsid w:val="003B4CBC"/>
    <w:rsid w:val="003B4CE8"/>
    <w:rsid w:val="003B4D1A"/>
    <w:rsid w:val="003B4E09"/>
    <w:rsid w:val="003B4E5E"/>
    <w:rsid w:val="003B4FF9"/>
    <w:rsid w:val="003B5028"/>
    <w:rsid w:val="003B504C"/>
    <w:rsid w:val="003B5058"/>
    <w:rsid w:val="003B50DB"/>
    <w:rsid w:val="003B5141"/>
    <w:rsid w:val="003B51E2"/>
    <w:rsid w:val="003B5354"/>
    <w:rsid w:val="003B53A5"/>
    <w:rsid w:val="003B53EC"/>
    <w:rsid w:val="003B5410"/>
    <w:rsid w:val="003B5429"/>
    <w:rsid w:val="003B563D"/>
    <w:rsid w:val="003B5669"/>
    <w:rsid w:val="003B5688"/>
    <w:rsid w:val="003B56D0"/>
    <w:rsid w:val="003B5773"/>
    <w:rsid w:val="003B57D8"/>
    <w:rsid w:val="003B5807"/>
    <w:rsid w:val="003B589E"/>
    <w:rsid w:val="003B58E0"/>
    <w:rsid w:val="003B5926"/>
    <w:rsid w:val="003B592C"/>
    <w:rsid w:val="003B5938"/>
    <w:rsid w:val="003B5945"/>
    <w:rsid w:val="003B5948"/>
    <w:rsid w:val="003B595D"/>
    <w:rsid w:val="003B5975"/>
    <w:rsid w:val="003B5988"/>
    <w:rsid w:val="003B59B5"/>
    <w:rsid w:val="003B5A81"/>
    <w:rsid w:val="003B5AE9"/>
    <w:rsid w:val="003B5BAF"/>
    <w:rsid w:val="003B5BC0"/>
    <w:rsid w:val="003B5C1F"/>
    <w:rsid w:val="003B5C51"/>
    <w:rsid w:val="003B5D81"/>
    <w:rsid w:val="003B5DF1"/>
    <w:rsid w:val="003B5E3D"/>
    <w:rsid w:val="003B5E87"/>
    <w:rsid w:val="003B5ED0"/>
    <w:rsid w:val="003B5EE1"/>
    <w:rsid w:val="003B5EFE"/>
    <w:rsid w:val="003B5F3F"/>
    <w:rsid w:val="003B5F6E"/>
    <w:rsid w:val="003B5FB4"/>
    <w:rsid w:val="003B5FBA"/>
    <w:rsid w:val="003B6055"/>
    <w:rsid w:val="003B6068"/>
    <w:rsid w:val="003B60DD"/>
    <w:rsid w:val="003B6100"/>
    <w:rsid w:val="003B621B"/>
    <w:rsid w:val="003B6254"/>
    <w:rsid w:val="003B6281"/>
    <w:rsid w:val="003B629B"/>
    <w:rsid w:val="003B62F3"/>
    <w:rsid w:val="003B63D4"/>
    <w:rsid w:val="003B63F0"/>
    <w:rsid w:val="003B6405"/>
    <w:rsid w:val="003B6415"/>
    <w:rsid w:val="003B6442"/>
    <w:rsid w:val="003B6449"/>
    <w:rsid w:val="003B646B"/>
    <w:rsid w:val="003B64AE"/>
    <w:rsid w:val="003B654C"/>
    <w:rsid w:val="003B65B5"/>
    <w:rsid w:val="003B65E2"/>
    <w:rsid w:val="003B6658"/>
    <w:rsid w:val="003B667E"/>
    <w:rsid w:val="003B6699"/>
    <w:rsid w:val="003B66AE"/>
    <w:rsid w:val="003B66E9"/>
    <w:rsid w:val="003B66EA"/>
    <w:rsid w:val="003B6715"/>
    <w:rsid w:val="003B6733"/>
    <w:rsid w:val="003B6799"/>
    <w:rsid w:val="003B67A7"/>
    <w:rsid w:val="003B67E4"/>
    <w:rsid w:val="003B6809"/>
    <w:rsid w:val="003B68E2"/>
    <w:rsid w:val="003B68FE"/>
    <w:rsid w:val="003B6983"/>
    <w:rsid w:val="003B69B1"/>
    <w:rsid w:val="003B6AB7"/>
    <w:rsid w:val="003B6B27"/>
    <w:rsid w:val="003B6B70"/>
    <w:rsid w:val="003B6BC8"/>
    <w:rsid w:val="003B6BEA"/>
    <w:rsid w:val="003B6C59"/>
    <w:rsid w:val="003B6C9F"/>
    <w:rsid w:val="003B6CAE"/>
    <w:rsid w:val="003B6CCF"/>
    <w:rsid w:val="003B6CED"/>
    <w:rsid w:val="003B6CF3"/>
    <w:rsid w:val="003B6DB2"/>
    <w:rsid w:val="003B6E15"/>
    <w:rsid w:val="003B6E4B"/>
    <w:rsid w:val="003B6E57"/>
    <w:rsid w:val="003B6F8A"/>
    <w:rsid w:val="003B6FCE"/>
    <w:rsid w:val="003B6FFC"/>
    <w:rsid w:val="003B70B2"/>
    <w:rsid w:val="003B70B7"/>
    <w:rsid w:val="003B7198"/>
    <w:rsid w:val="003B71B0"/>
    <w:rsid w:val="003B71E3"/>
    <w:rsid w:val="003B7228"/>
    <w:rsid w:val="003B7272"/>
    <w:rsid w:val="003B7279"/>
    <w:rsid w:val="003B72C2"/>
    <w:rsid w:val="003B72EA"/>
    <w:rsid w:val="003B7319"/>
    <w:rsid w:val="003B732B"/>
    <w:rsid w:val="003B73FE"/>
    <w:rsid w:val="003B752F"/>
    <w:rsid w:val="003B753A"/>
    <w:rsid w:val="003B7541"/>
    <w:rsid w:val="003B75DF"/>
    <w:rsid w:val="003B763F"/>
    <w:rsid w:val="003B76EA"/>
    <w:rsid w:val="003B774B"/>
    <w:rsid w:val="003B7792"/>
    <w:rsid w:val="003B783C"/>
    <w:rsid w:val="003B785B"/>
    <w:rsid w:val="003B7860"/>
    <w:rsid w:val="003B7862"/>
    <w:rsid w:val="003B793A"/>
    <w:rsid w:val="003B79C7"/>
    <w:rsid w:val="003B79DE"/>
    <w:rsid w:val="003B7A27"/>
    <w:rsid w:val="003B7A74"/>
    <w:rsid w:val="003B7A8A"/>
    <w:rsid w:val="003B7A9B"/>
    <w:rsid w:val="003B7AB9"/>
    <w:rsid w:val="003B7B21"/>
    <w:rsid w:val="003B7B6A"/>
    <w:rsid w:val="003B7B98"/>
    <w:rsid w:val="003B7C0A"/>
    <w:rsid w:val="003B7C14"/>
    <w:rsid w:val="003B7C3C"/>
    <w:rsid w:val="003B7C42"/>
    <w:rsid w:val="003B7D0A"/>
    <w:rsid w:val="003B7D27"/>
    <w:rsid w:val="003B7D63"/>
    <w:rsid w:val="003B7DA3"/>
    <w:rsid w:val="003B7DE1"/>
    <w:rsid w:val="003B7DEB"/>
    <w:rsid w:val="003B7DFD"/>
    <w:rsid w:val="003B7E05"/>
    <w:rsid w:val="003B7E45"/>
    <w:rsid w:val="003B7E50"/>
    <w:rsid w:val="003B7E5F"/>
    <w:rsid w:val="003B7F62"/>
    <w:rsid w:val="003C0085"/>
    <w:rsid w:val="003C01C8"/>
    <w:rsid w:val="003C01D2"/>
    <w:rsid w:val="003C0220"/>
    <w:rsid w:val="003C0290"/>
    <w:rsid w:val="003C02D4"/>
    <w:rsid w:val="003C0371"/>
    <w:rsid w:val="003C03CF"/>
    <w:rsid w:val="003C0452"/>
    <w:rsid w:val="003C046D"/>
    <w:rsid w:val="003C0532"/>
    <w:rsid w:val="003C0580"/>
    <w:rsid w:val="003C05A6"/>
    <w:rsid w:val="003C0606"/>
    <w:rsid w:val="003C080C"/>
    <w:rsid w:val="003C0850"/>
    <w:rsid w:val="003C08A0"/>
    <w:rsid w:val="003C0948"/>
    <w:rsid w:val="003C09E8"/>
    <w:rsid w:val="003C0A12"/>
    <w:rsid w:val="003C0B4F"/>
    <w:rsid w:val="003C0CBD"/>
    <w:rsid w:val="003C0D11"/>
    <w:rsid w:val="003C0D39"/>
    <w:rsid w:val="003C0D46"/>
    <w:rsid w:val="003C0D8E"/>
    <w:rsid w:val="003C0D8F"/>
    <w:rsid w:val="003C0E08"/>
    <w:rsid w:val="003C0E11"/>
    <w:rsid w:val="003C0E57"/>
    <w:rsid w:val="003C0E80"/>
    <w:rsid w:val="003C0EB1"/>
    <w:rsid w:val="003C0ECA"/>
    <w:rsid w:val="003C0EED"/>
    <w:rsid w:val="003C0F08"/>
    <w:rsid w:val="003C0F60"/>
    <w:rsid w:val="003C0F91"/>
    <w:rsid w:val="003C104F"/>
    <w:rsid w:val="003C1100"/>
    <w:rsid w:val="003C1136"/>
    <w:rsid w:val="003C1158"/>
    <w:rsid w:val="003C11C3"/>
    <w:rsid w:val="003C11DD"/>
    <w:rsid w:val="003C124D"/>
    <w:rsid w:val="003C12A1"/>
    <w:rsid w:val="003C12C9"/>
    <w:rsid w:val="003C1345"/>
    <w:rsid w:val="003C1348"/>
    <w:rsid w:val="003C1371"/>
    <w:rsid w:val="003C13B1"/>
    <w:rsid w:val="003C13E0"/>
    <w:rsid w:val="003C140B"/>
    <w:rsid w:val="003C140D"/>
    <w:rsid w:val="003C1415"/>
    <w:rsid w:val="003C153E"/>
    <w:rsid w:val="003C15EC"/>
    <w:rsid w:val="003C161C"/>
    <w:rsid w:val="003C1641"/>
    <w:rsid w:val="003C16F4"/>
    <w:rsid w:val="003C176D"/>
    <w:rsid w:val="003C1798"/>
    <w:rsid w:val="003C17E4"/>
    <w:rsid w:val="003C1867"/>
    <w:rsid w:val="003C18AE"/>
    <w:rsid w:val="003C18D5"/>
    <w:rsid w:val="003C18EB"/>
    <w:rsid w:val="003C197C"/>
    <w:rsid w:val="003C19D6"/>
    <w:rsid w:val="003C19F0"/>
    <w:rsid w:val="003C1A11"/>
    <w:rsid w:val="003C1AA6"/>
    <w:rsid w:val="003C1AC7"/>
    <w:rsid w:val="003C1B99"/>
    <w:rsid w:val="003C1D09"/>
    <w:rsid w:val="003C1DA5"/>
    <w:rsid w:val="003C1E03"/>
    <w:rsid w:val="003C1F14"/>
    <w:rsid w:val="003C1F27"/>
    <w:rsid w:val="003C1FDF"/>
    <w:rsid w:val="003C2138"/>
    <w:rsid w:val="003C2212"/>
    <w:rsid w:val="003C2249"/>
    <w:rsid w:val="003C2291"/>
    <w:rsid w:val="003C22B9"/>
    <w:rsid w:val="003C22C0"/>
    <w:rsid w:val="003C2336"/>
    <w:rsid w:val="003C236D"/>
    <w:rsid w:val="003C2508"/>
    <w:rsid w:val="003C25EC"/>
    <w:rsid w:val="003C260F"/>
    <w:rsid w:val="003C2623"/>
    <w:rsid w:val="003C26CC"/>
    <w:rsid w:val="003C26E6"/>
    <w:rsid w:val="003C2739"/>
    <w:rsid w:val="003C274F"/>
    <w:rsid w:val="003C2810"/>
    <w:rsid w:val="003C28A9"/>
    <w:rsid w:val="003C2912"/>
    <w:rsid w:val="003C293B"/>
    <w:rsid w:val="003C2944"/>
    <w:rsid w:val="003C2998"/>
    <w:rsid w:val="003C29DA"/>
    <w:rsid w:val="003C2A33"/>
    <w:rsid w:val="003C2A3D"/>
    <w:rsid w:val="003C2A4D"/>
    <w:rsid w:val="003C2A8A"/>
    <w:rsid w:val="003C2AAA"/>
    <w:rsid w:val="003C2B41"/>
    <w:rsid w:val="003C2C8D"/>
    <w:rsid w:val="003C2CA2"/>
    <w:rsid w:val="003C2D66"/>
    <w:rsid w:val="003C2D80"/>
    <w:rsid w:val="003C2D8D"/>
    <w:rsid w:val="003C2E3D"/>
    <w:rsid w:val="003C2EAA"/>
    <w:rsid w:val="003C2EAB"/>
    <w:rsid w:val="003C2F04"/>
    <w:rsid w:val="003C2F36"/>
    <w:rsid w:val="003C2F3F"/>
    <w:rsid w:val="003C3014"/>
    <w:rsid w:val="003C302E"/>
    <w:rsid w:val="003C305C"/>
    <w:rsid w:val="003C3086"/>
    <w:rsid w:val="003C30A1"/>
    <w:rsid w:val="003C3128"/>
    <w:rsid w:val="003C3179"/>
    <w:rsid w:val="003C320D"/>
    <w:rsid w:val="003C328C"/>
    <w:rsid w:val="003C3292"/>
    <w:rsid w:val="003C32A4"/>
    <w:rsid w:val="003C32DF"/>
    <w:rsid w:val="003C32E3"/>
    <w:rsid w:val="003C32E9"/>
    <w:rsid w:val="003C334C"/>
    <w:rsid w:val="003C33B4"/>
    <w:rsid w:val="003C3411"/>
    <w:rsid w:val="003C3450"/>
    <w:rsid w:val="003C34A7"/>
    <w:rsid w:val="003C3509"/>
    <w:rsid w:val="003C35C6"/>
    <w:rsid w:val="003C364B"/>
    <w:rsid w:val="003C36CD"/>
    <w:rsid w:val="003C3798"/>
    <w:rsid w:val="003C379E"/>
    <w:rsid w:val="003C37A1"/>
    <w:rsid w:val="003C3803"/>
    <w:rsid w:val="003C3867"/>
    <w:rsid w:val="003C38D1"/>
    <w:rsid w:val="003C38FC"/>
    <w:rsid w:val="003C39CA"/>
    <w:rsid w:val="003C3A57"/>
    <w:rsid w:val="003C3A80"/>
    <w:rsid w:val="003C3AB9"/>
    <w:rsid w:val="003C3B53"/>
    <w:rsid w:val="003C3C2A"/>
    <w:rsid w:val="003C3C2B"/>
    <w:rsid w:val="003C3CD2"/>
    <w:rsid w:val="003C3CEC"/>
    <w:rsid w:val="003C3CF2"/>
    <w:rsid w:val="003C3D51"/>
    <w:rsid w:val="003C3D92"/>
    <w:rsid w:val="003C3DC3"/>
    <w:rsid w:val="003C3DCD"/>
    <w:rsid w:val="003C3DF6"/>
    <w:rsid w:val="003C3E42"/>
    <w:rsid w:val="003C3E72"/>
    <w:rsid w:val="003C3EA9"/>
    <w:rsid w:val="003C3EE6"/>
    <w:rsid w:val="003C3EF3"/>
    <w:rsid w:val="003C3F83"/>
    <w:rsid w:val="003C3FE3"/>
    <w:rsid w:val="003C4051"/>
    <w:rsid w:val="003C4061"/>
    <w:rsid w:val="003C41EA"/>
    <w:rsid w:val="003C42AE"/>
    <w:rsid w:val="003C4313"/>
    <w:rsid w:val="003C4317"/>
    <w:rsid w:val="003C4352"/>
    <w:rsid w:val="003C435F"/>
    <w:rsid w:val="003C4437"/>
    <w:rsid w:val="003C444F"/>
    <w:rsid w:val="003C4474"/>
    <w:rsid w:val="003C447E"/>
    <w:rsid w:val="003C4487"/>
    <w:rsid w:val="003C44C9"/>
    <w:rsid w:val="003C44F9"/>
    <w:rsid w:val="003C450C"/>
    <w:rsid w:val="003C4514"/>
    <w:rsid w:val="003C453F"/>
    <w:rsid w:val="003C455E"/>
    <w:rsid w:val="003C4580"/>
    <w:rsid w:val="003C4599"/>
    <w:rsid w:val="003C460C"/>
    <w:rsid w:val="003C4622"/>
    <w:rsid w:val="003C463B"/>
    <w:rsid w:val="003C4646"/>
    <w:rsid w:val="003C4671"/>
    <w:rsid w:val="003C46A5"/>
    <w:rsid w:val="003C46AB"/>
    <w:rsid w:val="003C46CE"/>
    <w:rsid w:val="003C475B"/>
    <w:rsid w:val="003C48E6"/>
    <w:rsid w:val="003C4916"/>
    <w:rsid w:val="003C4A11"/>
    <w:rsid w:val="003C4A3D"/>
    <w:rsid w:val="003C4AED"/>
    <w:rsid w:val="003C4B21"/>
    <w:rsid w:val="003C4B2C"/>
    <w:rsid w:val="003C4BC0"/>
    <w:rsid w:val="003C4CCA"/>
    <w:rsid w:val="003C4D5D"/>
    <w:rsid w:val="003C4D6A"/>
    <w:rsid w:val="003C4D82"/>
    <w:rsid w:val="003C4E1B"/>
    <w:rsid w:val="003C4E8C"/>
    <w:rsid w:val="003C4EC2"/>
    <w:rsid w:val="003C4F53"/>
    <w:rsid w:val="003C4F7C"/>
    <w:rsid w:val="003C4FC1"/>
    <w:rsid w:val="003C4FF6"/>
    <w:rsid w:val="003C5000"/>
    <w:rsid w:val="003C5034"/>
    <w:rsid w:val="003C5050"/>
    <w:rsid w:val="003C5054"/>
    <w:rsid w:val="003C50B1"/>
    <w:rsid w:val="003C515B"/>
    <w:rsid w:val="003C51CB"/>
    <w:rsid w:val="003C51F5"/>
    <w:rsid w:val="003C51F8"/>
    <w:rsid w:val="003C5248"/>
    <w:rsid w:val="003C52DE"/>
    <w:rsid w:val="003C5327"/>
    <w:rsid w:val="003C5334"/>
    <w:rsid w:val="003C53B8"/>
    <w:rsid w:val="003C53D1"/>
    <w:rsid w:val="003C53DE"/>
    <w:rsid w:val="003C5495"/>
    <w:rsid w:val="003C5599"/>
    <w:rsid w:val="003C5628"/>
    <w:rsid w:val="003C56B5"/>
    <w:rsid w:val="003C580E"/>
    <w:rsid w:val="003C586B"/>
    <w:rsid w:val="003C58C5"/>
    <w:rsid w:val="003C5928"/>
    <w:rsid w:val="003C5937"/>
    <w:rsid w:val="003C59AC"/>
    <w:rsid w:val="003C59D3"/>
    <w:rsid w:val="003C59D6"/>
    <w:rsid w:val="003C5A07"/>
    <w:rsid w:val="003C5A2B"/>
    <w:rsid w:val="003C5A5B"/>
    <w:rsid w:val="003C5A99"/>
    <w:rsid w:val="003C5AC9"/>
    <w:rsid w:val="003C5AD0"/>
    <w:rsid w:val="003C5B0A"/>
    <w:rsid w:val="003C5B5D"/>
    <w:rsid w:val="003C5B6C"/>
    <w:rsid w:val="003C5C76"/>
    <w:rsid w:val="003C5CBB"/>
    <w:rsid w:val="003C5CE9"/>
    <w:rsid w:val="003C5D52"/>
    <w:rsid w:val="003C5DAB"/>
    <w:rsid w:val="003C5DAF"/>
    <w:rsid w:val="003C5E0B"/>
    <w:rsid w:val="003C5E7B"/>
    <w:rsid w:val="003C5EE3"/>
    <w:rsid w:val="003C5F02"/>
    <w:rsid w:val="003C5F0A"/>
    <w:rsid w:val="003C5FFA"/>
    <w:rsid w:val="003C6045"/>
    <w:rsid w:val="003C605D"/>
    <w:rsid w:val="003C6093"/>
    <w:rsid w:val="003C60DE"/>
    <w:rsid w:val="003C6111"/>
    <w:rsid w:val="003C6118"/>
    <w:rsid w:val="003C61AC"/>
    <w:rsid w:val="003C61EE"/>
    <w:rsid w:val="003C61FC"/>
    <w:rsid w:val="003C6250"/>
    <w:rsid w:val="003C6260"/>
    <w:rsid w:val="003C631F"/>
    <w:rsid w:val="003C63B1"/>
    <w:rsid w:val="003C63EC"/>
    <w:rsid w:val="003C6420"/>
    <w:rsid w:val="003C642B"/>
    <w:rsid w:val="003C642F"/>
    <w:rsid w:val="003C646C"/>
    <w:rsid w:val="003C64B7"/>
    <w:rsid w:val="003C6508"/>
    <w:rsid w:val="003C650E"/>
    <w:rsid w:val="003C6519"/>
    <w:rsid w:val="003C6540"/>
    <w:rsid w:val="003C65B6"/>
    <w:rsid w:val="003C65F1"/>
    <w:rsid w:val="003C6645"/>
    <w:rsid w:val="003C66D6"/>
    <w:rsid w:val="003C6753"/>
    <w:rsid w:val="003C675D"/>
    <w:rsid w:val="003C6762"/>
    <w:rsid w:val="003C67E8"/>
    <w:rsid w:val="003C6806"/>
    <w:rsid w:val="003C6878"/>
    <w:rsid w:val="003C68BB"/>
    <w:rsid w:val="003C68C6"/>
    <w:rsid w:val="003C68D3"/>
    <w:rsid w:val="003C698B"/>
    <w:rsid w:val="003C6A30"/>
    <w:rsid w:val="003C6A4F"/>
    <w:rsid w:val="003C6B2B"/>
    <w:rsid w:val="003C6BBF"/>
    <w:rsid w:val="003C6C2F"/>
    <w:rsid w:val="003C6C7F"/>
    <w:rsid w:val="003C6C8E"/>
    <w:rsid w:val="003C6D09"/>
    <w:rsid w:val="003C6D27"/>
    <w:rsid w:val="003C6D2E"/>
    <w:rsid w:val="003C6D6F"/>
    <w:rsid w:val="003C6DB0"/>
    <w:rsid w:val="003C6E1F"/>
    <w:rsid w:val="003C6E26"/>
    <w:rsid w:val="003C6FE0"/>
    <w:rsid w:val="003C700F"/>
    <w:rsid w:val="003C70F4"/>
    <w:rsid w:val="003C70F6"/>
    <w:rsid w:val="003C71A0"/>
    <w:rsid w:val="003C72AD"/>
    <w:rsid w:val="003C72B2"/>
    <w:rsid w:val="003C72E8"/>
    <w:rsid w:val="003C7393"/>
    <w:rsid w:val="003C73EE"/>
    <w:rsid w:val="003C7442"/>
    <w:rsid w:val="003C74E6"/>
    <w:rsid w:val="003C7525"/>
    <w:rsid w:val="003C75B0"/>
    <w:rsid w:val="003C75C0"/>
    <w:rsid w:val="003C7619"/>
    <w:rsid w:val="003C763A"/>
    <w:rsid w:val="003C767F"/>
    <w:rsid w:val="003C76AA"/>
    <w:rsid w:val="003C7708"/>
    <w:rsid w:val="003C771E"/>
    <w:rsid w:val="003C7789"/>
    <w:rsid w:val="003C77E3"/>
    <w:rsid w:val="003C77E7"/>
    <w:rsid w:val="003C7842"/>
    <w:rsid w:val="003C7845"/>
    <w:rsid w:val="003C785B"/>
    <w:rsid w:val="003C7868"/>
    <w:rsid w:val="003C78B8"/>
    <w:rsid w:val="003C78C5"/>
    <w:rsid w:val="003C78CD"/>
    <w:rsid w:val="003C790A"/>
    <w:rsid w:val="003C7966"/>
    <w:rsid w:val="003C79C6"/>
    <w:rsid w:val="003C7C77"/>
    <w:rsid w:val="003C7C93"/>
    <w:rsid w:val="003C7CAA"/>
    <w:rsid w:val="003C7CDB"/>
    <w:rsid w:val="003C7D7C"/>
    <w:rsid w:val="003C7DE8"/>
    <w:rsid w:val="003C7E05"/>
    <w:rsid w:val="003C7E5C"/>
    <w:rsid w:val="003C7E88"/>
    <w:rsid w:val="003C7EB0"/>
    <w:rsid w:val="003C7EE5"/>
    <w:rsid w:val="003C7EFA"/>
    <w:rsid w:val="003C7F7A"/>
    <w:rsid w:val="003C7F91"/>
    <w:rsid w:val="003C7FCD"/>
    <w:rsid w:val="003D0022"/>
    <w:rsid w:val="003D0094"/>
    <w:rsid w:val="003D00D8"/>
    <w:rsid w:val="003D00F4"/>
    <w:rsid w:val="003D010D"/>
    <w:rsid w:val="003D0141"/>
    <w:rsid w:val="003D0142"/>
    <w:rsid w:val="003D022A"/>
    <w:rsid w:val="003D023D"/>
    <w:rsid w:val="003D0240"/>
    <w:rsid w:val="003D0270"/>
    <w:rsid w:val="003D0320"/>
    <w:rsid w:val="003D0366"/>
    <w:rsid w:val="003D047D"/>
    <w:rsid w:val="003D0530"/>
    <w:rsid w:val="003D06AC"/>
    <w:rsid w:val="003D06E1"/>
    <w:rsid w:val="003D077E"/>
    <w:rsid w:val="003D0788"/>
    <w:rsid w:val="003D07F9"/>
    <w:rsid w:val="003D082D"/>
    <w:rsid w:val="003D087A"/>
    <w:rsid w:val="003D08B4"/>
    <w:rsid w:val="003D0991"/>
    <w:rsid w:val="003D09BC"/>
    <w:rsid w:val="003D09F8"/>
    <w:rsid w:val="003D0A27"/>
    <w:rsid w:val="003D0A66"/>
    <w:rsid w:val="003D0ADF"/>
    <w:rsid w:val="003D0B83"/>
    <w:rsid w:val="003D0C74"/>
    <w:rsid w:val="003D0C95"/>
    <w:rsid w:val="003D0CA2"/>
    <w:rsid w:val="003D0CEF"/>
    <w:rsid w:val="003D0D65"/>
    <w:rsid w:val="003D0E1F"/>
    <w:rsid w:val="003D0E26"/>
    <w:rsid w:val="003D0E2A"/>
    <w:rsid w:val="003D0E3C"/>
    <w:rsid w:val="003D0E65"/>
    <w:rsid w:val="003D0F8C"/>
    <w:rsid w:val="003D0FCA"/>
    <w:rsid w:val="003D1066"/>
    <w:rsid w:val="003D110D"/>
    <w:rsid w:val="003D1115"/>
    <w:rsid w:val="003D11A8"/>
    <w:rsid w:val="003D1212"/>
    <w:rsid w:val="003D1230"/>
    <w:rsid w:val="003D1249"/>
    <w:rsid w:val="003D125F"/>
    <w:rsid w:val="003D12A2"/>
    <w:rsid w:val="003D12CA"/>
    <w:rsid w:val="003D12D7"/>
    <w:rsid w:val="003D1330"/>
    <w:rsid w:val="003D1386"/>
    <w:rsid w:val="003D148C"/>
    <w:rsid w:val="003D1569"/>
    <w:rsid w:val="003D15CF"/>
    <w:rsid w:val="003D15D9"/>
    <w:rsid w:val="003D1663"/>
    <w:rsid w:val="003D16AE"/>
    <w:rsid w:val="003D170A"/>
    <w:rsid w:val="003D1744"/>
    <w:rsid w:val="003D174F"/>
    <w:rsid w:val="003D1791"/>
    <w:rsid w:val="003D17BE"/>
    <w:rsid w:val="003D1930"/>
    <w:rsid w:val="003D19A9"/>
    <w:rsid w:val="003D19BB"/>
    <w:rsid w:val="003D1AEB"/>
    <w:rsid w:val="003D1BDD"/>
    <w:rsid w:val="003D1BFB"/>
    <w:rsid w:val="003D1CBF"/>
    <w:rsid w:val="003D1CEA"/>
    <w:rsid w:val="003D1D86"/>
    <w:rsid w:val="003D1DA1"/>
    <w:rsid w:val="003D1DD5"/>
    <w:rsid w:val="003D1E34"/>
    <w:rsid w:val="003D1ECD"/>
    <w:rsid w:val="003D1F0C"/>
    <w:rsid w:val="003D1F57"/>
    <w:rsid w:val="003D1F60"/>
    <w:rsid w:val="003D1F89"/>
    <w:rsid w:val="003D1F9C"/>
    <w:rsid w:val="003D204D"/>
    <w:rsid w:val="003D210B"/>
    <w:rsid w:val="003D2164"/>
    <w:rsid w:val="003D21A8"/>
    <w:rsid w:val="003D21E2"/>
    <w:rsid w:val="003D2224"/>
    <w:rsid w:val="003D2257"/>
    <w:rsid w:val="003D22C0"/>
    <w:rsid w:val="003D22C7"/>
    <w:rsid w:val="003D22FF"/>
    <w:rsid w:val="003D232F"/>
    <w:rsid w:val="003D2441"/>
    <w:rsid w:val="003D248D"/>
    <w:rsid w:val="003D249E"/>
    <w:rsid w:val="003D24A9"/>
    <w:rsid w:val="003D25D3"/>
    <w:rsid w:val="003D26D8"/>
    <w:rsid w:val="003D2756"/>
    <w:rsid w:val="003D278E"/>
    <w:rsid w:val="003D27AB"/>
    <w:rsid w:val="003D285A"/>
    <w:rsid w:val="003D2878"/>
    <w:rsid w:val="003D28BB"/>
    <w:rsid w:val="003D291A"/>
    <w:rsid w:val="003D291C"/>
    <w:rsid w:val="003D2923"/>
    <w:rsid w:val="003D292F"/>
    <w:rsid w:val="003D29A5"/>
    <w:rsid w:val="003D2B0A"/>
    <w:rsid w:val="003D2B17"/>
    <w:rsid w:val="003D2B24"/>
    <w:rsid w:val="003D2C65"/>
    <w:rsid w:val="003D2D10"/>
    <w:rsid w:val="003D2D99"/>
    <w:rsid w:val="003D2DA8"/>
    <w:rsid w:val="003D2E3E"/>
    <w:rsid w:val="003D2E69"/>
    <w:rsid w:val="003D2F43"/>
    <w:rsid w:val="003D2F5B"/>
    <w:rsid w:val="003D2FA8"/>
    <w:rsid w:val="003D2FC4"/>
    <w:rsid w:val="003D2FE7"/>
    <w:rsid w:val="003D3032"/>
    <w:rsid w:val="003D303D"/>
    <w:rsid w:val="003D30C2"/>
    <w:rsid w:val="003D3130"/>
    <w:rsid w:val="003D319C"/>
    <w:rsid w:val="003D31B6"/>
    <w:rsid w:val="003D31FE"/>
    <w:rsid w:val="003D3244"/>
    <w:rsid w:val="003D329E"/>
    <w:rsid w:val="003D32F1"/>
    <w:rsid w:val="003D33C9"/>
    <w:rsid w:val="003D33F7"/>
    <w:rsid w:val="003D341F"/>
    <w:rsid w:val="003D343E"/>
    <w:rsid w:val="003D3494"/>
    <w:rsid w:val="003D3509"/>
    <w:rsid w:val="003D3590"/>
    <w:rsid w:val="003D35F0"/>
    <w:rsid w:val="003D3652"/>
    <w:rsid w:val="003D36FF"/>
    <w:rsid w:val="003D374F"/>
    <w:rsid w:val="003D3804"/>
    <w:rsid w:val="003D384F"/>
    <w:rsid w:val="003D3904"/>
    <w:rsid w:val="003D390A"/>
    <w:rsid w:val="003D390C"/>
    <w:rsid w:val="003D3913"/>
    <w:rsid w:val="003D3A20"/>
    <w:rsid w:val="003D3A58"/>
    <w:rsid w:val="003D3A7E"/>
    <w:rsid w:val="003D3B94"/>
    <w:rsid w:val="003D3BDC"/>
    <w:rsid w:val="003D3C26"/>
    <w:rsid w:val="003D3C84"/>
    <w:rsid w:val="003D3CDE"/>
    <w:rsid w:val="003D3D09"/>
    <w:rsid w:val="003D3E29"/>
    <w:rsid w:val="003D3E30"/>
    <w:rsid w:val="003D3EC8"/>
    <w:rsid w:val="003D3F19"/>
    <w:rsid w:val="003D3F1E"/>
    <w:rsid w:val="003D3F49"/>
    <w:rsid w:val="003D3F73"/>
    <w:rsid w:val="003D3F7A"/>
    <w:rsid w:val="003D3FB6"/>
    <w:rsid w:val="003D4024"/>
    <w:rsid w:val="003D402A"/>
    <w:rsid w:val="003D40A2"/>
    <w:rsid w:val="003D40E2"/>
    <w:rsid w:val="003D4193"/>
    <w:rsid w:val="003D4281"/>
    <w:rsid w:val="003D42B6"/>
    <w:rsid w:val="003D42D1"/>
    <w:rsid w:val="003D437A"/>
    <w:rsid w:val="003D43FA"/>
    <w:rsid w:val="003D444F"/>
    <w:rsid w:val="003D4495"/>
    <w:rsid w:val="003D449D"/>
    <w:rsid w:val="003D44A0"/>
    <w:rsid w:val="003D44A2"/>
    <w:rsid w:val="003D44A7"/>
    <w:rsid w:val="003D44DE"/>
    <w:rsid w:val="003D4558"/>
    <w:rsid w:val="003D45E5"/>
    <w:rsid w:val="003D462C"/>
    <w:rsid w:val="003D4643"/>
    <w:rsid w:val="003D4669"/>
    <w:rsid w:val="003D466D"/>
    <w:rsid w:val="003D474F"/>
    <w:rsid w:val="003D477D"/>
    <w:rsid w:val="003D479A"/>
    <w:rsid w:val="003D47FF"/>
    <w:rsid w:val="003D48D5"/>
    <w:rsid w:val="003D4907"/>
    <w:rsid w:val="003D4950"/>
    <w:rsid w:val="003D4997"/>
    <w:rsid w:val="003D49BE"/>
    <w:rsid w:val="003D4B10"/>
    <w:rsid w:val="003D4B36"/>
    <w:rsid w:val="003D4BA3"/>
    <w:rsid w:val="003D4C2E"/>
    <w:rsid w:val="003D4C52"/>
    <w:rsid w:val="003D4C6C"/>
    <w:rsid w:val="003D4C84"/>
    <w:rsid w:val="003D4C9C"/>
    <w:rsid w:val="003D4CBD"/>
    <w:rsid w:val="003D4CE5"/>
    <w:rsid w:val="003D4D40"/>
    <w:rsid w:val="003D4D4A"/>
    <w:rsid w:val="003D4D73"/>
    <w:rsid w:val="003D4D8E"/>
    <w:rsid w:val="003D4DD0"/>
    <w:rsid w:val="003D4DEA"/>
    <w:rsid w:val="003D4DFA"/>
    <w:rsid w:val="003D4E1E"/>
    <w:rsid w:val="003D4EC1"/>
    <w:rsid w:val="003D4ED9"/>
    <w:rsid w:val="003D4F18"/>
    <w:rsid w:val="003D4F27"/>
    <w:rsid w:val="003D4F59"/>
    <w:rsid w:val="003D5057"/>
    <w:rsid w:val="003D5067"/>
    <w:rsid w:val="003D511F"/>
    <w:rsid w:val="003D5123"/>
    <w:rsid w:val="003D5161"/>
    <w:rsid w:val="003D5185"/>
    <w:rsid w:val="003D5215"/>
    <w:rsid w:val="003D5229"/>
    <w:rsid w:val="003D52F4"/>
    <w:rsid w:val="003D5398"/>
    <w:rsid w:val="003D5399"/>
    <w:rsid w:val="003D53BC"/>
    <w:rsid w:val="003D53D1"/>
    <w:rsid w:val="003D541A"/>
    <w:rsid w:val="003D555E"/>
    <w:rsid w:val="003D5576"/>
    <w:rsid w:val="003D55B7"/>
    <w:rsid w:val="003D55B8"/>
    <w:rsid w:val="003D55EC"/>
    <w:rsid w:val="003D563D"/>
    <w:rsid w:val="003D56BD"/>
    <w:rsid w:val="003D571F"/>
    <w:rsid w:val="003D5736"/>
    <w:rsid w:val="003D5850"/>
    <w:rsid w:val="003D5877"/>
    <w:rsid w:val="003D58B5"/>
    <w:rsid w:val="003D59AE"/>
    <w:rsid w:val="003D5A59"/>
    <w:rsid w:val="003D5B27"/>
    <w:rsid w:val="003D5B68"/>
    <w:rsid w:val="003D5B7C"/>
    <w:rsid w:val="003D5CEE"/>
    <w:rsid w:val="003D5D50"/>
    <w:rsid w:val="003D5DD8"/>
    <w:rsid w:val="003D5E71"/>
    <w:rsid w:val="003D600C"/>
    <w:rsid w:val="003D6010"/>
    <w:rsid w:val="003D60CA"/>
    <w:rsid w:val="003D6183"/>
    <w:rsid w:val="003D61B5"/>
    <w:rsid w:val="003D62B3"/>
    <w:rsid w:val="003D63C8"/>
    <w:rsid w:val="003D63E0"/>
    <w:rsid w:val="003D64A8"/>
    <w:rsid w:val="003D64CB"/>
    <w:rsid w:val="003D64F2"/>
    <w:rsid w:val="003D6546"/>
    <w:rsid w:val="003D6579"/>
    <w:rsid w:val="003D65A3"/>
    <w:rsid w:val="003D65C5"/>
    <w:rsid w:val="003D65E8"/>
    <w:rsid w:val="003D65F3"/>
    <w:rsid w:val="003D65F7"/>
    <w:rsid w:val="003D65F8"/>
    <w:rsid w:val="003D6652"/>
    <w:rsid w:val="003D6711"/>
    <w:rsid w:val="003D676F"/>
    <w:rsid w:val="003D6771"/>
    <w:rsid w:val="003D67A7"/>
    <w:rsid w:val="003D67D6"/>
    <w:rsid w:val="003D67E0"/>
    <w:rsid w:val="003D6806"/>
    <w:rsid w:val="003D683A"/>
    <w:rsid w:val="003D687A"/>
    <w:rsid w:val="003D6920"/>
    <w:rsid w:val="003D6928"/>
    <w:rsid w:val="003D6975"/>
    <w:rsid w:val="003D6983"/>
    <w:rsid w:val="003D6A9F"/>
    <w:rsid w:val="003D6B48"/>
    <w:rsid w:val="003D6B4A"/>
    <w:rsid w:val="003D6B4D"/>
    <w:rsid w:val="003D6BB9"/>
    <w:rsid w:val="003D6BEF"/>
    <w:rsid w:val="003D6C52"/>
    <w:rsid w:val="003D6CF8"/>
    <w:rsid w:val="003D6D06"/>
    <w:rsid w:val="003D6D40"/>
    <w:rsid w:val="003D6D98"/>
    <w:rsid w:val="003D6D99"/>
    <w:rsid w:val="003D6DED"/>
    <w:rsid w:val="003D6E46"/>
    <w:rsid w:val="003D6E76"/>
    <w:rsid w:val="003D6EA1"/>
    <w:rsid w:val="003D6EAB"/>
    <w:rsid w:val="003D6ECF"/>
    <w:rsid w:val="003D6F1A"/>
    <w:rsid w:val="003D6F5F"/>
    <w:rsid w:val="003D6F6C"/>
    <w:rsid w:val="003D6F6E"/>
    <w:rsid w:val="003D6FAE"/>
    <w:rsid w:val="003D6FF7"/>
    <w:rsid w:val="003D7070"/>
    <w:rsid w:val="003D70B7"/>
    <w:rsid w:val="003D7119"/>
    <w:rsid w:val="003D7136"/>
    <w:rsid w:val="003D7139"/>
    <w:rsid w:val="003D720D"/>
    <w:rsid w:val="003D721C"/>
    <w:rsid w:val="003D723F"/>
    <w:rsid w:val="003D7259"/>
    <w:rsid w:val="003D72DF"/>
    <w:rsid w:val="003D73A4"/>
    <w:rsid w:val="003D740F"/>
    <w:rsid w:val="003D7426"/>
    <w:rsid w:val="003D7556"/>
    <w:rsid w:val="003D7581"/>
    <w:rsid w:val="003D75E6"/>
    <w:rsid w:val="003D760A"/>
    <w:rsid w:val="003D761F"/>
    <w:rsid w:val="003D7730"/>
    <w:rsid w:val="003D77E7"/>
    <w:rsid w:val="003D7A06"/>
    <w:rsid w:val="003D7A07"/>
    <w:rsid w:val="003D7A18"/>
    <w:rsid w:val="003D7A42"/>
    <w:rsid w:val="003D7AF9"/>
    <w:rsid w:val="003D7B4A"/>
    <w:rsid w:val="003D7B5E"/>
    <w:rsid w:val="003D7C63"/>
    <w:rsid w:val="003D7CC6"/>
    <w:rsid w:val="003D7CD4"/>
    <w:rsid w:val="003D7CD5"/>
    <w:rsid w:val="003D7D8A"/>
    <w:rsid w:val="003D7DCD"/>
    <w:rsid w:val="003D7DE4"/>
    <w:rsid w:val="003D7DE6"/>
    <w:rsid w:val="003D7E93"/>
    <w:rsid w:val="003D7F75"/>
    <w:rsid w:val="003E0120"/>
    <w:rsid w:val="003E0130"/>
    <w:rsid w:val="003E0160"/>
    <w:rsid w:val="003E01DD"/>
    <w:rsid w:val="003E01F1"/>
    <w:rsid w:val="003E020F"/>
    <w:rsid w:val="003E0240"/>
    <w:rsid w:val="003E0273"/>
    <w:rsid w:val="003E02A6"/>
    <w:rsid w:val="003E02EE"/>
    <w:rsid w:val="003E02F4"/>
    <w:rsid w:val="003E02FB"/>
    <w:rsid w:val="003E03C2"/>
    <w:rsid w:val="003E0481"/>
    <w:rsid w:val="003E048F"/>
    <w:rsid w:val="003E0505"/>
    <w:rsid w:val="003E0559"/>
    <w:rsid w:val="003E05F8"/>
    <w:rsid w:val="003E063B"/>
    <w:rsid w:val="003E063C"/>
    <w:rsid w:val="003E0687"/>
    <w:rsid w:val="003E068C"/>
    <w:rsid w:val="003E0748"/>
    <w:rsid w:val="003E07E6"/>
    <w:rsid w:val="003E083C"/>
    <w:rsid w:val="003E08FF"/>
    <w:rsid w:val="003E090E"/>
    <w:rsid w:val="003E091F"/>
    <w:rsid w:val="003E0925"/>
    <w:rsid w:val="003E092A"/>
    <w:rsid w:val="003E09BD"/>
    <w:rsid w:val="003E0B43"/>
    <w:rsid w:val="003E0B4A"/>
    <w:rsid w:val="003E0B82"/>
    <w:rsid w:val="003E0B8E"/>
    <w:rsid w:val="003E0BB3"/>
    <w:rsid w:val="003E0BDD"/>
    <w:rsid w:val="003E0C17"/>
    <w:rsid w:val="003E0C7B"/>
    <w:rsid w:val="003E0CFA"/>
    <w:rsid w:val="003E0D60"/>
    <w:rsid w:val="003E0DCF"/>
    <w:rsid w:val="003E0E4F"/>
    <w:rsid w:val="003E0EC8"/>
    <w:rsid w:val="003E0EE8"/>
    <w:rsid w:val="003E0EF2"/>
    <w:rsid w:val="003E0F03"/>
    <w:rsid w:val="003E0F6A"/>
    <w:rsid w:val="003E0F96"/>
    <w:rsid w:val="003E1013"/>
    <w:rsid w:val="003E10B4"/>
    <w:rsid w:val="003E10F8"/>
    <w:rsid w:val="003E10FC"/>
    <w:rsid w:val="003E112D"/>
    <w:rsid w:val="003E114A"/>
    <w:rsid w:val="003E1184"/>
    <w:rsid w:val="003E1223"/>
    <w:rsid w:val="003E123B"/>
    <w:rsid w:val="003E13E4"/>
    <w:rsid w:val="003E140D"/>
    <w:rsid w:val="003E1465"/>
    <w:rsid w:val="003E1485"/>
    <w:rsid w:val="003E14FB"/>
    <w:rsid w:val="003E1593"/>
    <w:rsid w:val="003E15E3"/>
    <w:rsid w:val="003E1630"/>
    <w:rsid w:val="003E1660"/>
    <w:rsid w:val="003E1678"/>
    <w:rsid w:val="003E1718"/>
    <w:rsid w:val="003E1721"/>
    <w:rsid w:val="003E1777"/>
    <w:rsid w:val="003E1792"/>
    <w:rsid w:val="003E1939"/>
    <w:rsid w:val="003E1A20"/>
    <w:rsid w:val="003E1A32"/>
    <w:rsid w:val="003E1AFD"/>
    <w:rsid w:val="003E1B95"/>
    <w:rsid w:val="003E1C53"/>
    <w:rsid w:val="003E1C86"/>
    <w:rsid w:val="003E1D09"/>
    <w:rsid w:val="003E1E3B"/>
    <w:rsid w:val="003E1E48"/>
    <w:rsid w:val="003E1E84"/>
    <w:rsid w:val="003E1E8A"/>
    <w:rsid w:val="003E1F12"/>
    <w:rsid w:val="003E1F45"/>
    <w:rsid w:val="003E1F4F"/>
    <w:rsid w:val="003E1FC1"/>
    <w:rsid w:val="003E1FC3"/>
    <w:rsid w:val="003E2033"/>
    <w:rsid w:val="003E2038"/>
    <w:rsid w:val="003E2043"/>
    <w:rsid w:val="003E2070"/>
    <w:rsid w:val="003E20D9"/>
    <w:rsid w:val="003E20E7"/>
    <w:rsid w:val="003E2169"/>
    <w:rsid w:val="003E218B"/>
    <w:rsid w:val="003E21EB"/>
    <w:rsid w:val="003E21ED"/>
    <w:rsid w:val="003E225D"/>
    <w:rsid w:val="003E2307"/>
    <w:rsid w:val="003E231F"/>
    <w:rsid w:val="003E2361"/>
    <w:rsid w:val="003E246A"/>
    <w:rsid w:val="003E248B"/>
    <w:rsid w:val="003E2496"/>
    <w:rsid w:val="003E24BF"/>
    <w:rsid w:val="003E2502"/>
    <w:rsid w:val="003E257D"/>
    <w:rsid w:val="003E259B"/>
    <w:rsid w:val="003E25EE"/>
    <w:rsid w:val="003E2600"/>
    <w:rsid w:val="003E263C"/>
    <w:rsid w:val="003E2695"/>
    <w:rsid w:val="003E2713"/>
    <w:rsid w:val="003E2775"/>
    <w:rsid w:val="003E2797"/>
    <w:rsid w:val="003E284D"/>
    <w:rsid w:val="003E2854"/>
    <w:rsid w:val="003E2896"/>
    <w:rsid w:val="003E289F"/>
    <w:rsid w:val="003E28C5"/>
    <w:rsid w:val="003E291D"/>
    <w:rsid w:val="003E2946"/>
    <w:rsid w:val="003E294A"/>
    <w:rsid w:val="003E296E"/>
    <w:rsid w:val="003E299A"/>
    <w:rsid w:val="003E2A63"/>
    <w:rsid w:val="003E2A96"/>
    <w:rsid w:val="003E2AA6"/>
    <w:rsid w:val="003E2B2E"/>
    <w:rsid w:val="003E2B45"/>
    <w:rsid w:val="003E2B5F"/>
    <w:rsid w:val="003E2C1F"/>
    <w:rsid w:val="003E2C77"/>
    <w:rsid w:val="003E2C81"/>
    <w:rsid w:val="003E2CAD"/>
    <w:rsid w:val="003E2CEF"/>
    <w:rsid w:val="003E2D20"/>
    <w:rsid w:val="003E2D3B"/>
    <w:rsid w:val="003E2E38"/>
    <w:rsid w:val="003E2E43"/>
    <w:rsid w:val="003E2E46"/>
    <w:rsid w:val="003E2ED2"/>
    <w:rsid w:val="003E2F0B"/>
    <w:rsid w:val="003E2F2F"/>
    <w:rsid w:val="003E2F65"/>
    <w:rsid w:val="003E3073"/>
    <w:rsid w:val="003E30B8"/>
    <w:rsid w:val="003E3130"/>
    <w:rsid w:val="003E3220"/>
    <w:rsid w:val="003E3271"/>
    <w:rsid w:val="003E3393"/>
    <w:rsid w:val="003E33B6"/>
    <w:rsid w:val="003E33F9"/>
    <w:rsid w:val="003E3493"/>
    <w:rsid w:val="003E34B1"/>
    <w:rsid w:val="003E34EA"/>
    <w:rsid w:val="003E3520"/>
    <w:rsid w:val="003E354E"/>
    <w:rsid w:val="003E35A2"/>
    <w:rsid w:val="003E35AB"/>
    <w:rsid w:val="003E35B5"/>
    <w:rsid w:val="003E368C"/>
    <w:rsid w:val="003E36A3"/>
    <w:rsid w:val="003E3709"/>
    <w:rsid w:val="003E37A1"/>
    <w:rsid w:val="003E37FD"/>
    <w:rsid w:val="003E38B0"/>
    <w:rsid w:val="003E3916"/>
    <w:rsid w:val="003E39C0"/>
    <w:rsid w:val="003E3A12"/>
    <w:rsid w:val="003E3A27"/>
    <w:rsid w:val="003E3A3D"/>
    <w:rsid w:val="003E3A62"/>
    <w:rsid w:val="003E3A84"/>
    <w:rsid w:val="003E3B25"/>
    <w:rsid w:val="003E3B70"/>
    <w:rsid w:val="003E3BB5"/>
    <w:rsid w:val="003E3C05"/>
    <w:rsid w:val="003E3C97"/>
    <w:rsid w:val="003E3CA4"/>
    <w:rsid w:val="003E3CE2"/>
    <w:rsid w:val="003E3D3F"/>
    <w:rsid w:val="003E3D6C"/>
    <w:rsid w:val="003E3DB7"/>
    <w:rsid w:val="003E3E1E"/>
    <w:rsid w:val="003E3E24"/>
    <w:rsid w:val="003E3F05"/>
    <w:rsid w:val="003E3F26"/>
    <w:rsid w:val="003E3F88"/>
    <w:rsid w:val="003E3FA9"/>
    <w:rsid w:val="003E4039"/>
    <w:rsid w:val="003E4049"/>
    <w:rsid w:val="003E4064"/>
    <w:rsid w:val="003E4070"/>
    <w:rsid w:val="003E40A7"/>
    <w:rsid w:val="003E413B"/>
    <w:rsid w:val="003E4144"/>
    <w:rsid w:val="003E4165"/>
    <w:rsid w:val="003E41A7"/>
    <w:rsid w:val="003E41F4"/>
    <w:rsid w:val="003E420D"/>
    <w:rsid w:val="003E4235"/>
    <w:rsid w:val="003E4258"/>
    <w:rsid w:val="003E4311"/>
    <w:rsid w:val="003E4328"/>
    <w:rsid w:val="003E434D"/>
    <w:rsid w:val="003E4398"/>
    <w:rsid w:val="003E4416"/>
    <w:rsid w:val="003E4485"/>
    <w:rsid w:val="003E449E"/>
    <w:rsid w:val="003E4637"/>
    <w:rsid w:val="003E46FE"/>
    <w:rsid w:val="003E4721"/>
    <w:rsid w:val="003E472B"/>
    <w:rsid w:val="003E4750"/>
    <w:rsid w:val="003E47B7"/>
    <w:rsid w:val="003E4889"/>
    <w:rsid w:val="003E48A0"/>
    <w:rsid w:val="003E48BF"/>
    <w:rsid w:val="003E48DC"/>
    <w:rsid w:val="003E490A"/>
    <w:rsid w:val="003E4925"/>
    <w:rsid w:val="003E492C"/>
    <w:rsid w:val="003E4976"/>
    <w:rsid w:val="003E497C"/>
    <w:rsid w:val="003E49DB"/>
    <w:rsid w:val="003E49F6"/>
    <w:rsid w:val="003E49F8"/>
    <w:rsid w:val="003E49FA"/>
    <w:rsid w:val="003E4A66"/>
    <w:rsid w:val="003E4AC4"/>
    <w:rsid w:val="003E4AF3"/>
    <w:rsid w:val="003E4CAC"/>
    <w:rsid w:val="003E4CFA"/>
    <w:rsid w:val="003E4D3E"/>
    <w:rsid w:val="003E4D66"/>
    <w:rsid w:val="003E4D87"/>
    <w:rsid w:val="003E4DCF"/>
    <w:rsid w:val="003E4E69"/>
    <w:rsid w:val="003E4EAC"/>
    <w:rsid w:val="003E4F70"/>
    <w:rsid w:val="003E4F76"/>
    <w:rsid w:val="003E4FDC"/>
    <w:rsid w:val="003E5007"/>
    <w:rsid w:val="003E509E"/>
    <w:rsid w:val="003E50DC"/>
    <w:rsid w:val="003E5188"/>
    <w:rsid w:val="003E51A0"/>
    <w:rsid w:val="003E51C2"/>
    <w:rsid w:val="003E51E4"/>
    <w:rsid w:val="003E51F7"/>
    <w:rsid w:val="003E5252"/>
    <w:rsid w:val="003E535E"/>
    <w:rsid w:val="003E5384"/>
    <w:rsid w:val="003E53E4"/>
    <w:rsid w:val="003E5403"/>
    <w:rsid w:val="003E544E"/>
    <w:rsid w:val="003E5454"/>
    <w:rsid w:val="003E5551"/>
    <w:rsid w:val="003E5582"/>
    <w:rsid w:val="003E5712"/>
    <w:rsid w:val="003E584A"/>
    <w:rsid w:val="003E58C1"/>
    <w:rsid w:val="003E5938"/>
    <w:rsid w:val="003E594E"/>
    <w:rsid w:val="003E59F6"/>
    <w:rsid w:val="003E5A7B"/>
    <w:rsid w:val="003E5AAD"/>
    <w:rsid w:val="003E5B19"/>
    <w:rsid w:val="003E5B4D"/>
    <w:rsid w:val="003E5B75"/>
    <w:rsid w:val="003E5C2C"/>
    <w:rsid w:val="003E5C65"/>
    <w:rsid w:val="003E5CB0"/>
    <w:rsid w:val="003E5DAF"/>
    <w:rsid w:val="003E5DBF"/>
    <w:rsid w:val="003E5DE5"/>
    <w:rsid w:val="003E5E7C"/>
    <w:rsid w:val="003E5E91"/>
    <w:rsid w:val="003E5F6F"/>
    <w:rsid w:val="003E603B"/>
    <w:rsid w:val="003E6049"/>
    <w:rsid w:val="003E6078"/>
    <w:rsid w:val="003E611D"/>
    <w:rsid w:val="003E6136"/>
    <w:rsid w:val="003E6188"/>
    <w:rsid w:val="003E61EF"/>
    <w:rsid w:val="003E6208"/>
    <w:rsid w:val="003E627F"/>
    <w:rsid w:val="003E62C4"/>
    <w:rsid w:val="003E62F3"/>
    <w:rsid w:val="003E642B"/>
    <w:rsid w:val="003E645A"/>
    <w:rsid w:val="003E648B"/>
    <w:rsid w:val="003E6508"/>
    <w:rsid w:val="003E65F9"/>
    <w:rsid w:val="003E6625"/>
    <w:rsid w:val="003E66B2"/>
    <w:rsid w:val="003E66B9"/>
    <w:rsid w:val="003E6764"/>
    <w:rsid w:val="003E6768"/>
    <w:rsid w:val="003E67DC"/>
    <w:rsid w:val="003E6800"/>
    <w:rsid w:val="003E6880"/>
    <w:rsid w:val="003E68EF"/>
    <w:rsid w:val="003E6912"/>
    <w:rsid w:val="003E6915"/>
    <w:rsid w:val="003E692F"/>
    <w:rsid w:val="003E6931"/>
    <w:rsid w:val="003E6946"/>
    <w:rsid w:val="003E696B"/>
    <w:rsid w:val="003E699F"/>
    <w:rsid w:val="003E69CE"/>
    <w:rsid w:val="003E69EA"/>
    <w:rsid w:val="003E6A08"/>
    <w:rsid w:val="003E6A38"/>
    <w:rsid w:val="003E6A8A"/>
    <w:rsid w:val="003E6B37"/>
    <w:rsid w:val="003E6B62"/>
    <w:rsid w:val="003E6B8C"/>
    <w:rsid w:val="003E6B90"/>
    <w:rsid w:val="003E6B98"/>
    <w:rsid w:val="003E6BBF"/>
    <w:rsid w:val="003E6C1F"/>
    <w:rsid w:val="003E6C26"/>
    <w:rsid w:val="003E6CC0"/>
    <w:rsid w:val="003E6D42"/>
    <w:rsid w:val="003E6D6D"/>
    <w:rsid w:val="003E6D81"/>
    <w:rsid w:val="003E6DB7"/>
    <w:rsid w:val="003E6F0F"/>
    <w:rsid w:val="003E6F40"/>
    <w:rsid w:val="003E6F65"/>
    <w:rsid w:val="003E6F6C"/>
    <w:rsid w:val="003E6F8E"/>
    <w:rsid w:val="003E6F92"/>
    <w:rsid w:val="003E6F9E"/>
    <w:rsid w:val="003E6FBF"/>
    <w:rsid w:val="003E6FCA"/>
    <w:rsid w:val="003E7018"/>
    <w:rsid w:val="003E70A2"/>
    <w:rsid w:val="003E70F1"/>
    <w:rsid w:val="003E7103"/>
    <w:rsid w:val="003E7211"/>
    <w:rsid w:val="003E7225"/>
    <w:rsid w:val="003E725A"/>
    <w:rsid w:val="003E7332"/>
    <w:rsid w:val="003E7335"/>
    <w:rsid w:val="003E73C4"/>
    <w:rsid w:val="003E742A"/>
    <w:rsid w:val="003E74FB"/>
    <w:rsid w:val="003E758E"/>
    <w:rsid w:val="003E760F"/>
    <w:rsid w:val="003E7699"/>
    <w:rsid w:val="003E769A"/>
    <w:rsid w:val="003E76E4"/>
    <w:rsid w:val="003E7760"/>
    <w:rsid w:val="003E7798"/>
    <w:rsid w:val="003E787E"/>
    <w:rsid w:val="003E78AC"/>
    <w:rsid w:val="003E78B2"/>
    <w:rsid w:val="003E796F"/>
    <w:rsid w:val="003E7986"/>
    <w:rsid w:val="003E79E9"/>
    <w:rsid w:val="003E7A5E"/>
    <w:rsid w:val="003E7A8C"/>
    <w:rsid w:val="003E7AB8"/>
    <w:rsid w:val="003E7B15"/>
    <w:rsid w:val="003E7B52"/>
    <w:rsid w:val="003E7BB5"/>
    <w:rsid w:val="003E7C7C"/>
    <w:rsid w:val="003E7C88"/>
    <w:rsid w:val="003E7CA4"/>
    <w:rsid w:val="003E7D31"/>
    <w:rsid w:val="003E7D6D"/>
    <w:rsid w:val="003E7D9F"/>
    <w:rsid w:val="003E7E04"/>
    <w:rsid w:val="003E7EEA"/>
    <w:rsid w:val="003F0004"/>
    <w:rsid w:val="003F008C"/>
    <w:rsid w:val="003F0091"/>
    <w:rsid w:val="003F00B9"/>
    <w:rsid w:val="003F00D7"/>
    <w:rsid w:val="003F015A"/>
    <w:rsid w:val="003F0182"/>
    <w:rsid w:val="003F01E1"/>
    <w:rsid w:val="003F01F2"/>
    <w:rsid w:val="003F01F6"/>
    <w:rsid w:val="003F021F"/>
    <w:rsid w:val="003F0247"/>
    <w:rsid w:val="003F0265"/>
    <w:rsid w:val="003F02CC"/>
    <w:rsid w:val="003F03A4"/>
    <w:rsid w:val="003F03F1"/>
    <w:rsid w:val="003F0415"/>
    <w:rsid w:val="003F0423"/>
    <w:rsid w:val="003F045A"/>
    <w:rsid w:val="003F04AA"/>
    <w:rsid w:val="003F04AF"/>
    <w:rsid w:val="003F04CE"/>
    <w:rsid w:val="003F053D"/>
    <w:rsid w:val="003F0545"/>
    <w:rsid w:val="003F0589"/>
    <w:rsid w:val="003F0647"/>
    <w:rsid w:val="003F066C"/>
    <w:rsid w:val="003F0875"/>
    <w:rsid w:val="003F0915"/>
    <w:rsid w:val="003F0934"/>
    <w:rsid w:val="003F0958"/>
    <w:rsid w:val="003F09A9"/>
    <w:rsid w:val="003F0ACF"/>
    <w:rsid w:val="003F0AF9"/>
    <w:rsid w:val="003F0B01"/>
    <w:rsid w:val="003F0B6F"/>
    <w:rsid w:val="003F0D17"/>
    <w:rsid w:val="003F0DEE"/>
    <w:rsid w:val="003F0E2C"/>
    <w:rsid w:val="003F0EC1"/>
    <w:rsid w:val="003F0EDF"/>
    <w:rsid w:val="003F0EE2"/>
    <w:rsid w:val="003F0F5B"/>
    <w:rsid w:val="003F0F85"/>
    <w:rsid w:val="003F0F8E"/>
    <w:rsid w:val="003F0F9F"/>
    <w:rsid w:val="003F100E"/>
    <w:rsid w:val="003F101C"/>
    <w:rsid w:val="003F1040"/>
    <w:rsid w:val="003F10A7"/>
    <w:rsid w:val="003F1172"/>
    <w:rsid w:val="003F11C6"/>
    <w:rsid w:val="003F1266"/>
    <w:rsid w:val="003F126D"/>
    <w:rsid w:val="003F12D8"/>
    <w:rsid w:val="003F1326"/>
    <w:rsid w:val="003F139E"/>
    <w:rsid w:val="003F13AA"/>
    <w:rsid w:val="003F13B7"/>
    <w:rsid w:val="003F13F6"/>
    <w:rsid w:val="003F14A4"/>
    <w:rsid w:val="003F14BF"/>
    <w:rsid w:val="003F1592"/>
    <w:rsid w:val="003F15ED"/>
    <w:rsid w:val="003F1683"/>
    <w:rsid w:val="003F1745"/>
    <w:rsid w:val="003F17C2"/>
    <w:rsid w:val="003F196C"/>
    <w:rsid w:val="003F19AA"/>
    <w:rsid w:val="003F19D6"/>
    <w:rsid w:val="003F19F5"/>
    <w:rsid w:val="003F1A56"/>
    <w:rsid w:val="003F1AA3"/>
    <w:rsid w:val="003F1B5A"/>
    <w:rsid w:val="003F1B67"/>
    <w:rsid w:val="003F1BF0"/>
    <w:rsid w:val="003F1C6C"/>
    <w:rsid w:val="003F1C91"/>
    <w:rsid w:val="003F1CBB"/>
    <w:rsid w:val="003F1CDF"/>
    <w:rsid w:val="003F1D87"/>
    <w:rsid w:val="003F1E18"/>
    <w:rsid w:val="003F1E82"/>
    <w:rsid w:val="003F1F40"/>
    <w:rsid w:val="003F1F8F"/>
    <w:rsid w:val="003F1FF1"/>
    <w:rsid w:val="003F200E"/>
    <w:rsid w:val="003F2045"/>
    <w:rsid w:val="003F2049"/>
    <w:rsid w:val="003F2082"/>
    <w:rsid w:val="003F2107"/>
    <w:rsid w:val="003F2111"/>
    <w:rsid w:val="003F2123"/>
    <w:rsid w:val="003F215F"/>
    <w:rsid w:val="003F223F"/>
    <w:rsid w:val="003F2326"/>
    <w:rsid w:val="003F2359"/>
    <w:rsid w:val="003F2364"/>
    <w:rsid w:val="003F237A"/>
    <w:rsid w:val="003F23B2"/>
    <w:rsid w:val="003F23F9"/>
    <w:rsid w:val="003F2494"/>
    <w:rsid w:val="003F249F"/>
    <w:rsid w:val="003F24E0"/>
    <w:rsid w:val="003F2524"/>
    <w:rsid w:val="003F2722"/>
    <w:rsid w:val="003F275A"/>
    <w:rsid w:val="003F27B9"/>
    <w:rsid w:val="003F27CB"/>
    <w:rsid w:val="003F2973"/>
    <w:rsid w:val="003F29B0"/>
    <w:rsid w:val="003F29D1"/>
    <w:rsid w:val="003F2A27"/>
    <w:rsid w:val="003F2A59"/>
    <w:rsid w:val="003F2A67"/>
    <w:rsid w:val="003F2A74"/>
    <w:rsid w:val="003F2B4B"/>
    <w:rsid w:val="003F2B8E"/>
    <w:rsid w:val="003F2BD0"/>
    <w:rsid w:val="003F2C62"/>
    <w:rsid w:val="003F2C7A"/>
    <w:rsid w:val="003F2CDF"/>
    <w:rsid w:val="003F2CE4"/>
    <w:rsid w:val="003F2D3B"/>
    <w:rsid w:val="003F2DDC"/>
    <w:rsid w:val="003F2DDF"/>
    <w:rsid w:val="003F2E1B"/>
    <w:rsid w:val="003F2E6A"/>
    <w:rsid w:val="003F2F53"/>
    <w:rsid w:val="003F2F5D"/>
    <w:rsid w:val="003F2FB2"/>
    <w:rsid w:val="003F3097"/>
    <w:rsid w:val="003F30ED"/>
    <w:rsid w:val="003F3123"/>
    <w:rsid w:val="003F3124"/>
    <w:rsid w:val="003F3142"/>
    <w:rsid w:val="003F3154"/>
    <w:rsid w:val="003F3162"/>
    <w:rsid w:val="003F316D"/>
    <w:rsid w:val="003F3172"/>
    <w:rsid w:val="003F31E4"/>
    <w:rsid w:val="003F3205"/>
    <w:rsid w:val="003F329A"/>
    <w:rsid w:val="003F3344"/>
    <w:rsid w:val="003F335C"/>
    <w:rsid w:val="003F335E"/>
    <w:rsid w:val="003F3450"/>
    <w:rsid w:val="003F3513"/>
    <w:rsid w:val="003F351D"/>
    <w:rsid w:val="003F3520"/>
    <w:rsid w:val="003F3565"/>
    <w:rsid w:val="003F35AF"/>
    <w:rsid w:val="003F3663"/>
    <w:rsid w:val="003F3697"/>
    <w:rsid w:val="003F36E2"/>
    <w:rsid w:val="003F3707"/>
    <w:rsid w:val="003F3716"/>
    <w:rsid w:val="003F3726"/>
    <w:rsid w:val="003F3770"/>
    <w:rsid w:val="003F37A0"/>
    <w:rsid w:val="003F37F7"/>
    <w:rsid w:val="003F396A"/>
    <w:rsid w:val="003F3979"/>
    <w:rsid w:val="003F3A3A"/>
    <w:rsid w:val="003F3A44"/>
    <w:rsid w:val="003F3A8F"/>
    <w:rsid w:val="003F3AF4"/>
    <w:rsid w:val="003F3B7B"/>
    <w:rsid w:val="003F3B8F"/>
    <w:rsid w:val="003F3B91"/>
    <w:rsid w:val="003F3BD7"/>
    <w:rsid w:val="003F3BF6"/>
    <w:rsid w:val="003F3C99"/>
    <w:rsid w:val="003F3CE8"/>
    <w:rsid w:val="003F3D05"/>
    <w:rsid w:val="003F3D22"/>
    <w:rsid w:val="003F3DC7"/>
    <w:rsid w:val="003F3EA0"/>
    <w:rsid w:val="003F3EA5"/>
    <w:rsid w:val="003F3EB5"/>
    <w:rsid w:val="003F3EDF"/>
    <w:rsid w:val="003F3FB6"/>
    <w:rsid w:val="003F4072"/>
    <w:rsid w:val="003F40B7"/>
    <w:rsid w:val="003F40D6"/>
    <w:rsid w:val="003F4177"/>
    <w:rsid w:val="003F41B1"/>
    <w:rsid w:val="003F41E8"/>
    <w:rsid w:val="003F4426"/>
    <w:rsid w:val="003F4468"/>
    <w:rsid w:val="003F4472"/>
    <w:rsid w:val="003F448D"/>
    <w:rsid w:val="003F4497"/>
    <w:rsid w:val="003F44E2"/>
    <w:rsid w:val="003F451E"/>
    <w:rsid w:val="003F4556"/>
    <w:rsid w:val="003F4567"/>
    <w:rsid w:val="003F4581"/>
    <w:rsid w:val="003F459D"/>
    <w:rsid w:val="003F45A2"/>
    <w:rsid w:val="003F45BF"/>
    <w:rsid w:val="003F45E1"/>
    <w:rsid w:val="003F4679"/>
    <w:rsid w:val="003F46C3"/>
    <w:rsid w:val="003F4749"/>
    <w:rsid w:val="003F4776"/>
    <w:rsid w:val="003F4798"/>
    <w:rsid w:val="003F47BA"/>
    <w:rsid w:val="003F47C4"/>
    <w:rsid w:val="003F47DB"/>
    <w:rsid w:val="003F4898"/>
    <w:rsid w:val="003F4915"/>
    <w:rsid w:val="003F4971"/>
    <w:rsid w:val="003F49DC"/>
    <w:rsid w:val="003F4A05"/>
    <w:rsid w:val="003F4AE4"/>
    <w:rsid w:val="003F4AF6"/>
    <w:rsid w:val="003F4B26"/>
    <w:rsid w:val="003F4B6D"/>
    <w:rsid w:val="003F4C2A"/>
    <w:rsid w:val="003F4C68"/>
    <w:rsid w:val="003F4C82"/>
    <w:rsid w:val="003F4CB1"/>
    <w:rsid w:val="003F4CB2"/>
    <w:rsid w:val="003F4D02"/>
    <w:rsid w:val="003F4D09"/>
    <w:rsid w:val="003F4D37"/>
    <w:rsid w:val="003F4DAD"/>
    <w:rsid w:val="003F4DC5"/>
    <w:rsid w:val="003F4DE4"/>
    <w:rsid w:val="003F4DEC"/>
    <w:rsid w:val="003F4EE6"/>
    <w:rsid w:val="003F4F82"/>
    <w:rsid w:val="003F4F8C"/>
    <w:rsid w:val="003F4F93"/>
    <w:rsid w:val="003F4FCF"/>
    <w:rsid w:val="003F4FD4"/>
    <w:rsid w:val="003F4FEA"/>
    <w:rsid w:val="003F5028"/>
    <w:rsid w:val="003F5034"/>
    <w:rsid w:val="003F505B"/>
    <w:rsid w:val="003F50E5"/>
    <w:rsid w:val="003F5135"/>
    <w:rsid w:val="003F514F"/>
    <w:rsid w:val="003F520A"/>
    <w:rsid w:val="003F5224"/>
    <w:rsid w:val="003F52D0"/>
    <w:rsid w:val="003F52DC"/>
    <w:rsid w:val="003F532C"/>
    <w:rsid w:val="003F53C4"/>
    <w:rsid w:val="003F542C"/>
    <w:rsid w:val="003F5465"/>
    <w:rsid w:val="003F5466"/>
    <w:rsid w:val="003F546A"/>
    <w:rsid w:val="003F555A"/>
    <w:rsid w:val="003F5584"/>
    <w:rsid w:val="003F55BC"/>
    <w:rsid w:val="003F560F"/>
    <w:rsid w:val="003F56BC"/>
    <w:rsid w:val="003F56D8"/>
    <w:rsid w:val="003F57B0"/>
    <w:rsid w:val="003F57C6"/>
    <w:rsid w:val="003F57D7"/>
    <w:rsid w:val="003F5821"/>
    <w:rsid w:val="003F5829"/>
    <w:rsid w:val="003F5857"/>
    <w:rsid w:val="003F588F"/>
    <w:rsid w:val="003F598F"/>
    <w:rsid w:val="003F5990"/>
    <w:rsid w:val="003F5997"/>
    <w:rsid w:val="003F5A40"/>
    <w:rsid w:val="003F5AC3"/>
    <w:rsid w:val="003F5ACC"/>
    <w:rsid w:val="003F5B07"/>
    <w:rsid w:val="003F5BA5"/>
    <w:rsid w:val="003F5BBE"/>
    <w:rsid w:val="003F5BCE"/>
    <w:rsid w:val="003F5C09"/>
    <w:rsid w:val="003F5C3A"/>
    <w:rsid w:val="003F5C5D"/>
    <w:rsid w:val="003F5C7C"/>
    <w:rsid w:val="003F5CD1"/>
    <w:rsid w:val="003F5D99"/>
    <w:rsid w:val="003F5E17"/>
    <w:rsid w:val="003F5E4C"/>
    <w:rsid w:val="003F5EF4"/>
    <w:rsid w:val="003F5F5B"/>
    <w:rsid w:val="003F601B"/>
    <w:rsid w:val="003F602D"/>
    <w:rsid w:val="003F60EA"/>
    <w:rsid w:val="003F6124"/>
    <w:rsid w:val="003F612C"/>
    <w:rsid w:val="003F6162"/>
    <w:rsid w:val="003F6190"/>
    <w:rsid w:val="003F621C"/>
    <w:rsid w:val="003F6235"/>
    <w:rsid w:val="003F62B8"/>
    <w:rsid w:val="003F6306"/>
    <w:rsid w:val="003F634C"/>
    <w:rsid w:val="003F6374"/>
    <w:rsid w:val="003F6418"/>
    <w:rsid w:val="003F643E"/>
    <w:rsid w:val="003F649B"/>
    <w:rsid w:val="003F64A4"/>
    <w:rsid w:val="003F64C2"/>
    <w:rsid w:val="003F64EB"/>
    <w:rsid w:val="003F6532"/>
    <w:rsid w:val="003F656A"/>
    <w:rsid w:val="003F658E"/>
    <w:rsid w:val="003F6602"/>
    <w:rsid w:val="003F6615"/>
    <w:rsid w:val="003F6628"/>
    <w:rsid w:val="003F66CD"/>
    <w:rsid w:val="003F66D2"/>
    <w:rsid w:val="003F670E"/>
    <w:rsid w:val="003F6741"/>
    <w:rsid w:val="003F6754"/>
    <w:rsid w:val="003F6771"/>
    <w:rsid w:val="003F677B"/>
    <w:rsid w:val="003F67E8"/>
    <w:rsid w:val="003F67EF"/>
    <w:rsid w:val="003F6819"/>
    <w:rsid w:val="003F6820"/>
    <w:rsid w:val="003F690D"/>
    <w:rsid w:val="003F6981"/>
    <w:rsid w:val="003F69B7"/>
    <w:rsid w:val="003F69E6"/>
    <w:rsid w:val="003F6A71"/>
    <w:rsid w:val="003F6ABB"/>
    <w:rsid w:val="003F6BE5"/>
    <w:rsid w:val="003F6BFB"/>
    <w:rsid w:val="003F6C0D"/>
    <w:rsid w:val="003F6D35"/>
    <w:rsid w:val="003F6DC0"/>
    <w:rsid w:val="003F6E02"/>
    <w:rsid w:val="003F6E0F"/>
    <w:rsid w:val="003F6EDF"/>
    <w:rsid w:val="003F6EF2"/>
    <w:rsid w:val="003F6F14"/>
    <w:rsid w:val="003F6FAB"/>
    <w:rsid w:val="003F6FD7"/>
    <w:rsid w:val="003F7080"/>
    <w:rsid w:val="003F709F"/>
    <w:rsid w:val="003F70A8"/>
    <w:rsid w:val="003F70D3"/>
    <w:rsid w:val="003F7121"/>
    <w:rsid w:val="003F71EF"/>
    <w:rsid w:val="003F71F2"/>
    <w:rsid w:val="003F71F8"/>
    <w:rsid w:val="003F7225"/>
    <w:rsid w:val="003F72C2"/>
    <w:rsid w:val="003F72F5"/>
    <w:rsid w:val="003F73A7"/>
    <w:rsid w:val="003F73E2"/>
    <w:rsid w:val="003F7444"/>
    <w:rsid w:val="003F74E5"/>
    <w:rsid w:val="003F74EA"/>
    <w:rsid w:val="003F751A"/>
    <w:rsid w:val="003F7549"/>
    <w:rsid w:val="003F756A"/>
    <w:rsid w:val="003F7580"/>
    <w:rsid w:val="003F7594"/>
    <w:rsid w:val="003F75E1"/>
    <w:rsid w:val="003F760C"/>
    <w:rsid w:val="003F7643"/>
    <w:rsid w:val="003F7660"/>
    <w:rsid w:val="003F76C2"/>
    <w:rsid w:val="003F76E3"/>
    <w:rsid w:val="003F7782"/>
    <w:rsid w:val="003F782A"/>
    <w:rsid w:val="003F7885"/>
    <w:rsid w:val="003F78CE"/>
    <w:rsid w:val="003F79F9"/>
    <w:rsid w:val="003F7A37"/>
    <w:rsid w:val="003F7AAD"/>
    <w:rsid w:val="003F7ABB"/>
    <w:rsid w:val="003F7ABD"/>
    <w:rsid w:val="003F7AEA"/>
    <w:rsid w:val="003F7AEB"/>
    <w:rsid w:val="003F7B0B"/>
    <w:rsid w:val="003F7B33"/>
    <w:rsid w:val="003F7B4A"/>
    <w:rsid w:val="003F7B92"/>
    <w:rsid w:val="003F7BFD"/>
    <w:rsid w:val="003F7C3E"/>
    <w:rsid w:val="003F7C4E"/>
    <w:rsid w:val="003F7C63"/>
    <w:rsid w:val="003F7C66"/>
    <w:rsid w:val="003F7C76"/>
    <w:rsid w:val="003F7C78"/>
    <w:rsid w:val="003F7D65"/>
    <w:rsid w:val="003F7D79"/>
    <w:rsid w:val="003F7D8B"/>
    <w:rsid w:val="003F7E1B"/>
    <w:rsid w:val="003F7E5D"/>
    <w:rsid w:val="003F7EA7"/>
    <w:rsid w:val="003F7EC3"/>
    <w:rsid w:val="003F7ED6"/>
    <w:rsid w:val="003F7F8E"/>
    <w:rsid w:val="00400002"/>
    <w:rsid w:val="00400086"/>
    <w:rsid w:val="004000DC"/>
    <w:rsid w:val="004000ED"/>
    <w:rsid w:val="004000F3"/>
    <w:rsid w:val="0040017F"/>
    <w:rsid w:val="0040019B"/>
    <w:rsid w:val="004001B0"/>
    <w:rsid w:val="0040028C"/>
    <w:rsid w:val="004002A9"/>
    <w:rsid w:val="004002B5"/>
    <w:rsid w:val="004002FC"/>
    <w:rsid w:val="0040030B"/>
    <w:rsid w:val="00400314"/>
    <w:rsid w:val="004003D3"/>
    <w:rsid w:val="0040040C"/>
    <w:rsid w:val="0040048F"/>
    <w:rsid w:val="004004AB"/>
    <w:rsid w:val="0040050E"/>
    <w:rsid w:val="00400580"/>
    <w:rsid w:val="004005FF"/>
    <w:rsid w:val="00400664"/>
    <w:rsid w:val="0040069D"/>
    <w:rsid w:val="004006B9"/>
    <w:rsid w:val="004006CC"/>
    <w:rsid w:val="004006D3"/>
    <w:rsid w:val="004006D4"/>
    <w:rsid w:val="00400718"/>
    <w:rsid w:val="004007F0"/>
    <w:rsid w:val="0040087D"/>
    <w:rsid w:val="00400880"/>
    <w:rsid w:val="0040088C"/>
    <w:rsid w:val="004008E6"/>
    <w:rsid w:val="00400933"/>
    <w:rsid w:val="00400956"/>
    <w:rsid w:val="0040096C"/>
    <w:rsid w:val="004009D8"/>
    <w:rsid w:val="00400A24"/>
    <w:rsid w:val="00400AF0"/>
    <w:rsid w:val="00400B72"/>
    <w:rsid w:val="00400B9C"/>
    <w:rsid w:val="00400BD1"/>
    <w:rsid w:val="00400BDA"/>
    <w:rsid w:val="00400C3A"/>
    <w:rsid w:val="00400C5C"/>
    <w:rsid w:val="00400CA8"/>
    <w:rsid w:val="00400CAE"/>
    <w:rsid w:val="00400CB5"/>
    <w:rsid w:val="00400CBC"/>
    <w:rsid w:val="00400D6F"/>
    <w:rsid w:val="00400D9D"/>
    <w:rsid w:val="00400DD0"/>
    <w:rsid w:val="00400DEF"/>
    <w:rsid w:val="00400E58"/>
    <w:rsid w:val="00400EEC"/>
    <w:rsid w:val="00400EED"/>
    <w:rsid w:val="00400F8B"/>
    <w:rsid w:val="00400F96"/>
    <w:rsid w:val="00400FBE"/>
    <w:rsid w:val="00401005"/>
    <w:rsid w:val="0040105C"/>
    <w:rsid w:val="00401077"/>
    <w:rsid w:val="004010A3"/>
    <w:rsid w:val="004010B9"/>
    <w:rsid w:val="00401102"/>
    <w:rsid w:val="00401115"/>
    <w:rsid w:val="0040114C"/>
    <w:rsid w:val="00401168"/>
    <w:rsid w:val="004012B4"/>
    <w:rsid w:val="00401308"/>
    <w:rsid w:val="00401316"/>
    <w:rsid w:val="0040132B"/>
    <w:rsid w:val="0040137B"/>
    <w:rsid w:val="00401390"/>
    <w:rsid w:val="0040146B"/>
    <w:rsid w:val="004014AC"/>
    <w:rsid w:val="004014D5"/>
    <w:rsid w:val="00401597"/>
    <w:rsid w:val="004015B7"/>
    <w:rsid w:val="004015B9"/>
    <w:rsid w:val="004015F0"/>
    <w:rsid w:val="004016A4"/>
    <w:rsid w:val="004016CA"/>
    <w:rsid w:val="004016D3"/>
    <w:rsid w:val="004016F5"/>
    <w:rsid w:val="00401793"/>
    <w:rsid w:val="004017B3"/>
    <w:rsid w:val="00401823"/>
    <w:rsid w:val="0040188F"/>
    <w:rsid w:val="0040189E"/>
    <w:rsid w:val="004018A8"/>
    <w:rsid w:val="004018E5"/>
    <w:rsid w:val="004019AB"/>
    <w:rsid w:val="00401A39"/>
    <w:rsid w:val="00401A60"/>
    <w:rsid w:val="00401AAE"/>
    <w:rsid w:val="00401AE9"/>
    <w:rsid w:val="00401AF6"/>
    <w:rsid w:val="00401B18"/>
    <w:rsid w:val="00401B43"/>
    <w:rsid w:val="00401BC1"/>
    <w:rsid w:val="00401BCA"/>
    <w:rsid w:val="00401C10"/>
    <w:rsid w:val="00401C11"/>
    <w:rsid w:val="00401C70"/>
    <w:rsid w:val="00401C75"/>
    <w:rsid w:val="00401E05"/>
    <w:rsid w:val="00401E52"/>
    <w:rsid w:val="00401E99"/>
    <w:rsid w:val="00401EA6"/>
    <w:rsid w:val="00401ED9"/>
    <w:rsid w:val="00401EEF"/>
    <w:rsid w:val="00401F1F"/>
    <w:rsid w:val="00401FEB"/>
    <w:rsid w:val="00402015"/>
    <w:rsid w:val="00402044"/>
    <w:rsid w:val="00402051"/>
    <w:rsid w:val="004020DC"/>
    <w:rsid w:val="00402162"/>
    <w:rsid w:val="0040221B"/>
    <w:rsid w:val="004023D8"/>
    <w:rsid w:val="0040248A"/>
    <w:rsid w:val="004025B8"/>
    <w:rsid w:val="004025BE"/>
    <w:rsid w:val="004025CB"/>
    <w:rsid w:val="004025E5"/>
    <w:rsid w:val="004025F3"/>
    <w:rsid w:val="004026A4"/>
    <w:rsid w:val="004026B4"/>
    <w:rsid w:val="00402791"/>
    <w:rsid w:val="004027DB"/>
    <w:rsid w:val="0040283B"/>
    <w:rsid w:val="0040291C"/>
    <w:rsid w:val="00402928"/>
    <w:rsid w:val="0040293C"/>
    <w:rsid w:val="0040296C"/>
    <w:rsid w:val="00402A08"/>
    <w:rsid w:val="00402A16"/>
    <w:rsid w:val="00402A4C"/>
    <w:rsid w:val="00402AB2"/>
    <w:rsid w:val="00402AF9"/>
    <w:rsid w:val="00402B25"/>
    <w:rsid w:val="00402B27"/>
    <w:rsid w:val="00402B4C"/>
    <w:rsid w:val="00402B4E"/>
    <w:rsid w:val="00402BF6"/>
    <w:rsid w:val="00402C1E"/>
    <w:rsid w:val="00402C50"/>
    <w:rsid w:val="00402CC4"/>
    <w:rsid w:val="00402CF1"/>
    <w:rsid w:val="00402E35"/>
    <w:rsid w:val="00402E72"/>
    <w:rsid w:val="00402EAD"/>
    <w:rsid w:val="00402ED9"/>
    <w:rsid w:val="00402EFD"/>
    <w:rsid w:val="00402F8C"/>
    <w:rsid w:val="00402F99"/>
    <w:rsid w:val="00402FB6"/>
    <w:rsid w:val="00403024"/>
    <w:rsid w:val="0040303F"/>
    <w:rsid w:val="0040309F"/>
    <w:rsid w:val="00403135"/>
    <w:rsid w:val="00403159"/>
    <w:rsid w:val="00403194"/>
    <w:rsid w:val="004031B4"/>
    <w:rsid w:val="004031B6"/>
    <w:rsid w:val="004031D9"/>
    <w:rsid w:val="004031DE"/>
    <w:rsid w:val="0040328D"/>
    <w:rsid w:val="004032AA"/>
    <w:rsid w:val="004032DE"/>
    <w:rsid w:val="0040345F"/>
    <w:rsid w:val="0040352A"/>
    <w:rsid w:val="00403557"/>
    <w:rsid w:val="00403606"/>
    <w:rsid w:val="004036C2"/>
    <w:rsid w:val="00403732"/>
    <w:rsid w:val="004037E2"/>
    <w:rsid w:val="004037FC"/>
    <w:rsid w:val="00403852"/>
    <w:rsid w:val="00403933"/>
    <w:rsid w:val="00403939"/>
    <w:rsid w:val="00403994"/>
    <w:rsid w:val="00403A24"/>
    <w:rsid w:val="00403A4B"/>
    <w:rsid w:val="00403A68"/>
    <w:rsid w:val="00403A97"/>
    <w:rsid w:val="00403ABD"/>
    <w:rsid w:val="00403ADD"/>
    <w:rsid w:val="00403AE6"/>
    <w:rsid w:val="00403BF3"/>
    <w:rsid w:val="00403C1E"/>
    <w:rsid w:val="00403C80"/>
    <w:rsid w:val="00403C8A"/>
    <w:rsid w:val="00403D48"/>
    <w:rsid w:val="00403F1F"/>
    <w:rsid w:val="00403F4C"/>
    <w:rsid w:val="00403FFA"/>
    <w:rsid w:val="00404045"/>
    <w:rsid w:val="0040406B"/>
    <w:rsid w:val="00404072"/>
    <w:rsid w:val="004040B1"/>
    <w:rsid w:val="00404120"/>
    <w:rsid w:val="004041A5"/>
    <w:rsid w:val="004041A8"/>
    <w:rsid w:val="004041D1"/>
    <w:rsid w:val="004041DF"/>
    <w:rsid w:val="00404241"/>
    <w:rsid w:val="00404247"/>
    <w:rsid w:val="00404286"/>
    <w:rsid w:val="0040432E"/>
    <w:rsid w:val="0040438E"/>
    <w:rsid w:val="004043E4"/>
    <w:rsid w:val="0040440F"/>
    <w:rsid w:val="00404433"/>
    <w:rsid w:val="00404458"/>
    <w:rsid w:val="00404464"/>
    <w:rsid w:val="00404480"/>
    <w:rsid w:val="00404484"/>
    <w:rsid w:val="00404493"/>
    <w:rsid w:val="004044F0"/>
    <w:rsid w:val="00404563"/>
    <w:rsid w:val="00404582"/>
    <w:rsid w:val="004045BB"/>
    <w:rsid w:val="0040461A"/>
    <w:rsid w:val="0040463D"/>
    <w:rsid w:val="00404667"/>
    <w:rsid w:val="004046A9"/>
    <w:rsid w:val="004046EE"/>
    <w:rsid w:val="004047B1"/>
    <w:rsid w:val="004047B3"/>
    <w:rsid w:val="00404882"/>
    <w:rsid w:val="004048E5"/>
    <w:rsid w:val="00404935"/>
    <w:rsid w:val="0040494C"/>
    <w:rsid w:val="00404957"/>
    <w:rsid w:val="0040497D"/>
    <w:rsid w:val="004049AB"/>
    <w:rsid w:val="00404AB2"/>
    <w:rsid w:val="00404AD4"/>
    <w:rsid w:val="00404B7F"/>
    <w:rsid w:val="00404BFD"/>
    <w:rsid w:val="00404D59"/>
    <w:rsid w:val="00404EB3"/>
    <w:rsid w:val="00404F50"/>
    <w:rsid w:val="00404FEA"/>
    <w:rsid w:val="00405005"/>
    <w:rsid w:val="0040502C"/>
    <w:rsid w:val="0040504E"/>
    <w:rsid w:val="00405182"/>
    <w:rsid w:val="004051E1"/>
    <w:rsid w:val="00405215"/>
    <w:rsid w:val="00405264"/>
    <w:rsid w:val="0040527C"/>
    <w:rsid w:val="00405286"/>
    <w:rsid w:val="004052E4"/>
    <w:rsid w:val="004053AC"/>
    <w:rsid w:val="004053B9"/>
    <w:rsid w:val="00405411"/>
    <w:rsid w:val="00405419"/>
    <w:rsid w:val="0040541B"/>
    <w:rsid w:val="0040543E"/>
    <w:rsid w:val="00405455"/>
    <w:rsid w:val="0040556F"/>
    <w:rsid w:val="00405570"/>
    <w:rsid w:val="00405593"/>
    <w:rsid w:val="004055AE"/>
    <w:rsid w:val="00405630"/>
    <w:rsid w:val="004056DB"/>
    <w:rsid w:val="004056F7"/>
    <w:rsid w:val="00405721"/>
    <w:rsid w:val="00405764"/>
    <w:rsid w:val="004057AD"/>
    <w:rsid w:val="004057AE"/>
    <w:rsid w:val="004057F0"/>
    <w:rsid w:val="0040584F"/>
    <w:rsid w:val="00405935"/>
    <w:rsid w:val="00405939"/>
    <w:rsid w:val="0040593B"/>
    <w:rsid w:val="004059CF"/>
    <w:rsid w:val="00405A21"/>
    <w:rsid w:val="00405A49"/>
    <w:rsid w:val="00405C04"/>
    <w:rsid w:val="00405CA5"/>
    <w:rsid w:val="00405CF8"/>
    <w:rsid w:val="00405D5A"/>
    <w:rsid w:val="00405DF7"/>
    <w:rsid w:val="00405E5C"/>
    <w:rsid w:val="00405E60"/>
    <w:rsid w:val="00405E70"/>
    <w:rsid w:val="00405F2B"/>
    <w:rsid w:val="00405F3D"/>
    <w:rsid w:val="00405F57"/>
    <w:rsid w:val="00405FA1"/>
    <w:rsid w:val="00405FB0"/>
    <w:rsid w:val="00406018"/>
    <w:rsid w:val="00406051"/>
    <w:rsid w:val="0040606D"/>
    <w:rsid w:val="004060AE"/>
    <w:rsid w:val="004060D4"/>
    <w:rsid w:val="00406129"/>
    <w:rsid w:val="00406156"/>
    <w:rsid w:val="00406176"/>
    <w:rsid w:val="00406180"/>
    <w:rsid w:val="004061EF"/>
    <w:rsid w:val="004061F6"/>
    <w:rsid w:val="0040621B"/>
    <w:rsid w:val="004062CD"/>
    <w:rsid w:val="0040635F"/>
    <w:rsid w:val="0040636F"/>
    <w:rsid w:val="00406394"/>
    <w:rsid w:val="004063F8"/>
    <w:rsid w:val="00406403"/>
    <w:rsid w:val="00406434"/>
    <w:rsid w:val="00406454"/>
    <w:rsid w:val="00406488"/>
    <w:rsid w:val="00406523"/>
    <w:rsid w:val="0040657F"/>
    <w:rsid w:val="004065B4"/>
    <w:rsid w:val="004065BE"/>
    <w:rsid w:val="004065CD"/>
    <w:rsid w:val="004065F8"/>
    <w:rsid w:val="00406607"/>
    <w:rsid w:val="00406612"/>
    <w:rsid w:val="004066B5"/>
    <w:rsid w:val="00406727"/>
    <w:rsid w:val="00406734"/>
    <w:rsid w:val="0040673A"/>
    <w:rsid w:val="00406769"/>
    <w:rsid w:val="0040679C"/>
    <w:rsid w:val="004067E8"/>
    <w:rsid w:val="004068D2"/>
    <w:rsid w:val="004068FC"/>
    <w:rsid w:val="0040694B"/>
    <w:rsid w:val="004069CD"/>
    <w:rsid w:val="00406A4B"/>
    <w:rsid w:val="00406A58"/>
    <w:rsid w:val="00406ABE"/>
    <w:rsid w:val="00406B08"/>
    <w:rsid w:val="00406B1C"/>
    <w:rsid w:val="00406B23"/>
    <w:rsid w:val="00406BD0"/>
    <w:rsid w:val="00406C1D"/>
    <w:rsid w:val="00406C32"/>
    <w:rsid w:val="00406C38"/>
    <w:rsid w:val="00406CD3"/>
    <w:rsid w:val="00406D29"/>
    <w:rsid w:val="00406D69"/>
    <w:rsid w:val="00406D7C"/>
    <w:rsid w:val="00406DCD"/>
    <w:rsid w:val="00406DEA"/>
    <w:rsid w:val="00406E61"/>
    <w:rsid w:val="00406E83"/>
    <w:rsid w:val="00406EAA"/>
    <w:rsid w:val="00406F39"/>
    <w:rsid w:val="00406FF8"/>
    <w:rsid w:val="00407072"/>
    <w:rsid w:val="00407090"/>
    <w:rsid w:val="004070BB"/>
    <w:rsid w:val="00407113"/>
    <w:rsid w:val="004071C9"/>
    <w:rsid w:val="004071F5"/>
    <w:rsid w:val="0040723A"/>
    <w:rsid w:val="004072BE"/>
    <w:rsid w:val="00407322"/>
    <w:rsid w:val="0040732C"/>
    <w:rsid w:val="0040738D"/>
    <w:rsid w:val="004073BF"/>
    <w:rsid w:val="00407450"/>
    <w:rsid w:val="00407537"/>
    <w:rsid w:val="00407578"/>
    <w:rsid w:val="0040758B"/>
    <w:rsid w:val="004075C4"/>
    <w:rsid w:val="0040760C"/>
    <w:rsid w:val="00407625"/>
    <w:rsid w:val="00407690"/>
    <w:rsid w:val="004076FC"/>
    <w:rsid w:val="0040784D"/>
    <w:rsid w:val="004078AC"/>
    <w:rsid w:val="00407925"/>
    <w:rsid w:val="00407976"/>
    <w:rsid w:val="004079F6"/>
    <w:rsid w:val="00407A14"/>
    <w:rsid w:val="00407A29"/>
    <w:rsid w:val="00407A57"/>
    <w:rsid w:val="00407BCC"/>
    <w:rsid w:val="00407C08"/>
    <w:rsid w:val="00407C33"/>
    <w:rsid w:val="00407C4E"/>
    <w:rsid w:val="00407C64"/>
    <w:rsid w:val="00407CA9"/>
    <w:rsid w:val="00407D09"/>
    <w:rsid w:val="00407D1F"/>
    <w:rsid w:val="00407DF0"/>
    <w:rsid w:val="00407DF5"/>
    <w:rsid w:val="00407E11"/>
    <w:rsid w:val="00407E98"/>
    <w:rsid w:val="00407F80"/>
    <w:rsid w:val="00407FA2"/>
    <w:rsid w:val="00407FE8"/>
    <w:rsid w:val="0041012C"/>
    <w:rsid w:val="00410185"/>
    <w:rsid w:val="004101E9"/>
    <w:rsid w:val="00410257"/>
    <w:rsid w:val="0041027D"/>
    <w:rsid w:val="004102F7"/>
    <w:rsid w:val="004102F8"/>
    <w:rsid w:val="00410342"/>
    <w:rsid w:val="004103D0"/>
    <w:rsid w:val="0041048C"/>
    <w:rsid w:val="0041056D"/>
    <w:rsid w:val="0041058E"/>
    <w:rsid w:val="0041058F"/>
    <w:rsid w:val="004105B7"/>
    <w:rsid w:val="004105EA"/>
    <w:rsid w:val="0041064E"/>
    <w:rsid w:val="0041077E"/>
    <w:rsid w:val="00410791"/>
    <w:rsid w:val="00410797"/>
    <w:rsid w:val="00410893"/>
    <w:rsid w:val="004108B3"/>
    <w:rsid w:val="004108CF"/>
    <w:rsid w:val="00410A1C"/>
    <w:rsid w:val="00410A3C"/>
    <w:rsid w:val="00410A77"/>
    <w:rsid w:val="00410A87"/>
    <w:rsid w:val="00410A8E"/>
    <w:rsid w:val="00410AA7"/>
    <w:rsid w:val="00410AAF"/>
    <w:rsid w:val="00410B2D"/>
    <w:rsid w:val="00410B6A"/>
    <w:rsid w:val="00410B71"/>
    <w:rsid w:val="00410CC5"/>
    <w:rsid w:val="00410CD9"/>
    <w:rsid w:val="00410D41"/>
    <w:rsid w:val="00410D78"/>
    <w:rsid w:val="00410DFE"/>
    <w:rsid w:val="00410E55"/>
    <w:rsid w:val="00410EDC"/>
    <w:rsid w:val="00410F29"/>
    <w:rsid w:val="00410F44"/>
    <w:rsid w:val="00410F89"/>
    <w:rsid w:val="00410FB6"/>
    <w:rsid w:val="00410FD5"/>
    <w:rsid w:val="00410FF3"/>
    <w:rsid w:val="00411077"/>
    <w:rsid w:val="004110AF"/>
    <w:rsid w:val="004110C2"/>
    <w:rsid w:val="0041115C"/>
    <w:rsid w:val="0041118C"/>
    <w:rsid w:val="00411224"/>
    <w:rsid w:val="004112D2"/>
    <w:rsid w:val="00411303"/>
    <w:rsid w:val="00411325"/>
    <w:rsid w:val="0041132E"/>
    <w:rsid w:val="004113B3"/>
    <w:rsid w:val="004113F1"/>
    <w:rsid w:val="00411408"/>
    <w:rsid w:val="00411615"/>
    <w:rsid w:val="0041164B"/>
    <w:rsid w:val="0041164C"/>
    <w:rsid w:val="0041166E"/>
    <w:rsid w:val="0041172B"/>
    <w:rsid w:val="00411766"/>
    <w:rsid w:val="004117E8"/>
    <w:rsid w:val="004117F3"/>
    <w:rsid w:val="00411991"/>
    <w:rsid w:val="004119AE"/>
    <w:rsid w:val="004119CE"/>
    <w:rsid w:val="00411A26"/>
    <w:rsid w:val="00411A91"/>
    <w:rsid w:val="00411AA7"/>
    <w:rsid w:val="00411ACC"/>
    <w:rsid w:val="00411ADB"/>
    <w:rsid w:val="00411B3D"/>
    <w:rsid w:val="00411BD8"/>
    <w:rsid w:val="00411BE2"/>
    <w:rsid w:val="00411BFC"/>
    <w:rsid w:val="00411C7A"/>
    <w:rsid w:val="00411C7D"/>
    <w:rsid w:val="00411CA5"/>
    <w:rsid w:val="00411CFD"/>
    <w:rsid w:val="00411D0C"/>
    <w:rsid w:val="00411D15"/>
    <w:rsid w:val="00411D32"/>
    <w:rsid w:val="00411D4C"/>
    <w:rsid w:val="00411D72"/>
    <w:rsid w:val="00411DE0"/>
    <w:rsid w:val="00411E6E"/>
    <w:rsid w:val="00411EF7"/>
    <w:rsid w:val="00411F49"/>
    <w:rsid w:val="00411FA0"/>
    <w:rsid w:val="00412048"/>
    <w:rsid w:val="004120A8"/>
    <w:rsid w:val="004120BB"/>
    <w:rsid w:val="0041212A"/>
    <w:rsid w:val="00412180"/>
    <w:rsid w:val="004121F3"/>
    <w:rsid w:val="00412204"/>
    <w:rsid w:val="00412282"/>
    <w:rsid w:val="0041229C"/>
    <w:rsid w:val="00412300"/>
    <w:rsid w:val="00412448"/>
    <w:rsid w:val="00412480"/>
    <w:rsid w:val="004125C3"/>
    <w:rsid w:val="004125D3"/>
    <w:rsid w:val="004125DC"/>
    <w:rsid w:val="00412626"/>
    <w:rsid w:val="00412664"/>
    <w:rsid w:val="0041276C"/>
    <w:rsid w:val="00412793"/>
    <w:rsid w:val="0041289A"/>
    <w:rsid w:val="00412917"/>
    <w:rsid w:val="004129B3"/>
    <w:rsid w:val="004129FE"/>
    <w:rsid w:val="00412A12"/>
    <w:rsid w:val="00412A20"/>
    <w:rsid w:val="00412A5F"/>
    <w:rsid w:val="00412A7B"/>
    <w:rsid w:val="00412A8F"/>
    <w:rsid w:val="00412AC8"/>
    <w:rsid w:val="00412B35"/>
    <w:rsid w:val="00412B43"/>
    <w:rsid w:val="00412B70"/>
    <w:rsid w:val="00412B77"/>
    <w:rsid w:val="00412B92"/>
    <w:rsid w:val="00412BFD"/>
    <w:rsid w:val="00412C42"/>
    <w:rsid w:val="00412C48"/>
    <w:rsid w:val="00412CC1"/>
    <w:rsid w:val="00412D16"/>
    <w:rsid w:val="00412D19"/>
    <w:rsid w:val="00412D2B"/>
    <w:rsid w:val="00412E5A"/>
    <w:rsid w:val="00412EA1"/>
    <w:rsid w:val="00412EE2"/>
    <w:rsid w:val="00412F18"/>
    <w:rsid w:val="00412F6E"/>
    <w:rsid w:val="0041303D"/>
    <w:rsid w:val="00413088"/>
    <w:rsid w:val="0041309B"/>
    <w:rsid w:val="004130A4"/>
    <w:rsid w:val="004130A9"/>
    <w:rsid w:val="004130BC"/>
    <w:rsid w:val="0041318C"/>
    <w:rsid w:val="004131EA"/>
    <w:rsid w:val="00413224"/>
    <w:rsid w:val="0041323A"/>
    <w:rsid w:val="00413276"/>
    <w:rsid w:val="004132A4"/>
    <w:rsid w:val="00413302"/>
    <w:rsid w:val="0041334D"/>
    <w:rsid w:val="004133D5"/>
    <w:rsid w:val="004133EB"/>
    <w:rsid w:val="00413439"/>
    <w:rsid w:val="00413460"/>
    <w:rsid w:val="004134F5"/>
    <w:rsid w:val="00413502"/>
    <w:rsid w:val="00413524"/>
    <w:rsid w:val="004135F7"/>
    <w:rsid w:val="00413698"/>
    <w:rsid w:val="0041369F"/>
    <w:rsid w:val="004136A7"/>
    <w:rsid w:val="004136B7"/>
    <w:rsid w:val="004136DD"/>
    <w:rsid w:val="004137AA"/>
    <w:rsid w:val="004137D1"/>
    <w:rsid w:val="00413884"/>
    <w:rsid w:val="0041388F"/>
    <w:rsid w:val="0041389F"/>
    <w:rsid w:val="004138E1"/>
    <w:rsid w:val="0041393B"/>
    <w:rsid w:val="0041397B"/>
    <w:rsid w:val="00413987"/>
    <w:rsid w:val="0041398A"/>
    <w:rsid w:val="00413AA5"/>
    <w:rsid w:val="00413B35"/>
    <w:rsid w:val="00413B5A"/>
    <w:rsid w:val="00413BA0"/>
    <w:rsid w:val="00413BB0"/>
    <w:rsid w:val="00413BD9"/>
    <w:rsid w:val="00413C21"/>
    <w:rsid w:val="00413C45"/>
    <w:rsid w:val="00413C67"/>
    <w:rsid w:val="00413C7E"/>
    <w:rsid w:val="00413CDB"/>
    <w:rsid w:val="00413D43"/>
    <w:rsid w:val="00413E51"/>
    <w:rsid w:val="00413EFC"/>
    <w:rsid w:val="00413FA6"/>
    <w:rsid w:val="00414080"/>
    <w:rsid w:val="004140DC"/>
    <w:rsid w:val="004141C5"/>
    <w:rsid w:val="0041421F"/>
    <w:rsid w:val="0041427D"/>
    <w:rsid w:val="004142BB"/>
    <w:rsid w:val="0041435E"/>
    <w:rsid w:val="004143A6"/>
    <w:rsid w:val="004143BC"/>
    <w:rsid w:val="00414416"/>
    <w:rsid w:val="00414457"/>
    <w:rsid w:val="00414489"/>
    <w:rsid w:val="0041449E"/>
    <w:rsid w:val="00414526"/>
    <w:rsid w:val="0041453A"/>
    <w:rsid w:val="0041454C"/>
    <w:rsid w:val="00414561"/>
    <w:rsid w:val="00414562"/>
    <w:rsid w:val="00414624"/>
    <w:rsid w:val="00414679"/>
    <w:rsid w:val="004146B9"/>
    <w:rsid w:val="0041471F"/>
    <w:rsid w:val="00414791"/>
    <w:rsid w:val="004147A1"/>
    <w:rsid w:val="00414808"/>
    <w:rsid w:val="0041497E"/>
    <w:rsid w:val="00414AB2"/>
    <w:rsid w:val="00414AF2"/>
    <w:rsid w:val="00414B36"/>
    <w:rsid w:val="00414BD9"/>
    <w:rsid w:val="00414C23"/>
    <w:rsid w:val="00414C3C"/>
    <w:rsid w:val="00414C64"/>
    <w:rsid w:val="00414CA8"/>
    <w:rsid w:val="00414D3A"/>
    <w:rsid w:val="00414D79"/>
    <w:rsid w:val="00414E01"/>
    <w:rsid w:val="00414EC7"/>
    <w:rsid w:val="00414F63"/>
    <w:rsid w:val="00414FC5"/>
    <w:rsid w:val="004150D7"/>
    <w:rsid w:val="0041512A"/>
    <w:rsid w:val="0041512E"/>
    <w:rsid w:val="00415182"/>
    <w:rsid w:val="004151ED"/>
    <w:rsid w:val="004152B9"/>
    <w:rsid w:val="004153F0"/>
    <w:rsid w:val="00415424"/>
    <w:rsid w:val="00415427"/>
    <w:rsid w:val="0041543B"/>
    <w:rsid w:val="00415462"/>
    <w:rsid w:val="0041548A"/>
    <w:rsid w:val="00415573"/>
    <w:rsid w:val="0041558B"/>
    <w:rsid w:val="00415635"/>
    <w:rsid w:val="0041567A"/>
    <w:rsid w:val="004157AA"/>
    <w:rsid w:val="004157E5"/>
    <w:rsid w:val="00415846"/>
    <w:rsid w:val="004158C8"/>
    <w:rsid w:val="0041592D"/>
    <w:rsid w:val="0041592F"/>
    <w:rsid w:val="00415A43"/>
    <w:rsid w:val="00415ABF"/>
    <w:rsid w:val="00415AFF"/>
    <w:rsid w:val="00415B1B"/>
    <w:rsid w:val="00415B57"/>
    <w:rsid w:val="00415C27"/>
    <w:rsid w:val="00415C90"/>
    <w:rsid w:val="00415CB0"/>
    <w:rsid w:val="00415D2D"/>
    <w:rsid w:val="00415D6B"/>
    <w:rsid w:val="00415D83"/>
    <w:rsid w:val="00415DF2"/>
    <w:rsid w:val="00415E8F"/>
    <w:rsid w:val="00415FB3"/>
    <w:rsid w:val="00415FC5"/>
    <w:rsid w:val="0041602D"/>
    <w:rsid w:val="0041608B"/>
    <w:rsid w:val="004160CB"/>
    <w:rsid w:val="00416199"/>
    <w:rsid w:val="004161A1"/>
    <w:rsid w:val="004161AD"/>
    <w:rsid w:val="004161B4"/>
    <w:rsid w:val="00416293"/>
    <w:rsid w:val="004162A8"/>
    <w:rsid w:val="004162C0"/>
    <w:rsid w:val="004162CF"/>
    <w:rsid w:val="004162E0"/>
    <w:rsid w:val="00416351"/>
    <w:rsid w:val="00416369"/>
    <w:rsid w:val="004163B1"/>
    <w:rsid w:val="004163BC"/>
    <w:rsid w:val="00416536"/>
    <w:rsid w:val="00416571"/>
    <w:rsid w:val="0041666E"/>
    <w:rsid w:val="004166AA"/>
    <w:rsid w:val="004166F2"/>
    <w:rsid w:val="0041674A"/>
    <w:rsid w:val="00416762"/>
    <w:rsid w:val="00416764"/>
    <w:rsid w:val="004167D1"/>
    <w:rsid w:val="00416806"/>
    <w:rsid w:val="00416830"/>
    <w:rsid w:val="00416833"/>
    <w:rsid w:val="004168B0"/>
    <w:rsid w:val="0041695B"/>
    <w:rsid w:val="00416A66"/>
    <w:rsid w:val="00416A67"/>
    <w:rsid w:val="00416A72"/>
    <w:rsid w:val="00416A98"/>
    <w:rsid w:val="00416AB2"/>
    <w:rsid w:val="00416AC0"/>
    <w:rsid w:val="00416ADD"/>
    <w:rsid w:val="00416B1C"/>
    <w:rsid w:val="00416B6D"/>
    <w:rsid w:val="00416BBA"/>
    <w:rsid w:val="00416BC3"/>
    <w:rsid w:val="00416BE0"/>
    <w:rsid w:val="00416C00"/>
    <w:rsid w:val="00416C66"/>
    <w:rsid w:val="00416C84"/>
    <w:rsid w:val="00416CC3"/>
    <w:rsid w:val="00416D36"/>
    <w:rsid w:val="00416D63"/>
    <w:rsid w:val="00416DCF"/>
    <w:rsid w:val="00416EF2"/>
    <w:rsid w:val="00416EFB"/>
    <w:rsid w:val="00416F09"/>
    <w:rsid w:val="00416F13"/>
    <w:rsid w:val="00416F35"/>
    <w:rsid w:val="00416F74"/>
    <w:rsid w:val="00416F96"/>
    <w:rsid w:val="00416FCD"/>
    <w:rsid w:val="00416FE1"/>
    <w:rsid w:val="0041708F"/>
    <w:rsid w:val="004170AB"/>
    <w:rsid w:val="004171D0"/>
    <w:rsid w:val="00417218"/>
    <w:rsid w:val="00417232"/>
    <w:rsid w:val="00417249"/>
    <w:rsid w:val="00417255"/>
    <w:rsid w:val="0041725A"/>
    <w:rsid w:val="0041726F"/>
    <w:rsid w:val="00417298"/>
    <w:rsid w:val="0041731B"/>
    <w:rsid w:val="0041737A"/>
    <w:rsid w:val="004174A6"/>
    <w:rsid w:val="004174F3"/>
    <w:rsid w:val="00417504"/>
    <w:rsid w:val="00417513"/>
    <w:rsid w:val="0041754B"/>
    <w:rsid w:val="0041757E"/>
    <w:rsid w:val="0041764E"/>
    <w:rsid w:val="004176D0"/>
    <w:rsid w:val="00417711"/>
    <w:rsid w:val="00417747"/>
    <w:rsid w:val="00417752"/>
    <w:rsid w:val="00417770"/>
    <w:rsid w:val="00417790"/>
    <w:rsid w:val="004177D5"/>
    <w:rsid w:val="00417839"/>
    <w:rsid w:val="0041786A"/>
    <w:rsid w:val="004178C6"/>
    <w:rsid w:val="004178EB"/>
    <w:rsid w:val="00417937"/>
    <w:rsid w:val="0041793F"/>
    <w:rsid w:val="0041796B"/>
    <w:rsid w:val="004179E4"/>
    <w:rsid w:val="004179EF"/>
    <w:rsid w:val="004179F6"/>
    <w:rsid w:val="00417A03"/>
    <w:rsid w:val="00417A04"/>
    <w:rsid w:val="00417A63"/>
    <w:rsid w:val="00417A70"/>
    <w:rsid w:val="00417A86"/>
    <w:rsid w:val="00417A9D"/>
    <w:rsid w:val="00417AB4"/>
    <w:rsid w:val="00417AC3"/>
    <w:rsid w:val="00417B4C"/>
    <w:rsid w:val="00417B58"/>
    <w:rsid w:val="00417B62"/>
    <w:rsid w:val="00417C1E"/>
    <w:rsid w:val="00417C31"/>
    <w:rsid w:val="00417C34"/>
    <w:rsid w:val="00417C6D"/>
    <w:rsid w:val="00417C8F"/>
    <w:rsid w:val="00417C9C"/>
    <w:rsid w:val="00417D2C"/>
    <w:rsid w:val="00417D4B"/>
    <w:rsid w:val="00417D5F"/>
    <w:rsid w:val="00417DA3"/>
    <w:rsid w:val="00417DA5"/>
    <w:rsid w:val="00417DC4"/>
    <w:rsid w:val="00417EFB"/>
    <w:rsid w:val="0042001A"/>
    <w:rsid w:val="0042002D"/>
    <w:rsid w:val="00420168"/>
    <w:rsid w:val="0042018B"/>
    <w:rsid w:val="00420291"/>
    <w:rsid w:val="004202A1"/>
    <w:rsid w:val="004202AA"/>
    <w:rsid w:val="00420323"/>
    <w:rsid w:val="004203AF"/>
    <w:rsid w:val="004203BD"/>
    <w:rsid w:val="004203CE"/>
    <w:rsid w:val="004203FC"/>
    <w:rsid w:val="00420453"/>
    <w:rsid w:val="0042056D"/>
    <w:rsid w:val="00420608"/>
    <w:rsid w:val="00420628"/>
    <w:rsid w:val="00420641"/>
    <w:rsid w:val="00420670"/>
    <w:rsid w:val="004206C0"/>
    <w:rsid w:val="00420700"/>
    <w:rsid w:val="00420707"/>
    <w:rsid w:val="00420714"/>
    <w:rsid w:val="00420770"/>
    <w:rsid w:val="0042078B"/>
    <w:rsid w:val="00420795"/>
    <w:rsid w:val="004207E9"/>
    <w:rsid w:val="00420858"/>
    <w:rsid w:val="0042085C"/>
    <w:rsid w:val="00420886"/>
    <w:rsid w:val="004208B5"/>
    <w:rsid w:val="004208E1"/>
    <w:rsid w:val="0042096A"/>
    <w:rsid w:val="004209F7"/>
    <w:rsid w:val="00420AAB"/>
    <w:rsid w:val="00420B12"/>
    <w:rsid w:val="00420B35"/>
    <w:rsid w:val="00420B3F"/>
    <w:rsid w:val="00420B4E"/>
    <w:rsid w:val="00420C4D"/>
    <w:rsid w:val="00420D3A"/>
    <w:rsid w:val="00420DA2"/>
    <w:rsid w:val="00420E74"/>
    <w:rsid w:val="00420E94"/>
    <w:rsid w:val="00420EA1"/>
    <w:rsid w:val="00420F2C"/>
    <w:rsid w:val="00421095"/>
    <w:rsid w:val="00421147"/>
    <w:rsid w:val="0042119A"/>
    <w:rsid w:val="004211C4"/>
    <w:rsid w:val="00421266"/>
    <w:rsid w:val="004212A1"/>
    <w:rsid w:val="004212BF"/>
    <w:rsid w:val="00421348"/>
    <w:rsid w:val="00421351"/>
    <w:rsid w:val="00421388"/>
    <w:rsid w:val="00421441"/>
    <w:rsid w:val="0042145D"/>
    <w:rsid w:val="00421482"/>
    <w:rsid w:val="004214D6"/>
    <w:rsid w:val="0042155B"/>
    <w:rsid w:val="00421560"/>
    <w:rsid w:val="0042168B"/>
    <w:rsid w:val="0042170A"/>
    <w:rsid w:val="0042170C"/>
    <w:rsid w:val="00421724"/>
    <w:rsid w:val="0042172D"/>
    <w:rsid w:val="00421739"/>
    <w:rsid w:val="00421843"/>
    <w:rsid w:val="004218DE"/>
    <w:rsid w:val="00421907"/>
    <w:rsid w:val="00421986"/>
    <w:rsid w:val="00421992"/>
    <w:rsid w:val="004219CE"/>
    <w:rsid w:val="00421A51"/>
    <w:rsid w:val="00421A84"/>
    <w:rsid w:val="00421AA3"/>
    <w:rsid w:val="00421AAC"/>
    <w:rsid w:val="00421B85"/>
    <w:rsid w:val="00421B8F"/>
    <w:rsid w:val="00421BB6"/>
    <w:rsid w:val="00421BBD"/>
    <w:rsid w:val="00421C2C"/>
    <w:rsid w:val="00421C60"/>
    <w:rsid w:val="00421C9A"/>
    <w:rsid w:val="00421CB6"/>
    <w:rsid w:val="00421D05"/>
    <w:rsid w:val="00421D4E"/>
    <w:rsid w:val="00421D8F"/>
    <w:rsid w:val="00421DCE"/>
    <w:rsid w:val="00421EBF"/>
    <w:rsid w:val="00421EEC"/>
    <w:rsid w:val="00421FD5"/>
    <w:rsid w:val="00422005"/>
    <w:rsid w:val="00422082"/>
    <w:rsid w:val="004220E8"/>
    <w:rsid w:val="004220FF"/>
    <w:rsid w:val="00422247"/>
    <w:rsid w:val="0042225D"/>
    <w:rsid w:val="004222B1"/>
    <w:rsid w:val="004222CD"/>
    <w:rsid w:val="004222D7"/>
    <w:rsid w:val="00422375"/>
    <w:rsid w:val="004223A5"/>
    <w:rsid w:val="004223C6"/>
    <w:rsid w:val="004223CB"/>
    <w:rsid w:val="004224B5"/>
    <w:rsid w:val="004224BE"/>
    <w:rsid w:val="00422587"/>
    <w:rsid w:val="00422636"/>
    <w:rsid w:val="00422656"/>
    <w:rsid w:val="004226C2"/>
    <w:rsid w:val="004226E4"/>
    <w:rsid w:val="00422712"/>
    <w:rsid w:val="0042271B"/>
    <w:rsid w:val="00422743"/>
    <w:rsid w:val="0042279E"/>
    <w:rsid w:val="00422825"/>
    <w:rsid w:val="00422964"/>
    <w:rsid w:val="00422B50"/>
    <w:rsid w:val="00422B8A"/>
    <w:rsid w:val="00422C0C"/>
    <w:rsid w:val="00422C43"/>
    <w:rsid w:val="00422C6E"/>
    <w:rsid w:val="00422D10"/>
    <w:rsid w:val="00422D14"/>
    <w:rsid w:val="00422D4D"/>
    <w:rsid w:val="00422D56"/>
    <w:rsid w:val="00422DC9"/>
    <w:rsid w:val="00422DDD"/>
    <w:rsid w:val="00422E39"/>
    <w:rsid w:val="00422E9A"/>
    <w:rsid w:val="00422EDD"/>
    <w:rsid w:val="00422EF2"/>
    <w:rsid w:val="00422EF9"/>
    <w:rsid w:val="0042302D"/>
    <w:rsid w:val="0042303F"/>
    <w:rsid w:val="00423127"/>
    <w:rsid w:val="0042318F"/>
    <w:rsid w:val="004231A8"/>
    <w:rsid w:val="004231FC"/>
    <w:rsid w:val="00423203"/>
    <w:rsid w:val="0042325C"/>
    <w:rsid w:val="00423312"/>
    <w:rsid w:val="0042336D"/>
    <w:rsid w:val="00423384"/>
    <w:rsid w:val="004233C8"/>
    <w:rsid w:val="004234A8"/>
    <w:rsid w:val="004234E0"/>
    <w:rsid w:val="0042354F"/>
    <w:rsid w:val="00423586"/>
    <w:rsid w:val="004235AB"/>
    <w:rsid w:val="004235DD"/>
    <w:rsid w:val="00423601"/>
    <w:rsid w:val="00423636"/>
    <w:rsid w:val="0042365E"/>
    <w:rsid w:val="004236DB"/>
    <w:rsid w:val="00423705"/>
    <w:rsid w:val="004237AB"/>
    <w:rsid w:val="00423807"/>
    <w:rsid w:val="00423877"/>
    <w:rsid w:val="00423889"/>
    <w:rsid w:val="00423926"/>
    <w:rsid w:val="0042394F"/>
    <w:rsid w:val="00423958"/>
    <w:rsid w:val="0042395B"/>
    <w:rsid w:val="00423977"/>
    <w:rsid w:val="004239AB"/>
    <w:rsid w:val="004239C1"/>
    <w:rsid w:val="00423A10"/>
    <w:rsid w:val="00423A4C"/>
    <w:rsid w:val="00423A59"/>
    <w:rsid w:val="00423B51"/>
    <w:rsid w:val="00423B9D"/>
    <w:rsid w:val="00423BA3"/>
    <w:rsid w:val="00423BA7"/>
    <w:rsid w:val="00423BF9"/>
    <w:rsid w:val="00423C9C"/>
    <w:rsid w:val="00423CB5"/>
    <w:rsid w:val="00423CDB"/>
    <w:rsid w:val="00423CE8"/>
    <w:rsid w:val="00423D66"/>
    <w:rsid w:val="00423D88"/>
    <w:rsid w:val="00423D9D"/>
    <w:rsid w:val="00423DC0"/>
    <w:rsid w:val="00423DE0"/>
    <w:rsid w:val="00423E13"/>
    <w:rsid w:val="00423E14"/>
    <w:rsid w:val="00423EF1"/>
    <w:rsid w:val="00423F12"/>
    <w:rsid w:val="00424004"/>
    <w:rsid w:val="004240BA"/>
    <w:rsid w:val="004240D7"/>
    <w:rsid w:val="0042415C"/>
    <w:rsid w:val="0042419C"/>
    <w:rsid w:val="004241AA"/>
    <w:rsid w:val="004241B5"/>
    <w:rsid w:val="004241E1"/>
    <w:rsid w:val="0042423C"/>
    <w:rsid w:val="0042426B"/>
    <w:rsid w:val="00424274"/>
    <w:rsid w:val="00424313"/>
    <w:rsid w:val="00424336"/>
    <w:rsid w:val="004243A7"/>
    <w:rsid w:val="00424452"/>
    <w:rsid w:val="00424553"/>
    <w:rsid w:val="00424580"/>
    <w:rsid w:val="004245E3"/>
    <w:rsid w:val="004245F6"/>
    <w:rsid w:val="0042460B"/>
    <w:rsid w:val="00424624"/>
    <w:rsid w:val="0042464A"/>
    <w:rsid w:val="00424670"/>
    <w:rsid w:val="004246D2"/>
    <w:rsid w:val="004246D8"/>
    <w:rsid w:val="004246DC"/>
    <w:rsid w:val="0042474A"/>
    <w:rsid w:val="00424782"/>
    <w:rsid w:val="00424844"/>
    <w:rsid w:val="0042484E"/>
    <w:rsid w:val="0042493C"/>
    <w:rsid w:val="004249D2"/>
    <w:rsid w:val="00424ADA"/>
    <w:rsid w:val="00424B15"/>
    <w:rsid w:val="00424B86"/>
    <w:rsid w:val="00424BD3"/>
    <w:rsid w:val="00424C57"/>
    <w:rsid w:val="00424CD9"/>
    <w:rsid w:val="00424D1F"/>
    <w:rsid w:val="00424D24"/>
    <w:rsid w:val="00424D4C"/>
    <w:rsid w:val="00424D92"/>
    <w:rsid w:val="00424D94"/>
    <w:rsid w:val="00424D9F"/>
    <w:rsid w:val="00424DD8"/>
    <w:rsid w:val="00424E00"/>
    <w:rsid w:val="00424E06"/>
    <w:rsid w:val="00424EE1"/>
    <w:rsid w:val="00425062"/>
    <w:rsid w:val="00425089"/>
    <w:rsid w:val="00425095"/>
    <w:rsid w:val="0042509A"/>
    <w:rsid w:val="00425102"/>
    <w:rsid w:val="00425134"/>
    <w:rsid w:val="00425226"/>
    <w:rsid w:val="00425228"/>
    <w:rsid w:val="004252C6"/>
    <w:rsid w:val="0042538D"/>
    <w:rsid w:val="004253AE"/>
    <w:rsid w:val="004253C2"/>
    <w:rsid w:val="004253C4"/>
    <w:rsid w:val="004253C6"/>
    <w:rsid w:val="00425430"/>
    <w:rsid w:val="00425441"/>
    <w:rsid w:val="0042545A"/>
    <w:rsid w:val="004254C3"/>
    <w:rsid w:val="0042551D"/>
    <w:rsid w:val="0042552A"/>
    <w:rsid w:val="004255D3"/>
    <w:rsid w:val="004255D4"/>
    <w:rsid w:val="004255E8"/>
    <w:rsid w:val="00425640"/>
    <w:rsid w:val="0042565F"/>
    <w:rsid w:val="00425696"/>
    <w:rsid w:val="004256D6"/>
    <w:rsid w:val="004256DC"/>
    <w:rsid w:val="00425778"/>
    <w:rsid w:val="00425781"/>
    <w:rsid w:val="00425870"/>
    <w:rsid w:val="0042588F"/>
    <w:rsid w:val="004258A8"/>
    <w:rsid w:val="00425950"/>
    <w:rsid w:val="00425952"/>
    <w:rsid w:val="00425A15"/>
    <w:rsid w:val="00425A69"/>
    <w:rsid w:val="00425A81"/>
    <w:rsid w:val="00425AB8"/>
    <w:rsid w:val="00425ADE"/>
    <w:rsid w:val="00425AF6"/>
    <w:rsid w:val="00425C45"/>
    <w:rsid w:val="00425C7D"/>
    <w:rsid w:val="00425C7F"/>
    <w:rsid w:val="00425C84"/>
    <w:rsid w:val="00425CB9"/>
    <w:rsid w:val="00425D39"/>
    <w:rsid w:val="00425D59"/>
    <w:rsid w:val="00425D5D"/>
    <w:rsid w:val="00425D81"/>
    <w:rsid w:val="00425D87"/>
    <w:rsid w:val="00425D93"/>
    <w:rsid w:val="00425E1B"/>
    <w:rsid w:val="00425EC7"/>
    <w:rsid w:val="00425FA2"/>
    <w:rsid w:val="00425FB3"/>
    <w:rsid w:val="00425FC7"/>
    <w:rsid w:val="0042607C"/>
    <w:rsid w:val="004260B4"/>
    <w:rsid w:val="004260EB"/>
    <w:rsid w:val="004260EF"/>
    <w:rsid w:val="00426119"/>
    <w:rsid w:val="004261A3"/>
    <w:rsid w:val="00426202"/>
    <w:rsid w:val="00426208"/>
    <w:rsid w:val="0042624B"/>
    <w:rsid w:val="004262E6"/>
    <w:rsid w:val="00426352"/>
    <w:rsid w:val="004263A4"/>
    <w:rsid w:val="0042640A"/>
    <w:rsid w:val="00426430"/>
    <w:rsid w:val="004264A7"/>
    <w:rsid w:val="004264ED"/>
    <w:rsid w:val="0042650F"/>
    <w:rsid w:val="0042654D"/>
    <w:rsid w:val="00426635"/>
    <w:rsid w:val="004266B6"/>
    <w:rsid w:val="004266CA"/>
    <w:rsid w:val="00426758"/>
    <w:rsid w:val="00426773"/>
    <w:rsid w:val="004268EF"/>
    <w:rsid w:val="00426946"/>
    <w:rsid w:val="00426952"/>
    <w:rsid w:val="0042695C"/>
    <w:rsid w:val="004269DC"/>
    <w:rsid w:val="00426A37"/>
    <w:rsid w:val="00426A5A"/>
    <w:rsid w:val="00426AE2"/>
    <w:rsid w:val="00426B81"/>
    <w:rsid w:val="00426BDA"/>
    <w:rsid w:val="00426BF0"/>
    <w:rsid w:val="00426C08"/>
    <w:rsid w:val="00426C40"/>
    <w:rsid w:val="00426C50"/>
    <w:rsid w:val="00426C91"/>
    <w:rsid w:val="00426CA7"/>
    <w:rsid w:val="00426CB9"/>
    <w:rsid w:val="00426CBD"/>
    <w:rsid w:val="00426CEF"/>
    <w:rsid w:val="00426CF9"/>
    <w:rsid w:val="00426D04"/>
    <w:rsid w:val="00426DBC"/>
    <w:rsid w:val="00426E08"/>
    <w:rsid w:val="00426E7E"/>
    <w:rsid w:val="00426E95"/>
    <w:rsid w:val="00426EF2"/>
    <w:rsid w:val="00426F1B"/>
    <w:rsid w:val="00426F2B"/>
    <w:rsid w:val="00426F56"/>
    <w:rsid w:val="00426F7D"/>
    <w:rsid w:val="004270AF"/>
    <w:rsid w:val="00427131"/>
    <w:rsid w:val="00427216"/>
    <w:rsid w:val="00427287"/>
    <w:rsid w:val="004272BE"/>
    <w:rsid w:val="004272DB"/>
    <w:rsid w:val="00427360"/>
    <w:rsid w:val="004273AD"/>
    <w:rsid w:val="004273EF"/>
    <w:rsid w:val="004274A1"/>
    <w:rsid w:val="0042753B"/>
    <w:rsid w:val="0042754D"/>
    <w:rsid w:val="00427563"/>
    <w:rsid w:val="00427577"/>
    <w:rsid w:val="0042759E"/>
    <w:rsid w:val="004275BC"/>
    <w:rsid w:val="00427636"/>
    <w:rsid w:val="0042764B"/>
    <w:rsid w:val="00427662"/>
    <w:rsid w:val="00427690"/>
    <w:rsid w:val="004276B5"/>
    <w:rsid w:val="004276EB"/>
    <w:rsid w:val="00427717"/>
    <w:rsid w:val="0042773B"/>
    <w:rsid w:val="004277BE"/>
    <w:rsid w:val="00427801"/>
    <w:rsid w:val="00427825"/>
    <w:rsid w:val="0042786A"/>
    <w:rsid w:val="004278D1"/>
    <w:rsid w:val="004278DA"/>
    <w:rsid w:val="00427945"/>
    <w:rsid w:val="00427976"/>
    <w:rsid w:val="00427994"/>
    <w:rsid w:val="004279A1"/>
    <w:rsid w:val="004279F1"/>
    <w:rsid w:val="00427A94"/>
    <w:rsid w:val="00427AAD"/>
    <w:rsid w:val="00427AFB"/>
    <w:rsid w:val="00427B69"/>
    <w:rsid w:val="00427B8D"/>
    <w:rsid w:val="00427C17"/>
    <w:rsid w:val="00427C57"/>
    <w:rsid w:val="00427C78"/>
    <w:rsid w:val="00427DEB"/>
    <w:rsid w:val="00427DF7"/>
    <w:rsid w:val="00427E55"/>
    <w:rsid w:val="00427E86"/>
    <w:rsid w:val="00427EF8"/>
    <w:rsid w:val="00427F0F"/>
    <w:rsid w:val="00427F1E"/>
    <w:rsid w:val="00427F90"/>
    <w:rsid w:val="00427FB6"/>
    <w:rsid w:val="0043003E"/>
    <w:rsid w:val="004300E8"/>
    <w:rsid w:val="00430130"/>
    <w:rsid w:val="00430150"/>
    <w:rsid w:val="004301CE"/>
    <w:rsid w:val="004301EC"/>
    <w:rsid w:val="004301F2"/>
    <w:rsid w:val="004301FD"/>
    <w:rsid w:val="0043023F"/>
    <w:rsid w:val="0043029B"/>
    <w:rsid w:val="0043029E"/>
    <w:rsid w:val="004302BB"/>
    <w:rsid w:val="004302FA"/>
    <w:rsid w:val="00430321"/>
    <w:rsid w:val="004304B1"/>
    <w:rsid w:val="00430507"/>
    <w:rsid w:val="004305B6"/>
    <w:rsid w:val="004306AB"/>
    <w:rsid w:val="0043074F"/>
    <w:rsid w:val="00430775"/>
    <w:rsid w:val="004307E2"/>
    <w:rsid w:val="00430810"/>
    <w:rsid w:val="00430819"/>
    <w:rsid w:val="0043081C"/>
    <w:rsid w:val="00430855"/>
    <w:rsid w:val="00430857"/>
    <w:rsid w:val="00430859"/>
    <w:rsid w:val="004308EC"/>
    <w:rsid w:val="004309BF"/>
    <w:rsid w:val="00430A60"/>
    <w:rsid w:val="00430A93"/>
    <w:rsid w:val="00430AAB"/>
    <w:rsid w:val="00430AB8"/>
    <w:rsid w:val="00430ABA"/>
    <w:rsid w:val="00430ADE"/>
    <w:rsid w:val="00430B05"/>
    <w:rsid w:val="00430B54"/>
    <w:rsid w:val="00430B7B"/>
    <w:rsid w:val="00430BA6"/>
    <w:rsid w:val="00430BD7"/>
    <w:rsid w:val="00430C00"/>
    <w:rsid w:val="00430C25"/>
    <w:rsid w:val="00430CB3"/>
    <w:rsid w:val="00430CCA"/>
    <w:rsid w:val="00430CEF"/>
    <w:rsid w:val="00430D09"/>
    <w:rsid w:val="00430D7C"/>
    <w:rsid w:val="00430D8F"/>
    <w:rsid w:val="00430DA2"/>
    <w:rsid w:val="00430DC8"/>
    <w:rsid w:val="00430E16"/>
    <w:rsid w:val="00430E98"/>
    <w:rsid w:val="00430EA6"/>
    <w:rsid w:val="00430ED9"/>
    <w:rsid w:val="00430F3E"/>
    <w:rsid w:val="00430F43"/>
    <w:rsid w:val="00430F58"/>
    <w:rsid w:val="00430F80"/>
    <w:rsid w:val="00431031"/>
    <w:rsid w:val="0043113A"/>
    <w:rsid w:val="00431142"/>
    <w:rsid w:val="00431198"/>
    <w:rsid w:val="00431224"/>
    <w:rsid w:val="00431234"/>
    <w:rsid w:val="00431272"/>
    <w:rsid w:val="0043132F"/>
    <w:rsid w:val="004313E9"/>
    <w:rsid w:val="00431415"/>
    <w:rsid w:val="0043142A"/>
    <w:rsid w:val="00431513"/>
    <w:rsid w:val="0043155C"/>
    <w:rsid w:val="00431567"/>
    <w:rsid w:val="0043156C"/>
    <w:rsid w:val="00431579"/>
    <w:rsid w:val="00431646"/>
    <w:rsid w:val="00431664"/>
    <w:rsid w:val="0043167F"/>
    <w:rsid w:val="004316A2"/>
    <w:rsid w:val="0043177C"/>
    <w:rsid w:val="004317B4"/>
    <w:rsid w:val="004317D3"/>
    <w:rsid w:val="00431809"/>
    <w:rsid w:val="00431855"/>
    <w:rsid w:val="00431887"/>
    <w:rsid w:val="004318A3"/>
    <w:rsid w:val="004318AA"/>
    <w:rsid w:val="004318D4"/>
    <w:rsid w:val="004318DF"/>
    <w:rsid w:val="004318F5"/>
    <w:rsid w:val="0043190A"/>
    <w:rsid w:val="00431A0D"/>
    <w:rsid w:val="00431A86"/>
    <w:rsid w:val="00431AD8"/>
    <w:rsid w:val="00431ADA"/>
    <w:rsid w:val="00431C77"/>
    <w:rsid w:val="00431C7A"/>
    <w:rsid w:val="00431D8C"/>
    <w:rsid w:val="00431DAD"/>
    <w:rsid w:val="00431DBB"/>
    <w:rsid w:val="00431DBF"/>
    <w:rsid w:val="00431DEA"/>
    <w:rsid w:val="00431E3E"/>
    <w:rsid w:val="00431E53"/>
    <w:rsid w:val="00431E68"/>
    <w:rsid w:val="00431E70"/>
    <w:rsid w:val="00431EAC"/>
    <w:rsid w:val="00431EB2"/>
    <w:rsid w:val="00431EB8"/>
    <w:rsid w:val="00431F83"/>
    <w:rsid w:val="00431FE1"/>
    <w:rsid w:val="00432039"/>
    <w:rsid w:val="00432074"/>
    <w:rsid w:val="004320C9"/>
    <w:rsid w:val="004320F2"/>
    <w:rsid w:val="00432134"/>
    <w:rsid w:val="004321F5"/>
    <w:rsid w:val="0043226E"/>
    <w:rsid w:val="0043229A"/>
    <w:rsid w:val="004322B4"/>
    <w:rsid w:val="00432320"/>
    <w:rsid w:val="0043238D"/>
    <w:rsid w:val="004323C2"/>
    <w:rsid w:val="004323E9"/>
    <w:rsid w:val="0043242F"/>
    <w:rsid w:val="00432430"/>
    <w:rsid w:val="004324B6"/>
    <w:rsid w:val="004325D4"/>
    <w:rsid w:val="00432634"/>
    <w:rsid w:val="00432675"/>
    <w:rsid w:val="004326DC"/>
    <w:rsid w:val="004326EB"/>
    <w:rsid w:val="00432813"/>
    <w:rsid w:val="004328CA"/>
    <w:rsid w:val="004328CF"/>
    <w:rsid w:val="0043292F"/>
    <w:rsid w:val="00432A01"/>
    <w:rsid w:val="00432A0E"/>
    <w:rsid w:val="00432A11"/>
    <w:rsid w:val="00432A63"/>
    <w:rsid w:val="00432A7D"/>
    <w:rsid w:val="00432A8D"/>
    <w:rsid w:val="00432AD4"/>
    <w:rsid w:val="00432AEB"/>
    <w:rsid w:val="00432B0E"/>
    <w:rsid w:val="00432B1B"/>
    <w:rsid w:val="00432B5A"/>
    <w:rsid w:val="00432B63"/>
    <w:rsid w:val="00432C97"/>
    <w:rsid w:val="00432CDE"/>
    <w:rsid w:val="00432D08"/>
    <w:rsid w:val="00432D5A"/>
    <w:rsid w:val="00432DD1"/>
    <w:rsid w:val="00432E1A"/>
    <w:rsid w:val="00432E24"/>
    <w:rsid w:val="00432F10"/>
    <w:rsid w:val="00432F1A"/>
    <w:rsid w:val="00432F51"/>
    <w:rsid w:val="00432F71"/>
    <w:rsid w:val="00432F7F"/>
    <w:rsid w:val="00433000"/>
    <w:rsid w:val="00433002"/>
    <w:rsid w:val="0043300C"/>
    <w:rsid w:val="0043303C"/>
    <w:rsid w:val="004330DC"/>
    <w:rsid w:val="00433140"/>
    <w:rsid w:val="00433197"/>
    <w:rsid w:val="004331AA"/>
    <w:rsid w:val="00433262"/>
    <w:rsid w:val="0043328D"/>
    <w:rsid w:val="0043329D"/>
    <w:rsid w:val="004332B4"/>
    <w:rsid w:val="004332BC"/>
    <w:rsid w:val="00433335"/>
    <w:rsid w:val="0043337B"/>
    <w:rsid w:val="0043339D"/>
    <w:rsid w:val="0043339E"/>
    <w:rsid w:val="00433404"/>
    <w:rsid w:val="0043354F"/>
    <w:rsid w:val="004335CA"/>
    <w:rsid w:val="004335DF"/>
    <w:rsid w:val="004335EB"/>
    <w:rsid w:val="0043361D"/>
    <w:rsid w:val="00433627"/>
    <w:rsid w:val="00433638"/>
    <w:rsid w:val="00433652"/>
    <w:rsid w:val="0043365D"/>
    <w:rsid w:val="004336DF"/>
    <w:rsid w:val="00433762"/>
    <w:rsid w:val="004337E3"/>
    <w:rsid w:val="004337FD"/>
    <w:rsid w:val="00433987"/>
    <w:rsid w:val="004339A7"/>
    <w:rsid w:val="004339C5"/>
    <w:rsid w:val="00433A29"/>
    <w:rsid w:val="00433A4B"/>
    <w:rsid w:val="00433B2D"/>
    <w:rsid w:val="00433B61"/>
    <w:rsid w:val="00433B85"/>
    <w:rsid w:val="00433C02"/>
    <w:rsid w:val="00433C3F"/>
    <w:rsid w:val="00433C90"/>
    <w:rsid w:val="00433CC9"/>
    <w:rsid w:val="00433D5B"/>
    <w:rsid w:val="00433D9F"/>
    <w:rsid w:val="00433E04"/>
    <w:rsid w:val="00433E54"/>
    <w:rsid w:val="00433F5B"/>
    <w:rsid w:val="00434019"/>
    <w:rsid w:val="00434030"/>
    <w:rsid w:val="004340AB"/>
    <w:rsid w:val="004340D0"/>
    <w:rsid w:val="004340D2"/>
    <w:rsid w:val="004341C3"/>
    <w:rsid w:val="00434215"/>
    <w:rsid w:val="00434236"/>
    <w:rsid w:val="00434241"/>
    <w:rsid w:val="0043429F"/>
    <w:rsid w:val="004342BE"/>
    <w:rsid w:val="0043430D"/>
    <w:rsid w:val="004343C4"/>
    <w:rsid w:val="004343EF"/>
    <w:rsid w:val="0043442C"/>
    <w:rsid w:val="0043447F"/>
    <w:rsid w:val="00434494"/>
    <w:rsid w:val="004344BE"/>
    <w:rsid w:val="004344F1"/>
    <w:rsid w:val="00434506"/>
    <w:rsid w:val="00434516"/>
    <w:rsid w:val="00434548"/>
    <w:rsid w:val="00434559"/>
    <w:rsid w:val="0043457D"/>
    <w:rsid w:val="00434582"/>
    <w:rsid w:val="004345DE"/>
    <w:rsid w:val="00434646"/>
    <w:rsid w:val="0043467F"/>
    <w:rsid w:val="00434695"/>
    <w:rsid w:val="004346A8"/>
    <w:rsid w:val="004346E1"/>
    <w:rsid w:val="00434758"/>
    <w:rsid w:val="004347BA"/>
    <w:rsid w:val="00434867"/>
    <w:rsid w:val="00434895"/>
    <w:rsid w:val="00434981"/>
    <w:rsid w:val="004349E2"/>
    <w:rsid w:val="004349E6"/>
    <w:rsid w:val="00434B01"/>
    <w:rsid w:val="00434BB3"/>
    <w:rsid w:val="00434BCC"/>
    <w:rsid w:val="00434C11"/>
    <w:rsid w:val="00434D59"/>
    <w:rsid w:val="00434D70"/>
    <w:rsid w:val="00434D7C"/>
    <w:rsid w:val="00434D8E"/>
    <w:rsid w:val="00434DBB"/>
    <w:rsid w:val="00434E32"/>
    <w:rsid w:val="00434E34"/>
    <w:rsid w:val="00434EF8"/>
    <w:rsid w:val="00434F3C"/>
    <w:rsid w:val="00434FA7"/>
    <w:rsid w:val="00434FD0"/>
    <w:rsid w:val="004350B9"/>
    <w:rsid w:val="004350CE"/>
    <w:rsid w:val="00435136"/>
    <w:rsid w:val="00435262"/>
    <w:rsid w:val="0043527E"/>
    <w:rsid w:val="004352A9"/>
    <w:rsid w:val="0043536C"/>
    <w:rsid w:val="004353B3"/>
    <w:rsid w:val="004353FB"/>
    <w:rsid w:val="004354CC"/>
    <w:rsid w:val="004354DC"/>
    <w:rsid w:val="00435506"/>
    <w:rsid w:val="00435518"/>
    <w:rsid w:val="00435593"/>
    <w:rsid w:val="004355B4"/>
    <w:rsid w:val="00435618"/>
    <w:rsid w:val="0043561B"/>
    <w:rsid w:val="00435667"/>
    <w:rsid w:val="00435675"/>
    <w:rsid w:val="0043568E"/>
    <w:rsid w:val="004356C1"/>
    <w:rsid w:val="004356E5"/>
    <w:rsid w:val="004356E8"/>
    <w:rsid w:val="00435725"/>
    <w:rsid w:val="004357B7"/>
    <w:rsid w:val="00435884"/>
    <w:rsid w:val="00435997"/>
    <w:rsid w:val="0043599E"/>
    <w:rsid w:val="00435A30"/>
    <w:rsid w:val="00435A33"/>
    <w:rsid w:val="00435B69"/>
    <w:rsid w:val="00435B96"/>
    <w:rsid w:val="00435C13"/>
    <w:rsid w:val="00435C3E"/>
    <w:rsid w:val="00435C4E"/>
    <w:rsid w:val="00435CB6"/>
    <w:rsid w:val="00435CBF"/>
    <w:rsid w:val="00435CDB"/>
    <w:rsid w:val="00435D8A"/>
    <w:rsid w:val="00435E6E"/>
    <w:rsid w:val="00435E86"/>
    <w:rsid w:val="00435EBE"/>
    <w:rsid w:val="00435EC3"/>
    <w:rsid w:val="00435F43"/>
    <w:rsid w:val="00435FEF"/>
    <w:rsid w:val="00435FF5"/>
    <w:rsid w:val="00435FFF"/>
    <w:rsid w:val="0043603A"/>
    <w:rsid w:val="00436073"/>
    <w:rsid w:val="004360FF"/>
    <w:rsid w:val="0043616F"/>
    <w:rsid w:val="00436184"/>
    <w:rsid w:val="004361BF"/>
    <w:rsid w:val="0043620E"/>
    <w:rsid w:val="00436278"/>
    <w:rsid w:val="004362F3"/>
    <w:rsid w:val="0043630E"/>
    <w:rsid w:val="00436324"/>
    <w:rsid w:val="0043633F"/>
    <w:rsid w:val="0043634A"/>
    <w:rsid w:val="004363BD"/>
    <w:rsid w:val="0043647E"/>
    <w:rsid w:val="0043649A"/>
    <w:rsid w:val="0043654A"/>
    <w:rsid w:val="00436560"/>
    <w:rsid w:val="004365CB"/>
    <w:rsid w:val="0043661C"/>
    <w:rsid w:val="00436703"/>
    <w:rsid w:val="00436860"/>
    <w:rsid w:val="00436887"/>
    <w:rsid w:val="004368E1"/>
    <w:rsid w:val="004369B2"/>
    <w:rsid w:val="004369D2"/>
    <w:rsid w:val="004369E1"/>
    <w:rsid w:val="00436A66"/>
    <w:rsid w:val="00436AEF"/>
    <w:rsid w:val="00436AF5"/>
    <w:rsid w:val="00436B2D"/>
    <w:rsid w:val="00436B41"/>
    <w:rsid w:val="00436B6F"/>
    <w:rsid w:val="00436BEA"/>
    <w:rsid w:val="00436C1A"/>
    <w:rsid w:val="00436C25"/>
    <w:rsid w:val="00436C98"/>
    <w:rsid w:val="00436CCD"/>
    <w:rsid w:val="00436CCF"/>
    <w:rsid w:val="00436CD3"/>
    <w:rsid w:val="00436CFE"/>
    <w:rsid w:val="00436D06"/>
    <w:rsid w:val="00436E9B"/>
    <w:rsid w:val="00436EAE"/>
    <w:rsid w:val="00436EB7"/>
    <w:rsid w:val="00436F23"/>
    <w:rsid w:val="00436F29"/>
    <w:rsid w:val="00436F30"/>
    <w:rsid w:val="00436F48"/>
    <w:rsid w:val="00436F6B"/>
    <w:rsid w:val="00436F8F"/>
    <w:rsid w:val="0043709A"/>
    <w:rsid w:val="004370F1"/>
    <w:rsid w:val="0043715F"/>
    <w:rsid w:val="00437184"/>
    <w:rsid w:val="004371AC"/>
    <w:rsid w:val="004371B3"/>
    <w:rsid w:val="004371E8"/>
    <w:rsid w:val="00437234"/>
    <w:rsid w:val="00437333"/>
    <w:rsid w:val="00437337"/>
    <w:rsid w:val="00437365"/>
    <w:rsid w:val="004373E0"/>
    <w:rsid w:val="004373EC"/>
    <w:rsid w:val="00437431"/>
    <w:rsid w:val="00437550"/>
    <w:rsid w:val="00437552"/>
    <w:rsid w:val="00437583"/>
    <w:rsid w:val="004375CC"/>
    <w:rsid w:val="00437608"/>
    <w:rsid w:val="00437682"/>
    <w:rsid w:val="004376A8"/>
    <w:rsid w:val="004376F8"/>
    <w:rsid w:val="00437780"/>
    <w:rsid w:val="0043785D"/>
    <w:rsid w:val="0043786F"/>
    <w:rsid w:val="00437879"/>
    <w:rsid w:val="004378F9"/>
    <w:rsid w:val="0043793C"/>
    <w:rsid w:val="0043797D"/>
    <w:rsid w:val="004379BB"/>
    <w:rsid w:val="004379D0"/>
    <w:rsid w:val="00437A45"/>
    <w:rsid w:val="00437A4D"/>
    <w:rsid w:val="00437A54"/>
    <w:rsid w:val="00437AC3"/>
    <w:rsid w:val="00437B9D"/>
    <w:rsid w:val="00437BC2"/>
    <w:rsid w:val="00437BC3"/>
    <w:rsid w:val="00437BEC"/>
    <w:rsid w:val="00437C21"/>
    <w:rsid w:val="00437C25"/>
    <w:rsid w:val="00437CC2"/>
    <w:rsid w:val="00437CCE"/>
    <w:rsid w:val="00437D0A"/>
    <w:rsid w:val="00437D22"/>
    <w:rsid w:val="00437DA4"/>
    <w:rsid w:val="00437DAE"/>
    <w:rsid w:val="00437DD5"/>
    <w:rsid w:val="00437DEA"/>
    <w:rsid w:val="00437E12"/>
    <w:rsid w:val="00437E14"/>
    <w:rsid w:val="00437E47"/>
    <w:rsid w:val="00437E7D"/>
    <w:rsid w:val="00437EA1"/>
    <w:rsid w:val="00437F0D"/>
    <w:rsid w:val="00437F10"/>
    <w:rsid w:val="00437F80"/>
    <w:rsid w:val="00440013"/>
    <w:rsid w:val="0044007E"/>
    <w:rsid w:val="004400BA"/>
    <w:rsid w:val="0044017C"/>
    <w:rsid w:val="00440188"/>
    <w:rsid w:val="00440227"/>
    <w:rsid w:val="00440258"/>
    <w:rsid w:val="004402CC"/>
    <w:rsid w:val="00440337"/>
    <w:rsid w:val="004403B0"/>
    <w:rsid w:val="004403BC"/>
    <w:rsid w:val="004403D5"/>
    <w:rsid w:val="0044052A"/>
    <w:rsid w:val="00440533"/>
    <w:rsid w:val="0044053E"/>
    <w:rsid w:val="00440597"/>
    <w:rsid w:val="004405BD"/>
    <w:rsid w:val="004405EA"/>
    <w:rsid w:val="00440661"/>
    <w:rsid w:val="004406E7"/>
    <w:rsid w:val="004406F0"/>
    <w:rsid w:val="0044071E"/>
    <w:rsid w:val="00440745"/>
    <w:rsid w:val="004407B9"/>
    <w:rsid w:val="004407D1"/>
    <w:rsid w:val="0044082C"/>
    <w:rsid w:val="00440876"/>
    <w:rsid w:val="00440894"/>
    <w:rsid w:val="0044091A"/>
    <w:rsid w:val="0044092C"/>
    <w:rsid w:val="00440982"/>
    <w:rsid w:val="004409A2"/>
    <w:rsid w:val="004409CD"/>
    <w:rsid w:val="00440A00"/>
    <w:rsid w:val="00440A08"/>
    <w:rsid w:val="00440A57"/>
    <w:rsid w:val="00440B74"/>
    <w:rsid w:val="00440B84"/>
    <w:rsid w:val="00440BD8"/>
    <w:rsid w:val="00440BE8"/>
    <w:rsid w:val="00440C5F"/>
    <w:rsid w:val="00440C77"/>
    <w:rsid w:val="00440DAE"/>
    <w:rsid w:val="00440DF5"/>
    <w:rsid w:val="00440E28"/>
    <w:rsid w:val="00440E9F"/>
    <w:rsid w:val="00440FF1"/>
    <w:rsid w:val="0044101B"/>
    <w:rsid w:val="0044102B"/>
    <w:rsid w:val="0044105A"/>
    <w:rsid w:val="00441086"/>
    <w:rsid w:val="00441146"/>
    <w:rsid w:val="0044118B"/>
    <w:rsid w:val="004411AD"/>
    <w:rsid w:val="004411C9"/>
    <w:rsid w:val="004411D1"/>
    <w:rsid w:val="0044125E"/>
    <w:rsid w:val="00441278"/>
    <w:rsid w:val="00441340"/>
    <w:rsid w:val="0044136D"/>
    <w:rsid w:val="00441492"/>
    <w:rsid w:val="0044149E"/>
    <w:rsid w:val="004414C2"/>
    <w:rsid w:val="004415BD"/>
    <w:rsid w:val="004416B7"/>
    <w:rsid w:val="004416BF"/>
    <w:rsid w:val="004416E5"/>
    <w:rsid w:val="004416FE"/>
    <w:rsid w:val="00441716"/>
    <w:rsid w:val="0044180E"/>
    <w:rsid w:val="00441876"/>
    <w:rsid w:val="0044190A"/>
    <w:rsid w:val="00441913"/>
    <w:rsid w:val="00441950"/>
    <w:rsid w:val="00441975"/>
    <w:rsid w:val="004419C3"/>
    <w:rsid w:val="004419C5"/>
    <w:rsid w:val="00441A19"/>
    <w:rsid w:val="00441A6C"/>
    <w:rsid w:val="00441A9B"/>
    <w:rsid w:val="00441AEF"/>
    <w:rsid w:val="00441AF5"/>
    <w:rsid w:val="00441B03"/>
    <w:rsid w:val="00441BBC"/>
    <w:rsid w:val="00441BCD"/>
    <w:rsid w:val="00441BF9"/>
    <w:rsid w:val="00441CB3"/>
    <w:rsid w:val="00441D41"/>
    <w:rsid w:val="00441D5F"/>
    <w:rsid w:val="00441DC2"/>
    <w:rsid w:val="00441DF8"/>
    <w:rsid w:val="00441E02"/>
    <w:rsid w:val="00441F69"/>
    <w:rsid w:val="00441F9B"/>
    <w:rsid w:val="0044203B"/>
    <w:rsid w:val="004420A6"/>
    <w:rsid w:val="004420B2"/>
    <w:rsid w:val="004420B3"/>
    <w:rsid w:val="004420CF"/>
    <w:rsid w:val="004422A6"/>
    <w:rsid w:val="004422A9"/>
    <w:rsid w:val="004422C3"/>
    <w:rsid w:val="004423F2"/>
    <w:rsid w:val="00442448"/>
    <w:rsid w:val="004424FD"/>
    <w:rsid w:val="00442524"/>
    <w:rsid w:val="004425FF"/>
    <w:rsid w:val="0044263F"/>
    <w:rsid w:val="0044264B"/>
    <w:rsid w:val="0044265E"/>
    <w:rsid w:val="0044273B"/>
    <w:rsid w:val="0044274E"/>
    <w:rsid w:val="00442756"/>
    <w:rsid w:val="00442767"/>
    <w:rsid w:val="004427AF"/>
    <w:rsid w:val="004427D8"/>
    <w:rsid w:val="004427FD"/>
    <w:rsid w:val="00442862"/>
    <w:rsid w:val="004428A4"/>
    <w:rsid w:val="004428F8"/>
    <w:rsid w:val="0044290A"/>
    <w:rsid w:val="00442983"/>
    <w:rsid w:val="004429CD"/>
    <w:rsid w:val="00442A30"/>
    <w:rsid w:val="00442A67"/>
    <w:rsid w:val="00442B23"/>
    <w:rsid w:val="00442B88"/>
    <w:rsid w:val="00442B97"/>
    <w:rsid w:val="00442B9D"/>
    <w:rsid w:val="00442BA8"/>
    <w:rsid w:val="00442BD5"/>
    <w:rsid w:val="00442C7B"/>
    <w:rsid w:val="00442C8E"/>
    <w:rsid w:val="00442D30"/>
    <w:rsid w:val="00442D63"/>
    <w:rsid w:val="00442DB0"/>
    <w:rsid w:val="00442E21"/>
    <w:rsid w:val="00442E60"/>
    <w:rsid w:val="00442F54"/>
    <w:rsid w:val="00442FAB"/>
    <w:rsid w:val="00442FE9"/>
    <w:rsid w:val="0044305E"/>
    <w:rsid w:val="0044308D"/>
    <w:rsid w:val="004430C4"/>
    <w:rsid w:val="004430CA"/>
    <w:rsid w:val="004430F1"/>
    <w:rsid w:val="004431E4"/>
    <w:rsid w:val="00443201"/>
    <w:rsid w:val="004432C0"/>
    <w:rsid w:val="00443314"/>
    <w:rsid w:val="0044331D"/>
    <w:rsid w:val="00443414"/>
    <w:rsid w:val="004434B1"/>
    <w:rsid w:val="00443526"/>
    <w:rsid w:val="0044352E"/>
    <w:rsid w:val="00443550"/>
    <w:rsid w:val="004435BC"/>
    <w:rsid w:val="004435DB"/>
    <w:rsid w:val="0044372E"/>
    <w:rsid w:val="00443775"/>
    <w:rsid w:val="00443789"/>
    <w:rsid w:val="004437B0"/>
    <w:rsid w:val="004437E0"/>
    <w:rsid w:val="004437E2"/>
    <w:rsid w:val="00443807"/>
    <w:rsid w:val="004438E5"/>
    <w:rsid w:val="004439D4"/>
    <w:rsid w:val="00443A35"/>
    <w:rsid w:val="00443A73"/>
    <w:rsid w:val="00443B05"/>
    <w:rsid w:val="00443B3E"/>
    <w:rsid w:val="00443B81"/>
    <w:rsid w:val="00443B96"/>
    <w:rsid w:val="00443BFA"/>
    <w:rsid w:val="00443C4C"/>
    <w:rsid w:val="00443C54"/>
    <w:rsid w:val="00443C8B"/>
    <w:rsid w:val="00443CC5"/>
    <w:rsid w:val="00443CE0"/>
    <w:rsid w:val="00443DB9"/>
    <w:rsid w:val="00443DEE"/>
    <w:rsid w:val="00443E51"/>
    <w:rsid w:val="00443EB7"/>
    <w:rsid w:val="00443EF3"/>
    <w:rsid w:val="00443F40"/>
    <w:rsid w:val="00443F54"/>
    <w:rsid w:val="00443FB5"/>
    <w:rsid w:val="00444007"/>
    <w:rsid w:val="00444046"/>
    <w:rsid w:val="0044404E"/>
    <w:rsid w:val="00444055"/>
    <w:rsid w:val="00444115"/>
    <w:rsid w:val="00444150"/>
    <w:rsid w:val="0044419C"/>
    <w:rsid w:val="004441B7"/>
    <w:rsid w:val="004441C9"/>
    <w:rsid w:val="0044421E"/>
    <w:rsid w:val="00444221"/>
    <w:rsid w:val="0044424D"/>
    <w:rsid w:val="004442D6"/>
    <w:rsid w:val="0044444F"/>
    <w:rsid w:val="004444A6"/>
    <w:rsid w:val="004444FB"/>
    <w:rsid w:val="00444537"/>
    <w:rsid w:val="004445A0"/>
    <w:rsid w:val="004445D2"/>
    <w:rsid w:val="00444645"/>
    <w:rsid w:val="004446D6"/>
    <w:rsid w:val="00444751"/>
    <w:rsid w:val="00444759"/>
    <w:rsid w:val="0044478C"/>
    <w:rsid w:val="004447B7"/>
    <w:rsid w:val="00444801"/>
    <w:rsid w:val="00444834"/>
    <w:rsid w:val="00444842"/>
    <w:rsid w:val="0044499A"/>
    <w:rsid w:val="00444A01"/>
    <w:rsid w:val="00444A6C"/>
    <w:rsid w:val="00444B12"/>
    <w:rsid w:val="00444B15"/>
    <w:rsid w:val="00444BAB"/>
    <w:rsid w:val="00444C0B"/>
    <w:rsid w:val="00444C21"/>
    <w:rsid w:val="00444C5D"/>
    <w:rsid w:val="00444C63"/>
    <w:rsid w:val="00444C7A"/>
    <w:rsid w:val="00444C83"/>
    <w:rsid w:val="00444CCD"/>
    <w:rsid w:val="00444CF6"/>
    <w:rsid w:val="00444D33"/>
    <w:rsid w:val="00444E3A"/>
    <w:rsid w:val="00444E57"/>
    <w:rsid w:val="00444ED5"/>
    <w:rsid w:val="00444F00"/>
    <w:rsid w:val="00444F3A"/>
    <w:rsid w:val="00444F52"/>
    <w:rsid w:val="00445047"/>
    <w:rsid w:val="00445129"/>
    <w:rsid w:val="004451E7"/>
    <w:rsid w:val="004451F7"/>
    <w:rsid w:val="00445228"/>
    <w:rsid w:val="00445265"/>
    <w:rsid w:val="004452DB"/>
    <w:rsid w:val="0044533F"/>
    <w:rsid w:val="00445389"/>
    <w:rsid w:val="004453B5"/>
    <w:rsid w:val="00445401"/>
    <w:rsid w:val="004454AA"/>
    <w:rsid w:val="004454AC"/>
    <w:rsid w:val="0044551F"/>
    <w:rsid w:val="0044566C"/>
    <w:rsid w:val="004456B8"/>
    <w:rsid w:val="004456E0"/>
    <w:rsid w:val="004457A6"/>
    <w:rsid w:val="00445829"/>
    <w:rsid w:val="0044582D"/>
    <w:rsid w:val="00445844"/>
    <w:rsid w:val="004458DC"/>
    <w:rsid w:val="00445994"/>
    <w:rsid w:val="004459A2"/>
    <w:rsid w:val="004459BD"/>
    <w:rsid w:val="00445A57"/>
    <w:rsid w:val="00445B08"/>
    <w:rsid w:val="00445B3B"/>
    <w:rsid w:val="00445B93"/>
    <w:rsid w:val="00445C2B"/>
    <w:rsid w:val="00445C41"/>
    <w:rsid w:val="00445C7D"/>
    <w:rsid w:val="00445D79"/>
    <w:rsid w:val="00445D91"/>
    <w:rsid w:val="00445DA1"/>
    <w:rsid w:val="00445DB2"/>
    <w:rsid w:val="00445DEA"/>
    <w:rsid w:val="00445EBA"/>
    <w:rsid w:val="00445FAD"/>
    <w:rsid w:val="00445FC6"/>
    <w:rsid w:val="00446121"/>
    <w:rsid w:val="004461BF"/>
    <w:rsid w:val="00446249"/>
    <w:rsid w:val="004462DE"/>
    <w:rsid w:val="004462E2"/>
    <w:rsid w:val="0044633A"/>
    <w:rsid w:val="0044648D"/>
    <w:rsid w:val="004464DD"/>
    <w:rsid w:val="004464E7"/>
    <w:rsid w:val="0044659D"/>
    <w:rsid w:val="00446602"/>
    <w:rsid w:val="00446683"/>
    <w:rsid w:val="004466D2"/>
    <w:rsid w:val="004466FF"/>
    <w:rsid w:val="00446706"/>
    <w:rsid w:val="0044674B"/>
    <w:rsid w:val="0044676C"/>
    <w:rsid w:val="00446782"/>
    <w:rsid w:val="004467AC"/>
    <w:rsid w:val="00446830"/>
    <w:rsid w:val="0044684B"/>
    <w:rsid w:val="00446869"/>
    <w:rsid w:val="00446889"/>
    <w:rsid w:val="004468C0"/>
    <w:rsid w:val="00446934"/>
    <w:rsid w:val="00446937"/>
    <w:rsid w:val="00446A6C"/>
    <w:rsid w:val="00446A88"/>
    <w:rsid w:val="00446B0C"/>
    <w:rsid w:val="00446B1D"/>
    <w:rsid w:val="00446B8D"/>
    <w:rsid w:val="00446BA6"/>
    <w:rsid w:val="00446BB3"/>
    <w:rsid w:val="00446C60"/>
    <w:rsid w:val="00446C69"/>
    <w:rsid w:val="00446C71"/>
    <w:rsid w:val="00446C8E"/>
    <w:rsid w:val="00446CF4"/>
    <w:rsid w:val="00446D0A"/>
    <w:rsid w:val="00446D64"/>
    <w:rsid w:val="00446D8B"/>
    <w:rsid w:val="00446D97"/>
    <w:rsid w:val="00446DD6"/>
    <w:rsid w:val="00446EAA"/>
    <w:rsid w:val="0044702A"/>
    <w:rsid w:val="004470C0"/>
    <w:rsid w:val="004471E4"/>
    <w:rsid w:val="00447219"/>
    <w:rsid w:val="00447240"/>
    <w:rsid w:val="0044724C"/>
    <w:rsid w:val="004472D6"/>
    <w:rsid w:val="00447346"/>
    <w:rsid w:val="00447360"/>
    <w:rsid w:val="0044736E"/>
    <w:rsid w:val="004473BF"/>
    <w:rsid w:val="00447454"/>
    <w:rsid w:val="00447455"/>
    <w:rsid w:val="004474A2"/>
    <w:rsid w:val="004474B8"/>
    <w:rsid w:val="0044754C"/>
    <w:rsid w:val="004475C4"/>
    <w:rsid w:val="0044768C"/>
    <w:rsid w:val="004476D4"/>
    <w:rsid w:val="0044770E"/>
    <w:rsid w:val="004477BD"/>
    <w:rsid w:val="004477D1"/>
    <w:rsid w:val="0044784E"/>
    <w:rsid w:val="004478C7"/>
    <w:rsid w:val="004478DB"/>
    <w:rsid w:val="004478E9"/>
    <w:rsid w:val="00447968"/>
    <w:rsid w:val="0044796E"/>
    <w:rsid w:val="004479F1"/>
    <w:rsid w:val="004479FC"/>
    <w:rsid w:val="00447AB1"/>
    <w:rsid w:val="00447B07"/>
    <w:rsid w:val="00447B78"/>
    <w:rsid w:val="00447BCA"/>
    <w:rsid w:val="00447BCD"/>
    <w:rsid w:val="00447BE0"/>
    <w:rsid w:val="00447C40"/>
    <w:rsid w:val="00447C97"/>
    <w:rsid w:val="00447D45"/>
    <w:rsid w:val="00447D66"/>
    <w:rsid w:val="00447D97"/>
    <w:rsid w:val="00447E22"/>
    <w:rsid w:val="00447E31"/>
    <w:rsid w:val="00447E3F"/>
    <w:rsid w:val="00447E45"/>
    <w:rsid w:val="00447E4E"/>
    <w:rsid w:val="00447EFE"/>
    <w:rsid w:val="00447F72"/>
    <w:rsid w:val="00447F89"/>
    <w:rsid w:val="00450032"/>
    <w:rsid w:val="00450093"/>
    <w:rsid w:val="00450106"/>
    <w:rsid w:val="00450119"/>
    <w:rsid w:val="0045023D"/>
    <w:rsid w:val="0045025E"/>
    <w:rsid w:val="004502AA"/>
    <w:rsid w:val="004502BE"/>
    <w:rsid w:val="00450306"/>
    <w:rsid w:val="00450438"/>
    <w:rsid w:val="004504FD"/>
    <w:rsid w:val="00450526"/>
    <w:rsid w:val="0045054C"/>
    <w:rsid w:val="00450595"/>
    <w:rsid w:val="0045060F"/>
    <w:rsid w:val="00450681"/>
    <w:rsid w:val="004506AE"/>
    <w:rsid w:val="004506B3"/>
    <w:rsid w:val="00450748"/>
    <w:rsid w:val="00450798"/>
    <w:rsid w:val="004507CD"/>
    <w:rsid w:val="00450814"/>
    <w:rsid w:val="0045084A"/>
    <w:rsid w:val="00450861"/>
    <w:rsid w:val="00450870"/>
    <w:rsid w:val="00450894"/>
    <w:rsid w:val="00450945"/>
    <w:rsid w:val="00450988"/>
    <w:rsid w:val="004509B9"/>
    <w:rsid w:val="004509E2"/>
    <w:rsid w:val="00450A3B"/>
    <w:rsid w:val="00450A5F"/>
    <w:rsid w:val="00450A6A"/>
    <w:rsid w:val="00450A71"/>
    <w:rsid w:val="00450AEB"/>
    <w:rsid w:val="00450AF4"/>
    <w:rsid w:val="00450AF5"/>
    <w:rsid w:val="00450B9F"/>
    <w:rsid w:val="00450C0B"/>
    <w:rsid w:val="00450C46"/>
    <w:rsid w:val="00450C98"/>
    <w:rsid w:val="00450CAB"/>
    <w:rsid w:val="00450CB0"/>
    <w:rsid w:val="00450D06"/>
    <w:rsid w:val="00450D1B"/>
    <w:rsid w:val="00450D4E"/>
    <w:rsid w:val="00450E09"/>
    <w:rsid w:val="00450E0F"/>
    <w:rsid w:val="00450EC3"/>
    <w:rsid w:val="00450F40"/>
    <w:rsid w:val="00451038"/>
    <w:rsid w:val="00451139"/>
    <w:rsid w:val="0045119F"/>
    <w:rsid w:val="004511A6"/>
    <w:rsid w:val="004511A9"/>
    <w:rsid w:val="0045123E"/>
    <w:rsid w:val="00451291"/>
    <w:rsid w:val="004512B5"/>
    <w:rsid w:val="004512DB"/>
    <w:rsid w:val="0045136D"/>
    <w:rsid w:val="0045139C"/>
    <w:rsid w:val="00451416"/>
    <w:rsid w:val="00451466"/>
    <w:rsid w:val="0045148F"/>
    <w:rsid w:val="004514E4"/>
    <w:rsid w:val="00451521"/>
    <w:rsid w:val="004515F3"/>
    <w:rsid w:val="004516D0"/>
    <w:rsid w:val="004516FC"/>
    <w:rsid w:val="004517B1"/>
    <w:rsid w:val="0045182F"/>
    <w:rsid w:val="00451869"/>
    <w:rsid w:val="00451899"/>
    <w:rsid w:val="0045194E"/>
    <w:rsid w:val="004519DC"/>
    <w:rsid w:val="004519E8"/>
    <w:rsid w:val="004519F6"/>
    <w:rsid w:val="00451A3E"/>
    <w:rsid w:val="00451AE5"/>
    <w:rsid w:val="00451B7B"/>
    <w:rsid w:val="00451B7E"/>
    <w:rsid w:val="00451BF0"/>
    <w:rsid w:val="00451C25"/>
    <w:rsid w:val="00451D4F"/>
    <w:rsid w:val="00451DD3"/>
    <w:rsid w:val="00451E36"/>
    <w:rsid w:val="00451EAC"/>
    <w:rsid w:val="00451EFD"/>
    <w:rsid w:val="00451FC3"/>
    <w:rsid w:val="00451FC9"/>
    <w:rsid w:val="00452069"/>
    <w:rsid w:val="00452133"/>
    <w:rsid w:val="00452189"/>
    <w:rsid w:val="004521CB"/>
    <w:rsid w:val="00452287"/>
    <w:rsid w:val="004522F3"/>
    <w:rsid w:val="0045230F"/>
    <w:rsid w:val="00452326"/>
    <w:rsid w:val="0045236A"/>
    <w:rsid w:val="004523BA"/>
    <w:rsid w:val="004523FB"/>
    <w:rsid w:val="00452404"/>
    <w:rsid w:val="004524A9"/>
    <w:rsid w:val="00452552"/>
    <w:rsid w:val="0045257C"/>
    <w:rsid w:val="00452630"/>
    <w:rsid w:val="00452680"/>
    <w:rsid w:val="0045271C"/>
    <w:rsid w:val="0045273E"/>
    <w:rsid w:val="0045274A"/>
    <w:rsid w:val="00452767"/>
    <w:rsid w:val="004527BD"/>
    <w:rsid w:val="004527C9"/>
    <w:rsid w:val="004527EB"/>
    <w:rsid w:val="00452814"/>
    <w:rsid w:val="00452849"/>
    <w:rsid w:val="004528BD"/>
    <w:rsid w:val="00452961"/>
    <w:rsid w:val="004529B8"/>
    <w:rsid w:val="004529DC"/>
    <w:rsid w:val="00452A20"/>
    <w:rsid w:val="00452A3A"/>
    <w:rsid w:val="00452A8D"/>
    <w:rsid w:val="00452AA7"/>
    <w:rsid w:val="00452ADE"/>
    <w:rsid w:val="00452B2C"/>
    <w:rsid w:val="00452B41"/>
    <w:rsid w:val="00452C5C"/>
    <w:rsid w:val="00452CA0"/>
    <w:rsid w:val="00452CAD"/>
    <w:rsid w:val="00452CB9"/>
    <w:rsid w:val="00452CC5"/>
    <w:rsid w:val="00452D5A"/>
    <w:rsid w:val="00452DAD"/>
    <w:rsid w:val="00452E1F"/>
    <w:rsid w:val="00452E2A"/>
    <w:rsid w:val="00452F0F"/>
    <w:rsid w:val="00452F2A"/>
    <w:rsid w:val="00452FB4"/>
    <w:rsid w:val="00453052"/>
    <w:rsid w:val="00453079"/>
    <w:rsid w:val="00453080"/>
    <w:rsid w:val="004530AD"/>
    <w:rsid w:val="004530BC"/>
    <w:rsid w:val="00453106"/>
    <w:rsid w:val="00453121"/>
    <w:rsid w:val="0045318C"/>
    <w:rsid w:val="004531F7"/>
    <w:rsid w:val="0045321A"/>
    <w:rsid w:val="00453262"/>
    <w:rsid w:val="00453312"/>
    <w:rsid w:val="00453359"/>
    <w:rsid w:val="00453375"/>
    <w:rsid w:val="00453387"/>
    <w:rsid w:val="004533DB"/>
    <w:rsid w:val="00453402"/>
    <w:rsid w:val="0045341A"/>
    <w:rsid w:val="00453437"/>
    <w:rsid w:val="0045347E"/>
    <w:rsid w:val="00453511"/>
    <w:rsid w:val="00453568"/>
    <w:rsid w:val="0045359D"/>
    <w:rsid w:val="004535AA"/>
    <w:rsid w:val="004535C7"/>
    <w:rsid w:val="004536AE"/>
    <w:rsid w:val="004536C0"/>
    <w:rsid w:val="0045373A"/>
    <w:rsid w:val="00453740"/>
    <w:rsid w:val="0045375F"/>
    <w:rsid w:val="00453795"/>
    <w:rsid w:val="004537F7"/>
    <w:rsid w:val="004537FF"/>
    <w:rsid w:val="004538F5"/>
    <w:rsid w:val="00453908"/>
    <w:rsid w:val="0045390B"/>
    <w:rsid w:val="004539AC"/>
    <w:rsid w:val="004539E5"/>
    <w:rsid w:val="004539E9"/>
    <w:rsid w:val="00453AAD"/>
    <w:rsid w:val="00453AE8"/>
    <w:rsid w:val="00453B4D"/>
    <w:rsid w:val="00453BEE"/>
    <w:rsid w:val="00453C48"/>
    <w:rsid w:val="00453C51"/>
    <w:rsid w:val="00453C6B"/>
    <w:rsid w:val="00453C74"/>
    <w:rsid w:val="00453D21"/>
    <w:rsid w:val="00453D50"/>
    <w:rsid w:val="00453DA8"/>
    <w:rsid w:val="00453DB9"/>
    <w:rsid w:val="00453E31"/>
    <w:rsid w:val="00453E3A"/>
    <w:rsid w:val="00453EBF"/>
    <w:rsid w:val="00453EC2"/>
    <w:rsid w:val="00453F68"/>
    <w:rsid w:val="00453FF4"/>
    <w:rsid w:val="00453FFD"/>
    <w:rsid w:val="0045413B"/>
    <w:rsid w:val="00454165"/>
    <w:rsid w:val="0045416B"/>
    <w:rsid w:val="0045418A"/>
    <w:rsid w:val="004541A6"/>
    <w:rsid w:val="004541D1"/>
    <w:rsid w:val="004541EC"/>
    <w:rsid w:val="0045429F"/>
    <w:rsid w:val="004542F3"/>
    <w:rsid w:val="00454314"/>
    <w:rsid w:val="0045438F"/>
    <w:rsid w:val="004543AB"/>
    <w:rsid w:val="0045441D"/>
    <w:rsid w:val="00454478"/>
    <w:rsid w:val="0045447F"/>
    <w:rsid w:val="00454613"/>
    <w:rsid w:val="00454686"/>
    <w:rsid w:val="004546DF"/>
    <w:rsid w:val="0045471F"/>
    <w:rsid w:val="00454767"/>
    <w:rsid w:val="004547B7"/>
    <w:rsid w:val="004547D5"/>
    <w:rsid w:val="00454807"/>
    <w:rsid w:val="00454836"/>
    <w:rsid w:val="00454894"/>
    <w:rsid w:val="0045489E"/>
    <w:rsid w:val="004549C7"/>
    <w:rsid w:val="004549CC"/>
    <w:rsid w:val="00454A86"/>
    <w:rsid w:val="00454AF9"/>
    <w:rsid w:val="00454B16"/>
    <w:rsid w:val="00454B1B"/>
    <w:rsid w:val="00454B59"/>
    <w:rsid w:val="00454B5F"/>
    <w:rsid w:val="00454C00"/>
    <w:rsid w:val="00454C5C"/>
    <w:rsid w:val="00454C67"/>
    <w:rsid w:val="00454CCD"/>
    <w:rsid w:val="00454CE4"/>
    <w:rsid w:val="00454D03"/>
    <w:rsid w:val="00454D08"/>
    <w:rsid w:val="00454D1B"/>
    <w:rsid w:val="00454D37"/>
    <w:rsid w:val="00454D3D"/>
    <w:rsid w:val="00454D4F"/>
    <w:rsid w:val="00454D5F"/>
    <w:rsid w:val="00454DB4"/>
    <w:rsid w:val="00454DB8"/>
    <w:rsid w:val="00454E73"/>
    <w:rsid w:val="00454F96"/>
    <w:rsid w:val="00455021"/>
    <w:rsid w:val="00455030"/>
    <w:rsid w:val="004550F3"/>
    <w:rsid w:val="00455104"/>
    <w:rsid w:val="0045513C"/>
    <w:rsid w:val="00455161"/>
    <w:rsid w:val="004551C8"/>
    <w:rsid w:val="004551F3"/>
    <w:rsid w:val="00455287"/>
    <w:rsid w:val="004552BB"/>
    <w:rsid w:val="004552CD"/>
    <w:rsid w:val="004552DF"/>
    <w:rsid w:val="004552FD"/>
    <w:rsid w:val="004553BB"/>
    <w:rsid w:val="004553D5"/>
    <w:rsid w:val="00455410"/>
    <w:rsid w:val="004554D9"/>
    <w:rsid w:val="004554DB"/>
    <w:rsid w:val="00455539"/>
    <w:rsid w:val="00455610"/>
    <w:rsid w:val="004556BF"/>
    <w:rsid w:val="004556C5"/>
    <w:rsid w:val="00455792"/>
    <w:rsid w:val="00455892"/>
    <w:rsid w:val="004558A3"/>
    <w:rsid w:val="004558B1"/>
    <w:rsid w:val="00455920"/>
    <w:rsid w:val="00455927"/>
    <w:rsid w:val="004559CE"/>
    <w:rsid w:val="00455AB3"/>
    <w:rsid w:val="00455BE7"/>
    <w:rsid w:val="00455CE2"/>
    <w:rsid w:val="00455D07"/>
    <w:rsid w:val="00455D1D"/>
    <w:rsid w:val="00455D51"/>
    <w:rsid w:val="00455D76"/>
    <w:rsid w:val="00455E02"/>
    <w:rsid w:val="00455E2A"/>
    <w:rsid w:val="00455E40"/>
    <w:rsid w:val="00455E5E"/>
    <w:rsid w:val="00455EA7"/>
    <w:rsid w:val="00455EF0"/>
    <w:rsid w:val="00455F1A"/>
    <w:rsid w:val="00455FBC"/>
    <w:rsid w:val="0045600D"/>
    <w:rsid w:val="00456059"/>
    <w:rsid w:val="004560D2"/>
    <w:rsid w:val="004560D7"/>
    <w:rsid w:val="004560DE"/>
    <w:rsid w:val="0045617C"/>
    <w:rsid w:val="004561A0"/>
    <w:rsid w:val="004561B5"/>
    <w:rsid w:val="004561FF"/>
    <w:rsid w:val="004562C2"/>
    <w:rsid w:val="00456336"/>
    <w:rsid w:val="0045634C"/>
    <w:rsid w:val="00456376"/>
    <w:rsid w:val="004563F0"/>
    <w:rsid w:val="0045640F"/>
    <w:rsid w:val="0045641B"/>
    <w:rsid w:val="00456489"/>
    <w:rsid w:val="0045649D"/>
    <w:rsid w:val="00456503"/>
    <w:rsid w:val="00456536"/>
    <w:rsid w:val="00456544"/>
    <w:rsid w:val="00456565"/>
    <w:rsid w:val="00456659"/>
    <w:rsid w:val="004566CD"/>
    <w:rsid w:val="00456767"/>
    <w:rsid w:val="00456770"/>
    <w:rsid w:val="00456786"/>
    <w:rsid w:val="004567D1"/>
    <w:rsid w:val="00456849"/>
    <w:rsid w:val="0045687C"/>
    <w:rsid w:val="00456897"/>
    <w:rsid w:val="0045698C"/>
    <w:rsid w:val="00456AAD"/>
    <w:rsid w:val="00456B32"/>
    <w:rsid w:val="00456B9E"/>
    <w:rsid w:val="00456C47"/>
    <w:rsid w:val="00456C85"/>
    <w:rsid w:val="00456D28"/>
    <w:rsid w:val="00456DA3"/>
    <w:rsid w:val="00456DD3"/>
    <w:rsid w:val="00456DE6"/>
    <w:rsid w:val="00456E1E"/>
    <w:rsid w:val="00456E3E"/>
    <w:rsid w:val="00456E5D"/>
    <w:rsid w:val="00456ED4"/>
    <w:rsid w:val="00456F04"/>
    <w:rsid w:val="00456F0C"/>
    <w:rsid w:val="00456F38"/>
    <w:rsid w:val="00456F5F"/>
    <w:rsid w:val="00456FC0"/>
    <w:rsid w:val="00456FD9"/>
    <w:rsid w:val="00457053"/>
    <w:rsid w:val="0045706C"/>
    <w:rsid w:val="004570DD"/>
    <w:rsid w:val="00457117"/>
    <w:rsid w:val="0045712F"/>
    <w:rsid w:val="00457139"/>
    <w:rsid w:val="004571AE"/>
    <w:rsid w:val="00457245"/>
    <w:rsid w:val="00457248"/>
    <w:rsid w:val="0045725E"/>
    <w:rsid w:val="00457341"/>
    <w:rsid w:val="00457352"/>
    <w:rsid w:val="004573F7"/>
    <w:rsid w:val="00457462"/>
    <w:rsid w:val="004575F1"/>
    <w:rsid w:val="004575FB"/>
    <w:rsid w:val="00457613"/>
    <w:rsid w:val="00457710"/>
    <w:rsid w:val="00457730"/>
    <w:rsid w:val="00457740"/>
    <w:rsid w:val="00457772"/>
    <w:rsid w:val="0045777F"/>
    <w:rsid w:val="004577EF"/>
    <w:rsid w:val="00457892"/>
    <w:rsid w:val="00457928"/>
    <w:rsid w:val="004579B3"/>
    <w:rsid w:val="004579C7"/>
    <w:rsid w:val="004579D0"/>
    <w:rsid w:val="004579F4"/>
    <w:rsid w:val="00457A00"/>
    <w:rsid w:val="00457A10"/>
    <w:rsid w:val="00457A7B"/>
    <w:rsid w:val="00457B2D"/>
    <w:rsid w:val="00457B44"/>
    <w:rsid w:val="00457B45"/>
    <w:rsid w:val="00457B8D"/>
    <w:rsid w:val="00457BA1"/>
    <w:rsid w:val="00457BEE"/>
    <w:rsid w:val="00457C1F"/>
    <w:rsid w:val="00457D16"/>
    <w:rsid w:val="00457D6D"/>
    <w:rsid w:val="00457DDB"/>
    <w:rsid w:val="00457DE0"/>
    <w:rsid w:val="00457EAC"/>
    <w:rsid w:val="00457ED2"/>
    <w:rsid w:val="00457EDC"/>
    <w:rsid w:val="00457F57"/>
    <w:rsid w:val="00457FF1"/>
    <w:rsid w:val="004600AE"/>
    <w:rsid w:val="0046016E"/>
    <w:rsid w:val="00460249"/>
    <w:rsid w:val="00460281"/>
    <w:rsid w:val="00460285"/>
    <w:rsid w:val="004602AF"/>
    <w:rsid w:val="004602B2"/>
    <w:rsid w:val="004602DF"/>
    <w:rsid w:val="004602E1"/>
    <w:rsid w:val="0046032A"/>
    <w:rsid w:val="004603D1"/>
    <w:rsid w:val="004603F6"/>
    <w:rsid w:val="00460426"/>
    <w:rsid w:val="00460430"/>
    <w:rsid w:val="004604B6"/>
    <w:rsid w:val="00460539"/>
    <w:rsid w:val="00460563"/>
    <w:rsid w:val="00460588"/>
    <w:rsid w:val="004605E6"/>
    <w:rsid w:val="00460611"/>
    <w:rsid w:val="0046062C"/>
    <w:rsid w:val="00460676"/>
    <w:rsid w:val="00460679"/>
    <w:rsid w:val="0046073B"/>
    <w:rsid w:val="004607A0"/>
    <w:rsid w:val="00460804"/>
    <w:rsid w:val="00460823"/>
    <w:rsid w:val="00460827"/>
    <w:rsid w:val="00460850"/>
    <w:rsid w:val="004608CD"/>
    <w:rsid w:val="004608D3"/>
    <w:rsid w:val="004608D6"/>
    <w:rsid w:val="00460A12"/>
    <w:rsid w:val="00460A32"/>
    <w:rsid w:val="00460A62"/>
    <w:rsid w:val="00460B87"/>
    <w:rsid w:val="00460C1C"/>
    <w:rsid w:val="00460CAE"/>
    <w:rsid w:val="00460CEF"/>
    <w:rsid w:val="00460D3A"/>
    <w:rsid w:val="00460DBD"/>
    <w:rsid w:val="00460DF8"/>
    <w:rsid w:val="00460E00"/>
    <w:rsid w:val="00460E31"/>
    <w:rsid w:val="00460E75"/>
    <w:rsid w:val="00460E86"/>
    <w:rsid w:val="00460E9D"/>
    <w:rsid w:val="00460EED"/>
    <w:rsid w:val="00460F58"/>
    <w:rsid w:val="00460F88"/>
    <w:rsid w:val="00460F91"/>
    <w:rsid w:val="00461025"/>
    <w:rsid w:val="00461149"/>
    <w:rsid w:val="00461160"/>
    <w:rsid w:val="0046118D"/>
    <w:rsid w:val="004611D0"/>
    <w:rsid w:val="004611F0"/>
    <w:rsid w:val="0046121A"/>
    <w:rsid w:val="0046129C"/>
    <w:rsid w:val="004612F9"/>
    <w:rsid w:val="004612FE"/>
    <w:rsid w:val="00461317"/>
    <w:rsid w:val="004613F3"/>
    <w:rsid w:val="0046140E"/>
    <w:rsid w:val="00461434"/>
    <w:rsid w:val="00461479"/>
    <w:rsid w:val="004614C0"/>
    <w:rsid w:val="0046151A"/>
    <w:rsid w:val="0046151C"/>
    <w:rsid w:val="0046157A"/>
    <w:rsid w:val="004615C8"/>
    <w:rsid w:val="00461617"/>
    <w:rsid w:val="0046163C"/>
    <w:rsid w:val="0046163D"/>
    <w:rsid w:val="004616E5"/>
    <w:rsid w:val="0046171E"/>
    <w:rsid w:val="0046175A"/>
    <w:rsid w:val="0046176A"/>
    <w:rsid w:val="0046176D"/>
    <w:rsid w:val="0046180E"/>
    <w:rsid w:val="00461849"/>
    <w:rsid w:val="00461853"/>
    <w:rsid w:val="0046185C"/>
    <w:rsid w:val="004618FE"/>
    <w:rsid w:val="00461917"/>
    <w:rsid w:val="0046194A"/>
    <w:rsid w:val="00461960"/>
    <w:rsid w:val="0046199E"/>
    <w:rsid w:val="004619CA"/>
    <w:rsid w:val="00461A23"/>
    <w:rsid w:val="00461A6A"/>
    <w:rsid w:val="00461A6F"/>
    <w:rsid w:val="00461AB6"/>
    <w:rsid w:val="00461B12"/>
    <w:rsid w:val="00461B71"/>
    <w:rsid w:val="00461BE3"/>
    <w:rsid w:val="00461BE6"/>
    <w:rsid w:val="00461C5E"/>
    <w:rsid w:val="00461D46"/>
    <w:rsid w:val="00461D53"/>
    <w:rsid w:val="00461D87"/>
    <w:rsid w:val="00461DAF"/>
    <w:rsid w:val="00461DB9"/>
    <w:rsid w:val="00461DBE"/>
    <w:rsid w:val="00461DE3"/>
    <w:rsid w:val="00461DEF"/>
    <w:rsid w:val="00461DFC"/>
    <w:rsid w:val="00461E34"/>
    <w:rsid w:val="00461F95"/>
    <w:rsid w:val="00461FCD"/>
    <w:rsid w:val="00462030"/>
    <w:rsid w:val="0046206C"/>
    <w:rsid w:val="0046209D"/>
    <w:rsid w:val="004620C7"/>
    <w:rsid w:val="004620D6"/>
    <w:rsid w:val="004620F9"/>
    <w:rsid w:val="00462112"/>
    <w:rsid w:val="00462136"/>
    <w:rsid w:val="00462158"/>
    <w:rsid w:val="00462160"/>
    <w:rsid w:val="0046216E"/>
    <w:rsid w:val="004621A1"/>
    <w:rsid w:val="004621D7"/>
    <w:rsid w:val="00462282"/>
    <w:rsid w:val="00462317"/>
    <w:rsid w:val="00462353"/>
    <w:rsid w:val="00462365"/>
    <w:rsid w:val="0046244E"/>
    <w:rsid w:val="00462536"/>
    <w:rsid w:val="00462560"/>
    <w:rsid w:val="0046259F"/>
    <w:rsid w:val="004625C8"/>
    <w:rsid w:val="00462644"/>
    <w:rsid w:val="0046270A"/>
    <w:rsid w:val="00462790"/>
    <w:rsid w:val="004627CE"/>
    <w:rsid w:val="004627E5"/>
    <w:rsid w:val="0046284C"/>
    <w:rsid w:val="00462890"/>
    <w:rsid w:val="004628C0"/>
    <w:rsid w:val="00462907"/>
    <w:rsid w:val="00462999"/>
    <w:rsid w:val="004629A8"/>
    <w:rsid w:val="004629D9"/>
    <w:rsid w:val="00462AC9"/>
    <w:rsid w:val="00462B7A"/>
    <w:rsid w:val="00462C1D"/>
    <w:rsid w:val="00462C72"/>
    <w:rsid w:val="00462C81"/>
    <w:rsid w:val="00462C86"/>
    <w:rsid w:val="00462D1A"/>
    <w:rsid w:val="00462E59"/>
    <w:rsid w:val="00462E64"/>
    <w:rsid w:val="00462EB3"/>
    <w:rsid w:val="00462EC1"/>
    <w:rsid w:val="00462F0A"/>
    <w:rsid w:val="00462F49"/>
    <w:rsid w:val="00462F97"/>
    <w:rsid w:val="00463004"/>
    <w:rsid w:val="0046302A"/>
    <w:rsid w:val="00463047"/>
    <w:rsid w:val="004630A5"/>
    <w:rsid w:val="0046311D"/>
    <w:rsid w:val="00463148"/>
    <w:rsid w:val="00463203"/>
    <w:rsid w:val="00463242"/>
    <w:rsid w:val="00463269"/>
    <w:rsid w:val="004632B0"/>
    <w:rsid w:val="004632CB"/>
    <w:rsid w:val="0046336C"/>
    <w:rsid w:val="0046344D"/>
    <w:rsid w:val="00463467"/>
    <w:rsid w:val="0046348C"/>
    <w:rsid w:val="0046349A"/>
    <w:rsid w:val="0046353B"/>
    <w:rsid w:val="00463552"/>
    <w:rsid w:val="0046357A"/>
    <w:rsid w:val="00463631"/>
    <w:rsid w:val="004636CE"/>
    <w:rsid w:val="004636E9"/>
    <w:rsid w:val="00463708"/>
    <w:rsid w:val="00463731"/>
    <w:rsid w:val="00463738"/>
    <w:rsid w:val="00463815"/>
    <w:rsid w:val="00463850"/>
    <w:rsid w:val="0046395A"/>
    <w:rsid w:val="0046395C"/>
    <w:rsid w:val="00463979"/>
    <w:rsid w:val="00463992"/>
    <w:rsid w:val="0046399B"/>
    <w:rsid w:val="004639DC"/>
    <w:rsid w:val="004639F7"/>
    <w:rsid w:val="00463A29"/>
    <w:rsid w:val="00463A6B"/>
    <w:rsid w:val="00463ACF"/>
    <w:rsid w:val="00463AF9"/>
    <w:rsid w:val="00463B98"/>
    <w:rsid w:val="00463BC7"/>
    <w:rsid w:val="00463C90"/>
    <w:rsid w:val="00463C99"/>
    <w:rsid w:val="00463D8E"/>
    <w:rsid w:val="00463DB1"/>
    <w:rsid w:val="00463EE2"/>
    <w:rsid w:val="00463F0A"/>
    <w:rsid w:val="00463F23"/>
    <w:rsid w:val="00463F27"/>
    <w:rsid w:val="00463FD3"/>
    <w:rsid w:val="0046409C"/>
    <w:rsid w:val="00464120"/>
    <w:rsid w:val="0046414C"/>
    <w:rsid w:val="0046418B"/>
    <w:rsid w:val="004641DD"/>
    <w:rsid w:val="00464223"/>
    <w:rsid w:val="004642BF"/>
    <w:rsid w:val="00464403"/>
    <w:rsid w:val="0046450E"/>
    <w:rsid w:val="00464576"/>
    <w:rsid w:val="004645F4"/>
    <w:rsid w:val="00464640"/>
    <w:rsid w:val="004647CD"/>
    <w:rsid w:val="004647FC"/>
    <w:rsid w:val="004648FC"/>
    <w:rsid w:val="00464909"/>
    <w:rsid w:val="00464918"/>
    <w:rsid w:val="0046491C"/>
    <w:rsid w:val="0046494A"/>
    <w:rsid w:val="00464A09"/>
    <w:rsid w:val="00464A2E"/>
    <w:rsid w:val="00464A5F"/>
    <w:rsid w:val="00464A75"/>
    <w:rsid w:val="00464AE8"/>
    <w:rsid w:val="00464B0A"/>
    <w:rsid w:val="00464B19"/>
    <w:rsid w:val="00464B51"/>
    <w:rsid w:val="00464BAF"/>
    <w:rsid w:val="00464BE5"/>
    <w:rsid w:val="00464BED"/>
    <w:rsid w:val="00464D91"/>
    <w:rsid w:val="00464E75"/>
    <w:rsid w:val="00464FAD"/>
    <w:rsid w:val="00464FB8"/>
    <w:rsid w:val="0046500C"/>
    <w:rsid w:val="00465018"/>
    <w:rsid w:val="0046501D"/>
    <w:rsid w:val="00465045"/>
    <w:rsid w:val="004650AD"/>
    <w:rsid w:val="00465168"/>
    <w:rsid w:val="004651CB"/>
    <w:rsid w:val="00465220"/>
    <w:rsid w:val="00465300"/>
    <w:rsid w:val="00465401"/>
    <w:rsid w:val="00465422"/>
    <w:rsid w:val="00465436"/>
    <w:rsid w:val="00465450"/>
    <w:rsid w:val="004654CF"/>
    <w:rsid w:val="00465557"/>
    <w:rsid w:val="00465566"/>
    <w:rsid w:val="0046558E"/>
    <w:rsid w:val="004655AF"/>
    <w:rsid w:val="004655EE"/>
    <w:rsid w:val="004655F2"/>
    <w:rsid w:val="0046561E"/>
    <w:rsid w:val="0046566E"/>
    <w:rsid w:val="004656CA"/>
    <w:rsid w:val="0046572F"/>
    <w:rsid w:val="00465752"/>
    <w:rsid w:val="0046576F"/>
    <w:rsid w:val="00465786"/>
    <w:rsid w:val="00465798"/>
    <w:rsid w:val="004657A3"/>
    <w:rsid w:val="004657BF"/>
    <w:rsid w:val="004657F4"/>
    <w:rsid w:val="00465816"/>
    <w:rsid w:val="00465936"/>
    <w:rsid w:val="004659DA"/>
    <w:rsid w:val="004659F9"/>
    <w:rsid w:val="004659FB"/>
    <w:rsid w:val="00465A46"/>
    <w:rsid w:val="00465A4E"/>
    <w:rsid w:val="00465A65"/>
    <w:rsid w:val="00465B20"/>
    <w:rsid w:val="00465C16"/>
    <w:rsid w:val="00465C43"/>
    <w:rsid w:val="00465C48"/>
    <w:rsid w:val="00465D1F"/>
    <w:rsid w:val="00465D68"/>
    <w:rsid w:val="00465E2E"/>
    <w:rsid w:val="00465E47"/>
    <w:rsid w:val="00465E68"/>
    <w:rsid w:val="00465EAF"/>
    <w:rsid w:val="00465F81"/>
    <w:rsid w:val="00466074"/>
    <w:rsid w:val="00466094"/>
    <w:rsid w:val="004660B3"/>
    <w:rsid w:val="004660E0"/>
    <w:rsid w:val="004660F4"/>
    <w:rsid w:val="0046614F"/>
    <w:rsid w:val="00466173"/>
    <w:rsid w:val="00466192"/>
    <w:rsid w:val="0046619C"/>
    <w:rsid w:val="004661C2"/>
    <w:rsid w:val="004661EE"/>
    <w:rsid w:val="00466243"/>
    <w:rsid w:val="00466276"/>
    <w:rsid w:val="004662F1"/>
    <w:rsid w:val="00466334"/>
    <w:rsid w:val="0046633D"/>
    <w:rsid w:val="00466558"/>
    <w:rsid w:val="004665C9"/>
    <w:rsid w:val="00466610"/>
    <w:rsid w:val="00466636"/>
    <w:rsid w:val="004666B3"/>
    <w:rsid w:val="0046670C"/>
    <w:rsid w:val="00466718"/>
    <w:rsid w:val="00466726"/>
    <w:rsid w:val="0046682C"/>
    <w:rsid w:val="0046684E"/>
    <w:rsid w:val="00466850"/>
    <w:rsid w:val="0046697A"/>
    <w:rsid w:val="004669D3"/>
    <w:rsid w:val="00466AD5"/>
    <w:rsid w:val="00466B6F"/>
    <w:rsid w:val="00466BBD"/>
    <w:rsid w:val="00466C31"/>
    <w:rsid w:val="00466C3B"/>
    <w:rsid w:val="00466C87"/>
    <w:rsid w:val="00466CD3"/>
    <w:rsid w:val="00466CD9"/>
    <w:rsid w:val="00466D05"/>
    <w:rsid w:val="00466D09"/>
    <w:rsid w:val="00466D78"/>
    <w:rsid w:val="00466DC8"/>
    <w:rsid w:val="00466E32"/>
    <w:rsid w:val="00466E3C"/>
    <w:rsid w:val="00466E5B"/>
    <w:rsid w:val="00466E5E"/>
    <w:rsid w:val="00466E86"/>
    <w:rsid w:val="00466EAE"/>
    <w:rsid w:val="00466EB0"/>
    <w:rsid w:val="00466F26"/>
    <w:rsid w:val="00466F6E"/>
    <w:rsid w:val="00466F7F"/>
    <w:rsid w:val="00466FB1"/>
    <w:rsid w:val="00466FB7"/>
    <w:rsid w:val="00467015"/>
    <w:rsid w:val="0046701D"/>
    <w:rsid w:val="004670F4"/>
    <w:rsid w:val="00467119"/>
    <w:rsid w:val="0046716B"/>
    <w:rsid w:val="004671AA"/>
    <w:rsid w:val="004671AE"/>
    <w:rsid w:val="004671B2"/>
    <w:rsid w:val="00467217"/>
    <w:rsid w:val="0046726C"/>
    <w:rsid w:val="004672B5"/>
    <w:rsid w:val="004672D4"/>
    <w:rsid w:val="0046733D"/>
    <w:rsid w:val="0046738B"/>
    <w:rsid w:val="004673A0"/>
    <w:rsid w:val="00467558"/>
    <w:rsid w:val="004675A0"/>
    <w:rsid w:val="0046765E"/>
    <w:rsid w:val="00467715"/>
    <w:rsid w:val="00467751"/>
    <w:rsid w:val="00467B6F"/>
    <w:rsid w:val="00467BC4"/>
    <w:rsid w:val="00467C69"/>
    <w:rsid w:val="00467C80"/>
    <w:rsid w:val="00467C9A"/>
    <w:rsid w:val="00467CA9"/>
    <w:rsid w:val="00467CBD"/>
    <w:rsid w:val="00467CBE"/>
    <w:rsid w:val="00467D25"/>
    <w:rsid w:val="00467D42"/>
    <w:rsid w:val="00467DF5"/>
    <w:rsid w:val="00467EA1"/>
    <w:rsid w:val="00467EBE"/>
    <w:rsid w:val="00467F58"/>
    <w:rsid w:val="0047000A"/>
    <w:rsid w:val="0047006E"/>
    <w:rsid w:val="004700A4"/>
    <w:rsid w:val="004700FC"/>
    <w:rsid w:val="0047020C"/>
    <w:rsid w:val="00470240"/>
    <w:rsid w:val="0047026E"/>
    <w:rsid w:val="004702A8"/>
    <w:rsid w:val="004702C8"/>
    <w:rsid w:val="0047033C"/>
    <w:rsid w:val="0047035D"/>
    <w:rsid w:val="004703C3"/>
    <w:rsid w:val="004703C6"/>
    <w:rsid w:val="004703D8"/>
    <w:rsid w:val="0047044F"/>
    <w:rsid w:val="0047046E"/>
    <w:rsid w:val="00470481"/>
    <w:rsid w:val="00470529"/>
    <w:rsid w:val="0047056C"/>
    <w:rsid w:val="004705F1"/>
    <w:rsid w:val="0047069C"/>
    <w:rsid w:val="004706A6"/>
    <w:rsid w:val="004706B1"/>
    <w:rsid w:val="004706F4"/>
    <w:rsid w:val="00470769"/>
    <w:rsid w:val="00470815"/>
    <w:rsid w:val="00470830"/>
    <w:rsid w:val="00470869"/>
    <w:rsid w:val="00470875"/>
    <w:rsid w:val="004709C4"/>
    <w:rsid w:val="00470AC8"/>
    <w:rsid w:val="00470ADD"/>
    <w:rsid w:val="00470B10"/>
    <w:rsid w:val="00470B4C"/>
    <w:rsid w:val="00470BC8"/>
    <w:rsid w:val="00470BCB"/>
    <w:rsid w:val="00470BD6"/>
    <w:rsid w:val="00470C05"/>
    <w:rsid w:val="00470C8D"/>
    <w:rsid w:val="00470CF0"/>
    <w:rsid w:val="00470D1C"/>
    <w:rsid w:val="00470D27"/>
    <w:rsid w:val="00470D30"/>
    <w:rsid w:val="00470D4E"/>
    <w:rsid w:val="00470DAA"/>
    <w:rsid w:val="00470E50"/>
    <w:rsid w:val="00470E5C"/>
    <w:rsid w:val="00470EB9"/>
    <w:rsid w:val="00470EC3"/>
    <w:rsid w:val="00470F16"/>
    <w:rsid w:val="00470F66"/>
    <w:rsid w:val="00471042"/>
    <w:rsid w:val="004710AD"/>
    <w:rsid w:val="004710D6"/>
    <w:rsid w:val="00471111"/>
    <w:rsid w:val="0047112E"/>
    <w:rsid w:val="00471158"/>
    <w:rsid w:val="0047118E"/>
    <w:rsid w:val="004711C2"/>
    <w:rsid w:val="00471249"/>
    <w:rsid w:val="00471273"/>
    <w:rsid w:val="004712CC"/>
    <w:rsid w:val="00471300"/>
    <w:rsid w:val="0047133B"/>
    <w:rsid w:val="00471359"/>
    <w:rsid w:val="00471389"/>
    <w:rsid w:val="004713BC"/>
    <w:rsid w:val="004713D3"/>
    <w:rsid w:val="00471410"/>
    <w:rsid w:val="00471459"/>
    <w:rsid w:val="00471470"/>
    <w:rsid w:val="00471472"/>
    <w:rsid w:val="00471477"/>
    <w:rsid w:val="00471497"/>
    <w:rsid w:val="004714A7"/>
    <w:rsid w:val="004714B5"/>
    <w:rsid w:val="00471552"/>
    <w:rsid w:val="00471651"/>
    <w:rsid w:val="0047172F"/>
    <w:rsid w:val="00471754"/>
    <w:rsid w:val="00471757"/>
    <w:rsid w:val="00471799"/>
    <w:rsid w:val="00471820"/>
    <w:rsid w:val="00471899"/>
    <w:rsid w:val="004718D4"/>
    <w:rsid w:val="00471905"/>
    <w:rsid w:val="0047190D"/>
    <w:rsid w:val="00471AB4"/>
    <w:rsid w:val="00471B03"/>
    <w:rsid w:val="00471B34"/>
    <w:rsid w:val="00471B78"/>
    <w:rsid w:val="00471B7F"/>
    <w:rsid w:val="00471BD6"/>
    <w:rsid w:val="00471C28"/>
    <w:rsid w:val="00471C2F"/>
    <w:rsid w:val="00471C75"/>
    <w:rsid w:val="00471CE0"/>
    <w:rsid w:val="00471D12"/>
    <w:rsid w:val="00471D15"/>
    <w:rsid w:val="00471D8C"/>
    <w:rsid w:val="00471E2C"/>
    <w:rsid w:val="00471E30"/>
    <w:rsid w:val="00471E92"/>
    <w:rsid w:val="00471EE3"/>
    <w:rsid w:val="00471EF5"/>
    <w:rsid w:val="00471F84"/>
    <w:rsid w:val="00472028"/>
    <w:rsid w:val="00472029"/>
    <w:rsid w:val="0047205C"/>
    <w:rsid w:val="004720F4"/>
    <w:rsid w:val="0047211D"/>
    <w:rsid w:val="00472133"/>
    <w:rsid w:val="00472157"/>
    <w:rsid w:val="0047215F"/>
    <w:rsid w:val="00472260"/>
    <w:rsid w:val="00472262"/>
    <w:rsid w:val="00472263"/>
    <w:rsid w:val="0047229D"/>
    <w:rsid w:val="004723BE"/>
    <w:rsid w:val="0047240D"/>
    <w:rsid w:val="00472421"/>
    <w:rsid w:val="004724C0"/>
    <w:rsid w:val="004724EA"/>
    <w:rsid w:val="00472568"/>
    <w:rsid w:val="004725D3"/>
    <w:rsid w:val="00472601"/>
    <w:rsid w:val="00472602"/>
    <w:rsid w:val="00472625"/>
    <w:rsid w:val="00472645"/>
    <w:rsid w:val="0047264C"/>
    <w:rsid w:val="0047272C"/>
    <w:rsid w:val="00472787"/>
    <w:rsid w:val="00472789"/>
    <w:rsid w:val="004727E8"/>
    <w:rsid w:val="004727E9"/>
    <w:rsid w:val="0047287D"/>
    <w:rsid w:val="004728DE"/>
    <w:rsid w:val="0047291B"/>
    <w:rsid w:val="004729C0"/>
    <w:rsid w:val="00472A1A"/>
    <w:rsid w:val="00472A1F"/>
    <w:rsid w:val="00472A2C"/>
    <w:rsid w:val="00472A3E"/>
    <w:rsid w:val="00472A62"/>
    <w:rsid w:val="00472ABF"/>
    <w:rsid w:val="00472B20"/>
    <w:rsid w:val="00472B9A"/>
    <w:rsid w:val="00472BCA"/>
    <w:rsid w:val="00472BF9"/>
    <w:rsid w:val="00472C81"/>
    <w:rsid w:val="00472CAC"/>
    <w:rsid w:val="00472CEF"/>
    <w:rsid w:val="00472D0B"/>
    <w:rsid w:val="00472DBE"/>
    <w:rsid w:val="00472DD7"/>
    <w:rsid w:val="00472E98"/>
    <w:rsid w:val="00472F18"/>
    <w:rsid w:val="00472F28"/>
    <w:rsid w:val="00472F30"/>
    <w:rsid w:val="00472FBB"/>
    <w:rsid w:val="00472FF7"/>
    <w:rsid w:val="00473019"/>
    <w:rsid w:val="004730CB"/>
    <w:rsid w:val="004730F8"/>
    <w:rsid w:val="004731FD"/>
    <w:rsid w:val="00473225"/>
    <w:rsid w:val="00473232"/>
    <w:rsid w:val="00473288"/>
    <w:rsid w:val="00473333"/>
    <w:rsid w:val="00473350"/>
    <w:rsid w:val="0047337E"/>
    <w:rsid w:val="00473388"/>
    <w:rsid w:val="00473495"/>
    <w:rsid w:val="004734B1"/>
    <w:rsid w:val="0047353F"/>
    <w:rsid w:val="00473550"/>
    <w:rsid w:val="00473557"/>
    <w:rsid w:val="00473580"/>
    <w:rsid w:val="0047359A"/>
    <w:rsid w:val="0047364E"/>
    <w:rsid w:val="00473722"/>
    <w:rsid w:val="0047376C"/>
    <w:rsid w:val="004737F8"/>
    <w:rsid w:val="0047384D"/>
    <w:rsid w:val="00473911"/>
    <w:rsid w:val="00473964"/>
    <w:rsid w:val="00473999"/>
    <w:rsid w:val="004739CB"/>
    <w:rsid w:val="00473B93"/>
    <w:rsid w:val="00473BAE"/>
    <w:rsid w:val="00473BBB"/>
    <w:rsid w:val="00473C47"/>
    <w:rsid w:val="00473C9A"/>
    <w:rsid w:val="00473CA1"/>
    <w:rsid w:val="00473D45"/>
    <w:rsid w:val="00473D5C"/>
    <w:rsid w:val="00473D89"/>
    <w:rsid w:val="00473DD2"/>
    <w:rsid w:val="00473E33"/>
    <w:rsid w:val="00473E92"/>
    <w:rsid w:val="00473EFA"/>
    <w:rsid w:val="00473EFB"/>
    <w:rsid w:val="00473F29"/>
    <w:rsid w:val="00473FC5"/>
    <w:rsid w:val="0047409C"/>
    <w:rsid w:val="004740C2"/>
    <w:rsid w:val="004740D0"/>
    <w:rsid w:val="004740EE"/>
    <w:rsid w:val="00474147"/>
    <w:rsid w:val="0047415D"/>
    <w:rsid w:val="0047418E"/>
    <w:rsid w:val="00474205"/>
    <w:rsid w:val="0047431F"/>
    <w:rsid w:val="0047436F"/>
    <w:rsid w:val="004743AB"/>
    <w:rsid w:val="0047440D"/>
    <w:rsid w:val="0047445E"/>
    <w:rsid w:val="004745B5"/>
    <w:rsid w:val="004745E4"/>
    <w:rsid w:val="004745EA"/>
    <w:rsid w:val="00474621"/>
    <w:rsid w:val="00474630"/>
    <w:rsid w:val="00474635"/>
    <w:rsid w:val="0047464E"/>
    <w:rsid w:val="00474660"/>
    <w:rsid w:val="0047467D"/>
    <w:rsid w:val="0047468B"/>
    <w:rsid w:val="00474691"/>
    <w:rsid w:val="00474693"/>
    <w:rsid w:val="0047469A"/>
    <w:rsid w:val="004746AF"/>
    <w:rsid w:val="004746CD"/>
    <w:rsid w:val="00474721"/>
    <w:rsid w:val="00474781"/>
    <w:rsid w:val="004747BF"/>
    <w:rsid w:val="004748A5"/>
    <w:rsid w:val="004748D7"/>
    <w:rsid w:val="004748F3"/>
    <w:rsid w:val="004748FE"/>
    <w:rsid w:val="0047494A"/>
    <w:rsid w:val="00474987"/>
    <w:rsid w:val="00474992"/>
    <w:rsid w:val="004749ED"/>
    <w:rsid w:val="00474A13"/>
    <w:rsid w:val="00474A22"/>
    <w:rsid w:val="00474A59"/>
    <w:rsid w:val="00474A68"/>
    <w:rsid w:val="00474ABE"/>
    <w:rsid w:val="00474AD4"/>
    <w:rsid w:val="00474B45"/>
    <w:rsid w:val="00474BBF"/>
    <w:rsid w:val="00474CB5"/>
    <w:rsid w:val="00474CF3"/>
    <w:rsid w:val="00474CFD"/>
    <w:rsid w:val="00474D01"/>
    <w:rsid w:val="00474D10"/>
    <w:rsid w:val="00474EE0"/>
    <w:rsid w:val="00474F1B"/>
    <w:rsid w:val="00474F54"/>
    <w:rsid w:val="00474FC4"/>
    <w:rsid w:val="00475000"/>
    <w:rsid w:val="00475031"/>
    <w:rsid w:val="00475082"/>
    <w:rsid w:val="00475084"/>
    <w:rsid w:val="00475154"/>
    <w:rsid w:val="004751DB"/>
    <w:rsid w:val="00475355"/>
    <w:rsid w:val="004753B1"/>
    <w:rsid w:val="00475463"/>
    <w:rsid w:val="004754BE"/>
    <w:rsid w:val="0047551B"/>
    <w:rsid w:val="00475534"/>
    <w:rsid w:val="0047556C"/>
    <w:rsid w:val="004755D8"/>
    <w:rsid w:val="0047569A"/>
    <w:rsid w:val="004756B0"/>
    <w:rsid w:val="004756E8"/>
    <w:rsid w:val="00475712"/>
    <w:rsid w:val="0047571C"/>
    <w:rsid w:val="00475737"/>
    <w:rsid w:val="00475785"/>
    <w:rsid w:val="004757C8"/>
    <w:rsid w:val="004757FF"/>
    <w:rsid w:val="0047588C"/>
    <w:rsid w:val="00475891"/>
    <w:rsid w:val="004758C1"/>
    <w:rsid w:val="0047592C"/>
    <w:rsid w:val="00475989"/>
    <w:rsid w:val="004759D2"/>
    <w:rsid w:val="00475A1A"/>
    <w:rsid w:val="00475A4D"/>
    <w:rsid w:val="00475A62"/>
    <w:rsid w:val="00475AA5"/>
    <w:rsid w:val="00475AAF"/>
    <w:rsid w:val="00475AF9"/>
    <w:rsid w:val="00475AFE"/>
    <w:rsid w:val="00475B2D"/>
    <w:rsid w:val="00475B7B"/>
    <w:rsid w:val="00475B8B"/>
    <w:rsid w:val="00475C28"/>
    <w:rsid w:val="00475C8A"/>
    <w:rsid w:val="00475D69"/>
    <w:rsid w:val="00475D96"/>
    <w:rsid w:val="00475E11"/>
    <w:rsid w:val="00475EC3"/>
    <w:rsid w:val="00475EEC"/>
    <w:rsid w:val="00475EEF"/>
    <w:rsid w:val="00475F0F"/>
    <w:rsid w:val="00475F4A"/>
    <w:rsid w:val="00475F4D"/>
    <w:rsid w:val="00475F54"/>
    <w:rsid w:val="00475F6B"/>
    <w:rsid w:val="00475F76"/>
    <w:rsid w:val="00476084"/>
    <w:rsid w:val="00476098"/>
    <w:rsid w:val="004760DE"/>
    <w:rsid w:val="0047626A"/>
    <w:rsid w:val="00476299"/>
    <w:rsid w:val="00476481"/>
    <w:rsid w:val="00476491"/>
    <w:rsid w:val="004765CC"/>
    <w:rsid w:val="0047664F"/>
    <w:rsid w:val="00476684"/>
    <w:rsid w:val="004766DC"/>
    <w:rsid w:val="004766EE"/>
    <w:rsid w:val="00476731"/>
    <w:rsid w:val="00476746"/>
    <w:rsid w:val="0047678A"/>
    <w:rsid w:val="004767D9"/>
    <w:rsid w:val="00476806"/>
    <w:rsid w:val="0047686E"/>
    <w:rsid w:val="00476882"/>
    <w:rsid w:val="0047689A"/>
    <w:rsid w:val="00476932"/>
    <w:rsid w:val="00476937"/>
    <w:rsid w:val="004769D8"/>
    <w:rsid w:val="004769F6"/>
    <w:rsid w:val="00476A0F"/>
    <w:rsid w:val="00476ABB"/>
    <w:rsid w:val="00476AFF"/>
    <w:rsid w:val="00476B38"/>
    <w:rsid w:val="00476B78"/>
    <w:rsid w:val="00476B79"/>
    <w:rsid w:val="00476BDE"/>
    <w:rsid w:val="00476BE2"/>
    <w:rsid w:val="00476C30"/>
    <w:rsid w:val="00476C42"/>
    <w:rsid w:val="00476CB7"/>
    <w:rsid w:val="00476CD8"/>
    <w:rsid w:val="00476D84"/>
    <w:rsid w:val="00476DBC"/>
    <w:rsid w:val="00476E0E"/>
    <w:rsid w:val="00476E7E"/>
    <w:rsid w:val="00476EA2"/>
    <w:rsid w:val="00476EBE"/>
    <w:rsid w:val="0047700D"/>
    <w:rsid w:val="0047706B"/>
    <w:rsid w:val="004770C7"/>
    <w:rsid w:val="004770EE"/>
    <w:rsid w:val="00477126"/>
    <w:rsid w:val="00477260"/>
    <w:rsid w:val="00477265"/>
    <w:rsid w:val="00477283"/>
    <w:rsid w:val="004772EB"/>
    <w:rsid w:val="004773A4"/>
    <w:rsid w:val="00477409"/>
    <w:rsid w:val="00477433"/>
    <w:rsid w:val="00477454"/>
    <w:rsid w:val="00477465"/>
    <w:rsid w:val="00477565"/>
    <w:rsid w:val="00477582"/>
    <w:rsid w:val="004775EC"/>
    <w:rsid w:val="0047767E"/>
    <w:rsid w:val="00477694"/>
    <w:rsid w:val="004776B0"/>
    <w:rsid w:val="004776D9"/>
    <w:rsid w:val="004776E5"/>
    <w:rsid w:val="00477700"/>
    <w:rsid w:val="00477730"/>
    <w:rsid w:val="00477747"/>
    <w:rsid w:val="00477775"/>
    <w:rsid w:val="00477786"/>
    <w:rsid w:val="004777CE"/>
    <w:rsid w:val="004777F1"/>
    <w:rsid w:val="00477803"/>
    <w:rsid w:val="004778A5"/>
    <w:rsid w:val="004778B9"/>
    <w:rsid w:val="00477910"/>
    <w:rsid w:val="0047792D"/>
    <w:rsid w:val="004779B6"/>
    <w:rsid w:val="00477A1B"/>
    <w:rsid w:val="00477A56"/>
    <w:rsid w:val="00477A58"/>
    <w:rsid w:val="00477AB6"/>
    <w:rsid w:val="00477AF1"/>
    <w:rsid w:val="00477B99"/>
    <w:rsid w:val="00477B9E"/>
    <w:rsid w:val="00477C03"/>
    <w:rsid w:val="00477C44"/>
    <w:rsid w:val="00477C5A"/>
    <w:rsid w:val="00477CD0"/>
    <w:rsid w:val="00477D28"/>
    <w:rsid w:val="00477D51"/>
    <w:rsid w:val="00477D72"/>
    <w:rsid w:val="00477D8A"/>
    <w:rsid w:val="00477D91"/>
    <w:rsid w:val="00477DA5"/>
    <w:rsid w:val="00477DAE"/>
    <w:rsid w:val="00477E30"/>
    <w:rsid w:val="00477E73"/>
    <w:rsid w:val="00477EA9"/>
    <w:rsid w:val="00477F57"/>
    <w:rsid w:val="0048002B"/>
    <w:rsid w:val="0048003F"/>
    <w:rsid w:val="004800AC"/>
    <w:rsid w:val="00480134"/>
    <w:rsid w:val="00480135"/>
    <w:rsid w:val="0048013D"/>
    <w:rsid w:val="00480146"/>
    <w:rsid w:val="00480260"/>
    <w:rsid w:val="00480267"/>
    <w:rsid w:val="0048032C"/>
    <w:rsid w:val="0048039F"/>
    <w:rsid w:val="004803BA"/>
    <w:rsid w:val="004803C9"/>
    <w:rsid w:val="0048044D"/>
    <w:rsid w:val="00480454"/>
    <w:rsid w:val="004804B5"/>
    <w:rsid w:val="00480594"/>
    <w:rsid w:val="004805F8"/>
    <w:rsid w:val="00480694"/>
    <w:rsid w:val="004806DC"/>
    <w:rsid w:val="004806FA"/>
    <w:rsid w:val="00480701"/>
    <w:rsid w:val="00480783"/>
    <w:rsid w:val="00480793"/>
    <w:rsid w:val="004807C3"/>
    <w:rsid w:val="0048084D"/>
    <w:rsid w:val="00480881"/>
    <w:rsid w:val="004808C3"/>
    <w:rsid w:val="00480927"/>
    <w:rsid w:val="00480937"/>
    <w:rsid w:val="0048094B"/>
    <w:rsid w:val="00480951"/>
    <w:rsid w:val="00480965"/>
    <w:rsid w:val="0048096E"/>
    <w:rsid w:val="004809C8"/>
    <w:rsid w:val="00480A34"/>
    <w:rsid w:val="00480A4E"/>
    <w:rsid w:val="00480AB7"/>
    <w:rsid w:val="00480B4F"/>
    <w:rsid w:val="00480C0A"/>
    <w:rsid w:val="00480C4E"/>
    <w:rsid w:val="00480C7B"/>
    <w:rsid w:val="00480C99"/>
    <w:rsid w:val="00480CBB"/>
    <w:rsid w:val="00480CEF"/>
    <w:rsid w:val="00480D17"/>
    <w:rsid w:val="00480D59"/>
    <w:rsid w:val="00480D65"/>
    <w:rsid w:val="00480DA5"/>
    <w:rsid w:val="00480DCE"/>
    <w:rsid w:val="00480E04"/>
    <w:rsid w:val="00480E1E"/>
    <w:rsid w:val="00480EA4"/>
    <w:rsid w:val="00480EB0"/>
    <w:rsid w:val="00480F24"/>
    <w:rsid w:val="00480F34"/>
    <w:rsid w:val="00480F36"/>
    <w:rsid w:val="00480F5A"/>
    <w:rsid w:val="00480F8A"/>
    <w:rsid w:val="00480F9D"/>
    <w:rsid w:val="00480FA4"/>
    <w:rsid w:val="00481005"/>
    <w:rsid w:val="00481021"/>
    <w:rsid w:val="0048106D"/>
    <w:rsid w:val="004810C9"/>
    <w:rsid w:val="004810EF"/>
    <w:rsid w:val="00481176"/>
    <w:rsid w:val="00481205"/>
    <w:rsid w:val="00481233"/>
    <w:rsid w:val="00481256"/>
    <w:rsid w:val="004812C8"/>
    <w:rsid w:val="004812CC"/>
    <w:rsid w:val="00481361"/>
    <w:rsid w:val="0048138D"/>
    <w:rsid w:val="004813F7"/>
    <w:rsid w:val="0048145F"/>
    <w:rsid w:val="00481463"/>
    <w:rsid w:val="00481507"/>
    <w:rsid w:val="0048155C"/>
    <w:rsid w:val="00481666"/>
    <w:rsid w:val="0048167C"/>
    <w:rsid w:val="004816BC"/>
    <w:rsid w:val="00481725"/>
    <w:rsid w:val="0048174B"/>
    <w:rsid w:val="004817D1"/>
    <w:rsid w:val="004817EF"/>
    <w:rsid w:val="00481834"/>
    <w:rsid w:val="00481839"/>
    <w:rsid w:val="004818F5"/>
    <w:rsid w:val="004819E9"/>
    <w:rsid w:val="00481A14"/>
    <w:rsid w:val="00481A26"/>
    <w:rsid w:val="00481A61"/>
    <w:rsid w:val="00481A95"/>
    <w:rsid w:val="00481AA3"/>
    <w:rsid w:val="00481AAD"/>
    <w:rsid w:val="00481AD3"/>
    <w:rsid w:val="00481AEA"/>
    <w:rsid w:val="00481B30"/>
    <w:rsid w:val="00481B8F"/>
    <w:rsid w:val="00481C91"/>
    <w:rsid w:val="00481C9B"/>
    <w:rsid w:val="00481CB0"/>
    <w:rsid w:val="00481D48"/>
    <w:rsid w:val="00481D5E"/>
    <w:rsid w:val="00481DD9"/>
    <w:rsid w:val="00481E7C"/>
    <w:rsid w:val="00481E88"/>
    <w:rsid w:val="00481F2F"/>
    <w:rsid w:val="00481F7F"/>
    <w:rsid w:val="00482004"/>
    <w:rsid w:val="0048203B"/>
    <w:rsid w:val="00482048"/>
    <w:rsid w:val="004820BF"/>
    <w:rsid w:val="00482133"/>
    <w:rsid w:val="00482165"/>
    <w:rsid w:val="00482172"/>
    <w:rsid w:val="0048217C"/>
    <w:rsid w:val="0048220E"/>
    <w:rsid w:val="0048220F"/>
    <w:rsid w:val="004822D0"/>
    <w:rsid w:val="004822DC"/>
    <w:rsid w:val="004822F3"/>
    <w:rsid w:val="00482358"/>
    <w:rsid w:val="0048236B"/>
    <w:rsid w:val="0048240B"/>
    <w:rsid w:val="0048247C"/>
    <w:rsid w:val="00482562"/>
    <w:rsid w:val="004825EC"/>
    <w:rsid w:val="00482625"/>
    <w:rsid w:val="004826B5"/>
    <w:rsid w:val="004826B8"/>
    <w:rsid w:val="004826C0"/>
    <w:rsid w:val="00482708"/>
    <w:rsid w:val="00482729"/>
    <w:rsid w:val="00482752"/>
    <w:rsid w:val="00482774"/>
    <w:rsid w:val="00482777"/>
    <w:rsid w:val="00482796"/>
    <w:rsid w:val="004827EA"/>
    <w:rsid w:val="00482807"/>
    <w:rsid w:val="0048280B"/>
    <w:rsid w:val="004829C0"/>
    <w:rsid w:val="004829C6"/>
    <w:rsid w:val="00482A5C"/>
    <w:rsid w:val="00482AD1"/>
    <w:rsid w:val="00482BF5"/>
    <w:rsid w:val="00482C0F"/>
    <w:rsid w:val="00482C15"/>
    <w:rsid w:val="00482C16"/>
    <w:rsid w:val="00482C24"/>
    <w:rsid w:val="00482C8D"/>
    <w:rsid w:val="00482CD0"/>
    <w:rsid w:val="00482CEB"/>
    <w:rsid w:val="00482D06"/>
    <w:rsid w:val="00482DD2"/>
    <w:rsid w:val="00482DE1"/>
    <w:rsid w:val="00482DE7"/>
    <w:rsid w:val="00482DF4"/>
    <w:rsid w:val="00482E6F"/>
    <w:rsid w:val="00482E7D"/>
    <w:rsid w:val="00482EC3"/>
    <w:rsid w:val="00482F2C"/>
    <w:rsid w:val="00482FA8"/>
    <w:rsid w:val="00483002"/>
    <w:rsid w:val="00483049"/>
    <w:rsid w:val="0048305E"/>
    <w:rsid w:val="004830A9"/>
    <w:rsid w:val="00483123"/>
    <w:rsid w:val="0048314E"/>
    <w:rsid w:val="00483199"/>
    <w:rsid w:val="004831A4"/>
    <w:rsid w:val="004831C5"/>
    <w:rsid w:val="004831D4"/>
    <w:rsid w:val="0048325D"/>
    <w:rsid w:val="00483293"/>
    <w:rsid w:val="004832AB"/>
    <w:rsid w:val="004832FB"/>
    <w:rsid w:val="00483348"/>
    <w:rsid w:val="004833DB"/>
    <w:rsid w:val="0048344F"/>
    <w:rsid w:val="004835BA"/>
    <w:rsid w:val="0048363D"/>
    <w:rsid w:val="00483691"/>
    <w:rsid w:val="004836C3"/>
    <w:rsid w:val="004836DC"/>
    <w:rsid w:val="00483758"/>
    <w:rsid w:val="0048383A"/>
    <w:rsid w:val="004838BA"/>
    <w:rsid w:val="0048393A"/>
    <w:rsid w:val="00483966"/>
    <w:rsid w:val="00483972"/>
    <w:rsid w:val="00483A12"/>
    <w:rsid w:val="00483A95"/>
    <w:rsid w:val="00483B12"/>
    <w:rsid w:val="00483B4A"/>
    <w:rsid w:val="00483BA8"/>
    <w:rsid w:val="00483BD8"/>
    <w:rsid w:val="00483BF7"/>
    <w:rsid w:val="00483C55"/>
    <w:rsid w:val="00483CEC"/>
    <w:rsid w:val="00483D4F"/>
    <w:rsid w:val="00483F10"/>
    <w:rsid w:val="00483F21"/>
    <w:rsid w:val="00483FA4"/>
    <w:rsid w:val="00483FA5"/>
    <w:rsid w:val="00484048"/>
    <w:rsid w:val="0048407A"/>
    <w:rsid w:val="0048409F"/>
    <w:rsid w:val="004840E1"/>
    <w:rsid w:val="0048412E"/>
    <w:rsid w:val="0048412F"/>
    <w:rsid w:val="0048425A"/>
    <w:rsid w:val="004842B8"/>
    <w:rsid w:val="00484371"/>
    <w:rsid w:val="004843F3"/>
    <w:rsid w:val="0048446B"/>
    <w:rsid w:val="00484512"/>
    <w:rsid w:val="0048453F"/>
    <w:rsid w:val="0048457E"/>
    <w:rsid w:val="0048459C"/>
    <w:rsid w:val="004845A1"/>
    <w:rsid w:val="004845DF"/>
    <w:rsid w:val="0048478A"/>
    <w:rsid w:val="004848A8"/>
    <w:rsid w:val="004848C1"/>
    <w:rsid w:val="004848E5"/>
    <w:rsid w:val="00484964"/>
    <w:rsid w:val="004849D2"/>
    <w:rsid w:val="00484AEF"/>
    <w:rsid w:val="00484B2A"/>
    <w:rsid w:val="00484B70"/>
    <w:rsid w:val="00484B72"/>
    <w:rsid w:val="00484B97"/>
    <w:rsid w:val="00484C61"/>
    <w:rsid w:val="00484C6D"/>
    <w:rsid w:val="00484C70"/>
    <w:rsid w:val="00484C75"/>
    <w:rsid w:val="00484CC6"/>
    <w:rsid w:val="00484CDB"/>
    <w:rsid w:val="00484CDE"/>
    <w:rsid w:val="00484D3F"/>
    <w:rsid w:val="00484D52"/>
    <w:rsid w:val="00484D57"/>
    <w:rsid w:val="00484E44"/>
    <w:rsid w:val="00484EB7"/>
    <w:rsid w:val="00484ED1"/>
    <w:rsid w:val="00484EF4"/>
    <w:rsid w:val="00484F2A"/>
    <w:rsid w:val="00484F70"/>
    <w:rsid w:val="00484FA2"/>
    <w:rsid w:val="00484FD0"/>
    <w:rsid w:val="0048504D"/>
    <w:rsid w:val="004850E2"/>
    <w:rsid w:val="00485146"/>
    <w:rsid w:val="00485186"/>
    <w:rsid w:val="004851E6"/>
    <w:rsid w:val="00485204"/>
    <w:rsid w:val="00485216"/>
    <w:rsid w:val="004852B9"/>
    <w:rsid w:val="00485318"/>
    <w:rsid w:val="0048531E"/>
    <w:rsid w:val="004853B3"/>
    <w:rsid w:val="0048540F"/>
    <w:rsid w:val="0048543B"/>
    <w:rsid w:val="00485440"/>
    <w:rsid w:val="00485472"/>
    <w:rsid w:val="00485489"/>
    <w:rsid w:val="004854BB"/>
    <w:rsid w:val="0048550F"/>
    <w:rsid w:val="00485537"/>
    <w:rsid w:val="00485601"/>
    <w:rsid w:val="00485644"/>
    <w:rsid w:val="004856F1"/>
    <w:rsid w:val="00485713"/>
    <w:rsid w:val="0048571E"/>
    <w:rsid w:val="0048580B"/>
    <w:rsid w:val="00485841"/>
    <w:rsid w:val="00485893"/>
    <w:rsid w:val="0048593A"/>
    <w:rsid w:val="004859B0"/>
    <w:rsid w:val="004859E5"/>
    <w:rsid w:val="004859F8"/>
    <w:rsid w:val="00485A5D"/>
    <w:rsid w:val="00485AA0"/>
    <w:rsid w:val="00485AF5"/>
    <w:rsid w:val="00485BB2"/>
    <w:rsid w:val="00485BE7"/>
    <w:rsid w:val="00485C26"/>
    <w:rsid w:val="00485CC5"/>
    <w:rsid w:val="00485CEE"/>
    <w:rsid w:val="00485D0D"/>
    <w:rsid w:val="00485D72"/>
    <w:rsid w:val="00485DF6"/>
    <w:rsid w:val="00485E27"/>
    <w:rsid w:val="00485E8E"/>
    <w:rsid w:val="00485F53"/>
    <w:rsid w:val="00485F7B"/>
    <w:rsid w:val="00486040"/>
    <w:rsid w:val="00486093"/>
    <w:rsid w:val="004860BD"/>
    <w:rsid w:val="00486169"/>
    <w:rsid w:val="0048625E"/>
    <w:rsid w:val="0048625F"/>
    <w:rsid w:val="00486281"/>
    <w:rsid w:val="00486315"/>
    <w:rsid w:val="00486330"/>
    <w:rsid w:val="004863B4"/>
    <w:rsid w:val="004863DB"/>
    <w:rsid w:val="004863E7"/>
    <w:rsid w:val="0048643D"/>
    <w:rsid w:val="00486441"/>
    <w:rsid w:val="0048647E"/>
    <w:rsid w:val="004864B6"/>
    <w:rsid w:val="004864C4"/>
    <w:rsid w:val="004864FF"/>
    <w:rsid w:val="00486578"/>
    <w:rsid w:val="004865C3"/>
    <w:rsid w:val="004865CA"/>
    <w:rsid w:val="004865CF"/>
    <w:rsid w:val="0048665B"/>
    <w:rsid w:val="004866C2"/>
    <w:rsid w:val="00486829"/>
    <w:rsid w:val="0048682D"/>
    <w:rsid w:val="00486848"/>
    <w:rsid w:val="0048689F"/>
    <w:rsid w:val="004868CB"/>
    <w:rsid w:val="004868CF"/>
    <w:rsid w:val="00486997"/>
    <w:rsid w:val="004869C4"/>
    <w:rsid w:val="004869D5"/>
    <w:rsid w:val="004869F2"/>
    <w:rsid w:val="00486AC7"/>
    <w:rsid w:val="00486B02"/>
    <w:rsid w:val="00486B66"/>
    <w:rsid w:val="00486BAE"/>
    <w:rsid w:val="00486C46"/>
    <w:rsid w:val="00486C61"/>
    <w:rsid w:val="00486D29"/>
    <w:rsid w:val="00486D4D"/>
    <w:rsid w:val="00486D9F"/>
    <w:rsid w:val="00486E19"/>
    <w:rsid w:val="00486E2E"/>
    <w:rsid w:val="00486ECA"/>
    <w:rsid w:val="00486EF1"/>
    <w:rsid w:val="00486EF7"/>
    <w:rsid w:val="00486F67"/>
    <w:rsid w:val="00486FAB"/>
    <w:rsid w:val="00486FD9"/>
    <w:rsid w:val="0048701B"/>
    <w:rsid w:val="004870A5"/>
    <w:rsid w:val="004870D4"/>
    <w:rsid w:val="00487121"/>
    <w:rsid w:val="00487130"/>
    <w:rsid w:val="0048717C"/>
    <w:rsid w:val="004872A5"/>
    <w:rsid w:val="004872C6"/>
    <w:rsid w:val="004872D3"/>
    <w:rsid w:val="00487363"/>
    <w:rsid w:val="004873F9"/>
    <w:rsid w:val="0048740A"/>
    <w:rsid w:val="0048746A"/>
    <w:rsid w:val="004874A0"/>
    <w:rsid w:val="00487608"/>
    <w:rsid w:val="00487629"/>
    <w:rsid w:val="00487659"/>
    <w:rsid w:val="0048766D"/>
    <w:rsid w:val="004877A7"/>
    <w:rsid w:val="004877E5"/>
    <w:rsid w:val="0048780B"/>
    <w:rsid w:val="00487833"/>
    <w:rsid w:val="0048785B"/>
    <w:rsid w:val="00487865"/>
    <w:rsid w:val="004878A6"/>
    <w:rsid w:val="004878C1"/>
    <w:rsid w:val="00487919"/>
    <w:rsid w:val="00487921"/>
    <w:rsid w:val="00487949"/>
    <w:rsid w:val="00487992"/>
    <w:rsid w:val="00487A1F"/>
    <w:rsid w:val="00487A26"/>
    <w:rsid w:val="00487A30"/>
    <w:rsid w:val="00487A34"/>
    <w:rsid w:val="00487A77"/>
    <w:rsid w:val="00487A81"/>
    <w:rsid w:val="00487A9F"/>
    <w:rsid w:val="00487B02"/>
    <w:rsid w:val="00487B7A"/>
    <w:rsid w:val="00487B91"/>
    <w:rsid w:val="00487C15"/>
    <w:rsid w:val="00487C6F"/>
    <w:rsid w:val="00487CBA"/>
    <w:rsid w:val="00487CBD"/>
    <w:rsid w:val="00487CE0"/>
    <w:rsid w:val="00487D24"/>
    <w:rsid w:val="00487D4F"/>
    <w:rsid w:val="00487DF5"/>
    <w:rsid w:val="00487E95"/>
    <w:rsid w:val="00487EAF"/>
    <w:rsid w:val="00487F31"/>
    <w:rsid w:val="00487F8F"/>
    <w:rsid w:val="00487FB4"/>
    <w:rsid w:val="0049005D"/>
    <w:rsid w:val="0049005E"/>
    <w:rsid w:val="0049007C"/>
    <w:rsid w:val="0049011C"/>
    <w:rsid w:val="00490283"/>
    <w:rsid w:val="00490291"/>
    <w:rsid w:val="004902B2"/>
    <w:rsid w:val="004902C2"/>
    <w:rsid w:val="004903E5"/>
    <w:rsid w:val="00490417"/>
    <w:rsid w:val="0049048A"/>
    <w:rsid w:val="004904B3"/>
    <w:rsid w:val="0049050A"/>
    <w:rsid w:val="00490536"/>
    <w:rsid w:val="0049057E"/>
    <w:rsid w:val="004905A4"/>
    <w:rsid w:val="00490627"/>
    <w:rsid w:val="004906D2"/>
    <w:rsid w:val="00490745"/>
    <w:rsid w:val="0049083F"/>
    <w:rsid w:val="00490896"/>
    <w:rsid w:val="004908AD"/>
    <w:rsid w:val="004908E4"/>
    <w:rsid w:val="004908F7"/>
    <w:rsid w:val="0049090A"/>
    <w:rsid w:val="0049099C"/>
    <w:rsid w:val="00490A71"/>
    <w:rsid w:val="00490ABA"/>
    <w:rsid w:val="00490AE7"/>
    <w:rsid w:val="00490AFA"/>
    <w:rsid w:val="00490B59"/>
    <w:rsid w:val="00490B6D"/>
    <w:rsid w:val="00490BEC"/>
    <w:rsid w:val="00490CC0"/>
    <w:rsid w:val="00490DBC"/>
    <w:rsid w:val="00490E4E"/>
    <w:rsid w:val="00490E89"/>
    <w:rsid w:val="00490EFC"/>
    <w:rsid w:val="00490FE8"/>
    <w:rsid w:val="00491045"/>
    <w:rsid w:val="00491056"/>
    <w:rsid w:val="00491096"/>
    <w:rsid w:val="004910C4"/>
    <w:rsid w:val="004910F3"/>
    <w:rsid w:val="004911DB"/>
    <w:rsid w:val="0049120F"/>
    <w:rsid w:val="0049123D"/>
    <w:rsid w:val="00491281"/>
    <w:rsid w:val="0049137F"/>
    <w:rsid w:val="004913D7"/>
    <w:rsid w:val="00491412"/>
    <w:rsid w:val="00491499"/>
    <w:rsid w:val="004914C9"/>
    <w:rsid w:val="004915B3"/>
    <w:rsid w:val="004915CD"/>
    <w:rsid w:val="0049163C"/>
    <w:rsid w:val="0049168D"/>
    <w:rsid w:val="00491711"/>
    <w:rsid w:val="00491718"/>
    <w:rsid w:val="0049171F"/>
    <w:rsid w:val="00491728"/>
    <w:rsid w:val="0049174B"/>
    <w:rsid w:val="004918E4"/>
    <w:rsid w:val="004918FE"/>
    <w:rsid w:val="00491929"/>
    <w:rsid w:val="004919A3"/>
    <w:rsid w:val="00491A01"/>
    <w:rsid w:val="00491A05"/>
    <w:rsid w:val="00491A0B"/>
    <w:rsid w:val="00491A51"/>
    <w:rsid w:val="00491AB6"/>
    <w:rsid w:val="00491ACD"/>
    <w:rsid w:val="00491AFA"/>
    <w:rsid w:val="00491B0C"/>
    <w:rsid w:val="00491B3B"/>
    <w:rsid w:val="00491B51"/>
    <w:rsid w:val="00491D7A"/>
    <w:rsid w:val="00491D8A"/>
    <w:rsid w:val="00491E05"/>
    <w:rsid w:val="00491E18"/>
    <w:rsid w:val="00491E23"/>
    <w:rsid w:val="00491E42"/>
    <w:rsid w:val="00491E5E"/>
    <w:rsid w:val="00491ED4"/>
    <w:rsid w:val="00491F10"/>
    <w:rsid w:val="00491FA9"/>
    <w:rsid w:val="00492058"/>
    <w:rsid w:val="00492069"/>
    <w:rsid w:val="004920AD"/>
    <w:rsid w:val="004920F5"/>
    <w:rsid w:val="0049215A"/>
    <w:rsid w:val="0049216C"/>
    <w:rsid w:val="00492173"/>
    <w:rsid w:val="00492221"/>
    <w:rsid w:val="004922A5"/>
    <w:rsid w:val="004922E7"/>
    <w:rsid w:val="0049233C"/>
    <w:rsid w:val="00492365"/>
    <w:rsid w:val="00492462"/>
    <w:rsid w:val="00492485"/>
    <w:rsid w:val="004924DD"/>
    <w:rsid w:val="00492529"/>
    <w:rsid w:val="0049259B"/>
    <w:rsid w:val="00492692"/>
    <w:rsid w:val="004926BA"/>
    <w:rsid w:val="00492806"/>
    <w:rsid w:val="00492925"/>
    <w:rsid w:val="00492961"/>
    <w:rsid w:val="0049299D"/>
    <w:rsid w:val="004929B7"/>
    <w:rsid w:val="004929CB"/>
    <w:rsid w:val="004929DA"/>
    <w:rsid w:val="00492B04"/>
    <w:rsid w:val="00492B24"/>
    <w:rsid w:val="00492B31"/>
    <w:rsid w:val="00492B4F"/>
    <w:rsid w:val="00492BDC"/>
    <w:rsid w:val="00492BF4"/>
    <w:rsid w:val="00492BFD"/>
    <w:rsid w:val="00492C0E"/>
    <w:rsid w:val="00492C6D"/>
    <w:rsid w:val="00492C73"/>
    <w:rsid w:val="00492CBF"/>
    <w:rsid w:val="00492D0B"/>
    <w:rsid w:val="00492E2D"/>
    <w:rsid w:val="00492EC1"/>
    <w:rsid w:val="00492EDF"/>
    <w:rsid w:val="00492F04"/>
    <w:rsid w:val="00492F29"/>
    <w:rsid w:val="00492FCA"/>
    <w:rsid w:val="00492FCB"/>
    <w:rsid w:val="00492FE1"/>
    <w:rsid w:val="00493032"/>
    <w:rsid w:val="00493039"/>
    <w:rsid w:val="00493076"/>
    <w:rsid w:val="004930E5"/>
    <w:rsid w:val="00493154"/>
    <w:rsid w:val="004931E3"/>
    <w:rsid w:val="00493215"/>
    <w:rsid w:val="00493276"/>
    <w:rsid w:val="004932B8"/>
    <w:rsid w:val="004932DC"/>
    <w:rsid w:val="00493316"/>
    <w:rsid w:val="00493325"/>
    <w:rsid w:val="00493404"/>
    <w:rsid w:val="00493449"/>
    <w:rsid w:val="004934F4"/>
    <w:rsid w:val="00493553"/>
    <w:rsid w:val="00493558"/>
    <w:rsid w:val="00493597"/>
    <w:rsid w:val="004935CD"/>
    <w:rsid w:val="00493791"/>
    <w:rsid w:val="004937FB"/>
    <w:rsid w:val="00493814"/>
    <w:rsid w:val="0049382C"/>
    <w:rsid w:val="00493866"/>
    <w:rsid w:val="004938C8"/>
    <w:rsid w:val="004938CD"/>
    <w:rsid w:val="004938D1"/>
    <w:rsid w:val="0049393A"/>
    <w:rsid w:val="00493963"/>
    <w:rsid w:val="00493976"/>
    <w:rsid w:val="00493A3E"/>
    <w:rsid w:val="00493AD9"/>
    <w:rsid w:val="00493B34"/>
    <w:rsid w:val="00493BA2"/>
    <w:rsid w:val="00493BC4"/>
    <w:rsid w:val="00493C13"/>
    <w:rsid w:val="00493C4C"/>
    <w:rsid w:val="00493C4F"/>
    <w:rsid w:val="00493C5C"/>
    <w:rsid w:val="00493CD1"/>
    <w:rsid w:val="00493D48"/>
    <w:rsid w:val="00493DEB"/>
    <w:rsid w:val="00493E60"/>
    <w:rsid w:val="00493E92"/>
    <w:rsid w:val="00493E98"/>
    <w:rsid w:val="00493EBA"/>
    <w:rsid w:val="00493EC1"/>
    <w:rsid w:val="00493ECB"/>
    <w:rsid w:val="00493F2F"/>
    <w:rsid w:val="00493FC0"/>
    <w:rsid w:val="0049403A"/>
    <w:rsid w:val="0049405C"/>
    <w:rsid w:val="004940F1"/>
    <w:rsid w:val="00494106"/>
    <w:rsid w:val="0049412D"/>
    <w:rsid w:val="00494143"/>
    <w:rsid w:val="00494175"/>
    <w:rsid w:val="004941AD"/>
    <w:rsid w:val="004941DC"/>
    <w:rsid w:val="00494231"/>
    <w:rsid w:val="00494235"/>
    <w:rsid w:val="0049424E"/>
    <w:rsid w:val="004942D2"/>
    <w:rsid w:val="004942E3"/>
    <w:rsid w:val="004942F4"/>
    <w:rsid w:val="0049433D"/>
    <w:rsid w:val="004943D7"/>
    <w:rsid w:val="004944A2"/>
    <w:rsid w:val="004944FA"/>
    <w:rsid w:val="00494541"/>
    <w:rsid w:val="00494555"/>
    <w:rsid w:val="00494577"/>
    <w:rsid w:val="00494578"/>
    <w:rsid w:val="004945C2"/>
    <w:rsid w:val="004945F0"/>
    <w:rsid w:val="004946F2"/>
    <w:rsid w:val="004946F9"/>
    <w:rsid w:val="00494764"/>
    <w:rsid w:val="00494766"/>
    <w:rsid w:val="00494772"/>
    <w:rsid w:val="004947BB"/>
    <w:rsid w:val="004947F0"/>
    <w:rsid w:val="0049481F"/>
    <w:rsid w:val="0049499C"/>
    <w:rsid w:val="00494AC2"/>
    <w:rsid w:val="00494AC6"/>
    <w:rsid w:val="00494AED"/>
    <w:rsid w:val="00494B06"/>
    <w:rsid w:val="00494B73"/>
    <w:rsid w:val="00494C69"/>
    <w:rsid w:val="00494CAA"/>
    <w:rsid w:val="00494D7C"/>
    <w:rsid w:val="00494D89"/>
    <w:rsid w:val="00494E76"/>
    <w:rsid w:val="00494EC4"/>
    <w:rsid w:val="00494EC7"/>
    <w:rsid w:val="00494EE4"/>
    <w:rsid w:val="00494F15"/>
    <w:rsid w:val="00494F90"/>
    <w:rsid w:val="00494F9D"/>
    <w:rsid w:val="0049504B"/>
    <w:rsid w:val="00495069"/>
    <w:rsid w:val="004950BC"/>
    <w:rsid w:val="00495172"/>
    <w:rsid w:val="004951A8"/>
    <w:rsid w:val="00495234"/>
    <w:rsid w:val="004952AB"/>
    <w:rsid w:val="004952C7"/>
    <w:rsid w:val="00495371"/>
    <w:rsid w:val="0049537D"/>
    <w:rsid w:val="0049538B"/>
    <w:rsid w:val="004954C5"/>
    <w:rsid w:val="00495516"/>
    <w:rsid w:val="00495698"/>
    <w:rsid w:val="004956CF"/>
    <w:rsid w:val="004956FF"/>
    <w:rsid w:val="0049571A"/>
    <w:rsid w:val="00495750"/>
    <w:rsid w:val="00495808"/>
    <w:rsid w:val="00495823"/>
    <w:rsid w:val="0049585F"/>
    <w:rsid w:val="0049589B"/>
    <w:rsid w:val="004958F9"/>
    <w:rsid w:val="00495917"/>
    <w:rsid w:val="0049592E"/>
    <w:rsid w:val="004959ED"/>
    <w:rsid w:val="00495A0C"/>
    <w:rsid w:val="00495A24"/>
    <w:rsid w:val="00495AE5"/>
    <w:rsid w:val="00495AF4"/>
    <w:rsid w:val="00495B38"/>
    <w:rsid w:val="00495BE1"/>
    <w:rsid w:val="00495C95"/>
    <w:rsid w:val="00495D24"/>
    <w:rsid w:val="00495D26"/>
    <w:rsid w:val="00495DB3"/>
    <w:rsid w:val="00495E0C"/>
    <w:rsid w:val="00495E4E"/>
    <w:rsid w:val="00495E7D"/>
    <w:rsid w:val="00495F7B"/>
    <w:rsid w:val="00495F94"/>
    <w:rsid w:val="00495FC2"/>
    <w:rsid w:val="00496015"/>
    <w:rsid w:val="00496097"/>
    <w:rsid w:val="004960BB"/>
    <w:rsid w:val="004960C3"/>
    <w:rsid w:val="00496119"/>
    <w:rsid w:val="00496122"/>
    <w:rsid w:val="0049614A"/>
    <w:rsid w:val="004961D3"/>
    <w:rsid w:val="00496248"/>
    <w:rsid w:val="004962C6"/>
    <w:rsid w:val="004962D9"/>
    <w:rsid w:val="004962DF"/>
    <w:rsid w:val="00496324"/>
    <w:rsid w:val="004963B8"/>
    <w:rsid w:val="004963BB"/>
    <w:rsid w:val="00496417"/>
    <w:rsid w:val="00496424"/>
    <w:rsid w:val="00496580"/>
    <w:rsid w:val="00496686"/>
    <w:rsid w:val="0049668C"/>
    <w:rsid w:val="004966B9"/>
    <w:rsid w:val="0049670A"/>
    <w:rsid w:val="00496764"/>
    <w:rsid w:val="0049676D"/>
    <w:rsid w:val="0049684B"/>
    <w:rsid w:val="0049685A"/>
    <w:rsid w:val="00496867"/>
    <w:rsid w:val="00496896"/>
    <w:rsid w:val="0049697B"/>
    <w:rsid w:val="00496990"/>
    <w:rsid w:val="004969A9"/>
    <w:rsid w:val="00496A7B"/>
    <w:rsid w:val="00496ACB"/>
    <w:rsid w:val="00496AD4"/>
    <w:rsid w:val="00496B7E"/>
    <w:rsid w:val="00496BF8"/>
    <w:rsid w:val="00496C07"/>
    <w:rsid w:val="00496C18"/>
    <w:rsid w:val="00496C82"/>
    <w:rsid w:val="00496D36"/>
    <w:rsid w:val="00496D88"/>
    <w:rsid w:val="00496DCB"/>
    <w:rsid w:val="00496E24"/>
    <w:rsid w:val="00496E55"/>
    <w:rsid w:val="00496E87"/>
    <w:rsid w:val="00496EA8"/>
    <w:rsid w:val="00496ED3"/>
    <w:rsid w:val="00496EE5"/>
    <w:rsid w:val="00496FAC"/>
    <w:rsid w:val="00496FBC"/>
    <w:rsid w:val="00496FF8"/>
    <w:rsid w:val="00496FFD"/>
    <w:rsid w:val="0049700A"/>
    <w:rsid w:val="00497053"/>
    <w:rsid w:val="0049707D"/>
    <w:rsid w:val="004970C4"/>
    <w:rsid w:val="00497187"/>
    <w:rsid w:val="00497222"/>
    <w:rsid w:val="00497277"/>
    <w:rsid w:val="004972AC"/>
    <w:rsid w:val="004972E0"/>
    <w:rsid w:val="004972E2"/>
    <w:rsid w:val="0049747A"/>
    <w:rsid w:val="004974E7"/>
    <w:rsid w:val="004975EA"/>
    <w:rsid w:val="00497615"/>
    <w:rsid w:val="004976DC"/>
    <w:rsid w:val="0049778A"/>
    <w:rsid w:val="004977D7"/>
    <w:rsid w:val="00497833"/>
    <w:rsid w:val="00497855"/>
    <w:rsid w:val="00497871"/>
    <w:rsid w:val="0049790E"/>
    <w:rsid w:val="0049792F"/>
    <w:rsid w:val="0049799E"/>
    <w:rsid w:val="004979A0"/>
    <w:rsid w:val="004979E4"/>
    <w:rsid w:val="00497A11"/>
    <w:rsid w:val="00497A33"/>
    <w:rsid w:val="00497A62"/>
    <w:rsid w:val="00497A94"/>
    <w:rsid w:val="00497AE7"/>
    <w:rsid w:val="00497B01"/>
    <w:rsid w:val="00497BBC"/>
    <w:rsid w:val="00497BCE"/>
    <w:rsid w:val="00497BF0"/>
    <w:rsid w:val="00497C06"/>
    <w:rsid w:val="00497C07"/>
    <w:rsid w:val="00497C16"/>
    <w:rsid w:val="00497C6A"/>
    <w:rsid w:val="00497C7F"/>
    <w:rsid w:val="00497C80"/>
    <w:rsid w:val="00497C9F"/>
    <w:rsid w:val="00497DC1"/>
    <w:rsid w:val="00497DE4"/>
    <w:rsid w:val="00497DF8"/>
    <w:rsid w:val="00497E07"/>
    <w:rsid w:val="00497E6B"/>
    <w:rsid w:val="00497E96"/>
    <w:rsid w:val="00497ED8"/>
    <w:rsid w:val="00497EF6"/>
    <w:rsid w:val="00497F16"/>
    <w:rsid w:val="00497F74"/>
    <w:rsid w:val="00497F8E"/>
    <w:rsid w:val="00497FA0"/>
    <w:rsid w:val="00497FA7"/>
    <w:rsid w:val="00497FD3"/>
    <w:rsid w:val="004A0010"/>
    <w:rsid w:val="004A0071"/>
    <w:rsid w:val="004A0091"/>
    <w:rsid w:val="004A01AE"/>
    <w:rsid w:val="004A01EC"/>
    <w:rsid w:val="004A023F"/>
    <w:rsid w:val="004A0348"/>
    <w:rsid w:val="004A03F5"/>
    <w:rsid w:val="004A0435"/>
    <w:rsid w:val="004A04AB"/>
    <w:rsid w:val="004A04E2"/>
    <w:rsid w:val="004A04E9"/>
    <w:rsid w:val="004A0547"/>
    <w:rsid w:val="004A0586"/>
    <w:rsid w:val="004A0590"/>
    <w:rsid w:val="004A05A6"/>
    <w:rsid w:val="004A0605"/>
    <w:rsid w:val="004A06B1"/>
    <w:rsid w:val="004A06BE"/>
    <w:rsid w:val="004A06C4"/>
    <w:rsid w:val="004A0706"/>
    <w:rsid w:val="004A0724"/>
    <w:rsid w:val="004A077D"/>
    <w:rsid w:val="004A07D4"/>
    <w:rsid w:val="004A07F8"/>
    <w:rsid w:val="004A0852"/>
    <w:rsid w:val="004A08F0"/>
    <w:rsid w:val="004A0963"/>
    <w:rsid w:val="004A09F2"/>
    <w:rsid w:val="004A0A6E"/>
    <w:rsid w:val="004A0A95"/>
    <w:rsid w:val="004A0AB4"/>
    <w:rsid w:val="004A0ACF"/>
    <w:rsid w:val="004A0B19"/>
    <w:rsid w:val="004A0B90"/>
    <w:rsid w:val="004A0C43"/>
    <w:rsid w:val="004A0CF3"/>
    <w:rsid w:val="004A0D1D"/>
    <w:rsid w:val="004A0E9F"/>
    <w:rsid w:val="004A0F7A"/>
    <w:rsid w:val="004A0F7C"/>
    <w:rsid w:val="004A0FD7"/>
    <w:rsid w:val="004A1022"/>
    <w:rsid w:val="004A10AD"/>
    <w:rsid w:val="004A1165"/>
    <w:rsid w:val="004A1221"/>
    <w:rsid w:val="004A12B9"/>
    <w:rsid w:val="004A12DC"/>
    <w:rsid w:val="004A1313"/>
    <w:rsid w:val="004A1371"/>
    <w:rsid w:val="004A13C2"/>
    <w:rsid w:val="004A13E4"/>
    <w:rsid w:val="004A140D"/>
    <w:rsid w:val="004A1450"/>
    <w:rsid w:val="004A147A"/>
    <w:rsid w:val="004A14B3"/>
    <w:rsid w:val="004A1518"/>
    <w:rsid w:val="004A1593"/>
    <w:rsid w:val="004A15BA"/>
    <w:rsid w:val="004A160C"/>
    <w:rsid w:val="004A16DA"/>
    <w:rsid w:val="004A1717"/>
    <w:rsid w:val="004A1760"/>
    <w:rsid w:val="004A17BF"/>
    <w:rsid w:val="004A17E7"/>
    <w:rsid w:val="004A180A"/>
    <w:rsid w:val="004A188E"/>
    <w:rsid w:val="004A18A6"/>
    <w:rsid w:val="004A194C"/>
    <w:rsid w:val="004A197D"/>
    <w:rsid w:val="004A19E6"/>
    <w:rsid w:val="004A1A74"/>
    <w:rsid w:val="004A1AC5"/>
    <w:rsid w:val="004A1AE6"/>
    <w:rsid w:val="004A1B05"/>
    <w:rsid w:val="004A1BA3"/>
    <w:rsid w:val="004A1BB6"/>
    <w:rsid w:val="004A1D08"/>
    <w:rsid w:val="004A1D1B"/>
    <w:rsid w:val="004A1EAA"/>
    <w:rsid w:val="004A1EDC"/>
    <w:rsid w:val="004A1F64"/>
    <w:rsid w:val="004A1F84"/>
    <w:rsid w:val="004A200B"/>
    <w:rsid w:val="004A20C7"/>
    <w:rsid w:val="004A2297"/>
    <w:rsid w:val="004A22AD"/>
    <w:rsid w:val="004A2343"/>
    <w:rsid w:val="004A240C"/>
    <w:rsid w:val="004A242E"/>
    <w:rsid w:val="004A24B4"/>
    <w:rsid w:val="004A24C6"/>
    <w:rsid w:val="004A2503"/>
    <w:rsid w:val="004A2563"/>
    <w:rsid w:val="004A25D1"/>
    <w:rsid w:val="004A2654"/>
    <w:rsid w:val="004A2681"/>
    <w:rsid w:val="004A26A8"/>
    <w:rsid w:val="004A26BA"/>
    <w:rsid w:val="004A26BE"/>
    <w:rsid w:val="004A26F4"/>
    <w:rsid w:val="004A27A5"/>
    <w:rsid w:val="004A283A"/>
    <w:rsid w:val="004A28D3"/>
    <w:rsid w:val="004A28DE"/>
    <w:rsid w:val="004A28E8"/>
    <w:rsid w:val="004A2941"/>
    <w:rsid w:val="004A2A6B"/>
    <w:rsid w:val="004A2A7C"/>
    <w:rsid w:val="004A2A87"/>
    <w:rsid w:val="004A2A8B"/>
    <w:rsid w:val="004A2ADF"/>
    <w:rsid w:val="004A2B84"/>
    <w:rsid w:val="004A2C38"/>
    <w:rsid w:val="004A2D24"/>
    <w:rsid w:val="004A2D9A"/>
    <w:rsid w:val="004A2EF8"/>
    <w:rsid w:val="004A2F3B"/>
    <w:rsid w:val="004A3081"/>
    <w:rsid w:val="004A30BC"/>
    <w:rsid w:val="004A30C1"/>
    <w:rsid w:val="004A3202"/>
    <w:rsid w:val="004A321B"/>
    <w:rsid w:val="004A3222"/>
    <w:rsid w:val="004A3242"/>
    <w:rsid w:val="004A332E"/>
    <w:rsid w:val="004A3366"/>
    <w:rsid w:val="004A336D"/>
    <w:rsid w:val="004A33F0"/>
    <w:rsid w:val="004A349C"/>
    <w:rsid w:val="004A358D"/>
    <w:rsid w:val="004A3636"/>
    <w:rsid w:val="004A3680"/>
    <w:rsid w:val="004A3697"/>
    <w:rsid w:val="004A36CD"/>
    <w:rsid w:val="004A36D3"/>
    <w:rsid w:val="004A3755"/>
    <w:rsid w:val="004A37AB"/>
    <w:rsid w:val="004A37C6"/>
    <w:rsid w:val="004A382A"/>
    <w:rsid w:val="004A383B"/>
    <w:rsid w:val="004A3856"/>
    <w:rsid w:val="004A3878"/>
    <w:rsid w:val="004A3909"/>
    <w:rsid w:val="004A394E"/>
    <w:rsid w:val="004A39BB"/>
    <w:rsid w:val="004A3AD2"/>
    <w:rsid w:val="004A3B22"/>
    <w:rsid w:val="004A3B97"/>
    <w:rsid w:val="004A3BA9"/>
    <w:rsid w:val="004A3BD2"/>
    <w:rsid w:val="004A3BD3"/>
    <w:rsid w:val="004A3BDA"/>
    <w:rsid w:val="004A3C47"/>
    <w:rsid w:val="004A3CD5"/>
    <w:rsid w:val="004A3CF4"/>
    <w:rsid w:val="004A3D0A"/>
    <w:rsid w:val="004A3D6D"/>
    <w:rsid w:val="004A3DBE"/>
    <w:rsid w:val="004A3DC0"/>
    <w:rsid w:val="004A4068"/>
    <w:rsid w:val="004A406B"/>
    <w:rsid w:val="004A4070"/>
    <w:rsid w:val="004A40D3"/>
    <w:rsid w:val="004A4157"/>
    <w:rsid w:val="004A4170"/>
    <w:rsid w:val="004A41C4"/>
    <w:rsid w:val="004A427D"/>
    <w:rsid w:val="004A4315"/>
    <w:rsid w:val="004A4353"/>
    <w:rsid w:val="004A4375"/>
    <w:rsid w:val="004A43CE"/>
    <w:rsid w:val="004A4424"/>
    <w:rsid w:val="004A4430"/>
    <w:rsid w:val="004A4439"/>
    <w:rsid w:val="004A443E"/>
    <w:rsid w:val="004A445F"/>
    <w:rsid w:val="004A44C0"/>
    <w:rsid w:val="004A44CF"/>
    <w:rsid w:val="004A453E"/>
    <w:rsid w:val="004A455F"/>
    <w:rsid w:val="004A460C"/>
    <w:rsid w:val="004A4612"/>
    <w:rsid w:val="004A46E0"/>
    <w:rsid w:val="004A4786"/>
    <w:rsid w:val="004A479F"/>
    <w:rsid w:val="004A47BE"/>
    <w:rsid w:val="004A489A"/>
    <w:rsid w:val="004A48B3"/>
    <w:rsid w:val="004A48C2"/>
    <w:rsid w:val="004A49D4"/>
    <w:rsid w:val="004A49DE"/>
    <w:rsid w:val="004A4AB7"/>
    <w:rsid w:val="004A4AE7"/>
    <w:rsid w:val="004A4AFD"/>
    <w:rsid w:val="004A4B45"/>
    <w:rsid w:val="004A4B6C"/>
    <w:rsid w:val="004A4BCE"/>
    <w:rsid w:val="004A4C3D"/>
    <w:rsid w:val="004A4CCA"/>
    <w:rsid w:val="004A4D45"/>
    <w:rsid w:val="004A4D98"/>
    <w:rsid w:val="004A4DD9"/>
    <w:rsid w:val="004A4E51"/>
    <w:rsid w:val="004A4E58"/>
    <w:rsid w:val="004A4F32"/>
    <w:rsid w:val="004A4F6C"/>
    <w:rsid w:val="004A4FDC"/>
    <w:rsid w:val="004A5002"/>
    <w:rsid w:val="004A50F5"/>
    <w:rsid w:val="004A5153"/>
    <w:rsid w:val="004A5191"/>
    <w:rsid w:val="004A5211"/>
    <w:rsid w:val="004A5285"/>
    <w:rsid w:val="004A52A6"/>
    <w:rsid w:val="004A5380"/>
    <w:rsid w:val="004A53E8"/>
    <w:rsid w:val="004A5421"/>
    <w:rsid w:val="004A5529"/>
    <w:rsid w:val="004A5554"/>
    <w:rsid w:val="004A555C"/>
    <w:rsid w:val="004A564A"/>
    <w:rsid w:val="004A56B4"/>
    <w:rsid w:val="004A56B5"/>
    <w:rsid w:val="004A57CE"/>
    <w:rsid w:val="004A57EC"/>
    <w:rsid w:val="004A57F1"/>
    <w:rsid w:val="004A57FA"/>
    <w:rsid w:val="004A5845"/>
    <w:rsid w:val="004A5847"/>
    <w:rsid w:val="004A5899"/>
    <w:rsid w:val="004A58FB"/>
    <w:rsid w:val="004A591C"/>
    <w:rsid w:val="004A5936"/>
    <w:rsid w:val="004A598D"/>
    <w:rsid w:val="004A59D7"/>
    <w:rsid w:val="004A59E5"/>
    <w:rsid w:val="004A59E9"/>
    <w:rsid w:val="004A5A1C"/>
    <w:rsid w:val="004A5A2E"/>
    <w:rsid w:val="004A5A52"/>
    <w:rsid w:val="004A5A54"/>
    <w:rsid w:val="004A5B2C"/>
    <w:rsid w:val="004A5B49"/>
    <w:rsid w:val="004A5BD4"/>
    <w:rsid w:val="004A5C44"/>
    <w:rsid w:val="004A5D61"/>
    <w:rsid w:val="004A5DE2"/>
    <w:rsid w:val="004A5F04"/>
    <w:rsid w:val="004A5FDF"/>
    <w:rsid w:val="004A5FEA"/>
    <w:rsid w:val="004A6003"/>
    <w:rsid w:val="004A6004"/>
    <w:rsid w:val="004A60AC"/>
    <w:rsid w:val="004A6119"/>
    <w:rsid w:val="004A6123"/>
    <w:rsid w:val="004A6146"/>
    <w:rsid w:val="004A6149"/>
    <w:rsid w:val="004A6168"/>
    <w:rsid w:val="004A6176"/>
    <w:rsid w:val="004A6247"/>
    <w:rsid w:val="004A627F"/>
    <w:rsid w:val="004A62DC"/>
    <w:rsid w:val="004A6354"/>
    <w:rsid w:val="004A639F"/>
    <w:rsid w:val="004A64BD"/>
    <w:rsid w:val="004A64D9"/>
    <w:rsid w:val="004A6537"/>
    <w:rsid w:val="004A6559"/>
    <w:rsid w:val="004A6595"/>
    <w:rsid w:val="004A65E5"/>
    <w:rsid w:val="004A65F0"/>
    <w:rsid w:val="004A66E2"/>
    <w:rsid w:val="004A6712"/>
    <w:rsid w:val="004A6719"/>
    <w:rsid w:val="004A6801"/>
    <w:rsid w:val="004A6851"/>
    <w:rsid w:val="004A686D"/>
    <w:rsid w:val="004A68D9"/>
    <w:rsid w:val="004A697C"/>
    <w:rsid w:val="004A69AD"/>
    <w:rsid w:val="004A6A00"/>
    <w:rsid w:val="004A6A73"/>
    <w:rsid w:val="004A6AB7"/>
    <w:rsid w:val="004A6ADF"/>
    <w:rsid w:val="004A6B5A"/>
    <w:rsid w:val="004A6B71"/>
    <w:rsid w:val="004A6D09"/>
    <w:rsid w:val="004A6D49"/>
    <w:rsid w:val="004A6D7E"/>
    <w:rsid w:val="004A6DB9"/>
    <w:rsid w:val="004A6DD3"/>
    <w:rsid w:val="004A6DF0"/>
    <w:rsid w:val="004A6E17"/>
    <w:rsid w:val="004A6E2E"/>
    <w:rsid w:val="004A6E70"/>
    <w:rsid w:val="004A6E84"/>
    <w:rsid w:val="004A6E98"/>
    <w:rsid w:val="004A6EAC"/>
    <w:rsid w:val="004A6F9F"/>
    <w:rsid w:val="004A6FDC"/>
    <w:rsid w:val="004A7001"/>
    <w:rsid w:val="004A700D"/>
    <w:rsid w:val="004A704A"/>
    <w:rsid w:val="004A720B"/>
    <w:rsid w:val="004A720F"/>
    <w:rsid w:val="004A7222"/>
    <w:rsid w:val="004A732B"/>
    <w:rsid w:val="004A7410"/>
    <w:rsid w:val="004A7448"/>
    <w:rsid w:val="004A7453"/>
    <w:rsid w:val="004A746E"/>
    <w:rsid w:val="004A7478"/>
    <w:rsid w:val="004A75C5"/>
    <w:rsid w:val="004A75DF"/>
    <w:rsid w:val="004A76F5"/>
    <w:rsid w:val="004A770A"/>
    <w:rsid w:val="004A775B"/>
    <w:rsid w:val="004A777E"/>
    <w:rsid w:val="004A77B5"/>
    <w:rsid w:val="004A77C2"/>
    <w:rsid w:val="004A77DF"/>
    <w:rsid w:val="004A77FF"/>
    <w:rsid w:val="004A781F"/>
    <w:rsid w:val="004A7898"/>
    <w:rsid w:val="004A78F3"/>
    <w:rsid w:val="004A7920"/>
    <w:rsid w:val="004A795B"/>
    <w:rsid w:val="004A795C"/>
    <w:rsid w:val="004A79AD"/>
    <w:rsid w:val="004A79B8"/>
    <w:rsid w:val="004A79C7"/>
    <w:rsid w:val="004A79DE"/>
    <w:rsid w:val="004A7B14"/>
    <w:rsid w:val="004A7B2D"/>
    <w:rsid w:val="004A7B97"/>
    <w:rsid w:val="004A7BA4"/>
    <w:rsid w:val="004A7BC2"/>
    <w:rsid w:val="004A7C78"/>
    <w:rsid w:val="004A7C88"/>
    <w:rsid w:val="004A7C9E"/>
    <w:rsid w:val="004A7D14"/>
    <w:rsid w:val="004A7D31"/>
    <w:rsid w:val="004A7DA3"/>
    <w:rsid w:val="004A7E8C"/>
    <w:rsid w:val="004A7EA6"/>
    <w:rsid w:val="004A7FD2"/>
    <w:rsid w:val="004A7FE4"/>
    <w:rsid w:val="004A7FEC"/>
    <w:rsid w:val="004B002C"/>
    <w:rsid w:val="004B0056"/>
    <w:rsid w:val="004B01BF"/>
    <w:rsid w:val="004B01ED"/>
    <w:rsid w:val="004B021D"/>
    <w:rsid w:val="004B021E"/>
    <w:rsid w:val="004B033D"/>
    <w:rsid w:val="004B0342"/>
    <w:rsid w:val="004B035D"/>
    <w:rsid w:val="004B0552"/>
    <w:rsid w:val="004B0554"/>
    <w:rsid w:val="004B0562"/>
    <w:rsid w:val="004B058E"/>
    <w:rsid w:val="004B05B2"/>
    <w:rsid w:val="004B05D7"/>
    <w:rsid w:val="004B05FA"/>
    <w:rsid w:val="004B06A3"/>
    <w:rsid w:val="004B06E7"/>
    <w:rsid w:val="004B06F8"/>
    <w:rsid w:val="004B072C"/>
    <w:rsid w:val="004B0858"/>
    <w:rsid w:val="004B0869"/>
    <w:rsid w:val="004B0971"/>
    <w:rsid w:val="004B0A22"/>
    <w:rsid w:val="004B0A68"/>
    <w:rsid w:val="004B0AB2"/>
    <w:rsid w:val="004B0B5A"/>
    <w:rsid w:val="004B0B82"/>
    <w:rsid w:val="004B0C1A"/>
    <w:rsid w:val="004B0C5F"/>
    <w:rsid w:val="004B0C9D"/>
    <w:rsid w:val="004B0CA8"/>
    <w:rsid w:val="004B0CF4"/>
    <w:rsid w:val="004B0DBA"/>
    <w:rsid w:val="004B0DD9"/>
    <w:rsid w:val="004B0E7B"/>
    <w:rsid w:val="004B0E8C"/>
    <w:rsid w:val="004B0F0A"/>
    <w:rsid w:val="004B0F29"/>
    <w:rsid w:val="004B0F65"/>
    <w:rsid w:val="004B109C"/>
    <w:rsid w:val="004B10A9"/>
    <w:rsid w:val="004B10AF"/>
    <w:rsid w:val="004B10B4"/>
    <w:rsid w:val="004B10F0"/>
    <w:rsid w:val="004B116E"/>
    <w:rsid w:val="004B1196"/>
    <w:rsid w:val="004B120A"/>
    <w:rsid w:val="004B1212"/>
    <w:rsid w:val="004B1264"/>
    <w:rsid w:val="004B136F"/>
    <w:rsid w:val="004B1399"/>
    <w:rsid w:val="004B13BC"/>
    <w:rsid w:val="004B13BF"/>
    <w:rsid w:val="004B146F"/>
    <w:rsid w:val="004B1535"/>
    <w:rsid w:val="004B1596"/>
    <w:rsid w:val="004B15D2"/>
    <w:rsid w:val="004B15FE"/>
    <w:rsid w:val="004B162B"/>
    <w:rsid w:val="004B172B"/>
    <w:rsid w:val="004B1795"/>
    <w:rsid w:val="004B17A6"/>
    <w:rsid w:val="004B17C4"/>
    <w:rsid w:val="004B186C"/>
    <w:rsid w:val="004B18CA"/>
    <w:rsid w:val="004B1918"/>
    <w:rsid w:val="004B1953"/>
    <w:rsid w:val="004B19BC"/>
    <w:rsid w:val="004B1A86"/>
    <w:rsid w:val="004B1ACE"/>
    <w:rsid w:val="004B1AEF"/>
    <w:rsid w:val="004B1B49"/>
    <w:rsid w:val="004B1B75"/>
    <w:rsid w:val="004B1B76"/>
    <w:rsid w:val="004B1BD3"/>
    <w:rsid w:val="004B1BEA"/>
    <w:rsid w:val="004B1C1F"/>
    <w:rsid w:val="004B1D36"/>
    <w:rsid w:val="004B1D62"/>
    <w:rsid w:val="004B1DAC"/>
    <w:rsid w:val="004B1E39"/>
    <w:rsid w:val="004B1E8F"/>
    <w:rsid w:val="004B1F08"/>
    <w:rsid w:val="004B1F44"/>
    <w:rsid w:val="004B1F7E"/>
    <w:rsid w:val="004B1F8C"/>
    <w:rsid w:val="004B1FB7"/>
    <w:rsid w:val="004B2087"/>
    <w:rsid w:val="004B20F3"/>
    <w:rsid w:val="004B20FF"/>
    <w:rsid w:val="004B2209"/>
    <w:rsid w:val="004B2279"/>
    <w:rsid w:val="004B233E"/>
    <w:rsid w:val="004B236A"/>
    <w:rsid w:val="004B2415"/>
    <w:rsid w:val="004B24D5"/>
    <w:rsid w:val="004B25B9"/>
    <w:rsid w:val="004B2617"/>
    <w:rsid w:val="004B261A"/>
    <w:rsid w:val="004B263A"/>
    <w:rsid w:val="004B2681"/>
    <w:rsid w:val="004B26F2"/>
    <w:rsid w:val="004B26F9"/>
    <w:rsid w:val="004B271F"/>
    <w:rsid w:val="004B2741"/>
    <w:rsid w:val="004B278B"/>
    <w:rsid w:val="004B27BA"/>
    <w:rsid w:val="004B27C0"/>
    <w:rsid w:val="004B27F3"/>
    <w:rsid w:val="004B280C"/>
    <w:rsid w:val="004B2826"/>
    <w:rsid w:val="004B283C"/>
    <w:rsid w:val="004B2894"/>
    <w:rsid w:val="004B28D6"/>
    <w:rsid w:val="004B29C6"/>
    <w:rsid w:val="004B2A37"/>
    <w:rsid w:val="004B2B43"/>
    <w:rsid w:val="004B2B9E"/>
    <w:rsid w:val="004B2BA1"/>
    <w:rsid w:val="004B2BA8"/>
    <w:rsid w:val="004B2BB0"/>
    <w:rsid w:val="004B2BDF"/>
    <w:rsid w:val="004B2BEC"/>
    <w:rsid w:val="004B2C49"/>
    <w:rsid w:val="004B2C4A"/>
    <w:rsid w:val="004B2C7B"/>
    <w:rsid w:val="004B2D25"/>
    <w:rsid w:val="004B2D4B"/>
    <w:rsid w:val="004B2DD3"/>
    <w:rsid w:val="004B2E0C"/>
    <w:rsid w:val="004B2E4F"/>
    <w:rsid w:val="004B2E65"/>
    <w:rsid w:val="004B2E92"/>
    <w:rsid w:val="004B2E9B"/>
    <w:rsid w:val="004B2EB1"/>
    <w:rsid w:val="004B2F2C"/>
    <w:rsid w:val="004B2F88"/>
    <w:rsid w:val="004B2FC2"/>
    <w:rsid w:val="004B2FC9"/>
    <w:rsid w:val="004B30B4"/>
    <w:rsid w:val="004B3143"/>
    <w:rsid w:val="004B316F"/>
    <w:rsid w:val="004B318D"/>
    <w:rsid w:val="004B320A"/>
    <w:rsid w:val="004B3232"/>
    <w:rsid w:val="004B3253"/>
    <w:rsid w:val="004B328B"/>
    <w:rsid w:val="004B32D0"/>
    <w:rsid w:val="004B3332"/>
    <w:rsid w:val="004B334F"/>
    <w:rsid w:val="004B33A6"/>
    <w:rsid w:val="004B33AC"/>
    <w:rsid w:val="004B33F2"/>
    <w:rsid w:val="004B348E"/>
    <w:rsid w:val="004B3497"/>
    <w:rsid w:val="004B3499"/>
    <w:rsid w:val="004B34AD"/>
    <w:rsid w:val="004B3583"/>
    <w:rsid w:val="004B359D"/>
    <w:rsid w:val="004B35A6"/>
    <w:rsid w:val="004B3607"/>
    <w:rsid w:val="004B362B"/>
    <w:rsid w:val="004B367A"/>
    <w:rsid w:val="004B36B8"/>
    <w:rsid w:val="004B36BF"/>
    <w:rsid w:val="004B372D"/>
    <w:rsid w:val="004B3742"/>
    <w:rsid w:val="004B37BB"/>
    <w:rsid w:val="004B37BF"/>
    <w:rsid w:val="004B3810"/>
    <w:rsid w:val="004B3893"/>
    <w:rsid w:val="004B38F5"/>
    <w:rsid w:val="004B39EC"/>
    <w:rsid w:val="004B3A7B"/>
    <w:rsid w:val="004B3BA9"/>
    <w:rsid w:val="004B3BB7"/>
    <w:rsid w:val="004B3BD4"/>
    <w:rsid w:val="004B3BF6"/>
    <w:rsid w:val="004B3CD9"/>
    <w:rsid w:val="004B3CE0"/>
    <w:rsid w:val="004B3D2C"/>
    <w:rsid w:val="004B3DEF"/>
    <w:rsid w:val="004B3DFE"/>
    <w:rsid w:val="004B3E2E"/>
    <w:rsid w:val="004B3F4C"/>
    <w:rsid w:val="004B407A"/>
    <w:rsid w:val="004B40EC"/>
    <w:rsid w:val="004B4103"/>
    <w:rsid w:val="004B4163"/>
    <w:rsid w:val="004B41EB"/>
    <w:rsid w:val="004B4201"/>
    <w:rsid w:val="004B4215"/>
    <w:rsid w:val="004B425B"/>
    <w:rsid w:val="004B433A"/>
    <w:rsid w:val="004B4372"/>
    <w:rsid w:val="004B438F"/>
    <w:rsid w:val="004B43A5"/>
    <w:rsid w:val="004B4468"/>
    <w:rsid w:val="004B446A"/>
    <w:rsid w:val="004B4485"/>
    <w:rsid w:val="004B4506"/>
    <w:rsid w:val="004B455C"/>
    <w:rsid w:val="004B45DB"/>
    <w:rsid w:val="004B46B1"/>
    <w:rsid w:val="004B46DA"/>
    <w:rsid w:val="004B471B"/>
    <w:rsid w:val="004B4764"/>
    <w:rsid w:val="004B47AB"/>
    <w:rsid w:val="004B47D6"/>
    <w:rsid w:val="004B48E5"/>
    <w:rsid w:val="004B4979"/>
    <w:rsid w:val="004B49C1"/>
    <w:rsid w:val="004B49F0"/>
    <w:rsid w:val="004B4A53"/>
    <w:rsid w:val="004B4AD8"/>
    <w:rsid w:val="004B4B6E"/>
    <w:rsid w:val="004B4BA9"/>
    <w:rsid w:val="004B4C29"/>
    <w:rsid w:val="004B4C6F"/>
    <w:rsid w:val="004B4CA2"/>
    <w:rsid w:val="004B4CEC"/>
    <w:rsid w:val="004B4D58"/>
    <w:rsid w:val="004B4D5F"/>
    <w:rsid w:val="004B4E05"/>
    <w:rsid w:val="004B4E76"/>
    <w:rsid w:val="004B4E82"/>
    <w:rsid w:val="004B4EEC"/>
    <w:rsid w:val="004B4F37"/>
    <w:rsid w:val="004B4F46"/>
    <w:rsid w:val="004B4F8A"/>
    <w:rsid w:val="004B5051"/>
    <w:rsid w:val="004B5173"/>
    <w:rsid w:val="004B51D4"/>
    <w:rsid w:val="004B51F5"/>
    <w:rsid w:val="004B524B"/>
    <w:rsid w:val="004B5288"/>
    <w:rsid w:val="004B52E8"/>
    <w:rsid w:val="004B52F8"/>
    <w:rsid w:val="004B5301"/>
    <w:rsid w:val="004B5319"/>
    <w:rsid w:val="004B53DE"/>
    <w:rsid w:val="004B53FB"/>
    <w:rsid w:val="004B547A"/>
    <w:rsid w:val="004B5483"/>
    <w:rsid w:val="004B54A2"/>
    <w:rsid w:val="004B551E"/>
    <w:rsid w:val="004B5553"/>
    <w:rsid w:val="004B5563"/>
    <w:rsid w:val="004B5582"/>
    <w:rsid w:val="004B562F"/>
    <w:rsid w:val="004B56E0"/>
    <w:rsid w:val="004B5732"/>
    <w:rsid w:val="004B5795"/>
    <w:rsid w:val="004B5833"/>
    <w:rsid w:val="004B583E"/>
    <w:rsid w:val="004B58C9"/>
    <w:rsid w:val="004B58FD"/>
    <w:rsid w:val="004B59F8"/>
    <w:rsid w:val="004B5A6A"/>
    <w:rsid w:val="004B5A78"/>
    <w:rsid w:val="004B5AAE"/>
    <w:rsid w:val="004B5B02"/>
    <w:rsid w:val="004B5B14"/>
    <w:rsid w:val="004B5C17"/>
    <w:rsid w:val="004B5C7F"/>
    <w:rsid w:val="004B5C85"/>
    <w:rsid w:val="004B5DA2"/>
    <w:rsid w:val="004B5E4F"/>
    <w:rsid w:val="004B5F09"/>
    <w:rsid w:val="004B5F21"/>
    <w:rsid w:val="004B5F55"/>
    <w:rsid w:val="004B5FC6"/>
    <w:rsid w:val="004B5FED"/>
    <w:rsid w:val="004B60E5"/>
    <w:rsid w:val="004B610A"/>
    <w:rsid w:val="004B6160"/>
    <w:rsid w:val="004B6165"/>
    <w:rsid w:val="004B61C8"/>
    <w:rsid w:val="004B61E4"/>
    <w:rsid w:val="004B6240"/>
    <w:rsid w:val="004B62C4"/>
    <w:rsid w:val="004B62C7"/>
    <w:rsid w:val="004B631D"/>
    <w:rsid w:val="004B63AD"/>
    <w:rsid w:val="004B64E8"/>
    <w:rsid w:val="004B6550"/>
    <w:rsid w:val="004B6607"/>
    <w:rsid w:val="004B661A"/>
    <w:rsid w:val="004B6647"/>
    <w:rsid w:val="004B665E"/>
    <w:rsid w:val="004B6784"/>
    <w:rsid w:val="004B67EF"/>
    <w:rsid w:val="004B6854"/>
    <w:rsid w:val="004B68C1"/>
    <w:rsid w:val="004B68C7"/>
    <w:rsid w:val="004B68D8"/>
    <w:rsid w:val="004B68FD"/>
    <w:rsid w:val="004B6917"/>
    <w:rsid w:val="004B694B"/>
    <w:rsid w:val="004B696B"/>
    <w:rsid w:val="004B6A45"/>
    <w:rsid w:val="004B6B59"/>
    <w:rsid w:val="004B6BA3"/>
    <w:rsid w:val="004B6BAB"/>
    <w:rsid w:val="004B6BDE"/>
    <w:rsid w:val="004B6C2A"/>
    <w:rsid w:val="004B6C54"/>
    <w:rsid w:val="004B6CA0"/>
    <w:rsid w:val="004B6CE8"/>
    <w:rsid w:val="004B6D6F"/>
    <w:rsid w:val="004B6D84"/>
    <w:rsid w:val="004B6DC1"/>
    <w:rsid w:val="004B6E2C"/>
    <w:rsid w:val="004B6EC8"/>
    <w:rsid w:val="004B6EDA"/>
    <w:rsid w:val="004B6FB5"/>
    <w:rsid w:val="004B7149"/>
    <w:rsid w:val="004B7162"/>
    <w:rsid w:val="004B717E"/>
    <w:rsid w:val="004B71A1"/>
    <w:rsid w:val="004B71A3"/>
    <w:rsid w:val="004B71C6"/>
    <w:rsid w:val="004B738D"/>
    <w:rsid w:val="004B7565"/>
    <w:rsid w:val="004B757E"/>
    <w:rsid w:val="004B75DB"/>
    <w:rsid w:val="004B75E7"/>
    <w:rsid w:val="004B7633"/>
    <w:rsid w:val="004B7687"/>
    <w:rsid w:val="004B774A"/>
    <w:rsid w:val="004B774B"/>
    <w:rsid w:val="004B778F"/>
    <w:rsid w:val="004B77BC"/>
    <w:rsid w:val="004B77C2"/>
    <w:rsid w:val="004B77EE"/>
    <w:rsid w:val="004B780A"/>
    <w:rsid w:val="004B7828"/>
    <w:rsid w:val="004B7845"/>
    <w:rsid w:val="004B7870"/>
    <w:rsid w:val="004B787D"/>
    <w:rsid w:val="004B78BB"/>
    <w:rsid w:val="004B79CB"/>
    <w:rsid w:val="004B7A54"/>
    <w:rsid w:val="004B7A62"/>
    <w:rsid w:val="004B7AFA"/>
    <w:rsid w:val="004B7B46"/>
    <w:rsid w:val="004B7BEC"/>
    <w:rsid w:val="004B7C4C"/>
    <w:rsid w:val="004B7C80"/>
    <w:rsid w:val="004B7D24"/>
    <w:rsid w:val="004B7D81"/>
    <w:rsid w:val="004B7DA3"/>
    <w:rsid w:val="004B7E35"/>
    <w:rsid w:val="004B7EC0"/>
    <w:rsid w:val="004B7EC2"/>
    <w:rsid w:val="004B7F0B"/>
    <w:rsid w:val="004B7F42"/>
    <w:rsid w:val="004B7F49"/>
    <w:rsid w:val="004B7F59"/>
    <w:rsid w:val="004B7F82"/>
    <w:rsid w:val="004B7FD4"/>
    <w:rsid w:val="004B7FDB"/>
    <w:rsid w:val="004B7FE5"/>
    <w:rsid w:val="004C0046"/>
    <w:rsid w:val="004C0107"/>
    <w:rsid w:val="004C01DB"/>
    <w:rsid w:val="004C01F8"/>
    <w:rsid w:val="004C0206"/>
    <w:rsid w:val="004C027A"/>
    <w:rsid w:val="004C029B"/>
    <w:rsid w:val="004C02DC"/>
    <w:rsid w:val="004C0354"/>
    <w:rsid w:val="004C039C"/>
    <w:rsid w:val="004C0411"/>
    <w:rsid w:val="004C04B9"/>
    <w:rsid w:val="004C04D4"/>
    <w:rsid w:val="004C0526"/>
    <w:rsid w:val="004C0560"/>
    <w:rsid w:val="004C05DE"/>
    <w:rsid w:val="004C062D"/>
    <w:rsid w:val="004C0682"/>
    <w:rsid w:val="004C068C"/>
    <w:rsid w:val="004C06C4"/>
    <w:rsid w:val="004C06E9"/>
    <w:rsid w:val="004C0736"/>
    <w:rsid w:val="004C076E"/>
    <w:rsid w:val="004C0780"/>
    <w:rsid w:val="004C07A4"/>
    <w:rsid w:val="004C0811"/>
    <w:rsid w:val="004C085A"/>
    <w:rsid w:val="004C0868"/>
    <w:rsid w:val="004C08B5"/>
    <w:rsid w:val="004C08DE"/>
    <w:rsid w:val="004C091C"/>
    <w:rsid w:val="004C09A9"/>
    <w:rsid w:val="004C0A1B"/>
    <w:rsid w:val="004C0A57"/>
    <w:rsid w:val="004C0A6A"/>
    <w:rsid w:val="004C0A9E"/>
    <w:rsid w:val="004C0AC1"/>
    <w:rsid w:val="004C0AFC"/>
    <w:rsid w:val="004C0B30"/>
    <w:rsid w:val="004C0B6C"/>
    <w:rsid w:val="004C0BE0"/>
    <w:rsid w:val="004C0BF5"/>
    <w:rsid w:val="004C0C28"/>
    <w:rsid w:val="004C0C45"/>
    <w:rsid w:val="004C0C72"/>
    <w:rsid w:val="004C0C9A"/>
    <w:rsid w:val="004C0CEC"/>
    <w:rsid w:val="004C0CFC"/>
    <w:rsid w:val="004C0D8F"/>
    <w:rsid w:val="004C0E01"/>
    <w:rsid w:val="004C0E3C"/>
    <w:rsid w:val="004C0E67"/>
    <w:rsid w:val="004C0E91"/>
    <w:rsid w:val="004C0EA5"/>
    <w:rsid w:val="004C0ED2"/>
    <w:rsid w:val="004C0EEC"/>
    <w:rsid w:val="004C0F39"/>
    <w:rsid w:val="004C0F7E"/>
    <w:rsid w:val="004C0FA1"/>
    <w:rsid w:val="004C0FC7"/>
    <w:rsid w:val="004C0FCC"/>
    <w:rsid w:val="004C0FE9"/>
    <w:rsid w:val="004C1028"/>
    <w:rsid w:val="004C1166"/>
    <w:rsid w:val="004C1168"/>
    <w:rsid w:val="004C1241"/>
    <w:rsid w:val="004C1259"/>
    <w:rsid w:val="004C12A3"/>
    <w:rsid w:val="004C12AC"/>
    <w:rsid w:val="004C12CD"/>
    <w:rsid w:val="004C1345"/>
    <w:rsid w:val="004C13D7"/>
    <w:rsid w:val="004C1443"/>
    <w:rsid w:val="004C14CE"/>
    <w:rsid w:val="004C1561"/>
    <w:rsid w:val="004C157A"/>
    <w:rsid w:val="004C15AF"/>
    <w:rsid w:val="004C15EA"/>
    <w:rsid w:val="004C15EE"/>
    <w:rsid w:val="004C1609"/>
    <w:rsid w:val="004C161C"/>
    <w:rsid w:val="004C164B"/>
    <w:rsid w:val="004C16DD"/>
    <w:rsid w:val="004C16E7"/>
    <w:rsid w:val="004C171F"/>
    <w:rsid w:val="004C17F0"/>
    <w:rsid w:val="004C17F5"/>
    <w:rsid w:val="004C185E"/>
    <w:rsid w:val="004C1867"/>
    <w:rsid w:val="004C1879"/>
    <w:rsid w:val="004C1890"/>
    <w:rsid w:val="004C18B0"/>
    <w:rsid w:val="004C18D9"/>
    <w:rsid w:val="004C18ED"/>
    <w:rsid w:val="004C19A9"/>
    <w:rsid w:val="004C19E3"/>
    <w:rsid w:val="004C19FA"/>
    <w:rsid w:val="004C1A37"/>
    <w:rsid w:val="004C1AA2"/>
    <w:rsid w:val="004C1AAD"/>
    <w:rsid w:val="004C1BE2"/>
    <w:rsid w:val="004C1BE6"/>
    <w:rsid w:val="004C1C31"/>
    <w:rsid w:val="004C1C53"/>
    <w:rsid w:val="004C1C5A"/>
    <w:rsid w:val="004C1D03"/>
    <w:rsid w:val="004C1D09"/>
    <w:rsid w:val="004C1EB6"/>
    <w:rsid w:val="004C1EBB"/>
    <w:rsid w:val="004C1F4F"/>
    <w:rsid w:val="004C1F83"/>
    <w:rsid w:val="004C2009"/>
    <w:rsid w:val="004C2075"/>
    <w:rsid w:val="004C208A"/>
    <w:rsid w:val="004C208D"/>
    <w:rsid w:val="004C20EC"/>
    <w:rsid w:val="004C2119"/>
    <w:rsid w:val="004C2124"/>
    <w:rsid w:val="004C21B1"/>
    <w:rsid w:val="004C21E3"/>
    <w:rsid w:val="004C21E7"/>
    <w:rsid w:val="004C2248"/>
    <w:rsid w:val="004C227C"/>
    <w:rsid w:val="004C229C"/>
    <w:rsid w:val="004C22E1"/>
    <w:rsid w:val="004C22E8"/>
    <w:rsid w:val="004C2327"/>
    <w:rsid w:val="004C2348"/>
    <w:rsid w:val="004C234E"/>
    <w:rsid w:val="004C2373"/>
    <w:rsid w:val="004C238D"/>
    <w:rsid w:val="004C239D"/>
    <w:rsid w:val="004C23E9"/>
    <w:rsid w:val="004C2424"/>
    <w:rsid w:val="004C254A"/>
    <w:rsid w:val="004C260B"/>
    <w:rsid w:val="004C26C4"/>
    <w:rsid w:val="004C279F"/>
    <w:rsid w:val="004C27AA"/>
    <w:rsid w:val="004C283C"/>
    <w:rsid w:val="004C28DF"/>
    <w:rsid w:val="004C28FF"/>
    <w:rsid w:val="004C2929"/>
    <w:rsid w:val="004C2950"/>
    <w:rsid w:val="004C29BE"/>
    <w:rsid w:val="004C29DE"/>
    <w:rsid w:val="004C2A54"/>
    <w:rsid w:val="004C2AC2"/>
    <w:rsid w:val="004C2B1F"/>
    <w:rsid w:val="004C2B80"/>
    <w:rsid w:val="004C2BA9"/>
    <w:rsid w:val="004C2BE0"/>
    <w:rsid w:val="004C2BF4"/>
    <w:rsid w:val="004C2BFD"/>
    <w:rsid w:val="004C2C86"/>
    <w:rsid w:val="004C2CD2"/>
    <w:rsid w:val="004C2D07"/>
    <w:rsid w:val="004C2D88"/>
    <w:rsid w:val="004C2D9C"/>
    <w:rsid w:val="004C2E34"/>
    <w:rsid w:val="004C2E72"/>
    <w:rsid w:val="004C2E96"/>
    <w:rsid w:val="004C2E9E"/>
    <w:rsid w:val="004C2EE2"/>
    <w:rsid w:val="004C2FF4"/>
    <w:rsid w:val="004C3019"/>
    <w:rsid w:val="004C307B"/>
    <w:rsid w:val="004C314C"/>
    <w:rsid w:val="004C315B"/>
    <w:rsid w:val="004C315E"/>
    <w:rsid w:val="004C3168"/>
    <w:rsid w:val="004C31AF"/>
    <w:rsid w:val="004C31BC"/>
    <w:rsid w:val="004C31C3"/>
    <w:rsid w:val="004C323A"/>
    <w:rsid w:val="004C326B"/>
    <w:rsid w:val="004C327C"/>
    <w:rsid w:val="004C32D3"/>
    <w:rsid w:val="004C32F2"/>
    <w:rsid w:val="004C34D8"/>
    <w:rsid w:val="004C3533"/>
    <w:rsid w:val="004C355C"/>
    <w:rsid w:val="004C3576"/>
    <w:rsid w:val="004C358D"/>
    <w:rsid w:val="004C35D7"/>
    <w:rsid w:val="004C3716"/>
    <w:rsid w:val="004C371C"/>
    <w:rsid w:val="004C3747"/>
    <w:rsid w:val="004C3771"/>
    <w:rsid w:val="004C3786"/>
    <w:rsid w:val="004C380E"/>
    <w:rsid w:val="004C382D"/>
    <w:rsid w:val="004C3860"/>
    <w:rsid w:val="004C387E"/>
    <w:rsid w:val="004C38AD"/>
    <w:rsid w:val="004C38E9"/>
    <w:rsid w:val="004C397D"/>
    <w:rsid w:val="004C398D"/>
    <w:rsid w:val="004C3A50"/>
    <w:rsid w:val="004C3AF4"/>
    <w:rsid w:val="004C3B07"/>
    <w:rsid w:val="004C3B68"/>
    <w:rsid w:val="004C3B71"/>
    <w:rsid w:val="004C3BDA"/>
    <w:rsid w:val="004C3C36"/>
    <w:rsid w:val="004C3C58"/>
    <w:rsid w:val="004C3CC1"/>
    <w:rsid w:val="004C3CF4"/>
    <w:rsid w:val="004C3DDA"/>
    <w:rsid w:val="004C3E2D"/>
    <w:rsid w:val="004C3E36"/>
    <w:rsid w:val="004C3E43"/>
    <w:rsid w:val="004C3E9A"/>
    <w:rsid w:val="004C3EA9"/>
    <w:rsid w:val="004C3EF0"/>
    <w:rsid w:val="004C3F8D"/>
    <w:rsid w:val="004C4028"/>
    <w:rsid w:val="004C4137"/>
    <w:rsid w:val="004C4171"/>
    <w:rsid w:val="004C42D1"/>
    <w:rsid w:val="004C43BD"/>
    <w:rsid w:val="004C4404"/>
    <w:rsid w:val="004C4442"/>
    <w:rsid w:val="004C446F"/>
    <w:rsid w:val="004C44B1"/>
    <w:rsid w:val="004C44D0"/>
    <w:rsid w:val="004C44EC"/>
    <w:rsid w:val="004C4505"/>
    <w:rsid w:val="004C454E"/>
    <w:rsid w:val="004C4598"/>
    <w:rsid w:val="004C45BC"/>
    <w:rsid w:val="004C4625"/>
    <w:rsid w:val="004C4632"/>
    <w:rsid w:val="004C46DC"/>
    <w:rsid w:val="004C46EF"/>
    <w:rsid w:val="004C4743"/>
    <w:rsid w:val="004C476A"/>
    <w:rsid w:val="004C476B"/>
    <w:rsid w:val="004C4788"/>
    <w:rsid w:val="004C47B2"/>
    <w:rsid w:val="004C47D7"/>
    <w:rsid w:val="004C490D"/>
    <w:rsid w:val="004C49CC"/>
    <w:rsid w:val="004C49ED"/>
    <w:rsid w:val="004C4A3A"/>
    <w:rsid w:val="004C4A5F"/>
    <w:rsid w:val="004C4A92"/>
    <w:rsid w:val="004C4ABB"/>
    <w:rsid w:val="004C4AE5"/>
    <w:rsid w:val="004C4AEA"/>
    <w:rsid w:val="004C4AFD"/>
    <w:rsid w:val="004C4B5E"/>
    <w:rsid w:val="004C4BCF"/>
    <w:rsid w:val="004C4BDE"/>
    <w:rsid w:val="004C4BF9"/>
    <w:rsid w:val="004C4BFD"/>
    <w:rsid w:val="004C4CE9"/>
    <w:rsid w:val="004C4DD3"/>
    <w:rsid w:val="004C4E08"/>
    <w:rsid w:val="004C4E6E"/>
    <w:rsid w:val="004C4E8C"/>
    <w:rsid w:val="004C4EA9"/>
    <w:rsid w:val="004C4F39"/>
    <w:rsid w:val="004C4F5E"/>
    <w:rsid w:val="004C4F60"/>
    <w:rsid w:val="004C5006"/>
    <w:rsid w:val="004C502F"/>
    <w:rsid w:val="004C5042"/>
    <w:rsid w:val="004C510C"/>
    <w:rsid w:val="004C511F"/>
    <w:rsid w:val="004C5139"/>
    <w:rsid w:val="004C5166"/>
    <w:rsid w:val="004C5184"/>
    <w:rsid w:val="004C522D"/>
    <w:rsid w:val="004C5284"/>
    <w:rsid w:val="004C52A2"/>
    <w:rsid w:val="004C52C4"/>
    <w:rsid w:val="004C52DA"/>
    <w:rsid w:val="004C52EF"/>
    <w:rsid w:val="004C52F3"/>
    <w:rsid w:val="004C52FE"/>
    <w:rsid w:val="004C537A"/>
    <w:rsid w:val="004C5383"/>
    <w:rsid w:val="004C5391"/>
    <w:rsid w:val="004C53C7"/>
    <w:rsid w:val="004C53F3"/>
    <w:rsid w:val="004C540C"/>
    <w:rsid w:val="004C54B0"/>
    <w:rsid w:val="004C555E"/>
    <w:rsid w:val="004C5568"/>
    <w:rsid w:val="004C566F"/>
    <w:rsid w:val="004C56A4"/>
    <w:rsid w:val="004C5711"/>
    <w:rsid w:val="004C5719"/>
    <w:rsid w:val="004C5729"/>
    <w:rsid w:val="004C57A7"/>
    <w:rsid w:val="004C57F3"/>
    <w:rsid w:val="004C580A"/>
    <w:rsid w:val="004C5812"/>
    <w:rsid w:val="004C5819"/>
    <w:rsid w:val="004C582B"/>
    <w:rsid w:val="004C5832"/>
    <w:rsid w:val="004C5888"/>
    <w:rsid w:val="004C58AC"/>
    <w:rsid w:val="004C58B4"/>
    <w:rsid w:val="004C58BC"/>
    <w:rsid w:val="004C597D"/>
    <w:rsid w:val="004C599B"/>
    <w:rsid w:val="004C59B3"/>
    <w:rsid w:val="004C59ED"/>
    <w:rsid w:val="004C5A20"/>
    <w:rsid w:val="004C5A9D"/>
    <w:rsid w:val="004C5AD9"/>
    <w:rsid w:val="004C5BF7"/>
    <w:rsid w:val="004C5C2E"/>
    <w:rsid w:val="004C5CB8"/>
    <w:rsid w:val="004C5CD7"/>
    <w:rsid w:val="004C5CEB"/>
    <w:rsid w:val="004C5D07"/>
    <w:rsid w:val="004C5D9E"/>
    <w:rsid w:val="004C5DEA"/>
    <w:rsid w:val="004C5E4A"/>
    <w:rsid w:val="004C5EC9"/>
    <w:rsid w:val="004C5EFC"/>
    <w:rsid w:val="004C5F92"/>
    <w:rsid w:val="004C5FA1"/>
    <w:rsid w:val="004C5FC7"/>
    <w:rsid w:val="004C5FD1"/>
    <w:rsid w:val="004C6006"/>
    <w:rsid w:val="004C607B"/>
    <w:rsid w:val="004C6081"/>
    <w:rsid w:val="004C60CC"/>
    <w:rsid w:val="004C610E"/>
    <w:rsid w:val="004C61E3"/>
    <w:rsid w:val="004C620B"/>
    <w:rsid w:val="004C62BF"/>
    <w:rsid w:val="004C6440"/>
    <w:rsid w:val="004C64E4"/>
    <w:rsid w:val="004C64EB"/>
    <w:rsid w:val="004C64EC"/>
    <w:rsid w:val="004C651B"/>
    <w:rsid w:val="004C65B6"/>
    <w:rsid w:val="004C65CC"/>
    <w:rsid w:val="004C660D"/>
    <w:rsid w:val="004C66ED"/>
    <w:rsid w:val="004C6716"/>
    <w:rsid w:val="004C6802"/>
    <w:rsid w:val="004C6817"/>
    <w:rsid w:val="004C6841"/>
    <w:rsid w:val="004C686F"/>
    <w:rsid w:val="004C6920"/>
    <w:rsid w:val="004C6966"/>
    <w:rsid w:val="004C699E"/>
    <w:rsid w:val="004C6A10"/>
    <w:rsid w:val="004C6A5E"/>
    <w:rsid w:val="004C6A70"/>
    <w:rsid w:val="004C6AA2"/>
    <w:rsid w:val="004C6B30"/>
    <w:rsid w:val="004C6B33"/>
    <w:rsid w:val="004C6B37"/>
    <w:rsid w:val="004C6BA3"/>
    <w:rsid w:val="004C6BEC"/>
    <w:rsid w:val="004C6C34"/>
    <w:rsid w:val="004C6C6C"/>
    <w:rsid w:val="004C6CCA"/>
    <w:rsid w:val="004C6D56"/>
    <w:rsid w:val="004C6DD8"/>
    <w:rsid w:val="004C6DE8"/>
    <w:rsid w:val="004C6E5B"/>
    <w:rsid w:val="004C6EB5"/>
    <w:rsid w:val="004C6F74"/>
    <w:rsid w:val="004C6F83"/>
    <w:rsid w:val="004C7009"/>
    <w:rsid w:val="004C7038"/>
    <w:rsid w:val="004C7043"/>
    <w:rsid w:val="004C705C"/>
    <w:rsid w:val="004C70BB"/>
    <w:rsid w:val="004C7112"/>
    <w:rsid w:val="004C711E"/>
    <w:rsid w:val="004C71E4"/>
    <w:rsid w:val="004C7205"/>
    <w:rsid w:val="004C7259"/>
    <w:rsid w:val="004C732C"/>
    <w:rsid w:val="004C7354"/>
    <w:rsid w:val="004C73D7"/>
    <w:rsid w:val="004C73F0"/>
    <w:rsid w:val="004C741D"/>
    <w:rsid w:val="004C7438"/>
    <w:rsid w:val="004C746A"/>
    <w:rsid w:val="004C747F"/>
    <w:rsid w:val="004C74E6"/>
    <w:rsid w:val="004C7510"/>
    <w:rsid w:val="004C7578"/>
    <w:rsid w:val="004C75AB"/>
    <w:rsid w:val="004C75D2"/>
    <w:rsid w:val="004C762C"/>
    <w:rsid w:val="004C76A7"/>
    <w:rsid w:val="004C76F9"/>
    <w:rsid w:val="004C7729"/>
    <w:rsid w:val="004C77AD"/>
    <w:rsid w:val="004C7820"/>
    <w:rsid w:val="004C7841"/>
    <w:rsid w:val="004C7880"/>
    <w:rsid w:val="004C78C6"/>
    <w:rsid w:val="004C78E2"/>
    <w:rsid w:val="004C78F6"/>
    <w:rsid w:val="004C7937"/>
    <w:rsid w:val="004C79A0"/>
    <w:rsid w:val="004C7A0A"/>
    <w:rsid w:val="004C7A4E"/>
    <w:rsid w:val="004C7A6D"/>
    <w:rsid w:val="004C7A9F"/>
    <w:rsid w:val="004C7AAF"/>
    <w:rsid w:val="004C7AE3"/>
    <w:rsid w:val="004C7B1A"/>
    <w:rsid w:val="004C7B62"/>
    <w:rsid w:val="004C7B6A"/>
    <w:rsid w:val="004C7B6D"/>
    <w:rsid w:val="004C7B78"/>
    <w:rsid w:val="004C7BD5"/>
    <w:rsid w:val="004C7C61"/>
    <w:rsid w:val="004C7CDB"/>
    <w:rsid w:val="004C7CE5"/>
    <w:rsid w:val="004C7CF8"/>
    <w:rsid w:val="004C7D69"/>
    <w:rsid w:val="004C7D70"/>
    <w:rsid w:val="004C7D9B"/>
    <w:rsid w:val="004C7DEF"/>
    <w:rsid w:val="004C7E06"/>
    <w:rsid w:val="004C7E41"/>
    <w:rsid w:val="004C7E50"/>
    <w:rsid w:val="004C7E57"/>
    <w:rsid w:val="004C7E89"/>
    <w:rsid w:val="004C7ED4"/>
    <w:rsid w:val="004C7F26"/>
    <w:rsid w:val="004C7F27"/>
    <w:rsid w:val="004C7F89"/>
    <w:rsid w:val="004C7F8F"/>
    <w:rsid w:val="004C7FC2"/>
    <w:rsid w:val="004C7FD5"/>
    <w:rsid w:val="004C7FED"/>
    <w:rsid w:val="004D00A0"/>
    <w:rsid w:val="004D00C5"/>
    <w:rsid w:val="004D0141"/>
    <w:rsid w:val="004D0165"/>
    <w:rsid w:val="004D01BD"/>
    <w:rsid w:val="004D01E8"/>
    <w:rsid w:val="004D01FE"/>
    <w:rsid w:val="004D0232"/>
    <w:rsid w:val="004D0249"/>
    <w:rsid w:val="004D0318"/>
    <w:rsid w:val="004D0344"/>
    <w:rsid w:val="004D03E7"/>
    <w:rsid w:val="004D03F6"/>
    <w:rsid w:val="004D0495"/>
    <w:rsid w:val="004D04D1"/>
    <w:rsid w:val="004D051D"/>
    <w:rsid w:val="004D0523"/>
    <w:rsid w:val="004D0573"/>
    <w:rsid w:val="004D0638"/>
    <w:rsid w:val="004D0663"/>
    <w:rsid w:val="004D06AB"/>
    <w:rsid w:val="004D06D0"/>
    <w:rsid w:val="004D082F"/>
    <w:rsid w:val="004D08D1"/>
    <w:rsid w:val="004D0931"/>
    <w:rsid w:val="004D0945"/>
    <w:rsid w:val="004D099E"/>
    <w:rsid w:val="004D09D6"/>
    <w:rsid w:val="004D0AB5"/>
    <w:rsid w:val="004D0B87"/>
    <w:rsid w:val="004D0BDA"/>
    <w:rsid w:val="004D0BF7"/>
    <w:rsid w:val="004D0C35"/>
    <w:rsid w:val="004D0C3F"/>
    <w:rsid w:val="004D0CEA"/>
    <w:rsid w:val="004D0D04"/>
    <w:rsid w:val="004D0D07"/>
    <w:rsid w:val="004D0D1C"/>
    <w:rsid w:val="004D0D87"/>
    <w:rsid w:val="004D0D8B"/>
    <w:rsid w:val="004D0DC4"/>
    <w:rsid w:val="004D0DD6"/>
    <w:rsid w:val="004D0DED"/>
    <w:rsid w:val="004D0EA6"/>
    <w:rsid w:val="004D0F42"/>
    <w:rsid w:val="004D0F4D"/>
    <w:rsid w:val="004D103C"/>
    <w:rsid w:val="004D10C5"/>
    <w:rsid w:val="004D10CC"/>
    <w:rsid w:val="004D10EE"/>
    <w:rsid w:val="004D110B"/>
    <w:rsid w:val="004D1169"/>
    <w:rsid w:val="004D116E"/>
    <w:rsid w:val="004D1171"/>
    <w:rsid w:val="004D11C5"/>
    <w:rsid w:val="004D1253"/>
    <w:rsid w:val="004D1256"/>
    <w:rsid w:val="004D126A"/>
    <w:rsid w:val="004D1292"/>
    <w:rsid w:val="004D12B1"/>
    <w:rsid w:val="004D12F5"/>
    <w:rsid w:val="004D1348"/>
    <w:rsid w:val="004D1396"/>
    <w:rsid w:val="004D13C7"/>
    <w:rsid w:val="004D14E9"/>
    <w:rsid w:val="004D152D"/>
    <w:rsid w:val="004D1588"/>
    <w:rsid w:val="004D15E8"/>
    <w:rsid w:val="004D15FF"/>
    <w:rsid w:val="004D164D"/>
    <w:rsid w:val="004D166A"/>
    <w:rsid w:val="004D181E"/>
    <w:rsid w:val="004D1840"/>
    <w:rsid w:val="004D1875"/>
    <w:rsid w:val="004D18AD"/>
    <w:rsid w:val="004D1925"/>
    <w:rsid w:val="004D1933"/>
    <w:rsid w:val="004D19CB"/>
    <w:rsid w:val="004D1A44"/>
    <w:rsid w:val="004D1A70"/>
    <w:rsid w:val="004D1A73"/>
    <w:rsid w:val="004D1A96"/>
    <w:rsid w:val="004D1ABB"/>
    <w:rsid w:val="004D1AD4"/>
    <w:rsid w:val="004D1B5B"/>
    <w:rsid w:val="004D1B6D"/>
    <w:rsid w:val="004D1B7B"/>
    <w:rsid w:val="004D1BC1"/>
    <w:rsid w:val="004D1C93"/>
    <w:rsid w:val="004D1CA9"/>
    <w:rsid w:val="004D1CE9"/>
    <w:rsid w:val="004D1D97"/>
    <w:rsid w:val="004D1E1C"/>
    <w:rsid w:val="004D1F1A"/>
    <w:rsid w:val="004D1F27"/>
    <w:rsid w:val="004D1F96"/>
    <w:rsid w:val="004D206D"/>
    <w:rsid w:val="004D2077"/>
    <w:rsid w:val="004D2136"/>
    <w:rsid w:val="004D2196"/>
    <w:rsid w:val="004D21F9"/>
    <w:rsid w:val="004D2206"/>
    <w:rsid w:val="004D22C1"/>
    <w:rsid w:val="004D239D"/>
    <w:rsid w:val="004D23A3"/>
    <w:rsid w:val="004D23ED"/>
    <w:rsid w:val="004D2402"/>
    <w:rsid w:val="004D24CF"/>
    <w:rsid w:val="004D24E8"/>
    <w:rsid w:val="004D2512"/>
    <w:rsid w:val="004D255A"/>
    <w:rsid w:val="004D258F"/>
    <w:rsid w:val="004D2600"/>
    <w:rsid w:val="004D262A"/>
    <w:rsid w:val="004D262E"/>
    <w:rsid w:val="004D2665"/>
    <w:rsid w:val="004D267A"/>
    <w:rsid w:val="004D26A1"/>
    <w:rsid w:val="004D26BB"/>
    <w:rsid w:val="004D27D1"/>
    <w:rsid w:val="004D27F6"/>
    <w:rsid w:val="004D2801"/>
    <w:rsid w:val="004D297D"/>
    <w:rsid w:val="004D29B2"/>
    <w:rsid w:val="004D29CB"/>
    <w:rsid w:val="004D2A33"/>
    <w:rsid w:val="004D2ABA"/>
    <w:rsid w:val="004D2AE4"/>
    <w:rsid w:val="004D2BA1"/>
    <w:rsid w:val="004D2C44"/>
    <w:rsid w:val="004D2C91"/>
    <w:rsid w:val="004D2D0E"/>
    <w:rsid w:val="004D2D91"/>
    <w:rsid w:val="004D2DB2"/>
    <w:rsid w:val="004D2DC6"/>
    <w:rsid w:val="004D2DCA"/>
    <w:rsid w:val="004D2EED"/>
    <w:rsid w:val="004D2F07"/>
    <w:rsid w:val="004D2F81"/>
    <w:rsid w:val="004D2FFA"/>
    <w:rsid w:val="004D306C"/>
    <w:rsid w:val="004D30C7"/>
    <w:rsid w:val="004D3140"/>
    <w:rsid w:val="004D3222"/>
    <w:rsid w:val="004D3250"/>
    <w:rsid w:val="004D3276"/>
    <w:rsid w:val="004D32BE"/>
    <w:rsid w:val="004D3449"/>
    <w:rsid w:val="004D344B"/>
    <w:rsid w:val="004D3464"/>
    <w:rsid w:val="004D349B"/>
    <w:rsid w:val="004D349E"/>
    <w:rsid w:val="004D34AD"/>
    <w:rsid w:val="004D34E6"/>
    <w:rsid w:val="004D34F9"/>
    <w:rsid w:val="004D3518"/>
    <w:rsid w:val="004D351E"/>
    <w:rsid w:val="004D3525"/>
    <w:rsid w:val="004D3533"/>
    <w:rsid w:val="004D353C"/>
    <w:rsid w:val="004D3548"/>
    <w:rsid w:val="004D3603"/>
    <w:rsid w:val="004D3648"/>
    <w:rsid w:val="004D36E0"/>
    <w:rsid w:val="004D36F4"/>
    <w:rsid w:val="004D36F8"/>
    <w:rsid w:val="004D386E"/>
    <w:rsid w:val="004D3885"/>
    <w:rsid w:val="004D390A"/>
    <w:rsid w:val="004D3946"/>
    <w:rsid w:val="004D39CE"/>
    <w:rsid w:val="004D3B5F"/>
    <w:rsid w:val="004D3B70"/>
    <w:rsid w:val="004D3BE4"/>
    <w:rsid w:val="004D3C33"/>
    <w:rsid w:val="004D3D33"/>
    <w:rsid w:val="004D3D5F"/>
    <w:rsid w:val="004D3DBD"/>
    <w:rsid w:val="004D3DF3"/>
    <w:rsid w:val="004D3E2A"/>
    <w:rsid w:val="004D3E68"/>
    <w:rsid w:val="004D3F6F"/>
    <w:rsid w:val="004D3FEB"/>
    <w:rsid w:val="004D3FF4"/>
    <w:rsid w:val="004D4060"/>
    <w:rsid w:val="004D4068"/>
    <w:rsid w:val="004D407F"/>
    <w:rsid w:val="004D40C8"/>
    <w:rsid w:val="004D40EF"/>
    <w:rsid w:val="004D411B"/>
    <w:rsid w:val="004D4165"/>
    <w:rsid w:val="004D4178"/>
    <w:rsid w:val="004D42AC"/>
    <w:rsid w:val="004D4310"/>
    <w:rsid w:val="004D432F"/>
    <w:rsid w:val="004D4334"/>
    <w:rsid w:val="004D4347"/>
    <w:rsid w:val="004D436B"/>
    <w:rsid w:val="004D436C"/>
    <w:rsid w:val="004D43B0"/>
    <w:rsid w:val="004D4427"/>
    <w:rsid w:val="004D44B6"/>
    <w:rsid w:val="004D44EA"/>
    <w:rsid w:val="004D4535"/>
    <w:rsid w:val="004D4544"/>
    <w:rsid w:val="004D457E"/>
    <w:rsid w:val="004D459F"/>
    <w:rsid w:val="004D45AE"/>
    <w:rsid w:val="004D45D3"/>
    <w:rsid w:val="004D45E9"/>
    <w:rsid w:val="004D4608"/>
    <w:rsid w:val="004D4669"/>
    <w:rsid w:val="004D4681"/>
    <w:rsid w:val="004D46B7"/>
    <w:rsid w:val="004D4719"/>
    <w:rsid w:val="004D4765"/>
    <w:rsid w:val="004D47E5"/>
    <w:rsid w:val="004D487D"/>
    <w:rsid w:val="004D4931"/>
    <w:rsid w:val="004D4940"/>
    <w:rsid w:val="004D49B5"/>
    <w:rsid w:val="004D49F0"/>
    <w:rsid w:val="004D4A55"/>
    <w:rsid w:val="004D4A80"/>
    <w:rsid w:val="004D4ABB"/>
    <w:rsid w:val="004D4AD1"/>
    <w:rsid w:val="004D4B30"/>
    <w:rsid w:val="004D4BD1"/>
    <w:rsid w:val="004D4BE8"/>
    <w:rsid w:val="004D4D29"/>
    <w:rsid w:val="004D4DE4"/>
    <w:rsid w:val="004D4DF2"/>
    <w:rsid w:val="004D4EAA"/>
    <w:rsid w:val="004D4FE3"/>
    <w:rsid w:val="004D506F"/>
    <w:rsid w:val="004D50CA"/>
    <w:rsid w:val="004D51E6"/>
    <w:rsid w:val="004D52F3"/>
    <w:rsid w:val="004D532E"/>
    <w:rsid w:val="004D5427"/>
    <w:rsid w:val="004D5445"/>
    <w:rsid w:val="004D5462"/>
    <w:rsid w:val="004D548D"/>
    <w:rsid w:val="004D549F"/>
    <w:rsid w:val="004D552B"/>
    <w:rsid w:val="004D556E"/>
    <w:rsid w:val="004D5577"/>
    <w:rsid w:val="004D55FC"/>
    <w:rsid w:val="004D568E"/>
    <w:rsid w:val="004D569B"/>
    <w:rsid w:val="004D56FA"/>
    <w:rsid w:val="004D56FF"/>
    <w:rsid w:val="004D5711"/>
    <w:rsid w:val="004D5778"/>
    <w:rsid w:val="004D581B"/>
    <w:rsid w:val="004D5838"/>
    <w:rsid w:val="004D5842"/>
    <w:rsid w:val="004D58E9"/>
    <w:rsid w:val="004D59B9"/>
    <w:rsid w:val="004D59D9"/>
    <w:rsid w:val="004D5A32"/>
    <w:rsid w:val="004D5B02"/>
    <w:rsid w:val="004D5B39"/>
    <w:rsid w:val="004D5B90"/>
    <w:rsid w:val="004D5C02"/>
    <w:rsid w:val="004D5C03"/>
    <w:rsid w:val="004D5C1A"/>
    <w:rsid w:val="004D5CAA"/>
    <w:rsid w:val="004D5CAB"/>
    <w:rsid w:val="004D5CE3"/>
    <w:rsid w:val="004D5D3D"/>
    <w:rsid w:val="004D5D6B"/>
    <w:rsid w:val="004D5E21"/>
    <w:rsid w:val="004D5E50"/>
    <w:rsid w:val="004D5E62"/>
    <w:rsid w:val="004D5E6F"/>
    <w:rsid w:val="004D5F69"/>
    <w:rsid w:val="004D5FDA"/>
    <w:rsid w:val="004D606A"/>
    <w:rsid w:val="004D60F4"/>
    <w:rsid w:val="004D610E"/>
    <w:rsid w:val="004D6147"/>
    <w:rsid w:val="004D61A7"/>
    <w:rsid w:val="004D61E7"/>
    <w:rsid w:val="004D6234"/>
    <w:rsid w:val="004D6244"/>
    <w:rsid w:val="004D62A7"/>
    <w:rsid w:val="004D62B6"/>
    <w:rsid w:val="004D6301"/>
    <w:rsid w:val="004D6382"/>
    <w:rsid w:val="004D63CA"/>
    <w:rsid w:val="004D63F8"/>
    <w:rsid w:val="004D643A"/>
    <w:rsid w:val="004D6475"/>
    <w:rsid w:val="004D654B"/>
    <w:rsid w:val="004D6557"/>
    <w:rsid w:val="004D668A"/>
    <w:rsid w:val="004D66E6"/>
    <w:rsid w:val="004D6880"/>
    <w:rsid w:val="004D68C2"/>
    <w:rsid w:val="004D691D"/>
    <w:rsid w:val="004D692D"/>
    <w:rsid w:val="004D695B"/>
    <w:rsid w:val="004D69E4"/>
    <w:rsid w:val="004D6A72"/>
    <w:rsid w:val="004D6A77"/>
    <w:rsid w:val="004D6AFD"/>
    <w:rsid w:val="004D6B35"/>
    <w:rsid w:val="004D6D2B"/>
    <w:rsid w:val="004D6DD0"/>
    <w:rsid w:val="004D6DEA"/>
    <w:rsid w:val="004D6E09"/>
    <w:rsid w:val="004D6EB2"/>
    <w:rsid w:val="004D6EB3"/>
    <w:rsid w:val="004D6F13"/>
    <w:rsid w:val="004D6F9D"/>
    <w:rsid w:val="004D6FBF"/>
    <w:rsid w:val="004D6FED"/>
    <w:rsid w:val="004D6FFA"/>
    <w:rsid w:val="004D7022"/>
    <w:rsid w:val="004D702B"/>
    <w:rsid w:val="004D7037"/>
    <w:rsid w:val="004D7074"/>
    <w:rsid w:val="004D70C2"/>
    <w:rsid w:val="004D7229"/>
    <w:rsid w:val="004D7276"/>
    <w:rsid w:val="004D729B"/>
    <w:rsid w:val="004D72BC"/>
    <w:rsid w:val="004D72FE"/>
    <w:rsid w:val="004D7318"/>
    <w:rsid w:val="004D733C"/>
    <w:rsid w:val="004D739B"/>
    <w:rsid w:val="004D742B"/>
    <w:rsid w:val="004D744B"/>
    <w:rsid w:val="004D7464"/>
    <w:rsid w:val="004D7490"/>
    <w:rsid w:val="004D7498"/>
    <w:rsid w:val="004D74FF"/>
    <w:rsid w:val="004D75B0"/>
    <w:rsid w:val="004D75CF"/>
    <w:rsid w:val="004D7651"/>
    <w:rsid w:val="004D7665"/>
    <w:rsid w:val="004D773F"/>
    <w:rsid w:val="004D7760"/>
    <w:rsid w:val="004D777D"/>
    <w:rsid w:val="004D777E"/>
    <w:rsid w:val="004D7892"/>
    <w:rsid w:val="004D78B1"/>
    <w:rsid w:val="004D78ED"/>
    <w:rsid w:val="004D78F0"/>
    <w:rsid w:val="004D7916"/>
    <w:rsid w:val="004D7A4C"/>
    <w:rsid w:val="004D7A5F"/>
    <w:rsid w:val="004D7A71"/>
    <w:rsid w:val="004D7A89"/>
    <w:rsid w:val="004D7A8D"/>
    <w:rsid w:val="004D7A90"/>
    <w:rsid w:val="004D7B46"/>
    <w:rsid w:val="004D7B4A"/>
    <w:rsid w:val="004D7BD1"/>
    <w:rsid w:val="004D7C7B"/>
    <w:rsid w:val="004D7CBE"/>
    <w:rsid w:val="004D7CCC"/>
    <w:rsid w:val="004D7D3D"/>
    <w:rsid w:val="004D7D81"/>
    <w:rsid w:val="004D7DDF"/>
    <w:rsid w:val="004D7DFB"/>
    <w:rsid w:val="004D7E08"/>
    <w:rsid w:val="004D7E86"/>
    <w:rsid w:val="004D7EEC"/>
    <w:rsid w:val="004D7F03"/>
    <w:rsid w:val="004D7F1E"/>
    <w:rsid w:val="004D7F6C"/>
    <w:rsid w:val="004E013F"/>
    <w:rsid w:val="004E016A"/>
    <w:rsid w:val="004E018A"/>
    <w:rsid w:val="004E01CD"/>
    <w:rsid w:val="004E0213"/>
    <w:rsid w:val="004E0271"/>
    <w:rsid w:val="004E0381"/>
    <w:rsid w:val="004E0393"/>
    <w:rsid w:val="004E03D6"/>
    <w:rsid w:val="004E03EF"/>
    <w:rsid w:val="004E0404"/>
    <w:rsid w:val="004E0415"/>
    <w:rsid w:val="004E0456"/>
    <w:rsid w:val="004E0483"/>
    <w:rsid w:val="004E048A"/>
    <w:rsid w:val="004E04A4"/>
    <w:rsid w:val="004E0537"/>
    <w:rsid w:val="004E05AA"/>
    <w:rsid w:val="004E05D6"/>
    <w:rsid w:val="004E0625"/>
    <w:rsid w:val="004E064D"/>
    <w:rsid w:val="004E06A5"/>
    <w:rsid w:val="004E06A9"/>
    <w:rsid w:val="004E0704"/>
    <w:rsid w:val="004E0714"/>
    <w:rsid w:val="004E075F"/>
    <w:rsid w:val="004E078D"/>
    <w:rsid w:val="004E07CE"/>
    <w:rsid w:val="004E0815"/>
    <w:rsid w:val="004E089E"/>
    <w:rsid w:val="004E092F"/>
    <w:rsid w:val="004E0936"/>
    <w:rsid w:val="004E095A"/>
    <w:rsid w:val="004E096B"/>
    <w:rsid w:val="004E09B3"/>
    <w:rsid w:val="004E09C6"/>
    <w:rsid w:val="004E09D3"/>
    <w:rsid w:val="004E09DB"/>
    <w:rsid w:val="004E09E0"/>
    <w:rsid w:val="004E09FF"/>
    <w:rsid w:val="004E0A27"/>
    <w:rsid w:val="004E0A29"/>
    <w:rsid w:val="004E0B19"/>
    <w:rsid w:val="004E0B4D"/>
    <w:rsid w:val="004E0BD3"/>
    <w:rsid w:val="004E0BEB"/>
    <w:rsid w:val="004E0CD6"/>
    <w:rsid w:val="004E0D08"/>
    <w:rsid w:val="004E0D26"/>
    <w:rsid w:val="004E0D34"/>
    <w:rsid w:val="004E0DD4"/>
    <w:rsid w:val="004E0E5A"/>
    <w:rsid w:val="004E0E66"/>
    <w:rsid w:val="004E0E6B"/>
    <w:rsid w:val="004E0F10"/>
    <w:rsid w:val="004E0F2B"/>
    <w:rsid w:val="004E0F72"/>
    <w:rsid w:val="004E10AC"/>
    <w:rsid w:val="004E10BE"/>
    <w:rsid w:val="004E111D"/>
    <w:rsid w:val="004E114B"/>
    <w:rsid w:val="004E114C"/>
    <w:rsid w:val="004E116C"/>
    <w:rsid w:val="004E11C5"/>
    <w:rsid w:val="004E1237"/>
    <w:rsid w:val="004E125E"/>
    <w:rsid w:val="004E12F1"/>
    <w:rsid w:val="004E12F5"/>
    <w:rsid w:val="004E1386"/>
    <w:rsid w:val="004E13BC"/>
    <w:rsid w:val="004E142A"/>
    <w:rsid w:val="004E1477"/>
    <w:rsid w:val="004E148D"/>
    <w:rsid w:val="004E14AC"/>
    <w:rsid w:val="004E152A"/>
    <w:rsid w:val="004E15B8"/>
    <w:rsid w:val="004E160E"/>
    <w:rsid w:val="004E164A"/>
    <w:rsid w:val="004E1674"/>
    <w:rsid w:val="004E16D9"/>
    <w:rsid w:val="004E17F2"/>
    <w:rsid w:val="004E184C"/>
    <w:rsid w:val="004E18A5"/>
    <w:rsid w:val="004E1947"/>
    <w:rsid w:val="004E19D5"/>
    <w:rsid w:val="004E1A41"/>
    <w:rsid w:val="004E1B71"/>
    <w:rsid w:val="004E1BAF"/>
    <w:rsid w:val="004E1BD0"/>
    <w:rsid w:val="004E1BDB"/>
    <w:rsid w:val="004E1BEA"/>
    <w:rsid w:val="004E1BF9"/>
    <w:rsid w:val="004E1C2F"/>
    <w:rsid w:val="004E1C41"/>
    <w:rsid w:val="004E1C6B"/>
    <w:rsid w:val="004E1CCB"/>
    <w:rsid w:val="004E1D30"/>
    <w:rsid w:val="004E1DB5"/>
    <w:rsid w:val="004E1E2F"/>
    <w:rsid w:val="004E1EA0"/>
    <w:rsid w:val="004E1F23"/>
    <w:rsid w:val="004E1F36"/>
    <w:rsid w:val="004E1F3A"/>
    <w:rsid w:val="004E1FC3"/>
    <w:rsid w:val="004E1FC9"/>
    <w:rsid w:val="004E20E4"/>
    <w:rsid w:val="004E2109"/>
    <w:rsid w:val="004E215F"/>
    <w:rsid w:val="004E2184"/>
    <w:rsid w:val="004E2199"/>
    <w:rsid w:val="004E21EC"/>
    <w:rsid w:val="004E2206"/>
    <w:rsid w:val="004E220A"/>
    <w:rsid w:val="004E2219"/>
    <w:rsid w:val="004E224B"/>
    <w:rsid w:val="004E22B7"/>
    <w:rsid w:val="004E23C4"/>
    <w:rsid w:val="004E23DD"/>
    <w:rsid w:val="004E2434"/>
    <w:rsid w:val="004E243D"/>
    <w:rsid w:val="004E2446"/>
    <w:rsid w:val="004E24FD"/>
    <w:rsid w:val="004E2599"/>
    <w:rsid w:val="004E25D6"/>
    <w:rsid w:val="004E264B"/>
    <w:rsid w:val="004E268A"/>
    <w:rsid w:val="004E26CB"/>
    <w:rsid w:val="004E2702"/>
    <w:rsid w:val="004E2716"/>
    <w:rsid w:val="004E2718"/>
    <w:rsid w:val="004E2722"/>
    <w:rsid w:val="004E28A0"/>
    <w:rsid w:val="004E28D2"/>
    <w:rsid w:val="004E28E3"/>
    <w:rsid w:val="004E2903"/>
    <w:rsid w:val="004E2922"/>
    <w:rsid w:val="004E29C6"/>
    <w:rsid w:val="004E2A9B"/>
    <w:rsid w:val="004E2B7B"/>
    <w:rsid w:val="004E2C3B"/>
    <w:rsid w:val="004E2C3F"/>
    <w:rsid w:val="004E2C62"/>
    <w:rsid w:val="004E2C69"/>
    <w:rsid w:val="004E2C8F"/>
    <w:rsid w:val="004E2CAC"/>
    <w:rsid w:val="004E2DCE"/>
    <w:rsid w:val="004E2DF3"/>
    <w:rsid w:val="004E2E0F"/>
    <w:rsid w:val="004E2E21"/>
    <w:rsid w:val="004E2E5F"/>
    <w:rsid w:val="004E2E98"/>
    <w:rsid w:val="004E2F42"/>
    <w:rsid w:val="004E2F43"/>
    <w:rsid w:val="004E2FAD"/>
    <w:rsid w:val="004E2FCF"/>
    <w:rsid w:val="004E3066"/>
    <w:rsid w:val="004E30A3"/>
    <w:rsid w:val="004E30FE"/>
    <w:rsid w:val="004E3127"/>
    <w:rsid w:val="004E312E"/>
    <w:rsid w:val="004E32F5"/>
    <w:rsid w:val="004E33FD"/>
    <w:rsid w:val="004E3487"/>
    <w:rsid w:val="004E34CA"/>
    <w:rsid w:val="004E34ED"/>
    <w:rsid w:val="004E35E9"/>
    <w:rsid w:val="004E3605"/>
    <w:rsid w:val="004E362D"/>
    <w:rsid w:val="004E3670"/>
    <w:rsid w:val="004E36A1"/>
    <w:rsid w:val="004E3789"/>
    <w:rsid w:val="004E379D"/>
    <w:rsid w:val="004E37C7"/>
    <w:rsid w:val="004E37D4"/>
    <w:rsid w:val="004E37E2"/>
    <w:rsid w:val="004E3891"/>
    <w:rsid w:val="004E3921"/>
    <w:rsid w:val="004E39A9"/>
    <w:rsid w:val="004E39CE"/>
    <w:rsid w:val="004E3A30"/>
    <w:rsid w:val="004E3A4D"/>
    <w:rsid w:val="004E3A97"/>
    <w:rsid w:val="004E3AA7"/>
    <w:rsid w:val="004E3B30"/>
    <w:rsid w:val="004E3B39"/>
    <w:rsid w:val="004E3B90"/>
    <w:rsid w:val="004E3C02"/>
    <w:rsid w:val="004E3D53"/>
    <w:rsid w:val="004E3E03"/>
    <w:rsid w:val="004E3E24"/>
    <w:rsid w:val="004E3E31"/>
    <w:rsid w:val="004E3E42"/>
    <w:rsid w:val="004E3F17"/>
    <w:rsid w:val="004E3F38"/>
    <w:rsid w:val="004E3FC8"/>
    <w:rsid w:val="004E3FD9"/>
    <w:rsid w:val="004E4027"/>
    <w:rsid w:val="004E4041"/>
    <w:rsid w:val="004E41A6"/>
    <w:rsid w:val="004E421A"/>
    <w:rsid w:val="004E4289"/>
    <w:rsid w:val="004E42B6"/>
    <w:rsid w:val="004E42EB"/>
    <w:rsid w:val="004E4387"/>
    <w:rsid w:val="004E43B0"/>
    <w:rsid w:val="004E4417"/>
    <w:rsid w:val="004E4458"/>
    <w:rsid w:val="004E44D6"/>
    <w:rsid w:val="004E4514"/>
    <w:rsid w:val="004E4623"/>
    <w:rsid w:val="004E463A"/>
    <w:rsid w:val="004E4657"/>
    <w:rsid w:val="004E46C7"/>
    <w:rsid w:val="004E46EC"/>
    <w:rsid w:val="004E4710"/>
    <w:rsid w:val="004E4718"/>
    <w:rsid w:val="004E4728"/>
    <w:rsid w:val="004E47EA"/>
    <w:rsid w:val="004E4810"/>
    <w:rsid w:val="004E48FC"/>
    <w:rsid w:val="004E496B"/>
    <w:rsid w:val="004E4A2A"/>
    <w:rsid w:val="004E4A9C"/>
    <w:rsid w:val="004E4B20"/>
    <w:rsid w:val="004E4B2D"/>
    <w:rsid w:val="004E4B35"/>
    <w:rsid w:val="004E4B4E"/>
    <w:rsid w:val="004E4B8D"/>
    <w:rsid w:val="004E4BF7"/>
    <w:rsid w:val="004E4C7A"/>
    <w:rsid w:val="004E4CC8"/>
    <w:rsid w:val="004E4DF9"/>
    <w:rsid w:val="004E4E1A"/>
    <w:rsid w:val="004E4E5C"/>
    <w:rsid w:val="004E4E66"/>
    <w:rsid w:val="004E4E8E"/>
    <w:rsid w:val="004E4E99"/>
    <w:rsid w:val="004E4EAE"/>
    <w:rsid w:val="004E4EC6"/>
    <w:rsid w:val="004E4ECB"/>
    <w:rsid w:val="004E4EFF"/>
    <w:rsid w:val="004E4F05"/>
    <w:rsid w:val="004E4FC7"/>
    <w:rsid w:val="004E5002"/>
    <w:rsid w:val="004E5095"/>
    <w:rsid w:val="004E5116"/>
    <w:rsid w:val="004E511C"/>
    <w:rsid w:val="004E513F"/>
    <w:rsid w:val="004E51E8"/>
    <w:rsid w:val="004E5219"/>
    <w:rsid w:val="004E52AE"/>
    <w:rsid w:val="004E52EA"/>
    <w:rsid w:val="004E53B7"/>
    <w:rsid w:val="004E5435"/>
    <w:rsid w:val="004E54D1"/>
    <w:rsid w:val="004E5574"/>
    <w:rsid w:val="004E557C"/>
    <w:rsid w:val="004E5619"/>
    <w:rsid w:val="004E565A"/>
    <w:rsid w:val="004E5678"/>
    <w:rsid w:val="004E5760"/>
    <w:rsid w:val="004E57AF"/>
    <w:rsid w:val="004E57D2"/>
    <w:rsid w:val="004E5867"/>
    <w:rsid w:val="004E591A"/>
    <w:rsid w:val="004E597B"/>
    <w:rsid w:val="004E5A1D"/>
    <w:rsid w:val="004E5A2F"/>
    <w:rsid w:val="004E5A5B"/>
    <w:rsid w:val="004E5A62"/>
    <w:rsid w:val="004E5A9E"/>
    <w:rsid w:val="004E5AF6"/>
    <w:rsid w:val="004E5B40"/>
    <w:rsid w:val="004E5B53"/>
    <w:rsid w:val="004E5B70"/>
    <w:rsid w:val="004E5BC4"/>
    <w:rsid w:val="004E5BF9"/>
    <w:rsid w:val="004E5C3C"/>
    <w:rsid w:val="004E5C5E"/>
    <w:rsid w:val="004E5C77"/>
    <w:rsid w:val="004E5CA3"/>
    <w:rsid w:val="004E5CAB"/>
    <w:rsid w:val="004E5CB5"/>
    <w:rsid w:val="004E5CC2"/>
    <w:rsid w:val="004E5D0A"/>
    <w:rsid w:val="004E5DAA"/>
    <w:rsid w:val="004E5DC7"/>
    <w:rsid w:val="004E5E2F"/>
    <w:rsid w:val="004E5E96"/>
    <w:rsid w:val="004E5EA2"/>
    <w:rsid w:val="004E5EAF"/>
    <w:rsid w:val="004E5FF0"/>
    <w:rsid w:val="004E605B"/>
    <w:rsid w:val="004E607C"/>
    <w:rsid w:val="004E60A4"/>
    <w:rsid w:val="004E60AA"/>
    <w:rsid w:val="004E60CA"/>
    <w:rsid w:val="004E611B"/>
    <w:rsid w:val="004E61B6"/>
    <w:rsid w:val="004E621B"/>
    <w:rsid w:val="004E6246"/>
    <w:rsid w:val="004E6256"/>
    <w:rsid w:val="004E62AA"/>
    <w:rsid w:val="004E62B8"/>
    <w:rsid w:val="004E6495"/>
    <w:rsid w:val="004E64CC"/>
    <w:rsid w:val="004E64D0"/>
    <w:rsid w:val="004E6591"/>
    <w:rsid w:val="004E65F2"/>
    <w:rsid w:val="004E65FC"/>
    <w:rsid w:val="004E6639"/>
    <w:rsid w:val="004E663D"/>
    <w:rsid w:val="004E665A"/>
    <w:rsid w:val="004E6680"/>
    <w:rsid w:val="004E6686"/>
    <w:rsid w:val="004E66DC"/>
    <w:rsid w:val="004E66E0"/>
    <w:rsid w:val="004E670C"/>
    <w:rsid w:val="004E676A"/>
    <w:rsid w:val="004E6771"/>
    <w:rsid w:val="004E6774"/>
    <w:rsid w:val="004E679F"/>
    <w:rsid w:val="004E67AF"/>
    <w:rsid w:val="004E67CD"/>
    <w:rsid w:val="004E67D6"/>
    <w:rsid w:val="004E681B"/>
    <w:rsid w:val="004E6884"/>
    <w:rsid w:val="004E68C9"/>
    <w:rsid w:val="004E68DF"/>
    <w:rsid w:val="004E6989"/>
    <w:rsid w:val="004E6A14"/>
    <w:rsid w:val="004E6A43"/>
    <w:rsid w:val="004E6B50"/>
    <w:rsid w:val="004E6B96"/>
    <w:rsid w:val="004E6BF9"/>
    <w:rsid w:val="004E6C4F"/>
    <w:rsid w:val="004E6CA4"/>
    <w:rsid w:val="004E6CFD"/>
    <w:rsid w:val="004E6CFE"/>
    <w:rsid w:val="004E6E4F"/>
    <w:rsid w:val="004E6E66"/>
    <w:rsid w:val="004E6E83"/>
    <w:rsid w:val="004E6EAC"/>
    <w:rsid w:val="004E6EC5"/>
    <w:rsid w:val="004E6ED5"/>
    <w:rsid w:val="004E6EEF"/>
    <w:rsid w:val="004E6F05"/>
    <w:rsid w:val="004E6F0C"/>
    <w:rsid w:val="004E6FCD"/>
    <w:rsid w:val="004E6FD0"/>
    <w:rsid w:val="004E703C"/>
    <w:rsid w:val="004E7132"/>
    <w:rsid w:val="004E71B0"/>
    <w:rsid w:val="004E7213"/>
    <w:rsid w:val="004E7225"/>
    <w:rsid w:val="004E7255"/>
    <w:rsid w:val="004E72C3"/>
    <w:rsid w:val="004E72C9"/>
    <w:rsid w:val="004E7303"/>
    <w:rsid w:val="004E73DE"/>
    <w:rsid w:val="004E7489"/>
    <w:rsid w:val="004E74A0"/>
    <w:rsid w:val="004E7625"/>
    <w:rsid w:val="004E76E9"/>
    <w:rsid w:val="004E7713"/>
    <w:rsid w:val="004E777F"/>
    <w:rsid w:val="004E7836"/>
    <w:rsid w:val="004E7839"/>
    <w:rsid w:val="004E787B"/>
    <w:rsid w:val="004E796C"/>
    <w:rsid w:val="004E79A0"/>
    <w:rsid w:val="004E79A8"/>
    <w:rsid w:val="004E7A85"/>
    <w:rsid w:val="004E7AB1"/>
    <w:rsid w:val="004E7ADF"/>
    <w:rsid w:val="004E7B26"/>
    <w:rsid w:val="004E7B57"/>
    <w:rsid w:val="004E7B82"/>
    <w:rsid w:val="004E7BE2"/>
    <w:rsid w:val="004E7BE5"/>
    <w:rsid w:val="004E7C33"/>
    <w:rsid w:val="004E7C42"/>
    <w:rsid w:val="004E7C55"/>
    <w:rsid w:val="004E7D40"/>
    <w:rsid w:val="004E7D6E"/>
    <w:rsid w:val="004E7DF0"/>
    <w:rsid w:val="004E7DF8"/>
    <w:rsid w:val="004E7E7E"/>
    <w:rsid w:val="004E7F4F"/>
    <w:rsid w:val="004E7FCF"/>
    <w:rsid w:val="004E7FE9"/>
    <w:rsid w:val="004F0014"/>
    <w:rsid w:val="004F0038"/>
    <w:rsid w:val="004F0040"/>
    <w:rsid w:val="004F0058"/>
    <w:rsid w:val="004F010B"/>
    <w:rsid w:val="004F0280"/>
    <w:rsid w:val="004F028A"/>
    <w:rsid w:val="004F0348"/>
    <w:rsid w:val="004F0366"/>
    <w:rsid w:val="004F037C"/>
    <w:rsid w:val="004F03D5"/>
    <w:rsid w:val="004F04A7"/>
    <w:rsid w:val="004F04D9"/>
    <w:rsid w:val="004F0597"/>
    <w:rsid w:val="004F0607"/>
    <w:rsid w:val="004F0609"/>
    <w:rsid w:val="004F069B"/>
    <w:rsid w:val="004F0711"/>
    <w:rsid w:val="004F0762"/>
    <w:rsid w:val="004F0888"/>
    <w:rsid w:val="004F0918"/>
    <w:rsid w:val="004F09B0"/>
    <w:rsid w:val="004F09BF"/>
    <w:rsid w:val="004F09EC"/>
    <w:rsid w:val="004F0A1B"/>
    <w:rsid w:val="004F0A23"/>
    <w:rsid w:val="004F0A72"/>
    <w:rsid w:val="004F0A90"/>
    <w:rsid w:val="004F0BD9"/>
    <w:rsid w:val="004F0C02"/>
    <w:rsid w:val="004F0CBB"/>
    <w:rsid w:val="004F0CEC"/>
    <w:rsid w:val="004F0D3B"/>
    <w:rsid w:val="004F0D83"/>
    <w:rsid w:val="004F0DC0"/>
    <w:rsid w:val="004F0E0C"/>
    <w:rsid w:val="004F0E57"/>
    <w:rsid w:val="004F0E86"/>
    <w:rsid w:val="004F0EC4"/>
    <w:rsid w:val="004F0EE7"/>
    <w:rsid w:val="004F0F03"/>
    <w:rsid w:val="004F0F1A"/>
    <w:rsid w:val="004F0F6E"/>
    <w:rsid w:val="004F0F90"/>
    <w:rsid w:val="004F0FC4"/>
    <w:rsid w:val="004F1033"/>
    <w:rsid w:val="004F1039"/>
    <w:rsid w:val="004F10F8"/>
    <w:rsid w:val="004F1164"/>
    <w:rsid w:val="004F12D3"/>
    <w:rsid w:val="004F1351"/>
    <w:rsid w:val="004F13B5"/>
    <w:rsid w:val="004F148E"/>
    <w:rsid w:val="004F14F6"/>
    <w:rsid w:val="004F1552"/>
    <w:rsid w:val="004F1581"/>
    <w:rsid w:val="004F1591"/>
    <w:rsid w:val="004F15B9"/>
    <w:rsid w:val="004F15C8"/>
    <w:rsid w:val="004F15E8"/>
    <w:rsid w:val="004F1607"/>
    <w:rsid w:val="004F1628"/>
    <w:rsid w:val="004F1674"/>
    <w:rsid w:val="004F189C"/>
    <w:rsid w:val="004F18DF"/>
    <w:rsid w:val="004F1977"/>
    <w:rsid w:val="004F1A79"/>
    <w:rsid w:val="004F1B04"/>
    <w:rsid w:val="004F1C60"/>
    <w:rsid w:val="004F1C6C"/>
    <w:rsid w:val="004F1D5D"/>
    <w:rsid w:val="004F1DDB"/>
    <w:rsid w:val="004F1E52"/>
    <w:rsid w:val="004F1E86"/>
    <w:rsid w:val="004F1EB4"/>
    <w:rsid w:val="004F1EEA"/>
    <w:rsid w:val="004F1F0C"/>
    <w:rsid w:val="004F1F69"/>
    <w:rsid w:val="004F1FDB"/>
    <w:rsid w:val="004F1FF3"/>
    <w:rsid w:val="004F2038"/>
    <w:rsid w:val="004F2056"/>
    <w:rsid w:val="004F20BB"/>
    <w:rsid w:val="004F20C2"/>
    <w:rsid w:val="004F2171"/>
    <w:rsid w:val="004F2187"/>
    <w:rsid w:val="004F21B9"/>
    <w:rsid w:val="004F21C0"/>
    <w:rsid w:val="004F21D4"/>
    <w:rsid w:val="004F221D"/>
    <w:rsid w:val="004F228D"/>
    <w:rsid w:val="004F22A4"/>
    <w:rsid w:val="004F22B0"/>
    <w:rsid w:val="004F22C9"/>
    <w:rsid w:val="004F22F1"/>
    <w:rsid w:val="004F2398"/>
    <w:rsid w:val="004F256C"/>
    <w:rsid w:val="004F2598"/>
    <w:rsid w:val="004F25C5"/>
    <w:rsid w:val="004F2612"/>
    <w:rsid w:val="004F265A"/>
    <w:rsid w:val="004F26CB"/>
    <w:rsid w:val="004F270D"/>
    <w:rsid w:val="004F2731"/>
    <w:rsid w:val="004F2785"/>
    <w:rsid w:val="004F27BC"/>
    <w:rsid w:val="004F284E"/>
    <w:rsid w:val="004F2851"/>
    <w:rsid w:val="004F28B1"/>
    <w:rsid w:val="004F28B8"/>
    <w:rsid w:val="004F28CF"/>
    <w:rsid w:val="004F293E"/>
    <w:rsid w:val="004F2957"/>
    <w:rsid w:val="004F2975"/>
    <w:rsid w:val="004F2A2D"/>
    <w:rsid w:val="004F2A6D"/>
    <w:rsid w:val="004F2A7D"/>
    <w:rsid w:val="004F2A85"/>
    <w:rsid w:val="004F2AAD"/>
    <w:rsid w:val="004F2B0D"/>
    <w:rsid w:val="004F2B3F"/>
    <w:rsid w:val="004F2B7C"/>
    <w:rsid w:val="004F2B96"/>
    <w:rsid w:val="004F2BF3"/>
    <w:rsid w:val="004F2C23"/>
    <w:rsid w:val="004F2CB1"/>
    <w:rsid w:val="004F2CBB"/>
    <w:rsid w:val="004F2DA7"/>
    <w:rsid w:val="004F2E8D"/>
    <w:rsid w:val="004F2F04"/>
    <w:rsid w:val="004F2F05"/>
    <w:rsid w:val="004F2F78"/>
    <w:rsid w:val="004F2F90"/>
    <w:rsid w:val="004F2FA4"/>
    <w:rsid w:val="004F2FAF"/>
    <w:rsid w:val="004F2FD6"/>
    <w:rsid w:val="004F2FDE"/>
    <w:rsid w:val="004F302C"/>
    <w:rsid w:val="004F3092"/>
    <w:rsid w:val="004F30C6"/>
    <w:rsid w:val="004F311C"/>
    <w:rsid w:val="004F313C"/>
    <w:rsid w:val="004F3167"/>
    <w:rsid w:val="004F3168"/>
    <w:rsid w:val="004F31A3"/>
    <w:rsid w:val="004F31DC"/>
    <w:rsid w:val="004F31E1"/>
    <w:rsid w:val="004F3200"/>
    <w:rsid w:val="004F3201"/>
    <w:rsid w:val="004F3289"/>
    <w:rsid w:val="004F32E2"/>
    <w:rsid w:val="004F3331"/>
    <w:rsid w:val="004F3355"/>
    <w:rsid w:val="004F33B9"/>
    <w:rsid w:val="004F3453"/>
    <w:rsid w:val="004F34AA"/>
    <w:rsid w:val="004F3528"/>
    <w:rsid w:val="004F3535"/>
    <w:rsid w:val="004F3544"/>
    <w:rsid w:val="004F35DA"/>
    <w:rsid w:val="004F35DE"/>
    <w:rsid w:val="004F3686"/>
    <w:rsid w:val="004F36A2"/>
    <w:rsid w:val="004F36CD"/>
    <w:rsid w:val="004F36D8"/>
    <w:rsid w:val="004F36F2"/>
    <w:rsid w:val="004F3719"/>
    <w:rsid w:val="004F371F"/>
    <w:rsid w:val="004F3737"/>
    <w:rsid w:val="004F3783"/>
    <w:rsid w:val="004F37C2"/>
    <w:rsid w:val="004F38A2"/>
    <w:rsid w:val="004F3935"/>
    <w:rsid w:val="004F394A"/>
    <w:rsid w:val="004F396A"/>
    <w:rsid w:val="004F3989"/>
    <w:rsid w:val="004F39C9"/>
    <w:rsid w:val="004F39DD"/>
    <w:rsid w:val="004F39EC"/>
    <w:rsid w:val="004F39F2"/>
    <w:rsid w:val="004F3A72"/>
    <w:rsid w:val="004F3AB1"/>
    <w:rsid w:val="004F3B31"/>
    <w:rsid w:val="004F3BEF"/>
    <w:rsid w:val="004F3C10"/>
    <w:rsid w:val="004F3C27"/>
    <w:rsid w:val="004F3C62"/>
    <w:rsid w:val="004F3C65"/>
    <w:rsid w:val="004F3CC0"/>
    <w:rsid w:val="004F3D3B"/>
    <w:rsid w:val="004F3D56"/>
    <w:rsid w:val="004F3D6B"/>
    <w:rsid w:val="004F3DC1"/>
    <w:rsid w:val="004F3E27"/>
    <w:rsid w:val="004F3EB9"/>
    <w:rsid w:val="004F3ECB"/>
    <w:rsid w:val="004F3EF1"/>
    <w:rsid w:val="004F3F04"/>
    <w:rsid w:val="004F3F40"/>
    <w:rsid w:val="004F3F42"/>
    <w:rsid w:val="004F3FD3"/>
    <w:rsid w:val="004F4001"/>
    <w:rsid w:val="004F4026"/>
    <w:rsid w:val="004F4032"/>
    <w:rsid w:val="004F4085"/>
    <w:rsid w:val="004F409F"/>
    <w:rsid w:val="004F40A6"/>
    <w:rsid w:val="004F40FC"/>
    <w:rsid w:val="004F4102"/>
    <w:rsid w:val="004F41A6"/>
    <w:rsid w:val="004F41F2"/>
    <w:rsid w:val="004F42BC"/>
    <w:rsid w:val="004F4300"/>
    <w:rsid w:val="004F43E0"/>
    <w:rsid w:val="004F4405"/>
    <w:rsid w:val="004F4522"/>
    <w:rsid w:val="004F45C5"/>
    <w:rsid w:val="004F463D"/>
    <w:rsid w:val="004F465B"/>
    <w:rsid w:val="004F4687"/>
    <w:rsid w:val="004F46F1"/>
    <w:rsid w:val="004F473F"/>
    <w:rsid w:val="004F47AB"/>
    <w:rsid w:val="004F47F9"/>
    <w:rsid w:val="004F4804"/>
    <w:rsid w:val="004F484E"/>
    <w:rsid w:val="004F48C6"/>
    <w:rsid w:val="004F496D"/>
    <w:rsid w:val="004F49A1"/>
    <w:rsid w:val="004F49BA"/>
    <w:rsid w:val="004F49C4"/>
    <w:rsid w:val="004F4A44"/>
    <w:rsid w:val="004F4A68"/>
    <w:rsid w:val="004F4AE5"/>
    <w:rsid w:val="004F4B13"/>
    <w:rsid w:val="004F4B2F"/>
    <w:rsid w:val="004F4B71"/>
    <w:rsid w:val="004F4B75"/>
    <w:rsid w:val="004F4C3B"/>
    <w:rsid w:val="004F4C3E"/>
    <w:rsid w:val="004F4C7A"/>
    <w:rsid w:val="004F4C89"/>
    <w:rsid w:val="004F4CC8"/>
    <w:rsid w:val="004F4D2E"/>
    <w:rsid w:val="004F4D45"/>
    <w:rsid w:val="004F4D49"/>
    <w:rsid w:val="004F4DB2"/>
    <w:rsid w:val="004F4DEB"/>
    <w:rsid w:val="004F4DF3"/>
    <w:rsid w:val="004F4E02"/>
    <w:rsid w:val="004F4E1C"/>
    <w:rsid w:val="004F4E49"/>
    <w:rsid w:val="004F4EF9"/>
    <w:rsid w:val="004F4FF3"/>
    <w:rsid w:val="004F500F"/>
    <w:rsid w:val="004F5011"/>
    <w:rsid w:val="004F5036"/>
    <w:rsid w:val="004F5069"/>
    <w:rsid w:val="004F50F1"/>
    <w:rsid w:val="004F511D"/>
    <w:rsid w:val="004F51C1"/>
    <w:rsid w:val="004F5201"/>
    <w:rsid w:val="004F5237"/>
    <w:rsid w:val="004F526C"/>
    <w:rsid w:val="004F5270"/>
    <w:rsid w:val="004F52BA"/>
    <w:rsid w:val="004F5323"/>
    <w:rsid w:val="004F5364"/>
    <w:rsid w:val="004F53CD"/>
    <w:rsid w:val="004F5480"/>
    <w:rsid w:val="004F548F"/>
    <w:rsid w:val="004F54A1"/>
    <w:rsid w:val="004F54D1"/>
    <w:rsid w:val="004F550A"/>
    <w:rsid w:val="004F558F"/>
    <w:rsid w:val="004F55BC"/>
    <w:rsid w:val="004F561F"/>
    <w:rsid w:val="004F562E"/>
    <w:rsid w:val="004F56C1"/>
    <w:rsid w:val="004F56D5"/>
    <w:rsid w:val="004F56F2"/>
    <w:rsid w:val="004F5786"/>
    <w:rsid w:val="004F5792"/>
    <w:rsid w:val="004F579F"/>
    <w:rsid w:val="004F57DF"/>
    <w:rsid w:val="004F57E8"/>
    <w:rsid w:val="004F5841"/>
    <w:rsid w:val="004F58A3"/>
    <w:rsid w:val="004F58D0"/>
    <w:rsid w:val="004F58DC"/>
    <w:rsid w:val="004F58EC"/>
    <w:rsid w:val="004F5931"/>
    <w:rsid w:val="004F593E"/>
    <w:rsid w:val="004F5965"/>
    <w:rsid w:val="004F598A"/>
    <w:rsid w:val="004F59C3"/>
    <w:rsid w:val="004F5A03"/>
    <w:rsid w:val="004F5A52"/>
    <w:rsid w:val="004F5A6E"/>
    <w:rsid w:val="004F5A89"/>
    <w:rsid w:val="004F5A90"/>
    <w:rsid w:val="004F5C37"/>
    <w:rsid w:val="004F5C93"/>
    <w:rsid w:val="004F5CA5"/>
    <w:rsid w:val="004F5D3E"/>
    <w:rsid w:val="004F5D6B"/>
    <w:rsid w:val="004F5E18"/>
    <w:rsid w:val="004F5E37"/>
    <w:rsid w:val="004F5E5F"/>
    <w:rsid w:val="004F5E64"/>
    <w:rsid w:val="004F5E72"/>
    <w:rsid w:val="004F5E95"/>
    <w:rsid w:val="004F5F3B"/>
    <w:rsid w:val="004F5F60"/>
    <w:rsid w:val="004F5F7A"/>
    <w:rsid w:val="004F5FB8"/>
    <w:rsid w:val="004F5FBF"/>
    <w:rsid w:val="004F6083"/>
    <w:rsid w:val="004F60F7"/>
    <w:rsid w:val="004F6249"/>
    <w:rsid w:val="004F62DB"/>
    <w:rsid w:val="004F62EC"/>
    <w:rsid w:val="004F6351"/>
    <w:rsid w:val="004F63CB"/>
    <w:rsid w:val="004F646D"/>
    <w:rsid w:val="004F6556"/>
    <w:rsid w:val="004F6559"/>
    <w:rsid w:val="004F659F"/>
    <w:rsid w:val="004F65C3"/>
    <w:rsid w:val="004F65E0"/>
    <w:rsid w:val="004F663C"/>
    <w:rsid w:val="004F66A6"/>
    <w:rsid w:val="004F66F4"/>
    <w:rsid w:val="004F675C"/>
    <w:rsid w:val="004F6771"/>
    <w:rsid w:val="004F679C"/>
    <w:rsid w:val="004F67CB"/>
    <w:rsid w:val="004F68C5"/>
    <w:rsid w:val="004F68E5"/>
    <w:rsid w:val="004F691F"/>
    <w:rsid w:val="004F6930"/>
    <w:rsid w:val="004F69B0"/>
    <w:rsid w:val="004F69EC"/>
    <w:rsid w:val="004F69FC"/>
    <w:rsid w:val="004F6A1A"/>
    <w:rsid w:val="004F6A56"/>
    <w:rsid w:val="004F6A90"/>
    <w:rsid w:val="004F6AAD"/>
    <w:rsid w:val="004F6ACB"/>
    <w:rsid w:val="004F6AD7"/>
    <w:rsid w:val="004F6B2A"/>
    <w:rsid w:val="004F6C2E"/>
    <w:rsid w:val="004F6C4B"/>
    <w:rsid w:val="004F6C7E"/>
    <w:rsid w:val="004F6CEE"/>
    <w:rsid w:val="004F6D22"/>
    <w:rsid w:val="004F6D2D"/>
    <w:rsid w:val="004F6D48"/>
    <w:rsid w:val="004F6D92"/>
    <w:rsid w:val="004F6DA1"/>
    <w:rsid w:val="004F6DB5"/>
    <w:rsid w:val="004F6E7D"/>
    <w:rsid w:val="004F6ECA"/>
    <w:rsid w:val="004F6ED5"/>
    <w:rsid w:val="004F6F0A"/>
    <w:rsid w:val="004F6F54"/>
    <w:rsid w:val="004F6F62"/>
    <w:rsid w:val="004F6F68"/>
    <w:rsid w:val="004F6F72"/>
    <w:rsid w:val="004F6F90"/>
    <w:rsid w:val="004F6F96"/>
    <w:rsid w:val="004F6FB6"/>
    <w:rsid w:val="004F6FC3"/>
    <w:rsid w:val="004F6FCB"/>
    <w:rsid w:val="004F702E"/>
    <w:rsid w:val="004F7037"/>
    <w:rsid w:val="004F7041"/>
    <w:rsid w:val="004F70AD"/>
    <w:rsid w:val="004F7131"/>
    <w:rsid w:val="004F7141"/>
    <w:rsid w:val="004F7151"/>
    <w:rsid w:val="004F7159"/>
    <w:rsid w:val="004F7224"/>
    <w:rsid w:val="004F7234"/>
    <w:rsid w:val="004F7253"/>
    <w:rsid w:val="004F73AA"/>
    <w:rsid w:val="004F73E2"/>
    <w:rsid w:val="004F754F"/>
    <w:rsid w:val="004F75FA"/>
    <w:rsid w:val="004F7671"/>
    <w:rsid w:val="004F76FF"/>
    <w:rsid w:val="004F772E"/>
    <w:rsid w:val="004F778D"/>
    <w:rsid w:val="004F77A7"/>
    <w:rsid w:val="004F77CC"/>
    <w:rsid w:val="004F77F6"/>
    <w:rsid w:val="004F786E"/>
    <w:rsid w:val="004F789E"/>
    <w:rsid w:val="004F78E3"/>
    <w:rsid w:val="004F7904"/>
    <w:rsid w:val="004F7947"/>
    <w:rsid w:val="004F794B"/>
    <w:rsid w:val="004F795A"/>
    <w:rsid w:val="004F79D9"/>
    <w:rsid w:val="004F7A26"/>
    <w:rsid w:val="004F7B2C"/>
    <w:rsid w:val="004F7B5A"/>
    <w:rsid w:val="004F7B91"/>
    <w:rsid w:val="004F7C2E"/>
    <w:rsid w:val="004F7C79"/>
    <w:rsid w:val="004F7C81"/>
    <w:rsid w:val="004F7CC5"/>
    <w:rsid w:val="004F7D5A"/>
    <w:rsid w:val="004F7D77"/>
    <w:rsid w:val="004F7D81"/>
    <w:rsid w:val="004F7DA1"/>
    <w:rsid w:val="004F7DD4"/>
    <w:rsid w:val="004F7E03"/>
    <w:rsid w:val="004F7E2F"/>
    <w:rsid w:val="004F7E39"/>
    <w:rsid w:val="004F7E3C"/>
    <w:rsid w:val="004F7F22"/>
    <w:rsid w:val="004F7F84"/>
    <w:rsid w:val="004F7F9B"/>
    <w:rsid w:val="004F7F9E"/>
    <w:rsid w:val="00500011"/>
    <w:rsid w:val="00500014"/>
    <w:rsid w:val="00500025"/>
    <w:rsid w:val="0050002F"/>
    <w:rsid w:val="00500032"/>
    <w:rsid w:val="00500061"/>
    <w:rsid w:val="00500171"/>
    <w:rsid w:val="0050019D"/>
    <w:rsid w:val="005001E6"/>
    <w:rsid w:val="00500207"/>
    <w:rsid w:val="0050023F"/>
    <w:rsid w:val="005003E8"/>
    <w:rsid w:val="005003F2"/>
    <w:rsid w:val="0050040F"/>
    <w:rsid w:val="0050043E"/>
    <w:rsid w:val="00500443"/>
    <w:rsid w:val="00500499"/>
    <w:rsid w:val="00500508"/>
    <w:rsid w:val="0050053B"/>
    <w:rsid w:val="00500547"/>
    <w:rsid w:val="005005F5"/>
    <w:rsid w:val="0050070F"/>
    <w:rsid w:val="00500770"/>
    <w:rsid w:val="00500798"/>
    <w:rsid w:val="005007A0"/>
    <w:rsid w:val="005007F0"/>
    <w:rsid w:val="0050081A"/>
    <w:rsid w:val="00500881"/>
    <w:rsid w:val="00500897"/>
    <w:rsid w:val="00500983"/>
    <w:rsid w:val="00500A1C"/>
    <w:rsid w:val="00500A30"/>
    <w:rsid w:val="00500A44"/>
    <w:rsid w:val="00500AA3"/>
    <w:rsid w:val="00500B35"/>
    <w:rsid w:val="00500B4E"/>
    <w:rsid w:val="00500B8D"/>
    <w:rsid w:val="00500BF0"/>
    <w:rsid w:val="00500CDB"/>
    <w:rsid w:val="00500D93"/>
    <w:rsid w:val="00500D95"/>
    <w:rsid w:val="00500E03"/>
    <w:rsid w:val="00500E13"/>
    <w:rsid w:val="00500EF7"/>
    <w:rsid w:val="00501083"/>
    <w:rsid w:val="005010B9"/>
    <w:rsid w:val="005010F7"/>
    <w:rsid w:val="005010FE"/>
    <w:rsid w:val="0050119F"/>
    <w:rsid w:val="005011A6"/>
    <w:rsid w:val="0050127D"/>
    <w:rsid w:val="00501286"/>
    <w:rsid w:val="005012BD"/>
    <w:rsid w:val="005012E6"/>
    <w:rsid w:val="005012F5"/>
    <w:rsid w:val="00501378"/>
    <w:rsid w:val="005013AA"/>
    <w:rsid w:val="00501456"/>
    <w:rsid w:val="0050146B"/>
    <w:rsid w:val="005014B3"/>
    <w:rsid w:val="0050150F"/>
    <w:rsid w:val="0050154B"/>
    <w:rsid w:val="0050157B"/>
    <w:rsid w:val="005015AA"/>
    <w:rsid w:val="0050162E"/>
    <w:rsid w:val="0050179B"/>
    <w:rsid w:val="005018BB"/>
    <w:rsid w:val="00501931"/>
    <w:rsid w:val="00501945"/>
    <w:rsid w:val="005019E7"/>
    <w:rsid w:val="005019EB"/>
    <w:rsid w:val="00501A31"/>
    <w:rsid w:val="00501A7F"/>
    <w:rsid w:val="00501B27"/>
    <w:rsid w:val="00501BBF"/>
    <w:rsid w:val="00501BC0"/>
    <w:rsid w:val="00501BC8"/>
    <w:rsid w:val="00501BFA"/>
    <w:rsid w:val="00501C71"/>
    <w:rsid w:val="00501C86"/>
    <w:rsid w:val="00501C8E"/>
    <w:rsid w:val="00501CED"/>
    <w:rsid w:val="00501D25"/>
    <w:rsid w:val="00501E06"/>
    <w:rsid w:val="00501F0C"/>
    <w:rsid w:val="0050206F"/>
    <w:rsid w:val="0050209D"/>
    <w:rsid w:val="00502195"/>
    <w:rsid w:val="005021C7"/>
    <w:rsid w:val="005022F3"/>
    <w:rsid w:val="005023C6"/>
    <w:rsid w:val="005023DC"/>
    <w:rsid w:val="005023F1"/>
    <w:rsid w:val="005024A2"/>
    <w:rsid w:val="00502508"/>
    <w:rsid w:val="0050251F"/>
    <w:rsid w:val="0050262C"/>
    <w:rsid w:val="005026B1"/>
    <w:rsid w:val="0050273A"/>
    <w:rsid w:val="00502794"/>
    <w:rsid w:val="005027C1"/>
    <w:rsid w:val="005027D7"/>
    <w:rsid w:val="005027E0"/>
    <w:rsid w:val="005028CF"/>
    <w:rsid w:val="00502906"/>
    <w:rsid w:val="00502938"/>
    <w:rsid w:val="0050293D"/>
    <w:rsid w:val="00502976"/>
    <w:rsid w:val="00502ABE"/>
    <w:rsid w:val="00502B23"/>
    <w:rsid w:val="00502B8D"/>
    <w:rsid w:val="00502C98"/>
    <w:rsid w:val="00502CBF"/>
    <w:rsid w:val="00502D0F"/>
    <w:rsid w:val="00502D50"/>
    <w:rsid w:val="00502D59"/>
    <w:rsid w:val="00502DB3"/>
    <w:rsid w:val="00502DE8"/>
    <w:rsid w:val="00502DED"/>
    <w:rsid w:val="00502E8A"/>
    <w:rsid w:val="00502F23"/>
    <w:rsid w:val="00502F3A"/>
    <w:rsid w:val="00502FEE"/>
    <w:rsid w:val="005031AE"/>
    <w:rsid w:val="00503219"/>
    <w:rsid w:val="00503426"/>
    <w:rsid w:val="00503446"/>
    <w:rsid w:val="00503480"/>
    <w:rsid w:val="0050352B"/>
    <w:rsid w:val="00503623"/>
    <w:rsid w:val="00503649"/>
    <w:rsid w:val="0050364D"/>
    <w:rsid w:val="0050371F"/>
    <w:rsid w:val="00503756"/>
    <w:rsid w:val="00503830"/>
    <w:rsid w:val="00503880"/>
    <w:rsid w:val="005038F1"/>
    <w:rsid w:val="0050394D"/>
    <w:rsid w:val="00503997"/>
    <w:rsid w:val="005039B9"/>
    <w:rsid w:val="00503A3A"/>
    <w:rsid w:val="00503A5F"/>
    <w:rsid w:val="00503BB4"/>
    <w:rsid w:val="00503BC9"/>
    <w:rsid w:val="00503BD2"/>
    <w:rsid w:val="00503CFE"/>
    <w:rsid w:val="00503D0D"/>
    <w:rsid w:val="00503DAB"/>
    <w:rsid w:val="00503E29"/>
    <w:rsid w:val="00503FA7"/>
    <w:rsid w:val="00504092"/>
    <w:rsid w:val="00504112"/>
    <w:rsid w:val="00504157"/>
    <w:rsid w:val="005041F1"/>
    <w:rsid w:val="00504236"/>
    <w:rsid w:val="00504259"/>
    <w:rsid w:val="00504267"/>
    <w:rsid w:val="00504268"/>
    <w:rsid w:val="005042B1"/>
    <w:rsid w:val="005042E5"/>
    <w:rsid w:val="0050431D"/>
    <w:rsid w:val="00504407"/>
    <w:rsid w:val="0050441C"/>
    <w:rsid w:val="0050447B"/>
    <w:rsid w:val="005044FB"/>
    <w:rsid w:val="00504552"/>
    <w:rsid w:val="00504593"/>
    <w:rsid w:val="005045EE"/>
    <w:rsid w:val="0050464D"/>
    <w:rsid w:val="0050468D"/>
    <w:rsid w:val="005046C4"/>
    <w:rsid w:val="0050472A"/>
    <w:rsid w:val="0050474F"/>
    <w:rsid w:val="005047DF"/>
    <w:rsid w:val="0050481A"/>
    <w:rsid w:val="0050484D"/>
    <w:rsid w:val="005048AA"/>
    <w:rsid w:val="00504906"/>
    <w:rsid w:val="00504962"/>
    <w:rsid w:val="00504985"/>
    <w:rsid w:val="005049D7"/>
    <w:rsid w:val="00504A2D"/>
    <w:rsid w:val="00504A59"/>
    <w:rsid w:val="00504A98"/>
    <w:rsid w:val="00504A99"/>
    <w:rsid w:val="00504AB9"/>
    <w:rsid w:val="00504AC6"/>
    <w:rsid w:val="00504AEA"/>
    <w:rsid w:val="00504D5D"/>
    <w:rsid w:val="00504DD4"/>
    <w:rsid w:val="00504E77"/>
    <w:rsid w:val="00504EA6"/>
    <w:rsid w:val="00504F35"/>
    <w:rsid w:val="00504FB7"/>
    <w:rsid w:val="00504FD3"/>
    <w:rsid w:val="00505018"/>
    <w:rsid w:val="0050502E"/>
    <w:rsid w:val="0050509A"/>
    <w:rsid w:val="005050E4"/>
    <w:rsid w:val="00505109"/>
    <w:rsid w:val="00505114"/>
    <w:rsid w:val="005051A5"/>
    <w:rsid w:val="005051FA"/>
    <w:rsid w:val="00505202"/>
    <w:rsid w:val="00505211"/>
    <w:rsid w:val="00505214"/>
    <w:rsid w:val="00505290"/>
    <w:rsid w:val="00505316"/>
    <w:rsid w:val="00505339"/>
    <w:rsid w:val="00505395"/>
    <w:rsid w:val="0050544D"/>
    <w:rsid w:val="0050547A"/>
    <w:rsid w:val="00505490"/>
    <w:rsid w:val="005054B9"/>
    <w:rsid w:val="00505573"/>
    <w:rsid w:val="005055A3"/>
    <w:rsid w:val="005055D5"/>
    <w:rsid w:val="005055E5"/>
    <w:rsid w:val="005055FA"/>
    <w:rsid w:val="0050568F"/>
    <w:rsid w:val="0050573F"/>
    <w:rsid w:val="00505750"/>
    <w:rsid w:val="00505772"/>
    <w:rsid w:val="005057AB"/>
    <w:rsid w:val="005057E7"/>
    <w:rsid w:val="005058BD"/>
    <w:rsid w:val="0050590A"/>
    <w:rsid w:val="00505980"/>
    <w:rsid w:val="00505A54"/>
    <w:rsid w:val="00505A79"/>
    <w:rsid w:val="00505A98"/>
    <w:rsid w:val="00505B37"/>
    <w:rsid w:val="00505BCA"/>
    <w:rsid w:val="00505BEB"/>
    <w:rsid w:val="00505C21"/>
    <w:rsid w:val="00505CEC"/>
    <w:rsid w:val="00505CED"/>
    <w:rsid w:val="00505E3C"/>
    <w:rsid w:val="00505E76"/>
    <w:rsid w:val="00505E96"/>
    <w:rsid w:val="00505F12"/>
    <w:rsid w:val="00505F43"/>
    <w:rsid w:val="00505FCD"/>
    <w:rsid w:val="00505FDB"/>
    <w:rsid w:val="005060A9"/>
    <w:rsid w:val="0050611E"/>
    <w:rsid w:val="005061D8"/>
    <w:rsid w:val="005061E0"/>
    <w:rsid w:val="005062D4"/>
    <w:rsid w:val="00506365"/>
    <w:rsid w:val="00506443"/>
    <w:rsid w:val="0050647F"/>
    <w:rsid w:val="00506480"/>
    <w:rsid w:val="00506487"/>
    <w:rsid w:val="005064FB"/>
    <w:rsid w:val="00506514"/>
    <w:rsid w:val="0050658A"/>
    <w:rsid w:val="005065AF"/>
    <w:rsid w:val="00506648"/>
    <w:rsid w:val="0050664F"/>
    <w:rsid w:val="005066F5"/>
    <w:rsid w:val="00506712"/>
    <w:rsid w:val="0050671B"/>
    <w:rsid w:val="005067A1"/>
    <w:rsid w:val="005067B2"/>
    <w:rsid w:val="00506946"/>
    <w:rsid w:val="0050694B"/>
    <w:rsid w:val="00506961"/>
    <w:rsid w:val="005069DA"/>
    <w:rsid w:val="00506A11"/>
    <w:rsid w:val="00506A8E"/>
    <w:rsid w:val="00506B4B"/>
    <w:rsid w:val="00506B51"/>
    <w:rsid w:val="00506B55"/>
    <w:rsid w:val="00506B91"/>
    <w:rsid w:val="00506BB7"/>
    <w:rsid w:val="00506BB8"/>
    <w:rsid w:val="00506C0C"/>
    <w:rsid w:val="00506C2D"/>
    <w:rsid w:val="00506D5F"/>
    <w:rsid w:val="00506DAC"/>
    <w:rsid w:val="00506E03"/>
    <w:rsid w:val="00506E2B"/>
    <w:rsid w:val="00506F23"/>
    <w:rsid w:val="00506F30"/>
    <w:rsid w:val="00506F86"/>
    <w:rsid w:val="00506F98"/>
    <w:rsid w:val="00506FF0"/>
    <w:rsid w:val="005070A4"/>
    <w:rsid w:val="005070D6"/>
    <w:rsid w:val="0050710B"/>
    <w:rsid w:val="005071B1"/>
    <w:rsid w:val="005071DB"/>
    <w:rsid w:val="005072CB"/>
    <w:rsid w:val="005073A0"/>
    <w:rsid w:val="005073AC"/>
    <w:rsid w:val="00507426"/>
    <w:rsid w:val="0050747D"/>
    <w:rsid w:val="005074C1"/>
    <w:rsid w:val="005074E0"/>
    <w:rsid w:val="005074F7"/>
    <w:rsid w:val="0050756B"/>
    <w:rsid w:val="005075C0"/>
    <w:rsid w:val="00507615"/>
    <w:rsid w:val="00507672"/>
    <w:rsid w:val="0050767F"/>
    <w:rsid w:val="0050776B"/>
    <w:rsid w:val="0050777D"/>
    <w:rsid w:val="00507811"/>
    <w:rsid w:val="0050783F"/>
    <w:rsid w:val="005078E6"/>
    <w:rsid w:val="00507913"/>
    <w:rsid w:val="00507996"/>
    <w:rsid w:val="00507A64"/>
    <w:rsid w:val="00507AC7"/>
    <w:rsid w:val="00507AF7"/>
    <w:rsid w:val="00507B09"/>
    <w:rsid w:val="00507B10"/>
    <w:rsid w:val="00507BF2"/>
    <w:rsid w:val="00507C85"/>
    <w:rsid w:val="00507CA7"/>
    <w:rsid w:val="00507D3E"/>
    <w:rsid w:val="00507D4C"/>
    <w:rsid w:val="00507DD7"/>
    <w:rsid w:val="00507DDE"/>
    <w:rsid w:val="00507DFA"/>
    <w:rsid w:val="00507E10"/>
    <w:rsid w:val="00507E2A"/>
    <w:rsid w:val="00507E3C"/>
    <w:rsid w:val="00507E9C"/>
    <w:rsid w:val="00507F38"/>
    <w:rsid w:val="00507F4C"/>
    <w:rsid w:val="00507F57"/>
    <w:rsid w:val="00507F5C"/>
    <w:rsid w:val="00507F5D"/>
    <w:rsid w:val="00507F86"/>
    <w:rsid w:val="00510015"/>
    <w:rsid w:val="00510079"/>
    <w:rsid w:val="005100A0"/>
    <w:rsid w:val="005100BD"/>
    <w:rsid w:val="005100ED"/>
    <w:rsid w:val="00510127"/>
    <w:rsid w:val="00510155"/>
    <w:rsid w:val="0051018E"/>
    <w:rsid w:val="005101B9"/>
    <w:rsid w:val="005101C7"/>
    <w:rsid w:val="005101FE"/>
    <w:rsid w:val="00510203"/>
    <w:rsid w:val="0051023D"/>
    <w:rsid w:val="0051029E"/>
    <w:rsid w:val="005102AB"/>
    <w:rsid w:val="005102B3"/>
    <w:rsid w:val="00510305"/>
    <w:rsid w:val="00510367"/>
    <w:rsid w:val="005103BB"/>
    <w:rsid w:val="005103F1"/>
    <w:rsid w:val="00510445"/>
    <w:rsid w:val="0051044F"/>
    <w:rsid w:val="00510505"/>
    <w:rsid w:val="00510506"/>
    <w:rsid w:val="00510547"/>
    <w:rsid w:val="00510556"/>
    <w:rsid w:val="00510563"/>
    <w:rsid w:val="0051057F"/>
    <w:rsid w:val="00510588"/>
    <w:rsid w:val="0051061C"/>
    <w:rsid w:val="00510672"/>
    <w:rsid w:val="00510689"/>
    <w:rsid w:val="005106BE"/>
    <w:rsid w:val="005106F8"/>
    <w:rsid w:val="0051074D"/>
    <w:rsid w:val="00510796"/>
    <w:rsid w:val="005107C4"/>
    <w:rsid w:val="005107FB"/>
    <w:rsid w:val="00510847"/>
    <w:rsid w:val="00510975"/>
    <w:rsid w:val="005109A8"/>
    <w:rsid w:val="005109AE"/>
    <w:rsid w:val="005109DF"/>
    <w:rsid w:val="005109EC"/>
    <w:rsid w:val="00510B08"/>
    <w:rsid w:val="00510B38"/>
    <w:rsid w:val="00510BA8"/>
    <w:rsid w:val="00510BE9"/>
    <w:rsid w:val="00510D2F"/>
    <w:rsid w:val="00510D8E"/>
    <w:rsid w:val="00510DAF"/>
    <w:rsid w:val="00510DC5"/>
    <w:rsid w:val="00510E79"/>
    <w:rsid w:val="00510EEB"/>
    <w:rsid w:val="00510F0B"/>
    <w:rsid w:val="00510F74"/>
    <w:rsid w:val="00511004"/>
    <w:rsid w:val="005110BA"/>
    <w:rsid w:val="0051112B"/>
    <w:rsid w:val="005111BB"/>
    <w:rsid w:val="005111C4"/>
    <w:rsid w:val="005111F2"/>
    <w:rsid w:val="00511214"/>
    <w:rsid w:val="00511258"/>
    <w:rsid w:val="0051125B"/>
    <w:rsid w:val="005112AC"/>
    <w:rsid w:val="005112D0"/>
    <w:rsid w:val="005112D9"/>
    <w:rsid w:val="00511419"/>
    <w:rsid w:val="00511456"/>
    <w:rsid w:val="00511577"/>
    <w:rsid w:val="0051160C"/>
    <w:rsid w:val="00511665"/>
    <w:rsid w:val="0051166A"/>
    <w:rsid w:val="005116C9"/>
    <w:rsid w:val="005117DE"/>
    <w:rsid w:val="00511820"/>
    <w:rsid w:val="00511869"/>
    <w:rsid w:val="0051186B"/>
    <w:rsid w:val="0051189C"/>
    <w:rsid w:val="0051192E"/>
    <w:rsid w:val="0051193A"/>
    <w:rsid w:val="005119E0"/>
    <w:rsid w:val="005119E8"/>
    <w:rsid w:val="005119FD"/>
    <w:rsid w:val="00511A59"/>
    <w:rsid w:val="00511AB9"/>
    <w:rsid w:val="00511AD4"/>
    <w:rsid w:val="00511B17"/>
    <w:rsid w:val="00511B19"/>
    <w:rsid w:val="00511B4C"/>
    <w:rsid w:val="00511C0C"/>
    <w:rsid w:val="00511D10"/>
    <w:rsid w:val="00511D76"/>
    <w:rsid w:val="00511D81"/>
    <w:rsid w:val="00511DDF"/>
    <w:rsid w:val="00511EC1"/>
    <w:rsid w:val="00511F22"/>
    <w:rsid w:val="00511FCD"/>
    <w:rsid w:val="00511FF4"/>
    <w:rsid w:val="00512004"/>
    <w:rsid w:val="00512037"/>
    <w:rsid w:val="005120B5"/>
    <w:rsid w:val="005120BC"/>
    <w:rsid w:val="005120F3"/>
    <w:rsid w:val="0051214C"/>
    <w:rsid w:val="00512232"/>
    <w:rsid w:val="0051228C"/>
    <w:rsid w:val="005122A8"/>
    <w:rsid w:val="005122AB"/>
    <w:rsid w:val="005122C1"/>
    <w:rsid w:val="0051231B"/>
    <w:rsid w:val="00512336"/>
    <w:rsid w:val="00512388"/>
    <w:rsid w:val="00512389"/>
    <w:rsid w:val="005123A7"/>
    <w:rsid w:val="005123DE"/>
    <w:rsid w:val="005123E3"/>
    <w:rsid w:val="005124BA"/>
    <w:rsid w:val="005124F4"/>
    <w:rsid w:val="00512506"/>
    <w:rsid w:val="0051250C"/>
    <w:rsid w:val="005125AD"/>
    <w:rsid w:val="005125C6"/>
    <w:rsid w:val="0051265C"/>
    <w:rsid w:val="00512666"/>
    <w:rsid w:val="00512745"/>
    <w:rsid w:val="0051279C"/>
    <w:rsid w:val="005127B5"/>
    <w:rsid w:val="005127B9"/>
    <w:rsid w:val="005127CF"/>
    <w:rsid w:val="00512838"/>
    <w:rsid w:val="00512853"/>
    <w:rsid w:val="00512877"/>
    <w:rsid w:val="0051292C"/>
    <w:rsid w:val="00512945"/>
    <w:rsid w:val="005129BA"/>
    <w:rsid w:val="00512A1C"/>
    <w:rsid w:val="00512A4B"/>
    <w:rsid w:val="00512A9B"/>
    <w:rsid w:val="00512ABA"/>
    <w:rsid w:val="00512AD3"/>
    <w:rsid w:val="00512AF7"/>
    <w:rsid w:val="00512B3F"/>
    <w:rsid w:val="00512B48"/>
    <w:rsid w:val="00512B67"/>
    <w:rsid w:val="00512B97"/>
    <w:rsid w:val="00512C46"/>
    <w:rsid w:val="00512C73"/>
    <w:rsid w:val="00512C8D"/>
    <w:rsid w:val="00512D3D"/>
    <w:rsid w:val="00512E0D"/>
    <w:rsid w:val="00512E93"/>
    <w:rsid w:val="00512E98"/>
    <w:rsid w:val="00512E9B"/>
    <w:rsid w:val="00512F86"/>
    <w:rsid w:val="00512FD3"/>
    <w:rsid w:val="00512FF5"/>
    <w:rsid w:val="00513001"/>
    <w:rsid w:val="005130F1"/>
    <w:rsid w:val="0051311B"/>
    <w:rsid w:val="00513193"/>
    <w:rsid w:val="005131C3"/>
    <w:rsid w:val="005131C7"/>
    <w:rsid w:val="00513210"/>
    <w:rsid w:val="00513267"/>
    <w:rsid w:val="00513272"/>
    <w:rsid w:val="00513301"/>
    <w:rsid w:val="00513304"/>
    <w:rsid w:val="0051334D"/>
    <w:rsid w:val="00513379"/>
    <w:rsid w:val="00513385"/>
    <w:rsid w:val="005133A3"/>
    <w:rsid w:val="0051340A"/>
    <w:rsid w:val="00513433"/>
    <w:rsid w:val="00513456"/>
    <w:rsid w:val="005134C3"/>
    <w:rsid w:val="005134D1"/>
    <w:rsid w:val="005134DB"/>
    <w:rsid w:val="00513583"/>
    <w:rsid w:val="005135CD"/>
    <w:rsid w:val="005135EA"/>
    <w:rsid w:val="005135FD"/>
    <w:rsid w:val="0051369D"/>
    <w:rsid w:val="00513729"/>
    <w:rsid w:val="00513748"/>
    <w:rsid w:val="00513757"/>
    <w:rsid w:val="00513762"/>
    <w:rsid w:val="0051394D"/>
    <w:rsid w:val="005139E2"/>
    <w:rsid w:val="00513AD4"/>
    <w:rsid w:val="00513AE7"/>
    <w:rsid w:val="00513B3A"/>
    <w:rsid w:val="00513B61"/>
    <w:rsid w:val="00513B73"/>
    <w:rsid w:val="00513BC5"/>
    <w:rsid w:val="00513C80"/>
    <w:rsid w:val="00513C86"/>
    <w:rsid w:val="00513CA8"/>
    <w:rsid w:val="00513D55"/>
    <w:rsid w:val="00513DC9"/>
    <w:rsid w:val="00513DF8"/>
    <w:rsid w:val="00513E12"/>
    <w:rsid w:val="00513E74"/>
    <w:rsid w:val="00513F26"/>
    <w:rsid w:val="00513F2E"/>
    <w:rsid w:val="00513F3E"/>
    <w:rsid w:val="00513F92"/>
    <w:rsid w:val="00513FA0"/>
    <w:rsid w:val="00513FA1"/>
    <w:rsid w:val="00513FEE"/>
    <w:rsid w:val="00513FF3"/>
    <w:rsid w:val="00514011"/>
    <w:rsid w:val="0051405E"/>
    <w:rsid w:val="0051406D"/>
    <w:rsid w:val="0051407E"/>
    <w:rsid w:val="005140BF"/>
    <w:rsid w:val="0051417D"/>
    <w:rsid w:val="0051421F"/>
    <w:rsid w:val="00514226"/>
    <w:rsid w:val="00514287"/>
    <w:rsid w:val="00514397"/>
    <w:rsid w:val="005143C7"/>
    <w:rsid w:val="005144C6"/>
    <w:rsid w:val="00514701"/>
    <w:rsid w:val="00514702"/>
    <w:rsid w:val="00514742"/>
    <w:rsid w:val="00514793"/>
    <w:rsid w:val="005147F9"/>
    <w:rsid w:val="0051488D"/>
    <w:rsid w:val="00514897"/>
    <w:rsid w:val="005148B3"/>
    <w:rsid w:val="005148F5"/>
    <w:rsid w:val="0051495C"/>
    <w:rsid w:val="00514977"/>
    <w:rsid w:val="0051497C"/>
    <w:rsid w:val="0051498C"/>
    <w:rsid w:val="0051499E"/>
    <w:rsid w:val="00514A14"/>
    <w:rsid w:val="00514AA9"/>
    <w:rsid w:val="00514ABB"/>
    <w:rsid w:val="00514AE2"/>
    <w:rsid w:val="00514AF3"/>
    <w:rsid w:val="00514B47"/>
    <w:rsid w:val="00514B4A"/>
    <w:rsid w:val="00514B90"/>
    <w:rsid w:val="00514BAB"/>
    <w:rsid w:val="00514C79"/>
    <w:rsid w:val="00514CC4"/>
    <w:rsid w:val="00514D07"/>
    <w:rsid w:val="00514D6F"/>
    <w:rsid w:val="00514DB6"/>
    <w:rsid w:val="00514F1B"/>
    <w:rsid w:val="0051504F"/>
    <w:rsid w:val="00515060"/>
    <w:rsid w:val="00515082"/>
    <w:rsid w:val="005150A7"/>
    <w:rsid w:val="005150B6"/>
    <w:rsid w:val="005150C5"/>
    <w:rsid w:val="005150CB"/>
    <w:rsid w:val="005150F2"/>
    <w:rsid w:val="0051522A"/>
    <w:rsid w:val="00515420"/>
    <w:rsid w:val="00515463"/>
    <w:rsid w:val="005154C2"/>
    <w:rsid w:val="005154DD"/>
    <w:rsid w:val="0051552B"/>
    <w:rsid w:val="00515541"/>
    <w:rsid w:val="005155C0"/>
    <w:rsid w:val="005155EC"/>
    <w:rsid w:val="005155F7"/>
    <w:rsid w:val="00515640"/>
    <w:rsid w:val="00515661"/>
    <w:rsid w:val="0051567B"/>
    <w:rsid w:val="0051569B"/>
    <w:rsid w:val="005156C0"/>
    <w:rsid w:val="005156CB"/>
    <w:rsid w:val="005156D8"/>
    <w:rsid w:val="00515748"/>
    <w:rsid w:val="0051584D"/>
    <w:rsid w:val="0051589D"/>
    <w:rsid w:val="005158A8"/>
    <w:rsid w:val="00515924"/>
    <w:rsid w:val="00515947"/>
    <w:rsid w:val="0051597D"/>
    <w:rsid w:val="005159CE"/>
    <w:rsid w:val="00515A12"/>
    <w:rsid w:val="00515A73"/>
    <w:rsid w:val="00515B2A"/>
    <w:rsid w:val="00515B51"/>
    <w:rsid w:val="00515B62"/>
    <w:rsid w:val="00515B66"/>
    <w:rsid w:val="00515B87"/>
    <w:rsid w:val="00515BA5"/>
    <w:rsid w:val="00515BCD"/>
    <w:rsid w:val="00515C20"/>
    <w:rsid w:val="00515D02"/>
    <w:rsid w:val="00515D58"/>
    <w:rsid w:val="00515DA7"/>
    <w:rsid w:val="00515DD3"/>
    <w:rsid w:val="00515DE7"/>
    <w:rsid w:val="00515E17"/>
    <w:rsid w:val="00515E9F"/>
    <w:rsid w:val="00515ECA"/>
    <w:rsid w:val="00515EFE"/>
    <w:rsid w:val="00515F4D"/>
    <w:rsid w:val="00515F62"/>
    <w:rsid w:val="00516055"/>
    <w:rsid w:val="00516063"/>
    <w:rsid w:val="005160F8"/>
    <w:rsid w:val="0051613B"/>
    <w:rsid w:val="00516159"/>
    <w:rsid w:val="00516196"/>
    <w:rsid w:val="00516197"/>
    <w:rsid w:val="005161DA"/>
    <w:rsid w:val="00516216"/>
    <w:rsid w:val="0051623A"/>
    <w:rsid w:val="005162B3"/>
    <w:rsid w:val="005164BD"/>
    <w:rsid w:val="005164C7"/>
    <w:rsid w:val="005164FC"/>
    <w:rsid w:val="005165C5"/>
    <w:rsid w:val="005165D8"/>
    <w:rsid w:val="00516617"/>
    <w:rsid w:val="00516643"/>
    <w:rsid w:val="00516723"/>
    <w:rsid w:val="00516785"/>
    <w:rsid w:val="005167C4"/>
    <w:rsid w:val="005167CB"/>
    <w:rsid w:val="005167ED"/>
    <w:rsid w:val="00516874"/>
    <w:rsid w:val="0051689B"/>
    <w:rsid w:val="0051690A"/>
    <w:rsid w:val="00516943"/>
    <w:rsid w:val="00516978"/>
    <w:rsid w:val="005169D7"/>
    <w:rsid w:val="005169E6"/>
    <w:rsid w:val="005169E8"/>
    <w:rsid w:val="00516A73"/>
    <w:rsid w:val="00516A98"/>
    <w:rsid w:val="00516B3E"/>
    <w:rsid w:val="00516C22"/>
    <w:rsid w:val="00516C5E"/>
    <w:rsid w:val="00516C60"/>
    <w:rsid w:val="00516D3F"/>
    <w:rsid w:val="00516D42"/>
    <w:rsid w:val="00516D7B"/>
    <w:rsid w:val="00516D91"/>
    <w:rsid w:val="00516F81"/>
    <w:rsid w:val="00516F9A"/>
    <w:rsid w:val="00516FA9"/>
    <w:rsid w:val="00516FFE"/>
    <w:rsid w:val="00517002"/>
    <w:rsid w:val="00517093"/>
    <w:rsid w:val="005170FE"/>
    <w:rsid w:val="00517120"/>
    <w:rsid w:val="0051712A"/>
    <w:rsid w:val="0051716C"/>
    <w:rsid w:val="0051717F"/>
    <w:rsid w:val="00517265"/>
    <w:rsid w:val="00517389"/>
    <w:rsid w:val="005173D6"/>
    <w:rsid w:val="005174B6"/>
    <w:rsid w:val="005174BC"/>
    <w:rsid w:val="00517516"/>
    <w:rsid w:val="0051757E"/>
    <w:rsid w:val="00517586"/>
    <w:rsid w:val="005175E8"/>
    <w:rsid w:val="005175EA"/>
    <w:rsid w:val="00517608"/>
    <w:rsid w:val="00517687"/>
    <w:rsid w:val="0051768F"/>
    <w:rsid w:val="005176CE"/>
    <w:rsid w:val="005176F9"/>
    <w:rsid w:val="0051784F"/>
    <w:rsid w:val="0051787F"/>
    <w:rsid w:val="0051789E"/>
    <w:rsid w:val="005178AE"/>
    <w:rsid w:val="005178CD"/>
    <w:rsid w:val="005178EB"/>
    <w:rsid w:val="0051795A"/>
    <w:rsid w:val="00517964"/>
    <w:rsid w:val="00517978"/>
    <w:rsid w:val="00517999"/>
    <w:rsid w:val="00517A9A"/>
    <w:rsid w:val="00517ACF"/>
    <w:rsid w:val="00517AF0"/>
    <w:rsid w:val="00517BA6"/>
    <w:rsid w:val="00517C72"/>
    <w:rsid w:val="00517C79"/>
    <w:rsid w:val="00517CEC"/>
    <w:rsid w:val="00517D0E"/>
    <w:rsid w:val="00517D28"/>
    <w:rsid w:val="00517E01"/>
    <w:rsid w:val="00517E1B"/>
    <w:rsid w:val="00517E4F"/>
    <w:rsid w:val="00517E6B"/>
    <w:rsid w:val="00517E6D"/>
    <w:rsid w:val="00517F53"/>
    <w:rsid w:val="00517F70"/>
    <w:rsid w:val="00517F8F"/>
    <w:rsid w:val="00517FAF"/>
    <w:rsid w:val="00517FC5"/>
    <w:rsid w:val="00517FC7"/>
    <w:rsid w:val="0052006A"/>
    <w:rsid w:val="005200D0"/>
    <w:rsid w:val="0052010B"/>
    <w:rsid w:val="0052013E"/>
    <w:rsid w:val="00520144"/>
    <w:rsid w:val="00520151"/>
    <w:rsid w:val="0052022A"/>
    <w:rsid w:val="00520260"/>
    <w:rsid w:val="005202A2"/>
    <w:rsid w:val="005202B1"/>
    <w:rsid w:val="0052031E"/>
    <w:rsid w:val="0052037F"/>
    <w:rsid w:val="005203C1"/>
    <w:rsid w:val="00520404"/>
    <w:rsid w:val="00520452"/>
    <w:rsid w:val="0052046A"/>
    <w:rsid w:val="005204A7"/>
    <w:rsid w:val="005204B3"/>
    <w:rsid w:val="00520533"/>
    <w:rsid w:val="00520552"/>
    <w:rsid w:val="005205F7"/>
    <w:rsid w:val="0052060D"/>
    <w:rsid w:val="00520643"/>
    <w:rsid w:val="0052068C"/>
    <w:rsid w:val="00520797"/>
    <w:rsid w:val="00520798"/>
    <w:rsid w:val="0052079D"/>
    <w:rsid w:val="005207B5"/>
    <w:rsid w:val="005207B8"/>
    <w:rsid w:val="005207C2"/>
    <w:rsid w:val="005207C3"/>
    <w:rsid w:val="005207F8"/>
    <w:rsid w:val="00520807"/>
    <w:rsid w:val="005208E7"/>
    <w:rsid w:val="00520973"/>
    <w:rsid w:val="00520A1A"/>
    <w:rsid w:val="00520A1D"/>
    <w:rsid w:val="00520A23"/>
    <w:rsid w:val="00520A96"/>
    <w:rsid w:val="00520BA4"/>
    <w:rsid w:val="00520D25"/>
    <w:rsid w:val="00520D56"/>
    <w:rsid w:val="00520DE8"/>
    <w:rsid w:val="00520DFC"/>
    <w:rsid w:val="00520E0A"/>
    <w:rsid w:val="00520E46"/>
    <w:rsid w:val="00520E75"/>
    <w:rsid w:val="00520E89"/>
    <w:rsid w:val="00520EE4"/>
    <w:rsid w:val="00520F8C"/>
    <w:rsid w:val="00520FB3"/>
    <w:rsid w:val="00521006"/>
    <w:rsid w:val="00521041"/>
    <w:rsid w:val="005210A0"/>
    <w:rsid w:val="005210A1"/>
    <w:rsid w:val="005210B3"/>
    <w:rsid w:val="005210D1"/>
    <w:rsid w:val="005210EE"/>
    <w:rsid w:val="0052111B"/>
    <w:rsid w:val="00521125"/>
    <w:rsid w:val="0052112B"/>
    <w:rsid w:val="0052112C"/>
    <w:rsid w:val="00521157"/>
    <w:rsid w:val="0052117D"/>
    <w:rsid w:val="005211F1"/>
    <w:rsid w:val="005212FD"/>
    <w:rsid w:val="00521302"/>
    <w:rsid w:val="00521347"/>
    <w:rsid w:val="00521355"/>
    <w:rsid w:val="00521365"/>
    <w:rsid w:val="00521385"/>
    <w:rsid w:val="00521438"/>
    <w:rsid w:val="00521454"/>
    <w:rsid w:val="00521485"/>
    <w:rsid w:val="005214E5"/>
    <w:rsid w:val="0052151C"/>
    <w:rsid w:val="00521547"/>
    <w:rsid w:val="00521558"/>
    <w:rsid w:val="0052156C"/>
    <w:rsid w:val="005216B7"/>
    <w:rsid w:val="005216E6"/>
    <w:rsid w:val="005216EA"/>
    <w:rsid w:val="00521711"/>
    <w:rsid w:val="00521753"/>
    <w:rsid w:val="0052177D"/>
    <w:rsid w:val="005217DB"/>
    <w:rsid w:val="005217E3"/>
    <w:rsid w:val="0052180E"/>
    <w:rsid w:val="00521828"/>
    <w:rsid w:val="00521860"/>
    <w:rsid w:val="0052186D"/>
    <w:rsid w:val="00521889"/>
    <w:rsid w:val="005218AE"/>
    <w:rsid w:val="005218B5"/>
    <w:rsid w:val="005218BA"/>
    <w:rsid w:val="005218C9"/>
    <w:rsid w:val="005218EB"/>
    <w:rsid w:val="0052192F"/>
    <w:rsid w:val="005219C4"/>
    <w:rsid w:val="005219CD"/>
    <w:rsid w:val="005219CE"/>
    <w:rsid w:val="00521A27"/>
    <w:rsid w:val="00521A57"/>
    <w:rsid w:val="00521ABF"/>
    <w:rsid w:val="00521B08"/>
    <w:rsid w:val="00521B57"/>
    <w:rsid w:val="00521BCD"/>
    <w:rsid w:val="00521C13"/>
    <w:rsid w:val="00521C27"/>
    <w:rsid w:val="00521C2C"/>
    <w:rsid w:val="00521C35"/>
    <w:rsid w:val="00521CA5"/>
    <w:rsid w:val="00521CB5"/>
    <w:rsid w:val="00521CF2"/>
    <w:rsid w:val="00521CFB"/>
    <w:rsid w:val="00521D29"/>
    <w:rsid w:val="00521D60"/>
    <w:rsid w:val="00521E0F"/>
    <w:rsid w:val="00521E3D"/>
    <w:rsid w:val="00521F78"/>
    <w:rsid w:val="00521F9E"/>
    <w:rsid w:val="00521FC1"/>
    <w:rsid w:val="005220BF"/>
    <w:rsid w:val="005220C7"/>
    <w:rsid w:val="0052228C"/>
    <w:rsid w:val="005222F8"/>
    <w:rsid w:val="00522313"/>
    <w:rsid w:val="0052239D"/>
    <w:rsid w:val="005223B4"/>
    <w:rsid w:val="005223C4"/>
    <w:rsid w:val="005223E9"/>
    <w:rsid w:val="00522433"/>
    <w:rsid w:val="0052245C"/>
    <w:rsid w:val="00522472"/>
    <w:rsid w:val="00522495"/>
    <w:rsid w:val="00522497"/>
    <w:rsid w:val="005224D0"/>
    <w:rsid w:val="00522576"/>
    <w:rsid w:val="00522577"/>
    <w:rsid w:val="00522580"/>
    <w:rsid w:val="0052265D"/>
    <w:rsid w:val="0052267B"/>
    <w:rsid w:val="005226CF"/>
    <w:rsid w:val="005227A4"/>
    <w:rsid w:val="005227CD"/>
    <w:rsid w:val="00522843"/>
    <w:rsid w:val="005228C3"/>
    <w:rsid w:val="00522934"/>
    <w:rsid w:val="00522949"/>
    <w:rsid w:val="0052294B"/>
    <w:rsid w:val="0052296F"/>
    <w:rsid w:val="005229C8"/>
    <w:rsid w:val="00522A8D"/>
    <w:rsid w:val="00522C1C"/>
    <w:rsid w:val="00522C6D"/>
    <w:rsid w:val="00522C94"/>
    <w:rsid w:val="00522D32"/>
    <w:rsid w:val="00522D81"/>
    <w:rsid w:val="00522DE0"/>
    <w:rsid w:val="00522E31"/>
    <w:rsid w:val="00522F1F"/>
    <w:rsid w:val="00522F2D"/>
    <w:rsid w:val="00522FB6"/>
    <w:rsid w:val="00523011"/>
    <w:rsid w:val="005230C3"/>
    <w:rsid w:val="005230F5"/>
    <w:rsid w:val="0052316A"/>
    <w:rsid w:val="0052319F"/>
    <w:rsid w:val="005231C3"/>
    <w:rsid w:val="00523222"/>
    <w:rsid w:val="00523259"/>
    <w:rsid w:val="00523317"/>
    <w:rsid w:val="005233FE"/>
    <w:rsid w:val="00523414"/>
    <w:rsid w:val="0052343C"/>
    <w:rsid w:val="00523451"/>
    <w:rsid w:val="00523454"/>
    <w:rsid w:val="0052346A"/>
    <w:rsid w:val="0052349C"/>
    <w:rsid w:val="0052355A"/>
    <w:rsid w:val="00523619"/>
    <w:rsid w:val="0052365D"/>
    <w:rsid w:val="005236A3"/>
    <w:rsid w:val="00523725"/>
    <w:rsid w:val="00523764"/>
    <w:rsid w:val="0052389C"/>
    <w:rsid w:val="005238AF"/>
    <w:rsid w:val="00523903"/>
    <w:rsid w:val="0052390F"/>
    <w:rsid w:val="00523986"/>
    <w:rsid w:val="005239F3"/>
    <w:rsid w:val="00523B29"/>
    <w:rsid w:val="00523BAC"/>
    <w:rsid w:val="00523BB2"/>
    <w:rsid w:val="00523BE8"/>
    <w:rsid w:val="00523C18"/>
    <w:rsid w:val="00523C4A"/>
    <w:rsid w:val="00523C56"/>
    <w:rsid w:val="00523C64"/>
    <w:rsid w:val="00523CA3"/>
    <w:rsid w:val="00523F5B"/>
    <w:rsid w:val="00523F9E"/>
    <w:rsid w:val="00523FA5"/>
    <w:rsid w:val="00523FBF"/>
    <w:rsid w:val="00524013"/>
    <w:rsid w:val="00524020"/>
    <w:rsid w:val="00524088"/>
    <w:rsid w:val="005240D3"/>
    <w:rsid w:val="00524103"/>
    <w:rsid w:val="0052419D"/>
    <w:rsid w:val="00524281"/>
    <w:rsid w:val="005242D9"/>
    <w:rsid w:val="0052435E"/>
    <w:rsid w:val="00524374"/>
    <w:rsid w:val="00524430"/>
    <w:rsid w:val="00524489"/>
    <w:rsid w:val="005244AC"/>
    <w:rsid w:val="005244AD"/>
    <w:rsid w:val="005244E9"/>
    <w:rsid w:val="00524510"/>
    <w:rsid w:val="0052452A"/>
    <w:rsid w:val="005245E0"/>
    <w:rsid w:val="00524626"/>
    <w:rsid w:val="00524652"/>
    <w:rsid w:val="00524689"/>
    <w:rsid w:val="005246A7"/>
    <w:rsid w:val="00524735"/>
    <w:rsid w:val="0052475C"/>
    <w:rsid w:val="005247B5"/>
    <w:rsid w:val="005247E9"/>
    <w:rsid w:val="00524859"/>
    <w:rsid w:val="00524878"/>
    <w:rsid w:val="00524880"/>
    <w:rsid w:val="00524881"/>
    <w:rsid w:val="005249F6"/>
    <w:rsid w:val="00524A1E"/>
    <w:rsid w:val="00524A75"/>
    <w:rsid w:val="00524B4F"/>
    <w:rsid w:val="00524B8B"/>
    <w:rsid w:val="00524B90"/>
    <w:rsid w:val="00524BDD"/>
    <w:rsid w:val="00524BF4"/>
    <w:rsid w:val="00524C33"/>
    <w:rsid w:val="00524CB5"/>
    <w:rsid w:val="00524CFA"/>
    <w:rsid w:val="00524CFD"/>
    <w:rsid w:val="00524D0E"/>
    <w:rsid w:val="00524D42"/>
    <w:rsid w:val="00524E59"/>
    <w:rsid w:val="00524E92"/>
    <w:rsid w:val="00524EB2"/>
    <w:rsid w:val="00524EBF"/>
    <w:rsid w:val="00524F05"/>
    <w:rsid w:val="00524FFC"/>
    <w:rsid w:val="00525034"/>
    <w:rsid w:val="00525067"/>
    <w:rsid w:val="005250C9"/>
    <w:rsid w:val="0052510E"/>
    <w:rsid w:val="0052522B"/>
    <w:rsid w:val="0052523A"/>
    <w:rsid w:val="00525290"/>
    <w:rsid w:val="0052529D"/>
    <w:rsid w:val="005252C7"/>
    <w:rsid w:val="005252D1"/>
    <w:rsid w:val="00525301"/>
    <w:rsid w:val="00525360"/>
    <w:rsid w:val="0052558F"/>
    <w:rsid w:val="005255F2"/>
    <w:rsid w:val="0052575E"/>
    <w:rsid w:val="0052577C"/>
    <w:rsid w:val="00525848"/>
    <w:rsid w:val="005258A9"/>
    <w:rsid w:val="005258BC"/>
    <w:rsid w:val="0052597F"/>
    <w:rsid w:val="00525992"/>
    <w:rsid w:val="005259E0"/>
    <w:rsid w:val="005259FF"/>
    <w:rsid w:val="00525A31"/>
    <w:rsid w:val="00525A37"/>
    <w:rsid w:val="00525A3C"/>
    <w:rsid w:val="00525A43"/>
    <w:rsid w:val="00525A6E"/>
    <w:rsid w:val="00525A97"/>
    <w:rsid w:val="00525AB9"/>
    <w:rsid w:val="00525AC7"/>
    <w:rsid w:val="00525B92"/>
    <w:rsid w:val="00525C0E"/>
    <w:rsid w:val="00525C6F"/>
    <w:rsid w:val="00525CB8"/>
    <w:rsid w:val="00525CBE"/>
    <w:rsid w:val="00525CF6"/>
    <w:rsid w:val="00525D47"/>
    <w:rsid w:val="00525E87"/>
    <w:rsid w:val="00525ED2"/>
    <w:rsid w:val="00525FF0"/>
    <w:rsid w:val="00526002"/>
    <w:rsid w:val="005260A8"/>
    <w:rsid w:val="005260E4"/>
    <w:rsid w:val="005260EB"/>
    <w:rsid w:val="0052612B"/>
    <w:rsid w:val="00526141"/>
    <w:rsid w:val="005261D2"/>
    <w:rsid w:val="00526207"/>
    <w:rsid w:val="0052624B"/>
    <w:rsid w:val="0052628A"/>
    <w:rsid w:val="005262E2"/>
    <w:rsid w:val="00526315"/>
    <w:rsid w:val="0052632D"/>
    <w:rsid w:val="00526351"/>
    <w:rsid w:val="00526359"/>
    <w:rsid w:val="005263EB"/>
    <w:rsid w:val="005263F0"/>
    <w:rsid w:val="005264F9"/>
    <w:rsid w:val="00526544"/>
    <w:rsid w:val="00526564"/>
    <w:rsid w:val="00526582"/>
    <w:rsid w:val="005265A4"/>
    <w:rsid w:val="005265BE"/>
    <w:rsid w:val="00526607"/>
    <w:rsid w:val="00526652"/>
    <w:rsid w:val="00526671"/>
    <w:rsid w:val="005266A7"/>
    <w:rsid w:val="005266C1"/>
    <w:rsid w:val="0052677D"/>
    <w:rsid w:val="005267A7"/>
    <w:rsid w:val="0052681A"/>
    <w:rsid w:val="00526826"/>
    <w:rsid w:val="005268AD"/>
    <w:rsid w:val="0052695E"/>
    <w:rsid w:val="00526981"/>
    <w:rsid w:val="00526A03"/>
    <w:rsid w:val="00526A23"/>
    <w:rsid w:val="00526A5D"/>
    <w:rsid w:val="00526A71"/>
    <w:rsid w:val="00526A88"/>
    <w:rsid w:val="00526ADB"/>
    <w:rsid w:val="00526B03"/>
    <w:rsid w:val="00526B73"/>
    <w:rsid w:val="00526B97"/>
    <w:rsid w:val="00526C84"/>
    <w:rsid w:val="00526CC4"/>
    <w:rsid w:val="00526CF4"/>
    <w:rsid w:val="00526D26"/>
    <w:rsid w:val="00526D55"/>
    <w:rsid w:val="00526DBA"/>
    <w:rsid w:val="00526DCE"/>
    <w:rsid w:val="00526E4E"/>
    <w:rsid w:val="00526EAC"/>
    <w:rsid w:val="00526EF7"/>
    <w:rsid w:val="00526F00"/>
    <w:rsid w:val="00526F44"/>
    <w:rsid w:val="00526FBC"/>
    <w:rsid w:val="00526FE5"/>
    <w:rsid w:val="005270F8"/>
    <w:rsid w:val="0052715D"/>
    <w:rsid w:val="005271E6"/>
    <w:rsid w:val="0052723D"/>
    <w:rsid w:val="005272DF"/>
    <w:rsid w:val="00527309"/>
    <w:rsid w:val="0052733B"/>
    <w:rsid w:val="00527342"/>
    <w:rsid w:val="0052738B"/>
    <w:rsid w:val="005273BB"/>
    <w:rsid w:val="005273E4"/>
    <w:rsid w:val="00527436"/>
    <w:rsid w:val="005274CD"/>
    <w:rsid w:val="005274E3"/>
    <w:rsid w:val="0052753D"/>
    <w:rsid w:val="0052759C"/>
    <w:rsid w:val="0052767B"/>
    <w:rsid w:val="005276B4"/>
    <w:rsid w:val="005276D4"/>
    <w:rsid w:val="0052774C"/>
    <w:rsid w:val="0052776A"/>
    <w:rsid w:val="0052776B"/>
    <w:rsid w:val="00527812"/>
    <w:rsid w:val="005278D0"/>
    <w:rsid w:val="00527937"/>
    <w:rsid w:val="00527988"/>
    <w:rsid w:val="0052798D"/>
    <w:rsid w:val="005279B7"/>
    <w:rsid w:val="005279F6"/>
    <w:rsid w:val="00527A04"/>
    <w:rsid w:val="00527A22"/>
    <w:rsid w:val="00527ABA"/>
    <w:rsid w:val="00527AEF"/>
    <w:rsid w:val="00527B1F"/>
    <w:rsid w:val="00527BA6"/>
    <w:rsid w:val="00527C21"/>
    <w:rsid w:val="00527C5D"/>
    <w:rsid w:val="00527CBB"/>
    <w:rsid w:val="00527D46"/>
    <w:rsid w:val="00527DD4"/>
    <w:rsid w:val="00527E48"/>
    <w:rsid w:val="00527E99"/>
    <w:rsid w:val="00527EAA"/>
    <w:rsid w:val="00527ED5"/>
    <w:rsid w:val="00527EE0"/>
    <w:rsid w:val="00527F30"/>
    <w:rsid w:val="00527F65"/>
    <w:rsid w:val="00527F6B"/>
    <w:rsid w:val="00527FC5"/>
    <w:rsid w:val="00530009"/>
    <w:rsid w:val="00530025"/>
    <w:rsid w:val="0053002A"/>
    <w:rsid w:val="00530164"/>
    <w:rsid w:val="005301F8"/>
    <w:rsid w:val="0053026A"/>
    <w:rsid w:val="00530270"/>
    <w:rsid w:val="00530298"/>
    <w:rsid w:val="0053029A"/>
    <w:rsid w:val="005303BB"/>
    <w:rsid w:val="00530413"/>
    <w:rsid w:val="00530452"/>
    <w:rsid w:val="005304F2"/>
    <w:rsid w:val="00530511"/>
    <w:rsid w:val="0053059D"/>
    <w:rsid w:val="005305F7"/>
    <w:rsid w:val="0053060A"/>
    <w:rsid w:val="0053061F"/>
    <w:rsid w:val="0053066B"/>
    <w:rsid w:val="0053066D"/>
    <w:rsid w:val="005306A6"/>
    <w:rsid w:val="005306D7"/>
    <w:rsid w:val="0053072E"/>
    <w:rsid w:val="005307FC"/>
    <w:rsid w:val="00530833"/>
    <w:rsid w:val="00530842"/>
    <w:rsid w:val="0053087E"/>
    <w:rsid w:val="005308BB"/>
    <w:rsid w:val="00530909"/>
    <w:rsid w:val="00530943"/>
    <w:rsid w:val="005309AD"/>
    <w:rsid w:val="00530A16"/>
    <w:rsid w:val="00530A98"/>
    <w:rsid w:val="00530B21"/>
    <w:rsid w:val="00530B2A"/>
    <w:rsid w:val="00530B6E"/>
    <w:rsid w:val="00530BE2"/>
    <w:rsid w:val="00530C44"/>
    <w:rsid w:val="00530CB0"/>
    <w:rsid w:val="00530D89"/>
    <w:rsid w:val="00530D9E"/>
    <w:rsid w:val="00530DA8"/>
    <w:rsid w:val="00530DB1"/>
    <w:rsid w:val="00530DBA"/>
    <w:rsid w:val="00530DD7"/>
    <w:rsid w:val="00530E5A"/>
    <w:rsid w:val="00530E6E"/>
    <w:rsid w:val="00530E8C"/>
    <w:rsid w:val="00530EC4"/>
    <w:rsid w:val="00530EEE"/>
    <w:rsid w:val="00530FA3"/>
    <w:rsid w:val="0053104B"/>
    <w:rsid w:val="0053119F"/>
    <w:rsid w:val="005311F8"/>
    <w:rsid w:val="00531203"/>
    <w:rsid w:val="00531248"/>
    <w:rsid w:val="00531270"/>
    <w:rsid w:val="00531277"/>
    <w:rsid w:val="0053128D"/>
    <w:rsid w:val="005312AE"/>
    <w:rsid w:val="005312FC"/>
    <w:rsid w:val="00531339"/>
    <w:rsid w:val="0053134B"/>
    <w:rsid w:val="005313A1"/>
    <w:rsid w:val="005313B0"/>
    <w:rsid w:val="00531479"/>
    <w:rsid w:val="005314CB"/>
    <w:rsid w:val="005314D9"/>
    <w:rsid w:val="0053162C"/>
    <w:rsid w:val="00531633"/>
    <w:rsid w:val="0053167F"/>
    <w:rsid w:val="005316FC"/>
    <w:rsid w:val="0053175A"/>
    <w:rsid w:val="00531799"/>
    <w:rsid w:val="00531842"/>
    <w:rsid w:val="00531886"/>
    <w:rsid w:val="005318CC"/>
    <w:rsid w:val="005318D5"/>
    <w:rsid w:val="00531930"/>
    <w:rsid w:val="0053194B"/>
    <w:rsid w:val="005319C4"/>
    <w:rsid w:val="00531AE7"/>
    <w:rsid w:val="00531B13"/>
    <w:rsid w:val="00531BAB"/>
    <w:rsid w:val="00531BE1"/>
    <w:rsid w:val="00531D36"/>
    <w:rsid w:val="00531D8A"/>
    <w:rsid w:val="00531DD7"/>
    <w:rsid w:val="00531DF1"/>
    <w:rsid w:val="00531E1B"/>
    <w:rsid w:val="00531E73"/>
    <w:rsid w:val="00531E7E"/>
    <w:rsid w:val="00531EB6"/>
    <w:rsid w:val="00531ED2"/>
    <w:rsid w:val="00531F46"/>
    <w:rsid w:val="00531F49"/>
    <w:rsid w:val="0053207F"/>
    <w:rsid w:val="005320F4"/>
    <w:rsid w:val="00532167"/>
    <w:rsid w:val="005321E7"/>
    <w:rsid w:val="0053228A"/>
    <w:rsid w:val="005322D8"/>
    <w:rsid w:val="0053233C"/>
    <w:rsid w:val="00532350"/>
    <w:rsid w:val="00532454"/>
    <w:rsid w:val="005324C9"/>
    <w:rsid w:val="005324FA"/>
    <w:rsid w:val="00532530"/>
    <w:rsid w:val="0053263F"/>
    <w:rsid w:val="00532772"/>
    <w:rsid w:val="00532781"/>
    <w:rsid w:val="005327E8"/>
    <w:rsid w:val="005327FE"/>
    <w:rsid w:val="00532831"/>
    <w:rsid w:val="00532949"/>
    <w:rsid w:val="0053295C"/>
    <w:rsid w:val="00532A85"/>
    <w:rsid w:val="00532AA0"/>
    <w:rsid w:val="00532AB6"/>
    <w:rsid w:val="00532AD5"/>
    <w:rsid w:val="00532B5B"/>
    <w:rsid w:val="00532C57"/>
    <w:rsid w:val="00532CDF"/>
    <w:rsid w:val="00532CED"/>
    <w:rsid w:val="00532CF4"/>
    <w:rsid w:val="00532D8B"/>
    <w:rsid w:val="00532DA3"/>
    <w:rsid w:val="00532E55"/>
    <w:rsid w:val="00532EA2"/>
    <w:rsid w:val="00532EA4"/>
    <w:rsid w:val="00532F00"/>
    <w:rsid w:val="00532F18"/>
    <w:rsid w:val="00532FF5"/>
    <w:rsid w:val="00533079"/>
    <w:rsid w:val="0053308C"/>
    <w:rsid w:val="005331A4"/>
    <w:rsid w:val="00533266"/>
    <w:rsid w:val="0053327D"/>
    <w:rsid w:val="0053330F"/>
    <w:rsid w:val="005333B8"/>
    <w:rsid w:val="00533487"/>
    <w:rsid w:val="00533498"/>
    <w:rsid w:val="005334F8"/>
    <w:rsid w:val="005335BB"/>
    <w:rsid w:val="005335CB"/>
    <w:rsid w:val="00533612"/>
    <w:rsid w:val="00533679"/>
    <w:rsid w:val="0053374A"/>
    <w:rsid w:val="00533813"/>
    <w:rsid w:val="00533850"/>
    <w:rsid w:val="00533938"/>
    <w:rsid w:val="0053395A"/>
    <w:rsid w:val="00533A02"/>
    <w:rsid w:val="00533A85"/>
    <w:rsid w:val="00533A94"/>
    <w:rsid w:val="00533AFC"/>
    <w:rsid w:val="00533B04"/>
    <w:rsid w:val="00533B8E"/>
    <w:rsid w:val="00533BAC"/>
    <w:rsid w:val="00533BE8"/>
    <w:rsid w:val="00533C27"/>
    <w:rsid w:val="00533C3D"/>
    <w:rsid w:val="00533C74"/>
    <w:rsid w:val="00533CF4"/>
    <w:rsid w:val="00533D4C"/>
    <w:rsid w:val="00533D4E"/>
    <w:rsid w:val="00533D8E"/>
    <w:rsid w:val="00533DAA"/>
    <w:rsid w:val="00533E8E"/>
    <w:rsid w:val="00533EA8"/>
    <w:rsid w:val="00533F6A"/>
    <w:rsid w:val="00533F82"/>
    <w:rsid w:val="00533F89"/>
    <w:rsid w:val="00533FF6"/>
    <w:rsid w:val="00534011"/>
    <w:rsid w:val="00534033"/>
    <w:rsid w:val="00534061"/>
    <w:rsid w:val="00534083"/>
    <w:rsid w:val="00534098"/>
    <w:rsid w:val="005340DA"/>
    <w:rsid w:val="00534220"/>
    <w:rsid w:val="00534262"/>
    <w:rsid w:val="0053426A"/>
    <w:rsid w:val="00534397"/>
    <w:rsid w:val="0053451C"/>
    <w:rsid w:val="0053453E"/>
    <w:rsid w:val="00534546"/>
    <w:rsid w:val="00534574"/>
    <w:rsid w:val="005345B8"/>
    <w:rsid w:val="00534617"/>
    <w:rsid w:val="005347B4"/>
    <w:rsid w:val="0053482C"/>
    <w:rsid w:val="005348A7"/>
    <w:rsid w:val="00534921"/>
    <w:rsid w:val="0053498B"/>
    <w:rsid w:val="005349B1"/>
    <w:rsid w:val="005349BE"/>
    <w:rsid w:val="00534A2A"/>
    <w:rsid w:val="00534A30"/>
    <w:rsid w:val="00534B79"/>
    <w:rsid w:val="00534C5F"/>
    <w:rsid w:val="00534CD4"/>
    <w:rsid w:val="00534D16"/>
    <w:rsid w:val="00534D53"/>
    <w:rsid w:val="00534DAA"/>
    <w:rsid w:val="00534E3B"/>
    <w:rsid w:val="00534E73"/>
    <w:rsid w:val="00534EAA"/>
    <w:rsid w:val="00534EB2"/>
    <w:rsid w:val="00534F66"/>
    <w:rsid w:val="00534F96"/>
    <w:rsid w:val="00534FF2"/>
    <w:rsid w:val="00535009"/>
    <w:rsid w:val="00535012"/>
    <w:rsid w:val="00535024"/>
    <w:rsid w:val="005351A5"/>
    <w:rsid w:val="00535339"/>
    <w:rsid w:val="0053533F"/>
    <w:rsid w:val="00535388"/>
    <w:rsid w:val="005353E6"/>
    <w:rsid w:val="00535470"/>
    <w:rsid w:val="0053549E"/>
    <w:rsid w:val="005354D5"/>
    <w:rsid w:val="00535505"/>
    <w:rsid w:val="00535517"/>
    <w:rsid w:val="0053555D"/>
    <w:rsid w:val="00535571"/>
    <w:rsid w:val="0053561F"/>
    <w:rsid w:val="00535691"/>
    <w:rsid w:val="00535693"/>
    <w:rsid w:val="005356FF"/>
    <w:rsid w:val="00535717"/>
    <w:rsid w:val="0053573D"/>
    <w:rsid w:val="005357AF"/>
    <w:rsid w:val="005357BE"/>
    <w:rsid w:val="005357F2"/>
    <w:rsid w:val="005357F8"/>
    <w:rsid w:val="005358AE"/>
    <w:rsid w:val="005358DE"/>
    <w:rsid w:val="005358E0"/>
    <w:rsid w:val="00535937"/>
    <w:rsid w:val="00535962"/>
    <w:rsid w:val="005359E0"/>
    <w:rsid w:val="005359FF"/>
    <w:rsid w:val="00535A97"/>
    <w:rsid w:val="00535AC3"/>
    <w:rsid w:val="00535AD4"/>
    <w:rsid w:val="00535AEB"/>
    <w:rsid w:val="00535AF4"/>
    <w:rsid w:val="00535B81"/>
    <w:rsid w:val="00535C5E"/>
    <w:rsid w:val="00535C69"/>
    <w:rsid w:val="00535CA0"/>
    <w:rsid w:val="00535CF2"/>
    <w:rsid w:val="00535CF4"/>
    <w:rsid w:val="00535D77"/>
    <w:rsid w:val="00535D95"/>
    <w:rsid w:val="00535DE6"/>
    <w:rsid w:val="00535E5E"/>
    <w:rsid w:val="00535F24"/>
    <w:rsid w:val="00535F46"/>
    <w:rsid w:val="00535F7A"/>
    <w:rsid w:val="00536023"/>
    <w:rsid w:val="0053603D"/>
    <w:rsid w:val="00536077"/>
    <w:rsid w:val="005360B8"/>
    <w:rsid w:val="005360C0"/>
    <w:rsid w:val="005360C1"/>
    <w:rsid w:val="00536160"/>
    <w:rsid w:val="0053621C"/>
    <w:rsid w:val="00536238"/>
    <w:rsid w:val="005362B7"/>
    <w:rsid w:val="005362F9"/>
    <w:rsid w:val="00536325"/>
    <w:rsid w:val="00536343"/>
    <w:rsid w:val="0053634C"/>
    <w:rsid w:val="00536377"/>
    <w:rsid w:val="005363DB"/>
    <w:rsid w:val="005363EB"/>
    <w:rsid w:val="00536407"/>
    <w:rsid w:val="005364D9"/>
    <w:rsid w:val="005364F2"/>
    <w:rsid w:val="00536568"/>
    <w:rsid w:val="0053659F"/>
    <w:rsid w:val="005365C7"/>
    <w:rsid w:val="0053667F"/>
    <w:rsid w:val="00536687"/>
    <w:rsid w:val="00536692"/>
    <w:rsid w:val="005366A9"/>
    <w:rsid w:val="005366BB"/>
    <w:rsid w:val="005366DD"/>
    <w:rsid w:val="00536723"/>
    <w:rsid w:val="00536793"/>
    <w:rsid w:val="005367FD"/>
    <w:rsid w:val="0053684A"/>
    <w:rsid w:val="0053686F"/>
    <w:rsid w:val="00536871"/>
    <w:rsid w:val="005368BB"/>
    <w:rsid w:val="00536921"/>
    <w:rsid w:val="00536956"/>
    <w:rsid w:val="00536969"/>
    <w:rsid w:val="0053698B"/>
    <w:rsid w:val="005369EB"/>
    <w:rsid w:val="005369FE"/>
    <w:rsid w:val="00536A18"/>
    <w:rsid w:val="00536A23"/>
    <w:rsid w:val="00536AB1"/>
    <w:rsid w:val="00536B05"/>
    <w:rsid w:val="00536B5F"/>
    <w:rsid w:val="00536BAB"/>
    <w:rsid w:val="00536C3D"/>
    <w:rsid w:val="00536C99"/>
    <w:rsid w:val="00536CF2"/>
    <w:rsid w:val="00536D1B"/>
    <w:rsid w:val="00536D5F"/>
    <w:rsid w:val="00536E58"/>
    <w:rsid w:val="00536EC5"/>
    <w:rsid w:val="00536F3F"/>
    <w:rsid w:val="00536F7A"/>
    <w:rsid w:val="00536FB4"/>
    <w:rsid w:val="00536FB8"/>
    <w:rsid w:val="00537023"/>
    <w:rsid w:val="005370C0"/>
    <w:rsid w:val="00537191"/>
    <w:rsid w:val="005371F2"/>
    <w:rsid w:val="00537242"/>
    <w:rsid w:val="00537246"/>
    <w:rsid w:val="00537358"/>
    <w:rsid w:val="00537359"/>
    <w:rsid w:val="0053746D"/>
    <w:rsid w:val="00537475"/>
    <w:rsid w:val="0053748D"/>
    <w:rsid w:val="00537491"/>
    <w:rsid w:val="005374FC"/>
    <w:rsid w:val="00537619"/>
    <w:rsid w:val="0053763E"/>
    <w:rsid w:val="00537654"/>
    <w:rsid w:val="00537709"/>
    <w:rsid w:val="00537767"/>
    <w:rsid w:val="005377B4"/>
    <w:rsid w:val="005377D5"/>
    <w:rsid w:val="005377EC"/>
    <w:rsid w:val="00537821"/>
    <w:rsid w:val="0053784A"/>
    <w:rsid w:val="0053784D"/>
    <w:rsid w:val="00537949"/>
    <w:rsid w:val="005379CE"/>
    <w:rsid w:val="00537ABD"/>
    <w:rsid w:val="00537B0D"/>
    <w:rsid w:val="00537B76"/>
    <w:rsid w:val="00537BD7"/>
    <w:rsid w:val="00537C1F"/>
    <w:rsid w:val="00537C36"/>
    <w:rsid w:val="00537C4B"/>
    <w:rsid w:val="00537CB0"/>
    <w:rsid w:val="00537CC2"/>
    <w:rsid w:val="00537D35"/>
    <w:rsid w:val="00537D6B"/>
    <w:rsid w:val="00537D8D"/>
    <w:rsid w:val="00537DC5"/>
    <w:rsid w:val="00537DF7"/>
    <w:rsid w:val="00537E05"/>
    <w:rsid w:val="00537E76"/>
    <w:rsid w:val="00537EA4"/>
    <w:rsid w:val="00537EEF"/>
    <w:rsid w:val="00537F21"/>
    <w:rsid w:val="00537F65"/>
    <w:rsid w:val="0054002B"/>
    <w:rsid w:val="00540090"/>
    <w:rsid w:val="005400E6"/>
    <w:rsid w:val="0054022E"/>
    <w:rsid w:val="00540234"/>
    <w:rsid w:val="00540240"/>
    <w:rsid w:val="0054025C"/>
    <w:rsid w:val="005402D0"/>
    <w:rsid w:val="005402D9"/>
    <w:rsid w:val="00540303"/>
    <w:rsid w:val="00540310"/>
    <w:rsid w:val="00540330"/>
    <w:rsid w:val="0054036E"/>
    <w:rsid w:val="00540372"/>
    <w:rsid w:val="00540375"/>
    <w:rsid w:val="00540378"/>
    <w:rsid w:val="00540417"/>
    <w:rsid w:val="00540464"/>
    <w:rsid w:val="005404D9"/>
    <w:rsid w:val="0054054E"/>
    <w:rsid w:val="0054056F"/>
    <w:rsid w:val="00540580"/>
    <w:rsid w:val="005405AE"/>
    <w:rsid w:val="005405D8"/>
    <w:rsid w:val="005405E0"/>
    <w:rsid w:val="00540632"/>
    <w:rsid w:val="00540651"/>
    <w:rsid w:val="00540674"/>
    <w:rsid w:val="0054068B"/>
    <w:rsid w:val="005406B9"/>
    <w:rsid w:val="00540728"/>
    <w:rsid w:val="0054076B"/>
    <w:rsid w:val="0054083B"/>
    <w:rsid w:val="00540859"/>
    <w:rsid w:val="005408B2"/>
    <w:rsid w:val="005408EB"/>
    <w:rsid w:val="005408EC"/>
    <w:rsid w:val="005408EE"/>
    <w:rsid w:val="005408F8"/>
    <w:rsid w:val="005408FC"/>
    <w:rsid w:val="00540904"/>
    <w:rsid w:val="005409C7"/>
    <w:rsid w:val="00540ACA"/>
    <w:rsid w:val="00540ACF"/>
    <w:rsid w:val="00540AF6"/>
    <w:rsid w:val="00540C00"/>
    <w:rsid w:val="00540C04"/>
    <w:rsid w:val="00540C30"/>
    <w:rsid w:val="00540C5B"/>
    <w:rsid w:val="00540C8D"/>
    <w:rsid w:val="00540CAD"/>
    <w:rsid w:val="00540CC5"/>
    <w:rsid w:val="00540E29"/>
    <w:rsid w:val="00540E61"/>
    <w:rsid w:val="00540F00"/>
    <w:rsid w:val="00540F13"/>
    <w:rsid w:val="00540F2F"/>
    <w:rsid w:val="00540F52"/>
    <w:rsid w:val="00540F6A"/>
    <w:rsid w:val="00541084"/>
    <w:rsid w:val="005410BC"/>
    <w:rsid w:val="005410C1"/>
    <w:rsid w:val="00541152"/>
    <w:rsid w:val="00541165"/>
    <w:rsid w:val="005411DD"/>
    <w:rsid w:val="005411F9"/>
    <w:rsid w:val="00541200"/>
    <w:rsid w:val="00541292"/>
    <w:rsid w:val="005412AA"/>
    <w:rsid w:val="005412AE"/>
    <w:rsid w:val="00541356"/>
    <w:rsid w:val="0054138B"/>
    <w:rsid w:val="005413B6"/>
    <w:rsid w:val="00541446"/>
    <w:rsid w:val="00541448"/>
    <w:rsid w:val="00541463"/>
    <w:rsid w:val="00541573"/>
    <w:rsid w:val="005415BB"/>
    <w:rsid w:val="005415DB"/>
    <w:rsid w:val="005415EA"/>
    <w:rsid w:val="005415F0"/>
    <w:rsid w:val="005415FD"/>
    <w:rsid w:val="0054167B"/>
    <w:rsid w:val="005416B0"/>
    <w:rsid w:val="005416D8"/>
    <w:rsid w:val="00541750"/>
    <w:rsid w:val="0054177C"/>
    <w:rsid w:val="0054180C"/>
    <w:rsid w:val="00541894"/>
    <w:rsid w:val="0054191F"/>
    <w:rsid w:val="005419A5"/>
    <w:rsid w:val="005419B2"/>
    <w:rsid w:val="00541A0E"/>
    <w:rsid w:val="00541A13"/>
    <w:rsid w:val="00541A69"/>
    <w:rsid w:val="00541A8F"/>
    <w:rsid w:val="00541AAD"/>
    <w:rsid w:val="00541AF2"/>
    <w:rsid w:val="00541B1A"/>
    <w:rsid w:val="00541B52"/>
    <w:rsid w:val="00541C1C"/>
    <w:rsid w:val="00541C37"/>
    <w:rsid w:val="00541C51"/>
    <w:rsid w:val="00541CF0"/>
    <w:rsid w:val="00541D43"/>
    <w:rsid w:val="00541E55"/>
    <w:rsid w:val="00541E63"/>
    <w:rsid w:val="00541EA2"/>
    <w:rsid w:val="00541EB0"/>
    <w:rsid w:val="00541EC6"/>
    <w:rsid w:val="00541F33"/>
    <w:rsid w:val="00541F41"/>
    <w:rsid w:val="00541F47"/>
    <w:rsid w:val="00541F82"/>
    <w:rsid w:val="00542019"/>
    <w:rsid w:val="00542023"/>
    <w:rsid w:val="0054205C"/>
    <w:rsid w:val="00542068"/>
    <w:rsid w:val="005420AF"/>
    <w:rsid w:val="00542236"/>
    <w:rsid w:val="00542362"/>
    <w:rsid w:val="005423DF"/>
    <w:rsid w:val="0054241E"/>
    <w:rsid w:val="00542443"/>
    <w:rsid w:val="00542452"/>
    <w:rsid w:val="0054246D"/>
    <w:rsid w:val="00542489"/>
    <w:rsid w:val="00542548"/>
    <w:rsid w:val="00542557"/>
    <w:rsid w:val="0054255C"/>
    <w:rsid w:val="00542560"/>
    <w:rsid w:val="005425C5"/>
    <w:rsid w:val="005425D9"/>
    <w:rsid w:val="0054260C"/>
    <w:rsid w:val="00542628"/>
    <w:rsid w:val="00542654"/>
    <w:rsid w:val="00542655"/>
    <w:rsid w:val="005426C3"/>
    <w:rsid w:val="005426D1"/>
    <w:rsid w:val="00542797"/>
    <w:rsid w:val="0054289E"/>
    <w:rsid w:val="005429C9"/>
    <w:rsid w:val="00542A10"/>
    <w:rsid w:val="00542A77"/>
    <w:rsid w:val="00542AA8"/>
    <w:rsid w:val="00542AC2"/>
    <w:rsid w:val="00542B2E"/>
    <w:rsid w:val="00542BB6"/>
    <w:rsid w:val="00542C1D"/>
    <w:rsid w:val="00542C28"/>
    <w:rsid w:val="00542C3C"/>
    <w:rsid w:val="00542CDA"/>
    <w:rsid w:val="00542CDB"/>
    <w:rsid w:val="00542D32"/>
    <w:rsid w:val="00542DEA"/>
    <w:rsid w:val="00542DF4"/>
    <w:rsid w:val="00542E3C"/>
    <w:rsid w:val="00542E53"/>
    <w:rsid w:val="00542E5A"/>
    <w:rsid w:val="00542ED5"/>
    <w:rsid w:val="00542EF8"/>
    <w:rsid w:val="00542F6E"/>
    <w:rsid w:val="00542FC4"/>
    <w:rsid w:val="00542FD3"/>
    <w:rsid w:val="00543018"/>
    <w:rsid w:val="00543038"/>
    <w:rsid w:val="00543175"/>
    <w:rsid w:val="005431A8"/>
    <w:rsid w:val="005431F7"/>
    <w:rsid w:val="00543255"/>
    <w:rsid w:val="0054329B"/>
    <w:rsid w:val="00543338"/>
    <w:rsid w:val="00543344"/>
    <w:rsid w:val="005433AE"/>
    <w:rsid w:val="005433CD"/>
    <w:rsid w:val="0054341C"/>
    <w:rsid w:val="00543478"/>
    <w:rsid w:val="00543518"/>
    <w:rsid w:val="0054359B"/>
    <w:rsid w:val="005435B2"/>
    <w:rsid w:val="005435E7"/>
    <w:rsid w:val="00543688"/>
    <w:rsid w:val="00543689"/>
    <w:rsid w:val="005436E9"/>
    <w:rsid w:val="00543728"/>
    <w:rsid w:val="0054376C"/>
    <w:rsid w:val="005437D0"/>
    <w:rsid w:val="0054387B"/>
    <w:rsid w:val="005438E3"/>
    <w:rsid w:val="00543977"/>
    <w:rsid w:val="005439DB"/>
    <w:rsid w:val="005439EC"/>
    <w:rsid w:val="005439F3"/>
    <w:rsid w:val="00543A07"/>
    <w:rsid w:val="00543A5B"/>
    <w:rsid w:val="00543A7C"/>
    <w:rsid w:val="00543A92"/>
    <w:rsid w:val="00543A95"/>
    <w:rsid w:val="00543ABD"/>
    <w:rsid w:val="00543B25"/>
    <w:rsid w:val="00543B93"/>
    <w:rsid w:val="00543BB2"/>
    <w:rsid w:val="00543D7A"/>
    <w:rsid w:val="00543D91"/>
    <w:rsid w:val="00543D9A"/>
    <w:rsid w:val="00543DD2"/>
    <w:rsid w:val="00543E03"/>
    <w:rsid w:val="00543F7C"/>
    <w:rsid w:val="00543FFE"/>
    <w:rsid w:val="0054403A"/>
    <w:rsid w:val="00544054"/>
    <w:rsid w:val="00544082"/>
    <w:rsid w:val="00544151"/>
    <w:rsid w:val="0054416F"/>
    <w:rsid w:val="005441BA"/>
    <w:rsid w:val="0054420F"/>
    <w:rsid w:val="00544227"/>
    <w:rsid w:val="00544285"/>
    <w:rsid w:val="00544298"/>
    <w:rsid w:val="005442EE"/>
    <w:rsid w:val="0054435A"/>
    <w:rsid w:val="00544399"/>
    <w:rsid w:val="005443B2"/>
    <w:rsid w:val="005443F2"/>
    <w:rsid w:val="00544409"/>
    <w:rsid w:val="0054444E"/>
    <w:rsid w:val="00544456"/>
    <w:rsid w:val="00544487"/>
    <w:rsid w:val="005446CC"/>
    <w:rsid w:val="005446D2"/>
    <w:rsid w:val="00544734"/>
    <w:rsid w:val="0054477A"/>
    <w:rsid w:val="00544801"/>
    <w:rsid w:val="00544883"/>
    <w:rsid w:val="0054488B"/>
    <w:rsid w:val="005448C7"/>
    <w:rsid w:val="005448F0"/>
    <w:rsid w:val="00544AA7"/>
    <w:rsid w:val="00544AC9"/>
    <w:rsid w:val="00544B17"/>
    <w:rsid w:val="00544C33"/>
    <w:rsid w:val="00544C48"/>
    <w:rsid w:val="00544C49"/>
    <w:rsid w:val="00544CDA"/>
    <w:rsid w:val="00544D0B"/>
    <w:rsid w:val="00544D2F"/>
    <w:rsid w:val="00544DAE"/>
    <w:rsid w:val="00544E45"/>
    <w:rsid w:val="00544EB9"/>
    <w:rsid w:val="00544EBB"/>
    <w:rsid w:val="00544F71"/>
    <w:rsid w:val="00544FB8"/>
    <w:rsid w:val="00544FC8"/>
    <w:rsid w:val="00544FF4"/>
    <w:rsid w:val="00545190"/>
    <w:rsid w:val="005451D9"/>
    <w:rsid w:val="00545254"/>
    <w:rsid w:val="00545274"/>
    <w:rsid w:val="00545299"/>
    <w:rsid w:val="00545358"/>
    <w:rsid w:val="00545393"/>
    <w:rsid w:val="005453D6"/>
    <w:rsid w:val="00545440"/>
    <w:rsid w:val="005454AA"/>
    <w:rsid w:val="0054555E"/>
    <w:rsid w:val="0054562D"/>
    <w:rsid w:val="005457BA"/>
    <w:rsid w:val="0054581B"/>
    <w:rsid w:val="00545902"/>
    <w:rsid w:val="00545990"/>
    <w:rsid w:val="005459C4"/>
    <w:rsid w:val="00545A16"/>
    <w:rsid w:val="00545A3C"/>
    <w:rsid w:val="00545A5F"/>
    <w:rsid w:val="00545A74"/>
    <w:rsid w:val="00545A8B"/>
    <w:rsid w:val="00545A96"/>
    <w:rsid w:val="00545AB5"/>
    <w:rsid w:val="00545B2D"/>
    <w:rsid w:val="00545B34"/>
    <w:rsid w:val="00545B35"/>
    <w:rsid w:val="00545B4B"/>
    <w:rsid w:val="00545B54"/>
    <w:rsid w:val="00545B8C"/>
    <w:rsid w:val="00545BD4"/>
    <w:rsid w:val="00545CBE"/>
    <w:rsid w:val="00545CED"/>
    <w:rsid w:val="00545D2E"/>
    <w:rsid w:val="00545D9D"/>
    <w:rsid w:val="00545DA8"/>
    <w:rsid w:val="00545DDB"/>
    <w:rsid w:val="00545DE1"/>
    <w:rsid w:val="00545DE4"/>
    <w:rsid w:val="00545E39"/>
    <w:rsid w:val="00545E78"/>
    <w:rsid w:val="00545ECD"/>
    <w:rsid w:val="00545F35"/>
    <w:rsid w:val="00545F64"/>
    <w:rsid w:val="00546019"/>
    <w:rsid w:val="005460A8"/>
    <w:rsid w:val="005461A8"/>
    <w:rsid w:val="005461B1"/>
    <w:rsid w:val="005461BF"/>
    <w:rsid w:val="005462D5"/>
    <w:rsid w:val="00546318"/>
    <w:rsid w:val="00546326"/>
    <w:rsid w:val="00546335"/>
    <w:rsid w:val="00546370"/>
    <w:rsid w:val="005463CC"/>
    <w:rsid w:val="00546419"/>
    <w:rsid w:val="00546422"/>
    <w:rsid w:val="0054643D"/>
    <w:rsid w:val="005464A0"/>
    <w:rsid w:val="00546572"/>
    <w:rsid w:val="00546598"/>
    <w:rsid w:val="005465FA"/>
    <w:rsid w:val="0054665C"/>
    <w:rsid w:val="005466AD"/>
    <w:rsid w:val="0054671B"/>
    <w:rsid w:val="00546730"/>
    <w:rsid w:val="00546747"/>
    <w:rsid w:val="00546755"/>
    <w:rsid w:val="00546759"/>
    <w:rsid w:val="00546764"/>
    <w:rsid w:val="005467A2"/>
    <w:rsid w:val="0054681E"/>
    <w:rsid w:val="0054684E"/>
    <w:rsid w:val="00546850"/>
    <w:rsid w:val="00546883"/>
    <w:rsid w:val="005468AF"/>
    <w:rsid w:val="005468E4"/>
    <w:rsid w:val="0054693B"/>
    <w:rsid w:val="00546987"/>
    <w:rsid w:val="00546A17"/>
    <w:rsid w:val="00546A9A"/>
    <w:rsid w:val="00546AA9"/>
    <w:rsid w:val="00546AEE"/>
    <w:rsid w:val="00546AF0"/>
    <w:rsid w:val="00546B18"/>
    <w:rsid w:val="00546B1E"/>
    <w:rsid w:val="00546B57"/>
    <w:rsid w:val="00546B8F"/>
    <w:rsid w:val="00546C63"/>
    <w:rsid w:val="00546C6E"/>
    <w:rsid w:val="00546D81"/>
    <w:rsid w:val="00546D90"/>
    <w:rsid w:val="00546DA6"/>
    <w:rsid w:val="00546DBF"/>
    <w:rsid w:val="00546E96"/>
    <w:rsid w:val="00546E98"/>
    <w:rsid w:val="00546F77"/>
    <w:rsid w:val="00546FC7"/>
    <w:rsid w:val="00546FFB"/>
    <w:rsid w:val="0054700F"/>
    <w:rsid w:val="00547036"/>
    <w:rsid w:val="005470FE"/>
    <w:rsid w:val="00547194"/>
    <w:rsid w:val="00547216"/>
    <w:rsid w:val="00547269"/>
    <w:rsid w:val="0054726C"/>
    <w:rsid w:val="00547280"/>
    <w:rsid w:val="005473C7"/>
    <w:rsid w:val="005473D4"/>
    <w:rsid w:val="00547421"/>
    <w:rsid w:val="0054742B"/>
    <w:rsid w:val="00547479"/>
    <w:rsid w:val="00547482"/>
    <w:rsid w:val="005474A5"/>
    <w:rsid w:val="005474FE"/>
    <w:rsid w:val="00547549"/>
    <w:rsid w:val="0054754C"/>
    <w:rsid w:val="0054763B"/>
    <w:rsid w:val="00547691"/>
    <w:rsid w:val="005476A3"/>
    <w:rsid w:val="0054771A"/>
    <w:rsid w:val="0054775D"/>
    <w:rsid w:val="0054775E"/>
    <w:rsid w:val="0054778A"/>
    <w:rsid w:val="005477D4"/>
    <w:rsid w:val="005477F2"/>
    <w:rsid w:val="00547850"/>
    <w:rsid w:val="005478B8"/>
    <w:rsid w:val="00547931"/>
    <w:rsid w:val="00547932"/>
    <w:rsid w:val="0054799E"/>
    <w:rsid w:val="005479D5"/>
    <w:rsid w:val="005479D6"/>
    <w:rsid w:val="00547ADA"/>
    <w:rsid w:val="00547AE9"/>
    <w:rsid w:val="00547BCF"/>
    <w:rsid w:val="00547BD8"/>
    <w:rsid w:val="00547C08"/>
    <w:rsid w:val="00547CDD"/>
    <w:rsid w:val="00547D0C"/>
    <w:rsid w:val="00547D0D"/>
    <w:rsid w:val="00547D69"/>
    <w:rsid w:val="00547DDB"/>
    <w:rsid w:val="00547E5C"/>
    <w:rsid w:val="00547EEF"/>
    <w:rsid w:val="00547EF5"/>
    <w:rsid w:val="00547F0A"/>
    <w:rsid w:val="00547FA8"/>
    <w:rsid w:val="00550098"/>
    <w:rsid w:val="005501B9"/>
    <w:rsid w:val="005501DD"/>
    <w:rsid w:val="005501FD"/>
    <w:rsid w:val="0055027C"/>
    <w:rsid w:val="005502B2"/>
    <w:rsid w:val="005503B8"/>
    <w:rsid w:val="005503BD"/>
    <w:rsid w:val="005503E6"/>
    <w:rsid w:val="0055050A"/>
    <w:rsid w:val="0055059E"/>
    <w:rsid w:val="0055068C"/>
    <w:rsid w:val="005506B2"/>
    <w:rsid w:val="005506D2"/>
    <w:rsid w:val="00550705"/>
    <w:rsid w:val="00550775"/>
    <w:rsid w:val="00550873"/>
    <w:rsid w:val="005508FB"/>
    <w:rsid w:val="00550901"/>
    <w:rsid w:val="0055090B"/>
    <w:rsid w:val="00550A1E"/>
    <w:rsid w:val="00550A88"/>
    <w:rsid w:val="00550AD4"/>
    <w:rsid w:val="00550AF4"/>
    <w:rsid w:val="00550B30"/>
    <w:rsid w:val="00550B41"/>
    <w:rsid w:val="00550B6A"/>
    <w:rsid w:val="00550C16"/>
    <w:rsid w:val="00550C38"/>
    <w:rsid w:val="00550C76"/>
    <w:rsid w:val="00550C98"/>
    <w:rsid w:val="00550CBA"/>
    <w:rsid w:val="00550CC6"/>
    <w:rsid w:val="00550CEC"/>
    <w:rsid w:val="00550D29"/>
    <w:rsid w:val="00550D53"/>
    <w:rsid w:val="00550DA9"/>
    <w:rsid w:val="00550DB9"/>
    <w:rsid w:val="00550DC9"/>
    <w:rsid w:val="00550DD8"/>
    <w:rsid w:val="00550E2E"/>
    <w:rsid w:val="00550E4D"/>
    <w:rsid w:val="00550EBE"/>
    <w:rsid w:val="00550FA9"/>
    <w:rsid w:val="0055103C"/>
    <w:rsid w:val="005510A8"/>
    <w:rsid w:val="005510BC"/>
    <w:rsid w:val="005510EE"/>
    <w:rsid w:val="005511BF"/>
    <w:rsid w:val="00551286"/>
    <w:rsid w:val="005512AF"/>
    <w:rsid w:val="005512C1"/>
    <w:rsid w:val="005512FE"/>
    <w:rsid w:val="00551335"/>
    <w:rsid w:val="0055137B"/>
    <w:rsid w:val="0055139A"/>
    <w:rsid w:val="00551473"/>
    <w:rsid w:val="0055147E"/>
    <w:rsid w:val="005514B1"/>
    <w:rsid w:val="005514B2"/>
    <w:rsid w:val="005514F0"/>
    <w:rsid w:val="0055150B"/>
    <w:rsid w:val="0055153C"/>
    <w:rsid w:val="00551543"/>
    <w:rsid w:val="0055156D"/>
    <w:rsid w:val="005515B5"/>
    <w:rsid w:val="005516A5"/>
    <w:rsid w:val="005516A7"/>
    <w:rsid w:val="005516CF"/>
    <w:rsid w:val="005516D2"/>
    <w:rsid w:val="0055172F"/>
    <w:rsid w:val="0055177C"/>
    <w:rsid w:val="00551870"/>
    <w:rsid w:val="00551871"/>
    <w:rsid w:val="005518FB"/>
    <w:rsid w:val="0055191A"/>
    <w:rsid w:val="00551943"/>
    <w:rsid w:val="005519EC"/>
    <w:rsid w:val="00551A71"/>
    <w:rsid w:val="00551A8A"/>
    <w:rsid w:val="00551BDF"/>
    <w:rsid w:val="00551C1D"/>
    <w:rsid w:val="00551C7F"/>
    <w:rsid w:val="00551C94"/>
    <w:rsid w:val="00551C9E"/>
    <w:rsid w:val="00551CF0"/>
    <w:rsid w:val="00551D39"/>
    <w:rsid w:val="00551E51"/>
    <w:rsid w:val="00551E76"/>
    <w:rsid w:val="00551EA8"/>
    <w:rsid w:val="00551F95"/>
    <w:rsid w:val="00551F9D"/>
    <w:rsid w:val="0055200C"/>
    <w:rsid w:val="00552041"/>
    <w:rsid w:val="00552056"/>
    <w:rsid w:val="00552067"/>
    <w:rsid w:val="00552097"/>
    <w:rsid w:val="005521E3"/>
    <w:rsid w:val="00552230"/>
    <w:rsid w:val="00552287"/>
    <w:rsid w:val="005522B6"/>
    <w:rsid w:val="005523C8"/>
    <w:rsid w:val="00552546"/>
    <w:rsid w:val="00552569"/>
    <w:rsid w:val="00552573"/>
    <w:rsid w:val="005525EE"/>
    <w:rsid w:val="00552645"/>
    <w:rsid w:val="005526F6"/>
    <w:rsid w:val="0055276E"/>
    <w:rsid w:val="00552820"/>
    <w:rsid w:val="0055283E"/>
    <w:rsid w:val="005528BB"/>
    <w:rsid w:val="00552994"/>
    <w:rsid w:val="00552A45"/>
    <w:rsid w:val="00552A60"/>
    <w:rsid w:val="00552B24"/>
    <w:rsid w:val="00552B2D"/>
    <w:rsid w:val="00552BA8"/>
    <w:rsid w:val="00552BCA"/>
    <w:rsid w:val="00552C1A"/>
    <w:rsid w:val="00552C5D"/>
    <w:rsid w:val="00552C7D"/>
    <w:rsid w:val="00552D54"/>
    <w:rsid w:val="00552D58"/>
    <w:rsid w:val="00552D99"/>
    <w:rsid w:val="00552DFC"/>
    <w:rsid w:val="00552E01"/>
    <w:rsid w:val="00552E68"/>
    <w:rsid w:val="00552E8B"/>
    <w:rsid w:val="00552EFE"/>
    <w:rsid w:val="00552F19"/>
    <w:rsid w:val="00552F24"/>
    <w:rsid w:val="00552F8F"/>
    <w:rsid w:val="00552FB8"/>
    <w:rsid w:val="00553025"/>
    <w:rsid w:val="00553056"/>
    <w:rsid w:val="005530C9"/>
    <w:rsid w:val="005530CA"/>
    <w:rsid w:val="00553170"/>
    <w:rsid w:val="00553197"/>
    <w:rsid w:val="005531FA"/>
    <w:rsid w:val="00553245"/>
    <w:rsid w:val="00553256"/>
    <w:rsid w:val="00553262"/>
    <w:rsid w:val="005532B9"/>
    <w:rsid w:val="005532E4"/>
    <w:rsid w:val="005533D3"/>
    <w:rsid w:val="00553441"/>
    <w:rsid w:val="0055347E"/>
    <w:rsid w:val="0055349F"/>
    <w:rsid w:val="005534E4"/>
    <w:rsid w:val="005535D9"/>
    <w:rsid w:val="00553652"/>
    <w:rsid w:val="00553663"/>
    <w:rsid w:val="005537CF"/>
    <w:rsid w:val="005537E4"/>
    <w:rsid w:val="005537E9"/>
    <w:rsid w:val="00553817"/>
    <w:rsid w:val="00553979"/>
    <w:rsid w:val="00553996"/>
    <w:rsid w:val="005539BF"/>
    <w:rsid w:val="00553A51"/>
    <w:rsid w:val="00553B6E"/>
    <w:rsid w:val="00553B84"/>
    <w:rsid w:val="00553B8C"/>
    <w:rsid w:val="00553C6F"/>
    <w:rsid w:val="00553CB3"/>
    <w:rsid w:val="00553CB4"/>
    <w:rsid w:val="00553E04"/>
    <w:rsid w:val="00553E1D"/>
    <w:rsid w:val="00553E25"/>
    <w:rsid w:val="00553E3A"/>
    <w:rsid w:val="00553EF8"/>
    <w:rsid w:val="00553F83"/>
    <w:rsid w:val="00553FA1"/>
    <w:rsid w:val="00553FA8"/>
    <w:rsid w:val="00553FD7"/>
    <w:rsid w:val="0055414D"/>
    <w:rsid w:val="0055416E"/>
    <w:rsid w:val="00554170"/>
    <w:rsid w:val="00554190"/>
    <w:rsid w:val="005541DE"/>
    <w:rsid w:val="00554204"/>
    <w:rsid w:val="00554264"/>
    <w:rsid w:val="00554294"/>
    <w:rsid w:val="005542C2"/>
    <w:rsid w:val="005542E2"/>
    <w:rsid w:val="005542ED"/>
    <w:rsid w:val="0055431E"/>
    <w:rsid w:val="0055438E"/>
    <w:rsid w:val="00554430"/>
    <w:rsid w:val="00554453"/>
    <w:rsid w:val="00554528"/>
    <w:rsid w:val="00554577"/>
    <w:rsid w:val="005545BC"/>
    <w:rsid w:val="005545D6"/>
    <w:rsid w:val="005545FE"/>
    <w:rsid w:val="0055463A"/>
    <w:rsid w:val="00554661"/>
    <w:rsid w:val="005546AE"/>
    <w:rsid w:val="005546E5"/>
    <w:rsid w:val="005546F1"/>
    <w:rsid w:val="0055472E"/>
    <w:rsid w:val="0055486B"/>
    <w:rsid w:val="005548E3"/>
    <w:rsid w:val="005549D3"/>
    <w:rsid w:val="00554A6D"/>
    <w:rsid w:val="00554A85"/>
    <w:rsid w:val="00554AEF"/>
    <w:rsid w:val="00554AF9"/>
    <w:rsid w:val="00554B20"/>
    <w:rsid w:val="00554BC1"/>
    <w:rsid w:val="00554BEF"/>
    <w:rsid w:val="00554BF3"/>
    <w:rsid w:val="00554C46"/>
    <w:rsid w:val="00554D52"/>
    <w:rsid w:val="00554D56"/>
    <w:rsid w:val="00554D87"/>
    <w:rsid w:val="00554D9F"/>
    <w:rsid w:val="00554DB8"/>
    <w:rsid w:val="00554E29"/>
    <w:rsid w:val="00554F0D"/>
    <w:rsid w:val="00554F1B"/>
    <w:rsid w:val="00554F7F"/>
    <w:rsid w:val="00554F90"/>
    <w:rsid w:val="00555008"/>
    <w:rsid w:val="0055502F"/>
    <w:rsid w:val="005550BD"/>
    <w:rsid w:val="00555123"/>
    <w:rsid w:val="0055514E"/>
    <w:rsid w:val="00555186"/>
    <w:rsid w:val="00555216"/>
    <w:rsid w:val="00555228"/>
    <w:rsid w:val="0055523D"/>
    <w:rsid w:val="00555241"/>
    <w:rsid w:val="005552C9"/>
    <w:rsid w:val="005552CA"/>
    <w:rsid w:val="005552CB"/>
    <w:rsid w:val="0055532A"/>
    <w:rsid w:val="005553A5"/>
    <w:rsid w:val="005553C7"/>
    <w:rsid w:val="0055549C"/>
    <w:rsid w:val="00555585"/>
    <w:rsid w:val="005555EB"/>
    <w:rsid w:val="005556E1"/>
    <w:rsid w:val="005556FA"/>
    <w:rsid w:val="00555746"/>
    <w:rsid w:val="005557C2"/>
    <w:rsid w:val="0055586B"/>
    <w:rsid w:val="00555939"/>
    <w:rsid w:val="0055594D"/>
    <w:rsid w:val="0055599F"/>
    <w:rsid w:val="005559E2"/>
    <w:rsid w:val="00555A17"/>
    <w:rsid w:val="00555A34"/>
    <w:rsid w:val="00555A4D"/>
    <w:rsid w:val="00555A61"/>
    <w:rsid w:val="00555A8B"/>
    <w:rsid w:val="00555AF2"/>
    <w:rsid w:val="00555B04"/>
    <w:rsid w:val="00555BBF"/>
    <w:rsid w:val="00555C2E"/>
    <w:rsid w:val="00555C32"/>
    <w:rsid w:val="00555C36"/>
    <w:rsid w:val="00555C84"/>
    <w:rsid w:val="00555CA5"/>
    <w:rsid w:val="00555CB8"/>
    <w:rsid w:val="00555CC1"/>
    <w:rsid w:val="00555D14"/>
    <w:rsid w:val="00555D99"/>
    <w:rsid w:val="00555DE3"/>
    <w:rsid w:val="00555E14"/>
    <w:rsid w:val="00555E24"/>
    <w:rsid w:val="00555E42"/>
    <w:rsid w:val="00555E71"/>
    <w:rsid w:val="00555EB2"/>
    <w:rsid w:val="00555F45"/>
    <w:rsid w:val="00555F8A"/>
    <w:rsid w:val="00555FAE"/>
    <w:rsid w:val="00555FC0"/>
    <w:rsid w:val="00555FE8"/>
    <w:rsid w:val="00555FEA"/>
    <w:rsid w:val="00556000"/>
    <w:rsid w:val="00556063"/>
    <w:rsid w:val="005560A5"/>
    <w:rsid w:val="00556138"/>
    <w:rsid w:val="00556156"/>
    <w:rsid w:val="0055616B"/>
    <w:rsid w:val="005561EE"/>
    <w:rsid w:val="00556267"/>
    <w:rsid w:val="00556351"/>
    <w:rsid w:val="00556356"/>
    <w:rsid w:val="0055637F"/>
    <w:rsid w:val="005563DC"/>
    <w:rsid w:val="00556499"/>
    <w:rsid w:val="005564AB"/>
    <w:rsid w:val="005564AE"/>
    <w:rsid w:val="00556548"/>
    <w:rsid w:val="00556566"/>
    <w:rsid w:val="00556576"/>
    <w:rsid w:val="005565AB"/>
    <w:rsid w:val="005565FD"/>
    <w:rsid w:val="00556688"/>
    <w:rsid w:val="0055669A"/>
    <w:rsid w:val="005566EA"/>
    <w:rsid w:val="00556739"/>
    <w:rsid w:val="00556776"/>
    <w:rsid w:val="005567A6"/>
    <w:rsid w:val="005567C3"/>
    <w:rsid w:val="00556893"/>
    <w:rsid w:val="00556911"/>
    <w:rsid w:val="0055694B"/>
    <w:rsid w:val="0055695D"/>
    <w:rsid w:val="005569F9"/>
    <w:rsid w:val="00556AAC"/>
    <w:rsid w:val="00556AD0"/>
    <w:rsid w:val="00556B88"/>
    <w:rsid w:val="00556B93"/>
    <w:rsid w:val="00556C18"/>
    <w:rsid w:val="00556C6F"/>
    <w:rsid w:val="00556C8F"/>
    <w:rsid w:val="00556CA2"/>
    <w:rsid w:val="00556CFA"/>
    <w:rsid w:val="00556D9E"/>
    <w:rsid w:val="00556DEC"/>
    <w:rsid w:val="00556E25"/>
    <w:rsid w:val="00556E77"/>
    <w:rsid w:val="00556E7F"/>
    <w:rsid w:val="00556EAD"/>
    <w:rsid w:val="00556EF2"/>
    <w:rsid w:val="00556F16"/>
    <w:rsid w:val="00556F3F"/>
    <w:rsid w:val="00556FD7"/>
    <w:rsid w:val="00557010"/>
    <w:rsid w:val="00557048"/>
    <w:rsid w:val="005570D0"/>
    <w:rsid w:val="005570E5"/>
    <w:rsid w:val="0055710C"/>
    <w:rsid w:val="00557156"/>
    <w:rsid w:val="0055719F"/>
    <w:rsid w:val="00557299"/>
    <w:rsid w:val="00557339"/>
    <w:rsid w:val="005573F0"/>
    <w:rsid w:val="00557408"/>
    <w:rsid w:val="00557467"/>
    <w:rsid w:val="0055746D"/>
    <w:rsid w:val="00557481"/>
    <w:rsid w:val="00557533"/>
    <w:rsid w:val="0055755F"/>
    <w:rsid w:val="005575F8"/>
    <w:rsid w:val="005575FB"/>
    <w:rsid w:val="00557606"/>
    <w:rsid w:val="00557613"/>
    <w:rsid w:val="0055761E"/>
    <w:rsid w:val="00557622"/>
    <w:rsid w:val="0055764B"/>
    <w:rsid w:val="00557676"/>
    <w:rsid w:val="00557721"/>
    <w:rsid w:val="0055775D"/>
    <w:rsid w:val="00557785"/>
    <w:rsid w:val="00557788"/>
    <w:rsid w:val="00557866"/>
    <w:rsid w:val="005578B2"/>
    <w:rsid w:val="005578EB"/>
    <w:rsid w:val="005578FD"/>
    <w:rsid w:val="00557944"/>
    <w:rsid w:val="00557957"/>
    <w:rsid w:val="0055799D"/>
    <w:rsid w:val="00557A0C"/>
    <w:rsid w:val="00557A3C"/>
    <w:rsid w:val="00557AE2"/>
    <w:rsid w:val="00557AE7"/>
    <w:rsid w:val="00557B07"/>
    <w:rsid w:val="00557BCD"/>
    <w:rsid w:val="00557C38"/>
    <w:rsid w:val="00557CE6"/>
    <w:rsid w:val="00557D35"/>
    <w:rsid w:val="00557D3E"/>
    <w:rsid w:val="00557E7E"/>
    <w:rsid w:val="00557EAB"/>
    <w:rsid w:val="00557EC5"/>
    <w:rsid w:val="00557F02"/>
    <w:rsid w:val="00557F38"/>
    <w:rsid w:val="00557F3D"/>
    <w:rsid w:val="00557F6D"/>
    <w:rsid w:val="00557FA8"/>
    <w:rsid w:val="00560003"/>
    <w:rsid w:val="0056001F"/>
    <w:rsid w:val="00560063"/>
    <w:rsid w:val="005600E7"/>
    <w:rsid w:val="00560143"/>
    <w:rsid w:val="0056016C"/>
    <w:rsid w:val="005601F6"/>
    <w:rsid w:val="00560209"/>
    <w:rsid w:val="0056026D"/>
    <w:rsid w:val="00560275"/>
    <w:rsid w:val="005602CB"/>
    <w:rsid w:val="00560393"/>
    <w:rsid w:val="00560402"/>
    <w:rsid w:val="0056045D"/>
    <w:rsid w:val="00560477"/>
    <w:rsid w:val="005604DA"/>
    <w:rsid w:val="00560518"/>
    <w:rsid w:val="00560540"/>
    <w:rsid w:val="0056059A"/>
    <w:rsid w:val="005605A0"/>
    <w:rsid w:val="005605C0"/>
    <w:rsid w:val="005605F8"/>
    <w:rsid w:val="00560630"/>
    <w:rsid w:val="00560674"/>
    <w:rsid w:val="00560731"/>
    <w:rsid w:val="00560767"/>
    <w:rsid w:val="0056083B"/>
    <w:rsid w:val="0056085B"/>
    <w:rsid w:val="00560885"/>
    <w:rsid w:val="0056088F"/>
    <w:rsid w:val="00560921"/>
    <w:rsid w:val="0056093E"/>
    <w:rsid w:val="00560946"/>
    <w:rsid w:val="00560961"/>
    <w:rsid w:val="00560985"/>
    <w:rsid w:val="005609BF"/>
    <w:rsid w:val="005609DA"/>
    <w:rsid w:val="00560A38"/>
    <w:rsid w:val="00560A46"/>
    <w:rsid w:val="00560AB4"/>
    <w:rsid w:val="00560B0A"/>
    <w:rsid w:val="00560B9B"/>
    <w:rsid w:val="00560BEB"/>
    <w:rsid w:val="00560C11"/>
    <w:rsid w:val="00560CA1"/>
    <w:rsid w:val="00560CC9"/>
    <w:rsid w:val="00560CFD"/>
    <w:rsid w:val="00560D5C"/>
    <w:rsid w:val="00560D98"/>
    <w:rsid w:val="00560DE3"/>
    <w:rsid w:val="00560E33"/>
    <w:rsid w:val="00560E62"/>
    <w:rsid w:val="00560EF0"/>
    <w:rsid w:val="00560F3F"/>
    <w:rsid w:val="005610F0"/>
    <w:rsid w:val="00561122"/>
    <w:rsid w:val="00561126"/>
    <w:rsid w:val="00561131"/>
    <w:rsid w:val="0056113D"/>
    <w:rsid w:val="0056119B"/>
    <w:rsid w:val="005611C9"/>
    <w:rsid w:val="005611D2"/>
    <w:rsid w:val="00561206"/>
    <w:rsid w:val="0056123C"/>
    <w:rsid w:val="005612C6"/>
    <w:rsid w:val="0056139D"/>
    <w:rsid w:val="005613B7"/>
    <w:rsid w:val="0056141A"/>
    <w:rsid w:val="0056144B"/>
    <w:rsid w:val="0056145A"/>
    <w:rsid w:val="005614FF"/>
    <w:rsid w:val="00561593"/>
    <w:rsid w:val="005615D6"/>
    <w:rsid w:val="0056160E"/>
    <w:rsid w:val="0056162C"/>
    <w:rsid w:val="0056169A"/>
    <w:rsid w:val="005616DD"/>
    <w:rsid w:val="0056178B"/>
    <w:rsid w:val="0056178D"/>
    <w:rsid w:val="0056178F"/>
    <w:rsid w:val="00561791"/>
    <w:rsid w:val="00561860"/>
    <w:rsid w:val="00561882"/>
    <w:rsid w:val="005618A6"/>
    <w:rsid w:val="0056196B"/>
    <w:rsid w:val="0056199A"/>
    <w:rsid w:val="005619AC"/>
    <w:rsid w:val="005619DA"/>
    <w:rsid w:val="00561A2A"/>
    <w:rsid w:val="00561A82"/>
    <w:rsid w:val="00561B10"/>
    <w:rsid w:val="00561B5C"/>
    <w:rsid w:val="00561B6D"/>
    <w:rsid w:val="00561BF0"/>
    <w:rsid w:val="00561C00"/>
    <w:rsid w:val="00561D41"/>
    <w:rsid w:val="00561D7A"/>
    <w:rsid w:val="00561D91"/>
    <w:rsid w:val="00561DF4"/>
    <w:rsid w:val="00561E0B"/>
    <w:rsid w:val="00561E71"/>
    <w:rsid w:val="00561EA2"/>
    <w:rsid w:val="00561EF7"/>
    <w:rsid w:val="00561F9D"/>
    <w:rsid w:val="00561FA9"/>
    <w:rsid w:val="0056205C"/>
    <w:rsid w:val="005620CE"/>
    <w:rsid w:val="005620E6"/>
    <w:rsid w:val="00562131"/>
    <w:rsid w:val="00562140"/>
    <w:rsid w:val="00562163"/>
    <w:rsid w:val="00562197"/>
    <w:rsid w:val="00562235"/>
    <w:rsid w:val="0056226C"/>
    <w:rsid w:val="0056228F"/>
    <w:rsid w:val="00562323"/>
    <w:rsid w:val="00562369"/>
    <w:rsid w:val="00562431"/>
    <w:rsid w:val="0056246A"/>
    <w:rsid w:val="0056255A"/>
    <w:rsid w:val="00562578"/>
    <w:rsid w:val="00562580"/>
    <w:rsid w:val="0056258B"/>
    <w:rsid w:val="005625BD"/>
    <w:rsid w:val="00562605"/>
    <w:rsid w:val="005627B9"/>
    <w:rsid w:val="005627BC"/>
    <w:rsid w:val="00562858"/>
    <w:rsid w:val="0056285C"/>
    <w:rsid w:val="00562874"/>
    <w:rsid w:val="005628B1"/>
    <w:rsid w:val="005628D5"/>
    <w:rsid w:val="005628E2"/>
    <w:rsid w:val="005628E9"/>
    <w:rsid w:val="005628F6"/>
    <w:rsid w:val="00562ABB"/>
    <w:rsid w:val="00562B22"/>
    <w:rsid w:val="00562C15"/>
    <w:rsid w:val="00562D7B"/>
    <w:rsid w:val="00562D7E"/>
    <w:rsid w:val="00562DCE"/>
    <w:rsid w:val="00562DE9"/>
    <w:rsid w:val="00562DF3"/>
    <w:rsid w:val="00562E46"/>
    <w:rsid w:val="00562E5F"/>
    <w:rsid w:val="00562EEF"/>
    <w:rsid w:val="00562F21"/>
    <w:rsid w:val="00562F9D"/>
    <w:rsid w:val="0056307B"/>
    <w:rsid w:val="00563128"/>
    <w:rsid w:val="00563137"/>
    <w:rsid w:val="005631B2"/>
    <w:rsid w:val="0056320E"/>
    <w:rsid w:val="00563211"/>
    <w:rsid w:val="00563222"/>
    <w:rsid w:val="0056324C"/>
    <w:rsid w:val="005633B7"/>
    <w:rsid w:val="00563408"/>
    <w:rsid w:val="0056340C"/>
    <w:rsid w:val="00563501"/>
    <w:rsid w:val="00563539"/>
    <w:rsid w:val="00563618"/>
    <w:rsid w:val="005636BB"/>
    <w:rsid w:val="0056371A"/>
    <w:rsid w:val="00563755"/>
    <w:rsid w:val="0056383F"/>
    <w:rsid w:val="00563862"/>
    <w:rsid w:val="005638B0"/>
    <w:rsid w:val="005638F3"/>
    <w:rsid w:val="00563933"/>
    <w:rsid w:val="005639D1"/>
    <w:rsid w:val="005639E4"/>
    <w:rsid w:val="00563B27"/>
    <w:rsid w:val="00563B2B"/>
    <w:rsid w:val="00563BBA"/>
    <w:rsid w:val="00563BD3"/>
    <w:rsid w:val="00563C33"/>
    <w:rsid w:val="00563C4F"/>
    <w:rsid w:val="00563CFF"/>
    <w:rsid w:val="00563D1B"/>
    <w:rsid w:val="00563D51"/>
    <w:rsid w:val="00563E60"/>
    <w:rsid w:val="00563E7F"/>
    <w:rsid w:val="00563EA6"/>
    <w:rsid w:val="00563F15"/>
    <w:rsid w:val="00563F53"/>
    <w:rsid w:val="00563FA0"/>
    <w:rsid w:val="0056400E"/>
    <w:rsid w:val="0056401C"/>
    <w:rsid w:val="0056401F"/>
    <w:rsid w:val="00564028"/>
    <w:rsid w:val="00564032"/>
    <w:rsid w:val="00564044"/>
    <w:rsid w:val="005640C6"/>
    <w:rsid w:val="0056413A"/>
    <w:rsid w:val="005642A8"/>
    <w:rsid w:val="005642D8"/>
    <w:rsid w:val="005643DD"/>
    <w:rsid w:val="005643EF"/>
    <w:rsid w:val="00564478"/>
    <w:rsid w:val="005644CA"/>
    <w:rsid w:val="00564528"/>
    <w:rsid w:val="0056454A"/>
    <w:rsid w:val="00564558"/>
    <w:rsid w:val="0056459E"/>
    <w:rsid w:val="005645A0"/>
    <w:rsid w:val="005647EF"/>
    <w:rsid w:val="00564822"/>
    <w:rsid w:val="00564867"/>
    <w:rsid w:val="00564AC1"/>
    <w:rsid w:val="00564BA4"/>
    <w:rsid w:val="00564BCB"/>
    <w:rsid w:val="00564BEC"/>
    <w:rsid w:val="00564BED"/>
    <w:rsid w:val="00564C3C"/>
    <w:rsid w:val="00564C9F"/>
    <w:rsid w:val="00564CD4"/>
    <w:rsid w:val="00564D11"/>
    <w:rsid w:val="00564D86"/>
    <w:rsid w:val="00564DD2"/>
    <w:rsid w:val="00564E0F"/>
    <w:rsid w:val="00564E4C"/>
    <w:rsid w:val="00564E74"/>
    <w:rsid w:val="00564F05"/>
    <w:rsid w:val="00564F25"/>
    <w:rsid w:val="00564FEB"/>
    <w:rsid w:val="0056506C"/>
    <w:rsid w:val="005650BA"/>
    <w:rsid w:val="00565233"/>
    <w:rsid w:val="00565249"/>
    <w:rsid w:val="005652EB"/>
    <w:rsid w:val="00565330"/>
    <w:rsid w:val="005653A6"/>
    <w:rsid w:val="005654B0"/>
    <w:rsid w:val="005654BF"/>
    <w:rsid w:val="005654D6"/>
    <w:rsid w:val="00565522"/>
    <w:rsid w:val="005655A6"/>
    <w:rsid w:val="00565630"/>
    <w:rsid w:val="00565647"/>
    <w:rsid w:val="00565675"/>
    <w:rsid w:val="005656B8"/>
    <w:rsid w:val="0056571D"/>
    <w:rsid w:val="00565821"/>
    <w:rsid w:val="005658AB"/>
    <w:rsid w:val="005658AC"/>
    <w:rsid w:val="005658DA"/>
    <w:rsid w:val="005658E0"/>
    <w:rsid w:val="00565902"/>
    <w:rsid w:val="0056595B"/>
    <w:rsid w:val="00565986"/>
    <w:rsid w:val="00565A4D"/>
    <w:rsid w:val="00565AB5"/>
    <w:rsid w:val="00565ACC"/>
    <w:rsid w:val="00565ADA"/>
    <w:rsid w:val="00565AEC"/>
    <w:rsid w:val="00565B21"/>
    <w:rsid w:val="00565B24"/>
    <w:rsid w:val="00565B9B"/>
    <w:rsid w:val="00565BD9"/>
    <w:rsid w:val="00565BF0"/>
    <w:rsid w:val="00565C26"/>
    <w:rsid w:val="00565CA8"/>
    <w:rsid w:val="00565CE8"/>
    <w:rsid w:val="00565D23"/>
    <w:rsid w:val="00565E0D"/>
    <w:rsid w:val="00565E13"/>
    <w:rsid w:val="00565F13"/>
    <w:rsid w:val="00565F1C"/>
    <w:rsid w:val="00565F1D"/>
    <w:rsid w:val="00565F8D"/>
    <w:rsid w:val="00565FDE"/>
    <w:rsid w:val="0056602D"/>
    <w:rsid w:val="00566030"/>
    <w:rsid w:val="005660FD"/>
    <w:rsid w:val="00566142"/>
    <w:rsid w:val="00566149"/>
    <w:rsid w:val="00566192"/>
    <w:rsid w:val="00566196"/>
    <w:rsid w:val="00566245"/>
    <w:rsid w:val="0056626C"/>
    <w:rsid w:val="005662B5"/>
    <w:rsid w:val="0056637C"/>
    <w:rsid w:val="0056638C"/>
    <w:rsid w:val="005663C4"/>
    <w:rsid w:val="00566462"/>
    <w:rsid w:val="005664F2"/>
    <w:rsid w:val="0056650A"/>
    <w:rsid w:val="00566522"/>
    <w:rsid w:val="0056653C"/>
    <w:rsid w:val="0056655D"/>
    <w:rsid w:val="005665B6"/>
    <w:rsid w:val="005665F1"/>
    <w:rsid w:val="0056660D"/>
    <w:rsid w:val="00566631"/>
    <w:rsid w:val="005666C9"/>
    <w:rsid w:val="005666CA"/>
    <w:rsid w:val="0056671D"/>
    <w:rsid w:val="005667E7"/>
    <w:rsid w:val="005667F6"/>
    <w:rsid w:val="005668B4"/>
    <w:rsid w:val="005668FB"/>
    <w:rsid w:val="00566938"/>
    <w:rsid w:val="0056694E"/>
    <w:rsid w:val="005669CA"/>
    <w:rsid w:val="005669CC"/>
    <w:rsid w:val="00566A14"/>
    <w:rsid w:val="00566A5B"/>
    <w:rsid w:val="00566A69"/>
    <w:rsid w:val="00566AC4"/>
    <w:rsid w:val="00566B03"/>
    <w:rsid w:val="00566B6C"/>
    <w:rsid w:val="00566B8E"/>
    <w:rsid w:val="00566C0F"/>
    <w:rsid w:val="00566C20"/>
    <w:rsid w:val="00566C6B"/>
    <w:rsid w:val="00566C7B"/>
    <w:rsid w:val="00566CE7"/>
    <w:rsid w:val="00566CF0"/>
    <w:rsid w:val="00566D06"/>
    <w:rsid w:val="00566DE2"/>
    <w:rsid w:val="00566E04"/>
    <w:rsid w:val="00566E4F"/>
    <w:rsid w:val="00566E5A"/>
    <w:rsid w:val="00566EBE"/>
    <w:rsid w:val="00566ED7"/>
    <w:rsid w:val="00566EDD"/>
    <w:rsid w:val="00566F2A"/>
    <w:rsid w:val="00566F41"/>
    <w:rsid w:val="00566F7F"/>
    <w:rsid w:val="00566F9D"/>
    <w:rsid w:val="00566FC4"/>
    <w:rsid w:val="00567099"/>
    <w:rsid w:val="005670A5"/>
    <w:rsid w:val="00567110"/>
    <w:rsid w:val="0056711C"/>
    <w:rsid w:val="005671D6"/>
    <w:rsid w:val="0056721E"/>
    <w:rsid w:val="0056723A"/>
    <w:rsid w:val="00567247"/>
    <w:rsid w:val="005672A7"/>
    <w:rsid w:val="0056731D"/>
    <w:rsid w:val="00567449"/>
    <w:rsid w:val="005674A2"/>
    <w:rsid w:val="005674F6"/>
    <w:rsid w:val="00567555"/>
    <w:rsid w:val="00567564"/>
    <w:rsid w:val="00567590"/>
    <w:rsid w:val="00567591"/>
    <w:rsid w:val="0056759F"/>
    <w:rsid w:val="005675A4"/>
    <w:rsid w:val="00567628"/>
    <w:rsid w:val="0056766C"/>
    <w:rsid w:val="005676E5"/>
    <w:rsid w:val="005676FF"/>
    <w:rsid w:val="0056771F"/>
    <w:rsid w:val="0056772D"/>
    <w:rsid w:val="0056773E"/>
    <w:rsid w:val="0056774F"/>
    <w:rsid w:val="0056775D"/>
    <w:rsid w:val="00567798"/>
    <w:rsid w:val="00567839"/>
    <w:rsid w:val="005678AB"/>
    <w:rsid w:val="005678DB"/>
    <w:rsid w:val="005678DD"/>
    <w:rsid w:val="005678F2"/>
    <w:rsid w:val="005678F9"/>
    <w:rsid w:val="0056799A"/>
    <w:rsid w:val="00567A37"/>
    <w:rsid w:val="00567AC3"/>
    <w:rsid w:val="00567B1C"/>
    <w:rsid w:val="00567B78"/>
    <w:rsid w:val="00567B85"/>
    <w:rsid w:val="00567C11"/>
    <w:rsid w:val="00567C38"/>
    <w:rsid w:val="00567C56"/>
    <w:rsid w:val="00567C90"/>
    <w:rsid w:val="00567CC5"/>
    <w:rsid w:val="00567E71"/>
    <w:rsid w:val="00567ED8"/>
    <w:rsid w:val="00567EE2"/>
    <w:rsid w:val="00567F09"/>
    <w:rsid w:val="00567F21"/>
    <w:rsid w:val="00570005"/>
    <w:rsid w:val="00570008"/>
    <w:rsid w:val="00570049"/>
    <w:rsid w:val="0057005A"/>
    <w:rsid w:val="0057005D"/>
    <w:rsid w:val="00570096"/>
    <w:rsid w:val="005700A9"/>
    <w:rsid w:val="005700B0"/>
    <w:rsid w:val="00570123"/>
    <w:rsid w:val="00570209"/>
    <w:rsid w:val="00570248"/>
    <w:rsid w:val="00570255"/>
    <w:rsid w:val="0057028D"/>
    <w:rsid w:val="005703E4"/>
    <w:rsid w:val="0057041E"/>
    <w:rsid w:val="0057043D"/>
    <w:rsid w:val="005704C5"/>
    <w:rsid w:val="00570576"/>
    <w:rsid w:val="005705B1"/>
    <w:rsid w:val="005705C5"/>
    <w:rsid w:val="005705FA"/>
    <w:rsid w:val="00570684"/>
    <w:rsid w:val="005706B5"/>
    <w:rsid w:val="005706D1"/>
    <w:rsid w:val="005707B7"/>
    <w:rsid w:val="005707D2"/>
    <w:rsid w:val="005707E9"/>
    <w:rsid w:val="005707EC"/>
    <w:rsid w:val="0057080B"/>
    <w:rsid w:val="005708CD"/>
    <w:rsid w:val="005708D7"/>
    <w:rsid w:val="00570912"/>
    <w:rsid w:val="00570A3C"/>
    <w:rsid w:val="00570A6B"/>
    <w:rsid w:val="00570AA1"/>
    <w:rsid w:val="00570B23"/>
    <w:rsid w:val="00570BAA"/>
    <w:rsid w:val="00570D0F"/>
    <w:rsid w:val="00570D3B"/>
    <w:rsid w:val="00570E0C"/>
    <w:rsid w:val="00570E0E"/>
    <w:rsid w:val="00570E2F"/>
    <w:rsid w:val="00570E50"/>
    <w:rsid w:val="00570EA7"/>
    <w:rsid w:val="00570ED1"/>
    <w:rsid w:val="00570EDA"/>
    <w:rsid w:val="00570F31"/>
    <w:rsid w:val="00570FDD"/>
    <w:rsid w:val="00570FE8"/>
    <w:rsid w:val="00571067"/>
    <w:rsid w:val="0057107A"/>
    <w:rsid w:val="005710C9"/>
    <w:rsid w:val="00571143"/>
    <w:rsid w:val="00571254"/>
    <w:rsid w:val="005712C9"/>
    <w:rsid w:val="005713DC"/>
    <w:rsid w:val="00571474"/>
    <w:rsid w:val="005714BD"/>
    <w:rsid w:val="005714C8"/>
    <w:rsid w:val="00571587"/>
    <w:rsid w:val="005715D8"/>
    <w:rsid w:val="005715E5"/>
    <w:rsid w:val="005715FF"/>
    <w:rsid w:val="0057168F"/>
    <w:rsid w:val="00571702"/>
    <w:rsid w:val="0057171A"/>
    <w:rsid w:val="005717B9"/>
    <w:rsid w:val="005717CE"/>
    <w:rsid w:val="0057187A"/>
    <w:rsid w:val="005718AF"/>
    <w:rsid w:val="005718E5"/>
    <w:rsid w:val="00571944"/>
    <w:rsid w:val="0057196E"/>
    <w:rsid w:val="0057199F"/>
    <w:rsid w:val="005719A3"/>
    <w:rsid w:val="005719B7"/>
    <w:rsid w:val="005719DE"/>
    <w:rsid w:val="005719E6"/>
    <w:rsid w:val="00571A23"/>
    <w:rsid w:val="00571A7C"/>
    <w:rsid w:val="00571AB7"/>
    <w:rsid w:val="00571B50"/>
    <w:rsid w:val="00571B96"/>
    <w:rsid w:val="00571BDD"/>
    <w:rsid w:val="00571C30"/>
    <w:rsid w:val="00571C83"/>
    <w:rsid w:val="00571D18"/>
    <w:rsid w:val="00571D61"/>
    <w:rsid w:val="00571E46"/>
    <w:rsid w:val="00571E5B"/>
    <w:rsid w:val="00571FDC"/>
    <w:rsid w:val="0057206D"/>
    <w:rsid w:val="0057207D"/>
    <w:rsid w:val="005720C5"/>
    <w:rsid w:val="00572124"/>
    <w:rsid w:val="00572145"/>
    <w:rsid w:val="00572167"/>
    <w:rsid w:val="005721B2"/>
    <w:rsid w:val="00572378"/>
    <w:rsid w:val="005723C0"/>
    <w:rsid w:val="005723F0"/>
    <w:rsid w:val="005723FF"/>
    <w:rsid w:val="0057240C"/>
    <w:rsid w:val="00572418"/>
    <w:rsid w:val="00572526"/>
    <w:rsid w:val="005726AB"/>
    <w:rsid w:val="005726BE"/>
    <w:rsid w:val="0057280E"/>
    <w:rsid w:val="00572829"/>
    <w:rsid w:val="00572875"/>
    <w:rsid w:val="0057288F"/>
    <w:rsid w:val="005728E3"/>
    <w:rsid w:val="00572905"/>
    <w:rsid w:val="00572949"/>
    <w:rsid w:val="005729A2"/>
    <w:rsid w:val="005729B2"/>
    <w:rsid w:val="00572A1B"/>
    <w:rsid w:val="00572A34"/>
    <w:rsid w:val="00572A73"/>
    <w:rsid w:val="00572A76"/>
    <w:rsid w:val="00572A8A"/>
    <w:rsid w:val="00572A9F"/>
    <w:rsid w:val="00572AE8"/>
    <w:rsid w:val="00572B0A"/>
    <w:rsid w:val="00572BA7"/>
    <w:rsid w:val="00572BEB"/>
    <w:rsid w:val="00572BF8"/>
    <w:rsid w:val="00572C1D"/>
    <w:rsid w:val="00572C3A"/>
    <w:rsid w:val="00572C56"/>
    <w:rsid w:val="00572C58"/>
    <w:rsid w:val="00572CA2"/>
    <w:rsid w:val="00572CF1"/>
    <w:rsid w:val="00572D6B"/>
    <w:rsid w:val="00572D9E"/>
    <w:rsid w:val="00572E10"/>
    <w:rsid w:val="00572E55"/>
    <w:rsid w:val="00572E65"/>
    <w:rsid w:val="00572E6A"/>
    <w:rsid w:val="00572F28"/>
    <w:rsid w:val="00572F82"/>
    <w:rsid w:val="0057303C"/>
    <w:rsid w:val="00573047"/>
    <w:rsid w:val="0057306D"/>
    <w:rsid w:val="005730F2"/>
    <w:rsid w:val="00573123"/>
    <w:rsid w:val="005731C7"/>
    <w:rsid w:val="0057324B"/>
    <w:rsid w:val="005732D0"/>
    <w:rsid w:val="005732D4"/>
    <w:rsid w:val="0057332E"/>
    <w:rsid w:val="00573351"/>
    <w:rsid w:val="00573362"/>
    <w:rsid w:val="005733B4"/>
    <w:rsid w:val="005733B8"/>
    <w:rsid w:val="005733C7"/>
    <w:rsid w:val="005734FF"/>
    <w:rsid w:val="00573505"/>
    <w:rsid w:val="00573518"/>
    <w:rsid w:val="0057351B"/>
    <w:rsid w:val="0057354C"/>
    <w:rsid w:val="005735B3"/>
    <w:rsid w:val="0057371D"/>
    <w:rsid w:val="0057372C"/>
    <w:rsid w:val="0057377E"/>
    <w:rsid w:val="00573794"/>
    <w:rsid w:val="005737DB"/>
    <w:rsid w:val="0057380B"/>
    <w:rsid w:val="00573895"/>
    <w:rsid w:val="005738B3"/>
    <w:rsid w:val="005738D6"/>
    <w:rsid w:val="00573904"/>
    <w:rsid w:val="005739DC"/>
    <w:rsid w:val="00573A01"/>
    <w:rsid w:val="00573A8C"/>
    <w:rsid w:val="00573ABF"/>
    <w:rsid w:val="00573B0A"/>
    <w:rsid w:val="00573B1A"/>
    <w:rsid w:val="00573B33"/>
    <w:rsid w:val="00573B3B"/>
    <w:rsid w:val="00573BD8"/>
    <w:rsid w:val="00573C45"/>
    <w:rsid w:val="00573C61"/>
    <w:rsid w:val="00573D55"/>
    <w:rsid w:val="00573D5C"/>
    <w:rsid w:val="00573D7A"/>
    <w:rsid w:val="00573F11"/>
    <w:rsid w:val="00573F88"/>
    <w:rsid w:val="00573FAB"/>
    <w:rsid w:val="00573FB9"/>
    <w:rsid w:val="00573FFE"/>
    <w:rsid w:val="00574093"/>
    <w:rsid w:val="0057415D"/>
    <w:rsid w:val="00574162"/>
    <w:rsid w:val="0057424D"/>
    <w:rsid w:val="005742DF"/>
    <w:rsid w:val="005742EB"/>
    <w:rsid w:val="00574320"/>
    <w:rsid w:val="0057443E"/>
    <w:rsid w:val="00574469"/>
    <w:rsid w:val="00574471"/>
    <w:rsid w:val="005744EC"/>
    <w:rsid w:val="00574526"/>
    <w:rsid w:val="0057455A"/>
    <w:rsid w:val="0057457E"/>
    <w:rsid w:val="0057458D"/>
    <w:rsid w:val="005745ED"/>
    <w:rsid w:val="0057466D"/>
    <w:rsid w:val="00574672"/>
    <w:rsid w:val="005746C3"/>
    <w:rsid w:val="00574746"/>
    <w:rsid w:val="00574758"/>
    <w:rsid w:val="00574766"/>
    <w:rsid w:val="005748D7"/>
    <w:rsid w:val="0057494E"/>
    <w:rsid w:val="005749BA"/>
    <w:rsid w:val="005749DF"/>
    <w:rsid w:val="00574A54"/>
    <w:rsid w:val="00574A81"/>
    <w:rsid w:val="00574AC5"/>
    <w:rsid w:val="00574B1D"/>
    <w:rsid w:val="00574B3C"/>
    <w:rsid w:val="00574B62"/>
    <w:rsid w:val="00574C8F"/>
    <w:rsid w:val="00574CC5"/>
    <w:rsid w:val="00574D91"/>
    <w:rsid w:val="00574DE9"/>
    <w:rsid w:val="00574DEA"/>
    <w:rsid w:val="00574E09"/>
    <w:rsid w:val="00574E5C"/>
    <w:rsid w:val="00574E60"/>
    <w:rsid w:val="00574EB9"/>
    <w:rsid w:val="00574F77"/>
    <w:rsid w:val="00574FC9"/>
    <w:rsid w:val="0057507C"/>
    <w:rsid w:val="00575089"/>
    <w:rsid w:val="005750AF"/>
    <w:rsid w:val="005750C1"/>
    <w:rsid w:val="005750DD"/>
    <w:rsid w:val="0057511B"/>
    <w:rsid w:val="005751B0"/>
    <w:rsid w:val="005751B4"/>
    <w:rsid w:val="0057522F"/>
    <w:rsid w:val="00575243"/>
    <w:rsid w:val="00575424"/>
    <w:rsid w:val="00575435"/>
    <w:rsid w:val="005754BD"/>
    <w:rsid w:val="00575509"/>
    <w:rsid w:val="0057551A"/>
    <w:rsid w:val="00575550"/>
    <w:rsid w:val="00575596"/>
    <w:rsid w:val="005755FB"/>
    <w:rsid w:val="005756C9"/>
    <w:rsid w:val="005757F3"/>
    <w:rsid w:val="00575812"/>
    <w:rsid w:val="0057582F"/>
    <w:rsid w:val="00575891"/>
    <w:rsid w:val="005758BA"/>
    <w:rsid w:val="00575960"/>
    <w:rsid w:val="0057596D"/>
    <w:rsid w:val="0057597C"/>
    <w:rsid w:val="005759A2"/>
    <w:rsid w:val="005759E6"/>
    <w:rsid w:val="005759FE"/>
    <w:rsid w:val="00575B4D"/>
    <w:rsid w:val="00575BA8"/>
    <w:rsid w:val="00575C18"/>
    <w:rsid w:val="00575C46"/>
    <w:rsid w:val="00575C75"/>
    <w:rsid w:val="00575C9A"/>
    <w:rsid w:val="00575D7B"/>
    <w:rsid w:val="00575D8D"/>
    <w:rsid w:val="00575DF2"/>
    <w:rsid w:val="00575E53"/>
    <w:rsid w:val="00575E5E"/>
    <w:rsid w:val="00575E81"/>
    <w:rsid w:val="00575EAA"/>
    <w:rsid w:val="00575EBF"/>
    <w:rsid w:val="00575F10"/>
    <w:rsid w:val="00575F23"/>
    <w:rsid w:val="00575F5C"/>
    <w:rsid w:val="00575F69"/>
    <w:rsid w:val="00576009"/>
    <w:rsid w:val="0057602D"/>
    <w:rsid w:val="0057603D"/>
    <w:rsid w:val="0057605F"/>
    <w:rsid w:val="00576065"/>
    <w:rsid w:val="005760BB"/>
    <w:rsid w:val="005760C4"/>
    <w:rsid w:val="0057627A"/>
    <w:rsid w:val="0057629F"/>
    <w:rsid w:val="005762BE"/>
    <w:rsid w:val="00576353"/>
    <w:rsid w:val="00576382"/>
    <w:rsid w:val="00576394"/>
    <w:rsid w:val="005763A1"/>
    <w:rsid w:val="005763C4"/>
    <w:rsid w:val="005763CF"/>
    <w:rsid w:val="00576409"/>
    <w:rsid w:val="00576488"/>
    <w:rsid w:val="0057649C"/>
    <w:rsid w:val="00576542"/>
    <w:rsid w:val="0057659D"/>
    <w:rsid w:val="005765D2"/>
    <w:rsid w:val="0057667C"/>
    <w:rsid w:val="005766F6"/>
    <w:rsid w:val="00576785"/>
    <w:rsid w:val="00576803"/>
    <w:rsid w:val="00576899"/>
    <w:rsid w:val="005768C3"/>
    <w:rsid w:val="005768CE"/>
    <w:rsid w:val="0057692B"/>
    <w:rsid w:val="00576976"/>
    <w:rsid w:val="00576983"/>
    <w:rsid w:val="005769E4"/>
    <w:rsid w:val="005769F3"/>
    <w:rsid w:val="00576AD2"/>
    <w:rsid w:val="00576AE9"/>
    <w:rsid w:val="00576B16"/>
    <w:rsid w:val="00576C52"/>
    <w:rsid w:val="00576D30"/>
    <w:rsid w:val="00576D48"/>
    <w:rsid w:val="00576D8E"/>
    <w:rsid w:val="00576D9F"/>
    <w:rsid w:val="00576DF7"/>
    <w:rsid w:val="00576E55"/>
    <w:rsid w:val="00576E72"/>
    <w:rsid w:val="00576E90"/>
    <w:rsid w:val="00576EFB"/>
    <w:rsid w:val="00576F1B"/>
    <w:rsid w:val="00576F53"/>
    <w:rsid w:val="00576F7F"/>
    <w:rsid w:val="00576FE2"/>
    <w:rsid w:val="00577024"/>
    <w:rsid w:val="00577066"/>
    <w:rsid w:val="00577103"/>
    <w:rsid w:val="0057711C"/>
    <w:rsid w:val="00577159"/>
    <w:rsid w:val="00577203"/>
    <w:rsid w:val="005772C6"/>
    <w:rsid w:val="005772F5"/>
    <w:rsid w:val="00577316"/>
    <w:rsid w:val="0057736B"/>
    <w:rsid w:val="005773F5"/>
    <w:rsid w:val="0057746D"/>
    <w:rsid w:val="005774B2"/>
    <w:rsid w:val="005774F5"/>
    <w:rsid w:val="00577519"/>
    <w:rsid w:val="005775AE"/>
    <w:rsid w:val="00577649"/>
    <w:rsid w:val="00577656"/>
    <w:rsid w:val="00577707"/>
    <w:rsid w:val="00577749"/>
    <w:rsid w:val="00577780"/>
    <w:rsid w:val="00577782"/>
    <w:rsid w:val="005778D0"/>
    <w:rsid w:val="00577953"/>
    <w:rsid w:val="00577962"/>
    <w:rsid w:val="00577965"/>
    <w:rsid w:val="005779B2"/>
    <w:rsid w:val="005779DE"/>
    <w:rsid w:val="00577B0F"/>
    <w:rsid w:val="00577BEA"/>
    <w:rsid w:val="00577C5C"/>
    <w:rsid w:val="00577C89"/>
    <w:rsid w:val="00577D24"/>
    <w:rsid w:val="00577D2D"/>
    <w:rsid w:val="00577D5D"/>
    <w:rsid w:val="00577D6B"/>
    <w:rsid w:val="00577E49"/>
    <w:rsid w:val="00577E55"/>
    <w:rsid w:val="00577E73"/>
    <w:rsid w:val="00577EAD"/>
    <w:rsid w:val="00577EDE"/>
    <w:rsid w:val="00577F4A"/>
    <w:rsid w:val="00577F5C"/>
    <w:rsid w:val="005800B6"/>
    <w:rsid w:val="005800FB"/>
    <w:rsid w:val="0058012E"/>
    <w:rsid w:val="0058017A"/>
    <w:rsid w:val="00580197"/>
    <w:rsid w:val="005801EB"/>
    <w:rsid w:val="005802CF"/>
    <w:rsid w:val="00580343"/>
    <w:rsid w:val="0058036E"/>
    <w:rsid w:val="005803D7"/>
    <w:rsid w:val="00580412"/>
    <w:rsid w:val="0058053E"/>
    <w:rsid w:val="00580584"/>
    <w:rsid w:val="00580587"/>
    <w:rsid w:val="005805A2"/>
    <w:rsid w:val="00580606"/>
    <w:rsid w:val="00580674"/>
    <w:rsid w:val="00580715"/>
    <w:rsid w:val="0058074B"/>
    <w:rsid w:val="005807FB"/>
    <w:rsid w:val="0058080D"/>
    <w:rsid w:val="00580892"/>
    <w:rsid w:val="00580894"/>
    <w:rsid w:val="005808A5"/>
    <w:rsid w:val="00580913"/>
    <w:rsid w:val="0058093F"/>
    <w:rsid w:val="00580983"/>
    <w:rsid w:val="00580A2A"/>
    <w:rsid w:val="00580A4F"/>
    <w:rsid w:val="00580A71"/>
    <w:rsid w:val="00580AC1"/>
    <w:rsid w:val="00580BC0"/>
    <w:rsid w:val="00580C4E"/>
    <w:rsid w:val="00580C86"/>
    <w:rsid w:val="00580CE2"/>
    <w:rsid w:val="00580D7C"/>
    <w:rsid w:val="00580DD5"/>
    <w:rsid w:val="00580DEF"/>
    <w:rsid w:val="00580DF5"/>
    <w:rsid w:val="00580E2D"/>
    <w:rsid w:val="00580E3C"/>
    <w:rsid w:val="00580E98"/>
    <w:rsid w:val="00580EEC"/>
    <w:rsid w:val="00580F9C"/>
    <w:rsid w:val="00580FCF"/>
    <w:rsid w:val="0058101A"/>
    <w:rsid w:val="00581076"/>
    <w:rsid w:val="005810D7"/>
    <w:rsid w:val="0058115A"/>
    <w:rsid w:val="00581212"/>
    <w:rsid w:val="005813A2"/>
    <w:rsid w:val="005813BB"/>
    <w:rsid w:val="00581410"/>
    <w:rsid w:val="0058142C"/>
    <w:rsid w:val="005814F8"/>
    <w:rsid w:val="0058157D"/>
    <w:rsid w:val="00581591"/>
    <w:rsid w:val="005815FD"/>
    <w:rsid w:val="005816C3"/>
    <w:rsid w:val="0058171F"/>
    <w:rsid w:val="00581745"/>
    <w:rsid w:val="00581841"/>
    <w:rsid w:val="00581878"/>
    <w:rsid w:val="00581911"/>
    <w:rsid w:val="005819CF"/>
    <w:rsid w:val="005819F4"/>
    <w:rsid w:val="00581A15"/>
    <w:rsid w:val="00581A26"/>
    <w:rsid w:val="00581A72"/>
    <w:rsid w:val="00581A87"/>
    <w:rsid w:val="00581AAD"/>
    <w:rsid w:val="00581AE7"/>
    <w:rsid w:val="00581B3F"/>
    <w:rsid w:val="00581BA7"/>
    <w:rsid w:val="00581BC5"/>
    <w:rsid w:val="00581BD6"/>
    <w:rsid w:val="00581BE7"/>
    <w:rsid w:val="00581BF1"/>
    <w:rsid w:val="00581C68"/>
    <w:rsid w:val="00581C94"/>
    <w:rsid w:val="00581CED"/>
    <w:rsid w:val="00581D5B"/>
    <w:rsid w:val="00581D73"/>
    <w:rsid w:val="00581DDB"/>
    <w:rsid w:val="00581E62"/>
    <w:rsid w:val="00581EAB"/>
    <w:rsid w:val="00581EF6"/>
    <w:rsid w:val="00581F4E"/>
    <w:rsid w:val="00581F75"/>
    <w:rsid w:val="00581FB0"/>
    <w:rsid w:val="00582006"/>
    <w:rsid w:val="00582031"/>
    <w:rsid w:val="00582066"/>
    <w:rsid w:val="0058209D"/>
    <w:rsid w:val="005820A9"/>
    <w:rsid w:val="005820B0"/>
    <w:rsid w:val="005820D4"/>
    <w:rsid w:val="0058210A"/>
    <w:rsid w:val="00582113"/>
    <w:rsid w:val="005821CB"/>
    <w:rsid w:val="00582204"/>
    <w:rsid w:val="00582208"/>
    <w:rsid w:val="00582214"/>
    <w:rsid w:val="0058224E"/>
    <w:rsid w:val="005822E2"/>
    <w:rsid w:val="005822E3"/>
    <w:rsid w:val="0058236A"/>
    <w:rsid w:val="005823D5"/>
    <w:rsid w:val="00582448"/>
    <w:rsid w:val="00582453"/>
    <w:rsid w:val="00582492"/>
    <w:rsid w:val="005825B1"/>
    <w:rsid w:val="00582646"/>
    <w:rsid w:val="0058264A"/>
    <w:rsid w:val="00582689"/>
    <w:rsid w:val="0058268C"/>
    <w:rsid w:val="005826AE"/>
    <w:rsid w:val="00582756"/>
    <w:rsid w:val="0058278B"/>
    <w:rsid w:val="00582809"/>
    <w:rsid w:val="005828AA"/>
    <w:rsid w:val="005828B4"/>
    <w:rsid w:val="005828E8"/>
    <w:rsid w:val="00582954"/>
    <w:rsid w:val="005829D0"/>
    <w:rsid w:val="00582A05"/>
    <w:rsid w:val="00582A7B"/>
    <w:rsid w:val="00582AA6"/>
    <w:rsid w:val="00582AB3"/>
    <w:rsid w:val="00582B0C"/>
    <w:rsid w:val="00582B16"/>
    <w:rsid w:val="00582B47"/>
    <w:rsid w:val="00582BA7"/>
    <w:rsid w:val="00582BF0"/>
    <w:rsid w:val="00582C62"/>
    <w:rsid w:val="00582CA2"/>
    <w:rsid w:val="00582DFE"/>
    <w:rsid w:val="00582E06"/>
    <w:rsid w:val="00582E67"/>
    <w:rsid w:val="00582ED0"/>
    <w:rsid w:val="00582FAD"/>
    <w:rsid w:val="00583028"/>
    <w:rsid w:val="00583071"/>
    <w:rsid w:val="005830AC"/>
    <w:rsid w:val="005830BB"/>
    <w:rsid w:val="00583147"/>
    <w:rsid w:val="0058319C"/>
    <w:rsid w:val="005832A0"/>
    <w:rsid w:val="005833BF"/>
    <w:rsid w:val="005833DC"/>
    <w:rsid w:val="005833F4"/>
    <w:rsid w:val="00583472"/>
    <w:rsid w:val="005834F2"/>
    <w:rsid w:val="00583507"/>
    <w:rsid w:val="00583561"/>
    <w:rsid w:val="00583567"/>
    <w:rsid w:val="005835F8"/>
    <w:rsid w:val="005836C4"/>
    <w:rsid w:val="00583716"/>
    <w:rsid w:val="0058371F"/>
    <w:rsid w:val="0058375B"/>
    <w:rsid w:val="0058376C"/>
    <w:rsid w:val="005837FF"/>
    <w:rsid w:val="00583815"/>
    <w:rsid w:val="00583895"/>
    <w:rsid w:val="0058390C"/>
    <w:rsid w:val="00583920"/>
    <w:rsid w:val="0058396B"/>
    <w:rsid w:val="00583AD3"/>
    <w:rsid w:val="00583AEA"/>
    <w:rsid w:val="00583B5F"/>
    <w:rsid w:val="00583B94"/>
    <w:rsid w:val="00583BB3"/>
    <w:rsid w:val="00583BE0"/>
    <w:rsid w:val="00583C40"/>
    <w:rsid w:val="00583E50"/>
    <w:rsid w:val="00583F69"/>
    <w:rsid w:val="00583F76"/>
    <w:rsid w:val="00583F7F"/>
    <w:rsid w:val="0058410A"/>
    <w:rsid w:val="0058416B"/>
    <w:rsid w:val="005841A8"/>
    <w:rsid w:val="005841D6"/>
    <w:rsid w:val="00584224"/>
    <w:rsid w:val="00584270"/>
    <w:rsid w:val="005843F8"/>
    <w:rsid w:val="00584445"/>
    <w:rsid w:val="00584585"/>
    <w:rsid w:val="005845E0"/>
    <w:rsid w:val="00584626"/>
    <w:rsid w:val="00584645"/>
    <w:rsid w:val="005846B3"/>
    <w:rsid w:val="005846DE"/>
    <w:rsid w:val="00584785"/>
    <w:rsid w:val="005847CB"/>
    <w:rsid w:val="0058481E"/>
    <w:rsid w:val="00584826"/>
    <w:rsid w:val="0058482B"/>
    <w:rsid w:val="00584942"/>
    <w:rsid w:val="00584953"/>
    <w:rsid w:val="005849F6"/>
    <w:rsid w:val="00584BAC"/>
    <w:rsid w:val="00584BE9"/>
    <w:rsid w:val="00584C00"/>
    <w:rsid w:val="00584C09"/>
    <w:rsid w:val="00584CF5"/>
    <w:rsid w:val="00584DCA"/>
    <w:rsid w:val="00584EBD"/>
    <w:rsid w:val="00584EE3"/>
    <w:rsid w:val="00584F0C"/>
    <w:rsid w:val="00584F4F"/>
    <w:rsid w:val="00584F51"/>
    <w:rsid w:val="00584F95"/>
    <w:rsid w:val="00584FAC"/>
    <w:rsid w:val="00584FC1"/>
    <w:rsid w:val="00584FC9"/>
    <w:rsid w:val="00584FD9"/>
    <w:rsid w:val="0058519B"/>
    <w:rsid w:val="005851F0"/>
    <w:rsid w:val="0058522C"/>
    <w:rsid w:val="0058524B"/>
    <w:rsid w:val="00585287"/>
    <w:rsid w:val="005852FE"/>
    <w:rsid w:val="00585339"/>
    <w:rsid w:val="00585344"/>
    <w:rsid w:val="0058536A"/>
    <w:rsid w:val="0058537E"/>
    <w:rsid w:val="005853C4"/>
    <w:rsid w:val="0058542B"/>
    <w:rsid w:val="005854B7"/>
    <w:rsid w:val="00585504"/>
    <w:rsid w:val="0058552B"/>
    <w:rsid w:val="0058555E"/>
    <w:rsid w:val="005856BB"/>
    <w:rsid w:val="0058576A"/>
    <w:rsid w:val="0058577D"/>
    <w:rsid w:val="0058581C"/>
    <w:rsid w:val="00585854"/>
    <w:rsid w:val="00585885"/>
    <w:rsid w:val="0058588D"/>
    <w:rsid w:val="005858BB"/>
    <w:rsid w:val="005858D8"/>
    <w:rsid w:val="005858E1"/>
    <w:rsid w:val="00585977"/>
    <w:rsid w:val="0058598C"/>
    <w:rsid w:val="005859BF"/>
    <w:rsid w:val="00585A55"/>
    <w:rsid w:val="00585A57"/>
    <w:rsid w:val="00585A9F"/>
    <w:rsid w:val="00585ACB"/>
    <w:rsid w:val="00585BBD"/>
    <w:rsid w:val="00585C17"/>
    <w:rsid w:val="00585CB5"/>
    <w:rsid w:val="00585D0C"/>
    <w:rsid w:val="00585D26"/>
    <w:rsid w:val="00585D4F"/>
    <w:rsid w:val="00585D65"/>
    <w:rsid w:val="00585DD0"/>
    <w:rsid w:val="00585E2B"/>
    <w:rsid w:val="00585F22"/>
    <w:rsid w:val="00585FAE"/>
    <w:rsid w:val="00586058"/>
    <w:rsid w:val="00586063"/>
    <w:rsid w:val="005860BA"/>
    <w:rsid w:val="00586160"/>
    <w:rsid w:val="005861E1"/>
    <w:rsid w:val="00586224"/>
    <w:rsid w:val="00586240"/>
    <w:rsid w:val="00586258"/>
    <w:rsid w:val="00586260"/>
    <w:rsid w:val="0058626A"/>
    <w:rsid w:val="00586307"/>
    <w:rsid w:val="0058630F"/>
    <w:rsid w:val="0058638E"/>
    <w:rsid w:val="005863CE"/>
    <w:rsid w:val="00586407"/>
    <w:rsid w:val="00586497"/>
    <w:rsid w:val="0058656B"/>
    <w:rsid w:val="00586607"/>
    <w:rsid w:val="00586716"/>
    <w:rsid w:val="005867EB"/>
    <w:rsid w:val="00586807"/>
    <w:rsid w:val="00586851"/>
    <w:rsid w:val="005868CC"/>
    <w:rsid w:val="005868DE"/>
    <w:rsid w:val="00586925"/>
    <w:rsid w:val="00586987"/>
    <w:rsid w:val="005869FE"/>
    <w:rsid w:val="00586AB9"/>
    <w:rsid w:val="00586B04"/>
    <w:rsid w:val="00586BD3"/>
    <w:rsid w:val="00586BD4"/>
    <w:rsid w:val="00586BDD"/>
    <w:rsid w:val="00586BF0"/>
    <w:rsid w:val="00586C49"/>
    <w:rsid w:val="00586C9F"/>
    <w:rsid w:val="00586CA8"/>
    <w:rsid w:val="00586CC5"/>
    <w:rsid w:val="00586CE3"/>
    <w:rsid w:val="00586D16"/>
    <w:rsid w:val="00586DDA"/>
    <w:rsid w:val="00586E0E"/>
    <w:rsid w:val="00586E32"/>
    <w:rsid w:val="00586E5A"/>
    <w:rsid w:val="00586E5C"/>
    <w:rsid w:val="00586E5D"/>
    <w:rsid w:val="00586E94"/>
    <w:rsid w:val="00586EAB"/>
    <w:rsid w:val="00586EE3"/>
    <w:rsid w:val="00586F91"/>
    <w:rsid w:val="00586FAF"/>
    <w:rsid w:val="00586FB1"/>
    <w:rsid w:val="00587031"/>
    <w:rsid w:val="00587075"/>
    <w:rsid w:val="00587099"/>
    <w:rsid w:val="005870A4"/>
    <w:rsid w:val="005870BA"/>
    <w:rsid w:val="00587119"/>
    <w:rsid w:val="0058716B"/>
    <w:rsid w:val="00587178"/>
    <w:rsid w:val="00587211"/>
    <w:rsid w:val="00587263"/>
    <w:rsid w:val="0058726A"/>
    <w:rsid w:val="005872D2"/>
    <w:rsid w:val="0058730B"/>
    <w:rsid w:val="00587312"/>
    <w:rsid w:val="00587349"/>
    <w:rsid w:val="0058736F"/>
    <w:rsid w:val="0058739A"/>
    <w:rsid w:val="005873BB"/>
    <w:rsid w:val="00587413"/>
    <w:rsid w:val="005874DB"/>
    <w:rsid w:val="005874DF"/>
    <w:rsid w:val="005875A1"/>
    <w:rsid w:val="005875BA"/>
    <w:rsid w:val="005875C7"/>
    <w:rsid w:val="005875D1"/>
    <w:rsid w:val="0058764D"/>
    <w:rsid w:val="00587686"/>
    <w:rsid w:val="005876A0"/>
    <w:rsid w:val="005876A6"/>
    <w:rsid w:val="005876E2"/>
    <w:rsid w:val="0058772E"/>
    <w:rsid w:val="00587747"/>
    <w:rsid w:val="00587773"/>
    <w:rsid w:val="005877CE"/>
    <w:rsid w:val="005877D7"/>
    <w:rsid w:val="005877E4"/>
    <w:rsid w:val="0058789F"/>
    <w:rsid w:val="005878BB"/>
    <w:rsid w:val="005878DF"/>
    <w:rsid w:val="005878E9"/>
    <w:rsid w:val="00587900"/>
    <w:rsid w:val="0058794F"/>
    <w:rsid w:val="00587A7C"/>
    <w:rsid w:val="00587A90"/>
    <w:rsid w:val="00587B08"/>
    <w:rsid w:val="00587B3E"/>
    <w:rsid w:val="00587B79"/>
    <w:rsid w:val="00587B84"/>
    <w:rsid w:val="00587C23"/>
    <w:rsid w:val="00587C61"/>
    <w:rsid w:val="00587CE1"/>
    <w:rsid w:val="00587D73"/>
    <w:rsid w:val="00587D7C"/>
    <w:rsid w:val="00587E13"/>
    <w:rsid w:val="00587EDF"/>
    <w:rsid w:val="00587F47"/>
    <w:rsid w:val="00590061"/>
    <w:rsid w:val="0059007D"/>
    <w:rsid w:val="005900BC"/>
    <w:rsid w:val="005900D4"/>
    <w:rsid w:val="00590125"/>
    <w:rsid w:val="00590140"/>
    <w:rsid w:val="00590144"/>
    <w:rsid w:val="0059016D"/>
    <w:rsid w:val="005901F2"/>
    <w:rsid w:val="0059022E"/>
    <w:rsid w:val="00590273"/>
    <w:rsid w:val="005902AF"/>
    <w:rsid w:val="005902D8"/>
    <w:rsid w:val="005902DF"/>
    <w:rsid w:val="005902E2"/>
    <w:rsid w:val="0059030E"/>
    <w:rsid w:val="0059035A"/>
    <w:rsid w:val="00590374"/>
    <w:rsid w:val="005903EC"/>
    <w:rsid w:val="005903EF"/>
    <w:rsid w:val="00590445"/>
    <w:rsid w:val="00590491"/>
    <w:rsid w:val="0059051E"/>
    <w:rsid w:val="00590546"/>
    <w:rsid w:val="005905C9"/>
    <w:rsid w:val="00590604"/>
    <w:rsid w:val="00590632"/>
    <w:rsid w:val="00590633"/>
    <w:rsid w:val="00590656"/>
    <w:rsid w:val="00590677"/>
    <w:rsid w:val="005906A0"/>
    <w:rsid w:val="005906AE"/>
    <w:rsid w:val="005906FE"/>
    <w:rsid w:val="0059070E"/>
    <w:rsid w:val="00590720"/>
    <w:rsid w:val="0059079E"/>
    <w:rsid w:val="00590840"/>
    <w:rsid w:val="005908E5"/>
    <w:rsid w:val="00590963"/>
    <w:rsid w:val="005909A2"/>
    <w:rsid w:val="005909E4"/>
    <w:rsid w:val="00590ABD"/>
    <w:rsid w:val="00590B0E"/>
    <w:rsid w:val="00590B43"/>
    <w:rsid w:val="00590B94"/>
    <w:rsid w:val="00590B9A"/>
    <w:rsid w:val="00590BB0"/>
    <w:rsid w:val="00590BE8"/>
    <w:rsid w:val="00590BF2"/>
    <w:rsid w:val="00590BF7"/>
    <w:rsid w:val="00590C2E"/>
    <w:rsid w:val="00590CE1"/>
    <w:rsid w:val="00590D0F"/>
    <w:rsid w:val="00590D7E"/>
    <w:rsid w:val="00590DB3"/>
    <w:rsid w:val="00590E15"/>
    <w:rsid w:val="00590E4E"/>
    <w:rsid w:val="00590EDA"/>
    <w:rsid w:val="00590F25"/>
    <w:rsid w:val="00590F3D"/>
    <w:rsid w:val="00590F73"/>
    <w:rsid w:val="00590FA7"/>
    <w:rsid w:val="00590FB3"/>
    <w:rsid w:val="005910CD"/>
    <w:rsid w:val="00591253"/>
    <w:rsid w:val="005912FA"/>
    <w:rsid w:val="0059133F"/>
    <w:rsid w:val="0059135F"/>
    <w:rsid w:val="005913B8"/>
    <w:rsid w:val="005913D1"/>
    <w:rsid w:val="00591474"/>
    <w:rsid w:val="00591476"/>
    <w:rsid w:val="0059154C"/>
    <w:rsid w:val="005915FB"/>
    <w:rsid w:val="00591650"/>
    <w:rsid w:val="00591666"/>
    <w:rsid w:val="00591668"/>
    <w:rsid w:val="00591748"/>
    <w:rsid w:val="0059176B"/>
    <w:rsid w:val="00591819"/>
    <w:rsid w:val="005918D2"/>
    <w:rsid w:val="005918DB"/>
    <w:rsid w:val="00591902"/>
    <w:rsid w:val="00591944"/>
    <w:rsid w:val="00591979"/>
    <w:rsid w:val="005919AE"/>
    <w:rsid w:val="00591A85"/>
    <w:rsid w:val="00591AAF"/>
    <w:rsid w:val="00591AD1"/>
    <w:rsid w:val="00591B93"/>
    <w:rsid w:val="00591BDB"/>
    <w:rsid w:val="00591C2D"/>
    <w:rsid w:val="00591C3C"/>
    <w:rsid w:val="00591C53"/>
    <w:rsid w:val="00591C6F"/>
    <w:rsid w:val="00591C84"/>
    <w:rsid w:val="00591CB7"/>
    <w:rsid w:val="00591CB8"/>
    <w:rsid w:val="00591D4B"/>
    <w:rsid w:val="00591DB2"/>
    <w:rsid w:val="00591DD9"/>
    <w:rsid w:val="00591DF7"/>
    <w:rsid w:val="00591E1D"/>
    <w:rsid w:val="00591E64"/>
    <w:rsid w:val="00591EB3"/>
    <w:rsid w:val="00591F6D"/>
    <w:rsid w:val="00591F91"/>
    <w:rsid w:val="00592033"/>
    <w:rsid w:val="005920B6"/>
    <w:rsid w:val="005920F2"/>
    <w:rsid w:val="0059213A"/>
    <w:rsid w:val="0059213B"/>
    <w:rsid w:val="00592142"/>
    <w:rsid w:val="00592203"/>
    <w:rsid w:val="00592224"/>
    <w:rsid w:val="005922B4"/>
    <w:rsid w:val="005922FB"/>
    <w:rsid w:val="00592313"/>
    <w:rsid w:val="00592335"/>
    <w:rsid w:val="0059239B"/>
    <w:rsid w:val="005925A3"/>
    <w:rsid w:val="0059263D"/>
    <w:rsid w:val="0059264E"/>
    <w:rsid w:val="00592661"/>
    <w:rsid w:val="00592722"/>
    <w:rsid w:val="00592756"/>
    <w:rsid w:val="00592882"/>
    <w:rsid w:val="005928ED"/>
    <w:rsid w:val="00592972"/>
    <w:rsid w:val="00592A23"/>
    <w:rsid w:val="00592A29"/>
    <w:rsid w:val="00592A58"/>
    <w:rsid w:val="00592A59"/>
    <w:rsid w:val="00592A71"/>
    <w:rsid w:val="00592ABC"/>
    <w:rsid w:val="00592AFB"/>
    <w:rsid w:val="00592B25"/>
    <w:rsid w:val="00592B33"/>
    <w:rsid w:val="00592BF4"/>
    <w:rsid w:val="00592C04"/>
    <w:rsid w:val="00592C0A"/>
    <w:rsid w:val="00592C61"/>
    <w:rsid w:val="00592D3B"/>
    <w:rsid w:val="00592D4F"/>
    <w:rsid w:val="00592D83"/>
    <w:rsid w:val="00592DE7"/>
    <w:rsid w:val="00592E13"/>
    <w:rsid w:val="00592E76"/>
    <w:rsid w:val="00592E9A"/>
    <w:rsid w:val="00592EAC"/>
    <w:rsid w:val="00592EBC"/>
    <w:rsid w:val="00592F14"/>
    <w:rsid w:val="00592F30"/>
    <w:rsid w:val="00592FC5"/>
    <w:rsid w:val="0059301F"/>
    <w:rsid w:val="005930C2"/>
    <w:rsid w:val="0059322F"/>
    <w:rsid w:val="0059330A"/>
    <w:rsid w:val="00593320"/>
    <w:rsid w:val="0059337A"/>
    <w:rsid w:val="005933FC"/>
    <w:rsid w:val="005935DE"/>
    <w:rsid w:val="00593611"/>
    <w:rsid w:val="00593619"/>
    <w:rsid w:val="0059363E"/>
    <w:rsid w:val="005936AD"/>
    <w:rsid w:val="005936AE"/>
    <w:rsid w:val="005936CA"/>
    <w:rsid w:val="005936CE"/>
    <w:rsid w:val="00593751"/>
    <w:rsid w:val="0059385C"/>
    <w:rsid w:val="00593876"/>
    <w:rsid w:val="005938A3"/>
    <w:rsid w:val="00593962"/>
    <w:rsid w:val="00593997"/>
    <w:rsid w:val="00593A06"/>
    <w:rsid w:val="00593ACE"/>
    <w:rsid w:val="00593ADB"/>
    <w:rsid w:val="00593B04"/>
    <w:rsid w:val="00593BA7"/>
    <w:rsid w:val="00593C8B"/>
    <w:rsid w:val="00593CCD"/>
    <w:rsid w:val="00593D14"/>
    <w:rsid w:val="00593DE5"/>
    <w:rsid w:val="00593E05"/>
    <w:rsid w:val="00593E7C"/>
    <w:rsid w:val="00593E90"/>
    <w:rsid w:val="00593EA0"/>
    <w:rsid w:val="00593F2D"/>
    <w:rsid w:val="00593F46"/>
    <w:rsid w:val="00593FA4"/>
    <w:rsid w:val="00593FB4"/>
    <w:rsid w:val="0059403C"/>
    <w:rsid w:val="00594040"/>
    <w:rsid w:val="00594064"/>
    <w:rsid w:val="0059411D"/>
    <w:rsid w:val="0059418D"/>
    <w:rsid w:val="00594198"/>
    <w:rsid w:val="005941C9"/>
    <w:rsid w:val="005942A7"/>
    <w:rsid w:val="005943B3"/>
    <w:rsid w:val="005943D0"/>
    <w:rsid w:val="00594446"/>
    <w:rsid w:val="005944B7"/>
    <w:rsid w:val="00594522"/>
    <w:rsid w:val="00594590"/>
    <w:rsid w:val="00594670"/>
    <w:rsid w:val="005946A9"/>
    <w:rsid w:val="005946AB"/>
    <w:rsid w:val="00594702"/>
    <w:rsid w:val="00594795"/>
    <w:rsid w:val="005947A1"/>
    <w:rsid w:val="005947AB"/>
    <w:rsid w:val="005947C1"/>
    <w:rsid w:val="005947CE"/>
    <w:rsid w:val="005948D0"/>
    <w:rsid w:val="005948DF"/>
    <w:rsid w:val="00594914"/>
    <w:rsid w:val="00594915"/>
    <w:rsid w:val="00594932"/>
    <w:rsid w:val="005949F4"/>
    <w:rsid w:val="00594A4B"/>
    <w:rsid w:val="00594A72"/>
    <w:rsid w:val="00594B5C"/>
    <w:rsid w:val="00594B8C"/>
    <w:rsid w:val="00594B91"/>
    <w:rsid w:val="00594CE1"/>
    <w:rsid w:val="00594D01"/>
    <w:rsid w:val="00594D22"/>
    <w:rsid w:val="00594D69"/>
    <w:rsid w:val="00594D77"/>
    <w:rsid w:val="00594DA2"/>
    <w:rsid w:val="00594DDB"/>
    <w:rsid w:val="00594DE1"/>
    <w:rsid w:val="00594DF9"/>
    <w:rsid w:val="00594E2D"/>
    <w:rsid w:val="00594EED"/>
    <w:rsid w:val="00594F4C"/>
    <w:rsid w:val="00594FBA"/>
    <w:rsid w:val="005950C0"/>
    <w:rsid w:val="0059514D"/>
    <w:rsid w:val="005951A4"/>
    <w:rsid w:val="005951B9"/>
    <w:rsid w:val="005951D3"/>
    <w:rsid w:val="0059523D"/>
    <w:rsid w:val="00595278"/>
    <w:rsid w:val="0059529D"/>
    <w:rsid w:val="005952A6"/>
    <w:rsid w:val="005952AD"/>
    <w:rsid w:val="005952B5"/>
    <w:rsid w:val="005952F5"/>
    <w:rsid w:val="00595320"/>
    <w:rsid w:val="00595473"/>
    <w:rsid w:val="005954D0"/>
    <w:rsid w:val="00595519"/>
    <w:rsid w:val="00595565"/>
    <w:rsid w:val="0059556D"/>
    <w:rsid w:val="0059559C"/>
    <w:rsid w:val="005955C6"/>
    <w:rsid w:val="005955EE"/>
    <w:rsid w:val="00595635"/>
    <w:rsid w:val="00595669"/>
    <w:rsid w:val="005956B3"/>
    <w:rsid w:val="0059571C"/>
    <w:rsid w:val="0059583C"/>
    <w:rsid w:val="00595987"/>
    <w:rsid w:val="005959AA"/>
    <w:rsid w:val="005959C8"/>
    <w:rsid w:val="005959F8"/>
    <w:rsid w:val="00595A0F"/>
    <w:rsid w:val="00595A54"/>
    <w:rsid w:val="00595AAA"/>
    <w:rsid w:val="00595AD6"/>
    <w:rsid w:val="00595B07"/>
    <w:rsid w:val="00595B3B"/>
    <w:rsid w:val="00595B52"/>
    <w:rsid w:val="00595B5A"/>
    <w:rsid w:val="00595B7C"/>
    <w:rsid w:val="00595CB5"/>
    <w:rsid w:val="00595CD3"/>
    <w:rsid w:val="00595D0F"/>
    <w:rsid w:val="00595D2B"/>
    <w:rsid w:val="00595D35"/>
    <w:rsid w:val="00595D98"/>
    <w:rsid w:val="00595D9F"/>
    <w:rsid w:val="00595DEC"/>
    <w:rsid w:val="00595E95"/>
    <w:rsid w:val="00595EAB"/>
    <w:rsid w:val="00595F88"/>
    <w:rsid w:val="00595FB1"/>
    <w:rsid w:val="00596007"/>
    <w:rsid w:val="00596031"/>
    <w:rsid w:val="0059603F"/>
    <w:rsid w:val="00596053"/>
    <w:rsid w:val="0059605C"/>
    <w:rsid w:val="00596068"/>
    <w:rsid w:val="0059606C"/>
    <w:rsid w:val="005960F4"/>
    <w:rsid w:val="00596123"/>
    <w:rsid w:val="0059616C"/>
    <w:rsid w:val="00596182"/>
    <w:rsid w:val="005961E3"/>
    <w:rsid w:val="0059623A"/>
    <w:rsid w:val="00596252"/>
    <w:rsid w:val="005962F2"/>
    <w:rsid w:val="0059631C"/>
    <w:rsid w:val="005963CA"/>
    <w:rsid w:val="00596400"/>
    <w:rsid w:val="00596412"/>
    <w:rsid w:val="0059641A"/>
    <w:rsid w:val="00596425"/>
    <w:rsid w:val="0059643F"/>
    <w:rsid w:val="00596486"/>
    <w:rsid w:val="005964C5"/>
    <w:rsid w:val="00596570"/>
    <w:rsid w:val="005965A5"/>
    <w:rsid w:val="005965C1"/>
    <w:rsid w:val="00596625"/>
    <w:rsid w:val="00596660"/>
    <w:rsid w:val="0059667E"/>
    <w:rsid w:val="00596715"/>
    <w:rsid w:val="00596753"/>
    <w:rsid w:val="005967D5"/>
    <w:rsid w:val="00596846"/>
    <w:rsid w:val="00596912"/>
    <w:rsid w:val="00596955"/>
    <w:rsid w:val="00596960"/>
    <w:rsid w:val="005969DA"/>
    <w:rsid w:val="005969DB"/>
    <w:rsid w:val="00596A1A"/>
    <w:rsid w:val="00596A59"/>
    <w:rsid w:val="00596AF5"/>
    <w:rsid w:val="00596B85"/>
    <w:rsid w:val="00596BF2"/>
    <w:rsid w:val="00596C47"/>
    <w:rsid w:val="00596D56"/>
    <w:rsid w:val="00596D76"/>
    <w:rsid w:val="00596D8F"/>
    <w:rsid w:val="00596E0F"/>
    <w:rsid w:val="00596E75"/>
    <w:rsid w:val="00596EC9"/>
    <w:rsid w:val="00596F33"/>
    <w:rsid w:val="00596FAF"/>
    <w:rsid w:val="00596FFD"/>
    <w:rsid w:val="00597043"/>
    <w:rsid w:val="0059704B"/>
    <w:rsid w:val="0059705D"/>
    <w:rsid w:val="005970B1"/>
    <w:rsid w:val="00597160"/>
    <w:rsid w:val="00597231"/>
    <w:rsid w:val="0059723D"/>
    <w:rsid w:val="0059725F"/>
    <w:rsid w:val="0059726A"/>
    <w:rsid w:val="00597278"/>
    <w:rsid w:val="005972B4"/>
    <w:rsid w:val="005973A9"/>
    <w:rsid w:val="0059746E"/>
    <w:rsid w:val="0059748D"/>
    <w:rsid w:val="005974DA"/>
    <w:rsid w:val="00597505"/>
    <w:rsid w:val="0059756D"/>
    <w:rsid w:val="00597597"/>
    <w:rsid w:val="005975A1"/>
    <w:rsid w:val="0059762C"/>
    <w:rsid w:val="0059767C"/>
    <w:rsid w:val="005976E3"/>
    <w:rsid w:val="005976E5"/>
    <w:rsid w:val="0059770F"/>
    <w:rsid w:val="00597733"/>
    <w:rsid w:val="00597747"/>
    <w:rsid w:val="005978D5"/>
    <w:rsid w:val="00597985"/>
    <w:rsid w:val="005979CE"/>
    <w:rsid w:val="005979F9"/>
    <w:rsid w:val="00597A10"/>
    <w:rsid w:val="00597ABC"/>
    <w:rsid w:val="00597AFC"/>
    <w:rsid w:val="00597B0C"/>
    <w:rsid w:val="00597C3C"/>
    <w:rsid w:val="00597C89"/>
    <w:rsid w:val="00597C92"/>
    <w:rsid w:val="00597CB3"/>
    <w:rsid w:val="00597DC7"/>
    <w:rsid w:val="00597DDB"/>
    <w:rsid w:val="00597E7E"/>
    <w:rsid w:val="00597E88"/>
    <w:rsid w:val="00597EE0"/>
    <w:rsid w:val="00597F1F"/>
    <w:rsid w:val="00597F51"/>
    <w:rsid w:val="00597FBC"/>
    <w:rsid w:val="005A003F"/>
    <w:rsid w:val="005A0081"/>
    <w:rsid w:val="005A00AE"/>
    <w:rsid w:val="005A0117"/>
    <w:rsid w:val="005A0126"/>
    <w:rsid w:val="005A01D2"/>
    <w:rsid w:val="005A0209"/>
    <w:rsid w:val="005A020E"/>
    <w:rsid w:val="005A0278"/>
    <w:rsid w:val="005A029C"/>
    <w:rsid w:val="005A029F"/>
    <w:rsid w:val="005A02B8"/>
    <w:rsid w:val="005A030B"/>
    <w:rsid w:val="005A0310"/>
    <w:rsid w:val="005A0312"/>
    <w:rsid w:val="005A0334"/>
    <w:rsid w:val="005A0398"/>
    <w:rsid w:val="005A03D1"/>
    <w:rsid w:val="005A040E"/>
    <w:rsid w:val="005A0413"/>
    <w:rsid w:val="005A0422"/>
    <w:rsid w:val="005A0431"/>
    <w:rsid w:val="005A0464"/>
    <w:rsid w:val="005A0481"/>
    <w:rsid w:val="005A058F"/>
    <w:rsid w:val="005A0593"/>
    <w:rsid w:val="005A05A6"/>
    <w:rsid w:val="005A0685"/>
    <w:rsid w:val="005A0752"/>
    <w:rsid w:val="005A076E"/>
    <w:rsid w:val="005A07A6"/>
    <w:rsid w:val="005A07DE"/>
    <w:rsid w:val="005A0821"/>
    <w:rsid w:val="005A0824"/>
    <w:rsid w:val="005A087D"/>
    <w:rsid w:val="005A08BB"/>
    <w:rsid w:val="005A08C6"/>
    <w:rsid w:val="005A0915"/>
    <w:rsid w:val="005A0AA9"/>
    <w:rsid w:val="005A0AAF"/>
    <w:rsid w:val="005A0B42"/>
    <w:rsid w:val="005A0B8F"/>
    <w:rsid w:val="005A0B9E"/>
    <w:rsid w:val="005A0BD3"/>
    <w:rsid w:val="005A0BEE"/>
    <w:rsid w:val="005A0C1A"/>
    <w:rsid w:val="005A0C30"/>
    <w:rsid w:val="005A0C37"/>
    <w:rsid w:val="005A0C92"/>
    <w:rsid w:val="005A0CC7"/>
    <w:rsid w:val="005A0D07"/>
    <w:rsid w:val="005A0D25"/>
    <w:rsid w:val="005A0D43"/>
    <w:rsid w:val="005A0E11"/>
    <w:rsid w:val="005A0E12"/>
    <w:rsid w:val="005A0E78"/>
    <w:rsid w:val="005A0E8F"/>
    <w:rsid w:val="005A0EFA"/>
    <w:rsid w:val="005A0FBF"/>
    <w:rsid w:val="005A0FCB"/>
    <w:rsid w:val="005A0FDB"/>
    <w:rsid w:val="005A0FE5"/>
    <w:rsid w:val="005A1182"/>
    <w:rsid w:val="005A122C"/>
    <w:rsid w:val="005A1246"/>
    <w:rsid w:val="005A1261"/>
    <w:rsid w:val="005A126B"/>
    <w:rsid w:val="005A12EA"/>
    <w:rsid w:val="005A13F6"/>
    <w:rsid w:val="005A143A"/>
    <w:rsid w:val="005A1465"/>
    <w:rsid w:val="005A1466"/>
    <w:rsid w:val="005A148F"/>
    <w:rsid w:val="005A14D5"/>
    <w:rsid w:val="005A14FB"/>
    <w:rsid w:val="005A15F6"/>
    <w:rsid w:val="005A1759"/>
    <w:rsid w:val="005A1814"/>
    <w:rsid w:val="005A1951"/>
    <w:rsid w:val="005A199E"/>
    <w:rsid w:val="005A199F"/>
    <w:rsid w:val="005A19B1"/>
    <w:rsid w:val="005A1A7C"/>
    <w:rsid w:val="005A1B61"/>
    <w:rsid w:val="005A1BA2"/>
    <w:rsid w:val="005A1BDB"/>
    <w:rsid w:val="005A1BF1"/>
    <w:rsid w:val="005A1C49"/>
    <w:rsid w:val="005A1ECF"/>
    <w:rsid w:val="005A1EDE"/>
    <w:rsid w:val="005A1F93"/>
    <w:rsid w:val="005A1FEB"/>
    <w:rsid w:val="005A2048"/>
    <w:rsid w:val="005A2099"/>
    <w:rsid w:val="005A20B6"/>
    <w:rsid w:val="005A20C1"/>
    <w:rsid w:val="005A218F"/>
    <w:rsid w:val="005A21B4"/>
    <w:rsid w:val="005A22EF"/>
    <w:rsid w:val="005A22F1"/>
    <w:rsid w:val="005A234A"/>
    <w:rsid w:val="005A23DC"/>
    <w:rsid w:val="005A241B"/>
    <w:rsid w:val="005A2430"/>
    <w:rsid w:val="005A2443"/>
    <w:rsid w:val="005A244C"/>
    <w:rsid w:val="005A2456"/>
    <w:rsid w:val="005A2466"/>
    <w:rsid w:val="005A24E1"/>
    <w:rsid w:val="005A24EC"/>
    <w:rsid w:val="005A251B"/>
    <w:rsid w:val="005A2525"/>
    <w:rsid w:val="005A25A3"/>
    <w:rsid w:val="005A25DD"/>
    <w:rsid w:val="005A2643"/>
    <w:rsid w:val="005A26C0"/>
    <w:rsid w:val="005A26F9"/>
    <w:rsid w:val="005A27A8"/>
    <w:rsid w:val="005A27DD"/>
    <w:rsid w:val="005A2898"/>
    <w:rsid w:val="005A28CE"/>
    <w:rsid w:val="005A28D4"/>
    <w:rsid w:val="005A28DC"/>
    <w:rsid w:val="005A29A7"/>
    <w:rsid w:val="005A29C0"/>
    <w:rsid w:val="005A2A3A"/>
    <w:rsid w:val="005A2A4F"/>
    <w:rsid w:val="005A2AD6"/>
    <w:rsid w:val="005A2AFB"/>
    <w:rsid w:val="005A2B89"/>
    <w:rsid w:val="005A2B8C"/>
    <w:rsid w:val="005A2BBE"/>
    <w:rsid w:val="005A2BC9"/>
    <w:rsid w:val="005A2BF5"/>
    <w:rsid w:val="005A2C10"/>
    <w:rsid w:val="005A2C63"/>
    <w:rsid w:val="005A2C8E"/>
    <w:rsid w:val="005A2CE7"/>
    <w:rsid w:val="005A2D52"/>
    <w:rsid w:val="005A2DE4"/>
    <w:rsid w:val="005A2DFE"/>
    <w:rsid w:val="005A2EBD"/>
    <w:rsid w:val="005A2EE5"/>
    <w:rsid w:val="005A2EEE"/>
    <w:rsid w:val="005A2F77"/>
    <w:rsid w:val="005A301C"/>
    <w:rsid w:val="005A30E1"/>
    <w:rsid w:val="005A31A3"/>
    <w:rsid w:val="005A31A4"/>
    <w:rsid w:val="005A3234"/>
    <w:rsid w:val="005A3291"/>
    <w:rsid w:val="005A32B5"/>
    <w:rsid w:val="005A339D"/>
    <w:rsid w:val="005A3403"/>
    <w:rsid w:val="005A3469"/>
    <w:rsid w:val="005A3471"/>
    <w:rsid w:val="005A34D0"/>
    <w:rsid w:val="005A3603"/>
    <w:rsid w:val="005A3697"/>
    <w:rsid w:val="005A36D5"/>
    <w:rsid w:val="005A3702"/>
    <w:rsid w:val="005A3735"/>
    <w:rsid w:val="005A3737"/>
    <w:rsid w:val="005A376E"/>
    <w:rsid w:val="005A3783"/>
    <w:rsid w:val="005A37A4"/>
    <w:rsid w:val="005A37A9"/>
    <w:rsid w:val="005A37BF"/>
    <w:rsid w:val="005A37C5"/>
    <w:rsid w:val="005A3893"/>
    <w:rsid w:val="005A3976"/>
    <w:rsid w:val="005A39BD"/>
    <w:rsid w:val="005A3A11"/>
    <w:rsid w:val="005A3B0D"/>
    <w:rsid w:val="005A3B0F"/>
    <w:rsid w:val="005A3B5A"/>
    <w:rsid w:val="005A3CAD"/>
    <w:rsid w:val="005A3CDE"/>
    <w:rsid w:val="005A3D1F"/>
    <w:rsid w:val="005A3D3E"/>
    <w:rsid w:val="005A3D5E"/>
    <w:rsid w:val="005A3D91"/>
    <w:rsid w:val="005A3DB3"/>
    <w:rsid w:val="005A3E0D"/>
    <w:rsid w:val="005A3ED5"/>
    <w:rsid w:val="005A3ED9"/>
    <w:rsid w:val="005A3F21"/>
    <w:rsid w:val="005A3F96"/>
    <w:rsid w:val="005A3FCB"/>
    <w:rsid w:val="005A3FCD"/>
    <w:rsid w:val="005A4050"/>
    <w:rsid w:val="005A4096"/>
    <w:rsid w:val="005A4133"/>
    <w:rsid w:val="005A4136"/>
    <w:rsid w:val="005A4145"/>
    <w:rsid w:val="005A4167"/>
    <w:rsid w:val="005A418B"/>
    <w:rsid w:val="005A41BA"/>
    <w:rsid w:val="005A41D2"/>
    <w:rsid w:val="005A427B"/>
    <w:rsid w:val="005A4348"/>
    <w:rsid w:val="005A4374"/>
    <w:rsid w:val="005A43CD"/>
    <w:rsid w:val="005A43FB"/>
    <w:rsid w:val="005A4414"/>
    <w:rsid w:val="005A4415"/>
    <w:rsid w:val="005A446A"/>
    <w:rsid w:val="005A44E8"/>
    <w:rsid w:val="005A457B"/>
    <w:rsid w:val="005A4592"/>
    <w:rsid w:val="005A45E6"/>
    <w:rsid w:val="005A46B0"/>
    <w:rsid w:val="005A46F8"/>
    <w:rsid w:val="005A476C"/>
    <w:rsid w:val="005A47AE"/>
    <w:rsid w:val="005A48C5"/>
    <w:rsid w:val="005A4919"/>
    <w:rsid w:val="005A491F"/>
    <w:rsid w:val="005A4932"/>
    <w:rsid w:val="005A4950"/>
    <w:rsid w:val="005A4996"/>
    <w:rsid w:val="005A49E9"/>
    <w:rsid w:val="005A4A44"/>
    <w:rsid w:val="005A4AF8"/>
    <w:rsid w:val="005A4B29"/>
    <w:rsid w:val="005A4B2C"/>
    <w:rsid w:val="005A4B30"/>
    <w:rsid w:val="005A4B89"/>
    <w:rsid w:val="005A4BAB"/>
    <w:rsid w:val="005A4BB0"/>
    <w:rsid w:val="005A4BE0"/>
    <w:rsid w:val="005A4C30"/>
    <w:rsid w:val="005A4C6B"/>
    <w:rsid w:val="005A4C94"/>
    <w:rsid w:val="005A4CA5"/>
    <w:rsid w:val="005A4D00"/>
    <w:rsid w:val="005A4D5C"/>
    <w:rsid w:val="005A4E3E"/>
    <w:rsid w:val="005A4ECA"/>
    <w:rsid w:val="005A4F3A"/>
    <w:rsid w:val="005A4F47"/>
    <w:rsid w:val="005A4FAB"/>
    <w:rsid w:val="005A4FE2"/>
    <w:rsid w:val="005A5042"/>
    <w:rsid w:val="005A506E"/>
    <w:rsid w:val="005A50B0"/>
    <w:rsid w:val="005A5106"/>
    <w:rsid w:val="005A510D"/>
    <w:rsid w:val="005A511C"/>
    <w:rsid w:val="005A519B"/>
    <w:rsid w:val="005A51A1"/>
    <w:rsid w:val="005A520B"/>
    <w:rsid w:val="005A525A"/>
    <w:rsid w:val="005A5350"/>
    <w:rsid w:val="005A5469"/>
    <w:rsid w:val="005A5476"/>
    <w:rsid w:val="005A549D"/>
    <w:rsid w:val="005A54CC"/>
    <w:rsid w:val="005A54EB"/>
    <w:rsid w:val="005A54FB"/>
    <w:rsid w:val="005A5506"/>
    <w:rsid w:val="005A5590"/>
    <w:rsid w:val="005A5592"/>
    <w:rsid w:val="005A55F0"/>
    <w:rsid w:val="005A5613"/>
    <w:rsid w:val="005A56F1"/>
    <w:rsid w:val="005A5785"/>
    <w:rsid w:val="005A5843"/>
    <w:rsid w:val="005A586E"/>
    <w:rsid w:val="005A587A"/>
    <w:rsid w:val="005A5995"/>
    <w:rsid w:val="005A59C6"/>
    <w:rsid w:val="005A5A50"/>
    <w:rsid w:val="005A5B02"/>
    <w:rsid w:val="005A5B5F"/>
    <w:rsid w:val="005A5B9E"/>
    <w:rsid w:val="005A5C01"/>
    <w:rsid w:val="005A5C27"/>
    <w:rsid w:val="005A5CE3"/>
    <w:rsid w:val="005A5D27"/>
    <w:rsid w:val="005A5D6E"/>
    <w:rsid w:val="005A5DCB"/>
    <w:rsid w:val="005A5DD7"/>
    <w:rsid w:val="005A5E1A"/>
    <w:rsid w:val="005A5E7F"/>
    <w:rsid w:val="005A5EA0"/>
    <w:rsid w:val="005A5F48"/>
    <w:rsid w:val="005A5FA2"/>
    <w:rsid w:val="005A5FFD"/>
    <w:rsid w:val="005A60CE"/>
    <w:rsid w:val="005A60D6"/>
    <w:rsid w:val="005A60ED"/>
    <w:rsid w:val="005A611D"/>
    <w:rsid w:val="005A615C"/>
    <w:rsid w:val="005A617D"/>
    <w:rsid w:val="005A6250"/>
    <w:rsid w:val="005A6281"/>
    <w:rsid w:val="005A62B0"/>
    <w:rsid w:val="005A6352"/>
    <w:rsid w:val="005A6375"/>
    <w:rsid w:val="005A6385"/>
    <w:rsid w:val="005A6416"/>
    <w:rsid w:val="005A6425"/>
    <w:rsid w:val="005A64B9"/>
    <w:rsid w:val="005A64C0"/>
    <w:rsid w:val="005A64D5"/>
    <w:rsid w:val="005A650F"/>
    <w:rsid w:val="005A6578"/>
    <w:rsid w:val="005A65A7"/>
    <w:rsid w:val="005A65BC"/>
    <w:rsid w:val="005A65CC"/>
    <w:rsid w:val="005A65D6"/>
    <w:rsid w:val="005A6609"/>
    <w:rsid w:val="005A6621"/>
    <w:rsid w:val="005A6650"/>
    <w:rsid w:val="005A6680"/>
    <w:rsid w:val="005A668A"/>
    <w:rsid w:val="005A6705"/>
    <w:rsid w:val="005A6716"/>
    <w:rsid w:val="005A67A8"/>
    <w:rsid w:val="005A68A8"/>
    <w:rsid w:val="005A68CF"/>
    <w:rsid w:val="005A68FC"/>
    <w:rsid w:val="005A6921"/>
    <w:rsid w:val="005A693D"/>
    <w:rsid w:val="005A696D"/>
    <w:rsid w:val="005A6A0F"/>
    <w:rsid w:val="005A6ADB"/>
    <w:rsid w:val="005A6B39"/>
    <w:rsid w:val="005A6B78"/>
    <w:rsid w:val="005A6B88"/>
    <w:rsid w:val="005A6BFE"/>
    <w:rsid w:val="005A6C91"/>
    <w:rsid w:val="005A6D2D"/>
    <w:rsid w:val="005A6D65"/>
    <w:rsid w:val="005A6D9D"/>
    <w:rsid w:val="005A6D9E"/>
    <w:rsid w:val="005A6E5C"/>
    <w:rsid w:val="005A6F8E"/>
    <w:rsid w:val="005A701A"/>
    <w:rsid w:val="005A7035"/>
    <w:rsid w:val="005A70C2"/>
    <w:rsid w:val="005A70D1"/>
    <w:rsid w:val="005A7111"/>
    <w:rsid w:val="005A7136"/>
    <w:rsid w:val="005A7148"/>
    <w:rsid w:val="005A7185"/>
    <w:rsid w:val="005A7194"/>
    <w:rsid w:val="005A71CE"/>
    <w:rsid w:val="005A7205"/>
    <w:rsid w:val="005A7244"/>
    <w:rsid w:val="005A7249"/>
    <w:rsid w:val="005A7274"/>
    <w:rsid w:val="005A7277"/>
    <w:rsid w:val="005A7278"/>
    <w:rsid w:val="005A7288"/>
    <w:rsid w:val="005A7337"/>
    <w:rsid w:val="005A734C"/>
    <w:rsid w:val="005A73D9"/>
    <w:rsid w:val="005A745D"/>
    <w:rsid w:val="005A7474"/>
    <w:rsid w:val="005A749C"/>
    <w:rsid w:val="005A74EE"/>
    <w:rsid w:val="005A75CE"/>
    <w:rsid w:val="005A75EE"/>
    <w:rsid w:val="005A75F8"/>
    <w:rsid w:val="005A7659"/>
    <w:rsid w:val="005A766B"/>
    <w:rsid w:val="005A7713"/>
    <w:rsid w:val="005A771B"/>
    <w:rsid w:val="005A7748"/>
    <w:rsid w:val="005A7759"/>
    <w:rsid w:val="005A7765"/>
    <w:rsid w:val="005A776A"/>
    <w:rsid w:val="005A7773"/>
    <w:rsid w:val="005A77BE"/>
    <w:rsid w:val="005A77CA"/>
    <w:rsid w:val="005A77D0"/>
    <w:rsid w:val="005A7804"/>
    <w:rsid w:val="005A782F"/>
    <w:rsid w:val="005A78F3"/>
    <w:rsid w:val="005A7999"/>
    <w:rsid w:val="005A79AF"/>
    <w:rsid w:val="005A7B09"/>
    <w:rsid w:val="005A7B13"/>
    <w:rsid w:val="005A7B97"/>
    <w:rsid w:val="005A7D20"/>
    <w:rsid w:val="005A7E13"/>
    <w:rsid w:val="005A7F7E"/>
    <w:rsid w:val="005A7FBA"/>
    <w:rsid w:val="005B0052"/>
    <w:rsid w:val="005B0133"/>
    <w:rsid w:val="005B0159"/>
    <w:rsid w:val="005B0162"/>
    <w:rsid w:val="005B01B0"/>
    <w:rsid w:val="005B01EB"/>
    <w:rsid w:val="005B0210"/>
    <w:rsid w:val="005B0263"/>
    <w:rsid w:val="005B028B"/>
    <w:rsid w:val="005B02BB"/>
    <w:rsid w:val="005B02C0"/>
    <w:rsid w:val="005B033E"/>
    <w:rsid w:val="005B0356"/>
    <w:rsid w:val="005B038B"/>
    <w:rsid w:val="005B038E"/>
    <w:rsid w:val="005B04A5"/>
    <w:rsid w:val="005B04BB"/>
    <w:rsid w:val="005B0642"/>
    <w:rsid w:val="005B0682"/>
    <w:rsid w:val="005B06F4"/>
    <w:rsid w:val="005B070C"/>
    <w:rsid w:val="005B072D"/>
    <w:rsid w:val="005B074F"/>
    <w:rsid w:val="005B0805"/>
    <w:rsid w:val="005B0835"/>
    <w:rsid w:val="005B086E"/>
    <w:rsid w:val="005B08B6"/>
    <w:rsid w:val="005B08FB"/>
    <w:rsid w:val="005B0985"/>
    <w:rsid w:val="005B09D5"/>
    <w:rsid w:val="005B0A05"/>
    <w:rsid w:val="005B0A76"/>
    <w:rsid w:val="005B0A77"/>
    <w:rsid w:val="005B0AFE"/>
    <w:rsid w:val="005B0B32"/>
    <w:rsid w:val="005B0B43"/>
    <w:rsid w:val="005B0B8A"/>
    <w:rsid w:val="005B0BAC"/>
    <w:rsid w:val="005B0C25"/>
    <w:rsid w:val="005B0C64"/>
    <w:rsid w:val="005B0C9C"/>
    <w:rsid w:val="005B0DCC"/>
    <w:rsid w:val="005B0DD5"/>
    <w:rsid w:val="005B0E15"/>
    <w:rsid w:val="005B0E4A"/>
    <w:rsid w:val="005B0E90"/>
    <w:rsid w:val="005B0EA5"/>
    <w:rsid w:val="005B0F21"/>
    <w:rsid w:val="005B0F25"/>
    <w:rsid w:val="005B0FC2"/>
    <w:rsid w:val="005B0FDA"/>
    <w:rsid w:val="005B1008"/>
    <w:rsid w:val="005B1130"/>
    <w:rsid w:val="005B1167"/>
    <w:rsid w:val="005B11C6"/>
    <w:rsid w:val="005B1241"/>
    <w:rsid w:val="005B126C"/>
    <w:rsid w:val="005B130E"/>
    <w:rsid w:val="005B1337"/>
    <w:rsid w:val="005B1359"/>
    <w:rsid w:val="005B13DF"/>
    <w:rsid w:val="005B13F8"/>
    <w:rsid w:val="005B1402"/>
    <w:rsid w:val="005B1439"/>
    <w:rsid w:val="005B149B"/>
    <w:rsid w:val="005B14EC"/>
    <w:rsid w:val="005B15AA"/>
    <w:rsid w:val="005B1638"/>
    <w:rsid w:val="005B164F"/>
    <w:rsid w:val="005B166D"/>
    <w:rsid w:val="005B1749"/>
    <w:rsid w:val="005B17C2"/>
    <w:rsid w:val="005B18AA"/>
    <w:rsid w:val="005B18BB"/>
    <w:rsid w:val="005B18C1"/>
    <w:rsid w:val="005B1912"/>
    <w:rsid w:val="005B195C"/>
    <w:rsid w:val="005B1994"/>
    <w:rsid w:val="005B1AC6"/>
    <w:rsid w:val="005B1AC8"/>
    <w:rsid w:val="005B1B6F"/>
    <w:rsid w:val="005B1B8D"/>
    <w:rsid w:val="005B1BC2"/>
    <w:rsid w:val="005B1D31"/>
    <w:rsid w:val="005B1D41"/>
    <w:rsid w:val="005B1DCE"/>
    <w:rsid w:val="005B1E05"/>
    <w:rsid w:val="005B1F7A"/>
    <w:rsid w:val="005B1F93"/>
    <w:rsid w:val="005B1FC0"/>
    <w:rsid w:val="005B1FFA"/>
    <w:rsid w:val="005B201D"/>
    <w:rsid w:val="005B207A"/>
    <w:rsid w:val="005B20B7"/>
    <w:rsid w:val="005B20C5"/>
    <w:rsid w:val="005B20DC"/>
    <w:rsid w:val="005B20DE"/>
    <w:rsid w:val="005B20E9"/>
    <w:rsid w:val="005B212D"/>
    <w:rsid w:val="005B2189"/>
    <w:rsid w:val="005B2197"/>
    <w:rsid w:val="005B2211"/>
    <w:rsid w:val="005B221D"/>
    <w:rsid w:val="005B2274"/>
    <w:rsid w:val="005B2349"/>
    <w:rsid w:val="005B2380"/>
    <w:rsid w:val="005B2491"/>
    <w:rsid w:val="005B2495"/>
    <w:rsid w:val="005B24A8"/>
    <w:rsid w:val="005B24EB"/>
    <w:rsid w:val="005B2509"/>
    <w:rsid w:val="005B255D"/>
    <w:rsid w:val="005B25E0"/>
    <w:rsid w:val="005B25FC"/>
    <w:rsid w:val="005B271F"/>
    <w:rsid w:val="005B272B"/>
    <w:rsid w:val="005B2755"/>
    <w:rsid w:val="005B277F"/>
    <w:rsid w:val="005B289F"/>
    <w:rsid w:val="005B297E"/>
    <w:rsid w:val="005B29B3"/>
    <w:rsid w:val="005B29BA"/>
    <w:rsid w:val="005B29C9"/>
    <w:rsid w:val="005B29FE"/>
    <w:rsid w:val="005B2A6A"/>
    <w:rsid w:val="005B2AEF"/>
    <w:rsid w:val="005B2B09"/>
    <w:rsid w:val="005B2B30"/>
    <w:rsid w:val="005B2B43"/>
    <w:rsid w:val="005B2B59"/>
    <w:rsid w:val="005B2B86"/>
    <w:rsid w:val="005B2B97"/>
    <w:rsid w:val="005B2BCA"/>
    <w:rsid w:val="005B2C2F"/>
    <w:rsid w:val="005B2C67"/>
    <w:rsid w:val="005B2CBA"/>
    <w:rsid w:val="005B2D0C"/>
    <w:rsid w:val="005B2D40"/>
    <w:rsid w:val="005B2D80"/>
    <w:rsid w:val="005B2D8F"/>
    <w:rsid w:val="005B2D92"/>
    <w:rsid w:val="005B2DAF"/>
    <w:rsid w:val="005B2DDB"/>
    <w:rsid w:val="005B2E77"/>
    <w:rsid w:val="005B2E95"/>
    <w:rsid w:val="005B2EAF"/>
    <w:rsid w:val="005B2EC1"/>
    <w:rsid w:val="005B2EF1"/>
    <w:rsid w:val="005B2F67"/>
    <w:rsid w:val="005B2F6D"/>
    <w:rsid w:val="005B2FCF"/>
    <w:rsid w:val="005B2FD4"/>
    <w:rsid w:val="005B2FFF"/>
    <w:rsid w:val="005B3073"/>
    <w:rsid w:val="005B30AF"/>
    <w:rsid w:val="005B30CD"/>
    <w:rsid w:val="005B3200"/>
    <w:rsid w:val="005B32F8"/>
    <w:rsid w:val="005B3307"/>
    <w:rsid w:val="005B333E"/>
    <w:rsid w:val="005B3350"/>
    <w:rsid w:val="005B3451"/>
    <w:rsid w:val="005B3470"/>
    <w:rsid w:val="005B3529"/>
    <w:rsid w:val="005B36A9"/>
    <w:rsid w:val="005B3760"/>
    <w:rsid w:val="005B37A1"/>
    <w:rsid w:val="005B37AD"/>
    <w:rsid w:val="005B37BE"/>
    <w:rsid w:val="005B380A"/>
    <w:rsid w:val="005B381E"/>
    <w:rsid w:val="005B3843"/>
    <w:rsid w:val="005B3881"/>
    <w:rsid w:val="005B38D8"/>
    <w:rsid w:val="005B3952"/>
    <w:rsid w:val="005B3A56"/>
    <w:rsid w:val="005B3B69"/>
    <w:rsid w:val="005B3B8D"/>
    <w:rsid w:val="005B3B99"/>
    <w:rsid w:val="005B3BAA"/>
    <w:rsid w:val="005B3BDD"/>
    <w:rsid w:val="005B3CB7"/>
    <w:rsid w:val="005B3D72"/>
    <w:rsid w:val="005B3E45"/>
    <w:rsid w:val="005B3ECA"/>
    <w:rsid w:val="005B3ED3"/>
    <w:rsid w:val="005B3F35"/>
    <w:rsid w:val="005B3FC0"/>
    <w:rsid w:val="005B3FFC"/>
    <w:rsid w:val="005B403B"/>
    <w:rsid w:val="005B4098"/>
    <w:rsid w:val="005B4156"/>
    <w:rsid w:val="005B4169"/>
    <w:rsid w:val="005B4200"/>
    <w:rsid w:val="005B4233"/>
    <w:rsid w:val="005B427E"/>
    <w:rsid w:val="005B42CE"/>
    <w:rsid w:val="005B4345"/>
    <w:rsid w:val="005B438A"/>
    <w:rsid w:val="005B43EC"/>
    <w:rsid w:val="005B441A"/>
    <w:rsid w:val="005B4420"/>
    <w:rsid w:val="005B447B"/>
    <w:rsid w:val="005B4505"/>
    <w:rsid w:val="005B451C"/>
    <w:rsid w:val="005B452B"/>
    <w:rsid w:val="005B4532"/>
    <w:rsid w:val="005B45E0"/>
    <w:rsid w:val="005B4639"/>
    <w:rsid w:val="005B4651"/>
    <w:rsid w:val="005B4865"/>
    <w:rsid w:val="005B48BF"/>
    <w:rsid w:val="005B48F1"/>
    <w:rsid w:val="005B4914"/>
    <w:rsid w:val="005B49BD"/>
    <w:rsid w:val="005B49DB"/>
    <w:rsid w:val="005B4A01"/>
    <w:rsid w:val="005B4A2D"/>
    <w:rsid w:val="005B4A76"/>
    <w:rsid w:val="005B4ADA"/>
    <w:rsid w:val="005B4B1D"/>
    <w:rsid w:val="005B4B48"/>
    <w:rsid w:val="005B4B4E"/>
    <w:rsid w:val="005B4BC4"/>
    <w:rsid w:val="005B4BFD"/>
    <w:rsid w:val="005B4C03"/>
    <w:rsid w:val="005B4D9E"/>
    <w:rsid w:val="005B4E00"/>
    <w:rsid w:val="005B4E30"/>
    <w:rsid w:val="005B4E4A"/>
    <w:rsid w:val="005B4E4E"/>
    <w:rsid w:val="005B4E9B"/>
    <w:rsid w:val="005B4EA5"/>
    <w:rsid w:val="005B4EBD"/>
    <w:rsid w:val="005B4EE4"/>
    <w:rsid w:val="005B4EFA"/>
    <w:rsid w:val="005B4F04"/>
    <w:rsid w:val="005B4F1E"/>
    <w:rsid w:val="005B4FF5"/>
    <w:rsid w:val="005B5079"/>
    <w:rsid w:val="005B5124"/>
    <w:rsid w:val="005B512B"/>
    <w:rsid w:val="005B51D6"/>
    <w:rsid w:val="005B51F9"/>
    <w:rsid w:val="005B5230"/>
    <w:rsid w:val="005B52BA"/>
    <w:rsid w:val="005B531B"/>
    <w:rsid w:val="005B5363"/>
    <w:rsid w:val="005B5425"/>
    <w:rsid w:val="005B5434"/>
    <w:rsid w:val="005B543D"/>
    <w:rsid w:val="005B5489"/>
    <w:rsid w:val="005B54A4"/>
    <w:rsid w:val="005B54ED"/>
    <w:rsid w:val="005B54F7"/>
    <w:rsid w:val="005B54F9"/>
    <w:rsid w:val="005B5534"/>
    <w:rsid w:val="005B5547"/>
    <w:rsid w:val="005B5564"/>
    <w:rsid w:val="005B559B"/>
    <w:rsid w:val="005B55D9"/>
    <w:rsid w:val="005B564E"/>
    <w:rsid w:val="005B5655"/>
    <w:rsid w:val="005B567C"/>
    <w:rsid w:val="005B56D1"/>
    <w:rsid w:val="005B572A"/>
    <w:rsid w:val="005B5786"/>
    <w:rsid w:val="005B57F4"/>
    <w:rsid w:val="005B5835"/>
    <w:rsid w:val="005B5867"/>
    <w:rsid w:val="005B587F"/>
    <w:rsid w:val="005B58AA"/>
    <w:rsid w:val="005B593F"/>
    <w:rsid w:val="005B5990"/>
    <w:rsid w:val="005B59E4"/>
    <w:rsid w:val="005B59F1"/>
    <w:rsid w:val="005B5A22"/>
    <w:rsid w:val="005B5A72"/>
    <w:rsid w:val="005B5A8A"/>
    <w:rsid w:val="005B5AA3"/>
    <w:rsid w:val="005B5AF9"/>
    <w:rsid w:val="005B5B5C"/>
    <w:rsid w:val="005B5C1E"/>
    <w:rsid w:val="005B5C5B"/>
    <w:rsid w:val="005B5CDA"/>
    <w:rsid w:val="005B5D11"/>
    <w:rsid w:val="005B5E37"/>
    <w:rsid w:val="005B5E3E"/>
    <w:rsid w:val="005B5E8E"/>
    <w:rsid w:val="005B5EA4"/>
    <w:rsid w:val="005B5F08"/>
    <w:rsid w:val="005B6014"/>
    <w:rsid w:val="005B619A"/>
    <w:rsid w:val="005B61F2"/>
    <w:rsid w:val="005B621F"/>
    <w:rsid w:val="005B6279"/>
    <w:rsid w:val="005B6287"/>
    <w:rsid w:val="005B62FF"/>
    <w:rsid w:val="005B6302"/>
    <w:rsid w:val="005B6342"/>
    <w:rsid w:val="005B6371"/>
    <w:rsid w:val="005B6399"/>
    <w:rsid w:val="005B63CD"/>
    <w:rsid w:val="005B6408"/>
    <w:rsid w:val="005B644C"/>
    <w:rsid w:val="005B64E3"/>
    <w:rsid w:val="005B65C3"/>
    <w:rsid w:val="005B6637"/>
    <w:rsid w:val="005B6641"/>
    <w:rsid w:val="005B6675"/>
    <w:rsid w:val="005B669F"/>
    <w:rsid w:val="005B67BF"/>
    <w:rsid w:val="005B68AF"/>
    <w:rsid w:val="005B69B7"/>
    <w:rsid w:val="005B69ED"/>
    <w:rsid w:val="005B69F6"/>
    <w:rsid w:val="005B6A4F"/>
    <w:rsid w:val="005B6A52"/>
    <w:rsid w:val="005B6AA0"/>
    <w:rsid w:val="005B6BA1"/>
    <w:rsid w:val="005B6BD7"/>
    <w:rsid w:val="005B6BFB"/>
    <w:rsid w:val="005B6C47"/>
    <w:rsid w:val="005B6D4A"/>
    <w:rsid w:val="005B6DDA"/>
    <w:rsid w:val="005B6E4C"/>
    <w:rsid w:val="005B6EF4"/>
    <w:rsid w:val="005B6F20"/>
    <w:rsid w:val="005B6F6A"/>
    <w:rsid w:val="005B706B"/>
    <w:rsid w:val="005B710C"/>
    <w:rsid w:val="005B7147"/>
    <w:rsid w:val="005B7169"/>
    <w:rsid w:val="005B7193"/>
    <w:rsid w:val="005B71CD"/>
    <w:rsid w:val="005B7262"/>
    <w:rsid w:val="005B72AD"/>
    <w:rsid w:val="005B72EF"/>
    <w:rsid w:val="005B733E"/>
    <w:rsid w:val="005B734A"/>
    <w:rsid w:val="005B7376"/>
    <w:rsid w:val="005B7380"/>
    <w:rsid w:val="005B739F"/>
    <w:rsid w:val="005B7405"/>
    <w:rsid w:val="005B740D"/>
    <w:rsid w:val="005B746F"/>
    <w:rsid w:val="005B74A8"/>
    <w:rsid w:val="005B74F7"/>
    <w:rsid w:val="005B7550"/>
    <w:rsid w:val="005B7577"/>
    <w:rsid w:val="005B75A1"/>
    <w:rsid w:val="005B75BB"/>
    <w:rsid w:val="005B75CC"/>
    <w:rsid w:val="005B76A3"/>
    <w:rsid w:val="005B76C8"/>
    <w:rsid w:val="005B76DA"/>
    <w:rsid w:val="005B770C"/>
    <w:rsid w:val="005B7750"/>
    <w:rsid w:val="005B7776"/>
    <w:rsid w:val="005B7784"/>
    <w:rsid w:val="005B77FC"/>
    <w:rsid w:val="005B7850"/>
    <w:rsid w:val="005B7902"/>
    <w:rsid w:val="005B7917"/>
    <w:rsid w:val="005B793F"/>
    <w:rsid w:val="005B799C"/>
    <w:rsid w:val="005B7A1A"/>
    <w:rsid w:val="005B7A3A"/>
    <w:rsid w:val="005B7A7E"/>
    <w:rsid w:val="005B7A95"/>
    <w:rsid w:val="005B7AC3"/>
    <w:rsid w:val="005B7AF3"/>
    <w:rsid w:val="005B7B05"/>
    <w:rsid w:val="005B7BCD"/>
    <w:rsid w:val="005B7BDA"/>
    <w:rsid w:val="005B7C19"/>
    <w:rsid w:val="005B7C56"/>
    <w:rsid w:val="005B7C6D"/>
    <w:rsid w:val="005B7C98"/>
    <w:rsid w:val="005B7C9C"/>
    <w:rsid w:val="005B7CAB"/>
    <w:rsid w:val="005B7DC7"/>
    <w:rsid w:val="005B7DD9"/>
    <w:rsid w:val="005B7DDC"/>
    <w:rsid w:val="005B7E3A"/>
    <w:rsid w:val="005C0069"/>
    <w:rsid w:val="005C006F"/>
    <w:rsid w:val="005C01B3"/>
    <w:rsid w:val="005C01FE"/>
    <w:rsid w:val="005C0228"/>
    <w:rsid w:val="005C0254"/>
    <w:rsid w:val="005C0257"/>
    <w:rsid w:val="005C0293"/>
    <w:rsid w:val="005C02A0"/>
    <w:rsid w:val="005C02A3"/>
    <w:rsid w:val="005C02E3"/>
    <w:rsid w:val="005C02EC"/>
    <w:rsid w:val="005C0326"/>
    <w:rsid w:val="005C03CF"/>
    <w:rsid w:val="005C04C5"/>
    <w:rsid w:val="005C055D"/>
    <w:rsid w:val="005C0678"/>
    <w:rsid w:val="005C0690"/>
    <w:rsid w:val="005C06ED"/>
    <w:rsid w:val="005C06F7"/>
    <w:rsid w:val="005C07A2"/>
    <w:rsid w:val="005C07A6"/>
    <w:rsid w:val="005C080C"/>
    <w:rsid w:val="005C081B"/>
    <w:rsid w:val="005C0832"/>
    <w:rsid w:val="005C089C"/>
    <w:rsid w:val="005C08D3"/>
    <w:rsid w:val="005C0966"/>
    <w:rsid w:val="005C09D9"/>
    <w:rsid w:val="005C09EB"/>
    <w:rsid w:val="005C0A3E"/>
    <w:rsid w:val="005C0B04"/>
    <w:rsid w:val="005C0B24"/>
    <w:rsid w:val="005C0B61"/>
    <w:rsid w:val="005C0B80"/>
    <w:rsid w:val="005C0B88"/>
    <w:rsid w:val="005C0BAA"/>
    <w:rsid w:val="005C0BE4"/>
    <w:rsid w:val="005C0C28"/>
    <w:rsid w:val="005C0D4B"/>
    <w:rsid w:val="005C0DDB"/>
    <w:rsid w:val="005C0E12"/>
    <w:rsid w:val="005C0E4D"/>
    <w:rsid w:val="005C0FCB"/>
    <w:rsid w:val="005C101C"/>
    <w:rsid w:val="005C1127"/>
    <w:rsid w:val="005C1137"/>
    <w:rsid w:val="005C11B8"/>
    <w:rsid w:val="005C11ED"/>
    <w:rsid w:val="005C1204"/>
    <w:rsid w:val="005C1244"/>
    <w:rsid w:val="005C129A"/>
    <w:rsid w:val="005C12E8"/>
    <w:rsid w:val="005C1350"/>
    <w:rsid w:val="005C1357"/>
    <w:rsid w:val="005C1376"/>
    <w:rsid w:val="005C1397"/>
    <w:rsid w:val="005C13B0"/>
    <w:rsid w:val="005C13CC"/>
    <w:rsid w:val="005C1428"/>
    <w:rsid w:val="005C144C"/>
    <w:rsid w:val="005C1456"/>
    <w:rsid w:val="005C14D1"/>
    <w:rsid w:val="005C14E7"/>
    <w:rsid w:val="005C14F3"/>
    <w:rsid w:val="005C1517"/>
    <w:rsid w:val="005C1544"/>
    <w:rsid w:val="005C1546"/>
    <w:rsid w:val="005C15D6"/>
    <w:rsid w:val="005C163B"/>
    <w:rsid w:val="005C1657"/>
    <w:rsid w:val="005C16FC"/>
    <w:rsid w:val="005C175B"/>
    <w:rsid w:val="005C17E6"/>
    <w:rsid w:val="005C17E7"/>
    <w:rsid w:val="005C188E"/>
    <w:rsid w:val="005C189C"/>
    <w:rsid w:val="005C1914"/>
    <w:rsid w:val="005C1941"/>
    <w:rsid w:val="005C1ADA"/>
    <w:rsid w:val="005C1B3F"/>
    <w:rsid w:val="005C1B55"/>
    <w:rsid w:val="005C1B79"/>
    <w:rsid w:val="005C1B7B"/>
    <w:rsid w:val="005C1B84"/>
    <w:rsid w:val="005C1B8F"/>
    <w:rsid w:val="005C1C22"/>
    <w:rsid w:val="005C1C44"/>
    <w:rsid w:val="005C1D14"/>
    <w:rsid w:val="005C1E35"/>
    <w:rsid w:val="005C1E44"/>
    <w:rsid w:val="005C1E70"/>
    <w:rsid w:val="005C1E73"/>
    <w:rsid w:val="005C1EAC"/>
    <w:rsid w:val="005C1F24"/>
    <w:rsid w:val="005C1F2A"/>
    <w:rsid w:val="005C1F49"/>
    <w:rsid w:val="005C1F56"/>
    <w:rsid w:val="005C2012"/>
    <w:rsid w:val="005C209A"/>
    <w:rsid w:val="005C20CE"/>
    <w:rsid w:val="005C2112"/>
    <w:rsid w:val="005C2157"/>
    <w:rsid w:val="005C216E"/>
    <w:rsid w:val="005C21EC"/>
    <w:rsid w:val="005C222B"/>
    <w:rsid w:val="005C2244"/>
    <w:rsid w:val="005C2255"/>
    <w:rsid w:val="005C2317"/>
    <w:rsid w:val="005C231A"/>
    <w:rsid w:val="005C2431"/>
    <w:rsid w:val="005C2494"/>
    <w:rsid w:val="005C24F3"/>
    <w:rsid w:val="005C2564"/>
    <w:rsid w:val="005C25C9"/>
    <w:rsid w:val="005C25E4"/>
    <w:rsid w:val="005C25E9"/>
    <w:rsid w:val="005C2630"/>
    <w:rsid w:val="005C2650"/>
    <w:rsid w:val="005C2714"/>
    <w:rsid w:val="005C2756"/>
    <w:rsid w:val="005C2843"/>
    <w:rsid w:val="005C2866"/>
    <w:rsid w:val="005C2879"/>
    <w:rsid w:val="005C28D8"/>
    <w:rsid w:val="005C2901"/>
    <w:rsid w:val="005C29A4"/>
    <w:rsid w:val="005C29C5"/>
    <w:rsid w:val="005C2B21"/>
    <w:rsid w:val="005C2B32"/>
    <w:rsid w:val="005C2B4A"/>
    <w:rsid w:val="005C2B58"/>
    <w:rsid w:val="005C2B8E"/>
    <w:rsid w:val="005C2B9F"/>
    <w:rsid w:val="005C2BC1"/>
    <w:rsid w:val="005C2BFD"/>
    <w:rsid w:val="005C2C62"/>
    <w:rsid w:val="005C2C9E"/>
    <w:rsid w:val="005C2CE0"/>
    <w:rsid w:val="005C2D1F"/>
    <w:rsid w:val="005C2D49"/>
    <w:rsid w:val="005C2E75"/>
    <w:rsid w:val="005C2E83"/>
    <w:rsid w:val="005C2F55"/>
    <w:rsid w:val="005C2F5D"/>
    <w:rsid w:val="005C309A"/>
    <w:rsid w:val="005C30AE"/>
    <w:rsid w:val="005C30B0"/>
    <w:rsid w:val="005C30D1"/>
    <w:rsid w:val="005C30FC"/>
    <w:rsid w:val="005C3183"/>
    <w:rsid w:val="005C31D6"/>
    <w:rsid w:val="005C3215"/>
    <w:rsid w:val="005C3290"/>
    <w:rsid w:val="005C32CF"/>
    <w:rsid w:val="005C32DB"/>
    <w:rsid w:val="005C33B4"/>
    <w:rsid w:val="005C33DB"/>
    <w:rsid w:val="005C345D"/>
    <w:rsid w:val="005C34C8"/>
    <w:rsid w:val="005C350B"/>
    <w:rsid w:val="005C3691"/>
    <w:rsid w:val="005C36FE"/>
    <w:rsid w:val="005C3745"/>
    <w:rsid w:val="005C3779"/>
    <w:rsid w:val="005C37E3"/>
    <w:rsid w:val="005C3841"/>
    <w:rsid w:val="005C38F9"/>
    <w:rsid w:val="005C392C"/>
    <w:rsid w:val="005C3987"/>
    <w:rsid w:val="005C39B1"/>
    <w:rsid w:val="005C39BE"/>
    <w:rsid w:val="005C3A0B"/>
    <w:rsid w:val="005C3AAA"/>
    <w:rsid w:val="005C3AB8"/>
    <w:rsid w:val="005C3ADF"/>
    <w:rsid w:val="005C3B3A"/>
    <w:rsid w:val="005C3B8F"/>
    <w:rsid w:val="005C3BA4"/>
    <w:rsid w:val="005C3BA6"/>
    <w:rsid w:val="005C3BB7"/>
    <w:rsid w:val="005C3C19"/>
    <w:rsid w:val="005C3C63"/>
    <w:rsid w:val="005C3CEE"/>
    <w:rsid w:val="005C3D17"/>
    <w:rsid w:val="005C3D18"/>
    <w:rsid w:val="005C3D30"/>
    <w:rsid w:val="005C3DF9"/>
    <w:rsid w:val="005C3E3A"/>
    <w:rsid w:val="005C3EBF"/>
    <w:rsid w:val="005C3ED6"/>
    <w:rsid w:val="005C3EE6"/>
    <w:rsid w:val="005C3EF9"/>
    <w:rsid w:val="005C3F2C"/>
    <w:rsid w:val="005C3F4F"/>
    <w:rsid w:val="005C3F5C"/>
    <w:rsid w:val="005C3F8C"/>
    <w:rsid w:val="005C3F92"/>
    <w:rsid w:val="005C3FCC"/>
    <w:rsid w:val="005C4073"/>
    <w:rsid w:val="005C4096"/>
    <w:rsid w:val="005C40BA"/>
    <w:rsid w:val="005C40DA"/>
    <w:rsid w:val="005C411C"/>
    <w:rsid w:val="005C4133"/>
    <w:rsid w:val="005C41D8"/>
    <w:rsid w:val="005C4244"/>
    <w:rsid w:val="005C4253"/>
    <w:rsid w:val="005C42AA"/>
    <w:rsid w:val="005C43E6"/>
    <w:rsid w:val="005C4411"/>
    <w:rsid w:val="005C457A"/>
    <w:rsid w:val="005C4585"/>
    <w:rsid w:val="005C4593"/>
    <w:rsid w:val="005C4632"/>
    <w:rsid w:val="005C466F"/>
    <w:rsid w:val="005C4681"/>
    <w:rsid w:val="005C4706"/>
    <w:rsid w:val="005C4725"/>
    <w:rsid w:val="005C472D"/>
    <w:rsid w:val="005C4788"/>
    <w:rsid w:val="005C48E9"/>
    <w:rsid w:val="005C491A"/>
    <w:rsid w:val="005C492D"/>
    <w:rsid w:val="005C4981"/>
    <w:rsid w:val="005C49C7"/>
    <w:rsid w:val="005C4A28"/>
    <w:rsid w:val="005C4A47"/>
    <w:rsid w:val="005C4AD9"/>
    <w:rsid w:val="005C4ADC"/>
    <w:rsid w:val="005C4AF7"/>
    <w:rsid w:val="005C4B29"/>
    <w:rsid w:val="005C4B4F"/>
    <w:rsid w:val="005C4B93"/>
    <w:rsid w:val="005C4C43"/>
    <w:rsid w:val="005C4C93"/>
    <w:rsid w:val="005C4CE1"/>
    <w:rsid w:val="005C4D15"/>
    <w:rsid w:val="005C4D2A"/>
    <w:rsid w:val="005C4D9F"/>
    <w:rsid w:val="005C4EEA"/>
    <w:rsid w:val="005C4FE2"/>
    <w:rsid w:val="005C508F"/>
    <w:rsid w:val="005C50CD"/>
    <w:rsid w:val="005C50E4"/>
    <w:rsid w:val="005C510B"/>
    <w:rsid w:val="005C51A9"/>
    <w:rsid w:val="005C532A"/>
    <w:rsid w:val="005C5363"/>
    <w:rsid w:val="005C53BB"/>
    <w:rsid w:val="005C54A0"/>
    <w:rsid w:val="005C557F"/>
    <w:rsid w:val="005C55A2"/>
    <w:rsid w:val="005C55EB"/>
    <w:rsid w:val="005C560F"/>
    <w:rsid w:val="005C56A6"/>
    <w:rsid w:val="005C56D5"/>
    <w:rsid w:val="005C570A"/>
    <w:rsid w:val="005C575E"/>
    <w:rsid w:val="005C5787"/>
    <w:rsid w:val="005C57CA"/>
    <w:rsid w:val="005C57CB"/>
    <w:rsid w:val="005C57D0"/>
    <w:rsid w:val="005C582A"/>
    <w:rsid w:val="005C5877"/>
    <w:rsid w:val="005C5898"/>
    <w:rsid w:val="005C592B"/>
    <w:rsid w:val="005C5A08"/>
    <w:rsid w:val="005C5A28"/>
    <w:rsid w:val="005C5A7D"/>
    <w:rsid w:val="005C5AD7"/>
    <w:rsid w:val="005C5B76"/>
    <w:rsid w:val="005C5C39"/>
    <w:rsid w:val="005C5C66"/>
    <w:rsid w:val="005C5CF5"/>
    <w:rsid w:val="005C5D49"/>
    <w:rsid w:val="005C5E15"/>
    <w:rsid w:val="005C5E20"/>
    <w:rsid w:val="005C5F26"/>
    <w:rsid w:val="005C5F49"/>
    <w:rsid w:val="005C5F53"/>
    <w:rsid w:val="005C6082"/>
    <w:rsid w:val="005C614B"/>
    <w:rsid w:val="005C61E5"/>
    <w:rsid w:val="005C6214"/>
    <w:rsid w:val="005C6237"/>
    <w:rsid w:val="005C6243"/>
    <w:rsid w:val="005C6251"/>
    <w:rsid w:val="005C6280"/>
    <w:rsid w:val="005C628E"/>
    <w:rsid w:val="005C629C"/>
    <w:rsid w:val="005C630C"/>
    <w:rsid w:val="005C6392"/>
    <w:rsid w:val="005C63AC"/>
    <w:rsid w:val="005C63BD"/>
    <w:rsid w:val="005C63E8"/>
    <w:rsid w:val="005C6408"/>
    <w:rsid w:val="005C6489"/>
    <w:rsid w:val="005C64EC"/>
    <w:rsid w:val="005C6572"/>
    <w:rsid w:val="005C6590"/>
    <w:rsid w:val="005C65B2"/>
    <w:rsid w:val="005C664E"/>
    <w:rsid w:val="005C6683"/>
    <w:rsid w:val="005C6774"/>
    <w:rsid w:val="005C6796"/>
    <w:rsid w:val="005C679A"/>
    <w:rsid w:val="005C68B0"/>
    <w:rsid w:val="005C692E"/>
    <w:rsid w:val="005C6A1C"/>
    <w:rsid w:val="005C6ACA"/>
    <w:rsid w:val="005C6AFD"/>
    <w:rsid w:val="005C6B06"/>
    <w:rsid w:val="005C6B5E"/>
    <w:rsid w:val="005C6B70"/>
    <w:rsid w:val="005C6BB7"/>
    <w:rsid w:val="005C6BD7"/>
    <w:rsid w:val="005C6C1A"/>
    <w:rsid w:val="005C6C5B"/>
    <w:rsid w:val="005C6C90"/>
    <w:rsid w:val="005C6D17"/>
    <w:rsid w:val="005C6E1E"/>
    <w:rsid w:val="005C6E23"/>
    <w:rsid w:val="005C6E88"/>
    <w:rsid w:val="005C6EC0"/>
    <w:rsid w:val="005C6ED5"/>
    <w:rsid w:val="005C6F27"/>
    <w:rsid w:val="005C6F61"/>
    <w:rsid w:val="005C7028"/>
    <w:rsid w:val="005C70AF"/>
    <w:rsid w:val="005C71FE"/>
    <w:rsid w:val="005C722B"/>
    <w:rsid w:val="005C7234"/>
    <w:rsid w:val="005C72CC"/>
    <w:rsid w:val="005C7307"/>
    <w:rsid w:val="005C7322"/>
    <w:rsid w:val="005C7373"/>
    <w:rsid w:val="005C73F4"/>
    <w:rsid w:val="005C74E5"/>
    <w:rsid w:val="005C758E"/>
    <w:rsid w:val="005C75D1"/>
    <w:rsid w:val="005C768C"/>
    <w:rsid w:val="005C76CC"/>
    <w:rsid w:val="005C777C"/>
    <w:rsid w:val="005C7821"/>
    <w:rsid w:val="005C783B"/>
    <w:rsid w:val="005C7871"/>
    <w:rsid w:val="005C788A"/>
    <w:rsid w:val="005C78A2"/>
    <w:rsid w:val="005C78A7"/>
    <w:rsid w:val="005C78DC"/>
    <w:rsid w:val="005C78E1"/>
    <w:rsid w:val="005C78E6"/>
    <w:rsid w:val="005C78F7"/>
    <w:rsid w:val="005C790A"/>
    <w:rsid w:val="005C7910"/>
    <w:rsid w:val="005C79B4"/>
    <w:rsid w:val="005C7A32"/>
    <w:rsid w:val="005C7A96"/>
    <w:rsid w:val="005C7B8D"/>
    <w:rsid w:val="005C7BD0"/>
    <w:rsid w:val="005C7C72"/>
    <w:rsid w:val="005C7CDD"/>
    <w:rsid w:val="005C7D0F"/>
    <w:rsid w:val="005C7DA7"/>
    <w:rsid w:val="005C7FBA"/>
    <w:rsid w:val="005D0018"/>
    <w:rsid w:val="005D0054"/>
    <w:rsid w:val="005D00AA"/>
    <w:rsid w:val="005D024D"/>
    <w:rsid w:val="005D0260"/>
    <w:rsid w:val="005D0288"/>
    <w:rsid w:val="005D028B"/>
    <w:rsid w:val="005D03DC"/>
    <w:rsid w:val="005D0485"/>
    <w:rsid w:val="005D0499"/>
    <w:rsid w:val="005D04C8"/>
    <w:rsid w:val="005D04D2"/>
    <w:rsid w:val="005D059A"/>
    <w:rsid w:val="005D05D9"/>
    <w:rsid w:val="005D05EE"/>
    <w:rsid w:val="005D05FC"/>
    <w:rsid w:val="005D062A"/>
    <w:rsid w:val="005D0678"/>
    <w:rsid w:val="005D074E"/>
    <w:rsid w:val="005D0847"/>
    <w:rsid w:val="005D085E"/>
    <w:rsid w:val="005D0922"/>
    <w:rsid w:val="005D0A7F"/>
    <w:rsid w:val="005D0AF0"/>
    <w:rsid w:val="005D0B4C"/>
    <w:rsid w:val="005D0BC6"/>
    <w:rsid w:val="005D0BDF"/>
    <w:rsid w:val="005D0C1F"/>
    <w:rsid w:val="005D0C62"/>
    <w:rsid w:val="005D0C6B"/>
    <w:rsid w:val="005D0C72"/>
    <w:rsid w:val="005D0D4E"/>
    <w:rsid w:val="005D0D82"/>
    <w:rsid w:val="005D0D8F"/>
    <w:rsid w:val="005D0DB0"/>
    <w:rsid w:val="005D0E5B"/>
    <w:rsid w:val="005D0E96"/>
    <w:rsid w:val="005D0F52"/>
    <w:rsid w:val="005D0F60"/>
    <w:rsid w:val="005D100D"/>
    <w:rsid w:val="005D1039"/>
    <w:rsid w:val="005D1059"/>
    <w:rsid w:val="005D1091"/>
    <w:rsid w:val="005D10F6"/>
    <w:rsid w:val="005D11D8"/>
    <w:rsid w:val="005D11F3"/>
    <w:rsid w:val="005D1205"/>
    <w:rsid w:val="005D1240"/>
    <w:rsid w:val="005D131D"/>
    <w:rsid w:val="005D1338"/>
    <w:rsid w:val="005D1359"/>
    <w:rsid w:val="005D136B"/>
    <w:rsid w:val="005D1432"/>
    <w:rsid w:val="005D147B"/>
    <w:rsid w:val="005D14B4"/>
    <w:rsid w:val="005D1508"/>
    <w:rsid w:val="005D1530"/>
    <w:rsid w:val="005D15DD"/>
    <w:rsid w:val="005D15E3"/>
    <w:rsid w:val="005D1626"/>
    <w:rsid w:val="005D16A4"/>
    <w:rsid w:val="005D16B3"/>
    <w:rsid w:val="005D16C8"/>
    <w:rsid w:val="005D1707"/>
    <w:rsid w:val="005D177D"/>
    <w:rsid w:val="005D17D2"/>
    <w:rsid w:val="005D17D8"/>
    <w:rsid w:val="005D1830"/>
    <w:rsid w:val="005D183A"/>
    <w:rsid w:val="005D1864"/>
    <w:rsid w:val="005D18FD"/>
    <w:rsid w:val="005D1905"/>
    <w:rsid w:val="005D1918"/>
    <w:rsid w:val="005D1968"/>
    <w:rsid w:val="005D1978"/>
    <w:rsid w:val="005D199D"/>
    <w:rsid w:val="005D19FA"/>
    <w:rsid w:val="005D1AB5"/>
    <w:rsid w:val="005D1AF0"/>
    <w:rsid w:val="005D1B10"/>
    <w:rsid w:val="005D1B5A"/>
    <w:rsid w:val="005D1B8B"/>
    <w:rsid w:val="005D1BEC"/>
    <w:rsid w:val="005D1C60"/>
    <w:rsid w:val="005D1CDA"/>
    <w:rsid w:val="005D1D19"/>
    <w:rsid w:val="005D1D1F"/>
    <w:rsid w:val="005D1D22"/>
    <w:rsid w:val="005D1D42"/>
    <w:rsid w:val="005D1D47"/>
    <w:rsid w:val="005D1D73"/>
    <w:rsid w:val="005D1D93"/>
    <w:rsid w:val="005D1DB0"/>
    <w:rsid w:val="005D1E04"/>
    <w:rsid w:val="005D1ECE"/>
    <w:rsid w:val="005D1F07"/>
    <w:rsid w:val="005D1F84"/>
    <w:rsid w:val="005D2035"/>
    <w:rsid w:val="005D2068"/>
    <w:rsid w:val="005D206B"/>
    <w:rsid w:val="005D2075"/>
    <w:rsid w:val="005D20CE"/>
    <w:rsid w:val="005D215E"/>
    <w:rsid w:val="005D21C7"/>
    <w:rsid w:val="005D223C"/>
    <w:rsid w:val="005D2312"/>
    <w:rsid w:val="005D23B2"/>
    <w:rsid w:val="005D23FD"/>
    <w:rsid w:val="005D2448"/>
    <w:rsid w:val="005D2473"/>
    <w:rsid w:val="005D247F"/>
    <w:rsid w:val="005D248F"/>
    <w:rsid w:val="005D25BE"/>
    <w:rsid w:val="005D263D"/>
    <w:rsid w:val="005D26BA"/>
    <w:rsid w:val="005D26F0"/>
    <w:rsid w:val="005D27E2"/>
    <w:rsid w:val="005D27F5"/>
    <w:rsid w:val="005D2846"/>
    <w:rsid w:val="005D2870"/>
    <w:rsid w:val="005D28A6"/>
    <w:rsid w:val="005D2952"/>
    <w:rsid w:val="005D2958"/>
    <w:rsid w:val="005D29C8"/>
    <w:rsid w:val="005D2A15"/>
    <w:rsid w:val="005D2A8D"/>
    <w:rsid w:val="005D2AD3"/>
    <w:rsid w:val="005D2AE2"/>
    <w:rsid w:val="005D2B13"/>
    <w:rsid w:val="005D2BD2"/>
    <w:rsid w:val="005D2BD5"/>
    <w:rsid w:val="005D2BE7"/>
    <w:rsid w:val="005D2BED"/>
    <w:rsid w:val="005D2D53"/>
    <w:rsid w:val="005D2D5B"/>
    <w:rsid w:val="005D2D8F"/>
    <w:rsid w:val="005D2D90"/>
    <w:rsid w:val="005D2DEC"/>
    <w:rsid w:val="005D2E02"/>
    <w:rsid w:val="005D2E74"/>
    <w:rsid w:val="005D2E95"/>
    <w:rsid w:val="005D2EC7"/>
    <w:rsid w:val="005D2ECD"/>
    <w:rsid w:val="005D3014"/>
    <w:rsid w:val="005D30EF"/>
    <w:rsid w:val="005D3108"/>
    <w:rsid w:val="005D3195"/>
    <w:rsid w:val="005D31BA"/>
    <w:rsid w:val="005D31BB"/>
    <w:rsid w:val="005D324F"/>
    <w:rsid w:val="005D329C"/>
    <w:rsid w:val="005D3307"/>
    <w:rsid w:val="005D3369"/>
    <w:rsid w:val="005D3382"/>
    <w:rsid w:val="005D33D1"/>
    <w:rsid w:val="005D33EA"/>
    <w:rsid w:val="005D33FE"/>
    <w:rsid w:val="005D3412"/>
    <w:rsid w:val="005D3418"/>
    <w:rsid w:val="005D341F"/>
    <w:rsid w:val="005D346D"/>
    <w:rsid w:val="005D34B1"/>
    <w:rsid w:val="005D350B"/>
    <w:rsid w:val="005D3526"/>
    <w:rsid w:val="005D3560"/>
    <w:rsid w:val="005D35EB"/>
    <w:rsid w:val="005D362A"/>
    <w:rsid w:val="005D3639"/>
    <w:rsid w:val="005D3687"/>
    <w:rsid w:val="005D3689"/>
    <w:rsid w:val="005D3738"/>
    <w:rsid w:val="005D374A"/>
    <w:rsid w:val="005D390B"/>
    <w:rsid w:val="005D3997"/>
    <w:rsid w:val="005D39FE"/>
    <w:rsid w:val="005D3B39"/>
    <w:rsid w:val="005D3BEB"/>
    <w:rsid w:val="005D3BF3"/>
    <w:rsid w:val="005D3C03"/>
    <w:rsid w:val="005D3C0D"/>
    <w:rsid w:val="005D3C7D"/>
    <w:rsid w:val="005D3CF8"/>
    <w:rsid w:val="005D3D3C"/>
    <w:rsid w:val="005D3DDC"/>
    <w:rsid w:val="005D3E33"/>
    <w:rsid w:val="005D3E49"/>
    <w:rsid w:val="005D3EF1"/>
    <w:rsid w:val="005D3F89"/>
    <w:rsid w:val="005D4080"/>
    <w:rsid w:val="005D40DA"/>
    <w:rsid w:val="005D416E"/>
    <w:rsid w:val="005D4175"/>
    <w:rsid w:val="005D4281"/>
    <w:rsid w:val="005D42A9"/>
    <w:rsid w:val="005D42E7"/>
    <w:rsid w:val="005D4356"/>
    <w:rsid w:val="005D4373"/>
    <w:rsid w:val="005D439C"/>
    <w:rsid w:val="005D4403"/>
    <w:rsid w:val="005D44A3"/>
    <w:rsid w:val="005D44C6"/>
    <w:rsid w:val="005D4556"/>
    <w:rsid w:val="005D4564"/>
    <w:rsid w:val="005D458D"/>
    <w:rsid w:val="005D45C7"/>
    <w:rsid w:val="005D4623"/>
    <w:rsid w:val="005D462A"/>
    <w:rsid w:val="005D4636"/>
    <w:rsid w:val="005D4665"/>
    <w:rsid w:val="005D4674"/>
    <w:rsid w:val="005D468F"/>
    <w:rsid w:val="005D4738"/>
    <w:rsid w:val="005D479A"/>
    <w:rsid w:val="005D47ED"/>
    <w:rsid w:val="005D4813"/>
    <w:rsid w:val="005D4828"/>
    <w:rsid w:val="005D4863"/>
    <w:rsid w:val="005D49A1"/>
    <w:rsid w:val="005D49BB"/>
    <w:rsid w:val="005D4A7C"/>
    <w:rsid w:val="005D4B15"/>
    <w:rsid w:val="005D4BC1"/>
    <w:rsid w:val="005D4BE2"/>
    <w:rsid w:val="005D4C38"/>
    <w:rsid w:val="005D4C54"/>
    <w:rsid w:val="005D4C9A"/>
    <w:rsid w:val="005D4CD2"/>
    <w:rsid w:val="005D4CE5"/>
    <w:rsid w:val="005D4D55"/>
    <w:rsid w:val="005D4D89"/>
    <w:rsid w:val="005D4DB4"/>
    <w:rsid w:val="005D4DE1"/>
    <w:rsid w:val="005D4E18"/>
    <w:rsid w:val="005D4E3D"/>
    <w:rsid w:val="005D4E56"/>
    <w:rsid w:val="005D4EB1"/>
    <w:rsid w:val="005D4EEE"/>
    <w:rsid w:val="005D4F19"/>
    <w:rsid w:val="005D4F2A"/>
    <w:rsid w:val="005D4F63"/>
    <w:rsid w:val="005D4F6A"/>
    <w:rsid w:val="005D4FCC"/>
    <w:rsid w:val="005D4FE6"/>
    <w:rsid w:val="005D503A"/>
    <w:rsid w:val="005D510A"/>
    <w:rsid w:val="005D5232"/>
    <w:rsid w:val="005D529A"/>
    <w:rsid w:val="005D52EC"/>
    <w:rsid w:val="005D5335"/>
    <w:rsid w:val="005D533F"/>
    <w:rsid w:val="005D53C3"/>
    <w:rsid w:val="005D5474"/>
    <w:rsid w:val="005D54DE"/>
    <w:rsid w:val="005D54F5"/>
    <w:rsid w:val="005D5501"/>
    <w:rsid w:val="005D5558"/>
    <w:rsid w:val="005D55BB"/>
    <w:rsid w:val="005D567F"/>
    <w:rsid w:val="005D56A8"/>
    <w:rsid w:val="005D56C2"/>
    <w:rsid w:val="005D56E1"/>
    <w:rsid w:val="005D56E2"/>
    <w:rsid w:val="005D57AF"/>
    <w:rsid w:val="005D5812"/>
    <w:rsid w:val="005D5815"/>
    <w:rsid w:val="005D586A"/>
    <w:rsid w:val="005D586D"/>
    <w:rsid w:val="005D591F"/>
    <w:rsid w:val="005D59AD"/>
    <w:rsid w:val="005D5B0A"/>
    <w:rsid w:val="005D5B28"/>
    <w:rsid w:val="005D5B2F"/>
    <w:rsid w:val="005D5C53"/>
    <w:rsid w:val="005D5C88"/>
    <w:rsid w:val="005D5C9B"/>
    <w:rsid w:val="005D5CFB"/>
    <w:rsid w:val="005D5CFF"/>
    <w:rsid w:val="005D5D05"/>
    <w:rsid w:val="005D5D2B"/>
    <w:rsid w:val="005D5D3F"/>
    <w:rsid w:val="005D5E2A"/>
    <w:rsid w:val="005D5ECF"/>
    <w:rsid w:val="005D5F82"/>
    <w:rsid w:val="005D5FBB"/>
    <w:rsid w:val="005D5FDF"/>
    <w:rsid w:val="005D6000"/>
    <w:rsid w:val="005D6154"/>
    <w:rsid w:val="005D61E7"/>
    <w:rsid w:val="005D62B3"/>
    <w:rsid w:val="005D6373"/>
    <w:rsid w:val="005D63C1"/>
    <w:rsid w:val="005D63CB"/>
    <w:rsid w:val="005D6545"/>
    <w:rsid w:val="005D65AF"/>
    <w:rsid w:val="005D65D7"/>
    <w:rsid w:val="005D662A"/>
    <w:rsid w:val="005D67AC"/>
    <w:rsid w:val="005D6812"/>
    <w:rsid w:val="005D6818"/>
    <w:rsid w:val="005D68ED"/>
    <w:rsid w:val="005D69B6"/>
    <w:rsid w:val="005D6A26"/>
    <w:rsid w:val="005D6A69"/>
    <w:rsid w:val="005D6A96"/>
    <w:rsid w:val="005D6A9E"/>
    <w:rsid w:val="005D6AAF"/>
    <w:rsid w:val="005D6ABB"/>
    <w:rsid w:val="005D6ADA"/>
    <w:rsid w:val="005D6BAA"/>
    <w:rsid w:val="005D6BCA"/>
    <w:rsid w:val="005D6C52"/>
    <w:rsid w:val="005D6C6B"/>
    <w:rsid w:val="005D6CA8"/>
    <w:rsid w:val="005D6D4E"/>
    <w:rsid w:val="005D6D6E"/>
    <w:rsid w:val="005D6D88"/>
    <w:rsid w:val="005D6D89"/>
    <w:rsid w:val="005D6ECA"/>
    <w:rsid w:val="005D6F00"/>
    <w:rsid w:val="005D6FD4"/>
    <w:rsid w:val="005D6FEF"/>
    <w:rsid w:val="005D701C"/>
    <w:rsid w:val="005D7065"/>
    <w:rsid w:val="005D70D9"/>
    <w:rsid w:val="005D717F"/>
    <w:rsid w:val="005D72A8"/>
    <w:rsid w:val="005D72B0"/>
    <w:rsid w:val="005D72B7"/>
    <w:rsid w:val="005D72E5"/>
    <w:rsid w:val="005D7395"/>
    <w:rsid w:val="005D73CD"/>
    <w:rsid w:val="005D73E8"/>
    <w:rsid w:val="005D73F3"/>
    <w:rsid w:val="005D7411"/>
    <w:rsid w:val="005D7435"/>
    <w:rsid w:val="005D7495"/>
    <w:rsid w:val="005D74BE"/>
    <w:rsid w:val="005D750E"/>
    <w:rsid w:val="005D751D"/>
    <w:rsid w:val="005D753F"/>
    <w:rsid w:val="005D7560"/>
    <w:rsid w:val="005D758A"/>
    <w:rsid w:val="005D75D4"/>
    <w:rsid w:val="005D7643"/>
    <w:rsid w:val="005D7654"/>
    <w:rsid w:val="005D76C9"/>
    <w:rsid w:val="005D76E2"/>
    <w:rsid w:val="005D76EE"/>
    <w:rsid w:val="005D76FD"/>
    <w:rsid w:val="005D771B"/>
    <w:rsid w:val="005D7740"/>
    <w:rsid w:val="005D77AA"/>
    <w:rsid w:val="005D77EB"/>
    <w:rsid w:val="005D77FE"/>
    <w:rsid w:val="005D7892"/>
    <w:rsid w:val="005D7897"/>
    <w:rsid w:val="005D78AA"/>
    <w:rsid w:val="005D7902"/>
    <w:rsid w:val="005D7917"/>
    <w:rsid w:val="005D792D"/>
    <w:rsid w:val="005D7B4C"/>
    <w:rsid w:val="005D7BE7"/>
    <w:rsid w:val="005D7C6C"/>
    <w:rsid w:val="005D7D16"/>
    <w:rsid w:val="005D7D47"/>
    <w:rsid w:val="005D7D55"/>
    <w:rsid w:val="005D7D8A"/>
    <w:rsid w:val="005D7DA9"/>
    <w:rsid w:val="005D7DF5"/>
    <w:rsid w:val="005D7E7C"/>
    <w:rsid w:val="005D7F23"/>
    <w:rsid w:val="005D7F55"/>
    <w:rsid w:val="005D7F5A"/>
    <w:rsid w:val="005D7F85"/>
    <w:rsid w:val="005D7F97"/>
    <w:rsid w:val="005D7FE2"/>
    <w:rsid w:val="005E00D3"/>
    <w:rsid w:val="005E00D4"/>
    <w:rsid w:val="005E00E7"/>
    <w:rsid w:val="005E0169"/>
    <w:rsid w:val="005E0176"/>
    <w:rsid w:val="005E0178"/>
    <w:rsid w:val="005E017E"/>
    <w:rsid w:val="005E018B"/>
    <w:rsid w:val="005E01A2"/>
    <w:rsid w:val="005E01CE"/>
    <w:rsid w:val="005E0269"/>
    <w:rsid w:val="005E02B3"/>
    <w:rsid w:val="005E0322"/>
    <w:rsid w:val="005E0338"/>
    <w:rsid w:val="005E033D"/>
    <w:rsid w:val="005E0343"/>
    <w:rsid w:val="005E0375"/>
    <w:rsid w:val="005E0399"/>
    <w:rsid w:val="005E03A4"/>
    <w:rsid w:val="005E043D"/>
    <w:rsid w:val="005E051A"/>
    <w:rsid w:val="005E057E"/>
    <w:rsid w:val="005E05B4"/>
    <w:rsid w:val="005E05F9"/>
    <w:rsid w:val="005E0634"/>
    <w:rsid w:val="005E063B"/>
    <w:rsid w:val="005E064F"/>
    <w:rsid w:val="005E070A"/>
    <w:rsid w:val="005E0764"/>
    <w:rsid w:val="005E079B"/>
    <w:rsid w:val="005E07CC"/>
    <w:rsid w:val="005E0823"/>
    <w:rsid w:val="005E0853"/>
    <w:rsid w:val="005E08DC"/>
    <w:rsid w:val="005E098C"/>
    <w:rsid w:val="005E09D6"/>
    <w:rsid w:val="005E0A2A"/>
    <w:rsid w:val="005E0A4E"/>
    <w:rsid w:val="005E0A78"/>
    <w:rsid w:val="005E0AEB"/>
    <w:rsid w:val="005E0B06"/>
    <w:rsid w:val="005E0B64"/>
    <w:rsid w:val="005E0B8C"/>
    <w:rsid w:val="005E0BD3"/>
    <w:rsid w:val="005E0C24"/>
    <w:rsid w:val="005E0C34"/>
    <w:rsid w:val="005E0D02"/>
    <w:rsid w:val="005E0D22"/>
    <w:rsid w:val="005E0D74"/>
    <w:rsid w:val="005E0DAA"/>
    <w:rsid w:val="005E0DB4"/>
    <w:rsid w:val="005E0DCD"/>
    <w:rsid w:val="005E0E3E"/>
    <w:rsid w:val="005E0E8A"/>
    <w:rsid w:val="005E0EAF"/>
    <w:rsid w:val="005E0ECB"/>
    <w:rsid w:val="005E0FA9"/>
    <w:rsid w:val="005E0FF1"/>
    <w:rsid w:val="005E10C5"/>
    <w:rsid w:val="005E1151"/>
    <w:rsid w:val="005E115E"/>
    <w:rsid w:val="005E11C2"/>
    <w:rsid w:val="005E11E5"/>
    <w:rsid w:val="005E11EA"/>
    <w:rsid w:val="005E12D3"/>
    <w:rsid w:val="005E1326"/>
    <w:rsid w:val="005E135B"/>
    <w:rsid w:val="005E1406"/>
    <w:rsid w:val="005E1444"/>
    <w:rsid w:val="005E1453"/>
    <w:rsid w:val="005E1492"/>
    <w:rsid w:val="005E149E"/>
    <w:rsid w:val="005E15B8"/>
    <w:rsid w:val="005E15C5"/>
    <w:rsid w:val="005E1708"/>
    <w:rsid w:val="005E173D"/>
    <w:rsid w:val="005E1742"/>
    <w:rsid w:val="005E1762"/>
    <w:rsid w:val="005E1764"/>
    <w:rsid w:val="005E176A"/>
    <w:rsid w:val="005E1987"/>
    <w:rsid w:val="005E19D7"/>
    <w:rsid w:val="005E19FD"/>
    <w:rsid w:val="005E1AAB"/>
    <w:rsid w:val="005E1B51"/>
    <w:rsid w:val="005E1B70"/>
    <w:rsid w:val="005E1BA8"/>
    <w:rsid w:val="005E1BCD"/>
    <w:rsid w:val="005E1C4D"/>
    <w:rsid w:val="005E1DBE"/>
    <w:rsid w:val="005E1DEB"/>
    <w:rsid w:val="005E1E18"/>
    <w:rsid w:val="005E1EB7"/>
    <w:rsid w:val="005E1EEF"/>
    <w:rsid w:val="005E1FA9"/>
    <w:rsid w:val="005E1FFC"/>
    <w:rsid w:val="005E2008"/>
    <w:rsid w:val="005E203C"/>
    <w:rsid w:val="005E203F"/>
    <w:rsid w:val="005E207F"/>
    <w:rsid w:val="005E20D9"/>
    <w:rsid w:val="005E2105"/>
    <w:rsid w:val="005E216D"/>
    <w:rsid w:val="005E21F7"/>
    <w:rsid w:val="005E21FC"/>
    <w:rsid w:val="005E2263"/>
    <w:rsid w:val="005E22AD"/>
    <w:rsid w:val="005E230C"/>
    <w:rsid w:val="005E2393"/>
    <w:rsid w:val="005E243E"/>
    <w:rsid w:val="005E24E0"/>
    <w:rsid w:val="005E250B"/>
    <w:rsid w:val="005E250D"/>
    <w:rsid w:val="005E259C"/>
    <w:rsid w:val="005E25BB"/>
    <w:rsid w:val="005E25CF"/>
    <w:rsid w:val="005E26A2"/>
    <w:rsid w:val="005E26A4"/>
    <w:rsid w:val="005E2827"/>
    <w:rsid w:val="005E2841"/>
    <w:rsid w:val="005E285E"/>
    <w:rsid w:val="005E28C0"/>
    <w:rsid w:val="005E292A"/>
    <w:rsid w:val="005E2963"/>
    <w:rsid w:val="005E298D"/>
    <w:rsid w:val="005E29C7"/>
    <w:rsid w:val="005E2A00"/>
    <w:rsid w:val="005E2A25"/>
    <w:rsid w:val="005E2A6C"/>
    <w:rsid w:val="005E2AC6"/>
    <w:rsid w:val="005E2B3B"/>
    <w:rsid w:val="005E2B3D"/>
    <w:rsid w:val="005E2B45"/>
    <w:rsid w:val="005E2BC5"/>
    <w:rsid w:val="005E2BCF"/>
    <w:rsid w:val="005E2C12"/>
    <w:rsid w:val="005E2C5B"/>
    <w:rsid w:val="005E2CF2"/>
    <w:rsid w:val="005E2D2D"/>
    <w:rsid w:val="005E2E02"/>
    <w:rsid w:val="005E2E25"/>
    <w:rsid w:val="005E2EA1"/>
    <w:rsid w:val="005E2EF7"/>
    <w:rsid w:val="005E2F15"/>
    <w:rsid w:val="005E2F22"/>
    <w:rsid w:val="005E2F26"/>
    <w:rsid w:val="005E2FB5"/>
    <w:rsid w:val="005E3002"/>
    <w:rsid w:val="005E3045"/>
    <w:rsid w:val="005E3047"/>
    <w:rsid w:val="005E30CC"/>
    <w:rsid w:val="005E30D5"/>
    <w:rsid w:val="005E311C"/>
    <w:rsid w:val="005E320E"/>
    <w:rsid w:val="005E323C"/>
    <w:rsid w:val="005E32C0"/>
    <w:rsid w:val="005E3320"/>
    <w:rsid w:val="005E3361"/>
    <w:rsid w:val="005E3504"/>
    <w:rsid w:val="005E350C"/>
    <w:rsid w:val="005E3519"/>
    <w:rsid w:val="005E3542"/>
    <w:rsid w:val="005E366D"/>
    <w:rsid w:val="005E3703"/>
    <w:rsid w:val="005E37E1"/>
    <w:rsid w:val="005E3839"/>
    <w:rsid w:val="005E383D"/>
    <w:rsid w:val="005E388D"/>
    <w:rsid w:val="005E397A"/>
    <w:rsid w:val="005E3985"/>
    <w:rsid w:val="005E3A23"/>
    <w:rsid w:val="005E3A27"/>
    <w:rsid w:val="005E3A94"/>
    <w:rsid w:val="005E3AD9"/>
    <w:rsid w:val="005E3AE6"/>
    <w:rsid w:val="005E3B7A"/>
    <w:rsid w:val="005E3C89"/>
    <w:rsid w:val="005E3DB2"/>
    <w:rsid w:val="005E3DB4"/>
    <w:rsid w:val="005E3DDF"/>
    <w:rsid w:val="005E3DEB"/>
    <w:rsid w:val="005E3E30"/>
    <w:rsid w:val="005E3E5D"/>
    <w:rsid w:val="005E3F78"/>
    <w:rsid w:val="005E3F7F"/>
    <w:rsid w:val="005E407D"/>
    <w:rsid w:val="005E4085"/>
    <w:rsid w:val="005E409A"/>
    <w:rsid w:val="005E4105"/>
    <w:rsid w:val="005E4115"/>
    <w:rsid w:val="005E411D"/>
    <w:rsid w:val="005E41CA"/>
    <w:rsid w:val="005E4200"/>
    <w:rsid w:val="005E4230"/>
    <w:rsid w:val="005E42B2"/>
    <w:rsid w:val="005E42B7"/>
    <w:rsid w:val="005E42CB"/>
    <w:rsid w:val="005E43AA"/>
    <w:rsid w:val="005E444D"/>
    <w:rsid w:val="005E4466"/>
    <w:rsid w:val="005E44F8"/>
    <w:rsid w:val="005E452D"/>
    <w:rsid w:val="005E4536"/>
    <w:rsid w:val="005E456A"/>
    <w:rsid w:val="005E458D"/>
    <w:rsid w:val="005E45CD"/>
    <w:rsid w:val="005E4641"/>
    <w:rsid w:val="005E4699"/>
    <w:rsid w:val="005E473F"/>
    <w:rsid w:val="005E47B4"/>
    <w:rsid w:val="005E47C9"/>
    <w:rsid w:val="005E481B"/>
    <w:rsid w:val="005E48F1"/>
    <w:rsid w:val="005E495C"/>
    <w:rsid w:val="005E4972"/>
    <w:rsid w:val="005E49E7"/>
    <w:rsid w:val="005E4A4B"/>
    <w:rsid w:val="005E4A86"/>
    <w:rsid w:val="005E4AF3"/>
    <w:rsid w:val="005E4AFD"/>
    <w:rsid w:val="005E4B44"/>
    <w:rsid w:val="005E4B4D"/>
    <w:rsid w:val="005E4BAD"/>
    <w:rsid w:val="005E4C0A"/>
    <w:rsid w:val="005E4C18"/>
    <w:rsid w:val="005E4C1E"/>
    <w:rsid w:val="005E4C23"/>
    <w:rsid w:val="005E4C50"/>
    <w:rsid w:val="005E4C5A"/>
    <w:rsid w:val="005E4C8E"/>
    <w:rsid w:val="005E4D21"/>
    <w:rsid w:val="005E4D3E"/>
    <w:rsid w:val="005E4D4C"/>
    <w:rsid w:val="005E4D5D"/>
    <w:rsid w:val="005E4D76"/>
    <w:rsid w:val="005E4D82"/>
    <w:rsid w:val="005E4D92"/>
    <w:rsid w:val="005E4DAE"/>
    <w:rsid w:val="005E4FCA"/>
    <w:rsid w:val="005E5091"/>
    <w:rsid w:val="005E5114"/>
    <w:rsid w:val="005E5183"/>
    <w:rsid w:val="005E51A6"/>
    <w:rsid w:val="005E51BC"/>
    <w:rsid w:val="005E51C3"/>
    <w:rsid w:val="005E51CC"/>
    <w:rsid w:val="005E520B"/>
    <w:rsid w:val="005E5264"/>
    <w:rsid w:val="005E5286"/>
    <w:rsid w:val="005E52AB"/>
    <w:rsid w:val="005E52B1"/>
    <w:rsid w:val="005E533F"/>
    <w:rsid w:val="005E53D3"/>
    <w:rsid w:val="005E5465"/>
    <w:rsid w:val="005E54A7"/>
    <w:rsid w:val="005E54CD"/>
    <w:rsid w:val="005E553D"/>
    <w:rsid w:val="005E557F"/>
    <w:rsid w:val="005E5603"/>
    <w:rsid w:val="005E561B"/>
    <w:rsid w:val="005E5673"/>
    <w:rsid w:val="005E56AA"/>
    <w:rsid w:val="005E56EF"/>
    <w:rsid w:val="005E5735"/>
    <w:rsid w:val="005E5742"/>
    <w:rsid w:val="005E575C"/>
    <w:rsid w:val="005E57CA"/>
    <w:rsid w:val="005E57F2"/>
    <w:rsid w:val="005E5844"/>
    <w:rsid w:val="005E5847"/>
    <w:rsid w:val="005E587C"/>
    <w:rsid w:val="005E596B"/>
    <w:rsid w:val="005E5976"/>
    <w:rsid w:val="005E5AC9"/>
    <w:rsid w:val="005E5AD6"/>
    <w:rsid w:val="005E5B36"/>
    <w:rsid w:val="005E5B4A"/>
    <w:rsid w:val="005E5B74"/>
    <w:rsid w:val="005E5C17"/>
    <w:rsid w:val="005E5C43"/>
    <w:rsid w:val="005E5CCC"/>
    <w:rsid w:val="005E5D3C"/>
    <w:rsid w:val="005E5DBA"/>
    <w:rsid w:val="005E5DD3"/>
    <w:rsid w:val="005E5E15"/>
    <w:rsid w:val="005E5E20"/>
    <w:rsid w:val="005E5EB2"/>
    <w:rsid w:val="005E5F65"/>
    <w:rsid w:val="005E6040"/>
    <w:rsid w:val="005E6047"/>
    <w:rsid w:val="005E605C"/>
    <w:rsid w:val="005E608E"/>
    <w:rsid w:val="005E617B"/>
    <w:rsid w:val="005E61B9"/>
    <w:rsid w:val="005E626A"/>
    <w:rsid w:val="005E633E"/>
    <w:rsid w:val="005E637B"/>
    <w:rsid w:val="005E63A4"/>
    <w:rsid w:val="005E63B2"/>
    <w:rsid w:val="005E6409"/>
    <w:rsid w:val="005E6457"/>
    <w:rsid w:val="005E646F"/>
    <w:rsid w:val="005E64F5"/>
    <w:rsid w:val="005E650E"/>
    <w:rsid w:val="005E6528"/>
    <w:rsid w:val="005E653A"/>
    <w:rsid w:val="005E658C"/>
    <w:rsid w:val="005E6650"/>
    <w:rsid w:val="005E667C"/>
    <w:rsid w:val="005E66ED"/>
    <w:rsid w:val="005E66F0"/>
    <w:rsid w:val="005E6713"/>
    <w:rsid w:val="005E6783"/>
    <w:rsid w:val="005E67CF"/>
    <w:rsid w:val="005E67E1"/>
    <w:rsid w:val="005E6808"/>
    <w:rsid w:val="005E687A"/>
    <w:rsid w:val="005E68EF"/>
    <w:rsid w:val="005E6923"/>
    <w:rsid w:val="005E6988"/>
    <w:rsid w:val="005E69D6"/>
    <w:rsid w:val="005E69F4"/>
    <w:rsid w:val="005E69FF"/>
    <w:rsid w:val="005E6A3D"/>
    <w:rsid w:val="005E6A8E"/>
    <w:rsid w:val="005E6AEA"/>
    <w:rsid w:val="005E6B67"/>
    <w:rsid w:val="005E6BC1"/>
    <w:rsid w:val="005E6C4C"/>
    <w:rsid w:val="005E6C99"/>
    <w:rsid w:val="005E6D70"/>
    <w:rsid w:val="005E6D98"/>
    <w:rsid w:val="005E6DA9"/>
    <w:rsid w:val="005E6E04"/>
    <w:rsid w:val="005E6E2F"/>
    <w:rsid w:val="005E6E64"/>
    <w:rsid w:val="005E6E76"/>
    <w:rsid w:val="005E6E7A"/>
    <w:rsid w:val="005E6E8D"/>
    <w:rsid w:val="005E6F21"/>
    <w:rsid w:val="005E6F8F"/>
    <w:rsid w:val="005E6FB3"/>
    <w:rsid w:val="005E6FE4"/>
    <w:rsid w:val="005E703D"/>
    <w:rsid w:val="005E7060"/>
    <w:rsid w:val="005E70BF"/>
    <w:rsid w:val="005E70DC"/>
    <w:rsid w:val="005E710D"/>
    <w:rsid w:val="005E71EE"/>
    <w:rsid w:val="005E71F2"/>
    <w:rsid w:val="005E723E"/>
    <w:rsid w:val="005E7287"/>
    <w:rsid w:val="005E72A1"/>
    <w:rsid w:val="005E72A4"/>
    <w:rsid w:val="005E72C3"/>
    <w:rsid w:val="005E72CC"/>
    <w:rsid w:val="005E734B"/>
    <w:rsid w:val="005E7354"/>
    <w:rsid w:val="005E735E"/>
    <w:rsid w:val="005E7466"/>
    <w:rsid w:val="005E7477"/>
    <w:rsid w:val="005E74B9"/>
    <w:rsid w:val="005E74BB"/>
    <w:rsid w:val="005E75DD"/>
    <w:rsid w:val="005E765C"/>
    <w:rsid w:val="005E76DF"/>
    <w:rsid w:val="005E76E8"/>
    <w:rsid w:val="005E77E3"/>
    <w:rsid w:val="005E7822"/>
    <w:rsid w:val="005E783E"/>
    <w:rsid w:val="005E78B2"/>
    <w:rsid w:val="005E78BF"/>
    <w:rsid w:val="005E79C4"/>
    <w:rsid w:val="005E7A2E"/>
    <w:rsid w:val="005E7A88"/>
    <w:rsid w:val="005E7AAE"/>
    <w:rsid w:val="005E7AEC"/>
    <w:rsid w:val="005E7B1E"/>
    <w:rsid w:val="005E7B4D"/>
    <w:rsid w:val="005E7B56"/>
    <w:rsid w:val="005E7BE9"/>
    <w:rsid w:val="005E7BFB"/>
    <w:rsid w:val="005E7C61"/>
    <w:rsid w:val="005E7CFD"/>
    <w:rsid w:val="005E7CFE"/>
    <w:rsid w:val="005E7D50"/>
    <w:rsid w:val="005E7E78"/>
    <w:rsid w:val="005E7E7D"/>
    <w:rsid w:val="005E7E81"/>
    <w:rsid w:val="005E7F28"/>
    <w:rsid w:val="005E7F8F"/>
    <w:rsid w:val="005E7FA8"/>
    <w:rsid w:val="005F0069"/>
    <w:rsid w:val="005F007A"/>
    <w:rsid w:val="005F007B"/>
    <w:rsid w:val="005F0151"/>
    <w:rsid w:val="005F0167"/>
    <w:rsid w:val="005F01F6"/>
    <w:rsid w:val="005F0217"/>
    <w:rsid w:val="005F027A"/>
    <w:rsid w:val="005F02F7"/>
    <w:rsid w:val="005F0357"/>
    <w:rsid w:val="005F038B"/>
    <w:rsid w:val="005F03A9"/>
    <w:rsid w:val="005F0471"/>
    <w:rsid w:val="005F04E9"/>
    <w:rsid w:val="005F0545"/>
    <w:rsid w:val="005F0561"/>
    <w:rsid w:val="005F0578"/>
    <w:rsid w:val="005F05B5"/>
    <w:rsid w:val="005F05F4"/>
    <w:rsid w:val="005F0625"/>
    <w:rsid w:val="005F0644"/>
    <w:rsid w:val="005F065A"/>
    <w:rsid w:val="005F0772"/>
    <w:rsid w:val="005F07B7"/>
    <w:rsid w:val="005F07CB"/>
    <w:rsid w:val="005F07F7"/>
    <w:rsid w:val="005F0824"/>
    <w:rsid w:val="005F084D"/>
    <w:rsid w:val="005F0851"/>
    <w:rsid w:val="005F087A"/>
    <w:rsid w:val="005F0896"/>
    <w:rsid w:val="005F08B7"/>
    <w:rsid w:val="005F08E7"/>
    <w:rsid w:val="005F094E"/>
    <w:rsid w:val="005F095E"/>
    <w:rsid w:val="005F096E"/>
    <w:rsid w:val="005F0983"/>
    <w:rsid w:val="005F09C2"/>
    <w:rsid w:val="005F09F8"/>
    <w:rsid w:val="005F0A5B"/>
    <w:rsid w:val="005F0A98"/>
    <w:rsid w:val="005F0AAD"/>
    <w:rsid w:val="005F0ACA"/>
    <w:rsid w:val="005F0AD6"/>
    <w:rsid w:val="005F0B0A"/>
    <w:rsid w:val="005F0B48"/>
    <w:rsid w:val="005F0B71"/>
    <w:rsid w:val="005F0BB7"/>
    <w:rsid w:val="005F0C08"/>
    <w:rsid w:val="005F0C3A"/>
    <w:rsid w:val="005F0C88"/>
    <w:rsid w:val="005F0D59"/>
    <w:rsid w:val="005F0DD2"/>
    <w:rsid w:val="005F0F19"/>
    <w:rsid w:val="005F0F57"/>
    <w:rsid w:val="005F0F79"/>
    <w:rsid w:val="005F0F84"/>
    <w:rsid w:val="005F1024"/>
    <w:rsid w:val="005F1085"/>
    <w:rsid w:val="005F1179"/>
    <w:rsid w:val="005F1214"/>
    <w:rsid w:val="005F1237"/>
    <w:rsid w:val="005F126B"/>
    <w:rsid w:val="005F1354"/>
    <w:rsid w:val="005F1391"/>
    <w:rsid w:val="005F149F"/>
    <w:rsid w:val="005F14FD"/>
    <w:rsid w:val="005F160C"/>
    <w:rsid w:val="005F161C"/>
    <w:rsid w:val="005F1681"/>
    <w:rsid w:val="005F1711"/>
    <w:rsid w:val="005F18A6"/>
    <w:rsid w:val="005F1A0B"/>
    <w:rsid w:val="005F1A7C"/>
    <w:rsid w:val="005F1A9C"/>
    <w:rsid w:val="005F1AF4"/>
    <w:rsid w:val="005F1AFC"/>
    <w:rsid w:val="005F1B0E"/>
    <w:rsid w:val="005F1B86"/>
    <w:rsid w:val="005F1BD4"/>
    <w:rsid w:val="005F1BF7"/>
    <w:rsid w:val="005F1BF8"/>
    <w:rsid w:val="005F1C19"/>
    <w:rsid w:val="005F1C20"/>
    <w:rsid w:val="005F1C9D"/>
    <w:rsid w:val="005F1CBD"/>
    <w:rsid w:val="005F1D1B"/>
    <w:rsid w:val="005F1D1C"/>
    <w:rsid w:val="005F1DB0"/>
    <w:rsid w:val="005F1DB7"/>
    <w:rsid w:val="005F1DCD"/>
    <w:rsid w:val="005F1DFA"/>
    <w:rsid w:val="005F1EF5"/>
    <w:rsid w:val="005F1F7F"/>
    <w:rsid w:val="005F1FC9"/>
    <w:rsid w:val="005F1FD1"/>
    <w:rsid w:val="005F2030"/>
    <w:rsid w:val="005F20C5"/>
    <w:rsid w:val="005F213A"/>
    <w:rsid w:val="005F214E"/>
    <w:rsid w:val="005F224A"/>
    <w:rsid w:val="005F2283"/>
    <w:rsid w:val="005F2319"/>
    <w:rsid w:val="005F2389"/>
    <w:rsid w:val="005F2392"/>
    <w:rsid w:val="005F2419"/>
    <w:rsid w:val="005F24AB"/>
    <w:rsid w:val="005F2766"/>
    <w:rsid w:val="005F2786"/>
    <w:rsid w:val="005F27BB"/>
    <w:rsid w:val="005F27BF"/>
    <w:rsid w:val="005F27E5"/>
    <w:rsid w:val="005F2920"/>
    <w:rsid w:val="005F297F"/>
    <w:rsid w:val="005F29C2"/>
    <w:rsid w:val="005F2A7A"/>
    <w:rsid w:val="005F2A88"/>
    <w:rsid w:val="005F2AFC"/>
    <w:rsid w:val="005F2B78"/>
    <w:rsid w:val="005F2BAB"/>
    <w:rsid w:val="005F2BBE"/>
    <w:rsid w:val="005F2C07"/>
    <w:rsid w:val="005F2C1B"/>
    <w:rsid w:val="005F2C2A"/>
    <w:rsid w:val="005F2C2C"/>
    <w:rsid w:val="005F2C71"/>
    <w:rsid w:val="005F2C84"/>
    <w:rsid w:val="005F2D49"/>
    <w:rsid w:val="005F2D50"/>
    <w:rsid w:val="005F2D5D"/>
    <w:rsid w:val="005F2F67"/>
    <w:rsid w:val="005F2FDE"/>
    <w:rsid w:val="005F2FDF"/>
    <w:rsid w:val="005F3003"/>
    <w:rsid w:val="005F3114"/>
    <w:rsid w:val="005F3126"/>
    <w:rsid w:val="005F313E"/>
    <w:rsid w:val="005F3164"/>
    <w:rsid w:val="005F3169"/>
    <w:rsid w:val="005F319A"/>
    <w:rsid w:val="005F326F"/>
    <w:rsid w:val="005F32F4"/>
    <w:rsid w:val="005F3318"/>
    <w:rsid w:val="005F336D"/>
    <w:rsid w:val="005F33E6"/>
    <w:rsid w:val="005F33EE"/>
    <w:rsid w:val="005F3402"/>
    <w:rsid w:val="005F341E"/>
    <w:rsid w:val="005F3428"/>
    <w:rsid w:val="005F3455"/>
    <w:rsid w:val="005F346A"/>
    <w:rsid w:val="005F3509"/>
    <w:rsid w:val="005F354C"/>
    <w:rsid w:val="005F35B8"/>
    <w:rsid w:val="005F35CA"/>
    <w:rsid w:val="005F3613"/>
    <w:rsid w:val="005F3692"/>
    <w:rsid w:val="005F369F"/>
    <w:rsid w:val="005F3755"/>
    <w:rsid w:val="005F3780"/>
    <w:rsid w:val="005F3786"/>
    <w:rsid w:val="005F37E3"/>
    <w:rsid w:val="005F3840"/>
    <w:rsid w:val="005F3946"/>
    <w:rsid w:val="005F394D"/>
    <w:rsid w:val="005F39BE"/>
    <w:rsid w:val="005F39D5"/>
    <w:rsid w:val="005F3A23"/>
    <w:rsid w:val="005F3B0E"/>
    <w:rsid w:val="005F3B33"/>
    <w:rsid w:val="005F3B4B"/>
    <w:rsid w:val="005F3B67"/>
    <w:rsid w:val="005F3B91"/>
    <w:rsid w:val="005F3BA8"/>
    <w:rsid w:val="005F3BD9"/>
    <w:rsid w:val="005F3C41"/>
    <w:rsid w:val="005F3C58"/>
    <w:rsid w:val="005F3C99"/>
    <w:rsid w:val="005F3CDA"/>
    <w:rsid w:val="005F3D79"/>
    <w:rsid w:val="005F3D7C"/>
    <w:rsid w:val="005F3E08"/>
    <w:rsid w:val="005F3EAF"/>
    <w:rsid w:val="005F3ECB"/>
    <w:rsid w:val="005F3F1E"/>
    <w:rsid w:val="005F3F35"/>
    <w:rsid w:val="005F403C"/>
    <w:rsid w:val="005F4169"/>
    <w:rsid w:val="005F41BD"/>
    <w:rsid w:val="005F4229"/>
    <w:rsid w:val="005F42DC"/>
    <w:rsid w:val="005F4324"/>
    <w:rsid w:val="005F438E"/>
    <w:rsid w:val="005F4493"/>
    <w:rsid w:val="005F44A7"/>
    <w:rsid w:val="005F44C5"/>
    <w:rsid w:val="005F44D0"/>
    <w:rsid w:val="005F4516"/>
    <w:rsid w:val="005F455C"/>
    <w:rsid w:val="005F4573"/>
    <w:rsid w:val="005F45AA"/>
    <w:rsid w:val="005F45BA"/>
    <w:rsid w:val="005F45FF"/>
    <w:rsid w:val="005F4611"/>
    <w:rsid w:val="005F463E"/>
    <w:rsid w:val="005F4670"/>
    <w:rsid w:val="005F4673"/>
    <w:rsid w:val="005F4711"/>
    <w:rsid w:val="005F478F"/>
    <w:rsid w:val="005F483C"/>
    <w:rsid w:val="005F487C"/>
    <w:rsid w:val="005F48FC"/>
    <w:rsid w:val="005F492C"/>
    <w:rsid w:val="005F4934"/>
    <w:rsid w:val="005F49E7"/>
    <w:rsid w:val="005F49EA"/>
    <w:rsid w:val="005F4A2D"/>
    <w:rsid w:val="005F4A6F"/>
    <w:rsid w:val="005F4BB1"/>
    <w:rsid w:val="005F4BEF"/>
    <w:rsid w:val="005F4BF0"/>
    <w:rsid w:val="005F4BF2"/>
    <w:rsid w:val="005F4C0A"/>
    <w:rsid w:val="005F4C6A"/>
    <w:rsid w:val="005F4C7C"/>
    <w:rsid w:val="005F4C90"/>
    <w:rsid w:val="005F4C95"/>
    <w:rsid w:val="005F4D68"/>
    <w:rsid w:val="005F4D79"/>
    <w:rsid w:val="005F4DA6"/>
    <w:rsid w:val="005F4DC4"/>
    <w:rsid w:val="005F4E87"/>
    <w:rsid w:val="005F4EB3"/>
    <w:rsid w:val="005F4F77"/>
    <w:rsid w:val="005F4FAE"/>
    <w:rsid w:val="005F4FB9"/>
    <w:rsid w:val="005F4FD1"/>
    <w:rsid w:val="005F4FE3"/>
    <w:rsid w:val="005F5094"/>
    <w:rsid w:val="005F50AE"/>
    <w:rsid w:val="005F50C5"/>
    <w:rsid w:val="005F5116"/>
    <w:rsid w:val="005F51F6"/>
    <w:rsid w:val="005F5266"/>
    <w:rsid w:val="005F5269"/>
    <w:rsid w:val="005F52A1"/>
    <w:rsid w:val="005F5337"/>
    <w:rsid w:val="005F5380"/>
    <w:rsid w:val="005F538F"/>
    <w:rsid w:val="005F53DE"/>
    <w:rsid w:val="005F53F2"/>
    <w:rsid w:val="005F5464"/>
    <w:rsid w:val="005F548D"/>
    <w:rsid w:val="005F54AC"/>
    <w:rsid w:val="005F54FB"/>
    <w:rsid w:val="005F5525"/>
    <w:rsid w:val="005F556B"/>
    <w:rsid w:val="005F5579"/>
    <w:rsid w:val="005F55A5"/>
    <w:rsid w:val="005F564C"/>
    <w:rsid w:val="005F5672"/>
    <w:rsid w:val="005F56B3"/>
    <w:rsid w:val="005F56B4"/>
    <w:rsid w:val="005F56CB"/>
    <w:rsid w:val="005F56EF"/>
    <w:rsid w:val="005F57D4"/>
    <w:rsid w:val="005F5800"/>
    <w:rsid w:val="005F582E"/>
    <w:rsid w:val="005F5846"/>
    <w:rsid w:val="005F5869"/>
    <w:rsid w:val="005F58C1"/>
    <w:rsid w:val="005F58F6"/>
    <w:rsid w:val="005F597F"/>
    <w:rsid w:val="005F5986"/>
    <w:rsid w:val="005F5989"/>
    <w:rsid w:val="005F59BD"/>
    <w:rsid w:val="005F5AFE"/>
    <w:rsid w:val="005F5BBE"/>
    <w:rsid w:val="005F5BE8"/>
    <w:rsid w:val="005F5C83"/>
    <w:rsid w:val="005F5D01"/>
    <w:rsid w:val="005F5D12"/>
    <w:rsid w:val="005F5D28"/>
    <w:rsid w:val="005F5D48"/>
    <w:rsid w:val="005F5DA3"/>
    <w:rsid w:val="005F5DB1"/>
    <w:rsid w:val="005F5DC2"/>
    <w:rsid w:val="005F5DED"/>
    <w:rsid w:val="005F5E30"/>
    <w:rsid w:val="005F5E72"/>
    <w:rsid w:val="005F5EDD"/>
    <w:rsid w:val="005F5EEB"/>
    <w:rsid w:val="005F5F40"/>
    <w:rsid w:val="005F5F75"/>
    <w:rsid w:val="005F5FBB"/>
    <w:rsid w:val="005F605B"/>
    <w:rsid w:val="005F6073"/>
    <w:rsid w:val="005F6090"/>
    <w:rsid w:val="005F60F2"/>
    <w:rsid w:val="005F60F3"/>
    <w:rsid w:val="005F6117"/>
    <w:rsid w:val="005F6188"/>
    <w:rsid w:val="005F6196"/>
    <w:rsid w:val="005F61B4"/>
    <w:rsid w:val="005F623A"/>
    <w:rsid w:val="005F625A"/>
    <w:rsid w:val="005F6265"/>
    <w:rsid w:val="005F62B9"/>
    <w:rsid w:val="005F62BB"/>
    <w:rsid w:val="005F6358"/>
    <w:rsid w:val="005F63B1"/>
    <w:rsid w:val="005F63EA"/>
    <w:rsid w:val="005F644F"/>
    <w:rsid w:val="005F646A"/>
    <w:rsid w:val="005F6476"/>
    <w:rsid w:val="005F64BD"/>
    <w:rsid w:val="005F6515"/>
    <w:rsid w:val="005F6556"/>
    <w:rsid w:val="005F65B9"/>
    <w:rsid w:val="005F6627"/>
    <w:rsid w:val="005F6647"/>
    <w:rsid w:val="005F6659"/>
    <w:rsid w:val="005F670F"/>
    <w:rsid w:val="005F67C6"/>
    <w:rsid w:val="005F6818"/>
    <w:rsid w:val="005F683C"/>
    <w:rsid w:val="005F6856"/>
    <w:rsid w:val="005F6867"/>
    <w:rsid w:val="005F6955"/>
    <w:rsid w:val="005F69A9"/>
    <w:rsid w:val="005F6A5A"/>
    <w:rsid w:val="005F6A60"/>
    <w:rsid w:val="005F6AD1"/>
    <w:rsid w:val="005F6BBA"/>
    <w:rsid w:val="005F6C7C"/>
    <w:rsid w:val="005F6D3F"/>
    <w:rsid w:val="005F6DD8"/>
    <w:rsid w:val="005F6DEF"/>
    <w:rsid w:val="005F6E36"/>
    <w:rsid w:val="005F6E81"/>
    <w:rsid w:val="005F6E93"/>
    <w:rsid w:val="005F6EBB"/>
    <w:rsid w:val="005F6EC8"/>
    <w:rsid w:val="005F6ED7"/>
    <w:rsid w:val="005F6F9B"/>
    <w:rsid w:val="005F6F9D"/>
    <w:rsid w:val="005F7054"/>
    <w:rsid w:val="005F70CE"/>
    <w:rsid w:val="005F70CF"/>
    <w:rsid w:val="005F70D6"/>
    <w:rsid w:val="005F70E3"/>
    <w:rsid w:val="005F7154"/>
    <w:rsid w:val="005F71AE"/>
    <w:rsid w:val="005F7217"/>
    <w:rsid w:val="005F7230"/>
    <w:rsid w:val="005F727F"/>
    <w:rsid w:val="005F72A2"/>
    <w:rsid w:val="005F72A7"/>
    <w:rsid w:val="005F72AC"/>
    <w:rsid w:val="005F72C2"/>
    <w:rsid w:val="005F72CC"/>
    <w:rsid w:val="005F7394"/>
    <w:rsid w:val="005F7403"/>
    <w:rsid w:val="005F740F"/>
    <w:rsid w:val="005F74F8"/>
    <w:rsid w:val="005F7502"/>
    <w:rsid w:val="005F76A8"/>
    <w:rsid w:val="005F7731"/>
    <w:rsid w:val="005F7800"/>
    <w:rsid w:val="005F7811"/>
    <w:rsid w:val="005F7812"/>
    <w:rsid w:val="005F7815"/>
    <w:rsid w:val="005F7848"/>
    <w:rsid w:val="005F78F5"/>
    <w:rsid w:val="005F796A"/>
    <w:rsid w:val="005F79B0"/>
    <w:rsid w:val="005F79B3"/>
    <w:rsid w:val="005F79E4"/>
    <w:rsid w:val="005F79E6"/>
    <w:rsid w:val="005F7A7B"/>
    <w:rsid w:val="005F7A9B"/>
    <w:rsid w:val="005F7BD5"/>
    <w:rsid w:val="005F7C8A"/>
    <w:rsid w:val="005F7CA6"/>
    <w:rsid w:val="005F7CD5"/>
    <w:rsid w:val="005F7CEF"/>
    <w:rsid w:val="005F7D0D"/>
    <w:rsid w:val="005F7D22"/>
    <w:rsid w:val="005F7E23"/>
    <w:rsid w:val="005F7E3D"/>
    <w:rsid w:val="005F7E4E"/>
    <w:rsid w:val="005F7E6D"/>
    <w:rsid w:val="005F7E84"/>
    <w:rsid w:val="005F7EA3"/>
    <w:rsid w:val="005F7EE7"/>
    <w:rsid w:val="005F7EF8"/>
    <w:rsid w:val="005F7F27"/>
    <w:rsid w:val="005F7F2C"/>
    <w:rsid w:val="005F7F2E"/>
    <w:rsid w:val="005F7F88"/>
    <w:rsid w:val="005F7FBB"/>
    <w:rsid w:val="00600006"/>
    <w:rsid w:val="0060001A"/>
    <w:rsid w:val="00600033"/>
    <w:rsid w:val="0060004C"/>
    <w:rsid w:val="00600110"/>
    <w:rsid w:val="00600125"/>
    <w:rsid w:val="0060012E"/>
    <w:rsid w:val="0060013C"/>
    <w:rsid w:val="0060015B"/>
    <w:rsid w:val="006001A6"/>
    <w:rsid w:val="006001AB"/>
    <w:rsid w:val="006001AE"/>
    <w:rsid w:val="006001EC"/>
    <w:rsid w:val="006001F7"/>
    <w:rsid w:val="00600200"/>
    <w:rsid w:val="0060020B"/>
    <w:rsid w:val="00600295"/>
    <w:rsid w:val="006002A2"/>
    <w:rsid w:val="006002D2"/>
    <w:rsid w:val="00600313"/>
    <w:rsid w:val="0060033F"/>
    <w:rsid w:val="0060036F"/>
    <w:rsid w:val="00600396"/>
    <w:rsid w:val="006003AE"/>
    <w:rsid w:val="006004EE"/>
    <w:rsid w:val="00600551"/>
    <w:rsid w:val="00600555"/>
    <w:rsid w:val="006005AE"/>
    <w:rsid w:val="006005AF"/>
    <w:rsid w:val="00600609"/>
    <w:rsid w:val="0060061D"/>
    <w:rsid w:val="0060065C"/>
    <w:rsid w:val="00600689"/>
    <w:rsid w:val="006006B8"/>
    <w:rsid w:val="006006E9"/>
    <w:rsid w:val="006007D3"/>
    <w:rsid w:val="006007F0"/>
    <w:rsid w:val="006007F5"/>
    <w:rsid w:val="00600810"/>
    <w:rsid w:val="00600873"/>
    <w:rsid w:val="006008B7"/>
    <w:rsid w:val="006008E2"/>
    <w:rsid w:val="00600938"/>
    <w:rsid w:val="006009AD"/>
    <w:rsid w:val="006009B3"/>
    <w:rsid w:val="006009FB"/>
    <w:rsid w:val="00600AF9"/>
    <w:rsid w:val="00600B46"/>
    <w:rsid w:val="00600B56"/>
    <w:rsid w:val="00600B9F"/>
    <w:rsid w:val="00600BAC"/>
    <w:rsid w:val="00600C3C"/>
    <w:rsid w:val="00600C3E"/>
    <w:rsid w:val="00600C72"/>
    <w:rsid w:val="00600D04"/>
    <w:rsid w:val="00600D06"/>
    <w:rsid w:val="00600D58"/>
    <w:rsid w:val="00600D5A"/>
    <w:rsid w:val="00600DCF"/>
    <w:rsid w:val="00600E21"/>
    <w:rsid w:val="00600E3C"/>
    <w:rsid w:val="00600E70"/>
    <w:rsid w:val="00600EB4"/>
    <w:rsid w:val="00600F10"/>
    <w:rsid w:val="00600F66"/>
    <w:rsid w:val="00600F67"/>
    <w:rsid w:val="006010A1"/>
    <w:rsid w:val="0060111D"/>
    <w:rsid w:val="0060115B"/>
    <w:rsid w:val="00601168"/>
    <w:rsid w:val="00601191"/>
    <w:rsid w:val="006011E9"/>
    <w:rsid w:val="006011FB"/>
    <w:rsid w:val="0060127F"/>
    <w:rsid w:val="0060129D"/>
    <w:rsid w:val="006012B0"/>
    <w:rsid w:val="006012C2"/>
    <w:rsid w:val="006012FF"/>
    <w:rsid w:val="00601340"/>
    <w:rsid w:val="00601381"/>
    <w:rsid w:val="00601390"/>
    <w:rsid w:val="006013D2"/>
    <w:rsid w:val="006013D8"/>
    <w:rsid w:val="00601505"/>
    <w:rsid w:val="0060150D"/>
    <w:rsid w:val="00601532"/>
    <w:rsid w:val="00601575"/>
    <w:rsid w:val="0060163B"/>
    <w:rsid w:val="00601676"/>
    <w:rsid w:val="006016A6"/>
    <w:rsid w:val="006016D4"/>
    <w:rsid w:val="00601821"/>
    <w:rsid w:val="00601878"/>
    <w:rsid w:val="006018A7"/>
    <w:rsid w:val="006018E8"/>
    <w:rsid w:val="0060191B"/>
    <w:rsid w:val="00601963"/>
    <w:rsid w:val="006019A8"/>
    <w:rsid w:val="006019D1"/>
    <w:rsid w:val="006019F0"/>
    <w:rsid w:val="00601A6D"/>
    <w:rsid w:val="00601A7B"/>
    <w:rsid w:val="00601AD1"/>
    <w:rsid w:val="00601BB1"/>
    <w:rsid w:val="00601BBC"/>
    <w:rsid w:val="00601BE3"/>
    <w:rsid w:val="00601BE9"/>
    <w:rsid w:val="00601C04"/>
    <w:rsid w:val="00601C17"/>
    <w:rsid w:val="00601CF6"/>
    <w:rsid w:val="00601D6A"/>
    <w:rsid w:val="00601D6F"/>
    <w:rsid w:val="00601DAA"/>
    <w:rsid w:val="00601E14"/>
    <w:rsid w:val="00601E25"/>
    <w:rsid w:val="00601EB5"/>
    <w:rsid w:val="00601F15"/>
    <w:rsid w:val="00601F35"/>
    <w:rsid w:val="00601F38"/>
    <w:rsid w:val="00601F67"/>
    <w:rsid w:val="00601F7A"/>
    <w:rsid w:val="00602106"/>
    <w:rsid w:val="00602113"/>
    <w:rsid w:val="0060217D"/>
    <w:rsid w:val="006021A1"/>
    <w:rsid w:val="006021F9"/>
    <w:rsid w:val="00602224"/>
    <w:rsid w:val="006022A9"/>
    <w:rsid w:val="006022B3"/>
    <w:rsid w:val="006022DF"/>
    <w:rsid w:val="0060231D"/>
    <w:rsid w:val="00602376"/>
    <w:rsid w:val="0060245C"/>
    <w:rsid w:val="006024AF"/>
    <w:rsid w:val="006024CE"/>
    <w:rsid w:val="006025F0"/>
    <w:rsid w:val="00602616"/>
    <w:rsid w:val="006026B5"/>
    <w:rsid w:val="0060277B"/>
    <w:rsid w:val="006027A6"/>
    <w:rsid w:val="006027BF"/>
    <w:rsid w:val="00602808"/>
    <w:rsid w:val="0060288E"/>
    <w:rsid w:val="006028AE"/>
    <w:rsid w:val="00602914"/>
    <w:rsid w:val="006029BA"/>
    <w:rsid w:val="006029E4"/>
    <w:rsid w:val="00602A22"/>
    <w:rsid w:val="00602AB1"/>
    <w:rsid w:val="00602B05"/>
    <w:rsid w:val="00602B10"/>
    <w:rsid w:val="00602C8A"/>
    <w:rsid w:val="00602C8B"/>
    <w:rsid w:val="00602C8D"/>
    <w:rsid w:val="00602C91"/>
    <w:rsid w:val="00602CB6"/>
    <w:rsid w:val="00602CBD"/>
    <w:rsid w:val="00602CE5"/>
    <w:rsid w:val="00602D4E"/>
    <w:rsid w:val="00602DE2"/>
    <w:rsid w:val="00602E74"/>
    <w:rsid w:val="00602E9F"/>
    <w:rsid w:val="00602ED1"/>
    <w:rsid w:val="00602ED6"/>
    <w:rsid w:val="00602EFA"/>
    <w:rsid w:val="00602F46"/>
    <w:rsid w:val="00602F99"/>
    <w:rsid w:val="00602FD8"/>
    <w:rsid w:val="00602FDD"/>
    <w:rsid w:val="00603053"/>
    <w:rsid w:val="006030C0"/>
    <w:rsid w:val="006030C6"/>
    <w:rsid w:val="00603127"/>
    <w:rsid w:val="006031E8"/>
    <w:rsid w:val="0060327A"/>
    <w:rsid w:val="00603304"/>
    <w:rsid w:val="006033D8"/>
    <w:rsid w:val="0060343C"/>
    <w:rsid w:val="00603447"/>
    <w:rsid w:val="00603504"/>
    <w:rsid w:val="00603513"/>
    <w:rsid w:val="00603517"/>
    <w:rsid w:val="00603526"/>
    <w:rsid w:val="0060353F"/>
    <w:rsid w:val="006035AC"/>
    <w:rsid w:val="006035BD"/>
    <w:rsid w:val="00603612"/>
    <w:rsid w:val="0060368A"/>
    <w:rsid w:val="00603734"/>
    <w:rsid w:val="0060384D"/>
    <w:rsid w:val="0060386C"/>
    <w:rsid w:val="006038DF"/>
    <w:rsid w:val="0060393C"/>
    <w:rsid w:val="0060398D"/>
    <w:rsid w:val="00603A73"/>
    <w:rsid w:val="00603A97"/>
    <w:rsid w:val="00603ADD"/>
    <w:rsid w:val="00603AFC"/>
    <w:rsid w:val="00603B99"/>
    <w:rsid w:val="00603B9C"/>
    <w:rsid w:val="00603BA3"/>
    <w:rsid w:val="00603BC2"/>
    <w:rsid w:val="00603BDB"/>
    <w:rsid w:val="00603BF0"/>
    <w:rsid w:val="00603C0C"/>
    <w:rsid w:val="00603C2D"/>
    <w:rsid w:val="00603C60"/>
    <w:rsid w:val="00603CF9"/>
    <w:rsid w:val="00603D75"/>
    <w:rsid w:val="00603DA8"/>
    <w:rsid w:val="00603E1C"/>
    <w:rsid w:val="00603EA3"/>
    <w:rsid w:val="00603EEE"/>
    <w:rsid w:val="00603F33"/>
    <w:rsid w:val="00603F61"/>
    <w:rsid w:val="00603F67"/>
    <w:rsid w:val="00603FD7"/>
    <w:rsid w:val="00604039"/>
    <w:rsid w:val="00604080"/>
    <w:rsid w:val="00604115"/>
    <w:rsid w:val="00604159"/>
    <w:rsid w:val="006041C8"/>
    <w:rsid w:val="006042FA"/>
    <w:rsid w:val="0060430F"/>
    <w:rsid w:val="00604324"/>
    <w:rsid w:val="00604456"/>
    <w:rsid w:val="006044D5"/>
    <w:rsid w:val="00604608"/>
    <w:rsid w:val="00604699"/>
    <w:rsid w:val="0060471C"/>
    <w:rsid w:val="00604722"/>
    <w:rsid w:val="0060473C"/>
    <w:rsid w:val="00604788"/>
    <w:rsid w:val="00604830"/>
    <w:rsid w:val="00604838"/>
    <w:rsid w:val="00604887"/>
    <w:rsid w:val="0060488D"/>
    <w:rsid w:val="006048CB"/>
    <w:rsid w:val="006048D5"/>
    <w:rsid w:val="00604970"/>
    <w:rsid w:val="0060497E"/>
    <w:rsid w:val="00604991"/>
    <w:rsid w:val="00604993"/>
    <w:rsid w:val="00604AFD"/>
    <w:rsid w:val="00604B29"/>
    <w:rsid w:val="00604BAA"/>
    <w:rsid w:val="00604BE5"/>
    <w:rsid w:val="00604C29"/>
    <w:rsid w:val="00604CE1"/>
    <w:rsid w:val="00604CE9"/>
    <w:rsid w:val="00604D01"/>
    <w:rsid w:val="00604D60"/>
    <w:rsid w:val="00604D6A"/>
    <w:rsid w:val="00604E84"/>
    <w:rsid w:val="00604F0A"/>
    <w:rsid w:val="00604F19"/>
    <w:rsid w:val="00604F1E"/>
    <w:rsid w:val="00604F65"/>
    <w:rsid w:val="00604F82"/>
    <w:rsid w:val="00605070"/>
    <w:rsid w:val="00605078"/>
    <w:rsid w:val="00605095"/>
    <w:rsid w:val="00605098"/>
    <w:rsid w:val="006050BA"/>
    <w:rsid w:val="006050D3"/>
    <w:rsid w:val="006050FA"/>
    <w:rsid w:val="00605148"/>
    <w:rsid w:val="006051DA"/>
    <w:rsid w:val="006051E3"/>
    <w:rsid w:val="0060528B"/>
    <w:rsid w:val="006052EE"/>
    <w:rsid w:val="006052FC"/>
    <w:rsid w:val="00605374"/>
    <w:rsid w:val="00605388"/>
    <w:rsid w:val="0060538D"/>
    <w:rsid w:val="006053AD"/>
    <w:rsid w:val="006053BA"/>
    <w:rsid w:val="00605406"/>
    <w:rsid w:val="0060540D"/>
    <w:rsid w:val="00605450"/>
    <w:rsid w:val="006054A2"/>
    <w:rsid w:val="006054BE"/>
    <w:rsid w:val="006054EC"/>
    <w:rsid w:val="00605584"/>
    <w:rsid w:val="00605595"/>
    <w:rsid w:val="0060559B"/>
    <w:rsid w:val="006055A5"/>
    <w:rsid w:val="0060565C"/>
    <w:rsid w:val="006056A1"/>
    <w:rsid w:val="006056D9"/>
    <w:rsid w:val="00605723"/>
    <w:rsid w:val="006057AA"/>
    <w:rsid w:val="006057E4"/>
    <w:rsid w:val="00605878"/>
    <w:rsid w:val="00605883"/>
    <w:rsid w:val="0060588F"/>
    <w:rsid w:val="00605927"/>
    <w:rsid w:val="00605937"/>
    <w:rsid w:val="0060595B"/>
    <w:rsid w:val="006059A9"/>
    <w:rsid w:val="00605A24"/>
    <w:rsid w:val="00605A68"/>
    <w:rsid w:val="00605AD4"/>
    <w:rsid w:val="00605AFD"/>
    <w:rsid w:val="00605B3A"/>
    <w:rsid w:val="00605B55"/>
    <w:rsid w:val="00605B8D"/>
    <w:rsid w:val="00605BFF"/>
    <w:rsid w:val="00605C75"/>
    <w:rsid w:val="00605CBB"/>
    <w:rsid w:val="00605CEF"/>
    <w:rsid w:val="00605D09"/>
    <w:rsid w:val="00605D78"/>
    <w:rsid w:val="00605D93"/>
    <w:rsid w:val="00605E25"/>
    <w:rsid w:val="00605E31"/>
    <w:rsid w:val="00605E7C"/>
    <w:rsid w:val="00605EBB"/>
    <w:rsid w:val="00605EDD"/>
    <w:rsid w:val="00605F2D"/>
    <w:rsid w:val="00605F61"/>
    <w:rsid w:val="00605F78"/>
    <w:rsid w:val="00606062"/>
    <w:rsid w:val="00606065"/>
    <w:rsid w:val="00606099"/>
    <w:rsid w:val="006060AA"/>
    <w:rsid w:val="006060FB"/>
    <w:rsid w:val="00606122"/>
    <w:rsid w:val="00606150"/>
    <w:rsid w:val="006061F0"/>
    <w:rsid w:val="00606263"/>
    <w:rsid w:val="006062BB"/>
    <w:rsid w:val="0060635C"/>
    <w:rsid w:val="00606399"/>
    <w:rsid w:val="00606455"/>
    <w:rsid w:val="006064AC"/>
    <w:rsid w:val="00606537"/>
    <w:rsid w:val="00606597"/>
    <w:rsid w:val="006065B2"/>
    <w:rsid w:val="006065D2"/>
    <w:rsid w:val="006065E5"/>
    <w:rsid w:val="00606696"/>
    <w:rsid w:val="006066AF"/>
    <w:rsid w:val="006066EC"/>
    <w:rsid w:val="006066EF"/>
    <w:rsid w:val="00606754"/>
    <w:rsid w:val="006069BD"/>
    <w:rsid w:val="006069D9"/>
    <w:rsid w:val="00606A76"/>
    <w:rsid w:val="00606A7F"/>
    <w:rsid w:val="00606AFD"/>
    <w:rsid w:val="00606BA3"/>
    <w:rsid w:val="00606BDF"/>
    <w:rsid w:val="00606C1A"/>
    <w:rsid w:val="00606C81"/>
    <w:rsid w:val="00606CD5"/>
    <w:rsid w:val="00606D20"/>
    <w:rsid w:val="00606D32"/>
    <w:rsid w:val="00606E2B"/>
    <w:rsid w:val="00606E64"/>
    <w:rsid w:val="00606EA1"/>
    <w:rsid w:val="00606EAF"/>
    <w:rsid w:val="00606F33"/>
    <w:rsid w:val="00606F62"/>
    <w:rsid w:val="00606FDE"/>
    <w:rsid w:val="00606FF9"/>
    <w:rsid w:val="00607051"/>
    <w:rsid w:val="00607089"/>
    <w:rsid w:val="00607110"/>
    <w:rsid w:val="00607134"/>
    <w:rsid w:val="0060713A"/>
    <w:rsid w:val="0060716A"/>
    <w:rsid w:val="006071BF"/>
    <w:rsid w:val="006071E1"/>
    <w:rsid w:val="0060723A"/>
    <w:rsid w:val="006072F7"/>
    <w:rsid w:val="0060731C"/>
    <w:rsid w:val="0060732B"/>
    <w:rsid w:val="0060732E"/>
    <w:rsid w:val="006073A0"/>
    <w:rsid w:val="00607517"/>
    <w:rsid w:val="00607549"/>
    <w:rsid w:val="006075BA"/>
    <w:rsid w:val="006075C8"/>
    <w:rsid w:val="006075CD"/>
    <w:rsid w:val="00607619"/>
    <w:rsid w:val="00607689"/>
    <w:rsid w:val="006076AB"/>
    <w:rsid w:val="00607724"/>
    <w:rsid w:val="00607793"/>
    <w:rsid w:val="006077F8"/>
    <w:rsid w:val="006077FD"/>
    <w:rsid w:val="006078A9"/>
    <w:rsid w:val="006078D2"/>
    <w:rsid w:val="0060794D"/>
    <w:rsid w:val="006079F4"/>
    <w:rsid w:val="006079F6"/>
    <w:rsid w:val="00607A7A"/>
    <w:rsid w:val="00607A86"/>
    <w:rsid w:val="00607B06"/>
    <w:rsid w:val="00607BBB"/>
    <w:rsid w:val="00607BD4"/>
    <w:rsid w:val="00607C34"/>
    <w:rsid w:val="00607C41"/>
    <w:rsid w:val="00607C7C"/>
    <w:rsid w:val="00607CA3"/>
    <w:rsid w:val="00607D2A"/>
    <w:rsid w:val="00607D7F"/>
    <w:rsid w:val="00607DD6"/>
    <w:rsid w:val="00607E37"/>
    <w:rsid w:val="00607E3E"/>
    <w:rsid w:val="00607E93"/>
    <w:rsid w:val="00607E99"/>
    <w:rsid w:val="00607EA7"/>
    <w:rsid w:val="00607EFC"/>
    <w:rsid w:val="00607F2D"/>
    <w:rsid w:val="00607F40"/>
    <w:rsid w:val="00607F96"/>
    <w:rsid w:val="00607FB8"/>
    <w:rsid w:val="00607FB9"/>
    <w:rsid w:val="00610001"/>
    <w:rsid w:val="00610008"/>
    <w:rsid w:val="0061002C"/>
    <w:rsid w:val="00610152"/>
    <w:rsid w:val="006101E7"/>
    <w:rsid w:val="0061020A"/>
    <w:rsid w:val="00610218"/>
    <w:rsid w:val="0061026C"/>
    <w:rsid w:val="006102C1"/>
    <w:rsid w:val="006104B1"/>
    <w:rsid w:val="006104BF"/>
    <w:rsid w:val="006105BC"/>
    <w:rsid w:val="006105F1"/>
    <w:rsid w:val="006106C2"/>
    <w:rsid w:val="006106D3"/>
    <w:rsid w:val="00610760"/>
    <w:rsid w:val="0061077F"/>
    <w:rsid w:val="006107B5"/>
    <w:rsid w:val="006107D5"/>
    <w:rsid w:val="00610959"/>
    <w:rsid w:val="00610991"/>
    <w:rsid w:val="006109F6"/>
    <w:rsid w:val="00610A5F"/>
    <w:rsid w:val="00610AC3"/>
    <w:rsid w:val="00610B2B"/>
    <w:rsid w:val="00610B51"/>
    <w:rsid w:val="00610BE9"/>
    <w:rsid w:val="00610C1C"/>
    <w:rsid w:val="00610D74"/>
    <w:rsid w:val="00610D88"/>
    <w:rsid w:val="00610D8A"/>
    <w:rsid w:val="00610DCE"/>
    <w:rsid w:val="00610E83"/>
    <w:rsid w:val="00610EED"/>
    <w:rsid w:val="00610FC3"/>
    <w:rsid w:val="00610FED"/>
    <w:rsid w:val="00611024"/>
    <w:rsid w:val="006111CA"/>
    <w:rsid w:val="0061120F"/>
    <w:rsid w:val="00611212"/>
    <w:rsid w:val="006112A4"/>
    <w:rsid w:val="006112EE"/>
    <w:rsid w:val="0061133D"/>
    <w:rsid w:val="0061137D"/>
    <w:rsid w:val="00611430"/>
    <w:rsid w:val="0061157D"/>
    <w:rsid w:val="006115CB"/>
    <w:rsid w:val="00611608"/>
    <w:rsid w:val="00611622"/>
    <w:rsid w:val="00611667"/>
    <w:rsid w:val="006116C4"/>
    <w:rsid w:val="006116E3"/>
    <w:rsid w:val="00611700"/>
    <w:rsid w:val="0061174B"/>
    <w:rsid w:val="0061178D"/>
    <w:rsid w:val="00611863"/>
    <w:rsid w:val="0061186F"/>
    <w:rsid w:val="00611885"/>
    <w:rsid w:val="006118B2"/>
    <w:rsid w:val="006118B3"/>
    <w:rsid w:val="006118F2"/>
    <w:rsid w:val="00611952"/>
    <w:rsid w:val="00611971"/>
    <w:rsid w:val="0061199D"/>
    <w:rsid w:val="006119FF"/>
    <w:rsid w:val="00611A30"/>
    <w:rsid w:val="00611A45"/>
    <w:rsid w:val="00611A74"/>
    <w:rsid w:val="00611AA3"/>
    <w:rsid w:val="00611AC2"/>
    <w:rsid w:val="00611ADA"/>
    <w:rsid w:val="00611B22"/>
    <w:rsid w:val="00611B38"/>
    <w:rsid w:val="00611B8D"/>
    <w:rsid w:val="00611BEF"/>
    <w:rsid w:val="00611BF0"/>
    <w:rsid w:val="00611C02"/>
    <w:rsid w:val="00611C14"/>
    <w:rsid w:val="00611C27"/>
    <w:rsid w:val="00611C2D"/>
    <w:rsid w:val="00611C7A"/>
    <w:rsid w:val="00611CDD"/>
    <w:rsid w:val="00611CF2"/>
    <w:rsid w:val="00611D35"/>
    <w:rsid w:val="00611D50"/>
    <w:rsid w:val="00611D66"/>
    <w:rsid w:val="00611DB8"/>
    <w:rsid w:val="00611E05"/>
    <w:rsid w:val="00611E34"/>
    <w:rsid w:val="00611E86"/>
    <w:rsid w:val="00611EF7"/>
    <w:rsid w:val="00611F1C"/>
    <w:rsid w:val="00611F7F"/>
    <w:rsid w:val="0061201C"/>
    <w:rsid w:val="00612085"/>
    <w:rsid w:val="006120B0"/>
    <w:rsid w:val="0061224E"/>
    <w:rsid w:val="006122BC"/>
    <w:rsid w:val="006122DF"/>
    <w:rsid w:val="00612354"/>
    <w:rsid w:val="00612371"/>
    <w:rsid w:val="00612397"/>
    <w:rsid w:val="006123B6"/>
    <w:rsid w:val="006123D4"/>
    <w:rsid w:val="006123DF"/>
    <w:rsid w:val="00612473"/>
    <w:rsid w:val="00612484"/>
    <w:rsid w:val="00612495"/>
    <w:rsid w:val="006124B3"/>
    <w:rsid w:val="00612516"/>
    <w:rsid w:val="0061251F"/>
    <w:rsid w:val="0061253D"/>
    <w:rsid w:val="00612578"/>
    <w:rsid w:val="006125C3"/>
    <w:rsid w:val="00612651"/>
    <w:rsid w:val="006126CE"/>
    <w:rsid w:val="006126F3"/>
    <w:rsid w:val="006126F6"/>
    <w:rsid w:val="0061272F"/>
    <w:rsid w:val="00612767"/>
    <w:rsid w:val="00612782"/>
    <w:rsid w:val="0061278A"/>
    <w:rsid w:val="006127F1"/>
    <w:rsid w:val="00612939"/>
    <w:rsid w:val="00612982"/>
    <w:rsid w:val="006129A2"/>
    <w:rsid w:val="006129A4"/>
    <w:rsid w:val="006129F0"/>
    <w:rsid w:val="00612A45"/>
    <w:rsid w:val="00612A4E"/>
    <w:rsid w:val="00612AB7"/>
    <w:rsid w:val="00612ACF"/>
    <w:rsid w:val="00612B10"/>
    <w:rsid w:val="00612B8F"/>
    <w:rsid w:val="00612BA8"/>
    <w:rsid w:val="00612C3A"/>
    <w:rsid w:val="00612C55"/>
    <w:rsid w:val="00612D09"/>
    <w:rsid w:val="00612D1D"/>
    <w:rsid w:val="00612D1F"/>
    <w:rsid w:val="00612DE0"/>
    <w:rsid w:val="00612E5E"/>
    <w:rsid w:val="00612EA9"/>
    <w:rsid w:val="00612F44"/>
    <w:rsid w:val="00613000"/>
    <w:rsid w:val="00613008"/>
    <w:rsid w:val="0061304B"/>
    <w:rsid w:val="00613073"/>
    <w:rsid w:val="00613109"/>
    <w:rsid w:val="006132D7"/>
    <w:rsid w:val="006132E6"/>
    <w:rsid w:val="006132F7"/>
    <w:rsid w:val="00613339"/>
    <w:rsid w:val="0061333D"/>
    <w:rsid w:val="00613385"/>
    <w:rsid w:val="0061341A"/>
    <w:rsid w:val="0061345C"/>
    <w:rsid w:val="00613502"/>
    <w:rsid w:val="00613573"/>
    <w:rsid w:val="00613590"/>
    <w:rsid w:val="006135CD"/>
    <w:rsid w:val="00613635"/>
    <w:rsid w:val="006136EF"/>
    <w:rsid w:val="00613714"/>
    <w:rsid w:val="006137A4"/>
    <w:rsid w:val="006137E1"/>
    <w:rsid w:val="00613858"/>
    <w:rsid w:val="00613874"/>
    <w:rsid w:val="00613893"/>
    <w:rsid w:val="006138C8"/>
    <w:rsid w:val="006138D3"/>
    <w:rsid w:val="006139D4"/>
    <w:rsid w:val="006139F1"/>
    <w:rsid w:val="00613A8A"/>
    <w:rsid w:val="00613B47"/>
    <w:rsid w:val="00613B8B"/>
    <w:rsid w:val="00613BD0"/>
    <w:rsid w:val="00613C15"/>
    <w:rsid w:val="00613C85"/>
    <w:rsid w:val="00613C92"/>
    <w:rsid w:val="00613CF0"/>
    <w:rsid w:val="00613D11"/>
    <w:rsid w:val="00613D32"/>
    <w:rsid w:val="00613DE4"/>
    <w:rsid w:val="00613E82"/>
    <w:rsid w:val="00613EA6"/>
    <w:rsid w:val="00613EA7"/>
    <w:rsid w:val="00613F12"/>
    <w:rsid w:val="00613F53"/>
    <w:rsid w:val="00613F7F"/>
    <w:rsid w:val="0061406E"/>
    <w:rsid w:val="00614095"/>
    <w:rsid w:val="006140D0"/>
    <w:rsid w:val="0061411C"/>
    <w:rsid w:val="006141F5"/>
    <w:rsid w:val="0061420D"/>
    <w:rsid w:val="0061429F"/>
    <w:rsid w:val="006142CD"/>
    <w:rsid w:val="006142D7"/>
    <w:rsid w:val="00614368"/>
    <w:rsid w:val="0061437B"/>
    <w:rsid w:val="006143C1"/>
    <w:rsid w:val="0061441C"/>
    <w:rsid w:val="0061449D"/>
    <w:rsid w:val="006144BE"/>
    <w:rsid w:val="006144DD"/>
    <w:rsid w:val="0061457B"/>
    <w:rsid w:val="0061457F"/>
    <w:rsid w:val="00614589"/>
    <w:rsid w:val="006145A2"/>
    <w:rsid w:val="00614677"/>
    <w:rsid w:val="006146F8"/>
    <w:rsid w:val="00614719"/>
    <w:rsid w:val="0061479F"/>
    <w:rsid w:val="006147E7"/>
    <w:rsid w:val="0061480F"/>
    <w:rsid w:val="00614845"/>
    <w:rsid w:val="00614851"/>
    <w:rsid w:val="00614865"/>
    <w:rsid w:val="00614870"/>
    <w:rsid w:val="00614890"/>
    <w:rsid w:val="00614AAE"/>
    <w:rsid w:val="00614B15"/>
    <w:rsid w:val="00614BC8"/>
    <w:rsid w:val="00614C05"/>
    <w:rsid w:val="00614C0A"/>
    <w:rsid w:val="00614CA8"/>
    <w:rsid w:val="00614D2B"/>
    <w:rsid w:val="00614DAF"/>
    <w:rsid w:val="00614E41"/>
    <w:rsid w:val="00614E49"/>
    <w:rsid w:val="00614E72"/>
    <w:rsid w:val="00614F58"/>
    <w:rsid w:val="00614FFF"/>
    <w:rsid w:val="0061521B"/>
    <w:rsid w:val="00615227"/>
    <w:rsid w:val="00615240"/>
    <w:rsid w:val="006152D7"/>
    <w:rsid w:val="00615301"/>
    <w:rsid w:val="00615364"/>
    <w:rsid w:val="006153EB"/>
    <w:rsid w:val="006153FD"/>
    <w:rsid w:val="00615431"/>
    <w:rsid w:val="006154F7"/>
    <w:rsid w:val="00615551"/>
    <w:rsid w:val="0061555B"/>
    <w:rsid w:val="0061559F"/>
    <w:rsid w:val="006155B9"/>
    <w:rsid w:val="006155FD"/>
    <w:rsid w:val="00615604"/>
    <w:rsid w:val="0061560B"/>
    <w:rsid w:val="00615619"/>
    <w:rsid w:val="00615697"/>
    <w:rsid w:val="006156ED"/>
    <w:rsid w:val="006157D9"/>
    <w:rsid w:val="00615819"/>
    <w:rsid w:val="0061582F"/>
    <w:rsid w:val="0061585D"/>
    <w:rsid w:val="006158B8"/>
    <w:rsid w:val="00615975"/>
    <w:rsid w:val="00615A2B"/>
    <w:rsid w:val="00615A39"/>
    <w:rsid w:val="00615AE2"/>
    <w:rsid w:val="00615AE7"/>
    <w:rsid w:val="00615B0C"/>
    <w:rsid w:val="00615C00"/>
    <w:rsid w:val="00615C73"/>
    <w:rsid w:val="00615C8E"/>
    <w:rsid w:val="00615CA1"/>
    <w:rsid w:val="00615CFB"/>
    <w:rsid w:val="00615DB2"/>
    <w:rsid w:val="00615DC6"/>
    <w:rsid w:val="00615E18"/>
    <w:rsid w:val="00615E85"/>
    <w:rsid w:val="00615E8A"/>
    <w:rsid w:val="00615EA1"/>
    <w:rsid w:val="00615EB8"/>
    <w:rsid w:val="00615FAB"/>
    <w:rsid w:val="00615FAC"/>
    <w:rsid w:val="00615FDC"/>
    <w:rsid w:val="0061604D"/>
    <w:rsid w:val="0061609E"/>
    <w:rsid w:val="00616125"/>
    <w:rsid w:val="006161C0"/>
    <w:rsid w:val="006161D8"/>
    <w:rsid w:val="006161D9"/>
    <w:rsid w:val="00616225"/>
    <w:rsid w:val="006162C2"/>
    <w:rsid w:val="00616371"/>
    <w:rsid w:val="00616395"/>
    <w:rsid w:val="00616475"/>
    <w:rsid w:val="006164B4"/>
    <w:rsid w:val="006164E3"/>
    <w:rsid w:val="00616554"/>
    <w:rsid w:val="006165E7"/>
    <w:rsid w:val="00616602"/>
    <w:rsid w:val="00616622"/>
    <w:rsid w:val="0061667C"/>
    <w:rsid w:val="006166CC"/>
    <w:rsid w:val="006166FD"/>
    <w:rsid w:val="0061673B"/>
    <w:rsid w:val="006167D6"/>
    <w:rsid w:val="0061688B"/>
    <w:rsid w:val="006168B2"/>
    <w:rsid w:val="006169AC"/>
    <w:rsid w:val="006169D6"/>
    <w:rsid w:val="006169FA"/>
    <w:rsid w:val="00616A23"/>
    <w:rsid w:val="00616A2C"/>
    <w:rsid w:val="00616A5C"/>
    <w:rsid w:val="00616A79"/>
    <w:rsid w:val="00616B15"/>
    <w:rsid w:val="00616B3B"/>
    <w:rsid w:val="00616B49"/>
    <w:rsid w:val="00616B94"/>
    <w:rsid w:val="00616BFA"/>
    <w:rsid w:val="00616D43"/>
    <w:rsid w:val="00616DBF"/>
    <w:rsid w:val="00616E8F"/>
    <w:rsid w:val="00616EA3"/>
    <w:rsid w:val="00616ECD"/>
    <w:rsid w:val="00616EFD"/>
    <w:rsid w:val="00616F00"/>
    <w:rsid w:val="00616F0B"/>
    <w:rsid w:val="00616FE7"/>
    <w:rsid w:val="00617137"/>
    <w:rsid w:val="0061716B"/>
    <w:rsid w:val="006171F5"/>
    <w:rsid w:val="006171F6"/>
    <w:rsid w:val="0061724A"/>
    <w:rsid w:val="0061725C"/>
    <w:rsid w:val="00617284"/>
    <w:rsid w:val="006172A5"/>
    <w:rsid w:val="00617305"/>
    <w:rsid w:val="0061734B"/>
    <w:rsid w:val="006173E4"/>
    <w:rsid w:val="00617515"/>
    <w:rsid w:val="0061751D"/>
    <w:rsid w:val="00617547"/>
    <w:rsid w:val="006175D9"/>
    <w:rsid w:val="006175F9"/>
    <w:rsid w:val="0061766C"/>
    <w:rsid w:val="00617683"/>
    <w:rsid w:val="0061768A"/>
    <w:rsid w:val="00617724"/>
    <w:rsid w:val="006177FD"/>
    <w:rsid w:val="00617879"/>
    <w:rsid w:val="00617984"/>
    <w:rsid w:val="006179BB"/>
    <w:rsid w:val="00617A0C"/>
    <w:rsid w:val="00617AD9"/>
    <w:rsid w:val="00617B3A"/>
    <w:rsid w:val="00617B3F"/>
    <w:rsid w:val="00617B99"/>
    <w:rsid w:val="00617C4B"/>
    <w:rsid w:val="00617C9B"/>
    <w:rsid w:val="00617D05"/>
    <w:rsid w:val="00617D6A"/>
    <w:rsid w:val="00617DEC"/>
    <w:rsid w:val="00617E1D"/>
    <w:rsid w:val="00617E7B"/>
    <w:rsid w:val="00617F27"/>
    <w:rsid w:val="00617F28"/>
    <w:rsid w:val="0062001F"/>
    <w:rsid w:val="00620046"/>
    <w:rsid w:val="00620077"/>
    <w:rsid w:val="00620198"/>
    <w:rsid w:val="006201E7"/>
    <w:rsid w:val="006201EC"/>
    <w:rsid w:val="006201F5"/>
    <w:rsid w:val="00620213"/>
    <w:rsid w:val="006202B6"/>
    <w:rsid w:val="006202B7"/>
    <w:rsid w:val="006202FE"/>
    <w:rsid w:val="00620305"/>
    <w:rsid w:val="0062034A"/>
    <w:rsid w:val="00620354"/>
    <w:rsid w:val="006203A3"/>
    <w:rsid w:val="00620408"/>
    <w:rsid w:val="0062041A"/>
    <w:rsid w:val="006204DA"/>
    <w:rsid w:val="006205C5"/>
    <w:rsid w:val="006205CE"/>
    <w:rsid w:val="00620602"/>
    <w:rsid w:val="00620648"/>
    <w:rsid w:val="006206D3"/>
    <w:rsid w:val="00620751"/>
    <w:rsid w:val="00620822"/>
    <w:rsid w:val="00620878"/>
    <w:rsid w:val="00620895"/>
    <w:rsid w:val="006208B0"/>
    <w:rsid w:val="006208B5"/>
    <w:rsid w:val="006209A7"/>
    <w:rsid w:val="00620A10"/>
    <w:rsid w:val="00620A2F"/>
    <w:rsid w:val="00620A4F"/>
    <w:rsid w:val="00620AA5"/>
    <w:rsid w:val="00620AB9"/>
    <w:rsid w:val="00620B16"/>
    <w:rsid w:val="00620C08"/>
    <w:rsid w:val="00620C10"/>
    <w:rsid w:val="00620C80"/>
    <w:rsid w:val="00620CC8"/>
    <w:rsid w:val="00620CDF"/>
    <w:rsid w:val="00620DA7"/>
    <w:rsid w:val="00620DEC"/>
    <w:rsid w:val="00620E0A"/>
    <w:rsid w:val="00620E23"/>
    <w:rsid w:val="00620E98"/>
    <w:rsid w:val="00620F39"/>
    <w:rsid w:val="00620F5B"/>
    <w:rsid w:val="00620F73"/>
    <w:rsid w:val="00621032"/>
    <w:rsid w:val="00621066"/>
    <w:rsid w:val="0062107B"/>
    <w:rsid w:val="006211BD"/>
    <w:rsid w:val="006211EB"/>
    <w:rsid w:val="00621222"/>
    <w:rsid w:val="006212B7"/>
    <w:rsid w:val="006212C0"/>
    <w:rsid w:val="006212D0"/>
    <w:rsid w:val="006212E6"/>
    <w:rsid w:val="006212E8"/>
    <w:rsid w:val="00621378"/>
    <w:rsid w:val="0062137E"/>
    <w:rsid w:val="0062146B"/>
    <w:rsid w:val="006214C0"/>
    <w:rsid w:val="0062159A"/>
    <w:rsid w:val="006215B4"/>
    <w:rsid w:val="006216AC"/>
    <w:rsid w:val="006216C1"/>
    <w:rsid w:val="00621776"/>
    <w:rsid w:val="006217E8"/>
    <w:rsid w:val="006218E8"/>
    <w:rsid w:val="006218FF"/>
    <w:rsid w:val="00621929"/>
    <w:rsid w:val="00621932"/>
    <w:rsid w:val="0062193E"/>
    <w:rsid w:val="0062195D"/>
    <w:rsid w:val="006219ED"/>
    <w:rsid w:val="006219FC"/>
    <w:rsid w:val="00621A06"/>
    <w:rsid w:val="00621AB1"/>
    <w:rsid w:val="00621ABA"/>
    <w:rsid w:val="00621B27"/>
    <w:rsid w:val="00621B2C"/>
    <w:rsid w:val="00621B9A"/>
    <w:rsid w:val="00621CEB"/>
    <w:rsid w:val="00621D45"/>
    <w:rsid w:val="00621D52"/>
    <w:rsid w:val="00621D6A"/>
    <w:rsid w:val="00621DA2"/>
    <w:rsid w:val="00621DA7"/>
    <w:rsid w:val="00621DED"/>
    <w:rsid w:val="00621E1C"/>
    <w:rsid w:val="00621E82"/>
    <w:rsid w:val="00621EBB"/>
    <w:rsid w:val="00621EDC"/>
    <w:rsid w:val="00621EDF"/>
    <w:rsid w:val="00621EEC"/>
    <w:rsid w:val="00621F11"/>
    <w:rsid w:val="00621F37"/>
    <w:rsid w:val="00621F66"/>
    <w:rsid w:val="00622007"/>
    <w:rsid w:val="0062202C"/>
    <w:rsid w:val="006220C8"/>
    <w:rsid w:val="006220ED"/>
    <w:rsid w:val="006220F8"/>
    <w:rsid w:val="00622153"/>
    <w:rsid w:val="00622256"/>
    <w:rsid w:val="006222DF"/>
    <w:rsid w:val="006222E5"/>
    <w:rsid w:val="00622331"/>
    <w:rsid w:val="00622367"/>
    <w:rsid w:val="006223A4"/>
    <w:rsid w:val="0062241F"/>
    <w:rsid w:val="00622466"/>
    <w:rsid w:val="0062251C"/>
    <w:rsid w:val="00622545"/>
    <w:rsid w:val="006225D9"/>
    <w:rsid w:val="00622627"/>
    <w:rsid w:val="006226B1"/>
    <w:rsid w:val="0062273A"/>
    <w:rsid w:val="00622795"/>
    <w:rsid w:val="006227AC"/>
    <w:rsid w:val="006227BA"/>
    <w:rsid w:val="00622810"/>
    <w:rsid w:val="006228FE"/>
    <w:rsid w:val="0062298C"/>
    <w:rsid w:val="00622A60"/>
    <w:rsid w:val="00622AD3"/>
    <w:rsid w:val="00622AF7"/>
    <w:rsid w:val="00622B3E"/>
    <w:rsid w:val="00622B7E"/>
    <w:rsid w:val="00622BA1"/>
    <w:rsid w:val="00622BA9"/>
    <w:rsid w:val="00622C0D"/>
    <w:rsid w:val="00622C11"/>
    <w:rsid w:val="00622C4C"/>
    <w:rsid w:val="00622CA5"/>
    <w:rsid w:val="00622D46"/>
    <w:rsid w:val="00622E4B"/>
    <w:rsid w:val="00622F3C"/>
    <w:rsid w:val="00622F59"/>
    <w:rsid w:val="00622F9A"/>
    <w:rsid w:val="00622F9E"/>
    <w:rsid w:val="00622FEC"/>
    <w:rsid w:val="00623014"/>
    <w:rsid w:val="00623028"/>
    <w:rsid w:val="0062305E"/>
    <w:rsid w:val="00623076"/>
    <w:rsid w:val="006230E4"/>
    <w:rsid w:val="00623207"/>
    <w:rsid w:val="00623220"/>
    <w:rsid w:val="0062328F"/>
    <w:rsid w:val="00623326"/>
    <w:rsid w:val="0062336C"/>
    <w:rsid w:val="00623371"/>
    <w:rsid w:val="006233B2"/>
    <w:rsid w:val="006233CD"/>
    <w:rsid w:val="006233F1"/>
    <w:rsid w:val="006233F7"/>
    <w:rsid w:val="00623424"/>
    <w:rsid w:val="006234A1"/>
    <w:rsid w:val="006235CA"/>
    <w:rsid w:val="00623659"/>
    <w:rsid w:val="00623683"/>
    <w:rsid w:val="0062368D"/>
    <w:rsid w:val="0062369F"/>
    <w:rsid w:val="00623791"/>
    <w:rsid w:val="006237FD"/>
    <w:rsid w:val="0062384F"/>
    <w:rsid w:val="00623860"/>
    <w:rsid w:val="006238D2"/>
    <w:rsid w:val="0062394C"/>
    <w:rsid w:val="00623967"/>
    <w:rsid w:val="006239AB"/>
    <w:rsid w:val="006239BB"/>
    <w:rsid w:val="006239D4"/>
    <w:rsid w:val="00623A1A"/>
    <w:rsid w:val="00623A25"/>
    <w:rsid w:val="00623A57"/>
    <w:rsid w:val="00623AE7"/>
    <w:rsid w:val="00623AF4"/>
    <w:rsid w:val="00623B92"/>
    <w:rsid w:val="00623BBA"/>
    <w:rsid w:val="00623BCD"/>
    <w:rsid w:val="00623C5D"/>
    <w:rsid w:val="00623C6E"/>
    <w:rsid w:val="00623C79"/>
    <w:rsid w:val="00623CB7"/>
    <w:rsid w:val="00623CBE"/>
    <w:rsid w:val="00623CE2"/>
    <w:rsid w:val="00623D02"/>
    <w:rsid w:val="00623D1A"/>
    <w:rsid w:val="00623D2F"/>
    <w:rsid w:val="00623D4C"/>
    <w:rsid w:val="00623DC1"/>
    <w:rsid w:val="00623EBE"/>
    <w:rsid w:val="00623F05"/>
    <w:rsid w:val="00623F30"/>
    <w:rsid w:val="00623FC3"/>
    <w:rsid w:val="0062410C"/>
    <w:rsid w:val="006241A3"/>
    <w:rsid w:val="006241E8"/>
    <w:rsid w:val="00624211"/>
    <w:rsid w:val="00624217"/>
    <w:rsid w:val="00624268"/>
    <w:rsid w:val="00624292"/>
    <w:rsid w:val="00624347"/>
    <w:rsid w:val="0062438C"/>
    <w:rsid w:val="006243DE"/>
    <w:rsid w:val="00624474"/>
    <w:rsid w:val="00624486"/>
    <w:rsid w:val="006244E9"/>
    <w:rsid w:val="00624543"/>
    <w:rsid w:val="0062457F"/>
    <w:rsid w:val="006245BC"/>
    <w:rsid w:val="00624613"/>
    <w:rsid w:val="0062464C"/>
    <w:rsid w:val="00624666"/>
    <w:rsid w:val="006246C8"/>
    <w:rsid w:val="006246CC"/>
    <w:rsid w:val="006246E9"/>
    <w:rsid w:val="006247BA"/>
    <w:rsid w:val="006247C9"/>
    <w:rsid w:val="006247D9"/>
    <w:rsid w:val="00624816"/>
    <w:rsid w:val="0062481A"/>
    <w:rsid w:val="0062487A"/>
    <w:rsid w:val="00624882"/>
    <w:rsid w:val="00624893"/>
    <w:rsid w:val="0062489A"/>
    <w:rsid w:val="006248D9"/>
    <w:rsid w:val="006248E0"/>
    <w:rsid w:val="006248F8"/>
    <w:rsid w:val="00624900"/>
    <w:rsid w:val="006249A7"/>
    <w:rsid w:val="00624A7A"/>
    <w:rsid w:val="00624AA6"/>
    <w:rsid w:val="00624B04"/>
    <w:rsid w:val="00624BC4"/>
    <w:rsid w:val="00624BED"/>
    <w:rsid w:val="00624C3D"/>
    <w:rsid w:val="00624C8E"/>
    <w:rsid w:val="00624CED"/>
    <w:rsid w:val="00624DAA"/>
    <w:rsid w:val="00624DF0"/>
    <w:rsid w:val="00624E04"/>
    <w:rsid w:val="00624EB5"/>
    <w:rsid w:val="00624F6A"/>
    <w:rsid w:val="00624FA7"/>
    <w:rsid w:val="0062500E"/>
    <w:rsid w:val="0062522C"/>
    <w:rsid w:val="00625286"/>
    <w:rsid w:val="006252A1"/>
    <w:rsid w:val="00625347"/>
    <w:rsid w:val="006253AF"/>
    <w:rsid w:val="00625425"/>
    <w:rsid w:val="0062547D"/>
    <w:rsid w:val="006254BB"/>
    <w:rsid w:val="006254DD"/>
    <w:rsid w:val="00625518"/>
    <w:rsid w:val="00625556"/>
    <w:rsid w:val="006255B5"/>
    <w:rsid w:val="00625695"/>
    <w:rsid w:val="006256A7"/>
    <w:rsid w:val="006256B0"/>
    <w:rsid w:val="006256E9"/>
    <w:rsid w:val="006257F1"/>
    <w:rsid w:val="00625830"/>
    <w:rsid w:val="00625842"/>
    <w:rsid w:val="0062589A"/>
    <w:rsid w:val="00625931"/>
    <w:rsid w:val="0062594A"/>
    <w:rsid w:val="00625959"/>
    <w:rsid w:val="00625964"/>
    <w:rsid w:val="00625A3E"/>
    <w:rsid w:val="00625A8B"/>
    <w:rsid w:val="00625ABD"/>
    <w:rsid w:val="00625AC9"/>
    <w:rsid w:val="00625B36"/>
    <w:rsid w:val="00625B59"/>
    <w:rsid w:val="00625C15"/>
    <w:rsid w:val="00625CDE"/>
    <w:rsid w:val="00625D43"/>
    <w:rsid w:val="00625D5A"/>
    <w:rsid w:val="00625D5C"/>
    <w:rsid w:val="00625D6F"/>
    <w:rsid w:val="00625D7D"/>
    <w:rsid w:val="00625DD7"/>
    <w:rsid w:val="00625E1D"/>
    <w:rsid w:val="00625EBB"/>
    <w:rsid w:val="00625ED9"/>
    <w:rsid w:val="00625F1A"/>
    <w:rsid w:val="00625F60"/>
    <w:rsid w:val="00625F70"/>
    <w:rsid w:val="00625FAB"/>
    <w:rsid w:val="00625FCF"/>
    <w:rsid w:val="00626012"/>
    <w:rsid w:val="00626062"/>
    <w:rsid w:val="006260D2"/>
    <w:rsid w:val="0062610D"/>
    <w:rsid w:val="00626141"/>
    <w:rsid w:val="0062617D"/>
    <w:rsid w:val="006261C8"/>
    <w:rsid w:val="006261EE"/>
    <w:rsid w:val="006261EF"/>
    <w:rsid w:val="00626211"/>
    <w:rsid w:val="00626233"/>
    <w:rsid w:val="0062634B"/>
    <w:rsid w:val="00626374"/>
    <w:rsid w:val="006263A0"/>
    <w:rsid w:val="006263BF"/>
    <w:rsid w:val="0062650F"/>
    <w:rsid w:val="006265DB"/>
    <w:rsid w:val="006265E3"/>
    <w:rsid w:val="0062666E"/>
    <w:rsid w:val="00626685"/>
    <w:rsid w:val="00626695"/>
    <w:rsid w:val="006266C4"/>
    <w:rsid w:val="006266F6"/>
    <w:rsid w:val="00626749"/>
    <w:rsid w:val="00626779"/>
    <w:rsid w:val="006267D3"/>
    <w:rsid w:val="006267E4"/>
    <w:rsid w:val="006267E7"/>
    <w:rsid w:val="00626822"/>
    <w:rsid w:val="00626825"/>
    <w:rsid w:val="00626845"/>
    <w:rsid w:val="0062684F"/>
    <w:rsid w:val="006268A8"/>
    <w:rsid w:val="006268D2"/>
    <w:rsid w:val="00626909"/>
    <w:rsid w:val="00626991"/>
    <w:rsid w:val="00626A4E"/>
    <w:rsid w:val="00626A6A"/>
    <w:rsid w:val="00626AC3"/>
    <w:rsid w:val="00626B37"/>
    <w:rsid w:val="00626B97"/>
    <w:rsid w:val="00626C25"/>
    <w:rsid w:val="00626C5F"/>
    <w:rsid w:val="00626C67"/>
    <w:rsid w:val="00626C8A"/>
    <w:rsid w:val="00626C98"/>
    <w:rsid w:val="00626CBD"/>
    <w:rsid w:val="00626CBE"/>
    <w:rsid w:val="00626CC1"/>
    <w:rsid w:val="00626D05"/>
    <w:rsid w:val="00626D3A"/>
    <w:rsid w:val="00626D6C"/>
    <w:rsid w:val="00626DB6"/>
    <w:rsid w:val="00626DFA"/>
    <w:rsid w:val="00626E97"/>
    <w:rsid w:val="00626EEA"/>
    <w:rsid w:val="00626EEB"/>
    <w:rsid w:val="00626FF9"/>
    <w:rsid w:val="0062701F"/>
    <w:rsid w:val="0062705D"/>
    <w:rsid w:val="006270EC"/>
    <w:rsid w:val="00627139"/>
    <w:rsid w:val="006271A2"/>
    <w:rsid w:val="006271A5"/>
    <w:rsid w:val="00627221"/>
    <w:rsid w:val="00627230"/>
    <w:rsid w:val="00627257"/>
    <w:rsid w:val="00627261"/>
    <w:rsid w:val="006272B0"/>
    <w:rsid w:val="006272B3"/>
    <w:rsid w:val="006273B9"/>
    <w:rsid w:val="006273C2"/>
    <w:rsid w:val="006273CD"/>
    <w:rsid w:val="0062741B"/>
    <w:rsid w:val="00627433"/>
    <w:rsid w:val="0062749E"/>
    <w:rsid w:val="006275AF"/>
    <w:rsid w:val="006275BD"/>
    <w:rsid w:val="0062763E"/>
    <w:rsid w:val="00627648"/>
    <w:rsid w:val="006276E1"/>
    <w:rsid w:val="00627739"/>
    <w:rsid w:val="0062777E"/>
    <w:rsid w:val="0062778E"/>
    <w:rsid w:val="006277AF"/>
    <w:rsid w:val="00627852"/>
    <w:rsid w:val="0062788E"/>
    <w:rsid w:val="0062789C"/>
    <w:rsid w:val="006278B1"/>
    <w:rsid w:val="006278EA"/>
    <w:rsid w:val="006278EB"/>
    <w:rsid w:val="0062795B"/>
    <w:rsid w:val="006279BC"/>
    <w:rsid w:val="00627A35"/>
    <w:rsid w:val="00627A5C"/>
    <w:rsid w:val="00627AF9"/>
    <w:rsid w:val="00627C42"/>
    <w:rsid w:val="00627CA9"/>
    <w:rsid w:val="00627CD6"/>
    <w:rsid w:val="00627D2C"/>
    <w:rsid w:val="00627D64"/>
    <w:rsid w:val="00627DBA"/>
    <w:rsid w:val="00627DC3"/>
    <w:rsid w:val="00627E0F"/>
    <w:rsid w:val="00627E1E"/>
    <w:rsid w:val="00627E3F"/>
    <w:rsid w:val="00627E6C"/>
    <w:rsid w:val="00627E8D"/>
    <w:rsid w:val="00627F3D"/>
    <w:rsid w:val="00627F6E"/>
    <w:rsid w:val="00627F9F"/>
    <w:rsid w:val="00627FD7"/>
    <w:rsid w:val="006300CE"/>
    <w:rsid w:val="00630127"/>
    <w:rsid w:val="00630146"/>
    <w:rsid w:val="0063018A"/>
    <w:rsid w:val="00630208"/>
    <w:rsid w:val="006302D1"/>
    <w:rsid w:val="006302D3"/>
    <w:rsid w:val="0063035B"/>
    <w:rsid w:val="00630363"/>
    <w:rsid w:val="006303D1"/>
    <w:rsid w:val="00630430"/>
    <w:rsid w:val="00630505"/>
    <w:rsid w:val="0063056D"/>
    <w:rsid w:val="006305BA"/>
    <w:rsid w:val="006305EA"/>
    <w:rsid w:val="006305F8"/>
    <w:rsid w:val="006305FF"/>
    <w:rsid w:val="00630639"/>
    <w:rsid w:val="00630664"/>
    <w:rsid w:val="00630688"/>
    <w:rsid w:val="00630712"/>
    <w:rsid w:val="0063075E"/>
    <w:rsid w:val="006307A2"/>
    <w:rsid w:val="006307B8"/>
    <w:rsid w:val="006307D2"/>
    <w:rsid w:val="006308CC"/>
    <w:rsid w:val="00630940"/>
    <w:rsid w:val="00630AAD"/>
    <w:rsid w:val="00630AE2"/>
    <w:rsid w:val="00630AEB"/>
    <w:rsid w:val="00630AFA"/>
    <w:rsid w:val="00630BB4"/>
    <w:rsid w:val="00630C87"/>
    <w:rsid w:val="00630CAA"/>
    <w:rsid w:val="00630D1E"/>
    <w:rsid w:val="00630D64"/>
    <w:rsid w:val="00630D79"/>
    <w:rsid w:val="00630DE6"/>
    <w:rsid w:val="00630E54"/>
    <w:rsid w:val="00630EB5"/>
    <w:rsid w:val="00630F06"/>
    <w:rsid w:val="00630F37"/>
    <w:rsid w:val="00630FCD"/>
    <w:rsid w:val="00630FDC"/>
    <w:rsid w:val="0063101E"/>
    <w:rsid w:val="0063102F"/>
    <w:rsid w:val="0063108D"/>
    <w:rsid w:val="006310F2"/>
    <w:rsid w:val="006311D3"/>
    <w:rsid w:val="0063121E"/>
    <w:rsid w:val="00631241"/>
    <w:rsid w:val="00631245"/>
    <w:rsid w:val="0063129B"/>
    <w:rsid w:val="00631336"/>
    <w:rsid w:val="00631345"/>
    <w:rsid w:val="006313F7"/>
    <w:rsid w:val="00631446"/>
    <w:rsid w:val="0063149C"/>
    <w:rsid w:val="006314D3"/>
    <w:rsid w:val="006315F7"/>
    <w:rsid w:val="0063169C"/>
    <w:rsid w:val="00631776"/>
    <w:rsid w:val="0063178B"/>
    <w:rsid w:val="006317BD"/>
    <w:rsid w:val="006317D9"/>
    <w:rsid w:val="00631809"/>
    <w:rsid w:val="00631818"/>
    <w:rsid w:val="0063181F"/>
    <w:rsid w:val="00631837"/>
    <w:rsid w:val="00631861"/>
    <w:rsid w:val="0063186B"/>
    <w:rsid w:val="00631877"/>
    <w:rsid w:val="00631952"/>
    <w:rsid w:val="00631968"/>
    <w:rsid w:val="006319B0"/>
    <w:rsid w:val="00631A3E"/>
    <w:rsid w:val="00631ACA"/>
    <w:rsid w:val="00631B2E"/>
    <w:rsid w:val="00631B32"/>
    <w:rsid w:val="00631B52"/>
    <w:rsid w:val="00631BFD"/>
    <w:rsid w:val="00631C00"/>
    <w:rsid w:val="00631C4E"/>
    <w:rsid w:val="00631C52"/>
    <w:rsid w:val="00631C66"/>
    <w:rsid w:val="00631CA9"/>
    <w:rsid w:val="00631CC2"/>
    <w:rsid w:val="00631D98"/>
    <w:rsid w:val="00631E3D"/>
    <w:rsid w:val="00631E6F"/>
    <w:rsid w:val="00631E77"/>
    <w:rsid w:val="00631EA8"/>
    <w:rsid w:val="00631EE8"/>
    <w:rsid w:val="00631F3A"/>
    <w:rsid w:val="00631F88"/>
    <w:rsid w:val="00631F96"/>
    <w:rsid w:val="00632006"/>
    <w:rsid w:val="0063202B"/>
    <w:rsid w:val="006320AC"/>
    <w:rsid w:val="006320F9"/>
    <w:rsid w:val="00632103"/>
    <w:rsid w:val="00632137"/>
    <w:rsid w:val="0063213E"/>
    <w:rsid w:val="00632191"/>
    <w:rsid w:val="00632215"/>
    <w:rsid w:val="00632228"/>
    <w:rsid w:val="0063224F"/>
    <w:rsid w:val="00632272"/>
    <w:rsid w:val="00632299"/>
    <w:rsid w:val="006322C4"/>
    <w:rsid w:val="006322FF"/>
    <w:rsid w:val="00632343"/>
    <w:rsid w:val="00632385"/>
    <w:rsid w:val="00632399"/>
    <w:rsid w:val="006323A2"/>
    <w:rsid w:val="0063247D"/>
    <w:rsid w:val="006324E3"/>
    <w:rsid w:val="006325C8"/>
    <w:rsid w:val="00632625"/>
    <w:rsid w:val="0063270C"/>
    <w:rsid w:val="0063275B"/>
    <w:rsid w:val="006327F7"/>
    <w:rsid w:val="00632886"/>
    <w:rsid w:val="006328B6"/>
    <w:rsid w:val="006328C4"/>
    <w:rsid w:val="00632933"/>
    <w:rsid w:val="00632A5F"/>
    <w:rsid w:val="00632A60"/>
    <w:rsid w:val="00632B54"/>
    <w:rsid w:val="00632B8A"/>
    <w:rsid w:val="00632B9A"/>
    <w:rsid w:val="00632CC7"/>
    <w:rsid w:val="00632CCB"/>
    <w:rsid w:val="00632D54"/>
    <w:rsid w:val="00632D5F"/>
    <w:rsid w:val="00632DF3"/>
    <w:rsid w:val="00632DFE"/>
    <w:rsid w:val="00632E02"/>
    <w:rsid w:val="00632E04"/>
    <w:rsid w:val="00632F41"/>
    <w:rsid w:val="00632FC9"/>
    <w:rsid w:val="00632FD0"/>
    <w:rsid w:val="00633007"/>
    <w:rsid w:val="00633027"/>
    <w:rsid w:val="00633037"/>
    <w:rsid w:val="006330C5"/>
    <w:rsid w:val="00633147"/>
    <w:rsid w:val="00633148"/>
    <w:rsid w:val="00633162"/>
    <w:rsid w:val="006332E0"/>
    <w:rsid w:val="006332F8"/>
    <w:rsid w:val="0063335D"/>
    <w:rsid w:val="00633453"/>
    <w:rsid w:val="0063353C"/>
    <w:rsid w:val="0063357B"/>
    <w:rsid w:val="0063360B"/>
    <w:rsid w:val="00633779"/>
    <w:rsid w:val="006337A5"/>
    <w:rsid w:val="006337B5"/>
    <w:rsid w:val="00633836"/>
    <w:rsid w:val="00633842"/>
    <w:rsid w:val="00633959"/>
    <w:rsid w:val="006339E7"/>
    <w:rsid w:val="00633A03"/>
    <w:rsid w:val="00633A1F"/>
    <w:rsid w:val="00633A60"/>
    <w:rsid w:val="00633A91"/>
    <w:rsid w:val="00633A93"/>
    <w:rsid w:val="00633B03"/>
    <w:rsid w:val="00633B24"/>
    <w:rsid w:val="00633B25"/>
    <w:rsid w:val="00633B4B"/>
    <w:rsid w:val="00633B7C"/>
    <w:rsid w:val="00633BD1"/>
    <w:rsid w:val="00633BD8"/>
    <w:rsid w:val="00633BF1"/>
    <w:rsid w:val="00633C9B"/>
    <w:rsid w:val="00633CF1"/>
    <w:rsid w:val="00633CF6"/>
    <w:rsid w:val="00633D40"/>
    <w:rsid w:val="00633DEA"/>
    <w:rsid w:val="00633F97"/>
    <w:rsid w:val="0063400C"/>
    <w:rsid w:val="00634072"/>
    <w:rsid w:val="006340C7"/>
    <w:rsid w:val="006340EA"/>
    <w:rsid w:val="0063411C"/>
    <w:rsid w:val="0063413F"/>
    <w:rsid w:val="00634184"/>
    <w:rsid w:val="006341A3"/>
    <w:rsid w:val="006341FC"/>
    <w:rsid w:val="00634242"/>
    <w:rsid w:val="00634251"/>
    <w:rsid w:val="00634274"/>
    <w:rsid w:val="00634292"/>
    <w:rsid w:val="006342BC"/>
    <w:rsid w:val="006342BF"/>
    <w:rsid w:val="00634336"/>
    <w:rsid w:val="006343A8"/>
    <w:rsid w:val="006343BB"/>
    <w:rsid w:val="006343C2"/>
    <w:rsid w:val="006343DE"/>
    <w:rsid w:val="0063444F"/>
    <w:rsid w:val="006344DF"/>
    <w:rsid w:val="006345AB"/>
    <w:rsid w:val="006345F8"/>
    <w:rsid w:val="00634622"/>
    <w:rsid w:val="00634625"/>
    <w:rsid w:val="0063466D"/>
    <w:rsid w:val="0063468E"/>
    <w:rsid w:val="00634698"/>
    <w:rsid w:val="006346AB"/>
    <w:rsid w:val="006346C0"/>
    <w:rsid w:val="00634747"/>
    <w:rsid w:val="0063476D"/>
    <w:rsid w:val="0063479B"/>
    <w:rsid w:val="006347AA"/>
    <w:rsid w:val="006347AF"/>
    <w:rsid w:val="00634919"/>
    <w:rsid w:val="00634995"/>
    <w:rsid w:val="00634A2C"/>
    <w:rsid w:val="00634A4C"/>
    <w:rsid w:val="00634A6F"/>
    <w:rsid w:val="00634A9C"/>
    <w:rsid w:val="00634B18"/>
    <w:rsid w:val="00634B96"/>
    <w:rsid w:val="00634B9D"/>
    <w:rsid w:val="00634BB5"/>
    <w:rsid w:val="00634BF8"/>
    <w:rsid w:val="00634C0B"/>
    <w:rsid w:val="00634C40"/>
    <w:rsid w:val="00634C61"/>
    <w:rsid w:val="00634C76"/>
    <w:rsid w:val="00634CDC"/>
    <w:rsid w:val="00634D0F"/>
    <w:rsid w:val="00634D33"/>
    <w:rsid w:val="00634D34"/>
    <w:rsid w:val="00634D72"/>
    <w:rsid w:val="00634DCF"/>
    <w:rsid w:val="00634DEC"/>
    <w:rsid w:val="00634E04"/>
    <w:rsid w:val="00634E8F"/>
    <w:rsid w:val="00634E99"/>
    <w:rsid w:val="00634ECF"/>
    <w:rsid w:val="00634ED1"/>
    <w:rsid w:val="00634F55"/>
    <w:rsid w:val="00634FEE"/>
    <w:rsid w:val="00635061"/>
    <w:rsid w:val="00635091"/>
    <w:rsid w:val="006350DA"/>
    <w:rsid w:val="00635181"/>
    <w:rsid w:val="006352D9"/>
    <w:rsid w:val="0063534B"/>
    <w:rsid w:val="00635399"/>
    <w:rsid w:val="006353A3"/>
    <w:rsid w:val="00635417"/>
    <w:rsid w:val="006354AF"/>
    <w:rsid w:val="00635513"/>
    <w:rsid w:val="00635543"/>
    <w:rsid w:val="00635584"/>
    <w:rsid w:val="00635585"/>
    <w:rsid w:val="0063558A"/>
    <w:rsid w:val="006356FF"/>
    <w:rsid w:val="0063572D"/>
    <w:rsid w:val="00635731"/>
    <w:rsid w:val="0063573E"/>
    <w:rsid w:val="0063576A"/>
    <w:rsid w:val="006357C6"/>
    <w:rsid w:val="006357D0"/>
    <w:rsid w:val="006357EC"/>
    <w:rsid w:val="006357F0"/>
    <w:rsid w:val="00635849"/>
    <w:rsid w:val="00635892"/>
    <w:rsid w:val="006358F2"/>
    <w:rsid w:val="00635984"/>
    <w:rsid w:val="006359BB"/>
    <w:rsid w:val="00635A07"/>
    <w:rsid w:val="00635A25"/>
    <w:rsid w:val="00635A2D"/>
    <w:rsid w:val="00635A43"/>
    <w:rsid w:val="00635A45"/>
    <w:rsid w:val="00635A8A"/>
    <w:rsid w:val="00635B53"/>
    <w:rsid w:val="00635BFA"/>
    <w:rsid w:val="00635C08"/>
    <w:rsid w:val="00635C79"/>
    <w:rsid w:val="00635C82"/>
    <w:rsid w:val="00635C8A"/>
    <w:rsid w:val="00635CB8"/>
    <w:rsid w:val="00635D21"/>
    <w:rsid w:val="00635D46"/>
    <w:rsid w:val="00635D72"/>
    <w:rsid w:val="00635D87"/>
    <w:rsid w:val="00635E03"/>
    <w:rsid w:val="00635E61"/>
    <w:rsid w:val="00635EC9"/>
    <w:rsid w:val="00635EF6"/>
    <w:rsid w:val="00635EFD"/>
    <w:rsid w:val="00635F81"/>
    <w:rsid w:val="00635FAC"/>
    <w:rsid w:val="00635FDB"/>
    <w:rsid w:val="00635FDF"/>
    <w:rsid w:val="00635FE0"/>
    <w:rsid w:val="0063603E"/>
    <w:rsid w:val="0063607B"/>
    <w:rsid w:val="00636094"/>
    <w:rsid w:val="006360FC"/>
    <w:rsid w:val="00636123"/>
    <w:rsid w:val="00636158"/>
    <w:rsid w:val="00636167"/>
    <w:rsid w:val="0063618E"/>
    <w:rsid w:val="00636290"/>
    <w:rsid w:val="00636328"/>
    <w:rsid w:val="00636537"/>
    <w:rsid w:val="00636596"/>
    <w:rsid w:val="006365B3"/>
    <w:rsid w:val="00636644"/>
    <w:rsid w:val="00636648"/>
    <w:rsid w:val="006366E8"/>
    <w:rsid w:val="00636770"/>
    <w:rsid w:val="0063679D"/>
    <w:rsid w:val="006367CF"/>
    <w:rsid w:val="006367F6"/>
    <w:rsid w:val="006367FD"/>
    <w:rsid w:val="00636857"/>
    <w:rsid w:val="0063687B"/>
    <w:rsid w:val="0063688C"/>
    <w:rsid w:val="00636979"/>
    <w:rsid w:val="00636997"/>
    <w:rsid w:val="00636A08"/>
    <w:rsid w:val="00636A53"/>
    <w:rsid w:val="00636B49"/>
    <w:rsid w:val="00636B59"/>
    <w:rsid w:val="00636C62"/>
    <w:rsid w:val="00636C75"/>
    <w:rsid w:val="00636CAB"/>
    <w:rsid w:val="00636D35"/>
    <w:rsid w:val="00636D3A"/>
    <w:rsid w:val="00636D41"/>
    <w:rsid w:val="00636DC1"/>
    <w:rsid w:val="00636DD5"/>
    <w:rsid w:val="00636E00"/>
    <w:rsid w:val="00636E5D"/>
    <w:rsid w:val="00636EC6"/>
    <w:rsid w:val="00636FB0"/>
    <w:rsid w:val="00636FB1"/>
    <w:rsid w:val="00636FF4"/>
    <w:rsid w:val="00637007"/>
    <w:rsid w:val="0063702E"/>
    <w:rsid w:val="00637033"/>
    <w:rsid w:val="00637063"/>
    <w:rsid w:val="006370B5"/>
    <w:rsid w:val="0063714B"/>
    <w:rsid w:val="00637189"/>
    <w:rsid w:val="006371DB"/>
    <w:rsid w:val="006371E0"/>
    <w:rsid w:val="006371E6"/>
    <w:rsid w:val="006372D7"/>
    <w:rsid w:val="006372EC"/>
    <w:rsid w:val="0063740C"/>
    <w:rsid w:val="00637447"/>
    <w:rsid w:val="00637490"/>
    <w:rsid w:val="006374B5"/>
    <w:rsid w:val="00637515"/>
    <w:rsid w:val="00637593"/>
    <w:rsid w:val="006375ED"/>
    <w:rsid w:val="0063760C"/>
    <w:rsid w:val="0063765D"/>
    <w:rsid w:val="00637687"/>
    <w:rsid w:val="006376DB"/>
    <w:rsid w:val="00637773"/>
    <w:rsid w:val="0063779C"/>
    <w:rsid w:val="006377A9"/>
    <w:rsid w:val="006377BA"/>
    <w:rsid w:val="006377FB"/>
    <w:rsid w:val="0063781D"/>
    <w:rsid w:val="00637964"/>
    <w:rsid w:val="0063796F"/>
    <w:rsid w:val="006379DA"/>
    <w:rsid w:val="006379FA"/>
    <w:rsid w:val="00637A05"/>
    <w:rsid w:val="00637A1C"/>
    <w:rsid w:val="00637A47"/>
    <w:rsid w:val="00637A5C"/>
    <w:rsid w:val="00637AE1"/>
    <w:rsid w:val="00637B27"/>
    <w:rsid w:val="00637B86"/>
    <w:rsid w:val="00637B9F"/>
    <w:rsid w:val="00637BAB"/>
    <w:rsid w:val="00637C14"/>
    <w:rsid w:val="00637C5B"/>
    <w:rsid w:val="00637E9E"/>
    <w:rsid w:val="00637EFC"/>
    <w:rsid w:val="00637F0B"/>
    <w:rsid w:val="00637F3E"/>
    <w:rsid w:val="00637F79"/>
    <w:rsid w:val="00637FC9"/>
    <w:rsid w:val="0064000B"/>
    <w:rsid w:val="00640010"/>
    <w:rsid w:val="00640074"/>
    <w:rsid w:val="006400CA"/>
    <w:rsid w:val="006400D9"/>
    <w:rsid w:val="006400DC"/>
    <w:rsid w:val="00640131"/>
    <w:rsid w:val="00640158"/>
    <w:rsid w:val="00640192"/>
    <w:rsid w:val="006401BE"/>
    <w:rsid w:val="00640299"/>
    <w:rsid w:val="006402A4"/>
    <w:rsid w:val="00640302"/>
    <w:rsid w:val="00640342"/>
    <w:rsid w:val="00640351"/>
    <w:rsid w:val="006403BA"/>
    <w:rsid w:val="006403E3"/>
    <w:rsid w:val="0064044A"/>
    <w:rsid w:val="0064047D"/>
    <w:rsid w:val="00640523"/>
    <w:rsid w:val="00640556"/>
    <w:rsid w:val="00640580"/>
    <w:rsid w:val="0064063B"/>
    <w:rsid w:val="00640714"/>
    <w:rsid w:val="006407A3"/>
    <w:rsid w:val="006407EA"/>
    <w:rsid w:val="0064081C"/>
    <w:rsid w:val="00640872"/>
    <w:rsid w:val="00640922"/>
    <w:rsid w:val="00640996"/>
    <w:rsid w:val="006409AE"/>
    <w:rsid w:val="006409D0"/>
    <w:rsid w:val="00640A8E"/>
    <w:rsid w:val="00640A96"/>
    <w:rsid w:val="00640AD2"/>
    <w:rsid w:val="00640AFD"/>
    <w:rsid w:val="00640BB1"/>
    <w:rsid w:val="00640BED"/>
    <w:rsid w:val="00640C78"/>
    <w:rsid w:val="00640CDA"/>
    <w:rsid w:val="00640D35"/>
    <w:rsid w:val="00640D43"/>
    <w:rsid w:val="00640F09"/>
    <w:rsid w:val="00640F2A"/>
    <w:rsid w:val="00641015"/>
    <w:rsid w:val="0064108F"/>
    <w:rsid w:val="006410B4"/>
    <w:rsid w:val="00641101"/>
    <w:rsid w:val="0064110A"/>
    <w:rsid w:val="00641136"/>
    <w:rsid w:val="00641153"/>
    <w:rsid w:val="006411F1"/>
    <w:rsid w:val="00641280"/>
    <w:rsid w:val="006412BC"/>
    <w:rsid w:val="0064133D"/>
    <w:rsid w:val="00641399"/>
    <w:rsid w:val="006413B7"/>
    <w:rsid w:val="006413CB"/>
    <w:rsid w:val="00641417"/>
    <w:rsid w:val="006414BA"/>
    <w:rsid w:val="006414EA"/>
    <w:rsid w:val="0064151B"/>
    <w:rsid w:val="0064151E"/>
    <w:rsid w:val="006415C5"/>
    <w:rsid w:val="00641607"/>
    <w:rsid w:val="00641654"/>
    <w:rsid w:val="0064168D"/>
    <w:rsid w:val="00641691"/>
    <w:rsid w:val="006416D7"/>
    <w:rsid w:val="00641717"/>
    <w:rsid w:val="0064176B"/>
    <w:rsid w:val="006417B8"/>
    <w:rsid w:val="006417DB"/>
    <w:rsid w:val="006417E7"/>
    <w:rsid w:val="00641805"/>
    <w:rsid w:val="006418CB"/>
    <w:rsid w:val="006418D6"/>
    <w:rsid w:val="0064194E"/>
    <w:rsid w:val="00641957"/>
    <w:rsid w:val="006419A9"/>
    <w:rsid w:val="00641A47"/>
    <w:rsid w:val="00641A76"/>
    <w:rsid w:val="00641A87"/>
    <w:rsid w:val="00641AA5"/>
    <w:rsid w:val="00641AC2"/>
    <w:rsid w:val="00641AEF"/>
    <w:rsid w:val="00641B0F"/>
    <w:rsid w:val="00641B1B"/>
    <w:rsid w:val="00641B52"/>
    <w:rsid w:val="00641B64"/>
    <w:rsid w:val="00641B74"/>
    <w:rsid w:val="00641C00"/>
    <w:rsid w:val="00641C1C"/>
    <w:rsid w:val="00641C43"/>
    <w:rsid w:val="00641C4C"/>
    <w:rsid w:val="00641C79"/>
    <w:rsid w:val="00641CAF"/>
    <w:rsid w:val="00641D10"/>
    <w:rsid w:val="00641E50"/>
    <w:rsid w:val="00641E61"/>
    <w:rsid w:val="00641EA7"/>
    <w:rsid w:val="00641F73"/>
    <w:rsid w:val="00641F7D"/>
    <w:rsid w:val="00641FA1"/>
    <w:rsid w:val="0064205C"/>
    <w:rsid w:val="00642061"/>
    <w:rsid w:val="006420AC"/>
    <w:rsid w:val="00642113"/>
    <w:rsid w:val="00642141"/>
    <w:rsid w:val="00642165"/>
    <w:rsid w:val="006421B4"/>
    <w:rsid w:val="0064220A"/>
    <w:rsid w:val="00642283"/>
    <w:rsid w:val="006424A2"/>
    <w:rsid w:val="006424F7"/>
    <w:rsid w:val="0064250E"/>
    <w:rsid w:val="00642576"/>
    <w:rsid w:val="0064264E"/>
    <w:rsid w:val="0064275A"/>
    <w:rsid w:val="0064278A"/>
    <w:rsid w:val="00642840"/>
    <w:rsid w:val="0064284F"/>
    <w:rsid w:val="0064285C"/>
    <w:rsid w:val="00642884"/>
    <w:rsid w:val="00642963"/>
    <w:rsid w:val="00642974"/>
    <w:rsid w:val="00642979"/>
    <w:rsid w:val="00642A23"/>
    <w:rsid w:val="00642A40"/>
    <w:rsid w:val="00642A77"/>
    <w:rsid w:val="00642AB7"/>
    <w:rsid w:val="00642B15"/>
    <w:rsid w:val="00642BA4"/>
    <w:rsid w:val="00642C3F"/>
    <w:rsid w:val="00642C84"/>
    <w:rsid w:val="00642C86"/>
    <w:rsid w:val="00642CB1"/>
    <w:rsid w:val="00642CC3"/>
    <w:rsid w:val="00642D11"/>
    <w:rsid w:val="00642D7D"/>
    <w:rsid w:val="00642DC8"/>
    <w:rsid w:val="00642E0C"/>
    <w:rsid w:val="00642E16"/>
    <w:rsid w:val="00642E59"/>
    <w:rsid w:val="00642F58"/>
    <w:rsid w:val="00642F88"/>
    <w:rsid w:val="00642FD8"/>
    <w:rsid w:val="00643012"/>
    <w:rsid w:val="00643058"/>
    <w:rsid w:val="00643173"/>
    <w:rsid w:val="00643204"/>
    <w:rsid w:val="0064321C"/>
    <w:rsid w:val="0064328C"/>
    <w:rsid w:val="00643332"/>
    <w:rsid w:val="00643370"/>
    <w:rsid w:val="00643372"/>
    <w:rsid w:val="0064339C"/>
    <w:rsid w:val="006433F6"/>
    <w:rsid w:val="00643417"/>
    <w:rsid w:val="00643422"/>
    <w:rsid w:val="0064349E"/>
    <w:rsid w:val="0064353D"/>
    <w:rsid w:val="00643544"/>
    <w:rsid w:val="00643575"/>
    <w:rsid w:val="00643577"/>
    <w:rsid w:val="00643746"/>
    <w:rsid w:val="00643765"/>
    <w:rsid w:val="0064378C"/>
    <w:rsid w:val="006437CD"/>
    <w:rsid w:val="006437E9"/>
    <w:rsid w:val="0064388F"/>
    <w:rsid w:val="00643999"/>
    <w:rsid w:val="006439DE"/>
    <w:rsid w:val="006439EF"/>
    <w:rsid w:val="00643A40"/>
    <w:rsid w:val="00643B10"/>
    <w:rsid w:val="00643B15"/>
    <w:rsid w:val="00643B3E"/>
    <w:rsid w:val="00643B54"/>
    <w:rsid w:val="00643BC1"/>
    <w:rsid w:val="00643BD7"/>
    <w:rsid w:val="00643C0B"/>
    <w:rsid w:val="00643C12"/>
    <w:rsid w:val="00643D2F"/>
    <w:rsid w:val="00643D35"/>
    <w:rsid w:val="00643DC2"/>
    <w:rsid w:val="00643DD2"/>
    <w:rsid w:val="00643DE1"/>
    <w:rsid w:val="00643E01"/>
    <w:rsid w:val="00643E10"/>
    <w:rsid w:val="00643E60"/>
    <w:rsid w:val="00643EBA"/>
    <w:rsid w:val="00643ECE"/>
    <w:rsid w:val="00643ED3"/>
    <w:rsid w:val="00643F0E"/>
    <w:rsid w:val="00643F7D"/>
    <w:rsid w:val="00643F9F"/>
    <w:rsid w:val="00643FB3"/>
    <w:rsid w:val="00643FC7"/>
    <w:rsid w:val="00643FCE"/>
    <w:rsid w:val="00644009"/>
    <w:rsid w:val="00644069"/>
    <w:rsid w:val="0064406E"/>
    <w:rsid w:val="00644108"/>
    <w:rsid w:val="0064412C"/>
    <w:rsid w:val="006441A1"/>
    <w:rsid w:val="006441F7"/>
    <w:rsid w:val="0064422F"/>
    <w:rsid w:val="0064427D"/>
    <w:rsid w:val="0064437A"/>
    <w:rsid w:val="006443C1"/>
    <w:rsid w:val="006443E2"/>
    <w:rsid w:val="006444AF"/>
    <w:rsid w:val="006444F0"/>
    <w:rsid w:val="006444F6"/>
    <w:rsid w:val="00644535"/>
    <w:rsid w:val="00644538"/>
    <w:rsid w:val="00644543"/>
    <w:rsid w:val="0064455E"/>
    <w:rsid w:val="0064456E"/>
    <w:rsid w:val="00644591"/>
    <w:rsid w:val="00644628"/>
    <w:rsid w:val="0064462E"/>
    <w:rsid w:val="00644649"/>
    <w:rsid w:val="006446F7"/>
    <w:rsid w:val="0064471B"/>
    <w:rsid w:val="00644756"/>
    <w:rsid w:val="0064475D"/>
    <w:rsid w:val="00644774"/>
    <w:rsid w:val="00644797"/>
    <w:rsid w:val="006447B1"/>
    <w:rsid w:val="0064481C"/>
    <w:rsid w:val="006448A7"/>
    <w:rsid w:val="006448D8"/>
    <w:rsid w:val="00644907"/>
    <w:rsid w:val="0064491E"/>
    <w:rsid w:val="00644942"/>
    <w:rsid w:val="00644A07"/>
    <w:rsid w:val="00644A32"/>
    <w:rsid w:val="00644B23"/>
    <w:rsid w:val="00644C10"/>
    <w:rsid w:val="00644C59"/>
    <w:rsid w:val="00644CBA"/>
    <w:rsid w:val="00644CBC"/>
    <w:rsid w:val="00644D6F"/>
    <w:rsid w:val="00644DB3"/>
    <w:rsid w:val="00644DEE"/>
    <w:rsid w:val="00644E7D"/>
    <w:rsid w:val="00644EB4"/>
    <w:rsid w:val="00644F0B"/>
    <w:rsid w:val="00644F3D"/>
    <w:rsid w:val="00644F89"/>
    <w:rsid w:val="00644FB1"/>
    <w:rsid w:val="00644FE5"/>
    <w:rsid w:val="00645098"/>
    <w:rsid w:val="006450AC"/>
    <w:rsid w:val="00645118"/>
    <w:rsid w:val="0064514A"/>
    <w:rsid w:val="0064517C"/>
    <w:rsid w:val="006451AF"/>
    <w:rsid w:val="0064524B"/>
    <w:rsid w:val="00645264"/>
    <w:rsid w:val="00645266"/>
    <w:rsid w:val="0064527A"/>
    <w:rsid w:val="006452BF"/>
    <w:rsid w:val="006452D6"/>
    <w:rsid w:val="0064532B"/>
    <w:rsid w:val="00645368"/>
    <w:rsid w:val="00645374"/>
    <w:rsid w:val="0064539A"/>
    <w:rsid w:val="00645417"/>
    <w:rsid w:val="00645446"/>
    <w:rsid w:val="00645465"/>
    <w:rsid w:val="0064548F"/>
    <w:rsid w:val="0064549B"/>
    <w:rsid w:val="0064557C"/>
    <w:rsid w:val="006455F3"/>
    <w:rsid w:val="006456F2"/>
    <w:rsid w:val="006457D7"/>
    <w:rsid w:val="00645817"/>
    <w:rsid w:val="00645981"/>
    <w:rsid w:val="00645A9D"/>
    <w:rsid w:val="00645B52"/>
    <w:rsid w:val="00645B85"/>
    <w:rsid w:val="00645BE1"/>
    <w:rsid w:val="00645C01"/>
    <w:rsid w:val="00645C27"/>
    <w:rsid w:val="00645C46"/>
    <w:rsid w:val="00645CE3"/>
    <w:rsid w:val="00645D22"/>
    <w:rsid w:val="00645D53"/>
    <w:rsid w:val="00645D64"/>
    <w:rsid w:val="00645EC7"/>
    <w:rsid w:val="00645F66"/>
    <w:rsid w:val="00645FCB"/>
    <w:rsid w:val="00645FF0"/>
    <w:rsid w:val="00646003"/>
    <w:rsid w:val="00646015"/>
    <w:rsid w:val="00646038"/>
    <w:rsid w:val="00646039"/>
    <w:rsid w:val="0064603F"/>
    <w:rsid w:val="00646083"/>
    <w:rsid w:val="00646170"/>
    <w:rsid w:val="00646173"/>
    <w:rsid w:val="0064618B"/>
    <w:rsid w:val="0064618D"/>
    <w:rsid w:val="006461AB"/>
    <w:rsid w:val="006461C0"/>
    <w:rsid w:val="006462B8"/>
    <w:rsid w:val="006462C1"/>
    <w:rsid w:val="0064638D"/>
    <w:rsid w:val="00646464"/>
    <w:rsid w:val="0064647E"/>
    <w:rsid w:val="00646499"/>
    <w:rsid w:val="00646515"/>
    <w:rsid w:val="006465DE"/>
    <w:rsid w:val="006465DF"/>
    <w:rsid w:val="00646604"/>
    <w:rsid w:val="0064660F"/>
    <w:rsid w:val="0064662B"/>
    <w:rsid w:val="0064667C"/>
    <w:rsid w:val="006466CF"/>
    <w:rsid w:val="006466D9"/>
    <w:rsid w:val="006467D6"/>
    <w:rsid w:val="006467E2"/>
    <w:rsid w:val="00646822"/>
    <w:rsid w:val="00646840"/>
    <w:rsid w:val="00646888"/>
    <w:rsid w:val="006468C1"/>
    <w:rsid w:val="006468FF"/>
    <w:rsid w:val="00646909"/>
    <w:rsid w:val="00646A4E"/>
    <w:rsid w:val="00646A56"/>
    <w:rsid w:val="00646BB6"/>
    <w:rsid w:val="00646C2A"/>
    <w:rsid w:val="00646C50"/>
    <w:rsid w:val="00646CA7"/>
    <w:rsid w:val="00646CAD"/>
    <w:rsid w:val="00646D58"/>
    <w:rsid w:val="00646E90"/>
    <w:rsid w:val="00646FEE"/>
    <w:rsid w:val="006470AA"/>
    <w:rsid w:val="006471C1"/>
    <w:rsid w:val="0064725C"/>
    <w:rsid w:val="00647276"/>
    <w:rsid w:val="00647334"/>
    <w:rsid w:val="00647344"/>
    <w:rsid w:val="006473EC"/>
    <w:rsid w:val="00647442"/>
    <w:rsid w:val="0064745B"/>
    <w:rsid w:val="00647483"/>
    <w:rsid w:val="006474F6"/>
    <w:rsid w:val="00647569"/>
    <w:rsid w:val="0064757B"/>
    <w:rsid w:val="006475E4"/>
    <w:rsid w:val="00647647"/>
    <w:rsid w:val="0064777D"/>
    <w:rsid w:val="006477FD"/>
    <w:rsid w:val="006478A7"/>
    <w:rsid w:val="006478B3"/>
    <w:rsid w:val="006478C8"/>
    <w:rsid w:val="00647959"/>
    <w:rsid w:val="00647984"/>
    <w:rsid w:val="006479B8"/>
    <w:rsid w:val="006479FF"/>
    <w:rsid w:val="00647A02"/>
    <w:rsid w:val="00647A24"/>
    <w:rsid w:val="00647A8F"/>
    <w:rsid w:val="00647ACD"/>
    <w:rsid w:val="00647B46"/>
    <w:rsid w:val="00647B81"/>
    <w:rsid w:val="00647B84"/>
    <w:rsid w:val="00647BD2"/>
    <w:rsid w:val="00647C9A"/>
    <w:rsid w:val="00647D1F"/>
    <w:rsid w:val="00647D35"/>
    <w:rsid w:val="00647D42"/>
    <w:rsid w:val="00647DA9"/>
    <w:rsid w:val="00647DD1"/>
    <w:rsid w:val="00647DD3"/>
    <w:rsid w:val="00647DDE"/>
    <w:rsid w:val="00647E14"/>
    <w:rsid w:val="00647E4A"/>
    <w:rsid w:val="00647EBA"/>
    <w:rsid w:val="00647F00"/>
    <w:rsid w:val="00650008"/>
    <w:rsid w:val="0065000A"/>
    <w:rsid w:val="00650059"/>
    <w:rsid w:val="00650149"/>
    <w:rsid w:val="006501B4"/>
    <w:rsid w:val="0065025E"/>
    <w:rsid w:val="0065025F"/>
    <w:rsid w:val="0065028A"/>
    <w:rsid w:val="006502D4"/>
    <w:rsid w:val="00650310"/>
    <w:rsid w:val="00650369"/>
    <w:rsid w:val="006503C7"/>
    <w:rsid w:val="006504BF"/>
    <w:rsid w:val="006504DC"/>
    <w:rsid w:val="0065050A"/>
    <w:rsid w:val="006505DB"/>
    <w:rsid w:val="006506C5"/>
    <w:rsid w:val="0065073C"/>
    <w:rsid w:val="00650794"/>
    <w:rsid w:val="006507B1"/>
    <w:rsid w:val="00650802"/>
    <w:rsid w:val="0065081A"/>
    <w:rsid w:val="006508F5"/>
    <w:rsid w:val="00650926"/>
    <w:rsid w:val="00650928"/>
    <w:rsid w:val="00650963"/>
    <w:rsid w:val="0065098E"/>
    <w:rsid w:val="006509AC"/>
    <w:rsid w:val="006509D7"/>
    <w:rsid w:val="006509D9"/>
    <w:rsid w:val="00650A21"/>
    <w:rsid w:val="00650A94"/>
    <w:rsid w:val="00650ADA"/>
    <w:rsid w:val="00650B34"/>
    <w:rsid w:val="00650B79"/>
    <w:rsid w:val="00650B87"/>
    <w:rsid w:val="00650BD3"/>
    <w:rsid w:val="00650C30"/>
    <w:rsid w:val="00650C46"/>
    <w:rsid w:val="00650D08"/>
    <w:rsid w:val="00650D1D"/>
    <w:rsid w:val="00650D82"/>
    <w:rsid w:val="00650DD4"/>
    <w:rsid w:val="00650E91"/>
    <w:rsid w:val="00650F16"/>
    <w:rsid w:val="006510BA"/>
    <w:rsid w:val="006510CC"/>
    <w:rsid w:val="006510FE"/>
    <w:rsid w:val="00651134"/>
    <w:rsid w:val="0065117D"/>
    <w:rsid w:val="006511A8"/>
    <w:rsid w:val="006511C8"/>
    <w:rsid w:val="006512C6"/>
    <w:rsid w:val="00651316"/>
    <w:rsid w:val="00651339"/>
    <w:rsid w:val="0065138E"/>
    <w:rsid w:val="006513AA"/>
    <w:rsid w:val="0065147C"/>
    <w:rsid w:val="006514BD"/>
    <w:rsid w:val="006514CA"/>
    <w:rsid w:val="00651610"/>
    <w:rsid w:val="00651643"/>
    <w:rsid w:val="00651654"/>
    <w:rsid w:val="0065165C"/>
    <w:rsid w:val="00651786"/>
    <w:rsid w:val="006517C9"/>
    <w:rsid w:val="00651803"/>
    <w:rsid w:val="00651833"/>
    <w:rsid w:val="00651899"/>
    <w:rsid w:val="006518D8"/>
    <w:rsid w:val="00651907"/>
    <w:rsid w:val="006519A7"/>
    <w:rsid w:val="006519F3"/>
    <w:rsid w:val="00651A02"/>
    <w:rsid w:val="00651A0F"/>
    <w:rsid w:val="00651A56"/>
    <w:rsid w:val="00651AFE"/>
    <w:rsid w:val="00651B70"/>
    <w:rsid w:val="00651BD9"/>
    <w:rsid w:val="00651C1A"/>
    <w:rsid w:val="00651C5D"/>
    <w:rsid w:val="00651D2A"/>
    <w:rsid w:val="00651DB5"/>
    <w:rsid w:val="00651DFD"/>
    <w:rsid w:val="00651EB3"/>
    <w:rsid w:val="00651EFD"/>
    <w:rsid w:val="00651F1B"/>
    <w:rsid w:val="00651F29"/>
    <w:rsid w:val="00651F75"/>
    <w:rsid w:val="0065200D"/>
    <w:rsid w:val="00652096"/>
    <w:rsid w:val="006520C8"/>
    <w:rsid w:val="00652119"/>
    <w:rsid w:val="00652228"/>
    <w:rsid w:val="006522F7"/>
    <w:rsid w:val="006522FD"/>
    <w:rsid w:val="0065235A"/>
    <w:rsid w:val="006523B4"/>
    <w:rsid w:val="006523F4"/>
    <w:rsid w:val="00652419"/>
    <w:rsid w:val="00652463"/>
    <w:rsid w:val="00652564"/>
    <w:rsid w:val="00652576"/>
    <w:rsid w:val="006525A3"/>
    <w:rsid w:val="006525DD"/>
    <w:rsid w:val="00652637"/>
    <w:rsid w:val="0065267E"/>
    <w:rsid w:val="006526FA"/>
    <w:rsid w:val="00652741"/>
    <w:rsid w:val="0065275A"/>
    <w:rsid w:val="006527A3"/>
    <w:rsid w:val="006527D1"/>
    <w:rsid w:val="0065283D"/>
    <w:rsid w:val="0065289D"/>
    <w:rsid w:val="006528BA"/>
    <w:rsid w:val="006528D6"/>
    <w:rsid w:val="00652927"/>
    <w:rsid w:val="00652952"/>
    <w:rsid w:val="00652963"/>
    <w:rsid w:val="00652A75"/>
    <w:rsid w:val="00652AC2"/>
    <w:rsid w:val="00652B31"/>
    <w:rsid w:val="00652B95"/>
    <w:rsid w:val="00652BE0"/>
    <w:rsid w:val="00652C42"/>
    <w:rsid w:val="00652C73"/>
    <w:rsid w:val="00652CE1"/>
    <w:rsid w:val="00652CFB"/>
    <w:rsid w:val="00652D2B"/>
    <w:rsid w:val="00652D2F"/>
    <w:rsid w:val="00652D49"/>
    <w:rsid w:val="00652E13"/>
    <w:rsid w:val="00652E1E"/>
    <w:rsid w:val="00652E42"/>
    <w:rsid w:val="00652E48"/>
    <w:rsid w:val="00652EB6"/>
    <w:rsid w:val="00652EC6"/>
    <w:rsid w:val="00652EE7"/>
    <w:rsid w:val="00652F11"/>
    <w:rsid w:val="00652F2C"/>
    <w:rsid w:val="00652F88"/>
    <w:rsid w:val="0065303E"/>
    <w:rsid w:val="006530C1"/>
    <w:rsid w:val="006530C2"/>
    <w:rsid w:val="00653105"/>
    <w:rsid w:val="0065311C"/>
    <w:rsid w:val="00653128"/>
    <w:rsid w:val="00653174"/>
    <w:rsid w:val="0065319E"/>
    <w:rsid w:val="006531E2"/>
    <w:rsid w:val="006532FB"/>
    <w:rsid w:val="006533C0"/>
    <w:rsid w:val="00653471"/>
    <w:rsid w:val="006534AB"/>
    <w:rsid w:val="006534C1"/>
    <w:rsid w:val="006535C2"/>
    <w:rsid w:val="006535D1"/>
    <w:rsid w:val="0065366F"/>
    <w:rsid w:val="00653674"/>
    <w:rsid w:val="00653676"/>
    <w:rsid w:val="0065368D"/>
    <w:rsid w:val="00653714"/>
    <w:rsid w:val="00653748"/>
    <w:rsid w:val="0065374F"/>
    <w:rsid w:val="006537E4"/>
    <w:rsid w:val="00653887"/>
    <w:rsid w:val="00653921"/>
    <w:rsid w:val="00653929"/>
    <w:rsid w:val="00653977"/>
    <w:rsid w:val="006539BA"/>
    <w:rsid w:val="006539DB"/>
    <w:rsid w:val="006539EC"/>
    <w:rsid w:val="00653A05"/>
    <w:rsid w:val="00653A71"/>
    <w:rsid w:val="00653B61"/>
    <w:rsid w:val="00653B7E"/>
    <w:rsid w:val="00653C04"/>
    <w:rsid w:val="00653C78"/>
    <w:rsid w:val="00653CAD"/>
    <w:rsid w:val="00653CF8"/>
    <w:rsid w:val="00653D72"/>
    <w:rsid w:val="00653D9D"/>
    <w:rsid w:val="00653DFD"/>
    <w:rsid w:val="00653E95"/>
    <w:rsid w:val="00653EEC"/>
    <w:rsid w:val="00653F3F"/>
    <w:rsid w:val="00653F68"/>
    <w:rsid w:val="00653F95"/>
    <w:rsid w:val="00653FA0"/>
    <w:rsid w:val="0065402B"/>
    <w:rsid w:val="006540A8"/>
    <w:rsid w:val="006540ED"/>
    <w:rsid w:val="00654149"/>
    <w:rsid w:val="00654154"/>
    <w:rsid w:val="006541A3"/>
    <w:rsid w:val="006541C5"/>
    <w:rsid w:val="00654215"/>
    <w:rsid w:val="00654224"/>
    <w:rsid w:val="0065423A"/>
    <w:rsid w:val="0065429E"/>
    <w:rsid w:val="00654356"/>
    <w:rsid w:val="0065435D"/>
    <w:rsid w:val="00654366"/>
    <w:rsid w:val="00654385"/>
    <w:rsid w:val="00654386"/>
    <w:rsid w:val="006543F4"/>
    <w:rsid w:val="00654481"/>
    <w:rsid w:val="006544DD"/>
    <w:rsid w:val="006544E6"/>
    <w:rsid w:val="0065457E"/>
    <w:rsid w:val="006545A9"/>
    <w:rsid w:val="00654627"/>
    <w:rsid w:val="0065467A"/>
    <w:rsid w:val="00654695"/>
    <w:rsid w:val="006546F3"/>
    <w:rsid w:val="00654787"/>
    <w:rsid w:val="0065478F"/>
    <w:rsid w:val="006547EA"/>
    <w:rsid w:val="00654848"/>
    <w:rsid w:val="006548CD"/>
    <w:rsid w:val="0065492E"/>
    <w:rsid w:val="00654952"/>
    <w:rsid w:val="00654988"/>
    <w:rsid w:val="00654A20"/>
    <w:rsid w:val="00654A31"/>
    <w:rsid w:val="00654ABC"/>
    <w:rsid w:val="00654B25"/>
    <w:rsid w:val="00654C5C"/>
    <w:rsid w:val="00654CBB"/>
    <w:rsid w:val="00654CD2"/>
    <w:rsid w:val="00654CD5"/>
    <w:rsid w:val="00654DA2"/>
    <w:rsid w:val="00654DBA"/>
    <w:rsid w:val="00654EE3"/>
    <w:rsid w:val="00654F64"/>
    <w:rsid w:val="00654FA6"/>
    <w:rsid w:val="00654FA9"/>
    <w:rsid w:val="00654FE6"/>
    <w:rsid w:val="00655051"/>
    <w:rsid w:val="0065508E"/>
    <w:rsid w:val="00655181"/>
    <w:rsid w:val="006551B1"/>
    <w:rsid w:val="006551BC"/>
    <w:rsid w:val="006551C8"/>
    <w:rsid w:val="006551E1"/>
    <w:rsid w:val="00655221"/>
    <w:rsid w:val="00655293"/>
    <w:rsid w:val="006553DF"/>
    <w:rsid w:val="00655434"/>
    <w:rsid w:val="00655535"/>
    <w:rsid w:val="00655551"/>
    <w:rsid w:val="0065560E"/>
    <w:rsid w:val="0065561F"/>
    <w:rsid w:val="00655690"/>
    <w:rsid w:val="006556B2"/>
    <w:rsid w:val="006556B8"/>
    <w:rsid w:val="006556C2"/>
    <w:rsid w:val="006556F7"/>
    <w:rsid w:val="0065575A"/>
    <w:rsid w:val="006557B0"/>
    <w:rsid w:val="00655871"/>
    <w:rsid w:val="006558D0"/>
    <w:rsid w:val="006558ED"/>
    <w:rsid w:val="00655A73"/>
    <w:rsid w:val="00655B03"/>
    <w:rsid w:val="00655B27"/>
    <w:rsid w:val="00655B2D"/>
    <w:rsid w:val="00655BDA"/>
    <w:rsid w:val="00655BE6"/>
    <w:rsid w:val="00655CC9"/>
    <w:rsid w:val="00655CE5"/>
    <w:rsid w:val="00655E3F"/>
    <w:rsid w:val="00655E8B"/>
    <w:rsid w:val="00655F28"/>
    <w:rsid w:val="00655FB7"/>
    <w:rsid w:val="00655FE9"/>
    <w:rsid w:val="00655FF8"/>
    <w:rsid w:val="00656011"/>
    <w:rsid w:val="0065604F"/>
    <w:rsid w:val="0065605D"/>
    <w:rsid w:val="006560C1"/>
    <w:rsid w:val="00656104"/>
    <w:rsid w:val="0065624F"/>
    <w:rsid w:val="00656356"/>
    <w:rsid w:val="006563F7"/>
    <w:rsid w:val="006563FF"/>
    <w:rsid w:val="00656410"/>
    <w:rsid w:val="0065648D"/>
    <w:rsid w:val="00656502"/>
    <w:rsid w:val="0065651F"/>
    <w:rsid w:val="0065659F"/>
    <w:rsid w:val="006565C5"/>
    <w:rsid w:val="006565E3"/>
    <w:rsid w:val="006566E7"/>
    <w:rsid w:val="00656735"/>
    <w:rsid w:val="0065676A"/>
    <w:rsid w:val="0065677C"/>
    <w:rsid w:val="006567CC"/>
    <w:rsid w:val="0065681E"/>
    <w:rsid w:val="00656821"/>
    <w:rsid w:val="0065683A"/>
    <w:rsid w:val="0065692F"/>
    <w:rsid w:val="00656932"/>
    <w:rsid w:val="00656949"/>
    <w:rsid w:val="0065694F"/>
    <w:rsid w:val="00656985"/>
    <w:rsid w:val="006569E5"/>
    <w:rsid w:val="00656A25"/>
    <w:rsid w:val="00656A2F"/>
    <w:rsid w:val="00656A84"/>
    <w:rsid w:val="00656AEE"/>
    <w:rsid w:val="00656B68"/>
    <w:rsid w:val="00656B76"/>
    <w:rsid w:val="00656B89"/>
    <w:rsid w:val="00656D9F"/>
    <w:rsid w:val="00656E35"/>
    <w:rsid w:val="00656ECB"/>
    <w:rsid w:val="00656EE9"/>
    <w:rsid w:val="00656FB7"/>
    <w:rsid w:val="00656FDB"/>
    <w:rsid w:val="006570F1"/>
    <w:rsid w:val="0065712F"/>
    <w:rsid w:val="006571D7"/>
    <w:rsid w:val="006571EB"/>
    <w:rsid w:val="00657244"/>
    <w:rsid w:val="00657391"/>
    <w:rsid w:val="00657452"/>
    <w:rsid w:val="00657484"/>
    <w:rsid w:val="006574FA"/>
    <w:rsid w:val="00657534"/>
    <w:rsid w:val="00657539"/>
    <w:rsid w:val="0065754A"/>
    <w:rsid w:val="00657587"/>
    <w:rsid w:val="0065758A"/>
    <w:rsid w:val="0065758C"/>
    <w:rsid w:val="006575AE"/>
    <w:rsid w:val="006575FB"/>
    <w:rsid w:val="00657635"/>
    <w:rsid w:val="00657647"/>
    <w:rsid w:val="00657710"/>
    <w:rsid w:val="00657716"/>
    <w:rsid w:val="00657741"/>
    <w:rsid w:val="0065777F"/>
    <w:rsid w:val="006577B5"/>
    <w:rsid w:val="00657856"/>
    <w:rsid w:val="00657897"/>
    <w:rsid w:val="006578F8"/>
    <w:rsid w:val="00657941"/>
    <w:rsid w:val="00657980"/>
    <w:rsid w:val="006579D2"/>
    <w:rsid w:val="00657A04"/>
    <w:rsid w:val="00657A5D"/>
    <w:rsid w:val="00657AC6"/>
    <w:rsid w:val="00657B82"/>
    <w:rsid w:val="00657C0D"/>
    <w:rsid w:val="00657C6A"/>
    <w:rsid w:val="00657D19"/>
    <w:rsid w:val="00657D4D"/>
    <w:rsid w:val="00657D5B"/>
    <w:rsid w:val="00657DE2"/>
    <w:rsid w:val="00657DFC"/>
    <w:rsid w:val="00657E02"/>
    <w:rsid w:val="00657E64"/>
    <w:rsid w:val="00657E9B"/>
    <w:rsid w:val="00657EB5"/>
    <w:rsid w:val="00657EC1"/>
    <w:rsid w:val="00657F22"/>
    <w:rsid w:val="00657F65"/>
    <w:rsid w:val="00657F7A"/>
    <w:rsid w:val="00660032"/>
    <w:rsid w:val="00660043"/>
    <w:rsid w:val="0066004F"/>
    <w:rsid w:val="006600A0"/>
    <w:rsid w:val="006600DB"/>
    <w:rsid w:val="0066019B"/>
    <w:rsid w:val="006601A3"/>
    <w:rsid w:val="006601B0"/>
    <w:rsid w:val="006601C1"/>
    <w:rsid w:val="006601F2"/>
    <w:rsid w:val="0066022A"/>
    <w:rsid w:val="00660294"/>
    <w:rsid w:val="006602A7"/>
    <w:rsid w:val="006602B7"/>
    <w:rsid w:val="006602F3"/>
    <w:rsid w:val="006602FE"/>
    <w:rsid w:val="00660326"/>
    <w:rsid w:val="006604A1"/>
    <w:rsid w:val="006604DE"/>
    <w:rsid w:val="0066051E"/>
    <w:rsid w:val="0066052E"/>
    <w:rsid w:val="0066063A"/>
    <w:rsid w:val="00660658"/>
    <w:rsid w:val="006606D8"/>
    <w:rsid w:val="0066072F"/>
    <w:rsid w:val="00660754"/>
    <w:rsid w:val="0066084C"/>
    <w:rsid w:val="006608B3"/>
    <w:rsid w:val="006608EA"/>
    <w:rsid w:val="006609CA"/>
    <w:rsid w:val="006609F1"/>
    <w:rsid w:val="006609FB"/>
    <w:rsid w:val="00660A0D"/>
    <w:rsid w:val="00660A27"/>
    <w:rsid w:val="00660A65"/>
    <w:rsid w:val="00660A7B"/>
    <w:rsid w:val="00660B4C"/>
    <w:rsid w:val="00660BF1"/>
    <w:rsid w:val="00660E28"/>
    <w:rsid w:val="00660F14"/>
    <w:rsid w:val="00660F91"/>
    <w:rsid w:val="00660FB3"/>
    <w:rsid w:val="00661000"/>
    <w:rsid w:val="00661005"/>
    <w:rsid w:val="00661041"/>
    <w:rsid w:val="0066104F"/>
    <w:rsid w:val="0066106F"/>
    <w:rsid w:val="006610B7"/>
    <w:rsid w:val="006610D6"/>
    <w:rsid w:val="006610D9"/>
    <w:rsid w:val="0066111C"/>
    <w:rsid w:val="00661181"/>
    <w:rsid w:val="0066123C"/>
    <w:rsid w:val="006612B2"/>
    <w:rsid w:val="00661318"/>
    <w:rsid w:val="0066137E"/>
    <w:rsid w:val="006613C8"/>
    <w:rsid w:val="006613CD"/>
    <w:rsid w:val="0066141F"/>
    <w:rsid w:val="00661457"/>
    <w:rsid w:val="0066145B"/>
    <w:rsid w:val="006614F3"/>
    <w:rsid w:val="00661525"/>
    <w:rsid w:val="006615C3"/>
    <w:rsid w:val="006615C5"/>
    <w:rsid w:val="006615FF"/>
    <w:rsid w:val="00661674"/>
    <w:rsid w:val="006616B2"/>
    <w:rsid w:val="006617AF"/>
    <w:rsid w:val="00661919"/>
    <w:rsid w:val="00661974"/>
    <w:rsid w:val="00661992"/>
    <w:rsid w:val="006619B8"/>
    <w:rsid w:val="00661A11"/>
    <w:rsid w:val="00661A3C"/>
    <w:rsid w:val="00661A88"/>
    <w:rsid w:val="00661AB1"/>
    <w:rsid w:val="00661B06"/>
    <w:rsid w:val="00661B09"/>
    <w:rsid w:val="00661B9A"/>
    <w:rsid w:val="00661BDF"/>
    <w:rsid w:val="00661BE4"/>
    <w:rsid w:val="00661C06"/>
    <w:rsid w:val="00661C59"/>
    <w:rsid w:val="00661C93"/>
    <w:rsid w:val="00661C96"/>
    <w:rsid w:val="00661D8F"/>
    <w:rsid w:val="00661DD3"/>
    <w:rsid w:val="00661E00"/>
    <w:rsid w:val="00661E43"/>
    <w:rsid w:val="00661EDD"/>
    <w:rsid w:val="00661FF4"/>
    <w:rsid w:val="00661FFD"/>
    <w:rsid w:val="0066206E"/>
    <w:rsid w:val="006620A6"/>
    <w:rsid w:val="006620C4"/>
    <w:rsid w:val="0066211D"/>
    <w:rsid w:val="00662125"/>
    <w:rsid w:val="00662232"/>
    <w:rsid w:val="0066225A"/>
    <w:rsid w:val="006622C9"/>
    <w:rsid w:val="0066233F"/>
    <w:rsid w:val="00662350"/>
    <w:rsid w:val="0066238C"/>
    <w:rsid w:val="006623D6"/>
    <w:rsid w:val="006623DF"/>
    <w:rsid w:val="00662413"/>
    <w:rsid w:val="00662424"/>
    <w:rsid w:val="006624E8"/>
    <w:rsid w:val="0066252E"/>
    <w:rsid w:val="00662557"/>
    <w:rsid w:val="006625AE"/>
    <w:rsid w:val="006625D6"/>
    <w:rsid w:val="0066262F"/>
    <w:rsid w:val="006626B2"/>
    <w:rsid w:val="006626C6"/>
    <w:rsid w:val="006626D2"/>
    <w:rsid w:val="006626DA"/>
    <w:rsid w:val="00662724"/>
    <w:rsid w:val="00662737"/>
    <w:rsid w:val="0066278B"/>
    <w:rsid w:val="00662854"/>
    <w:rsid w:val="0066292A"/>
    <w:rsid w:val="00662950"/>
    <w:rsid w:val="00662962"/>
    <w:rsid w:val="006629D4"/>
    <w:rsid w:val="00662AE3"/>
    <w:rsid w:val="00662B0C"/>
    <w:rsid w:val="00662B4A"/>
    <w:rsid w:val="00662B54"/>
    <w:rsid w:val="00662B56"/>
    <w:rsid w:val="00662B7D"/>
    <w:rsid w:val="00662BA9"/>
    <w:rsid w:val="00662BFE"/>
    <w:rsid w:val="00662C34"/>
    <w:rsid w:val="00662CC0"/>
    <w:rsid w:val="00662E9A"/>
    <w:rsid w:val="00662F4F"/>
    <w:rsid w:val="00662FA3"/>
    <w:rsid w:val="00663011"/>
    <w:rsid w:val="0066303A"/>
    <w:rsid w:val="0066307B"/>
    <w:rsid w:val="006630AE"/>
    <w:rsid w:val="0066314D"/>
    <w:rsid w:val="0066315B"/>
    <w:rsid w:val="006631AA"/>
    <w:rsid w:val="006631E9"/>
    <w:rsid w:val="0066329E"/>
    <w:rsid w:val="006632AD"/>
    <w:rsid w:val="0066337F"/>
    <w:rsid w:val="00663381"/>
    <w:rsid w:val="006633F1"/>
    <w:rsid w:val="00663402"/>
    <w:rsid w:val="00663456"/>
    <w:rsid w:val="00663550"/>
    <w:rsid w:val="00663561"/>
    <w:rsid w:val="006635CC"/>
    <w:rsid w:val="0066360E"/>
    <w:rsid w:val="0066362D"/>
    <w:rsid w:val="006636C7"/>
    <w:rsid w:val="00663711"/>
    <w:rsid w:val="006637BF"/>
    <w:rsid w:val="00663804"/>
    <w:rsid w:val="00663828"/>
    <w:rsid w:val="00663875"/>
    <w:rsid w:val="006639DD"/>
    <w:rsid w:val="00663A6C"/>
    <w:rsid w:val="00663AE3"/>
    <w:rsid w:val="00663B67"/>
    <w:rsid w:val="00663B78"/>
    <w:rsid w:val="00663BC5"/>
    <w:rsid w:val="00663C44"/>
    <w:rsid w:val="00663C61"/>
    <w:rsid w:val="00663D7F"/>
    <w:rsid w:val="00663D96"/>
    <w:rsid w:val="00663E28"/>
    <w:rsid w:val="00663F49"/>
    <w:rsid w:val="00663F52"/>
    <w:rsid w:val="00663FDD"/>
    <w:rsid w:val="0066402B"/>
    <w:rsid w:val="00664046"/>
    <w:rsid w:val="00664049"/>
    <w:rsid w:val="00664062"/>
    <w:rsid w:val="0066407A"/>
    <w:rsid w:val="006640AD"/>
    <w:rsid w:val="006640CF"/>
    <w:rsid w:val="006640DA"/>
    <w:rsid w:val="006640F5"/>
    <w:rsid w:val="006640FC"/>
    <w:rsid w:val="006640FE"/>
    <w:rsid w:val="006641D5"/>
    <w:rsid w:val="006641E7"/>
    <w:rsid w:val="00664241"/>
    <w:rsid w:val="00664370"/>
    <w:rsid w:val="00664379"/>
    <w:rsid w:val="00664422"/>
    <w:rsid w:val="00664467"/>
    <w:rsid w:val="0066448A"/>
    <w:rsid w:val="006645A5"/>
    <w:rsid w:val="006645D3"/>
    <w:rsid w:val="006646F7"/>
    <w:rsid w:val="006647D0"/>
    <w:rsid w:val="006647F5"/>
    <w:rsid w:val="0066487F"/>
    <w:rsid w:val="00664939"/>
    <w:rsid w:val="0066495D"/>
    <w:rsid w:val="00664965"/>
    <w:rsid w:val="00664A33"/>
    <w:rsid w:val="00664B14"/>
    <w:rsid w:val="00664B19"/>
    <w:rsid w:val="00664B2A"/>
    <w:rsid w:val="00664B7B"/>
    <w:rsid w:val="00664B9B"/>
    <w:rsid w:val="00664C05"/>
    <w:rsid w:val="00664C25"/>
    <w:rsid w:val="00664C9E"/>
    <w:rsid w:val="00664CF0"/>
    <w:rsid w:val="00664D9C"/>
    <w:rsid w:val="00664DCD"/>
    <w:rsid w:val="00664DF4"/>
    <w:rsid w:val="00664E91"/>
    <w:rsid w:val="00664EBB"/>
    <w:rsid w:val="00664EFB"/>
    <w:rsid w:val="00664F08"/>
    <w:rsid w:val="00664F25"/>
    <w:rsid w:val="00664F8B"/>
    <w:rsid w:val="00664FD0"/>
    <w:rsid w:val="00664FE8"/>
    <w:rsid w:val="00665019"/>
    <w:rsid w:val="00665088"/>
    <w:rsid w:val="0066509C"/>
    <w:rsid w:val="006650D0"/>
    <w:rsid w:val="006650F9"/>
    <w:rsid w:val="006651C4"/>
    <w:rsid w:val="006651FD"/>
    <w:rsid w:val="00665245"/>
    <w:rsid w:val="0066527C"/>
    <w:rsid w:val="006652A7"/>
    <w:rsid w:val="006652AF"/>
    <w:rsid w:val="0066532E"/>
    <w:rsid w:val="00665360"/>
    <w:rsid w:val="00665393"/>
    <w:rsid w:val="0066549D"/>
    <w:rsid w:val="00665577"/>
    <w:rsid w:val="00665581"/>
    <w:rsid w:val="006655D9"/>
    <w:rsid w:val="00665602"/>
    <w:rsid w:val="0066562C"/>
    <w:rsid w:val="00665675"/>
    <w:rsid w:val="006656E1"/>
    <w:rsid w:val="006656F7"/>
    <w:rsid w:val="00665708"/>
    <w:rsid w:val="00665765"/>
    <w:rsid w:val="0066578F"/>
    <w:rsid w:val="006657F8"/>
    <w:rsid w:val="00665828"/>
    <w:rsid w:val="00665956"/>
    <w:rsid w:val="006659A4"/>
    <w:rsid w:val="006659CD"/>
    <w:rsid w:val="00665A6E"/>
    <w:rsid w:val="00665ACE"/>
    <w:rsid w:val="00665C34"/>
    <w:rsid w:val="00665C6B"/>
    <w:rsid w:val="00665CEF"/>
    <w:rsid w:val="00665DE6"/>
    <w:rsid w:val="00665E51"/>
    <w:rsid w:val="00665F53"/>
    <w:rsid w:val="00665FBA"/>
    <w:rsid w:val="00665FE9"/>
    <w:rsid w:val="00666063"/>
    <w:rsid w:val="00666079"/>
    <w:rsid w:val="006660F4"/>
    <w:rsid w:val="00666126"/>
    <w:rsid w:val="00666143"/>
    <w:rsid w:val="0066615B"/>
    <w:rsid w:val="0066629C"/>
    <w:rsid w:val="006662AD"/>
    <w:rsid w:val="006662EC"/>
    <w:rsid w:val="00666321"/>
    <w:rsid w:val="00666385"/>
    <w:rsid w:val="006663A7"/>
    <w:rsid w:val="00666442"/>
    <w:rsid w:val="00666470"/>
    <w:rsid w:val="00666507"/>
    <w:rsid w:val="006665AD"/>
    <w:rsid w:val="006665F7"/>
    <w:rsid w:val="006665FC"/>
    <w:rsid w:val="00666698"/>
    <w:rsid w:val="006666DD"/>
    <w:rsid w:val="006667A9"/>
    <w:rsid w:val="006667EA"/>
    <w:rsid w:val="0066682B"/>
    <w:rsid w:val="006668CB"/>
    <w:rsid w:val="0066694A"/>
    <w:rsid w:val="00666953"/>
    <w:rsid w:val="006669F8"/>
    <w:rsid w:val="00666A04"/>
    <w:rsid w:val="00666A3C"/>
    <w:rsid w:val="00666AAB"/>
    <w:rsid w:val="00666B08"/>
    <w:rsid w:val="00666B76"/>
    <w:rsid w:val="00666B7E"/>
    <w:rsid w:val="00666BAE"/>
    <w:rsid w:val="00666BC5"/>
    <w:rsid w:val="00666BED"/>
    <w:rsid w:val="00666D68"/>
    <w:rsid w:val="00666D87"/>
    <w:rsid w:val="00666D8F"/>
    <w:rsid w:val="00666DBD"/>
    <w:rsid w:val="00666E50"/>
    <w:rsid w:val="00666EAD"/>
    <w:rsid w:val="00666F5C"/>
    <w:rsid w:val="00667021"/>
    <w:rsid w:val="0066702F"/>
    <w:rsid w:val="00667062"/>
    <w:rsid w:val="006670F3"/>
    <w:rsid w:val="00667156"/>
    <w:rsid w:val="00667168"/>
    <w:rsid w:val="00667197"/>
    <w:rsid w:val="0066721A"/>
    <w:rsid w:val="0066724B"/>
    <w:rsid w:val="0066725B"/>
    <w:rsid w:val="00667308"/>
    <w:rsid w:val="0066736F"/>
    <w:rsid w:val="006673A9"/>
    <w:rsid w:val="006673CD"/>
    <w:rsid w:val="006673E0"/>
    <w:rsid w:val="00667444"/>
    <w:rsid w:val="0066744B"/>
    <w:rsid w:val="00667477"/>
    <w:rsid w:val="0066759C"/>
    <w:rsid w:val="00667685"/>
    <w:rsid w:val="0066772C"/>
    <w:rsid w:val="006678E2"/>
    <w:rsid w:val="006678EF"/>
    <w:rsid w:val="0066794C"/>
    <w:rsid w:val="006679CC"/>
    <w:rsid w:val="00667A07"/>
    <w:rsid w:val="00667B29"/>
    <w:rsid w:val="00667B32"/>
    <w:rsid w:val="00667B4C"/>
    <w:rsid w:val="00667BD8"/>
    <w:rsid w:val="00667BDE"/>
    <w:rsid w:val="00667C02"/>
    <w:rsid w:val="00667C27"/>
    <w:rsid w:val="00667C4A"/>
    <w:rsid w:val="00667C95"/>
    <w:rsid w:val="00667CC5"/>
    <w:rsid w:val="00667D28"/>
    <w:rsid w:val="00667D63"/>
    <w:rsid w:val="00667D64"/>
    <w:rsid w:val="00667E90"/>
    <w:rsid w:val="00667EB3"/>
    <w:rsid w:val="00667F40"/>
    <w:rsid w:val="00667FD9"/>
    <w:rsid w:val="00667FED"/>
    <w:rsid w:val="00670014"/>
    <w:rsid w:val="0067009E"/>
    <w:rsid w:val="006700D2"/>
    <w:rsid w:val="006700DD"/>
    <w:rsid w:val="00670137"/>
    <w:rsid w:val="00670182"/>
    <w:rsid w:val="006701E7"/>
    <w:rsid w:val="006701F5"/>
    <w:rsid w:val="006701F8"/>
    <w:rsid w:val="006702A8"/>
    <w:rsid w:val="0067035E"/>
    <w:rsid w:val="006703B6"/>
    <w:rsid w:val="006703D4"/>
    <w:rsid w:val="00670487"/>
    <w:rsid w:val="006704B6"/>
    <w:rsid w:val="006704E1"/>
    <w:rsid w:val="006704FD"/>
    <w:rsid w:val="00670515"/>
    <w:rsid w:val="00670530"/>
    <w:rsid w:val="00670564"/>
    <w:rsid w:val="0067057F"/>
    <w:rsid w:val="006705ED"/>
    <w:rsid w:val="00670611"/>
    <w:rsid w:val="00670620"/>
    <w:rsid w:val="00670667"/>
    <w:rsid w:val="006706B9"/>
    <w:rsid w:val="006706EC"/>
    <w:rsid w:val="00670753"/>
    <w:rsid w:val="00670789"/>
    <w:rsid w:val="00670798"/>
    <w:rsid w:val="006707B0"/>
    <w:rsid w:val="006707B8"/>
    <w:rsid w:val="00670892"/>
    <w:rsid w:val="006708B2"/>
    <w:rsid w:val="006708F5"/>
    <w:rsid w:val="00670923"/>
    <w:rsid w:val="00670931"/>
    <w:rsid w:val="00670948"/>
    <w:rsid w:val="00670968"/>
    <w:rsid w:val="00670A0C"/>
    <w:rsid w:val="00670B09"/>
    <w:rsid w:val="00670B9E"/>
    <w:rsid w:val="00670BAA"/>
    <w:rsid w:val="00670C42"/>
    <w:rsid w:val="00670CAC"/>
    <w:rsid w:val="00670D03"/>
    <w:rsid w:val="00670D5C"/>
    <w:rsid w:val="00670D63"/>
    <w:rsid w:val="00670D9E"/>
    <w:rsid w:val="00670DCB"/>
    <w:rsid w:val="00670E9D"/>
    <w:rsid w:val="00670EDC"/>
    <w:rsid w:val="00670F33"/>
    <w:rsid w:val="00670F57"/>
    <w:rsid w:val="00670FCB"/>
    <w:rsid w:val="00670FDB"/>
    <w:rsid w:val="00670FEB"/>
    <w:rsid w:val="0067101B"/>
    <w:rsid w:val="0067104A"/>
    <w:rsid w:val="00671051"/>
    <w:rsid w:val="006710BB"/>
    <w:rsid w:val="006710E8"/>
    <w:rsid w:val="006710F6"/>
    <w:rsid w:val="00671131"/>
    <w:rsid w:val="0067114E"/>
    <w:rsid w:val="00671191"/>
    <w:rsid w:val="0067119A"/>
    <w:rsid w:val="006711B8"/>
    <w:rsid w:val="00671268"/>
    <w:rsid w:val="006712C8"/>
    <w:rsid w:val="00671309"/>
    <w:rsid w:val="00671375"/>
    <w:rsid w:val="006713C8"/>
    <w:rsid w:val="0067142D"/>
    <w:rsid w:val="0067144D"/>
    <w:rsid w:val="00671537"/>
    <w:rsid w:val="0067155F"/>
    <w:rsid w:val="006715F4"/>
    <w:rsid w:val="0067162A"/>
    <w:rsid w:val="0067165E"/>
    <w:rsid w:val="00671682"/>
    <w:rsid w:val="006717BC"/>
    <w:rsid w:val="00671825"/>
    <w:rsid w:val="006718C9"/>
    <w:rsid w:val="00671901"/>
    <w:rsid w:val="006719CA"/>
    <w:rsid w:val="00671A01"/>
    <w:rsid w:val="00671A25"/>
    <w:rsid w:val="00671A29"/>
    <w:rsid w:val="00671A6E"/>
    <w:rsid w:val="00671ACD"/>
    <w:rsid w:val="00671B07"/>
    <w:rsid w:val="00671B7F"/>
    <w:rsid w:val="00671BB1"/>
    <w:rsid w:val="00671BD3"/>
    <w:rsid w:val="00671BF4"/>
    <w:rsid w:val="00671CB7"/>
    <w:rsid w:val="00671CCF"/>
    <w:rsid w:val="00671CF6"/>
    <w:rsid w:val="00671D03"/>
    <w:rsid w:val="00671D6D"/>
    <w:rsid w:val="00671D8A"/>
    <w:rsid w:val="00671DEF"/>
    <w:rsid w:val="00671DF4"/>
    <w:rsid w:val="00671E4C"/>
    <w:rsid w:val="00671E58"/>
    <w:rsid w:val="00671EC3"/>
    <w:rsid w:val="00671ED2"/>
    <w:rsid w:val="0067205A"/>
    <w:rsid w:val="00672086"/>
    <w:rsid w:val="006720B3"/>
    <w:rsid w:val="006720C4"/>
    <w:rsid w:val="00672174"/>
    <w:rsid w:val="0067220C"/>
    <w:rsid w:val="00672213"/>
    <w:rsid w:val="0067224A"/>
    <w:rsid w:val="00672275"/>
    <w:rsid w:val="00672294"/>
    <w:rsid w:val="006722C5"/>
    <w:rsid w:val="0067234A"/>
    <w:rsid w:val="00672396"/>
    <w:rsid w:val="0067239F"/>
    <w:rsid w:val="006723F5"/>
    <w:rsid w:val="00672402"/>
    <w:rsid w:val="006724F7"/>
    <w:rsid w:val="00672612"/>
    <w:rsid w:val="00672634"/>
    <w:rsid w:val="006726E7"/>
    <w:rsid w:val="006726F1"/>
    <w:rsid w:val="00672724"/>
    <w:rsid w:val="00672730"/>
    <w:rsid w:val="00672738"/>
    <w:rsid w:val="0067279E"/>
    <w:rsid w:val="006727B9"/>
    <w:rsid w:val="006727DE"/>
    <w:rsid w:val="006727F6"/>
    <w:rsid w:val="00672830"/>
    <w:rsid w:val="0067283E"/>
    <w:rsid w:val="0067285E"/>
    <w:rsid w:val="0067296E"/>
    <w:rsid w:val="00672A3B"/>
    <w:rsid w:val="00672A42"/>
    <w:rsid w:val="00672A46"/>
    <w:rsid w:val="00672A6E"/>
    <w:rsid w:val="00672B4A"/>
    <w:rsid w:val="00672B85"/>
    <w:rsid w:val="00672BCC"/>
    <w:rsid w:val="00672BD3"/>
    <w:rsid w:val="00672C1F"/>
    <w:rsid w:val="00672C95"/>
    <w:rsid w:val="00672CCC"/>
    <w:rsid w:val="00672CD1"/>
    <w:rsid w:val="00672D0E"/>
    <w:rsid w:val="00672D16"/>
    <w:rsid w:val="00672DFD"/>
    <w:rsid w:val="00672E56"/>
    <w:rsid w:val="00672E62"/>
    <w:rsid w:val="00672F5D"/>
    <w:rsid w:val="0067301A"/>
    <w:rsid w:val="00673088"/>
    <w:rsid w:val="006730AA"/>
    <w:rsid w:val="006730E6"/>
    <w:rsid w:val="006730FA"/>
    <w:rsid w:val="0067316B"/>
    <w:rsid w:val="006731EE"/>
    <w:rsid w:val="00673288"/>
    <w:rsid w:val="0067332A"/>
    <w:rsid w:val="0067337A"/>
    <w:rsid w:val="0067338C"/>
    <w:rsid w:val="006733AA"/>
    <w:rsid w:val="00673410"/>
    <w:rsid w:val="006734E0"/>
    <w:rsid w:val="00673558"/>
    <w:rsid w:val="0067356B"/>
    <w:rsid w:val="006735B1"/>
    <w:rsid w:val="006736EB"/>
    <w:rsid w:val="0067376E"/>
    <w:rsid w:val="0067378D"/>
    <w:rsid w:val="006737AE"/>
    <w:rsid w:val="006737BF"/>
    <w:rsid w:val="006738FD"/>
    <w:rsid w:val="0067398F"/>
    <w:rsid w:val="006739D9"/>
    <w:rsid w:val="00673A44"/>
    <w:rsid w:val="00673A6D"/>
    <w:rsid w:val="00673AA9"/>
    <w:rsid w:val="00673ADB"/>
    <w:rsid w:val="00673B06"/>
    <w:rsid w:val="00673B45"/>
    <w:rsid w:val="00673B66"/>
    <w:rsid w:val="00673B8A"/>
    <w:rsid w:val="00673BA3"/>
    <w:rsid w:val="00673BF6"/>
    <w:rsid w:val="00673C4A"/>
    <w:rsid w:val="00673C68"/>
    <w:rsid w:val="00673D0C"/>
    <w:rsid w:val="00673D0D"/>
    <w:rsid w:val="00673D31"/>
    <w:rsid w:val="00673D34"/>
    <w:rsid w:val="00673D37"/>
    <w:rsid w:val="00673D44"/>
    <w:rsid w:val="00673D47"/>
    <w:rsid w:val="00673D5B"/>
    <w:rsid w:val="00673D7A"/>
    <w:rsid w:val="00673DD1"/>
    <w:rsid w:val="00673DD9"/>
    <w:rsid w:val="00673E47"/>
    <w:rsid w:val="00673E69"/>
    <w:rsid w:val="00673E73"/>
    <w:rsid w:val="00673E94"/>
    <w:rsid w:val="00673E97"/>
    <w:rsid w:val="00673F2B"/>
    <w:rsid w:val="00673F47"/>
    <w:rsid w:val="00673F57"/>
    <w:rsid w:val="00673FF0"/>
    <w:rsid w:val="00674003"/>
    <w:rsid w:val="00674041"/>
    <w:rsid w:val="00674049"/>
    <w:rsid w:val="00674119"/>
    <w:rsid w:val="00674125"/>
    <w:rsid w:val="0067412B"/>
    <w:rsid w:val="0067414C"/>
    <w:rsid w:val="006741AF"/>
    <w:rsid w:val="006741F8"/>
    <w:rsid w:val="0067421F"/>
    <w:rsid w:val="0067423C"/>
    <w:rsid w:val="0067425C"/>
    <w:rsid w:val="006742BA"/>
    <w:rsid w:val="00674301"/>
    <w:rsid w:val="0067432E"/>
    <w:rsid w:val="00674389"/>
    <w:rsid w:val="006743D7"/>
    <w:rsid w:val="00674463"/>
    <w:rsid w:val="0067447A"/>
    <w:rsid w:val="006744DA"/>
    <w:rsid w:val="006744FA"/>
    <w:rsid w:val="0067452E"/>
    <w:rsid w:val="0067465C"/>
    <w:rsid w:val="00674687"/>
    <w:rsid w:val="006746A4"/>
    <w:rsid w:val="00674812"/>
    <w:rsid w:val="0067483E"/>
    <w:rsid w:val="006748E7"/>
    <w:rsid w:val="00674944"/>
    <w:rsid w:val="006749CB"/>
    <w:rsid w:val="006749D1"/>
    <w:rsid w:val="00674A14"/>
    <w:rsid w:val="00674A23"/>
    <w:rsid w:val="00674A29"/>
    <w:rsid w:val="00674A79"/>
    <w:rsid w:val="00674AC6"/>
    <w:rsid w:val="00674B04"/>
    <w:rsid w:val="00674BA6"/>
    <w:rsid w:val="00674C4F"/>
    <w:rsid w:val="00674C5F"/>
    <w:rsid w:val="00674C80"/>
    <w:rsid w:val="00674CDF"/>
    <w:rsid w:val="00674D48"/>
    <w:rsid w:val="00674D62"/>
    <w:rsid w:val="00674D7F"/>
    <w:rsid w:val="00674DB5"/>
    <w:rsid w:val="00674DCB"/>
    <w:rsid w:val="00674DEE"/>
    <w:rsid w:val="00674E86"/>
    <w:rsid w:val="00674EAA"/>
    <w:rsid w:val="00674EAC"/>
    <w:rsid w:val="00674EE3"/>
    <w:rsid w:val="00674F63"/>
    <w:rsid w:val="00674F7D"/>
    <w:rsid w:val="00674FB0"/>
    <w:rsid w:val="00674FCA"/>
    <w:rsid w:val="00675009"/>
    <w:rsid w:val="00675055"/>
    <w:rsid w:val="00675078"/>
    <w:rsid w:val="00675090"/>
    <w:rsid w:val="006750CE"/>
    <w:rsid w:val="00675109"/>
    <w:rsid w:val="0067512F"/>
    <w:rsid w:val="00675139"/>
    <w:rsid w:val="006751D3"/>
    <w:rsid w:val="006751DA"/>
    <w:rsid w:val="0067520E"/>
    <w:rsid w:val="0067522B"/>
    <w:rsid w:val="0067523F"/>
    <w:rsid w:val="006752C8"/>
    <w:rsid w:val="00675317"/>
    <w:rsid w:val="0067531D"/>
    <w:rsid w:val="00675336"/>
    <w:rsid w:val="006753B1"/>
    <w:rsid w:val="006753F6"/>
    <w:rsid w:val="00675407"/>
    <w:rsid w:val="0067541A"/>
    <w:rsid w:val="00675430"/>
    <w:rsid w:val="00675530"/>
    <w:rsid w:val="00675539"/>
    <w:rsid w:val="00675580"/>
    <w:rsid w:val="006755BF"/>
    <w:rsid w:val="00675772"/>
    <w:rsid w:val="006757BD"/>
    <w:rsid w:val="0067580E"/>
    <w:rsid w:val="0067585B"/>
    <w:rsid w:val="006758C5"/>
    <w:rsid w:val="006758FF"/>
    <w:rsid w:val="00675948"/>
    <w:rsid w:val="00675985"/>
    <w:rsid w:val="00675A3C"/>
    <w:rsid w:val="00675AA4"/>
    <w:rsid w:val="00675AAC"/>
    <w:rsid w:val="00675AE7"/>
    <w:rsid w:val="00675C20"/>
    <w:rsid w:val="00675C28"/>
    <w:rsid w:val="00675C87"/>
    <w:rsid w:val="00675C8A"/>
    <w:rsid w:val="00675CB6"/>
    <w:rsid w:val="00675CED"/>
    <w:rsid w:val="00675CFC"/>
    <w:rsid w:val="00675D4C"/>
    <w:rsid w:val="00675DCD"/>
    <w:rsid w:val="00675E07"/>
    <w:rsid w:val="00675E4A"/>
    <w:rsid w:val="00675EFC"/>
    <w:rsid w:val="00675FC9"/>
    <w:rsid w:val="00675FD2"/>
    <w:rsid w:val="00676039"/>
    <w:rsid w:val="0067603C"/>
    <w:rsid w:val="00676130"/>
    <w:rsid w:val="0067613B"/>
    <w:rsid w:val="00676145"/>
    <w:rsid w:val="00676164"/>
    <w:rsid w:val="00676202"/>
    <w:rsid w:val="00676246"/>
    <w:rsid w:val="0067624E"/>
    <w:rsid w:val="0067625F"/>
    <w:rsid w:val="006762A3"/>
    <w:rsid w:val="006762FA"/>
    <w:rsid w:val="00676309"/>
    <w:rsid w:val="00676343"/>
    <w:rsid w:val="00676344"/>
    <w:rsid w:val="006763CC"/>
    <w:rsid w:val="00676418"/>
    <w:rsid w:val="00676498"/>
    <w:rsid w:val="00676540"/>
    <w:rsid w:val="00676577"/>
    <w:rsid w:val="0067673D"/>
    <w:rsid w:val="00676753"/>
    <w:rsid w:val="006767B5"/>
    <w:rsid w:val="006768D2"/>
    <w:rsid w:val="006768DD"/>
    <w:rsid w:val="00676905"/>
    <w:rsid w:val="00676929"/>
    <w:rsid w:val="00676A26"/>
    <w:rsid w:val="00676A9F"/>
    <w:rsid w:val="00676AAE"/>
    <w:rsid w:val="00676AEE"/>
    <w:rsid w:val="00676B21"/>
    <w:rsid w:val="00676B57"/>
    <w:rsid w:val="00676B6E"/>
    <w:rsid w:val="00676BE4"/>
    <w:rsid w:val="00676BFA"/>
    <w:rsid w:val="00676C53"/>
    <w:rsid w:val="00676C59"/>
    <w:rsid w:val="00676D27"/>
    <w:rsid w:val="00676DB7"/>
    <w:rsid w:val="00676DBB"/>
    <w:rsid w:val="00676E03"/>
    <w:rsid w:val="00676E3E"/>
    <w:rsid w:val="00676F19"/>
    <w:rsid w:val="00677028"/>
    <w:rsid w:val="006770A2"/>
    <w:rsid w:val="006770C6"/>
    <w:rsid w:val="006770F3"/>
    <w:rsid w:val="00677113"/>
    <w:rsid w:val="00677115"/>
    <w:rsid w:val="006771D9"/>
    <w:rsid w:val="006771F6"/>
    <w:rsid w:val="00677242"/>
    <w:rsid w:val="0067726A"/>
    <w:rsid w:val="0067729B"/>
    <w:rsid w:val="006772A0"/>
    <w:rsid w:val="006772B8"/>
    <w:rsid w:val="006772F4"/>
    <w:rsid w:val="00677303"/>
    <w:rsid w:val="0067732F"/>
    <w:rsid w:val="0067737F"/>
    <w:rsid w:val="006774B6"/>
    <w:rsid w:val="0067754B"/>
    <w:rsid w:val="006775E6"/>
    <w:rsid w:val="006775F4"/>
    <w:rsid w:val="00677604"/>
    <w:rsid w:val="006776A7"/>
    <w:rsid w:val="0067774E"/>
    <w:rsid w:val="006777C7"/>
    <w:rsid w:val="006777DB"/>
    <w:rsid w:val="0067781A"/>
    <w:rsid w:val="006778A8"/>
    <w:rsid w:val="00677995"/>
    <w:rsid w:val="00677A05"/>
    <w:rsid w:val="00677A21"/>
    <w:rsid w:val="00677A34"/>
    <w:rsid w:val="00677A76"/>
    <w:rsid w:val="00677ABD"/>
    <w:rsid w:val="00677B20"/>
    <w:rsid w:val="00677B3A"/>
    <w:rsid w:val="00677B52"/>
    <w:rsid w:val="00677BA0"/>
    <w:rsid w:val="00677D04"/>
    <w:rsid w:val="00677D2D"/>
    <w:rsid w:val="00677D79"/>
    <w:rsid w:val="00677DAA"/>
    <w:rsid w:val="00677DF2"/>
    <w:rsid w:val="00677E58"/>
    <w:rsid w:val="00677EB4"/>
    <w:rsid w:val="00677F9C"/>
    <w:rsid w:val="00677FDE"/>
    <w:rsid w:val="006800CF"/>
    <w:rsid w:val="006800F9"/>
    <w:rsid w:val="0068017F"/>
    <w:rsid w:val="00680249"/>
    <w:rsid w:val="00680256"/>
    <w:rsid w:val="006802AC"/>
    <w:rsid w:val="006803A6"/>
    <w:rsid w:val="0068042F"/>
    <w:rsid w:val="0068043E"/>
    <w:rsid w:val="00680465"/>
    <w:rsid w:val="00680505"/>
    <w:rsid w:val="006805D0"/>
    <w:rsid w:val="006805E8"/>
    <w:rsid w:val="00680617"/>
    <w:rsid w:val="00680724"/>
    <w:rsid w:val="00680743"/>
    <w:rsid w:val="00680820"/>
    <w:rsid w:val="00680838"/>
    <w:rsid w:val="0068093E"/>
    <w:rsid w:val="00680961"/>
    <w:rsid w:val="006809D3"/>
    <w:rsid w:val="00680A3D"/>
    <w:rsid w:val="00680A55"/>
    <w:rsid w:val="00680B91"/>
    <w:rsid w:val="00680BA2"/>
    <w:rsid w:val="00680BFA"/>
    <w:rsid w:val="00680C19"/>
    <w:rsid w:val="00680C7B"/>
    <w:rsid w:val="00680CCB"/>
    <w:rsid w:val="00680CDC"/>
    <w:rsid w:val="00680D6E"/>
    <w:rsid w:val="00680DA2"/>
    <w:rsid w:val="00680DB2"/>
    <w:rsid w:val="00680DC1"/>
    <w:rsid w:val="00680DCC"/>
    <w:rsid w:val="00680E12"/>
    <w:rsid w:val="00680E70"/>
    <w:rsid w:val="00680EBE"/>
    <w:rsid w:val="00680FD3"/>
    <w:rsid w:val="00681146"/>
    <w:rsid w:val="00681190"/>
    <w:rsid w:val="006811B5"/>
    <w:rsid w:val="00681203"/>
    <w:rsid w:val="0068123A"/>
    <w:rsid w:val="0068124F"/>
    <w:rsid w:val="006812E4"/>
    <w:rsid w:val="00681309"/>
    <w:rsid w:val="00681371"/>
    <w:rsid w:val="006813C3"/>
    <w:rsid w:val="006813CB"/>
    <w:rsid w:val="006814A3"/>
    <w:rsid w:val="006814BE"/>
    <w:rsid w:val="00681551"/>
    <w:rsid w:val="00681554"/>
    <w:rsid w:val="006815B9"/>
    <w:rsid w:val="00681786"/>
    <w:rsid w:val="006817CE"/>
    <w:rsid w:val="006817F7"/>
    <w:rsid w:val="00681819"/>
    <w:rsid w:val="00681872"/>
    <w:rsid w:val="00681952"/>
    <w:rsid w:val="0068199E"/>
    <w:rsid w:val="006819C7"/>
    <w:rsid w:val="00681A0D"/>
    <w:rsid w:val="00681A42"/>
    <w:rsid w:val="00681AD7"/>
    <w:rsid w:val="00681AEB"/>
    <w:rsid w:val="00681B46"/>
    <w:rsid w:val="00681B48"/>
    <w:rsid w:val="00681B56"/>
    <w:rsid w:val="00681C2B"/>
    <w:rsid w:val="00681C62"/>
    <w:rsid w:val="00681CF6"/>
    <w:rsid w:val="00681DF6"/>
    <w:rsid w:val="00681E20"/>
    <w:rsid w:val="00681E21"/>
    <w:rsid w:val="00681E32"/>
    <w:rsid w:val="00681E67"/>
    <w:rsid w:val="00681EDC"/>
    <w:rsid w:val="00681F4A"/>
    <w:rsid w:val="00682039"/>
    <w:rsid w:val="0068209D"/>
    <w:rsid w:val="006820D6"/>
    <w:rsid w:val="00682198"/>
    <w:rsid w:val="006821CF"/>
    <w:rsid w:val="006821E8"/>
    <w:rsid w:val="006822C3"/>
    <w:rsid w:val="00682302"/>
    <w:rsid w:val="00682356"/>
    <w:rsid w:val="0068235F"/>
    <w:rsid w:val="006823F2"/>
    <w:rsid w:val="00682509"/>
    <w:rsid w:val="0068252F"/>
    <w:rsid w:val="006825A4"/>
    <w:rsid w:val="00682607"/>
    <w:rsid w:val="00682627"/>
    <w:rsid w:val="00682648"/>
    <w:rsid w:val="006826B5"/>
    <w:rsid w:val="006826D0"/>
    <w:rsid w:val="0068270C"/>
    <w:rsid w:val="00682755"/>
    <w:rsid w:val="00682772"/>
    <w:rsid w:val="006827B8"/>
    <w:rsid w:val="00682822"/>
    <w:rsid w:val="00682843"/>
    <w:rsid w:val="00682863"/>
    <w:rsid w:val="0068292F"/>
    <w:rsid w:val="00682A02"/>
    <w:rsid w:val="00682A03"/>
    <w:rsid w:val="00682ABD"/>
    <w:rsid w:val="00682B0C"/>
    <w:rsid w:val="00682B50"/>
    <w:rsid w:val="00682B81"/>
    <w:rsid w:val="00682C30"/>
    <w:rsid w:val="00682C3C"/>
    <w:rsid w:val="00682C61"/>
    <w:rsid w:val="00682CF4"/>
    <w:rsid w:val="00682E02"/>
    <w:rsid w:val="00682E0B"/>
    <w:rsid w:val="00682E7F"/>
    <w:rsid w:val="00682EB0"/>
    <w:rsid w:val="00682ECC"/>
    <w:rsid w:val="00682F1C"/>
    <w:rsid w:val="00682F85"/>
    <w:rsid w:val="00682FB5"/>
    <w:rsid w:val="00682FE1"/>
    <w:rsid w:val="00682FEF"/>
    <w:rsid w:val="0068304F"/>
    <w:rsid w:val="006830D2"/>
    <w:rsid w:val="00683124"/>
    <w:rsid w:val="0068318F"/>
    <w:rsid w:val="0068324D"/>
    <w:rsid w:val="00683267"/>
    <w:rsid w:val="0068326E"/>
    <w:rsid w:val="006832BC"/>
    <w:rsid w:val="006832CA"/>
    <w:rsid w:val="006832CE"/>
    <w:rsid w:val="006832EF"/>
    <w:rsid w:val="0068332A"/>
    <w:rsid w:val="00683464"/>
    <w:rsid w:val="006834DD"/>
    <w:rsid w:val="00683529"/>
    <w:rsid w:val="006835AE"/>
    <w:rsid w:val="0068360A"/>
    <w:rsid w:val="00683683"/>
    <w:rsid w:val="00683707"/>
    <w:rsid w:val="00683734"/>
    <w:rsid w:val="00683763"/>
    <w:rsid w:val="0068376E"/>
    <w:rsid w:val="006837D7"/>
    <w:rsid w:val="00683861"/>
    <w:rsid w:val="006838F4"/>
    <w:rsid w:val="0068390F"/>
    <w:rsid w:val="00683910"/>
    <w:rsid w:val="00683917"/>
    <w:rsid w:val="0068391E"/>
    <w:rsid w:val="0068392D"/>
    <w:rsid w:val="00683956"/>
    <w:rsid w:val="00683980"/>
    <w:rsid w:val="00683A6C"/>
    <w:rsid w:val="00683B38"/>
    <w:rsid w:val="00683C64"/>
    <w:rsid w:val="00683CB8"/>
    <w:rsid w:val="00683D65"/>
    <w:rsid w:val="00683D6D"/>
    <w:rsid w:val="00683DAE"/>
    <w:rsid w:val="00683FBB"/>
    <w:rsid w:val="00683FC5"/>
    <w:rsid w:val="00683FDD"/>
    <w:rsid w:val="00684009"/>
    <w:rsid w:val="0068400A"/>
    <w:rsid w:val="00684039"/>
    <w:rsid w:val="0068409F"/>
    <w:rsid w:val="00684146"/>
    <w:rsid w:val="0068415D"/>
    <w:rsid w:val="00684180"/>
    <w:rsid w:val="00684187"/>
    <w:rsid w:val="006841BC"/>
    <w:rsid w:val="0068424D"/>
    <w:rsid w:val="00684286"/>
    <w:rsid w:val="00684293"/>
    <w:rsid w:val="006842DD"/>
    <w:rsid w:val="00684369"/>
    <w:rsid w:val="0068436E"/>
    <w:rsid w:val="0068438D"/>
    <w:rsid w:val="006843A5"/>
    <w:rsid w:val="006843E7"/>
    <w:rsid w:val="00684416"/>
    <w:rsid w:val="00684446"/>
    <w:rsid w:val="00684457"/>
    <w:rsid w:val="006844BE"/>
    <w:rsid w:val="006844E9"/>
    <w:rsid w:val="006844F4"/>
    <w:rsid w:val="0068458E"/>
    <w:rsid w:val="006845A6"/>
    <w:rsid w:val="006845D5"/>
    <w:rsid w:val="0068462D"/>
    <w:rsid w:val="0068463A"/>
    <w:rsid w:val="00684662"/>
    <w:rsid w:val="00684667"/>
    <w:rsid w:val="0068466D"/>
    <w:rsid w:val="006846A4"/>
    <w:rsid w:val="006846A6"/>
    <w:rsid w:val="00684710"/>
    <w:rsid w:val="00684749"/>
    <w:rsid w:val="006847CE"/>
    <w:rsid w:val="00684826"/>
    <w:rsid w:val="00684900"/>
    <w:rsid w:val="006849A2"/>
    <w:rsid w:val="006849C3"/>
    <w:rsid w:val="006849F0"/>
    <w:rsid w:val="00684A2A"/>
    <w:rsid w:val="00684A4B"/>
    <w:rsid w:val="00684A79"/>
    <w:rsid w:val="00684A81"/>
    <w:rsid w:val="00684B01"/>
    <w:rsid w:val="00684B23"/>
    <w:rsid w:val="00684B47"/>
    <w:rsid w:val="00684B74"/>
    <w:rsid w:val="00684BB0"/>
    <w:rsid w:val="00684BFC"/>
    <w:rsid w:val="00684D76"/>
    <w:rsid w:val="00684D77"/>
    <w:rsid w:val="00684D8E"/>
    <w:rsid w:val="00684DB6"/>
    <w:rsid w:val="00684DB9"/>
    <w:rsid w:val="00684DBE"/>
    <w:rsid w:val="00684DF9"/>
    <w:rsid w:val="00684E0E"/>
    <w:rsid w:val="00684E84"/>
    <w:rsid w:val="00684EF5"/>
    <w:rsid w:val="00684F37"/>
    <w:rsid w:val="00684F89"/>
    <w:rsid w:val="00684FB7"/>
    <w:rsid w:val="00684FE5"/>
    <w:rsid w:val="0068500D"/>
    <w:rsid w:val="0068503F"/>
    <w:rsid w:val="00685043"/>
    <w:rsid w:val="006850CB"/>
    <w:rsid w:val="00685107"/>
    <w:rsid w:val="00685142"/>
    <w:rsid w:val="0068518E"/>
    <w:rsid w:val="0068519C"/>
    <w:rsid w:val="006851C6"/>
    <w:rsid w:val="00685201"/>
    <w:rsid w:val="0068529F"/>
    <w:rsid w:val="006852A8"/>
    <w:rsid w:val="006852D2"/>
    <w:rsid w:val="006852E0"/>
    <w:rsid w:val="00685304"/>
    <w:rsid w:val="006853AE"/>
    <w:rsid w:val="0068545D"/>
    <w:rsid w:val="00685499"/>
    <w:rsid w:val="006854A3"/>
    <w:rsid w:val="006854C8"/>
    <w:rsid w:val="00685505"/>
    <w:rsid w:val="0068554B"/>
    <w:rsid w:val="0068559A"/>
    <w:rsid w:val="006855DF"/>
    <w:rsid w:val="006856A6"/>
    <w:rsid w:val="006856EB"/>
    <w:rsid w:val="0068579B"/>
    <w:rsid w:val="006857C2"/>
    <w:rsid w:val="006857C5"/>
    <w:rsid w:val="0068588D"/>
    <w:rsid w:val="0068588F"/>
    <w:rsid w:val="00685917"/>
    <w:rsid w:val="006859DC"/>
    <w:rsid w:val="00685A0E"/>
    <w:rsid w:val="00685A55"/>
    <w:rsid w:val="00685A74"/>
    <w:rsid w:val="00685A9A"/>
    <w:rsid w:val="00685AFE"/>
    <w:rsid w:val="00685B2A"/>
    <w:rsid w:val="00685B64"/>
    <w:rsid w:val="00685B6A"/>
    <w:rsid w:val="00685BA3"/>
    <w:rsid w:val="00685BCD"/>
    <w:rsid w:val="00685BF9"/>
    <w:rsid w:val="00685C14"/>
    <w:rsid w:val="00685CB8"/>
    <w:rsid w:val="00685CDC"/>
    <w:rsid w:val="00685DE1"/>
    <w:rsid w:val="00685E07"/>
    <w:rsid w:val="00685E1B"/>
    <w:rsid w:val="00685E5C"/>
    <w:rsid w:val="00685F34"/>
    <w:rsid w:val="006860B5"/>
    <w:rsid w:val="00686165"/>
    <w:rsid w:val="006861DB"/>
    <w:rsid w:val="0068624B"/>
    <w:rsid w:val="00686340"/>
    <w:rsid w:val="006863A6"/>
    <w:rsid w:val="006863E3"/>
    <w:rsid w:val="0068640F"/>
    <w:rsid w:val="00686460"/>
    <w:rsid w:val="00686477"/>
    <w:rsid w:val="006864B0"/>
    <w:rsid w:val="006864B2"/>
    <w:rsid w:val="006864D8"/>
    <w:rsid w:val="006864F8"/>
    <w:rsid w:val="0068651A"/>
    <w:rsid w:val="00686594"/>
    <w:rsid w:val="006865CC"/>
    <w:rsid w:val="006865D8"/>
    <w:rsid w:val="00686646"/>
    <w:rsid w:val="0068664B"/>
    <w:rsid w:val="0068668E"/>
    <w:rsid w:val="006866A4"/>
    <w:rsid w:val="006866D7"/>
    <w:rsid w:val="006867AF"/>
    <w:rsid w:val="006867C4"/>
    <w:rsid w:val="00686862"/>
    <w:rsid w:val="006868F7"/>
    <w:rsid w:val="00686926"/>
    <w:rsid w:val="006869E9"/>
    <w:rsid w:val="00686A0E"/>
    <w:rsid w:val="00686AB7"/>
    <w:rsid w:val="00686AFE"/>
    <w:rsid w:val="00686BA9"/>
    <w:rsid w:val="00686C92"/>
    <w:rsid w:val="00686D83"/>
    <w:rsid w:val="00686DF9"/>
    <w:rsid w:val="00686E26"/>
    <w:rsid w:val="00686EB1"/>
    <w:rsid w:val="00686EF6"/>
    <w:rsid w:val="00686F62"/>
    <w:rsid w:val="00687031"/>
    <w:rsid w:val="00687175"/>
    <w:rsid w:val="006871A3"/>
    <w:rsid w:val="00687202"/>
    <w:rsid w:val="00687236"/>
    <w:rsid w:val="0068723A"/>
    <w:rsid w:val="00687241"/>
    <w:rsid w:val="00687262"/>
    <w:rsid w:val="006872C8"/>
    <w:rsid w:val="006872EC"/>
    <w:rsid w:val="00687385"/>
    <w:rsid w:val="00687458"/>
    <w:rsid w:val="0068753F"/>
    <w:rsid w:val="00687572"/>
    <w:rsid w:val="006875DC"/>
    <w:rsid w:val="0068766A"/>
    <w:rsid w:val="00687683"/>
    <w:rsid w:val="006876F1"/>
    <w:rsid w:val="00687718"/>
    <w:rsid w:val="00687756"/>
    <w:rsid w:val="006877C0"/>
    <w:rsid w:val="0068781B"/>
    <w:rsid w:val="0068783A"/>
    <w:rsid w:val="006878D8"/>
    <w:rsid w:val="00687927"/>
    <w:rsid w:val="0068792E"/>
    <w:rsid w:val="0068799C"/>
    <w:rsid w:val="006879D3"/>
    <w:rsid w:val="006879D4"/>
    <w:rsid w:val="00687A0E"/>
    <w:rsid w:val="00687A92"/>
    <w:rsid w:val="00687AF5"/>
    <w:rsid w:val="00687B06"/>
    <w:rsid w:val="00687B32"/>
    <w:rsid w:val="00687B71"/>
    <w:rsid w:val="00687B77"/>
    <w:rsid w:val="00687BCB"/>
    <w:rsid w:val="00687BF8"/>
    <w:rsid w:val="00687C3E"/>
    <w:rsid w:val="00687C42"/>
    <w:rsid w:val="00687CDB"/>
    <w:rsid w:val="00687D3E"/>
    <w:rsid w:val="00687D7F"/>
    <w:rsid w:val="00687DF1"/>
    <w:rsid w:val="00687F25"/>
    <w:rsid w:val="00687F4D"/>
    <w:rsid w:val="00687F51"/>
    <w:rsid w:val="00687FF6"/>
    <w:rsid w:val="0069001F"/>
    <w:rsid w:val="006900C8"/>
    <w:rsid w:val="0069014B"/>
    <w:rsid w:val="0069015F"/>
    <w:rsid w:val="00690186"/>
    <w:rsid w:val="006901A7"/>
    <w:rsid w:val="006901D0"/>
    <w:rsid w:val="006901F5"/>
    <w:rsid w:val="00690224"/>
    <w:rsid w:val="00690286"/>
    <w:rsid w:val="006902AF"/>
    <w:rsid w:val="00690307"/>
    <w:rsid w:val="0069036B"/>
    <w:rsid w:val="0069037B"/>
    <w:rsid w:val="006903CC"/>
    <w:rsid w:val="006903E5"/>
    <w:rsid w:val="006903F1"/>
    <w:rsid w:val="006903FF"/>
    <w:rsid w:val="00690446"/>
    <w:rsid w:val="00690459"/>
    <w:rsid w:val="006904A8"/>
    <w:rsid w:val="006904D1"/>
    <w:rsid w:val="00690553"/>
    <w:rsid w:val="00690619"/>
    <w:rsid w:val="0069064A"/>
    <w:rsid w:val="006906AB"/>
    <w:rsid w:val="006906CB"/>
    <w:rsid w:val="00690724"/>
    <w:rsid w:val="0069074B"/>
    <w:rsid w:val="00690780"/>
    <w:rsid w:val="006907B3"/>
    <w:rsid w:val="006908A0"/>
    <w:rsid w:val="006908B0"/>
    <w:rsid w:val="006908CA"/>
    <w:rsid w:val="006908F0"/>
    <w:rsid w:val="00690982"/>
    <w:rsid w:val="00690A0D"/>
    <w:rsid w:val="00690A25"/>
    <w:rsid w:val="00690A64"/>
    <w:rsid w:val="00690A74"/>
    <w:rsid w:val="00690A96"/>
    <w:rsid w:val="00690AA2"/>
    <w:rsid w:val="00690B53"/>
    <w:rsid w:val="00690C2E"/>
    <w:rsid w:val="00690CEE"/>
    <w:rsid w:val="00690CEF"/>
    <w:rsid w:val="00690D06"/>
    <w:rsid w:val="00690D61"/>
    <w:rsid w:val="00690E39"/>
    <w:rsid w:val="00690E58"/>
    <w:rsid w:val="00690EA2"/>
    <w:rsid w:val="00690ECF"/>
    <w:rsid w:val="00690F18"/>
    <w:rsid w:val="00690F44"/>
    <w:rsid w:val="00690FE5"/>
    <w:rsid w:val="00691009"/>
    <w:rsid w:val="00691039"/>
    <w:rsid w:val="00691040"/>
    <w:rsid w:val="00691115"/>
    <w:rsid w:val="0069114D"/>
    <w:rsid w:val="006911C1"/>
    <w:rsid w:val="006911ED"/>
    <w:rsid w:val="00691247"/>
    <w:rsid w:val="0069127B"/>
    <w:rsid w:val="006912A0"/>
    <w:rsid w:val="006912A1"/>
    <w:rsid w:val="0069130F"/>
    <w:rsid w:val="00691425"/>
    <w:rsid w:val="00691433"/>
    <w:rsid w:val="00691454"/>
    <w:rsid w:val="006914A3"/>
    <w:rsid w:val="00691523"/>
    <w:rsid w:val="006915A7"/>
    <w:rsid w:val="006915DD"/>
    <w:rsid w:val="006915EA"/>
    <w:rsid w:val="00691632"/>
    <w:rsid w:val="006916E8"/>
    <w:rsid w:val="006917BB"/>
    <w:rsid w:val="006917E1"/>
    <w:rsid w:val="006917EE"/>
    <w:rsid w:val="00691825"/>
    <w:rsid w:val="00691853"/>
    <w:rsid w:val="00691874"/>
    <w:rsid w:val="006918CF"/>
    <w:rsid w:val="006918F0"/>
    <w:rsid w:val="00691A8D"/>
    <w:rsid w:val="00691ADA"/>
    <w:rsid w:val="00691AFA"/>
    <w:rsid w:val="00691B69"/>
    <w:rsid w:val="00691C05"/>
    <w:rsid w:val="00691C14"/>
    <w:rsid w:val="00691C35"/>
    <w:rsid w:val="00691C3D"/>
    <w:rsid w:val="00691C83"/>
    <w:rsid w:val="00691C8D"/>
    <w:rsid w:val="00691C94"/>
    <w:rsid w:val="00691CA8"/>
    <w:rsid w:val="00691CB5"/>
    <w:rsid w:val="00691CF3"/>
    <w:rsid w:val="00691D40"/>
    <w:rsid w:val="00691E46"/>
    <w:rsid w:val="00691E7C"/>
    <w:rsid w:val="00691E9E"/>
    <w:rsid w:val="00691F13"/>
    <w:rsid w:val="00691F23"/>
    <w:rsid w:val="00691F32"/>
    <w:rsid w:val="00691F81"/>
    <w:rsid w:val="00691FE2"/>
    <w:rsid w:val="00692015"/>
    <w:rsid w:val="0069206C"/>
    <w:rsid w:val="00692079"/>
    <w:rsid w:val="0069209C"/>
    <w:rsid w:val="0069216C"/>
    <w:rsid w:val="00692188"/>
    <w:rsid w:val="006921F1"/>
    <w:rsid w:val="006921FA"/>
    <w:rsid w:val="0069220C"/>
    <w:rsid w:val="00692249"/>
    <w:rsid w:val="00692262"/>
    <w:rsid w:val="006922C0"/>
    <w:rsid w:val="00692327"/>
    <w:rsid w:val="00692332"/>
    <w:rsid w:val="0069238F"/>
    <w:rsid w:val="006923BE"/>
    <w:rsid w:val="0069247C"/>
    <w:rsid w:val="006924EC"/>
    <w:rsid w:val="006924F0"/>
    <w:rsid w:val="0069250E"/>
    <w:rsid w:val="00692515"/>
    <w:rsid w:val="00692526"/>
    <w:rsid w:val="00692685"/>
    <w:rsid w:val="0069270D"/>
    <w:rsid w:val="006927B1"/>
    <w:rsid w:val="006927FE"/>
    <w:rsid w:val="0069286D"/>
    <w:rsid w:val="00692958"/>
    <w:rsid w:val="00692973"/>
    <w:rsid w:val="00692975"/>
    <w:rsid w:val="006929C4"/>
    <w:rsid w:val="00692A00"/>
    <w:rsid w:val="00692B27"/>
    <w:rsid w:val="00692B29"/>
    <w:rsid w:val="00692B48"/>
    <w:rsid w:val="00692B9C"/>
    <w:rsid w:val="00692C26"/>
    <w:rsid w:val="00692C7D"/>
    <w:rsid w:val="00692D18"/>
    <w:rsid w:val="00692D2C"/>
    <w:rsid w:val="00692D42"/>
    <w:rsid w:val="00692D91"/>
    <w:rsid w:val="00692EAA"/>
    <w:rsid w:val="00692ED9"/>
    <w:rsid w:val="00692F0E"/>
    <w:rsid w:val="00692F3C"/>
    <w:rsid w:val="0069303A"/>
    <w:rsid w:val="006930FC"/>
    <w:rsid w:val="0069311C"/>
    <w:rsid w:val="0069317F"/>
    <w:rsid w:val="0069318E"/>
    <w:rsid w:val="006931DC"/>
    <w:rsid w:val="006932DD"/>
    <w:rsid w:val="006932E0"/>
    <w:rsid w:val="006932F7"/>
    <w:rsid w:val="00693313"/>
    <w:rsid w:val="00693479"/>
    <w:rsid w:val="006934AD"/>
    <w:rsid w:val="006934CB"/>
    <w:rsid w:val="0069353F"/>
    <w:rsid w:val="006935EE"/>
    <w:rsid w:val="00693626"/>
    <w:rsid w:val="00693678"/>
    <w:rsid w:val="006937E9"/>
    <w:rsid w:val="006937FE"/>
    <w:rsid w:val="00693807"/>
    <w:rsid w:val="006938D3"/>
    <w:rsid w:val="00693900"/>
    <w:rsid w:val="00693A1B"/>
    <w:rsid w:val="00693A3B"/>
    <w:rsid w:val="00693A57"/>
    <w:rsid w:val="00693A7A"/>
    <w:rsid w:val="00693AA5"/>
    <w:rsid w:val="00693B6A"/>
    <w:rsid w:val="00693BA4"/>
    <w:rsid w:val="00693BBB"/>
    <w:rsid w:val="00693C1F"/>
    <w:rsid w:val="00693CB6"/>
    <w:rsid w:val="00693D01"/>
    <w:rsid w:val="00693D0F"/>
    <w:rsid w:val="00693D62"/>
    <w:rsid w:val="00693E08"/>
    <w:rsid w:val="00693F78"/>
    <w:rsid w:val="00693FF3"/>
    <w:rsid w:val="00694013"/>
    <w:rsid w:val="00694015"/>
    <w:rsid w:val="00694018"/>
    <w:rsid w:val="00694032"/>
    <w:rsid w:val="00694078"/>
    <w:rsid w:val="0069407B"/>
    <w:rsid w:val="00694085"/>
    <w:rsid w:val="00694108"/>
    <w:rsid w:val="0069419E"/>
    <w:rsid w:val="006941E1"/>
    <w:rsid w:val="0069424D"/>
    <w:rsid w:val="00694255"/>
    <w:rsid w:val="00694269"/>
    <w:rsid w:val="00694275"/>
    <w:rsid w:val="0069427D"/>
    <w:rsid w:val="00694348"/>
    <w:rsid w:val="00694351"/>
    <w:rsid w:val="006943A4"/>
    <w:rsid w:val="00694418"/>
    <w:rsid w:val="0069445A"/>
    <w:rsid w:val="0069448B"/>
    <w:rsid w:val="00694522"/>
    <w:rsid w:val="0069453E"/>
    <w:rsid w:val="00694549"/>
    <w:rsid w:val="006945E6"/>
    <w:rsid w:val="00694643"/>
    <w:rsid w:val="00694655"/>
    <w:rsid w:val="006946D9"/>
    <w:rsid w:val="006947D1"/>
    <w:rsid w:val="0069482E"/>
    <w:rsid w:val="006948D1"/>
    <w:rsid w:val="006948F7"/>
    <w:rsid w:val="0069497A"/>
    <w:rsid w:val="006949D2"/>
    <w:rsid w:val="006949F8"/>
    <w:rsid w:val="00694A3A"/>
    <w:rsid w:val="00694A74"/>
    <w:rsid w:val="00694AF3"/>
    <w:rsid w:val="00694B05"/>
    <w:rsid w:val="00694B4F"/>
    <w:rsid w:val="00694B54"/>
    <w:rsid w:val="00694BA4"/>
    <w:rsid w:val="00694BC0"/>
    <w:rsid w:val="00694C83"/>
    <w:rsid w:val="00694CE4"/>
    <w:rsid w:val="00694E10"/>
    <w:rsid w:val="00694E2E"/>
    <w:rsid w:val="00694E75"/>
    <w:rsid w:val="00694E9C"/>
    <w:rsid w:val="00694E9F"/>
    <w:rsid w:val="00694EE5"/>
    <w:rsid w:val="00694F6E"/>
    <w:rsid w:val="00694FD9"/>
    <w:rsid w:val="0069507C"/>
    <w:rsid w:val="00695105"/>
    <w:rsid w:val="00695167"/>
    <w:rsid w:val="006951FC"/>
    <w:rsid w:val="00695298"/>
    <w:rsid w:val="006952EA"/>
    <w:rsid w:val="00695347"/>
    <w:rsid w:val="006953A0"/>
    <w:rsid w:val="006953D4"/>
    <w:rsid w:val="006953E2"/>
    <w:rsid w:val="00695413"/>
    <w:rsid w:val="00695461"/>
    <w:rsid w:val="00695466"/>
    <w:rsid w:val="00695473"/>
    <w:rsid w:val="006954A3"/>
    <w:rsid w:val="00695503"/>
    <w:rsid w:val="00695525"/>
    <w:rsid w:val="006955C7"/>
    <w:rsid w:val="006955D6"/>
    <w:rsid w:val="006955E0"/>
    <w:rsid w:val="0069560B"/>
    <w:rsid w:val="006958B2"/>
    <w:rsid w:val="0069591A"/>
    <w:rsid w:val="00695936"/>
    <w:rsid w:val="00695964"/>
    <w:rsid w:val="0069599F"/>
    <w:rsid w:val="006959A2"/>
    <w:rsid w:val="006959B4"/>
    <w:rsid w:val="006959B6"/>
    <w:rsid w:val="006959F7"/>
    <w:rsid w:val="00695A76"/>
    <w:rsid w:val="00695A8C"/>
    <w:rsid w:val="00695AA7"/>
    <w:rsid w:val="00695C03"/>
    <w:rsid w:val="00695C22"/>
    <w:rsid w:val="00695D54"/>
    <w:rsid w:val="00695D7E"/>
    <w:rsid w:val="00695DAE"/>
    <w:rsid w:val="00695DD0"/>
    <w:rsid w:val="00695E23"/>
    <w:rsid w:val="00695E28"/>
    <w:rsid w:val="00695E44"/>
    <w:rsid w:val="00695F6B"/>
    <w:rsid w:val="00695FA5"/>
    <w:rsid w:val="00695FF5"/>
    <w:rsid w:val="00695FFD"/>
    <w:rsid w:val="0069605D"/>
    <w:rsid w:val="006960B5"/>
    <w:rsid w:val="006961E6"/>
    <w:rsid w:val="0069620F"/>
    <w:rsid w:val="0069629F"/>
    <w:rsid w:val="006962A7"/>
    <w:rsid w:val="00696334"/>
    <w:rsid w:val="00696339"/>
    <w:rsid w:val="0069638D"/>
    <w:rsid w:val="006963AE"/>
    <w:rsid w:val="006963D1"/>
    <w:rsid w:val="006963E5"/>
    <w:rsid w:val="00696498"/>
    <w:rsid w:val="006964FD"/>
    <w:rsid w:val="0069660C"/>
    <w:rsid w:val="00696688"/>
    <w:rsid w:val="006966F6"/>
    <w:rsid w:val="0069674E"/>
    <w:rsid w:val="00696768"/>
    <w:rsid w:val="0069683C"/>
    <w:rsid w:val="006968A4"/>
    <w:rsid w:val="00696986"/>
    <w:rsid w:val="006969B7"/>
    <w:rsid w:val="006969D8"/>
    <w:rsid w:val="006969EC"/>
    <w:rsid w:val="00696A47"/>
    <w:rsid w:val="00696A86"/>
    <w:rsid w:val="00696ABA"/>
    <w:rsid w:val="00696AD4"/>
    <w:rsid w:val="00696B05"/>
    <w:rsid w:val="00696B48"/>
    <w:rsid w:val="00696B83"/>
    <w:rsid w:val="00696BF1"/>
    <w:rsid w:val="00696C03"/>
    <w:rsid w:val="00696C1D"/>
    <w:rsid w:val="00696C6B"/>
    <w:rsid w:val="00696CB0"/>
    <w:rsid w:val="00696CDC"/>
    <w:rsid w:val="00696D1D"/>
    <w:rsid w:val="00696D29"/>
    <w:rsid w:val="00696D2C"/>
    <w:rsid w:val="00696D89"/>
    <w:rsid w:val="00696FD0"/>
    <w:rsid w:val="00696FE1"/>
    <w:rsid w:val="00697077"/>
    <w:rsid w:val="006970C3"/>
    <w:rsid w:val="00697120"/>
    <w:rsid w:val="0069712D"/>
    <w:rsid w:val="00697172"/>
    <w:rsid w:val="0069727C"/>
    <w:rsid w:val="00697417"/>
    <w:rsid w:val="006974BB"/>
    <w:rsid w:val="00697540"/>
    <w:rsid w:val="00697545"/>
    <w:rsid w:val="00697551"/>
    <w:rsid w:val="0069756C"/>
    <w:rsid w:val="00697634"/>
    <w:rsid w:val="00697658"/>
    <w:rsid w:val="006976DA"/>
    <w:rsid w:val="006976DD"/>
    <w:rsid w:val="006978AA"/>
    <w:rsid w:val="006978E7"/>
    <w:rsid w:val="00697909"/>
    <w:rsid w:val="00697944"/>
    <w:rsid w:val="00697980"/>
    <w:rsid w:val="006979ED"/>
    <w:rsid w:val="006979F2"/>
    <w:rsid w:val="00697A01"/>
    <w:rsid w:val="00697AA3"/>
    <w:rsid w:val="00697AE6"/>
    <w:rsid w:val="00697AF2"/>
    <w:rsid w:val="00697B05"/>
    <w:rsid w:val="00697C14"/>
    <w:rsid w:val="00697C55"/>
    <w:rsid w:val="00697C8A"/>
    <w:rsid w:val="00697C97"/>
    <w:rsid w:val="00697CCC"/>
    <w:rsid w:val="00697D1B"/>
    <w:rsid w:val="00697D51"/>
    <w:rsid w:val="00697D92"/>
    <w:rsid w:val="00697DB2"/>
    <w:rsid w:val="00697DC3"/>
    <w:rsid w:val="00697E1D"/>
    <w:rsid w:val="00697E3E"/>
    <w:rsid w:val="00697E7E"/>
    <w:rsid w:val="00697E83"/>
    <w:rsid w:val="00697EB9"/>
    <w:rsid w:val="00697ED9"/>
    <w:rsid w:val="00697EF1"/>
    <w:rsid w:val="00697F0B"/>
    <w:rsid w:val="00697F7E"/>
    <w:rsid w:val="00697F80"/>
    <w:rsid w:val="00697F82"/>
    <w:rsid w:val="00697FD7"/>
    <w:rsid w:val="00697FEE"/>
    <w:rsid w:val="006A0123"/>
    <w:rsid w:val="006A013B"/>
    <w:rsid w:val="006A0156"/>
    <w:rsid w:val="006A01DE"/>
    <w:rsid w:val="006A0207"/>
    <w:rsid w:val="006A0219"/>
    <w:rsid w:val="006A02BC"/>
    <w:rsid w:val="006A0329"/>
    <w:rsid w:val="006A03E6"/>
    <w:rsid w:val="006A03E7"/>
    <w:rsid w:val="006A03FC"/>
    <w:rsid w:val="006A042E"/>
    <w:rsid w:val="006A04A5"/>
    <w:rsid w:val="006A04FF"/>
    <w:rsid w:val="006A0534"/>
    <w:rsid w:val="006A05AE"/>
    <w:rsid w:val="006A05E9"/>
    <w:rsid w:val="006A06CB"/>
    <w:rsid w:val="006A0706"/>
    <w:rsid w:val="006A07F1"/>
    <w:rsid w:val="006A0807"/>
    <w:rsid w:val="006A087C"/>
    <w:rsid w:val="006A08F3"/>
    <w:rsid w:val="006A0961"/>
    <w:rsid w:val="006A0974"/>
    <w:rsid w:val="006A098D"/>
    <w:rsid w:val="006A09CF"/>
    <w:rsid w:val="006A0A35"/>
    <w:rsid w:val="006A0A85"/>
    <w:rsid w:val="006A0AD3"/>
    <w:rsid w:val="006A0B3D"/>
    <w:rsid w:val="006A0BE4"/>
    <w:rsid w:val="006A0C31"/>
    <w:rsid w:val="006A0CA6"/>
    <w:rsid w:val="006A0D13"/>
    <w:rsid w:val="006A0D8A"/>
    <w:rsid w:val="006A0DB9"/>
    <w:rsid w:val="006A0E55"/>
    <w:rsid w:val="006A0E7F"/>
    <w:rsid w:val="006A0F77"/>
    <w:rsid w:val="006A0F86"/>
    <w:rsid w:val="006A0FC5"/>
    <w:rsid w:val="006A0FDA"/>
    <w:rsid w:val="006A1082"/>
    <w:rsid w:val="006A10A0"/>
    <w:rsid w:val="006A10D3"/>
    <w:rsid w:val="006A117C"/>
    <w:rsid w:val="006A118D"/>
    <w:rsid w:val="006A123A"/>
    <w:rsid w:val="006A124D"/>
    <w:rsid w:val="006A1255"/>
    <w:rsid w:val="006A1280"/>
    <w:rsid w:val="006A131A"/>
    <w:rsid w:val="006A1332"/>
    <w:rsid w:val="006A1339"/>
    <w:rsid w:val="006A1355"/>
    <w:rsid w:val="006A135A"/>
    <w:rsid w:val="006A1367"/>
    <w:rsid w:val="006A1369"/>
    <w:rsid w:val="006A13C0"/>
    <w:rsid w:val="006A13C1"/>
    <w:rsid w:val="006A13F3"/>
    <w:rsid w:val="006A1406"/>
    <w:rsid w:val="006A14C7"/>
    <w:rsid w:val="006A14C8"/>
    <w:rsid w:val="006A153B"/>
    <w:rsid w:val="006A1578"/>
    <w:rsid w:val="006A15E9"/>
    <w:rsid w:val="006A16DC"/>
    <w:rsid w:val="006A16F1"/>
    <w:rsid w:val="006A172E"/>
    <w:rsid w:val="006A1733"/>
    <w:rsid w:val="006A1740"/>
    <w:rsid w:val="006A1747"/>
    <w:rsid w:val="006A1784"/>
    <w:rsid w:val="006A17A3"/>
    <w:rsid w:val="006A17AD"/>
    <w:rsid w:val="006A17B0"/>
    <w:rsid w:val="006A17EB"/>
    <w:rsid w:val="006A182E"/>
    <w:rsid w:val="006A183D"/>
    <w:rsid w:val="006A1855"/>
    <w:rsid w:val="006A1882"/>
    <w:rsid w:val="006A18A6"/>
    <w:rsid w:val="006A18F0"/>
    <w:rsid w:val="006A1960"/>
    <w:rsid w:val="006A19ED"/>
    <w:rsid w:val="006A1A81"/>
    <w:rsid w:val="006A1A98"/>
    <w:rsid w:val="006A1AD5"/>
    <w:rsid w:val="006A1B2C"/>
    <w:rsid w:val="006A1B2D"/>
    <w:rsid w:val="006A1B36"/>
    <w:rsid w:val="006A1B9E"/>
    <w:rsid w:val="006A1BD3"/>
    <w:rsid w:val="006A1BDF"/>
    <w:rsid w:val="006A1BF7"/>
    <w:rsid w:val="006A1C63"/>
    <w:rsid w:val="006A1C84"/>
    <w:rsid w:val="006A1CB4"/>
    <w:rsid w:val="006A1CEF"/>
    <w:rsid w:val="006A1D08"/>
    <w:rsid w:val="006A1D27"/>
    <w:rsid w:val="006A1D82"/>
    <w:rsid w:val="006A1DEC"/>
    <w:rsid w:val="006A1E25"/>
    <w:rsid w:val="006A1E2A"/>
    <w:rsid w:val="006A1E6C"/>
    <w:rsid w:val="006A1E6D"/>
    <w:rsid w:val="006A1F20"/>
    <w:rsid w:val="006A1FC5"/>
    <w:rsid w:val="006A2052"/>
    <w:rsid w:val="006A20A1"/>
    <w:rsid w:val="006A20A3"/>
    <w:rsid w:val="006A20C3"/>
    <w:rsid w:val="006A20C4"/>
    <w:rsid w:val="006A20E3"/>
    <w:rsid w:val="006A217D"/>
    <w:rsid w:val="006A21D4"/>
    <w:rsid w:val="006A22A7"/>
    <w:rsid w:val="006A2354"/>
    <w:rsid w:val="006A236A"/>
    <w:rsid w:val="006A23AC"/>
    <w:rsid w:val="006A23BE"/>
    <w:rsid w:val="006A23CE"/>
    <w:rsid w:val="006A23F6"/>
    <w:rsid w:val="006A24D8"/>
    <w:rsid w:val="006A24E0"/>
    <w:rsid w:val="006A250D"/>
    <w:rsid w:val="006A2596"/>
    <w:rsid w:val="006A25B2"/>
    <w:rsid w:val="006A270D"/>
    <w:rsid w:val="006A270F"/>
    <w:rsid w:val="006A2726"/>
    <w:rsid w:val="006A272F"/>
    <w:rsid w:val="006A273A"/>
    <w:rsid w:val="006A274F"/>
    <w:rsid w:val="006A275C"/>
    <w:rsid w:val="006A27E1"/>
    <w:rsid w:val="006A283A"/>
    <w:rsid w:val="006A284B"/>
    <w:rsid w:val="006A285B"/>
    <w:rsid w:val="006A2894"/>
    <w:rsid w:val="006A2898"/>
    <w:rsid w:val="006A28C8"/>
    <w:rsid w:val="006A2937"/>
    <w:rsid w:val="006A293F"/>
    <w:rsid w:val="006A29A8"/>
    <w:rsid w:val="006A29C7"/>
    <w:rsid w:val="006A2AC0"/>
    <w:rsid w:val="006A2AE9"/>
    <w:rsid w:val="006A2B15"/>
    <w:rsid w:val="006A2B53"/>
    <w:rsid w:val="006A2B56"/>
    <w:rsid w:val="006A2BA5"/>
    <w:rsid w:val="006A2BB7"/>
    <w:rsid w:val="006A2C4C"/>
    <w:rsid w:val="006A2C59"/>
    <w:rsid w:val="006A2D83"/>
    <w:rsid w:val="006A2DCB"/>
    <w:rsid w:val="006A2DDC"/>
    <w:rsid w:val="006A2DF6"/>
    <w:rsid w:val="006A2F87"/>
    <w:rsid w:val="006A2FC2"/>
    <w:rsid w:val="006A2FD1"/>
    <w:rsid w:val="006A2FDE"/>
    <w:rsid w:val="006A302D"/>
    <w:rsid w:val="006A3054"/>
    <w:rsid w:val="006A3170"/>
    <w:rsid w:val="006A31BB"/>
    <w:rsid w:val="006A321B"/>
    <w:rsid w:val="006A3254"/>
    <w:rsid w:val="006A329E"/>
    <w:rsid w:val="006A32BC"/>
    <w:rsid w:val="006A32E5"/>
    <w:rsid w:val="006A32F0"/>
    <w:rsid w:val="006A3435"/>
    <w:rsid w:val="006A3482"/>
    <w:rsid w:val="006A34A5"/>
    <w:rsid w:val="006A353F"/>
    <w:rsid w:val="006A355B"/>
    <w:rsid w:val="006A355E"/>
    <w:rsid w:val="006A35AB"/>
    <w:rsid w:val="006A360B"/>
    <w:rsid w:val="006A368A"/>
    <w:rsid w:val="006A36BF"/>
    <w:rsid w:val="006A36F1"/>
    <w:rsid w:val="006A3710"/>
    <w:rsid w:val="006A3747"/>
    <w:rsid w:val="006A37A3"/>
    <w:rsid w:val="006A37B5"/>
    <w:rsid w:val="006A37EB"/>
    <w:rsid w:val="006A3836"/>
    <w:rsid w:val="006A3870"/>
    <w:rsid w:val="006A3898"/>
    <w:rsid w:val="006A3A33"/>
    <w:rsid w:val="006A3A3A"/>
    <w:rsid w:val="006A3AA8"/>
    <w:rsid w:val="006A3AD1"/>
    <w:rsid w:val="006A3BCE"/>
    <w:rsid w:val="006A3C02"/>
    <w:rsid w:val="006A3C4D"/>
    <w:rsid w:val="006A3CBD"/>
    <w:rsid w:val="006A3D22"/>
    <w:rsid w:val="006A3DFB"/>
    <w:rsid w:val="006A3E15"/>
    <w:rsid w:val="006A3EC5"/>
    <w:rsid w:val="006A3EDB"/>
    <w:rsid w:val="006A3F13"/>
    <w:rsid w:val="006A3F34"/>
    <w:rsid w:val="006A3F83"/>
    <w:rsid w:val="006A3FAC"/>
    <w:rsid w:val="006A402B"/>
    <w:rsid w:val="006A4051"/>
    <w:rsid w:val="006A4062"/>
    <w:rsid w:val="006A4067"/>
    <w:rsid w:val="006A4072"/>
    <w:rsid w:val="006A40DB"/>
    <w:rsid w:val="006A40EF"/>
    <w:rsid w:val="006A40F4"/>
    <w:rsid w:val="006A4155"/>
    <w:rsid w:val="006A4157"/>
    <w:rsid w:val="006A41C1"/>
    <w:rsid w:val="006A41CA"/>
    <w:rsid w:val="006A41FD"/>
    <w:rsid w:val="006A4259"/>
    <w:rsid w:val="006A4273"/>
    <w:rsid w:val="006A4333"/>
    <w:rsid w:val="006A435E"/>
    <w:rsid w:val="006A43AC"/>
    <w:rsid w:val="006A43B4"/>
    <w:rsid w:val="006A44BE"/>
    <w:rsid w:val="006A44C2"/>
    <w:rsid w:val="006A44F9"/>
    <w:rsid w:val="006A4541"/>
    <w:rsid w:val="006A4548"/>
    <w:rsid w:val="006A454F"/>
    <w:rsid w:val="006A457E"/>
    <w:rsid w:val="006A45E1"/>
    <w:rsid w:val="006A460E"/>
    <w:rsid w:val="006A4699"/>
    <w:rsid w:val="006A46F0"/>
    <w:rsid w:val="006A4752"/>
    <w:rsid w:val="006A47CE"/>
    <w:rsid w:val="006A47D3"/>
    <w:rsid w:val="006A47F0"/>
    <w:rsid w:val="006A47F8"/>
    <w:rsid w:val="006A481B"/>
    <w:rsid w:val="006A48B0"/>
    <w:rsid w:val="006A48FF"/>
    <w:rsid w:val="006A4938"/>
    <w:rsid w:val="006A494E"/>
    <w:rsid w:val="006A4A52"/>
    <w:rsid w:val="006A4AD9"/>
    <w:rsid w:val="006A4B5B"/>
    <w:rsid w:val="006A4B70"/>
    <w:rsid w:val="006A4BB8"/>
    <w:rsid w:val="006A4C8F"/>
    <w:rsid w:val="006A4C99"/>
    <w:rsid w:val="006A4DA2"/>
    <w:rsid w:val="006A4DB1"/>
    <w:rsid w:val="006A4DD3"/>
    <w:rsid w:val="006A4DD4"/>
    <w:rsid w:val="006A4E30"/>
    <w:rsid w:val="006A4EEB"/>
    <w:rsid w:val="006A4EEE"/>
    <w:rsid w:val="006A5064"/>
    <w:rsid w:val="006A5085"/>
    <w:rsid w:val="006A50BB"/>
    <w:rsid w:val="006A518E"/>
    <w:rsid w:val="006A51D0"/>
    <w:rsid w:val="006A5205"/>
    <w:rsid w:val="006A5249"/>
    <w:rsid w:val="006A5274"/>
    <w:rsid w:val="006A530C"/>
    <w:rsid w:val="006A533C"/>
    <w:rsid w:val="006A533E"/>
    <w:rsid w:val="006A5382"/>
    <w:rsid w:val="006A53CB"/>
    <w:rsid w:val="006A53D0"/>
    <w:rsid w:val="006A549F"/>
    <w:rsid w:val="006A54CD"/>
    <w:rsid w:val="006A54E0"/>
    <w:rsid w:val="006A54E9"/>
    <w:rsid w:val="006A550F"/>
    <w:rsid w:val="006A5533"/>
    <w:rsid w:val="006A5618"/>
    <w:rsid w:val="006A56A1"/>
    <w:rsid w:val="006A56CD"/>
    <w:rsid w:val="006A56EE"/>
    <w:rsid w:val="006A56F4"/>
    <w:rsid w:val="006A573A"/>
    <w:rsid w:val="006A5873"/>
    <w:rsid w:val="006A58B0"/>
    <w:rsid w:val="006A58E9"/>
    <w:rsid w:val="006A5913"/>
    <w:rsid w:val="006A5921"/>
    <w:rsid w:val="006A5958"/>
    <w:rsid w:val="006A5983"/>
    <w:rsid w:val="006A5A1C"/>
    <w:rsid w:val="006A5A33"/>
    <w:rsid w:val="006A5A64"/>
    <w:rsid w:val="006A5B3C"/>
    <w:rsid w:val="006A5B68"/>
    <w:rsid w:val="006A5B6A"/>
    <w:rsid w:val="006A5BA0"/>
    <w:rsid w:val="006A5BC2"/>
    <w:rsid w:val="006A5BCF"/>
    <w:rsid w:val="006A5C10"/>
    <w:rsid w:val="006A5C36"/>
    <w:rsid w:val="006A5CE1"/>
    <w:rsid w:val="006A5D21"/>
    <w:rsid w:val="006A5DF6"/>
    <w:rsid w:val="006A5E65"/>
    <w:rsid w:val="006A5F39"/>
    <w:rsid w:val="006A5F56"/>
    <w:rsid w:val="006A5FE5"/>
    <w:rsid w:val="006A5FEB"/>
    <w:rsid w:val="006A5FEF"/>
    <w:rsid w:val="006A602C"/>
    <w:rsid w:val="006A604E"/>
    <w:rsid w:val="006A6056"/>
    <w:rsid w:val="006A60D7"/>
    <w:rsid w:val="006A619E"/>
    <w:rsid w:val="006A61A5"/>
    <w:rsid w:val="006A61C1"/>
    <w:rsid w:val="006A61CA"/>
    <w:rsid w:val="006A6219"/>
    <w:rsid w:val="006A625B"/>
    <w:rsid w:val="006A6273"/>
    <w:rsid w:val="006A62A9"/>
    <w:rsid w:val="006A62C9"/>
    <w:rsid w:val="006A62EE"/>
    <w:rsid w:val="006A6324"/>
    <w:rsid w:val="006A635C"/>
    <w:rsid w:val="006A63A1"/>
    <w:rsid w:val="006A6485"/>
    <w:rsid w:val="006A64DF"/>
    <w:rsid w:val="006A64EF"/>
    <w:rsid w:val="006A6523"/>
    <w:rsid w:val="006A657E"/>
    <w:rsid w:val="006A65A6"/>
    <w:rsid w:val="006A65CA"/>
    <w:rsid w:val="006A65CD"/>
    <w:rsid w:val="006A6650"/>
    <w:rsid w:val="006A66AC"/>
    <w:rsid w:val="006A66C9"/>
    <w:rsid w:val="006A67B5"/>
    <w:rsid w:val="006A67DF"/>
    <w:rsid w:val="006A67FB"/>
    <w:rsid w:val="006A68D7"/>
    <w:rsid w:val="006A6994"/>
    <w:rsid w:val="006A6995"/>
    <w:rsid w:val="006A69AB"/>
    <w:rsid w:val="006A6A14"/>
    <w:rsid w:val="006A6A56"/>
    <w:rsid w:val="006A6A87"/>
    <w:rsid w:val="006A6AEF"/>
    <w:rsid w:val="006A6BD9"/>
    <w:rsid w:val="006A6C3B"/>
    <w:rsid w:val="006A6CDB"/>
    <w:rsid w:val="006A6D02"/>
    <w:rsid w:val="006A6D86"/>
    <w:rsid w:val="006A6D89"/>
    <w:rsid w:val="006A6E01"/>
    <w:rsid w:val="006A6EE1"/>
    <w:rsid w:val="006A6F01"/>
    <w:rsid w:val="006A6F25"/>
    <w:rsid w:val="006A6F2B"/>
    <w:rsid w:val="006A6F69"/>
    <w:rsid w:val="006A6FE2"/>
    <w:rsid w:val="006A711B"/>
    <w:rsid w:val="006A711D"/>
    <w:rsid w:val="006A7137"/>
    <w:rsid w:val="006A7174"/>
    <w:rsid w:val="006A7187"/>
    <w:rsid w:val="006A72FE"/>
    <w:rsid w:val="006A732F"/>
    <w:rsid w:val="006A738E"/>
    <w:rsid w:val="006A73DD"/>
    <w:rsid w:val="006A7447"/>
    <w:rsid w:val="006A7491"/>
    <w:rsid w:val="006A763C"/>
    <w:rsid w:val="006A76C9"/>
    <w:rsid w:val="006A76E4"/>
    <w:rsid w:val="006A7713"/>
    <w:rsid w:val="006A7758"/>
    <w:rsid w:val="006A777D"/>
    <w:rsid w:val="006A7802"/>
    <w:rsid w:val="006A7884"/>
    <w:rsid w:val="006A78E2"/>
    <w:rsid w:val="006A78F8"/>
    <w:rsid w:val="006A7911"/>
    <w:rsid w:val="006A796C"/>
    <w:rsid w:val="006A79AF"/>
    <w:rsid w:val="006A79B2"/>
    <w:rsid w:val="006A79D9"/>
    <w:rsid w:val="006A79EB"/>
    <w:rsid w:val="006A7A3F"/>
    <w:rsid w:val="006A7AB4"/>
    <w:rsid w:val="006A7ABB"/>
    <w:rsid w:val="006A7B23"/>
    <w:rsid w:val="006A7B38"/>
    <w:rsid w:val="006A7B6E"/>
    <w:rsid w:val="006A7B80"/>
    <w:rsid w:val="006A7BB8"/>
    <w:rsid w:val="006A7BC9"/>
    <w:rsid w:val="006A7C01"/>
    <w:rsid w:val="006A7CBE"/>
    <w:rsid w:val="006A7E10"/>
    <w:rsid w:val="006A7E4D"/>
    <w:rsid w:val="006A7E99"/>
    <w:rsid w:val="006A7EF8"/>
    <w:rsid w:val="006B0004"/>
    <w:rsid w:val="006B0035"/>
    <w:rsid w:val="006B00FF"/>
    <w:rsid w:val="006B013A"/>
    <w:rsid w:val="006B014E"/>
    <w:rsid w:val="006B01A6"/>
    <w:rsid w:val="006B01B3"/>
    <w:rsid w:val="006B01DA"/>
    <w:rsid w:val="006B01E1"/>
    <w:rsid w:val="006B020E"/>
    <w:rsid w:val="006B0316"/>
    <w:rsid w:val="006B0367"/>
    <w:rsid w:val="006B039F"/>
    <w:rsid w:val="006B03BA"/>
    <w:rsid w:val="006B03BF"/>
    <w:rsid w:val="006B03F7"/>
    <w:rsid w:val="006B0471"/>
    <w:rsid w:val="006B0495"/>
    <w:rsid w:val="006B0528"/>
    <w:rsid w:val="006B05EF"/>
    <w:rsid w:val="006B061A"/>
    <w:rsid w:val="006B0668"/>
    <w:rsid w:val="006B067E"/>
    <w:rsid w:val="006B076C"/>
    <w:rsid w:val="006B0800"/>
    <w:rsid w:val="006B0853"/>
    <w:rsid w:val="006B0858"/>
    <w:rsid w:val="006B08E3"/>
    <w:rsid w:val="006B08F1"/>
    <w:rsid w:val="006B0900"/>
    <w:rsid w:val="006B0995"/>
    <w:rsid w:val="006B09D2"/>
    <w:rsid w:val="006B0A3F"/>
    <w:rsid w:val="006B0AFD"/>
    <w:rsid w:val="006B0B79"/>
    <w:rsid w:val="006B0C7B"/>
    <w:rsid w:val="006B0CBF"/>
    <w:rsid w:val="006B0CC5"/>
    <w:rsid w:val="006B0CE3"/>
    <w:rsid w:val="006B0D6A"/>
    <w:rsid w:val="006B0D79"/>
    <w:rsid w:val="006B0D98"/>
    <w:rsid w:val="006B0DF9"/>
    <w:rsid w:val="006B0E68"/>
    <w:rsid w:val="006B0E95"/>
    <w:rsid w:val="006B0EA3"/>
    <w:rsid w:val="006B0F6E"/>
    <w:rsid w:val="006B0FE6"/>
    <w:rsid w:val="006B1053"/>
    <w:rsid w:val="006B107C"/>
    <w:rsid w:val="006B10CA"/>
    <w:rsid w:val="006B115C"/>
    <w:rsid w:val="006B117A"/>
    <w:rsid w:val="006B11F8"/>
    <w:rsid w:val="006B12CB"/>
    <w:rsid w:val="006B1317"/>
    <w:rsid w:val="006B135B"/>
    <w:rsid w:val="006B138A"/>
    <w:rsid w:val="006B13A4"/>
    <w:rsid w:val="006B13CA"/>
    <w:rsid w:val="006B148B"/>
    <w:rsid w:val="006B14A2"/>
    <w:rsid w:val="006B1519"/>
    <w:rsid w:val="006B1541"/>
    <w:rsid w:val="006B1614"/>
    <w:rsid w:val="006B164C"/>
    <w:rsid w:val="006B1675"/>
    <w:rsid w:val="006B16A3"/>
    <w:rsid w:val="006B1780"/>
    <w:rsid w:val="006B17DA"/>
    <w:rsid w:val="006B1822"/>
    <w:rsid w:val="006B1844"/>
    <w:rsid w:val="006B18AF"/>
    <w:rsid w:val="006B18C6"/>
    <w:rsid w:val="006B1993"/>
    <w:rsid w:val="006B19DF"/>
    <w:rsid w:val="006B19F3"/>
    <w:rsid w:val="006B1A5A"/>
    <w:rsid w:val="006B1B38"/>
    <w:rsid w:val="006B1BA1"/>
    <w:rsid w:val="006B1C46"/>
    <w:rsid w:val="006B1C50"/>
    <w:rsid w:val="006B1D6D"/>
    <w:rsid w:val="006B1D96"/>
    <w:rsid w:val="006B1D9B"/>
    <w:rsid w:val="006B1DA3"/>
    <w:rsid w:val="006B1EC8"/>
    <w:rsid w:val="006B1EE7"/>
    <w:rsid w:val="006B2077"/>
    <w:rsid w:val="006B208F"/>
    <w:rsid w:val="006B20A2"/>
    <w:rsid w:val="006B20DB"/>
    <w:rsid w:val="006B2122"/>
    <w:rsid w:val="006B212A"/>
    <w:rsid w:val="006B2275"/>
    <w:rsid w:val="006B2297"/>
    <w:rsid w:val="006B2331"/>
    <w:rsid w:val="006B2333"/>
    <w:rsid w:val="006B236E"/>
    <w:rsid w:val="006B23A3"/>
    <w:rsid w:val="006B23D7"/>
    <w:rsid w:val="006B23F5"/>
    <w:rsid w:val="006B23FA"/>
    <w:rsid w:val="006B2419"/>
    <w:rsid w:val="006B24D5"/>
    <w:rsid w:val="006B2536"/>
    <w:rsid w:val="006B258E"/>
    <w:rsid w:val="006B25C0"/>
    <w:rsid w:val="006B25E0"/>
    <w:rsid w:val="006B2633"/>
    <w:rsid w:val="006B26C3"/>
    <w:rsid w:val="006B26E1"/>
    <w:rsid w:val="006B278A"/>
    <w:rsid w:val="006B2814"/>
    <w:rsid w:val="006B2865"/>
    <w:rsid w:val="006B28FC"/>
    <w:rsid w:val="006B2933"/>
    <w:rsid w:val="006B2957"/>
    <w:rsid w:val="006B29AF"/>
    <w:rsid w:val="006B2A4C"/>
    <w:rsid w:val="006B2A74"/>
    <w:rsid w:val="006B2AEA"/>
    <w:rsid w:val="006B2B04"/>
    <w:rsid w:val="006B2B81"/>
    <w:rsid w:val="006B2B95"/>
    <w:rsid w:val="006B2BA5"/>
    <w:rsid w:val="006B2BDD"/>
    <w:rsid w:val="006B2BFF"/>
    <w:rsid w:val="006B2D0C"/>
    <w:rsid w:val="006B2D29"/>
    <w:rsid w:val="006B2D9F"/>
    <w:rsid w:val="006B2E1B"/>
    <w:rsid w:val="006B2E31"/>
    <w:rsid w:val="006B2F18"/>
    <w:rsid w:val="006B300B"/>
    <w:rsid w:val="006B3090"/>
    <w:rsid w:val="006B3095"/>
    <w:rsid w:val="006B309A"/>
    <w:rsid w:val="006B30C2"/>
    <w:rsid w:val="006B30F8"/>
    <w:rsid w:val="006B30FC"/>
    <w:rsid w:val="006B3286"/>
    <w:rsid w:val="006B32C5"/>
    <w:rsid w:val="006B32DA"/>
    <w:rsid w:val="006B3400"/>
    <w:rsid w:val="006B3464"/>
    <w:rsid w:val="006B34B9"/>
    <w:rsid w:val="006B3510"/>
    <w:rsid w:val="006B3542"/>
    <w:rsid w:val="006B3562"/>
    <w:rsid w:val="006B36EE"/>
    <w:rsid w:val="006B3720"/>
    <w:rsid w:val="006B37DC"/>
    <w:rsid w:val="006B37EE"/>
    <w:rsid w:val="006B37F0"/>
    <w:rsid w:val="006B38DA"/>
    <w:rsid w:val="006B38E7"/>
    <w:rsid w:val="006B3ABD"/>
    <w:rsid w:val="006B3B04"/>
    <w:rsid w:val="006B3B23"/>
    <w:rsid w:val="006B3B2C"/>
    <w:rsid w:val="006B3B62"/>
    <w:rsid w:val="006B3B63"/>
    <w:rsid w:val="006B3B82"/>
    <w:rsid w:val="006B3B83"/>
    <w:rsid w:val="006B3B91"/>
    <w:rsid w:val="006B3C23"/>
    <w:rsid w:val="006B3D6C"/>
    <w:rsid w:val="006B3DD7"/>
    <w:rsid w:val="006B3E12"/>
    <w:rsid w:val="006B3E64"/>
    <w:rsid w:val="006B3E79"/>
    <w:rsid w:val="006B3E93"/>
    <w:rsid w:val="006B3F50"/>
    <w:rsid w:val="006B4059"/>
    <w:rsid w:val="006B4090"/>
    <w:rsid w:val="006B41B0"/>
    <w:rsid w:val="006B41CF"/>
    <w:rsid w:val="006B427B"/>
    <w:rsid w:val="006B434B"/>
    <w:rsid w:val="006B435D"/>
    <w:rsid w:val="006B437A"/>
    <w:rsid w:val="006B4385"/>
    <w:rsid w:val="006B43A8"/>
    <w:rsid w:val="006B4423"/>
    <w:rsid w:val="006B4436"/>
    <w:rsid w:val="006B443C"/>
    <w:rsid w:val="006B444C"/>
    <w:rsid w:val="006B4455"/>
    <w:rsid w:val="006B4632"/>
    <w:rsid w:val="006B46DD"/>
    <w:rsid w:val="006B484C"/>
    <w:rsid w:val="006B48BB"/>
    <w:rsid w:val="006B48D2"/>
    <w:rsid w:val="006B4B15"/>
    <w:rsid w:val="006B4C14"/>
    <w:rsid w:val="006B4C19"/>
    <w:rsid w:val="006B4C56"/>
    <w:rsid w:val="006B4C61"/>
    <w:rsid w:val="006B4CA9"/>
    <w:rsid w:val="006B4CED"/>
    <w:rsid w:val="006B4D0D"/>
    <w:rsid w:val="006B4D1D"/>
    <w:rsid w:val="006B4D22"/>
    <w:rsid w:val="006B4D24"/>
    <w:rsid w:val="006B4D7C"/>
    <w:rsid w:val="006B4D86"/>
    <w:rsid w:val="006B4D90"/>
    <w:rsid w:val="006B4EF9"/>
    <w:rsid w:val="006B4F08"/>
    <w:rsid w:val="006B4FEB"/>
    <w:rsid w:val="006B502E"/>
    <w:rsid w:val="006B505F"/>
    <w:rsid w:val="006B5075"/>
    <w:rsid w:val="006B50A3"/>
    <w:rsid w:val="006B513D"/>
    <w:rsid w:val="006B519D"/>
    <w:rsid w:val="006B5209"/>
    <w:rsid w:val="006B52A2"/>
    <w:rsid w:val="006B5339"/>
    <w:rsid w:val="006B536C"/>
    <w:rsid w:val="006B53FF"/>
    <w:rsid w:val="006B5453"/>
    <w:rsid w:val="006B546C"/>
    <w:rsid w:val="006B5562"/>
    <w:rsid w:val="006B55E8"/>
    <w:rsid w:val="006B55F2"/>
    <w:rsid w:val="006B5623"/>
    <w:rsid w:val="006B5686"/>
    <w:rsid w:val="006B56D1"/>
    <w:rsid w:val="006B56ED"/>
    <w:rsid w:val="006B5700"/>
    <w:rsid w:val="006B577A"/>
    <w:rsid w:val="006B5791"/>
    <w:rsid w:val="006B5879"/>
    <w:rsid w:val="006B58D2"/>
    <w:rsid w:val="006B58EA"/>
    <w:rsid w:val="006B596A"/>
    <w:rsid w:val="006B5995"/>
    <w:rsid w:val="006B59A3"/>
    <w:rsid w:val="006B59A7"/>
    <w:rsid w:val="006B59DA"/>
    <w:rsid w:val="006B5A43"/>
    <w:rsid w:val="006B5A55"/>
    <w:rsid w:val="006B5A68"/>
    <w:rsid w:val="006B5AE6"/>
    <w:rsid w:val="006B5B57"/>
    <w:rsid w:val="006B5B9C"/>
    <w:rsid w:val="006B5BA3"/>
    <w:rsid w:val="006B5BFC"/>
    <w:rsid w:val="006B5C01"/>
    <w:rsid w:val="006B5C70"/>
    <w:rsid w:val="006B5D3A"/>
    <w:rsid w:val="006B5D8E"/>
    <w:rsid w:val="006B5DA1"/>
    <w:rsid w:val="006B5DF9"/>
    <w:rsid w:val="006B5E7C"/>
    <w:rsid w:val="006B5F0A"/>
    <w:rsid w:val="006B5F7D"/>
    <w:rsid w:val="006B5F89"/>
    <w:rsid w:val="006B5F92"/>
    <w:rsid w:val="006B5FAA"/>
    <w:rsid w:val="006B6000"/>
    <w:rsid w:val="006B6027"/>
    <w:rsid w:val="006B6035"/>
    <w:rsid w:val="006B6037"/>
    <w:rsid w:val="006B60C9"/>
    <w:rsid w:val="006B6105"/>
    <w:rsid w:val="006B61EF"/>
    <w:rsid w:val="006B61F5"/>
    <w:rsid w:val="006B623D"/>
    <w:rsid w:val="006B6278"/>
    <w:rsid w:val="006B631E"/>
    <w:rsid w:val="006B639B"/>
    <w:rsid w:val="006B63E0"/>
    <w:rsid w:val="006B6442"/>
    <w:rsid w:val="006B6452"/>
    <w:rsid w:val="006B6491"/>
    <w:rsid w:val="006B6523"/>
    <w:rsid w:val="006B654E"/>
    <w:rsid w:val="006B65DB"/>
    <w:rsid w:val="006B6600"/>
    <w:rsid w:val="006B66AB"/>
    <w:rsid w:val="006B66D2"/>
    <w:rsid w:val="006B67A4"/>
    <w:rsid w:val="006B6851"/>
    <w:rsid w:val="006B6862"/>
    <w:rsid w:val="006B688E"/>
    <w:rsid w:val="006B6896"/>
    <w:rsid w:val="006B68B8"/>
    <w:rsid w:val="006B68C8"/>
    <w:rsid w:val="006B68DB"/>
    <w:rsid w:val="006B6903"/>
    <w:rsid w:val="006B690B"/>
    <w:rsid w:val="006B695A"/>
    <w:rsid w:val="006B6987"/>
    <w:rsid w:val="006B69AB"/>
    <w:rsid w:val="006B6A62"/>
    <w:rsid w:val="006B6B05"/>
    <w:rsid w:val="006B6B78"/>
    <w:rsid w:val="006B6CC3"/>
    <w:rsid w:val="006B6D26"/>
    <w:rsid w:val="006B6D43"/>
    <w:rsid w:val="006B6D9B"/>
    <w:rsid w:val="006B6E2E"/>
    <w:rsid w:val="006B6F1A"/>
    <w:rsid w:val="006B6F72"/>
    <w:rsid w:val="006B6F8F"/>
    <w:rsid w:val="006B6F9D"/>
    <w:rsid w:val="006B6FC3"/>
    <w:rsid w:val="006B7079"/>
    <w:rsid w:val="006B7090"/>
    <w:rsid w:val="006B70A4"/>
    <w:rsid w:val="006B7158"/>
    <w:rsid w:val="006B717C"/>
    <w:rsid w:val="006B71F5"/>
    <w:rsid w:val="006B7253"/>
    <w:rsid w:val="006B72C6"/>
    <w:rsid w:val="006B72C7"/>
    <w:rsid w:val="006B72FF"/>
    <w:rsid w:val="006B735B"/>
    <w:rsid w:val="006B73AB"/>
    <w:rsid w:val="006B73D6"/>
    <w:rsid w:val="006B73E7"/>
    <w:rsid w:val="006B74D9"/>
    <w:rsid w:val="006B7518"/>
    <w:rsid w:val="006B754B"/>
    <w:rsid w:val="006B75D6"/>
    <w:rsid w:val="006B7642"/>
    <w:rsid w:val="006B7644"/>
    <w:rsid w:val="006B7672"/>
    <w:rsid w:val="006B7674"/>
    <w:rsid w:val="006B7684"/>
    <w:rsid w:val="006B76D9"/>
    <w:rsid w:val="006B76F3"/>
    <w:rsid w:val="006B76F6"/>
    <w:rsid w:val="006B7745"/>
    <w:rsid w:val="006B7760"/>
    <w:rsid w:val="006B77CD"/>
    <w:rsid w:val="006B7822"/>
    <w:rsid w:val="006B7898"/>
    <w:rsid w:val="006B78EB"/>
    <w:rsid w:val="006B7914"/>
    <w:rsid w:val="006B796F"/>
    <w:rsid w:val="006B79DB"/>
    <w:rsid w:val="006B7A2F"/>
    <w:rsid w:val="006B7A32"/>
    <w:rsid w:val="006B7A4E"/>
    <w:rsid w:val="006B7A69"/>
    <w:rsid w:val="006B7AB0"/>
    <w:rsid w:val="006B7AB5"/>
    <w:rsid w:val="006B7AE8"/>
    <w:rsid w:val="006B7AF9"/>
    <w:rsid w:val="006B7AFD"/>
    <w:rsid w:val="006B7BF4"/>
    <w:rsid w:val="006B7C06"/>
    <w:rsid w:val="006B7C6A"/>
    <w:rsid w:val="006B7CD4"/>
    <w:rsid w:val="006B7CFB"/>
    <w:rsid w:val="006B7D21"/>
    <w:rsid w:val="006B7D47"/>
    <w:rsid w:val="006B7E4C"/>
    <w:rsid w:val="006B7E62"/>
    <w:rsid w:val="006B7E64"/>
    <w:rsid w:val="006B7F0A"/>
    <w:rsid w:val="006B7F28"/>
    <w:rsid w:val="006B7F2A"/>
    <w:rsid w:val="006B7F6E"/>
    <w:rsid w:val="006B7FBC"/>
    <w:rsid w:val="006B7FBF"/>
    <w:rsid w:val="006C0017"/>
    <w:rsid w:val="006C009A"/>
    <w:rsid w:val="006C00A3"/>
    <w:rsid w:val="006C00FE"/>
    <w:rsid w:val="006C0183"/>
    <w:rsid w:val="006C01D3"/>
    <w:rsid w:val="006C0220"/>
    <w:rsid w:val="006C029E"/>
    <w:rsid w:val="006C02BB"/>
    <w:rsid w:val="006C02D0"/>
    <w:rsid w:val="006C0385"/>
    <w:rsid w:val="006C0393"/>
    <w:rsid w:val="006C03CD"/>
    <w:rsid w:val="006C03E5"/>
    <w:rsid w:val="006C0466"/>
    <w:rsid w:val="006C0543"/>
    <w:rsid w:val="006C0561"/>
    <w:rsid w:val="006C0613"/>
    <w:rsid w:val="006C06F1"/>
    <w:rsid w:val="006C0773"/>
    <w:rsid w:val="006C07AB"/>
    <w:rsid w:val="006C0834"/>
    <w:rsid w:val="006C093E"/>
    <w:rsid w:val="006C0950"/>
    <w:rsid w:val="006C097D"/>
    <w:rsid w:val="006C0988"/>
    <w:rsid w:val="006C09D6"/>
    <w:rsid w:val="006C0A13"/>
    <w:rsid w:val="006C0A21"/>
    <w:rsid w:val="006C0A26"/>
    <w:rsid w:val="006C0B15"/>
    <w:rsid w:val="006C0BA0"/>
    <w:rsid w:val="006C0BD6"/>
    <w:rsid w:val="006C0BDD"/>
    <w:rsid w:val="006C0BE0"/>
    <w:rsid w:val="006C0C10"/>
    <w:rsid w:val="006C0D36"/>
    <w:rsid w:val="006C0D55"/>
    <w:rsid w:val="006C0E86"/>
    <w:rsid w:val="006C0EC6"/>
    <w:rsid w:val="006C0EE7"/>
    <w:rsid w:val="006C0F35"/>
    <w:rsid w:val="006C0F52"/>
    <w:rsid w:val="006C0F6D"/>
    <w:rsid w:val="006C1099"/>
    <w:rsid w:val="006C10AA"/>
    <w:rsid w:val="006C10AF"/>
    <w:rsid w:val="006C10E2"/>
    <w:rsid w:val="006C1143"/>
    <w:rsid w:val="006C11EF"/>
    <w:rsid w:val="006C1217"/>
    <w:rsid w:val="006C121E"/>
    <w:rsid w:val="006C131C"/>
    <w:rsid w:val="006C1367"/>
    <w:rsid w:val="006C13BD"/>
    <w:rsid w:val="006C13E6"/>
    <w:rsid w:val="006C1417"/>
    <w:rsid w:val="006C1455"/>
    <w:rsid w:val="006C14EB"/>
    <w:rsid w:val="006C1577"/>
    <w:rsid w:val="006C16BE"/>
    <w:rsid w:val="006C16DA"/>
    <w:rsid w:val="006C1739"/>
    <w:rsid w:val="006C17CB"/>
    <w:rsid w:val="006C181C"/>
    <w:rsid w:val="006C18E7"/>
    <w:rsid w:val="006C190F"/>
    <w:rsid w:val="006C1973"/>
    <w:rsid w:val="006C1B45"/>
    <w:rsid w:val="006C1B4B"/>
    <w:rsid w:val="006C1B5A"/>
    <w:rsid w:val="006C1B89"/>
    <w:rsid w:val="006C1B8B"/>
    <w:rsid w:val="006C1C4D"/>
    <w:rsid w:val="006C1C53"/>
    <w:rsid w:val="006C1C83"/>
    <w:rsid w:val="006C1C89"/>
    <w:rsid w:val="006C1D68"/>
    <w:rsid w:val="006C1D86"/>
    <w:rsid w:val="006C1D9A"/>
    <w:rsid w:val="006C1DC3"/>
    <w:rsid w:val="006C1DF9"/>
    <w:rsid w:val="006C1E11"/>
    <w:rsid w:val="006C1E4A"/>
    <w:rsid w:val="006C1FF4"/>
    <w:rsid w:val="006C20C3"/>
    <w:rsid w:val="006C231A"/>
    <w:rsid w:val="006C2397"/>
    <w:rsid w:val="006C2449"/>
    <w:rsid w:val="006C248B"/>
    <w:rsid w:val="006C24C4"/>
    <w:rsid w:val="006C2538"/>
    <w:rsid w:val="006C2569"/>
    <w:rsid w:val="006C26D7"/>
    <w:rsid w:val="006C273D"/>
    <w:rsid w:val="006C275F"/>
    <w:rsid w:val="006C27A3"/>
    <w:rsid w:val="006C27B6"/>
    <w:rsid w:val="006C2819"/>
    <w:rsid w:val="006C2842"/>
    <w:rsid w:val="006C28F6"/>
    <w:rsid w:val="006C29CE"/>
    <w:rsid w:val="006C2A7E"/>
    <w:rsid w:val="006C2AF4"/>
    <w:rsid w:val="006C2AF6"/>
    <w:rsid w:val="006C2B14"/>
    <w:rsid w:val="006C2B1F"/>
    <w:rsid w:val="006C2B28"/>
    <w:rsid w:val="006C2B70"/>
    <w:rsid w:val="006C2B77"/>
    <w:rsid w:val="006C2B79"/>
    <w:rsid w:val="006C2C3C"/>
    <w:rsid w:val="006C2CC8"/>
    <w:rsid w:val="006C2D31"/>
    <w:rsid w:val="006C2D5C"/>
    <w:rsid w:val="006C2E33"/>
    <w:rsid w:val="006C2E72"/>
    <w:rsid w:val="006C2E7A"/>
    <w:rsid w:val="006C2E9C"/>
    <w:rsid w:val="006C2EB7"/>
    <w:rsid w:val="006C2EBA"/>
    <w:rsid w:val="006C2EC0"/>
    <w:rsid w:val="006C2EC9"/>
    <w:rsid w:val="006C2ED5"/>
    <w:rsid w:val="006C2F50"/>
    <w:rsid w:val="006C3002"/>
    <w:rsid w:val="006C3036"/>
    <w:rsid w:val="006C30A7"/>
    <w:rsid w:val="006C30ED"/>
    <w:rsid w:val="006C3153"/>
    <w:rsid w:val="006C3162"/>
    <w:rsid w:val="006C3183"/>
    <w:rsid w:val="006C31AE"/>
    <w:rsid w:val="006C31DC"/>
    <w:rsid w:val="006C3283"/>
    <w:rsid w:val="006C32AA"/>
    <w:rsid w:val="006C3350"/>
    <w:rsid w:val="006C33FF"/>
    <w:rsid w:val="006C344A"/>
    <w:rsid w:val="006C348F"/>
    <w:rsid w:val="006C34AD"/>
    <w:rsid w:val="006C34DA"/>
    <w:rsid w:val="006C3657"/>
    <w:rsid w:val="006C36A0"/>
    <w:rsid w:val="006C36CB"/>
    <w:rsid w:val="006C36E8"/>
    <w:rsid w:val="006C3711"/>
    <w:rsid w:val="006C372F"/>
    <w:rsid w:val="006C375E"/>
    <w:rsid w:val="006C37C6"/>
    <w:rsid w:val="006C37D0"/>
    <w:rsid w:val="006C3808"/>
    <w:rsid w:val="006C385A"/>
    <w:rsid w:val="006C38AC"/>
    <w:rsid w:val="006C3909"/>
    <w:rsid w:val="006C3933"/>
    <w:rsid w:val="006C399D"/>
    <w:rsid w:val="006C3A15"/>
    <w:rsid w:val="006C3B04"/>
    <w:rsid w:val="006C3B35"/>
    <w:rsid w:val="006C3C1A"/>
    <w:rsid w:val="006C3C4D"/>
    <w:rsid w:val="006C3C88"/>
    <w:rsid w:val="006C3CC3"/>
    <w:rsid w:val="006C3CE4"/>
    <w:rsid w:val="006C3CF8"/>
    <w:rsid w:val="006C3D05"/>
    <w:rsid w:val="006C3D19"/>
    <w:rsid w:val="006C3D8C"/>
    <w:rsid w:val="006C3ED3"/>
    <w:rsid w:val="006C3F08"/>
    <w:rsid w:val="006C4112"/>
    <w:rsid w:val="006C41A0"/>
    <w:rsid w:val="006C41AF"/>
    <w:rsid w:val="006C41B1"/>
    <w:rsid w:val="006C41C0"/>
    <w:rsid w:val="006C41C2"/>
    <w:rsid w:val="006C4203"/>
    <w:rsid w:val="006C420B"/>
    <w:rsid w:val="006C4382"/>
    <w:rsid w:val="006C4406"/>
    <w:rsid w:val="006C440F"/>
    <w:rsid w:val="006C4468"/>
    <w:rsid w:val="006C4476"/>
    <w:rsid w:val="006C4495"/>
    <w:rsid w:val="006C44C1"/>
    <w:rsid w:val="006C4514"/>
    <w:rsid w:val="006C4564"/>
    <w:rsid w:val="006C457F"/>
    <w:rsid w:val="006C45EF"/>
    <w:rsid w:val="006C46DE"/>
    <w:rsid w:val="006C4736"/>
    <w:rsid w:val="006C479A"/>
    <w:rsid w:val="006C47AA"/>
    <w:rsid w:val="006C47B5"/>
    <w:rsid w:val="006C4812"/>
    <w:rsid w:val="006C4953"/>
    <w:rsid w:val="006C4990"/>
    <w:rsid w:val="006C49A9"/>
    <w:rsid w:val="006C49CE"/>
    <w:rsid w:val="006C4A3B"/>
    <w:rsid w:val="006C4A9F"/>
    <w:rsid w:val="006C4AC6"/>
    <w:rsid w:val="006C4AEA"/>
    <w:rsid w:val="006C4B70"/>
    <w:rsid w:val="006C4CC3"/>
    <w:rsid w:val="006C4D1B"/>
    <w:rsid w:val="006C4D9E"/>
    <w:rsid w:val="006C4DA9"/>
    <w:rsid w:val="006C4DAF"/>
    <w:rsid w:val="006C4DC8"/>
    <w:rsid w:val="006C4E52"/>
    <w:rsid w:val="006C4EB5"/>
    <w:rsid w:val="006C4EE3"/>
    <w:rsid w:val="006C4F03"/>
    <w:rsid w:val="006C4FC9"/>
    <w:rsid w:val="006C50BF"/>
    <w:rsid w:val="006C51A0"/>
    <w:rsid w:val="006C524D"/>
    <w:rsid w:val="006C5367"/>
    <w:rsid w:val="006C53A4"/>
    <w:rsid w:val="006C53F8"/>
    <w:rsid w:val="006C5438"/>
    <w:rsid w:val="006C547A"/>
    <w:rsid w:val="006C54B4"/>
    <w:rsid w:val="006C553E"/>
    <w:rsid w:val="006C55BB"/>
    <w:rsid w:val="006C5617"/>
    <w:rsid w:val="006C564E"/>
    <w:rsid w:val="006C565B"/>
    <w:rsid w:val="006C567A"/>
    <w:rsid w:val="006C568A"/>
    <w:rsid w:val="006C56C7"/>
    <w:rsid w:val="006C57A2"/>
    <w:rsid w:val="006C57FF"/>
    <w:rsid w:val="006C5872"/>
    <w:rsid w:val="006C589D"/>
    <w:rsid w:val="006C58A2"/>
    <w:rsid w:val="006C5934"/>
    <w:rsid w:val="006C5936"/>
    <w:rsid w:val="006C59BB"/>
    <w:rsid w:val="006C59F7"/>
    <w:rsid w:val="006C5A0B"/>
    <w:rsid w:val="006C5A0D"/>
    <w:rsid w:val="006C5A3E"/>
    <w:rsid w:val="006C5A56"/>
    <w:rsid w:val="006C5A93"/>
    <w:rsid w:val="006C5AE2"/>
    <w:rsid w:val="006C5AF9"/>
    <w:rsid w:val="006C5BA1"/>
    <w:rsid w:val="006C5C06"/>
    <w:rsid w:val="006C5C59"/>
    <w:rsid w:val="006C5DC3"/>
    <w:rsid w:val="006C5E31"/>
    <w:rsid w:val="006C5FF1"/>
    <w:rsid w:val="006C6017"/>
    <w:rsid w:val="006C6039"/>
    <w:rsid w:val="006C60B3"/>
    <w:rsid w:val="006C611A"/>
    <w:rsid w:val="006C61E7"/>
    <w:rsid w:val="006C61EE"/>
    <w:rsid w:val="006C6226"/>
    <w:rsid w:val="006C6235"/>
    <w:rsid w:val="006C6273"/>
    <w:rsid w:val="006C6285"/>
    <w:rsid w:val="006C6395"/>
    <w:rsid w:val="006C63C1"/>
    <w:rsid w:val="006C645D"/>
    <w:rsid w:val="006C64A2"/>
    <w:rsid w:val="006C64BE"/>
    <w:rsid w:val="006C6536"/>
    <w:rsid w:val="006C65C5"/>
    <w:rsid w:val="006C6695"/>
    <w:rsid w:val="006C66CE"/>
    <w:rsid w:val="006C66E8"/>
    <w:rsid w:val="006C66EF"/>
    <w:rsid w:val="006C673A"/>
    <w:rsid w:val="006C6775"/>
    <w:rsid w:val="006C677F"/>
    <w:rsid w:val="006C67A3"/>
    <w:rsid w:val="006C67D9"/>
    <w:rsid w:val="006C67E1"/>
    <w:rsid w:val="006C67EC"/>
    <w:rsid w:val="006C681C"/>
    <w:rsid w:val="006C68C5"/>
    <w:rsid w:val="006C68EF"/>
    <w:rsid w:val="006C6943"/>
    <w:rsid w:val="006C6972"/>
    <w:rsid w:val="006C69B9"/>
    <w:rsid w:val="006C6A3A"/>
    <w:rsid w:val="006C6A3C"/>
    <w:rsid w:val="006C6A44"/>
    <w:rsid w:val="006C6A86"/>
    <w:rsid w:val="006C6A8D"/>
    <w:rsid w:val="006C6AF2"/>
    <w:rsid w:val="006C6B2E"/>
    <w:rsid w:val="006C6B56"/>
    <w:rsid w:val="006C6BBE"/>
    <w:rsid w:val="006C6C2E"/>
    <w:rsid w:val="006C6C92"/>
    <w:rsid w:val="006C6CF7"/>
    <w:rsid w:val="006C6D11"/>
    <w:rsid w:val="006C6D5B"/>
    <w:rsid w:val="006C6DB6"/>
    <w:rsid w:val="006C6E3E"/>
    <w:rsid w:val="006C6E77"/>
    <w:rsid w:val="006C6F74"/>
    <w:rsid w:val="006C6F7B"/>
    <w:rsid w:val="006C6F97"/>
    <w:rsid w:val="006C6FDD"/>
    <w:rsid w:val="006C700A"/>
    <w:rsid w:val="006C701D"/>
    <w:rsid w:val="006C7022"/>
    <w:rsid w:val="006C7046"/>
    <w:rsid w:val="006C7075"/>
    <w:rsid w:val="006C7145"/>
    <w:rsid w:val="006C7153"/>
    <w:rsid w:val="006C71B9"/>
    <w:rsid w:val="006C71C5"/>
    <w:rsid w:val="006C71FC"/>
    <w:rsid w:val="006C7229"/>
    <w:rsid w:val="006C723F"/>
    <w:rsid w:val="006C729A"/>
    <w:rsid w:val="006C72F7"/>
    <w:rsid w:val="006C73D3"/>
    <w:rsid w:val="006C73FA"/>
    <w:rsid w:val="006C73FE"/>
    <w:rsid w:val="006C74DD"/>
    <w:rsid w:val="006C7503"/>
    <w:rsid w:val="006C7538"/>
    <w:rsid w:val="006C75ED"/>
    <w:rsid w:val="006C763B"/>
    <w:rsid w:val="006C768C"/>
    <w:rsid w:val="006C76A3"/>
    <w:rsid w:val="006C7733"/>
    <w:rsid w:val="006C774A"/>
    <w:rsid w:val="006C7777"/>
    <w:rsid w:val="006C777B"/>
    <w:rsid w:val="006C77D8"/>
    <w:rsid w:val="006C77FE"/>
    <w:rsid w:val="006C7804"/>
    <w:rsid w:val="006C786C"/>
    <w:rsid w:val="006C7940"/>
    <w:rsid w:val="006C79C4"/>
    <w:rsid w:val="006C79CF"/>
    <w:rsid w:val="006C7A3D"/>
    <w:rsid w:val="006C7A78"/>
    <w:rsid w:val="006C7AC4"/>
    <w:rsid w:val="006C7AD3"/>
    <w:rsid w:val="006C7AEA"/>
    <w:rsid w:val="006C7B0E"/>
    <w:rsid w:val="006C7B1A"/>
    <w:rsid w:val="006C7BE8"/>
    <w:rsid w:val="006C7C02"/>
    <w:rsid w:val="006C7C32"/>
    <w:rsid w:val="006C7C34"/>
    <w:rsid w:val="006C7C3B"/>
    <w:rsid w:val="006C7C3C"/>
    <w:rsid w:val="006C7C65"/>
    <w:rsid w:val="006C7CCB"/>
    <w:rsid w:val="006C7CF7"/>
    <w:rsid w:val="006C7D27"/>
    <w:rsid w:val="006C7D5C"/>
    <w:rsid w:val="006C7DA1"/>
    <w:rsid w:val="006C7DD8"/>
    <w:rsid w:val="006C7DE3"/>
    <w:rsid w:val="006C7E00"/>
    <w:rsid w:val="006C7E27"/>
    <w:rsid w:val="006C7F0E"/>
    <w:rsid w:val="006C7F23"/>
    <w:rsid w:val="006C7F3E"/>
    <w:rsid w:val="006C7F7C"/>
    <w:rsid w:val="006C7FA3"/>
    <w:rsid w:val="006D006B"/>
    <w:rsid w:val="006D006D"/>
    <w:rsid w:val="006D013A"/>
    <w:rsid w:val="006D01B7"/>
    <w:rsid w:val="006D01DC"/>
    <w:rsid w:val="006D0243"/>
    <w:rsid w:val="006D0246"/>
    <w:rsid w:val="006D02C1"/>
    <w:rsid w:val="006D02DB"/>
    <w:rsid w:val="006D02F2"/>
    <w:rsid w:val="006D0395"/>
    <w:rsid w:val="006D041A"/>
    <w:rsid w:val="006D043F"/>
    <w:rsid w:val="006D04AA"/>
    <w:rsid w:val="006D04C7"/>
    <w:rsid w:val="006D0531"/>
    <w:rsid w:val="006D055A"/>
    <w:rsid w:val="006D05B5"/>
    <w:rsid w:val="006D05D1"/>
    <w:rsid w:val="006D0627"/>
    <w:rsid w:val="006D06E7"/>
    <w:rsid w:val="006D0716"/>
    <w:rsid w:val="006D072F"/>
    <w:rsid w:val="006D0763"/>
    <w:rsid w:val="006D081C"/>
    <w:rsid w:val="006D086F"/>
    <w:rsid w:val="006D0967"/>
    <w:rsid w:val="006D096A"/>
    <w:rsid w:val="006D0974"/>
    <w:rsid w:val="006D09CE"/>
    <w:rsid w:val="006D0A22"/>
    <w:rsid w:val="006D0A5F"/>
    <w:rsid w:val="006D0AED"/>
    <w:rsid w:val="006D0AFC"/>
    <w:rsid w:val="006D0B26"/>
    <w:rsid w:val="006D0B3A"/>
    <w:rsid w:val="006D0B8B"/>
    <w:rsid w:val="006D0B8C"/>
    <w:rsid w:val="006D0BCD"/>
    <w:rsid w:val="006D0BED"/>
    <w:rsid w:val="006D0C19"/>
    <w:rsid w:val="006D0C47"/>
    <w:rsid w:val="006D0C74"/>
    <w:rsid w:val="006D0C98"/>
    <w:rsid w:val="006D0CB3"/>
    <w:rsid w:val="006D0CFB"/>
    <w:rsid w:val="006D0E9F"/>
    <w:rsid w:val="006D0F44"/>
    <w:rsid w:val="006D0F6B"/>
    <w:rsid w:val="006D0FA2"/>
    <w:rsid w:val="006D0FD8"/>
    <w:rsid w:val="006D1040"/>
    <w:rsid w:val="006D105A"/>
    <w:rsid w:val="006D106D"/>
    <w:rsid w:val="006D10D9"/>
    <w:rsid w:val="006D111F"/>
    <w:rsid w:val="006D1136"/>
    <w:rsid w:val="006D117B"/>
    <w:rsid w:val="006D11AA"/>
    <w:rsid w:val="006D1279"/>
    <w:rsid w:val="006D1336"/>
    <w:rsid w:val="006D134F"/>
    <w:rsid w:val="006D1379"/>
    <w:rsid w:val="006D1396"/>
    <w:rsid w:val="006D154D"/>
    <w:rsid w:val="006D1591"/>
    <w:rsid w:val="006D1770"/>
    <w:rsid w:val="006D177A"/>
    <w:rsid w:val="006D1928"/>
    <w:rsid w:val="006D1987"/>
    <w:rsid w:val="006D1A13"/>
    <w:rsid w:val="006D1A2A"/>
    <w:rsid w:val="006D1AFC"/>
    <w:rsid w:val="006D1B01"/>
    <w:rsid w:val="006D1B46"/>
    <w:rsid w:val="006D1B8F"/>
    <w:rsid w:val="006D1BB0"/>
    <w:rsid w:val="006D1C79"/>
    <w:rsid w:val="006D1C8C"/>
    <w:rsid w:val="006D1CCF"/>
    <w:rsid w:val="006D1DE7"/>
    <w:rsid w:val="006D1E33"/>
    <w:rsid w:val="006D1E48"/>
    <w:rsid w:val="006D1E9F"/>
    <w:rsid w:val="006D1ED6"/>
    <w:rsid w:val="006D1F0C"/>
    <w:rsid w:val="006D1F58"/>
    <w:rsid w:val="006D1F7C"/>
    <w:rsid w:val="006D1FC0"/>
    <w:rsid w:val="006D1FF3"/>
    <w:rsid w:val="006D20A6"/>
    <w:rsid w:val="006D20C8"/>
    <w:rsid w:val="006D2137"/>
    <w:rsid w:val="006D2147"/>
    <w:rsid w:val="006D21B9"/>
    <w:rsid w:val="006D2312"/>
    <w:rsid w:val="006D236B"/>
    <w:rsid w:val="006D2371"/>
    <w:rsid w:val="006D2384"/>
    <w:rsid w:val="006D2426"/>
    <w:rsid w:val="006D2496"/>
    <w:rsid w:val="006D24F0"/>
    <w:rsid w:val="006D256D"/>
    <w:rsid w:val="006D25B9"/>
    <w:rsid w:val="006D26E3"/>
    <w:rsid w:val="006D27D0"/>
    <w:rsid w:val="006D2822"/>
    <w:rsid w:val="006D28C7"/>
    <w:rsid w:val="006D2931"/>
    <w:rsid w:val="006D298C"/>
    <w:rsid w:val="006D299C"/>
    <w:rsid w:val="006D29CF"/>
    <w:rsid w:val="006D29F4"/>
    <w:rsid w:val="006D2A02"/>
    <w:rsid w:val="006D2A5D"/>
    <w:rsid w:val="006D2A92"/>
    <w:rsid w:val="006D2AA0"/>
    <w:rsid w:val="006D2ACD"/>
    <w:rsid w:val="006D2AEB"/>
    <w:rsid w:val="006D2B4F"/>
    <w:rsid w:val="006D2B54"/>
    <w:rsid w:val="006D2B61"/>
    <w:rsid w:val="006D2B7C"/>
    <w:rsid w:val="006D2B8A"/>
    <w:rsid w:val="006D2C02"/>
    <w:rsid w:val="006D2D1D"/>
    <w:rsid w:val="006D2E12"/>
    <w:rsid w:val="006D2E17"/>
    <w:rsid w:val="006D2F11"/>
    <w:rsid w:val="006D2F34"/>
    <w:rsid w:val="006D2FE7"/>
    <w:rsid w:val="006D3011"/>
    <w:rsid w:val="006D3032"/>
    <w:rsid w:val="006D304F"/>
    <w:rsid w:val="006D30D6"/>
    <w:rsid w:val="006D30DD"/>
    <w:rsid w:val="006D3155"/>
    <w:rsid w:val="006D3178"/>
    <w:rsid w:val="006D3191"/>
    <w:rsid w:val="006D3197"/>
    <w:rsid w:val="006D31BF"/>
    <w:rsid w:val="006D31D6"/>
    <w:rsid w:val="006D320C"/>
    <w:rsid w:val="006D326A"/>
    <w:rsid w:val="006D32AF"/>
    <w:rsid w:val="006D32C6"/>
    <w:rsid w:val="006D32C9"/>
    <w:rsid w:val="006D32F9"/>
    <w:rsid w:val="006D3304"/>
    <w:rsid w:val="006D3327"/>
    <w:rsid w:val="006D3364"/>
    <w:rsid w:val="006D338A"/>
    <w:rsid w:val="006D33A0"/>
    <w:rsid w:val="006D33BC"/>
    <w:rsid w:val="006D342B"/>
    <w:rsid w:val="006D3553"/>
    <w:rsid w:val="006D357F"/>
    <w:rsid w:val="006D35CF"/>
    <w:rsid w:val="006D35F3"/>
    <w:rsid w:val="006D35F5"/>
    <w:rsid w:val="006D366D"/>
    <w:rsid w:val="006D36CE"/>
    <w:rsid w:val="006D3713"/>
    <w:rsid w:val="006D3715"/>
    <w:rsid w:val="006D3735"/>
    <w:rsid w:val="006D373D"/>
    <w:rsid w:val="006D3756"/>
    <w:rsid w:val="006D37AD"/>
    <w:rsid w:val="006D3839"/>
    <w:rsid w:val="006D38D7"/>
    <w:rsid w:val="006D38E2"/>
    <w:rsid w:val="006D3910"/>
    <w:rsid w:val="006D397F"/>
    <w:rsid w:val="006D39D2"/>
    <w:rsid w:val="006D3A6D"/>
    <w:rsid w:val="006D3A9A"/>
    <w:rsid w:val="006D3AE4"/>
    <w:rsid w:val="006D3B93"/>
    <w:rsid w:val="006D3BA2"/>
    <w:rsid w:val="006D3BA7"/>
    <w:rsid w:val="006D3BC2"/>
    <w:rsid w:val="006D3C10"/>
    <w:rsid w:val="006D3C8C"/>
    <w:rsid w:val="006D3CA9"/>
    <w:rsid w:val="006D3CB4"/>
    <w:rsid w:val="006D3CB6"/>
    <w:rsid w:val="006D3CC1"/>
    <w:rsid w:val="006D3CE6"/>
    <w:rsid w:val="006D3CFB"/>
    <w:rsid w:val="006D3D40"/>
    <w:rsid w:val="006D3DDD"/>
    <w:rsid w:val="006D3DF8"/>
    <w:rsid w:val="006D3E24"/>
    <w:rsid w:val="006D3E90"/>
    <w:rsid w:val="006D3EA6"/>
    <w:rsid w:val="006D3EC8"/>
    <w:rsid w:val="006D3EE1"/>
    <w:rsid w:val="006D3F05"/>
    <w:rsid w:val="006D3F2D"/>
    <w:rsid w:val="006D3F5F"/>
    <w:rsid w:val="006D4045"/>
    <w:rsid w:val="006D40B5"/>
    <w:rsid w:val="006D4105"/>
    <w:rsid w:val="006D4120"/>
    <w:rsid w:val="006D4147"/>
    <w:rsid w:val="006D42C7"/>
    <w:rsid w:val="006D4301"/>
    <w:rsid w:val="006D438C"/>
    <w:rsid w:val="006D438F"/>
    <w:rsid w:val="006D43A1"/>
    <w:rsid w:val="006D450C"/>
    <w:rsid w:val="006D4515"/>
    <w:rsid w:val="006D4546"/>
    <w:rsid w:val="006D465C"/>
    <w:rsid w:val="006D46D4"/>
    <w:rsid w:val="006D46D8"/>
    <w:rsid w:val="006D46E0"/>
    <w:rsid w:val="006D4779"/>
    <w:rsid w:val="006D4804"/>
    <w:rsid w:val="006D4806"/>
    <w:rsid w:val="006D4807"/>
    <w:rsid w:val="006D4824"/>
    <w:rsid w:val="006D482B"/>
    <w:rsid w:val="006D48A2"/>
    <w:rsid w:val="006D4963"/>
    <w:rsid w:val="006D4970"/>
    <w:rsid w:val="006D49A5"/>
    <w:rsid w:val="006D4A13"/>
    <w:rsid w:val="006D4A49"/>
    <w:rsid w:val="006D4AC9"/>
    <w:rsid w:val="006D4B5A"/>
    <w:rsid w:val="006D4B62"/>
    <w:rsid w:val="006D4D09"/>
    <w:rsid w:val="006D4D62"/>
    <w:rsid w:val="006D4E7F"/>
    <w:rsid w:val="006D4ED5"/>
    <w:rsid w:val="006D4F0E"/>
    <w:rsid w:val="006D4F5B"/>
    <w:rsid w:val="006D4F9D"/>
    <w:rsid w:val="006D4FC3"/>
    <w:rsid w:val="006D5084"/>
    <w:rsid w:val="006D50A0"/>
    <w:rsid w:val="006D50C9"/>
    <w:rsid w:val="006D50DC"/>
    <w:rsid w:val="006D5116"/>
    <w:rsid w:val="006D518A"/>
    <w:rsid w:val="006D51C0"/>
    <w:rsid w:val="006D51C4"/>
    <w:rsid w:val="006D52A3"/>
    <w:rsid w:val="006D52D0"/>
    <w:rsid w:val="006D5313"/>
    <w:rsid w:val="006D5322"/>
    <w:rsid w:val="006D5351"/>
    <w:rsid w:val="006D5355"/>
    <w:rsid w:val="006D540E"/>
    <w:rsid w:val="006D5590"/>
    <w:rsid w:val="006D559D"/>
    <w:rsid w:val="006D55A4"/>
    <w:rsid w:val="006D55D4"/>
    <w:rsid w:val="006D55D9"/>
    <w:rsid w:val="006D56BB"/>
    <w:rsid w:val="006D56F5"/>
    <w:rsid w:val="006D57C2"/>
    <w:rsid w:val="006D57F6"/>
    <w:rsid w:val="006D5860"/>
    <w:rsid w:val="006D588A"/>
    <w:rsid w:val="006D597B"/>
    <w:rsid w:val="006D598C"/>
    <w:rsid w:val="006D5A0D"/>
    <w:rsid w:val="006D5A6D"/>
    <w:rsid w:val="006D5AEF"/>
    <w:rsid w:val="006D5B0A"/>
    <w:rsid w:val="006D5C39"/>
    <w:rsid w:val="006D5C3F"/>
    <w:rsid w:val="006D5C9C"/>
    <w:rsid w:val="006D5D65"/>
    <w:rsid w:val="006D5D6B"/>
    <w:rsid w:val="006D5DAF"/>
    <w:rsid w:val="006D5DD5"/>
    <w:rsid w:val="006D5E37"/>
    <w:rsid w:val="006D5E67"/>
    <w:rsid w:val="006D5E89"/>
    <w:rsid w:val="006D5EB5"/>
    <w:rsid w:val="006D5EFA"/>
    <w:rsid w:val="006D5F1B"/>
    <w:rsid w:val="006D5FCB"/>
    <w:rsid w:val="006D5FD5"/>
    <w:rsid w:val="006D5FDC"/>
    <w:rsid w:val="006D6052"/>
    <w:rsid w:val="006D60D4"/>
    <w:rsid w:val="006D6121"/>
    <w:rsid w:val="006D61F6"/>
    <w:rsid w:val="006D6253"/>
    <w:rsid w:val="006D6301"/>
    <w:rsid w:val="006D6320"/>
    <w:rsid w:val="006D6326"/>
    <w:rsid w:val="006D6334"/>
    <w:rsid w:val="006D6339"/>
    <w:rsid w:val="006D6341"/>
    <w:rsid w:val="006D6349"/>
    <w:rsid w:val="006D6351"/>
    <w:rsid w:val="006D638C"/>
    <w:rsid w:val="006D639E"/>
    <w:rsid w:val="006D63F3"/>
    <w:rsid w:val="006D6412"/>
    <w:rsid w:val="006D642B"/>
    <w:rsid w:val="006D6440"/>
    <w:rsid w:val="006D655D"/>
    <w:rsid w:val="006D6595"/>
    <w:rsid w:val="006D65AC"/>
    <w:rsid w:val="006D65FE"/>
    <w:rsid w:val="006D6643"/>
    <w:rsid w:val="006D6646"/>
    <w:rsid w:val="006D66DE"/>
    <w:rsid w:val="006D6707"/>
    <w:rsid w:val="006D671C"/>
    <w:rsid w:val="006D672B"/>
    <w:rsid w:val="006D673F"/>
    <w:rsid w:val="006D680B"/>
    <w:rsid w:val="006D681B"/>
    <w:rsid w:val="006D681D"/>
    <w:rsid w:val="006D6876"/>
    <w:rsid w:val="006D68F7"/>
    <w:rsid w:val="006D694B"/>
    <w:rsid w:val="006D6954"/>
    <w:rsid w:val="006D698D"/>
    <w:rsid w:val="006D69A5"/>
    <w:rsid w:val="006D69DD"/>
    <w:rsid w:val="006D6A97"/>
    <w:rsid w:val="006D6AD1"/>
    <w:rsid w:val="006D6B20"/>
    <w:rsid w:val="006D6B33"/>
    <w:rsid w:val="006D6B58"/>
    <w:rsid w:val="006D6BC0"/>
    <w:rsid w:val="006D6BE6"/>
    <w:rsid w:val="006D6BF9"/>
    <w:rsid w:val="006D6C18"/>
    <w:rsid w:val="006D6C3E"/>
    <w:rsid w:val="006D6C59"/>
    <w:rsid w:val="006D6C8C"/>
    <w:rsid w:val="006D6CC1"/>
    <w:rsid w:val="006D6CE5"/>
    <w:rsid w:val="006D6D4F"/>
    <w:rsid w:val="006D6D53"/>
    <w:rsid w:val="006D6D92"/>
    <w:rsid w:val="006D6DEB"/>
    <w:rsid w:val="006D6E02"/>
    <w:rsid w:val="006D6E33"/>
    <w:rsid w:val="006D6E7D"/>
    <w:rsid w:val="006D6F22"/>
    <w:rsid w:val="006D7013"/>
    <w:rsid w:val="006D7131"/>
    <w:rsid w:val="006D7171"/>
    <w:rsid w:val="006D71FF"/>
    <w:rsid w:val="006D7378"/>
    <w:rsid w:val="006D73C2"/>
    <w:rsid w:val="006D7506"/>
    <w:rsid w:val="006D750C"/>
    <w:rsid w:val="006D7523"/>
    <w:rsid w:val="006D7531"/>
    <w:rsid w:val="006D75C6"/>
    <w:rsid w:val="006D75F1"/>
    <w:rsid w:val="006D7600"/>
    <w:rsid w:val="006D7621"/>
    <w:rsid w:val="006D7638"/>
    <w:rsid w:val="006D7686"/>
    <w:rsid w:val="006D76D2"/>
    <w:rsid w:val="006D770A"/>
    <w:rsid w:val="006D772B"/>
    <w:rsid w:val="006D781F"/>
    <w:rsid w:val="006D790E"/>
    <w:rsid w:val="006D7943"/>
    <w:rsid w:val="006D7950"/>
    <w:rsid w:val="006D79EE"/>
    <w:rsid w:val="006D7A45"/>
    <w:rsid w:val="006D7A8C"/>
    <w:rsid w:val="006D7AB1"/>
    <w:rsid w:val="006D7AE3"/>
    <w:rsid w:val="006D7AE5"/>
    <w:rsid w:val="006D7AEC"/>
    <w:rsid w:val="006D7B2C"/>
    <w:rsid w:val="006D7C57"/>
    <w:rsid w:val="006D7D7E"/>
    <w:rsid w:val="006D7DB0"/>
    <w:rsid w:val="006D7DCC"/>
    <w:rsid w:val="006D7E1B"/>
    <w:rsid w:val="006D7E39"/>
    <w:rsid w:val="006D7E76"/>
    <w:rsid w:val="006D7E81"/>
    <w:rsid w:val="006D7E9D"/>
    <w:rsid w:val="006D7EAE"/>
    <w:rsid w:val="006D7ED6"/>
    <w:rsid w:val="006E00B7"/>
    <w:rsid w:val="006E022E"/>
    <w:rsid w:val="006E0240"/>
    <w:rsid w:val="006E0265"/>
    <w:rsid w:val="006E02E5"/>
    <w:rsid w:val="006E02E7"/>
    <w:rsid w:val="006E0309"/>
    <w:rsid w:val="006E032B"/>
    <w:rsid w:val="006E034B"/>
    <w:rsid w:val="006E0359"/>
    <w:rsid w:val="006E0396"/>
    <w:rsid w:val="006E0477"/>
    <w:rsid w:val="006E048F"/>
    <w:rsid w:val="006E0582"/>
    <w:rsid w:val="006E0592"/>
    <w:rsid w:val="006E05FF"/>
    <w:rsid w:val="006E067F"/>
    <w:rsid w:val="006E0681"/>
    <w:rsid w:val="006E06AB"/>
    <w:rsid w:val="006E06B1"/>
    <w:rsid w:val="006E06E6"/>
    <w:rsid w:val="006E06E9"/>
    <w:rsid w:val="006E0767"/>
    <w:rsid w:val="006E0773"/>
    <w:rsid w:val="006E07D3"/>
    <w:rsid w:val="006E0813"/>
    <w:rsid w:val="006E088F"/>
    <w:rsid w:val="006E08A1"/>
    <w:rsid w:val="006E08B8"/>
    <w:rsid w:val="006E0924"/>
    <w:rsid w:val="006E097C"/>
    <w:rsid w:val="006E0A44"/>
    <w:rsid w:val="006E0A5B"/>
    <w:rsid w:val="006E0AEF"/>
    <w:rsid w:val="006E0B20"/>
    <w:rsid w:val="006E0B50"/>
    <w:rsid w:val="006E0B76"/>
    <w:rsid w:val="006E0BBA"/>
    <w:rsid w:val="006E0BFE"/>
    <w:rsid w:val="006E0C29"/>
    <w:rsid w:val="006E0C2C"/>
    <w:rsid w:val="006E0C58"/>
    <w:rsid w:val="006E0C96"/>
    <w:rsid w:val="006E0D18"/>
    <w:rsid w:val="006E0D23"/>
    <w:rsid w:val="006E0DCE"/>
    <w:rsid w:val="006E0E09"/>
    <w:rsid w:val="006E0E32"/>
    <w:rsid w:val="006E0E3C"/>
    <w:rsid w:val="006E0E4E"/>
    <w:rsid w:val="006E0EE2"/>
    <w:rsid w:val="006E0EF4"/>
    <w:rsid w:val="006E0F38"/>
    <w:rsid w:val="006E0F87"/>
    <w:rsid w:val="006E0FA2"/>
    <w:rsid w:val="006E0FB3"/>
    <w:rsid w:val="006E0FB5"/>
    <w:rsid w:val="006E0FBD"/>
    <w:rsid w:val="006E1017"/>
    <w:rsid w:val="006E1046"/>
    <w:rsid w:val="006E108F"/>
    <w:rsid w:val="006E10EE"/>
    <w:rsid w:val="006E1174"/>
    <w:rsid w:val="006E1195"/>
    <w:rsid w:val="006E11AA"/>
    <w:rsid w:val="006E11C3"/>
    <w:rsid w:val="006E1237"/>
    <w:rsid w:val="006E128C"/>
    <w:rsid w:val="006E138F"/>
    <w:rsid w:val="006E1494"/>
    <w:rsid w:val="006E14AA"/>
    <w:rsid w:val="006E14C4"/>
    <w:rsid w:val="006E14C8"/>
    <w:rsid w:val="006E1532"/>
    <w:rsid w:val="006E1549"/>
    <w:rsid w:val="006E1597"/>
    <w:rsid w:val="006E162C"/>
    <w:rsid w:val="006E1680"/>
    <w:rsid w:val="006E16B1"/>
    <w:rsid w:val="006E1731"/>
    <w:rsid w:val="006E17B7"/>
    <w:rsid w:val="006E184C"/>
    <w:rsid w:val="006E18AB"/>
    <w:rsid w:val="006E19AB"/>
    <w:rsid w:val="006E19B2"/>
    <w:rsid w:val="006E1A0B"/>
    <w:rsid w:val="006E1A52"/>
    <w:rsid w:val="006E1A70"/>
    <w:rsid w:val="006E1A95"/>
    <w:rsid w:val="006E1AE9"/>
    <w:rsid w:val="006E1B71"/>
    <w:rsid w:val="006E1B9B"/>
    <w:rsid w:val="006E1B9F"/>
    <w:rsid w:val="006E1C0B"/>
    <w:rsid w:val="006E1C1F"/>
    <w:rsid w:val="006E1C8B"/>
    <w:rsid w:val="006E1CE6"/>
    <w:rsid w:val="006E1CF3"/>
    <w:rsid w:val="006E1CF4"/>
    <w:rsid w:val="006E1E46"/>
    <w:rsid w:val="006E1EEF"/>
    <w:rsid w:val="006E1F36"/>
    <w:rsid w:val="006E1FCD"/>
    <w:rsid w:val="006E1FE2"/>
    <w:rsid w:val="006E20A0"/>
    <w:rsid w:val="006E2108"/>
    <w:rsid w:val="006E2138"/>
    <w:rsid w:val="006E2242"/>
    <w:rsid w:val="006E22A5"/>
    <w:rsid w:val="006E22F9"/>
    <w:rsid w:val="006E2312"/>
    <w:rsid w:val="006E2395"/>
    <w:rsid w:val="006E2396"/>
    <w:rsid w:val="006E23E1"/>
    <w:rsid w:val="006E23F2"/>
    <w:rsid w:val="006E24C5"/>
    <w:rsid w:val="006E25DD"/>
    <w:rsid w:val="006E25FF"/>
    <w:rsid w:val="006E26AB"/>
    <w:rsid w:val="006E26B1"/>
    <w:rsid w:val="006E2717"/>
    <w:rsid w:val="006E2739"/>
    <w:rsid w:val="006E2786"/>
    <w:rsid w:val="006E27BF"/>
    <w:rsid w:val="006E27DC"/>
    <w:rsid w:val="006E27DE"/>
    <w:rsid w:val="006E2847"/>
    <w:rsid w:val="006E2868"/>
    <w:rsid w:val="006E28AE"/>
    <w:rsid w:val="006E2925"/>
    <w:rsid w:val="006E2A09"/>
    <w:rsid w:val="006E2A43"/>
    <w:rsid w:val="006E2ADF"/>
    <w:rsid w:val="006E2AE6"/>
    <w:rsid w:val="006E2B23"/>
    <w:rsid w:val="006E2B44"/>
    <w:rsid w:val="006E2BF9"/>
    <w:rsid w:val="006E2C4F"/>
    <w:rsid w:val="006E2CC0"/>
    <w:rsid w:val="006E2CE6"/>
    <w:rsid w:val="006E2D0F"/>
    <w:rsid w:val="006E2D43"/>
    <w:rsid w:val="006E2D75"/>
    <w:rsid w:val="006E2DAB"/>
    <w:rsid w:val="006E2DB3"/>
    <w:rsid w:val="006E2DED"/>
    <w:rsid w:val="006E2E12"/>
    <w:rsid w:val="006E2EAA"/>
    <w:rsid w:val="006E2ED8"/>
    <w:rsid w:val="006E2F06"/>
    <w:rsid w:val="006E2F7C"/>
    <w:rsid w:val="006E2F93"/>
    <w:rsid w:val="006E2FDD"/>
    <w:rsid w:val="006E301F"/>
    <w:rsid w:val="006E307F"/>
    <w:rsid w:val="006E3096"/>
    <w:rsid w:val="006E310A"/>
    <w:rsid w:val="006E3110"/>
    <w:rsid w:val="006E3160"/>
    <w:rsid w:val="006E318A"/>
    <w:rsid w:val="006E31AB"/>
    <w:rsid w:val="006E31BF"/>
    <w:rsid w:val="006E31DE"/>
    <w:rsid w:val="006E3219"/>
    <w:rsid w:val="006E330F"/>
    <w:rsid w:val="006E3338"/>
    <w:rsid w:val="006E3354"/>
    <w:rsid w:val="006E33F4"/>
    <w:rsid w:val="006E344E"/>
    <w:rsid w:val="006E3501"/>
    <w:rsid w:val="006E3519"/>
    <w:rsid w:val="006E357E"/>
    <w:rsid w:val="006E35D6"/>
    <w:rsid w:val="006E365D"/>
    <w:rsid w:val="006E3724"/>
    <w:rsid w:val="006E3743"/>
    <w:rsid w:val="006E374D"/>
    <w:rsid w:val="006E37AD"/>
    <w:rsid w:val="006E37DA"/>
    <w:rsid w:val="006E37EA"/>
    <w:rsid w:val="006E37F3"/>
    <w:rsid w:val="006E383F"/>
    <w:rsid w:val="006E3856"/>
    <w:rsid w:val="006E3865"/>
    <w:rsid w:val="006E38A2"/>
    <w:rsid w:val="006E38B9"/>
    <w:rsid w:val="006E38C3"/>
    <w:rsid w:val="006E38DB"/>
    <w:rsid w:val="006E3920"/>
    <w:rsid w:val="006E399A"/>
    <w:rsid w:val="006E39CD"/>
    <w:rsid w:val="006E3A58"/>
    <w:rsid w:val="006E3B1A"/>
    <w:rsid w:val="006E3B38"/>
    <w:rsid w:val="006E3BBE"/>
    <w:rsid w:val="006E3BE7"/>
    <w:rsid w:val="006E3C7D"/>
    <w:rsid w:val="006E3C9D"/>
    <w:rsid w:val="006E3CAE"/>
    <w:rsid w:val="006E3CC3"/>
    <w:rsid w:val="006E3CFA"/>
    <w:rsid w:val="006E3D09"/>
    <w:rsid w:val="006E3DEB"/>
    <w:rsid w:val="006E3DF5"/>
    <w:rsid w:val="006E3E27"/>
    <w:rsid w:val="006E3E29"/>
    <w:rsid w:val="006E3EA1"/>
    <w:rsid w:val="006E3EC6"/>
    <w:rsid w:val="006E3ED9"/>
    <w:rsid w:val="006E3F12"/>
    <w:rsid w:val="006E3F83"/>
    <w:rsid w:val="006E4045"/>
    <w:rsid w:val="006E40A7"/>
    <w:rsid w:val="006E4114"/>
    <w:rsid w:val="006E4117"/>
    <w:rsid w:val="006E419B"/>
    <w:rsid w:val="006E41BC"/>
    <w:rsid w:val="006E41CB"/>
    <w:rsid w:val="006E41EA"/>
    <w:rsid w:val="006E422D"/>
    <w:rsid w:val="006E4243"/>
    <w:rsid w:val="006E4282"/>
    <w:rsid w:val="006E42AA"/>
    <w:rsid w:val="006E42E3"/>
    <w:rsid w:val="006E4370"/>
    <w:rsid w:val="006E439E"/>
    <w:rsid w:val="006E4475"/>
    <w:rsid w:val="006E44B8"/>
    <w:rsid w:val="006E4525"/>
    <w:rsid w:val="006E4532"/>
    <w:rsid w:val="006E4574"/>
    <w:rsid w:val="006E45A9"/>
    <w:rsid w:val="006E45B0"/>
    <w:rsid w:val="006E45C2"/>
    <w:rsid w:val="006E45DC"/>
    <w:rsid w:val="006E4612"/>
    <w:rsid w:val="006E46A7"/>
    <w:rsid w:val="006E46BB"/>
    <w:rsid w:val="006E47A2"/>
    <w:rsid w:val="006E486F"/>
    <w:rsid w:val="006E4899"/>
    <w:rsid w:val="006E48AE"/>
    <w:rsid w:val="006E490C"/>
    <w:rsid w:val="006E4A3C"/>
    <w:rsid w:val="006E4A8C"/>
    <w:rsid w:val="006E4AC2"/>
    <w:rsid w:val="006E4B38"/>
    <w:rsid w:val="006E4B71"/>
    <w:rsid w:val="006E4BCB"/>
    <w:rsid w:val="006E4BF9"/>
    <w:rsid w:val="006E4C15"/>
    <w:rsid w:val="006E4C1C"/>
    <w:rsid w:val="006E4C62"/>
    <w:rsid w:val="006E4CAA"/>
    <w:rsid w:val="006E4CBA"/>
    <w:rsid w:val="006E4E80"/>
    <w:rsid w:val="006E4E87"/>
    <w:rsid w:val="006E4EF7"/>
    <w:rsid w:val="006E4F15"/>
    <w:rsid w:val="006E4F64"/>
    <w:rsid w:val="006E4F6A"/>
    <w:rsid w:val="006E4FB8"/>
    <w:rsid w:val="006E4FF7"/>
    <w:rsid w:val="006E501F"/>
    <w:rsid w:val="006E5027"/>
    <w:rsid w:val="006E5045"/>
    <w:rsid w:val="006E504C"/>
    <w:rsid w:val="006E508A"/>
    <w:rsid w:val="006E50C8"/>
    <w:rsid w:val="006E50FE"/>
    <w:rsid w:val="006E514B"/>
    <w:rsid w:val="006E5160"/>
    <w:rsid w:val="006E5173"/>
    <w:rsid w:val="006E5182"/>
    <w:rsid w:val="006E51C6"/>
    <w:rsid w:val="006E52A0"/>
    <w:rsid w:val="006E52C3"/>
    <w:rsid w:val="006E532C"/>
    <w:rsid w:val="006E5336"/>
    <w:rsid w:val="006E537F"/>
    <w:rsid w:val="006E5395"/>
    <w:rsid w:val="006E53D7"/>
    <w:rsid w:val="006E5437"/>
    <w:rsid w:val="006E5458"/>
    <w:rsid w:val="006E548D"/>
    <w:rsid w:val="006E548F"/>
    <w:rsid w:val="006E5574"/>
    <w:rsid w:val="006E5756"/>
    <w:rsid w:val="006E57C9"/>
    <w:rsid w:val="006E57DD"/>
    <w:rsid w:val="006E58CA"/>
    <w:rsid w:val="006E58FB"/>
    <w:rsid w:val="006E5913"/>
    <w:rsid w:val="006E5947"/>
    <w:rsid w:val="006E5977"/>
    <w:rsid w:val="006E5982"/>
    <w:rsid w:val="006E598E"/>
    <w:rsid w:val="006E598F"/>
    <w:rsid w:val="006E5A41"/>
    <w:rsid w:val="006E5B74"/>
    <w:rsid w:val="006E5B8E"/>
    <w:rsid w:val="006E5C28"/>
    <w:rsid w:val="006E5C52"/>
    <w:rsid w:val="006E5D15"/>
    <w:rsid w:val="006E5E88"/>
    <w:rsid w:val="006E5ED0"/>
    <w:rsid w:val="006E5EDE"/>
    <w:rsid w:val="006E5F92"/>
    <w:rsid w:val="006E5FDB"/>
    <w:rsid w:val="006E6018"/>
    <w:rsid w:val="006E617E"/>
    <w:rsid w:val="006E6219"/>
    <w:rsid w:val="006E6261"/>
    <w:rsid w:val="006E62F5"/>
    <w:rsid w:val="006E6428"/>
    <w:rsid w:val="006E645C"/>
    <w:rsid w:val="006E64BD"/>
    <w:rsid w:val="006E64E4"/>
    <w:rsid w:val="006E64FF"/>
    <w:rsid w:val="006E6526"/>
    <w:rsid w:val="006E652D"/>
    <w:rsid w:val="006E6591"/>
    <w:rsid w:val="006E65EE"/>
    <w:rsid w:val="006E6629"/>
    <w:rsid w:val="006E6643"/>
    <w:rsid w:val="006E6678"/>
    <w:rsid w:val="006E66D9"/>
    <w:rsid w:val="006E6706"/>
    <w:rsid w:val="006E6762"/>
    <w:rsid w:val="006E6766"/>
    <w:rsid w:val="006E677D"/>
    <w:rsid w:val="006E67B9"/>
    <w:rsid w:val="006E680E"/>
    <w:rsid w:val="006E681A"/>
    <w:rsid w:val="006E68AE"/>
    <w:rsid w:val="006E6982"/>
    <w:rsid w:val="006E69E9"/>
    <w:rsid w:val="006E6A8C"/>
    <w:rsid w:val="006E6AA0"/>
    <w:rsid w:val="006E6B13"/>
    <w:rsid w:val="006E6B2D"/>
    <w:rsid w:val="006E6BFF"/>
    <w:rsid w:val="006E6C09"/>
    <w:rsid w:val="006E6C1C"/>
    <w:rsid w:val="006E6C38"/>
    <w:rsid w:val="006E6C64"/>
    <w:rsid w:val="006E6CFF"/>
    <w:rsid w:val="006E6D4F"/>
    <w:rsid w:val="006E6DF8"/>
    <w:rsid w:val="006E6E02"/>
    <w:rsid w:val="006E6E12"/>
    <w:rsid w:val="006E6E2C"/>
    <w:rsid w:val="006E6F08"/>
    <w:rsid w:val="006E6F6A"/>
    <w:rsid w:val="006E6F6F"/>
    <w:rsid w:val="006E6F74"/>
    <w:rsid w:val="006E702A"/>
    <w:rsid w:val="006E7056"/>
    <w:rsid w:val="006E707C"/>
    <w:rsid w:val="006E70CB"/>
    <w:rsid w:val="006E7104"/>
    <w:rsid w:val="006E7196"/>
    <w:rsid w:val="006E71D2"/>
    <w:rsid w:val="006E71E3"/>
    <w:rsid w:val="006E722B"/>
    <w:rsid w:val="006E72E4"/>
    <w:rsid w:val="006E735B"/>
    <w:rsid w:val="006E737C"/>
    <w:rsid w:val="006E738B"/>
    <w:rsid w:val="006E73A7"/>
    <w:rsid w:val="006E7428"/>
    <w:rsid w:val="006E7471"/>
    <w:rsid w:val="006E74E9"/>
    <w:rsid w:val="006E76BD"/>
    <w:rsid w:val="006E771B"/>
    <w:rsid w:val="006E7736"/>
    <w:rsid w:val="006E777C"/>
    <w:rsid w:val="006E77C3"/>
    <w:rsid w:val="006E77D9"/>
    <w:rsid w:val="006E7804"/>
    <w:rsid w:val="006E787B"/>
    <w:rsid w:val="006E791D"/>
    <w:rsid w:val="006E798F"/>
    <w:rsid w:val="006E7A88"/>
    <w:rsid w:val="006E7A95"/>
    <w:rsid w:val="006E7B32"/>
    <w:rsid w:val="006E7B50"/>
    <w:rsid w:val="006E7C12"/>
    <w:rsid w:val="006E7C83"/>
    <w:rsid w:val="006E7C87"/>
    <w:rsid w:val="006E7C90"/>
    <w:rsid w:val="006E7CD8"/>
    <w:rsid w:val="006E7CDF"/>
    <w:rsid w:val="006E7CE3"/>
    <w:rsid w:val="006E7D39"/>
    <w:rsid w:val="006E7DB0"/>
    <w:rsid w:val="006E7DDA"/>
    <w:rsid w:val="006E7E16"/>
    <w:rsid w:val="006E7E5A"/>
    <w:rsid w:val="006E7ED0"/>
    <w:rsid w:val="006E7EDF"/>
    <w:rsid w:val="006E7EE3"/>
    <w:rsid w:val="006E7EF3"/>
    <w:rsid w:val="006E7EF4"/>
    <w:rsid w:val="006E7F39"/>
    <w:rsid w:val="006E7F73"/>
    <w:rsid w:val="006E7F7D"/>
    <w:rsid w:val="006E7F8C"/>
    <w:rsid w:val="006E7FD8"/>
    <w:rsid w:val="006E7FE8"/>
    <w:rsid w:val="006F003D"/>
    <w:rsid w:val="006F007D"/>
    <w:rsid w:val="006F0084"/>
    <w:rsid w:val="006F00AD"/>
    <w:rsid w:val="006F0108"/>
    <w:rsid w:val="006F0118"/>
    <w:rsid w:val="006F019F"/>
    <w:rsid w:val="006F01A0"/>
    <w:rsid w:val="006F01DE"/>
    <w:rsid w:val="006F01E2"/>
    <w:rsid w:val="006F0242"/>
    <w:rsid w:val="006F03B0"/>
    <w:rsid w:val="006F0510"/>
    <w:rsid w:val="006F053E"/>
    <w:rsid w:val="006F056F"/>
    <w:rsid w:val="006F0587"/>
    <w:rsid w:val="006F0657"/>
    <w:rsid w:val="006F06BA"/>
    <w:rsid w:val="006F0704"/>
    <w:rsid w:val="006F076E"/>
    <w:rsid w:val="006F0824"/>
    <w:rsid w:val="006F086C"/>
    <w:rsid w:val="006F0928"/>
    <w:rsid w:val="006F098B"/>
    <w:rsid w:val="006F0992"/>
    <w:rsid w:val="006F09E1"/>
    <w:rsid w:val="006F0A32"/>
    <w:rsid w:val="006F0AD3"/>
    <w:rsid w:val="006F0AEF"/>
    <w:rsid w:val="006F0B5C"/>
    <w:rsid w:val="006F0BF1"/>
    <w:rsid w:val="006F0C52"/>
    <w:rsid w:val="006F0C6C"/>
    <w:rsid w:val="006F0CC2"/>
    <w:rsid w:val="006F0CD9"/>
    <w:rsid w:val="006F0CDC"/>
    <w:rsid w:val="006F0CF4"/>
    <w:rsid w:val="006F0DB1"/>
    <w:rsid w:val="006F0DC7"/>
    <w:rsid w:val="006F0EE0"/>
    <w:rsid w:val="006F0FBD"/>
    <w:rsid w:val="006F102E"/>
    <w:rsid w:val="006F1059"/>
    <w:rsid w:val="006F10BF"/>
    <w:rsid w:val="006F10CB"/>
    <w:rsid w:val="006F10E2"/>
    <w:rsid w:val="006F10EE"/>
    <w:rsid w:val="006F1130"/>
    <w:rsid w:val="006F1271"/>
    <w:rsid w:val="006F1285"/>
    <w:rsid w:val="006F12F3"/>
    <w:rsid w:val="006F13F9"/>
    <w:rsid w:val="006F1463"/>
    <w:rsid w:val="006F14A6"/>
    <w:rsid w:val="006F14B1"/>
    <w:rsid w:val="006F14BE"/>
    <w:rsid w:val="006F1547"/>
    <w:rsid w:val="006F1597"/>
    <w:rsid w:val="006F15A1"/>
    <w:rsid w:val="006F15FA"/>
    <w:rsid w:val="006F1606"/>
    <w:rsid w:val="006F1665"/>
    <w:rsid w:val="006F1668"/>
    <w:rsid w:val="006F1684"/>
    <w:rsid w:val="006F16F4"/>
    <w:rsid w:val="006F16F8"/>
    <w:rsid w:val="006F170C"/>
    <w:rsid w:val="006F173A"/>
    <w:rsid w:val="006F17A7"/>
    <w:rsid w:val="006F17CC"/>
    <w:rsid w:val="006F1830"/>
    <w:rsid w:val="006F184E"/>
    <w:rsid w:val="006F1871"/>
    <w:rsid w:val="006F18A9"/>
    <w:rsid w:val="006F1A0D"/>
    <w:rsid w:val="006F1A90"/>
    <w:rsid w:val="006F1ABA"/>
    <w:rsid w:val="006F1B28"/>
    <w:rsid w:val="006F1B29"/>
    <w:rsid w:val="006F1B2D"/>
    <w:rsid w:val="006F1B41"/>
    <w:rsid w:val="006F1B6F"/>
    <w:rsid w:val="006F1B93"/>
    <w:rsid w:val="006F1BAF"/>
    <w:rsid w:val="006F1BB0"/>
    <w:rsid w:val="006F1BD5"/>
    <w:rsid w:val="006F1C97"/>
    <w:rsid w:val="006F1CD0"/>
    <w:rsid w:val="006F1D3E"/>
    <w:rsid w:val="006F1D5B"/>
    <w:rsid w:val="006F1D66"/>
    <w:rsid w:val="006F1D78"/>
    <w:rsid w:val="006F1E7B"/>
    <w:rsid w:val="006F1EA1"/>
    <w:rsid w:val="006F1FB6"/>
    <w:rsid w:val="006F20BF"/>
    <w:rsid w:val="006F2103"/>
    <w:rsid w:val="006F21EF"/>
    <w:rsid w:val="006F2239"/>
    <w:rsid w:val="006F2250"/>
    <w:rsid w:val="006F229B"/>
    <w:rsid w:val="006F22CF"/>
    <w:rsid w:val="006F22D1"/>
    <w:rsid w:val="006F23E1"/>
    <w:rsid w:val="006F246F"/>
    <w:rsid w:val="006F2488"/>
    <w:rsid w:val="006F24A4"/>
    <w:rsid w:val="006F2541"/>
    <w:rsid w:val="006F25D9"/>
    <w:rsid w:val="006F266E"/>
    <w:rsid w:val="006F26A3"/>
    <w:rsid w:val="006F26B6"/>
    <w:rsid w:val="006F26C2"/>
    <w:rsid w:val="006F273B"/>
    <w:rsid w:val="006F2746"/>
    <w:rsid w:val="006F2755"/>
    <w:rsid w:val="006F27A2"/>
    <w:rsid w:val="006F27E0"/>
    <w:rsid w:val="006F280A"/>
    <w:rsid w:val="006F284A"/>
    <w:rsid w:val="006F2858"/>
    <w:rsid w:val="006F289B"/>
    <w:rsid w:val="006F28A6"/>
    <w:rsid w:val="006F28BF"/>
    <w:rsid w:val="006F28E3"/>
    <w:rsid w:val="006F28FF"/>
    <w:rsid w:val="006F2928"/>
    <w:rsid w:val="006F296A"/>
    <w:rsid w:val="006F29B6"/>
    <w:rsid w:val="006F2A10"/>
    <w:rsid w:val="006F2A22"/>
    <w:rsid w:val="006F2A5D"/>
    <w:rsid w:val="006F2AFB"/>
    <w:rsid w:val="006F2B2E"/>
    <w:rsid w:val="006F2B77"/>
    <w:rsid w:val="006F2BC6"/>
    <w:rsid w:val="006F2CC9"/>
    <w:rsid w:val="006F2CE0"/>
    <w:rsid w:val="006F2D2A"/>
    <w:rsid w:val="006F2D7B"/>
    <w:rsid w:val="006F2D89"/>
    <w:rsid w:val="006F2E1C"/>
    <w:rsid w:val="006F2E35"/>
    <w:rsid w:val="006F2E87"/>
    <w:rsid w:val="006F2E9F"/>
    <w:rsid w:val="006F2EF0"/>
    <w:rsid w:val="006F2EFD"/>
    <w:rsid w:val="006F2F8E"/>
    <w:rsid w:val="006F2FAB"/>
    <w:rsid w:val="006F2FDA"/>
    <w:rsid w:val="006F308F"/>
    <w:rsid w:val="006F30A7"/>
    <w:rsid w:val="006F3131"/>
    <w:rsid w:val="006F3172"/>
    <w:rsid w:val="006F3192"/>
    <w:rsid w:val="006F31C6"/>
    <w:rsid w:val="006F31C9"/>
    <w:rsid w:val="006F31D7"/>
    <w:rsid w:val="006F31F2"/>
    <w:rsid w:val="006F3241"/>
    <w:rsid w:val="006F3257"/>
    <w:rsid w:val="006F33CD"/>
    <w:rsid w:val="006F33DF"/>
    <w:rsid w:val="006F33FD"/>
    <w:rsid w:val="006F3405"/>
    <w:rsid w:val="006F3417"/>
    <w:rsid w:val="006F3418"/>
    <w:rsid w:val="006F3438"/>
    <w:rsid w:val="006F359C"/>
    <w:rsid w:val="006F36A4"/>
    <w:rsid w:val="006F3710"/>
    <w:rsid w:val="006F3777"/>
    <w:rsid w:val="006F37A1"/>
    <w:rsid w:val="006F3844"/>
    <w:rsid w:val="006F3886"/>
    <w:rsid w:val="006F38F3"/>
    <w:rsid w:val="006F396D"/>
    <w:rsid w:val="006F3A0C"/>
    <w:rsid w:val="006F3A63"/>
    <w:rsid w:val="006F3A9E"/>
    <w:rsid w:val="006F3ADF"/>
    <w:rsid w:val="006F3AE3"/>
    <w:rsid w:val="006F3B4C"/>
    <w:rsid w:val="006F3B6C"/>
    <w:rsid w:val="006F3B9D"/>
    <w:rsid w:val="006F3BB7"/>
    <w:rsid w:val="006F3BC4"/>
    <w:rsid w:val="006F3BE6"/>
    <w:rsid w:val="006F3C23"/>
    <w:rsid w:val="006F3CBE"/>
    <w:rsid w:val="006F3CD2"/>
    <w:rsid w:val="006F3CDD"/>
    <w:rsid w:val="006F3E26"/>
    <w:rsid w:val="006F3E3F"/>
    <w:rsid w:val="006F3E47"/>
    <w:rsid w:val="006F3ECC"/>
    <w:rsid w:val="006F3EDA"/>
    <w:rsid w:val="006F3EE1"/>
    <w:rsid w:val="006F3F10"/>
    <w:rsid w:val="006F3FAF"/>
    <w:rsid w:val="006F3FE1"/>
    <w:rsid w:val="006F3FF8"/>
    <w:rsid w:val="006F401F"/>
    <w:rsid w:val="006F403A"/>
    <w:rsid w:val="006F412F"/>
    <w:rsid w:val="006F4161"/>
    <w:rsid w:val="006F4169"/>
    <w:rsid w:val="006F4178"/>
    <w:rsid w:val="006F41C9"/>
    <w:rsid w:val="006F424B"/>
    <w:rsid w:val="006F4293"/>
    <w:rsid w:val="006F42A6"/>
    <w:rsid w:val="006F42B8"/>
    <w:rsid w:val="006F42F6"/>
    <w:rsid w:val="006F4332"/>
    <w:rsid w:val="006F433A"/>
    <w:rsid w:val="006F439A"/>
    <w:rsid w:val="006F43C8"/>
    <w:rsid w:val="006F4422"/>
    <w:rsid w:val="006F4449"/>
    <w:rsid w:val="006F44B6"/>
    <w:rsid w:val="006F4546"/>
    <w:rsid w:val="006F4656"/>
    <w:rsid w:val="006F4700"/>
    <w:rsid w:val="006F4707"/>
    <w:rsid w:val="006F4813"/>
    <w:rsid w:val="006F48A9"/>
    <w:rsid w:val="006F48BA"/>
    <w:rsid w:val="006F4905"/>
    <w:rsid w:val="006F491C"/>
    <w:rsid w:val="006F493D"/>
    <w:rsid w:val="006F498A"/>
    <w:rsid w:val="006F49AD"/>
    <w:rsid w:val="006F49AE"/>
    <w:rsid w:val="006F49D4"/>
    <w:rsid w:val="006F49F7"/>
    <w:rsid w:val="006F4A1E"/>
    <w:rsid w:val="006F4A2D"/>
    <w:rsid w:val="006F4A55"/>
    <w:rsid w:val="006F4A8D"/>
    <w:rsid w:val="006F4ABC"/>
    <w:rsid w:val="006F4B6C"/>
    <w:rsid w:val="006F4B94"/>
    <w:rsid w:val="006F4BA8"/>
    <w:rsid w:val="006F4BD3"/>
    <w:rsid w:val="006F4BDF"/>
    <w:rsid w:val="006F4C10"/>
    <w:rsid w:val="006F4C12"/>
    <w:rsid w:val="006F4CE5"/>
    <w:rsid w:val="006F4D14"/>
    <w:rsid w:val="006F4DF0"/>
    <w:rsid w:val="006F4E9C"/>
    <w:rsid w:val="006F4FB2"/>
    <w:rsid w:val="006F500B"/>
    <w:rsid w:val="006F504D"/>
    <w:rsid w:val="006F50C2"/>
    <w:rsid w:val="006F5129"/>
    <w:rsid w:val="006F5181"/>
    <w:rsid w:val="006F5282"/>
    <w:rsid w:val="006F52A2"/>
    <w:rsid w:val="006F52E9"/>
    <w:rsid w:val="006F52ED"/>
    <w:rsid w:val="006F52F1"/>
    <w:rsid w:val="006F5321"/>
    <w:rsid w:val="006F5325"/>
    <w:rsid w:val="006F53B2"/>
    <w:rsid w:val="006F5452"/>
    <w:rsid w:val="006F55D8"/>
    <w:rsid w:val="006F55E2"/>
    <w:rsid w:val="006F5615"/>
    <w:rsid w:val="006F5682"/>
    <w:rsid w:val="006F56D4"/>
    <w:rsid w:val="006F56EF"/>
    <w:rsid w:val="006F5706"/>
    <w:rsid w:val="006F570B"/>
    <w:rsid w:val="006F5760"/>
    <w:rsid w:val="006F581A"/>
    <w:rsid w:val="006F5844"/>
    <w:rsid w:val="006F5859"/>
    <w:rsid w:val="006F5889"/>
    <w:rsid w:val="006F58CE"/>
    <w:rsid w:val="006F58E5"/>
    <w:rsid w:val="006F595C"/>
    <w:rsid w:val="006F5A05"/>
    <w:rsid w:val="006F5A2D"/>
    <w:rsid w:val="006F5A3F"/>
    <w:rsid w:val="006F5A45"/>
    <w:rsid w:val="006F5A72"/>
    <w:rsid w:val="006F5AE6"/>
    <w:rsid w:val="006F5B01"/>
    <w:rsid w:val="006F5B5B"/>
    <w:rsid w:val="006F5B92"/>
    <w:rsid w:val="006F5C6A"/>
    <w:rsid w:val="006F5C93"/>
    <w:rsid w:val="006F5CC8"/>
    <w:rsid w:val="006F5CF3"/>
    <w:rsid w:val="006F5D53"/>
    <w:rsid w:val="006F5D6B"/>
    <w:rsid w:val="006F5DB4"/>
    <w:rsid w:val="006F5E14"/>
    <w:rsid w:val="006F5E25"/>
    <w:rsid w:val="006F5E39"/>
    <w:rsid w:val="006F5E9F"/>
    <w:rsid w:val="006F5EC0"/>
    <w:rsid w:val="006F5ED5"/>
    <w:rsid w:val="006F5EDD"/>
    <w:rsid w:val="006F5F0C"/>
    <w:rsid w:val="006F5F42"/>
    <w:rsid w:val="006F5F48"/>
    <w:rsid w:val="006F5F83"/>
    <w:rsid w:val="006F5FE3"/>
    <w:rsid w:val="006F5FEE"/>
    <w:rsid w:val="006F6028"/>
    <w:rsid w:val="006F6091"/>
    <w:rsid w:val="006F611F"/>
    <w:rsid w:val="006F6206"/>
    <w:rsid w:val="006F620C"/>
    <w:rsid w:val="006F6219"/>
    <w:rsid w:val="006F6231"/>
    <w:rsid w:val="006F6232"/>
    <w:rsid w:val="006F623A"/>
    <w:rsid w:val="006F626A"/>
    <w:rsid w:val="006F6282"/>
    <w:rsid w:val="006F62DA"/>
    <w:rsid w:val="006F632B"/>
    <w:rsid w:val="006F63F6"/>
    <w:rsid w:val="006F63FE"/>
    <w:rsid w:val="006F6400"/>
    <w:rsid w:val="006F64B7"/>
    <w:rsid w:val="006F64E8"/>
    <w:rsid w:val="006F656C"/>
    <w:rsid w:val="006F6586"/>
    <w:rsid w:val="006F66A7"/>
    <w:rsid w:val="006F673F"/>
    <w:rsid w:val="006F6757"/>
    <w:rsid w:val="006F6794"/>
    <w:rsid w:val="006F67A2"/>
    <w:rsid w:val="006F67F7"/>
    <w:rsid w:val="006F6812"/>
    <w:rsid w:val="006F6875"/>
    <w:rsid w:val="006F6889"/>
    <w:rsid w:val="006F6966"/>
    <w:rsid w:val="006F698B"/>
    <w:rsid w:val="006F69A0"/>
    <w:rsid w:val="006F69B3"/>
    <w:rsid w:val="006F69D9"/>
    <w:rsid w:val="006F6A22"/>
    <w:rsid w:val="006F6A50"/>
    <w:rsid w:val="006F6AB8"/>
    <w:rsid w:val="006F6AE1"/>
    <w:rsid w:val="006F6B00"/>
    <w:rsid w:val="006F6B50"/>
    <w:rsid w:val="006F6B78"/>
    <w:rsid w:val="006F6BA7"/>
    <w:rsid w:val="006F6BD3"/>
    <w:rsid w:val="006F6BE1"/>
    <w:rsid w:val="006F6C78"/>
    <w:rsid w:val="006F6CC7"/>
    <w:rsid w:val="006F6CFC"/>
    <w:rsid w:val="006F6D62"/>
    <w:rsid w:val="006F6E2A"/>
    <w:rsid w:val="006F6F43"/>
    <w:rsid w:val="006F6F99"/>
    <w:rsid w:val="006F70B8"/>
    <w:rsid w:val="006F716C"/>
    <w:rsid w:val="006F7197"/>
    <w:rsid w:val="006F71BC"/>
    <w:rsid w:val="006F71BE"/>
    <w:rsid w:val="006F7209"/>
    <w:rsid w:val="006F7251"/>
    <w:rsid w:val="006F72F8"/>
    <w:rsid w:val="006F7305"/>
    <w:rsid w:val="006F73BC"/>
    <w:rsid w:val="006F741F"/>
    <w:rsid w:val="006F7492"/>
    <w:rsid w:val="006F7520"/>
    <w:rsid w:val="006F75A9"/>
    <w:rsid w:val="006F75EC"/>
    <w:rsid w:val="006F7713"/>
    <w:rsid w:val="006F7799"/>
    <w:rsid w:val="006F77C7"/>
    <w:rsid w:val="006F77DC"/>
    <w:rsid w:val="006F7893"/>
    <w:rsid w:val="006F78ED"/>
    <w:rsid w:val="006F7A0B"/>
    <w:rsid w:val="006F7A28"/>
    <w:rsid w:val="006F7A29"/>
    <w:rsid w:val="006F7A38"/>
    <w:rsid w:val="006F7B0B"/>
    <w:rsid w:val="006F7B91"/>
    <w:rsid w:val="006F7B9A"/>
    <w:rsid w:val="006F7C20"/>
    <w:rsid w:val="006F7C55"/>
    <w:rsid w:val="006F7CA0"/>
    <w:rsid w:val="006F7CA3"/>
    <w:rsid w:val="006F7CD7"/>
    <w:rsid w:val="006F7D93"/>
    <w:rsid w:val="006F7DD6"/>
    <w:rsid w:val="006F7EE2"/>
    <w:rsid w:val="006F7EEE"/>
    <w:rsid w:val="006F7F2A"/>
    <w:rsid w:val="006F7F2E"/>
    <w:rsid w:val="006F7F87"/>
    <w:rsid w:val="00700016"/>
    <w:rsid w:val="00700080"/>
    <w:rsid w:val="00700094"/>
    <w:rsid w:val="007000D0"/>
    <w:rsid w:val="0070022F"/>
    <w:rsid w:val="00700250"/>
    <w:rsid w:val="007002A3"/>
    <w:rsid w:val="007002A4"/>
    <w:rsid w:val="007002D0"/>
    <w:rsid w:val="00700364"/>
    <w:rsid w:val="0070038D"/>
    <w:rsid w:val="0070038E"/>
    <w:rsid w:val="00700396"/>
    <w:rsid w:val="007003C5"/>
    <w:rsid w:val="007003FF"/>
    <w:rsid w:val="00700499"/>
    <w:rsid w:val="007004B0"/>
    <w:rsid w:val="007004D7"/>
    <w:rsid w:val="0070050D"/>
    <w:rsid w:val="0070052A"/>
    <w:rsid w:val="007005BD"/>
    <w:rsid w:val="00700603"/>
    <w:rsid w:val="00700616"/>
    <w:rsid w:val="007006F6"/>
    <w:rsid w:val="00700708"/>
    <w:rsid w:val="00700732"/>
    <w:rsid w:val="007007F4"/>
    <w:rsid w:val="00700915"/>
    <w:rsid w:val="00700995"/>
    <w:rsid w:val="0070099C"/>
    <w:rsid w:val="007009A5"/>
    <w:rsid w:val="00700A4B"/>
    <w:rsid w:val="00700AAA"/>
    <w:rsid w:val="00700AB6"/>
    <w:rsid w:val="00700AD1"/>
    <w:rsid w:val="00700B72"/>
    <w:rsid w:val="00700C49"/>
    <w:rsid w:val="00700C74"/>
    <w:rsid w:val="00700CA6"/>
    <w:rsid w:val="00700CB8"/>
    <w:rsid w:val="00700CC2"/>
    <w:rsid w:val="00700CD9"/>
    <w:rsid w:val="00700CE6"/>
    <w:rsid w:val="00700D22"/>
    <w:rsid w:val="00700DB1"/>
    <w:rsid w:val="00700DDB"/>
    <w:rsid w:val="00700DFC"/>
    <w:rsid w:val="00700E81"/>
    <w:rsid w:val="00700E87"/>
    <w:rsid w:val="00700E9C"/>
    <w:rsid w:val="00700EA3"/>
    <w:rsid w:val="00700F07"/>
    <w:rsid w:val="00700F9C"/>
    <w:rsid w:val="00701098"/>
    <w:rsid w:val="007010B9"/>
    <w:rsid w:val="007011B7"/>
    <w:rsid w:val="00701243"/>
    <w:rsid w:val="00701246"/>
    <w:rsid w:val="00701258"/>
    <w:rsid w:val="00701272"/>
    <w:rsid w:val="00701287"/>
    <w:rsid w:val="0070128A"/>
    <w:rsid w:val="007012D3"/>
    <w:rsid w:val="00701372"/>
    <w:rsid w:val="00701378"/>
    <w:rsid w:val="00701381"/>
    <w:rsid w:val="007013C0"/>
    <w:rsid w:val="00701430"/>
    <w:rsid w:val="00701445"/>
    <w:rsid w:val="0070148B"/>
    <w:rsid w:val="00701492"/>
    <w:rsid w:val="0070151B"/>
    <w:rsid w:val="0070168E"/>
    <w:rsid w:val="007016C8"/>
    <w:rsid w:val="007016F0"/>
    <w:rsid w:val="0070177A"/>
    <w:rsid w:val="007017DE"/>
    <w:rsid w:val="00701898"/>
    <w:rsid w:val="00701899"/>
    <w:rsid w:val="00701927"/>
    <w:rsid w:val="0070193D"/>
    <w:rsid w:val="00701964"/>
    <w:rsid w:val="00701968"/>
    <w:rsid w:val="007019E0"/>
    <w:rsid w:val="007019EF"/>
    <w:rsid w:val="007019FF"/>
    <w:rsid w:val="00701A19"/>
    <w:rsid w:val="00701B93"/>
    <w:rsid w:val="00701BE0"/>
    <w:rsid w:val="00701BF0"/>
    <w:rsid w:val="00701C32"/>
    <w:rsid w:val="00701CB4"/>
    <w:rsid w:val="00701D34"/>
    <w:rsid w:val="00701D81"/>
    <w:rsid w:val="00701E1F"/>
    <w:rsid w:val="00701E54"/>
    <w:rsid w:val="00701EBE"/>
    <w:rsid w:val="00701EC1"/>
    <w:rsid w:val="00701FDF"/>
    <w:rsid w:val="0070205C"/>
    <w:rsid w:val="007020DA"/>
    <w:rsid w:val="007021CD"/>
    <w:rsid w:val="00702227"/>
    <w:rsid w:val="0070222F"/>
    <w:rsid w:val="007022D3"/>
    <w:rsid w:val="00702342"/>
    <w:rsid w:val="00702348"/>
    <w:rsid w:val="00702351"/>
    <w:rsid w:val="00702369"/>
    <w:rsid w:val="00702377"/>
    <w:rsid w:val="00702400"/>
    <w:rsid w:val="0070241D"/>
    <w:rsid w:val="007025B0"/>
    <w:rsid w:val="007025CA"/>
    <w:rsid w:val="00702601"/>
    <w:rsid w:val="00702660"/>
    <w:rsid w:val="00702676"/>
    <w:rsid w:val="007026C6"/>
    <w:rsid w:val="00702794"/>
    <w:rsid w:val="007027C2"/>
    <w:rsid w:val="007027E8"/>
    <w:rsid w:val="00702801"/>
    <w:rsid w:val="00702873"/>
    <w:rsid w:val="0070287F"/>
    <w:rsid w:val="007028D6"/>
    <w:rsid w:val="0070292A"/>
    <w:rsid w:val="00702981"/>
    <w:rsid w:val="00702A41"/>
    <w:rsid w:val="00702B74"/>
    <w:rsid w:val="00702BF9"/>
    <w:rsid w:val="00702BFD"/>
    <w:rsid w:val="00702C0E"/>
    <w:rsid w:val="00702C71"/>
    <w:rsid w:val="00702CD1"/>
    <w:rsid w:val="00702CD6"/>
    <w:rsid w:val="00702D16"/>
    <w:rsid w:val="00702D38"/>
    <w:rsid w:val="00702DED"/>
    <w:rsid w:val="00702E00"/>
    <w:rsid w:val="00702E05"/>
    <w:rsid w:val="00702E1C"/>
    <w:rsid w:val="00702E4B"/>
    <w:rsid w:val="00702E7A"/>
    <w:rsid w:val="00702E92"/>
    <w:rsid w:val="00702F25"/>
    <w:rsid w:val="00702F32"/>
    <w:rsid w:val="00702FB4"/>
    <w:rsid w:val="00702FCD"/>
    <w:rsid w:val="00702FDE"/>
    <w:rsid w:val="00703000"/>
    <w:rsid w:val="00703041"/>
    <w:rsid w:val="0070304D"/>
    <w:rsid w:val="00703123"/>
    <w:rsid w:val="00703143"/>
    <w:rsid w:val="007031A5"/>
    <w:rsid w:val="007032B9"/>
    <w:rsid w:val="007032DC"/>
    <w:rsid w:val="0070333F"/>
    <w:rsid w:val="0070334C"/>
    <w:rsid w:val="00703386"/>
    <w:rsid w:val="007033B0"/>
    <w:rsid w:val="0070344B"/>
    <w:rsid w:val="0070347A"/>
    <w:rsid w:val="007034B4"/>
    <w:rsid w:val="007034D5"/>
    <w:rsid w:val="0070353A"/>
    <w:rsid w:val="00703572"/>
    <w:rsid w:val="00703581"/>
    <w:rsid w:val="007035CE"/>
    <w:rsid w:val="007035E5"/>
    <w:rsid w:val="0070360A"/>
    <w:rsid w:val="007036DD"/>
    <w:rsid w:val="0070371B"/>
    <w:rsid w:val="0070372D"/>
    <w:rsid w:val="0070374C"/>
    <w:rsid w:val="00703751"/>
    <w:rsid w:val="00703785"/>
    <w:rsid w:val="007037B0"/>
    <w:rsid w:val="00703821"/>
    <w:rsid w:val="0070385E"/>
    <w:rsid w:val="0070387E"/>
    <w:rsid w:val="007038F5"/>
    <w:rsid w:val="00703946"/>
    <w:rsid w:val="00703992"/>
    <w:rsid w:val="007039FF"/>
    <w:rsid w:val="00703A5C"/>
    <w:rsid w:val="00703B11"/>
    <w:rsid w:val="00703BBF"/>
    <w:rsid w:val="00703BC6"/>
    <w:rsid w:val="00703CF8"/>
    <w:rsid w:val="00703E55"/>
    <w:rsid w:val="00703F74"/>
    <w:rsid w:val="00703F76"/>
    <w:rsid w:val="00703FFC"/>
    <w:rsid w:val="00704012"/>
    <w:rsid w:val="0070402D"/>
    <w:rsid w:val="007040BF"/>
    <w:rsid w:val="00704137"/>
    <w:rsid w:val="0070417A"/>
    <w:rsid w:val="007041B0"/>
    <w:rsid w:val="007041B9"/>
    <w:rsid w:val="007041FF"/>
    <w:rsid w:val="00704215"/>
    <w:rsid w:val="007042A5"/>
    <w:rsid w:val="007042B1"/>
    <w:rsid w:val="007044B7"/>
    <w:rsid w:val="007044CA"/>
    <w:rsid w:val="007044F6"/>
    <w:rsid w:val="00704515"/>
    <w:rsid w:val="00704546"/>
    <w:rsid w:val="0070461F"/>
    <w:rsid w:val="00704718"/>
    <w:rsid w:val="0070471D"/>
    <w:rsid w:val="00704811"/>
    <w:rsid w:val="00704847"/>
    <w:rsid w:val="00704856"/>
    <w:rsid w:val="007048BC"/>
    <w:rsid w:val="007048DE"/>
    <w:rsid w:val="007048F8"/>
    <w:rsid w:val="00704900"/>
    <w:rsid w:val="00704982"/>
    <w:rsid w:val="00704998"/>
    <w:rsid w:val="007049FC"/>
    <w:rsid w:val="00704A47"/>
    <w:rsid w:val="00704A52"/>
    <w:rsid w:val="00704B0B"/>
    <w:rsid w:val="00704B14"/>
    <w:rsid w:val="00704DFE"/>
    <w:rsid w:val="00704E4E"/>
    <w:rsid w:val="00704E7B"/>
    <w:rsid w:val="00704E7C"/>
    <w:rsid w:val="00704E84"/>
    <w:rsid w:val="00704EA9"/>
    <w:rsid w:val="00704F31"/>
    <w:rsid w:val="00704F5B"/>
    <w:rsid w:val="00705018"/>
    <w:rsid w:val="00705081"/>
    <w:rsid w:val="007050AC"/>
    <w:rsid w:val="007050B3"/>
    <w:rsid w:val="007050CD"/>
    <w:rsid w:val="00705143"/>
    <w:rsid w:val="0070519E"/>
    <w:rsid w:val="007051BC"/>
    <w:rsid w:val="007051CF"/>
    <w:rsid w:val="00705228"/>
    <w:rsid w:val="007052BB"/>
    <w:rsid w:val="007052E2"/>
    <w:rsid w:val="007052FD"/>
    <w:rsid w:val="00705369"/>
    <w:rsid w:val="0070537B"/>
    <w:rsid w:val="0070537E"/>
    <w:rsid w:val="007053C2"/>
    <w:rsid w:val="00705425"/>
    <w:rsid w:val="0070548D"/>
    <w:rsid w:val="007054B4"/>
    <w:rsid w:val="00705546"/>
    <w:rsid w:val="00705592"/>
    <w:rsid w:val="00705594"/>
    <w:rsid w:val="007055BE"/>
    <w:rsid w:val="007055F5"/>
    <w:rsid w:val="0070569B"/>
    <w:rsid w:val="00705746"/>
    <w:rsid w:val="00705796"/>
    <w:rsid w:val="0070579C"/>
    <w:rsid w:val="0070586C"/>
    <w:rsid w:val="007058CD"/>
    <w:rsid w:val="0070598B"/>
    <w:rsid w:val="00705AE5"/>
    <w:rsid w:val="00705AEF"/>
    <w:rsid w:val="00705B04"/>
    <w:rsid w:val="00705B0B"/>
    <w:rsid w:val="00705B45"/>
    <w:rsid w:val="00705B4A"/>
    <w:rsid w:val="00705C67"/>
    <w:rsid w:val="00705C69"/>
    <w:rsid w:val="00705CB0"/>
    <w:rsid w:val="00705CBA"/>
    <w:rsid w:val="00705CBF"/>
    <w:rsid w:val="00705CC6"/>
    <w:rsid w:val="00705D58"/>
    <w:rsid w:val="00705D95"/>
    <w:rsid w:val="00705DCB"/>
    <w:rsid w:val="00705DD9"/>
    <w:rsid w:val="00705DDB"/>
    <w:rsid w:val="00705DF8"/>
    <w:rsid w:val="00705E6A"/>
    <w:rsid w:val="00705E6F"/>
    <w:rsid w:val="00705E9A"/>
    <w:rsid w:val="00705EDE"/>
    <w:rsid w:val="00705F4C"/>
    <w:rsid w:val="00705FC0"/>
    <w:rsid w:val="00706002"/>
    <w:rsid w:val="00706011"/>
    <w:rsid w:val="0070604A"/>
    <w:rsid w:val="007060E2"/>
    <w:rsid w:val="0070613E"/>
    <w:rsid w:val="00706151"/>
    <w:rsid w:val="00706182"/>
    <w:rsid w:val="007061A4"/>
    <w:rsid w:val="0070621E"/>
    <w:rsid w:val="007062B3"/>
    <w:rsid w:val="0070633C"/>
    <w:rsid w:val="007063B7"/>
    <w:rsid w:val="007063CA"/>
    <w:rsid w:val="0070647B"/>
    <w:rsid w:val="00706502"/>
    <w:rsid w:val="00706545"/>
    <w:rsid w:val="0070655B"/>
    <w:rsid w:val="00706567"/>
    <w:rsid w:val="0070664D"/>
    <w:rsid w:val="00706673"/>
    <w:rsid w:val="00706691"/>
    <w:rsid w:val="007066BC"/>
    <w:rsid w:val="007066CB"/>
    <w:rsid w:val="007066E0"/>
    <w:rsid w:val="0070670D"/>
    <w:rsid w:val="00706745"/>
    <w:rsid w:val="00706817"/>
    <w:rsid w:val="0070686C"/>
    <w:rsid w:val="007068C1"/>
    <w:rsid w:val="007068E3"/>
    <w:rsid w:val="007068F8"/>
    <w:rsid w:val="00706937"/>
    <w:rsid w:val="00706945"/>
    <w:rsid w:val="007069BE"/>
    <w:rsid w:val="00706A13"/>
    <w:rsid w:val="00706AA8"/>
    <w:rsid w:val="00706B14"/>
    <w:rsid w:val="00706B81"/>
    <w:rsid w:val="00706BC7"/>
    <w:rsid w:val="00706C94"/>
    <w:rsid w:val="00706D0A"/>
    <w:rsid w:val="00706D58"/>
    <w:rsid w:val="00706DB7"/>
    <w:rsid w:val="00706ED3"/>
    <w:rsid w:val="00706F20"/>
    <w:rsid w:val="00706F4C"/>
    <w:rsid w:val="00706F56"/>
    <w:rsid w:val="00707014"/>
    <w:rsid w:val="007070C7"/>
    <w:rsid w:val="00707182"/>
    <w:rsid w:val="007071FE"/>
    <w:rsid w:val="00707205"/>
    <w:rsid w:val="00707290"/>
    <w:rsid w:val="00707300"/>
    <w:rsid w:val="00707342"/>
    <w:rsid w:val="00707379"/>
    <w:rsid w:val="0070737E"/>
    <w:rsid w:val="0070738D"/>
    <w:rsid w:val="00707395"/>
    <w:rsid w:val="0070739A"/>
    <w:rsid w:val="0070745D"/>
    <w:rsid w:val="0070746C"/>
    <w:rsid w:val="007074C2"/>
    <w:rsid w:val="007074EA"/>
    <w:rsid w:val="00707509"/>
    <w:rsid w:val="0070753C"/>
    <w:rsid w:val="00707542"/>
    <w:rsid w:val="007075F1"/>
    <w:rsid w:val="00707748"/>
    <w:rsid w:val="00707756"/>
    <w:rsid w:val="0070777B"/>
    <w:rsid w:val="00707874"/>
    <w:rsid w:val="007078FC"/>
    <w:rsid w:val="0070790F"/>
    <w:rsid w:val="00707957"/>
    <w:rsid w:val="0070795A"/>
    <w:rsid w:val="00707979"/>
    <w:rsid w:val="0070797A"/>
    <w:rsid w:val="007079A0"/>
    <w:rsid w:val="00707A2A"/>
    <w:rsid w:val="00707A94"/>
    <w:rsid w:val="00707ABC"/>
    <w:rsid w:val="00707AC2"/>
    <w:rsid w:val="00707AF4"/>
    <w:rsid w:val="00707B2A"/>
    <w:rsid w:val="00707B4C"/>
    <w:rsid w:val="00707BAD"/>
    <w:rsid w:val="00707C21"/>
    <w:rsid w:val="00707C2B"/>
    <w:rsid w:val="00707CD8"/>
    <w:rsid w:val="00707D10"/>
    <w:rsid w:val="00707D34"/>
    <w:rsid w:val="00707D64"/>
    <w:rsid w:val="00707DCB"/>
    <w:rsid w:val="00707DD3"/>
    <w:rsid w:val="00707E79"/>
    <w:rsid w:val="00707E90"/>
    <w:rsid w:val="00707F1A"/>
    <w:rsid w:val="00707F44"/>
    <w:rsid w:val="00707FF8"/>
    <w:rsid w:val="0071004F"/>
    <w:rsid w:val="0071010D"/>
    <w:rsid w:val="00710116"/>
    <w:rsid w:val="00710140"/>
    <w:rsid w:val="007101BF"/>
    <w:rsid w:val="007101DF"/>
    <w:rsid w:val="0071020F"/>
    <w:rsid w:val="0071024D"/>
    <w:rsid w:val="007102CF"/>
    <w:rsid w:val="007102DB"/>
    <w:rsid w:val="007102E7"/>
    <w:rsid w:val="00710378"/>
    <w:rsid w:val="00710412"/>
    <w:rsid w:val="0071046F"/>
    <w:rsid w:val="007104D8"/>
    <w:rsid w:val="00710588"/>
    <w:rsid w:val="00710599"/>
    <w:rsid w:val="007105E2"/>
    <w:rsid w:val="0071060A"/>
    <w:rsid w:val="0071067D"/>
    <w:rsid w:val="0071068D"/>
    <w:rsid w:val="007107E3"/>
    <w:rsid w:val="007108D8"/>
    <w:rsid w:val="00710916"/>
    <w:rsid w:val="00710AA7"/>
    <w:rsid w:val="00710C4B"/>
    <w:rsid w:val="00710C67"/>
    <w:rsid w:val="00710C89"/>
    <w:rsid w:val="00710D2C"/>
    <w:rsid w:val="00710D2E"/>
    <w:rsid w:val="00710D78"/>
    <w:rsid w:val="00710DA3"/>
    <w:rsid w:val="00710E01"/>
    <w:rsid w:val="00710E13"/>
    <w:rsid w:val="00710EA8"/>
    <w:rsid w:val="00710EF2"/>
    <w:rsid w:val="00710F9A"/>
    <w:rsid w:val="00710FC0"/>
    <w:rsid w:val="00710FC2"/>
    <w:rsid w:val="00711005"/>
    <w:rsid w:val="00711090"/>
    <w:rsid w:val="00711098"/>
    <w:rsid w:val="007110BB"/>
    <w:rsid w:val="007110E3"/>
    <w:rsid w:val="0071122A"/>
    <w:rsid w:val="007112A5"/>
    <w:rsid w:val="007112E7"/>
    <w:rsid w:val="00711301"/>
    <w:rsid w:val="007114C8"/>
    <w:rsid w:val="0071151D"/>
    <w:rsid w:val="00711542"/>
    <w:rsid w:val="007115AE"/>
    <w:rsid w:val="007115C1"/>
    <w:rsid w:val="0071167B"/>
    <w:rsid w:val="0071172E"/>
    <w:rsid w:val="0071174A"/>
    <w:rsid w:val="00711834"/>
    <w:rsid w:val="0071184A"/>
    <w:rsid w:val="00711852"/>
    <w:rsid w:val="007118B9"/>
    <w:rsid w:val="007118EE"/>
    <w:rsid w:val="00711910"/>
    <w:rsid w:val="00711922"/>
    <w:rsid w:val="00711925"/>
    <w:rsid w:val="007119B3"/>
    <w:rsid w:val="00711A04"/>
    <w:rsid w:val="00711A6E"/>
    <w:rsid w:val="00711AC3"/>
    <w:rsid w:val="00711B09"/>
    <w:rsid w:val="00711B78"/>
    <w:rsid w:val="00711B88"/>
    <w:rsid w:val="00711C4E"/>
    <w:rsid w:val="00711CF0"/>
    <w:rsid w:val="00711D34"/>
    <w:rsid w:val="00711D6D"/>
    <w:rsid w:val="00711DAA"/>
    <w:rsid w:val="00711E09"/>
    <w:rsid w:val="00711E2F"/>
    <w:rsid w:val="00711E8F"/>
    <w:rsid w:val="00711E9B"/>
    <w:rsid w:val="00711EF7"/>
    <w:rsid w:val="00711F1E"/>
    <w:rsid w:val="00711F2D"/>
    <w:rsid w:val="00711F53"/>
    <w:rsid w:val="00711F6C"/>
    <w:rsid w:val="00711F79"/>
    <w:rsid w:val="00711F8F"/>
    <w:rsid w:val="00711FC7"/>
    <w:rsid w:val="0071203B"/>
    <w:rsid w:val="0071204B"/>
    <w:rsid w:val="0071205C"/>
    <w:rsid w:val="007120BC"/>
    <w:rsid w:val="007120C4"/>
    <w:rsid w:val="00712121"/>
    <w:rsid w:val="00712145"/>
    <w:rsid w:val="007121E7"/>
    <w:rsid w:val="0071224C"/>
    <w:rsid w:val="007122E1"/>
    <w:rsid w:val="00712311"/>
    <w:rsid w:val="0071239E"/>
    <w:rsid w:val="007123D0"/>
    <w:rsid w:val="007123F4"/>
    <w:rsid w:val="00712436"/>
    <w:rsid w:val="0071243B"/>
    <w:rsid w:val="007124AA"/>
    <w:rsid w:val="007124EA"/>
    <w:rsid w:val="007124F0"/>
    <w:rsid w:val="00712520"/>
    <w:rsid w:val="00712550"/>
    <w:rsid w:val="0071257C"/>
    <w:rsid w:val="0071259B"/>
    <w:rsid w:val="00712605"/>
    <w:rsid w:val="00712675"/>
    <w:rsid w:val="0071269C"/>
    <w:rsid w:val="007126CD"/>
    <w:rsid w:val="007126EE"/>
    <w:rsid w:val="0071272F"/>
    <w:rsid w:val="007127BF"/>
    <w:rsid w:val="007127CC"/>
    <w:rsid w:val="007127EC"/>
    <w:rsid w:val="007127EE"/>
    <w:rsid w:val="007127FB"/>
    <w:rsid w:val="00712879"/>
    <w:rsid w:val="007128A3"/>
    <w:rsid w:val="007128AC"/>
    <w:rsid w:val="007128E4"/>
    <w:rsid w:val="00712936"/>
    <w:rsid w:val="0071296A"/>
    <w:rsid w:val="00712978"/>
    <w:rsid w:val="00712983"/>
    <w:rsid w:val="007129C2"/>
    <w:rsid w:val="00712A16"/>
    <w:rsid w:val="00712AC4"/>
    <w:rsid w:val="00712B32"/>
    <w:rsid w:val="00712B8C"/>
    <w:rsid w:val="00712BA3"/>
    <w:rsid w:val="00712BE2"/>
    <w:rsid w:val="00712BE4"/>
    <w:rsid w:val="00712C67"/>
    <w:rsid w:val="00712CAD"/>
    <w:rsid w:val="00712CFA"/>
    <w:rsid w:val="00712D07"/>
    <w:rsid w:val="00712D20"/>
    <w:rsid w:val="00712D53"/>
    <w:rsid w:val="00712D9C"/>
    <w:rsid w:val="00712E40"/>
    <w:rsid w:val="00712EC1"/>
    <w:rsid w:val="00712F33"/>
    <w:rsid w:val="00712F86"/>
    <w:rsid w:val="007130B6"/>
    <w:rsid w:val="00713124"/>
    <w:rsid w:val="007131A4"/>
    <w:rsid w:val="007131DF"/>
    <w:rsid w:val="00713234"/>
    <w:rsid w:val="007132A4"/>
    <w:rsid w:val="00713474"/>
    <w:rsid w:val="0071349A"/>
    <w:rsid w:val="007134D2"/>
    <w:rsid w:val="00713527"/>
    <w:rsid w:val="007135C1"/>
    <w:rsid w:val="007135EF"/>
    <w:rsid w:val="007135F6"/>
    <w:rsid w:val="00713601"/>
    <w:rsid w:val="007136C8"/>
    <w:rsid w:val="007136E2"/>
    <w:rsid w:val="007136FE"/>
    <w:rsid w:val="00713775"/>
    <w:rsid w:val="00713810"/>
    <w:rsid w:val="007138B4"/>
    <w:rsid w:val="00713901"/>
    <w:rsid w:val="00713A5A"/>
    <w:rsid w:val="00713A79"/>
    <w:rsid w:val="00713BA3"/>
    <w:rsid w:val="00713BD8"/>
    <w:rsid w:val="00713C34"/>
    <w:rsid w:val="00713C61"/>
    <w:rsid w:val="00713CEE"/>
    <w:rsid w:val="00713D5A"/>
    <w:rsid w:val="00713E29"/>
    <w:rsid w:val="00713E51"/>
    <w:rsid w:val="00713E7E"/>
    <w:rsid w:val="00713E99"/>
    <w:rsid w:val="00713EC4"/>
    <w:rsid w:val="00714019"/>
    <w:rsid w:val="007140B6"/>
    <w:rsid w:val="0071415B"/>
    <w:rsid w:val="00714178"/>
    <w:rsid w:val="007141AA"/>
    <w:rsid w:val="007141AC"/>
    <w:rsid w:val="0071423E"/>
    <w:rsid w:val="00714275"/>
    <w:rsid w:val="007142DD"/>
    <w:rsid w:val="00714308"/>
    <w:rsid w:val="0071437A"/>
    <w:rsid w:val="00714528"/>
    <w:rsid w:val="00714544"/>
    <w:rsid w:val="0071461A"/>
    <w:rsid w:val="0071462A"/>
    <w:rsid w:val="00714647"/>
    <w:rsid w:val="00714700"/>
    <w:rsid w:val="0071473E"/>
    <w:rsid w:val="0071474C"/>
    <w:rsid w:val="00714762"/>
    <w:rsid w:val="00714763"/>
    <w:rsid w:val="0071477F"/>
    <w:rsid w:val="007147E4"/>
    <w:rsid w:val="0071483C"/>
    <w:rsid w:val="00714857"/>
    <w:rsid w:val="0071486D"/>
    <w:rsid w:val="007149AF"/>
    <w:rsid w:val="007149CF"/>
    <w:rsid w:val="00714A08"/>
    <w:rsid w:val="00714AA2"/>
    <w:rsid w:val="00714AFA"/>
    <w:rsid w:val="00714B9B"/>
    <w:rsid w:val="00714BD0"/>
    <w:rsid w:val="00714C0E"/>
    <w:rsid w:val="00714DF3"/>
    <w:rsid w:val="00714E00"/>
    <w:rsid w:val="00714E2F"/>
    <w:rsid w:val="00714E42"/>
    <w:rsid w:val="00714E55"/>
    <w:rsid w:val="00714EC3"/>
    <w:rsid w:val="00714F05"/>
    <w:rsid w:val="0071505D"/>
    <w:rsid w:val="00715069"/>
    <w:rsid w:val="007150B4"/>
    <w:rsid w:val="007150F8"/>
    <w:rsid w:val="0071517A"/>
    <w:rsid w:val="0071518A"/>
    <w:rsid w:val="00715293"/>
    <w:rsid w:val="007152A9"/>
    <w:rsid w:val="007152CC"/>
    <w:rsid w:val="00715392"/>
    <w:rsid w:val="0071542F"/>
    <w:rsid w:val="0071545E"/>
    <w:rsid w:val="00715492"/>
    <w:rsid w:val="007154DB"/>
    <w:rsid w:val="007154E3"/>
    <w:rsid w:val="00715569"/>
    <w:rsid w:val="007155C3"/>
    <w:rsid w:val="007155F4"/>
    <w:rsid w:val="00715600"/>
    <w:rsid w:val="0071561C"/>
    <w:rsid w:val="00715666"/>
    <w:rsid w:val="007156F9"/>
    <w:rsid w:val="0071571D"/>
    <w:rsid w:val="00715737"/>
    <w:rsid w:val="007157B9"/>
    <w:rsid w:val="007157C5"/>
    <w:rsid w:val="00715834"/>
    <w:rsid w:val="00715867"/>
    <w:rsid w:val="007158DF"/>
    <w:rsid w:val="007158EC"/>
    <w:rsid w:val="00715922"/>
    <w:rsid w:val="0071593E"/>
    <w:rsid w:val="00715981"/>
    <w:rsid w:val="007159B3"/>
    <w:rsid w:val="007159C6"/>
    <w:rsid w:val="007159D5"/>
    <w:rsid w:val="00715A11"/>
    <w:rsid w:val="00715A1E"/>
    <w:rsid w:val="00715A40"/>
    <w:rsid w:val="00715A4F"/>
    <w:rsid w:val="00715AC9"/>
    <w:rsid w:val="00715AE3"/>
    <w:rsid w:val="00715AF2"/>
    <w:rsid w:val="00715B15"/>
    <w:rsid w:val="00715BAB"/>
    <w:rsid w:val="00715C20"/>
    <w:rsid w:val="00715CC6"/>
    <w:rsid w:val="00715CCA"/>
    <w:rsid w:val="00715CD7"/>
    <w:rsid w:val="00715CF8"/>
    <w:rsid w:val="00715D59"/>
    <w:rsid w:val="00715D85"/>
    <w:rsid w:val="00715E4B"/>
    <w:rsid w:val="00715E68"/>
    <w:rsid w:val="00715E7E"/>
    <w:rsid w:val="00715EEB"/>
    <w:rsid w:val="00715F1C"/>
    <w:rsid w:val="00715FFD"/>
    <w:rsid w:val="0071600E"/>
    <w:rsid w:val="00716014"/>
    <w:rsid w:val="00716022"/>
    <w:rsid w:val="007160AE"/>
    <w:rsid w:val="0071617B"/>
    <w:rsid w:val="00716198"/>
    <w:rsid w:val="00716260"/>
    <w:rsid w:val="007162F6"/>
    <w:rsid w:val="00716316"/>
    <w:rsid w:val="0071631F"/>
    <w:rsid w:val="00716349"/>
    <w:rsid w:val="007163C3"/>
    <w:rsid w:val="007163D9"/>
    <w:rsid w:val="007163DB"/>
    <w:rsid w:val="007163E1"/>
    <w:rsid w:val="00716448"/>
    <w:rsid w:val="007164C2"/>
    <w:rsid w:val="007164CE"/>
    <w:rsid w:val="007164E1"/>
    <w:rsid w:val="007164EA"/>
    <w:rsid w:val="007165A4"/>
    <w:rsid w:val="007165B0"/>
    <w:rsid w:val="007166B4"/>
    <w:rsid w:val="007166F9"/>
    <w:rsid w:val="00716725"/>
    <w:rsid w:val="0071682C"/>
    <w:rsid w:val="00716887"/>
    <w:rsid w:val="00716939"/>
    <w:rsid w:val="00716972"/>
    <w:rsid w:val="007169B8"/>
    <w:rsid w:val="007169F2"/>
    <w:rsid w:val="00716A24"/>
    <w:rsid w:val="00716A2A"/>
    <w:rsid w:val="00716A33"/>
    <w:rsid w:val="00716A5D"/>
    <w:rsid w:val="00716AA3"/>
    <w:rsid w:val="00716ACB"/>
    <w:rsid w:val="00716ACD"/>
    <w:rsid w:val="00716B0D"/>
    <w:rsid w:val="00716B54"/>
    <w:rsid w:val="00716B73"/>
    <w:rsid w:val="00716C1A"/>
    <w:rsid w:val="00716C21"/>
    <w:rsid w:val="00716D34"/>
    <w:rsid w:val="00716D76"/>
    <w:rsid w:val="00716D83"/>
    <w:rsid w:val="00716D9B"/>
    <w:rsid w:val="00716D9E"/>
    <w:rsid w:val="00716DCF"/>
    <w:rsid w:val="00716DF9"/>
    <w:rsid w:val="00716E16"/>
    <w:rsid w:val="00716EA1"/>
    <w:rsid w:val="00716EED"/>
    <w:rsid w:val="00716EFB"/>
    <w:rsid w:val="00716F55"/>
    <w:rsid w:val="00716F6A"/>
    <w:rsid w:val="00716F84"/>
    <w:rsid w:val="007170CF"/>
    <w:rsid w:val="007170EB"/>
    <w:rsid w:val="00717135"/>
    <w:rsid w:val="007171AA"/>
    <w:rsid w:val="00717249"/>
    <w:rsid w:val="0071726A"/>
    <w:rsid w:val="007172A3"/>
    <w:rsid w:val="007173D1"/>
    <w:rsid w:val="00717478"/>
    <w:rsid w:val="0071747B"/>
    <w:rsid w:val="007174AF"/>
    <w:rsid w:val="00717534"/>
    <w:rsid w:val="00717578"/>
    <w:rsid w:val="007175BA"/>
    <w:rsid w:val="007175C3"/>
    <w:rsid w:val="00717643"/>
    <w:rsid w:val="0071764A"/>
    <w:rsid w:val="0071766D"/>
    <w:rsid w:val="00717684"/>
    <w:rsid w:val="007176B0"/>
    <w:rsid w:val="007176C2"/>
    <w:rsid w:val="007176E7"/>
    <w:rsid w:val="007176F3"/>
    <w:rsid w:val="00717750"/>
    <w:rsid w:val="007178DA"/>
    <w:rsid w:val="0071799F"/>
    <w:rsid w:val="007179C4"/>
    <w:rsid w:val="007179C8"/>
    <w:rsid w:val="007179DE"/>
    <w:rsid w:val="00717A52"/>
    <w:rsid w:val="00717B19"/>
    <w:rsid w:val="00717B37"/>
    <w:rsid w:val="00717BA2"/>
    <w:rsid w:val="00717C00"/>
    <w:rsid w:val="00717C0C"/>
    <w:rsid w:val="00717C89"/>
    <w:rsid w:val="00717CAD"/>
    <w:rsid w:val="00717CCF"/>
    <w:rsid w:val="00717D27"/>
    <w:rsid w:val="00717D89"/>
    <w:rsid w:val="00717DA0"/>
    <w:rsid w:val="00717DA8"/>
    <w:rsid w:val="00717DAC"/>
    <w:rsid w:val="00717E27"/>
    <w:rsid w:val="00717FCD"/>
    <w:rsid w:val="00720001"/>
    <w:rsid w:val="00720027"/>
    <w:rsid w:val="00720092"/>
    <w:rsid w:val="00720172"/>
    <w:rsid w:val="007201FD"/>
    <w:rsid w:val="0072022C"/>
    <w:rsid w:val="00720240"/>
    <w:rsid w:val="007202A4"/>
    <w:rsid w:val="007203F3"/>
    <w:rsid w:val="00720412"/>
    <w:rsid w:val="00720426"/>
    <w:rsid w:val="00720444"/>
    <w:rsid w:val="00720453"/>
    <w:rsid w:val="007204A0"/>
    <w:rsid w:val="007204AC"/>
    <w:rsid w:val="007204BC"/>
    <w:rsid w:val="007204CC"/>
    <w:rsid w:val="007204EC"/>
    <w:rsid w:val="007204F0"/>
    <w:rsid w:val="0072050D"/>
    <w:rsid w:val="00720575"/>
    <w:rsid w:val="007205DD"/>
    <w:rsid w:val="00720661"/>
    <w:rsid w:val="00720675"/>
    <w:rsid w:val="00720734"/>
    <w:rsid w:val="00720777"/>
    <w:rsid w:val="007207BA"/>
    <w:rsid w:val="00720800"/>
    <w:rsid w:val="0072082F"/>
    <w:rsid w:val="00720843"/>
    <w:rsid w:val="007208E8"/>
    <w:rsid w:val="0072092F"/>
    <w:rsid w:val="00720943"/>
    <w:rsid w:val="0072094A"/>
    <w:rsid w:val="00720981"/>
    <w:rsid w:val="007209A9"/>
    <w:rsid w:val="007209DC"/>
    <w:rsid w:val="00720A2E"/>
    <w:rsid w:val="00720A69"/>
    <w:rsid w:val="00720ABA"/>
    <w:rsid w:val="00720BDF"/>
    <w:rsid w:val="00720BF2"/>
    <w:rsid w:val="00720C25"/>
    <w:rsid w:val="00720C44"/>
    <w:rsid w:val="00720CE1"/>
    <w:rsid w:val="00720D4F"/>
    <w:rsid w:val="00720D72"/>
    <w:rsid w:val="00720D87"/>
    <w:rsid w:val="00720D9A"/>
    <w:rsid w:val="00720DB7"/>
    <w:rsid w:val="00720E44"/>
    <w:rsid w:val="00720F85"/>
    <w:rsid w:val="00720FD4"/>
    <w:rsid w:val="00721025"/>
    <w:rsid w:val="0072107B"/>
    <w:rsid w:val="007210AD"/>
    <w:rsid w:val="007210E9"/>
    <w:rsid w:val="007210ED"/>
    <w:rsid w:val="00721126"/>
    <w:rsid w:val="00721144"/>
    <w:rsid w:val="00721154"/>
    <w:rsid w:val="00721163"/>
    <w:rsid w:val="00721207"/>
    <w:rsid w:val="00721219"/>
    <w:rsid w:val="00721270"/>
    <w:rsid w:val="0072127E"/>
    <w:rsid w:val="0072135D"/>
    <w:rsid w:val="0072139F"/>
    <w:rsid w:val="00721453"/>
    <w:rsid w:val="007214B7"/>
    <w:rsid w:val="007214C6"/>
    <w:rsid w:val="007214FF"/>
    <w:rsid w:val="00721501"/>
    <w:rsid w:val="0072153C"/>
    <w:rsid w:val="00721546"/>
    <w:rsid w:val="00721598"/>
    <w:rsid w:val="007215A5"/>
    <w:rsid w:val="007216BE"/>
    <w:rsid w:val="00721707"/>
    <w:rsid w:val="00721712"/>
    <w:rsid w:val="007218E5"/>
    <w:rsid w:val="007218F9"/>
    <w:rsid w:val="00721933"/>
    <w:rsid w:val="00721942"/>
    <w:rsid w:val="0072199E"/>
    <w:rsid w:val="00721A15"/>
    <w:rsid w:val="00721A1F"/>
    <w:rsid w:val="00721AAC"/>
    <w:rsid w:val="00721AC8"/>
    <w:rsid w:val="00721AFE"/>
    <w:rsid w:val="00721B0B"/>
    <w:rsid w:val="00721B0C"/>
    <w:rsid w:val="00721C6E"/>
    <w:rsid w:val="00721C78"/>
    <w:rsid w:val="00721CAF"/>
    <w:rsid w:val="00721CEA"/>
    <w:rsid w:val="00721D89"/>
    <w:rsid w:val="00721DE7"/>
    <w:rsid w:val="00721E13"/>
    <w:rsid w:val="00721EE4"/>
    <w:rsid w:val="00721F1F"/>
    <w:rsid w:val="00721F49"/>
    <w:rsid w:val="0072202C"/>
    <w:rsid w:val="00722031"/>
    <w:rsid w:val="00722084"/>
    <w:rsid w:val="007220C4"/>
    <w:rsid w:val="007220D5"/>
    <w:rsid w:val="00722155"/>
    <w:rsid w:val="007221BE"/>
    <w:rsid w:val="007221C8"/>
    <w:rsid w:val="0072223F"/>
    <w:rsid w:val="007222B4"/>
    <w:rsid w:val="007222C2"/>
    <w:rsid w:val="007222D5"/>
    <w:rsid w:val="00722361"/>
    <w:rsid w:val="007223C9"/>
    <w:rsid w:val="00722438"/>
    <w:rsid w:val="0072243D"/>
    <w:rsid w:val="007224FC"/>
    <w:rsid w:val="00722504"/>
    <w:rsid w:val="007225CD"/>
    <w:rsid w:val="00722635"/>
    <w:rsid w:val="00722643"/>
    <w:rsid w:val="00722670"/>
    <w:rsid w:val="007226EA"/>
    <w:rsid w:val="00722755"/>
    <w:rsid w:val="0072280B"/>
    <w:rsid w:val="0072281A"/>
    <w:rsid w:val="0072281B"/>
    <w:rsid w:val="0072281D"/>
    <w:rsid w:val="0072282C"/>
    <w:rsid w:val="0072289E"/>
    <w:rsid w:val="00722903"/>
    <w:rsid w:val="00722907"/>
    <w:rsid w:val="0072291E"/>
    <w:rsid w:val="00722922"/>
    <w:rsid w:val="007229F7"/>
    <w:rsid w:val="00722A33"/>
    <w:rsid w:val="00722A78"/>
    <w:rsid w:val="00722AB9"/>
    <w:rsid w:val="00722B12"/>
    <w:rsid w:val="00722B27"/>
    <w:rsid w:val="00722C42"/>
    <w:rsid w:val="00722CF1"/>
    <w:rsid w:val="00722D3C"/>
    <w:rsid w:val="00722D7F"/>
    <w:rsid w:val="00722DBB"/>
    <w:rsid w:val="00722DE3"/>
    <w:rsid w:val="00722DFF"/>
    <w:rsid w:val="00722E13"/>
    <w:rsid w:val="00722ECF"/>
    <w:rsid w:val="00722EEB"/>
    <w:rsid w:val="00722F08"/>
    <w:rsid w:val="00723086"/>
    <w:rsid w:val="0072309C"/>
    <w:rsid w:val="007230C7"/>
    <w:rsid w:val="00723144"/>
    <w:rsid w:val="00723172"/>
    <w:rsid w:val="00723214"/>
    <w:rsid w:val="00723224"/>
    <w:rsid w:val="00723252"/>
    <w:rsid w:val="00723276"/>
    <w:rsid w:val="007232E7"/>
    <w:rsid w:val="00723310"/>
    <w:rsid w:val="0072331A"/>
    <w:rsid w:val="00723378"/>
    <w:rsid w:val="00723393"/>
    <w:rsid w:val="00723394"/>
    <w:rsid w:val="0072348D"/>
    <w:rsid w:val="007234C3"/>
    <w:rsid w:val="007234CB"/>
    <w:rsid w:val="0072356F"/>
    <w:rsid w:val="00723577"/>
    <w:rsid w:val="0072360E"/>
    <w:rsid w:val="007236B4"/>
    <w:rsid w:val="00723732"/>
    <w:rsid w:val="0072373A"/>
    <w:rsid w:val="00723788"/>
    <w:rsid w:val="00723795"/>
    <w:rsid w:val="007238C5"/>
    <w:rsid w:val="007238F5"/>
    <w:rsid w:val="00723926"/>
    <w:rsid w:val="0072395E"/>
    <w:rsid w:val="00723A27"/>
    <w:rsid w:val="00723A8E"/>
    <w:rsid w:val="00723B65"/>
    <w:rsid w:val="00723B81"/>
    <w:rsid w:val="00723B8F"/>
    <w:rsid w:val="00723BAB"/>
    <w:rsid w:val="00723C16"/>
    <w:rsid w:val="00723C1B"/>
    <w:rsid w:val="00723C2D"/>
    <w:rsid w:val="00723CFE"/>
    <w:rsid w:val="00723D01"/>
    <w:rsid w:val="00723D88"/>
    <w:rsid w:val="00723DF5"/>
    <w:rsid w:val="00723E77"/>
    <w:rsid w:val="00723ECB"/>
    <w:rsid w:val="00723F2D"/>
    <w:rsid w:val="00723F7F"/>
    <w:rsid w:val="00724006"/>
    <w:rsid w:val="00724026"/>
    <w:rsid w:val="007240A4"/>
    <w:rsid w:val="007241AD"/>
    <w:rsid w:val="007241E2"/>
    <w:rsid w:val="0072423B"/>
    <w:rsid w:val="00724299"/>
    <w:rsid w:val="007242E0"/>
    <w:rsid w:val="007242EA"/>
    <w:rsid w:val="00724404"/>
    <w:rsid w:val="0072447E"/>
    <w:rsid w:val="007244D5"/>
    <w:rsid w:val="00724527"/>
    <w:rsid w:val="007245D2"/>
    <w:rsid w:val="0072460C"/>
    <w:rsid w:val="007246A7"/>
    <w:rsid w:val="007246AC"/>
    <w:rsid w:val="007246D4"/>
    <w:rsid w:val="007246F2"/>
    <w:rsid w:val="00724756"/>
    <w:rsid w:val="0072478A"/>
    <w:rsid w:val="00724797"/>
    <w:rsid w:val="007247CE"/>
    <w:rsid w:val="0072481F"/>
    <w:rsid w:val="0072486E"/>
    <w:rsid w:val="007248BA"/>
    <w:rsid w:val="007248F4"/>
    <w:rsid w:val="007248FC"/>
    <w:rsid w:val="00724A68"/>
    <w:rsid w:val="00724A93"/>
    <w:rsid w:val="00724B09"/>
    <w:rsid w:val="00724BF3"/>
    <w:rsid w:val="00724C23"/>
    <w:rsid w:val="00724C82"/>
    <w:rsid w:val="00724CB3"/>
    <w:rsid w:val="00724CC8"/>
    <w:rsid w:val="00724CD5"/>
    <w:rsid w:val="00724D19"/>
    <w:rsid w:val="00724D8F"/>
    <w:rsid w:val="00724D95"/>
    <w:rsid w:val="00724E0D"/>
    <w:rsid w:val="00724E11"/>
    <w:rsid w:val="00724E7B"/>
    <w:rsid w:val="00724EB4"/>
    <w:rsid w:val="00724EB8"/>
    <w:rsid w:val="00724F33"/>
    <w:rsid w:val="00724F44"/>
    <w:rsid w:val="00724F8A"/>
    <w:rsid w:val="00724F9D"/>
    <w:rsid w:val="00724FC5"/>
    <w:rsid w:val="00724FF4"/>
    <w:rsid w:val="0072500A"/>
    <w:rsid w:val="00725026"/>
    <w:rsid w:val="00725099"/>
    <w:rsid w:val="00725172"/>
    <w:rsid w:val="0072519F"/>
    <w:rsid w:val="007251A8"/>
    <w:rsid w:val="0072523E"/>
    <w:rsid w:val="007252DA"/>
    <w:rsid w:val="007252EC"/>
    <w:rsid w:val="0072530F"/>
    <w:rsid w:val="00725352"/>
    <w:rsid w:val="00725391"/>
    <w:rsid w:val="007253D4"/>
    <w:rsid w:val="00725415"/>
    <w:rsid w:val="0072541C"/>
    <w:rsid w:val="00725448"/>
    <w:rsid w:val="007254C2"/>
    <w:rsid w:val="0072554E"/>
    <w:rsid w:val="007255F4"/>
    <w:rsid w:val="00725731"/>
    <w:rsid w:val="00725796"/>
    <w:rsid w:val="00725899"/>
    <w:rsid w:val="007258F8"/>
    <w:rsid w:val="0072590E"/>
    <w:rsid w:val="0072596F"/>
    <w:rsid w:val="007259BF"/>
    <w:rsid w:val="007259CB"/>
    <w:rsid w:val="00725A08"/>
    <w:rsid w:val="00725A20"/>
    <w:rsid w:val="00725A21"/>
    <w:rsid w:val="00725B2A"/>
    <w:rsid w:val="00725B3A"/>
    <w:rsid w:val="00725B5B"/>
    <w:rsid w:val="00725B68"/>
    <w:rsid w:val="00725BAE"/>
    <w:rsid w:val="00725BBA"/>
    <w:rsid w:val="00725C14"/>
    <w:rsid w:val="00725C16"/>
    <w:rsid w:val="00725C8B"/>
    <w:rsid w:val="00725CB2"/>
    <w:rsid w:val="00725CC9"/>
    <w:rsid w:val="00725D1E"/>
    <w:rsid w:val="00725D21"/>
    <w:rsid w:val="00725DD4"/>
    <w:rsid w:val="00725E1A"/>
    <w:rsid w:val="00725E6C"/>
    <w:rsid w:val="00725ED8"/>
    <w:rsid w:val="00725F7E"/>
    <w:rsid w:val="00725F80"/>
    <w:rsid w:val="00725F9D"/>
    <w:rsid w:val="00725FA1"/>
    <w:rsid w:val="00726070"/>
    <w:rsid w:val="007260D1"/>
    <w:rsid w:val="007260DB"/>
    <w:rsid w:val="007261A7"/>
    <w:rsid w:val="007261E7"/>
    <w:rsid w:val="007261E9"/>
    <w:rsid w:val="007262D6"/>
    <w:rsid w:val="00726389"/>
    <w:rsid w:val="0072638C"/>
    <w:rsid w:val="007263E6"/>
    <w:rsid w:val="00726429"/>
    <w:rsid w:val="00726483"/>
    <w:rsid w:val="0072650A"/>
    <w:rsid w:val="0072652D"/>
    <w:rsid w:val="00726584"/>
    <w:rsid w:val="00726598"/>
    <w:rsid w:val="007265BF"/>
    <w:rsid w:val="0072663E"/>
    <w:rsid w:val="00726680"/>
    <w:rsid w:val="00726856"/>
    <w:rsid w:val="00726857"/>
    <w:rsid w:val="00726875"/>
    <w:rsid w:val="007269D8"/>
    <w:rsid w:val="00726A31"/>
    <w:rsid w:val="00726AE9"/>
    <w:rsid w:val="00726B1E"/>
    <w:rsid w:val="00726B48"/>
    <w:rsid w:val="00726B68"/>
    <w:rsid w:val="00726B7A"/>
    <w:rsid w:val="00726BC3"/>
    <w:rsid w:val="00726C39"/>
    <w:rsid w:val="00726C99"/>
    <w:rsid w:val="00726CDB"/>
    <w:rsid w:val="00726DA6"/>
    <w:rsid w:val="00726DA8"/>
    <w:rsid w:val="00726DEF"/>
    <w:rsid w:val="00726E24"/>
    <w:rsid w:val="00726EAA"/>
    <w:rsid w:val="00726F1C"/>
    <w:rsid w:val="00726F34"/>
    <w:rsid w:val="00726F47"/>
    <w:rsid w:val="00726F83"/>
    <w:rsid w:val="00726F9B"/>
    <w:rsid w:val="00726FCF"/>
    <w:rsid w:val="0072700C"/>
    <w:rsid w:val="00727067"/>
    <w:rsid w:val="0072708C"/>
    <w:rsid w:val="007270B3"/>
    <w:rsid w:val="007270CE"/>
    <w:rsid w:val="00727129"/>
    <w:rsid w:val="00727149"/>
    <w:rsid w:val="007271A2"/>
    <w:rsid w:val="007271D4"/>
    <w:rsid w:val="00727249"/>
    <w:rsid w:val="00727287"/>
    <w:rsid w:val="0072729F"/>
    <w:rsid w:val="007272F6"/>
    <w:rsid w:val="007273CA"/>
    <w:rsid w:val="007274D5"/>
    <w:rsid w:val="007274FC"/>
    <w:rsid w:val="00727534"/>
    <w:rsid w:val="007275E7"/>
    <w:rsid w:val="007275F0"/>
    <w:rsid w:val="007275F5"/>
    <w:rsid w:val="00727742"/>
    <w:rsid w:val="00727746"/>
    <w:rsid w:val="0072777E"/>
    <w:rsid w:val="0072781C"/>
    <w:rsid w:val="00727885"/>
    <w:rsid w:val="00727908"/>
    <w:rsid w:val="00727993"/>
    <w:rsid w:val="00727A2D"/>
    <w:rsid w:val="00727A51"/>
    <w:rsid w:val="00727A5B"/>
    <w:rsid w:val="00727A7B"/>
    <w:rsid w:val="00727A8F"/>
    <w:rsid w:val="00727B7B"/>
    <w:rsid w:val="00727BF5"/>
    <w:rsid w:val="00727C00"/>
    <w:rsid w:val="00727C4B"/>
    <w:rsid w:val="00727CA6"/>
    <w:rsid w:val="00727CDB"/>
    <w:rsid w:val="00727D17"/>
    <w:rsid w:val="00727D3F"/>
    <w:rsid w:val="00727DBC"/>
    <w:rsid w:val="00727DFC"/>
    <w:rsid w:val="00727E6A"/>
    <w:rsid w:val="00727E72"/>
    <w:rsid w:val="00727F2E"/>
    <w:rsid w:val="00727F35"/>
    <w:rsid w:val="00727FED"/>
    <w:rsid w:val="00730030"/>
    <w:rsid w:val="0073003C"/>
    <w:rsid w:val="00730053"/>
    <w:rsid w:val="00730132"/>
    <w:rsid w:val="007301F4"/>
    <w:rsid w:val="0073023F"/>
    <w:rsid w:val="00730287"/>
    <w:rsid w:val="007302C1"/>
    <w:rsid w:val="007302E6"/>
    <w:rsid w:val="00730325"/>
    <w:rsid w:val="00730331"/>
    <w:rsid w:val="0073045A"/>
    <w:rsid w:val="00730491"/>
    <w:rsid w:val="007304DA"/>
    <w:rsid w:val="007304FE"/>
    <w:rsid w:val="0073055A"/>
    <w:rsid w:val="00730574"/>
    <w:rsid w:val="00730579"/>
    <w:rsid w:val="00730587"/>
    <w:rsid w:val="007305D3"/>
    <w:rsid w:val="007306AA"/>
    <w:rsid w:val="007306B4"/>
    <w:rsid w:val="007306DB"/>
    <w:rsid w:val="00730713"/>
    <w:rsid w:val="007307B4"/>
    <w:rsid w:val="00730911"/>
    <w:rsid w:val="0073091A"/>
    <w:rsid w:val="00730943"/>
    <w:rsid w:val="0073097E"/>
    <w:rsid w:val="007309A2"/>
    <w:rsid w:val="007309FB"/>
    <w:rsid w:val="00730A24"/>
    <w:rsid w:val="00730A3B"/>
    <w:rsid w:val="00730A90"/>
    <w:rsid w:val="00730AEC"/>
    <w:rsid w:val="00730C02"/>
    <w:rsid w:val="00730C34"/>
    <w:rsid w:val="00730CA2"/>
    <w:rsid w:val="00730CF9"/>
    <w:rsid w:val="00730CFD"/>
    <w:rsid w:val="00730D63"/>
    <w:rsid w:val="00730DD1"/>
    <w:rsid w:val="00730EDE"/>
    <w:rsid w:val="00730F07"/>
    <w:rsid w:val="007310B9"/>
    <w:rsid w:val="007310FD"/>
    <w:rsid w:val="00731114"/>
    <w:rsid w:val="007311BD"/>
    <w:rsid w:val="00731327"/>
    <w:rsid w:val="00731346"/>
    <w:rsid w:val="007313B1"/>
    <w:rsid w:val="007313BB"/>
    <w:rsid w:val="007314AB"/>
    <w:rsid w:val="007314CF"/>
    <w:rsid w:val="00731569"/>
    <w:rsid w:val="007315EF"/>
    <w:rsid w:val="00731661"/>
    <w:rsid w:val="00731752"/>
    <w:rsid w:val="00731819"/>
    <w:rsid w:val="0073181A"/>
    <w:rsid w:val="0073187B"/>
    <w:rsid w:val="007318C1"/>
    <w:rsid w:val="007318C7"/>
    <w:rsid w:val="00731901"/>
    <w:rsid w:val="007319EC"/>
    <w:rsid w:val="007319FE"/>
    <w:rsid w:val="00731A74"/>
    <w:rsid w:val="00731A90"/>
    <w:rsid w:val="00731AF8"/>
    <w:rsid w:val="00731B14"/>
    <w:rsid w:val="00731B55"/>
    <w:rsid w:val="00731B73"/>
    <w:rsid w:val="00731C9E"/>
    <w:rsid w:val="00731CC9"/>
    <w:rsid w:val="00731DA2"/>
    <w:rsid w:val="00731DA6"/>
    <w:rsid w:val="00731E08"/>
    <w:rsid w:val="00731EBE"/>
    <w:rsid w:val="007320EE"/>
    <w:rsid w:val="007320EF"/>
    <w:rsid w:val="007321CD"/>
    <w:rsid w:val="007321EF"/>
    <w:rsid w:val="0073229A"/>
    <w:rsid w:val="007322AF"/>
    <w:rsid w:val="007322BB"/>
    <w:rsid w:val="007322CB"/>
    <w:rsid w:val="00732300"/>
    <w:rsid w:val="00732309"/>
    <w:rsid w:val="0073238D"/>
    <w:rsid w:val="007323A7"/>
    <w:rsid w:val="007323AE"/>
    <w:rsid w:val="007323C0"/>
    <w:rsid w:val="00732404"/>
    <w:rsid w:val="00732521"/>
    <w:rsid w:val="007325D0"/>
    <w:rsid w:val="0073264A"/>
    <w:rsid w:val="0073264E"/>
    <w:rsid w:val="0073266C"/>
    <w:rsid w:val="00732695"/>
    <w:rsid w:val="0073274B"/>
    <w:rsid w:val="00732781"/>
    <w:rsid w:val="0073278A"/>
    <w:rsid w:val="007327BC"/>
    <w:rsid w:val="00732817"/>
    <w:rsid w:val="0073283B"/>
    <w:rsid w:val="00732870"/>
    <w:rsid w:val="00732872"/>
    <w:rsid w:val="00732891"/>
    <w:rsid w:val="00732895"/>
    <w:rsid w:val="007328F7"/>
    <w:rsid w:val="007328FA"/>
    <w:rsid w:val="00732983"/>
    <w:rsid w:val="00732A75"/>
    <w:rsid w:val="00732A87"/>
    <w:rsid w:val="00732A92"/>
    <w:rsid w:val="00732AD8"/>
    <w:rsid w:val="00732B15"/>
    <w:rsid w:val="00732B27"/>
    <w:rsid w:val="00732B6A"/>
    <w:rsid w:val="00732C0A"/>
    <w:rsid w:val="00732C38"/>
    <w:rsid w:val="00732C5D"/>
    <w:rsid w:val="00732D0E"/>
    <w:rsid w:val="00732D2B"/>
    <w:rsid w:val="00732DBB"/>
    <w:rsid w:val="00732E7B"/>
    <w:rsid w:val="00732E93"/>
    <w:rsid w:val="00732E95"/>
    <w:rsid w:val="00732F51"/>
    <w:rsid w:val="00732F8D"/>
    <w:rsid w:val="00733049"/>
    <w:rsid w:val="00733124"/>
    <w:rsid w:val="0073317A"/>
    <w:rsid w:val="007331A1"/>
    <w:rsid w:val="007331D8"/>
    <w:rsid w:val="007331F5"/>
    <w:rsid w:val="00733219"/>
    <w:rsid w:val="00733220"/>
    <w:rsid w:val="00733225"/>
    <w:rsid w:val="00733247"/>
    <w:rsid w:val="007332C0"/>
    <w:rsid w:val="007332C9"/>
    <w:rsid w:val="00733302"/>
    <w:rsid w:val="0073330B"/>
    <w:rsid w:val="0073333F"/>
    <w:rsid w:val="00733340"/>
    <w:rsid w:val="00733354"/>
    <w:rsid w:val="0073339E"/>
    <w:rsid w:val="007333D7"/>
    <w:rsid w:val="0073341E"/>
    <w:rsid w:val="00733446"/>
    <w:rsid w:val="0073348E"/>
    <w:rsid w:val="00733496"/>
    <w:rsid w:val="00733499"/>
    <w:rsid w:val="0073352A"/>
    <w:rsid w:val="00733576"/>
    <w:rsid w:val="0073359F"/>
    <w:rsid w:val="00733618"/>
    <w:rsid w:val="00733619"/>
    <w:rsid w:val="00733638"/>
    <w:rsid w:val="00733641"/>
    <w:rsid w:val="007336E0"/>
    <w:rsid w:val="0073371B"/>
    <w:rsid w:val="00733775"/>
    <w:rsid w:val="00733822"/>
    <w:rsid w:val="00733918"/>
    <w:rsid w:val="0073391E"/>
    <w:rsid w:val="00733944"/>
    <w:rsid w:val="007339E0"/>
    <w:rsid w:val="007339E3"/>
    <w:rsid w:val="00733A04"/>
    <w:rsid w:val="00733A23"/>
    <w:rsid w:val="00733B98"/>
    <w:rsid w:val="00733BCC"/>
    <w:rsid w:val="00733C33"/>
    <w:rsid w:val="00733C7F"/>
    <w:rsid w:val="00733CE9"/>
    <w:rsid w:val="00733ECB"/>
    <w:rsid w:val="00733EE4"/>
    <w:rsid w:val="00733F00"/>
    <w:rsid w:val="00733FC2"/>
    <w:rsid w:val="00734042"/>
    <w:rsid w:val="0073415B"/>
    <w:rsid w:val="00734179"/>
    <w:rsid w:val="0073424F"/>
    <w:rsid w:val="00734251"/>
    <w:rsid w:val="00734254"/>
    <w:rsid w:val="00734323"/>
    <w:rsid w:val="007343C7"/>
    <w:rsid w:val="00734446"/>
    <w:rsid w:val="00734466"/>
    <w:rsid w:val="0073447D"/>
    <w:rsid w:val="007344A4"/>
    <w:rsid w:val="0073451A"/>
    <w:rsid w:val="0073459D"/>
    <w:rsid w:val="007345A1"/>
    <w:rsid w:val="00734628"/>
    <w:rsid w:val="0073469E"/>
    <w:rsid w:val="0073472A"/>
    <w:rsid w:val="00734734"/>
    <w:rsid w:val="007347E7"/>
    <w:rsid w:val="0073488E"/>
    <w:rsid w:val="00734895"/>
    <w:rsid w:val="0073492E"/>
    <w:rsid w:val="00734962"/>
    <w:rsid w:val="007349A6"/>
    <w:rsid w:val="00734B66"/>
    <w:rsid w:val="00734B77"/>
    <w:rsid w:val="00734C26"/>
    <w:rsid w:val="00734C2D"/>
    <w:rsid w:val="00734C9A"/>
    <w:rsid w:val="00734CE0"/>
    <w:rsid w:val="00734D11"/>
    <w:rsid w:val="00734D2D"/>
    <w:rsid w:val="00734EA3"/>
    <w:rsid w:val="00734FA9"/>
    <w:rsid w:val="00735085"/>
    <w:rsid w:val="0073508E"/>
    <w:rsid w:val="007350AC"/>
    <w:rsid w:val="007350B7"/>
    <w:rsid w:val="0073510D"/>
    <w:rsid w:val="0073512F"/>
    <w:rsid w:val="0073513E"/>
    <w:rsid w:val="0073515C"/>
    <w:rsid w:val="00735292"/>
    <w:rsid w:val="007352C2"/>
    <w:rsid w:val="007352CB"/>
    <w:rsid w:val="007352F5"/>
    <w:rsid w:val="0073530B"/>
    <w:rsid w:val="0073530F"/>
    <w:rsid w:val="00735319"/>
    <w:rsid w:val="0073535D"/>
    <w:rsid w:val="00735361"/>
    <w:rsid w:val="007353E7"/>
    <w:rsid w:val="007354C2"/>
    <w:rsid w:val="00735516"/>
    <w:rsid w:val="0073551E"/>
    <w:rsid w:val="00735571"/>
    <w:rsid w:val="0073558D"/>
    <w:rsid w:val="00735690"/>
    <w:rsid w:val="007356B7"/>
    <w:rsid w:val="007356C3"/>
    <w:rsid w:val="00735711"/>
    <w:rsid w:val="0073577D"/>
    <w:rsid w:val="00735895"/>
    <w:rsid w:val="007358CE"/>
    <w:rsid w:val="0073593C"/>
    <w:rsid w:val="00735986"/>
    <w:rsid w:val="007359C3"/>
    <w:rsid w:val="007359D6"/>
    <w:rsid w:val="00735A05"/>
    <w:rsid w:val="00735A2C"/>
    <w:rsid w:val="00735B81"/>
    <w:rsid w:val="00735B95"/>
    <w:rsid w:val="00735CB5"/>
    <w:rsid w:val="00735D14"/>
    <w:rsid w:val="00735E1D"/>
    <w:rsid w:val="00735E7F"/>
    <w:rsid w:val="00735EC0"/>
    <w:rsid w:val="00735F19"/>
    <w:rsid w:val="00735F23"/>
    <w:rsid w:val="00735F3C"/>
    <w:rsid w:val="00735F3F"/>
    <w:rsid w:val="00735F46"/>
    <w:rsid w:val="00735F4D"/>
    <w:rsid w:val="00735F5E"/>
    <w:rsid w:val="00735FDB"/>
    <w:rsid w:val="00735FFD"/>
    <w:rsid w:val="0073601F"/>
    <w:rsid w:val="00736048"/>
    <w:rsid w:val="0073609C"/>
    <w:rsid w:val="007360A5"/>
    <w:rsid w:val="007360B9"/>
    <w:rsid w:val="007360D9"/>
    <w:rsid w:val="007360EB"/>
    <w:rsid w:val="007361B3"/>
    <w:rsid w:val="007361F9"/>
    <w:rsid w:val="007362B9"/>
    <w:rsid w:val="007362DC"/>
    <w:rsid w:val="00736363"/>
    <w:rsid w:val="00736395"/>
    <w:rsid w:val="0073640E"/>
    <w:rsid w:val="0073647F"/>
    <w:rsid w:val="0073652B"/>
    <w:rsid w:val="00736557"/>
    <w:rsid w:val="00736582"/>
    <w:rsid w:val="0073659D"/>
    <w:rsid w:val="007365D0"/>
    <w:rsid w:val="00736606"/>
    <w:rsid w:val="00736714"/>
    <w:rsid w:val="0073675E"/>
    <w:rsid w:val="00736877"/>
    <w:rsid w:val="007368E0"/>
    <w:rsid w:val="0073690D"/>
    <w:rsid w:val="00736916"/>
    <w:rsid w:val="00736965"/>
    <w:rsid w:val="0073696E"/>
    <w:rsid w:val="00736991"/>
    <w:rsid w:val="00736A7D"/>
    <w:rsid w:val="00736A9A"/>
    <w:rsid w:val="00736AF6"/>
    <w:rsid w:val="00736B14"/>
    <w:rsid w:val="00736B1C"/>
    <w:rsid w:val="00736B9F"/>
    <w:rsid w:val="00736BA1"/>
    <w:rsid w:val="00736BF1"/>
    <w:rsid w:val="00736C4D"/>
    <w:rsid w:val="00736C89"/>
    <w:rsid w:val="00736CA1"/>
    <w:rsid w:val="00736CD2"/>
    <w:rsid w:val="00736D02"/>
    <w:rsid w:val="00736D32"/>
    <w:rsid w:val="00736DA9"/>
    <w:rsid w:val="00736DDE"/>
    <w:rsid w:val="00736E43"/>
    <w:rsid w:val="00736E59"/>
    <w:rsid w:val="00736EAC"/>
    <w:rsid w:val="00736EC5"/>
    <w:rsid w:val="00736F09"/>
    <w:rsid w:val="00736F21"/>
    <w:rsid w:val="00736F2C"/>
    <w:rsid w:val="00737018"/>
    <w:rsid w:val="00737048"/>
    <w:rsid w:val="0073706F"/>
    <w:rsid w:val="007370C4"/>
    <w:rsid w:val="007370CB"/>
    <w:rsid w:val="007370CC"/>
    <w:rsid w:val="007370FF"/>
    <w:rsid w:val="00737176"/>
    <w:rsid w:val="00737189"/>
    <w:rsid w:val="007371D5"/>
    <w:rsid w:val="00737229"/>
    <w:rsid w:val="0073723A"/>
    <w:rsid w:val="0073727F"/>
    <w:rsid w:val="0073731D"/>
    <w:rsid w:val="0073737B"/>
    <w:rsid w:val="00737385"/>
    <w:rsid w:val="007373F0"/>
    <w:rsid w:val="007374D0"/>
    <w:rsid w:val="0073751C"/>
    <w:rsid w:val="007375B1"/>
    <w:rsid w:val="007375BA"/>
    <w:rsid w:val="0073760E"/>
    <w:rsid w:val="0073761E"/>
    <w:rsid w:val="007376B2"/>
    <w:rsid w:val="007376C3"/>
    <w:rsid w:val="007376D9"/>
    <w:rsid w:val="00737743"/>
    <w:rsid w:val="00737767"/>
    <w:rsid w:val="007378C5"/>
    <w:rsid w:val="0073792A"/>
    <w:rsid w:val="00737936"/>
    <w:rsid w:val="007379D2"/>
    <w:rsid w:val="00737A7C"/>
    <w:rsid w:val="00737AA0"/>
    <w:rsid w:val="00737AD0"/>
    <w:rsid w:val="00737AD8"/>
    <w:rsid w:val="00737B13"/>
    <w:rsid w:val="00737B4A"/>
    <w:rsid w:val="00737B61"/>
    <w:rsid w:val="00737BB0"/>
    <w:rsid w:val="00737BC5"/>
    <w:rsid w:val="00737D24"/>
    <w:rsid w:val="00737D31"/>
    <w:rsid w:val="00737D49"/>
    <w:rsid w:val="00737D54"/>
    <w:rsid w:val="00737DB1"/>
    <w:rsid w:val="00737E42"/>
    <w:rsid w:val="00737F35"/>
    <w:rsid w:val="00737F9F"/>
    <w:rsid w:val="00740064"/>
    <w:rsid w:val="0074008B"/>
    <w:rsid w:val="0074009B"/>
    <w:rsid w:val="007400BA"/>
    <w:rsid w:val="007400BE"/>
    <w:rsid w:val="007400CE"/>
    <w:rsid w:val="007400D3"/>
    <w:rsid w:val="00740184"/>
    <w:rsid w:val="00740186"/>
    <w:rsid w:val="007401EA"/>
    <w:rsid w:val="00740301"/>
    <w:rsid w:val="0074036D"/>
    <w:rsid w:val="0074037F"/>
    <w:rsid w:val="0074043C"/>
    <w:rsid w:val="0074046D"/>
    <w:rsid w:val="007404BD"/>
    <w:rsid w:val="00740541"/>
    <w:rsid w:val="00740587"/>
    <w:rsid w:val="007405BA"/>
    <w:rsid w:val="007405FE"/>
    <w:rsid w:val="00740677"/>
    <w:rsid w:val="00740680"/>
    <w:rsid w:val="00740750"/>
    <w:rsid w:val="00740760"/>
    <w:rsid w:val="0074080A"/>
    <w:rsid w:val="0074083E"/>
    <w:rsid w:val="00740842"/>
    <w:rsid w:val="00740850"/>
    <w:rsid w:val="00740888"/>
    <w:rsid w:val="007408BE"/>
    <w:rsid w:val="0074095D"/>
    <w:rsid w:val="0074095E"/>
    <w:rsid w:val="0074099B"/>
    <w:rsid w:val="007409CB"/>
    <w:rsid w:val="007409CF"/>
    <w:rsid w:val="007409FE"/>
    <w:rsid w:val="00740A0C"/>
    <w:rsid w:val="00740AEF"/>
    <w:rsid w:val="00740B65"/>
    <w:rsid w:val="00740B98"/>
    <w:rsid w:val="00740BB6"/>
    <w:rsid w:val="00740C3B"/>
    <w:rsid w:val="00740CA0"/>
    <w:rsid w:val="00740CD8"/>
    <w:rsid w:val="00740E10"/>
    <w:rsid w:val="00740F27"/>
    <w:rsid w:val="00740FB2"/>
    <w:rsid w:val="00740FE9"/>
    <w:rsid w:val="007410BD"/>
    <w:rsid w:val="00741188"/>
    <w:rsid w:val="00741354"/>
    <w:rsid w:val="00741363"/>
    <w:rsid w:val="00741620"/>
    <w:rsid w:val="00741677"/>
    <w:rsid w:val="0074167B"/>
    <w:rsid w:val="007416A8"/>
    <w:rsid w:val="007416F5"/>
    <w:rsid w:val="00741711"/>
    <w:rsid w:val="00741751"/>
    <w:rsid w:val="007417CD"/>
    <w:rsid w:val="007417CF"/>
    <w:rsid w:val="007417DA"/>
    <w:rsid w:val="007418DE"/>
    <w:rsid w:val="0074190E"/>
    <w:rsid w:val="007419C3"/>
    <w:rsid w:val="00741A36"/>
    <w:rsid w:val="00741ACD"/>
    <w:rsid w:val="00741B1C"/>
    <w:rsid w:val="00741B2F"/>
    <w:rsid w:val="00741BCA"/>
    <w:rsid w:val="00741BE9"/>
    <w:rsid w:val="00741C13"/>
    <w:rsid w:val="00741C58"/>
    <w:rsid w:val="00741D79"/>
    <w:rsid w:val="00741D7C"/>
    <w:rsid w:val="00741D89"/>
    <w:rsid w:val="00741E07"/>
    <w:rsid w:val="00741EA4"/>
    <w:rsid w:val="00741ECD"/>
    <w:rsid w:val="00741F25"/>
    <w:rsid w:val="00741F6E"/>
    <w:rsid w:val="00741FBD"/>
    <w:rsid w:val="0074209D"/>
    <w:rsid w:val="007420E9"/>
    <w:rsid w:val="0074213F"/>
    <w:rsid w:val="007421EF"/>
    <w:rsid w:val="0074221C"/>
    <w:rsid w:val="007422B9"/>
    <w:rsid w:val="00742343"/>
    <w:rsid w:val="007423B5"/>
    <w:rsid w:val="007423B9"/>
    <w:rsid w:val="007423DA"/>
    <w:rsid w:val="007423E6"/>
    <w:rsid w:val="00742416"/>
    <w:rsid w:val="0074241D"/>
    <w:rsid w:val="007424CF"/>
    <w:rsid w:val="007424F0"/>
    <w:rsid w:val="007425E6"/>
    <w:rsid w:val="007425FE"/>
    <w:rsid w:val="0074262E"/>
    <w:rsid w:val="007426A8"/>
    <w:rsid w:val="007427CC"/>
    <w:rsid w:val="007427EE"/>
    <w:rsid w:val="0074280B"/>
    <w:rsid w:val="0074286B"/>
    <w:rsid w:val="007428CB"/>
    <w:rsid w:val="007428D1"/>
    <w:rsid w:val="00742974"/>
    <w:rsid w:val="007429AA"/>
    <w:rsid w:val="00742A7C"/>
    <w:rsid w:val="00742AAE"/>
    <w:rsid w:val="00742B16"/>
    <w:rsid w:val="00742B7E"/>
    <w:rsid w:val="00742C33"/>
    <w:rsid w:val="00742C6A"/>
    <w:rsid w:val="00742CA7"/>
    <w:rsid w:val="00742DFA"/>
    <w:rsid w:val="00742DFF"/>
    <w:rsid w:val="00742E4C"/>
    <w:rsid w:val="00742E66"/>
    <w:rsid w:val="00742EA5"/>
    <w:rsid w:val="00742EC4"/>
    <w:rsid w:val="00742FC7"/>
    <w:rsid w:val="00742FF7"/>
    <w:rsid w:val="00743129"/>
    <w:rsid w:val="0074312C"/>
    <w:rsid w:val="0074312F"/>
    <w:rsid w:val="0074314A"/>
    <w:rsid w:val="00743163"/>
    <w:rsid w:val="007431AB"/>
    <w:rsid w:val="007431D1"/>
    <w:rsid w:val="0074328B"/>
    <w:rsid w:val="007432A9"/>
    <w:rsid w:val="007432BE"/>
    <w:rsid w:val="007433D4"/>
    <w:rsid w:val="007434C3"/>
    <w:rsid w:val="007434FC"/>
    <w:rsid w:val="00743520"/>
    <w:rsid w:val="007435C4"/>
    <w:rsid w:val="007435E3"/>
    <w:rsid w:val="00743615"/>
    <w:rsid w:val="0074365E"/>
    <w:rsid w:val="0074367D"/>
    <w:rsid w:val="007436DA"/>
    <w:rsid w:val="007437A5"/>
    <w:rsid w:val="00743861"/>
    <w:rsid w:val="00743884"/>
    <w:rsid w:val="0074389B"/>
    <w:rsid w:val="007438C9"/>
    <w:rsid w:val="007438FA"/>
    <w:rsid w:val="00743915"/>
    <w:rsid w:val="007439AC"/>
    <w:rsid w:val="007439E5"/>
    <w:rsid w:val="00743A3E"/>
    <w:rsid w:val="00743A6A"/>
    <w:rsid w:val="00743A9C"/>
    <w:rsid w:val="00743B1F"/>
    <w:rsid w:val="00743C08"/>
    <w:rsid w:val="00743CBE"/>
    <w:rsid w:val="00743D1C"/>
    <w:rsid w:val="00743D2A"/>
    <w:rsid w:val="00743D7E"/>
    <w:rsid w:val="00743E67"/>
    <w:rsid w:val="00743F0C"/>
    <w:rsid w:val="00743F3A"/>
    <w:rsid w:val="00743F66"/>
    <w:rsid w:val="0074400D"/>
    <w:rsid w:val="00744062"/>
    <w:rsid w:val="00744063"/>
    <w:rsid w:val="007440D3"/>
    <w:rsid w:val="007440DF"/>
    <w:rsid w:val="00744138"/>
    <w:rsid w:val="007441A0"/>
    <w:rsid w:val="007441FA"/>
    <w:rsid w:val="00744251"/>
    <w:rsid w:val="00744254"/>
    <w:rsid w:val="0074426D"/>
    <w:rsid w:val="007442AD"/>
    <w:rsid w:val="0074431F"/>
    <w:rsid w:val="00744322"/>
    <w:rsid w:val="00744353"/>
    <w:rsid w:val="00744389"/>
    <w:rsid w:val="00744410"/>
    <w:rsid w:val="00744456"/>
    <w:rsid w:val="00744471"/>
    <w:rsid w:val="0074449B"/>
    <w:rsid w:val="007444FB"/>
    <w:rsid w:val="00744590"/>
    <w:rsid w:val="007445B5"/>
    <w:rsid w:val="007445FA"/>
    <w:rsid w:val="00744679"/>
    <w:rsid w:val="0074469C"/>
    <w:rsid w:val="00744748"/>
    <w:rsid w:val="00744767"/>
    <w:rsid w:val="007447CC"/>
    <w:rsid w:val="007447EF"/>
    <w:rsid w:val="007447F8"/>
    <w:rsid w:val="00744816"/>
    <w:rsid w:val="007448CE"/>
    <w:rsid w:val="007448D1"/>
    <w:rsid w:val="007448FF"/>
    <w:rsid w:val="00744923"/>
    <w:rsid w:val="007449C2"/>
    <w:rsid w:val="007449DB"/>
    <w:rsid w:val="007449E2"/>
    <w:rsid w:val="00744A88"/>
    <w:rsid w:val="00744A9F"/>
    <w:rsid w:val="00744AB4"/>
    <w:rsid w:val="00744B09"/>
    <w:rsid w:val="00744C02"/>
    <w:rsid w:val="00744C10"/>
    <w:rsid w:val="00744C71"/>
    <w:rsid w:val="00744D1A"/>
    <w:rsid w:val="00744D32"/>
    <w:rsid w:val="00744D63"/>
    <w:rsid w:val="00744E3D"/>
    <w:rsid w:val="00744E52"/>
    <w:rsid w:val="00744EB0"/>
    <w:rsid w:val="00744EDE"/>
    <w:rsid w:val="00744F2B"/>
    <w:rsid w:val="00744F6E"/>
    <w:rsid w:val="00744F7A"/>
    <w:rsid w:val="00744F8D"/>
    <w:rsid w:val="00744FA5"/>
    <w:rsid w:val="00744FCA"/>
    <w:rsid w:val="00745050"/>
    <w:rsid w:val="00745099"/>
    <w:rsid w:val="007450D9"/>
    <w:rsid w:val="0074511A"/>
    <w:rsid w:val="0074518A"/>
    <w:rsid w:val="007451C0"/>
    <w:rsid w:val="007451DF"/>
    <w:rsid w:val="0074524F"/>
    <w:rsid w:val="00745263"/>
    <w:rsid w:val="0074528A"/>
    <w:rsid w:val="00745384"/>
    <w:rsid w:val="00745429"/>
    <w:rsid w:val="0074545B"/>
    <w:rsid w:val="007454D0"/>
    <w:rsid w:val="007455BD"/>
    <w:rsid w:val="007455C9"/>
    <w:rsid w:val="00745623"/>
    <w:rsid w:val="0074565F"/>
    <w:rsid w:val="0074567F"/>
    <w:rsid w:val="007456A7"/>
    <w:rsid w:val="007456F6"/>
    <w:rsid w:val="00745711"/>
    <w:rsid w:val="00745762"/>
    <w:rsid w:val="007458CA"/>
    <w:rsid w:val="00745959"/>
    <w:rsid w:val="0074595B"/>
    <w:rsid w:val="007459CC"/>
    <w:rsid w:val="00745A1A"/>
    <w:rsid w:val="00745A87"/>
    <w:rsid w:val="00745AA9"/>
    <w:rsid w:val="00745B45"/>
    <w:rsid w:val="00745BC4"/>
    <w:rsid w:val="00745C16"/>
    <w:rsid w:val="00745C3C"/>
    <w:rsid w:val="00745CB9"/>
    <w:rsid w:val="00745D02"/>
    <w:rsid w:val="00745D6F"/>
    <w:rsid w:val="00745DB2"/>
    <w:rsid w:val="00745DF4"/>
    <w:rsid w:val="00745E3F"/>
    <w:rsid w:val="00745E77"/>
    <w:rsid w:val="00745EF7"/>
    <w:rsid w:val="00745F23"/>
    <w:rsid w:val="00745F6F"/>
    <w:rsid w:val="00745F93"/>
    <w:rsid w:val="00745FE2"/>
    <w:rsid w:val="00745FE8"/>
    <w:rsid w:val="00746133"/>
    <w:rsid w:val="00746165"/>
    <w:rsid w:val="00746169"/>
    <w:rsid w:val="007461A8"/>
    <w:rsid w:val="007461FA"/>
    <w:rsid w:val="00746220"/>
    <w:rsid w:val="0074627F"/>
    <w:rsid w:val="007462D7"/>
    <w:rsid w:val="007463B9"/>
    <w:rsid w:val="007464BE"/>
    <w:rsid w:val="007466F6"/>
    <w:rsid w:val="00746766"/>
    <w:rsid w:val="007467C4"/>
    <w:rsid w:val="007467ED"/>
    <w:rsid w:val="0074680D"/>
    <w:rsid w:val="0074681B"/>
    <w:rsid w:val="00746880"/>
    <w:rsid w:val="007468B6"/>
    <w:rsid w:val="007468BF"/>
    <w:rsid w:val="0074690F"/>
    <w:rsid w:val="007469B8"/>
    <w:rsid w:val="00746A06"/>
    <w:rsid w:val="00746A44"/>
    <w:rsid w:val="00746A71"/>
    <w:rsid w:val="00746ACD"/>
    <w:rsid w:val="00746BA5"/>
    <w:rsid w:val="00746BEA"/>
    <w:rsid w:val="00746C02"/>
    <w:rsid w:val="00746C6E"/>
    <w:rsid w:val="00746C83"/>
    <w:rsid w:val="00746C85"/>
    <w:rsid w:val="00746CA4"/>
    <w:rsid w:val="00746CDC"/>
    <w:rsid w:val="00746CF7"/>
    <w:rsid w:val="00746D0B"/>
    <w:rsid w:val="00746D20"/>
    <w:rsid w:val="00746D3D"/>
    <w:rsid w:val="00746D88"/>
    <w:rsid w:val="00746DD7"/>
    <w:rsid w:val="00746DE3"/>
    <w:rsid w:val="00746E47"/>
    <w:rsid w:val="00746E4B"/>
    <w:rsid w:val="00746E4D"/>
    <w:rsid w:val="00746E87"/>
    <w:rsid w:val="00746EE5"/>
    <w:rsid w:val="00746F1E"/>
    <w:rsid w:val="00746F68"/>
    <w:rsid w:val="00746F6F"/>
    <w:rsid w:val="00746FB9"/>
    <w:rsid w:val="00746FE3"/>
    <w:rsid w:val="0074703F"/>
    <w:rsid w:val="007470BB"/>
    <w:rsid w:val="007470E9"/>
    <w:rsid w:val="0074713C"/>
    <w:rsid w:val="007471A0"/>
    <w:rsid w:val="007471C3"/>
    <w:rsid w:val="00747299"/>
    <w:rsid w:val="007472B9"/>
    <w:rsid w:val="007472C3"/>
    <w:rsid w:val="007472D7"/>
    <w:rsid w:val="007472D9"/>
    <w:rsid w:val="00747371"/>
    <w:rsid w:val="007473BA"/>
    <w:rsid w:val="007473DE"/>
    <w:rsid w:val="007473EE"/>
    <w:rsid w:val="0074742F"/>
    <w:rsid w:val="0074753E"/>
    <w:rsid w:val="00747581"/>
    <w:rsid w:val="007475A0"/>
    <w:rsid w:val="007475BD"/>
    <w:rsid w:val="007475EB"/>
    <w:rsid w:val="00747612"/>
    <w:rsid w:val="00747667"/>
    <w:rsid w:val="00747697"/>
    <w:rsid w:val="007476A4"/>
    <w:rsid w:val="007476B2"/>
    <w:rsid w:val="007476BF"/>
    <w:rsid w:val="007476C5"/>
    <w:rsid w:val="007476EC"/>
    <w:rsid w:val="007476FE"/>
    <w:rsid w:val="0074771F"/>
    <w:rsid w:val="00747741"/>
    <w:rsid w:val="00747746"/>
    <w:rsid w:val="0074777F"/>
    <w:rsid w:val="007477E9"/>
    <w:rsid w:val="007477F5"/>
    <w:rsid w:val="0074781F"/>
    <w:rsid w:val="00747821"/>
    <w:rsid w:val="0074783C"/>
    <w:rsid w:val="00747840"/>
    <w:rsid w:val="00747848"/>
    <w:rsid w:val="00747899"/>
    <w:rsid w:val="0074789A"/>
    <w:rsid w:val="0074789B"/>
    <w:rsid w:val="007478B0"/>
    <w:rsid w:val="007478C6"/>
    <w:rsid w:val="00747950"/>
    <w:rsid w:val="00747978"/>
    <w:rsid w:val="007479A5"/>
    <w:rsid w:val="007479B7"/>
    <w:rsid w:val="00747A47"/>
    <w:rsid w:val="00747B48"/>
    <w:rsid w:val="00747B6E"/>
    <w:rsid w:val="00747B90"/>
    <w:rsid w:val="00747BD0"/>
    <w:rsid w:val="00747C1A"/>
    <w:rsid w:val="00747C28"/>
    <w:rsid w:val="00747CEF"/>
    <w:rsid w:val="00747D0C"/>
    <w:rsid w:val="00747DD5"/>
    <w:rsid w:val="00747E77"/>
    <w:rsid w:val="00747EA3"/>
    <w:rsid w:val="00747EBE"/>
    <w:rsid w:val="00747F18"/>
    <w:rsid w:val="00747FAC"/>
    <w:rsid w:val="0075008A"/>
    <w:rsid w:val="007500BC"/>
    <w:rsid w:val="00750181"/>
    <w:rsid w:val="00750184"/>
    <w:rsid w:val="007502B8"/>
    <w:rsid w:val="007502CD"/>
    <w:rsid w:val="00750368"/>
    <w:rsid w:val="00750369"/>
    <w:rsid w:val="007503B9"/>
    <w:rsid w:val="00750418"/>
    <w:rsid w:val="0075044D"/>
    <w:rsid w:val="0075045E"/>
    <w:rsid w:val="0075046E"/>
    <w:rsid w:val="007504AC"/>
    <w:rsid w:val="007505C5"/>
    <w:rsid w:val="007505F2"/>
    <w:rsid w:val="00750607"/>
    <w:rsid w:val="0075062D"/>
    <w:rsid w:val="007506A7"/>
    <w:rsid w:val="007506D3"/>
    <w:rsid w:val="007506E5"/>
    <w:rsid w:val="007506F2"/>
    <w:rsid w:val="00750709"/>
    <w:rsid w:val="00750759"/>
    <w:rsid w:val="00750765"/>
    <w:rsid w:val="007507A9"/>
    <w:rsid w:val="00750852"/>
    <w:rsid w:val="0075086B"/>
    <w:rsid w:val="007508A1"/>
    <w:rsid w:val="007508CF"/>
    <w:rsid w:val="007508D5"/>
    <w:rsid w:val="007508E9"/>
    <w:rsid w:val="007509CE"/>
    <w:rsid w:val="00750A0B"/>
    <w:rsid w:val="00750A0D"/>
    <w:rsid w:val="00750A4A"/>
    <w:rsid w:val="00750AA9"/>
    <w:rsid w:val="00750AED"/>
    <w:rsid w:val="00750AF9"/>
    <w:rsid w:val="00750B70"/>
    <w:rsid w:val="00750B82"/>
    <w:rsid w:val="00750BA5"/>
    <w:rsid w:val="00750BA6"/>
    <w:rsid w:val="00750BB9"/>
    <w:rsid w:val="00750BEF"/>
    <w:rsid w:val="00750C32"/>
    <w:rsid w:val="00750C3B"/>
    <w:rsid w:val="00750C92"/>
    <w:rsid w:val="00750DB4"/>
    <w:rsid w:val="00750E7E"/>
    <w:rsid w:val="00750EA8"/>
    <w:rsid w:val="00750EAB"/>
    <w:rsid w:val="00750F1F"/>
    <w:rsid w:val="00750F33"/>
    <w:rsid w:val="00750FBD"/>
    <w:rsid w:val="00750FDC"/>
    <w:rsid w:val="00751005"/>
    <w:rsid w:val="0075108B"/>
    <w:rsid w:val="007510C5"/>
    <w:rsid w:val="007510D3"/>
    <w:rsid w:val="00751103"/>
    <w:rsid w:val="00751141"/>
    <w:rsid w:val="00751160"/>
    <w:rsid w:val="007511A0"/>
    <w:rsid w:val="0075123D"/>
    <w:rsid w:val="00751272"/>
    <w:rsid w:val="007512AE"/>
    <w:rsid w:val="00751355"/>
    <w:rsid w:val="007513F0"/>
    <w:rsid w:val="00751410"/>
    <w:rsid w:val="0075141E"/>
    <w:rsid w:val="0075146B"/>
    <w:rsid w:val="007514CA"/>
    <w:rsid w:val="007514D4"/>
    <w:rsid w:val="00751512"/>
    <w:rsid w:val="00751517"/>
    <w:rsid w:val="00751533"/>
    <w:rsid w:val="00751541"/>
    <w:rsid w:val="007515F7"/>
    <w:rsid w:val="0075162D"/>
    <w:rsid w:val="0075163C"/>
    <w:rsid w:val="00751642"/>
    <w:rsid w:val="00751652"/>
    <w:rsid w:val="007516F8"/>
    <w:rsid w:val="00751747"/>
    <w:rsid w:val="00751783"/>
    <w:rsid w:val="007517D2"/>
    <w:rsid w:val="007517D4"/>
    <w:rsid w:val="00751818"/>
    <w:rsid w:val="00751843"/>
    <w:rsid w:val="00751883"/>
    <w:rsid w:val="00751939"/>
    <w:rsid w:val="007519DB"/>
    <w:rsid w:val="007519E8"/>
    <w:rsid w:val="00751A29"/>
    <w:rsid w:val="00751A58"/>
    <w:rsid w:val="00751AFC"/>
    <w:rsid w:val="00751BBA"/>
    <w:rsid w:val="00751C1B"/>
    <w:rsid w:val="00751CFA"/>
    <w:rsid w:val="00751D5A"/>
    <w:rsid w:val="00751D75"/>
    <w:rsid w:val="00751D8A"/>
    <w:rsid w:val="00751DA5"/>
    <w:rsid w:val="00751DB9"/>
    <w:rsid w:val="00751DE7"/>
    <w:rsid w:val="00751F1E"/>
    <w:rsid w:val="00751F82"/>
    <w:rsid w:val="00751FAF"/>
    <w:rsid w:val="00751FC0"/>
    <w:rsid w:val="00751FDC"/>
    <w:rsid w:val="00751FF1"/>
    <w:rsid w:val="00752026"/>
    <w:rsid w:val="0075208D"/>
    <w:rsid w:val="00752094"/>
    <w:rsid w:val="0075211C"/>
    <w:rsid w:val="00752124"/>
    <w:rsid w:val="00752144"/>
    <w:rsid w:val="0075217A"/>
    <w:rsid w:val="0075218B"/>
    <w:rsid w:val="00752280"/>
    <w:rsid w:val="00752294"/>
    <w:rsid w:val="007522E7"/>
    <w:rsid w:val="0075230D"/>
    <w:rsid w:val="00752368"/>
    <w:rsid w:val="007523F5"/>
    <w:rsid w:val="0075240E"/>
    <w:rsid w:val="0075250C"/>
    <w:rsid w:val="00752540"/>
    <w:rsid w:val="007525A0"/>
    <w:rsid w:val="007525FD"/>
    <w:rsid w:val="00752688"/>
    <w:rsid w:val="00752706"/>
    <w:rsid w:val="00752740"/>
    <w:rsid w:val="00752762"/>
    <w:rsid w:val="00752803"/>
    <w:rsid w:val="00752831"/>
    <w:rsid w:val="00752872"/>
    <w:rsid w:val="007528A7"/>
    <w:rsid w:val="00752A29"/>
    <w:rsid w:val="00752B15"/>
    <w:rsid w:val="00752B48"/>
    <w:rsid w:val="00752CB6"/>
    <w:rsid w:val="00752D06"/>
    <w:rsid w:val="00752D0A"/>
    <w:rsid w:val="00752DF8"/>
    <w:rsid w:val="00752E16"/>
    <w:rsid w:val="00752ECA"/>
    <w:rsid w:val="00752F3A"/>
    <w:rsid w:val="00752F5F"/>
    <w:rsid w:val="00752F71"/>
    <w:rsid w:val="00752FB6"/>
    <w:rsid w:val="00752FC0"/>
    <w:rsid w:val="00753082"/>
    <w:rsid w:val="007530A6"/>
    <w:rsid w:val="007530EB"/>
    <w:rsid w:val="0075312B"/>
    <w:rsid w:val="00753147"/>
    <w:rsid w:val="0075327A"/>
    <w:rsid w:val="007532AB"/>
    <w:rsid w:val="00753317"/>
    <w:rsid w:val="00753334"/>
    <w:rsid w:val="007533B6"/>
    <w:rsid w:val="00753419"/>
    <w:rsid w:val="00753433"/>
    <w:rsid w:val="00753455"/>
    <w:rsid w:val="0075364E"/>
    <w:rsid w:val="0075368F"/>
    <w:rsid w:val="007536E4"/>
    <w:rsid w:val="007536F1"/>
    <w:rsid w:val="0075372F"/>
    <w:rsid w:val="0075375B"/>
    <w:rsid w:val="00753826"/>
    <w:rsid w:val="0075382D"/>
    <w:rsid w:val="00753858"/>
    <w:rsid w:val="00753875"/>
    <w:rsid w:val="00753888"/>
    <w:rsid w:val="007538A7"/>
    <w:rsid w:val="007538E6"/>
    <w:rsid w:val="00753948"/>
    <w:rsid w:val="00753958"/>
    <w:rsid w:val="00753962"/>
    <w:rsid w:val="0075398A"/>
    <w:rsid w:val="007539C2"/>
    <w:rsid w:val="00753A1A"/>
    <w:rsid w:val="00753A2D"/>
    <w:rsid w:val="00753A7D"/>
    <w:rsid w:val="00753A9C"/>
    <w:rsid w:val="00753AA4"/>
    <w:rsid w:val="00753AEB"/>
    <w:rsid w:val="00753C10"/>
    <w:rsid w:val="00753C71"/>
    <w:rsid w:val="00753C78"/>
    <w:rsid w:val="00753D13"/>
    <w:rsid w:val="00753D63"/>
    <w:rsid w:val="00753DAB"/>
    <w:rsid w:val="00753DBB"/>
    <w:rsid w:val="00753E56"/>
    <w:rsid w:val="00753E87"/>
    <w:rsid w:val="00753EB3"/>
    <w:rsid w:val="00753EBD"/>
    <w:rsid w:val="00753F4A"/>
    <w:rsid w:val="00753F8C"/>
    <w:rsid w:val="00753FAC"/>
    <w:rsid w:val="00753FE8"/>
    <w:rsid w:val="00754027"/>
    <w:rsid w:val="00754035"/>
    <w:rsid w:val="007540A2"/>
    <w:rsid w:val="0075415C"/>
    <w:rsid w:val="007541CE"/>
    <w:rsid w:val="007541EF"/>
    <w:rsid w:val="0075427E"/>
    <w:rsid w:val="00754283"/>
    <w:rsid w:val="007542C7"/>
    <w:rsid w:val="007542CE"/>
    <w:rsid w:val="00754307"/>
    <w:rsid w:val="0075432B"/>
    <w:rsid w:val="00754343"/>
    <w:rsid w:val="00754358"/>
    <w:rsid w:val="0075437D"/>
    <w:rsid w:val="007543A9"/>
    <w:rsid w:val="007543DC"/>
    <w:rsid w:val="00754402"/>
    <w:rsid w:val="00754447"/>
    <w:rsid w:val="007544B3"/>
    <w:rsid w:val="007544D3"/>
    <w:rsid w:val="00754523"/>
    <w:rsid w:val="00754532"/>
    <w:rsid w:val="00754549"/>
    <w:rsid w:val="007545D7"/>
    <w:rsid w:val="007545DE"/>
    <w:rsid w:val="007545ED"/>
    <w:rsid w:val="007546A5"/>
    <w:rsid w:val="007546C4"/>
    <w:rsid w:val="007546DF"/>
    <w:rsid w:val="00754739"/>
    <w:rsid w:val="00754784"/>
    <w:rsid w:val="007547AB"/>
    <w:rsid w:val="007547CE"/>
    <w:rsid w:val="0075482A"/>
    <w:rsid w:val="007548AE"/>
    <w:rsid w:val="007548D9"/>
    <w:rsid w:val="007548F9"/>
    <w:rsid w:val="00754928"/>
    <w:rsid w:val="0075492A"/>
    <w:rsid w:val="0075497A"/>
    <w:rsid w:val="00754A77"/>
    <w:rsid w:val="00754AA7"/>
    <w:rsid w:val="00754AE2"/>
    <w:rsid w:val="00754AE9"/>
    <w:rsid w:val="00754B3B"/>
    <w:rsid w:val="00754C01"/>
    <w:rsid w:val="00754C5C"/>
    <w:rsid w:val="00754C8A"/>
    <w:rsid w:val="00754D26"/>
    <w:rsid w:val="00754D37"/>
    <w:rsid w:val="00754DC6"/>
    <w:rsid w:val="00754DE8"/>
    <w:rsid w:val="00754E08"/>
    <w:rsid w:val="00754E69"/>
    <w:rsid w:val="00754ED2"/>
    <w:rsid w:val="00754EFC"/>
    <w:rsid w:val="00754F1C"/>
    <w:rsid w:val="00754F51"/>
    <w:rsid w:val="00754F8B"/>
    <w:rsid w:val="00754FF3"/>
    <w:rsid w:val="00755027"/>
    <w:rsid w:val="0075503E"/>
    <w:rsid w:val="00755068"/>
    <w:rsid w:val="007550E8"/>
    <w:rsid w:val="00755133"/>
    <w:rsid w:val="007551CB"/>
    <w:rsid w:val="007551E7"/>
    <w:rsid w:val="0075521F"/>
    <w:rsid w:val="00755289"/>
    <w:rsid w:val="0075528F"/>
    <w:rsid w:val="00755313"/>
    <w:rsid w:val="007553AC"/>
    <w:rsid w:val="0075544D"/>
    <w:rsid w:val="0075545A"/>
    <w:rsid w:val="0075545B"/>
    <w:rsid w:val="00755473"/>
    <w:rsid w:val="007554F5"/>
    <w:rsid w:val="007554F7"/>
    <w:rsid w:val="00755561"/>
    <w:rsid w:val="00755572"/>
    <w:rsid w:val="0075559A"/>
    <w:rsid w:val="0075568A"/>
    <w:rsid w:val="007556D7"/>
    <w:rsid w:val="00755762"/>
    <w:rsid w:val="0075576B"/>
    <w:rsid w:val="00755796"/>
    <w:rsid w:val="007557A0"/>
    <w:rsid w:val="00755873"/>
    <w:rsid w:val="007558BF"/>
    <w:rsid w:val="00755904"/>
    <w:rsid w:val="00755933"/>
    <w:rsid w:val="007559C4"/>
    <w:rsid w:val="007559D9"/>
    <w:rsid w:val="007559DC"/>
    <w:rsid w:val="00755A8C"/>
    <w:rsid w:val="00755B11"/>
    <w:rsid w:val="00755BFD"/>
    <w:rsid w:val="00755C42"/>
    <w:rsid w:val="00755C73"/>
    <w:rsid w:val="00755CA6"/>
    <w:rsid w:val="00755CC7"/>
    <w:rsid w:val="00755D5F"/>
    <w:rsid w:val="00755D9F"/>
    <w:rsid w:val="00755EE5"/>
    <w:rsid w:val="00755F40"/>
    <w:rsid w:val="00755F4C"/>
    <w:rsid w:val="00755FEF"/>
    <w:rsid w:val="00756048"/>
    <w:rsid w:val="0075611A"/>
    <w:rsid w:val="00756140"/>
    <w:rsid w:val="00756141"/>
    <w:rsid w:val="00756208"/>
    <w:rsid w:val="0075625D"/>
    <w:rsid w:val="0075627D"/>
    <w:rsid w:val="00756286"/>
    <w:rsid w:val="0075628A"/>
    <w:rsid w:val="007562E9"/>
    <w:rsid w:val="00756337"/>
    <w:rsid w:val="007563BB"/>
    <w:rsid w:val="00756415"/>
    <w:rsid w:val="00756429"/>
    <w:rsid w:val="00756461"/>
    <w:rsid w:val="00756467"/>
    <w:rsid w:val="007564D4"/>
    <w:rsid w:val="007565F1"/>
    <w:rsid w:val="0075666B"/>
    <w:rsid w:val="00756785"/>
    <w:rsid w:val="007567EA"/>
    <w:rsid w:val="007567EC"/>
    <w:rsid w:val="00756801"/>
    <w:rsid w:val="0075687E"/>
    <w:rsid w:val="00756883"/>
    <w:rsid w:val="007568CA"/>
    <w:rsid w:val="007568FC"/>
    <w:rsid w:val="0075690C"/>
    <w:rsid w:val="00756919"/>
    <w:rsid w:val="0075696F"/>
    <w:rsid w:val="0075699F"/>
    <w:rsid w:val="007569EE"/>
    <w:rsid w:val="00756A22"/>
    <w:rsid w:val="00756A54"/>
    <w:rsid w:val="00756A6D"/>
    <w:rsid w:val="00756AE9"/>
    <w:rsid w:val="00756AF7"/>
    <w:rsid w:val="00756AF9"/>
    <w:rsid w:val="00756B1B"/>
    <w:rsid w:val="00756B8C"/>
    <w:rsid w:val="00756BAF"/>
    <w:rsid w:val="00756C03"/>
    <w:rsid w:val="00756C14"/>
    <w:rsid w:val="00756D08"/>
    <w:rsid w:val="00756D2A"/>
    <w:rsid w:val="00756D3B"/>
    <w:rsid w:val="00756D45"/>
    <w:rsid w:val="00756E86"/>
    <w:rsid w:val="00756E8A"/>
    <w:rsid w:val="00756EEC"/>
    <w:rsid w:val="00756F15"/>
    <w:rsid w:val="00756F2E"/>
    <w:rsid w:val="00756F48"/>
    <w:rsid w:val="0075701F"/>
    <w:rsid w:val="00757031"/>
    <w:rsid w:val="00757116"/>
    <w:rsid w:val="0075711E"/>
    <w:rsid w:val="00757161"/>
    <w:rsid w:val="007571CE"/>
    <w:rsid w:val="007571EA"/>
    <w:rsid w:val="00757227"/>
    <w:rsid w:val="007572BE"/>
    <w:rsid w:val="0075739E"/>
    <w:rsid w:val="007573C6"/>
    <w:rsid w:val="00757457"/>
    <w:rsid w:val="00757488"/>
    <w:rsid w:val="00757511"/>
    <w:rsid w:val="0075751E"/>
    <w:rsid w:val="00757548"/>
    <w:rsid w:val="00757590"/>
    <w:rsid w:val="007576DF"/>
    <w:rsid w:val="00757704"/>
    <w:rsid w:val="00757732"/>
    <w:rsid w:val="007577C8"/>
    <w:rsid w:val="00757816"/>
    <w:rsid w:val="00757863"/>
    <w:rsid w:val="0075787F"/>
    <w:rsid w:val="00757999"/>
    <w:rsid w:val="007579DD"/>
    <w:rsid w:val="00757A85"/>
    <w:rsid w:val="00757AB6"/>
    <w:rsid w:val="00757AE4"/>
    <w:rsid w:val="00757AED"/>
    <w:rsid w:val="00757B08"/>
    <w:rsid w:val="00757B66"/>
    <w:rsid w:val="00757C1F"/>
    <w:rsid w:val="00757C63"/>
    <w:rsid w:val="00757CF1"/>
    <w:rsid w:val="00757D36"/>
    <w:rsid w:val="00757D43"/>
    <w:rsid w:val="00757D48"/>
    <w:rsid w:val="00757D58"/>
    <w:rsid w:val="00757D69"/>
    <w:rsid w:val="00757DC9"/>
    <w:rsid w:val="00757E35"/>
    <w:rsid w:val="00757E4C"/>
    <w:rsid w:val="00757E5C"/>
    <w:rsid w:val="00757EDE"/>
    <w:rsid w:val="00757EF6"/>
    <w:rsid w:val="00760004"/>
    <w:rsid w:val="00760009"/>
    <w:rsid w:val="0076005F"/>
    <w:rsid w:val="00760120"/>
    <w:rsid w:val="00760128"/>
    <w:rsid w:val="0076014B"/>
    <w:rsid w:val="0076017B"/>
    <w:rsid w:val="00760199"/>
    <w:rsid w:val="007601FA"/>
    <w:rsid w:val="00760224"/>
    <w:rsid w:val="00760286"/>
    <w:rsid w:val="00760319"/>
    <w:rsid w:val="0076038A"/>
    <w:rsid w:val="007603E9"/>
    <w:rsid w:val="007603EA"/>
    <w:rsid w:val="007603FC"/>
    <w:rsid w:val="0076046D"/>
    <w:rsid w:val="00760490"/>
    <w:rsid w:val="007604D0"/>
    <w:rsid w:val="007605E2"/>
    <w:rsid w:val="00760608"/>
    <w:rsid w:val="0076067A"/>
    <w:rsid w:val="007606EA"/>
    <w:rsid w:val="007606F3"/>
    <w:rsid w:val="0076072F"/>
    <w:rsid w:val="0076074A"/>
    <w:rsid w:val="007607A5"/>
    <w:rsid w:val="00760892"/>
    <w:rsid w:val="007608A0"/>
    <w:rsid w:val="0076099B"/>
    <w:rsid w:val="007609BE"/>
    <w:rsid w:val="00760A0F"/>
    <w:rsid w:val="00760A9D"/>
    <w:rsid w:val="00760ADA"/>
    <w:rsid w:val="00760B66"/>
    <w:rsid w:val="00760B80"/>
    <w:rsid w:val="00760BCD"/>
    <w:rsid w:val="00760C1B"/>
    <w:rsid w:val="00760C5D"/>
    <w:rsid w:val="00760CD6"/>
    <w:rsid w:val="00760CEE"/>
    <w:rsid w:val="00760D2E"/>
    <w:rsid w:val="00760DB7"/>
    <w:rsid w:val="00760EAD"/>
    <w:rsid w:val="00760F94"/>
    <w:rsid w:val="00760F9B"/>
    <w:rsid w:val="00761013"/>
    <w:rsid w:val="00761053"/>
    <w:rsid w:val="0076106B"/>
    <w:rsid w:val="00761073"/>
    <w:rsid w:val="0076114F"/>
    <w:rsid w:val="00761171"/>
    <w:rsid w:val="007611B0"/>
    <w:rsid w:val="00761212"/>
    <w:rsid w:val="00761215"/>
    <w:rsid w:val="00761254"/>
    <w:rsid w:val="00761286"/>
    <w:rsid w:val="0076128B"/>
    <w:rsid w:val="007612E9"/>
    <w:rsid w:val="0076138B"/>
    <w:rsid w:val="00761409"/>
    <w:rsid w:val="007614E8"/>
    <w:rsid w:val="007614F2"/>
    <w:rsid w:val="00761560"/>
    <w:rsid w:val="00761564"/>
    <w:rsid w:val="007615DE"/>
    <w:rsid w:val="0076164B"/>
    <w:rsid w:val="00761667"/>
    <w:rsid w:val="00761678"/>
    <w:rsid w:val="00761680"/>
    <w:rsid w:val="007616B9"/>
    <w:rsid w:val="007616C4"/>
    <w:rsid w:val="00761717"/>
    <w:rsid w:val="0076184E"/>
    <w:rsid w:val="00761877"/>
    <w:rsid w:val="0076193E"/>
    <w:rsid w:val="0076194D"/>
    <w:rsid w:val="00761951"/>
    <w:rsid w:val="00761966"/>
    <w:rsid w:val="007619D5"/>
    <w:rsid w:val="007619DC"/>
    <w:rsid w:val="007619E4"/>
    <w:rsid w:val="00761A17"/>
    <w:rsid w:val="00761A31"/>
    <w:rsid w:val="00761A3F"/>
    <w:rsid w:val="00761ACA"/>
    <w:rsid w:val="00761AE8"/>
    <w:rsid w:val="00761B04"/>
    <w:rsid w:val="00761B40"/>
    <w:rsid w:val="00761B7C"/>
    <w:rsid w:val="00761BB2"/>
    <w:rsid w:val="00761BB8"/>
    <w:rsid w:val="00761BC8"/>
    <w:rsid w:val="00761C14"/>
    <w:rsid w:val="00761CA6"/>
    <w:rsid w:val="00761CC5"/>
    <w:rsid w:val="00761D4D"/>
    <w:rsid w:val="00761D59"/>
    <w:rsid w:val="00761D8A"/>
    <w:rsid w:val="00761EAF"/>
    <w:rsid w:val="00761F1D"/>
    <w:rsid w:val="00761F8D"/>
    <w:rsid w:val="00761FA2"/>
    <w:rsid w:val="0076201A"/>
    <w:rsid w:val="007620A9"/>
    <w:rsid w:val="007620AE"/>
    <w:rsid w:val="00762229"/>
    <w:rsid w:val="0076223E"/>
    <w:rsid w:val="00762259"/>
    <w:rsid w:val="00762271"/>
    <w:rsid w:val="0076235F"/>
    <w:rsid w:val="0076236A"/>
    <w:rsid w:val="0076236C"/>
    <w:rsid w:val="0076236F"/>
    <w:rsid w:val="00762375"/>
    <w:rsid w:val="007623F6"/>
    <w:rsid w:val="00762458"/>
    <w:rsid w:val="0076246C"/>
    <w:rsid w:val="007624A4"/>
    <w:rsid w:val="007624A6"/>
    <w:rsid w:val="00762564"/>
    <w:rsid w:val="00762591"/>
    <w:rsid w:val="0076259B"/>
    <w:rsid w:val="007625A0"/>
    <w:rsid w:val="007625DB"/>
    <w:rsid w:val="0076263F"/>
    <w:rsid w:val="00762664"/>
    <w:rsid w:val="00762692"/>
    <w:rsid w:val="00762816"/>
    <w:rsid w:val="0076284E"/>
    <w:rsid w:val="007628DE"/>
    <w:rsid w:val="0076293C"/>
    <w:rsid w:val="00762BD2"/>
    <w:rsid w:val="00762C06"/>
    <w:rsid w:val="00762C32"/>
    <w:rsid w:val="00762C9D"/>
    <w:rsid w:val="00762D13"/>
    <w:rsid w:val="00762DAE"/>
    <w:rsid w:val="00762E0F"/>
    <w:rsid w:val="00762E1B"/>
    <w:rsid w:val="00762E1E"/>
    <w:rsid w:val="00762E37"/>
    <w:rsid w:val="00762E54"/>
    <w:rsid w:val="00762EC1"/>
    <w:rsid w:val="00762F4F"/>
    <w:rsid w:val="00762F6B"/>
    <w:rsid w:val="0076306C"/>
    <w:rsid w:val="007630CE"/>
    <w:rsid w:val="00763133"/>
    <w:rsid w:val="007631EC"/>
    <w:rsid w:val="007632D3"/>
    <w:rsid w:val="00763303"/>
    <w:rsid w:val="00763390"/>
    <w:rsid w:val="007633DE"/>
    <w:rsid w:val="007634D2"/>
    <w:rsid w:val="00763529"/>
    <w:rsid w:val="0076355E"/>
    <w:rsid w:val="00763560"/>
    <w:rsid w:val="00763654"/>
    <w:rsid w:val="00763685"/>
    <w:rsid w:val="007636D3"/>
    <w:rsid w:val="00763761"/>
    <w:rsid w:val="007637D7"/>
    <w:rsid w:val="00763807"/>
    <w:rsid w:val="0076380F"/>
    <w:rsid w:val="00763814"/>
    <w:rsid w:val="00763895"/>
    <w:rsid w:val="007638B3"/>
    <w:rsid w:val="00763937"/>
    <w:rsid w:val="00763977"/>
    <w:rsid w:val="007639B4"/>
    <w:rsid w:val="007639C6"/>
    <w:rsid w:val="00763A0F"/>
    <w:rsid w:val="00763AEC"/>
    <w:rsid w:val="00763AEE"/>
    <w:rsid w:val="00763B6C"/>
    <w:rsid w:val="00763BE7"/>
    <w:rsid w:val="00763D76"/>
    <w:rsid w:val="00763DC7"/>
    <w:rsid w:val="00763E04"/>
    <w:rsid w:val="00763E35"/>
    <w:rsid w:val="00763E49"/>
    <w:rsid w:val="00763EB0"/>
    <w:rsid w:val="00763EFD"/>
    <w:rsid w:val="00763F9B"/>
    <w:rsid w:val="00763F9C"/>
    <w:rsid w:val="00763FA9"/>
    <w:rsid w:val="00763FB9"/>
    <w:rsid w:val="00763FF9"/>
    <w:rsid w:val="00764050"/>
    <w:rsid w:val="00764111"/>
    <w:rsid w:val="00764128"/>
    <w:rsid w:val="00764199"/>
    <w:rsid w:val="0076424F"/>
    <w:rsid w:val="0076426D"/>
    <w:rsid w:val="007642A8"/>
    <w:rsid w:val="007642B6"/>
    <w:rsid w:val="007642BA"/>
    <w:rsid w:val="007642CB"/>
    <w:rsid w:val="00764355"/>
    <w:rsid w:val="0076437F"/>
    <w:rsid w:val="0076438B"/>
    <w:rsid w:val="00764445"/>
    <w:rsid w:val="00764470"/>
    <w:rsid w:val="00764483"/>
    <w:rsid w:val="007644C7"/>
    <w:rsid w:val="007644EB"/>
    <w:rsid w:val="0076454A"/>
    <w:rsid w:val="0076454C"/>
    <w:rsid w:val="007645DE"/>
    <w:rsid w:val="0076464B"/>
    <w:rsid w:val="007646B6"/>
    <w:rsid w:val="00764703"/>
    <w:rsid w:val="00764707"/>
    <w:rsid w:val="0076473D"/>
    <w:rsid w:val="0076474B"/>
    <w:rsid w:val="00764804"/>
    <w:rsid w:val="00764833"/>
    <w:rsid w:val="0076483F"/>
    <w:rsid w:val="007648B5"/>
    <w:rsid w:val="007648CD"/>
    <w:rsid w:val="00764927"/>
    <w:rsid w:val="0076494C"/>
    <w:rsid w:val="00764A07"/>
    <w:rsid w:val="00764AD3"/>
    <w:rsid w:val="00764ADE"/>
    <w:rsid w:val="00764B9F"/>
    <w:rsid w:val="00764BBC"/>
    <w:rsid w:val="00764BC8"/>
    <w:rsid w:val="00764C37"/>
    <w:rsid w:val="00764CF2"/>
    <w:rsid w:val="00764D53"/>
    <w:rsid w:val="00764D85"/>
    <w:rsid w:val="00764DE4"/>
    <w:rsid w:val="00764DF9"/>
    <w:rsid w:val="00764E01"/>
    <w:rsid w:val="00764E43"/>
    <w:rsid w:val="00764E44"/>
    <w:rsid w:val="00764EE6"/>
    <w:rsid w:val="00764F00"/>
    <w:rsid w:val="00764F92"/>
    <w:rsid w:val="00764FD6"/>
    <w:rsid w:val="00765010"/>
    <w:rsid w:val="00765054"/>
    <w:rsid w:val="00765071"/>
    <w:rsid w:val="00765089"/>
    <w:rsid w:val="0076514C"/>
    <w:rsid w:val="00765162"/>
    <w:rsid w:val="007651A5"/>
    <w:rsid w:val="007651AA"/>
    <w:rsid w:val="007651E8"/>
    <w:rsid w:val="007651FB"/>
    <w:rsid w:val="00765209"/>
    <w:rsid w:val="00765240"/>
    <w:rsid w:val="007652AA"/>
    <w:rsid w:val="0076532B"/>
    <w:rsid w:val="00765371"/>
    <w:rsid w:val="007653AC"/>
    <w:rsid w:val="007653D9"/>
    <w:rsid w:val="00765417"/>
    <w:rsid w:val="00765434"/>
    <w:rsid w:val="0076548F"/>
    <w:rsid w:val="00765561"/>
    <w:rsid w:val="0076559B"/>
    <w:rsid w:val="007655BB"/>
    <w:rsid w:val="007656B5"/>
    <w:rsid w:val="007656B8"/>
    <w:rsid w:val="0076576F"/>
    <w:rsid w:val="007657A6"/>
    <w:rsid w:val="007657D1"/>
    <w:rsid w:val="00765911"/>
    <w:rsid w:val="00765945"/>
    <w:rsid w:val="00765955"/>
    <w:rsid w:val="00765992"/>
    <w:rsid w:val="00765A19"/>
    <w:rsid w:val="00765A2E"/>
    <w:rsid w:val="00765A88"/>
    <w:rsid w:val="00765AA7"/>
    <w:rsid w:val="00765ACB"/>
    <w:rsid w:val="00765B39"/>
    <w:rsid w:val="00765B3A"/>
    <w:rsid w:val="00765B58"/>
    <w:rsid w:val="00765B99"/>
    <w:rsid w:val="00765B9E"/>
    <w:rsid w:val="00765BFA"/>
    <w:rsid w:val="00765C00"/>
    <w:rsid w:val="00765C2B"/>
    <w:rsid w:val="00765C2C"/>
    <w:rsid w:val="00765CBB"/>
    <w:rsid w:val="00765CBF"/>
    <w:rsid w:val="00765CD3"/>
    <w:rsid w:val="00765D3B"/>
    <w:rsid w:val="00765D3E"/>
    <w:rsid w:val="00765D79"/>
    <w:rsid w:val="00765D9B"/>
    <w:rsid w:val="00765DBD"/>
    <w:rsid w:val="00765DDE"/>
    <w:rsid w:val="00765E03"/>
    <w:rsid w:val="00765E0F"/>
    <w:rsid w:val="00765E43"/>
    <w:rsid w:val="00765E48"/>
    <w:rsid w:val="00765EAD"/>
    <w:rsid w:val="00765ECD"/>
    <w:rsid w:val="00765F09"/>
    <w:rsid w:val="00765F70"/>
    <w:rsid w:val="00765FF3"/>
    <w:rsid w:val="00766020"/>
    <w:rsid w:val="00766055"/>
    <w:rsid w:val="0076607E"/>
    <w:rsid w:val="0076608C"/>
    <w:rsid w:val="00766094"/>
    <w:rsid w:val="007660DB"/>
    <w:rsid w:val="007661B2"/>
    <w:rsid w:val="007662F0"/>
    <w:rsid w:val="00766309"/>
    <w:rsid w:val="00766328"/>
    <w:rsid w:val="007663E8"/>
    <w:rsid w:val="0076647D"/>
    <w:rsid w:val="007664D3"/>
    <w:rsid w:val="007664DE"/>
    <w:rsid w:val="00766531"/>
    <w:rsid w:val="00766590"/>
    <w:rsid w:val="007665CC"/>
    <w:rsid w:val="007665F6"/>
    <w:rsid w:val="00766653"/>
    <w:rsid w:val="00766662"/>
    <w:rsid w:val="007666CE"/>
    <w:rsid w:val="0076671A"/>
    <w:rsid w:val="0076672E"/>
    <w:rsid w:val="00766797"/>
    <w:rsid w:val="007667B4"/>
    <w:rsid w:val="007667E2"/>
    <w:rsid w:val="0076683B"/>
    <w:rsid w:val="007668BB"/>
    <w:rsid w:val="0076691D"/>
    <w:rsid w:val="0076693C"/>
    <w:rsid w:val="00766972"/>
    <w:rsid w:val="0076697D"/>
    <w:rsid w:val="0076699D"/>
    <w:rsid w:val="007669FB"/>
    <w:rsid w:val="00766A37"/>
    <w:rsid w:val="00766A39"/>
    <w:rsid w:val="00766ADC"/>
    <w:rsid w:val="00766B2E"/>
    <w:rsid w:val="00766B94"/>
    <w:rsid w:val="00766BBF"/>
    <w:rsid w:val="00766BCD"/>
    <w:rsid w:val="00766C01"/>
    <w:rsid w:val="00766CE3"/>
    <w:rsid w:val="00766CEF"/>
    <w:rsid w:val="00766CFD"/>
    <w:rsid w:val="00766D99"/>
    <w:rsid w:val="00766DD2"/>
    <w:rsid w:val="00766EBC"/>
    <w:rsid w:val="00766EDF"/>
    <w:rsid w:val="00766F02"/>
    <w:rsid w:val="00766F71"/>
    <w:rsid w:val="00766F75"/>
    <w:rsid w:val="00766F76"/>
    <w:rsid w:val="00767011"/>
    <w:rsid w:val="0076701B"/>
    <w:rsid w:val="00767060"/>
    <w:rsid w:val="007670CA"/>
    <w:rsid w:val="007670E2"/>
    <w:rsid w:val="0076716B"/>
    <w:rsid w:val="00767177"/>
    <w:rsid w:val="00767279"/>
    <w:rsid w:val="0076727E"/>
    <w:rsid w:val="0076734A"/>
    <w:rsid w:val="007673B7"/>
    <w:rsid w:val="007673C0"/>
    <w:rsid w:val="00767434"/>
    <w:rsid w:val="0076747E"/>
    <w:rsid w:val="007674B5"/>
    <w:rsid w:val="007674CE"/>
    <w:rsid w:val="007674D9"/>
    <w:rsid w:val="00767675"/>
    <w:rsid w:val="007676C4"/>
    <w:rsid w:val="007676E0"/>
    <w:rsid w:val="0076773F"/>
    <w:rsid w:val="0076778A"/>
    <w:rsid w:val="00767831"/>
    <w:rsid w:val="00767908"/>
    <w:rsid w:val="0076792C"/>
    <w:rsid w:val="00767966"/>
    <w:rsid w:val="00767A13"/>
    <w:rsid w:val="00767A1F"/>
    <w:rsid w:val="00767A7B"/>
    <w:rsid w:val="00767A90"/>
    <w:rsid w:val="00767AC3"/>
    <w:rsid w:val="00767B5A"/>
    <w:rsid w:val="00767B71"/>
    <w:rsid w:val="00767C84"/>
    <w:rsid w:val="00767D0D"/>
    <w:rsid w:val="00767D0F"/>
    <w:rsid w:val="00767D63"/>
    <w:rsid w:val="00767D67"/>
    <w:rsid w:val="00767E7E"/>
    <w:rsid w:val="00767EEA"/>
    <w:rsid w:val="00767F00"/>
    <w:rsid w:val="00767F0C"/>
    <w:rsid w:val="00767FC4"/>
    <w:rsid w:val="00770000"/>
    <w:rsid w:val="00770099"/>
    <w:rsid w:val="007700DC"/>
    <w:rsid w:val="007700E5"/>
    <w:rsid w:val="007700F3"/>
    <w:rsid w:val="0077012B"/>
    <w:rsid w:val="00770143"/>
    <w:rsid w:val="0077018D"/>
    <w:rsid w:val="007701A6"/>
    <w:rsid w:val="00770226"/>
    <w:rsid w:val="007702B7"/>
    <w:rsid w:val="007702FA"/>
    <w:rsid w:val="00770382"/>
    <w:rsid w:val="007703BB"/>
    <w:rsid w:val="00770442"/>
    <w:rsid w:val="007704CD"/>
    <w:rsid w:val="00770502"/>
    <w:rsid w:val="0077050C"/>
    <w:rsid w:val="00770518"/>
    <w:rsid w:val="00770540"/>
    <w:rsid w:val="0077059E"/>
    <w:rsid w:val="007705EF"/>
    <w:rsid w:val="00770641"/>
    <w:rsid w:val="00770666"/>
    <w:rsid w:val="0077066A"/>
    <w:rsid w:val="00770680"/>
    <w:rsid w:val="007706A3"/>
    <w:rsid w:val="007706E9"/>
    <w:rsid w:val="007706F0"/>
    <w:rsid w:val="007706FC"/>
    <w:rsid w:val="0077079E"/>
    <w:rsid w:val="007707B4"/>
    <w:rsid w:val="007707E1"/>
    <w:rsid w:val="007707E9"/>
    <w:rsid w:val="007707F3"/>
    <w:rsid w:val="007708FC"/>
    <w:rsid w:val="00770929"/>
    <w:rsid w:val="00770952"/>
    <w:rsid w:val="007709CC"/>
    <w:rsid w:val="00770A14"/>
    <w:rsid w:val="00770AEC"/>
    <w:rsid w:val="00770AFA"/>
    <w:rsid w:val="00770BA0"/>
    <w:rsid w:val="00770BD0"/>
    <w:rsid w:val="00770BDA"/>
    <w:rsid w:val="00770C1E"/>
    <w:rsid w:val="00770C51"/>
    <w:rsid w:val="00770C8B"/>
    <w:rsid w:val="00770CDC"/>
    <w:rsid w:val="00770D64"/>
    <w:rsid w:val="00770E2C"/>
    <w:rsid w:val="00770EE5"/>
    <w:rsid w:val="00770F39"/>
    <w:rsid w:val="00770F7E"/>
    <w:rsid w:val="00770F8B"/>
    <w:rsid w:val="00770FA9"/>
    <w:rsid w:val="00770FE3"/>
    <w:rsid w:val="00770FFE"/>
    <w:rsid w:val="007710B8"/>
    <w:rsid w:val="007710DF"/>
    <w:rsid w:val="00771167"/>
    <w:rsid w:val="00771196"/>
    <w:rsid w:val="007711F0"/>
    <w:rsid w:val="00771317"/>
    <w:rsid w:val="00771338"/>
    <w:rsid w:val="00771400"/>
    <w:rsid w:val="00771412"/>
    <w:rsid w:val="0077141F"/>
    <w:rsid w:val="0077146B"/>
    <w:rsid w:val="0077146C"/>
    <w:rsid w:val="007714DA"/>
    <w:rsid w:val="0077158A"/>
    <w:rsid w:val="00771666"/>
    <w:rsid w:val="0077169C"/>
    <w:rsid w:val="007716CD"/>
    <w:rsid w:val="00771705"/>
    <w:rsid w:val="00771735"/>
    <w:rsid w:val="00771743"/>
    <w:rsid w:val="007717A5"/>
    <w:rsid w:val="007717AA"/>
    <w:rsid w:val="007717D1"/>
    <w:rsid w:val="007717EC"/>
    <w:rsid w:val="00771811"/>
    <w:rsid w:val="0077182E"/>
    <w:rsid w:val="00771831"/>
    <w:rsid w:val="0077184B"/>
    <w:rsid w:val="00771939"/>
    <w:rsid w:val="0077198E"/>
    <w:rsid w:val="007719BA"/>
    <w:rsid w:val="007719FB"/>
    <w:rsid w:val="00771A13"/>
    <w:rsid w:val="00771A64"/>
    <w:rsid w:val="00771B37"/>
    <w:rsid w:val="00771C26"/>
    <w:rsid w:val="00771C39"/>
    <w:rsid w:val="00771D04"/>
    <w:rsid w:val="00771D2E"/>
    <w:rsid w:val="00771E51"/>
    <w:rsid w:val="00771EF5"/>
    <w:rsid w:val="00771EF6"/>
    <w:rsid w:val="00771F0D"/>
    <w:rsid w:val="00771F75"/>
    <w:rsid w:val="00771FB6"/>
    <w:rsid w:val="00772029"/>
    <w:rsid w:val="0077205D"/>
    <w:rsid w:val="007720D0"/>
    <w:rsid w:val="00772116"/>
    <w:rsid w:val="0077213D"/>
    <w:rsid w:val="00772162"/>
    <w:rsid w:val="007721DD"/>
    <w:rsid w:val="00772212"/>
    <w:rsid w:val="00772273"/>
    <w:rsid w:val="0077227F"/>
    <w:rsid w:val="007722F6"/>
    <w:rsid w:val="007723A3"/>
    <w:rsid w:val="007723D5"/>
    <w:rsid w:val="007723E2"/>
    <w:rsid w:val="0077244C"/>
    <w:rsid w:val="00772522"/>
    <w:rsid w:val="00772564"/>
    <w:rsid w:val="00772569"/>
    <w:rsid w:val="00772571"/>
    <w:rsid w:val="007725C9"/>
    <w:rsid w:val="007725D1"/>
    <w:rsid w:val="007725E1"/>
    <w:rsid w:val="0077263C"/>
    <w:rsid w:val="00772671"/>
    <w:rsid w:val="00772757"/>
    <w:rsid w:val="007727ED"/>
    <w:rsid w:val="0077282B"/>
    <w:rsid w:val="0077287D"/>
    <w:rsid w:val="00772998"/>
    <w:rsid w:val="007729D7"/>
    <w:rsid w:val="00772A19"/>
    <w:rsid w:val="00772A4D"/>
    <w:rsid w:val="00772A62"/>
    <w:rsid w:val="00772A77"/>
    <w:rsid w:val="00772A9A"/>
    <w:rsid w:val="00772ABF"/>
    <w:rsid w:val="00772B8C"/>
    <w:rsid w:val="00772CA4"/>
    <w:rsid w:val="00772D88"/>
    <w:rsid w:val="00772DB5"/>
    <w:rsid w:val="00772DD6"/>
    <w:rsid w:val="00772DD9"/>
    <w:rsid w:val="00772EC2"/>
    <w:rsid w:val="00772ED1"/>
    <w:rsid w:val="00772F54"/>
    <w:rsid w:val="00772F89"/>
    <w:rsid w:val="0077301A"/>
    <w:rsid w:val="00773052"/>
    <w:rsid w:val="0077308A"/>
    <w:rsid w:val="007730CD"/>
    <w:rsid w:val="007730EB"/>
    <w:rsid w:val="0077314B"/>
    <w:rsid w:val="0077315D"/>
    <w:rsid w:val="007731C7"/>
    <w:rsid w:val="0077327C"/>
    <w:rsid w:val="007733B1"/>
    <w:rsid w:val="0077341B"/>
    <w:rsid w:val="007734F4"/>
    <w:rsid w:val="007734F9"/>
    <w:rsid w:val="00773548"/>
    <w:rsid w:val="007735CC"/>
    <w:rsid w:val="00773602"/>
    <w:rsid w:val="0077364B"/>
    <w:rsid w:val="007736B5"/>
    <w:rsid w:val="007736EE"/>
    <w:rsid w:val="0077371B"/>
    <w:rsid w:val="0077373A"/>
    <w:rsid w:val="00773789"/>
    <w:rsid w:val="00773864"/>
    <w:rsid w:val="0077387A"/>
    <w:rsid w:val="007738BB"/>
    <w:rsid w:val="00773940"/>
    <w:rsid w:val="0077397C"/>
    <w:rsid w:val="0077399D"/>
    <w:rsid w:val="007739A0"/>
    <w:rsid w:val="007739DC"/>
    <w:rsid w:val="00773A59"/>
    <w:rsid w:val="00773A6D"/>
    <w:rsid w:val="00773A75"/>
    <w:rsid w:val="00773AA1"/>
    <w:rsid w:val="00773AAD"/>
    <w:rsid w:val="00773AB8"/>
    <w:rsid w:val="00773B41"/>
    <w:rsid w:val="00773BFF"/>
    <w:rsid w:val="00773C33"/>
    <w:rsid w:val="00773C71"/>
    <w:rsid w:val="00773C85"/>
    <w:rsid w:val="00773C88"/>
    <w:rsid w:val="00773CC1"/>
    <w:rsid w:val="00773D08"/>
    <w:rsid w:val="00773DB5"/>
    <w:rsid w:val="00773DD6"/>
    <w:rsid w:val="00773F7B"/>
    <w:rsid w:val="0077403C"/>
    <w:rsid w:val="007740CC"/>
    <w:rsid w:val="0077418C"/>
    <w:rsid w:val="0077419E"/>
    <w:rsid w:val="007741CE"/>
    <w:rsid w:val="007741E1"/>
    <w:rsid w:val="0077425D"/>
    <w:rsid w:val="007742BB"/>
    <w:rsid w:val="007744C1"/>
    <w:rsid w:val="0077455D"/>
    <w:rsid w:val="007745EE"/>
    <w:rsid w:val="007745FE"/>
    <w:rsid w:val="00774601"/>
    <w:rsid w:val="00774619"/>
    <w:rsid w:val="00774625"/>
    <w:rsid w:val="00774656"/>
    <w:rsid w:val="00774657"/>
    <w:rsid w:val="0077465D"/>
    <w:rsid w:val="00774685"/>
    <w:rsid w:val="00774737"/>
    <w:rsid w:val="00774868"/>
    <w:rsid w:val="00774906"/>
    <w:rsid w:val="0077491E"/>
    <w:rsid w:val="00774949"/>
    <w:rsid w:val="00774983"/>
    <w:rsid w:val="00774994"/>
    <w:rsid w:val="007749BC"/>
    <w:rsid w:val="007749C2"/>
    <w:rsid w:val="007749DE"/>
    <w:rsid w:val="007749F2"/>
    <w:rsid w:val="00774A73"/>
    <w:rsid w:val="00774A83"/>
    <w:rsid w:val="00774B17"/>
    <w:rsid w:val="00774B41"/>
    <w:rsid w:val="00774B4E"/>
    <w:rsid w:val="00774B79"/>
    <w:rsid w:val="00774C11"/>
    <w:rsid w:val="00774C40"/>
    <w:rsid w:val="00774C70"/>
    <w:rsid w:val="00774C7A"/>
    <w:rsid w:val="00774CC0"/>
    <w:rsid w:val="00774CE7"/>
    <w:rsid w:val="00774CFE"/>
    <w:rsid w:val="00774D19"/>
    <w:rsid w:val="00774D35"/>
    <w:rsid w:val="00774D9C"/>
    <w:rsid w:val="00774DFD"/>
    <w:rsid w:val="00774EF5"/>
    <w:rsid w:val="00774F47"/>
    <w:rsid w:val="00774F5E"/>
    <w:rsid w:val="00774F8A"/>
    <w:rsid w:val="00774FB9"/>
    <w:rsid w:val="00774FCD"/>
    <w:rsid w:val="00774FEC"/>
    <w:rsid w:val="00775023"/>
    <w:rsid w:val="00775036"/>
    <w:rsid w:val="00775040"/>
    <w:rsid w:val="007750BA"/>
    <w:rsid w:val="0077516B"/>
    <w:rsid w:val="007751FA"/>
    <w:rsid w:val="00775236"/>
    <w:rsid w:val="007752AA"/>
    <w:rsid w:val="00775355"/>
    <w:rsid w:val="00775452"/>
    <w:rsid w:val="007754A3"/>
    <w:rsid w:val="007754FA"/>
    <w:rsid w:val="00775553"/>
    <w:rsid w:val="007755C9"/>
    <w:rsid w:val="00775652"/>
    <w:rsid w:val="0077566A"/>
    <w:rsid w:val="00775698"/>
    <w:rsid w:val="007756D8"/>
    <w:rsid w:val="00775702"/>
    <w:rsid w:val="00775781"/>
    <w:rsid w:val="00775793"/>
    <w:rsid w:val="0077585C"/>
    <w:rsid w:val="007758F4"/>
    <w:rsid w:val="00775925"/>
    <w:rsid w:val="00775A27"/>
    <w:rsid w:val="00775A65"/>
    <w:rsid w:val="00775B31"/>
    <w:rsid w:val="00775B4B"/>
    <w:rsid w:val="00775C5A"/>
    <w:rsid w:val="00775C83"/>
    <w:rsid w:val="00775CEC"/>
    <w:rsid w:val="00775CF0"/>
    <w:rsid w:val="00775D27"/>
    <w:rsid w:val="00775D64"/>
    <w:rsid w:val="00775E0A"/>
    <w:rsid w:val="00775E4D"/>
    <w:rsid w:val="00775E4E"/>
    <w:rsid w:val="00775F43"/>
    <w:rsid w:val="00775F7F"/>
    <w:rsid w:val="007760BB"/>
    <w:rsid w:val="007760E6"/>
    <w:rsid w:val="00776142"/>
    <w:rsid w:val="0077617B"/>
    <w:rsid w:val="00776199"/>
    <w:rsid w:val="007761CC"/>
    <w:rsid w:val="007761F0"/>
    <w:rsid w:val="00776209"/>
    <w:rsid w:val="0077623B"/>
    <w:rsid w:val="007762B6"/>
    <w:rsid w:val="007762D8"/>
    <w:rsid w:val="00776380"/>
    <w:rsid w:val="007763C3"/>
    <w:rsid w:val="007763EA"/>
    <w:rsid w:val="0077640C"/>
    <w:rsid w:val="0077643D"/>
    <w:rsid w:val="00776445"/>
    <w:rsid w:val="007764D5"/>
    <w:rsid w:val="007765F1"/>
    <w:rsid w:val="00776613"/>
    <w:rsid w:val="00776633"/>
    <w:rsid w:val="00776693"/>
    <w:rsid w:val="00776725"/>
    <w:rsid w:val="00776728"/>
    <w:rsid w:val="007767B8"/>
    <w:rsid w:val="007767CC"/>
    <w:rsid w:val="00776801"/>
    <w:rsid w:val="0077692C"/>
    <w:rsid w:val="00776976"/>
    <w:rsid w:val="007769BB"/>
    <w:rsid w:val="00776A4C"/>
    <w:rsid w:val="00776AB4"/>
    <w:rsid w:val="00776B95"/>
    <w:rsid w:val="00776BB5"/>
    <w:rsid w:val="00776BD2"/>
    <w:rsid w:val="00776C15"/>
    <w:rsid w:val="00776C51"/>
    <w:rsid w:val="00776C60"/>
    <w:rsid w:val="00776C6E"/>
    <w:rsid w:val="00776E00"/>
    <w:rsid w:val="00776E65"/>
    <w:rsid w:val="00776EE3"/>
    <w:rsid w:val="00776F9A"/>
    <w:rsid w:val="00777012"/>
    <w:rsid w:val="00777160"/>
    <w:rsid w:val="0077722F"/>
    <w:rsid w:val="00777239"/>
    <w:rsid w:val="00777252"/>
    <w:rsid w:val="0077725D"/>
    <w:rsid w:val="0077729E"/>
    <w:rsid w:val="007772FA"/>
    <w:rsid w:val="007773DC"/>
    <w:rsid w:val="007773F4"/>
    <w:rsid w:val="0077745F"/>
    <w:rsid w:val="00777499"/>
    <w:rsid w:val="007774AD"/>
    <w:rsid w:val="007774DE"/>
    <w:rsid w:val="007774EC"/>
    <w:rsid w:val="00777531"/>
    <w:rsid w:val="00777571"/>
    <w:rsid w:val="0077769A"/>
    <w:rsid w:val="007776CC"/>
    <w:rsid w:val="00777734"/>
    <w:rsid w:val="00777787"/>
    <w:rsid w:val="007777AD"/>
    <w:rsid w:val="007777E0"/>
    <w:rsid w:val="007777FC"/>
    <w:rsid w:val="007778F2"/>
    <w:rsid w:val="0077793B"/>
    <w:rsid w:val="00777982"/>
    <w:rsid w:val="007779C8"/>
    <w:rsid w:val="00777A0A"/>
    <w:rsid w:val="00777A8D"/>
    <w:rsid w:val="00777AB0"/>
    <w:rsid w:val="00777AD7"/>
    <w:rsid w:val="00777AEE"/>
    <w:rsid w:val="00777BB0"/>
    <w:rsid w:val="00777BCD"/>
    <w:rsid w:val="00777BF6"/>
    <w:rsid w:val="00777BFE"/>
    <w:rsid w:val="00777C60"/>
    <w:rsid w:val="00777C97"/>
    <w:rsid w:val="00777CAC"/>
    <w:rsid w:val="00777CB2"/>
    <w:rsid w:val="00777D66"/>
    <w:rsid w:val="00777DB0"/>
    <w:rsid w:val="00777E58"/>
    <w:rsid w:val="00777F2E"/>
    <w:rsid w:val="00777F4B"/>
    <w:rsid w:val="0078002B"/>
    <w:rsid w:val="007800EC"/>
    <w:rsid w:val="0078011F"/>
    <w:rsid w:val="007801E0"/>
    <w:rsid w:val="0078021E"/>
    <w:rsid w:val="00780275"/>
    <w:rsid w:val="007802AC"/>
    <w:rsid w:val="007802B2"/>
    <w:rsid w:val="007802E3"/>
    <w:rsid w:val="0078032B"/>
    <w:rsid w:val="007803AF"/>
    <w:rsid w:val="007803C7"/>
    <w:rsid w:val="007803DB"/>
    <w:rsid w:val="00780423"/>
    <w:rsid w:val="00780427"/>
    <w:rsid w:val="00780567"/>
    <w:rsid w:val="007805DB"/>
    <w:rsid w:val="007805DE"/>
    <w:rsid w:val="0078068C"/>
    <w:rsid w:val="007806BD"/>
    <w:rsid w:val="007806FC"/>
    <w:rsid w:val="00780778"/>
    <w:rsid w:val="00780834"/>
    <w:rsid w:val="00780890"/>
    <w:rsid w:val="00780894"/>
    <w:rsid w:val="00780923"/>
    <w:rsid w:val="0078092B"/>
    <w:rsid w:val="00780940"/>
    <w:rsid w:val="00780A99"/>
    <w:rsid w:val="00780B72"/>
    <w:rsid w:val="00780BBB"/>
    <w:rsid w:val="00780C9E"/>
    <w:rsid w:val="00780CFB"/>
    <w:rsid w:val="00780D5B"/>
    <w:rsid w:val="00780D7F"/>
    <w:rsid w:val="00780E0B"/>
    <w:rsid w:val="00780E3C"/>
    <w:rsid w:val="00780E61"/>
    <w:rsid w:val="00780E63"/>
    <w:rsid w:val="00780F03"/>
    <w:rsid w:val="00780F43"/>
    <w:rsid w:val="00780FCF"/>
    <w:rsid w:val="00780FE3"/>
    <w:rsid w:val="0078103D"/>
    <w:rsid w:val="0078106C"/>
    <w:rsid w:val="00781079"/>
    <w:rsid w:val="00781116"/>
    <w:rsid w:val="00781163"/>
    <w:rsid w:val="007811CD"/>
    <w:rsid w:val="007811DA"/>
    <w:rsid w:val="007811EA"/>
    <w:rsid w:val="00781209"/>
    <w:rsid w:val="00781276"/>
    <w:rsid w:val="0078134B"/>
    <w:rsid w:val="00781388"/>
    <w:rsid w:val="007813D5"/>
    <w:rsid w:val="00781404"/>
    <w:rsid w:val="00781411"/>
    <w:rsid w:val="00781497"/>
    <w:rsid w:val="0078153C"/>
    <w:rsid w:val="0078155C"/>
    <w:rsid w:val="0078155F"/>
    <w:rsid w:val="00781570"/>
    <w:rsid w:val="0078158D"/>
    <w:rsid w:val="007815EB"/>
    <w:rsid w:val="007815EC"/>
    <w:rsid w:val="00781600"/>
    <w:rsid w:val="007816AB"/>
    <w:rsid w:val="00781740"/>
    <w:rsid w:val="0078179F"/>
    <w:rsid w:val="007817A1"/>
    <w:rsid w:val="007817FB"/>
    <w:rsid w:val="007817FD"/>
    <w:rsid w:val="0078181F"/>
    <w:rsid w:val="00781879"/>
    <w:rsid w:val="007818CA"/>
    <w:rsid w:val="00781959"/>
    <w:rsid w:val="00781A0D"/>
    <w:rsid w:val="00781A97"/>
    <w:rsid w:val="00781ADA"/>
    <w:rsid w:val="00781AFD"/>
    <w:rsid w:val="00781B0C"/>
    <w:rsid w:val="00781B15"/>
    <w:rsid w:val="00781BB2"/>
    <w:rsid w:val="00781BF3"/>
    <w:rsid w:val="00781C15"/>
    <w:rsid w:val="00781C4E"/>
    <w:rsid w:val="00781C9F"/>
    <w:rsid w:val="00781E80"/>
    <w:rsid w:val="00781EB1"/>
    <w:rsid w:val="00781EC5"/>
    <w:rsid w:val="00781ECC"/>
    <w:rsid w:val="00781F48"/>
    <w:rsid w:val="00781F89"/>
    <w:rsid w:val="00782019"/>
    <w:rsid w:val="00782093"/>
    <w:rsid w:val="007820A2"/>
    <w:rsid w:val="00782178"/>
    <w:rsid w:val="007821D0"/>
    <w:rsid w:val="007821FB"/>
    <w:rsid w:val="0078223E"/>
    <w:rsid w:val="00782290"/>
    <w:rsid w:val="00782326"/>
    <w:rsid w:val="0078234E"/>
    <w:rsid w:val="00782398"/>
    <w:rsid w:val="007823BC"/>
    <w:rsid w:val="007823D5"/>
    <w:rsid w:val="0078244A"/>
    <w:rsid w:val="0078255E"/>
    <w:rsid w:val="0078261D"/>
    <w:rsid w:val="0078262A"/>
    <w:rsid w:val="0078270C"/>
    <w:rsid w:val="0078272F"/>
    <w:rsid w:val="0078273C"/>
    <w:rsid w:val="007827E9"/>
    <w:rsid w:val="0078280C"/>
    <w:rsid w:val="00782817"/>
    <w:rsid w:val="00782857"/>
    <w:rsid w:val="007828BB"/>
    <w:rsid w:val="007828DE"/>
    <w:rsid w:val="00782907"/>
    <w:rsid w:val="00782977"/>
    <w:rsid w:val="007829B3"/>
    <w:rsid w:val="00782A03"/>
    <w:rsid w:val="00782AFC"/>
    <w:rsid w:val="00782BEC"/>
    <w:rsid w:val="00782BFC"/>
    <w:rsid w:val="00782C2C"/>
    <w:rsid w:val="00782C46"/>
    <w:rsid w:val="00782C65"/>
    <w:rsid w:val="00782CA0"/>
    <w:rsid w:val="00782CDD"/>
    <w:rsid w:val="00782D22"/>
    <w:rsid w:val="00782D92"/>
    <w:rsid w:val="00782DC1"/>
    <w:rsid w:val="00782DFF"/>
    <w:rsid w:val="00782E28"/>
    <w:rsid w:val="00782EBE"/>
    <w:rsid w:val="00782F46"/>
    <w:rsid w:val="00782FCA"/>
    <w:rsid w:val="00782FE9"/>
    <w:rsid w:val="00783081"/>
    <w:rsid w:val="007830CC"/>
    <w:rsid w:val="007830FB"/>
    <w:rsid w:val="00783125"/>
    <w:rsid w:val="007831B2"/>
    <w:rsid w:val="0078320B"/>
    <w:rsid w:val="00783238"/>
    <w:rsid w:val="007832E2"/>
    <w:rsid w:val="0078338E"/>
    <w:rsid w:val="007833C8"/>
    <w:rsid w:val="00783411"/>
    <w:rsid w:val="00783441"/>
    <w:rsid w:val="00783494"/>
    <w:rsid w:val="00783560"/>
    <w:rsid w:val="007835BA"/>
    <w:rsid w:val="0078361E"/>
    <w:rsid w:val="00783637"/>
    <w:rsid w:val="00783660"/>
    <w:rsid w:val="00783687"/>
    <w:rsid w:val="0078368D"/>
    <w:rsid w:val="007836D3"/>
    <w:rsid w:val="0078374A"/>
    <w:rsid w:val="0078376F"/>
    <w:rsid w:val="007837B9"/>
    <w:rsid w:val="007839FB"/>
    <w:rsid w:val="00783A2B"/>
    <w:rsid w:val="00783ABA"/>
    <w:rsid w:val="00783AF9"/>
    <w:rsid w:val="00783B12"/>
    <w:rsid w:val="00783B2A"/>
    <w:rsid w:val="00783B36"/>
    <w:rsid w:val="00783BA1"/>
    <w:rsid w:val="00783BA6"/>
    <w:rsid w:val="00783C1A"/>
    <w:rsid w:val="00783CE3"/>
    <w:rsid w:val="00783D11"/>
    <w:rsid w:val="00783D1D"/>
    <w:rsid w:val="00783DAA"/>
    <w:rsid w:val="00783DD1"/>
    <w:rsid w:val="00783E45"/>
    <w:rsid w:val="00783F1F"/>
    <w:rsid w:val="00783F6D"/>
    <w:rsid w:val="00783F78"/>
    <w:rsid w:val="00784038"/>
    <w:rsid w:val="007840B5"/>
    <w:rsid w:val="00784253"/>
    <w:rsid w:val="0078425A"/>
    <w:rsid w:val="007842CC"/>
    <w:rsid w:val="007842CE"/>
    <w:rsid w:val="0078435C"/>
    <w:rsid w:val="00784362"/>
    <w:rsid w:val="007843C3"/>
    <w:rsid w:val="007843C6"/>
    <w:rsid w:val="0078441C"/>
    <w:rsid w:val="00784432"/>
    <w:rsid w:val="00784460"/>
    <w:rsid w:val="00784499"/>
    <w:rsid w:val="00784509"/>
    <w:rsid w:val="0078451D"/>
    <w:rsid w:val="0078458D"/>
    <w:rsid w:val="0078465E"/>
    <w:rsid w:val="007846BE"/>
    <w:rsid w:val="007846C7"/>
    <w:rsid w:val="007846D3"/>
    <w:rsid w:val="00784707"/>
    <w:rsid w:val="007848B6"/>
    <w:rsid w:val="00784933"/>
    <w:rsid w:val="00784975"/>
    <w:rsid w:val="007849A8"/>
    <w:rsid w:val="007849EB"/>
    <w:rsid w:val="00784A32"/>
    <w:rsid w:val="00784A96"/>
    <w:rsid w:val="00784AAA"/>
    <w:rsid w:val="00784B3E"/>
    <w:rsid w:val="00784B40"/>
    <w:rsid w:val="00784B9F"/>
    <w:rsid w:val="00784BE6"/>
    <w:rsid w:val="00784C2F"/>
    <w:rsid w:val="00784C76"/>
    <w:rsid w:val="00784D33"/>
    <w:rsid w:val="00784DB9"/>
    <w:rsid w:val="00784E20"/>
    <w:rsid w:val="00784E84"/>
    <w:rsid w:val="00784FEC"/>
    <w:rsid w:val="00785031"/>
    <w:rsid w:val="00785085"/>
    <w:rsid w:val="0078509F"/>
    <w:rsid w:val="007850E6"/>
    <w:rsid w:val="00785100"/>
    <w:rsid w:val="00785102"/>
    <w:rsid w:val="007851DC"/>
    <w:rsid w:val="0078521F"/>
    <w:rsid w:val="0078523D"/>
    <w:rsid w:val="007852C4"/>
    <w:rsid w:val="007852F5"/>
    <w:rsid w:val="00785345"/>
    <w:rsid w:val="00785397"/>
    <w:rsid w:val="0078539C"/>
    <w:rsid w:val="007853BC"/>
    <w:rsid w:val="007853EB"/>
    <w:rsid w:val="00785419"/>
    <w:rsid w:val="0078541C"/>
    <w:rsid w:val="0078544C"/>
    <w:rsid w:val="007854F4"/>
    <w:rsid w:val="00785510"/>
    <w:rsid w:val="0078556E"/>
    <w:rsid w:val="007855A0"/>
    <w:rsid w:val="0078574E"/>
    <w:rsid w:val="007857A6"/>
    <w:rsid w:val="007857D0"/>
    <w:rsid w:val="00785841"/>
    <w:rsid w:val="0078589C"/>
    <w:rsid w:val="0078589F"/>
    <w:rsid w:val="007858B9"/>
    <w:rsid w:val="007858D7"/>
    <w:rsid w:val="007858E3"/>
    <w:rsid w:val="00785947"/>
    <w:rsid w:val="00785967"/>
    <w:rsid w:val="0078597D"/>
    <w:rsid w:val="007859A3"/>
    <w:rsid w:val="007859BC"/>
    <w:rsid w:val="007859C6"/>
    <w:rsid w:val="007859E3"/>
    <w:rsid w:val="00785AF1"/>
    <w:rsid w:val="00785B1F"/>
    <w:rsid w:val="00785B3B"/>
    <w:rsid w:val="00785B8C"/>
    <w:rsid w:val="00785C3A"/>
    <w:rsid w:val="00785C80"/>
    <w:rsid w:val="00785D45"/>
    <w:rsid w:val="00785DD1"/>
    <w:rsid w:val="00785EE8"/>
    <w:rsid w:val="00785F06"/>
    <w:rsid w:val="00785F56"/>
    <w:rsid w:val="00785F9E"/>
    <w:rsid w:val="00785FA7"/>
    <w:rsid w:val="00785FFD"/>
    <w:rsid w:val="00786007"/>
    <w:rsid w:val="0078604A"/>
    <w:rsid w:val="0078607D"/>
    <w:rsid w:val="007860C6"/>
    <w:rsid w:val="007860FB"/>
    <w:rsid w:val="0078618F"/>
    <w:rsid w:val="00786245"/>
    <w:rsid w:val="007862A1"/>
    <w:rsid w:val="0078632F"/>
    <w:rsid w:val="007863F9"/>
    <w:rsid w:val="0078647E"/>
    <w:rsid w:val="007864E1"/>
    <w:rsid w:val="00786507"/>
    <w:rsid w:val="0078656F"/>
    <w:rsid w:val="007865EA"/>
    <w:rsid w:val="00786678"/>
    <w:rsid w:val="0078671F"/>
    <w:rsid w:val="0078678D"/>
    <w:rsid w:val="007867AB"/>
    <w:rsid w:val="0078680C"/>
    <w:rsid w:val="00786877"/>
    <w:rsid w:val="007868DE"/>
    <w:rsid w:val="00786951"/>
    <w:rsid w:val="0078696C"/>
    <w:rsid w:val="0078697E"/>
    <w:rsid w:val="00786A62"/>
    <w:rsid w:val="00786A6E"/>
    <w:rsid w:val="00786B2E"/>
    <w:rsid w:val="00786BC1"/>
    <w:rsid w:val="00786C4F"/>
    <w:rsid w:val="00786C62"/>
    <w:rsid w:val="00786CBA"/>
    <w:rsid w:val="00786CCC"/>
    <w:rsid w:val="00786CE8"/>
    <w:rsid w:val="00786CF6"/>
    <w:rsid w:val="00786D93"/>
    <w:rsid w:val="00786DB9"/>
    <w:rsid w:val="00786DF3"/>
    <w:rsid w:val="00786E6A"/>
    <w:rsid w:val="00786E73"/>
    <w:rsid w:val="00786F55"/>
    <w:rsid w:val="00787016"/>
    <w:rsid w:val="00787054"/>
    <w:rsid w:val="00787174"/>
    <w:rsid w:val="007871FA"/>
    <w:rsid w:val="00787240"/>
    <w:rsid w:val="007872A4"/>
    <w:rsid w:val="007872BE"/>
    <w:rsid w:val="007872D9"/>
    <w:rsid w:val="0078734F"/>
    <w:rsid w:val="007873A2"/>
    <w:rsid w:val="007873DF"/>
    <w:rsid w:val="007873E5"/>
    <w:rsid w:val="0078748F"/>
    <w:rsid w:val="00787496"/>
    <w:rsid w:val="00787503"/>
    <w:rsid w:val="00787510"/>
    <w:rsid w:val="007875C6"/>
    <w:rsid w:val="007875CD"/>
    <w:rsid w:val="007875DE"/>
    <w:rsid w:val="0078762A"/>
    <w:rsid w:val="00787691"/>
    <w:rsid w:val="007877F7"/>
    <w:rsid w:val="00787804"/>
    <w:rsid w:val="00787876"/>
    <w:rsid w:val="007878B6"/>
    <w:rsid w:val="007878CA"/>
    <w:rsid w:val="00787928"/>
    <w:rsid w:val="00787970"/>
    <w:rsid w:val="0078798B"/>
    <w:rsid w:val="007879B6"/>
    <w:rsid w:val="007879C3"/>
    <w:rsid w:val="00787A1B"/>
    <w:rsid w:val="00787A25"/>
    <w:rsid w:val="00787AC2"/>
    <w:rsid w:val="00787B50"/>
    <w:rsid w:val="00787BC3"/>
    <w:rsid w:val="00787BDB"/>
    <w:rsid w:val="00787BF6"/>
    <w:rsid w:val="00787C38"/>
    <w:rsid w:val="00787D1C"/>
    <w:rsid w:val="00787DB9"/>
    <w:rsid w:val="00787DBE"/>
    <w:rsid w:val="00787E09"/>
    <w:rsid w:val="00787E66"/>
    <w:rsid w:val="00787E98"/>
    <w:rsid w:val="00787EC1"/>
    <w:rsid w:val="00787F04"/>
    <w:rsid w:val="00787F6E"/>
    <w:rsid w:val="00787F94"/>
    <w:rsid w:val="00787F95"/>
    <w:rsid w:val="00787FDC"/>
    <w:rsid w:val="00787FF0"/>
    <w:rsid w:val="00790018"/>
    <w:rsid w:val="0079004C"/>
    <w:rsid w:val="007900E9"/>
    <w:rsid w:val="007900F3"/>
    <w:rsid w:val="007901B3"/>
    <w:rsid w:val="00790217"/>
    <w:rsid w:val="00790348"/>
    <w:rsid w:val="00790411"/>
    <w:rsid w:val="00790422"/>
    <w:rsid w:val="0079042A"/>
    <w:rsid w:val="00790460"/>
    <w:rsid w:val="007904FA"/>
    <w:rsid w:val="00790549"/>
    <w:rsid w:val="007905EE"/>
    <w:rsid w:val="00790622"/>
    <w:rsid w:val="00790667"/>
    <w:rsid w:val="007906B6"/>
    <w:rsid w:val="007906BA"/>
    <w:rsid w:val="007906E5"/>
    <w:rsid w:val="0079071D"/>
    <w:rsid w:val="007907A3"/>
    <w:rsid w:val="007907C2"/>
    <w:rsid w:val="00790826"/>
    <w:rsid w:val="0079083B"/>
    <w:rsid w:val="0079083E"/>
    <w:rsid w:val="007908C9"/>
    <w:rsid w:val="007908D6"/>
    <w:rsid w:val="0079092A"/>
    <w:rsid w:val="00790933"/>
    <w:rsid w:val="00790982"/>
    <w:rsid w:val="007909E9"/>
    <w:rsid w:val="007909EE"/>
    <w:rsid w:val="00790A11"/>
    <w:rsid w:val="00790A36"/>
    <w:rsid w:val="00790AB1"/>
    <w:rsid w:val="00790AE0"/>
    <w:rsid w:val="00790B35"/>
    <w:rsid w:val="00790BA3"/>
    <w:rsid w:val="00790BDD"/>
    <w:rsid w:val="00790C7B"/>
    <w:rsid w:val="00790CA9"/>
    <w:rsid w:val="00790D7D"/>
    <w:rsid w:val="00790DA4"/>
    <w:rsid w:val="00790DFB"/>
    <w:rsid w:val="00790E6F"/>
    <w:rsid w:val="00790F3F"/>
    <w:rsid w:val="00790F82"/>
    <w:rsid w:val="00791079"/>
    <w:rsid w:val="00791280"/>
    <w:rsid w:val="007912FE"/>
    <w:rsid w:val="0079131F"/>
    <w:rsid w:val="00791342"/>
    <w:rsid w:val="0079139F"/>
    <w:rsid w:val="007913A6"/>
    <w:rsid w:val="007913CF"/>
    <w:rsid w:val="00791435"/>
    <w:rsid w:val="00791460"/>
    <w:rsid w:val="00791478"/>
    <w:rsid w:val="007914E9"/>
    <w:rsid w:val="0079152D"/>
    <w:rsid w:val="00791542"/>
    <w:rsid w:val="007915D8"/>
    <w:rsid w:val="00791665"/>
    <w:rsid w:val="00791669"/>
    <w:rsid w:val="007916D9"/>
    <w:rsid w:val="007916E8"/>
    <w:rsid w:val="00791709"/>
    <w:rsid w:val="0079175B"/>
    <w:rsid w:val="007917AA"/>
    <w:rsid w:val="007917EA"/>
    <w:rsid w:val="00791807"/>
    <w:rsid w:val="0079182C"/>
    <w:rsid w:val="00791864"/>
    <w:rsid w:val="007918E3"/>
    <w:rsid w:val="00791916"/>
    <w:rsid w:val="00791968"/>
    <w:rsid w:val="00791993"/>
    <w:rsid w:val="007919B4"/>
    <w:rsid w:val="007919D2"/>
    <w:rsid w:val="00791A03"/>
    <w:rsid w:val="00791A0C"/>
    <w:rsid w:val="00791A3D"/>
    <w:rsid w:val="00791A4F"/>
    <w:rsid w:val="00791B4F"/>
    <w:rsid w:val="00791BCD"/>
    <w:rsid w:val="00791C0F"/>
    <w:rsid w:val="00791C40"/>
    <w:rsid w:val="00791D13"/>
    <w:rsid w:val="00791D1F"/>
    <w:rsid w:val="00791DDE"/>
    <w:rsid w:val="00791EA4"/>
    <w:rsid w:val="00791EC6"/>
    <w:rsid w:val="00791EF1"/>
    <w:rsid w:val="00791F69"/>
    <w:rsid w:val="00791FE0"/>
    <w:rsid w:val="0079205F"/>
    <w:rsid w:val="007920B9"/>
    <w:rsid w:val="00792102"/>
    <w:rsid w:val="007921D5"/>
    <w:rsid w:val="007921D6"/>
    <w:rsid w:val="00792210"/>
    <w:rsid w:val="00792268"/>
    <w:rsid w:val="0079228A"/>
    <w:rsid w:val="0079228F"/>
    <w:rsid w:val="007922C0"/>
    <w:rsid w:val="007922C2"/>
    <w:rsid w:val="007922C6"/>
    <w:rsid w:val="0079231F"/>
    <w:rsid w:val="00792347"/>
    <w:rsid w:val="00792392"/>
    <w:rsid w:val="007923C7"/>
    <w:rsid w:val="007923CC"/>
    <w:rsid w:val="007923F0"/>
    <w:rsid w:val="00792413"/>
    <w:rsid w:val="00792460"/>
    <w:rsid w:val="00792562"/>
    <w:rsid w:val="007925F9"/>
    <w:rsid w:val="0079261A"/>
    <w:rsid w:val="00792655"/>
    <w:rsid w:val="0079275C"/>
    <w:rsid w:val="00792788"/>
    <w:rsid w:val="00792792"/>
    <w:rsid w:val="00792796"/>
    <w:rsid w:val="0079280D"/>
    <w:rsid w:val="0079285F"/>
    <w:rsid w:val="0079288F"/>
    <w:rsid w:val="007928D3"/>
    <w:rsid w:val="007928F6"/>
    <w:rsid w:val="00792918"/>
    <w:rsid w:val="00792989"/>
    <w:rsid w:val="0079299C"/>
    <w:rsid w:val="007929E3"/>
    <w:rsid w:val="007929FD"/>
    <w:rsid w:val="00792A60"/>
    <w:rsid w:val="00792AA6"/>
    <w:rsid w:val="00792ABF"/>
    <w:rsid w:val="00792B44"/>
    <w:rsid w:val="00792B5C"/>
    <w:rsid w:val="00792BD4"/>
    <w:rsid w:val="00792D1E"/>
    <w:rsid w:val="00792D5A"/>
    <w:rsid w:val="00792DB9"/>
    <w:rsid w:val="00792DD6"/>
    <w:rsid w:val="00792DF5"/>
    <w:rsid w:val="00792E55"/>
    <w:rsid w:val="00792E83"/>
    <w:rsid w:val="00792ECD"/>
    <w:rsid w:val="00792F56"/>
    <w:rsid w:val="00792F69"/>
    <w:rsid w:val="00792F99"/>
    <w:rsid w:val="00793099"/>
    <w:rsid w:val="007930B7"/>
    <w:rsid w:val="007930D4"/>
    <w:rsid w:val="007930DE"/>
    <w:rsid w:val="00793141"/>
    <w:rsid w:val="0079316D"/>
    <w:rsid w:val="0079317E"/>
    <w:rsid w:val="00793184"/>
    <w:rsid w:val="007931ED"/>
    <w:rsid w:val="00793228"/>
    <w:rsid w:val="00793263"/>
    <w:rsid w:val="00793283"/>
    <w:rsid w:val="007932CD"/>
    <w:rsid w:val="00793324"/>
    <w:rsid w:val="00793353"/>
    <w:rsid w:val="00793394"/>
    <w:rsid w:val="007933B1"/>
    <w:rsid w:val="007933BB"/>
    <w:rsid w:val="0079341D"/>
    <w:rsid w:val="00793470"/>
    <w:rsid w:val="007934A7"/>
    <w:rsid w:val="007934E8"/>
    <w:rsid w:val="007935B8"/>
    <w:rsid w:val="00793624"/>
    <w:rsid w:val="00793702"/>
    <w:rsid w:val="00793720"/>
    <w:rsid w:val="00793792"/>
    <w:rsid w:val="007937F8"/>
    <w:rsid w:val="00793828"/>
    <w:rsid w:val="0079383D"/>
    <w:rsid w:val="007938BA"/>
    <w:rsid w:val="0079393C"/>
    <w:rsid w:val="0079395C"/>
    <w:rsid w:val="007939E9"/>
    <w:rsid w:val="00793AAB"/>
    <w:rsid w:val="00793AB1"/>
    <w:rsid w:val="00793AC3"/>
    <w:rsid w:val="00793AEC"/>
    <w:rsid w:val="00793AF5"/>
    <w:rsid w:val="00793B0E"/>
    <w:rsid w:val="00793B8F"/>
    <w:rsid w:val="00793BBE"/>
    <w:rsid w:val="00793C65"/>
    <w:rsid w:val="00793C7B"/>
    <w:rsid w:val="00793D33"/>
    <w:rsid w:val="00793DAF"/>
    <w:rsid w:val="00793E1F"/>
    <w:rsid w:val="00793E59"/>
    <w:rsid w:val="00793E5C"/>
    <w:rsid w:val="00793E66"/>
    <w:rsid w:val="00793F1E"/>
    <w:rsid w:val="00793FB3"/>
    <w:rsid w:val="00794002"/>
    <w:rsid w:val="00794012"/>
    <w:rsid w:val="00794085"/>
    <w:rsid w:val="00794090"/>
    <w:rsid w:val="00794159"/>
    <w:rsid w:val="00794160"/>
    <w:rsid w:val="007941E3"/>
    <w:rsid w:val="0079422E"/>
    <w:rsid w:val="00794235"/>
    <w:rsid w:val="00794291"/>
    <w:rsid w:val="007942AB"/>
    <w:rsid w:val="007942D9"/>
    <w:rsid w:val="00794316"/>
    <w:rsid w:val="0079433C"/>
    <w:rsid w:val="00794392"/>
    <w:rsid w:val="00794402"/>
    <w:rsid w:val="0079441E"/>
    <w:rsid w:val="00794440"/>
    <w:rsid w:val="00794453"/>
    <w:rsid w:val="00794499"/>
    <w:rsid w:val="007944BA"/>
    <w:rsid w:val="007944EC"/>
    <w:rsid w:val="007945C8"/>
    <w:rsid w:val="007945CD"/>
    <w:rsid w:val="00794681"/>
    <w:rsid w:val="00794715"/>
    <w:rsid w:val="0079473A"/>
    <w:rsid w:val="007947E2"/>
    <w:rsid w:val="00794856"/>
    <w:rsid w:val="007948B8"/>
    <w:rsid w:val="007948ED"/>
    <w:rsid w:val="00794937"/>
    <w:rsid w:val="00794964"/>
    <w:rsid w:val="00794980"/>
    <w:rsid w:val="007949DD"/>
    <w:rsid w:val="007949E2"/>
    <w:rsid w:val="007949EF"/>
    <w:rsid w:val="00794A44"/>
    <w:rsid w:val="00794B6B"/>
    <w:rsid w:val="00794B8B"/>
    <w:rsid w:val="00794BFC"/>
    <w:rsid w:val="00794C76"/>
    <w:rsid w:val="00794D29"/>
    <w:rsid w:val="00794D39"/>
    <w:rsid w:val="00794E75"/>
    <w:rsid w:val="00794E77"/>
    <w:rsid w:val="00794E93"/>
    <w:rsid w:val="00794E97"/>
    <w:rsid w:val="00794EEC"/>
    <w:rsid w:val="00794F24"/>
    <w:rsid w:val="00794F57"/>
    <w:rsid w:val="00794FCF"/>
    <w:rsid w:val="00795020"/>
    <w:rsid w:val="00795063"/>
    <w:rsid w:val="0079509F"/>
    <w:rsid w:val="0079511D"/>
    <w:rsid w:val="00795173"/>
    <w:rsid w:val="0079519A"/>
    <w:rsid w:val="0079522A"/>
    <w:rsid w:val="00795233"/>
    <w:rsid w:val="0079523F"/>
    <w:rsid w:val="00795306"/>
    <w:rsid w:val="00795307"/>
    <w:rsid w:val="00795342"/>
    <w:rsid w:val="00795393"/>
    <w:rsid w:val="0079540D"/>
    <w:rsid w:val="0079547C"/>
    <w:rsid w:val="007954B5"/>
    <w:rsid w:val="00795535"/>
    <w:rsid w:val="0079559A"/>
    <w:rsid w:val="00795609"/>
    <w:rsid w:val="0079560B"/>
    <w:rsid w:val="00795635"/>
    <w:rsid w:val="00795651"/>
    <w:rsid w:val="00795663"/>
    <w:rsid w:val="0079567F"/>
    <w:rsid w:val="007956A3"/>
    <w:rsid w:val="00795781"/>
    <w:rsid w:val="007957ED"/>
    <w:rsid w:val="00795800"/>
    <w:rsid w:val="00795820"/>
    <w:rsid w:val="0079590E"/>
    <w:rsid w:val="0079595F"/>
    <w:rsid w:val="00795A8F"/>
    <w:rsid w:val="00795A95"/>
    <w:rsid w:val="00795AB6"/>
    <w:rsid w:val="00795B80"/>
    <w:rsid w:val="00795C16"/>
    <w:rsid w:val="00795CD4"/>
    <w:rsid w:val="00795D18"/>
    <w:rsid w:val="00795DAF"/>
    <w:rsid w:val="00795E08"/>
    <w:rsid w:val="00795E23"/>
    <w:rsid w:val="00795E41"/>
    <w:rsid w:val="00795E5B"/>
    <w:rsid w:val="00795E73"/>
    <w:rsid w:val="00796004"/>
    <w:rsid w:val="007960AF"/>
    <w:rsid w:val="007960C2"/>
    <w:rsid w:val="00796107"/>
    <w:rsid w:val="00796134"/>
    <w:rsid w:val="00796241"/>
    <w:rsid w:val="00796271"/>
    <w:rsid w:val="00796331"/>
    <w:rsid w:val="00796372"/>
    <w:rsid w:val="007963F1"/>
    <w:rsid w:val="00796485"/>
    <w:rsid w:val="0079649C"/>
    <w:rsid w:val="007964A9"/>
    <w:rsid w:val="00796523"/>
    <w:rsid w:val="0079653B"/>
    <w:rsid w:val="007965C0"/>
    <w:rsid w:val="007966D0"/>
    <w:rsid w:val="007966D9"/>
    <w:rsid w:val="00796709"/>
    <w:rsid w:val="0079679B"/>
    <w:rsid w:val="00796839"/>
    <w:rsid w:val="0079683B"/>
    <w:rsid w:val="0079683D"/>
    <w:rsid w:val="00796897"/>
    <w:rsid w:val="00796920"/>
    <w:rsid w:val="00796968"/>
    <w:rsid w:val="0079699A"/>
    <w:rsid w:val="00796A21"/>
    <w:rsid w:val="00796A81"/>
    <w:rsid w:val="00796B52"/>
    <w:rsid w:val="00796C58"/>
    <w:rsid w:val="00796CC8"/>
    <w:rsid w:val="00796CD7"/>
    <w:rsid w:val="00796CE2"/>
    <w:rsid w:val="00796D1D"/>
    <w:rsid w:val="00796D77"/>
    <w:rsid w:val="00796D9B"/>
    <w:rsid w:val="00796DD7"/>
    <w:rsid w:val="00796DDF"/>
    <w:rsid w:val="00796E26"/>
    <w:rsid w:val="00796E3B"/>
    <w:rsid w:val="00796E68"/>
    <w:rsid w:val="00796E76"/>
    <w:rsid w:val="00796F49"/>
    <w:rsid w:val="00796F58"/>
    <w:rsid w:val="00796F66"/>
    <w:rsid w:val="00796FED"/>
    <w:rsid w:val="0079700C"/>
    <w:rsid w:val="00797066"/>
    <w:rsid w:val="00797076"/>
    <w:rsid w:val="007970EF"/>
    <w:rsid w:val="00797133"/>
    <w:rsid w:val="00797155"/>
    <w:rsid w:val="0079717C"/>
    <w:rsid w:val="0079718D"/>
    <w:rsid w:val="0079719C"/>
    <w:rsid w:val="007971B4"/>
    <w:rsid w:val="00797249"/>
    <w:rsid w:val="00797266"/>
    <w:rsid w:val="007972A2"/>
    <w:rsid w:val="007972E0"/>
    <w:rsid w:val="00797310"/>
    <w:rsid w:val="007973BE"/>
    <w:rsid w:val="007973F6"/>
    <w:rsid w:val="00797465"/>
    <w:rsid w:val="007974D0"/>
    <w:rsid w:val="0079758C"/>
    <w:rsid w:val="007975B2"/>
    <w:rsid w:val="007975B5"/>
    <w:rsid w:val="007975F7"/>
    <w:rsid w:val="00797601"/>
    <w:rsid w:val="00797667"/>
    <w:rsid w:val="007976AC"/>
    <w:rsid w:val="007976D0"/>
    <w:rsid w:val="00797770"/>
    <w:rsid w:val="0079782D"/>
    <w:rsid w:val="0079788A"/>
    <w:rsid w:val="007978BD"/>
    <w:rsid w:val="007978DB"/>
    <w:rsid w:val="0079791E"/>
    <w:rsid w:val="00797A2C"/>
    <w:rsid w:val="00797A84"/>
    <w:rsid w:val="00797A95"/>
    <w:rsid w:val="00797AAA"/>
    <w:rsid w:val="00797AC5"/>
    <w:rsid w:val="00797ADF"/>
    <w:rsid w:val="00797B39"/>
    <w:rsid w:val="00797B41"/>
    <w:rsid w:val="00797BA0"/>
    <w:rsid w:val="00797CA6"/>
    <w:rsid w:val="00797D1F"/>
    <w:rsid w:val="00797D67"/>
    <w:rsid w:val="00797D6A"/>
    <w:rsid w:val="00797D6F"/>
    <w:rsid w:val="00797DA4"/>
    <w:rsid w:val="00797DA6"/>
    <w:rsid w:val="00797E7D"/>
    <w:rsid w:val="00797E8C"/>
    <w:rsid w:val="00797E8F"/>
    <w:rsid w:val="00797EA5"/>
    <w:rsid w:val="00797EA7"/>
    <w:rsid w:val="00797EA8"/>
    <w:rsid w:val="00797ECC"/>
    <w:rsid w:val="00797EDE"/>
    <w:rsid w:val="00797F77"/>
    <w:rsid w:val="00797FBD"/>
    <w:rsid w:val="007A0042"/>
    <w:rsid w:val="007A0229"/>
    <w:rsid w:val="007A024D"/>
    <w:rsid w:val="007A02AF"/>
    <w:rsid w:val="007A02CF"/>
    <w:rsid w:val="007A02F6"/>
    <w:rsid w:val="007A033C"/>
    <w:rsid w:val="007A034B"/>
    <w:rsid w:val="007A0372"/>
    <w:rsid w:val="007A0425"/>
    <w:rsid w:val="007A0427"/>
    <w:rsid w:val="007A0440"/>
    <w:rsid w:val="007A0484"/>
    <w:rsid w:val="007A052A"/>
    <w:rsid w:val="007A0647"/>
    <w:rsid w:val="007A0691"/>
    <w:rsid w:val="007A0759"/>
    <w:rsid w:val="007A0762"/>
    <w:rsid w:val="007A07B1"/>
    <w:rsid w:val="007A090D"/>
    <w:rsid w:val="007A097C"/>
    <w:rsid w:val="007A099C"/>
    <w:rsid w:val="007A09EB"/>
    <w:rsid w:val="007A0A0C"/>
    <w:rsid w:val="007A0B97"/>
    <w:rsid w:val="007A0B9F"/>
    <w:rsid w:val="007A0C6D"/>
    <w:rsid w:val="007A0C96"/>
    <w:rsid w:val="007A0CDC"/>
    <w:rsid w:val="007A0DEF"/>
    <w:rsid w:val="007A0E6C"/>
    <w:rsid w:val="007A0E75"/>
    <w:rsid w:val="007A0ED5"/>
    <w:rsid w:val="007A0EF2"/>
    <w:rsid w:val="007A0F10"/>
    <w:rsid w:val="007A0F23"/>
    <w:rsid w:val="007A1015"/>
    <w:rsid w:val="007A1046"/>
    <w:rsid w:val="007A1059"/>
    <w:rsid w:val="007A11FF"/>
    <w:rsid w:val="007A12AC"/>
    <w:rsid w:val="007A12BD"/>
    <w:rsid w:val="007A12F9"/>
    <w:rsid w:val="007A1372"/>
    <w:rsid w:val="007A13A4"/>
    <w:rsid w:val="007A140C"/>
    <w:rsid w:val="007A1434"/>
    <w:rsid w:val="007A1486"/>
    <w:rsid w:val="007A1489"/>
    <w:rsid w:val="007A14A5"/>
    <w:rsid w:val="007A14CF"/>
    <w:rsid w:val="007A14F1"/>
    <w:rsid w:val="007A1566"/>
    <w:rsid w:val="007A164A"/>
    <w:rsid w:val="007A16EE"/>
    <w:rsid w:val="007A1713"/>
    <w:rsid w:val="007A1764"/>
    <w:rsid w:val="007A1778"/>
    <w:rsid w:val="007A183E"/>
    <w:rsid w:val="007A18AF"/>
    <w:rsid w:val="007A190D"/>
    <w:rsid w:val="007A191C"/>
    <w:rsid w:val="007A1929"/>
    <w:rsid w:val="007A1935"/>
    <w:rsid w:val="007A19CE"/>
    <w:rsid w:val="007A19FC"/>
    <w:rsid w:val="007A1A0C"/>
    <w:rsid w:val="007A1A1C"/>
    <w:rsid w:val="007A1A4F"/>
    <w:rsid w:val="007A1A58"/>
    <w:rsid w:val="007A1AF9"/>
    <w:rsid w:val="007A1B29"/>
    <w:rsid w:val="007A1C34"/>
    <w:rsid w:val="007A1C8B"/>
    <w:rsid w:val="007A1C94"/>
    <w:rsid w:val="007A1D79"/>
    <w:rsid w:val="007A1E56"/>
    <w:rsid w:val="007A1E8C"/>
    <w:rsid w:val="007A1FC1"/>
    <w:rsid w:val="007A201A"/>
    <w:rsid w:val="007A203D"/>
    <w:rsid w:val="007A20A9"/>
    <w:rsid w:val="007A20DB"/>
    <w:rsid w:val="007A216A"/>
    <w:rsid w:val="007A21EF"/>
    <w:rsid w:val="007A2275"/>
    <w:rsid w:val="007A2290"/>
    <w:rsid w:val="007A22A3"/>
    <w:rsid w:val="007A22E1"/>
    <w:rsid w:val="007A22FE"/>
    <w:rsid w:val="007A23AB"/>
    <w:rsid w:val="007A23BE"/>
    <w:rsid w:val="007A23DA"/>
    <w:rsid w:val="007A2400"/>
    <w:rsid w:val="007A248F"/>
    <w:rsid w:val="007A2517"/>
    <w:rsid w:val="007A2563"/>
    <w:rsid w:val="007A257B"/>
    <w:rsid w:val="007A26B5"/>
    <w:rsid w:val="007A27A6"/>
    <w:rsid w:val="007A27CC"/>
    <w:rsid w:val="007A2818"/>
    <w:rsid w:val="007A293D"/>
    <w:rsid w:val="007A298A"/>
    <w:rsid w:val="007A29B9"/>
    <w:rsid w:val="007A29D3"/>
    <w:rsid w:val="007A2A43"/>
    <w:rsid w:val="007A2BA1"/>
    <w:rsid w:val="007A2C8E"/>
    <w:rsid w:val="007A2D4E"/>
    <w:rsid w:val="007A2D77"/>
    <w:rsid w:val="007A2DDC"/>
    <w:rsid w:val="007A2E02"/>
    <w:rsid w:val="007A2E0C"/>
    <w:rsid w:val="007A2E13"/>
    <w:rsid w:val="007A2EB4"/>
    <w:rsid w:val="007A2EC8"/>
    <w:rsid w:val="007A2F11"/>
    <w:rsid w:val="007A2F1F"/>
    <w:rsid w:val="007A2F41"/>
    <w:rsid w:val="007A2F72"/>
    <w:rsid w:val="007A2FDC"/>
    <w:rsid w:val="007A2FEC"/>
    <w:rsid w:val="007A2FF9"/>
    <w:rsid w:val="007A307C"/>
    <w:rsid w:val="007A309D"/>
    <w:rsid w:val="007A30A1"/>
    <w:rsid w:val="007A30AF"/>
    <w:rsid w:val="007A316D"/>
    <w:rsid w:val="007A3192"/>
    <w:rsid w:val="007A31A8"/>
    <w:rsid w:val="007A320C"/>
    <w:rsid w:val="007A3253"/>
    <w:rsid w:val="007A327F"/>
    <w:rsid w:val="007A3328"/>
    <w:rsid w:val="007A335B"/>
    <w:rsid w:val="007A3369"/>
    <w:rsid w:val="007A33B2"/>
    <w:rsid w:val="007A33BF"/>
    <w:rsid w:val="007A33DD"/>
    <w:rsid w:val="007A3433"/>
    <w:rsid w:val="007A348F"/>
    <w:rsid w:val="007A34B7"/>
    <w:rsid w:val="007A34C2"/>
    <w:rsid w:val="007A353A"/>
    <w:rsid w:val="007A35DC"/>
    <w:rsid w:val="007A35E8"/>
    <w:rsid w:val="007A368B"/>
    <w:rsid w:val="007A36BB"/>
    <w:rsid w:val="007A36CA"/>
    <w:rsid w:val="007A37B3"/>
    <w:rsid w:val="007A37CB"/>
    <w:rsid w:val="007A37EA"/>
    <w:rsid w:val="007A3839"/>
    <w:rsid w:val="007A385D"/>
    <w:rsid w:val="007A388E"/>
    <w:rsid w:val="007A3943"/>
    <w:rsid w:val="007A3949"/>
    <w:rsid w:val="007A3970"/>
    <w:rsid w:val="007A399C"/>
    <w:rsid w:val="007A39AE"/>
    <w:rsid w:val="007A39C3"/>
    <w:rsid w:val="007A39DF"/>
    <w:rsid w:val="007A39FD"/>
    <w:rsid w:val="007A3A2B"/>
    <w:rsid w:val="007A3A4A"/>
    <w:rsid w:val="007A3A8C"/>
    <w:rsid w:val="007A3AD0"/>
    <w:rsid w:val="007A3B1D"/>
    <w:rsid w:val="007A3B7B"/>
    <w:rsid w:val="007A3BAB"/>
    <w:rsid w:val="007A3BBC"/>
    <w:rsid w:val="007A3C82"/>
    <w:rsid w:val="007A3CCD"/>
    <w:rsid w:val="007A3CCE"/>
    <w:rsid w:val="007A3D28"/>
    <w:rsid w:val="007A3D47"/>
    <w:rsid w:val="007A3D66"/>
    <w:rsid w:val="007A3DB2"/>
    <w:rsid w:val="007A3DC6"/>
    <w:rsid w:val="007A3E49"/>
    <w:rsid w:val="007A3E4B"/>
    <w:rsid w:val="007A3F27"/>
    <w:rsid w:val="007A3F91"/>
    <w:rsid w:val="007A4000"/>
    <w:rsid w:val="007A4046"/>
    <w:rsid w:val="007A4093"/>
    <w:rsid w:val="007A41B4"/>
    <w:rsid w:val="007A421C"/>
    <w:rsid w:val="007A4231"/>
    <w:rsid w:val="007A42B4"/>
    <w:rsid w:val="007A42F1"/>
    <w:rsid w:val="007A4370"/>
    <w:rsid w:val="007A4371"/>
    <w:rsid w:val="007A4389"/>
    <w:rsid w:val="007A4473"/>
    <w:rsid w:val="007A44A1"/>
    <w:rsid w:val="007A44C5"/>
    <w:rsid w:val="007A44DA"/>
    <w:rsid w:val="007A4519"/>
    <w:rsid w:val="007A4577"/>
    <w:rsid w:val="007A45A6"/>
    <w:rsid w:val="007A45B1"/>
    <w:rsid w:val="007A4610"/>
    <w:rsid w:val="007A462D"/>
    <w:rsid w:val="007A463B"/>
    <w:rsid w:val="007A465D"/>
    <w:rsid w:val="007A4667"/>
    <w:rsid w:val="007A46AE"/>
    <w:rsid w:val="007A46CA"/>
    <w:rsid w:val="007A46D9"/>
    <w:rsid w:val="007A46EE"/>
    <w:rsid w:val="007A4721"/>
    <w:rsid w:val="007A47A7"/>
    <w:rsid w:val="007A480A"/>
    <w:rsid w:val="007A482C"/>
    <w:rsid w:val="007A4859"/>
    <w:rsid w:val="007A486A"/>
    <w:rsid w:val="007A487F"/>
    <w:rsid w:val="007A48D8"/>
    <w:rsid w:val="007A493C"/>
    <w:rsid w:val="007A4976"/>
    <w:rsid w:val="007A4991"/>
    <w:rsid w:val="007A4A24"/>
    <w:rsid w:val="007A4AB7"/>
    <w:rsid w:val="007A4B87"/>
    <w:rsid w:val="007A4BED"/>
    <w:rsid w:val="007A4C1F"/>
    <w:rsid w:val="007A4C25"/>
    <w:rsid w:val="007A4C6C"/>
    <w:rsid w:val="007A4C84"/>
    <w:rsid w:val="007A4C96"/>
    <w:rsid w:val="007A4D80"/>
    <w:rsid w:val="007A4DB0"/>
    <w:rsid w:val="007A4DE3"/>
    <w:rsid w:val="007A4DE8"/>
    <w:rsid w:val="007A4E42"/>
    <w:rsid w:val="007A4E53"/>
    <w:rsid w:val="007A4E76"/>
    <w:rsid w:val="007A4E7D"/>
    <w:rsid w:val="007A4EC1"/>
    <w:rsid w:val="007A4ED6"/>
    <w:rsid w:val="007A4EE9"/>
    <w:rsid w:val="007A4F56"/>
    <w:rsid w:val="007A4F78"/>
    <w:rsid w:val="007A4FCE"/>
    <w:rsid w:val="007A50E9"/>
    <w:rsid w:val="007A510A"/>
    <w:rsid w:val="007A5113"/>
    <w:rsid w:val="007A5145"/>
    <w:rsid w:val="007A5290"/>
    <w:rsid w:val="007A52AA"/>
    <w:rsid w:val="007A52B9"/>
    <w:rsid w:val="007A52BE"/>
    <w:rsid w:val="007A52E7"/>
    <w:rsid w:val="007A532B"/>
    <w:rsid w:val="007A5359"/>
    <w:rsid w:val="007A53A5"/>
    <w:rsid w:val="007A53C9"/>
    <w:rsid w:val="007A5455"/>
    <w:rsid w:val="007A54E3"/>
    <w:rsid w:val="007A54EE"/>
    <w:rsid w:val="007A5536"/>
    <w:rsid w:val="007A5597"/>
    <w:rsid w:val="007A564C"/>
    <w:rsid w:val="007A564E"/>
    <w:rsid w:val="007A5818"/>
    <w:rsid w:val="007A5825"/>
    <w:rsid w:val="007A58BE"/>
    <w:rsid w:val="007A58ED"/>
    <w:rsid w:val="007A5945"/>
    <w:rsid w:val="007A596A"/>
    <w:rsid w:val="007A5997"/>
    <w:rsid w:val="007A59DA"/>
    <w:rsid w:val="007A59E9"/>
    <w:rsid w:val="007A5A01"/>
    <w:rsid w:val="007A5A26"/>
    <w:rsid w:val="007A5A94"/>
    <w:rsid w:val="007A5AAC"/>
    <w:rsid w:val="007A5AEB"/>
    <w:rsid w:val="007A5B31"/>
    <w:rsid w:val="007A5B56"/>
    <w:rsid w:val="007A5B60"/>
    <w:rsid w:val="007A5BC5"/>
    <w:rsid w:val="007A5BE5"/>
    <w:rsid w:val="007A5BEA"/>
    <w:rsid w:val="007A5C2B"/>
    <w:rsid w:val="007A5C38"/>
    <w:rsid w:val="007A5C5C"/>
    <w:rsid w:val="007A5C70"/>
    <w:rsid w:val="007A5CA8"/>
    <w:rsid w:val="007A5DFB"/>
    <w:rsid w:val="007A5E17"/>
    <w:rsid w:val="007A5E60"/>
    <w:rsid w:val="007A5F09"/>
    <w:rsid w:val="007A5F0A"/>
    <w:rsid w:val="007A5F42"/>
    <w:rsid w:val="007A5F75"/>
    <w:rsid w:val="007A5FE1"/>
    <w:rsid w:val="007A601D"/>
    <w:rsid w:val="007A603B"/>
    <w:rsid w:val="007A6045"/>
    <w:rsid w:val="007A6053"/>
    <w:rsid w:val="007A6074"/>
    <w:rsid w:val="007A6075"/>
    <w:rsid w:val="007A6077"/>
    <w:rsid w:val="007A6088"/>
    <w:rsid w:val="007A60B4"/>
    <w:rsid w:val="007A60F8"/>
    <w:rsid w:val="007A60FD"/>
    <w:rsid w:val="007A61B2"/>
    <w:rsid w:val="007A61EC"/>
    <w:rsid w:val="007A6203"/>
    <w:rsid w:val="007A6204"/>
    <w:rsid w:val="007A625E"/>
    <w:rsid w:val="007A62DE"/>
    <w:rsid w:val="007A635C"/>
    <w:rsid w:val="007A6367"/>
    <w:rsid w:val="007A637C"/>
    <w:rsid w:val="007A6384"/>
    <w:rsid w:val="007A6403"/>
    <w:rsid w:val="007A6433"/>
    <w:rsid w:val="007A64A3"/>
    <w:rsid w:val="007A6503"/>
    <w:rsid w:val="007A65D6"/>
    <w:rsid w:val="007A65FE"/>
    <w:rsid w:val="007A6667"/>
    <w:rsid w:val="007A66DB"/>
    <w:rsid w:val="007A66E0"/>
    <w:rsid w:val="007A670A"/>
    <w:rsid w:val="007A678F"/>
    <w:rsid w:val="007A6892"/>
    <w:rsid w:val="007A68B7"/>
    <w:rsid w:val="007A68C0"/>
    <w:rsid w:val="007A68C9"/>
    <w:rsid w:val="007A69C2"/>
    <w:rsid w:val="007A69CD"/>
    <w:rsid w:val="007A69F9"/>
    <w:rsid w:val="007A6A01"/>
    <w:rsid w:val="007A6A7C"/>
    <w:rsid w:val="007A6BF4"/>
    <w:rsid w:val="007A6D95"/>
    <w:rsid w:val="007A6DC3"/>
    <w:rsid w:val="007A6E03"/>
    <w:rsid w:val="007A6E9C"/>
    <w:rsid w:val="007A6EB7"/>
    <w:rsid w:val="007A6ED1"/>
    <w:rsid w:val="007A6F01"/>
    <w:rsid w:val="007A6F3D"/>
    <w:rsid w:val="007A6F55"/>
    <w:rsid w:val="007A6F7D"/>
    <w:rsid w:val="007A6F96"/>
    <w:rsid w:val="007A6F97"/>
    <w:rsid w:val="007A7013"/>
    <w:rsid w:val="007A705B"/>
    <w:rsid w:val="007A70AA"/>
    <w:rsid w:val="007A70BD"/>
    <w:rsid w:val="007A70C6"/>
    <w:rsid w:val="007A70E0"/>
    <w:rsid w:val="007A70E5"/>
    <w:rsid w:val="007A712F"/>
    <w:rsid w:val="007A71C0"/>
    <w:rsid w:val="007A71E5"/>
    <w:rsid w:val="007A7206"/>
    <w:rsid w:val="007A7214"/>
    <w:rsid w:val="007A722F"/>
    <w:rsid w:val="007A724D"/>
    <w:rsid w:val="007A72CF"/>
    <w:rsid w:val="007A730A"/>
    <w:rsid w:val="007A73E0"/>
    <w:rsid w:val="007A7400"/>
    <w:rsid w:val="007A7452"/>
    <w:rsid w:val="007A7494"/>
    <w:rsid w:val="007A7505"/>
    <w:rsid w:val="007A7550"/>
    <w:rsid w:val="007A7571"/>
    <w:rsid w:val="007A7594"/>
    <w:rsid w:val="007A7679"/>
    <w:rsid w:val="007A7686"/>
    <w:rsid w:val="007A7700"/>
    <w:rsid w:val="007A771E"/>
    <w:rsid w:val="007A7755"/>
    <w:rsid w:val="007A7775"/>
    <w:rsid w:val="007A77BE"/>
    <w:rsid w:val="007A78D7"/>
    <w:rsid w:val="007A792B"/>
    <w:rsid w:val="007A797F"/>
    <w:rsid w:val="007A7988"/>
    <w:rsid w:val="007A79B2"/>
    <w:rsid w:val="007A79E8"/>
    <w:rsid w:val="007A79EE"/>
    <w:rsid w:val="007A7A7C"/>
    <w:rsid w:val="007A7BE3"/>
    <w:rsid w:val="007A7C88"/>
    <w:rsid w:val="007A7CA9"/>
    <w:rsid w:val="007A7D2A"/>
    <w:rsid w:val="007A7DC6"/>
    <w:rsid w:val="007A7DF4"/>
    <w:rsid w:val="007A7DFA"/>
    <w:rsid w:val="007A7E12"/>
    <w:rsid w:val="007A7E1C"/>
    <w:rsid w:val="007A7EC1"/>
    <w:rsid w:val="007B002E"/>
    <w:rsid w:val="007B0172"/>
    <w:rsid w:val="007B0185"/>
    <w:rsid w:val="007B0194"/>
    <w:rsid w:val="007B01DF"/>
    <w:rsid w:val="007B0219"/>
    <w:rsid w:val="007B028D"/>
    <w:rsid w:val="007B0307"/>
    <w:rsid w:val="007B0395"/>
    <w:rsid w:val="007B03E3"/>
    <w:rsid w:val="007B040A"/>
    <w:rsid w:val="007B0512"/>
    <w:rsid w:val="007B051E"/>
    <w:rsid w:val="007B0546"/>
    <w:rsid w:val="007B05EC"/>
    <w:rsid w:val="007B0637"/>
    <w:rsid w:val="007B069C"/>
    <w:rsid w:val="007B0737"/>
    <w:rsid w:val="007B0846"/>
    <w:rsid w:val="007B08E0"/>
    <w:rsid w:val="007B095D"/>
    <w:rsid w:val="007B098A"/>
    <w:rsid w:val="007B09BE"/>
    <w:rsid w:val="007B0AFD"/>
    <w:rsid w:val="007B0B2D"/>
    <w:rsid w:val="007B0B4B"/>
    <w:rsid w:val="007B0B8D"/>
    <w:rsid w:val="007B0BA1"/>
    <w:rsid w:val="007B0C2D"/>
    <w:rsid w:val="007B0C54"/>
    <w:rsid w:val="007B0CA1"/>
    <w:rsid w:val="007B0CC9"/>
    <w:rsid w:val="007B0D37"/>
    <w:rsid w:val="007B0DCA"/>
    <w:rsid w:val="007B0DD2"/>
    <w:rsid w:val="007B0E18"/>
    <w:rsid w:val="007B0EB8"/>
    <w:rsid w:val="007B1068"/>
    <w:rsid w:val="007B10E5"/>
    <w:rsid w:val="007B11E4"/>
    <w:rsid w:val="007B11F4"/>
    <w:rsid w:val="007B123A"/>
    <w:rsid w:val="007B124D"/>
    <w:rsid w:val="007B132A"/>
    <w:rsid w:val="007B1495"/>
    <w:rsid w:val="007B14BF"/>
    <w:rsid w:val="007B14C4"/>
    <w:rsid w:val="007B152B"/>
    <w:rsid w:val="007B152C"/>
    <w:rsid w:val="007B153C"/>
    <w:rsid w:val="007B15B6"/>
    <w:rsid w:val="007B15F0"/>
    <w:rsid w:val="007B165F"/>
    <w:rsid w:val="007B16AB"/>
    <w:rsid w:val="007B1799"/>
    <w:rsid w:val="007B17AE"/>
    <w:rsid w:val="007B17BF"/>
    <w:rsid w:val="007B18B8"/>
    <w:rsid w:val="007B18D4"/>
    <w:rsid w:val="007B1940"/>
    <w:rsid w:val="007B196C"/>
    <w:rsid w:val="007B19E7"/>
    <w:rsid w:val="007B1A16"/>
    <w:rsid w:val="007B1B43"/>
    <w:rsid w:val="007B1BA1"/>
    <w:rsid w:val="007B1BE2"/>
    <w:rsid w:val="007B1C0E"/>
    <w:rsid w:val="007B1C4D"/>
    <w:rsid w:val="007B1C50"/>
    <w:rsid w:val="007B1C87"/>
    <w:rsid w:val="007B1C9A"/>
    <w:rsid w:val="007B1CBF"/>
    <w:rsid w:val="007B1CFA"/>
    <w:rsid w:val="007B1D22"/>
    <w:rsid w:val="007B1D45"/>
    <w:rsid w:val="007B1DE7"/>
    <w:rsid w:val="007B1E74"/>
    <w:rsid w:val="007B1EA7"/>
    <w:rsid w:val="007B1EAD"/>
    <w:rsid w:val="007B1EAF"/>
    <w:rsid w:val="007B1EEF"/>
    <w:rsid w:val="007B1F83"/>
    <w:rsid w:val="007B1F8A"/>
    <w:rsid w:val="007B1FDC"/>
    <w:rsid w:val="007B205C"/>
    <w:rsid w:val="007B20A9"/>
    <w:rsid w:val="007B2171"/>
    <w:rsid w:val="007B220F"/>
    <w:rsid w:val="007B222F"/>
    <w:rsid w:val="007B2277"/>
    <w:rsid w:val="007B22FB"/>
    <w:rsid w:val="007B23AD"/>
    <w:rsid w:val="007B240A"/>
    <w:rsid w:val="007B2590"/>
    <w:rsid w:val="007B25CD"/>
    <w:rsid w:val="007B2628"/>
    <w:rsid w:val="007B264D"/>
    <w:rsid w:val="007B267C"/>
    <w:rsid w:val="007B26B3"/>
    <w:rsid w:val="007B26B6"/>
    <w:rsid w:val="007B26BB"/>
    <w:rsid w:val="007B26E3"/>
    <w:rsid w:val="007B2777"/>
    <w:rsid w:val="007B2779"/>
    <w:rsid w:val="007B27C6"/>
    <w:rsid w:val="007B27E4"/>
    <w:rsid w:val="007B2875"/>
    <w:rsid w:val="007B288C"/>
    <w:rsid w:val="007B28AC"/>
    <w:rsid w:val="007B297D"/>
    <w:rsid w:val="007B299B"/>
    <w:rsid w:val="007B29A2"/>
    <w:rsid w:val="007B29D3"/>
    <w:rsid w:val="007B2A50"/>
    <w:rsid w:val="007B2CBE"/>
    <w:rsid w:val="007B2D40"/>
    <w:rsid w:val="007B2D9D"/>
    <w:rsid w:val="007B2DB1"/>
    <w:rsid w:val="007B2DC6"/>
    <w:rsid w:val="007B2E3D"/>
    <w:rsid w:val="007B2EF5"/>
    <w:rsid w:val="007B2FBA"/>
    <w:rsid w:val="007B2FD7"/>
    <w:rsid w:val="007B3013"/>
    <w:rsid w:val="007B303A"/>
    <w:rsid w:val="007B304E"/>
    <w:rsid w:val="007B308E"/>
    <w:rsid w:val="007B309B"/>
    <w:rsid w:val="007B30A9"/>
    <w:rsid w:val="007B31AC"/>
    <w:rsid w:val="007B31EA"/>
    <w:rsid w:val="007B31EC"/>
    <w:rsid w:val="007B31F2"/>
    <w:rsid w:val="007B321D"/>
    <w:rsid w:val="007B326D"/>
    <w:rsid w:val="007B32AE"/>
    <w:rsid w:val="007B32E4"/>
    <w:rsid w:val="007B3336"/>
    <w:rsid w:val="007B340D"/>
    <w:rsid w:val="007B3410"/>
    <w:rsid w:val="007B345F"/>
    <w:rsid w:val="007B347C"/>
    <w:rsid w:val="007B348B"/>
    <w:rsid w:val="007B34BC"/>
    <w:rsid w:val="007B3517"/>
    <w:rsid w:val="007B352A"/>
    <w:rsid w:val="007B3532"/>
    <w:rsid w:val="007B353E"/>
    <w:rsid w:val="007B35A9"/>
    <w:rsid w:val="007B36D1"/>
    <w:rsid w:val="007B36DB"/>
    <w:rsid w:val="007B36EB"/>
    <w:rsid w:val="007B36F8"/>
    <w:rsid w:val="007B36FE"/>
    <w:rsid w:val="007B3705"/>
    <w:rsid w:val="007B37A8"/>
    <w:rsid w:val="007B37B9"/>
    <w:rsid w:val="007B37C3"/>
    <w:rsid w:val="007B37CB"/>
    <w:rsid w:val="007B37DD"/>
    <w:rsid w:val="007B3865"/>
    <w:rsid w:val="007B387F"/>
    <w:rsid w:val="007B38D0"/>
    <w:rsid w:val="007B38DC"/>
    <w:rsid w:val="007B3925"/>
    <w:rsid w:val="007B3969"/>
    <w:rsid w:val="007B39AA"/>
    <w:rsid w:val="007B39B4"/>
    <w:rsid w:val="007B3ABD"/>
    <w:rsid w:val="007B3B57"/>
    <w:rsid w:val="007B3BBE"/>
    <w:rsid w:val="007B3BBF"/>
    <w:rsid w:val="007B3C18"/>
    <w:rsid w:val="007B3C35"/>
    <w:rsid w:val="007B3D1A"/>
    <w:rsid w:val="007B3D2B"/>
    <w:rsid w:val="007B3D59"/>
    <w:rsid w:val="007B3D7D"/>
    <w:rsid w:val="007B3E9A"/>
    <w:rsid w:val="007B3ECC"/>
    <w:rsid w:val="007B3ECD"/>
    <w:rsid w:val="007B3F71"/>
    <w:rsid w:val="007B3F8E"/>
    <w:rsid w:val="007B3FBF"/>
    <w:rsid w:val="007B4106"/>
    <w:rsid w:val="007B41A0"/>
    <w:rsid w:val="007B421F"/>
    <w:rsid w:val="007B426B"/>
    <w:rsid w:val="007B4285"/>
    <w:rsid w:val="007B42E4"/>
    <w:rsid w:val="007B4387"/>
    <w:rsid w:val="007B43A8"/>
    <w:rsid w:val="007B43E9"/>
    <w:rsid w:val="007B43F1"/>
    <w:rsid w:val="007B4410"/>
    <w:rsid w:val="007B4493"/>
    <w:rsid w:val="007B4536"/>
    <w:rsid w:val="007B4538"/>
    <w:rsid w:val="007B4565"/>
    <w:rsid w:val="007B45BE"/>
    <w:rsid w:val="007B4625"/>
    <w:rsid w:val="007B4726"/>
    <w:rsid w:val="007B472F"/>
    <w:rsid w:val="007B4836"/>
    <w:rsid w:val="007B48FD"/>
    <w:rsid w:val="007B4943"/>
    <w:rsid w:val="007B49EB"/>
    <w:rsid w:val="007B4A4D"/>
    <w:rsid w:val="007B4A7D"/>
    <w:rsid w:val="007B4ADE"/>
    <w:rsid w:val="007B4B49"/>
    <w:rsid w:val="007B4B4C"/>
    <w:rsid w:val="007B4B7A"/>
    <w:rsid w:val="007B4BB4"/>
    <w:rsid w:val="007B4CCE"/>
    <w:rsid w:val="007B4D55"/>
    <w:rsid w:val="007B4D7F"/>
    <w:rsid w:val="007B4E74"/>
    <w:rsid w:val="007B4EAB"/>
    <w:rsid w:val="007B4FA3"/>
    <w:rsid w:val="007B4FF9"/>
    <w:rsid w:val="007B5023"/>
    <w:rsid w:val="007B5154"/>
    <w:rsid w:val="007B5158"/>
    <w:rsid w:val="007B5198"/>
    <w:rsid w:val="007B5243"/>
    <w:rsid w:val="007B527A"/>
    <w:rsid w:val="007B52CC"/>
    <w:rsid w:val="007B52D0"/>
    <w:rsid w:val="007B52D4"/>
    <w:rsid w:val="007B531D"/>
    <w:rsid w:val="007B535F"/>
    <w:rsid w:val="007B537E"/>
    <w:rsid w:val="007B53E2"/>
    <w:rsid w:val="007B5413"/>
    <w:rsid w:val="007B5432"/>
    <w:rsid w:val="007B545D"/>
    <w:rsid w:val="007B54C4"/>
    <w:rsid w:val="007B54F9"/>
    <w:rsid w:val="007B55AE"/>
    <w:rsid w:val="007B55B9"/>
    <w:rsid w:val="007B5626"/>
    <w:rsid w:val="007B5683"/>
    <w:rsid w:val="007B56E1"/>
    <w:rsid w:val="007B5760"/>
    <w:rsid w:val="007B578F"/>
    <w:rsid w:val="007B5805"/>
    <w:rsid w:val="007B5862"/>
    <w:rsid w:val="007B588D"/>
    <w:rsid w:val="007B58AE"/>
    <w:rsid w:val="007B58C3"/>
    <w:rsid w:val="007B58D2"/>
    <w:rsid w:val="007B5982"/>
    <w:rsid w:val="007B5984"/>
    <w:rsid w:val="007B59AB"/>
    <w:rsid w:val="007B59D0"/>
    <w:rsid w:val="007B59E8"/>
    <w:rsid w:val="007B5A68"/>
    <w:rsid w:val="007B5A7C"/>
    <w:rsid w:val="007B5A93"/>
    <w:rsid w:val="007B5AAF"/>
    <w:rsid w:val="007B5B5D"/>
    <w:rsid w:val="007B5B90"/>
    <w:rsid w:val="007B5BD3"/>
    <w:rsid w:val="007B5C59"/>
    <w:rsid w:val="007B5CB5"/>
    <w:rsid w:val="007B5D02"/>
    <w:rsid w:val="007B5D94"/>
    <w:rsid w:val="007B5E0F"/>
    <w:rsid w:val="007B5E1C"/>
    <w:rsid w:val="007B5E93"/>
    <w:rsid w:val="007B5ECD"/>
    <w:rsid w:val="007B5F53"/>
    <w:rsid w:val="007B5F9A"/>
    <w:rsid w:val="007B5FE0"/>
    <w:rsid w:val="007B5FFC"/>
    <w:rsid w:val="007B6072"/>
    <w:rsid w:val="007B6096"/>
    <w:rsid w:val="007B612C"/>
    <w:rsid w:val="007B6143"/>
    <w:rsid w:val="007B619B"/>
    <w:rsid w:val="007B6229"/>
    <w:rsid w:val="007B6245"/>
    <w:rsid w:val="007B6381"/>
    <w:rsid w:val="007B6395"/>
    <w:rsid w:val="007B63F4"/>
    <w:rsid w:val="007B6406"/>
    <w:rsid w:val="007B6424"/>
    <w:rsid w:val="007B6450"/>
    <w:rsid w:val="007B6474"/>
    <w:rsid w:val="007B64DC"/>
    <w:rsid w:val="007B6535"/>
    <w:rsid w:val="007B65DE"/>
    <w:rsid w:val="007B65E1"/>
    <w:rsid w:val="007B6612"/>
    <w:rsid w:val="007B6685"/>
    <w:rsid w:val="007B66CA"/>
    <w:rsid w:val="007B670B"/>
    <w:rsid w:val="007B6713"/>
    <w:rsid w:val="007B6723"/>
    <w:rsid w:val="007B673C"/>
    <w:rsid w:val="007B6774"/>
    <w:rsid w:val="007B67E7"/>
    <w:rsid w:val="007B68C7"/>
    <w:rsid w:val="007B695B"/>
    <w:rsid w:val="007B6998"/>
    <w:rsid w:val="007B6A27"/>
    <w:rsid w:val="007B6A75"/>
    <w:rsid w:val="007B6A88"/>
    <w:rsid w:val="007B6A95"/>
    <w:rsid w:val="007B6AB5"/>
    <w:rsid w:val="007B6BA5"/>
    <w:rsid w:val="007B6C3A"/>
    <w:rsid w:val="007B6C78"/>
    <w:rsid w:val="007B6CC8"/>
    <w:rsid w:val="007B6CF1"/>
    <w:rsid w:val="007B6D1E"/>
    <w:rsid w:val="007B6D83"/>
    <w:rsid w:val="007B6E01"/>
    <w:rsid w:val="007B6E6C"/>
    <w:rsid w:val="007B6EF3"/>
    <w:rsid w:val="007B7009"/>
    <w:rsid w:val="007B7026"/>
    <w:rsid w:val="007B70D2"/>
    <w:rsid w:val="007B719C"/>
    <w:rsid w:val="007B71C3"/>
    <w:rsid w:val="007B7268"/>
    <w:rsid w:val="007B72B3"/>
    <w:rsid w:val="007B72BD"/>
    <w:rsid w:val="007B72D5"/>
    <w:rsid w:val="007B72F6"/>
    <w:rsid w:val="007B730D"/>
    <w:rsid w:val="007B7352"/>
    <w:rsid w:val="007B7385"/>
    <w:rsid w:val="007B73A3"/>
    <w:rsid w:val="007B73E1"/>
    <w:rsid w:val="007B7401"/>
    <w:rsid w:val="007B746F"/>
    <w:rsid w:val="007B754E"/>
    <w:rsid w:val="007B75A1"/>
    <w:rsid w:val="007B7605"/>
    <w:rsid w:val="007B7667"/>
    <w:rsid w:val="007B76A0"/>
    <w:rsid w:val="007B77DD"/>
    <w:rsid w:val="007B77E1"/>
    <w:rsid w:val="007B77ED"/>
    <w:rsid w:val="007B77F2"/>
    <w:rsid w:val="007B781B"/>
    <w:rsid w:val="007B782D"/>
    <w:rsid w:val="007B7926"/>
    <w:rsid w:val="007B7961"/>
    <w:rsid w:val="007B797D"/>
    <w:rsid w:val="007B7998"/>
    <w:rsid w:val="007B79BF"/>
    <w:rsid w:val="007B79C9"/>
    <w:rsid w:val="007B79E6"/>
    <w:rsid w:val="007B7A8E"/>
    <w:rsid w:val="007B7B1B"/>
    <w:rsid w:val="007B7B6B"/>
    <w:rsid w:val="007B7BA0"/>
    <w:rsid w:val="007B7BAD"/>
    <w:rsid w:val="007B7BC2"/>
    <w:rsid w:val="007B7BEB"/>
    <w:rsid w:val="007B7BF4"/>
    <w:rsid w:val="007B7BFB"/>
    <w:rsid w:val="007B7C26"/>
    <w:rsid w:val="007B7C8C"/>
    <w:rsid w:val="007B7CBA"/>
    <w:rsid w:val="007B7D9D"/>
    <w:rsid w:val="007B7DC8"/>
    <w:rsid w:val="007B7DF3"/>
    <w:rsid w:val="007B7DFE"/>
    <w:rsid w:val="007B7EBD"/>
    <w:rsid w:val="007B7EE4"/>
    <w:rsid w:val="007B7F5A"/>
    <w:rsid w:val="007B7FB4"/>
    <w:rsid w:val="007B7FF5"/>
    <w:rsid w:val="007B7FFC"/>
    <w:rsid w:val="007C0008"/>
    <w:rsid w:val="007C0068"/>
    <w:rsid w:val="007C0099"/>
    <w:rsid w:val="007C00B8"/>
    <w:rsid w:val="007C0108"/>
    <w:rsid w:val="007C0143"/>
    <w:rsid w:val="007C015C"/>
    <w:rsid w:val="007C0164"/>
    <w:rsid w:val="007C0166"/>
    <w:rsid w:val="007C0212"/>
    <w:rsid w:val="007C0231"/>
    <w:rsid w:val="007C0293"/>
    <w:rsid w:val="007C02E5"/>
    <w:rsid w:val="007C02F2"/>
    <w:rsid w:val="007C0394"/>
    <w:rsid w:val="007C03B9"/>
    <w:rsid w:val="007C03CF"/>
    <w:rsid w:val="007C03D2"/>
    <w:rsid w:val="007C03E7"/>
    <w:rsid w:val="007C04CC"/>
    <w:rsid w:val="007C04E1"/>
    <w:rsid w:val="007C04E2"/>
    <w:rsid w:val="007C05A1"/>
    <w:rsid w:val="007C05C6"/>
    <w:rsid w:val="007C05E0"/>
    <w:rsid w:val="007C068C"/>
    <w:rsid w:val="007C0784"/>
    <w:rsid w:val="007C079B"/>
    <w:rsid w:val="007C07F7"/>
    <w:rsid w:val="007C0858"/>
    <w:rsid w:val="007C08B8"/>
    <w:rsid w:val="007C0960"/>
    <w:rsid w:val="007C0A25"/>
    <w:rsid w:val="007C0A86"/>
    <w:rsid w:val="007C0A88"/>
    <w:rsid w:val="007C0A9A"/>
    <w:rsid w:val="007C0ACC"/>
    <w:rsid w:val="007C0AFD"/>
    <w:rsid w:val="007C0B39"/>
    <w:rsid w:val="007C0B74"/>
    <w:rsid w:val="007C0B7F"/>
    <w:rsid w:val="007C0B8B"/>
    <w:rsid w:val="007C0BCA"/>
    <w:rsid w:val="007C0BD5"/>
    <w:rsid w:val="007C0C44"/>
    <w:rsid w:val="007C0C6B"/>
    <w:rsid w:val="007C0C96"/>
    <w:rsid w:val="007C0CAB"/>
    <w:rsid w:val="007C0CB9"/>
    <w:rsid w:val="007C0D18"/>
    <w:rsid w:val="007C0DE5"/>
    <w:rsid w:val="007C0E4B"/>
    <w:rsid w:val="007C0E96"/>
    <w:rsid w:val="007C0EE6"/>
    <w:rsid w:val="007C0F19"/>
    <w:rsid w:val="007C0F56"/>
    <w:rsid w:val="007C0F81"/>
    <w:rsid w:val="007C118B"/>
    <w:rsid w:val="007C120D"/>
    <w:rsid w:val="007C1233"/>
    <w:rsid w:val="007C1271"/>
    <w:rsid w:val="007C12D0"/>
    <w:rsid w:val="007C1334"/>
    <w:rsid w:val="007C1335"/>
    <w:rsid w:val="007C1369"/>
    <w:rsid w:val="007C13B1"/>
    <w:rsid w:val="007C13BB"/>
    <w:rsid w:val="007C1407"/>
    <w:rsid w:val="007C14D3"/>
    <w:rsid w:val="007C15F0"/>
    <w:rsid w:val="007C1661"/>
    <w:rsid w:val="007C1668"/>
    <w:rsid w:val="007C1676"/>
    <w:rsid w:val="007C1677"/>
    <w:rsid w:val="007C1697"/>
    <w:rsid w:val="007C16F1"/>
    <w:rsid w:val="007C1763"/>
    <w:rsid w:val="007C17B7"/>
    <w:rsid w:val="007C17EB"/>
    <w:rsid w:val="007C17FE"/>
    <w:rsid w:val="007C1806"/>
    <w:rsid w:val="007C1867"/>
    <w:rsid w:val="007C186D"/>
    <w:rsid w:val="007C1886"/>
    <w:rsid w:val="007C18DB"/>
    <w:rsid w:val="007C18FD"/>
    <w:rsid w:val="007C19EE"/>
    <w:rsid w:val="007C1A72"/>
    <w:rsid w:val="007C1A96"/>
    <w:rsid w:val="007C1B87"/>
    <w:rsid w:val="007C1BC4"/>
    <w:rsid w:val="007C1C86"/>
    <w:rsid w:val="007C1C89"/>
    <w:rsid w:val="007C1CB3"/>
    <w:rsid w:val="007C1CBD"/>
    <w:rsid w:val="007C1CE3"/>
    <w:rsid w:val="007C1D17"/>
    <w:rsid w:val="007C1D7D"/>
    <w:rsid w:val="007C1D92"/>
    <w:rsid w:val="007C1E4A"/>
    <w:rsid w:val="007C1F95"/>
    <w:rsid w:val="007C2036"/>
    <w:rsid w:val="007C2049"/>
    <w:rsid w:val="007C2069"/>
    <w:rsid w:val="007C2074"/>
    <w:rsid w:val="007C20D2"/>
    <w:rsid w:val="007C2143"/>
    <w:rsid w:val="007C214A"/>
    <w:rsid w:val="007C21A1"/>
    <w:rsid w:val="007C22D9"/>
    <w:rsid w:val="007C22F8"/>
    <w:rsid w:val="007C22F9"/>
    <w:rsid w:val="007C23C1"/>
    <w:rsid w:val="007C2417"/>
    <w:rsid w:val="007C244F"/>
    <w:rsid w:val="007C24E0"/>
    <w:rsid w:val="007C24FA"/>
    <w:rsid w:val="007C24FD"/>
    <w:rsid w:val="007C250A"/>
    <w:rsid w:val="007C250B"/>
    <w:rsid w:val="007C25B5"/>
    <w:rsid w:val="007C25BB"/>
    <w:rsid w:val="007C2764"/>
    <w:rsid w:val="007C27AD"/>
    <w:rsid w:val="007C27B9"/>
    <w:rsid w:val="007C27F4"/>
    <w:rsid w:val="007C2863"/>
    <w:rsid w:val="007C28E8"/>
    <w:rsid w:val="007C2902"/>
    <w:rsid w:val="007C29F7"/>
    <w:rsid w:val="007C2A05"/>
    <w:rsid w:val="007C2A14"/>
    <w:rsid w:val="007C2A2C"/>
    <w:rsid w:val="007C2A35"/>
    <w:rsid w:val="007C2A4F"/>
    <w:rsid w:val="007C2A59"/>
    <w:rsid w:val="007C2A6A"/>
    <w:rsid w:val="007C2A78"/>
    <w:rsid w:val="007C2AB3"/>
    <w:rsid w:val="007C2AC6"/>
    <w:rsid w:val="007C2BA0"/>
    <w:rsid w:val="007C2BDE"/>
    <w:rsid w:val="007C2C25"/>
    <w:rsid w:val="007C2C82"/>
    <w:rsid w:val="007C2CBF"/>
    <w:rsid w:val="007C2D57"/>
    <w:rsid w:val="007C2DDF"/>
    <w:rsid w:val="007C2E5C"/>
    <w:rsid w:val="007C2E69"/>
    <w:rsid w:val="007C2F41"/>
    <w:rsid w:val="007C2F45"/>
    <w:rsid w:val="007C2F60"/>
    <w:rsid w:val="007C2FFA"/>
    <w:rsid w:val="007C3030"/>
    <w:rsid w:val="007C303D"/>
    <w:rsid w:val="007C3078"/>
    <w:rsid w:val="007C30FC"/>
    <w:rsid w:val="007C3168"/>
    <w:rsid w:val="007C3183"/>
    <w:rsid w:val="007C3188"/>
    <w:rsid w:val="007C318C"/>
    <w:rsid w:val="007C3197"/>
    <w:rsid w:val="007C31D7"/>
    <w:rsid w:val="007C3207"/>
    <w:rsid w:val="007C322C"/>
    <w:rsid w:val="007C32D4"/>
    <w:rsid w:val="007C334C"/>
    <w:rsid w:val="007C3388"/>
    <w:rsid w:val="007C3415"/>
    <w:rsid w:val="007C34CC"/>
    <w:rsid w:val="007C34D2"/>
    <w:rsid w:val="007C34F5"/>
    <w:rsid w:val="007C3506"/>
    <w:rsid w:val="007C3528"/>
    <w:rsid w:val="007C3589"/>
    <w:rsid w:val="007C35A2"/>
    <w:rsid w:val="007C35A6"/>
    <w:rsid w:val="007C360A"/>
    <w:rsid w:val="007C3644"/>
    <w:rsid w:val="007C3656"/>
    <w:rsid w:val="007C366D"/>
    <w:rsid w:val="007C36D9"/>
    <w:rsid w:val="007C3715"/>
    <w:rsid w:val="007C374E"/>
    <w:rsid w:val="007C3752"/>
    <w:rsid w:val="007C37C4"/>
    <w:rsid w:val="007C37D8"/>
    <w:rsid w:val="007C382E"/>
    <w:rsid w:val="007C3889"/>
    <w:rsid w:val="007C388D"/>
    <w:rsid w:val="007C388F"/>
    <w:rsid w:val="007C38E1"/>
    <w:rsid w:val="007C392C"/>
    <w:rsid w:val="007C3A8C"/>
    <w:rsid w:val="007C3ABB"/>
    <w:rsid w:val="007C3ABF"/>
    <w:rsid w:val="007C3B28"/>
    <w:rsid w:val="007C3B9D"/>
    <w:rsid w:val="007C3D1B"/>
    <w:rsid w:val="007C3D74"/>
    <w:rsid w:val="007C3D8D"/>
    <w:rsid w:val="007C3DD0"/>
    <w:rsid w:val="007C3E35"/>
    <w:rsid w:val="007C3E95"/>
    <w:rsid w:val="007C3E9A"/>
    <w:rsid w:val="007C3EC5"/>
    <w:rsid w:val="007C3F7F"/>
    <w:rsid w:val="007C3FDF"/>
    <w:rsid w:val="007C400C"/>
    <w:rsid w:val="007C4050"/>
    <w:rsid w:val="007C4076"/>
    <w:rsid w:val="007C40B7"/>
    <w:rsid w:val="007C4121"/>
    <w:rsid w:val="007C4276"/>
    <w:rsid w:val="007C4281"/>
    <w:rsid w:val="007C42F3"/>
    <w:rsid w:val="007C4352"/>
    <w:rsid w:val="007C4382"/>
    <w:rsid w:val="007C43D1"/>
    <w:rsid w:val="007C4414"/>
    <w:rsid w:val="007C4417"/>
    <w:rsid w:val="007C4434"/>
    <w:rsid w:val="007C446A"/>
    <w:rsid w:val="007C44D7"/>
    <w:rsid w:val="007C452E"/>
    <w:rsid w:val="007C4552"/>
    <w:rsid w:val="007C4571"/>
    <w:rsid w:val="007C45F7"/>
    <w:rsid w:val="007C4602"/>
    <w:rsid w:val="007C467C"/>
    <w:rsid w:val="007C4710"/>
    <w:rsid w:val="007C4767"/>
    <w:rsid w:val="007C4789"/>
    <w:rsid w:val="007C47DB"/>
    <w:rsid w:val="007C47E5"/>
    <w:rsid w:val="007C4833"/>
    <w:rsid w:val="007C4844"/>
    <w:rsid w:val="007C4889"/>
    <w:rsid w:val="007C48A9"/>
    <w:rsid w:val="007C492C"/>
    <w:rsid w:val="007C493A"/>
    <w:rsid w:val="007C493C"/>
    <w:rsid w:val="007C495B"/>
    <w:rsid w:val="007C4982"/>
    <w:rsid w:val="007C49AA"/>
    <w:rsid w:val="007C49B8"/>
    <w:rsid w:val="007C49D1"/>
    <w:rsid w:val="007C49DD"/>
    <w:rsid w:val="007C49FA"/>
    <w:rsid w:val="007C4AE8"/>
    <w:rsid w:val="007C4AFB"/>
    <w:rsid w:val="007C4B5E"/>
    <w:rsid w:val="007C4B71"/>
    <w:rsid w:val="007C4B72"/>
    <w:rsid w:val="007C4BA7"/>
    <w:rsid w:val="007C4BD8"/>
    <w:rsid w:val="007C4C0A"/>
    <w:rsid w:val="007C4C9F"/>
    <w:rsid w:val="007C4D3C"/>
    <w:rsid w:val="007C4D55"/>
    <w:rsid w:val="007C4DDF"/>
    <w:rsid w:val="007C4E10"/>
    <w:rsid w:val="007C4E26"/>
    <w:rsid w:val="007C4E85"/>
    <w:rsid w:val="007C4EC6"/>
    <w:rsid w:val="007C4F46"/>
    <w:rsid w:val="007C5105"/>
    <w:rsid w:val="007C5113"/>
    <w:rsid w:val="007C5166"/>
    <w:rsid w:val="007C517D"/>
    <w:rsid w:val="007C51C3"/>
    <w:rsid w:val="007C52C3"/>
    <w:rsid w:val="007C535C"/>
    <w:rsid w:val="007C54B8"/>
    <w:rsid w:val="007C5542"/>
    <w:rsid w:val="007C5592"/>
    <w:rsid w:val="007C55A2"/>
    <w:rsid w:val="007C55EB"/>
    <w:rsid w:val="007C55F6"/>
    <w:rsid w:val="007C5658"/>
    <w:rsid w:val="007C56B2"/>
    <w:rsid w:val="007C56BD"/>
    <w:rsid w:val="007C5712"/>
    <w:rsid w:val="007C572D"/>
    <w:rsid w:val="007C5764"/>
    <w:rsid w:val="007C57F5"/>
    <w:rsid w:val="007C5847"/>
    <w:rsid w:val="007C585E"/>
    <w:rsid w:val="007C5895"/>
    <w:rsid w:val="007C58E2"/>
    <w:rsid w:val="007C591A"/>
    <w:rsid w:val="007C5922"/>
    <w:rsid w:val="007C5958"/>
    <w:rsid w:val="007C5984"/>
    <w:rsid w:val="007C59C5"/>
    <w:rsid w:val="007C5A2E"/>
    <w:rsid w:val="007C5A81"/>
    <w:rsid w:val="007C5AC8"/>
    <w:rsid w:val="007C5BB2"/>
    <w:rsid w:val="007C5BD2"/>
    <w:rsid w:val="007C5C05"/>
    <w:rsid w:val="007C5C0E"/>
    <w:rsid w:val="007C5C2F"/>
    <w:rsid w:val="007C5C3C"/>
    <w:rsid w:val="007C5C6B"/>
    <w:rsid w:val="007C5CF9"/>
    <w:rsid w:val="007C5D51"/>
    <w:rsid w:val="007C5D78"/>
    <w:rsid w:val="007C5D7A"/>
    <w:rsid w:val="007C5E36"/>
    <w:rsid w:val="007C5E54"/>
    <w:rsid w:val="007C5F7E"/>
    <w:rsid w:val="007C5FCF"/>
    <w:rsid w:val="007C605A"/>
    <w:rsid w:val="007C605B"/>
    <w:rsid w:val="007C60AA"/>
    <w:rsid w:val="007C60FA"/>
    <w:rsid w:val="007C61A6"/>
    <w:rsid w:val="007C61BF"/>
    <w:rsid w:val="007C61F4"/>
    <w:rsid w:val="007C633C"/>
    <w:rsid w:val="007C6340"/>
    <w:rsid w:val="007C6346"/>
    <w:rsid w:val="007C634A"/>
    <w:rsid w:val="007C639C"/>
    <w:rsid w:val="007C63DF"/>
    <w:rsid w:val="007C63E8"/>
    <w:rsid w:val="007C63EF"/>
    <w:rsid w:val="007C6429"/>
    <w:rsid w:val="007C644D"/>
    <w:rsid w:val="007C651C"/>
    <w:rsid w:val="007C654E"/>
    <w:rsid w:val="007C6574"/>
    <w:rsid w:val="007C65A5"/>
    <w:rsid w:val="007C6703"/>
    <w:rsid w:val="007C670A"/>
    <w:rsid w:val="007C6737"/>
    <w:rsid w:val="007C6744"/>
    <w:rsid w:val="007C6901"/>
    <w:rsid w:val="007C69BC"/>
    <w:rsid w:val="007C69E7"/>
    <w:rsid w:val="007C69FB"/>
    <w:rsid w:val="007C6AA5"/>
    <w:rsid w:val="007C6ACE"/>
    <w:rsid w:val="007C6AD5"/>
    <w:rsid w:val="007C6B13"/>
    <w:rsid w:val="007C6B54"/>
    <w:rsid w:val="007C6BFD"/>
    <w:rsid w:val="007C6C27"/>
    <w:rsid w:val="007C6C69"/>
    <w:rsid w:val="007C6C70"/>
    <w:rsid w:val="007C6C9D"/>
    <w:rsid w:val="007C6D0B"/>
    <w:rsid w:val="007C6DB1"/>
    <w:rsid w:val="007C6DD5"/>
    <w:rsid w:val="007C6DF3"/>
    <w:rsid w:val="007C6EF0"/>
    <w:rsid w:val="007C6F37"/>
    <w:rsid w:val="007C6FC3"/>
    <w:rsid w:val="007C6FD7"/>
    <w:rsid w:val="007C6FD9"/>
    <w:rsid w:val="007C7023"/>
    <w:rsid w:val="007C702B"/>
    <w:rsid w:val="007C7097"/>
    <w:rsid w:val="007C7152"/>
    <w:rsid w:val="007C71CD"/>
    <w:rsid w:val="007C71D5"/>
    <w:rsid w:val="007C7255"/>
    <w:rsid w:val="007C728C"/>
    <w:rsid w:val="007C73DF"/>
    <w:rsid w:val="007C7440"/>
    <w:rsid w:val="007C7488"/>
    <w:rsid w:val="007C74C2"/>
    <w:rsid w:val="007C758B"/>
    <w:rsid w:val="007C75C0"/>
    <w:rsid w:val="007C75C4"/>
    <w:rsid w:val="007C75FE"/>
    <w:rsid w:val="007C7605"/>
    <w:rsid w:val="007C76C5"/>
    <w:rsid w:val="007C774C"/>
    <w:rsid w:val="007C7753"/>
    <w:rsid w:val="007C776C"/>
    <w:rsid w:val="007C77DC"/>
    <w:rsid w:val="007C7808"/>
    <w:rsid w:val="007C7846"/>
    <w:rsid w:val="007C78DC"/>
    <w:rsid w:val="007C7993"/>
    <w:rsid w:val="007C79D7"/>
    <w:rsid w:val="007C7AAE"/>
    <w:rsid w:val="007C7ADE"/>
    <w:rsid w:val="007C7B03"/>
    <w:rsid w:val="007C7B58"/>
    <w:rsid w:val="007C7BE4"/>
    <w:rsid w:val="007C7C89"/>
    <w:rsid w:val="007C7D31"/>
    <w:rsid w:val="007C7D52"/>
    <w:rsid w:val="007C7E06"/>
    <w:rsid w:val="007C7E24"/>
    <w:rsid w:val="007C7EFB"/>
    <w:rsid w:val="007C7F6A"/>
    <w:rsid w:val="007C7FA1"/>
    <w:rsid w:val="007C7FA2"/>
    <w:rsid w:val="007D0003"/>
    <w:rsid w:val="007D00A2"/>
    <w:rsid w:val="007D00A3"/>
    <w:rsid w:val="007D00B4"/>
    <w:rsid w:val="007D0281"/>
    <w:rsid w:val="007D02EF"/>
    <w:rsid w:val="007D038A"/>
    <w:rsid w:val="007D0404"/>
    <w:rsid w:val="007D042E"/>
    <w:rsid w:val="007D0467"/>
    <w:rsid w:val="007D047B"/>
    <w:rsid w:val="007D04CD"/>
    <w:rsid w:val="007D0525"/>
    <w:rsid w:val="007D05B9"/>
    <w:rsid w:val="007D0641"/>
    <w:rsid w:val="007D069E"/>
    <w:rsid w:val="007D06A7"/>
    <w:rsid w:val="007D06B1"/>
    <w:rsid w:val="007D06E2"/>
    <w:rsid w:val="007D070B"/>
    <w:rsid w:val="007D0779"/>
    <w:rsid w:val="007D07A9"/>
    <w:rsid w:val="007D07CE"/>
    <w:rsid w:val="007D07DA"/>
    <w:rsid w:val="007D0814"/>
    <w:rsid w:val="007D08D7"/>
    <w:rsid w:val="007D08F3"/>
    <w:rsid w:val="007D0917"/>
    <w:rsid w:val="007D0971"/>
    <w:rsid w:val="007D097A"/>
    <w:rsid w:val="007D09CE"/>
    <w:rsid w:val="007D0A44"/>
    <w:rsid w:val="007D0A7B"/>
    <w:rsid w:val="007D0A93"/>
    <w:rsid w:val="007D0B82"/>
    <w:rsid w:val="007D0BCB"/>
    <w:rsid w:val="007D0C10"/>
    <w:rsid w:val="007D0C15"/>
    <w:rsid w:val="007D0C23"/>
    <w:rsid w:val="007D0C39"/>
    <w:rsid w:val="007D0D1E"/>
    <w:rsid w:val="007D0D2A"/>
    <w:rsid w:val="007D0D55"/>
    <w:rsid w:val="007D0D63"/>
    <w:rsid w:val="007D0DD3"/>
    <w:rsid w:val="007D0E94"/>
    <w:rsid w:val="007D0F5E"/>
    <w:rsid w:val="007D1035"/>
    <w:rsid w:val="007D1136"/>
    <w:rsid w:val="007D11C0"/>
    <w:rsid w:val="007D121B"/>
    <w:rsid w:val="007D1326"/>
    <w:rsid w:val="007D1360"/>
    <w:rsid w:val="007D136A"/>
    <w:rsid w:val="007D1382"/>
    <w:rsid w:val="007D13EF"/>
    <w:rsid w:val="007D13F2"/>
    <w:rsid w:val="007D1559"/>
    <w:rsid w:val="007D1574"/>
    <w:rsid w:val="007D158D"/>
    <w:rsid w:val="007D15C5"/>
    <w:rsid w:val="007D15EC"/>
    <w:rsid w:val="007D1672"/>
    <w:rsid w:val="007D16D8"/>
    <w:rsid w:val="007D17A6"/>
    <w:rsid w:val="007D18A3"/>
    <w:rsid w:val="007D18C9"/>
    <w:rsid w:val="007D1916"/>
    <w:rsid w:val="007D1966"/>
    <w:rsid w:val="007D19F8"/>
    <w:rsid w:val="007D1A20"/>
    <w:rsid w:val="007D1A5F"/>
    <w:rsid w:val="007D1AB5"/>
    <w:rsid w:val="007D1ACB"/>
    <w:rsid w:val="007D1B22"/>
    <w:rsid w:val="007D1B3D"/>
    <w:rsid w:val="007D1B9B"/>
    <w:rsid w:val="007D1C2F"/>
    <w:rsid w:val="007D1CB8"/>
    <w:rsid w:val="007D1E31"/>
    <w:rsid w:val="007D1E44"/>
    <w:rsid w:val="007D1E5B"/>
    <w:rsid w:val="007D1E99"/>
    <w:rsid w:val="007D1F47"/>
    <w:rsid w:val="007D1F80"/>
    <w:rsid w:val="007D20C8"/>
    <w:rsid w:val="007D20D9"/>
    <w:rsid w:val="007D2119"/>
    <w:rsid w:val="007D2149"/>
    <w:rsid w:val="007D22C0"/>
    <w:rsid w:val="007D2384"/>
    <w:rsid w:val="007D23ED"/>
    <w:rsid w:val="007D2402"/>
    <w:rsid w:val="007D241A"/>
    <w:rsid w:val="007D2555"/>
    <w:rsid w:val="007D2593"/>
    <w:rsid w:val="007D25C7"/>
    <w:rsid w:val="007D2654"/>
    <w:rsid w:val="007D26DD"/>
    <w:rsid w:val="007D2743"/>
    <w:rsid w:val="007D2764"/>
    <w:rsid w:val="007D276A"/>
    <w:rsid w:val="007D2777"/>
    <w:rsid w:val="007D27A7"/>
    <w:rsid w:val="007D2869"/>
    <w:rsid w:val="007D28BC"/>
    <w:rsid w:val="007D2A5F"/>
    <w:rsid w:val="007D2AC0"/>
    <w:rsid w:val="007D2AF1"/>
    <w:rsid w:val="007D2B0E"/>
    <w:rsid w:val="007D2B45"/>
    <w:rsid w:val="007D2BB3"/>
    <w:rsid w:val="007D2C4E"/>
    <w:rsid w:val="007D2C5E"/>
    <w:rsid w:val="007D2C6D"/>
    <w:rsid w:val="007D2C8F"/>
    <w:rsid w:val="007D2CA0"/>
    <w:rsid w:val="007D2D1C"/>
    <w:rsid w:val="007D2D61"/>
    <w:rsid w:val="007D2D68"/>
    <w:rsid w:val="007D2DA9"/>
    <w:rsid w:val="007D2DAE"/>
    <w:rsid w:val="007D2E28"/>
    <w:rsid w:val="007D2E4B"/>
    <w:rsid w:val="007D2E4C"/>
    <w:rsid w:val="007D2E50"/>
    <w:rsid w:val="007D2ECF"/>
    <w:rsid w:val="007D2ED7"/>
    <w:rsid w:val="007D2EE0"/>
    <w:rsid w:val="007D2EE5"/>
    <w:rsid w:val="007D2FCD"/>
    <w:rsid w:val="007D3058"/>
    <w:rsid w:val="007D305D"/>
    <w:rsid w:val="007D3082"/>
    <w:rsid w:val="007D3148"/>
    <w:rsid w:val="007D3167"/>
    <w:rsid w:val="007D31FE"/>
    <w:rsid w:val="007D3268"/>
    <w:rsid w:val="007D3281"/>
    <w:rsid w:val="007D32A3"/>
    <w:rsid w:val="007D331D"/>
    <w:rsid w:val="007D3341"/>
    <w:rsid w:val="007D33D3"/>
    <w:rsid w:val="007D33EC"/>
    <w:rsid w:val="007D3494"/>
    <w:rsid w:val="007D34B4"/>
    <w:rsid w:val="007D34B5"/>
    <w:rsid w:val="007D34FC"/>
    <w:rsid w:val="007D350C"/>
    <w:rsid w:val="007D357F"/>
    <w:rsid w:val="007D35DD"/>
    <w:rsid w:val="007D3642"/>
    <w:rsid w:val="007D3718"/>
    <w:rsid w:val="007D3753"/>
    <w:rsid w:val="007D37DB"/>
    <w:rsid w:val="007D37E1"/>
    <w:rsid w:val="007D384F"/>
    <w:rsid w:val="007D38E4"/>
    <w:rsid w:val="007D38ED"/>
    <w:rsid w:val="007D38FC"/>
    <w:rsid w:val="007D395A"/>
    <w:rsid w:val="007D3995"/>
    <w:rsid w:val="007D39C1"/>
    <w:rsid w:val="007D3A50"/>
    <w:rsid w:val="007D3A96"/>
    <w:rsid w:val="007D3AB3"/>
    <w:rsid w:val="007D3ABB"/>
    <w:rsid w:val="007D3AE2"/>
    <w:rsid w:val="007D3B39"/>
    <w:rsid w:val="007D3B75"/>
    <w:rsid w:val="007D3BB4"/>
    <w:rsid w:val="007D3BBB"/>
    <w:rsid w:val="007D3C70"/>
    <w:rsid w:val="007D3CD2"/>
    <w:rsid w:val="007D3DBB"/>
    <w:rsid w:val="007D3DD1"/>
    <w:rsid w:val="007D3E8C"/>
    <w:rsid w:val="007D3EED"/>
    <w:rsid w:val="007D3F1F"/>
    <w:rsid w:val="007D3FA3"/>
    <w:rsid w:val="007D3FB4"/>
    <w:rsid w:val="007D3FBC"/>
    <w:rsid w:val="007D3FC2"/>
    <w:rsid w:val="007D40AC"/>
    <w:rsid w:val="007D419C"/>
    <w:rsid w:val="007D41AD"/>
    <w:rsid w:val="007D41B3"/>
    <w:rsid w:val="007D41B5"/>
    <w:rsid w:val="007D422D"/>
    <w:rsid w:val="007D4236"/>
    <w:rsid w:val="007D4266"/>
    <w:rsid w:val="007D4349"/>
    <w:rsid w:val="007D4365"/>
    <w:rsid w:val="007D44AA"/>
    <w:rsid w:val="007D4537"/>
    <w:rsid w:val="007D45A5"/>
    <w:rsid w:val="007D45C6"/>
    <w:rsid w:val="007D45CB"/>
    <w:rsid w:val="007D45E9"/>
    <w:rsid w:val="007D45F1"/>
    <w:rsid w:val="007D4603"/>
    <w:rsid w:val="007D4639"/>
    <w:rsid w:val="007D467D"/>
    <w:rsid w:val="007D4764"/>
    <w:rsid w:val="007D4806"/>
    <w:rsid w:val="007D48BC"/>
    <w:rsid w:val="007D4913"/>
    <w:rsid w:val="007D492F"/>
    <w:rsid w:val="007D493B"/>
    <w:rsid w:val="007D49F3"/>
    <w:rsid w:val="007D4A57"/>
    <w:rsid w:val="007D4B11"/>
    <w:rsid w:val="007D4C0F"/>
    <w:rsid w:val="007D4C1D"/>
    <w:rsid w:val="007D4C57"/>
    <w:rsid w:val="007D4C80"/>
    <w:rsid w:val="007D4C84"/>
    <w:rsid w:val="007D4C87"/>
    <w:rsid w:val="007D4CC5"/>
    <w:rsid w:val="007D4CF0"/>
    <w:rsid w:val="007D4D17"/>
    <w:rsid w:val="007D4D6D"/>
    <w:rsid w:val="007D4DB8"/>
    <w:rsid w:val="007D4E30"/>
    <w:rsid w:val="007D4E4A"/>
    <w:rsid w:val="007D4E78"/>
    <w:rsid w:val="007D4E94"/>
    <w:rsid w:val="007D4E96"/>
    <w:rsid w:val="007D4F9A"/>
    <w:rsid w:val="007D4FAB"/>
    <w:rsid w:val="007D5005"/>
    <w:rsid w:val="007D5067"/>
    <w:rsid w:val="007D50B1"/>
    <w:rsid w:val="007D50B8"/>
    <w:rsid w:val="007D50C3"/>
    <w:rsid w:val="007D51F0"/>
    <w:rsid w:val="007D5244"/>
    <w:rsid w:val="007D5260"/>
    <w:rsid w:val="007D527C"/>
    <w:rsid w:val="007D529C"/>
    <w:rsid w:val="007D52B3"/>
    <w:rsid w:val="007D52E6"/>
    <w:rsid w:val="007D532A"/>
    <w:rsid w:val="007D5388"/>
    <w:rsid w:val="007D53A2"/>
    <w:rsid w:val="007D53CA"/>
    <w:rsid w:val="007D5408"/>
    <w:rsid w:val="007D541A"/>
    <w:rsid w:val="007D545D"/>
    <w:rsid w:val="007D545E"/>
    <w:rsid w:val="007D546A"/>
    <w:rsid w:val="007D554F"/>
    <w:rsid w:val="007D5606"/>
    <w:rsid w:val="007D560D"/>
    <w:rsid w:val="007D565C"/>
    <w:rsid w:val="007D56C9"/>
    <w:rsid w:val="007D56FC"/>
    <w:rsid w:val="007D5700"/>
    <w:rsid w:val="007D5725"/>
    <w:rsid w:val="007D5728"/>
    <w:rsid w:val="007D5735"/>
    <w:rsid w:val="007D57CB"/>
    <w:rsid w:val="007D57ED"/>
    <w:rsid w:val="007D5800"/>
    <w:rsid w:val="007D5810"/>
    <w:rsid w:val="007D581A"/>
    <w:rsid w:val="007D58EF"/>
    <w:rsid w:val="007D58F4"/>
    <w:rsid w:val="007D590D"/>
    <w:rsid w:val="007D5957"/>
    <w:rsid w:val="007D5959"/>
    <w:rsid w:val="007D597E"/>
    <w:rsid w:val="007D597F"/>
    <w:rsid w:val="007D59BF"/>
    <w:rsid w:val="007D5A12"/>
    <w:rsid w:val="007D5A27"/>
    <w:rsid w:val="007D5A4A"/>
    <w:rsid w:val="007D5A7A"/>
    <w:rsid w:val="007D5AA6"/>
    <w:rsid w:val="007D5B13"/>
    <w:rsid w:val="007D5B71"/>
    <w:rsid w:val="007D5B9F"/>
    <w:rsid w:val="007D5BB3"/>
    <w:rsid w:val="007D5C31"/>
    <w:rsid w:val="007D5CD3"/>
    <w:rsid w:val="007D5CE2"/>
    <w:rsid w:val="007D5D65"/>
    <w:rsid w:val="007D5D98"/>
    <w:rsid w:val="007D5DB9"/>
    <w:rsid w:val="007D5E03"/>
    <w:rsid w:val="007D5E08"/>
    <w:rsid w:val="007D5E2F"/>
    <w:rsid w:val="007D5EF7"/>
    <w:rsid w:val="007D5F14"/>
    <w:rsid w:val="007D5F2D"/>
    <w:rsid w:val="007D5F94"/>
    <w:rsid w:val="007D5FA3"/>
    <w:rsid w:val="007D5FEC"/>
    <w:rsid w:val="007D5FFD"/>
    <w:rsid w:val="007D6037"/>
    <w:rsid w:val="007D612A"/>
    <w:rsid w:val="007D612B"/>
    <w:rsid w:val="007D6140"/>
    <w:rsid w:val="007D61B2"/>
    <w:rsid w:val="007D61B4"/>
    <w:rsid w:val="007D61CA"/>
    <w:rsid w:val="007D62BA"/>
    <w:rsid w:val="007D62CD"/>
    <w:rsid w:val="007D631C"/>
    <w:rsid w:val="007D63F7"/>
    <w:rsid w:val="007D64A3"/>
    <w:rsid w:val="007D6506"/>
    <w:rsid w:val="007D6578"/>
    <w:rsid w:val="007D6679"/>
    <w:rsid w:val="007D6784"/>
    <w:rsid w:val="007D67B1"/>
    <w:rsid w:val="007D67B7"/>
    <w:rsid w:val="007D6821"/>
    <w:rsid w:val="007D683D"/>
    <w:rsid w:val="007D685B"/>
    <w:rsid w:val="007D6887"/>
    <w:rsid w:val="007D6888"/>
    <w:rsid w:val="007D69B0"/>
    <w:rsid w:val="007D69E4"/>
    <w:rsid w:val="007D69ED"/>
    <w:rsid w:val="007D6AD5"/>
    <w:rsid w:val="007D6B0F"/>
    <w:rsid w:val="007D6B3F"/>
    <w:rsid w:val="007D6C06"/>
    <w:rsid w:val="007D6C3E"/>
    <w:rsid w:val="007D6D0F"/>
    <w:rsid w:val="007D6D3F"/>
    <w:rsid w:val="007D6E0F"/>
    <w:rsid w:val="007D6E85"/>
    <w:rsid w:val="007D6E9D"/>
    <w:rsid w:val="007D6F82"/>
    <w:rsid w:val="007D700B"/>
    <w:rsid w:val="007D702F"/>
    <w:rsid w:val="007D7030"/>
    <w:rsid w:val="007D709C"/>
    <w:rsid w:val="007D70AA"/>
    <w:rsid w:val="007D70C1"/>
    <w:rsid w:val="007D716C"/>
    <w:rsid w:val="007D71C9"/>
    <w:rsid w:val="007D726A"/>
    <w:rsid w:val="007D72C8"/>
    <w:rsid w:val="007D72FD"/>
    <w:rsid w:val="007D7301"/>
    <w:rsid w:val="007D7383"/>
    <w:rsid w:val="007D73EA"/>
    <w:rsid w:val="007D7458"/>
    <w:rsid w:val="007D7477"/>
    <w:rsid w:val="007D750D"/>
    <w:rsid w:val="007D7516"/>
    <w:rsid w:val="007D7540"/>
    <w:rsid w:val="007D7568"/>
    <w:rsid w:val="007D761E"/>
    <w:rsid w:val="007D7655"/>
    <w:rsid w:val="007D76B1"/>
    <w:rsid w:val="007D76B9"/>
    <w:rsid w:val="007D7760"/>
    <w:rsid w:val="007D776B"/>
    <w:rsid w:val="007D77FC"/>
    <w:rsid w:val="007D795A"/>
    <w:rsid w:val="007D79AB"/>
    <w:rsid w:val="007D79AC"/>
    <w:rsid w:val="007D7A24"/>
    <w:rsid w:val="007D7A80"/>
    <w:rsid w:val="007D7ADA"/>
    <w:rsid w:val="007D7B23"/>
    <w:rsid w:val="007D7B6C"/>
    <w:rsid w:val="007D7C1A"/>
    <w:rsid w:val="007D7C20"/>
    <w:rsid w:val="007D7C58"/>
    <w:rsid w:val="007D7D32"/>
    <w:rsid w:val="007D7D59"/>
    <w:rsid w:val="007D7DA3"/>
    <w:rsid w:val="007D7DD5"/>
    <w:rsid w:val="007D7E28"/>
    <w:rsid w:val="007D7E29"/>
    <w:rsid w:val="007D7E52"/>
    <w:rsid w:val="007D7ED6"/>
    <w:rsid w:val="007D7EF9"/>
    <w:rsid w:val="007D7EFF"/>
    <w:rsid w:val="007D7FA2"/>
    <w:rsid w:val="007D7FDD"/>
    <w:rsid w:val="007E0019"/>
    <w:rsid w:val="007E002A"/>
    <w:rsid w:val="007E0083"/>
    <w:rsid w:val="007E00F6"/>
    <w:rsid w:val="007E01BE"/>
    <w:rsid w:val="007E01E8"/>
    <w:rsid w:val="007E0247"/>
    <w:rsid w:val="007E03F1"/>
    <w:rsid w:val="007E0421"/>
    <w:rsid w:val="007E0431"/>
    <w:rsid w:val="007E047B"/>
    <w:rsid w:val="007E0483"/>
    <w:rsid w:val="007E0488"/>
    <w:rsid w:val="007E04A7"/>
    <w:rsid w:val="007E04AB"/>
    <w:rsid w:val="007E04DE"/>
    <w:rsid w:val="007E0503"/>
    <w:rsid w:val="007E0544"/>
    <w:rsid w:val="007E0578"/>
    <w:rsid w:val="007E0625"/>
    <w:rsid w:val="007E0684"/>
    <w:rsid w:val="007E06D6"/>
    <w:rsid w:val="007E074B"/>
    <w:rsid w:val="007E0757"/>
    <w:rsid w:val="007E0760"/>
    <w:rsid w:val="007E07BD"/>
    <w:rsid w:val="007E083E"/>
    <w:rsid w:val="007E088E"/>
    <w:rsid w:val="007E08DF"/>
    <w:rsid w:val="007E0991"/>
    <w:rsid w:val="007E099A"/>
    <w:rsid w:val="007E09C2"/>
    <w:rsid w:val="007E09E2"/>
    <w:rsid w:val="007E0A14"/>
    <w:rsid w:val="007E0BAA"/>
    <w:rsid w:val="007E0C2F"/>
    <w:rsid w:val="007E0CB3"/>
    <w:rsid w:val="007E0D2F"/>
    <w:rsid w:val="007E0D47"/>
    <w:rsid w:val="007E0D8B"/>
    <w:rsid w:val="007E0D97"/>
    <w:rsid w:val="007E0DA6"/>
    <w:rsid w:val="007E0DA7"/>
    <w:rsid w:val="007E0E0A"/>
    <w:rsid w:val="007E0E53"/>
    <w:rsid w:val="007E0EC7"/>
    <w:rsid w:val="007E0F05"/>
    <w:rsid w:val="007E0F51"/>
    <w:rsid w:val="007E0FE9"/>
    <w:rsid w:val="007E0FF9"/>
    <w:rsid w:val="007E0FFC"/>
    <w:rsid w:val="007E1001"/>
    <w:rsid w:val="007E105A"/>
    <w:rsid w:val="007E10DE"/>
    <w:rsid w:val="007E10E0"/>
    <w:rsid w:val="007E122D"/>
    <w:rsid w:val="007E126D"/>
    <w:rsid w:val="007E13EE"/>
    <w:rsid w:val="007E1433"/>
    <w:rsid w:val="007E1464"/>
    <w:rsid w:val="007E1482"/>
    <w:rsid w:val="007E1486"/>
    <w:rsid w:val="007E14E1"/>
    <w:rsid w:val="007E1504"/>
    <w:rsid w:val="007E1544"/>
    <w:rsid w:val="007E15DA"/>
    <w:rsid w:val="007E167B"/>
    <w:rsid w:val="007E16A1"/>
    <w:rsid w:val="007E16C3"/>
    <w:rsid w:val="007E16FA"/>
    <w:rsid w:val="007E1713"/>
    <w:rsid w:val="007E1737"/>
    <w:rsid w:val="007E1849"/>
    <w:rsid w:val="007E1864"/>
    <w:rsid w:val="007E1877"/>
    <w:rsid w:val="007E1888"/>
    <w:rsid w:val="007E18D6"/>
    <w:rsid w:val="007E18E2"/>
    <w:rsid w:val="007E193C"/>
    <w:rsid w:val="007E1A1A"/>
    <w:rsid w:val="007E1AEA"/>
    <w:rsid w:val="007E1B2F"/>
    <w:rsid w:val="007E1B51"/>
    <w:rsid w:val="007E1BE5"/>
    <w:rsid w:val="007E1C7A"/>
    <w:rsid w:val="007E1C91"/>
    <w:rsid w:val="007E1CA9"/>
    <w:rsid w:val="007E1CBA"/>
    <w:rsid w:val="007E1CDF"/>
    <w:rsid w:val="007E1CF9"/>
    <w:rsid w:val="007E1D24"/>
    <w:rsid w:val="007E1E0E"/>
    <w:rsid w:val="007E1E36"/>
    <w:rsid w:val="007E1EF1"/>
    <w:rsid w:val="007E1F2D"/>
    <w:rsid w:val="007E1F45"/>
    <w:rsid w:val="007E1F4D"/>
    <w:rsid w:val="007E1F61"/>
    <w:rsid w:val="007E2012"/>
    <w:rsid w:val="007E2024"/>
    <w:rsid w:val="007E202A"/>
    <w:rsid w:val="007E2046"/>
    <w:rsid w:val="007E2063"/>
    <w:rsid w:val="007E209C"/>
    <w:rsid w:val="007E20B4"/>
    <w:rsid w:val="007E21DB"/>
    <w:rsid w:val="007E2207"/>
    <w:rsid w:val="007E2216"/>
    <w:rsid w:val="007E2259"/>
    <w:rsid w:val="007E2267"/>
    <w:rsid w:val="007E228A"/>
    <w:rsid w:val="007E228E"/>
    <w:rsid w:val="007E2295"/>
    <w:rsid w:val="007E22E1"/>
    <w:rsid w:val="007E2369"/>
    <w:rsid w:val="007E2375"/>
    <w:rsid w:val="007E23DF"/>
    <w:rsid w:val="007E240D"/>
    <w:rsid w:val="007E2422"/>
    <w:rsid w:val="007E2441"/>
    <w:rsid w:val="007E2491"/>
    <w:rsid w:val="007E24EC"/>
    <w:rsid w:val="007E252E"/>
    <w:rsid w:val="007E257D"/>
    <w:rsid w:val="007E25A8"/>
    <w:rsid w:val="007E25F1"/>
    <w:rsid w:val="007E26F6"/>
    <w:rsid w:val="007E27A3"/>
    <w:rsid w:val="007E27B5"/>
    <w:rsid w:val="007E286A"/>
    <w:rsid w:val="007E292D"/>
    <w:rsid w:val="007E2987"/>
    <w:rsid w:val="007E2AA6"/>
    <w:rsid w:val="007E2AB9"/>
    <w:rsid w:val="007E2B11"/>
    <w:rsid w:val="007E2B3D"/>
    <w:rsid w:val="007E2BCB"/>
    <w:rsid w:val="007E2C6E"/>
    <w:rsid w:val="007E2CD2"/>
    <w:rsid w:val="007E2CDE"/>
    <w:rsid w:val="007E2D0C"/>
    <w:rsid w:val="007E2D76"/>
    <w:rsid w:val="007E2DB2"/>
    <w:rsid w:val="007E2EB1"/>
    <w:rsid w:val="007E2EF3"/>
    <w:rsid w:val="007E2F08"/>
    <w:rsid w:val="007E2F65"/>
    <w:rsid w:val="007E2F99"/>
    <w:rsid w:val="007E3098"/>
    <w:rsid w:val="007E30C7"/>
    <w:rsid w:val="007E30EA"/>
    <w:rsid w:val="007E3159"/>
    <w:rsid w:val="007E317B"/>
    <w:rsid w:val="007E31C1"/>
    <w:rsid w:val="007E31EB"/>
    <w:rsid w:val="007E3268"/>
    <w:rsid w:val="007E327F"/>
    <w:rsid w:val="007E3344"/>
    <w:rsid w:val="007E3349"/>
    <w:rsid w:val="007E340F"/>
    <w:rsid w:val="007E3440"/>
    <w:rsid w:val="007E3465"/>
    <w:rsid w:val="007E34D1"/>
    <w:rsid w:val="007E34DC"/>
    <w:rsid w:val="007E3552"/>
    <w:rsid w:val="007E3574"/>
    <w:rsid w:val="007E3579"/>
    <w:rsid w:val="007E35B8"/>
    <w:rsid w:val="007E35D5"/>
    <w:rsid w:val="007E36D0"/>
    <w:rsid w:val="007E36EF"/>
    <w:rsid w:val="007E374E"/>
    <w:rsid w:val="007E382A"/>
    <w:rsid w:val="007E38A0"/>
    <w:rsid w:val="007E38D6"/>
    <w:rsid w:val="007E3945"/>
    <w:rsid w:val="007E3A09"/>
    <w:rsid w:val="007E3A55"/>
    <w:rsid w:val="007E3B08"/>
    <w:rsid w:val="007E3BBE"/>
    <w:rsid w:val="007E3CBA"/>
    <w:rsid w:val="007E3CC9"/>
    <w:rsid w:val="007E3DAC"/>
    <w:rsid w:val="007E3E58"/>
    <w:rsid w:val="007E3EC2"/>
    <w:rsid w:val="007E3EEA"/>
    <w:rsid w:val="007E3F45"/>
    <w:rsid w:val="007E3FDD"/>
    <w:rsid w:val="007E403F"/>
    <w:rsid w:val="007E4041"/>
    <w:rsid w:val="007E4061"/>
    <w:rsid w:val="007E40BF"/>
    <w:rsid w:val="007E413A"/>
    <w:rsid w:val="007E41C2"/>
    <w:rsid w:val="007E41C4"/>
    <w:rsid w:val="007E4206"/>
    <w:rsid w:val="007E4208"/>
    <w:rsid w:val="007E4231"/>
    <w:rsid w:val="007E427B"/>
    <w:rsid w:val="007E4296"/>
    <w:rsid w:val="007E42EA"/>
    <w:rsid w:val="007E42FE"/>
    <w:rsid w:val="007E433B"/>
    <w:rsid w:val="007E43CE"/>
    <w:rsid w:val="007E43D4"/>
    <w:rsid w:val="007E458E"/>
    <w:rsid w:val="007E4591"/>
    <w:rsid w:val="007E4597"/>
    <w:rsid w:val="007E4607"/>
    <w:rsid w:val="007E460D"/>
    <w:rsid w:val="007E466A"/>
    <w:rsid w:val="007E4729"/>
    <w:rsid w:val="007E474C"/>
    <w:rsid w:val="007E476B"/>
    <w:rsid w:val="007E476D"/>
    <w:rsid w:val="007E4791"/>
    <w:rsid w:val="007E47A2"/>
    <w:rsid w:val="007E487B"/>
    <w:rsid w:val="007E48A7"/>
    <w:rsid w:val="007E48B5"/>
    <w:rsid w:val="007E48EC"/>
    <w:rsid w:val="007E4A36"/>
    <w:rsid w:val="007E4A40"/>
    <w:rsid w:val="007E4AA4"/>
    <w:rsid w:val="007E4AFD"/>
    <w:rsid w:val="007E4B4F"/>
    <w:rsid w:val="007E4C27"/>
    <w:rsid w:val="007E4DD5"/>
    <w:rsid w:val="007E4E48"/>
    <w:rsid w:val="007E4E96"/>
    <w:rsid w:val="007E4EFE"/>
    <w:rsid w:val="007E4F37"/>
    <w:rsid w:val="007E4F63"/>
    <w:rsid w:val="007E4FF1"/>
    <w:rsid w:val="007E5068"/>
    <w:rsid w:val="007E509F"/>
    <w:rsid w:val="007E50C8"/>
    <w:rsid w:val="007E50D9"/>
    <w:rsid w:val="007E5107"/>
    <w:rsid w:val="007E510D"/>
    <w:rsid w:val="007E512B"/>
    <w:rsid w:val="007E51FA"/>
    <w:rsid w:val="007E521F"/>
    <w:rsid w:val="007E5340"/>
    <w:rsid w:val="007E5364"/>
    <w:rsid w:val="007E546E"/>
    <w:rsid w:val="007E5475"/>
    <w:rsid w:val="007E5507"/>
    <w:rsid w:val="007E5520"/>
    <w:rsid w:val="007E5546"/>
    <w:rsid w:val="007E565C"/>
    <w:rsid w:val="007E56E4"/>
    <w:rsid w:val="007E5743"/>
    <w:rsid w:val="007E5768"/>
    <w:rsid w:val="007E576C"/>
    <w:rsid w:val="007E57E5"/>
    <w:rsid w:val="007E585C"/>
    <w:rsid w:val="007E588F"/>
    <w:rsid w:val="007E592C"/>
    <w:rsid w:val="007E5968"/>
    <w:rsid w:val="007E5988"/>
    <w:rsid w:val="007E59A1"/>
    <w:rsid w:val="007E5A11"/>
    <w:rsid w:val="007E5AD1"/>
    <w:rsid w:val="007E5AF5"/>
    <w:rsid w:val="007E5B4F"/>
    <w:rsid w:val="007E5B64"/>
    <w:rsid w:val="007E5BA9"/>
    <w:rsid w:val="007E5C3D"/>
    <w:rsid w:val="007E5C50"/>
    <w:rsid w:val="007E5C56"/>
    <w:rsid w:val="007E5C71"/>
    <w:rsid w:val="007E5C74"/>
    <w:rsid w:val="007E5C9A"/>
    <w:rsid w:val="007E5CA7"/>
    <w:rsid w:val="007E5CAA"/>
    <w:rsid w:val="007E5CD6"/>
    <w:rsid w:val="007E5CFA"/>
    <w:rsid w:val="007E5D03"/>
    <w:rsid w:val="007E5D5B"/>
    <w:rsid w:val="007E5E2B"/>
    <w:rsid w:val="007E5E52"/>
    <w:rsid w:val="007E5F06"/>
    <w:rsid w:val="007E602C"/>
    <w:rsid w:val="007E604E"/>
    <w:rsid w:val="007E607E"/>
    <w:rsid w:val="007E60A4"/>
    <w:rsid w:val="007E615E"/>
    <w:rsid w:val="007E61A2"/>
    <w:rsid w:val="007E61D2"/>
    <w:rsid w:val="007E6209"/>
    <w:rsid w:val="007E62EF"/>
    <w:rsid w:val="007E63BD"/>
    <w:rsid w:val="007E641C"/>
    <w:rsid w:val="007E6432"/>
    <w:rsid w:val="007E6456"/>
    <w:rsid w:val="007E6470"/>
    <w:rsid w:val="007E64AD"/>
    <w:rsid w:val="007E64CD"/>
    <w:rsid w:val="007E65C8"/>
    <w:rsid w:val="007E65E6"/>
    <w:rsid w:val="007E66C4"/>
    <w:rsid w:val="007E6791"/>
    <w:rsid w:val="007E6806"/>
    <w:rsid w:val="007E6813"/>
    <w:rsid w:val="007E6881"/>
    <w:rsid w:val="007E689D"/>
    <w:rsid w:val="007E695A"/>
    <w:rsid w:val="007E6971"/>
    <w:rsid w:val="007E6987"/>
    <w:rsid w:val="007E6A3E"/>
    <w:rsid w:val="007E6A9E"/>
    <w:rsid w:val="007E6ADA"/>
    <w:rsid w:val="007E6AED"/>
    <w:rsid w:val="007E6B50"/>
    <w:rsid w:val="007E6B7E"/>
    <w:rsid w:val="007E6C25"/>
    <w:rsid w:val="007E6C6F"/>
    <w:rsid w:val="007E6C82"/>
    <w:rsid w:val="007E6C8B"/>
    <w:rsid w:val="007E6D38"/>
    <w:rsid w:val="007E6D3A"/>
    <w:rsid w:val="007E6D86"/>
    <w:rsid w:val="007E6E62"/>
    <w:rsid w:val="007E6E82"/>
    <w:rsid w:val="007E6F05"/>
    <w:rsid w:val="007E6F0C"/>
    <w:rsid w:val="007E6F44"/>
    <w:rsid w:val="007E6F5A"/>
    <w:rsid w:val="007E6FC6"/>
    <w:rsid w:val="007E7026"/>
    <w:rsid w:val="007E7058"/>
    <w:rsid w:val="007E7082"/>
    <w:rsid w:val="007E70CF"/>
    <w:rsid w:val="007E70D6"/>
    <w:rsid w:val="007E7205"/>
    <w:rsid w:val="007E726E"/>
    <w:rsid w:val="007E7270"/>
    <w:rsid w:val="007E72AD"/>
    <w:rsid w:val="007E72BE"/>
    <w:rsid w:val="007E7301"/>
    <w:rsid w:val="007E732F"/>
    <w:rsid w:val="007E735F"/>
    <w:rsid w:val="007E7371"/>
    <w:rsid w:val="007E7374"/>
    <w:rsid w:val="007E737B"/>
    <w:rsid w:val="007E743A"/>
    <w:rsid w:val="007E7447"/>
    <w:rsid w:val="007E74DA"/>
    <w:rsid w:val="007E7506"/>
    <w:rsid w:val="007E7535"/>
    <w:rsid w:val="007E7557"/>
    <w:rsid w:val="007E7560"/>
    <w:rsid w:val="007E757A"/>
    <w:rsid w:val="007E7596"/>
    <w:rsid w:val="007E75E5"/>
    <w:rsid w:val="007E7653"/>
    <w:rsid w:val="007E76B8"/>
    <w:rsid w:val="007E76D4"/>
    <w:rsid w:val="007E76DC"/>
    <w:rsid w:val="007E76EC"/>
    <w:rsid w:val="007E7706"/>
    <w:rsid w:val="007E7727"/>
    <w:rsid w:val="007E774F"/>
    <w:rsid w:val="007E7758"/>
    <w:rsid w:val="007E7817"/>
    <w:rsid w:val="007E7819"/>
    <w:rsid w:val="007E782E"/>
    <w:rsid w:val="007E784B"/>
    <w:rsid w:val="007E7851"/>
    <w:rsid w:val="007E785F"/>
    <w:rsid w:val="007E788B"/>
    <w:rsid w:val="007E79B3"/>
    <w:rsid w:val="007E79F4"/>
    <w:rsid w:val="007E7A5B"/>
    <w:rsid w:val="007E7A83"/>
    <w:rsid w:val="007E7ACD"/>
    <w:rsid w:val="007E7B1A"/>
    <w:rsid w:val="007E7B3A"/>
    <w:rsid w:val="007E7B9D"/>
    <w:rsid w:val="007E7BD0"/>
    <w:rsid w:val="007E7C17"/>
    <w:rsid w:val="007E7C58"/>
    <w:rsid w:val="007E7C73"/>
    <w:rsid w:val="007E7C8B"/>
    <w:rsid w:val="007E7DAD"/>
    <w:rsid w:val="007E7DF1"/>
    <w:rsid w:val="007E7E1E"/>
    <w:rsid w:val="007E7E3A"/>
    <w:rsid w:val="007E7E66"/>
    <w:rsid w:val="007E7F15"/>
    <w:rsid w:val="007E7F50"/>
    <w:rsid w:val="007E7F7D"/>
    <w:rsid w:val="007E7FB4"/>
    <w:rsid w:val="007E7FD7"/>
    <w:rsid w:val="007E7FDB"/>
    <w:rsid w:val="007E7FE9"/>
    <w:rsid w:val="007F0006"/>
    <w:rsid w:val="007F0017"/>
    <w:rsid w:val="007F0045"/>
    <w:rsid w:val="007F00BF"/>
    <w:rsid w:val="007F010E"/>
    <w:rsid w:val="007F011C"/>
    <w:rsid w:val="007F01BE"/>
    <w:rsid w:val="007F01F3"/>
    <w:rsid w:val="007F0202"/>
    <w:rsid w:val="007F0205"/>
    <w:rsid w:val="007F0250"/>
    <w:rsid w:val="007F026B"/>
    <w:rsid w:val="007F02D1"/>
    <w:rsid w:val="007F032A"/>
    <w:rsid w:val="007F0339"/>
    <w:rsid w:val="007F035F"/>
    <w:rsid w:val="007F0422"/>
    <w:rsid w:val="007F054A"/>
    <w:rsid w:val="007F0582"/>
    <w:rsid w:val="007F05FA"/>
    <w:rsid w:val="007F063F"/>
    <w:rsid w:val="007F0742"/>
    <w:rsid w:val="007F0767"/>
    <w:rsid w:val="007F07FE"/>
    <w:rsid w:val="007F0888"/>
    <w:rsid w:val="007F0892"/>
    <w:rsid w:val="007F08CF"/>
    <w:rsid w:val="007F08ED"/>
    <w:rsid w:val="007F08FB"/>
    <w:rsid w:val="007F0928"/>
    <w:rsid w:val="007F0945"/>
    <w:rsid w:val="007F099C"/>
    <w:rsid w:val="007F099F"/>
    <w:rsid w:val="007F09F6"/>
    <w:rsid w:val="007F0B33"/>
    <w:rsid w:val="007F0B45"/>
    <w:rsid w:val="007F0B51"/>
    <w:rsid w:val="007F0C10"/>
    <w:rsid w:val="007F0C47"/>
    <w:rsid w:val="007F0CD3"/>
    <w:rsid w:val="007F0D05"/>
    <w:rsid w:val="007F0D08"/>
    <w:rsid w:val="007F0D19"/>
    <w:rsid w:val="007F0D4F"/>
    <w:rsid w:val="007F0DB8"/>
    <w:rsid w:val="007F0E85"/>
    <w:rsid w:val="007F0FA9"/>
    <w:rsid w:val="007F0FB6"/>
    <w:rsid w:val="007F1005"/>
    <w:rsid w:val="007F100F"/>
    <w:rsid w:val="007F105E"/>
    <w:rsid w:val="007F1071"/>
    <w:rsid w:val="007F11B0"/>
    <w:rsid w:val="007F11B1"/>
    <w:rsid w:val="007F1234"/>
    <w:rsid w:val="007F1246"/>
    <w:rsid w:val="007F13C2"/>
    <w:rsid w:val="007F157A"/>
    <w:rsid w:val="007F166C"/>
    <w:rsid w:val="007F169F"/>
    <w:rsid w:val="007F16BE"/>
    <w:rsid w:val="007F1798"/>
    <w:rsid w:val="007F17B5"/>
    <w:rsid w:val="007F1859"/>
    <w:rsid w:val="007F186A"/>
    <w:rsid w:val="007F1879"/>
    <w:rsid w:val="007F18F3"/>
    <w:rsid w:val="007F1909"/>
    <w:rsid w:val="007F190D"/>
    <w:rsid w:val="007F199B"/>
    <w:rsid w:val="007F1A7D"/>
    <w:rsid w:val="007F1A7E"/>
    <w:rsid w:val="007F1BAE"/>
    <w:rsid w:val="007F1BB4"/>
    <w:rsid w:val="007F1BF3"/>
    <w:rsid w:val="007F1CC7"/>
    <w:rsid w:val="007F1D0C"/>
    <w:rsid w:val="007F1D0F"/>
    <w:rsid w:val="007F1D4C"/>
    <w:rsid w:val="007F1D6E"/>
    <w:rsid w:val="007F1D6F"/>
    <w:rsid w:val="007F1DA4"/>
    <w:rsid w:val="007F1DD9"/>
    <w:rsid w:val="007F1E0E"/>
    <w:rsid w:val="007F1E25"/>
    <w:rsid w:val="007F1E33"/>
    <w:rsid w:val="007F1EA1"/>
    <w:rsid w:val="007F1EAB"/>
    <w:rsid w:val="007F1F2C"/>
    <w:rsid w:val="007F1F75"/>
    <w:rsid w:val="007F1F90"/>
    <w:rsid w:val="007F2044"/>
    <w:rsid w:val="007F20E3"/>
    <w:rsid w:val="007F2145"/>
    <w:rsid w:val="007F215B"/>
    <w:rsid w:val="007F215C"/>
    <w:rsid w:val="007F21AD"/>
    <w:rsid w:val="007F2204"/>
    <w:rsid w:val="007F2249"/>
    <w:rsid w:val="007F2262"/>
    <w:rsid w:val="007F228E"/>
    <w:rsid w:val="007F2351"/>
    <w:rsid w:val="007F23A8"/>
    <w:rsid w:val="007F245B"/>
    <w:rsid w:val="007F2491"/>
    <w:rsid w:val="007F24EB"/>
    <w:rsid w:val="007F2501"/>
    <w:rsid w:val="007F2548"/>
    <w:rsid w:val="007F257C"/>
    <w:rsid w:val="007F2590"/>
    <w:rsid w:val="007F26C1"/>
    <w:rsid w:val="007F270B"/>
    <w:rsid w:val="007F2751"/>
    <w:rsid w:val="007F27D3"/>
    <w:rsid w:val="007F280E"/>
    <w:rsid w:val="007F284E"/>
    <w:rsid w:val="007F287C"/>
    <w:rsid w:val="007F288F"/>
    <w:rsid w:val="007F28A8"/>
    <w:rsid w:val="007F28FC"/>
    <w:rsid w:val="007F2932"/>
    <w:rsid w:val="007F2A91"/>
    <w:rsid w:val="007F2AFB"/>
    <w:rsid w:val="007F2B15"/>
    <w:rsid w:val="007F2B6E"/>
    <w:rsid w:val="007F2B7E"/>
    <w:rsid w:val="007F2B9C"/>
    <w:rsid w:val="007F2BA9"/>
    <w:rsid w:val="007F2BD6"/>
    <w:rsid w:val="007F2BE2"/>
    <w:rsid w:val="007F2BEC"/>
    <w:rsid w:val="007F2C4D"/>
    <w:rsid w:val="007F2CB0"/>
    <w:rsid w:val="007F2CC0"/>
    <w:rsid w:val="007F2D79"/>
    <w:rsid w:val="007F2DAC"/>
    <w:rsid w:val="007F2E3F"/>
    <w:rsid w:val="007F2E54"/>
    <w:rsid w:val="007F2E96"/>
    <w:rsid w:val="007F2EC3"/>
    <w:rsid w:val="007F2EF2"/>
    <w:rsid w:val="007F2F5B"/>
    <w:rsid w:val="007F2F92"/>
    <w:rsid w:val="007F303D"/>
    <w:rsid w:val="007F3075"/>
    <w:rsid w:val="007F3226"/>
    <w:rsid w:val="007F322B"/>
    <w:rsid w:val="007F324E"/>
    <w:rsid w:val="007F330D"/>
    <w:rsid w:val="007F3330"/>
    <w:rsid w:val="007F337C"/>
    <w:rsid w:val="007F343D"/>
    <w:rsid w:val="007F3548"/>
    <w:rsid w:val="007F3576"/>
    <w:rsid w:val="007F35AD"/>
    <w:rsid w:val="007F3623"/>
    <w:rsid w:val="007F3774"/>
    <w:rsid w:val="007F3782"/>
    <w:rsid w:val="007F37D9"/>
    <w:rsid w:val="007F383C"/>
    <w:rsid w:val="007F38AA"/>
    <w:rsid w:val="007F38E9"/>
    <w:rsid w:val="007F393D"/>
    <w:rsid w:val="007F39A3"/>
    <w:rsid w:val="007F39E6"/>
    <w:rsid w:val="007F3A05"/>
    <w:rsid w:val="007F3A06"/>
    <w:rsid w:val="007F3A4A"/>
    <w:rsid w:val="007F3A74"/>
    <w:rsid w:val="007F3AB4"/>
    <w:rsid w:val="007F3B26"/>
    <w:rsid w:val="007F3BCB"/>
    <w:rsid w:val="007F3BFB"/>
    <w:rsid w:val="007F3C25"/>
    <w:rsid w:val="007F3C73"/>
    <w:rsid w:val="007F3D48"/>
    <w:rsid w:val="007F3DB1"/>
    <w:rsid w:val="007F3DC0"/>
    <w:rsid w:val="007F3DD1"/>
    <w:rsid w:val="007F3E35"/>
    <w:rsid w:val="007F3E50"/>
    <w:rsid w:val="007F3E63"/>
    <w:rsid w:val="007F3E7A"/>
    <w:rsid w:val="007F3E99"/>
    <w:rsid w:val="007F3EEF"/>
    <w:rsid w:val="007F3EF8"/>
    <w:rsid w:val="007F3F06"/>
    <w:rsid w:val="007F3F34"/>
    <w:rsid w:val="007F3F76"/>
    <w:rsid w:val="007F3F8E"/>
    <w:rsid w:val="007F3F94"/>
    <w:rsid w:val="007F3FAC"/>
    <w:rsid w:val="007F3FBB"/>
    <w:rsid w:val="007F408E"/>
    <w:rsid w:val="007F4108"/>
    <w:rsid w:val="007F411C"/>
    <w:rsid w:val="007F4244"/>
    <w:rsid w:val="007F429F"/>
    <w:rsid w:val="007F42AA"/>
    <w:rsid w:val="007F4324"/>
    <w:rsid w:val="007F435E"/>
    <w:rsid w:val="007F43E5"/>
    <w:rsid w:val="007F442E"/>
    <w:rsid w:val="007F450D"/>
    <w:rsid w:val="007F4527"/>
    <w:rsid w:val="007F45B3"/>
    <w:rsid w:val="007F45BD"/>
    <w:rsid w:val="007F45CB"/>
    <w:rsid w:val="007F4640"/>
    <w:rsid w:val="007F4685"/>
    <w:rsid w:val="007F468F"/>
    <w:rsid w:val="007F4769"/>
    <w:rsid w:val="007F48DD"/>
    <w:rsid w:val="007F48EE"/>
    <w:rsid w:val="007F4900"/>
    <w:rsid w:val="007F491E"/>
    <w:rsid w:val="007F4945"/>
    <w:rsid w:val="007F494E"/>
    <w:rsid w:val="007F4986"/>
    <w:rsid w:val="007F49AF"/>
    <w:rsid w:val="007F49C5"/>
    <w:rsid w:val="007F4A03"/>
    <w:rsid w:val="007F4A37"/>
    <w:rsid w:val="007F4A8F"/>
    <w:rsid w:val="007F4B95"/>
    <w:rsid w:val="007F4BD7"/>
    <w:rsid w:val="007F4C6D"/>
    <w:rsid w:val="007F4CFE"/>
    <w:rsid w:val="007F4D14"/>
    <w:rsid w:val="007F4D2F"/>
    <w:rsid w:val="007F4D62"/>
    <w:rsid w:val="007F4D91"/>
    <w:rsid w:val="007F4DED"/>
    <w:rsid w:val="007F4FBF"/>
    <w:rsid w:val="007F4FC3"/>
    <w:rsid w:val="007F4FCD"/>
    <w:rsid w:val="007F5080"/>
    <w:rsid w:val="007F50A2"/>
    <w:rsid w:val="007F50B2"/>
    <w:rsid w:val="007F50B3"/>
    <w:rsid w:val="007F50C9"/>
    <w:rsid w:val="007F50D1"/>
    <w:rsid w:val="007F5127"/>
    <w:rsid w:val="007F5139"/>
    <w:rsid w:val="007F51A2"/>
    <w:rsid w:val="007F5247"/>
    <w:rsid w:val="007F5257"/>
    <w:rsid w:val="007F52DD"/>
    <w:rsid w:val="007F52FB"/>
    <w:rsid w:val="007F5361"/>
    <w:rsid w:val="007F5364"/>
    <w:rsid w:val="007F5382"/>
    <w:rsid w:val="007F5388"/>
    <w:rsid w:val="007F53E8"/>
    <w:rsid w:val="007F5435"/>
    <w:rsid w:val="007F543D"/>
    <w:rsid w:val="007F5469"/>
    <w:rsid w:val="007F549E"/>
    <w:rsid w:val="007F54BB"/>
    <w:rsid w:val="007F54C0"/>
    <w:rsid w:val="007F5531"/>
    <w:rsid w:val="007F5542"/>
    <w:rsid w:val="007F5574"/>
    <w:rsid w:val="007F55A7"/>
    <w:rsid w:val="007F55F1"/>
    <w:rsid w:val="007F564A"/>
    <w:rsid w:val="007F569E"/>
    <w:rsid w:val="007F56A0"/>
    <w:rsid w:val="007F574A"/>
    <w:rsid w:val="007F587D"/>
    <w:rsid w:val="007F588B"/>
    <w:rsid w:val="007F58A2"/>
    <w:rsid w:val="007F5999"/>
    <w:rsid w:val="007F59C1"/>
    <w:rsid w:val="007F59F8"/>
    <w:rsid w:val="007F5A35"/>
    <w:rsid w:val="007F5A36"/>
    <w:rsid w:val="007F5A5A"/>
    <w:rsid w:val="007F5A73"/>
    <w:rsid w:val="007F5A9E"/>
    <w:rsid w:val="007F5ACE"/>
    <w:rsid w:val="007F5C73"/>
    <w:rsid w:val="007F5D1C"/>
    <w:rsid w:val="007F5D8C"/>
    <w:rsid w:val="007F5DD0"/>
    <w:rsid w:val="007F5E18"/>
    <w:rsid w:val="007F5E57"/>
    <w:rsid w:val="007F5E78"/>
    <w:rsid w:val="007F5F0E"/>
    <w:rsid w:val="007F5F30"/>
    <w:rsid w:val="007F5F3D"/>
    <w:rsid w:val="007F5FB2"/>
    <w:rsid w:val="007F5FC0"/>
    <w:rsid w:val="007F6017"/>
    <w:rsid w:val="007F608A"/>
    <w:rsid w:val="007F60EE"/>
    <w:rsid w:val="007F612A"/>
    <w:rsid w:val="007F6164"/>
    <w:rsid w:val="007F61A5"/>
    <w:rsid w:val="007F62BC"/>
    <w:rsid w:val="007F6301"/>
    <w:rsid w:val="007F636C"/>
    <w:rsid w:val="007F6382"/>
    <w:rsid w:val="007F63C0"/>
    <w:rsid w:val="007F63D2"/>
    <w:rsid w:val="007F640D"/>
    <w:rsid w:val="007F6592"/>
    <w:rsid w:val="007F65B4"/>
    <w:rsid w:val="007F65BC"/>
    <w:rsid w:val="007F65BD"/>
    <w:rsid w:val="007F65CD"/>
    <w:rsid w:val="007F6625"/>
    <w:rsid w:val="007F6636"/>
    <w:rsid w:val="007F66B0"/>
    <w:rsid w:val="007F66FB"/>
    <w:rsid w:val="007F66FD"/>
    <w:rsid w:val="007F6769"/>
    <w:rsid w:val="007F6783"/>
    <w:rsid w:val="007F6802"/>
    <w:rsid w:val="007F6804"/>
    <w:rsid w:val="007F682A"/>
    <w:rsid w:val="007F6899"/>
    <w:rsid w:val="007F68B4"/>
    <w:rsid w:val="007F68E5"/>
    <w:rsid w:val="007F6906"/>
    <w:rsid w:val="007F692A"/>
    <w:rsid w:val="007F6942"/>
    <w:rsid w:val="007F69BA"/>
    <w:rsid w:val="007F6AA4"/>
    <w:rsid w:val="007F6AC3"/>
    <w:rsid w:val="007F6B2A"/>
    <w:rsid w:val="007F6B38"/>
    <w:rsid w:val="007F6B87"/>
    <w:rsid w:val="007F6B91"/>
    <w:rsid w:val="007F6BA5"/>
    <w:rsid w:val="007F6C04"/>
    <w:rsid w:val="007F6C1B"/>
    <w:rsid w:val="007F6CEB"/>
    <w:rsid w:val="007F6D1A"/>
    <w:rsid w:val="007F6D8C"/>
    <w:rsid w:val="007F6E06"/>
    <w:rsid w:val="007F6E12"/>
    <w:rsid w:val="007F6E63"/>
    <w:rsid w:val="007F6EF2"/>
    <w:rsid w:val="007F6EF5"/>
    <w:rsid w:val="007F6F63"/>
    <w:rsid w:val="007F6F78"/>
    <w:rsid w:val="007F706E"/>
    <w:rsid w:val="007F70C7"/>
    <w:rsid w:val="007F710D"/>
    <w:rsid w:val="007F7143"/>
    <w:rsid w:val="007F7166"/>
    <w:rsid w:val="007F7187"/>
    <w:rsid w:val="007F7197"/>
    <w:rsid w:val="007F71B7"/>
    <w:rsid w:val="007F722A"/>
    <w:rsid w:val="007F729A"/>
    <w:rsid w:val="007F72B5"/>
    <w:rsid w:val="007F72E7"/>
    <w:rsid w:val="007F72F1"/>
    <w:rsid w:val="007F7308"/>
    <w:rsid w:val="007F7309"/>
    <w:rsid w:val="007F7477"/>
    <w:rsid w:val="007F74A0"/>
    <w:rsid w:val="007F74E8"/>
    <w:rsid w:val="007F75D1"/>
    <w:rsid w:val="007F75D3"/>
    <w:rsid w:val="007F75E7"/>
    <w:rsid w:val="007F7697"/>
    <w:rsid w:val="007F774D"/>
    <w:rsid w:val="007F776F"/>
    <w:rsid w:val="007F7770"/>
    <w:rsid w:val="007F77A3"/>
    <w:rsid w:val="007F7803"/>
    <w:rsid w:val="007F7833"/>
    <w:rsid w:val="007F7844"/>
    <w:rsid w:val="007F7859"/>
    <w:rsid w:val="007F7917"/>
    <w:rsid w:val="007F791E"/>
    <w:rsid w:val="007F79BC"/>
    <w:rsid w:val="007F7A3E"/>
    <w:rsid w:val="007F7BAB"/>
    <w:rsid w:val="007F7BD4"/>
    <w:rsid w:val="007F7C75"/>
    <w:rsid w:val="007F7CAB"/>
    <w:rsid w:val="007F7D24"/>
    <w:rsid w:val="007F7D4F"/>
    <w:rsid w:val="007F7DAC"/>
    <w:rsid w:val="007F7E05"/>
    <w:rsid w:val="007F7E5D"/>
    <w:rsid w:val="007F7E69"/>
    <w:rsid w:val="007F7E85"/>
    <w:rsid w:val="007F7E92"/>
    <w:rsid w:val="007F7EA8"/>
    <w:rsid w:val="007F7EB2"/>
    <w:rsid w:val="007F7EB4"/>
    <w:rsid w:val="007F7F6F"/>
    <w:rsid w:val="007F7F7E"/>
    <w:rsid w:val="00800073"/>
    <w:rsid w:val="008000BC"/>
    <w:rsid w:val="00800140"/>
    <w:rsid w:val="00800306"/>
    <w:rsid w:val="00800334"/>
    <w:rsid w:val="00800341"/>
    <w:rsid w:val="0080036B"/>
    <w:rsid w:val="008003DB"/>
    <w:rsid w:val="00800404"/>
    <w:rsid w:val="00800428"/>
    <w:rsid w:val="00800471"/>
    <w:rsid w:val="008004A1"/>
    <w:rsid w:val="0080051C"/>
    <w:rsid w:val="00800582"/>
    <w:rsid w:val="00800585"/>
    <w:rsid w:val="0080071B"/>
    <w:rsid w:val="00800752"/>
    <w:rsid w:val="0080077E"/>
    <w:rsid w:val="00800786"/>
    <w:rsid w:val="008007A1"/>
    <w:rsid w:val="008007B1"/>
    <w:rsid w:val="00800801"/>
    <w:rsid w:val="008008E8"/>
    <w:rsid w:val="008008F8"/>
    <w:rsid w:val="00800975"/>
    <w:rsid w:val="00800A06"/>
    <w:rsid w:val="00800A1F"/>
    <w:rsid w:val="00800A29"/>
    <w:rsid w:val="00800A33"/>
    <w:rsid w:val="00800AAD"/>
    <w:rsid w:val="00800ACE"/>
    <w:rsid w:val="00800AD5"/>
    <w:rsid w:val="00800B3D"/>
    <w:rsid w:val="00800B48"/>
    <w:rsid w:val="00800B53"/>
    <w:rsid w:val="00800B89"/>
    <w:rsid w:val="00800BCA"/>
    <w:rsid w:val="00800BD3"/>
    <w:rsid w:val="00800C34"/>
    <w:rsid w:val="00800C66"/>
    <w:rsid w:val="00800CB4"/>
    <w:rsid w:val="00800D54"/>
    <w:rsid w:val="00800D6E"/>
    <w:rsid w:val="00800D7D"/>
    <w:rsid w:val="00800DBD"/>
    <w:rsid w:val="00800DEB"/>
    <w:rsid w:val="00800DF8"/>
    <w:rsid w:val="00800E75"/>
    <w:rsid w:val="00800E8F"/>
    <w:rsid w:val="00800EB6"/>
    <w:rsid w:val="00800F3E"/>
    <w:rsid w:val="0080100F"/>
    <w:rsid w:val="0080102B"/>
    <w:rsid w:val="0080103B"/>
    <w:rsid w:val="00801049"/>
    <w:rsid w:val="00801074"/>
    <w:rsid w:val="008010B5"/>
    <w:rsid w:val="008010BA"/>
    <w:rsid w:val="008010E4"/>
    <w:rsid w:val="00801171"/>
    <w:rsid w:val="0080117B"/>
    <w:rsid w:val="008011D9"/>
    <w:rsid w:val="00801256"/>
    <w:rsid w:val="008012D3"/>
    <w:rsid w:val="00801303"/>
    <w:rsid w:val="00801394"/>
    <w:rsid w:val="008013B0"/>
    <w:rsid w:val="008013C4"/>
    <w:rsid w:val="008013C7"/>
    <w:rsid w:val="0080143E"/>
    <w:rsid w:val="008014B0"/>
    <w:rsid w:val="008014D6"/>
    <w:rsid w:val="00801579"/>
    <w:rsid w:val="0080159C"/>
    <w:rsid w:val="008015B0"/>
    <w:rsid w:val="008015BF"/>
    <w:rsid w:val="00801626"/>
    <w:rsid w:val="0080171C"/>
    <w:rsid w:val="00801760"/>
    <w:rsid w:val="00801770"/>
    <w:rsid w:val="00801832"/>
    <w:rsid w:val="0080191C"/>
    <w:rsid w:val="00801945"/>
    <w:rsid w:val="00801969"/>
    <w:rsid w:val="008019A6"/>
    <w:rsid w:val="008019AD"/>
    <w:rsid w:val="00801A30"/>
    <w:rsid w:val="00801A4F"/>
    <w:rsid w:val="00801A96"/>
    <w:rsid w:val="00801AAE"/>
    <w:rsid w:val="00801ABE"/>
    <w:rsid w:val="00801B64"/>
    <w:rsid w:val="00801BA1"/>
    <w:rsid w:val="00801BA2"/>
    <w:rsid w:val="00801C2E"/>
    <w:rsid w:val="00801CD2"/>
    <w:rsid w:val="00801D1D"/>
    <w:rsid w:val="00801D50"/>
    <w:rsid w:val="00801D6B"/>
    <w:rsid w:val="00801DB0"/>
    <w:rsid w:val="00801DB1"/>
    <w:rsid w:val="00801DB2"/>
    <w:rsid w:val="00801E2E"/>
    <w:rsid w:val="00801E4C"/>
    <w:rsid w:val="00801E6A"/>
    <w:rsid w:val="00801F39"/>
    <w:rsid w:val="00801F72"/>
    <w:rsid w:val="00801FD4"/>
    <w:rsid w:val="00801FDC"/>
    <w:rsid w:val="00801FE4"/>
    <w:rsid w:val="00801FF6"/>
    <w:rsid w:val="00801FFE"/>
    <w:rsid w:val="0080204E"/>
    <w:rsid w:val="0080212E"/>
    <w:rsid w:val="008021F7"/>
    <w:rsid w:val="00802207"/>
    <w:rsid w:val="00802258"/>
    <w:rsid w:val="00802282"/>
    <w:rsid w:val="008022AD"/>
    <w:rsid w:val="008022B1"/>
    <w:rsid w:val="0080237E"/>
    <w:rsid w:val="008023C8"/>
    <w:rsid w:val="008023D1"/>
    <w:rsid w:val="008023E1"/>
    <w:rsid w:val="008023F4"/>
    <w:rsid w:val="00802408"/>
    <w:rsid w:val="00802471"/>
    <w:rsid w:val="00802493"/>
    <w:rsid w:val="008025C5"/>
    <w:rsid w:val="008025CA"/>
    <w:rsid w:val="008025E6"/>
    <w:rsid w:val="00802608"/>
    <w:rsid w:val="0080261C"/>
    <w:rsid w:val="00802652"/>
    <w:rsid w:val="0080265A"/>
    <w:rsid w:val="00802669"/>
    <w:rsid w:val="008026DF"/>
    <w:rsid w:val="008026F3"/>
    <w:rsid w:val="00802773"/>
    <w:rsid w:val="008028B7"/>
    <w:rsid w:val="00802929"/>
    <w:rsid w:val="0080297B"/>
    <w:rsid w:val="0080298D"/>
    <w:rsid w:val="008029C6"/>
    <w:rsid w:val="00802A96"/>
    <w:rsid w:val="00802A9E"/>
    <w:rsid w:val="00802B10"/>
    <w:rsid w:val="00802B21"/>
    <w:rsid w:val="00802BEE"/>
    <w:rsid w:val="00802C03"/>
    <w:rsid w:val="00802C65"/>
    <w:rsid w:val="00802D89"/>
    <w:rsid w:val="00802DAA"/>
    <w:rsid w:val="00802DBD"/>
    <w:rsid w:val="00802E3C"/>
    <w:rsid w:val="00802E64"/>
    <w:rsid w:val="00802ECB"/>
    <w:rsid w:val="00802EE4"/>
    <w:rsid w:val="00802F91"/>
    <w:rsid w:val="00802FEC"/>
    <w:rsid w:val="0080303D"/>
    <w:rsid w:val="0080304E"/>
    <w:rsid w:val="00803082"/>
    <w:rsid w:val="008031CA"/>
    <w:rsid w:val="008031D6"/>
    <w:rsid w:val="00803213"/>
    <w:rsid w:val="0080323E"/>
    <w:rsid w:val="0080327B"/>
    <w:rsid w:val="0080329F"/>
    <w:rsid w:val="008032C0"/>
    <w:rsid w:val="008032E2"/>
    <w:rsid w:val="008032EB"/>
    <w:rsid w:val="00803304"/>
    <w:rsid w:val="00803396"/>
    <w:rsid w:val="00803443"/>
    <w:rsid w:val="0080348E"/>
    <w:rsid w:val="00803495"/>
    <w:rsid w:val="008034BF"/>
    <w:rsid w:val="0080352B"/>
    <w:rsid w:val="00803568"/>
    <w:rsid w:val="00803574"/>
    <w:rsid w:val="008035AD"/>
    <w:rsid w:val="008035FF"/>
    <w:rsid w:val="0080362C"/>
    <w:rsid w:val="0080362E"/>
    <w:rsid w:val="00803674"/>
    <w:rsid w:val="008036F4"/>
    <w:rsid w:val="00803705"/>
    <w:rsid w:val="00803778"/>
    <w:rsid w:val="00803798"/>
    <w:rsid w:val="008037B9"/>
    <w:rsid w:val="008037CC"/>
    <w:rsid w:val="008037DF"/>
    <w:rsid w:val="008037EB"/>
    <w:rsid w:val="00803898"/>
    <w:rsid w:val="008038AD"/>
    <w:rsid w:val="0080391C"/>
    <w:rsid w:val="00803963"/>
    <w:rsid w:val="00803996"/>
    <w:rsid w:val="008039CE"/>
    <w:rsid w:val="008039D0"/>
    <w:rsid w:val="00803A23"/>
    <w:rsid w:val="00803A76"/>
    <w:rsid w:val="00803AA5"/>
    <w:rsid w:val="00803AFF"/>
    <w:rsid w:val="00803C4A"/>
    <w:rsid w:val="00803CBB"/>
    <w:rsid w:val="00803D39"/>
    <w:rsid w:val="00803D40"/>
    <w:rsid w:val="00803D42"/>
    <w:rsid w:val="00803D71"/>
    <w:rsid w:val="00803DA1"/>
    <w:rsid w:val="00803E2A"/>
    <w:rsid w:val="00803EB4"/>
    <w:rsid w:val="00803F43"/>
    <w:rsid w:val="00803F8D"/>
    <w:rsid w:val="00803FB7"/>
    <w:rsid w:val="00803FC3"/>
    <w:rsid w:val="0080403E"/>
    <w:rsid w:val="00804063"/>
    <w:rsid w:val="008040B2"/>
    <w:rsid w:val="008040C0"/>
    <w:rsid w:val="008041ED"/>
    <w:rsid w:val="00804232"/>
    <w:rsid w:val="00804298"/>
    <w:rsid w:val="008042A6"/>
    <w:rsid w:val="008042F2"/>
    <w:rsid w:val="00804358"/>
    <w:rsid w:val="008043EA"/>
    <w:rsid w:val="0080443C"/>
    <w:rsid w:val="00804494"/>
    <w:rsid w:val="008044AB"/>
    <w:rsid w:val="008044B1"/>
    <w:rsid w:val="008044DB"/>
    <w:rsid w:val="00804694"/>
    <w:rsid w:val="00804709"/>
    <w:rsid w:val="00804732"/>
    <w:rsid w:val="0080478A"/>
    <w:rsid w:val="008047D8"/>
    <w:rsid w:val="008047EE"/>
    <w:rsid w:val="0080482C"/>
    <w:rsid w:val="0080484D"/>
    <w:rsid w:val="008048EC"/>
    <w:rsid w:val="0080491A"/>
    <w:rsid w:val="0080493B"/>
    <w:rsid w:val="008049BC"/>
    <w:rsid w:val="00804A30"/>
    <w:rsid w:val="00804A5C"/>
    <w:rsid w:val="00804A8C"/>
    <w:rsid w:val="00804A9D"/>
    <w:rsid w:val="00804AEF"/>
    <w:rsid w:val="00804B50"/>
    <w:rsid w:val="00804BCA"/>
    <w:rsid w:val="00804C18"/>
    <w:rsid w:val="00804C9F"/>
    <w:rsid w:val="00804D11"/>
    <w:rsid w:val="00804D32"/>
    <w:rsid w:val="00804D67"/>
    <w:rsid w:val="00804D8B"/>
    <w:rsid w:val="00804DD4"/>
    <w:rsid w:val="00804E1E"/>
    <w:rsid w:val="00804E92"/>
    <w:rsid w:val="00804EF9"/>
    <w:rsid w:val="00804F0A"/>
    <w:rsid w:val="00804F32"/>
    <w:rsid w:val="00804F54"/>
    <w:rsid w:val="00804F59"/>
    <w:rsid w:val="00804F6B"/>
    <w:rsid w:val="00805002"/>
    <w:rsid w:val="0080501E"/>
    <w:rsid w:val="008050E4"/>
    <w:rsid w:val="0080513D"/>
    <w:rsid w:val="00805145"/>
    <w:rsid w:val="0080516F"/>
    <w:rsid w:val="008051C3"/>
    <w:rsid w:val="008051E4"/>
    <w:rsid w:val="008051EF"/>
    <w:rsid w:val="00805212"/>
    <w:rsid w:val="00805231"/>
    <w:rsid w:val="0080523A"/>
    <w:rsid w:val="00805296"/>
    <w:rsid w:val="008052CD"/>
    <w:rsid w:val="008052F2"/>
    <w:rsid w:val="00805311"/>
    <w:rsid w:val="0080531D"/>
    <w:rsid w:val="0080538A"/>
    <w:rsid w:val="008053C5"/>
    <w:rsid w:val="00805410"/>
    <w:rsid w:val="0080545D"/>
    <w:rsid w:val="008054A7"/>
    <w:rsid w:val="0080559E"/>
    <w:rsid w:val="008055F3"/>
    <w:rsid w:val="00805601"/>
    <w:rsid w:val="0080563F"/>
    <w:rsid w:val="008056A6"/>
    <w:rsid w:val="0080570E"/>
    <w:rsid w:val="00805715"/>
    <w:rsid w:val="00805748"/>
    <w:rsid w:val="008057B6"/>
    <w:rsid w:val="008057FA"/>
    <w:rsid w:val="00805858"/>
    <w:rsid w:val="0080587F"/>
    <w:rsid w:val="008058AE"/>
    <w:rsid w:val="008058BE"/>
    <w:rsid w:val="00805995"/>
    <w:rsid w:val="008059B7"/>
    <w:rsid w:val="00805A6A"/>
    <w:rsid w:val="00805AB5"/>
    <w:rsid w:val="00805AC3"/>
    <w:rsid w:val="00805B1B"/>
    <w:rsid w:val="00805B33"/>
    <w:rsid w:val="00805BB0"/>
    <w:rsid w:val="00805C48"/>
    <w:rsid w:val="00805CA9"/>
    <w:rsid w:val="00805D8E"/>
    <w:rsid w:val="00805DCD"/>
    <w:rsid w:val="00805E0A"/>
    <w:rsid w:val="00805E54"/>
    <w:rsid w:val="00805EEA"/>
    <w:rsid w:val="00805FD7"/>
    <w:rsid w:val="00806050"/>
    <w:rsid w:val="008060A0"/>
    <w:rsid w:val="008060F4"/>
    <w:rsid w:val="00806134"/>
    <w:rsid w:val="00806139"/>
    <w:rsid w:val="00806145"/>
    <w:rsid w:val="0080615B"/>
    <w:rsid w:val="008061BD"/>
    <w:rsid w:val="0080626F"/>
    <w:rsid w:val="008062C3"/>
    <w:rsid w:val="0080640A"/>
    <w:rsid w:val="008064BE"/>
    <w:rsid w:val="00806507"/>
    <w:rsid w:val="00806574"/>
    <w:rsid w:val="0080657F"/>
    <w:rsid w:val="00806582"/>
    <w:rsid w:val="008065A4"/>
    <w:rsid w:val="008065F6"/>
    <w:rsid w:val="00806699"/>
    <w:rsid w:val="008066B0"/>
    <w:rsid w:val="008066BF"/>
    <w:rsid w:val="008066F7"/>
    <w:rsid w:val="0080671D"/>
    <w:rsid w:val="008067B2"/>
    <w:rsid w:val="00806817"/>
    <w:rsid w:val="00806864"/>
    <w:rsid w:val="00806907"/>
    <w:rsid w:val="00806928"/>
    <w:rsid w:val="00806968"/>
    <w:rsid w:val="00806A04"/>
    <w:rsid w:val="00806A18"/>
    <w:rsid w:val="00806A31"/>
    <w:rsid w:val="00806A4C"/>
    <w:rsid w:val="00806ADC"/>
    <w:rsid w:val="00806B12"/>
    <w:rsid w:val="00806B4F"/>
    <w:rsid w:val="00806BE9"/>
    <w:rsid w:val="00806BF6"/>
    <w:rsid w:val="00806C53"/>
    <w:rsid w:val="00806CE9"/>
    <w:rsid w:val="00806CF2"/>
    <w:rsid w:val="00806CF8"/>
    <w:rsid w:val="00806D35"/>
    <w:rsid w:val="00806D3A"/>
    <w:rsid w:val="00806D62"/>
    <w:rsid w:val="00806D7C"/>
    <w:rsid w:val="00806DD8"/>
    <w:rsid w:val="00806E17"/>
    <w:rsid w:val="00806E25"/>
    <w:rsid w:val="00806F12"/>
    <w:rsid w:val="00806F5E"/>
    <w:rsid w:val="00806FD3"/>
    <w:rsid w:val="008070BE"/>
    <w:rsid w:val="008070BF"/>
    <w:rsid w:val="008070FE"/>
    <w:rsid w:val="00807120"/>
    <w:rsid w:val="008071A0"/>
    <w:rsid w:val="00807288"/>
    <w:rsid w:val="008072DD"/>
    <w:rsid w:val="008072E5"/>
    <w:rsid w:val="0080730B"/>
    <w:rsid w:val="00807466"/>
    <w:rsid w:val="00807486"/>
    <w:rsid w:val="008074F4"/>
    <w:rsid w:val="008074FC"/>
    <w:rsid w:val="0080750F"/>
    <w:rsid w:val="00807527"/>
    <w:rsid w:val="008075C7"/>
    <w:rsid w:val="008076FB"/>
    <w:rsid w:val="00807703"/>
    <w:rsid w:val="0080773F"/>
    <w:rsid w:val="00807766"/>
    <w:rsid w:val="0080792E"/>
    <w:rsid w:val="00807967"/>
    <w:rsid w:val="00807A60"/>
    <w:rsid w:val="00807AA9"/>
    <w:rsid w:val="00807AF3"/>
    <w:rsid w:val="00807B07"/>
    <w:rsid w:val="00807B64"/>
    <w:rsid w:val="00807BDA"/>
    <w:rsid w:val="00807BE8"/>
    <w:rsid w:val="00807C12"/>
    <w:rsid w:val="00807C30"/>
    <w:rsid w:val="00807CBB"/>
    <w:rsid w:val="00807DB4"/>
    <w:rsid w:val="00807DCE"/>
    <w:rsid w:val="00807DE2"/>
    <w:rsid w:val="00807E03"/>
    <w:rsid w:val="00807E3C"/>
    <w:rsid w:val="00807EBD"/>
    <w:rsid w:val="00807F02"/>
    <w:rsid w:val="00807F14"/>
    <w:rsid w:val="00807F33"/>
    <w:rsid w:val="00807F7D"/>
    <w:rsid w:val="00810046"/>
    <w:rsid w:val="00810089"/>
    <w:rsid w:val="0081009A"/>
    <w:rsid w:val="008100E7"/>
    <w:rsid w:val="00810170"/>
    <w:rsid w:val="008101C7"/>
    <w:rsid w:val="008101D3"/>
    <w:rsid w:val="0081022D"/>
    <w:rsid w:val="008102FB"/>
    <w:rsid w:val="0081031D"/>
    <w:rsid w:val="00810330"/>
    <w:rsid w:val="00810348"/>
    <w:rsid w:val="0081046B"/>
    <w:rsid w:val="00810543"/>
    <w:rsid w:val="00810550"/>
    <w:rsid w:val="00810597"/>
    <w:rsid w:val="008105B9"/>
    <w:rsid w:val="008105F6"/>
    <w:rsid w:val="0081063A"/>
    <w:rsid w:val="00810645"/>
    <w:rsid w:val="00810652"/>
    <w:rsid w:val="00810721"/>
    <w:rsid w:val="00810773"/>
    <w:rsid w:val="008107B0"/>
    <w:rsid w:val="0081090A"/>
    <w:rsid w:val="00810954"/>
    <w:rsid w:val="0081096D"/>
    <w:rsid w:val="0081099E"/>
    <w:rsid w:val="008109EC"/>
    <w:rsid w:val="00810A6C"/>
    <w:rsid w:val="00810A9D"/>
    <w:rsid w:val="00810AEA"/>
    <w:rsid w:val="00810AFA"/>
    <w:rsid w:val="00810B06"/>
    <w:rsid w:val="00810B76"/>
    <w:rsid w:val="00810C29"/>
    <w:rsid w:val="00810C4A"/>
    <w:rsid w:val="00810C7A"/>
    <w:rsid w:val="00810C80"/>
    <w:rsid w:val="00810C99"/>
    <w:rsid w:val="00810CCF"/>
    <w:rsid w:val="00810D57"/>
    <w:rsid w:val="00810DE5"/>
    <w:rsid w:val="00810E35"/>
    <w:rsid w:val="00810E42"/>
    <w:rsid w:val="00810E46"/>
    <w:rsid w:val="00810E8E"/>
    <w:rsid w:val="00810E9B"/>
    <w:rsid w:val="00810EDE"/>
    <w:rsid w:val="00810F08"/>
    <w:rsid w:val="00810FEB"/>
    <w:rsid w:val="0081104B"/>
    <w:rsid w:val="008110F2"/>
    <w:rsid w:val="0081110A"/>
    <w:rsid w:val="00811122"/>
    <w:rsid w:val="00811140"/>
    <w:rsid w:val="00811160"/>
    <w:rsid w:val="00811246"/>
    <w:rsid w:val="0081131D"/>
    <w:rsid w:val="008113D9"/>
    <w:rsid w:val="00811448"/>
    <w:rsid w:val="0081147B"/>
    <w:rsid w:val="00811544"/>
    <w:rsid w:val="00811636"/>
    <w:rsid w:val="0081165A"/>
    <w:rsid w:val="00811700"/>
    <w:rsid w:val="0081172F"/>
    <w:rsid w:val="0081174B"/>
    <w:rsid w:val="00811797"/>
    <w:rsid w:val="008117B0"/>
    <w:rsid w:val="00811812"/>
    <w:rsid w:val="0081183A"/>
    <w:rsid w:val="0081187F"/>
    <w:rsid w:val="008119F7"/>
    <w:rsid w:val="00811BDD"/>
    <w:rsid w:val="00811C42"/>
    <w:rsid w:val="00811C4D"/>
    <w:rsid w:val="00811C6D"/>
    <w:rsid w:val="00811CA2"/>
    <w:rsid w:val="00811CCF"/>
    <w:rsid w:val="00811CD6"/>
    <w:rsid w:val="00811D0E"/>
    <w:rsid w:val="00811D72"/>
    <w:rsid w:val="00811DDA"/>
    <w:rsid w:val="00811E04"/>
    <w:rsid w:val="00811E51"/>
    <w:rsid w:val="00811E98"/>
    <w:rsid w:val="00811E99"/>
    <w:rsid w:val="00811EE1"/>
    <w:rsid w:val="00811EEC"/>
    <w:rsid w:val="00811EF5"/>
    <w:rsid w:val="00811F1F"/>
    <w:rsid w:val="00811F39"/>
    <w:rsid w:val="00811F93"/>
    <w:rsid w:val="00811FBB"/>
    <w:rsid w:val="0081203D"/>
    <w:rsid w:val="008120DF"/>
    <w:rsid w:val="00812249"/>
    <w:rsid w:val="00812275"/>
    <w:rsid w:val="008122DA"/>
    <w:rsid w:val="0081235B"/>
    <w:rsid w:val="00812374"/>
    <w:rsid w:val="00812394"/>
    <w:rsid w:val="00812492"/>
    <w:rsid w:val="00812551"/>
    <w:rsid w:val="008125A1"/>
    <w:rsid w:val="008125CB"/>
    <w:rsid w:val="008125DB"/>
    <w:rsid w:val="008126A7"/>
    <w:rsid w:val="00812736"/>
    <w:rsid w:val="00812750"/>
    <w:rsid w:val="008127BB"/>
    <w:rsid w:val="00812810"/>
    <w:rsid w:val="00812890"/>
    <w:rsid w:val="008128EF"/>
    <w:rsid w:val="00812900"/>
    <w:rsid w:val="00812A44"/>
    <w:rsid w:val="00812AF6"/>
    <w:rsid w:val="00812C04"/>
    <w:rsid w:val="00812C63"/>
    <w:rsid w:val="00812C66"/>
    <w:rsid w:val="00812CAA"/>
    <w:rsid w:val="00812E1F"/>
    <w:rsid w:val="00812EAF"/>
    <w:rsid w:val="00812F33"/>
    <w:rsid w:val="00812F67"/>
    <w:rsid w:val="00812F85"/>
    <w:rsid w:val="00812FDE"/>
    <w:rsid w:val="00813003"/>
    <w:rsid w:val="0081301B"/>
    <w:rsid w:val="0081313D"/>
    <w:rsid w:val="008131D8"/>
    <w:rsid w:val="008132AB"/>
    <w:rsid w:val="0081335A"/>
    <w:rsid w:val="00813372"/>
    <w:rsid w:val="0081337C"/>
    <w:rsid w:val="008133D7"/>
    <w:rsid w:val="008133E8"/>
    <w:rsid w:val="0081341E"/>
    <w:rsid w:val="008134F0"/>
    <w:rsid w:val="0081358D"/>
    <w:rsid w:val="00813594"/>
    <w:rsid w:val="008135D7"/>
    <w:rsid w:val="00813675"/>
    <w:rsid w:val="008136BB"/>
    <w:rsid w:val="008136C2"/>
    <w:rsid w:val="0081378E"/>
    <w:rsid w:val="008137BC"/>
    <w:rsid w:val="008137C8"/>
    <w:rsid w:val="008137F4"/>
    <w:rsid w:val="00813808"/>
    <w:rsid w:val="00813850"/>
    <w:rsid w:val="0081385C"/>
    <w:rsid w:val="008138AE"/>
    <w:rsid w:val="008138FF"/>
    <w:rsid w:val="008139B9"/>
    <w:rsid w:val="008139E2"/>
    <w:rsid w:val="00813A39"/>
    <w:rsid w:val="00813A95"/>
    <w:rsid w:val="00813AAF"/>
    <w:rsid w:val="00813BE0"/>
    <w:rsid w:val="00813C3B"/>
    <w:rsid w:val="00813C64"/>
    <w:rsid w:val="00813CC8"/>
    <w:rsid w:val="00813CE1"/>
    <w:rsid w:val="00813D02"/>
    <w:rsid w:val="00813D10"/>
    <w:rsid w:val="00813D52"/>
    <w:rsid w:val="00813E2F"/>
    <w:rsid w:val="00813ED9"/>
    <w:rsid w:val="00813F45"/>
    <w:rsid w:val="00813FB9"/>
    <w:rsid w:val="00813FD0"/>
    <w:rsid w:val="00814045"/>
    <w:rsid w:val="00814056"/>
    <w:rsid w:val="00814069"/>
    <w:rsid w:val="0081416E"/>
    <w:rsid w:val="00814175"/>
    <w:rsid w:val="00814181"/>
    <w:rsid w:val="008141E3"/>
    <w:rsid w:val="008141EC"/>
    <w:rsid w:val="00814217"/>
    <w:rsid w:val="00814241"/>
    <w:rsid w:val="00814277"/>
    <w:rsid w:val="008142A9"/>
    <w:rsid w:val="008142D1"/>
    <w:rsid w:val="00814339"/>
    <w:rsid w:val="0081441B"/>
    <w:rsid w:val="0081442F"/>
    <w:rsid w:val="00814461"/>
    <w:rsid w:val="008144E7"/>
    <w:rsid w:val="0081456F"/>
    <w:rsid w:val="0081463C"/>
    <w:rsid w:val="00814643"/>
    <w:rsid w:val="008146B4"/>
    <w:rsid w:val="00814715"/>
    <w:rsid w:val="0081473F"/>
    <w:rsid w:val="00814758"/>
    <w:rsid w:val="008147A3"/>
    <w:rsid w:val="008147BA"/>
    <w:rsid w:val="0081486E"/>
    <w:rsid w:val="008148AC"/>
    <w:rsid w:val="008149E4"/>
    <w:rsid w:val="008149EA"/>
    <w:rsid w:val="00814A18"/>
    <w:rsid w:val="00814A20"/>
    <w:rsid w:val="00814A73"/>
    <w:rsid w:val="00814B1C"/>
    <w:rsid w:val="00814B39"/>
    <w:rsid w:val="00814B44"/>
    <w:rsid w:val="00814B62"/>
    <w:rsid w:val="00814BA7"/>
    <w:rsid w:val="00814BAE"/>
    <w:rsid w:val="00814BD5"/>
    <w:rsid w:val="00814BE4"/>
    <w:rsid w:val="00814C08"/>
    <w:rsid w:val="00814CBB"/>
    <w:rsid w:val="00814D10"/>
    <w:rsid w:val="00814D73"/>
    <w:rsid w:val="00814DEE"/>
    <w:rsid w:val="00814E90"/>
    <w:rsid w:val="00814EC3"/>
    <w:rsid w:val="00814F49"/>
    <w:rsid w:val="00814FB2"/>
    <w:rsid w:val="008150E6"/>
    <w:rsid w:val="00815128"/>
    <w:rsid w:val="00815136"/>
    <w:rsid w:val="008152CE"/>
    <w:rsid w:val="00815304"/>
    <w:rsid w:val="00815307"/>
    <w:rsid w:val="0081530A"/>
    <w:rsid w:val="00815466"/>
    <w:rsid w:val="008154DD"/>
    <w:rsid w:val="008154F2"/>
    <w:rsid w:val="00815570"/>
    <w:rsid w:val="008155FD"/>
    <w:rsid w:val="00815607"/>
    <w:rsid w:val="0081567E"/>
    <w:rsid w:val="00815680"/>
    <w:rsid w:val="008156DE"/>
    <w:rsid w:val="008156DF"/>
    <w:rsid w:val="00815765"/>
    <w:rsid w:val="00815770"/>
    <w:rsid w:val="008157B5"/>
    <w:rsid w:val="008157BB"/>
    <w:rsid w:val="008157C8"/>
    <w:rsid w:val="0081586E"/>
    <w:rsid w:val="00815954"/>
    <w:rsid w:val="00815BA2"/>
    <w:rsid w:val="00815BCA"/>
    <w:rsid w:val="00815BD5"/>
    <w:rsid w:val="00815C16"/>
    <w:rsid w:val="00815C64"/>
    <w:rsid w:val="00815D0D"/>
    <w:rsid w:val="00815D1B"/>
    <w:rsid w:val="00815D68"/>
    <w:rsid w:val="00815E04"/>
    <w:rsid w:val="00815E4F"/>
    <w:rsid w:val="00815E56"/>
    <w:rsid w:val="00815E60"/>
    <w:rsid w:val="00815E9A"/>
    <w:rsid w:val="00815F39"/>
    <w:rsid w:val="008160A4"/>
    <w:rsid w:val="008160EB"/>
    <w:rsid w:val="00816106"/>
    <w:rsid w:val="008161A8"/>
    <w:rsid w:val="008161A9"/>
    <w:rsid w:val="008161F9"/>
    <w:rsid w:val="0081629F"/>
    <w:rsid w:val="0081633E"/>
    <w:rsid w:val="0081635F"/>
    <w:rsid w:val="00816393"/>
    <w:rsid w:val="00816457"/>
    <w:rsid w:val="00816512"/>
    <w:rsid w:val="00816520"/>
    <w:rsid w:val="0081652C"/>
    <w:rsid w:val="00816538"/>
    <w:rsid w:val="00816559"/>
    <w:rsid w:val="008165A7"/>
    <w:rsid w:val="008165AF"/>
    <w:rsid w:val="00816606"/>
    <w:rsid w:val="00816736"/>
    <w:rsid w:val="0081677C"/>
    <w:rsid w:val="00816879"/>
    <w:rsid w:val="00816896"/>
    <w:rsid w:val="008168E8"/>
    <w:rsid w:val="008168EB"/>
    <w:rsid w:val="00816933"/>
    <w:rsid w:val="00816A15"/>
    <w:rsid w:val="00816A1F"/>
    <w:rsid w:val="00816A5E"/>
    <w:rsid w:val="00816A75"/>
    <w:rsid w:val="00816A98"/>
    <w:rsid w:val="00816AC2"/>
    <w:rsid w:val="00816ADE"/>
    <w:rsid w:val="00816AF1"/>
    <w:rsid w:val="00816B01"/>
    <w:rsid w:val="00816B33"/>
    <w:rsid w:val="00816B3D"/>
    <w:rsid w:val="00816B7F"/>
    <w:rsid w:val="00816BD4"/>
    <w:rsid w:val="00816C1A"/>
    <w:rsid w:val="00816C35"/>
    <w:rsid w:val="00816CCC"/>
    <w:rsid w:val="00816DE6"/>
    <w:rsid w:val="00816E5E"/>
    <w:rsid w:val="0081700B"/>
    <w:rsid w:val="0081703F"/>
    <w:rsid w:val="0081704F"/>
    <w:rsid w:val="00817096"/>
    <w:rsid w:val="008170C1"/>
    <w:rsid w:val="00817120"/>
    <w:rsid w:val="00817133"/>
    <w:rsid w:val="00817190"/>
    <w:rsid w:val="008171BA"/>
    <w:rsid w:val="0081721C"/>
    <w:rsid w:val="00817221"/>
    <w:rsid w:val="00817222"/>
    <w:rsid w:val="0081725C"/>
    <w:rsid w:val="0081728A"/>
    <w:rsid w:val="008172A5"/>
    <w:rsid w:val="008172BA"/>
    <w:rsid w:val="008172D0"/>
    <w:rsid w:val="0081733D"/>
    <w:rsid w:val="00817359"/>
    <w:rsid w:val="00817388"/>
    <w:rsid w:val="008173BA"/>
    <w:rsid w:val="008173BF"/>
    <w:rsid w:val="0081743F"/>
    <w:rsid w:val="00817448"/>
    <w:rsid w:val="00817468"/>
    <w:rsid w:val="0081747A"/>
    <w:rsid w:val="008175A9"/>
    <w:rsid w:val="008175EF"/>
    <w:rsid w:val="00817623"/>
    <w:rsid w:val="00817684"/>
    <w:rsid w:val="008176C0"/>
    <w:rsid w:val="008176F0"/>
    <w:rsid w:val="00817721"/>
    <w:rsid w:val="00817770"/>
    <w:rsid w:val="008177CB"/>
    <w:rsid w:val="00817801"/>
    <w:rsid w:val="00817858"/>
    <w:rsid w:val="008178AC"/>
    <w:rsid w:val="008178FE"/>
    <w:rsid w:val="0081794A"/>
    <w:rsid w:val="00817A03"/>
    <w:rsid w:val="00817A76"/>
    <w:rsid w:val="00817AFD"/>
    <w:rsid w:val="00817B09"/>
    <w:rsid w:val="00817B12"/>
    <w:rsid w:val="00817B14"/>
    <w:rsid w:val="00817B76"/>
    <w:rsid w:val="00817BD4"/>
    <w:rsid w:val="00817C23"/>
    <w:rsid w:val="00817C78"/>
    <w:rsid w:val="00817C8A"/>
    <w:rsid w:val="00817CB3"/>
    <w:rsid w:val="00817CCA"/>
    <w:rsid w:val="00817D03"/>
    <w:rsid w:val="00817E43"/>
    <w:rsid w:val="00817E7C"/>
    <w:rsid w:val="00817ED7"/>
    <w:rsid w:val="00817EF8"/>
    <w:rsid w:val="00817F39"/>
    <w:rsid w:val="0082002A"/>
    <w:rsid w:val="0082004D"/>
    <w:rsid w:val="00820077"/>
    <w:rsid w:val="0082007C"/>
    <w:rsid w:val="0082009A"/>
    <w:rsid w:val="008200DE"/>
    <w:rsid w:val="008200F9"/>
    <w:rsid w:val="00820128"/>
    <w:rsid w:val="00820200"/>
    <w:rsid w:val="008202C8"/>
    <w:rsid w:val="008202DB"/>
    <w:rsid w:val="00820370"/>
    <w:rsid w:val="0082037C"/>
    <w:rsid w:val="0082039E"/>
    <w:rsid w:val="00820409"/>
    <w:rsid w:val="00820468"/>
    <w:rsid w:val="008204B9"/>
    <w:rsid w:val="0082055F"/>
    <w:rsid w:val="0082076C"/>
    <w:rsid w:val="00820776"/>
    <w:rsid w:val="0082077F"/>
    <w:rsid w:val="008207B2"/>
    <w:rsid w:val="00820892"/>
    <w:rsid w:val="00820914"/>
    <w:rsid w:val="00820936"/>
    <w:rsid w:val="008209DC"/>
    <w:rsid w:val="00820A71"/>
    <w:rsid w:val="00820ABD"/>
    <w:rsid w:val="00820AD5"/>
    <w:rsid w:val="00820AE4"/>
    <w:rsid w:val="00820AFA"/>
    <w:rsid w:val="00820B1E"/>
    <w:rsid w:val="00820B4B"/>
    <w:rsid w:val="00820C8D"/>
    <w:rsid w:val="00820CBE"/>
    <w:rsid w:val="00820D7F"/>
    <w:rsid w:val="00820DF1"/>
    <w:rsid w:val="00820DFE"/>
    <w:rsid w:val="00820EAC"/>
    <w:rsid w:val="00820EBD"/>
    <w:rsid w:val="00820ED9"/>
    <w:rsid w:val="00820F24"/>
    <w:rsid w:val="00820FB8"/>
    <w:rsid w:val="0082106C"/>
    <w:rsid w:val="008210CE"/>
    <w:rsid w:val="008211A4"/>
    <w:rsid w:val="0082122D"/>
    <w:rsid w:val="00821241"/>
    <w:rsid w:val="0082127D"/>
    <w:rsid w:val="0082129C"/>
    <w:rsid w:val="008212B6"/>
    <w:rsid w:val="008212BC"/>
    <w:rsid w:val="008212C4"/>
    <w:rsid w:val="008212D7"/>
    <w:rsid w:val="0082131F"/>
    <w:rsid w:val="0082132C"/>
    <w:rsid w:val="008213FC"/>
    <w:rsid w:val="00821473"/>
    <w:rsid w:val="008214A8"/>
    <w:rsid w:val="00821522"/>
    <w:rsid w:val="0082152F"/>
    <w:rsid w:val="00821535"/>
    <w:rsid w:val="008215FC"/>
    <w:rsid w:val="0082163E"/>
    <w:rsid w:val="00821653"/>
    <w:rsid w:val="008216D6"/>
    <w:rsid w:val="008216E1"/>
    <w:rsid w:val="00821852"/>
    <w:rsid w:val="00821860"/>
    <w:rsid w:val="0082194E"/>
    <w:rsid w:val="008219B8"/>
    <w:rsid w:val="008219BF"/>
    <w:rsid w:val="008219CD"/>
    <w:rsid w:val="008219EF"/>
    <w:rsid w:val="00821AE5"/>
    <w:rsid w:val="00821B70"/>
    <w:rsid w:val="00821BDE"/>
    <w:rsid w:val="00821CEF"/>
    <w:rsid w:val="00821D03"/>
    <w:rsid w:val="00821D5E"/>
    <w:rsid w:val="00821D9D"/>
    <w:rsid w:val="00821DCD"/>
    <w:rsid w:val="00821EE8"/>
    <w:rsid w:val="0082206F"/>
    <w:rsid w:val="008220A1"/>
    <w:rsid w:val="008220D3"/>
    <w:rsid w:val="0082210B"/>
    <w:rsid w:val="0082212F"/>
    <w:rsid w:val="0082232A"/>
    <w:rsid w:val="0082234A"/>
    <w:rsid w:val="00822367"/>
    <w:rsid w:val="00822386"/>
    <w:rsid w:val="00822394"/>
    <w:rsid w:val="008223E2"/>
    <w:rsid w:val="00822497"/>
    <w:rsid w:val="008224A5"/>
    <w:rsid w:val="008224D6"/>
    <w:rsid w:val="0082250A"/>
    <w:rsid w:val="0082251F"/>
    <w:rsid w:val="0082258B"/>
    <w:rsid w:val="008225F7"/>
    <w:rsid w:val="00822634"/>
    <w:rsid w:val="00822654"/>
    <w:rsid w:val="00822664"/>
    <w:rsid w:val="00822764"/>
    <w:rsid w:val="0082276D"/>
    <w:rsid w:val="008227A2"/>
    <w:rsid w:val="008227A9"/>
    <w:rsid w:val="008227AB"/>
    <w:rsid w:val="00822873"/>
    <w:rsid w:val="008228CE"/>
    <w:rsid w:val="00822932"/>
    <w:rsid w:val="0082295C"/>
    <w:rsid w:val="00822988"/>
    <w:rsid w:val="008229AF"/>
    <w:rsid w:val="00822A84"/>
    <w:rsid w:val="00822AD2"/>
    <w:rsid w:val="00822B74"/>
    <w:rsid w:val="00822BB1"/>
    <w:rsid w:val="00822BBB"/>
    <w:rsid w:val="00822C61"/>
    <w:rsid w:val="00822C62"/>
    <w:rsid w:val="00822D9C"/>
    <w:rsid w:val="00822DF2"/>
    <w:rsid w:val="00822E25"/>
    <w:rsid w:val="00822EAE"/>
    <w:rsid w:val="00822EF6"/>
    <w:rsid w:val="00822F56"/>
    <w:rsid w:val="00822F6D"/>
    <w:rsid w:val="00823003"/>
    <w:rsid w:val="00823008"/>
    <w:rsid w:val="00823048"/>
    <w:rsid w:val="00823097"/>
    <w:rsid w:val="00823142"/>
    <w:rsid w:val="00823157"/>
    <w:rsid w:val="00823158"/>
    <w:rsid w:val="00823177"/>
    <w:rsid w:val="00823283"/>
    <w:rsid w:val="00823289"/>
    <w:rsid w:val="0082335E"/>
    <w:rsid w:val="008233E2"/>
    <w:rsid w:val="0082340A"/>
    <w:rsid w:val="0082343C"/>
    <w:rsid w:val="00823478"/>
    <w:rsid w:val="00823494"/>
    <w:rsid w:val="008234B2"/>
    <w:rsid w:val="008234EA"/>
    <w:rsid w:val="00823585"/>
    <w:rsid w:val="008235D5"/>
    <w:rsid w:val="008235F9"/>
    <w:rsid w:val="00823669"/>
    <w:rsid w:val="00823693"/>
    <w:rsid w:val="00823734"/>
    <w:rsid w:val="0082375D"/>
    <w:rsid w:val="008237EE"/>
    <w:rsid w:val="00823823"/>
    <w:rsid w:val="0082382A"/>
    <w:rsid w:val="008238EF"/>
    <w:rsid w:val="00823938"/>
    <w:rsid w:val="008239F2"/>
    <w:rsid w:val="00823A01"/>
    <w:rsid w:val="00823A21"/>
    <w:rsid w:val="00823A66"/>
    <w:rsid w:val="00823A87"/>
    <w:rsid w:val="00823ABE"/>
    <w:rsid w:val="00823AC1"/>
    <w:rsid w:val="00823B17"/>
    <w:rsid w:val="00823B22"/>
    <w:rsid w:val="00823C7E"/>
    <w:rsid w:val="00823DC0"/>
    <w:rsid w:val="00823DCF"/>
    <w:rsid w:val="00823DE3"/>
    <w:rsid w:val="00823EAD"/>
    <w:rsid w:val="00823EBD"/>
    <w:rsid w:val="00823ECF"/>
    <w:rsid w:val="00823F41"/>
    <w:rsid w:val="00823F8C"/>
    <w:rsid w:val="00823FC2"/>
    <w:rsid w:val="00823FCD"/>
    <w:rsid w:val="0082401D"/>
    <w:rsid w:val="00824024"/>
    <w:rsid w:val="00824190"/>
    <w:rsid w:val="00824203"/>
    <w:rsid w:val="00824210"/>
    <w:rsid w:val="0082423F"/>
    <w:rsid w:val="00824284"/>
    <w:rsid w:val="0082428C"/>
    <w:rsid w:val="00824297"/>
    <w:rsid w:val="008242A2"/>
    <w:rsid w:val="008242E0"/>
    <w:rsid w:val="008242E8"/>
    <w:rsid w:val="00824328"/>
    <w:rsid w:val="00824382"/>
    <w:rsid w:val="008243B5"/>
    <w:rsid w:val="0082443C"/>
    <w:rsid w:val="008244F3"/>
    <w:rsid w:val="00824519"/>
    <w:rsid w:val="008245A5"/>
    <w:rsid w:val="0082463D"/>
    <w:rsid w:val="008246B1"/>
    <w:rsid w:val="008246E0"/>
    <w:rsid w:val="008246F6"/>
    <w:rsid w:val="00824785"/>
    <w:rsid w:val="0082479A"/>
    <w:rsid w:val="008247FD"/>
    <w:rsid w:val="0082480D"/>
    <w:rsid w:val="00824837"/>
    <w:rsid w:val="008248DF"/>
    <w:rsid w:val="0082496D"/>
    <w:rsid w:val="008249A1"/>
    <w:rsid w:val="008249B8"/>
    <w:rsid w:val="008249D0"/>
    <w:rsid w:val="00824B9C"/>
    <w:rsid w:val="00824BC6"/>
    <w:rsid w:val="00824BF9"/>
    <w:rsid w:val="00824C76"/>
    <w:rsid w:val="00824C8C"/>
    <w:rsid w:val="00824CAD"/>
    <w:rsid w:val="00824CB2"/>
    <w:rsid w:val="00824CC6"/>
    <w:rsid w:val="00824D62"/>
    <w:rsid w:val="00824DBD"/>
    <w:rsid w:val="00824E25"/>
    <w:rsid w:val="00824E2C"/>
    <w:rsid w:val="00824EE6"/>
    <w:rsid w:val="00824F1C"/>
    <w:rsid w:val="00824FAA"/>
    <w:rsid w:val="00824FBF"/>
    <w:rsid w:val="00824FD4"/>
    <w:rsid w:val="008250F3"/>
    <w:rsid w:val="0082510C"/>
    <w:rsid w:val="00825133"/>
    <w:rsid w:val="00825186"/>
    <w:rsid w:val="00825195"/>
    <w:rsid w:val="00825197"/>
    <w:rsid w:val="008251B9"/>
    <w:rsid w:val="008251E4"/>
    <w:rsid w:val="0082521E"/>
    <w:rsid w:val="0082522B"/>
    <w:rsid w:val="008252B2"/>
    <w:rsid w:val="008252F5"/>
    <w:rsid w:val="00825345"/>
    <w:rsid w:val="0082535F"/>
    <w:rsid w:val="00825381"/>
    <w:rsid w:val="008253CA"/>
    <w:rsid w:val="008253D8"/>
    <w:rsid w:val="008254D2"/>
    <w:rsid w:val="00825544"/>
    <w:rsid w:val="00825569"/>
    <w:rsid w:val="0082558C"/>
    <w:rsid w:val="00825595"/>
    <w:rsid w:val="008255AF"/>
    <w:rsid w:val="008255EC"/>
    <w:rsid w:val="00825650"/>
    <w:rsid w:val="008256B2"/>
    <w:rsid w:val="008256E0"/>
    <w:rsid w:val="008257C1"/>
    <w:rsid w:val="0082589F"/>
    <w:rsid w:val="008258A6"/>
    <w:rsid w:val="008258F5"/>
    <w:rsid w:val="0082590F"/>
    <w:rsid w:val="0082593D"/>
    <w:rsid w:val="0082595C"/>
    <w:rsid w:val="008259E4"/>
    <w:rsid w:val="00825BAE"/>
    <w:rsid w:val="00825D66"/>
    <w:rsid w:val="00825D91"/>
    <w:rsid w:val="00825D96"/>
    <w:rsid w:val="00825D9A"/>
    <w:rsid w:val="00825DAF"/>
    <w:rsid w:val="00825E3F"/>
    <w:rsid w:val="00825E54"/>
    <w:rsid w:val="00825EB3"/>
    <w:rsid w:val="00825F35"/>
    <w:rsid w:val="00825F8E"/>
    <w:rsid w:val="00825FB1"/>
    <w:rsid w:val="00825FC3"/>
    <w:rsid w:val="00826005"/>
    <w:rsid w:val="00826046"/>
    <w:rsid w:val="0082605B"/>
    <w:rsid w:val="0082616F"/>
    <w:rsid w:val="00826266"/>
    <w:rsid w:val="00826312"/>
    <w:rsid w:val="00826325"/>
    <w:rsid w:val="00826415"/>
    <w:rsid w:val="00826423"/>
    <w:rsid w:val="0082642A"/>
    <w:rsid w:val="00826559"/>
    <w:rsid w:val="00826589"/>
    <w:rsid w:val="00826621"/>
    <w:rsid w:val="00826682"/>
    <w:rsid w:val="008266CD"/>
    <w:rsid w:val="008266E4"/>
    <w:rsid w:val="00826709"/>
    <w:rsid w:val="0082670D"/>
    <w:rsid w:val="00826735"/>
    <w:rsid w:val="0082677B"/>
    <w:rsid w:val="00826796"/>
    <w:rsid w:val="008267DD"/>
    <w:rsid w:val="00826807"/>
    <w:rsid w:val="0082697E"/>
    <w:rsid w:val="008269C9"/>
    <w:rsid w:val="00826A78"/>
    <w:rsid w:val="00826AC4"/>
    <w:rsid w:val="00826B08"/>
    <w:rsid w:val="00826B0B"/>
    <w:rsid w:val="00826B61"/>
    <w:rsid w:val="00826B63"/>
    <w:rsid w:val="00826BCA"/>
    <w:rsid w:val="00826C06"/>
    <w:rsid w:val="00826C1C"/>
    <w:rsid w:val="00826D06"/>
    <w:rsid w:val="00826D68"/>
    <w:rsid w:val="00826DBC"/>
    <w:rsid w:val="00826E69"/>
    <w:rsid w:val="00826E79"/>
    <w:rsid w:val="00826E7B"/>
    <w:rsid w:val="00826E94"/>
    <w:rsid w:val="00826ECE"/>
    <w:rsid w:val="00826F0A"/>
    <w:rsid w:val="00826F34"/>
    <w:rsid w:val="00826F63"/>
    <w:rsid w:val="00826F87"/>
    <w:rsid w:val="00826F92"/>
    <w:rsid w:val="00826FF3"/>
    <w:rsid w:val="0082700B"/>
    <w:rsid w:val="0082700C"/>
    <w:rsid w:val="00827049"/>
    <w:rsid w:val="00827089"/>
    <w:rsid w:val="0082710E"/>
    <w:rsid w:val="0082712E"/>
    <w:rsid w:val="00827166"/>
    <w:rsid w:val="008271BF"/>
    <w:rsid w:val="008271C3"/>
    <w:rsid w:val="00827285"/>
    <w:rsid w:val="008272E7"/>
    <w:rsid w:val="00827344"/>
    <w:rsid w:val="008273CD"/>
    <w:rsid w:val="008273F9"/>
    <w:rsid w:val="00827459"/>
    <w:rsid w:val="00827501"/>
    <w:rsid w:val="0082752E"/>
    <w:rsid w:val="00827593"/>
    <w:rsid w:val="008275A6"/>
    <w:rsid w:val="008275FF"/>
    <w:rsid w:val="00827602"/>
    <w:rsid w:val="00827644"/>
    <w:rsid w:val="0082765D"/>
    <w:rsid w:val="00827662"/>
    <w:rsid w:val="00827679"/>
    <w:rsid w:val="00827731"/>
    <w:rsid w:val="00827770"/>
    <w:rsid w:val="008277F3"/>
    <w:rsid w:val="00827846"/>
    <w:rsid w:val="0082784D"/>
    <w:rsid w:val="0082786D"/>
    <w:rsid w:val="008278DE"/>
    <w:rsid w:val="0082793F"/>
    <w:rsid w:val="00827946"/>
    <w:rsid w:val="00827960"/>
    <w:rsid w:val="008279A7"/>
    <w:rsid w:val="008279AF"/>
    <w:rsid w:val="00827A6A"/>
    <w:rsid w:val="00827A7C"/>
    <w:rsid w:val="00827AEA"/>
    <w:rsid w:val="00827B3F"/>
    <w:rsid w:val="00827B67"/>
    <w:rsid w:val="00827BAA"/>
    <w:rsid w:val="00827CB0"/>
    <w:rsid w:val="00827CCE"/>
    <w:rsid w:val="00827D60"/>
    <w:rsid w:val="00827D70"/>
    <w:rsid w:val="00827E2F"/>
    <w:rsid w:val="00827E59"/>
    <w:rsid w:val="00827E8C"/>
    <w:rsid w:val="00827EC1"/>
    <w:rsid w:val="00827F15"/>
    <w:rsid w:val="0083007D"/>
    <w:rsid w:val="0083009F"/>
    <w:rsid w:val="008300A0"/>
    <w:rsid w:val="008300BA"/>
    <w:rsid w:val="008300F4"/>
    <w:rsid w:val="0083010B"/>
    <w:rsid w:val="00830128"/>
    <w:rsid w:val="0083014F"/>
    <w:rsid w:val="0083019B"/>
    <w:rsid w:val="008301DC"/>
    <w:rsid w:val="008301F9"/>
    <w:rsid w:val="00830236"/>
    <w:rsid w:val="00830238"/>
    <w:rsid w:val="0083024A"/>
    <w:rsid w:val="0083027B"/>
    <w:rsid w:val="008302BD"/>
    <w:rsid w:val="008303F5"/>
    <w:rsid w:val="00830403"/>
    <w:rsid w:val="0083043A"/>
    <w:rsid w:val="008304B6"/>
    <w:rsid w:val="00830557"/>
    <w:rsid w:val="00830606"/>
    <w:rsid w:val="00830698"/>
    <w:rsid w:val="008306AC"/>
    <w:rsid w:val="008306B0"/>
    <w:rsid w:val="008306F8"/>
    <w:rsid w:val="00830770"/>
    <w:rsid w:val="008307F5"/>
    <w:rsid w:val="00830897"/>
    <w:rsid w:val="008308C5"/>
    <w:rsid w:val="00830942"/>
    <w:rsid w:val="0083095A"/>
    <w:rsid w:val="0083095B"/>
    <w:rsid w:val="00830A15"/>
    <w:rsid w:val="00830A81"/>
    <w:rsid w:val="00830AF7"/>
    <w:rsid w:val="00830B52"/>
    <w:rsid w:val="00830BCF"/>
    <w:rsid w:val="00830C08"/>
    <w:rsid w:val="00830C7F"/>
    <w:rsid w:val="00830D07"/>
    <w:rsid w:val="00830D48"/>
    <w:rsid w:val="00830DDF"/>
    <w:rsid w:val="00830DE0"/>
    <w:rsid w:val="00830E33"/>
    <w:rsid w:val="00830E3B"/>
    <w:rsid w:val="00830E3E"/>
    <w:rsid w:val="00830E71"/>
    <w:rsid w:val="00830E82"/>
    <w:rsid w:val="00830E89"/>
    <w:rsid w:val="00830E96"/>
    <w:rsid w:val="00830EED"/>
    <w:rsid w:val="00830EFB"/>
    <w:rsid w:val="00830FDA"/>
    <w:rsid w:val="00830FE5"/>
    <w:rsid w:val="00831022"/>
    <w:rsid w:val="0083102B"/>
    <w:rsid w:val="00831104"/>
    <w:rsid w:val="00831192"/>
    <w:rsid w:val="00831200"/>
    <w:rsid w:val="00831282"/>
    <w:rsid w:val="008312A2"/>
    <w:rsid w:val="008312B4"/>
    <w:rsid w:val="0083136C"/>
    <w:rsid w:val="008313CE"/>
    <w:rsid w:val="00831418"/>
    <w:rsid w:val="0083146E"/>
    <w:rsid w:val="008314CF"/>
    <w:rsid w:val="008314E1"/>
    <w:rsid w:val="00831510"/>
    <w:rsid w:val="0083151F"/>
    <w:rsid w:val="00831524"/>
    <w:rsid w:val="008315DC"/>
    <w:rsid w:val="008315EE"/>
    <w:rsid w:val="00831614"/>
    <w:rsid w:val="00831653"/>
    <w:rsid w:val="00831689"/>
    <w:rsid w:val="008316C8"/>
    <w:rsid w:val="0083178E"/>
    <w:rsid w:val="00831985"/>
    <w:rsid w:val="008319DC"/>
    <w:rsid w:val="00831A20"/>
    <w:rsid w:val="00831A47"/>
    <w:rsid w:val="00831AAB"/>
    <w:rsid w:val="00831B0C"/>
    <w:rsid w:val="00831BA1"/>
    <w:rsid w:val="00831C0A"/>
    <w:rsid w:val="00831C56"/>
    <w:rsid w:val="00831C87"/>
    <w:rsid w:val="00831CB6"/>
    <w:rsid w:val="00831E13"/>
    <w:rsid w:val="00831E34"/>
    <w:rsid w:val="00831EBE"/>
    <w:rsid w:val="00831F0B"/>
    <w:rsid w:val="00831F5E"/>
    <w:rsid w:val="00831FAC"/>
    <w:rsid w:val="00832040"/>
    <w:rsid w:val="0083204B"/>
    <w:rsid w:val="008320CE"/>
    <w:rsid w:val="00832192"/>
    <w:rsid w:val="008321CC"/>
    <w:rsid w:val="0083227E"/>
    <w:rsid w:val="008322DD"/>
    <w:rsid w:val="00832379"/>
    <w:rsid w:val="00832383"/>
    <w:rsid w:val="008323B8"/>
    <w:rsid w:val="008323D5"/>
    <w:rsid w:val="008323F6"/>
    <w:rsid w:val="00832438"/>
    <w:rsid w:val="0083243E"/>
    <w:rsid w:val="0083243F"/>
    <w:rsid w:val="008325BE"/>
    <w:rsid w:val="008325C0"/>
    <w:rsid w:val="008325C5"/>
    <w:rsid w:val="008325E1"/>
    <w:rsid w:val="0083261B"/>
    <w:rsid w:val="00832646"/>
    <w:rsid w:val="008326DB"/>
    <w:rsid w:val="008326F6"/>
    <w:rsid w:val="008327CF"/>
    <w:rsid w:val="008327DE"/>
    <w:rsid w:val="0083282A"/>
    <w:rsid w:val="00832855"/>
    <w:rsid w:val="008328D3"/>
    <w:rsid w:val="008328E2"/>
    <w:rsid w:val="00832923"/>
    <w:rsid w:val="00832955"/>
    <w:rsid w:val="008329C9"/>
    <w:rsid w:val="008329D7"/>
    <w:rsid w:val="00832A67"/>
    <w:rsid w:val="00832A69"/>
    <w:rsid w:val="00832B30"/>
    <w:rsid w:val="00832B76"/>
    <w:rsid w:val="00832B9A"/>
    <w:rsid w:val="00832BA3"/>
    <w:rsid w:val="00832BC1"/>
    <w:rsid w:val="00832BFB"/>
    <w:rsid w:val="00832C38"/>
    <w:rsid w:val="00832C4B"/>
    <w:rsid w:val="00832C97"/>
    <w:rsid w:val="00832DA9"/>
    <w:rsid w:val="00832DAC"/>
    <w:rsid w:val="00832E10"/>
    <w:rsid w:val="00832E87"/>
    <w:rsid w:val="00832E8A"/>
    <w:rsid w:val="00832E8D"/>
    <w:rsid w:val="00832E91"/>
    <w:rsid w:val="00832F16"/>
    <w:rsid w:val="00832F90"/>
    <w:rsid w:val="00832F92"/>
    <w:rsid w:val="00832F93"/>
    <w:rsid w:val="00832FAE"/>
    <w:rsid w:val="0083307A"/>
    <w:rsid w:val="008330BF"/>
    <w:rsid w:val="00833123"/>
    <w:rsid w:val="0083316A"/>
    <w:rsid w:val="00833231"/>
    <w:rsid w:val="008332B0"/>
    <w:rsid w:val="008333A8"/>
    <w:rsid w:val="008333D5"/>
    <w:rsid w:val="00833404"/>
    <w:rsid w:val="00833449"/>
    <w:rsid w:val="00833508"/>
    <w:rsid w:val="00833540"/>
    <w:rsid w:val="00833580"/>
    <w:rsid w:val="0083359B"/>
    <w:rsid w:val="008335DB"/>
    <w:rsid w:val="0083370C"/>
    <w:rsid w:val="00833718"/>
    <w:rsid w:val="0083373F"/>
    <w:rsid w:val="00833828"/>
    <w:rsid w:val="0083389A"/>
    <w:rsid w:val="008339A6"/>
    <w:rsid w:val="008339E8"/>
    <w:rsid w:val="00833A49"/>
    <w:rsid w:val="00833A68"/>
    <w:rsid w:val="00833A76"/>
    <w:rsid w:val="00833AB1"/>
    <w:rsid w:val="00833BD7"/>
    <w:rsid w:val="00833C65"/>
    <w:rsid w:val="00833C8B"/>
    <w:rsid w:val="00833CB1"/>
    <w:rsid w:val="00833DD2"/>
    <w:rsid w:val="00833E29"/>
    <w:rsid w:val="00833E56"/>
    <w:rsid w:val="00833E63"/>
    <w:rsid w:val="00833EAD"/>
    <w:rsid w:val="00833EBF"/>
    <w:rsid w:val="00833EE2"/>
    <w:rsid w:val="00833F09"/>
    <w:rsid w:val="00833F69"/>
    <w:rsid w:val="00834011"/>
    <w:rsid w:val="00834088"/>
    <w:rsid w:val="00834132"/>
    <w:rsid w:val="0083415B"/>
    <w:rsid w:val="00834169"/>
    <w:rsid w:val="00834176"/>
    <w:rsid w:val="00834243"/>
    <w:rsid w:val="0083424E"/>
    <w:rsid w:val="00834286"/>
    <w:rsid w:val="008342A6"/>
    <w:rsid w:val="008342EC"/>
    <w:rsid w:val="008343C3"/>
    <w:rsid w:val="00834402"/>
    <w:rsid w:val="008344C8"/>
    <w:rsid w:val="0083450A"/>
    <w:rsid w:val="00834588"/>
    <w:rsid w:val="00834598"/>
    <w:rsid w:val="008345AB"/>
    <w:rsid w:val="0083461A"/>
    <w:rsid w:val="0083466D"/>
    <w:rsid w:val="0083467C"/>
    <w:rsid w:val="008346EB"/>
    <w:rsid w:val="008347AA"/>
    <w:rsid w:val="00834810"/>
    <w:rsid w:val="008348CB"/>
    <w:rsid w:val="00834965"/>
    <w:rsid w:val="0083496B"/>
    <w:rsid w:val="008349DB"/>
    <w:rsid w:val="00834A01"/>
    <w:rsid w:val="00834AEC"/>
    <w:rsid w:val="00834AFF"/>
    <w:rsid w:val="00834B07"/>
    <w:rsid w:val="00834BAE"/>
    <w:rsid w:val="00834C6F"/>
    <w:rsid w:val="00834CFC"/>
    <w:rsid w:val="00834D36"/>
    <w:rsid w:val="00834D62"/>
    <w:rsid w:val="00834DCE"/>
    <w:rsid w:val="00834E6B"/>
    <w:rsid w:val="00834E8A"/>
    <w:rsid w:val="00834E93"/>
    <w:rsid w:val="00834EA8"/>
    <w:rsid w:val="00834EAB"/>
    <w:rsid w:val="00834EB9"/>
    <w:rsid w:val="00834EBF"/>
    <w:rsid w:val="00834EE2"/>
    <w:rsid w:val="0083507E"/>
    <w:rsid w:val="008350C0"/>
    <w:rsid w:val="008350D0"/>
    <w:rsid w:val="0083514D"/>
    <w:rsid w:val="008351AB"/>
    <w:rsid w:val="008351D7"/>
    <w:rsid w:val="00835215"/>
    <w:rsid w:val="008354E1"/>
    <w:rsid w:val="008354E4"/>
    <w:rsid w:val="008355B4"/>
    <w:rsid w:val="008355FD"/>
    <w:rsid w:val="00835651"/>
    <w:rsid w:val="008356AE"/>
    <w:rsid w:val="008356FB"/>
    <w:rsid w:val="00835784"/>
    <w:rsid w:val="00835791"/>
    <w:rsid w:val="008357BB"/>
    <w:rsid w:val="008357BD"/>
    <w:rsid w:val="00835808"/>
    <w:rsid w:val="00835814"/>
    <w:rsid w:val="00835824"/>
    <w:rsid w:val="0083589E"/>
    <w:rsid w:val="008358F2"/>
    <w:rsid w:val="0083591D"/>
    <w:rsid w:val="00835A02"/>
    <w:rsid w:val="00835AB3"/>
    <w:rsid w:val="00835ADA"/>
    <w:rsid w:val="00835B5B"/>
    <w:rsid w:val="00835B5D"/>
    <w:rsid w:val="00835BAA"/>
    <w:rsid w:val="00835BE6"/>
    <w:rsid w:val="00835C60"/>
    <w:rsid w:val="00835CB7"/>
    <w:rsid w:val="00835D36"/>
    <w:rsid w:val="00835DAD"/>
    <w:rsid w:val="00835EA0"/>
    <w:rsid w:val="00835EC4"/>
    <w:rsid w:val="00835F03"/>
    <w:rsid w:val="00835F13"/>
    <w:rsid w:val="00835F30"/>
    <w:rsid w:val="00835F3C"/>
    <w:rsid w:val="00835FB0"/>
    <w:rsid w:val="00835FBD"/>
    <w:rsid w:val="00835FD6"/>
    <w:rsid w:val="00835FF7"/>
    <w:rsid w:val="0083603D"/>
    <w:rsid w:val="00836073"/>
    <w:rsid w:val="0083609A"/>
    <w:rsid w:val="008360DF"/>
    <w:rsid w:val="008360E0"/>
    <w:rsid w:val="00836135"/>
    <w:rsid w:val="00836153"/>
    <w:rsid w:val="0083618E"/>
    <w:rsid w:val="00836196"/>
    <w:rsid w:val="008361B4"/>
    <w:rsid w:val="008361C0"/>
    <w:rsid w:val="0083624D"/>
    <w:rsid w:val="00836273"/>
    <w:rsid w:val="00836299"/>
    <w:rsid w:val="00836337"/>
    <w:rsid w:val="00836340"/>
    <w:rsid w:val="00836344"/>
    <w:rsid w:val="0083635C"/>
    <w:rsid w:val="00836378"/>
    <w:rsid w:val="008363E6"/>
    <w:rsid w:val="00836400"/>
    <w:rsid w:val="0083646C"/>
    <w:rsid w:val="00836668"/>
    <w:rsid w:val="0083666F"/>
    <w:rsid w:val="00836696"/>
    <w:rsid w:val="008366A7"/>
    <w:rsid w:val="008366CB"/>
    <w:rsid w:val="008366D3"/>
    <w:rsid w:val="008366FB"/>
    <w:rsid w:val="00836728"/>
    <w:rsid w:val="0083673B"/>
    <w:rsid w:val="00836740"/>
    <w:rsid w:val="00836752"/>
    <w:rsid w:val="00836785"/>
    <w:rsid w:val="008367D7"/>
    <w:rsid w:val="00836821"/>
    <w:rsid w:val="00836830"/>
    <w:rsid w:val="00836918"/>
    <w:rsid w:val="00836952"/>
    <w:rsid w:val="00836980"/>
    <w:rsid w:val="00836998"/>
    <w:rsid w:val="008369E9"/>
    <w:rsid w:val="00836A1F"/>
    <w:rsid w:val="00836A5C"/>
    <w:rsid w:val="00836AE7"/>
    <w:rsid w:val="00836BBC"/>
    <w:rsid w:val="00836C36"/>
    <w:rsid w:val="00836C38"/>
    <w:rsid w:val="00836CAA"/>
    <w:rsid w:val="00836CE3"/>
    <w:rsid w:val="00836CF4"/>
    <w:rsid w:val="00836D11"/>
    <w:rsid w:val="00836DF7"/>
    <w:rsid w:val="00836E15"/>
    <w:rsid w:val="00836E60"/>
    <w:rsid w:val="00836F19"/>
    <w:rsid w:val="00837005"/>
    <w:rsid w:val="0083703A"/>
    <w:rsid w:val="00837076"/>
    <w:rsid w:val="0083707F"/>
    <w:rsid w:val="008370A5"/>
    <w:rsid w:val="008370B8"/>
    <w:rsid w:val="00837195"/>
    <w:rsid w:val="008371D2"/>
    <w:rsid w:val="008372ED"/>
    <w:rsid w:val="0083732B"/>
    <w:rsid w:val="0083732D"/>
    <w:rsid w:val="00837380"/>
    <w:rsid w:val="0083739E"/>
    <w:rsid w:val="008373D9"/>
    <w:rsid w:val="008373E1"/>
    <w:rsid w:val="008373E4"/>
    <w:rsid w:val="00837471"/>
    <w:rsid w:val="008375D0"/>
    <w:rsid w:val="00837640"/>
    <w:rsid w:val="0083773D"/>
    <w:rsid w:val="00837760"/>
    <w:rsid w:val="00837782"/>
    <w:rsid w:val="00837790"/>
    <w:rsid w:val="008377D3"/>
    <w:rsid w:val="008377D6"/>
    <w:rsid w:val="0083788B"/>
    <w:rsid w:val="008379BD"/>
    <w:rsid w:val="008379BF"/>
    <w:rsid w:val="008379F8"/>
    <w:rsid w:val="00837A5A"/>
    <w:rsid w:val="00837A8C"/>
    <w:rsid w:val="00837AB7"/>
    <w:rsid w:val="00837AB9"/>
    <w:rsid w:val="00837B10"/>
    <w:rsid w:val="00837B42"/>
    <w:rsid w:val="00837B54"/>
    <w:rsid w:val="00837B91"/>
    <w:rsid w:val="00837C36"/>
    <w:rsid w:val="00837C8C"/>
    <w:rsid w:val="00837CD7"/>
    <w:rsid w:val="00837D2D"/>
    <w:rsid w:val="00837D6B"/>
    <w:rsid w:val="00837D81"/>
    <w:rsid w:val="00837DC5"/>
    <w:rsid w:val="00837DDA"/>
    <w:rsid w:val="00837DF8"/>
    <w:rsid w:val="00837E80"/>
    <w:rsid w:val="00837FE0"/>
    <w:rsid w:val="00837FFD"/>
    <w:rsid w:val="00840001"/>
    <w:rsid w:val="00840054"/>
    <w:rsid w:val="00840086"/>
    <w:rsid w:val="008400C4"/>
    <w:rsid w:val="008400CA"/>
    <w:rsid w:val="008400D8"/>
    <w:rsid w:val="00840102"/>
    <w:rsid w:val="0084010D"/>
    <w:rsid w:val="0084011D"/>
    <w:rsid w:val="00840131"/>
    <w:rsid w:val="0084017B"/>
    <w:rsid w:val="008401E3"/>
    <w:rsid w:val="008402B6"/>
    <w:rsid w:val="008402CC"/>
    <w:rsid w:val="008402E6"/>
    <w:rsid w:val="008402ED"/>
    <w:rsid w:val="0084038E"/>
    <w:rsid w:val="008403B5"/>
    <w:rsid w:val="008403BF"/>
    <w:rsid w:val="00840424"/>
    <w:rsid w:val="00840431"/>
    <w:rsid w:val="0084043A"/>
    <w:rsid w:val="008404B6"/>
    <w:rsid w:val="008404C2"/>
    <w:rsid w:val="008404D5"/>
    <w:rsid w:val="008405C5"/>
    <w:rsid w:val="0084065E"/>
    <w:rsid w:val="00840687"/>
    <w:rsid w:val="0084068B"/>
    <w:rsid w:val="008406E5"/>
    <w:rsid w:val="00840756"/>
    <w:rsid w:val="008407B9"/>
    <w:rsid w:val="008407D1"/>
    <w:rsid w:val="00840804"/>
    <w:rsid w:val="00840825"/>
    <w:rsid w:val="00840872"/>
    <w:rsid w:val="00840979"/>
    <w:rsid w:val="00840993"/>
    <w:rsid w:val="008409AE"/>
    <w:rsid w:val="008409FA"/>
    <w:rsid w:val="00840A93"/>
    <w:rsid w:val="00840AAB"/>
    <w:rsid w:val="00840B37"/>
    <w:rsid w:val="00840B50"/>
    <w:rsid w:val="00840B81"/>
    <w:rsid w:val="00840BA3"/>
    <w:rsid w:val="00840BB0"/>
    <w:rsid w:val="00840BC1"/>
    <w:rsid w:val="00840BE3"/>
    <w:rsid w:val="00840C61"/>
    <w:rsid w:val="00840C7B"/>
    <w:rsid w:val="00840D09"/>
    <w:rsid w:val="00840D5C"/>
    <w:rsid w:val="00840DD8"/>
    <w:rsid w:val="00840DE7"/>
    <w:rsid w:val="00840DFF"/>
    <w:rsid w:val="00840E1E"/>
    <w:rsid w:val="00840E40"/>
    <w:rsid w:val="00840E49"/>
    <w:rsid w:val="00840E86"/>
    <w:rsid w:val="00840EDD"/>
    <w:rsid w:val="00840EFF"/>
    <w:rsid w:val="00840FA9"/>
    <w:rsid w:val="00840FC2"/>
    <w:rsid w:val="00840FD3"/>
    <w:rsid w:val="00841093"/>
    <w:rsid w:val="0084109B"/>
    <w:rsid w:val="008410BA"/>
    <w:rsid w:val="00841133"/>
    <w:rsid w:val="00841142"/>
    <w:rsid w:val="0084115D"/>
    <w:rsid w:val="0084121B"/>
    <w:rsid w:val="00841457"/>
    <w:rsid w:val="0084156B"/>
    <w:rsid w:val="008415FC"/>
    <w:rsid w:val="00841647"/>
    <w:rsid w:val="00841661"/>
    <w:rsid w:val="00841705"/>
    <w:rsid w:val="0084176C"/>
    <w:rsid w:val="00841799"/>
    <w:rsid w:val="0084187E"/>
    <w:rsid w:val="0084188C"/>
    <w:rsid w:val="008418E3"/>
    <w:rsid w:val="008418FC"/>
    <w:rsid w:val="00841904"/>
    <w:rsid w:val="0084196A"/>
    <w:rsid w:val="008419F7"/>
    <w:rsid w:val="00841A00"/>
    <w:rsid w:val="00841A31"/>
    <w:rsid w:val="00841A39"/>
    <w:rsid w:val="00841A46"/>
    <w:rsid w:val="00841B03"/>
    <w:rsid w:val="00841B6F"/>
    <w:rsid w:val="00841BB5"/>
    <w:rsid w:val="00841C76"/>
    <w:rsid w:val="00841C8B"/>
    <w:rsid w:val="00841CAA"/>
    <w:rsid w:val="00841CE8"/>
    <w:rsid w:val="00841D07"/>
    <w:rsid w:val="00841D2B"/>
    <w:rsid w:val="00841D2E"/>
    <w:rsid w:val="00841DEB"/>
    <w:rsid w:val="00841E2E"/>
    <w:rsid w:val="00841E46"/>
    <w:rsid w:val="00841EBC"/>
    <w:rsid w:val="00841F5D"/>
    <w:rsid w:val="00841F63"/>
    <w:rsid w:val="00841F71"/>
    <w:rsid w:val="00841F8F"/>
    <w:rsid w:val="0084200F"/>
    <w:rsid w:val="00842077"/>
    <w:rsid w:val="008422B1"/>
    <w:rsid w:val="008422C4"/>
    <w:rsid w:val="008422F1"/>
    <w:rsid w:val="00842496"/>
    <w:rsid w:val="008424C6"/>
    <w:rsid w:val="008424D5"/>
    <w:rsid w:val="0084251D"/>
    <w:rsid w:val="00842524"/>
    <w:rsid w:val="008425C1"/>
    <w:rsid w:val="008425E6"/>
    <w:rsid w:val="0084262D"/>
    <w:rsid w:val="008427C5"/>
    <w:rsid w:val="00842838"/>
    <w:rsid w:val="0084284E"/>
    <w:rsid w:val="00842870"/>
    <w:rsid w:val="00842978"/>
    <w:rsid w:val="00842996"/>
    <w:rsid w:val="00842A3A"/>
    <w:rsid w:val="00842AA3"/>
    <w:rsid w:val="00842AB3"/>
    <w:rsid w:val="00842ACA"/>
    <w:rsid w:val="00842AE1"/>
    <w:rsid w:val="00842BB6"/>
    <w:rsid w:val="00842BE0"/>
    <w:rsid w:val="00842BE4"/>
    <w:rsid w:val="00842BE5"/>
    <w:rsid w:val="00842BEC"/>
    <w:rsid w:val="00842BEE"/>
    <w:rsid w:val="00842C0B"/>
    <w:rsid w:val="00842CD5"/>
    <w:rsid w:val="00842D9A"/>
    <w:rsid w:val="00842E04"/>
    <w:rsid w:val="00842E52"/>
    <w:rsid w:val="00842E57"/>
    <w:rsid w:val="00842EB7"/>
    <w:rsid w:val="00842F2E"/>
    <w:rsid w:val="00842F5E"/>
    <w:rsid w:val="00842F68"/>
    <w:rsid w:val="00842FAB"/>
    <w:rsid w:val="00843065"/>
    <w:rsid w:val="0084310D"/>
    <w:rsid w:val="0084314D"/>
    <w:rsid w:val="0084315E"/>
    <w:rsid w:val="00843187"/>
    <w:rsid w:val="008431D8"/>
    <w:rsid w:val="0084329A"/>
    <w:rsid w:val="00843302"/>
    <w:rsid w:val="0084336F"/>
    <w:rsid w:val="008433A3"/>
    <w:rsid w:val="008433D7"/>
    <w:rsid w:val="008434A0"/>
    <w:rsid w:val="008434EE"/>
    <w:rsid w:val="00843586"/>
    <w:rsid w:val="008435D7"/>
    <w:rsid w:val="00843607"/>
    <w:rsid w:val="008436A5"/>
    <w:rsid w:val="008436A7"/>
    <w:rsid w:val="00843710"/>
    <w:rsid w:val="00843793"/>
    <w:rsid w:val="008437C2"/>
    <w:rsid w:val="008437C7"/>
    <w:rsid w:val="0084386F"/>
    <w:rsid w:val="008438DA"/>
    <w:rsid w:val="008438EC"/>
    <w:rsid w:val="00843916"/>
    <w:rsid w:val="00843924"/>
    <w:rsid w:val="00843942"/>
    <w:rsid w:val="008439FA"/>
    <w:rsid w:val="00843A4C"/>
    <w:rsid w:val="00843A73"/>
    <w:rsid w:val="00843ADD"/>
    <w:rsid w:val="00843B85"/>
    <w:rsid w:val="00843BCC"/>
    <w:rsid w:val="00843BEE"/>
    <w:rsid w:val="00843C59"/>
    <w:rsid w:val="00843CD8"/>
    <w:rsid w:val="00843DAD"/>
    <w:rsid w:val="00843E46"/>
    <w:rsid w:val="00843E83"/>
    <w:rsid w:val="00843EB0"/>
    <w:rsid w:val="00843EB7"/>
    <w:rsid w:val="00843F1B"/>
    <w:rsid w:val="00843F3B"/>
    <w:rsid w:val="00843F57"/>
    <w:rsid w:val="00843F7B"/>
    <w:rsid w:val="00843F94"/>
    <w:rsid w:val="00843FB5"/>
    <w:rsid w:val="00843FCF"/>
    <w:rsid w:val="00843FD7"/>
    <w:rsid w:val="00843FF1"/>
    <w:rsid w:val="0084403A"/>
    <w:rsid w:val="00844091"/>
    <w:rsid w:val="008440FE"/>
    <w:rsid w:val="008441C6"/>
    <w:rsid w:val="008441E8"/>
    <w:rsid w:val="008441F6"/>
    <w:rsid w:val="008441F9"/>
    <w:rsid w:val="0084428B"/>
    <w:rsid w:val="008442A2"/>
    <w:rsid w:val="008442B4"/>
    <w:rsid w:val="008442CC"/>
    <w:rsid w:val="008442FB"/>
    <w:rsid w:val="00844364"/>
    <w:rsid w:val="0084437B"/>
    <w:rsid w:val="00844389"/>
    <w:rsid w:val="0084439C"/>
    <w:rsid w:val="008443B8"/>
    <w:rsid w:val="00844418"/>
    <w:rsid w:val="00844429"/>
    <w:rsid w:val="00844494"/>
    <w:rsid w:val="0084449F"/>
    <w:rsid w:val="008445D0"/>
    <w:rsid w:val="00844616"/>
    <w:rsid w:val="00844695"/>
    <w:rsid w:val="0084469E"/>
    <w:rsid w:val="008446AA"/>
    <w:rsid w:val="008446C4"/>
    <w:rsid w:val="008446E9"/>
    <w:rsid w:val="00844785"/>
    <w:rsid w:val="0084479C"/>
    <w:rsid w:val="00844803"/>
    <w:rsid w:val="0084487B"/>
    <w:rsid w:val="0084488E"/>
    <w:rsid w:val="008448B3"/>
    <w:rsid w:val="008448E6"/>
    <w:rsid w:val="00844922"/>
    <w:rsid w:val="0084493C"/>
    <w:rsid w:val="0084494B"/>
    <w:rsid w:val="00844986"/>
    <w:rsid w:val="008449B2"/>
    <w:rsid w:val="008449B6"/>
    <w:rsid w:val="008449E3"/>
    <w:rsid w:val="008449F4"/>
    <w:rsid w:val="00844A09"/>
    <w:rsid w:val="00844B40"/>
    <w:rsid w:val="00844B4B"/>
    <w:rsid w:val="00844C10"/>
    <w:rsid w:val="00844CAF"/>
    <w:rsid w:val="00844CD0"/>
    <w:rsid w:val="00844CE8"/>
    <w:rsid w:val="00844D44"/>
    <w:rsid w:val="00844D79"/>
    <w:rsid w:val="00844DB6"/>
    <w:rsid w:val="00844DC2"/>
    <w:rsid w:val="00844E6C"/>
    <w:rsid w:val="00844E72"/>
    <w:rsid w:val="00844F41"/>
    <w:rsid w:val="00844F4B"/>
    <w:rsid w:val="00844FE3"/>
    <w:rsid w:val="00844FEC"/>
    <w:rsid w:val="0084506B"/>
    <w:rsid w:val="008450C4"/>
    <w:rsid w:val="00845110"/>
    <w:rsid w:val="00845116"/>
    <w:rsid w:val="00845158"/>
    <w:rsid w:val="00845251"/>
    <w:rsid w:val="0084526F"/>
    <w:rsid w:val="008452F5"/>
    <w:rsid w:val="00845301"/>
    <w:rsid w:val="00845320"/>
    <w:rsid w:val="00845398"/>
    <w:rsid w:val="00845434"/>
    <w:rsid w:val="0084543A"/>
    <w:rsid w:val="00845455"/>
    <w:rsid w:val="0084549F"/>
    <w:rsid w:val="008454F3"/>
    <w:rsid w:val="00845605"/>
    <w:rsid w:val="0084563D"/>
    <w:rsid w:val="0084566E"/>
    <w:rsid w:val="00845708"/>
    <w:rsid w:val="00845731"/>
    <w:rsid w:val="0084573E"/>
    <w:rsid w:val="0084579E"/>
    <w:rsid w:val="0084586A"/>
    <w:rsid w:val="0084590C"/>
    <w:rsid w:val="00845953"/>
    <w:rsid w:val="00845956"/>
    <w:rsid w:val="0084596F"/>
    <w:rsid w:val="008459C1"/>
    <w:rsid w:val="00845A01"/>
    <w:rsid w:val="00845A0B"/>
    <w:rsid w:val="00845A0C"/>
    <w:rsid w:val="00845A1F"/>
    <w:rsid w:val="00845A9F"/>
    <w:rsid w:val="00845AC2"/>
    <w:rsid w:val="00845AEA"/>
    <w:rsid w:val="00845B01"/>
    <w:rsid w:val="00845B5E"/>
    <w:rsid w:val="00845B75"/>
    <w:rsid w:val="00845BD2"/>
    <w:rsid w:val="00845C48"/>
    <w:rsid w:val="00845C9F"/>
    <w:rsid w:val="00845CC7"/>
    <w:rsid w:val="00845CDB"/>
    <w:rsid w:val="00845CF8"/>
    <w:rsid w:val="00845D7E"/>
    <w:rsid w:val="00845DC3"/>
    <w:rsid w:val="00845DF1"/>
    <w:rsid w:val="00845E41"/>
    <w:rsid w:val="00845E5A"/>
    <w:rsid w:val="00845F49"/>
    <w:rsid w:val="00845F4D"/>
    <w:rsid w:val="00845FF1"/>
    <w:rsid w:val="0084605F"/>
    <w:rsid w:val="008460D3"/>
    <w:rsid w:val="008460FB"/>
    <w:rsid w:val="00846188"/>
    <w:rsid w:val="0084623A"/>
    <w:rsid w:val="0084631A"/>
    <w:rsid w:val="0084633A"/>
    <w:rsid w:val="00846384"/>
    <w:rsid w:val="0084638D"/>
    <w:rsid w:val="00846399"/>
    <w:rsid w:val="008463D8"/>
    <w:rsid w:val="008463F0"/>
    <w:rsid w:val="00846405"/>
    <w:rsid w:val="0084641B"/>
    <w:rsid w:val="008464AD"/>
    <w:rsid w:val="008464B3"/>
    <w:rsid w:val="008464DA"/>
    <w:rsid w:val="00846517"/>
    <w:rsid w:val="00846529"/>
    <w:rsid w:val="008465E7"/>
    <w:rsid w:val="0084662A"/>
    <w:rsid w:val="0084665B"/>
    <w:rsid w:val="0084668D"/>
    <w:rsid w:val="0084670B"/>
    <w:rsid w:val="00846729"/>
    <w:rsid w:val="00846735"/>
    <w:rsid w:val="00846755"/>
    <w:rsid w:val="00846766"/>
    <w:rsid w:val="008467BB"/>
    <w:rsid w:val="008467C2"/>
    <w:rsid w:val="0084685A"/>
    <w:rsid w:val="0084689A"/>
    <w:rsid w:val="00846909"/>
    <w:rsid w:val="0084691B"/>
    <w:rsid w:val="00846946"/>
    <w:rsid w:val="00846987"/>
    <w:rsid w:val="008469D1"/>
    <w:rsid w:val="008469E9"/>
    <w:rsid w:val="008469FD"/>
    <w:rsid w:val="00846AB3"/>
    <w:rsid w:val="00846BED"/>
    <w:rsid w:val="00846C0F"/>
    <w:rsid w:val="00846CC3"/>
    <w:rsid w:val="00846CDD"/>
    <w:rsid w:val="00846CF5"/>
    <w:rsid w:val="00846D25"/>
    <w:rsid w:val="00846D99"/>
    <w:rsid w:val="00846E31"/>
    <w:rsid w:val="00846E90"/>
    <w:rsid w:val="00846EC6"/>
    <w:rsid w:val="00846FA3"/>
    <w:rsid w:val="00846FC9"/>
    <w:rsid w:val="00846FE6"/>
    <w:rsid w:val="0084706A"/>
    <w:rsid w:val="00847092"/>
    <w:rsid w:val="0084716E"/>
    <w:rsid w:val="008471C8"/>
    <w:rsid w:val="00847218"/>
    <w:rsid w:val="00847251"/>
    <w:rsid w:val="0084731D"/>
    <w:rsid w:val="00847324"/>
    <w:rsid w:val="00847443"/>
    <w:rsid w:val="00847470"/>
    <w:rsid w:val="008474A1"/>
    <w:rsid w:val="00847582"/>
    <w:rsid w:val="00847583"/>
    <w:rsid w:val="00847613"/>
    <w:rsid w:val="0084764D"/>
    <w:rsid w:val="00847653"/>
    <w:rsid w:val="0084766F"/>
    <w:rsid w:val="0084767F"/>
    <w:rsid w:val="00847722"/>
    <w:rsid w:val="0084772C"/>
    <w:rsid w:val="0084772F"/>
    <w:rsid w:val="0084779C"/>
    <w:rsid w:val="008477C8"/>
    <w:rsid w:val="00847914"/>
    <w:rsid w:val="00847955"/>
    <w:rsid w:val="00847970"/>
    <w:rsid w:val="00847ABF"/>
    <w:rsid w:val="00847AD1"/>
    <w:rsid w:val="00847ADC"/>
    <w:rsid w:val="00847BBA"/>
    <w:rsid w:val="00847C59"/>
    <w:rsid w:val="00847C7B"/>
    <w:rsid w:val="00847CA3"/>
    <w:rsid w:val="00847CBD"/>
    <w:rsid w:val="00847D0B"/>
    <w:rsid w:val="00847D11"/>
    <w:rsid w:val="00847D17"/>
    <w:rsid w:val="00847D54"/>
    <w:rsid w:val="00847E16"/>
    <w:rsid w:val="00847E4E"/>
    <w:rsid w:val="00847EF4"/>
    <w:rsid w:val="00847F67"/>
    <w:rsid w:val="00847FFA"/>
    <w:rsid w:val="00847FFC"/>
    <w:rsid w:val="0085006E"/>
    <w:rsid w:val="0085008B"/>
    <w:rsid w:val="00850190"/>
    <w:rsid w:val="008501BE"/>
    <w:rsid w:val="00850210"/>
    <w:rsid w:val="0085021B"/>
    <w:rsid w:val="00850287"/>
    <w:rsid w:val="00850295"/>
    <w:rsid w:val="0085029A"/>
    <w:rsid w:val="008502B3"/>
    <w:rsid w:val="008502F2"/>
    <w:rsid w:val="0085034B"/>
    <w:rsid w:val="008503F4"/>
    <w:rsid w:val="008503FD"/>
    <w:rsid w:val="00850429"/>
    <w:rsid w:val="00850438"/>
    <w:rsid w:val="00850463"/>
    <w:rsid w:val="00850499"/>
    <w:rsid w:val="008504AB"/>
    <w:rsid w:val="008504DE"/>
    <w:rsid w:val="0085051F"/>
    <w:rsid w:val="0085059F"/>
    <w:rsid w:val="008505AE"/>
    <w:rsid w:val="008505C6"/>
    <w:rsid w:val="0085062E"/>
    <w:rsid w:val="0085063C"/>
    <w:rsid w:val="008506E1"/>
    <w:rsid w:val="00850712"/>
    <w:rsid w:val="00850721"/>
    <w:rsid w:val="008507A2"/>
    <w:rsid w:val="008507A8"/>
    <w:rsid w:val="008507B6"/>
    <w:rsid w:val="008507D0"/>
    <w:rsid w:val="00850823"/>
    <w:rsid w:val="0085085A"/>
    <w:rsid w:val="008508AD"/>
    <w:rsid w:val="008508BD"/>
    <w:rsid w:val="0085091D"/>
    <w:rsid w:val="0085097B"/>
    <w:rsid w:val="00850A04"/>
    <w:rsid w:val="00850AF2"/>
    <w:rsid w:val="00850B30"/>
    <w:rsid w:val="00850B70"/>
    <w:rsid w:val="00850B81"/>
    <w:rsid w:val="00850BB9"/>
    <w:rsid w:val="00850C57"/>
    <w:rsid w:val="00850D10"/>
    <w:rsid w:val="00850D14"/>
    <w:rsid w:val="00850D5A"/>
    <w:rsid w:val="00850D9D"/>
    <w:rsid w:val="00850DE4"/>
    <w:rsid w:val="00850EB0"/>
    <w:rsid w:val="00850EBE"/>
    <w:rsid w:val="00850F5D"/>
    <w:rsid w:val="0085102A"/>
    <w:rsid w:val="008510C0"/>
    <w:rsid w:val="008510CD"/>
    <w:rsid w:val="0085116D"/>
    <w:rsid w:val="00851192"/>
    <w:rsid w:val="0085121C"/>
    <w:rsid w:val="00851244"/>
    <w:rsid w:val="0085124D"/>
    <w:rsid w:val="00851278"/>
    <w:rsid w:val="00851287"/>
    <w:rsid w:val="008512CF"/>
    <w:rsid w:val="008512E8"/>
    <w:rsid w:val="0085131C"/>
    <w:rsid w:val="0085138D"/>
    <w:rsid w:val="0085139C"/>
    <w:rsid w:val="008513A5"/>
    <w:rsid w:val="008513A7"/>
    <w:rsid w:val="008513B1"/>
    <w:rsid w:val="008513B6"/>
    <w:rsid w:val="008513BA"/>
    <w:rsid w:val="0085148F"/>
    <w:rsid w:val="008514D8"/>
    <w:rsid w:val="008514F3"/>
    <w:rsid w:val="008514F5"/>
    <w:rsid w:val="0085150E"/>
    <w:rsid w:val="0085153B"/>
    <w:rsid w:val="008515EC"/>
    <w:rsid w:val="00851657"/>
    <w:rsid w:val="00851674"/>
    <w:rsid w:val="00851798"/>
    <w:rsid w:val="008517B8"/>
    <w:rsid w:val="008517D9"/>
    <w:rsid w:val="00851870"/>
    <w:rsid w:val="0085187A"/>
    <w:rsid w:val="00851907"/>
    <w:rsid w:val="00851914"/>
    <w:rsid w:val="00851924"/>
    <w:rsid w:val="0085198F"/>
    <w:rsid w:val="008519A4"/>
    <w:rsid w:val="008519B9"/>
    <w:rsid w:val="00851A1E"/>
    <w:rsid w:val="00851A2A"/>
    <w:rsid w:val="00851A80"/>
    <w:rsid w:val="00851B3D"/>
    <w:rsid w:val="00851BA6"/>
    <w:rsid w:val="00851BE7"/>
    <w:rsid w:val="00851BEE"/>
    <w:rsid w:val="00851C35"/>
    <w:rsid w:val="00851C47"/>
    <w:rsid w:val="00851C8B"/>
    <w:rsid w:val="00851C91"/>
    <w:rsid w:val="00851CAD"/>
    <w:rsid w:val="00851DE3"/>
    <w:rsid w:val="00851DEA"/>
    <w:rsid w:val="00851E75"/>
    <w:rsid w:val="00851EAE"/>
    <w:rsid w:val="00851F20"/>
    <w:rsid w:val="00851F23"/>
    <w:rsid w:val="00851F40"/>
    <w:rsid w:val="00851FE9"/>
    <w:rsid w:val="0085202F"/>
    <w:rsid w:val="00852061"/>
    <w:rsid w:val="008520A1"/>
    <w:rsid w:val="008520A8"/>
    <w:rsid w:val="00852120"/>
    <w:rsid w:val="00852123"/>
    <w:rsid w:val="00852171"/>
    <w:rsid w:val="00852175"/>
    <w:rsid w:val="0085217F"/>
    <w:rsid w:val="00852259"/>
    <w:rsid w:val="008522B8"/>
    <w:rsid w:val="008522E3"/>
    <w:rsid w:val="00852313"/>
    <w:rsid w:val="008523BF"/>
    <w:rsid w:val="008523E8"/>
    <w:rsid w:val="0085246C"/>
    <w:rsid w:val="0085247D"/>
    <w:rsid w:val="00852558"/>
    <w:rsid w:val="00852577"/>
    <w:rsid w:val="008525B4"/>
    <w:rsid w:val="008525E0"/>
    <w:rsid w:val="00852604"/>
    <w:rsid w:val="0085263B"/>
    <w:rsid w:val="00852651"/>
    <w:rsid w:val="0085267E"/>
    <w:rsid w:val="0085268C"/>
    <w:rsid w:val="008526DC"/>
    <w:rsid w:val="008526E4"/>
    <w:rsid w:val="00852830"/>
    <w:rsid w:val="00852880"/>
    <w:rsid w:val="00852885"/>
    <w:rsid w:val="00852890"/>
    <w:rsid w:val="00852960"/>
    <w:rsid w:val="008529D3"/>
    <w:rsid w:val="008529FB"/>
    <w:rsid w:val="00852A8E"/>
    <w:rsid w:val="00852A92"/>
    <w:rsid w:val="00852AAC"/>
    <w:rsid w:val="00852AD7"/>
    <w:rsid w:val="00852B59"/>
    <w:rsid w:val="00852B6A"/>
    <w:rsid w:val="00852BAD"/>
    <w:rsid w:val="00852BBB"/>
    <w:rsid w:val="00852BCF"/>
    <w:rsid w:val="00852BE3"/>
    <w:rsid w:val="00852C16"/>
    <w:rsid w:val="00852C31"/>
    <w:rsid w:val="00852C7F"/>
    <w:rsid w:val="00852CBD"/>
    <w:rsid w:val="00852D4D"/>
    <w:rsid w:val="00852D85"/>
    <w:rsid w:val="00852DFD"/>
    <w:rsid w:val="00852E74"/>
    <w:rsid w:val="00852E8B"/>
    <w:rsid w:val="00852EB2"/>
    <w:rsid w:val="00852F65"/>
    <w:rsid w:val="00853015"/>
    <w:rsid w:val="0085304A"/>
    <w:rsid w:val="00853107"/>
    <w:rsid w:val="00853140"/>
    <w:rsid w:val="008531C1"/>
    <w:rsid w:val="00853242"/>
    <w:rsid w:val="0085325D"/>
    <w:rsid w:val="008532FA"/>
    <w:rsid w:val="00853421"/>
    <w:rsid w:val="00853447"/>
    <w:rsid w:val="0085347D"/>
    <w:rsid w:val="008534EE"/>
    <w:rsid w:val="00853502"/>
    <w:rsid w:val="00853503"/>
    <w:rsid w:val="0085350B"/>
    <w:rsid w:val="0085358D"/>
    <w:rsid w:val="008535B4"/>
    <w:rsid w:val="0085363E"/>
    <w:rsid w:val="00853640"/>
    <w:rsid w:val="008536B8"/>
    <w:rsid w:val="008536E7"/>
    <w:rsid w:val="00853729"/>
    <w:rsid w:val="0085376D"/>
    <w:rsid w:val="008537A2"/>
    <w:rsid w:val="008537DD"/>
    <w:rsid w:val="008537F7"/>
    <w:rsid w:val="0085382B"/>
    <w:rsid w:val="0085383B"/>
    <w:rsid w:val="0085387E"/>
    <w:rsid w:val="008538CF"/>
    <w:rsid w:val="008538DA"/>
    <w:rsid w:val="008538E1"/>
    <w:rsid w:val="00853911"/>
    <w:rsid w:val="00853999"/>
    <w:rsid w:val="008539FF"/>
    <w:rsid w:val="00853A7E"/>
    <w:rsid w:val="00853A8D"/>
    <w:rsid w:val="00853AA5"/>
    <w:rsid w:val="00853B86"/>
    <w:rsid w:val="00853BAB"/>
    <w:rsid w:val="00853BB2"/>
    <w:rsid w:val="00853BB5"/>
    <w:rsid w:val="00853BF6"/>
    <w:rsid w:val="00853C04"/>
    <w:rsid w:val="00853D00"/>
    <w:rsid w:val="00853D46"/>
    <w:rsid w:val="00853D52"/>
    <w:rsid w:val="00853D57"/>
    <w:rsid w:val="00853DEE"/>
    <w:rsid w:val="00853E2D"/>
    <w:rsid w:val="00853EAA"/>
    <w:rsid w:val="00853EBA"/>
    <w:rsid w:val="00853F10"/>
    <w:rsid w:val="00853F11"/>
    <w:rsid w:val="00853F2E"/>
    <w:rsid w:val="00853FB2"/>
    <w:rsid w:val="00853FC6"/>
    <w:rsid w:val="00853FD1"/>
    <w:rsid w:val="00853FD7"/>
    <w:rsid w:val="00854059"/>
    <w:rsid w:val="008540D0"/>
    <w:rsid w:val="008540DB"/>
    <w:rsid w:val="0085415B"/>
    <w:rsid w:val="008541A7"/>
    <w:rsid w:val="00854221"/>
    <w:rsid w:val="00854252"/>
    <w:rsid w:val="00854365"/>
    <w:rsid w:val="0085439D"/>
    <w:rsid w:val="008543D8"/>
    <w:rsid w:val="00854416"/>
    <w:rsid w:val="00854464"/>
    <w:rsid w:val="00854489"/>
    <w:rsid w:val="008544BF"/>
    <w:rsid w:val="00854519"/>
    <w:rsid w:val="0085455C"/>
    <w:rsid w:val="00854563"/>
    <w:rsid w:val="008545C3"/>
    <w:rsid w:val="008545D5"/>
    <w:rsid w:val="0085464E"/>
    <w:rsid w:val="008546A8"/>
    <w:rsid w:val="008546B5"/>
    <w:rsid w:val="008546CF"/>
    <w:rsid w:val="008547B9"/>
    <w:rsid w:val="008547DF"/>
    <w:rsid w:val="0085484C"/>
    <w:rsid w:val="0085486B"/>
    <w:rsid w:val="00854887"/>
    <w:rsid w:val="008548B0"/>
    <w:rsid w:val="008548B3"/>
    <w:rsid w:val="008548DF"/>
    <w:rsid w:val="00854912"/>
    <w:rsid w:val="008549F7"/>
    <w:rsid w:val="00854A26"/>
    <w:rsid w:val="00854A3B"/>
    <w:rsid w:val="00854A3D"/>
    <w:rsid w:val="00854A7F"/>
    <w:rsid w:val="00854AD4"/>
    <w:rsid w:val="00854B21"/>
    <w:rsid w:val="00854B84"/>
    <w:rsid w:val="00854BCD"/>
    <w:rsid w:val="00854BDA"/>
    <w:rsid w:val="00854C58"/>
    <w:rsid w:val="00854C67"/>
    <w:rsid w:val="00854C75"/>
    <w:rsid w:val="00854CBA"/>
    <w:rsid w:val="00854CBB"/>
    <w:rsid w:val="00854D23"/>
    <w:rsid w:val="00854D6E"/>
    <w:rsid w:val="00854DBA"/>
    <w:rsid w:val="00854DC3"/>
    <w:rsid w:val="00854DD1"/>
    <w:rsid w:val="00854DED"/>
    <w:rsid w:val="00854E1C"/>
    <w:rsid w:val="00854E40"/>
    <w:rsid w:val="00854E8C"/>
    <w:rsid w:val="00854F5C"/>
    <w:rsid w:val="00854F60"/>
    <w:rsid w:val="00854F75"/>
    <w:rsid w:val="00854F9C"/>
    <w:rsid w:val="0085524A"/>
    <w:rsid w:val="00855280"/>
    <w:rsid w:val="008553AD"/>
    <w:rsid w:val="008553E6"/>
    <w:rsid w:val="008553FA"/>
    <w:rsid w:val="0085544D"/>
    <w:rsid w:val="00855452"/>
    <w:rsid w:val="00855618"/>
    <w:rsid w:val="00855652"/>
    <w:rsid w:val="0085578C"/>
    <w:rsid w:val="008557CE"/>
    <w:rsid w:val="0085583E"/>
    <w:rsid w:val="008558B2"/>
    <w:rsid w:val="008558BC"/>
    <w:rsid w:val="008558FF"/>
    <w:rsid w:val="00855A83"/>
    <w:rsid w:val="00855AE7"/>
    <w:rsid w:val="00855AF3"/>
    <w:rsid w:val="00855AF4"/>
    <w:rsid w:val="00855B2A"/>
    <w:rsid w:val="00855B61"/>
    <w:rsid w:val="00855BBD"/>
    <w:rsid w:val="00855BCF"/>
    <w:rsid w:val="00855BF9"/>
    <w:rsid w:val="00855C1D"/>
    <w:rsid w:val="00855C7E"/>
    <w:rsid w:val="00855CE0"/>
    <w:rsid w:val="00855D31"/>
    <w:rsid w:val="00855F2A"/>
    <w:rsid w:val="00855F60"/>
    <w:rsid w:val="00855F9B"/>
    <w:rsid w:val="00856026"/>
    <w:rsid w:val="0085604C"/>
    <w:rsid w:val="0085609D"/>
    <w:rsid w:val="008560B9"/>
    <w:rsid w:val="008560FD"/>
    <w:rsid w:val="0085614F"/>
    <w:rsid w:val="0085617A"/>
    <w:rsid w:val="0085620E"/>
    <w:rsid w:val="0085622E"/>
    <w:rsid w:val="0085627C"/>
    <w:rsid w:val="00856295"/>
    <w:rsid w:val="008562BD"/>
    <w:rsid w:val="00856351"/>
    <w:rsid w:val="00856395"/>
    <w:rsid w:val="008563EC"/>
    <w:rsid w:val="008563FA"/>
    <w:rsid w:val="00856405"/>
    <w:rsid w:val="00856444"/>
    <w:rsid w:val="00856519"/>
    <w:rsid w:val="00856531"/>
    <w:rsid w:val="00856542"/>
    <w:rsid w:val="0085657F"/>
    <w:rsid w:val="00856756"/>
    <w:rsid w:val="00856769"/>
    <w:rsid w:val="0085677A"/>
    <w:rsid w:val="008567C5"/>
    <w:rsid w:val="008568FF"/>
    <w:rsid w:val="00856925"/>
    <w:rsid w:val="008569EC"/>
    <w:rsid w:val="00856A04"/>
    <w:rsid w:val="00856A72"/>
    <w:rsid w:val="00856A8B"/>
    <w:rsid w:val="00856AF7"/>
    <w:rsid w:val="00856BCF"/>
    <w:rsid w:val="00856BDE"/>
    <w:rsid w:val="00856BEB"/>
    <w:rsid w:val="00856C5B"/>
    <w:rsid w:val="00856CAC"/>
    <w:rsid w:val="00856D25"/>
    <w:rsid w:val="00856D36"/>
    <w:rsid w:val="00856D50"/>
    <w:rsid w:val="00856DC5"/>
    <w:rsid w:val="00856E8B"/>
    <w:rsid w:val="00856F06"/>
    <w:rsid w:val="00857089"/>
    <w:rsid w:val="00857168"/>
    <w:rsid w:val="008571B8"/>
    <w:rsid w:val="008571C9"/>
    <w:rsid w:val="008571ED"/>
    <w:rsid w:val="008572BB"/>
    <w:rsid w:val="008572DC"/>
    <w:rsid w:val="00857344"/>
    <w:rsid w:val="008573C9"/>
    <w:rsid w:val="0085745E"/>
    <w:rsid w:val="008575C9"/>
    <w:rsid w:val="008575D0"/>
    <w:rsid w:val="008575FB"/>
    <w:rsid w:val="008575FF"/>
    <w:rsid w:val="0085763E"/>
    <w:rsid w:val="0085765C"/>
    <w:rsid w:val="00857698"/>
    <w:rsid w:val="008576BA"/>
    <w:rsid w:val="0085776E"/>
    <w:rsid w:val="008577CF"/>
    <w:rsid w:val="00857802"/>
    <w:rsid w:val="0085781E"/>
    <w:rsid w:val="00857828"/>
    <w:rsid w:val="0085783B"/>
    <w:rsid w:val="00857860"/>
    <w:rsid w:val="00857865"/>
    <w:rsid w:val="0085788C"/>
    <w:rsid w:val="00857960"/>
    <w:rsid w:val="00857969"/>
    <w:rsid w:val="00857A22"/>
    <w:rsid w:val="00857A54"/>
    <w:rsid w:val="00857A73"/>
    <w:rsid w:val="00857BAA"/>
    <w:rsid w:val="00857BB3"/>
    <w:rsid w:val="00857C31"/>
    <w:rsid w:val="00857C3D"/>
    <w:rsid w:val="00857C60"/>
    <w:rsid w:val="00857D61"/>
    <w:rsid w:val="00857E50"/>
    <w:rsid w:val="00857E9F"/>
    <w:rsid w:val="00857EDB"/>
    <w:rsid w:val="00857F21"/>
    <w:rsid w:val="0086009A"/>
    <w:rsid w:val="0086014E"/>
    <w:rsid w:val="00860153"/>
    <w:rsid w:val="00860190"/>
    <w:rsid w:val="008601B3"/>
    <w:rsid w:val="008601CF"/>
    <w:rsid w:val="008601E1"/>
    <w:rsid w:val="008601E2"/>
    <w:rsid w:val="008601E3"/>
    <w:rsid w:val="00860256"/>
    <w:rsid w:val="0086036C"/>
    <w:rsid w:val="00860374"/>
    <w:rsid w:val="00860381"/>
    <w:rsid w:val="008603AF"/>
    <w:rsid w:val="008603B6"/>
    <w:rsid w:val="008603C5"/>
    <w:rsid w:val="00860484"/>
    <w:rsid w:val="0086048B"/>
    <w:rsid w:val="00860493"/>
    <w:rsid w:val="0086052C"/>
    <w:rsid w:val="00860538"/>
    <w:rsid w:val="008605F0"/>
    <w:rsid w:val="0086061D"/>
    <w:rsid w:val="00860631"/>
    <w:rsid w:val="0086063F"/>
    <w:rsid w:val="0086066E"/>
    <w:rsid w:val="008606A4"/>
    <w:rsid w:val="008606C9"/>
    <w:rsid w:val="008606FC"/>
    <w:rsid w:val="00860702"/>
    <w:rsid w:val="00860718"/>
    <w:rsid w:val="008607A1"/>
    <w:rsid w:val="008607AA"/>
    <w:rsid w:val="008607C3"/>
    <w:rsid w:val="0086084D"/>
    <w:rsid w:val="00860860"/>
    <w:rsid w:val="008608EA"/>
    <w:rsid w:val="008608F8"/>
    <w:rsid w:val="0086096D"/>
    <w:rsid w:val="00860989"/>
    <w:rsid w:val="008609A3"/>
    <w:rsid w:val="00860A22"/>
    <w:rsid w:val="00860A47"/>
    <w:rsid w:val="00860BBB"/>
    <w:rsid w:val="00860BC7"/>
    <w:rsid w:val="00860BDF"/>
    <w:rsid w:val="00860BF8"/>
    <w:rsid w:val="00860C43"/>
    <w:rsid w:val="00860C7F"/>
    <w:rsid w:val="00860CB7"/>
    <w:rsid w:val="00860D94"/>
    <w:rsid w:val="00860DB9"/>
    <w:rsid w:val="00860DE5"/>
    <w:rsid w:val="00860E0E"/>
    <w:rsid w:val="00860E4E"/>
    <w:rsid w:val="00860EDE"/>
    <w:rsid w:val="00860EE6"/>
    <w:rsid w:val="00860FDC"/>
    <w:rsid w:val="008610E5"/>
    <w:rsid w:val="00861187"/>
    <w:rsid w:val="00861210"/>
    <w:rsid w:val="00861211"/>
    <w:rsid w:val="0086123C"/>
    <w:rsid w:val="0086126D"/>
    <w:rsid w:val="00861301"/>
    <w:rsid w:val="00861307"/>
    <w:rsid w:val="0086133A"/>
    <w:rsid w:val="0086134D"/>
    <w:rsid w:val="0086138E"/>
    <w:rsid w:val="0086143C"/>
    <w:rsid w:val="00861485"/>
    <w:rsid w:val="008614B0"/>
    <w:rsid w:val="008614DC"/>
    <w:rsid w:val="00861506"/>
    <w:rsid w:val="0086150E"/>
    <w:rsid w:val="0086151F"/>
    <w:rsid w:val="00861543"/>
    <w:rsid w:val="0086155D"/>
    <w:rsid w:val="00861587"/>
    <w:rsid w:val="0086159F"/>
    <w:rsid w:val="008615EE"/>
    <w:rsid w:val="00861612"/>
    <w:rsid w:val="0086161D"/>
    <w:rsid w:val="00861659"/>
    <w:rsid w:val="0086165D"/>
    <w:rsid w:val="00861703"/>
    <w:rsid w:val="00861789"/>
    <w:rsid w:val="008617B2"/>
    <w:rsid w:val="00861843"/>
    <w:rsid w:val="008618A3"/>
    <w:rsid w:val="008618F0"/>
    <w:rsid w:val="0086196F"/>
    <w:rsid w:val="008619F5"/>
    <w:rsid w:val="00861A09"/>
    <w:rsid w:val="00861A22"/>
    <w:rsid w:val="00861A39"/>
    <w:rsid w:val="00861AF6"/>
    <w:rsid w:val="00861B35"/>
    <w:rsid w:val="00861B81"/>
    <w:rsid w:val="00861B8C"/>
    <w:rsid w:val="00861BAB"/>
    <w:rsid w:val="00861BAE"/>
    <w:rsid w:val="00861C54"/>
    <w:rsid w:val="00861CEE"/>
    <w:rsid w:val="00861D78"/>
    <w:rsid w:val="00861DBA"/>
    <w:rsid w:val="00861DF6"/>
    <w:rsid w:val="00861E3F"/>
    <w:rsid w:val="00861EBF"/>
    <w:rsid w:val="00861EE9"/>
    <w:rsid w:val="00861F0F"/>
    <w:rsid w:val="00861FB7"/>
    <w:rsid w:val="0086207D"/>
    <w:rsid w:val="008620AA"/>
    <w:rsid w:val="00862198"/>
    <w:rsid w:val="008621F7"/>
    <w:rsid w:val="0086223C"/>
    <w:rsid w:val="00862240"/>
    <w:rsid w:val="00862245"/>
    <w:rsid w:val="0086229C"/>
    <w:rsid w:val="008622DC"/>
    <w:rsid w:val="008623AC"/>
    <w:rsid w:val="008623B1"/>
    <w:rsid w:val="008623B5"/>
    <w:rsid w:val="008623D8"/>
    <w:rsid w:val="00862408"/>
    <w:rsid w:val="00862410"/>
    <w:rsid w:val="0086241E"/>
    <w:rsid w:val="008624A8"/>
    <w:rsid w:val="008624E5"/>
    <w:rsid w:val="00862506"/>
    <w:rsid w:val="00862541"/>
    <w:rsid w:val="008625C9"/>
    <w:rsid w:val="008625FD"/>
    <w:rsid w:val="00862617"/>
    <w:rsid w:val="0086265A"/>
    <w:rsid w:val="00862672"/>
    <w:rsid w:val="0086267B"/>
    <w:rsid w:val="0086267C"/>
    <w:rsid w:val="008626BA"/>
    <w:rsid w:val="0086272E"/>
    <w:rsid w:val="0086278C"/>
    <w:rsid w:val="008628B8"/>
    <w:rsid w:val="0086292C"/>
    <w:rsid w:val="00862970"/>
    <w:rsid w:val="00862986"/>
    <w:rsid w:val="00862A19"/>
    <w:rsid w:val="00862A3F"/>
    <w:rsid w:val="00862A7D"/>
    <w:rsid w:val="00862A91"/>
    <w:rsid w:val="00862A96"/>
    <w:rsid w:val="00862B0C"/>
    <w:rsid w:val="00862B22"/>
    <w:rsid w:val="00862B47"/>
    <w:rsid w:val="00862B8D"/>
    <w:rsid w:val="00862BC2"/>
    <w:rsid w:val="00862BDF"/>
    <w:rsid w:val="00862C2E"/>
    <w:rsid w:val="00862C3A"/>
    <w:rsid w:val="00862C7A"/>
    <w:rsid w:val="00862CAD"/>
    <w:rsid w:val="00862D01"/>
    <w:rsid w:val="00862D43"/>
    <w:rsid w:val="00862D63"/>
    <w:rsid w:val="00862D6D"/>
    <w:rsid w:val="00862DC3"/>
    <w:rsid w:val="00862DF4"/>
    <w:rsid w:val="00862E10"/>
    <w:rsid w:val="00862E46"/>
    <w:rsid w:val="00862ECF"/>
    <w:rsid w:val="00862EE8"/>
    <w:rsid w:val="00862EEE"/>
    <w:rsid w:val="00862F5A"/>
    <w:rsid w:val="00862F71"/>
    <w:rsid w:val="00862FFC"/>
    <w:rsid w:val="00863049"/>
    <w:rsid w:val="00863056"/>
    <w:rsid w:val="0086306C"/>
    <w:rsid w:val="00863072"/>
    <w:rsid w:val="0086309B"/>
    <w:rsid w:val="008630FF"/>
    <w:rsid w:val="00863167"/>
    <w:rsid w:val="008631AC"/>
    <w:rsid w:val="008631AE"/>
    <w:rsid w:val="00863278"/>
    <w:rsid w:val="008632B4"/>
    <w:rsid w:val="0086339E"/>
    <w:rsid w:val="008633B0"/>
    <w:rsid w:val="0086340D"/>
    <w:rsid w:val="008634A8"/>
    <w:rsid w:val="008634BF"/>
    <w:rsid w:val="0086358F"/>
    <w:rsid w:val="008635B1"/>
    <w:rsid w:val="00863678"/>
    <w:rsid w:val="0086367A"/>
    <w:rsid w:val="0086368E"/>
    <w:rsid w:val="008636C7"/>
    <w:rsid w:val="008636E3"/>
    <w:rsid w:val="00863738"/>
    <w:rsid w:val="00863751"/>
    <w:rsid w:val="00863753"/>
    <w:rsid w:val="008637E8"/>
    <w:rsid w:val="00863809"/>
    <w:rsid w:val="0086383A"/>
    <w:rsid w:val="00863892"/>
    <w:rsid w:val="00863893"/>
    <w:rsid w:val="008638C0"/>
    <w:rsid w:val="00863918"/>
    <w:rsid w:val="00863952"/>
    <w:rsid w:val="00863979"/>
    <w:rsid w:val="008639B0"/>
    <w:rsid w:val="00863A11"/>
    <w:rsid w:val="00863AC3"/>
    <w:rsid w:val="00863AD7"/>
    <w:rsid w:val="00863AEB"/>
    <w:rsid w:val="00863B04"/>
    <w:rsid w:val="00863B4D"/>
    <w:rsid w:val="00863B4E"/>
    <w:rsid w:val="00863BF6"/>
    <w:rsid w:val="00863D5E"/>
    <w:rsid w:val="00863D9A"/>
    <w:rsid w:val="00863DB9"/>
    <w:rsid w:val="00863E0C"/>
    <w:rsid w:val="00863E53"/>
    <w:rsid w:val="00863EF3"/>
    <w:rsid w:val="00863F8D"/>
    <w:rsid w:val="0086400B"/>
    <w:rsid w:val="00864042"/>
    <w:rsid w:val="0086422B"/>
    <w:rsid w:val="0086426D"/>
    <w:rsid w:val="00864325"/>
    <w:rsid w:val="00864373"/>
    <w:rsid w:val="00864374"/>
    <w:rsid w:val="008643FF"/>
    <w:rsid w:val="00864441"/>
    <w:rsid w:val="0086457C"/>
    <w:rsid w:val="008645F2"/>
    <w:rsid w:val="0086463C"/>
    <w:rsid w:val="008646A8"/>
    <w:rsid w:val="008646FB"/>
    <w:rsid w:val="00864716"/>
    <w:rsid w:val="00864763"/>
    <w:rsid w:val="00864812"/>
    <w:rsid w:val="00864863"/>
    <w:rsid w:val="008648D5"/>
    <w:rsid w:val="00864972"/>
    <w:rsid w:val="00864A81"/>
    <w:rsid w:val="00864A98"/>
    <w:rsid w:val="00864AB5"/>
    <w:rsid w:val="00864AEE"/>
    <w:rsid w:val="00864B30"/>
    <w:rsid w:val="00864B57"/>
    <w:rsid w:val="00864BAB"/>
    <w:rsid w:val="00864BE3"/>
    <w:rsid w:val="00864BF4"/>
    <w:rsid w:val="00864C7B"/>
    <w:rsid w:val="00864C97"/>
    <w:rsid w:val="00864CB9"/>
    <w:rsid w:val="00864CBE"/>
    <w:rsid w:val="00864CF8"/>
    <w:rsid w:val="00864D7C"/>
    <w:rsid w:val="00864E4F"/>
    <w:rsid w:val="00864E58"/>
    <w:rsid w:val="00864E7A"/>
    <w:rsid w:val="00864ECB"/>
    <w:rsid w:val="00864F5A"/>
    <w:rsid w:val="00864FB4"/>
    <w:rsid w:val="00865060"/>
    <w:rsid w:val="008650F9"/>
    <w:rsid w:val="008651F9"/>
    <w:rsid w:val="008652BD"/>
    <w:rsid w:val="00865391"/>
    <w:rsid w:val="0086542D"/>
    <w:rsid w:val="008654FA"/>
    <w:rsid w:val="00865577"/>
    <w:rsid w:val="00865627"/>
    <w:rsid w:val="00865633"/>
    <w:rsid w:val="00865642"/>
    <w:rsid w:val="00865664"/>
    <w:rsid w:val="008656A9"/>
    <w:rsid w:val="008656ED"/>
    <w:rsid w:val="0086574C"/>
    <w:rsid w:val="00865759"/>
    <w:rsid w:val="0086579F"/>
    <w:rsid w:val="008657A8"/>
    <w:rsid w:val="008657E2"/>
    <w:rsid w:val="008657F9"/>
    <w:rsid w:val="00865816"/>
    <w:rsid w:val="00865818"/>
    <w:rsid w:val="00865897"/>
    <w:rsid w:val="008658AE"/>
    <w:rsid w:val="008658C9"/>
    <w:rsid w:val="008658E1"/>
    <w:rsid w:val="0086594B"/>
    <w:rsid w:val="00865A35"/>
    <w:rsid w:val="00865A42"/>
    <w:rsid w:val="00865AA5"/>
    <w:rsid w:val="00865AEB"/>
    <w:rsid w:val="00865B24"/>
    <w:rsid w:val="00865B29"/>
    <w:rsid w:val="00865B64"/>
    <w:rsid w:val="00865C32"/>
    <w:rsid w:val="00865C72"/>
    <w:rsid w:val="00865CEB"/>
    <w:rsid w:val="00865D40"/>
    <w:rsid w:val="00865D75"/>
    <w:rsid w:val="00865DCC"/>
    <w:rsid w:val="00865E8E"/>
    <w:rsid w:val="00865ED4"/>
    <w:rsid w:val="00865EE9"/>
    <w:rsid w:val="00865F5C"/>
    <w:rsid w:val="00865F75"/>
    <w:rsid w:val="00866013"/>
    <w:rsid w:val="00866018"/>
    <w:rsid w:val="0086605F"/>
    <w:rsid w:val="008660FD"/>
    <w:rsid w:val="00866176"/>
    <w:rsid w:val="00866205"/>
    <w:rsid w:val="00866270"/>
    <w:rsid w:val="008663AF"/>
    <w:rsid w:val="008663D0"/>
    <w:rsid w:val="008664B9"/>
    <w:rsid w:val="008664BD"/>
    <w:rsid w:val="0086652A"/>
    <w:rsid w:val="0086654C"/>
    <w:rsid w:val="0086657C"/>
    <w:rsid w:val="00866591"/>
    <w:rsid w:val="008665C4"/>
    <w:rsid w:val="00866609"/>
    <w:rsid w:val="00866672"/>
    <w:rsid w:val="00866792"/>
    <w:rsid w:val="00866823"/>
    <w:rsid w:val="008668F2"/>
    <w:rsid w:val="0086696A"/>
    <w:rsid w:val="00866C06"/>
    <w:rsid w:val="00866CA0"/>
    <w:rsid w:val="00866CFA"/>
    <w:rsid w:val="00866D4C"/>
    <w:rsid w:val="00866D89"/>
    <w:rsid w:val="00866E60"/>
    <w:rsid w:val="00866E6F"/>
    <w:rsid w:val="00866EBC"/>
    <w:rsid w:val="00866EF5"/>
    <w:rsid w:val="00866EFA"/>
    <w:rsid w:val="00866F67"/>
    <w:rsid w:val="00866F92"/>
    <w:rsid w:val="00867031"/>
    <w:rsid w:val="00867053"/>
    <w:rsid w:val="00867095"/>
    <w:rsid w:val="008670B2"/>
    <w:rsid w:val="008670B7"/>
    <w:rsid w:val="0086713E"/>
    <w:rsid w:val="0086715D"/>
    <w:rsid w:val="00867189"/>
    <w:rsid w:val="0086718E"/>
    <w:rsid w:val="008672FA"/>
    <w:rsid w:val="00867342"/>
    <w:rsid w:val="00867394"/>
    <w:rsid w:val="008673D4"/>
    <w:rsid w:val="00867404"/>
    <w:rsid w:val="0086741A"/>
    <w:rsid w:val="008674F3"/>
    <w:rsid w:val="008674F9"/>
    <w:rsid w:val="00867513"/>
    <w:rsid w:val="0086753C"/>
    <w:rsid w:val="008675B4"/>
    <w:rsid w:val="0086766C"/>
    <w:rsid w:val="00867670"/>
    <w:rsid w:val="0086767A"/>
    <w:rsid w:val="008676F7"/>
    <w:rsid w:val="00867719"/>
    <w:rsid w:val="00867726"/>
    <w:rsid w:val="00867847"/>
    <w:rsid w:val="0086786C"/>
    <w:rsid w:val="00867892"/>
    <w:rsid w:val="0086793D"/>
    <w:rsid w:val="008679BD"/>
    <w:rsid w:val="00867B06"/>
    <w:rsid w:val="00867B11"/>
    <w:rsid w:val="00867B30"/>
    <w:rsid w:val="00867B59"/>
    <w:rsid w:val="00867BC1"/>
    <w:rsid w:val="00867D12"/>
    <w:rsid w:val="00867D49"/>
    <w:rsid w:val="00867E59"/>
    <w:rsid w:val="00867EA6"/>
    <w:rsid w:val="00867EE5"/>
    <w:rsid w:val="00867EEE"/>
    <w:rsid w:val="00867F46"/>
    <w:rsid w:val="0087006A"/>
    <w:rsid w:val="00870086"/>
    <w:rsid w:val="00870219"/>
    <w:rsid w:val="00870231"/>
    <w:rsid w:val="00870282"/>
    <w:rsid w:val="008702A2"/>
    <w:rsid w:val="0087032B"/>
    <w:rsid w:val="00870403"/>
    <w:rsid w:val="00870407"/>
    <w:rsid w:val="00870460"/>
    <w:rsid w:val="00870488"/>
    <w:rsid w:val="00870532"/>
    <w:rsid w:val="00870557"/>
    <w:rsid w:val="00870594"/>
    <w:rsid w:val="008705C4"/>
    <w:rsid w:val="00870665"/>
    <w:rsid w:val="00870666"/>
    <w:rsid w:val="00870707"/>
    <w:rsid w:val="008707B2"/>
    <w:rsid w:val="008707E5"/>
    <w:rsid w:val="008707EF"/>
    <w:rsid w:val="0087083B"/>
    <w:rsid w:val="0087087F"/>
    <w:rsid w:val="008708E9"/>
    <w:rsid w:val="008708F9"/>
    <w:rsid w:val="008709E9"/>
    <w:rsid w:val="00870A1B"/>
    <w:rsid w:val="00870A23"/>
    <w:rsid w:val="00870A39"/>
    <w:rsid w:val="00870AD1"/>
    <w:rsid w:val="00870B1A"/>
    <w:rsid w:val="00870B20"/>
    <w:rsid w:val="00870BE2"/>
    <w:rsid w:val="00870C0A"/>
    <w:rsid w:val="00870CC8"/>
    <w:rsid w:val="00870CF0"/>
    <w:rsid w:val="00870D00"/>
    <w:rsid w:val="00870D09"/>
    <w:rsid w:val="00870D10"/>
    <w:rsid w:val="00870D38"/>
    <w:rsid w:val="00870DA7"/>
    <w:rsid w:val="00870DF5"/>
    <w:rsid w:val="00870DFE"/>
    <w:rsid w:val="00870E0B"/>
    <w:rsid w:val="00870ED0"/>
    <w:rsid w:val="00870EED"/>
    <w:rsid w:val="00870F2C"/>
    <w:rsid w:val="00870F44"/>
    <w:rsid w:val="00871052"/>
    <w:rsid w:val="008710BA"/>
    <w:rsid w:val="00871109"/>
    <w:rsid w:val="0087111D"/>
    <w:rsid w:val="00871211"/>
    <w:rsid w:val="0087121C"/>
    <w:rsid w:val="00871228"/>
    <w:rsid w:val="00871253"/>
    <w:rsid w:val="00871313"/>
    <w:rsid w:val="008713DD"/>
    <w:rsid w:val="00871441"/>
    <w:rsid w:val="00871564"/>
    <w:rsid w:val="008715C9"/>
    <w:rsid w:val="008715E7"/>
    <w:rsid w:val="008715EC"/>
    <w:rsid w:val="0087163C"/>
    <w:rsid w:val="00871641"/>
    <w:rsid w:val="00871699"/>
    <w:rsid w:val="0087169B"/>
    <w:rsid w:val="008716AF"/>
    <w:rsid w:val="00871715"/>
    <w:rsid w:val="00871732"/>
    <w:rsid w:val="00871752"/>
    <w:rsid w:val="0087177F"/>
    <w:rsid w:val="008717A1"/>
    <w:rsid w:val="008717C1"/>
    <w:rsid w:val="008717E0"/>
    <w:rsid w:val="00871811"/>
    <w:rsid w:val="00871828"/>
    <w:rsid w:val="00871992"/>
    <w:rsid w:val="008719ED"/>
    <w:rsid w:val="00871A52"/>
    <w:rsid w:val="00871A68"/>
    <w:rsid w:val="00871AAD"/>
    <w:rsid w:val="00871AF4"/>
    <w:rsid w:val="00871B35"/>
    <w:rsid w:val="00871B88"/>
    <w:rsid w:val="00871C60"/>
    <w:rsid w:val="00871C6F"/>
    <w:rsid w:val="00871CC5"/>
    <w:rsid w:val="00871CEB"/>
    <w:rsid w:val="00871D49"/>
    <w:rsid w:val="00871D4D"/>
    <w:rsid w:val="00871D87"/>
    <w:rsid w:val="00871D8B"/>
    <w:rsid w:val="00871DCB"/>
    <w:rsid w:val="00871E4B"/>
    <w:rsid w:val="00871E67"/>
    <w:rsid w:val="00871E7D"/>
    <w:rsid w:val="00871E8F"/>
    <w:rsid w:val="00871EC4"/>
    <w:rsid w:val="00871F72"/>
    <w:rsid w:val="00872055"/>
    <w:rsid w:val="00872084"/>
    <w:rsid w:val="0087211D"/>
    <w:rsid w:val="00872133"/>
    <w:rsid w:val="008721E5"/>
    <w:rsid w:val="00872230"/>
    <w:rsid w:val="0087225B"/>
    <w:rsid w:val="00872353"/>
    <w:rsid w:val="00872373"/>
    <w:rsid w:val="0087238A"/>
    <w:rsid w:val="008723D3"/>
    <w:rsid w:val="008723E9"/>
    <w:rsid w:val="00872442"/>
    <w:rsid w:val="00872475"/>
    <w:rsid w:val="0087248E"/>
    <w:rsid w:val="0087249C"/>
    <w:rsid w:val="00872539"/>
    <w:rsid w:val="0087257C"/>
    <w:rsid w:val="00872613"/>
    <w:rsid w:val="00872615"/>
    <w:rsid w:val="0087261F"/>
    <w:rsid w:val="00872645"/>
    <w:rsid w:val="0087267B"/>
    <w:rsid w:val="00872683"/>
    <w:rsid w:val="0087271A"/>
    <w:rsid w:val="00872776"/>
    <w:rsid w:val="00872787"/>
    <w:rsid w:val="00872883"/>
    <w:rsid w:val="00872923"/>
    <w:rsid w:val="00872927"/>
    <w:rsid w:val="0087293F"/>
    <w:rsid w:val="00872946"/>
    <w:rsid w:val="008729E9"/>
    <w:rsid w:val="00872A3A"/>
    <w:rsid w:val="00872AAA"/>
    <w:rsid w:val="00872AD0"/>
    <w:rsid w:val="00872C3D"/>
    <w:rsid w:val="00872C59"/>
    <w:rsid w:val="00872C6E"/>
    <w:rsid w:val="00872C88"/>
    <w:rsid w:val="00872CCB"/>
    <w:rsid w:val="00872D7A"/>
    <w:rsid w:val="00872E2E"/>
    <w:rsid w:val="00872E80"/>
    <w:rsid w:val="00872ED8"/>
    <w:rsid w:val="00872F00"/>
    <w:rsid w:val="00872F20"/>
    <w:rsid w:val="00872F26"/>
    <w:rsid w:val="00872F8C"/>
    <w:rsid w:val="00872FCA"/>
    <w:rsid w:val="0087301D"/>
    <w:rsid w:val="0087307B"/>
    <w:rsid w:val="008730A6"/>
    <w:rsid w:val="008730C0"/>
    <w:rsid w:val="008730D8"/>
    <w:rsid w:val="008730DD"/>
    <w:rsid w:val="008732FF"/>
    <w:rsid w:val="00873351"/>
    <w:rsid w:val="00873388"/>
    <w:rsid w:val="0087338B"/>
    <w:rsid w:val="0087341D"/>
    <w:rsid w:val="00873478"/>
    <w:rsid w:val="00873518"/>
    <w:rsid w:val="00873579"/>
    <w:rsid w:val="00873640"/>
    <w:rsid w:val="00873660"/>
    <w:rsid w:val="008736BB"/>
    <w:rsid w:val="008736DA"/>
    <w:rsid w:val="00873742"/>
    <w:rsid w:val="00873763"/>
    <w:rsid w:val="008737D1"/>
    <w:rsid w:val="008738C0"/>
    <w:rsid w:val="008738F6"/>
    <w:rsid w:val="00873929"/>
    <w:rsid w:val="00873983"/>
    <w:rsid w:val="00873987"/>
    <w:rsid w:val="00873A1D"/>
    <w:rsid w:val="00873AFC"/>
    <w:rsid w:val="00873B58"/>
    <w:rsid w:val="00873B73"/>
    <w:rsid w:val="00873BB3"/>
    <w:rsid w:val="00873C61"/>
    <w:rsid w:val="00873C87"/>
    <w:rsid w:val="00873D61"/>
    <w:rsid w:val="00873D75"/>
    <w:rsid w:val="00873D94"/>
    <w:rsid w:val="00873D9A"/>
    <w:rsid w:val="00873E10"/>
    <w:rsid w:val="00873E61"/>
    <w:rsid w:val="00873EA7"/>
    <w:rsid w:val="00873EE8"/>
    <w:rsid w:val="00873EED"/>
    <w:rsid w:val="00873F51"/>
    <w:rsid w:val="00873FAE"/>
    <w:rsid w:val="00873FB8"/>
    <w:rsid w:val="00874007"/>
    <w:rsid w:val="008740B1"/>
    <w:rsid w:val="008740EB"/>
    <w:rsid w:val="008741DC"/>
    <w:rsid w:val="00874271"/>
    <w:rsid w:val="00874311"/>
    <w:rsid w:val="008743DC"/>
    <w:rsid w:val="00874497"/>
    <w:rsid w:val="00874548"/>
    <w:rsid w:val="008745A0"/>
    <w:rsid w:val="008745B1"/>
    <w:rsid w:val="00874651"/>
    <w:rsid w:val="008746A2"/>
    <w:rsid w:val="00874751"/>
    <w:rsid w:val="00874859"/>
    <w:rsid w:val="008748E0"/>
    <w:rsid w:val="008749A1"/>
    <w:rsid w:val="008749A2"/>
    <w:rsid w:val="00874A04"/>
    <w:rsid w:val="00874A10"/>
    <w:rsid w:val="00874A74"/>
    <w:rsid w:val="00874A9C"/>
    <w:rsid w:val="00874B52"/>
    <w:rsid w:val="00874B82"/>
    <w:rsid w:val="00874BDA"/>
    <w:rsid w:val="00874BE6"/>
    <w:rsid w:val="00874C9C"/>
    <w:rsid w:val="00874D78"/>
    <w:rsid w:val="00874DA3"/>
    <w:rsid w:val="00874DBD"/>
    <w:rsid w:val="00874DFD"/>
    <w:rsid w:val="00874E15"/>
    <w:rsid w:val="00874E2F"/>
    <w:rsid w:val="00874E31"/>
    <w:rsid w:val="00874E53"/>
    <w:rsid w:val="00874E79"/>
    <w:rsid w:val="00874E8D"/>
    <w:rsid w:val="00874EAA"/>
    <w:rsid w:val="00874EC7"/>
    <w:rsid w:val="00874EED"/>
    <w:rsid w:val="00874FCC"/>
    <w:rsid w:val="00874FFC"/>
    <w:rsid w:val="00875045"/>
    <w:rsid w:val="00875065"/>
    <w:rsid w:val="00875140"/>
    <w:rsid w:val="00875198"/>
    <w:rsid w:val="008752E5"/>
    <w:rsid w:val="008752E8"/>
    <w:rsid w:val="00875312"/>
    <w:rsid w:val="00875332"/>
    <w:rsid w:val="0087535C"/>
    <w:rsid w:val="00875386"/>
    <w:rsid w:val="008753C0"/>
    <w:rsid w:val="008753D5"/>
    <w:rsid w:val="0087540A"/>
    <w:rsid w:val="00875532"/>
    <w:rsid w:val="008755C9"/>
    <w:rsid w:val="0087563E"/>
    <w:rsid w:val="00875683"/>
    <w:rsid w:val="00875692"/>
    <w:rsid w:val="008756CC"/>
    <w:rsid w:val="008756D9"/>
    <w:rsid w:val="0087570F"/>
    <w:rsid w:val="008757D8"/>
    <w:rsid w:val="0087587B"/>
    <w:rsid w:val="008758C1"/>
    <w:rsid w:val="008758D0"/>
    <w:rsid w:val="008758D2"/>
    <w:rsid w:val="008758DD"/>
    <w:rsid w:val="008758E0"/>
    <w:rsid w:val="0087592D"/>
    <w:rsid w:val="0087594A"/>
    <w:rsid w:val="0087598D"/>
    <w:rsid w:val="008759B7"/>
    <w:rsid w:val="00875A22"/>
    <w:rsid w:val="00875A2D"/>
    <w:rsid w:val="00875ABB"/>
    <w:rsid w:val="00875B5A"/>
    <w:rsid w:val="00875B5E"/>
    <w:rsid w:val="00875B7D"/>
    <w:rsid w:val="00875B86"/>
    <w:rsid w:val="00875BB4"/>
    <w:rsid w:val="00875C4F"/>
    <w:rsid w:val="00875DEA"/>
    <w:rsid w:val="00875EA8"/>
    <w:rsid w:val="00875F99"/>
    <w:rsid w:val="00875FC0"/>
    <w:rsid w:val="00876060"/>
    <w:rsid w:val="0087606A"/>
    <w:rsid w:val="00876096"/>
    <w:rsid w:val="008760CD"/>
    <w:rsid w:val="00876149"/>
    <w:rsid w:val="008761CE"/>
    <w:rsid w:val="00876247"/>
    <w:rsid w:val="00876301"/>
    <w:rsid w:val="00876314"/>
    <w:rsid w:val="008763D4"/>
    <w:rsid w:val="00876424"/>
    <w:rsid w:val="008764AF"/>
    <w:rsid w:val="008764E2"/>
    <w:rsid w:val="008764EB"/>
    <w:rsid w:val="0087655A"/>
    <w:rsid w:val="0087657E"/>
    <w:rsid w:val="008765A2"/>
    <w:rsid w:val="008765EB"/>
    <w:rsid w:val="008765F5"/>
    <w:rsid w:val="00876637"/>
    <w:rsid w:val="00876645"/>
    <w:rsid w:val="00876674"/>
    <w:rsid w:val="00876688"/>
    <w:rsid w:val="00876703"/>
    <w:rsid w:val="0087680C"/>
    <w:rsid w:val="00876901"/>
    <w:rsid w:val="0087691F"/>
    <w:rsid w:val="00876959"/>
    <w:rsid w:val="008769C0"/>
    <w:rsid w:val="008769E8"/>
    <w:rsid w:val="00876A08"/>
    <w:rsid w:val="00876A17"/>
    <w:rsid w:val="00876A46"/>
    <w:rsid w:val="00876A87"/>
    <w:rsid w:val="00876AE7"/>
    <w:rsid w:val="00876B2D"/>
    <w:rsid w:val="00876B35"/>
    <w:rsid w:val="00876C74"/>
    <w:rsid w:val="00876C85"/>
    <w:rsid w:val="00876D0C"/>
    <w:rsid w:val="00876D26"/>
    <w:rsid w:val="00876DA0"/>
    <w:rsid w:val="00876DC9"/>
    <w:rsid w:val="00876E39"/>
    <w:rsid w:val="00876F3E"/>
    <w:rsid w:val="00876FF4"/>
    <w:rsid w:val="00877022"/>
    <w:rsid w:val="00877055"/>
    <w:rsid w:val="0087715E"/>
    <w:rsid w:val="0087716D"/>
    <w:rsid w:val="008771DA"/>
    <w:rsid w:val="00877255"/>
    <w:rsid w:val="00877264"/>
    <w:rsid w:val="008772D3"/>
    <w:rsid w:val="0087734E"/>
    <w:rsid w:val="00877358"/>
    <w:rsid w:val="008773CA"/>
    <w:rsid w:val="008773CF"/>
    <w:rsid w:val="008774F7"/>
    <w:rsid w:val="008775B9"/>
    <w:rsid w:val="0087765F"/>
    <w:rsid w:val="0087770E"/>
    <w:rsid w:val="0087772E"/>
    <w:rsid w:val="00877829"/>
    <w:rsid w:val="00877841"/>
    <w:rsid w:val="00877888"/>
    <w:rsid w:val="0087794F"/>
    <w:rsid w:val="00877979"/>
    <w:rsid w:val="008779A3"/>
    <w:rsid w:val="008779F1"/>
    <w:rsid w:val="00877A62"/>
    <w:rsid w:val="00877A93"/>
    <w:rsid w:val="00877AA0"/>
    <w:rsid w:val="00877AB6"/>
    <w:rsid w:val="00877B0D"/>
    <w:rsid w:val="00877B4C"/>
    <w:rsid w:val="00877B6B"/>
    <w:rsid w:val="00877B7D"/>
    <w:rsid w:val="00877C31"/>
    <w:rsid w:val="00877C46"/>
    <w:rsid w:val="00877C5C"/>
    <w:rsid w:val="00877C83"/>
    <w:rsid w:val="00877C92"/>
    <w:rsid w:val="00877CA4"/>
    <w:rsid w:val="00877CBA"/>
    <w:rsid w:val="00877D71"/>
    <w:rsid w:val="00877DBF"/>
    <w:rsid w:val="00877DD1"/>
    <w:rsid w:val="00877DF8"/>
    <w:rsid w:val="00877E38"/>
    <w:rsid w:val="00877E3E"/>
    <w:rsid w:val="00877E58"/>
    <w:rsid w:val="00877E8C"/>
    <w:rsid w:val="00877EB5"/>
    <w:rsid w:val="00877EE0"/>
    <w:rsid w:val="00877FA6"/>
    <w:rsid w:val="00877FCB"/>
    <w:rsid w:val="00880039"/>
    <w:rsid w:val="00880081"/>
    <w:rsid w:val="00880088"/>
    <w:rsid w:val="008800ED"/>
    <w:rsid w:val="00880122"/>
    <w:rsid w:val="00880123"/>
    <w:rsid w:val="00880128"/>
    <w:rsid w:val="00880172"/>
    <w:rsid w:val="00880246"/>
    <w:rsid w:val="00880265"/>
    <w:rsid w:val="0088026B"/>
    <w:rsid w:val="0088027C"/>
    <w:rsid w:val="008802A2"/>
    <w:rsid w:val="008802D9"/>
    <w:rsid w:val="008802DA"/>
    <w:rsid w:val="0088054E"/>
    <w:rsid w:val="008806A1"/>
    <w:rsid w:val="008806E5"/>
    <w:rsid w:val="008806E8"/>
    <w:rsid w:val="0088077F"/>
    <w:rsid w:val="008807F6"/>
    <w:rsid w:val="00880835"/>
    <w:rsid w:val="00880860"/>
    <w:rsid w:val="00880880"/>
    <w:rsid w:val="00880888"/>
    <w:rsid w:val="00880892"/>
    <w:rsid w:val="00880897"/>
    <w:rsid w:val="008808A2"/>
    <w:rsid w:val="008808E3"/>
    <w:rsid w:val="008809C0"/>
    <w:rsid w:val="00880A5A"/>
    <w:rsid w:val="00880B40"/>
    <w:rsid w:val="00880B64"/>
    <w:rsid w:val="00880B8D"/>
    <w:rsid w:val="00880BC9"/>
    <w:rsid w:val="00880C2B"/>
    <w:rsid w:val="00880C93"/>
    <w:rsid w:val="00880D7D"/>
    <w:rsid w:val="00880D9C"/>
    <w:rsid w:val="00880DBF"/>
    <w:rsid w:val="00880E1E"/>
    <w:rsid w:val="00880ED5"/>
    <w:rsid w:val="00880ED7"/>
    <w:rsid w:val="00880F01"/>
    <w:rsid w:val="00880F10"/>
    <w:rsid w:val="00880F7A"/>
    <w:rsid w:val="00881044"/>
    <w:rsid w:val="008810C4"/>
    <w:rsid w:val="008810E1"/>
    <w:rsid w:val="008810F6"/>
    <w:rsid w:val="008811CB"/>
    <w:rsid w:val="008812A3"/>
    <w:rsid w:val="00881329"/>
    <w:rsid w:val="0088133A"/>
    <w:rsid w:val="00881386"/>
    <w:rsid w:val="008813F8"/>
    <w:rsid w:val="00881404"/>
    <w:rsid w:val="00881415"/>
    <w:rsid w:val="0088144D"/>
    <w:rsid w:val="00881455"/>
    <w:rsid w:val="00881494"/>
    <w:rsid w:val="008814EB"/>
    <w:rsid w:val="0088150F"/>
    <w:rsid w:val="008815A4"/>
    <w:rsid w:val="008815D3"/>
    <w:rsid w:val="008815DD"/>
    <w:rsid w:val="00881608"/>
    <w:rsid w:val="0088162F"/>
    <w:rsid w:val="0088163F"/>
    <w:rsid w:val="00881689"/>
    <w:rsid w:val="008816D1"/>
    <w:rsid w:val="008816E7"/>
    <w:rsid w:val="008816F7"/>
    <w:rsid w:val="00881737"/>
    <w:rsid w:val="008817DE"/>
    <w:rsid w:val="0088181E"/>
    <w:rsid w:val="0088187F"/>
    <w:rsid w:val="008818D1"/>
    <w:rsid w:val="008819A7"/>
    <w:rsid w:val="00881A47"/>
    <w:rsid w:val="00881A58"/>
    <w:rsid w:val="00881A80"/>
    <w:rsid w:val="00881AE0"/>
    <w:rsid w:val="00881B21"/>
    <w:rsid w:val="00881B67"/>
    <w:rsid w:val="00881B85"/>
    <w:rsid w:val="00881B96"/>
    <w:rsid w:val="00881BD2"/>
    <w:rsid w:val="00881C1F"/>
    <w:rsid w:val="00881C23"/>
    <w:rsid w:val="00881CF0"/>
    <w:rsid w:val="00881D7E"/>
    <w:rsid w:val="00881DE6"/>
    <w:rsid w:val="00881E03"/>
    <w:rsid w:val="00881E06"/>
    <w:rsid w:val="00881E7B"/>
    <w:rsid w:val="00881E98"/>
    <w:rsid w:val="00881F17"/>
    <w:rsid w:val="00881F42"/>
    <w:rsid w:val="00881F5E"/>
    <w:rsid w:val="00881F6A"/>
    <w:rsid w:val="00881FB6"/>
    <w:rsid w:val="00882024"/>
    <w:rsid w:val="0088206E"/>
    <w:rsid w:val="0088218F"/>
    <w:rsid w:val="008822C7"/>
    <w:rsid w:val="008822D3"/>
    <w:rsid w:val="008822F0"/>
    <w:rsid w:val="0088246E"/>
    <w:rsid w:val="008824C0"/>
    <w:rsid w:val="0088252C"/>
    <w:rsid w:val="0088259C"/>
    <w:rsid w:val="008825EF"/>
    <w:rsid w:val="00882613"/>
    <w:rsid w:val="008826D4"/>
    <w:rsid w:val="0088271B"/>
    <w:rsid w:val="0088271E"/>
    <w:rsid w:val="0088275E"/>
    <w:rsid w:val="008827B8"/>
    <w:rsid w:val="00882858"/>
    <w:rsid w:val="008829B4"/>
    <w:rsid w:val="008829BD"/>
    <w:rsid w:val="00882A12"/>
    <w:rsid w:val="00882A2B"/>
    <w:rsid w:val="00882A44"/>
    <w:rsid w:val="00882AD4"/>
    <w:rsid w:val="00882AFE"/>
    <w:rsid w:val="00882B06"/>
    <w:rsid w:val="00882B0A"/>
    <w:rsid w:val="00882B16"/>
    <w:rsid w:val="00882B21"/>
    <w:rsid w:val="00882B5C"/>
    <w:rsid w:val="00882BCA"/>
    <w:rsid w:val="00882C0F"/>
    <w:rsid w:val="00882C4D"/>
    <w:rsid w:val="00882C55"/>
    <w:rsid w:val="00882C7D"/>
    <w:rsid w:val="00882CAE"/>
    <w:rsid w:val="00882CB7"/>
    <w:rsid w:val="00882CBA"/>
    <w:rsid w:val="00882CD5"/>
    <w:rsid w:val="00882D23"/>
    <w:rsid w:val="00882D60"/>
    <w:rsid w:val="00882DE8"/>
    <w:rsid w:val="00882E5C"/>
    <w:rsid w:val="00882E93"/>
    <w:rsid w:val="00882EB3"/>
    <w:rsid w:val="00882F1E"/>
    <w:rsid w:val="00882F32"/>
    <w:rsid w:val="00883080"/>
    <w:rsid w:val="00883088"/>
    <w:rsid w:val="008830B8"/>
    <w:rsid w:val="008830D7"/>
    <w:rsid w:val="00883110"/>
    <w:rsid w:val="0088338E"/>
    <w:rsid w:val="008833B2"/>
    <w:rsid w:val="008833B8"/>
    <w:rsid w:val="008833BB"/>
    <w:rsid w:val="008833BC"/>
    <w:rsid w:val="0088341E"/>
    <w:rsid w:val="00883457"/>
    <w:rsid w:val="008834AC"/>
    <w:rsid w:val="008834E5"/>
    <w:rsid w:val="008834F6"/>
    <w:rsid w:val="008834FD"/>
    <w:rsid w:val="00883534"/>
    <w:rsid w:val="00883540"/>
    <w:rsid w:val="008835D3"/>
    <w:rsid w:val="0088364A"/>
    <w:rsid w:val="00883652"/>
    <w:rsid w:val="008837F2"/>
    <w:rsid w:val="00883849"/>
    <w:rsid w:val="008838E9"/>
    <w:rsid w:val="008839C2"/>
    <w:rsid w:val="008839C5"/>
    <w:rsid w:val="008839CB"/>
    <w:rsid w:val="008839E1"/>
    <w:rsid w:val="00883A48"/>
    <w:rsid w:val="00883A71"/>
    <w:rsid w:val="00883AB0"/>
    <w:rsid w:val="00883AEC"/>
    <w:rsid w:val="00883AFD"/>
    <w:rsid w:val="00883B74"/>
    <w:rsid w:val="00883BAB"/>
    <w:rsid w:val="00883C75"/>
    <w:rsid w:val="00883DBA"/>
    <w:rsid w:val="00883DC6"/>
    <w:rsid w:val="00883E0C"/>
    <w:rsid w:val="00883E28"/>
    <w:rsid w:val="00883EBD"/>
    <w:rsid w:val="00883EEC"/>
    <w:rsid w:val="00883F4C"/>
    <w:rsid w:val="00883F58"/>
    <w:rsid w:val="00883F5F"/>
    <w:rsid w:val="00883F64"/>
    <w:rsid w:val="00883F80"/>
    <w:rsid w:val="00883F9A"/>
    <w:rsid w:val="00884016"/>
    <w:rsid w:val="0088401F"/>
    <w:rsid w:val="0088409E"/>
    <w:rsid w:val="008840BA"/>
    <w:rsid w:val="008840BB"/>
    <w:rsid w:val="00884163"/>
    <w:rsid w:val="0088417D"/>
    <w:rsid w:val="0088418F"/>
    <w:rsid w:val="00884253"/>
    <w:rsid w:val="00884264"/>
    <w:rsid w:val="0088429E"/>
    <w:rsid w:val="008842A7"/>
    <w:rsid w:val="008842B6"/>
    <w:rsid w:val="00884330"/>
    <w:rsid w:val="00884391"/>
    <w:rsid w:val="00884427"/>
    <w:rsid w:val="0088444C"/>
    <w:rsid w:val="00884584"/>
    <w:rsid w:val="008845B4"/>
    <w:rsid w:val="008845BE"/>
    <w:rsid w:val="008845E0"/>
    <w:rsid w:val="00884603"/>
    <w:rsid w:val="00884614"/>
    <w:rsid w:val="00884670"/>
    <w:rsid w:val="00884695"/>
    <w:rsid w:val="008846B4"/>
    <w:rsid w:val="0088473C"/>
    <w:rsid w:val="008847C6"/>
    <w:rsid w:val="008847E1"/>
    <w:rsid w:val="0088481C"/>
    <w:rsid w:val="008848CC"/>
    <w:rsid w:val="00884907"/>
    <w:rsid w:val="008849A7"/>
    <w:rsid w:val="008849BE"/>
    <w:rsid w:val="008849DE"/>
    <w:rsid w:val="00884A1B"/>
    <w:rsid w:val="00884ABC"/>
    <w:rsid w:val="00884B7C"/>
    <w:rsid w:val="00884BA4"/>
    <w:rsid w:val="00884BE9"/>
    <w:rsid w:val="00884BF6"/>
    <w:rsid w:val="00884C09"/>
    <w:rsid w:val="00884C12"/>
    <w:rsid w:val="00884C86"/>
    <w:rsid w:val="00884D1C"/>
    <w:rsid w:val="00884D6D"/>
    <w:rsid w:val="00884E23"/>
    <w:rsid w:val="00884E2C"/>
    <w:rsid w:val="00884EA4"/>
    <w:rsid w:val="00884EEB"/>
    <w:rsid w:val="00884F0C"/>
    <w:rsid w:val="00884F31"/>
    <w:rsid w:val="00884F4F"/>
    <w:rsid w:val="00884F51"/>
    <w:rsid w:val="00884F76"/>
    <w:rsid w:val="0088512C"/>
    <w:rsid w:val="0088517F"/>
    <w:rsid w:val="00885223"/>
    <w:rsid w:val="00885305"/>
    <w:rsid w:val="00885315"/>
    <w:rsid w:val="00885381"/>
    <w:rsid w:val="008853A3"/>
    <w:rsid w:val="0088549F"/>
    <w:rsid w:val="00885515"/>
    <w:rsid w:val="00885673"/>
    <w:rsid w:val="00885682"/>
    <w:rsid w:val="00885714"/>
    <w:rsid w:val="0088577A"/>
    <w:rsid w:val="00885797"/>
    <w:rsid w:val="00885798"/>
    <w:rsid w:val="008857C6"/>
    <w:rsid w:val="008857F6"/>
    <w:rsid w:val="00885831"/>
    <w:rsid w:val="00885840"/>
    <w:rsid w:val="0088584C"/>
    <w:rsid w:val="00885867"/>
    <w:rsid w:val="008858B0"/>
    <w:rsid w:val="00885902"/>
    <w:rsid w:val="00885931"/>
    <w:rsid w:val="008859AA"/>
    <w:rsid w:val="00885A22"/>
    <w:rsid w:val="00885A3D"/>
    <w:rsid w:val="00885A92"/>
    <w:rsid w:val="00885AE9"/>
    <w:rsid w:val="00885BA8"/>
    <w:rsid w:val="00885BBB"/>
    <w:rsid w:val="00885BBE"/>
    <w:rsid w:val="00885BEF"/>
    <w:rsid w:val="00885C28"/>
    <w:rsid w:val="00885C96"/>
    <w:rsid w:val="00885C97"/>
    <w:rsid w:val="00885D52"/>
    <w:rsid w:val="00885D85"/>
    <w:rsid w:val="00885DDB"/>
    <w:rsid w:val="00885E08"/>
    <w:rsid w:val="00885E38"/>
    <w:rsid w:val="00885EB6"/>
    <w:rsid w:val="00885F50"/>
    <w:rsid w:val="00885F87"/>
    <w:rsid w:val="00885F9A"/>
    <w:rsid w:val="00885FB8"/>
    <w:rsid w:val="00885FD3"/>
    <w:rsid w:val="00885FFB"/>
    <w:rsid w:val="00885FFD"/>
    <w:rsid w:val="0088612D"/>
    <w:rsid w:val="00886228"/>
    <w:rsid w:val="008862F8"/>
    <w:rsid w:val="008863CD"/>
    <w:rsid w:val="008863E2"/>
    <w:rsid w:val="008863EC"/>
    <w:rsid w:val="00886428"/>
    <w:rsid w:val="0088646D"/>
    <w:rsid w:val="008864DA"/>
    <w:rsid w:val="00886536"/>
    <w:rsid w:val="008865C0"/>
    <w:rsid w:val="008865F3"/>
    <w:rsid w:val="0088664A"/>
    <w:rsid w:val="00886687"/>
    <w:rsid w:val="008866DD"/>
    <w:rsid w:val="0088670C"/>
    <w:rsid w:val="0088672F"/>
    <w:rsid w:val="0088676E"/>
    <w:rsid w:val="00886780"/>
    <w:rsid w:val="008867B0"/>
    <w:rsid w:val="0088680C"/>
    <w:rsid w:val="00886874"/>
    <w:rsid w:val="00886875"/>
    <w:rsid w:val="008868BF"/>
    <w:rsid w:val="008868F8"/>
    <w:rsid w:val="008868FD"/>
    <w:rsid w:val="008869FE"/>
    <w:rsid w:val="00886A68"/>
    <w:rsid w:val="00886A7A"/>
    <w:rsid w:val="00886A81"/>
    <w:rsid w:val="00886B47"/>
    <w:rsid w:val="00886BA1"/>
    <w:rsid w:val="00886BBE"/>
    <w:rsid w:val="00886BF6"/>
    <w:rsid w:val="00886CC9"/>
    <w:rsid w:val="00886D11"/>
    <w:rsid w:val="00886D71"/>
    <w:rsid w:val="00886E73"/>
    <w:rsid w:val="00886F04"/>
    <w:rsid w:val="00886F1E"/>
    <w:rsid w:val="00886F2E"/>
    <w:rsid w:val="00886F7E"/>
    <w:rsid w:val="00886F96"/>
    <w:rsid w:val="00886FB0"/>
    <w:rsid w:val="00886FFE"/>
    <w:rsid w:val="00887032"/>
    <w:rsid w:val="00887140"/>
    <w:rsid w:val="008871D4"/>
    <w:rsid w:val="008872C4"/>
    <w:rsid w:val="00887332"/>
    <w:rsid w:val="0088738C"/>
    <w:rsid w:val="008873F6"/>
    <w:rsid w:val="00887400"/>
    <w:rsid w:val="0088742B"/>
    <w:rsid w:val="00887462"/>
    <w:rsid w:val="008874A8"/>
    <w:rsid w:val="008874B7"/>
    <w:rsid w:val="0088752D"/>
    <w:rsid w:val="00887585"/>
    <w:rsid w:val="008875B2"/>
    <w:rsid w:val="00887604"/>
    <w:rsid w:val="0088760F"/>
    <w:rsid w:val="008876C8"/>
    <w:rsid w:val="008876DD"/>
    <w:rsid w:val="0088777D"/>
    <w:rsid w:val="0088779B"/>
    <w:rsid w:val="0088779F"/>
    <w:rsid w:val="008877C7"/>
    <w:rsid w:val="008877C9"/>
    <w:rsid w:val="008877CC"/>
    <w:rsid w:val="008877D8"/>
    <w:rsid w:val="008877E6"/>
    <w:rsid w:val="0088784F"/>
    <w:rsid w:val="00887861"/>
    <w:rsid w:val="0088788B"/>
    <w:rsid w:val="0088791E"/>
    <w:rsid w:val="0088791F"/>
    <w:rsid w:val="0088792A"/>
    <w:rsid w:val="008879BA"/>
    <w:rsid w:val="008879F7"/>
    <w:rsid w:val="00887A56"/>
    <w:rsid w:val="00887A87"/>
    <w:rsid w:val="00887B0B"/>
    <w:rsid w:val="00887B10"/>
    <w:rsid w:val="00887B9F"/>
    <w:rsid w:val="00887BB9"/>
    <w:rsid w:val="00887BE5"/>
    <w:rsid w:val="00887BF6"/>
    <w:rsid w:val="00887C01"/>
    <w:rsid w:val="00887C10"/>
    <w:rsid w:val="00887C20"/>
    <w:rsid w:val="00887C30"/>
    <w:rsid w:val="00887C62"/>
    <w:rsid w:val="00887C91"/>
    <w:rsid w:val="00887CF3"/>
    <w:rsid w:val="00887D7F"/>
    <w:rsid w:val="00887DB0"/>
    <w:rsid w:val="00887DB9"/>
    <w:rsid w:val="00887E15"/>
    <w:rsid w:val="00887EA0"/>
    <w:rsid w:val="00887EDE"/>
    <w:rsid w:val="00887FD1"/>
    <w:rsid w:val="0089000E"/>
    <w:rsid w:val="008900D5"/>
    <w:rsid w:val="00890126"/>
    <w:rsid w:val="0089021D"/>
    <w:rsid w:val="00890246"/>
    <w:rsid w:val="008902E5"/>
    <w:rsid w:val="00890317"/>
    <w:rsid w:val="008903B6"/>
    <w:rsid w:val="008903DB"/>
    <w:rsid w:val="008904E5"/>
    <w:rsid w:val="00890556"/>
    <w:rsid w:val="008905FB"/>
    <w:rsid w:val="00890684"/>
    <w:rsid w:val="008906CF"/>
    <w:rsid w:val="00890747"/>
    <w:rsid w:val="0089075D"/>
    <w:rsid w:val="008907D5"/>
    <w:rsid w:val="008907DF"/>
    <w:rsid w:val="008907E5"/>
    <w:rsid w:val="008907EA"/>
    <w:rsid w:val="0089080B"/>
    <w:rsid w:val="00890848"/>
    <w:rsid w:val="008908B6"/>
    <w:rsid w:val="008908ED"/>
    <w:rsid w:val="008908F8"/>
    <w:rsid w:val="00890916"/>
    <w:rsid w:val="008909A0"/>
    <w:rsid w:val="00890A11"/>
    <w:rsid w:val="00890A26"/>
    <w:rsid w:val="00890A7C"/>
    <w:rsid w:val="00890A82"/>
    <w:rsid w:val="00890AB1"/>
    <w:rsid w:val="00890ACF"/>
    <w:rsid w:val="00890B34"/>
    <w:rsid w:val="00890B4E"/>
    <w:rsid w:val="00890D2E"/>
    <w:rsid w:val="00890D3F"/>
    <w:rsid w:val="00890DD6"/>
    <w:rsid w:val="00890E7B"/>
    <w:rsid w:val="00890EBB"/>
    <w:rsid w:val="00890EC0"/>
    <w:rsid w:val="00890F16"/>
    <w:rsid w:val="00891047"/>
    <w:rsid w:val="00891089"/>
    <w:rsid w:val="008910B4"/>
    <w:rsid w:val="008910DB"/>
    <w:rsid w:val="00891113"/>
    <w:rsid w:val="00891144"/>
    <w:rsid w:val="008911D3"/>
    <w:rsid w:val="008911D7"/>
    <w:rsid w:val="00891291"/>
    <w:rsid w:val="008912B9"/>
    <w:rsid w:val="0089135D"/>
    <w:rsid w:val="008913C3"/>
    <w:rsid w:val="008913D1"/>
    <w:rsid w:val="00891490"/>
    <w:rsid w:val="00891493"/>
    <w:rsid w:val="008914A6"/>
    <w:rsid w:val="00891522"/>
    <w:rsid w:val="0089154C"/>
    <w:rsid w:val="008915A9"/>
    <w:rsid w:val="008915CE"/>
    <w:rsid w:val="008915EB"/>
    <w:rsid w:val="0089163A"/>
    <w:rsid w:val="0089164A"/>
    <w:rsid w:val="00891664"/>
    <w:rsid w:val="0089177E"/>
    <w:rsid w:val="008917B9"/>
    <w:rsid w:val="008917C9"/>
    <w:rsid w:val="008917DA"/>
    <w:rsid w:val="0089184D"/>
    <w:rsid w:val="00891859"/>
    <w:rsid w:val="0089186D"/>
    <w:rsid w:val="00891888"/>
    <w:rsid w:val="008918A1"/>
    <w:rsid w:val="00891922"/>
    <w:rsid w:val="00891944"/>
    <w:rsid w:val="00891951"/>
    <w:rsid w:val="00891991"/>
    <w:rsid w:val="008919B8"/>
    <w:rsid w:val="00891A22"/>
    <w:rsid w:val="00891A30"/>
    <w:rsid w:val="00891A45"/>
    <w:rsid w:val="00891A91"/>
    <w:rsid w:val="00891AFE"/>
    <w:rsid w:val="00891B2E"/>
    <w:rsid w:val="00891B56"/>
    <w:rsid w:val="00891B7F"/>
    <w:rsid w:val="00891BDD"/>
    <w:rsid w:val="00891C2B"/>
    <w:rsid w:val="00891C55"/>
    <w:rsid w:val="00891CAD"/>
    <w:rsid w:val="00891D23"/>
    <w:rsid w:val="00891D4B"/>
    <w:rsid w:val="00891D69"/>
    <w:rsid w:val="00891D8B"/>
    <w:rsid w:val="00891DC5"/>
    <w:rsid w:val="00891E39"/>
    <w:rsid w:val="00891EDB"/>
    <w:rsid w:val="00891F24"/>
    <w:rsid w:val="00891F35"/>
    <w:rsid w:val="00892021"/>
    <w:rsid w:val="008921D7"/>
    <w:rsid w:val="00892208"/>
    <w:rsid w:val="00892231"/>
    <w:rsid w:val="0089223B"/>
    <w:rsid w:val="00892255"/>
    <w:rsid w:val="0089227F"/>
    <w:rsid w:val="008923A0"/>
    <w:rsid w:val="008923A9"/>
    <w:rsid w:val="008923D6"/>
    <w:rsid w:val="00892425"/>
    <w:rsid w:val="00892481"/>
    <w:rsid w:val="00892491"/>
    <w:rsid w:val="00892520"/>
    <w:rsid w:val="008925EA"/>
    <w:rsid w:val="008926C0"/>
    <w:rsid w:val="0089270E"/>
    <w:rsid w:val="0089273F"/>
    <w:rsid w:val="008927E3"/>
    <w:rsid w:val="00892829"/>
    <w:rsid w:val="008928CA"/>
    <w:rsid w:val="00892924"/>
    <w:rsid w:val="0089292F"/>
    <w:rsid w:val="00892931"/>
    <w:rsid w:val="00892977"/>
    <w:rsid w:val="00892A14"/>
    <w:rsid w:val="00892A38"/>
    <w:rsid w:val="00892A5C"/>
    <w:rsid w:val="00892AA9"/>
    <w:rsid w:val="00892AAA"/>
    <w:rsid w:val="00892B1B"/>
    <w:rsid w:val="00892BAF"/>
    <w:rsid w:val="00892BC5"/>
    <w:rsid w:val="00892BD8"/>
    <w:rsid w:val="00892D6B"/>
    <w:rsid w:val="00892E00"/>
    <w:rsid w:val="00892EC3"/>
    <w:rsid w:val="00892F0E"/>
    <w:rsid w:val="00892F22"/>
    <w:rsid w:val="00892FBA"/>
    <w:rsid w:val="00892FEA"/>
    <w:rsid w:val="0089302D"/>
    <w:rsid w:val="008930BC"/>
    <w:rsid w:val="008930D6"/>
    <w:rsid w:val="008930E3"/>
    <w:rsid w:val="008930FE"/>
    <w:rsid w:val="0089316A"/>
    <w:rsid w:val="008931D0"/>
    <w:rsid w:val="008931E6"/>
    <w:rsid w:val="0089324C"/>
    <w:rsid w:val="0089324D"/>
    <w:rsid w:val="00893260"/>
    <w:rsid w:val="00893281"/>
    <w:rsid w:val="008932B3"/>
    <w:rsid w:val="008932EB"/>
    <w:rsid w:val="00893360"/>
    <w:rsid w:val="00893426"/>
    <w:rsid w:val="0089342F"/>
    <w:rsid w:val="00893445"/>
    <w:rsid w:val="0089344A"/>
    <w:rsid w:val="00893496"/>
    <w:rsid w:val="008934A8"/>
    <w:rsid w:val="008934D6"/>
    <w:rsid w:val="008934F4"/>
    <w:rsid w:val="008934F6"/>
    <w:rsid w:val="008934F8"/>
    <w:rsid w:val="0089350C"/>
    <w:rsid w:val="0089350F"/>
    <w:rsid w:val="00893536"/>
    <w:rsid w:val="00893562"/>
    <w:rsid w:val="0089358C"/>
    <w:rsid w:val="008935F2"/>
    <w:rsid w:val="0089364D"/>
    <w:rsid w:val="00893682"/>
    <w:rsid w:val="008936FD"/>
    <w:rsid w:val="0089376C"/>
    <w:rsid w:val="00893782"/>
    <w:rsid w:val="008937FB"/>
    <w:rsid w:val="008938BD"/>
    <w:rsid w:val="008938DD"/>
    <w:rsid w:val="00893947"/>
    <w:rsid w:val="0089397B"/>
    <w:rsid w:val="008939DD"/>
    <w:rsid w:val="00893A1A"/>
    <w:rsid w:val="00893A1F"/>
    <w:rsid w:val="00893A25"/>
    <w:rsid w:val="00893AC6"/>
    <w:rsid w:val="00893B1B"/>
    <w:rsid w:val="00893B5B"/>
    <w:rsid w:val="00893BF9"/>
    <w:rsid w:val="00893C50"/>
    <w:rsid w:val="00893C98"/>
    <w:rsid w:val="00893DB9"/>
    <w:rsid w:val="00893DFA"/>
    <w:rsid w:val="00893EA8"/>
    <w:rsid w:val="00893EC5"/>
    <w:rsid w:val="00893F09"/>
    <w:rsid w:val="00893F1F"/>
    <w:rsid w:val="00893FA2"/>
    <w:rsid w:val="0089405E"/>
    <w:rsid w:val="0089406F"/>
    <w:rsid w:val="00894071"/>
    <w:rsid w:val="008940BB"/>
    <w:rsid w:val="008940E6"/>
    <w:rsid w:val="008940EF"/>
    <w:rsid w:val="008941F5"/>
    <w:rsid w:val="0089426F"/>
    <w:rsid w:val="00894394"/>
    <w:rsid w:val="008943C6"/>
    <w:rsid w:val="008943EB"/>
    <w:rsid w:val="0089440F"/>
    <w:rsid w:val="00894507"/>
    <w:rsid w:val="00894564"/>
    <w:rsid w:val="00894587"/>
    <w:rsid w:val="008945B5"/>
    <w:rsid w:val="008945B9"/>
    <w:rsid w:val="008947DA"/>
    <w:rsid w:val="0089481F"/>
    <w:rsid w:val="0089482B"/>
    <w:rsid w:val="00894887"/>
    <w:rsid w:val="0089489A"/>
    <w:rsid w:val="008948A3"/>
    <w:rsid w:val="008948BC"/>
    <w:rsid w:val="0089490D"/>
    <w:rsid w:val="0089490F"/>
    <w:rsid w:val="0089493F"/>
    <w:rsid w:val="0089494C"/>
    <w:rsid w:val="00894981"/>
    <w:rsid w:val="008949A0"/>
    <w:rsid w:val="008949B3"/>
    <w:rsid w:val="008949EA"/>
    <w:rsid w:val="00894A5C"/>
    <w:rsid w:val="00894ACF"/>
    <w:rsid w:val="00894AE4"/>
    <w:rsid w:val="00894B50"/>
    <w:rsid w:val="00894BED"/>
    <w:rsid w:val="00894C2B"/>
    <w:rsid w:val="00894C30"/>
    <w:rsid w:val="00894C49"/>
    <w:rsid w:val="00894C59"/>
    <w:rsid w:val="00894C8A"/>
    <w:rsid w:val="00894CCF"/>
    <w:rsid w:val="00894CFF"/>
    <w:rsid w:val="00894D43"/>
    <w:rsid w:val="00894D98"/>
    <w:rsid w:val="00894E61"/>
    <w:rsid w:val="00894EF4"/>
    <w:rsid w:val="00894EF5"/>
    <w:rsid w:val="00894F21"/>
    <w:rsid w:val="00894F58"/>
    <w:rsid w:val="00894FCF"/>
    <w:rsid w:val="00895025"/>
    <w:rsid w:val="00895042"/>
    <w:rsid w:val="00895048"/>
    <w:rsid w:val="0089506B"/>
    <w:rsid w:val="00895264"/>
    <w:rsid w:val="0089527F"/>
    <w:rsid w:val="008952AD"/>
    <w:rsid w:val="008952EF"/>
    <w:rsid w:val="008953CE"/>
    <w:rsid w:val="008953ED"/>
    <w:rsid w:val="00895413"/>
    <w:rsid w:val="0089545F"/>
    <w:rsid w:val="00895498"/>
    <w:rsid w:val="0089549B"/>
    <w:rsid w:val="008954DD"/>
    <w:rsid w:val="0089552E"/>
    <w:rsid w:val="00895601"/>
    <w:rsid w:val="0089562D"/>
    <w:rsid w:val="00895654"/>
    <w:rsid w:val="008956AC"/>
    <w:rsid w:val="008956DA"/>
    <w:rsid w:val="0089573C"/>
    <w:rsid w:val="0089574B"/>
    <w:rsid w:val="008957A2"/>
    <w:rsid w:val="008957C1"/>
    <w:rsid w:val="008958F7"/>
    <w:rsid w:val="00895907"/>
    <w:rsid w:val="00895963"/>
    <w:rsid w:val="0089597D"/>
    <w:rsid w:val="008959B3"/>
    <w:rsid w:val="00895A76"/>
    <w:rsid w:val="00895A7D"/>
    <w:rsid w:val="00895ABF"/>
    <w:rsid w:val="00895AF9"/>
    <w:rsid w:val="00895B4C"/>
    <w:rsid w:val="00895BAB"/>
    <w:rsid w:val="00895C8E"/>
    <w:rsid w:val="00895CBC"/>
    <w:rsid w:val="00895CC0"/>
    <w:rsid w:val="00895D40"/>
    <w:rsid w:val="00895E39"/>
    <w:rsid w:val="00895EA8"/>
    <w:rsid w:val="00895EE9"/>
    <w:rsid w:val="00895F3A"/>
    <w:rsid w:val="00895F54"/>
    <w:rsid w:val="00895F5D"/>
    <w:rsid w:val="00895FBF"/>
    <w:rsid w:val="0089603E"/>
    <w:rsid w:val="00896088"/>
    <w:rsid w:val="0089608C"/>
    <w:rsid w:val="00896096"/>
    <w:rsid w:val="008960ED"/>
    <w:rsid w:val="0089611D"/>
    <w:rsid w:val="0089612B"/>
    <w:rsid w:val="00896135"/>
    <w:rsid w:val="0089613C"/>
    <w:rsid w:val="00896150"/>
    <w:rsid w:val="0089616E"/>
    <w:rsid w:val="00896195"/>
    <w:rsid w:val="00896212"/>
    <w:rsid w:val="008962B9"/>
    <w:rsid w:val="008962C9"/>
    <w:rsid w:val="008962FC"/>
    <w:rsid w:val="00896320"/>
    <w:rsid w:val="0089633D"/>
    <w:rsid w:val="0089638B"/>
    <w:rsid w:val="00896422"/>
    <w:rsid w:val="00896461"/>
    <w:rsid w:val="00896463"/>
    <w:rsid w:val="008964A2"/>
    <w:rsid w:val="008964AD"/>
    <w:rsid w:val="0089654F"/>
    <w:rsid w:val="008965AC"/>
    <w:rsid w:val="008965C1"/>
    <w:rsid w:val="008965DD"/>
    <w:rsid w:val="008965E3"/>
    <w:rsid w:val="00896630"/>
    <w:rsid w:val="00896639"/>
    <w:rsid w:val="0089667D"/>
    <w:rsid w:val="008966AC"/>
    <w:rsid w:val="008966C1"/>
    <w:rsid w:val="008966E6"/>
    <w:rsid w:val="008966F7"/>
    <w:rsid w:val="0089673A"/>
    <w:rsid w:val="00896753"/>
    <w:rsid w:val="00896763"/>
    <w:rsid w:val="00896790"/>
    <w:rsid w:val="008967A9"/>
    <w:rsid w:val="008967B6"/>
    <w:rsid w:val="00896874"/>
    <w:rsid w:val="008968AE"/>
    <w:rsid w:val="00896A62"/>
    <w:rsid w:val="00896AB3"/>
    <w:rsid w:val="00896ACA"/>
    <w:rsid w:val="00896AD7"/>
    <w:rsid w:val="00896BAF"/>
    <w:rsid w:val="00896BDF"/>
    <w:rsid w:val="00896C69"/>
    <w:rsid w:val="00896C98"/>
    <w:rsid w:val="00896CAB"/>
    <w:rsid w:val="00896CB8"/>
    <w:rsid w:val="00896D08"/>
    <w:rsid w:val="00896D19"/>
    <w:rsid w:val="00896D53"/>
    <w:rsid w:val="00896DF4"/>
    <w:rsid w:val="00896E7D"/>
    <w:rsid w:val="00896E7F"/>
    <w:rsid w:val="00896EF5"/>
    <w:rsid w:val="00896F00"/>
    <w:rsid w:val="00896F48"/>
    <w:rsid w:val="00896F50"/>
    <w:rsid w:val="00896F71"/>
    <w:rsid w:val="00896F7E"/>
    <w:rsid w:val="008970CB"/>
    <w:rsid w:val="00897106"/>
    <w:rsid w:val="0089713F"/>
    <w:rsid w:val="00897181"/>
    <w:rsid w:val="00897264"/>
    <w:rsid w:val="008972CC"/>
    <w:rsid w:val="008972DD"/>
    <w:rsid w:val="008972F4"/>
    <w:rsid w:val="0089734B"/>
    <w:rsid w:val="00897376"/>
    <w:rsid w:val="00897379"/>
    <w:rsid w:val="0089738A"/>
    <w:rsid w:val="008973A3"/>
    <w:rsid w:val="008973A4"/>
    <w:rsid w:val="008973D5"/>
    <w:rsid w:val="008973F2"/>
    <w:rsid w:val="00897418"/>
    <w:rsid w:val="00897463"/>
    <w:rsid w:val="00897517"/>
    <w:rsid w:val="00897523"/>
    <w:rsid w:val="0089753A"/>
    <w:rsid w:val="008975F6"/>
    <w:rsid w:val="00897726"/>
    <w:rsid w:val="00897759"/>
    <w:rsid w:val="0089782F"/>
    <w:rsid w:val="00897887"/>
    <w:rsid w:val="008978B6"/>
    <w:rsid w:val="00897989"/>
    <w:rsid w:val="0089798E"/>
    <w:rsid w:val="00897A0F"/>
    <w:rsid w:val="00897A8F"/>
    <w:rsid w:val="00897B39"/>
    <w:rsid w:val="00897B63"/>
    <w:rsid w:val="00897B78"/>
    <w:rsid w:val="00897C00"/>
    <w:rsid w:val="00897C16"/>
    <w:rsid w:val="00897C35"/>
    <w:rsid w:val="00897C8F"/>
    <w:rsid w:val="00897C95"/>
    <w:rsid w:val="00897CA6"/>
    <w:rsid w:val="00897D02"/>
    <w:rsid w:val="00897DFD"/>
    <w:rsid w:val="00897E16"/>
    <w:rsid w:val="00897E7A"/>
    <w:rsid w:val="00897E87"/>
    <w:rsid w:val="00897EC3"/>
    <w:rsid w:val="00897EED"/>
    <w:rsid w:val="00897EFC"/>
    <w:rsid w:val="008A003F"/>
    <w:rsid w:val="008A0059"/>
    <w:rsid w:val="008A010D"/>
    <w:rsid w:val="008A0117"/>
    <w:rsid w:val="008A01AF"/>
    <w:rsid w:val="008A0293"/>
    <w:rsid w:val="008A037D"/>
    <w:rsid w:val="008A040C"/>
    <w:rsid w:val="008A04BA"/>
    <w:rsid w:val="008A04CB"/>
    <w:rsid w:val="008A050A"/>
    <w:rsid w:val="008A052A"/>
    <w:rsid w:val="008A058A"/>
    <w:rsid w:val="008A05A8"/>
    <w:rsid w:val="008A05C2"/>
    <w:rsid w:val="008A064E"/>
    <w:rsid w:val="008A06AB"/>
    <w:rsid w:val="008A073F"/>
    <w:rsid w:val="008A077A"/>
    <w:rsid w:val="008A07FF"/>
    <w:rsid w:val="008A0894"/>
    <w:rsid w:val="008A08DD"/>
    <w:rsid w:val="008A09A9"/>
    <w:rsid w:val="008A09D7"/>
    <w:rsid w:val="008A0A18"/>
    <w:rsid w:val="008A0A81"/>
    <w:rsid w:val="008A0C47"/>
    <w:rsid w:val="008A0CB7"/>
    <w:rsid w:val="008A0D20"/>
    <w:rsid w:val="008A0DD9"/>
    <w:rsid w:val="008A0E0D"/>
    <w:rsid w:val="008A0EEC"/>
    <w:rsid w:val="008A0F15"/>
    <w:rsid w:val="008A0F61"/>
    <w:rsid w:val="008A0F95"/>
    <w:rsid w:val="008A0F9F"/>
    <w:rsid w:val="008A0FD5"/>
    <w:rsid w:val="008A100C"/>
    <w:rsid w:val="008A1027"/>
    <w:rsid w:val="008A1067"/>
    <w:rsid w:val="008A106C"/>
    <w:rsid w:val="008A1085"/>
    <w:rsid w:val="008A108B"/>
    <w:rsid w:val="008A1092"/>
    <w:rsid w:val="008A10E5"/>
    <w:rsid w:val="008A1187"/>
    <w:rsid w:val="008A11AD"/>
    <w:rsid w:val="008A11E3"/>
    <w:rsid w:val="008A120D"/>
    <w:rsid w:val="008A1232"/>
    <w:rsid w:val="008A1272"/>
    <w:rsid w:val="008A1281"/>
    <w:rsid w:val="008A1287"/>
    <w:rsid w:val="008A12D6"/>
    <w:rsid w:val="008A1385"/>
    <w:rsid w:val="008A13D5"/>
    <w:rsid w:val="008A1456"/>
    <w:rsid w:val="008A1471"/>
    <w:rsid w:val="008A14C5"/>
    <w:rsid w:val="008A14C8"/>
    <w:rsid w:val="008A15B3"/>
    <w:rsid w:val="008A15D1"/>
    <w:rsid w:val="008A15E4"/>
    <w:rsid w:val="008A15EE"/>
    <w:rsid w:val="008A1619"/>
    <w:rsid w:val="008A162C"/>
    <w:rsid w:val="008A1668"/>
    <w:rsid w:val="008A166C"/>
    <w:rsid w:val="008A1688"/>
    <w:rsid w:val="008A1720"/>
    <w:rsid w:val="008A1732"/>
    <w:rsid w:val="008A173B"/>
    <w:rsid w:val="008A178C"/>
    <w:rsid w:val="008A179B"/>
    <w:rsid w:val="008A17F9"/>
    <w:rsid w:val="008A18D5"/>
    <w:rsid w:val="008A1A3C"/>
    <w:rsid w:val="008A1A5E"/>
    <w:rsid w:val="008A1AA7"/>
    <w:rsid w:val="008A1ADB"/>
    <w:rsid w:val="008A1AE5"/>
    <w:rsid w:val="008A1B07"/>
    <w:rsid w:val="008A1CC6"/>
    <w:rsid w:val="008A1CC7"/>
    <w:rsid w:val="008A1CC8"/>
    <w:rsid w:val="008A1CF3"/>
    <w:rsid w:val="008A1D52"/>
    <w:rsid w:val="008A1D91"/>
    <w:rsid w:val="008A1D95"/>
    <w:rsid w:val="008A1E45"/>
    <w:rsid w:val="008A1E6A"/>
    <w:rsid w:val="008A1ED5"/>
    <w:rsid w:val="008A1F04"/>
    <w:rsid w:val="008A1F15"/>
    <w:rsid w:val="008A1F49"/>
    <w:rsid w:val="008A1F4D"/>
    <w:rsid w:val="008A1FA8"/>
    <w:rsid w:val="008A1FB2"/>
    <w:rsid w:val="008A2024"/>
    <w:rsid w:val="008A2069"/>
    <w:rsid w:val="008A20C7"/>
    <w:rsid w:val="008A210A"/>
    <w:rsid w:val="008A212C"/>
    <w:rsid w:val="008A21F8"/>
    <w:rsid w:val="008A2277"/>
    <w:rsid w:val="008A22A6"/>
    <w:rsid w:val="008A22B0"/>
    <w:rsid w:val="008A22D5"/>
    <w:rsid w:val="008A235E"/>
    <w:rsid w:val="008A238C"/>
    <w:rsid w:val="008A2428"/>
    <w:rsid w:val="008A2447"/>
    <w:rsid w:val="008A247A"/>
    <w:rsid w:val="008A252D"/>
    <w:rsid w:val="008A2571"/>
    <w:rsid w:val="008A267A"/>
    <w:rsid w:val="008A2714"/>
    <w:rsid w:val="008A2773"/>
    <w:rsid w:val="008A2795"/>
    <w:rsid w:val="008A27B7"/>
    <w:rsid w:val="008A2851"/>
    <w:rsid w:val="008A28BC"/>
    <w:rsid w:val="008A28DE"/>
    <w:rsid w:val="008A2920"/>
    <w:rsid w:val="008A2B5A"/>
    <w:rsid w:val="008A2BB0"/>
    <w:rsid w:val="008A2BDD"/>
    <w:rsid w:val="008A2BF8"/>
    <w:rsid w:val="008A2C35"/>
    <w:rsid w:val="008A2C7C"/>
    <w:rsid w:val="008A2CB0"/>
    <w:rsid w:val="008A2CBF"/>
    <w:rsid w:val="008A2CCC"/>
    <w:rsid w:val="008A2CE2"/>
    <w:rsid w:val="008A2CEF"/>
    <w:rsid w:val="008A2D59"/>
    <w:rsid w:val="008A2DC2"/>
    <w:rsid w:val="008A2DE4"/>
    <w:rsid w:val="008A2DFB"/>
    <w:rsid w:val="008A2E5E"/>
    <w:rsid w:val="008A2EFB"/>
    <w:rsid w:val="008A2F18"/>
    <w:rsid w:val="008A2F37"/>
    <w:rsid w:val="008A2FA8"/>
    <w:rsid w:val="008A3054"/>
    <w:rsid w:val="008A30FB"/>
    <w:rsid w:val="008A317C"/>
    <w:rsid w:val="008A3260"/>
    <w:rsid w:val="008A3331"/>
    <w:rsid w:val="008A3333"/>
    <w:rsid w:val="008A337F"/>
    <w:rsid w:val="008A33C1"/>
    <w:rsid w:val="008A33E5"/>
    <w:rsid w:val="008A3408"/>
    <w:rsid w:val="008A346B"/>
    <w:rsid w:val="008A353A"/>
    <w:rsid w:val="008A353E"/>
    <w:rsid w:val="008A354F"/>
    <w:rsid w:val="008A35A1"/>
    <w:rsid w:val="008A35FD"/>
    <w:rsid w:val="008A3643"/>
    <w:rsid w:val="008A3727"/>
    <w:rsid w:val="008A3737"/>
    <w:rsid w:val="008A3770"/>
    <w:rsid w:val="008A3811"/>
    <w:rsid w:val="008A3815"/>
    <w:rsid w:val="008A3818"/>
    <w:rsid w:val="008A395C"/>
    <w:rsid w:val="008A3975"/>
    <w:rsid w:val="008A39C6"/>
    <w:rsid w:val="008A39E6"/>
    <w:rsid w:val="008A3ACE"/>
    <w:rsid w:val="008A3B09"/>
    <w:rsid w:val="008A3BA3"/>
    <w:rsid w:val="008A3C5E"/>
    <w:rsid w:val="008A3CB9"/>
    <w:rsid w:val="008A3D56"/>
    <w:rsid w:val="008A3D62"/>
    <w:rsid w:val="008A3E2D"/>
    <w:rsid w:val="008A3ED0"/>
    <w:rsid w:val="008A3EE6"/>
    <w:rsid w:val="008A3F42"/>
    <w:rsid w:val="008A3F84"/>
    <w:rsid w:val="008A3FD6"/>
    <w:rsid w:val="008A3FF8"/>
    <w:rsid w:val="008A40EF"/>
    <w:rsid w:val="008A4124"/>
    <w:rsid w:val="008A414A"/>
    <w:rsid w:val="008A421A"/>
    <w:rsid w:val="008A423F"/>
    <w:rsid w:val="008A429B"/>
    <w:rsid w:val="008A42CA"/>
    <w:rsid w:val="008A4334"/>
    <w:rsid w:val="008A435F"/>
    <w:rsid w:val="008A437B"/>
    <w:rsid w:val="008A438C"/>
    <w:rsid w:val="008A440C"/>
    <w:rsid w:val="008A445D"/>
    <w:rsid w:val="008A4488"/>
    <w:rsid w:val="008A4493"/>
    <w:rsid w:val="008A4508"/>
    <w:rsid w:val="008A4548"/>
    <w:rsid w:val="008A454F"/>
    <w:rsid w:val="008A4599"/>
    <w:rsid w:val="008A45DB"/>
    <w:rsid w:val="008A45F2"/>
    <w:rsid w:val="008A4667"/>
    <w:rsid w:val="008A4669"/>
    <w:rsid w:val="008A468B"/>
    <w:rsid w:val="008A46F4"/>
    <w:rsid w:val="008A46F5"/>
    <w:rsid w:val="008A473F"/>
    <w:rsid w:val="008A47AC"/>
    <w:rsid w:val="008A47F0"/>
    <w:rsid w:val="008A47FE"/>
    <w:rsid w:val="008A4802"/>
    <w:rsid w:val="008A480A"/>
    <w:rsid w:val="008A48F4"/>
    <w:rsid w:val="008A4935"/>
    <w:rsid w:val="008A499A"/>
    <w:rsid w:val="008A49E9"/>
    <w:rsid w:val="008A4A50"/>
    <w:rsid w:val="008A4B16"/>
    <w:rsid w:val="008A4B1F"/>
    <w:rsid w:val="008A4B45"/>
    <w:rsid w:val="008A4B99"/>
    <w:rsid w:val="008A4B9B"/>
    <w:rsid w:val="008A4C10"/>
    <w:rsid w:val="008A4C68"/>
    <w:rsid w:val="008A4C6F"/>
    <w:rsid w:val="008A4C96"/>
    <w:rsid w:val="008A4CCE"/>
    <w:rsid w:val="008A4DBF"/>
    <w:rsid w:val="008A4E6F"/>
    <w:rsid w:val="008A4E7B"/>
    <w:rsid w:val="008A4ECD"/>
    <w:rsid w:val="008A4EDA"/>
    <w:rsid w:val="008A4EEE"/>
    <w:rsid w:val="008A4F09"/>
    <w:rsid w:val="008A4F30"/>
    <w:rsid w:val="008A4FDF"/>
    <w:rsid w:val="008A4FE6"/>
    <w:rsid w:val="008A4FEC"/>
    <w:rsid w:val="008A50AE"/>
    <w:rsid w:val="008A5166"/>
    <w:rsid w:val="008A5306"/>
    <w:rsid w:val="008A5330"/>
    <w:rsid w:val="008A535E"/>
    <w:rsid w:val="008A53B0"/>
    <w:rsid w:val="008A550F"/>
    <w:rsid w:val="008A56C5"/>
    <w:rsid w:val="008A56FA"/>
    <w:rsid w:val="008A5712"/>
    <w:rsid w:val="008A5718"/>
    <w:rsid w:val="008A5736"/>
    <w:rsid w:val="008A577C"/>
    <w:rsid w:val="008A58CC"/>
    <w:rsid w:val="008A593B"/>
    <w:rsid w:val="008A5958"/>
    <w:rsid w:val="008A596E"/>
    <w:rsid w:val="008A5971"/>
    <w:rsid w:val="008A59A6"/>
    <w:rsid w:val="008A5A2D"/>
    <w:rsid w:val="008A5AAB"/>
    <w:rsid w:val="008A5ADC"/>
    <w:rsid w:val="008A5AFE"/>
    <w:rsid w:val="008A5B8F"/>
    <w:rsid w:val="008A5C2A"/>
    <w:rsid w:val="008A5C99"/>
    <w:rsid w:val="008A5D34"/>
    <w:rsid w:val="008A5D77"/>
    <w:rsid w:val="008A5DCD"/>
    <w:rsid w:val="008A5E0D"/>
    <w:rsid w:val="008A5E2E"/>
    <w:rsid w:val="008A5EC6"/>
    <w:rsid w:val="008A5ECB"/>
    <w:rsid w:val="008A5ED2"/>
    <w:rsid w:val="008A5EFB"/>
    <w:rsid w:val="008A5F91"/>
    <w:rsid w:val="008A5F9F"/>
    <w:rsid w:val="008A600E"/>
    <w:rsid w:val="008A603C"/>
    <w:rsid w:val="008A6049"/>
    <w:rsid w:val="008A60BD"/>
    <w:rsid w:val="008A619B"/>
    <w:rsid w:val="008A6230"/>
    <w:rsid w:val="008A6240"/>
    <w:rsid w:val="008A62BE"/>
    <w:rsid w:val="008A62C6"/>
    <w:rsid w:val="008A62D7"/>
    <w:rsid w:val="008A6314"/>
    <w:rsid w:val="008A63AB"/>
    <w:rsid w:val="008A6514"/>
    <w:rsid w:val="008A6521"/>
    <w:rsid w:val="008A653C"/>
    <w:rsid w:val="008A6542"/>
    <w:rsid w:val="008A6550"/>
    <w:rsid w:val="008A657B"/>
    <w:rsid w:val="008A65F2"/>
    <w:rsid w:val="008A6610"/>
    <w:rsid w:val="008A6649"/>
    <w:rsid w:val="008A66B3"/>
    <w:rsid w:val="008A6751"/>
    <w:rsid w:val="008A6767"/>
    <w:rsid w:val="008A6794"/>
    <w:rsid w:val="008A679A"/>
    <w:rsid w:val="008A67D9"/>
    <w:rsid w:val="008A6969"/>
    <w:rsid w:val="008A697B"/>
    <w:rsid w:val="008A69A1"/>
    <w:rsid w:val="008A6A33"/>
    <w:rsid w:val="008A6AB3"/>
    <w:rsid w:val="008A6AD3"/>
    <w:rsid w:val="008A6B03"/>
    <w:rsid w:val="008A6B08"/>
    <w:rsid w:val="008A6B1D"/>
    <w:rsid w:val="008A6B5C"/>
    <w:rsid w:val="008A6BC5"/>
    <w:rsid w:val="008A6BFD"/>
    <w:rsid w:val="008A6D00"/>
    <w:rsid w:val="008A6DB2"/>
    <w:rsid w:val="008A6DE2"/>
    <w:rsid w:val="008A6F04"/>
    <w:rsid w:val="008A6F68"/>
    <w:rsid w:val="008A6FCF"/>
    <w:rsid w:val="008A7067"/>
    <w:rsid w:val="008A70AD"/>
    <w:rsid w:val="008A70B5"/>
    <w:rsid w:val="008A7180"/>
    <w:rsid w:val="008A718B"/>
    <w:rsid w:val="008A732A"/>
    <w:rsid w:val="008A73DE"/>
    <w:rsid w:val="008A73FD"/>
    <w:rsid w:val="008A746E"/>
    <w:rsid w:val="008A74BB"/>
    <w:rsid w:val="008A7520"/>
    <w:rsid w:val="008A7571"/>
    <w:rsid w:val="008A759B"/>
    <w:rsid w:val="008A75BF"/>
    <w:rsid w:val="008A75E7"/>
    <w:rsid w:val="008A76BE"/>
    <w:rsid w:val="008A773E"/>
    <w:rsid w:val="008A783D"/>
    <w:rsid w:val="008A7854"/>
    <w:rsid w:val="008A7862"/>
    <w:rsid w:val="008A786F"/>
    <w:rsid w:val="008A78E3"/>
    <w:rsid w:val="008A78ED"/>
    <w:rsid w:val="008A7917"/>
    <w:rsid w:val="008A7924"/>
    <w:rsid w:val="008A793A"/>
    <w:rsid w:val="008A7978"/>
    <w:rsid w:val="008A797E"/>
    <w:rsid w:val="008A79FA"/>
    <w:rsid w:val="008A7A85"/>
    <w:rsid w:val="008A7ABF"/>
    <w:rsid w:val="008A7AD5"/>
    <w:rsid w:val="008A7B6E"/>
    <w:rsid w:val="008A7BB3"/>
    <w:rsid w:val="008A7C4B"/>
    <w:rsid w:val="008A7CAA"/>
    <w:rsid w:val="008A7DB8"/>
    <w:rsid w:val="008A7DC2"/>
    <w:rsid w:val="008A7DD0"/>
    <w:rsid w:val="008A7E09"/>
    <w:rsid w:val="008A7E42"/>
    <w:rsid w:val="008A7E78"/>
    <w:rsid w:val="008A7EE8"/>
    <w:rsid w:val="008A7F0D"/>
    <w:rsid w:val="008A7F31"/>
    <w:rsid w:val="008A7F97"/>
    <w:rsid w:val="008A7FB2"/>
    <w:rsid w:val="008A7FC1"/>
    <w:rsid w:val="008A7FC5"/>
    <w:rsid w:val="008A7FD2"/>
    <w:rsid w:val="008B0025"/>
    <w:rsid w:val="008B004A"/>
    <w:rsid w:val="008B00FB"/>
    <w:rsid w:val="008B00FD"/>
    <w:rsid w:val="008B01B8"/>
    <w:rsid w:val="008B021E"/>
    <w:rsid w:val="008B025D"/>
    <w:rsid w:val="008B02CB"/>
    <w:rsid w:val="008B0342"/>
    <w:rsid w:val="008B0362"/>
    <w:rsid w:val="008B03CB"/>
    <w:rsid w:val="008B0425"/>
    <w:rsid w:val="008B042B"/>
    <w:rsid w:val="008B0435"/>
    <w:rsid w:val="008B0483"/>
    <w:rsid w:val="008B0485"/>
    <w:rsid w:val="008B04C1"/>
    <w:rsid w:val="008B051E"/>
    <w:rsid w:val="008B057A"/>
    <w:rsid w:val="008B0623"/>
    <w:rsid w:val="008B064F"/>
    <w:rsid w:val="008B0654"/>
    <w:rsid w:val="008B0691"/>
    <w:rsid w:val="008B06A2"/>
    <w:rsid w:val="008B06BF"/>
    <w:rsid w:val="008B06D5"/>
    <w:rsid w:val="008B0750"/>
    <w:rsid w:val="008B07AB"/>
    <w:rsid w:val="008B07B1"/>
    <w:rsid w:val="008B0841"/>
    <w:rsid w:val="008B084A"/>
    <w:rsid w:val="008B08E0"/>
    <w:rsid w:val="008B0991"/>
    <w:rsid w:val="008B099A"/>
    <w:rsid w:val="008B09CD"/>
    <w:rsid w:val="008B09DE"/>
    <w:rsid w:val="008B0A08"/>
    <w:rsid w:val="008B0A1B"/>
    <w:rsid w:val="008B0ADB"/>
    <w:rsid w:val="008B0BE5"/>
    <w:rsid w:val="008B0C97"/>
    <w:rsid w:val="008B0CBD"/>
    <w:rsid w:val="008B0DAB"/>
    <w:rsid w:val="008B0DAD"/>
    <w:rsid w:val="008B0DB0"/>
    <w:rsid w:val="008B0F2E"/>
    <w:rsid w:val="008B0F4A"/>
    <w:rsid w:val="008B0F86"/>
    <w:rsid w:val="008B103F"/>
    <w:rsid w:val="008B1065"/>
    <w:rsid w:val="008B1086"/>
    <w:rsid w:val="008B10A9"/>
    <w:rsid w:val="008B119D"/>
    <w:rsid w:val="008B1225"/>
    <w:rsid w:val="008B12AE"/>
    <w:rsid w:val="008B12D1"/>
    <w:rsid w:val="008B12E6"/>
    <w:rsid w:val="008B1334"/>
    <w:rsid w:val="008B1344"/>
    <w:rsid w:val="008B138A"/>
    <w:rsid w:val="008B13C2"/>
    <w:rsid w:val="008B1415"/>
    <w:rsid w:val="008B142D"/>
    <w:rsid w:val="008B1430"/>
    <w:rsid w:val="008B1499"/>
    <w:rsid w:val="008B152D"/>
    <w:rsid w:val="008B1530"/>
    <w:rsid w:val="008B153F"/>
    <w:rsid w:val="008B15D7"/>
    <w:rsid w:val="008B1773"/>
    <w:rsid w:val="008B17DE"/>
    <w:rsid w:val="008B181B"/>
    <w:rsid w:val="008B18F7"/>
    <w:rsid w:val="008B1904"/>
    <w:rsid w:val="008B1984"/>
    <w:rsid w:val="008B19E3"/>
    <w:rsid w:val="008B1BB2"/>
    <w:rsid w:val="008B1C78"/>
    <w:rsid w:val="008B1C79"/>
    <w:rsid w:val="008B1CCE"/>
    <w:rsid w:val="008B1D84"/>
    <w:rsid w:val="008B1DAD"/>
    <w:rsid w:val="008B1DD7"/>
    <w:rsid w:val="008B1E0D"/>
    <w:rsid w:val="008B1E72"/>
    <w:rsid w:val="008B1FB6"/>
    <w:rsid w:val="008B1FE8"/>
    <w:rsid w:val="008B2050"/>
    <w:rsid w:val="008B2062"/>
    <w:rsid w:val="008B2065"/>
    <w:rsid w:val="008B2087"/>
    <w:rsid w:val="008B209C"/>
    <w:rsid w:val="008B2105"/>
    <w:rsid w:val="008B2113"/>
    <w:rsid w:val="008B2295"/>
    <w:rsid w:val="008B22EC"/>
    <w:rsid w:val="008B22ED"/>
    <w:rsid w:val="008B234A"/>
    <w:rsid w:val="008B2355"/>
    <w:rsid w:val="008B23BF"/>
    <w:rsid w:val="008B244C"/>
    <w:rsid w:val="008B246F"/>
    <w:rsid w:val="008B259E"/>
    <w:rsid w:val="008B25D0"/>
    <w:rsid w:val="008B25E5"/>
    <w:rsid w:val="008B26AA"/>
    <w:rsid w:val="008B26BB"/>
    <w:rsid w:val="008B270F"/>
    <w:rsid w:val="008B2759"/>
    <w:rsid w:val="008B2787"/>
    <w:rsid w:val="008B27F0"/>
    <w:rsid w:val="008B28B4"/>
    <w:rsid w:val="008B28DD"/>
    <w:rsid w:val="008B28F3"/>
    <w:rsid w:val="008B292A"/>
    <w:rsid w:val="008B29CC"/>
    <w:rsid w:val="008B2A7E"/>
    <w:rsid w:val="008B2A96"/>
    <w:rsid w:val="008B2AAA"/>
    <w:rsid w:val="008B2AF6"/>
    <w:rsid w:val="008B2B37"/>
    <w:rsid w:val="008B2B56"/>
    <w:rsid w:val="008B2B74"/>
    <w:rsid w:val="008B2BBC"/>
    <w:rsid w:val="008B2BF7"/>
    <w:rsid w:val="008B2C39"/>
    <w:rsid w:val="008B2C47"/>
    <w:rsid w:val="008B2CFE"/>
    <w:rsid w:val="008B2D5B"/>
    <w:rsid w:val="008B2DF6"/>
    <w:rsid w:val="008B2DFA"/>
    <w:rsid w:val="008B2E46"/>
    <w:rsid w:val="008B2E55"/>
    <w:rsid w:val="008B2E90"/>
    <w:rsid w:val="008B2EF1"/>
    <w:rsid w:val="008B2EF9"/>
    <w:rsid w:val="008B2F0F"/>
    <w:rsid w:val="008B2F7C"/>
    <w:rsid w:val="008B2FAD"/>
    <w:rsid w:val="008B2FCC"/>
    <w:rsid w:val="008B30DF"/>
    <w:rsid w:val="008B31DE"/>
    <w:rsid w:val="008B3251"/>
    <w:rsid w:val="008B3288"/>
    <w:rsid w:val="008B32FA"/>
    <w:rsid w:val="008B3303"/>
    <w:rsid w:val="008B3407"/>
    <w:rsid w:val="008B3442"/>
    <w:rsid w:val="008B346F"/>
    <w:rsid w:val="008B3479"/>
    <w:rsid w:val="008B3500"/>
    <w:rsid w:val="008B35B2"/>
    <w:rsid w:val="008B3621"/>
    <w:rsid w:val="008B3644"/>
    <w:rsid w:val="008B3664"/>
    <w:rsid w:val="008B367A"/>
    <w:rsid w:val="008B368F"/>
    <w:rsid w:val="008B371C"/>
    <w:rsid w:val="008B3760"/>
    <w:rsid w:val="008B3798"/>
    <w:rsid w:val="008B388C"/>
    <w:rsid w:val="008B38BA"/>
    <w:rsid w:val="008B38C0"/>
    <w:rsid w:val="008B3910"/>
    <w:rsid w:val="008B3925"/>
    <w:rsid w:val="008B3958"/>
    <w:rsid w:val="008B3965"/>
    <w:rsid w:val="008B396D"/>
    <w:rsid w:val="008B3A57"/>
    <w:rsid w:val="008B3A63"/>
    <w:rsid w:val="008B3A9C"/>
    <w:rsid w:val="008B3AA2"/>
    <w:rsid w:val="008B3B20"/>
    <w:rsid w:val="008B3B73"/>
    <w:rsid w:val="008B3C49"/>
    <w:rsid w:val="008B3CAC"/>
    <w:rsid w:val="008B3D39"/>
    <w:rsid w:val="008B3D3D"/>
    <w:rsid w:val="008B3DC1"/>
    <w:rsid w:val="008B3E2F"/>
    <w:rsid w:val="008B3ED4"/>
    <w:rsid w:val="008B3F34"/>
    <w:rsid w:val="008B3F7B"/>
    <w:rsid w:val="008B3FD8"/>
    <w:rsid w:val="008B3FEF"/>
    <w:rsid w:val="008B4069"/>
    <w:rsid w:val="008B4074"/>
    <w:rsid w:val="008B40A3"/>
    <w:rsid w:val="008B4113"/>
    <w:rsid w:val="008B422D"/>
    <w:rsid w:val="008B4238"/>
    <w:rsid w:val="008B4296"/>
    <w:rsid w:val="008B42C9"/>
    <w:rsid w:val="008B42CC"/>
    <w:rsid w:val="008B4355"/>
    <w:rsid w:val="008B43B0"/>
    <w:rsid w:val="008B448A"/>
    <w:rsid w:val="008B44C3"/>
    <w:rsid w:val="008B44EB"/>
    <w:rsid w:val="008B44F3"/>
    <w:rsid w:val="008B4546"/>
    <w:rsid w:val="008B45AD"/>
    <w:rsid w:val="008B45D6"/>
    <w:rsid w:val="008B4607"/>
    <w:rsid w:val="008B4616"/>
    <w:rsid w:val="008B4656"/>
    <w:rsid w:val="008B46DC"/>
    <w:rsid w:val="008B4703"/>
    <w:rsid w:val="008B4709"/>
    <w:rsid w:val="008B470C"/>
    <w:rsid w:val="008B4745"/>
    <w:rsid w:val="008B4774"/>
    <w:rsid w:val="008B47BF"/>
    <w:rsid w:val="008B48DB"/>
    <w:rsid w:val="008B491E"/>
    <w:rsid w:val="008B49D6"/>
    <w:rsid w:val="008B4A42"/>
    <w:rsid w:val="008B4A8E"/>
    <w:rsid w:val="008B4ADA"/>
    <w:rsid w:val="008B4ADE"/>
    <w:rsid w:val="008B4B02"/>
    <w:rsid w:val="008B4B25"/>
    <w:rsid w:val="008B4B86"/>
    <w:rsid w:val="008B4B96"/>
    <w:rsid w:val="008B4B9B"/>
    <w:rsid w:val="008B4C2D"/>
    <w:rsid w:val="008B4D00"/>
    <w:rsid w:val="008B4D86"/>
    <w:rsid w:val="008B4E08"/>
    <w:rsid w:val="008B4E0E"/>
    <w:rsid w:val="008B4E61"/>
    <w:rsid w:val="008B4EE0"/>
    <w:rsid w:val="008B4F5A"/>
    <w:rsid w:val="008B4F98"/>
    <w:rsid w:val="008B5089"/>
    <w:rsid w:val="008B50DA"/>
    <w:rsid w:val="008B50E3"/>
    <w:rsid w:val="008B50F1"/>
    <w:rsid w:val="008B5160"/>
    <w:rsid w:val="008B5186"/>
    <w:rsid w:val="008B51CF"/>
    <w:rsid w:val="008B52AE"/>
    <w:rsid w:val="008B52C8"/>
    <w:rsid w:val="008B55AA"/>
    <w:rsid w:val="008B5649"/>
    <w:rsid w:val="008B5719"/>
    <w:rsid w:val="008B573D"/>
    <w:rsid w:val="008B583A"/>
    <w:rsid w:val="008B5896"/>
    <w:rsid w:val="008B5908"/>
    <w:rsid w:val="008B591F"/>
    <w:rsid w:val="008B5948"/>
    <w:rsid w:val="008B596A"/>
    <w:rsid w:val="008B59CC"/>
    <w:rsid w:val="008B5A2D"/>
    <w:rsid w:val="008B5B64"/>
    <w:rsid w:val="008B5B69"/>
    <w:rsid w:val="008B5B79"/>
    <w:rsid w:val="008B5B8C"/>
    <w:rsid w:val="008B5C22"/>
    <w:rsid w:val="008B5C25"/>
    <w:rsid w:val="008B5C28"/>
    <w:rsid w:val="008B5C2D"/>
    <w:rsid w:val="008B5C98"/>
    <w:rsid w:val="008B5CA2"/>
    <w:rsid w:val="008B5CC0"/>
    <w:rsid w:val="008B5CCE"/>
    <w:rsid w:val="008B5D01"/>
    <w:rsid w:val="008B5D1B"/>
    <w:rsid w:val="008B5E01"/>
    <w:rsid w:val="008B5E08"/>
    <w:rsid w:val="008B5E09"/>
    <w:rsid w:val="008B5E51"/>
    <w:rsid w:val="008B5E99"/>
    <w:rsid w:val="008B5FF3"/>
    <w:rsid w:val="008B6006"/>
    <w:rsid w:val="008B6031"/>
    <w:rsid w:val="008B6049"/>
    <w:rsid w:val="008B604B"/>
    <w:rsid w:val="008B60F6"/>
    <w:rsid w:val="008B6127"/>
    <w:rsid w:val="008B6146"/>
    <w:rsid w:val="008B6166"/>
    <w:rsid w:val="008B616E"/>
    <w:rsid w:val="008B61FF"/>
    <w:rsid w:val="008B629A"/>
    <w:rsid w:val="008B62EE"/>
    <w:rsid w:val="008B631F"/>
    <w:rsid w:val="008B6368"/>
    <w:rsid w:val="008B63B8"/>
    <w:rsid w:val="008B63C9"/>
    <w:rsid w:val="008B63D9"/>
    <w:rsid w:val="008B6430"/>
    <w:rsid w:val="008B6450"/>
    <w:rsid w:val="008B6458"/>
    <w:rsid w:val="008B64E1"/>
    <w:rsid w:val="008B64E4"/>
    <w:rsid w:val="008B64FC"/>
    <w:rsid w:val="008B6565"/>
    <w:rsid w:val="008B65EB"/>
    <w:rsid w:val="008B6686"/>
    <w:rsid w:val="008B6747"/>
    <w:rsid w:val="008B674D"/>
    <w:rsid w:val="008B676C"/>
    <w:rsid w:val="008B6794"/>
    <w:rsid w:val="008B67FA"/>
    <w:rsid w:val="008B6816"/>
    <w:rsid w:val="008B681A"/>
    <w:rsid w:val="008B685C"/>
    <w:rsid w:val="008B6899"/>
    <w:rsid w:val="008B68F1"/>
    <w:rsid w:val="008B690F"/>
    <w:rsid w:val="008B6935"/>
    <w:rsid w:val="008B693C"/>
    <w:rsid w:val="008B6944"/>
    <w:rsid w:val="008B6A0F"/>
    <w:rsid w:val="008B6A77"/>
    <w:rsid w:val="008B6A83"/>
    <w:rsid w:val="008B6A96"/>
    <w:rsid w:val="008B6AD1"/>
    <w:rsid w:val="008B6B0A"/>
    <w:rsid w:val="008B6B8B"/>
    <w:rsid w:val="008B6C65"/>
    <w:rsid w:val="008B6D86"/>
    <w:rsid w:val="008B6DA1"/>
    <w:rsid w:val="008B6DD8"/>
    <w:rsid w:val="008B6F2D"/>
    <w:rsid w:val="008B7005"/>
    <w:rsid w:val="008B7030"/>
    <w:rsid w:val="008B7051"/>
    <w:rsid w:val="008B70CC"/>
    <w:rsid w:val="008B7162"/>
    <w:rsid w:val="008B7163"/>
    <w:rsid w:val="008B721A"/>
    <w:rsid w:val="008B7273"/>
    <w:rsid w:val="008B72B9"/>
    <w:rsid w:val="008B72CC"/>
    <w:rsid w:val="008B72F0"/>
    <w:rsid w:val="008B72FC"/>
    <w:rsid w:val="008B733B"/>
    <w:rsid w:val="008B733F"/>
    <w:rsid w:val="008B7363"/>
    <w:rsid w:val="008B7380"/>
    <w:rsid w:val="008B7381"/>
    <w:rsid w:val="008B73E5"/>
    <w:rsid w:val="008B7409"/>
    <w:rsid w:val="008B741F"/>
    <w:rsid w:val="008B7437"/>
    <w:rsid w:val="008B748D"/>
    <w:rsid w:val="008B7576"/>
    <w:rsid w:val="008B7644"/>
    <w:rsid w:val="008B7670"/>
    <w:rsid w:val="008B76B4"/>
    <w:rsid w:val="008B76C2"/>
    <w:rsid w:val="008B7732"/>
    <w:rsid w:val="008B7764"/>
    <w:rsid w:val="008B776B"/>
    <w:rsid w:val="008B77C5"/>
    <w:rsid w:val="008B77F3"/>
    <w:rsid w:val="008B7833"/>
    <w:rsid w:val="008B7880"/>
    <w:rsid w:val="008B78AF"/>
    <w:rsid w:val="008B78B7"/>
    <w:rsid w:val="008B7927"/>
    <w:rsid w:val="008B7960"/>
    <w:rsid w:val="008B7969"/>
    <w:rsid w:val="008B79DB"/>
    <w:rsid w:val="008B7A0B"/>
    <w:rsid w:val="008B7A1C"/>
    <w:rsid w:val="008B7AB2"/>
    <w:rsid w:val="008B7ABE"/>
    <w:rsid w:val="008B7AC0"/>
    <w:rsid w:val="008B7B0E"/>
    <w:rsid w:val="008B7B5E"/>
    <w:rsid w:val="008B7BBF"/>
    <w:rsid w:val="008B7BE7"/>
    <w:rsid w:val="008B7CCE"/>
    <w:rsid w:val="008B7CE9"/>
    <w:rsid w:val="008B7CF1"/>
    <w:rsid w:val="008B7D2E"/>
    <w:rsid w:val="008B7D8D"/>
    <w:rsid w:val="008B7DA4"/>
    <w:rsid w:val="008B7E06"/>
    <w:rsid w:val="008B7E93"/>
    <w:rsid w:val="008B7E9A"/>
    <w:rsid w:val="008B7EE1"/>
    <w:rsid w:val="008B7F21"/>
    <w:rsid w:val="008B7FC0"/>
    <w:rsid w:val="008C00A6"/>
    <w:rsid w:val="008C00B7"/>
    <w:rsid w:val="008C013C"/>
    <w:rsid w:val="008C018D"/>
    <w:rsid w:val="008C01CB"/>
    <w:rsid w:val="008C0216"/>
    <w:rsid w:val="008C0259"/>
    <w:rsid w:val="008C02C9"/>
    <w:rsid w:val="008C032D"/>
    <w:rsid w:val="008C03B0"/>
    <w:rsid w:val="008C03BA"/>
    <w:rsid w:val="008C03D7"/>
    <w:rsid w:val="008C0470"/>
    <w:rsid w:val="008C04B4"/>
    <w:rsid w:val="008C04BE"/>
    <w:rsid w:val="008C04C2"/>
    <w:rsid w:val="008C04EA"/>
    <w:rsid w:val="008C059E"/>
    <w:rsid w:val="008C062F"/>
    <w:rsid w:val="008C0661"/>
    <w:rsid w:val="008C06D2"/>
    <w:rsid w:val="008C0752"/>
    <w:rsid w:val="008C07D2"/>
    <w:rsid w:val="008C07E0"/>
    <w:rsid w:val="008C0822"/>
    <w:rsid w:val="008C0853"/>
    <w:rsid w:val="008C0931"/>
    <w:rsid w:val="008C0962"/>
    <w:rsid w:val="008C0966"/>
    <w:rsid w:val="008C0975"/>
    <w:rsid w:val="008C098B"/>
    <w:rsid w:val="008C0A64"/>
    <w:rsid w:val="008C0A72"/>
    <w:rsid w:val="008C0A8A"/>
    <w:rsid w:val="008C0AB2"/>
    <w:rsid w:val="008C0ABD"/>
    <w:rsid w:val="008C0AF0"/>
    <w:rsid w:val="008C0AFE"/>
    <w:rsid w:val="008C0B22"/>
    <w:rsid w:val="008C0B4C"/>
    <w:rsid w:val="008C0B59"/>
    <w:rsid w:val="008C0B70"/>
    <w:rsid w:val="008C0BA3"/>
    <w:rsid w:val="008C0BF6"/>
    <w:rsid w:val="008C0C28"/>
    <w:rsid w:val="008C0C84"/>
    <w:rsid w:val="008C0C9A"/>
    <w:rsid w:val="008C0CBF"/>
    <w:rsid w:val="008C0CC7"/>
    <w:rsid w:val="008C0CD4"/>
    <w:rsid w:val="008C0CDC"/>
    <w:rsid w:val="008C0D49"/>
    <w:rsid w:val="008C0D4A"/>
    <w:rsid w:val="008C0D8C"/>
    <w:rsid w:val="008C0DA2"/>
    <w:rsid w:val="008C0DC0"/>
    <w:rsid w:val="008C0DE6"/>
    <w:rsid w:val="008C0E0C"/>
    <w:rsid w:val="008C0E9A"/>
    <w:rsid w:val="008C0F93"/>
    <w:rsid w:val="008C0FCA"/>
    <w:rsid w:val="008C0FDA"/>
    <w:rsid w:val="008C0FED"/>
    <w:rsid w:val="008C1071"/>
    <w:rsid w:val="008C114C"/>
    <w:rsid w:val="008C118D"/>
    <w:rsid w:val="008C1355"/>
    <w:rsid w:val="008C1364"/>
    <w:rsid w:val="008C13EB"/>
    <w:rsid w:val="008C1413"/>
    <w:rsid w:val="008C1423"/>
    <w:rsid w:val="008C1454"/>
    <w:rsid w:val="008C145C"/>
    <w:rsid w:val="008C148C"/>
    <w:rsid w:val="008C150C"/>
    <w:rsid w:val="008C153D"/>
    <w:rsid w:val="008C1568"/>
    <w:rsid w:val="008C1587"/>
    <w:rsid w:val="008C15CF"/>
    <w:rsid w:val="008C165F"/>
    <w:rsid w:val="008C16B2"/>
    <w:rsid w:val="008C171F"/>
    <w:rsid w:val="008C17CF"/>
    <w:rsid w:val="008C190C"/>
    <w:rsid w:val="008C1919"/>
    <w:rsid w:val="008C198D"/>
    <w:rsid w:val="008C199A"/>
    <w:rsid w:val="008C19CE"/>
    <w:rsid w:val="008C1A15"/>
    <w:rsid w:val="008C1A5B"/>
    <w:rsid w:val="008C1AAB"/>
    <w:rsid w:val="008C1AE5"/>
    <w:rsid w:val="008C1AFD"/>
    <w:rsid w:val="008C1B0B"/>
    <w:rsid w:val="008C1B0E"/>
    <w:rsid w:val="008C1B26"/>
    <w:rsid w:val="008C1B33"/>
    <w:rsid w:val="008C1BAA"/>
    <w:rsid w:val="008C1BAE"/>
    <w:rsid w:val="008C1C2A"/>
    <w:rsid w:val="008C1C2C"/>
    <w:rsid w:val="008C1C84"/>
    <w:rsid w:val="008C1C8C"/>
    <w:rsid w:val="008C1CA2"/>
    <w:rsid w:val="008C1CBF"/>
    <w:rsid w:val="008C1CC0"/>
    <w:rsid w:val="008C1CEC"/>
    <w:rsid w:val="008C1D6D"/>
    <w:rsid w:val="008C1DD2"/>
    <w:rsid w:val="008C1E1A"/>
    <w:rsid w:val="008C1F18"/>
    <w:rsid w:val="008C1F5E"/>
    <w:rsid w:val="008C1F70"/>
    <w:rsid w:val="008C1FC8"/>
    <w:rsid w:val="008C1FEA"/>
    <w:rsid w:val="008C20A8"/>
    <w:rsid w:val="008C20D4"/>
    <w:rsid w:val="008C2159"/>
    <w:rsid w:val="008C215D"/>
    <w:rsid w:val="008C2189"/>
    <w:rsid w:val="008C224B"/>
    <w:rsid w:val="008C22AA"/>
    <w:rsid w:val="008C22C4"/>
    <w:rsid w:val="008C2331"/>
    <w:rsid w:val="008C23A4"/>
    <w:rsid w:val="008C23AF"/>
    <w:rsid w:val="008C23CB"/>
    <w:rsid w:val="008C241C"/>
    <w:rsid w:val="008C2441"/>
    <w:rsid w:val="008C2468"/>
    <w:rsid w:val="008C247F"/>
    <w:rsid w:val="008C24A2"/>
    <w:rsid w:val="008C24E0"/>
    <w:rsid w:val="008C2503"/>
    <w:rsid w:val="008C2572"/>
    <w:rsid w:val="008C25C1"/>
    <w:rsid w:val="008C2640"/>
    <w:rsid w:val="008C266F"/>
    <w:rsid w:val="008C26E5"/>
    <w:rsid w:val="008C275C"/>
    <w:rsid w:val="008C27C0"/>
    <w:rsid w:val="008C27E0"/>
    <w:rsid w:val="008C27F1"/>
    <w:rsid w:val="008C2951"/>
    <w:rsid w:val="008C2988"/>
    <w:rsid w:val="008C29A9"/>
    <w:rsid w:val="008C2A13"/>
    <w:rsid w:val="008C2AC2"/>
    <w:rsid w:val="008C2B20"/>
    <w:rsid w:val="008C2B39"/>
    <w:rsid w:val="008C2B67"/>
    <w:rsid w:val="008C2BA6"/>
    <w:rsid w:val="008C2BB2"/>
    <w:rsid w:val="008C2BB6"/>
    <w:rsid w:val="008C2C0A"/>
    <w:rsid w:val="008C2C17"/>
    <w:rsid w:val="008C2C60"/>
    <w:rsid w:val="008C2D04"/>
    <w:rsid w:val="008C2D0B"/>
    <w:rsid w:val="008C2D4D"/>
    <w:rsid w:val="008C2DDD"/>
    <w:rsid w:val="008C2E7B"/>
    <w:rsid w:val="008C2EC6"/>
    <w:rsid w:val="008C2EDE"/>
    <w:rsid w:val="008C2F0B"/>
    <w:rsid w:val="008C2F12"/>
    <w:rsid w:val="008C2F47"/>
    <w:rsid w:val="008C2FAD"/>
    <w:rsid w:val="008C2FDB"/>
    <w:rsid w:val="008C2FF7"/>
    <w:rsid w:val="008C2FF8"/>
    <w:rsid w:val="008C302B"/>
    <w:rsid w:val="008C315C"/>
    <w:rsid w:val="008C31E0"/>
    <w:rsid w:val="008C31FD"/>
    <w:rsid w:val="008C32BE"/>
    <w:rsid w:val="008C3334"/>
    <w:rsid w:val="008C3360"/>
    <w:rsid w:val="008C33A6"/>
    <w:rsid w:val="008C33D5"/>
    <w:rsid w:val="008C340D"/>
    <w:rsid w:val="008C3424"/>
    <w:rsid w:val="008C3450"/>
    <w:rsid w:val="008C346D"/>
    <w:rsid w:val="008C3527"/>
    <w:rsid w:val="008C356C"/>
    <w:rsid w:val="008C356E"/>
    <w:rsid w:val="008C3572"/>
    <w:rsid w:val="008C3652"/>
    <w:rsid w:val="008C3672"/>
    <w:rsid w:val="008C3680"/>
    <w:rsid w:val="008C36D8"/>
    <w:rsid w:val="008C36FD"/>
    <w:rsid w:val="008C37C2"/>
    <w:rsid w:val="008C37EC"/>
    <w:rsid w:val="008C389B"/>
    <w:rsid w:val="008C39AB"/>
    <w:rsid w:val="008C39E2"/>
    <w:rsid w:val="008C39E7"/>
    <w:rsid w:val="008C3A55"/>
    <w:rsid w:val="008C3ABB"/>
    <w:rsid w:val="008C3B8E"/>
    <w:rsid w:val="008C3B9A"/>
    <w:rsid w:val="008C3BA7"/>
    <w:rsid w:val="008C3BE4"/>
    <w:rsid w:val="008C3C5F"/>
    <w:rsid w:val="008C3CAB"/>
    <w:rsid w:val="008C3D1B"/>
    <w:rsid w:val="008C3DA6"/>
    <w:rsid w:val="008C3E09"/>
    <w:rsid w:val="008C3E2B"/>
    <w:rsid w:val="008C3ECD"/>
    <w:rsid w:val="008C3EDA"/>
    <w:rsid w:val="008C3F2C"/>
    <w:rsid w:val="008C3F2F"/>
    <w:rsid w:val="008C3F72"/>
    <w:rsid w:val="008C3F8E"/>
    <w:rsid w:val="008C3FB8"/>
    <w:rsid w:val="008C3FE6"/>
    <w:rsid w:val="008C3FF6"/>
    <w:rsid w:val="008C400E"/>
    <w:rsid w:val="008C403C"/>
    <w:rsid w:val="008C4056"/>
    <w:rsid w:val="008C4072"/>
    <w:rsid w:val="008C40C3"/>
    <w:rsid w:val="008C414D"/>
    <w:rsid w:val="008C41BB"/>
    <w:rsid w:val="008C41E3"/>
    <w:rsid w:val="008C4235"/>
    <w:rsid w:val="008C42A8"/>
    <w:rsid w:val="008C431D"/>
    <w:rsid w:val="008C446C"/>
    <w:rsid w:val="008C44A7"/>
    <w:rsid w:val="008C44DB"/>
    <w:rsid w:val="008C44FC"/>
    <w:rsid w:val="008C4532"/>
    <w:rsid w:val="008C4552"/>
    <w:rsid w:val="008C457F"/>
    <w:rsid w:val="008C4591"/>
    <w:rsid w:val="008C45EF"/>
    <w:rsid w:val="008C46FB"/>
    <w:rsid w:val="008C4725"/>
    <w:rsid w:val="008C4732"/>
    <w:rsid w:val="008C4786"/>
    <w:rsid w:val="008C48B2"/>
    <w:rsid w:val="008C48DF"/>
    <w:rsid w:val="008C492D"/>
    <w:rsid w:val="008C494F"/>
    <w:rsid w:val="008C4954"/>
    <w:rsid w:val="008C496F"/>
    <w:rsid w:val="008C49C0"/>
    <w:rsid w:val="008C49F8"/>
    <w:rsid w:val="008C4AB1"/>
    <w:rsid w:val="008C4ADD"/>
    <w:rsid w:val="008C4C3E"/>
    <w:rsid w:val="008C4C91"/>
    <w:rsid w:val="008C4CDF"/>
    <w:rsid w:val="008C4CEC"/>
    <w:rsid w:val="008C4D19"/>
    <w:rsid w:val="008C4D7F"/>
    <w:rsid w:val="008C4DFB"/>
    <w:rsid w:val="008C4E08"/>
    <w:rsid w:val="008C4EBD"/>
    <w:rsid w:val="008C4F41"/>
    <w:rsid w:val="008C4F77"/>
    <w:rsid w:val="008C4FA7"/>
    <w:rsid w:val="008C4FB3"/>
    <w:rsid w:val="008C50D9"/>
    <w:rsid w:val="008C5157"/>
    <w:rsid w:val="008C5158"/>
    <w:rsid w:val="008C515D"/>
    <w:rsid w:val="008C51AA"/>
    <w:rsid w:val="008C51B6"/>
    <w:rsid w:val="008C5273"/>
    <w:rsid w:val="008C52BC"/>
    <w:rsid w:val="008C52F6"/>
    <w:rsid w:val="008C5360"/>
    <w:rsid w:val="008C5376"/>
    <w:rsid w:val="008C53B2"/>
    <w:rsid w:val="008C53DE"/>
    <w:rsid w:val="008C5433"/>
    <w:rsid w:val="008C54FD"/>
    <w:rsid w:val="008C55DD"/>
    <w:rsid w:val="008C55F8"/>
    <w:rsid w:val="008C5605"/>
    <w:rsid w:val="008C560B"/>
    <w:rsid w:val="008C561F"/>
    <w:rsid w:val="008C5654"/>
    <w:rsid w:val="008C56B1"/>
    <w:rsid w:val="008C56D6"/>
    <w:rsid w:val="008C5705"/>
    <w:rsid w:val="008C5787"/>
    <w:rsid w:val="008C57BC"/>
    <w:rsid w:val="008C5842"/>
    <w:rsid w:val="008C5869"/>
    <w:rsid w:val="008C58A8"/>
    <w:rsid w:val="008C58EE"/>
    <w:rsid w:val="008C5952"/>
    <w:rsid w:val="008C5956"/>
    <w:rsid w:val="008C5962"/>
    <w:rsid w:val="008C5978"/>
    <w:rsid w:val="008C599D"/>
    <w:rsid w:val="008C59B5"/>
    <w:rsid w:val="008C59FB"/>
    <w:rsid w:val="008C5A43"/>
    <w:rsid w:val="008C5AB2"/>
    <w:rsid w:val="008C5AFB"/>
    <w:rsid w:val="008C5B0D"/>
    <w:rsid w:val="008C5C7A"/>
    <w:rsid w:val="008C5CB7"/>
    <w:rsid w:val="008C5D70"/>
    <w:rsid w:val="008C5DAD"/>
    <w:rsid w:val="008C5E8C"/>
    <w:rsid w:val="008C5EDE"/>
    <w:rsid w:val="008C5F57"/>
    <w:rsid w:val="008C5F63"/>
    <w:rsid w:val="008C606A"/>
    <w:rsid w:val="008C609F"/>
    <w:rsid w:val="008C6125"/>
    <w:rsid w:val="008C612B"/>
    <w:rsid w:val="008C6158"/>
    <w:rsid w:val="008C63ED"/>
    <w:rsid w:val="008C63F9"/>
    <w:rsid w:val="008C6458"/>
    <w:rsid w:val="008C64C0"/>
    <w:rsid w:val="008C650C"/>
    <w:rsid w:val="008C6561"/>
    <w:rsid w:val="008C6565"/>
    <w:rsid w:val="008C65E8"/>
    <w:rsid w:val="008C6601"/>
    <w:rsid w:val="008C66DB"/>
    <w:rsid w:val="008C6702"/>
    <w:rsid w:val="008C676E"/>
    <w:rsid w:val="008C6780"/>
    <w:rsid w:val="008C67E0"/>
    <w:rsid w:val="008C67E7"/>
    <w:rsid w:val="008C68D4"/>
    <w:rsid w:val="008C68E0"/>
    <w:rsid w:val="008C68E7"/>
    <w:rsid w:val="008C68F6"/>
    <w:rsid w:val="008C6931"/>
    <w:rsid w:val="008C6A13"/>
    <w:rsid w:val="008C6A4D"/>
    <w:rsid w:val="008C6A64"/>
    <w:rsid w:val="008C6B1E"/>
    <w:rsid w:val="008C6BA5"/>
    <w:rsid w:val="008C6BD7"/>
    <w:rsid w:val="008C6C24"/>
    <w:rsid w:val="008C6C2B"/>
    <w:rsid w:val="008C6C71"/>
    <w:rsid w:val="008C6CA5"/>
    <w:rsid w:val="008C6CAE"/>
    <w:rsid w:val="008C6D5E"/>
    <w:rsid w:val="008C6D6F"/>
    <w:rsid w:val="008C6DA2"/>
    <w:rsid w:val="008C6DD2"/>
    <w:rsid w:val="008C6E0B"/>
    <w:rsid w:val="008C6EDD"/>
    <w:rsid w:val="008C6EDE"/>
    <w:rsid w:val="008C6F07"/>
    <w:rsid w:val="008C6F54"/>
    <w:rsid w:val="008C6F87"/>
    <w:rsid w:val="008C7053"/>
    <w:rsid w:val="008C70A7"/>
    <w:rsid w:val="008C710F"/>
    <w:rsid w:val="008C7121"/>
    <w:rsid w:val="008C713A"/>
    <w:rsid w:val="008C7201"/>
    <w:rsid w:val="008C7290"/>
    <w:rsid w:val="008C72A1"/>
    <w:rsid w:val="008C72EA"/>
    <w:rsid w:val="008C730F"/>
    <w:rsid w:val="008C7368"/>
    <w:rsid w:val="008C737B"/>
    <w:rsid w:val="008C738E"/>
    <w:rsid w:val="008C7454"/>
    <w:rsid w:val="008C7525"/>
    <w:rsid w:val="008C757B"/>
    <w:rsid w:val="008C758F"/>
    <w:rsid w:val="008C75A9"/>
    <w:rsid w:val="008C761C"/>
    <w:rsid w:val="008C765D"/>
    <w:rsid w:val="008C76CC"/>
    <w:rsid w:val="008C76D7"/>
    <w:rsid w:val="008C76DA"/>
    <w:rsid w:val="008C772B"/>
    <w:rsid w:val="008C7785"/>
    <w:rsid w:val="008C77B5"/>
    <w:rsid w:val="008C7A07"/>
    <w:rsid w:val="008C7A6F"/>
    <w:rsid w:val="008C7ABD"/>
    <w:rsid w:val="008C7AF9"/>
    <w:rsid w:val="008C7B19"/>
    <w:rsid w:val="008C7B23"/>
    <w:rsid w:val="008C7B5B"/>
    <w:rsid w:val="008C7B94"/>
    <w:rsid w:val="008C7C3D"/>
    <w:rsid w:val="008C7D2F"/>
    <w:rsid w:val="008C7D66"/>
    <w:rsid w:val="008C7D6C"/>
    <w:rsid w:val="008C7D81"/>
    <w:rsid w:val="008C7E94"/>
    <w:rsid w:val="008C7E95"/>
    <w:rsid w:val="008C7F19"/>
    <w:rsid w:val="008C7F2E"/>
    <w:rsid w:val="008C7F4C"/>
    <w:rsid w:val="008D011B"/>
    <w:rsid w:val="008D01DC"/>
    <w:rsid w:val="008D0293"/>
    <w:rsid w:val="008D02A0"/>
    <w:rsid w:val="008D02FC"/>
    <w:rsid w:val="008D03EF"/>
    <w:rsid w:val="008D04E1"/>
    <w:rsid w:val="008D0501"/>
    <w:rsid w:val="008D0508"/>
    <w:rsid w:val="008D063A"/>
    <w:rsid w:val="008D066E"/>
    <w:rsid w:val="008D070F"/>
    <w:rsid w:val="008D0726"/>
    <w:rsid w:val="008D07A8"/>
    <w:rsid w:val="008D0820"/>
    <w:rsid w:val="008D0851"/>
    <w:rsid w:val="008D0864"/>
    <w:rsid w:val="008D087C"/>
    <w:rsid w:val="008D08E9"/>
    <w:rsid w:val="008D091B"/>
    <w:rsid w:val="008D095D"/>
    <w:rsid w:val="008D0996"/>
    <w:rsid w:val="008D099C"/>
    <w:rsid w:val="008D09A1"/>
    <w:rsid w:val="008D0A44"/>
    <w:rsid w:val="008D0A9B"/>
    <w:rsid w:val="008D0B50"/>
    <w:rsid w:val="008D0B68"/>
    <w:rsid w:val="008D0BCC"/>
    <w:rsid w:val="008D0C01"/>
    <w:rsid w:val="008D0C38"/>
    <w:rsid w:val="008D0C48"/>
    <w:rsid w:val="008D0D0A"/>
    <w:rsid w:val="008D0D0B"/>
    <w:rsid w:val="008D0D54"/>
    <w:rsid w:val="008D0DB9"/>
    <w:rsid w:val="008D0E3B"/>
    <w:rsid w:val="008D0E7D"/>
    <w:rsid w:val="008D0ECE"/>
    <w:rsid w:val="008D0ECF"/>
    <w:rsid w:val="008D0F1B"/>
    <w:rsid w:val="008D0F3D"/>
    <w:rsid w:val="008D0FB0"/>
    <w:rsid w:val="008D0FE3"/>
    <w:rsid w:val="008D0FFB"/>
    <w:rsid w:val="008D1001"/>
    <w:rsid w:val="008D1010"/>
    <w:rsid w:val="008D1122"/>
    <w:rsid w:val="008D114E"/>
    <w:rsid w:val="008D11B1"/>
    <w:rsid w:val="008D11B2"/>
    <w:rsid w:val="008D11CF"/>
    <w:rsid w:val="008D11EB"/>
    <w:rsid w:val="008D122C"/>
    <w:rsid w:val="008D1271"/>
    <w:rsid w:val="008D1273"/>
    <w:rsid w:val="008D1306"/>
    <w:rsid w:val="008D1342"/>
    <w:rsid w:val="008D1387"/>
    <w:rsid w:val="008D138F"/>
    <w:rsid w:val="008D13D7"/>
    <w:rsid w:val="008D140A"/>
    <w:rsid w:val="008D1490"/>
    <w:rsid w:val="008D1514"/>
    <w:rsid w:val="008D1675"/>
    <w:rsid w:val="008D16A9"/>
    <w:rsid w:val="008D16C9"/>
    <w:rsid w:val="008D16D7"/>
    <w:rsid w:val="008D1705"/>
    <w:rsid w:val="008D1718"/>
    <w:rsid w:val="008D174D"/>
    <w:rsid w:val="008D175B"/>
    <w:rsid w:val="008D1787"/>
    <w:rsid w:val="008D179F"/>
    <w:rsid w:val="008D17B5"/>
    <w:rsid w:val="008D1800"/>
    <w:rsid w:val="008D189E"/>
    <w:rsid w:val="008D18B1"/>
    <w:rsid w:val="008D18F2"/>
    <w:rsid w:val="008D1927"/>
    <w:rsid w:val="008D196B"/>
    <w:rsid w:val="008D1994"/>
    <w:rsid w:val="008D19CA"/>
    <w:rsid w:val="008D19F6"/>
    <w:rsid w:val="008D1A99"/>
    <w:rsid w:val="008D1AE9"/>
    <w:rsid w:val="008D1B45"/>
    <w:rsid w:val="008D1B65"/>
    <w:rsid w:val="008D1B88"/>
    <w:rsid w:val="008D1BF8"/>
    <w:rsid w:val="008D1C17"/>
    <w:rsid w:val="008D1C3F"/>
    <w:rsid w:val="008D1CF8"/>
    <w:rsid w:val="008D1D24"/>
    <w:rsid w:val="008D1D51"/>
    <w:rsid w:val="008D1D8A"/>
    <w:rsid w:val="008D1DAE"/>
    <w:rsid w:val="008D1DB7"/>
    <w:rsid w:val="008D1E1F"/>
    <w:rsid w:val="008D1E23"/>
    <w:rsid w:val="008D1EB1"/>
    <w:rsid w:val="008D1F05"/>
    <w:rsid w:val="008D1F08"/>
    <w:rsid w:val="008D1F37"/>
    <w:rsid w:val="008D1F54"/>
    <w:rsid w:val="008D1F76"/>
    <w:rsid w:val="008D1FCB"/>
    <w:rsid w:val="008D201F"/>
    <w:rsid w:val="008D2115"/>
    <w:rsid w:val="008D2138"/>
    <w:rsid w:val="008D2155"/>
    <w:rsid w:val="008D21A7"/>
    <w:rsid w:val="008D21AC"/>
    <w:rsid w:val="008D21FC"/>
    <w:rsid w:val="008D225C"/>
    <w:rsid w:val="008D22FE"/>
    <w:rsid w:val="008D233C"/>
    <w:rsid w:val="008D236D"/>
    <w:rsid w:val="008D238E"/>
    <w:rsid w:val="008D23D1"/>
    <w:rsid w:val="008D2446"/>
    <w:rsid w:val="008D2450"/>
    <w:rsid w:val="008D245B"/>
    <w:rsid w:val="008D2469"/>
    <w:rsid w:val="008D24A6"/>
    <w:rsid w:val="008D2566"/>
    <w:rsid w:val="008D2607"/>
    <w:rsid w:val="008D26B1"/>
    <w:rsid w:val="008D26C7"/>
    <w:rsid w:val="008D27D9"/>
    <w:rsid w:val="008D2830"/>
    <w:rsid w:val="008D2873"/>
    <w:rsid w:val="008D28B8"/>
    <w:rsid w:val="008D28BA"/>
    <w:rsid w:val="008D2954"/>
    <w:rsid w:val="008D295C"/>
    <w:rsid w:val="008D29E7"/>
    <w:rsid w:val="008D2AF0"/>
    <w:rsid w:val="008D2B63"/>
    <w:rsid w:val="008D2B82"/>
    <w:rsid w:val="008D2C39"/>
    <w:rsid w:val="008D2C69"/>
    <w:rsid w:val="008D2D2C"/>
    <w:rsid w:val="008D2E12"/>
    <w:rsid w:val="008D2E7F"/>
    <w:rsid w:val="008D2ECA"/>
    <w:rsid w:val="008D2ED4"/>
    <w:rsid w:val="008D2F31"/>
    <w:rsid w:val="008D2F48"/>
    <w:rsid w:val="008D2F5F"/>
    <w:rsid w:val="008D2FC8"/>
    <w:rsid w:val="008D2FF9"/>
    <w:rsid w:val="008D3001"/>
    <w:rsid w:val="008D3072"/>
    <w:rsid w:val="008D30B2"/>
    <w:rsid w:val="008D3137"/>
    <w:rsid w:val="008D321E"/>
    <w:rsid w:val="008D32C7"/>
    <w:rsid w:val="008D32D8"/>
    <w:rsid w:val="008D3332"/>
    <w:rsid w:val="008D335E"/>
    <w:rsid w:val="008D3399"/>
    <w:rsid w:val="008D339F"/>
    <w:rsid w:val="008D34A9"/>
    <w:rsid w:val="008D34B1"/>
    <w:rsid w:val="008D34CC"/>
    <w:rsid w:val="008D34CF"/>
    <w:rsid w:val="008D34DE"/>
    <w:rsid w:val="008D34FD"/>
    <w:rsid w:val="008D3506"/>
    <w:rsid w:val="008D3516"/>
    <w:rsid w:val="008D3608"/>
    <w:rsid w:val="008D363F"/>
    <w:rsid w:val="008D3651"/>
    <w:rsid w:val="008D3686"/>
    <w:rsid w:val="008D36FE"/>
    <w:rsid w:val="008D3752"/>
    <w:rsid w:val="008D37F0"/>
    <w:rsid w:val="008D37F7"/>
    <w:rsid w:val="008D383C"/>
    <w:rsid w:val="008D38C1"/>
    <w:rsid w:val="008D38CB"/>
    <w:rsid w:val="008D38D9"/>
    <w:rsid w:val="008D3930"/>
    <w:rsid w:val="008D3935"/>
    <w:rsid w:val="008D3999"/>
    <w:rsid w:val="008D399B"/>
    <w:rsid w:val="008D39C1"/>
    <w:rsid w:val="008D3A50"/>
    <w:rsid w:val="008D3A7A"/>
    <w:rsid w:val="008D3A98"/>
    <w:rsid w:val="008D3A9B"/>
    <w:rsid w:val="008D3AA7"/>
    <w:rsid w:val="008D3B5A"/>
    <w:rsid w:val="008D3B73"/>
    <w:rsid w:val="008D3B84"/>
    <w:rsid w:val="008D3BF6"/>
    <w:rsid w:val="008D3BFB"/>
    <w:rsid w:val="008D3C36"/>
    <w:rsid w:val="008D3C5D"/>
    <w:rsid w:val="008D3CAB"/>
    <w:rsid w:val="008D3CE5"/>
    <w:rsid w:val="008D3D11"/>
    <w:rsid w:val="008D3DFD"/>
    <w:rsid w:val="008D3E0E"/>
    <w:rsid w:val="008D3E1E"/>
    <w:rsid w:val="008D3E4B"/>
    <w:rsid w:val="008D3F3D"/>
    <w:rsid w:val="008D3F61"/>
    <w:rsid w:val="008D4056"/>
    <w:rsid w:val="008D4075"/>
    <w:rsid w:val="008D40A6"/>
    <w:rsid w:val="008D40CA"/>
    <w:rsid w:val="008D4127"/>
    <w:rsid w:val="008D419B"/>
    <w:rsid w:val="008D422A"/>
    <w:rsid w:val="008D4245"/>
    <w:rsid w:val="008D429A"/>
    <w:rsid w:val="008D42C6"/>
    <w:rsid w:val="008D42C8"/>
    <w:rsid w:val="008D4353"/>
    <w:rsid w:val="008D43CC"/>
    <w:rsid w:val="008D43EC"/>
    <w:rsid w:val="008D4423"/>
    <w:rsid w:val="008D4493"/>
    <w:rsid w:val="008D44BB"/>
    <w:rsid w:val="008D44C7"/>
    <w:rsid w:val="008D44D8"/>
    <w:rsid w:val="008D44EE"/>
    <w:rsid w:val="008D451F"/>
    <w:rsid w:val="008D4534"/>
    <w:rsid w:val="008D45C9"/>
    <w:rsid w:val="008D45D4"/>
    <w:rsid w:val="008D465D"/>
    <w:rsid w:val="008D466A"/>
    <w:rsid w:val="008D46B8"/>
    <w:rsid w:val="008D4719"/>
    <w:rsid w:val="008D471C"/>
    <w:rsid w:val="008D4737"/>
    <w:rsid w:val="008D473A"/>
    <w:rsid w:val="008D47D9"/>
    <w:rsid w:val="008D4816"/>
    <w:rsid w:val="008D482C"/>
    <w:rsid w:val="008D4859"/>
    <w:rsid w:val="008D4864"/>
    <w:rsid w:val="008D4867"/>
    <w:rsid w:val="008D48AC"/>
    <w:rsid w:val="008D48B8"/>
    <w:rsid w:val="008D48F6"/>
    <w:rsid w:val="008D49F7"/>
    <w:rsid w:val="008D4A59"/>
    <w:rsid w:val="008D4A7B"/>
    <w:rsid w:val="008D4AEA"/>
    <w:rsid w:val="008D4B02"/>
    <w:rsid w:val="008D4B63"/>
    <w:rsid w:val="008D4C3E"/>
    <w:rsid w:val="008D4C71"/>
    <w:rsid w:val="008D4C82"/>
    <w:rsid w:val="008D4CB1"/>
    <w:rsid w:val="008D4D09"/>
    <w:rsid w:val="008D4D9C"/>
    <w:rsid w:val="008D4DB3"/>
    <w:rsid w:val="008D4DDE"/>
    <w:rsid w:val="008D4E5C"/>
    <w:rsid w:val="008D4EFF"/>
    <w:rsid w:val="008D4F0D"/>
    <w:rsid w:val="008D4F1A"/>
    <w:rsid w:val="008D4FE9"/>
    <w:rsid w:val="008D5013"/>
    <w:rsid w:val="008D5197"/>
    <w:rsid w:val="008D51F0"/>
    <w:rsid w:val="008D5218"/>
    <w:rsid w:val="008D5227"/>
    <w:rsid w:val="008D5257"/>
    <w:rsid w:val="008D53FE"/>
    <w:rsid w:val="008D550E"/>
    <w:rsid w:val="008D565C"/>
    <w:rsid w:val="008D56AF"/>
    <w:rsid w:val="008D56BF"/>
    <w:rsid w:val="008D571F"/>
    <w:rsid w:val="008D58A6"/>
    <w:rsid w:val="008D58E0"/>
    <w:rsid w:val="008D5913"/>
    <w:rsid w:val="008D5985"/>
    <w:rsid w:val="008D598A"/>
    <w:rsid w:val="008D59C7"/>
    <w:rsid w:val="008D59F0"/>
    <w:rsid w:val="008D5A01"/>
    <w:rsid w:val="008D5A63"/>
    <w:rsid w:val="008D5AA9"/>
    <w:rsid w:val="008D5B23"/>
    <w:rsid w:val="008D5B30"/>
    <w:rsid w:val="008D5B82"/>
    <w:rsid w:val="008D5B92"/>
    <w:rsid w:val="008D5B9E"/>
    <w:rsid w:val="008D5C10"/>
    <w:rsid w:val="008D5C14"/>
    <w:rsid w:val="008D5C96"/>
    <w:rsid w:val="008D5CA4"/>
    <w:rsid w:val="008D5CC0"/>
    <w:rsid w:val="008D5D19"/>
    <w:rsid w:val="008D5DAC"/>
    <w:rsid w:val="008D5DDE"/>
    <w:rsid w:val="008D5E3A"/>
    <w:rsid w:val="008D5E6D"/>
    <w:rsid w:val="008D5E76"/>
    <w:rsid w:val="008D5EB1"/>
    <w:rsid w:val="008D5EC8"/>
    <w:rsid w:val="008D5EC9"/>
    <w:rsid w:val="008D5EEC"/>
    <w:rsid w:val="008D5F73"/>
    <w:rsid w:val="008D5F77"/>
    <w:rsid w:val="008D6019"/>
    <w:rsid w:val="008D612B"/>
    <w:rsid w:val="008D6145"/>
    <w:rsid w:val="008D623D"/>
    <w:rsid w:val="008D627B"/>
    <w:rsid w:val="008D6287"/>
    <w:rsid w:val="008D62B2"/>
    <w:rsid w:val="008D62B7"/>
    <w:rsid w:val="008D637F"/>
    <w:rsid w:val="008D640B"/>
    <w:rsid w:val="008D6410"/>
    <w:rsid w:val="008D645F"/>
    <w:rsid w:val="008D64EE"/>
    <w:rsid w:val="008D6527"/>
    <w:rsid w:val="008D654C"/>
    <w:rsid w:val="008D658C"/>
    <w:rsid w:val="008D66AF"/>
    <w:rsid w:val="008D6732"/>
    <w:rsid w:val="008D68C8"/>
    <w:rsid w:val="008D6931"/>
    <w:rsid w:val="008D697D"/>
    <w:rsid w:val="008D699D"/>
    <w:rsid w:val="008D69B6"/>
    <w:rsid w:val="008D6A2B"/>
    <w:rsid w:val="008D6A3B"/>
    <w:rsid w:val="008D6A64"/>
    <w:rsid w:val="008D6AF3"/>
    <w:rsid w:val="008D6B2C"/>
    <w:rsid w:val="008D6BB3"/>
    <w:rsid w:val="008D6BC2"/>
    <w:rsid w:val="008D6BDF"/>
    <w:rsid w:val="008D6BFB"/>
    <w:rsid w:val="008D6BFD"/>
    <w:rsid w:val="008D6D02"/>
    <w:rsid w:val="008D6D27"/>
    <w:rsid w:val="008D6D87"/>
    <w:rsid w:val="008D6DCC"/>
    <w:rsid w:val="008D6E26"/>
    <w:rsid w:val="008D6E6F"/>
    <w:rsid w:val="008D6E80"/>
    <w:rsid w:val="008D6EE8"/>
    <w:rsid w:val="008D6F27"/>
    <w:rsid w:val="008D6F78"/>
    <w:rsid w:val="008D700C"/>
    <w:rsid w:val="008D70F0"/>
    <w:rsid w:val="008D711D"/>
    <w:rsid w:val="008D7166"/>
    <w:rsid w:val="008D719B"/>
    <w:rsid w:val="008D7216"/>
    <w:rsid w:val="008D725A"/>
    <w:rsid w:val="008D7285"/>
    <w:rsid w:val="008D72D7"/>
    <w:rsid w:val="008D72FF"/>
    <w:rsid w:val="008D7300"/>
    <w:rsid w:val="008D7353"/>
    <w:rsid w:val="008D73BC"/>
    <w:rsid w:val="008D740A"/>
    <w:rsid w:val="008D745C"/>
    <w:rsid w:val="008D7563"/>
    <w:rsid w:val="008D758C"/>
    <w:rsid w:val="008D75C6"/>
    <w:rsid w:val="008D7700"/>
    <w:rsid w:val="008D77A1"/>
    <w:rsid w:val="008D77B4"/>
    <w:rsid w:val="008D77C3"/>
    <w:rsid w:val="008D77EA"/>
    <w:rsid w:val="008D79C8"/>
    <w:rsid w:val="008D79D6"/>
    <w:rsid w:val="008D79EE"/>
    <w:rsid w:val="008D7A53"/>
    <w:rsid w:val="008D7B22"/>
    <w:rsid w:val="008D7B57"/>
    <w:rsid w:val="008D7BEA"/>
    <w:rsid w:val="008D7C0F"/>
    <w:rsid w:val="008D7C32"/>
    <w:rsid w:val="008D7C6D"/>
    <w:rsid w:val="008D7C80"/>
    <w:rsid w:val="008D7DD0"/>
    <w:rsid w:val="008D7EB3"/>
    <w:rsid w:val="008D7ED6"/>
    <w:rsid w:val="008D7F38"/>
    <w:rsid w:val="008D7F86"/>
    <w:rsid w:val="008E002C"/>
    <w:rsid w:val="008E0091"/>
    <w:rsid w:val="008E0120"/>
    <w:rsid w:val="008E0148"/>
    <w:rsid w:val="008E0189"/>
    <w:rsid w:val="008E02F3"/>
    <w:rsid w:val="008E0349"/>
    <w:rsid w:val="008E034C"/>
    <w:rsid w:val="008E03FE"/>
    <w:rsid w:val="008E04D7"/>
    <w:rsid w:val="008E0660"/>
    <w:rsid w:val="008E06ED"/>
    <w:rsid w:val="008E06FC"/>
    <w:rsid w:val="008E0703"/>
    <w:rsid w:val="008E0773"/>
    <w:rsid w:val="008E07C9"/>
    <w:rsid w:val="008E088D"/>
    <w:rsid w:val="008E08A4"/>
    <w:rsid w:val="008E08B3"/>
    <w:rsid w:val="008E08D4"/>
    <w:rsid w:val="008E08F3"/>
    <w:rsid w:val="008E090F"/>
    <w:rsid w:val="008E098D"/>
    <w:rsid w:val="008E09AF"/>
    <w:rsid w:val="008E0AF8"/>
    <w:rsid w:val="008E0B38"/>
    <w:rsid w:val="008E0B7D"/>
    <w:rsid w:val="008E0C85"/>
    <w:rsid w:val="008E0CAD"/>
    <w:rsid w:val="008E0CBE"/>
    <w:rsid w:val="008E0D04"/>
    <w:rsid w:val="008E0D2F"/>
    <w:rsid w:val="008E0D3B"/>
    <w:rsid w:val="008E0E42"/>
    <w:rsid w:val="008E0E57"/>
    <w:rsid w:val="008E0E94"/>
    <w:rsid w:val="008E0EBA"/>
    <w:rsid w:val="008E0EE7"/>
    <w:rsid w:val="008E0F1F"/>
    <w:rsid w:val="008E0F26"/>
    <w:rsid w:val="008E0FAD"/>
    <w:rsid w:val="008E0FDA"/>
    <w:rsid w:val="008E0FDF"/>
    <w:rsid w:val="008E1008"/>
    <w:rsid w:val="008E10E8"/>
    <w:rsid w:val="008E1114"/>
    <w:rsid w:val="008E1118"/>
    <w:rsid w:val="008E1147"/>
    <w:rsid w:val="008E11D2"/>
    <w:rsid w:val="008E11DA"/>
    <w:rsid w:val="008E1204"/>
    <w:rsid w:val="008E1234"/>
    <w:rsid w:val="008E1255"/>
    <w:rsid w:val="008E128D"/>
    <w:rsid w:val="008E1397"/>
    <w:rsid w:val="008E13D9"/>
    <w:rsid w:val="008E1407"/>
    <w:rsid w:val="008E1439"/>
    <w:rsid w:val="008E14EC"/>
    <w:rsid w:val="008E1503"/>
    <w:rsid w:val="008E159F"/>
    <w:rsid w:val="008E15F5"/>
    <w:rsid w:val="008E1600"/>
    <w:rsid w:val="008E160F"/>
    <w:rsid w:val="008E1665"/>
    <w:rsid w:val="008E171F"/>
    <w:rsid w:val="008E1728"/>
    <w:rsid w:val="008E1735"/>
    <w:rsid w:val="008E1829"/>
    <w:rsid w:val="008E1840"/>
    <w:rsid w:val="008E1947"/>
    <w:rsid w:val="008E1A75"/>
    <w:rsid w:val="008E1A96"/>
    <w:rsid w:val="008E1AA0"/>
    <w:rsid w:val="008E1AA3"/>
    <w:rsid w:val="008E1AC7"/>
    <w:rsid w:val="008E1AD7"/>
    <w:rsid w:val="008E1AEB"/>
    <w:rsid w:val="008E1AF5"/>
    <w:rsid w:val="008E1B1A"/>
    <w:rsid w:val="008E1B1F"/>
    <w:rsid w:val="008E1B22"/>
    <w:rsid w:val="008E1BB8"/>
    <w:rsid w:val="008E1C0B"/>
    <w:rsid w:val="008E1CB5"/>
    <w:rsid w:val="008E1CEB"/>
    <w:rsid w:val="008E1CEF"/>
    <w:rsid w:val="008E1CF8"/>
    <w:rsid w:val="008E1D6F"/>
    <w:rsid w:val="008E1D75"/>
    <w:rsid w:val="008E1E90"/>
    <w:rsid w:val="008E1F32"/>
    <w:rsid w:val="008E1F9B"/>
    <w:rsid w:val="008E1FE6"/>
    <w:rsid w:val="008E201C"/>
    <w:rsid w:val="008E2056"/>
    <w:rsid w:val="008E20B6"/>
    <w:rsid w:val="008E2114"/>
    <w:rsid w:val="008E212C"/>
    <w:rsid w:val="008E2145"/>
    <w:rsid w:val="008E21DF"/>
    <w:rsid w:val="008E2202"/>
    <w:rsid w:val="008E221D"/>
    <w:rsid w:val="008E2221"/>
    <w:rsid w:val="008E2254"/>
    <w:rsid w:val="008E229A"/>
    <w:rsid w:val="008E230F"/>
    <w:rsid w:val="008E231E"/>
    <w:rsid w:val="008E2347"/>
    <w:rsid w:val="008E234E"/>
    <w:rsid w:val="008E2356"/>
    <w:rsid w:val="008E237A"/>
    <w:rsid w:val="008E2382"/>
    <w:rsid w:val="008E23B3"/>
    <w:rsid w:val="008E23F6"/>
    <w:rsid w:val="008E2416"/>
    <w:rsid w:val="008E2450"/>
    <w:rsid w:val="008E24A1"/>
    <w:rsid w:val="008E2582"/>
    <w:rsid w:val="008E25B4"/>
    <w:rsid w:val="008E25F2"/>
    <w:rsid w:val="008E26E3"/>
    <w:rsid w:val="008E28C3"/>
    <w:rsid w:val="008E2955"/>
    <w:rsid w:val="008E2970"/>
    <w:rsid w:val="008E29CB"/>
    <w:rsid w:val="008E29DB"/>
    <w:rsid w:val="008E29E0"/>
    <w:rsid w:val="008E29F2"/>
    <w:rsid w:val="008E29FD"/>
    <w:rsid w:val="008E2A77"/>
    <w:rsid w:val="008E2A9A"/>
    <w:rsid w:val="008E2B61"/>
    <w:rsid w:val="008E2B9A"/>
    <w:rsid w:val="008E2BA9"/>
    <w:rsid w:val="008E2BB7"/>
    <w:rsid w:val="008E2C0C"/>
    <w:rsid w:val="008E2C7C"/>
    <w:rsid w:val="008E2CA9"/>
    <w:rsid w:val="008E2D37"/>
    <w:rsid w:val="008E2D42"/>
    <w:rsid w:val="008E2D74"/>
    <w:rsid w:val="008E2D95"/>
    <w:rsid w:val="008E2DEC"/>
    <w:rsid w:val="008E2E1B"/>
    <w:rsid w:val="008E2EB1"/>
    <w:rsid w:val="008E2EBC"/>
    <w:rsid w:val="008E2EF6"/>
    <w:rsid w:val="008E2EFD"/>
    <w:rsid w:val="008E2F22"/>
    <w:rsid w:val="008E2F61"/>
    <w:rsid w:val="008E2FBD"/>
    <w:rsid w:val="008E2FDA"/>
    <w:rsid w:val="008E303E"/>
    <w:rsid w:val="008E3161"/>
    <w:rsid w:val="008E31F4"/>
    <w:rsid w:val="008E31F9"/>
    <w:rsid w:val="008E3269"/>
    <w:rsid w:val="008E330E"/>
    <w:rsid w:val="008E3318"/>
    <w:rsid w:val="008E3323"/>
    <w:rsid w:val="008E3334"/>
    <w:rsid w:val="008E3383"/>
    <w:rsid w:val="008E33B0"/>
    <w:rsid w:val="008E33DE"/>
    <w:rsid w:val="008E34A2"/>
    <w:rsid w:val="008E351C"/>
    <w:rsid w:val="008E3524"/>
    <w:rsid w:val="008E3552"/>
    <w:rsid w:val="008E360D"/>
    <w:rsid w:val="008E362E"/>
    <w:rsid w:val="008E366F"/>
    <w:rsid w:val="008E3718"/>
    <w:rsid w:val="008E371A"/>
    <w:rsid w:val="008E3722"/>
    <w:rsid w:val="008E37F2"/>
    <w:rsid w:val="008E3868"/>
    <w:rsid w:val="008E387E"/>
    <w:rsid w:val="008E38E4"/>
    <w:rsid w:val="008E390B"/>
    <w:rsid w:val="008E392B"/>
    <w:rsid w:val="008E393A"/>
    <w:rsid w:val="008E3AA3"/>
    <w:rsid w:val="008E3B28"/>
    <w:rsid w:val="008E3B50"/>
    <w:rsid w:val="008E3BB1"/>
    <w:rsid w:val="008E3BC0"/>
    <w:rsid w:val="008E3BC2"/>
    <w:rsid w:val="008E3BE5"/>
    <w:rsid w:val="008E3C37"/>
    <w:rsid w:val="008E3C50"/>
    <w:rsid w:val="008E3C9C"/>
    <w:rsid w:val="008E3D06"/>
    <w:rsid w:val="008E3D99"/>
    <w:rsid w:val="008E3DA4"/>
    <w:rsid w:val="008E3E8A"/>
    <w:rsid w:val="008E3EC9"/>
    <w:rsid w:val="008E3EEA"/>
    <w:rsid w:val="008E3F85"/>
    <w:rsid w:val="008E3FF3"/>
    <w:rsid w:val="008E4043"/>
    <w:rsid w:val="008E40BB"/>
    <w:rsid w:val="008E41D1"/>
    <w:rsid w:val="008E41E9"/>
    <w:rsid w:val="008E4243"/>
    <w:rsid w:val="008E4253"/>
    <w:rsid w:val="008E42C2"/>
    <w:rsid w:val="008E42ED"/>
    <w:rsid w:val="008E4303"/>
    <w:rsid w:val="008E4319"/>
    <w:rsid w:val="008E4332"/>
    <w:rsid w:val="008E4380"/>
    <w:rsid w:val="008E43A9"/>
    <w:rsid w:val="008E43BA"/>
    <w:rsid w:val="008E43EB"/>
    <w:rsid w:val="008E43EC"/>
    <w:rsid w:val="008E442B"/>
    <w:rsid w:val="008E44C1"/>
    <w:rsid w:val="008E456D"/>
    <w:rsid w:val="008E4573"/>
    <w:rsid w:val="008E45A9"/>
    <w:rsid w:val="008E463F"/>
    <w:rsid w:val="008E466C"/>
    <w:rsid w:val="008E4677"/>
    <w:rsid w:val="008E4682"/>
    <w:rsid w:val="008E473E"/>
    <w:rsid w:val="008E4767"/>
    <w:rsid w:val="008E4885"/>
    <w:rsid w:val="008E48A4"/>
    <w:rsid w:val="008E4958"/>
    <w:rsid w:val="008E49BD"/>
    <w:rsid w:val="008E49D2"/>
    <w:rsid w:val="008E4AF9"/>
    <w:rsid w:val="008E4B59"/>
    <w:rsid w:val="008E4B8F"/>
    <w:rsid w:val="008E4C4A"/>
    <w:rsid w:val="008E4C6B"/>
    <w:rsid w:val="008E4C85"/>
    <w:rsid w:val="008E4C99"/>
    <w:rsid w:val="008E4D3D"/>
    <w:rsid w:val="008E4DF3"/>
    <w:rsid w:val="008E4E29"/>
    <w:rsid w:val="008E4E42"/>
    <w:rsid w:val="008E4EF5"/>
    <w:rsid w:val="008E4F2A"/>
    <w:rsid w:val="008E4F6B"/>
    <w:rsid w:val="008E4FBC"/>
    <w:rsid w:val="008E500B"/>
    <w:rsid w:val="008E506A"/>
    <w:rsid w:val="008E5153"/>
    <w:rsid w:val="008E51B0"/>
    <w:rsid w:val="008E5263"/>
    <w:rsid w:val="008E5287"/>
    <w:rsid w:val="008E52C0"/>
    <w:rsid w:val="008E538F"/>
    <w:rsid w:val="008E539A"/>
    <w:rsid w:val="008E53A2"/>
    <w:rsid w:val="008E53EF"/>
    <w:rsid w:val="008E543C"/>
    <w:rsid w:val="008E5499"/>
    <w:rsid w:val="008E54BA"/>
    <w:rsid w:val="008E5565"/>
    <w:rsid w:val="008E55AB"/>
    <w:rsid w:val="008E5699"/>
    <w:rsid w:val="008E56E3"/>
    <w:rsid w:val="008E5713"/>
    <w:rsid w:val="008E5726"/>
    <w:rsid w:val="008E575C"/>
    <w:rsid w:val="008E57DE"/>
    <w:rsid w:val="008E583D"/>
    <w:rsid w:val="008E5971"/>
    <w:rsid w:val="008E5A41"/>
    <w:rsid w:val="008E5A5D"/>
    <w:rsid w:val="008E5A62"/>
    <w:rsid w:val="008E5AB0"/>
    <w:rsid w:val="008E5AC1"/>
    <w:rsid w:val="008E5AEA"/>
    <w:rsid w:val="008E5B20"/>
    <w:rsid w:val="008E5B23"/>
    <w:rsid w:val="008E5B46"/>
    <w:rsid w:val="008E5B68"/>
    <w:rsid w:val="008E5C58"/>
    <w:rsid w:val="008E5C5D"/>
    <w:rsid w:val="008E5CA0"/>
    <w:rsid w:val="008E5CA3"/>
    <w:rsid w:val="008E5CE9"/>
    <w:rsid w:val="008E5D11"/>
    <w:rsid w:val="008E5D9A"/>
    <w:rsid w:val="008E5D9E"/>
    <w:rsid w:val="008E5DCA"/>
    <w:rsid w:val="008E5E37"/>
    <w:rsid w:val="008E5EC9"/>
    <w:rsid w:val="008E5FCB"/>
    <w:rsid w:val="008E6078"/>
    <w:rsid w:val="008E609C"/>
    <w:rsid w:val="008E60D5"/>
    <w:rsid w:val="008E60EC"/>
    <w:rsid w:val="008E6131"/>
    <w:rsid w:val="008E613C"/>
    <w:rsid w:val="008E614A"/>
    <w:rsid w:val="008E6174"/>
    <w:rsid w:val="008E6222"/>
    <w:rsid w:val="008E6292"/>
    <w:rsid w:val="008E62F6"/>
    <w:rsid w:val="008E635F"/>
    <w:rsid w:val="008E63B7"/>
    <w:rsid w:val="008E6427"/>
    <w:rsid w:val="008E64D6"/>
    <w:rsid w:val="008E6511"/>
    <w:rsid w:val="008E655F"/>
    <w:rsid w:val="008E6595"/>
    <w:rsid w:val="008E65ED"/>
    <w:rsid w:val="008E660E"/>
    <w:rsid w:val="008E6610"/>
    <w:rsid w:val="008E6625"/>
    <w:rsid w:val="008E6637"/>
    <w:rsid w:val="008E6659"/>
    <w:rsid w:val="008E665E"/>
    <w:rsid w:val="008E66B2"/>
    <w:rsid w:val="008E66D4"/>
    <w:rsid w:val="008E66E7"/>
    <w:rsid w:val="008E66F5"/>
    <w:rsid w:val="008E6707"/>
    <w:rsid w:val="008E678C"/>
    <w:rsid w:val="008E67BC"/>
    <w:rsid w:val="008E67E1"/>
    <w:rsid w:val="008E6811"/>
    <w:rsid w:val="008E68AF"/>
    <w:rsid w:val="008E68D3"/>
    <w:rsid w:val="008E68FD"/>
    <w:rsid w:val="008E6993"/>
    <w:rsid w:val="008E6A70"/>
    <w:rsid w:val="008E6A7B"/>
    <w:rsid w:val="008E6AF2"/>
    <w:rsid w:val="008E6B0D"/>
    <w:rsid w:val="008E6B3F"/>
    <w:rsid w:val="008E6B95"/>
    <w:rsid w:val="008E6BAB"/>
    <w:rsid w:val="008E6BBE"/>
    <w:rsid w:val="008E6C06"/>
    <w:rsid w:val="008E6C53"/>
    <w:rsid w:val="008E6D15"/>
    <w:rsid w:val="008E6D57"/>
    <w:rsid w:val="008E6DD5"/>
    <w:rsid w:val="008E6DDC"/>
    <w:rsid w:val="008E6E6A"/>
    <w:rsid w:val="008E6F23"/>
    <w:rsid w:val="008E6F25"/>
    <w:rsid w:val="008E6F45"/>
    <w:rsid w:val="008E6F57"/>
    <w:rsid w:val="008E6F6A"/>
    <w:rsid w:val="008E6F7C"/>
    <w:rsid w:val="008E6FF7"/>
    <w:rsid w:val="008E702F"/>
    <w:rsid w:val="008E703C"/>
    <w:rsid w:val="008E7091"/>
    <w:rsid w:val="008E70C3"/>
    <w:rsid w:val="008E71D7"/>
    <w:rsid w:val="008E71FA"/>
    <w:rsid w:val="008E723E"/>
    <w:rsid w:val="008E72B5"/>
    <w:rsid w:val="008E72D8"/>
    <w:rsid w:val="008E733C"/>
    <w:rsid w:val="008E734B"/>
    <w:rsid w:val="008E7387"/>
    <w:rsid w:val="008E73B7"/>
    <w:rsid w:val="008E7431"/>
    <w:rsid w:val="008E7461"/>
    <w:rsid w:val="008E74B6"/>
    <w:rsid w:val="008E74EA"/>
    <w:rsid w:val="008E7521"/>
    <w:rsid w:val="008E752A"/>
    <w:rsid w:val="008E7568"/>
    <w:rsid w:val="008E75A1"/>
    <w:rsid w:val="008E75B9"/>
    <w:rsid w:val="008E760D"/>
    <w:rsid w:val="008E76B5"/>
    <w:rsid w:val="008E76F6"/>
    <w:rsid w:val="008E772B"/>
    <w:rsid w:val="008E77EA"/>
    <w:rsid w:val="008E77F4"/>
    <w:rsid w:val="008E786A"/>
    <w:rsid w:val="008E788A"/>
    <w:rsid w:val="008E78BA"/>
    <w:rsid w:val="008E78EA"/>
    <w:rsid w:val="008E7928"/>
    <w:rsid w:val="008E7957"/>
    <w:rsid w:val="008E7A0D"/>
    <w:rsid w:val="008E7A4D"/>
    <w:rsid w:val="008E7B6F"/>
    <w:rsid w:val="008E7BCA"/>
    <w:rsid w:val="008E7BD6"/>
    <w:rsid w:val="008E7BE8"/>
    <w:rsid w:val="008E7C24"/>
    <w:rsid w:val="008E7C2A"/>
    <w:rsid w:val="008E7C49"/>
    <w:rsid w:val="008E7D9B"/>
    <w:rsid w:val="008E7DE5"/>
    <w:rsid w:val="008E7E78"/>
    <w:rsid w:val="008E7EAD"/>
    <w:rsid w:val="008E7EB5"/>
    <w:rsid w:val="008E7EBF"/>
    <w:rsid w:val="008E7EDF"/>
    <w:rsid w:val="008E7F24"/>
    <w:rsid w:val="008E7F43"/>
    <w:rsid w:val="008E7FE3"/>
    <w:rsid w:val="008E7FF2"/>
    <w:rsid w:val="008F0037"/>
    <w:rsid w:val="008F004F"/>
    <w:rsid w:val="008F00A0"/>
    <w:rsid w:val="008F00D3"/>
    <w:rsid w:val="008F00EC"/>
    <w:rsid w:val="008F00FF"/>
    <w:rsid w:val="008F0116"/>
    <w:rsid w:val="008F0132"/>
    <w:rsid w:val="008F013A"/>
    <w:rsid w:val="008F0166"/>
    <w:rsid w:val="008F0217"/>
    <w:rsid w:val="008F027E"/>
    <w:rsid w:val="008F02CE"/>
    <w:rsid w:val="008F02FB"/>
    <w:rsid w:val="008F0306"/>
    <w:rsid w:val="008F0397"/>
    <w:rsid w:val="008F0405"/>
    <w:rsid w:val="008F04D7"/>
    <w:rsid w:val="008F0572"/>
    <w:rsid w:val="008F05BE"/>
    <w:rsid w:val="008F05D9"/>
    <w:rsid w:val="008F05DD"/>
    <w:rsid w:val="008F0647"/>
    <w:rsid w:val="008F0674"/>
    <w:rsid w:val="008F070B"/>
    <w:rsid w:val="008F071C"/>
    <w:rsid w:val="008F07F6"/>
    <w:rsid w:val="008F080E"/>
    <w:rsid w:val="008F081E"/>
    <w:rsid w:val="008F0835"/>
    <w:rsid w:val="008F0845"/>
    <w:rsid w:val="008F0877"/>
    <w:rsid w:val="008F08B6"/>
    <w:rsid w:val="008F08C1"/>
    <w:rsid w:val="008F08C2"/>
    <w:rsid w:val="008F09A7"/>
    <w:rsid w:val="008F09B8"/>
    <w:rsid w:val="008F09C4"/>
    <w:rsid w:val="008F09CE"/>
    <w:rsid w:val="008F0AEF"/>
    <w:rsid w:val="008F0B0A"/>
    <w:rsid w:val="008F0C15"/>
    <w:rsid w:val="008F0C85"/>
    <w:rsid w:val="008F0CA8"/>
    <w:rsid w:val="008F0CE2"/>
    <w:rsid w:val="008F0D52"/>
    <w:rsid w:val="008F0DAE"/>
    <w:rsid w:val="008F0E20"/>
    <w:rsid w:val="008F0EBD"/>
    <w:rsid w:val="008F0EDB"/>
    <w:rsid w:val="008F0EDE"/>
    <w:rsid w:val="008F0EE7"/>
    <w:rsid w:val="008F0EFF"/>
    <w:rsid w:val="008F0F15"/>
    <w:rsid w:val="008F0F50"/>
    <w:rsid w:val="008F0F98"/>
    <w:rsid w:val="008F0FA7"/>
    <w:rsid w:val="008F0FC3"/>
    <w:rsid w:val="008F1075"/>
    <w:rsid w:val="008F107A"/>
    <w:rsid w:val="008F108C"/>
    <w:rsid w:val="008F10B5"/>
    <w:rsid w:val="008F10C1"/>
    <w:rsid w:val="008F1101"/>
    <w:rsid w:val="008F1171"/>
    <w:rsid w:val="008F1175"/>
    <w:rsid w:val="008F1203"/>
    <w:rsid w:val="008F1297"/>
    <w:rsid w:val="008F12BD"/>
    <w:rsid w:val="008F130D"/>
    <w:rsid w:val="008F131E"/>
    <w:rsid w:val="008F1388"/>
    <w:rsid w:val="008F138D"/>
    <w:rsid w:val="008F1390"/>
    <w:rsid w:val="008F146F"/>
    <w:rsid w:val="008F14C9"/>
    <w:rsid w:val="008F14CC"/>
    <w:rsid w:val="008F14EA"/>
    <w:rsid w:val="008F14FF"/>
    <w:rsid w:val="008F151F"/>
    <w:rsid w:val="008F156B"/>
    <w:rsid w:val="008F15C6"/>
    <w:rsid w:val="008F15DE"/>
    <w:rsid w:val="008F161E"/>
    <w:rsid w:val="008F1662"/>
    <w:rsid w:val="008F1668"/>
    <w:rsid w:val="008F16AC"/>
    <w:rsid w:val="008F1750"/>
    <w:rsid w:val="008F17ED"/>
    <w:rsid w:val="008F183E"/>
    <w:rsid w:val="008F18CF"/>
    <w:rsid w:val="008F1927"/>
    <w:rsid w:val="008F194C"/>
    <w:rsid w:val="008F198E"/>
    <w:rsid w:val="008F19DA"/>
    <w:rsid w:val="008F1A3D"/>
    <w:rsid w:val="008F1B64"/>
    <w:rsid w:val="008F1C29"/>
    <w:rsid w:val="008F1CB9"/>
    <w:rsid w:val="008F1D80"/>
    <w:rsid w:val="008F1DA9"/>
    <w:rsid w:val="008F1DC4"/>
    <w:rsid w:val="008F1F13"/>
    <w:rsid w:val="008F1F60"/>
    <w:rsid w:val="008F1FDB"/>
    <w:rsid w:val="008F1FF5"/>
    <w:rsid w:val="008F2055"/>
    <w:rsid w:val="008F206A"/>
    <w:rsid w:val="008F206D"/>
    <w:rsid w:val="008F210A"/>
    <w:rsid w:val="008F2118"/>
    <w:rsid w:val="008F2146"/>
    <w:rsid w:val="008F21C1"/>
    <w:rsid w:val="008F21C4"/>
    <w:rsid w:val="008F221C"/>
    <w:rsid w:val="008F2265"/>
    <w:rsid w:val="008F22AA"/>
    <w:rsid w:val="008F22D5"/>
    <w:rsid w:val="008F22F7"/>
    <w:rsid w:val="008F23A2"/>
    <w:rsid w:val="008F23DF"/>
    <w:rsid w:val="008F23ED"/>
    <w:rsid w:val="008F241B"/>
    <w:rsid w:val="008F2438"/>
    <w:rsid w:val="008F246C"/>
    <w:rsid w:val="008F249D"/>
    <w:rsid w:val="008F24F1"/>
    <w:rsid w:val="008F24F5"/>
    <w:rsid w:val="008F250C"/>
    <w:rsid w:val="008F255C"/>
    <w:rsid w:val="008F2560"/>
    <w:rsid w:val="008F261E"/>
    <w:rsid w:val="008F262C"/>
    <w:rsid w:val="008F2656"/>
    <w:rsid w:val="008F2677"/>
    <w:rsid w:val="008F27C6"/>
    <w:rsid w:val="008F27FC"/>
    <w:rsid w:val="008F2836"/>
    <w:rsid w:val="008F2843"/>
    <w:rsid w:val="008F288E"/>
    <w:rsid w:val="008F28A4"/>
    <w:rsid w:val="008F28E5"/>
    <w:rsid w:val="008F292C"/>
    <w:rsid w:val="008F292D"/>
    <w:rsid w:val="008F2944"/>
    <w:rsid w:val="008F2989"/>
    <w:rsid w:val="008F2A5F"/>
    <w:rsid w:val="008F2B95"/>
    <w:rsid w:val="008F2D19"/>
    <w:rsid w:val="008F2D1A"/>
    <w:rsid w:val="008F2D88"/>
    <w:rsid w:val="008F2DCB"/>
    <w:rsid w:val="008F2E0D"/>
    <w:rsid w:val="008F2EF7"/>
    <w:rsid w:val="008F2EFC"/>
    <w:rsid w:val="008F2F1F"/>
    <w:rsid w:val="008F2F24"/>
    <w:rsid w:val="008F2F86"/>
    <w:rsid w:val="008F2FB1"/>
    <w:rsid w:val="008F2FF2"/>
    <w:rsid w:val="008F302B"/>
    <w:rsid w:val="008F3056"/>
    <w:rsid w:val="008F3122"/>
    <w:rsid w:val="008F3133"/>
    <w:rsid w:val="008F320B"/>
    <w:rsid w:val="008F32D8"/>
    <w:rsid w:val="008F3403"/>
    <w:rsid w:val="008F3424"/>
    <w:rsid w:val="008F342D"/>
    <w:rsid w:val="008F344F"/>
    <w:rsid w:val="008F3458"/>
    <w:rsid w:val="008F345A"/>
    <w:rsid w:val="008F3486"/>
    <w:rsid w:val="008F3490"/>
    <w:rsid w:val="008F34AD"/>
    <w:rsid w:val="008F34EF"/>
    <w:rsid w:val="008F34F5"/>
    <w:rsid w:val="008F3564"/>
    <w:rsid w:val="008F3603"/>
    <w:rsid w:val="008F360E"/>
    <w:rsid w:val="008F360F"/>
    <w:rsid w:val="008F365F"/>
    <w:rsid w:val="008F36CB"/>
    <w:rsid w:val="008F36DF"/>
    <w:rsid w:val="008F36FD"/>
    <w:rsid w:val="008F3718"/>
    <w:rsid w:val="008F37AF"/>
    <w:rsid w:val="008F37EE"/>
    <w:rsid w:val="008F37F6"/>
    <w:rsid w:val="008F3894"/>
    <w:rsid w:val="008F389D"/>
    <w:rsid w:val="008F3946"/>
    <w:rsid w:val="008F3A00"/>
    <w:rsid w:val="008F3ACC"/>
    <w:rsid w:val="008F3AD7"/>
    <w:rsid w:val="008F3B1E"/>
    <w:rsid w:val="008F3B4F"/>
    <w:rsid w:val="008F3B61"/>
    <w:rsid w:val="008F3B81"/>
    <w:rsid w:val="008F3B84"/>
    <w:rsid w:val="008F3B8C"/>
    <w:rsid w:val="008F3BCC"/>
    <w:rsid w:val="008F3BED"/>
    <w:rsid w:val="008F3BF0"/>
    <w:rsid w:val="008F3CC4"/>
    <w:rsid w:val="008F3D05"/>
    <w:rsid w:val="008F3D08"/>
    <w:rsid w:val="008F3D3E"/>
    <w:rsid w:val="008F3D80"/>
    <w:rsid w:val="008F3DC3"/>
    <w:rsid w:val="008F3E93"/>
    <w:rsid w:val="008F3EAA"/>
    <w:rsid w:val="008F3F02"/>
    <w:rsid w:val="008F4069"/>
    <w:rsid w:val="008F4077"/>
    <w:rsid w:val="008F407F"/>
    <w:rsid w:val="008F408B"/>
    <w:rsid w:val="008F40DB"/>
    <w:rsid w:val="008F40E6"/>
    <w:rsid w:val="008F4135"/>
    <w:rsid w:val="008F426B"/>
    <w:rsid w:val="008F4287"/>
    <w:rsid w:val="008F42B2"/>
    <w:rsid w:val="008F42C2"/>
    <w:rsid w:val="008F42E5"/>
    <w:rsid w:val="008F4301"/>
    <w:rsid w:val="008F43CD"/>
    <w:rsid w:val="008F45B7"/>
    <w:rsid w:val="008F4608"/>
    <w:rsid w:val="008F4694"/>
    <w:rsid w:val="008F46EA"/>
    <w:rsid w:val="008F473E"/>
    <w:rsid w:val="008F4867"/>
    <w:rsid w:val="008F4877"/>
    <w:rsid w:val="008F48FA"/>
    <w:rsid w:val="008F4980"/>
    <w:rsid w:val="008F498E"/>
    <w:rsid w:val="008F49A4"/>
    <w:rsid w:val="008F49E4"/>
    <w:rsid w:val="008F4B54"/>
    <w:rsid w:val="008F4B5E"/>
    <w:rsid w:val="008F4BD8"/>
    <w:rsid w:val="008F4BE5"/>
    <w:rsid w:val="008F4C32"/>
    <w:rsid w:val="008F4C4A"/>
    <w:rsid w:val="008F4C4D"/>
    <w:rsid w:val="008F4C7C"/>
    <w:rsid w:val="008F4CBC"/>
    <w:rsid w:val="008F4D36"/>
    <w:rsid w:val="008F4D77"/>
    <w:rsid w:val="008F4DCB"/>
    <w:rsid w:val="008F4EBB"/>
    <w:rsid w:val="008F4EDA"/>
    <w:rsid w:val="008F4F04"/>
    <w:rsid w:val="008F4FCD"/>
    <w:rsid w:val="008F5037"/>
    <w:rsid w:val="008F5051"/>
    <w:rsid w:val="008F507F"/>
    <w:rsid w:val="008F5086"/>
    <w:rsid w:val="008F50E3"/>
    <w:rsid w:val="008F50E7"/>
    <w:rsid w:val="008F5119"/>
    <w:rsid w:val="008F5170"/>
    <w:rsid w:val="008F518D"/>
    <w:rsid w:val="008F51E3"/>
    <w:rsid w:val="008F51EF"/>
    <w:rsid w:val="008F5233"/>
    <w:rsid w:val="008F52F3"/>
    <w:rsid w:val="008F5489"/>
    <w:rsid w:val="008F54AF"/>
    <w:rsid w:val="008F54F5"/>
    <w:rsid w:val="008F552D"/>
    <w:rsid w:val="008F56E1"/>
    <w:rsid w:val="008F5740"/>
    <w:rsid w:val="008F57FE"/>
    <w:rsid w:val="008F5847"/>
    <w:rsid w:val="008F58C2"/>
    <w:rsid w:val="008F58EA"/>
    <w:rsid w:val="008F5917"/>
    <w:rsid w:val="008F5929"/>
    <w:rsid w:val="008F59E5"/>
    <w:rsid w:val="008F5AC5"/>
    <w:rsid w:val="008F5AE4"/>
    <w:rsid w:val="008F5AE7"/>
    <w:rsid w:val="008F5B08"/>
    <w:rsid w:val="008F5B1E"/>
    <w:rsid w:val="008F5B70"/>
    <w:rsid w:val="008F5B7C"/>
    <w:rsid w:val="008F5C12"/>
    <w:rsid w:val="008F5C82"/>
    <w:rsid w:val="008F5CAB"/>
    <w:rsid w:val="008F5CC7"/>
    <w:rsid w:val="008F5CCF"/>
    <w:rsid w:val="008F5CE3"/>
    <w:rsid w:val="008F5D0A"/>
    <w:rsid w:val="008F5D42"/>
    <w:rsid w:val="008F5E15"/>
    <w:rsid w:val="008F5E32"/>
    <w:rsid w:val="008F5E3B"/>
    <w:rsid w:val="008F5E92"/>
    <w:rsid w:val="008F5EC2"/>
    <w:rsid w:val="008F5EC7"/>
    <w:rsid w:val="008F5F10"/>
    <w:rsid w:val="008F5F84"/>
    <w:rsid w:val="008F6011"/>
    <w:rsid w:val="008F6058"/>
    <w:rsid w:val="008F6071"/>
    <w:rsid w:val="008F612D"/>
    <w:rsid w:val="008F620E"/>
    <w:rsid w:val="008F6217"/>
    <w:rsid w:val="008F6315"/>
    <w:rsid w:val="008F6377"/>
    <w:rsid w:val="008F638D"/>
    <w:rsid w:val="008F6424"/>
    <w:rsid w:val="008F6472"/>
    <w:rsid w:val="008F652B"/>
    <w:rsid w:val="008F65E2"/>
    <w:rsid w:val="008F65E4"/>
    <w:rsid w:val="008F662A"/>
    <w:rsid w:val="008F6637"/>
    <w:rsid w:val="008F6654"/>
    <w:rsid w:val="008F6673"/>
    <w:rsid w:val="008F6675"/>
    <w:rsid w:val="008F669A"/>
    <w:rsid w:val="008F66F5"/>
    <w:rsid w:val="008F6720"/>
    <w:rsid w:val="008F673F"/>
    <w:rsid w:val="008F675E"/>
    <w:rsid w:val="008F6760"/>
    <w:rsid w:val="008F67A0"/>
    <w:rsid w:val="008F6857"/>
    <w:rsid w:val="008F686E"/>
    <w:rsid w:val="008F6988"/>
    <w:rsid w:val="008F69B0"/>
    <w:rsid w:val="008F69E8"/>
    <w:rsid w:val="008F6A10"/>
    <w:rsid w:val="008F6A4C"/>
    <w:rsid w:val="008F6A56"/>
    <w:rsid w:val="008F6A5B"/>
    <w:rsid w:val="008F6AAF"/>
    <w:rsid w:val="008F6ACB"/>
    <w:rsid w:val="008F6BD2"/>
    <w:rsid w:val="008F6C70"/>
    <w:rsid w:val="008F6C78"/>
    <w:rsid w:val="008F6CAC"/>
    <w:rsid w:val="008F6D2F"/>
    <w:rsid w:val="008F6D4A"/>
    <w:rsid w:val="008F6D9C"/>
    <w:rsid w:val="008F6DCC"/>
    <w:rsid w:val="008F6E31"/>
    <w:rsid w:val="008F6E49"/>
    <w:rsid w:val="008F6E5E"/>
    <w:rsid w:val="008F6E78"/>
    <w:rsid w:val="008F6F2F"/>
    <w:rsid w:val="008F6F40"/>
    <w:rsid w:val="008F7016"/>
    <w:rsid w:val="008F702C"/>
    <w:rsid w:val="008F7063"/>
    <w:rsid w:val="008F70E1"/>
    <w:rsid w:val="008F714D"/>
    <w:rsid w:val="008F7222"/>
    <w:rsid w:val="008F7284"/>
    <w:rsid w:val="008F7293"/>
    <w:rsid w:val="008F72AF"/>
    <w:rsid w:val="008F72C3"/>
    <w:rsid w:val="008F72F3"/>
    <w:rsid w:val="008F7369"/>
    <w:rsid w:val="008F73FA"/>
    <w:rsid w:val="008F7477"/>
    <w:rsid w:val="008F74A0"/>
    <w:rsid w:val="008F751E"/>
    <w:rsid w:val="008F7530"/>
    <w:rsid w:val="008F7545"/>
    <w:rsid w:val="008F757A"/>
    <w:rsid w:val="008F75A3"/>
    <w:rsid w:val="008F762F"/>
    <w:rsid w:val="008F7693"/>
    <w:rsid w:val="008F76B1"/>
    <w:rsid w:val="008F76B3"/>
    <w:rsid w:val="008F77A1"/>
    <w:rsid w:val="008F77BA"/>
    <w:rsid w:val="008F7800"/>
    <w:rsid w:val="008F7806"/>
    <w:rsid w:val="008F7873"/>
    <w:rsid w:val="008F788F"/>
    <w:rsid w:val="008F7917"/>
    <w:rsid w:val="008F795C"/>
    <w:rsid w:val="008F7975"/>
    <w:rsid w:val="008F7991"/>
    <w:rsid w:val="008F79B5"/>
    <w:rsid w:val="008F79CF"/>
    <w:rsid w:val="008F7A0D"/>
    <w:rsid w:val="008F7A1A"/>
    <w:rsid w:val="008F7A26"/>
    <w:rsid w:val="008F7A27"/>
    <w:rsid w:val="008F7A55"/>
    <w:rsid w:val="008F7AA4"/>
    <w:rsid w:val="008F7AED"/>
    <w:rsid w:val="008F7AEF"/>
    <w:rsid w:val="008F7B25"/>
    <w:rsid w:val="008F7B98"/>
    <w:rsid w:val="008F7BE3"/>
    <w:rsid w:val="008F7CEB"/>
    <w:rsid w:val="008F7D09"/>
    <w:rsid w:val="008F7D82"/>
    <w:rsid w:val="008F7E1B"/>
    <w:rsid w:val="008F7E74"/>
    <w:rsid w:val="008F7E75"/>
    <w:rsid w:val="008F7E86"/>
    <w:rsid w:val="008F7E87"/>
    <w:rsid w:val="008F7EC5"/>
    <w:rsid w:val="008F7EF0"/>
    <w:rsid w:val="008F7F12"/>
    <w:rsid w:val="008F7FD9"/>
    <w:rsid w:val="00900065"/>
    <w:rsid w:val="00900147"/>
    <w:rsid w:val="009001EC"/>
    <w:rsid w:val="0090021A"/>
    <w:rsid w:val="00900262"/>
    <w:rsid w:val="009002B2"/>
    <w:rsid w:val="009002DB"/>
    <w:rsid w:val="00900316"/>
    <w:rsid w:val="00900365"/>
    <w:rsid w:val="00900403"/>
    <w:rsid w:val="00900439"/>
    <w:rsid w:val="00900474"/>
    <w:rsid w:val="009004F7"/>
    <w:rsid w:val="00900508"/>
    <w:rsid w:val="0090052C"/>
    <w:rsid w:val="009005A6"/>
    <w:rsid w:val="009005FD"/>
    <w:rsid w:val="0090060D"/>
    <w:rsid w:val="00900644"/>
    <w:rsid w:val="0090066A"/>
    <w:rsid w:val="0090069E"/>
    <w:rsid w:val="009006C0"/>
    <w:rsid w:val="009006C3"/>
    <w:rsid w:val="00900764"/>
    <w:rsid w:val="00900788"/>
    <w:rsid w:val="009008B3"/>
    <w:rsid w:val="009009AC"/>
    <w:rsid w:val="00900A67"/>
    <w:rsid w:val="00900AE6"/>
    <w:rsid w:val="00900B3A"/>
    <w:rsid w:val="00900B3C"/>
    <w:rsid w:val="00900BBB"/>
    <w:rsid w:val="00900BC3"/>
    <w:rsid w:val="00900C0F"/>
    <w:rsid w:val="00900C8B"/>
    <w:rsid w:val="00900D3D"/>
    <w:rsid w:val="00900D91"/>
    <w:rsid w:val="00900D95"/>
    <w:rsid w:val="00900DBC"/>
    <w:rsid w:val="00900F54"/>
    <w:rsid w:val="00900FA3"/>
    <w:rsid w:val="00900FE0"/>
    <w:rsid w:val="00900FFC"/>
    <w:rsid w:val="00901006"/>
    <w:rsid w:val="0090101F"/>
    <w:rsid w:val="0090103F"/>
    <w:rsid w:val="00901078"/>
    <w:rsid w:val="00901099"/>
    <w:rsid w:val="009010AD"/>
    <w:rsid w:val="00901156"/>
    <w:rsid w:val="00901207"/>
    <w:rsid w:val="00901227"/>
    <w:rsid w:val="0090124F"/>
    <w:rsid w:val="009013EA"/>
    <w:rsid w:val="00901419"/>
    <w:rsid w:val="00901523"/>
    <w:rsid w:val="00901537"/>
    <w:rsid w:val="00901546"/>
    <w:rsid w:val="009015F5"/>
    <w:rsid w:val="00901600"/>
    <w:rsid w:val="00901620"/>
    <w:rsid w:val="00901631"/>
    <w:rsid w:val="0090168C"/>
    <w:rsid w:val="009016AF"/>
    <w:rsid w:val="0090171A"/>
    <w:rsid w:val="00901750"/>
    <w:rsid w:val="0090182F"/>
    <w:rsid w:val="00901839"/>
    <w:rsid w:val="00901877"/>
    <w:rsid w:val="00901908"/>
    <w:rsid w:val="00901943"/>
    <w:rsid w:val="00901952"/>
    <w:rsid w:val="0090195E"/>
    <w:rsid w:val="009019E8"/>
    <w:rsid w:val="00901A0D"/>
    <w:rsid w:val="00901B23"/>
    <w:rsid w:val="00901B51"/>
    <w:rsid w:val="00901B66"/>
    <w:rsid w:val="00901B99"/>
    <w:rsid w:val="00901BAD"/>
    <w:rsid w:val="00901C31"/>
    <w:rsid w:val="00901C4A"/>
    <w:rsid w:val="00901CAF"/>
    <w:rsid w:val="00901D17"/>
    <w:rsid w:val="00901D31"/>
    <w:rsid w:val="00901DB2"/>
    <w:rsid w:val="00901E16"/>
    <w:rsid w:val="00901E1C"/>
    <w:rsid w:val="00901EF1"/>
    <w:rsid w:val="00901FA6"/>
    <w:rsid w:val="009020B0"/>
    <w:rsid w:val="0090211C"/>
    <w:rsid w:val="00902132"/>
    <w:rsid w:val="00902192"/>
    <w:rsid w:val="009021AC"/>
    <w:rsid w:val="009021C4"/>
    <w:rsid w:val="009021EC"/>
    <w:rsid w:val="0090223B"/>
    <w:rsid w:val="0090223F"/>
    <w:rsid w:val="00902336"/>
    <w:rsid w:val="00902386"/>
    <w:rsid w:val="009023BA"/>
    <w:rsid w:val="00902409"/>
    <w:rsid w:val="00902425"/>
    <w:rsid w:val="0090242C"/>
    <w:rsid w:val="00902479"/>
    <w:rsid w:val="0090248D"/>
    <w:rsid w:val="009024C7"/>
    <w:rsid w:val="0090254D"/>
    <w:rsid w:val="009025E6"/>
    <w:rsid w:val="0090262D"/>
    <w:rsid w:val="00902692"/>
    <w:rsid w:val="009026F2"/>
    <w:rsid w:val="00902799"/>
    <w:rsid w:val="009027C7"/>
    <w:rsid w:val="009027CE"/>
    <w:rsid w:val="009027E0"/>
    <w:rsid w:val="0090280D"/>
    <w:rsid w:val="00902815"/>
    <w:rsid w:val="00902816"/>
    <w:rsid w:val="0090282D"/>
    <w:rsid w:val="00902849"/>
    <w:rsid w:val="00902885"/>
    <w:rsid w:val="00902889"/>
    <w:rsid w:val="009028B3"/>
    <w:rsid w:val="009028C8"/>
    <w:rsid w:val="00902926"/>
    <w:rsid w:val="0090296A"/>
    <w:rsid w:val="0090296E"/>
    <w:rsid w:val="009029C5"/>
    <w:rsid w:val="009029EF"/>
    <w:rsid w:val="009029FD"/>
    <w:rsid w:val="00902A95"/>
    <w:rsid w:val="00902B28"/>
    <w:rsid w:val="00902BA5"/>
    <w:rsid w:val="00902BC8"/>
    <w:rsid w:val="00902BFF"/>
    <w:rsid w:val="00902C9F"/>
    <w:rsid w:val="00902CC8"/>
    <w:rsid w:val="00902DC6"/>
    <w:rsid w:val="00902E5F"/>
    <w:rsid w:val="00902EAA"/>
    <w:rsid w:val="00902F16"/>
    <w:rsid w:val="00902F45"/>
    <w:rsid w:val="00902F5F"/>
    <w:rsid w:val="00902F6F"/>
    <w:rsid w:val="00902FEC"/>
    <w:rsid w:val="00902FF6"/>
    <w:rsid w:val="00903030"/>
    <w:rsid w:val="0090305D"/>
    <w:rsid w:val="00903061"/>
    <w:rsid w:val="00903091"/>
    <w:rsid w:val="00903143"/>
    <w:rsid w:val="0090315F"/>
    <w:rsid w:val="0090320C"/>
    <w:rsid w:val="00903213"/>
    <w:rsid w:val="009032AA"/>
    <w:rsid w:val="009032CA"/>
    <w:rsid w:val="009032DD"/>
    <w:rsid w:val="0090334C"/>
    <w:rsid w:val="009033BB"/>
    <w:rsid w:val="009033C1"/>
    <w:rsid w:val="009033EF"/>
    <w:rsid w:val="009033FF"/>
    <w:rsid w:val="00903407"/>
    <w:rsid w:val="0090345F"/>
    <w:rsid w:val="0090348A"/>
    <w:rsid w:val="009034AD"/>
    <w:rsid w:val="00903513"/>
    <w:rsid w:val="00903541"/>
    <w:rsid w:val="00903595"/>
    <w:rsid w:val="00903644"/>
    <w:rsid w:val="00903649"/>
    <w:rsid w:val="0090364B"/>
    <w:rsid w:val="009036A1"/>
    <w:rsid w:val="00903747"/>
    <w:rsid w:val="00903795"/>
    <w:rsid w:val="009037A8"/>
    <w:rsid w:val="0090383A"/>
    <w:rsid w:val="009038C2"/>
    <w:rsid w:val="009039D9"/>
    <w:rsid w:val="009039F6"/>
    <w:rsid w:val="00903A63"/>
    <w:rsid w:val="00903AAF"/>
    <w:rsid w:val="00903B10"/>
    <w:rsid w:val="00903B36"/>
    <w:rsid w:val="00903B75"/>
    <w:rsid w:val="00903B9E"/>
    <w:rsid w:val="00903BA9"/>
    <w:rsid w:val="00903BBD"/>
    <w:rsid w:val="00903BF0"/>
    <w:rsid w:val="00903C51"/>
    <w:rsid w:val="00903C8D"/>
    <w:rsid w:val="00903CB0"/>
    <w:rsid w:val="00903CC2"/>
    <w:rsid w:val="00903D46"/>
    <w:rsid w:val="00903E2E"/>
    <w:rsid w:val="00903E5D"/>
    <w:rsid w:val="00903E62"/>
    <w:rsid w:val="00903ECA"/>
    <w:rsid w:val="00903EFD"/>
    <w:rsid w:val="00903F9E"/>
    <w:rsid w:val="00903FBA"/>
    <w:rsid w:val="00904006"/>
    <w:rsid w:val="009040BB"/>
    <w:rsid w:val="009040EF"/>
    <w:rsid w:val="009040FF"/>
    <w:rsid w:val="00904149"/>
    <w:rsid w:val="00904153"/>
    <w:rsid w:val="009041F9"/>
    <w:rsid w:val="0090420A"/>
    <w:rsid w:val="009042D3"/>
    <w:rsid w:val="009042E1"/>
    <w:rsid w:val="0090433A"/>
    <w:rsid w:val="00904343"/>
    <w:rsid w:val="00904376"/>
    <w:rsid w:val="0090441B"/>
    <w:rsid w:val="009044A7"/>
    <w:rsid w:val="009044C3"/>
    <w:rsid w:val="009045A8"/>
    <w:rsid w:val="00904606"/>
    <w:rsid w:val="00904689"/>
    <w:rsid w:val="009046A7"/>
    <w:rsid w:val="009046B7"/>
    <w:rsid w:val="00904704"/>
    <w:rsid w:val="0090470D"/>
    <w:rsid w:val="00904774"/>
    <w:rsid w:val="0090480D"/>
    <w:rsid w:val="0090481C"/>
    <w:rsid w:val="00904820"/>
    <w:rsid w:val="00904843"/>
    <w:rsid w:val="00904897"/>
    <w:rsid w:val="009048AA"/>
    <w:rsid w:val="00904912"/>
    <w:rsid w:val="00904AA1"/>
    <w:rsid w:val="00904ABF"/>
    <w:rsid w:val="00904ADA"/>
    <w:rsid w:val="00904B32"/>
    <w:rsid w:val="00904B35"/>
    <w:rsid w:val="00904B56"/>
    <w:rsid w:val="00904B5B"/>
    <w:rsid w:val="00904BF8"/>
    <w:rsid w:val="00904C1D"/>
    <w:rsid w:val="00904C81"/>
    <w:rsid w:val="00904CD8"/>
    <w:rsid w:val="00904D1B"/>
    <w:rsid w:val="00904D2A"/>
    <w:rsid w:val="00904D8F"/>
    <w:rsid w:val="00904E73"/>
    <w:rsid w:val="00904E91"/>
    <w:rsid w:val="00904EB3"/>
    <w:rsid w:val="00904F06"/>
    <w:rsid w:val="00904F50"/>
    <w:rsid w:val="0090505E"/>
    <w:rsid w:val="00905083"/>
    <w:rsid w:val="009050A8"/>
    <w:rsid w:val="009050B5"/>
    <w:rsid w:val="009051A5"/>
    <w:rsid w:val="009051BF"/>
    <w:rsid w:val="0090520F"/>
    <w:rsid w:val="0090523C"/>
    <w:rsid w:val="00905260"/>
    <w:rsid w:val="009052A9"/>
    <w:rsid w:val="009052C3"/>
    <w:rsid w:val="009053F2"/>
    <w:rsid w:val="00905437"/>
    <w:rsid w:val="009054DE"/>
    <w:rsid w:val="0090552A"/>
    <w:rsid w:val="009055B1"/>
    <w:rsid w:val="009056EC"/>
    <w:rsid w:val="00905745"/>
    <w:rsid w:val="009058BA"/>
    <w:rsid w:val="00905914"/>
    <w:rsid w:val="009059BA"/>
    <w:rsid w:val="009059DD"/>
    <w:rsid w:val="00905BCD"/>
    <w:rsid w:val="00905D4C"/>
    <w:rsid w:val="00905D75"/>
    <w:rsid w:val="00905D86"/>
    <w:rsid w:val="00905DCA"/>
    <w:rsid w:val="00905DF9"/>
    <w:rsid w:val="00905F0B"/>
    <w:rsid w:val="00905F23"/>
    <w:rsid w:val="00905F54"/>
    <w:rsid w:val="00905FB3"/>
    <w:rsid w:val="0090600E"/>
    <w:rsid w:val="0090602C"/>
    <w:rsid w:val="00906060"/>
    <w:rsid w:val="00906063"/>
    <w:rsid w:val="00906095"/>
    <w:rsid w:val="009060C6"/>
    <w:rsid w:val="009060DD"/>
    <w:rsid w:val="0090616D"/>
    <w:rsid w:val="009061A1"/>
    <w:rsid w:val="009061FD"/>
    <w:rsid w:val="0090621A"/>
    <w:rsid w:val="00906283"/>
    <w:rsid w:val="009062EE"/>
    <w:rsid w:val="00906462"/>
    <w:rsid w:val="009064E0"/>
    <w:rsid w:val="00906563"/>
    <w:rsid w:val="00906577"/>
    <w:rsid w:val="00906606"/>
    <w:rsid w:val="00906613"/>
    <w:rsid w:val="009066D7"/>
    <w:rsid w:val="0090681D"/>
    <w:rsid w:val="009068A5"/>
    <w:rsid w:val="00906928"/>
    <w:rsid w:val="00906929"/>
    <w:rsid w:val="0090699A"/>
    <w:rsid w:val="009069AD"/>
    <w:rsid w:val="009069E6"/>
    <w:rsid w:val="009069F6"/>
    <w:rsid w:val="00906A00"/>
    <w:rsid w:val="00906A1B"/>
    <w:rsid w:val="00906A28"/>
    <w:rsid w:val="00906A94"/>
    <w:rsid w:val="00906ACB"/>
    <w:rsid w:val="00906AFC"/>
    <w:rsid w:val="00906AFD"/>
    <w:rsid w:val="00906B0A"/>
    <w:rsid w:val="00906B20"/>
    <w:rsid w:val="00906B34"/>
    <w:rsid w:val="00906B3B"/>
    <w:rsid w:val="00906B93"/>
    <w:rsid w:val="00906BAB"/>
    <w:rsid w:val="00906C30"/>
    <w:rsid w:val="00906CBE"/>
    <w:rsid w:val="00906CD2"/>
    <w:rsid w:val="00906CF9"/>
    <w:rsid w:val="00906DF1"/>
    <w:rsid w:val="00906E0F"/>
    <w:rsid w:val="00906F0F"/>
    <w:rsid w:val="00906F1D"/>
    <w:rsid w:val="00906F5B"/>
    <w:rsid w:val="00906FBD"/>
    <w:rsid w:val="00906FCA"/>
    <w:rsid w:val="009070BF"/>
    <w:rsid w:val="00907109"/>
    <w:rsid w:val="0090718E"/>
    <w:rsid w:val="0090719D"/>
    <w:rsid w:val="009071BD"/>
    <w:rsid w:val="00907262"/>
    <w:rsid w:val="00907294"/>
    <w:rsid w:val="009072F3"/>
    <w:rsid w:val="00907360"/>
    <w:rsid w:val="00907371"/>
    <w:rsid w:val="009073A1"/>
    <w:rsid w:val="00907410"/>
    <w:rsid w:val="00907428"/>
    <w:rsid w:val="009074DC"/>
    <w:rsid w:val="00907523"/>
    <w:rsid w:val="00907678"/>
    <w:rsid w:val="00907685"/>
    <w:rsid w:val="00907786"/>
    <w:rsid w:val="00907832"/>
    <w:rsid w:val="0090783D"/>
    <w:rsid w:val="0090787A"/>
    <w:rsid w:val="009078EF"/>
    <w:rsid w:val="0090792F"/>
    <w:rsid w:val="00907953"/>
    <w:rsid w:val="009079D7"/>
    <w:rsid w:val="00907A0F"/>
    <w:rsid w:val="00907A6D"/>
    <w:rsid w:val="00907A7C"/>
    <w:rsid w:val="00907B10"/>
    <w:rsid w:val="00907B23"/>
    <w:rsid w:val="00907B7A"/>
    <w:rsid w:val="00907BDB"/>
    <w:rsid w:val="00907C96"/>
    <w:rsid w:val="00907C99"/>
    <w:rsid w:val="00907CEF"/>
    <w:rsid w:val="00907D08"/>
    <w:rsid w:val="00907D61"/>
    <w:rsid w:val="00907DAA"/>
    <w:rsid w:val="00907E11"/>
    <w:rsid w:val="00907E5A"/>
    <w:rsid w:val="00907E91"/>
    <w:rsid w:val="00907EC1"/>
    <w:rsid w:val="00907F07"/>
    <w:rsid w:val="00907F45"/>
    <w:rsid w:val="00907F4A"/>
    <w:rsid w:val="00907F8C"/>
    <w:rsid w:val="00907FDB"/>
    <w:rsid w:val="0091000D"/>
    <w:rsid w:val="00910210"/>
    <w:rsid w:val="00910233"/>
    <w:rsid w:val="0091023F"/>
    <w:rsid w:val="009102A8"/>
    <w:rsid w:val="00910443"/>
    <w:rsid w:val="00910505"/>
    <w:rsid w:val="00910557"/>
    <w:rsid w:val="00910685"/>
    <w:rsid w:val="00910757"/>
    <w:rsid w:val="009108F9"/>
    <w:rsid w:val="009109B9"/>
    <w:rsid w:val="009109BE"/>
    <w:rsid w:val="00910A43"/>
    <w:rsid w:val="00910A50"/>
    <w:rsid w:val="00910AA8"/>
    <w:rsid w:val="00910AF7"/>
    <w:rsid w:val="00910B25"/>
    <w:rsid w:val="00910B52"/>
    <w:rsid w:val="00910B97"/>
    <w:rsid w:val="00910CA6"/>
    <w:rsid w:val="00910CD2"/>
    <w:rsid w:val="00910CFD"/>
    <w:rsid w:val="00910DC8"/>
    <w:rsid w:val="00910DE5"/>
    <w:rsid w:val="00910E4F"/>
    <w:rsid w:val="00910EC7"/>
    <w:rsid w:val="00910F0A"/>
    <w:rsid w:val="00910F34"/>
    <w:rsid w:val="00910F47"/>
    <w:rsid w:val="00910F65"/>
    <w:rsid w:val="00910F94"/>
    <w:rsid w:val="00910FD6"/>
    <w:rsid w:val="0091101F"/>
    <w:rsid w:val="00911034"/>
    <w:rsid w:val="0091107A"/>
    <w:rsid w:val="009110A6"/>
    <w:rsid w:val="009110B3"/>
    <w:rsid w:val="009110BC"/>
    <w:rsid w:val="0091110B"/>
    <w:rsid w:val="009111A9"/>
    <w:rsid w:val="00911237"/>
    <w:rsid w:val="00911248"/>
    <w:rsid w:val="00911275"/>
    <w:rsid w:val="0091129B"/>
    <w:rsid w:val="0091129D"/>
    <w:rsid w:val="00911302"/>
    <w:rsid w:val="00911318"/>
    <w:rsid w:val="00911344"/>
    <w:rsid w:val="00911367"/>
    <w:rsid w:val="00911473"/>
    <w:rsid w:val="00911512"/>
    <w:rsid w:val="00911567"/>
    <w:rsid w:val="00911575"/>
    <w:rsid w:val="009116D1"/>
    <w:rsid w:val="00911705"/>
    <w:rsid w:val="00911724"/>
    <w:rsid w:val="00911739"/>
    <w:rsid w:val="00911744"/>
    <w:rsid w:val="00911747"/>
    <w:rsid w:val="00911749"/>
    <w:rsid w:val="009117BF"/>
    <w:rsid w:val="009117C7"/>
    <w:rsid w:val="0091188B"/>
    <w:rsid w:val="00911908"/>
    <w:rsid w:val="00911915"/>
    <w:rsid w:val="00911949"/>
    <w:rsid w:val="009119E2"/>
    <w:rsid w:val="00911A21"/>
    <w:rsid w:val="00911A80"/>
    <w:rsid w:val="00911ABE"/>
    <w:rsid w:val="00911B28"/>
    <w:rsid w:val="00911B40"/>
    <w:rsid w:val="00911B45"/>
    <w:rsid w:val="00911BB9"/>
    <w:rsid w:val="00911CCC"/>
    <w:rsid w:val="00911DA8"/>
    <w:rsid w:val="00911EA8"/>
    <w:rsid w:val="00911EF3"/>
    <w:rsid w:val="00911F5D"/>
    <w:rsid w:val="00911F9E"/>
    <w:rsid w:val="00911FAD"/>
    <w:rsid w:val="00911FB0"/>
    <w:rsid w:val="00911FC3"/>
    <w:rsid w:val="00911FDA"/>
    <w:rsid w:val="00911FEB"/>
    <w:rsid w:val="00911FFC"/>
    <w:rsid w:val="00912019"/>
    <w:rsid w:val="00912074"/>
    <w:rsid w:val="0091208A"/>
    <w:rsid w:val="009120DF"/>
    <w:rsid w:val="00912100"/>
    <w:rsid w:val="00912101"/>
    <w:rsid w:val="00912113"/>
    <w:rsid w:val="0091215F"/>
    <w:rsid w:val="009121C0"/>
    <w:rsid w:val="009121C4"/>
    <w:rsid w:val="0091220E"/>
    <w:rsid w:val="0091223F"/>
    <w:rsid w:val="009122B2"/>
    <w:rsid w:val="00912328"/>
    <w:rsid w:val="0091232A"/>
    <w:rsid w:val="00912342"/>
    <w:rsid w:val="009123E9"/>
    <w:rsid w:val="009124CE"/>
    <w:rsid w:val="00912586"/>
    <w:rsid w:val="00912591"/>
    <w:rsid w:val="009125B2"/>
    <w:rsid w:val="009125EC"/>
    <w:rsid w:val="00912648"/>
    <w:rsid w:val="00912682"/>
    <w:rsid w:val="009126B6"/>
    <w:rsid w:val="00912724"/>
    <w:rsid w:val="009127EF"/>
    <w:rsid w:val="00912811"/>
    <w:rsid w:val="009128C3"/>
    <w:rsid w:val="0091293E"/>
    <w:rsid w:val="0091298B"/>
    <w:rsid w:val="00912A57"/>
    <w:rsid w:val="00912A69"/>
    <w:rsid w:val="00912C04"/>
    <w:rsid w:val="00912C68"/>
    <w:rsid w:val="00912CAD"/>
    <w:rsid w:val="00912CC1"/>
    <w:rsid w:val="00912CD3"/>
    <w:rsid w:val="00912CDB"/>
    <w:rsid w:val="00912CEB"/>
    <w:rsid w:val="00912D15"/>
    <w:rsid w:val="00912D34"/>
    <w:rsid w:val="00912D38"/>
    <w:rsid w:val="00912D44"/>
    <w:rsid w:val="00912D91"/>
    <w:rsid w:val="00912E49"/>
    <w:rsid w:val="00912E4F"/>
    <w:rsid w:val="00912E61"/>
    <w:rsid w:val="00912F30"/>
    <w:rsid w:val="00912F52"/>
    <w:rsid w:val="00912FB6"/>
    <w:rsid w:val="00912FC0"/>
    <w:rsid w:val="00912FE4"/>
    <w:rsid w:val="00913036"/>
    <w:rsid w:val="009130AD"/>
    <w:rsid w:val="009130B2"/>
    <w:rsid w:val="00913185"/>
    <w:rsid w:val="009131A3"/>
    <w:rsid w:val="009131BC"/>
    <w:rsid w:val="009131E1"/>
    <w:rsid w:val="009131EC"/>
    <w:rsid w:val="00913218"/>
    <w:rsid w:val="00913226"/>
    <w:rsid w:val="0091327D"/>
    <w:rsid w:val="00913295"/>
    <w:rsid w:val="0091329B"/>
    <w:rsid w:val="009132EF"/>
    <w:rsid w:val="00913304"/>
    <w:rsid w:val="0091331A"/>
    <w:rsid w:val="009133BD"/>
    <w:rsid w:val="009133C7"/>
    <w:rsid w:val="00913407"/>
    <w:rsid w:val="00913453"/>
    <w:rsid w:val="00913461"/>
    <w:rsid w:val="009134E0"/>
    <w:rsid w:val="009134FC"/>
    <w:rsid w:val="00913550"/>
    <w:rsid w:val="009135CE"/>
    <w:rsid w:val="0091361F"/>
    <w:rsid w:val="00913663"/>
    <w:rsid w:val="009136CF"/>
    <w:rsid w:val="009136FF"/>
    <w:rsid w:val="00913726"/>
    <w:rsid w:val="009137EB"/>
    <w:rsid w:val="009137EF"/>
    <w:rsid w:val="00913881"/>
    <w:rsid w:val="009138B0"/>
    <w:rsid w:val="00913904"/>
    <w:rsid w:val="00913931"/>
    <w:rsid w:val="00913979"/>
    <w:rsid w:val="009139DF"/>
    <w:rsid w:val="00913A84"/>
    <w:rsid w:val="00913B8D"/>
    <w:rsid w:val="00913BAD"/>
    <w:rsid w:val="00913CDB"/>
    <w:rsid w:val="00913CEF"/>
    <w:rsid w:val="00913D6A"/>
    <w:rsid w:val="00913DD6"/>
    <w:rsid w:val="00913E68"/>
    <w:rsid w:val="00913EA1"/>
    <w:rsid w:val="00913F1D"/>
    <w:rsid w:val="00913F24"/>
    <w:rsid w:val="00913F47"/>
    <w:rsid w:val="00913F6B"/>
    <w:rsid w:val="00913FA0"/>
    <w:rsid w:val="00913FA3"/>
    <w:rsid w:val="00913FDF"/>
    <w:rsid w:val="009140F1"/>
    <w:rsid w:val="00914108"/>
    <w:rsid w:val="00914133"/>
    <w:rsid w:val="009141A8"/>
    <w:rsid w:val="00914202"/>
    <w:rsid w:val="00914245"/>
    <w:rsid w:val="0091427D"/>
    <w:rsid w:val="009142B6"/>
    <w:rsid w:val="009142B8"/>
    <w:rsid w:val="009142D2"/>
    <w:rsid w:val="00914321"/>
    <w:rsid w:val="009143BC"/>
    <w:rsid w:val="009143C8"/>
    <w:rsid w:val="009143CB"/>
    <w:rsid w:val="009143EB"/>
    <w:rsid w:val="009144AA"/>
    <w:rsid w:val="009144B1"/>
    <w:rsid w:val="009144F3"/>
    <w:rsid w:val="00914525"/>
    <w:rsid w:val="0091453F"/>
    <w:rsid w:val="0091459C"/>
    <w:rsid w:val="009145EB"/>
    <w:rsid w:val="00914620"/>
    <w:rsid w:val="0091469F"/>
    <w:rsid w:val="00914721"/>
    <w:rsid w:val="00914736"/>
    <w:rsid w:val="00914739"/>
    <w:rsid w:val="0091477C"/>
    <w:rsid w:val="0091479B"/>
    <w:rsid w:val="00914833"/>
    <w:rsid w:val="00914911"/>
    <w:rsid w:val="00914958"/>
    <w:rsid w:val="00914996"/>
    <w:rsid w:val="009149C0"/>
    <w:rsid w:val="00914A12"/>
    <w:rsid w:val="00914A1C"/>
    <w:rsid w:val="00914A40"/>
    <w:rsid w:val="00914A75"/>
    <w:rsid w:val="00914A8E"/>
    <w:rsid w:val="00914A9D"/>
    <w:rsid w:val="00914B13"/>
    <w:rsid w:val="00914B35"/>
    <w:rsid w:val="00914B98"/>
    <w:rsid w:val="00914C1D"/>
    <w:rsid w:val="00914C96"/>
    <w:rsid w:val="00914C9E"/>
    <w:rsid w:val="00914CFA"/>
    <w:rsid w:val="00914D19"/>
    <w:rsid w:val="00914D29"/>
    <w:rsid w:val="00914D39"/>
    <w:rsid w:val="00914DA6"/>
    <w:rsid w:val="00914E3B"/>
    <w:rsid w:val="00914E90"/>
    <w:rsid w:val="00914EB9"/>
    <w:rsid w:val="00914EC0"/>
    <w:rsid w:val="00914F03"/>
    <w:rsid w:val="00914F75"/>
    <w:rsid w:val="00914FEF"/>
    <w:rsid w:val="0091509F"/>
    <w:rsid w:val="009150C6"/>
    <w:rsid w:val="0091516F"/>
    <w:rsid w:val="009151C9"/>
    <w:rsid w:val="009151F1"/>
    <w:rsid w:val="00915200"/>
    <w:rsid w:val="0091527B"/>
    <w:rsid w:val="009152EE"/>
    <w:rsid w:val="00915306"/>
    <w:rsid w:val="0091535F"/>
    <w:rsid w:val="00915369"/>
    <w:rsid w:val="00915382"/>
    <w:rsid w:val="009153D0"/>
    <w:rsid w:val="00915408"/>
    <w:rsid w:val="0091542F"/>
    <w:rsid w:val="0091547F"/>
    <w:rsid w:val="009154A6"/>
    <w:rsid w:val="009154D6"/>
    <w:rsid w:val="009154E9"/>
    <w:rsid w:val="00915536"/>
    <w:rsid w:val="0091553F"/>
    <w:rsid w:val="00915560"/>
    <w:rsid w:val="009155A0"/>
    <w:rsid w:val="009155C7"/>
    <w:rsid w:val="009156CA"/>
    <w:rsid w:val="009156CC"/>
    <w:rsid w:val="009156DA"/>
    <w:rsid w:val="00915756"/>
    <w:rsid w:val="009157AC"/>
    <w:rsid w:val="0091583E"/>
    <w:rsid w:val="00915848"/>
    <w:rsid w:val="00915849"/>
    <w:rsid w:val="009158BF"/>
    <w:rsid w:val="009158D2"/>
    <w:rsid w:val="00915922"/>
    <w:rsid w:val="00915934"/>
    <w:rsid w:val="00915961"/>
    <w:rsid w:val="0091599F"/>
    <w:rsid w:val="009159A0"/>
    <w:rsid w:val="009159C3"/>
    <w:rsid w:val="009159F1"/>
    <w:rsid w:val="00915A0E"/>
    <w:rsid w:val="00915A56"/>
    <w:rsid w:val="00915A81"/>
    <w:rsid w:val="00915A85"/>
    <w:rsid w:val="00915AE9"/>
    <w:rsid w:val="00915B60"/>
    <w:rsid w:val="00915C7D"/>
    <w:rsid w:val="00915C92"/>
    <w:rsid w:val="00915D53"/>
    <w:rsid w:val="00915E08"/>
    <w:rsid w:val="00915E45"/>
    <w:rsid w:val="00915F3D"/>
    <w:rsid w:val="0091600B"/>
    <w:rsid w:val="00916023"/>
    <w:rsid w:val="00916083"/>
    <w:rsid w:val="00916084"/>
    <w:rsid w:val="009160FE"/>
    <w:rsid w:val="0091612A"/>
    <w:rsid w:val="0091616E"/>
    <w:rsid w:val="0091622C"/>
    <w:rsid w:val="00916297"/>
    <w:rsid w:val="009162C5"/>
    <w:rsid w:val="0091634F"/>
    <w:rsid w:val="00916373"/>
    <w:rsid w:val="00916374"/>
    <w:rsid w:val="0091637B"/>
    <w:rsid w:val="009163B1"/>
    <w:rsid w:val="0091640C"/>
    <w:rsid w:val="0091642E"/>
    <w:rsid w:val="0091649E"/>
    <w:rsid w:val="0091652B"/>
    <w:rsid w:val="0091652D"/>
    <w:rsid w:val="0091656D"/>
    <w:rsid w:val="0091662C"/>
    <w:rsid w:val="009166D3"/>
    <w:rsid w:val="009166F6"/>
    <w:rsid w:val="009166FF"/>
    <w:rsid w:val="00916738"/>
    <w:rsid w:val="0091673A"/>
    <w:rsid w:val="009167F4"/>
    <w:rsid w:val="00916896"/>
    <w:rsid w:val="009168EF"/>
    <w:rsid w:val="009169EE"/>
    <w:rsid w:val="009169F7"/>
    <w:rsid w:val="00916A44"/>
    <w:rsid w:val="00916A69"/>
    <w:rsid w:val="00916A8C"/>
    <w:rsid w:val="00916A91"/>
    <w:rsid w:val="00916AF1"/>
    <w:rsid w:val="00916BB4"/>
    <w:rsid w:val="00916BBF"/>
    <w:rsid w:val="00916C24"/>
    <w:rsid w:val="00916C4C"/>
    <w:rsid w:val="00916CC5"/>
    <w:rsid w:val="00916D0F"/>
    <w:rsid w:val="00916E17"/>
    <w:rsid w:val="00916E57"/>
    <w:rsid w:val="00916E5D"/>
    <w:rsid w:val="00916F35"/>
    <w:rsid w:val="00916F41"/>
    <w:rsid w:val="00916F82"/>
    <w:rsid w:val="00916FCE"/>
    <w:rsid w:val="00916FF3"/>
    <w:rsid w:val="00917049"/>
    <w:rsid w:val="00917083"/>
    <w:rsid w:val="009170A9"/>
    <w:rsid w:val="00917125"/>
    <w:rsid w:val="00917196"/>
    <w:rsid w:val="009171BF"/>
    <w:rsid w:val="009171CA"/>
    <w:rsid w:val="009171EB"/>
    <w:rsid w:val="00917242"/>
    <w:rsid w:val="009172A9"/>
    <w:rsid w:val="00917319"/>
    <w:rsid w:val="00917323"/>
    <w:rsid w:val="00917364"/>
    <w:rsid w:val="00917394"/>
    <w:rsid w:val="009173F5"/>
    <w:rsid w:val="00917416"/>
    <w:rsid w:val="0091747D"/>
    <w:rsid w:val="0091749C"/>
    <w:rsid w:val="009174E3"/>
    <w:rsid w:val="00917524"/>
    <w:rsid w:val="00917539"/>
    <w:rsid w:val="0091755C"/>
    <w:rsid w:val="0091763F"/>
    <w:rsid w:val="00917648"/>
    <w:rsid w:val="0091765D"/>
    <w:rsid w:val="009176B8"/>
    <w:rsid w:val="00917701"/>
    <w:rsid w:val="009177A4"/>
    <w:rsid w:val="009177F2"/>
    <w:rsid w:val="009178A0"/>
    <w:rsid w:val="009178D9"/>
    <w:rsid w:val="009178E7"/>
    <w:rsid w:val="009178F0"/>
    <w:rsid w:val="00917907"/>
    <w:rsid w:val="0091792A"/>
    <w:rsid w:val="0091795E"/>
    <w:rsid w:val="0091799C"/>
    <w:rsid w:val="00917A23"/>
    <w:rsid w:val="00917A61"/>
    <w:rsid w:val="00917A78"/>
    <w:rsid w:val="00917B46"/>
    <w:rsid w:val="00917B7A"/>
    <w:rsid w:val="00917BF0"/>
    <w:rsid w:val="00917C2B"/>
    <w:rsid w:val="00917C67"/>
    <w:rsid w:val="00917C75"/>
    <w:rsid w:val="00917C9A"/>
    <w:rsid w:val="00917CAC"/>
    <w:rsid w:val="00917D01"/>
    <w:rsid w:val="00917D2F"/>
    <w:rsid w:val="00917D9C"/>
    <w:rsid w:val="00917E0F"/>
    <w:rsid w:val="00917E39"/>
    <w:rsid w:val="00917EA5"/>
    <w:rsid w:val="00917EB1"/>
    <w:rsid w:val="00917EB6"/>
    <w:rsid w:val="00917EDE"/>
    <w:rsid w:val="00917F01"/>
    <w:rsid w:val="00917F0E"/>
    <w:rsid w:val="00917F44"/>
    <w:rsid w:val="00917FB1"/>
    <w:rsid w:val="00917FC2"/>
    <w:rsid w:val="00920007"/>
    <w:rsid w:val="00920029"/>
    <w:rsid w:val="009200DC"/>
    <w:rsid w:val="00920154"/>
    <w:rsid w:val="0092016C"/>
    <w:rsid w:val="0092017B"/>
    <w:rsid w:val="00920199"/>
    <w:rsid w:val="00920224"/>
    <w:rsid w:val="00920228"/>
    <w:rsid w:val="0092022C"/>
    <w:rsid w:val="009203B9"/>
    <w:rsid w:val="009203DA"/>
    <w:rsid w:val="00920408"/>
    <w:rsid w:val="00920438"/>
    <w:rsid w:val="0092044F"/>
    <w:rsid w:val="00920455"/>
    <w:rsid w:val="00920482"/>
    <w:rsid w:val="00920536"/>
    <w:rsid w:val="00920537"/>
    <w:rsid w:val="00920544"/>
    <w:rsid w:val="009205A1"/>
    <w:rsid w:val="009205F4"/>
    <w:rsid w:val="00920611"/>
    <w:rsid w:val="0092061F"/>
    <w:rsid w:val="009207B8"/>
    <w:rsid w:val="009207C9"/>
    <w:rsid w:val="0092082D"/>
    <w:rsid w:val="0092083A"/>
    <w:rsid w:val="00920840"/>
    <w:rsid w:val="00920919"/>
    <w:rsid w:val="00920A23"/>
    <w:rsid w:val="00920AD3"/>
    <w:rsid w:val="00920B42"/>
    <w:rsid w:val="00920BA2"/>
    <w:rsid w:val="00920BDD"/>
    <w:rsid w:val="00920D02"/>
    <w:rsid w:val="00920D57"/>
    <w:rsid w:val="00920D76"/>
    <w:rsid w:val="00920D79"/>
    <w:rsid w:val="00920D9E"/>
    <w:rsid w:val="00920E26"/>
    <w:rsid w:val="00920E47"/>
    <w:rsid w:val="00920E7E"/>
    <w:rsid w:val="00920F83"/>
    <w:rsid w:val="00920FC0"/>
    <w:rsid w:val="00921039"/>
    <w:rsid w:val="00921041"/>
    <w:rsid w:val="00921150"/>
    <w:rsid w:val="00921177"/>
    <w:rsid w:val="00921179"/>
    <w:rsid w:val="0092118A"/>
    <w:rsid w:val="00921196"/>
    <w:rsid w:val="009211C3"/>
    <w:rsid w:val="0092128C"/>
    <w:rsid w:val="009212C8"/>
    <w:rsid w:val="009212D9"/>
    <w:rsid w:val="00921300"/>
    <w:rsid w:val="009213E7"/>
    <w:rsid w:val="00921547"/>
    <w:rsid w:val="00921567"/>
    <w:rsid w:val="00921579"/>
    <w:rsid w:val="0092159F"/>
    <w:rsid w:val="0092163E"/>
    <w:rsid w:val="00921659"/>
    <w:rsid w:val="00921663"/>
    <w:rsid w:val="009216A0"/>
    <w:rsid w:val="009216EB"/>
    <w:rsid w:val="00921750"/>
    <w:rsid w:val="00921807"/>
    <w:rsid w:val="0092182D"/>
    <w:rsid w:val="00921845"/>
    <w:rsid w:val="009218C0"/>
    <w:rsid w:val="009218DC"/>
    <w:rsid w:val="009218E4"/>
    <w:rsid w:val="00921958"/>
    <w:rsid w:val="00921AB5"/>
    <w:rsid w:val="00921B3C"/>
    <w:rsid w:val="00921C05"/>
    <w:rsid w:val="00921CBD"/>
    <w:rsid w:val="00921CBE"/>
    <w:rsid w:val="00921D34"/>
    <w:rsid w:val="00921D67"/>
    <w:rsid w:val="00921D7B"/>
    <w:rsid w:val="00921E09"/>
    <w:rsid w:val="00921E5C"/>
    <w:rsid w:val="00921E7C"/>
    <w:rsid w:val="00921E8E"/>
    <w:rsid w:val="00921ED2"/>
    <w:rsid w:val="00921EF8"/>
    <w:rsid w:val="00921F15"/>
    <w:rsid w:val="00921FB8"/>
    <w:rsid w:val="00921FC3"/>
    <w:rsid w:val="00922000"/>
    <w:rsid w:val="0092217E"/>
    <w:rsid w:val="009221E8"/>
    <w:rsid w:val="00922259"/>
    <w:rsid w:val="00922278"/>
    <w:rsid w:val="00922280"/>
    <w:rsid w:val="009222D0"/>
    <w:rsid w:val="00922346"/>
    <w:rsid w:val="009223ED"/>
    <w:rsid w:val="0092245F"/>
    <w:rsid w:val="0092250D"/>
    <w:rsid w:val="0092251A"/>
    <w:rsid w:val="00922547"/>
    <w:rsid w:val="00922550"/>
    <w:rsid w:val="0092256C"/>
    <w:rsid w:val="009225D9"/>
    <w:rsid w:val="00922624"/>
    <w:rsid w:val="00922648"/>
    <w:rsid w:val="00922677"/>
    <w:rsid w:val="009226AA"/>
    <w:rsid w:val="00922714"/>
    <w:rsid w:val="00922728"/>
    <w:rsid w:val="0092280B"/>
    <w:rsid w:val="0092286E"/>
    <w:rsid w:val="00922879"/>
    <w:rsid w:val="009228D6"/>
    <w:rsid w:val="009228F9"/>
    <w:rsid w:val="0092290A"/>
    <w:rsid w:val="00922912"/>
    <w:rsid w:val="0092293A"/>
    <w:rsid w:val="00922986"/>
    <w:rsid w:val="0092298D"/>
    <w:rsid w:val="00922996"/>
    <w:rsid w:val="00922A0A"/>
    <w:rsid w:val="00922A0B"/>
    <w:rsid w:val="00922A37"/>
    <w:rsid w:val="00922A3B"/>
    <w:rsid w:val="00922AB5"/>
    <w:rsid w:val="00922ACA"/>
    <w:rsid w:val="00922B7F"/>
    <w:rsid w:val="00922C01"/>
    <w:rsid w:val="00922CAF"/>
    <w:rsid w:val="00922F0B"/>
    <w:rsid w:val="00922F0C"/>
    <w:rsid w:val="00922F18"/>
    <w:rsid w:val="00922F7A"/>
    <w:rsid w:val="00922FAB"/>
    <w:rsid w:val="00923045"/>
    <w:rsid w:val="009230E3"/>
    <w:rsid w:val="009230E4"/>
    <w:rsid w:val="009231DD"/>
    <w:rsid w:val="009234F2"/>
    <w:rsid w:val="009234FF"/>
    <w:rsid w:val="00923505"/>
    <w:rsid w:val="00923519"/>
    <w:rsid w:val="00923524"/>
    <w:rsid w:val="00923529"/>
    <w:rsid w:val="0092352E"/>
    <w:rsid w:val="009235CB"/>
    <w:rsid w:val="0092362E"/>
    <w:rsid w:val="0092364C"/>
    <w:rsid w:val="00923692"/>
    <w:rsid w:val="009236FB"/>
    <w:rsid w:val="0092371D"/>
    <w:rsid w:val="009237C8"/>
    <w:rsid w:val="009237EE"/>
    <w:rsid w:val="0092380D"/>
    <w:rsid w:val="009238EE"/>
    <w:rsid w:val="009238F7"/>
    <w:rsid w:val="00923902"/>
    <w:rsid w:val="009239F2"/>
    <w:rsid w:val="00923A11"/>
    <w:rsid w:val="00923A37"/>
    <w:rsid w:val="00923A66"/>
    <w:rsid w:val="00923A78"/>
    <w:rsid w:val="00923B02"/>
    <w:rsid w:val="00923B36"/>
    <w:rsid w:val="00923B38"/>
    <w:rsid w:val="00923B74"/>
    <w:rsid w:val="00923B87"/>
    <w:rsid w:val="00923C2B"/>
    <w:rsid w:val="00923C61"/>
    <w:rsid w:val="00923D23"/>
    <w:rsid w:val="00923DFB"/>
    <w:rsid w:val="00923E51"/>
    <w:rsid w:val="00923E52"/>
    <w:rsid w:val="00923EEC"/>
    <w:rsid w:val="00923F4D"/>
    <w:rsid w:val="00923FAF"/>
    <w:rsid w:val="00924101"/>
    <w:rsid w:val="0092410C"/>
    <w:rsid w:val="0092410F"/>
    <w:rsid w:val="0092412D"/>
    <w:rsid w:val="00924140"/>
    <w:rsid w:val="009241B4"/>
    <w:rsid w:val="009241DD"/>
    <w:rsid w:val="0092425F"/>
    <w:rsid w:val="00924265"/>
    <w:rsid w:val="009242CD"/>
    <w:rsid w:val="00924324"/>
    <w:rsid w:val="0092433D"/>
    <w:rsid w:val="00924358"/>
    <w:rsid w:val="00924398"/>
    <w:rsid w:val="009243D5"/>
    <w:rsid w:val="009243F9"/>
    <w:rsid w:val="0092442A"/>
    <w:rsid w:val="00924458"/>
    <w:rsid w:val="00924468"/>
    <w:rsid w:val="009244D6"/>
    <w:rsid w:val="0092452C"/>
    <w:rsid w:val="009245E7"/>
    <w:rsid w:val="0092460C"/>
    <w:rsid w:val="00924614"/>
    <w:rsid w:val="00924626"/>
    <w:rsid w:val="00924689"/>
    <w:rsid w:val="009246DB"/>
    <w:rsid w:val="00924757"/>
    <w:rsid w:val="00924768"/>
    <w:rsid w:val="00924793"/>
    <w:rsid w:val="009247BB"/>
    <w:rsid w:val="009247EA"/>
    <w:rsid w:val="00924879"/>
    <w:rsid w:val="0092490C"/>
    <w:rsid w:val="0092497F"/>
    <w:rsid w:val="00924A56"/>
    <w:rsid w:val="00924A66"/>
    <w:rsid w:val="00924B66"/>
    <w:rsid w:val="00924B87"/>
    <w:rsid w:val="00924BF8"/>
    <w:rsid w:val="00924C27"/>
    <w:rsid w:val="00924CD8"/>
    <w:rsid w:val="00924CDD"/>
    <w:rsid w:val="00924D09"/>
    <w:rsid w:val="00924D70"/>
    <w:rsid w:val="00924DCC"/>
    <w:rsid w:val="00924E08"/>
    <w:rsid w:val="00924E27"/>
    <w:rsid w:val="00924E35"/>
    <w:rsid w:val="00924EBB"/>
    <w:rsid w:val="00924F73"/>
    <w:rsid w:val="0092500A"/>
    <w:rsid w:val="009250E4"/>
    <w:rsid w:val="009251EF"/>
    <w:rsid w:val="00925209"/>
    <w:rsid w:val="0092525E"/>
    <w:rsid w:val="009252C7"/>
    <w:rsid w:val="00925360"/>
    <w:rsid w:val="00925384"/>
    <w:rsid w:val="0092546E"/>
    <w:rsid w:val="00925470"/>
    <w:rsid w:val="009254DA"/>
    <w:rsid w:val="0092550D"/>
    <w:rsid w:val="0092550E"/>
    <w:rsid w:val="009255B6"/>
    <w:rsid w:val="00925612"/>
    <w:rsid w:val="00925666"/>
    <w:rsid w:val="009256A7"/>
    <w:rsid w:val="0092575D"/>
    <w:rsid w:val="009257CE"/>
    <w:rsid w:val="009257EE"/>
    <w:rsid w:val="0092585E"/>
    <w:rsid w:val="0092586A"/>
    <w:rsid w:val="00925897"/>
    <w:rsid w:val="009258A3"/>
    <w:rsid w:val="009259F0"/>
    <w:rsid w:val="00925A5A"/>
    <w:rsid w:val="00925AA5"/>
    <w:rsid w:val="00925ADD"/>
    <w:rsid w:val="00925BB7"/>
    <w:rsid w:val="00925BD5"/>
    <w:rsid w:val="00925BF3"/>
    <w:rsid w:val="00925BFD"/>
    <w:rsid w:val="00925C4F"/>
    <w:rsid w:val="00925C64"/>
    <w:rsid w:val="00925D29"/>
    <w:rsid w:val="00925DB6"/>
    <w:rsid w:val="00925E10"/>
    <w:rsid w:val="00925E3B"/>
    <w:rsid w:val="00925E6D"/>
    <w:rsid w:val="00925EA1"/>
    <w:rsid w:val="00925ECD"/>
    <w:rsid w:val="00925F0B"/>
    <w:rsid w:val="00925F31"/>
    <w:rsid w:val="00925F48"/>
    <w:rsid w:val="00925F4E"/>
    <w:rsid w:val="00925FC9"/>
    <w:rsid w:val="00926007"/>
    <w:rsid w:val="0092607A"/>
    <w:rsid w:val="009260C8"/>
    <w:rsid w:val="009260D5"/>
    <w:rsid w:val="009260F3"/>
    <w:rsid w:val="00926104"/>
    <w:rsid w:val="009261AF"/>
    <w:rsid w:val="009261FB"/>
    <w:rsid w:val="00926203"/>
    <w:rsid w:val="00926211"/>
    <w:rsid w:val="0092621D"/>
    <w:rsid w:val="0092627E"/>
    <w:rsid w:val="0092638D"/>
    <w:rsid w:val="00926423"/>
    <w:rsid w:val="00926424"/>
    <w:rsid w:val="0092643D"/>
    <w:rsid w:val="009264BD"/>
    <w:rsid w:val="009264F4"/>
    <w:rsid w:val="0092654D"/>
    <w:rsid w:val="00926566"/>
    <w:rsid w:val="00926569"/>
    <w:rsid w:val="0092657A"/>
    <w:rsid w:val="0092657B"/>
    <w:rsid w:val="00926621"/>
    <w:rsid w:val="00926654"/>
    <w:rsid w:val="00926696"/>
    <w:rsid w:val="0092672B"/>
    <w:rsid w:val="00926861"/>
    <w:rsid w:val="00926893"/>
    <w:rsid w:val="009268C1"/>
    <w:rsid w:val="009268C8"/>
    <w:rsid w:val="0092691A"/>
    <w:rsid w:val="00926946"/>
    <w:rsid w:val="0092694E"/>
    <w:rsid w:val="0092697C"/>
    <w:rsid w:val="00926998"/>
    <w:rsid w:val="009269A9"/>
    <w:rsid w:val="009269AD"/>
    <w:rsid w:val="00926A18"/>
    <w:rsid w:val="00926B0D"/>
    <w:rsid w:val="00926B68"/>
    <w:rsid w:val="00926BCE"/>
    <w:rsid w:val="00926C02"/>
    <w:rsid w:val="00926C8E"/>
    <w:rsid w:val="00926CFF"/>
    <w:rsid w:val="00926D24"/>
    <w:rsid w:val="00926D36"/>
    <w:rsid w:val="00926D5C"/>
    <w:rsid w:val="00926DF4"/>
    <w:rsid w:val="00926DFA"/>
    <w:rsid w:val="00926E1B"/>
    <w:rsid w:val="00926E64"/>
    <w:rsid w:val="00926EB7"/>
    <w:rsid w:val="00926FF0"/>
    <w:rsid w:val="00927049"/>
    <w:rsid w:val="00927077"/>
    <w:rsid w:val="009270CA"/>
    <w:rsid w:val="00927113"/>
    <w:rsid w:val="00927115"/>
    <w:rsid w:val="00927118"/>
    <w:rsid w:val="0092712A"/>
    <w:rsid w:val="0092712D"/>
    <w:rsid w:val="00927131"/>
    <w:rsid w:val="00927238"/>
    <w:rsid w:val="00927250"/>
    <w:rsid w:val="00927299"/>
    <w:rsid w:val="0092731E"/>
    <w:rsid w:val="00927338"/>
    <w:rsid w:val="00927346"/>
    <w:rsid w:val="00927385"/>
    <w:rsid w:val="009273FB"/>
    <w:rsid w:val="0092741F"/>
    <w:rsid w:val="0092745D"/>
    <w:rsid w:val="00927486"/>
    <w:rsid w:val="009274BB"/>
    <w:rsid w:val="009274BD"/>
    <w:rsid w:val="009274E4"/>
    <w:rsid w:val="009275DB"/>
    <w:rsid w:val="009275EA"/>
    <w:rsid w:val="009276B8"/>
    <w:rsid w:val="009276CA"/>
    <w:rsid w:val="0092776F"/>
    <w:rsid w:val="009277BC"/>
    <w:rsid w:val="00927801"/>
    <w:rsid w:val="0092781A"/>
    <w:rsid w:val="00927832"/>
    <w:rsid w:val="0092787D"/>
    <w:rsid w:val="00927887"/>
    <w:rsid w:val="009278AB"/>
    <w:rsid w:val="009278DD"/>
    <w:rsid w:val="0092791F"/>
    <w:rsid w:val="00927925"/>
    <w:rsid w:val="0092792F"/>
    <w:rsid w:val="00927951"/>
    <w:rsid w:val="00927964"/>
    <w:rsid w:val="009279CD"/>
    <w:rsid w:val="009279EE"/>
    <w:rsid w:val="00927A3A"/>
    <w:rsid w:val="00927A4A"/>
    <w:rsid w:val="00927ACF"/>
    <w:rsid w:val="00927B5C"/>
    <w:rsid w:val="00927B77"/>
    <w:rsid w:val="00927C1C"/>
    <w:rsid w:val="00927C29"/>
    <w:rsid w:val="00927CA7"/>
    <w:rsid w:val="00927CE9"/>
    <w:rsid w:val="00927DC2"/>
    <w:rsid w:val="00927E0A"/>
    <w:rsid w:val="00927F11"/>
    <w:rsid w:val="00927FE4"/>
    <w:rsid w:val="0093000B"/>
    <w:rsid w:val="0093003E"/>
    <w:rsid w:val="00930040"/>
    <w:rsid w:val="00930054"/>
    <w:rsid w:val="00930088"/>
    <w:rsid w:val="009300E3"/>
    <w:rsid w:val="00930114"/>
    <w:rsid w:val="0093016E"/>
    <w:rsid w:val="009301B8"/>
    <w:rsid w:val="009301F7"/>
    <w:rsid w:val="009302E1"/>
    <w:rsid w:val="0093035F"/>
    <w:rsid w:val="00930372"/>
    <w:rsid w:val="009303C6"/>
    <w:rsid w:val="00930437"/>
    <w:rsid w:val="009304A7"/>
    <w:rsid w:val="009304DE"/>
    <w:rsid w:val="00930588"/>
    <w:rsid w:val="009305BF"/>
    <w:rsid w:val="009305F1"/>
    <w:rsid w:val="009305FA"/>
    <w:rsid w:val="00930617"/>
    <w:rsid w:val="009306DA"/>
    <w:rsid w:val="00930721"/>
    <w:rsid w:val="00930753"/>
    <w:rsid w:val="0093078C"/>
    <w:rsid w:val="0093079F"/>
    <w:rsid w:val="009307A0"/>
    <w:rsid w:val="0093087A"/>
    <w:rsid w:val="0093089C"/>
    <w:rsid w:val="009308B3"/>
    <w:rsid w:val="0093090F"/>
    <w:rsid w:val="00930988"/>
    <w:rsid w:val="00930989"/>
    <w:rsid w:val="00930996"/>
    <w:rsid w:val="009309D7"/>
    <w:rsid w:val="00930A11"/>
    <w:rsid w:val="00930A4A"/>
    <w:rsid w:val="00930A8F"/>
    <w:rsid w:val="00930AAB"/>
    <w:rsid w:val="00930AD9"/>
    <w:rsid w:val="00930B75"/>
    <w:rsid w:val="00930C24"/>
    <w:rsid w:val="00930C65"/>
    <w:rsid w:val="00930C70"/>
    <w:rsid w:val="00930C89"/>
    <w:rsid w:val="00930D21"/>
    <w:rsid w:val="00930DC4"/>
    <w:rsid w:val="00930DED"/>
    <w:rsid w:val="00930E05"/>
    <w:rsid w:val="00930E44"/>
    <w:rsid w:val="00930E4D"/>
    <w:rsid w:val="00930EBD"/>
    <w:rsid w:val="00930ECB"/>
    <w:rsid w:val="00930F04"/>
    <w:rsid w:val="00931031"/>
    <w:rsid w:val="00931037"/>
    <w:rsid w:val="009310AE"/>
    <w:rsid w:val="009310CD"/>
    <w:rsid w:val="009310D8"/>
    <w:rsid w:val="00931131"/>
    <w:rsid w:val="0093117F"/>
    <w:rsid w:val="009311CF"/>
    <w:rsid w:val="009311D2"/>
    <w:rsid w:val="00931203"/>
    <w:rsid w:val="0093124E"/>
    <w:rsid w:val="00931293"/>
    <w:rsid w:val="009312A0"/>
    <w:rsid w:val="009312E8"/>
    <w:rsid w:val="009313EB"/>
    <w:rsid w:val="009314D4"/>
    <w:rsid w:val="009314F7"/>
    <w:rsid w:val="009315BC"/>
    <w:rsid w:val="00931690"/>
    <w:rsid w:val="009316B7"/>
    <w:rsid w:val="009316C6"/>
    <w:rsid w:val="00931762"/>
    <w:rsid w:val="009317A2"/>
    <w:rsid w:val="009317AE"/>
    <w:rsid w:val="009317EE"/>
    <w:rsid w:val="00931906"/>
    <w:rsid w:val="0093193D"/>
    <w:rsid w:val="00931978"/>
    <w:rsid w:val="0093197C"/>
    <w:rsid w:val="009319FC"/>
    <w:rsid w:val="00931A71"/>
    <w:rsid w:val="00931AA4"/>
    <w:rsid w:val="00931ABE"/>
    <w:rsid w:val="00931ACB"/>
    <w:rsid w:val="00931AD3"/>
    <w:rsid w:val="00931AE0"/>
    <w:rsid w:val="00931AE6"/>
    <w:rsid w:val="00931AFB"/>
    <w:rsid w:val="00931B58"/>
    <w:rsid w:val="00931BA4"/>
    <w:rsid w:val="00931BF6"/>
    <w:rsid w:val="00931C1D"/>
    <w:rsid w:val="00931C3C"/>
    <w:rsid w:val="00931C83"/>
    <w:rsid w:val="00931C9E"/>
    <w:rsid w:val="00931CB4"/>
    <w:rsid w:val="00931CEA"/>
    <w:rsid w:val="00931CF0"/>
    <w:rsid w:val="00931D46"/>
    <w:rsid w:val="00931D62"/>
    <w:rsid w:val="00931D6F"/>
    <w:rsid w:val="00931D7D"/>
    <w:rsid w:val="00931D9E"/>
    <w:rsid w:val="00931E43"/>
    <w:rsid w:val="00931E82"/>
    <w:rsid w:val="00931E89"/>
    <w:rsid w:val="00931E8D"/>
    <w:rsid w:val="00931EBD"/>
    <w:rsid w:val="00931F6E"/>
    <w:rsid w:val="00931F85"/>
    <w:rsid w:val="00932003"/>
    <w:rsid w:val="0093206F"/>
    <w:rsid w:val="009320CD"/>
    <w:rsid w:val="009321DB"/>
    <w:rsid w:val="009321E9"/>
    <w:rsid w:val="0093220F"/>
    <w:rsid w:val="00932294"/>
    <w:rsid w:val="009322FE"/>
    <w:rsid w:val="00932312"/>
    <w:rsid w:val="009323A4"/>
    <w:rsid w:val="0093240A"/>
    <w:rsid w:val="0093240B"/>
    <w:rsid w:val="009324AC"/>
    <w:rsid w:val="009324B5"/>
    <w:rsid w:val="009325F2"/>
    <w:rsid w:val="0093270A"/>
    <w:rsid w:val="0093270B"/>
    <w:rsid w:val="0093282B"/>
    <w:rsid w:val="00932967"/>
    <w:rsid w:val="00932A37"/>
    <w:rsid w:val="00932A8A"/>
    <w:rsid w:val="00932AD9"/>
    <w:rsid w:val="00932AF1"/>
    <w:rsid w:val="00932B14"/>
    <w:rsid w:val="00932B20"/>
    <w:rsid w:val="00932B37"/>
    <w:rsid w:val="00932B51"/>
    <w:rsid w:val="00932BAC"/>
    <w:rsid w:val="00932BF8"/>
    <w:rsid w:val="00932C3C"/>
    <w:rsid w:val="00932CB5"/>
    <w:rsid w:val="00932D7A"/>
    <w:rsid w:val="00932DAB"/>
    <w:rsid w:val="00932E32"/>
    <w:rsid w:val="00932E95"/>
    <w:rsid w:val="00932F6C"/>
    <w:rsid w:val="00932FCB"/>
    <w:rsid w:val="00932FCC"/>
    <w:rsid w:val="00932FCF"/>
    <w:rsid w:val="00933015"/>
    <w:rsid w:val="00933016"/>
    <w:rsid w:val="00933044"/>
    <w:rsid w:val="00933066"/>
    <w:rsid w:val="009330EA"/>
    <w:rsid w:val="009330FA"/>
    <w:rsid w:val="00933155"/>
    <w:rsid w:val="00933164"/>
    <w:rsid w:val="00933187"/>
    <w:rsid w:val="009331CB"/>
    <w:rsid w:val="0093340F"/>
    <w:rsid w:val="009334B1"/>
    <w:rsid w:val="0093352A"/>
    <w:rsid w:val="009335C1"/>
    <w:rsid w:val="0093364B"/>
    <w:rsid w:val="0093365E"/>
    <w:rsid w:val="00933696"/>
    <w:rsid w:val="009336E9"/>
    <w:rsid w:val="0093370F"/>
    <w:rsid w:val="00933752"/>
    <w:rsid w:val="009337B2"/>
    <w:rsid w:val="00933807"/>
    <w:rsid w:val="00933833"/>
    <w:rsid w:val="00933838"/>
    <w:rsid w:val="00933861"/>
    <w:rsid w:val="009338E1"/>
    <w:rsid w:val="00933969"/>
    <w:rsid w:val="0093399E"/>
    <w:rsid w:val="00933A25"/>
    <w:rsid w:val="00933A9F"/>
    <w:rsid w:val="00933AC4"/>
    <w:rsid w:val="00933B9C"/>
    <w:rsid w:val="00933BAE"/>
    <w:rsid w:val="00933BAF"/>
    <w:rsid w:val="00933BC0"/>
    <w:rsid w:val="00933C0F"/>
    <w:rsid w:val="00933CD2"/>
    <w:rsid w:val="00933CE3"/>
    <w:rsid w:val="00933E43"/>
    <w:rsid w:val="00933E54"/>
    <w:rsid w:val="00933E8C"/>
    <w:rsid w:val="00933E98"/>
    <w:rsid w:val="00933EB4"/>
    <w:rsid w:val="00933F65"/>
    <w:rsid w:val="00934000"/>
    <w:rsid w:val="0093402F"/>
    <w:rsid w:val="00934154"/>
    <w:rsid w:val="0093419D"/>
    <w:rsid w:val="009341C3"/>
    <w:rsid w:val="009341F9"/>
    <w:rsid w:val="0093423F"/>
    <w:rsid w:val="00934274"/>
    <w:rsid w:val="0093429A"/>
    <w:rsid w:val="009342A5"/>
    <w:rsid w:val="0093435B"/>
    <w:rsid w:val="009343B6"/>
    <w:rsid w:val="009343BA"/>
    <w:rsid w:val="009343D2"/>
    <w:rsid w:val="009344BA"/>
    <w:rsid w:val="009344C1"/>
    <w:rsid w:val="009344CA"/>
    <w:rsid w:val="00934555"/>
    <w:rsid w:val="00934569"/>
    <w:rsid w:val="009345D0"/>
    <w:rsid w:val="00934692"/>
    <w:rsid w:val="009346A8"/>
    <w:rsid w:val="009346BA"/>
    <w:rsid w:val="009346D1"/>
    <w:rsid w:val="009346FC"/>
    <w:rsid w:val="00934765"/>
    <w:rsid w:val="00934773"/>
    <w:rsid w:val="0093490E"/>
    <w:rsid w:val="0093496E"/>
    <w:rsid w:val="009349C2"/>
    <w:rsid w:val="00934A1A"/>
    <w:rsid w:val="00934A43"/>
    <w:rsid w:val="00934A7E"/>
    <w:rsid w:val="00934A86"/>
    <w:rsid w:val="00934ADA"/>
    <w:rsid w:val="00934C85"/>
    <w:rsid w:val="00934CAE"/>
    <w:rsid w:val="00934CE6"/>
    <w:rsid w:val="00934E51"/>
    <w:rsid w:val="00934EBB"/>
    <w:rsid w:val="00934ECF"/>
    <w:rsid w:val="00934F15"/>
    <w:rsid w:val="00934FB3"/>
    <w:rsid w:val="00935004"/>
    <w:rsid w:val="00935007"/>
    <w:rsid w:val="00935008"/>
    <w:rsid w:val="00935072"/>
    <w:rsid w:val="009350B3"/>
    <w:rsid w:val="009350C0"/>
    <w:rsid w:val="00935226"/>
    <w:rsid w:val="0093526A"/>
    <w:rsid w:val="0093528E"/>
    <w:rsid w:val="009352F2"/>
    <w:rsid w:val="009353FA"/>
    <w:rsid w:val="00935482"/>
    <w:rsid w:val="00935494"/>
    <w:rsid w:val="009354D1"/>
    <w:rsid w:val="00935534"/>
    <w:rsid w:val="009355EB"/>
    <w:rsid w:val="00935667"/>
    <w:rsid w:val="009356D9"/>
    <w:rsid w:val="0093573E"/>
    <w:rsid w:val="009357AA"/>
    <w:rsid w:val="009357ED"/>
    <w:rsid w:val="00935886"/>
    <w:rsid w:val="00935987"/>
    <w:rsid w:val="00935A07"/>
    <w:rsid w:val="00935A30"/>
    <w:rsid w:val="00935A66"/>
    <w:rsid w:val="00935A7E"/>
    <w:rsid w:val="00935A91"/>
    <w:rsid w:val="00935B48"/>
    <w:rsid w:val="00935B4E"/>
    <w:rsid w:val="00935BD2"/>
    <w:rsid w:val="00935C8F"/>
    <w:rsid w:val="00935C9C"/>
    <w:rsid w:val="00935CBB"/>
    <w:rsid w:val="00935E28"/>
    <w:rsid w:val="00935EB2"/>
    <w:rsid w:val="00935EC9"/>
    <w:rsid w:val="00935F2E"/>
    <w:rsid w:val="00935FAA"/>
    <w:rsid w:val="00935FFD"/>
    <w:rsid w:val="00936096"/>
    <w:rsid w:val="00936097"/>
    <w:rsid w:val="009360C7"/>
    <w:rsid w:val="009360ED"/>
    <w:rsid w:val="00936181"/>
    <w:rsid w:val="009362DC"/>
    <w:rsid w:val="0093633E"/>
    <w:rsid w:val="0093637F"/>
    <w:rsid w:val="009363D5"/>
    <w:rsid w:val="009363E3"/>
    <w:rsid w:val="009364C5"/>
    <w:rsid w:val="009365BB"/>
    <w:rsid w:val="009365DA"/>
    <w:rsid w:val="0093667B"/>
    <w:rsid w:val="0093674B"/>
    <w:rsid w:val="009367C6"/>
    <w:rsid w:val="009368F4"/>
    <w:rsid w:val="0093691E"/>
    <w:rsid w:val="00936A50"/>
    <w:rsid w:val="00936A9B"/>
    <w:rsid w:val="00936B75"/>
    <w:rsid w:val="00936C7E"/>
    <w:rsid w:val="00936CA1"/>
    <w:rsid w:val="00936DFB"/>
    <w:rsid w:val="00936E1A"/>
    <w:rsid w:val="00936E23"/>
    <w:rsid w:val="00936E63"/>
    <w:rsid w:val="00936E73"/>
    <w:rsid w:val="00936E90"/>
    <w:rsid w:val="00936EC2"/>
    <w:rsid w:val="00936ECB"/>
    <w:rsid w:val="00936EF9"/>
    <w:rsid w:val="00936EFD"/>
    <w:rsid w:val="00936F8B"/>
    <w:rsid w:val="0093701E"/>
    <w:rsid w:val="00937043"/>
    <w:rsid w:val="0093706B"/>
    <w:rsid w:val="0093708B"/>
    <w:rsid w:val="009370EE"/>
    <w:rsid w:val="009370FE"/>
    <w:rsid w:val="0093710D"/>
    <w:rsid w:val="00937152"/>
    <w:rsid w:val="009371CF"/>
    <w:rsid w:val="009371E5"/>
    <w:rsid w:val="0093725F"/>
    <w:rsid w:val="00937264"/>
    <w:rsid w:val="009372BD"/>
    <w:rsid w:val="009372EF"/>
    <w:rsid w:val="0093735E"/>
    <w:rsid w:val="00937454"/>
    <w:rsid w:val="00937475"/>
    <w:rsid w:val="00937479"/>
    <w:rsid w:val="009374B0"/>
    <w:rsid w:val="009374FA"/>
    <w:rsid w:val="009375E5"/>
    <w:rsid w:val="00937609"/>
    <w:rsid w:val="00937622"/>
    <w:rsid w:val="00937630"/>
    <w:rsid w:val="00937645"/>
    <w:rsid w:val="0093766A"/>
    <w:rsid w:val="009376B4"/>
    <w:rsid w:val="009376BC"/>
    <w:rsid w:val="0093770A"/>
    <w:rsid w:val="00937740"/>
    <w:rsid w:val="009377B4"/>
    <w:rsid w:val="009377DC"/>
    <w:rsid w:val="0093786D"/>
    <w:rsid w:val="009378CA"/>
    <w:rsid w:val="00937935"/>
    <w:rsid w:val="00937947"/>
    <w:rsid w:val="009379A2"/>
    <w:rsid w:val="009379A7"/>
    <w:rsid w:val="00937A99"/>
    <w:rsid w:val="00937AA2"/>
    <w:rsid w:val="00937AB1"/>
    <w:rsid w:val="00937B57"/>
    <w:rsid w:val="00937B6F"/>
    <w:rsid w:val="00937BC0"/>
    <w:rsid w:val="00937C38"/>
    <w:rsid w:val="00937C3B"/>
    <w:rsid w:val="00937CC3"/>
    <w:rsid w:val="00937CCD"/>
    <w:rsid w:val="00937CED"/>
    <w:rsid w:val="00937D45"/>
    <w:rsid w:val="00937D7A"/>
    <w:rsid w:val="00937D8F"/>
    <w:rsid w:val="00937DEF"/>
    <w:rsid w:val="00937E07"/>
    <w:rsid w:val="00937E8F"/>
    <w:rsid w:val="00937E93"/>
    <w:rsid w:val="00937EA0"/>
    <w:rsid w:val="00937F36"/>
    <w:rsid w:val="00937F78"/>
    <w:rsid w:val="00937FAA"/>
    <w:rsid w:val="00937FE2"/>
    <w:rsid w:val="00937FF3"/>
    <w:rsid w:val="0094001D"/>
    <w:rsid w:val="00940134"/>
    <w:rsid w:val="0094019D"/>
    <w:rsid w:val="00940219"/>
    <w:rsid w:val="00940243"/>
    <w:rsid w:val="0094024F"/>
    <w:rsid w:val="0094025A"/>
    <w:rsid w:val="00940292"/>
    <w:rsid w:val="009402BF"/>
    <w:rsid w:val="009402CC"/>
    <w:rsid w:val="00940478"/>
    <w:rsid w:val="009404DD"/>
    <w:rsid w:val="0094051B"/>
    <w:rsid w:val="00940619"/>
    <w:rsid w:val="00940623"/>
    <w:rsid w:val="00940737"/>
    <w:rsid w:val="00940738"/>
    <w:rsid w:val="009407B6"/>
    <w:rsid w:val="009408D3"/>
    <w:rsid w:val="009408E0"/>
    <w:rsid w:val="009408F6"/>
    <w:rsid w:val="00940918"/>
    <w:rsid w:val="00940948"/>
    <w:rsid w:val="009409B4"/>
    <w:rsid w:val="009409EC"/>
    <w:rsid w:val="00940AA0"/>
    <w:rsid w:val="00940AE3"/>
    <w:rsid w:val="00940B51"/>
    <w:rsid w:val="00940BB8"/>
    <w:rsid w:val="00940C4B"/>
    <w:rsid w:val="00940CD3"/>
    <w:rsid w:val="00940CEB"/>
    <w:rsid w:val="00940D11"/>
    <w:rsid w:val="00940DA8"/>
    <w:rsid w:val="00940DE8"/>
    <w:rsid w:val="00940E1D"/>
    <w:rsid w:val="00940E2E"/>
    <w:rsid w:val="00940E95"/>
    <w:rsid w:val="00940EC6"/>
    <w:rsid w:val="00941071"/>
    <w:rsid w:val="00941074"/>
    <w:rsid w:val="00941081"/>
    <w:rsid w:val="0094112C"/>
    <w:rsid w:val="0094123D"/>
    <w:rsid w:val="00941268"/>
    <w:rsid w:val="00941288"/>
    <w:rsid w:val="00941304"/>
    <w:rsid w:val="00941307"/>
    <w:rsid w:val="0094138D"/>
    <w:rsid w:val="0094149F"/>
    <w:rsid w:val="009414E7"/>
    <w:rsid w:val="00941516"/>
    <w:rsid w:val="0094152B"/>
    <w:rsid w:val="0094153A"/>
    <w:rsid w:val="00941551"/>
    <w:rsid w:val="009415D2"/>
    <w:rsid w:val="0094161F"/>
    <w:rsid w:val="009416A7"/>
    <w:rsid w:val="009416D0"/>
    <w:rsid w:val="009416DB"/>
    <w:rsid w:val="009416F6"/>
    <w:rsid w:val="00941716"/>
    <w:rsid w:val="0094172E"/>
    <w:rsid w:val="00941895"/>
    <w:rsid w:val="009418C9"/>
    <w:rsid w:val="009418F8"/>
    <w:rsid w:val="0094193B"/>
    <w:rsid w:val="009419C0"/>
    <w:rsid w:val="009419D4"/>
    <w:rsid w:val="00941A22"/>
    <w:rsid w:val="00941A33"/>
    <w:rsid w:val="00941A36"/>
    <w:rsid w:val="00941A81"/>
    <w:rsid w:val="00941AAA"/>
    <w:rsid w:val="00941ADB"/>
    <w:rsid w:val="00941B43"/>
    <w:rsid w:val="00941B47"/>
    <w:rsid w:val="00941C34"/>
    <w:rsid w:val="00941C44"/>
    <w:rsid w:val="00941C7B"/>
    <w:rsid w:val="00941CF3"/>
    <w:rsid w:val="00941D0E"/>
    <w:rsid w:val="00941E01"/>
    <w:rsid w:val="00941F1A"/>
    <w:rsid w:val="0094202E"/>
    <w:rsid w:val="00942086"/>
    <w:rsid w:val="009420DA"/>
    <w:rsid w:val="009420E3"/>
    <w:rsid w:val="0094216B"/>
    <w:rsid w:val="00942181"/>
    <w:rsid w:val="0094221D"/>
    <w:rsid w:val="009422E2"/>
    <w:rsid w:val="00942346"/>
    <w:rsid w:val="00942392"/>
    <w:rsid w:val="00942477"/>
    <w:rsid w:val="00942549"/>
    <w:rsid w:val="0094265D"/>
    <w:rsid w:val="009426A1"/>
    <w:rsid w:val="009426E5"/>
    <w:rsid w:val="009427EF"/>
    <w:rsid w:val="00942910"/>
    <w:rsid w:val="00942978"/>
    <w:rsid w:val="0094298D"/>
    <w:rsid w:val="009429B0"/>
    <w:rsid w:val="009429B3"/>
    <w:rsid w:val="00942AB7"/>
    <w:rsid w:val="00942ACD"/>
    <w:rsid w:val="00942B2B"/>
    <w:rsid w:val="00942BF0"/>
    <w:rsid w:val="00942C11"/>
    <w:rsid w:val="00942C62"/>
    <w:rsid w:val="00942D57"/>
    <w:rsid w:val="00942D7B"/>
    <w:rsid w:val="00942DC5"/>
    <w:rsid w:val="00942DD4"/>
    <w:rsid w:val="00942DDB"/>
    <w:rsid w:val="00942E51"/>
    <w:rsid w:val="00942E53"/>
    <w:rsid w:val="00942EBD"/>
    <w:rsid w:val="00942ED7"/>
    <w:rsid w:val="00942EF1"/>
    <w:rsid w:val="00942F66"/>
    <w:rsid w:val="00942FA7"/>
    <w:rsid w:val="00943025"/>
    <w:rsid w:val="00943063"/>
    <w:rsid w:val="00943106"/>
    <w:rsid w:val="0094321F"/>
    <w:rsid w:val="00943235"/>
    <w:rsid w:val="0094324E"/>
    <w:rsid w:val="00943269"/>
    <w:rsid w:val="009432AD"/>
    <w:rsid w:val="00943344"/>
    <w:rsid w:val="00943358"/>
    <w:rsid w:val="00943371"/>
    <w:rsid w:val="009433C2"/>
    <w:rsid w:val="009433F3"/>
    <w:rsid w:val="009433FD"/>
    <w:rsid w:val="009434D0"/>
    <w:rsid w:val="009434DA"/>
    <w:rsid w:val="00943507"/>
    <w:rsid w:val="0094357F"/>
    <w:rsid w:val="0094359E"/>
    <w:rsid w:val="009435CA"/>
    <w:rsid w:val="00943619"/>
    <w:rsid w:val="0094362A"/>
    <w:rsid w:val="00943660"/>
    <w:rsid w:val="00943727"/>
    <w:rsid w:val="0094373E"/>
    <w:rsid w:val="009437B9"/>
    <w:rsid w:val="009438AA"/>
    <w:rsid w:val="009438CF"/>
    <w:rsid w:val="00943968"/>
    <w:rsid w:val="009439B3"/>
    <w:rsid w:val="00943A56"/>
    <w:rsid w:val="00943A62"/>
    <w:rsid w:val="00943A79"/>
    <w:rsid w:val="00943A8E"/>
    <w:rsid w:val="00943AAA"/>
    <w:rsid w:val="00943AF4"/>
    <w:rsid w:val="00943AF9"/>
    <w:rsid w:val="00943B4C"/>
    <w:rsid w:val="00943C19"/>
    <w:rsid w:val="00943CF7"/>
    <w:rsid w:val="00943DD7"/>
    <w:rsid w:val="00943E2F"/>
    <w:rsid w:val="00943E90"/>
    <w:rsid w:val="00943E91"/>
    <w:rsid w:val="00943E99"/>
    <w:rsid w:val="00943F02"/>
    <w:rsid w:val="00943F23"/>
    <w:rsid w:val="00943F29"/>
    <w:rsid w:val="00943F5E"/>
    <w:rsid w:val="00943FA5"/>
    <w:rsid w:val="00943FD1"/>
    <w:rsid w:val="00943FF0"/>
    <w:rsid w:val="0094400A"/>
    <w:rsid w:val="0094405E"/>
    <w:rsid w:val="009440EF"/>
    <w:rsid w:val="009440FE"/>
    <w:rsid w:val="0094417F"/>
    <w:rsid w:val="00944236"/>
    <w:rsid w:val="0094423E"/>
    <w:rsid w:val="00944248"/>
    <w:rsid w:val="00944314"/>
    <w:rsid w:val="00944358"/>
    <w:rsid w:val="0094438C"/>
    <w:rsid w:val="009443ED"/>
    <w:rsid w:val="00944417"/>
    <w:rsid w:val="0094443C"/>
    <w:rsid w:val="00944443"/>
    <w:rsid w:val="00944504"/>
    <w:rsid w:val="0094460F"/>
    <w:rsid w:val="00944636"/>
    <w:rsid w:val="00944777"/>
    <w:rsid w:val="009447C4"/>
    <w:rsid w:val="00944818"/>
    <w:rsid w:val="009448F7"/>
    <w:rsid w:val="0094490C"/>
    <w:rsid w:val="00944911"/>
    <w:rsid w:val="00944A2C"/>
    <w:rsid w:val="00944A2D"/>
    <w:rsid w:val="00944A9C"/>
    <w:rsid w:val="00944AE7"/>
    <w:rsid w:val="00944B7D"/>
    <w:rsid w:val="00944BBB"/>
    <w:rsid w:val="00944BF8"/>
    <w:rsid w:val="00944BFA"/>
    <w:rsid w:val="00944C7E"/>
    <w:rsid w:val="00944CCE"/>
    <w:rsid w:val="00944DE7"/>
    <w:rsid w:val="00944E29"/>
    <w:rsid w:val="00944ECD"/>
    <w:rsid w:val="00944ED4"/>
    <w:rsid w:val="00944FC7"/>
    <w:rsid w:val="00945022"/>
    <w:rsid w:val="0094506A"/>
    <w:rsid w:val="00945175"/>
    <w:rsid w:val="009451CB"/>
    <w:rsid w:val="0094528D"/>
    <w:rsid w:val="0094529D"/>
    <w:rsid w:val="0094534E"/>
    <w:rsid w:val="00945361"/>
    <w:rsid w:val="0094539B"/>
    <w:rsid w:val="0094543C"/>
    <w:rsid w:val="00945452"/>
    <w:rsid w:val="0094549D"/>
    <w:rsid w:val="00945522"/>
    <w:rsid w:val="0094554E"/>
    <w:rsid w:val="009455CF"/>
    <w:rsid w:val="0094562C"/>
    <w:rsid w:val="00945641"/>
    <w:rsid w:val="00945660"/>
    <w:rsid w:val="00945679"/>
    <w:rsid w:val="009456E5"/>
    <w:rsid w:val="00945722"/>
    <w:rsid w:val="0094572F"/>
    <w:rsid w:val="00945764"/>
    <w:rsid w:val="00945774"/>
    <w:rsid w:val="009457B4"/>
    <w:rsid w:val="009457F1"/>
    <w:rsid w:val="00945800"/>
    <w:rsid w:val="0094586D"/>
    <w:rsid w:val="009458E3"/>
    <w:rsid w:val="009459E2"/>
    <w:rsid w:val="00945A30"/>
    <w:rsid w:val="00945A9D"/>
    <w:rsid w:val="00945ABE"/>
    <w:rsid w:val="00945B83"/>
    <w:rsid w:val="00945C95"/>
    <w:rsid w:val="00945CD4"/>
    <w:rsid w:val="00945D3F"/>
    <w:rsid w:val="00945D55"/>
    <w:rsid w:val="00945DFF"/>
    <w:rsid w:val="00945E18"/>
    <w:rsid w:val="00945E44"/>
    <w:rsid w:val="00945EDE"/>
    <w:rsid w:val="00945F1C"/>
    <w:rsid w:val="00945F37"/>
    <w:rsid w:val="00945FF5"/>
    <w:rsid w:val="009460B5"/>
    <w:rsid w:val="009460C5"/>
    <w:rsid w:val="009460EB"/>
    <w:rsid w:val="009461AA"/>
    <w:rsid w:val="00946227"/>
    <w:rsid w:val="0094625C"/>
    <w:rsid w:val="009462B2"/>
    <w:rsid w:val="00946422"/>
    <w:rsid w:val="00946440"/>
    <w:rsid w:val="0094645F"/>
    <w:rsid w:val="00946515"/>
    <w:rsid w:val="009465DA"/>
    <w:rsid w:val="0094671C"/>
    <w:rsid w:val="0094677A"/>
    <w:rsid w:val="009467C6"/>
    <w:rsid w:val="009468E7"/>
    <w:rsid w:val="009468F6"/>
    <w:rsid w:val="009469CE"/>
    <w:rsid w:val="009469E0"/>
    <w:rsid w:val="00946A09"/>
    <w:rsid w:val="00946A3C"/>
    <w:rsid w:val="00946A6F"/>
    <w:rsid w:val="00946A86"/>
    <w:rsid w:val="00946A9E"/>
    <w:rsid w:val="00946B5D"/>
    <w:rsid w:val="00946B71"/>
    <w:rsid w:val="00946B7F"/>
    <w:rsid w:val="00946BAD"/>
    <w:rsid w:val="00946C34"/>
    <w:rsid w:val="00946C97"/>
    <w:rsid w:val="00946CFC"/>
    <w:rsid w:val="00946D54"/>
    <w:rsid w:val="00946DA6"/>
    <w:rsid w:val="00946DC4"/>
    <w:rsid w:val="00946E35"/>
    <w:rsid w:val="00946E58"/>
    <w:rsid w:val="00946EF3"/>
    <w:rsid w:val="00946F4D"/>
    <w:rsid w:val="00946F64"/>
    <w:rsid w:val="00946FD4"/>
    <w:rsid w:val="00946FDA"/>
    <w:rsid w:val="00947002"/>
    <w:rsid w:val="009470DB"/>
    <w:rsid w:val="0094713E"/>
    <w:rsid w:val="00947150"/>
    <w:rsid w:val="00947189"/>
    <w:rsid w:val="00947194"/>
    <w:rsid w:val="0094719B"/>
    <w:rsid w:val="009472F6"/>
    <w:rsid w:val="00947327"/>
    <w:rsid w:val="0094739E"/>
    <w:rsid w:val="009473A8"/>
    <w:rsid w:val="009473E7"/>
    <w:rsid w:val="00947479"/>
    <w:rsid w:val="009474AF"/>
    <w:rsid w:val="009474EF"/>
    <w:rsid w:val="00947518"/>
    <w:rsid w:val="009475EF"/>
    <w:rsid w:val="009475F2"/>
    <w:rsid w:val="009475FC"/>
    <w:rsid w:val="00947610"/>
    <w:rsid w:val="00947710"/>
    <w:rsid w:val="00947748"/>
    <w:rsid w:val="00947755"/>
    <w:rsid w:val="0094783A"/>
    <w:rsid w:val="0094789E"/>
    <w:rsid w:val="00947958"/>
    <w:rsid w:val="00947962"/>
    <w:rsid w:val="009479E8"/>
    <w:rsid w:val="00947A42"/>
    <w:rsid w:val="00947A80"/>
    <w:rsid w:val="00947B54"/>
    <w:rsid w:val="00947B87"/>
    <w:rsid w:val="00947BE7"/>
    <w:rsid w:val="00947D13"/>
    <w:rsid w:val="00947D4C"/>
    <w:rsid w:val="00947D61"/>
    <w:rsid w:val="00947D6D"/>
    <w:rsid w:val="00947DFC"/>
    <w:rsid w:val="00947E8F"/>
    <w:rsid w:val="00947F1D"/>
    <w:rsid w:val="00947F73"/>
    <w:rsid w:val="00947FAA"/>
    <w:rsid w:val="00947FAD"/>
    <w:rsid w:val="0095005F"/>
    <w:rsid w:val="00950131"/>
    <w:rsid w:val="0095019C"/>
    <w:rsid w:val="00950201"/>
    <w:rsid w:val="00950221"/>
    <w:rsid w:val="0095025E"/>
    <w:rsid w:val="00950261"/>
    <w:rsid w:val="009502CF"/>
    <w:rsid w:val="00950337"/>
    <w:rsid w:val="00950467"/>
    <w:rsid w:val="00950471"/>
    <w:rsid w:val="009504C2"/>
    <w:rsid w:val="009504D1"/>
    <w:rsid w:val="0095058B"/>
    <w:rsid w:val="0095058E"/>
    <w:rsid w:val="009505C1"/>
    <w:rsid w:val="009505D5"/>
    <w:rsid w:val="0095064F"/>
    <w:rsid w:val="009506CB"/>
    <w:rsid w:val="009506D4"/>
    <w:rsid w:val="00950746"/>
    <w:rsid w:val="009507D5"/>
    <w:rsid w:val="009507F9"/>
    <w:rsid w:val="00950801"/>
    <w:rsid w:val="009508B5"/>
    <w:rsid w:val="00950930"/>
    <w:rsid w:val="00950981"/>
    <w:rsid w:val="009509A2"/>
    <w:rsid w:val="00950B17"/>
    <w:rsid w:val="00950BB1"/>
    <w:rsid w:val="00950BDC"/>
    <w:rsid w:val="00950C10"/>
    <w:rsid w:val="00950C31"/>
    <w:rsid w:val="00950C33"/>
    <w:rsid w:val="00950C3A"/>
    <w:rsid w:val="00950D6A"/>
    <w:rsid w:val="00950D78"/>
    <w:rsid w:val="00950DA5"/>
    <w:rsid w:val="00950DAE"/>
    <w:rsid w:val="00950DB9"/>
    <w:rsid w:val="00950DD6"/>
    <w:rsid w:val="00950DDA"/>
    <w:rsid w:val="00950DE5"/>
    <w:rsid w:val="00950DFF"/>
    <w:rsid w:val="00950E3C"/>
    <w:rsid w:val="00950F00"/>
    <w:rsid w:val="00950F4A"/>
    <w:rsid w:val="00950F68"/>
    <w:rsid w:val="00950FBC"/>
    <w:rsid w:val="00950FED"/>
    <w:rsid w:val="00951036"/>
    <w:rsid w:val="009510CD"/>
    <w:rsid w:val="009510F8"/>
    <w:rsid w:val="009510FE"/>
    <w:rsid w:val="0095110B"/>
    <w:rsid w:val="00951146"/>
    <w:rsid w:val="0095116B"/>
    <w:rsid w:val="0095119B"/>
    <w:rsid w:val="0095119C"/>
    <w:rsid w:val="009511B4"/>
    <w:rsid w:val="009511BD"/>
    <w:rsid w:val="009511E4"/>
    <w:rsid w:val="00951280"/>
    <w:rsid w:val="009512A8"/>
    <w:rsid w:val="009512E2"/>
    <w:rsid w:val="009512F3"/>
    <w:rsid w:val="00951348"/>
    <w:rsid w:val="00951364"/>
    <w:rsid w:val="009513A2"/>
    <w:rsid w:val="009513B1"/>
    <w:rsid w:val="009513E1"/>
    <w:rsid w:val="00951431"/>
    <w:rsid w:val="00951459"/>
    <w:rsid w:val="0095158F"/>
    <w:rsid w:val="00951634"/>
    <w:rsid w:val="00951692"/>
    <w:rsid w:val="009516C9"/>
    <w:rsid w:val="009516F7"/>
    <w:rsid w:val="00951844"/>
    <w:rsid w:val="009518FA"/>
    <w:rsid w:val="00951912"/>
    <w:rsid w:val="00951948"/>
    <w:rsid w:val="00951962"/>
    <w:rsid w:val="00951A5C"/>
    <w:rsid w:val="00951AB8"/>
    <w:rsid w:val="00951AF2"/>
    <w:rsid w:val="00951B33"/>
    <w:rsid w:val="00951B63"/>
    <w:rsid w:val="00951B6B"/>
    <w:rsid w:val="00951C6D"/>
    <w:rsid w:val="00951D03"/>
    <w:rsid w:val="00951D3C"/>
    <w:rsid w:val="00951D67"/>
    <w:rsid w:val="00951D7E"/>
    <w:rsid w:val="00951DC7"/>
    <w:rsid w:val="00951DF7"/>
    <w:rsid w:val="00951DF9"/>
    <w:rsid w:val="00951F29"/>
    <w:rsid w:val="00951F65"/>
    <w:rsid w:val="00951FED"/>
    <w:rsid w:val="00952010"/>
    <w:rsid w:val="00952037"/>
    <w:rsid w:val="00952140"/>
    <w:rsid w:val="00952189"/>
    <w:rsid w:val="009521CF"/>
    <w:rsid w:val="009521D9"/>
    <w:rsid w:val="009521EB"/>
    <w:rsid w:val="009521FE"/>
    <w:rsid w:val="00952220"/>
    <w:rsid w:val="00952256"/>
    <w:rsid w:val="00952259"/>
    <w:rsid w:val="00952277"/>
    <w:rsid w:val="009522F2"/>
    <w:rsid w:val="00952366"/>
    <w:rsid w:val="00952465"/>
    <w:rsid w:val="00952473"/>
    <w:rsid w:val="009524C2"/>
    <w:rsid w:val="0095255A"/>
    <w:rsid w:val="009525D1"/>
    <w:rsid w:val="0095264B"/>
    <w:rsid w:val="009526AC"/>
    <w:rsid w:val="009526B8"/>
    <w:rsid w:val="009526BB"/>
    <w:rsid w:val="00952763"/>
    <w:rsid w:val="009527B4"/>
    <w:rsid w:val="009527F9"/>
    <w:rsid w:val="00952841"/>
    <w:rsid w:val="0095285A"/>
    <w:rsid w:val="009528ED"/>
    <w:rsid w:val="00952956"/>
    <w:rsid w:val="00952A96"/>
    <w:rsid w:val="00952BCE"/>
    <w:rsid w:val="00952BF6"/>
    <w:rsid w:val="00952C00"/>
    <w:rsid w:val="00952C36"/>
    <w:rsid w:val="00952C83"/>
    <w:rsid w:val="00952C8B"/>
    <w:rsid w:val="00952C9D"/>
    <w:rsid w:val="00952D2E"/>
    <w:rsid w:val="00952D54"/>
    <w:rsid w:val="00952D9B"/>
    <w:rsid w:val="00952E89"/>
    <w:rsid w:val="00952EC2"/>
    <w:rsid w:val="00952EFB"/>
    <w:rsid w:val="00952FBC"/>
    <w:rsid w:val="0095312A"/>
    <w:rsid w:val="009531D7"/>
    <w:rsid w:val="0095320D"/>
    <w:rsid w:val="00953219"/>
    <w:rsid w:val="0095324F"/>
    <w:rsid w:val="00953274"/>
    <w:rsid w:val="009532E1"/>
    <w:rsid w:val="00953336"/>
    <w:rsid w:val="0095349C"/>
    <w:rsid w:val="00953590"/>
    <w:rsid w:val="009535C5"/>
    <w:rsid w:val="009535F3"/>
    <w:rsid w:val="009536C4"/>
    <w:rsid w:val="009536FC"/>
    <w:rsid w:val="0095374D"/>
    <w:rsid w:val="00953773"/>
    <w:rsid w:val="009537C4"/>
    <w:rsid w:val="009537C5"/>
    <w:rsid w:val="00953854"/>
    <w:rsid w:val="00953905"/>
    <w:rsid w:val="00953973"/>
    <w:rsid w:val="00953988"/>
    <w:rsid w:val="00953A58"/>
    <w:rsid w:val="00953A7C"/>
    <w:rsid w:val="00953A85"/>
    <w:rsid w:val="00953B25"/>
    <w:rsid w:val="00953B43"/>
    <w:rsid w:val="00953B46"/>
    <w:rsid w:val="00953B61"/>
    <w:rsid w:val="00953BA3"/>
    <w:rsid w:val="00953BAF"/>
    <w:rsid w:val="00953BCC"/>
    <w:rsid w:val="00953CBE"/>
    <w:rsid w:val="00953CD4"/>
    <w:rsid w:val="00953CF0"/>
    <w:rsid w:val="00953D32"/>
    <w:rsid w:val="00953D93"/>
    <w:rsid w:val="00953E20"/>
    <w:rsid w:val="00953E4E"/>
    <w:rsid w:val="00953F3E"/>
    <w:rsid w:val="00953F45"/>
    <w:rsid w:val="00953F67"/>
    <w:rsid w:val="00953FB1"/>
    <w:rsid w:val="00953FF9"/>
    <w:rsid w:val="00953FFA"/>
    <w:rsid w:val="0095404F"/>
    <w:rsid w:val="00954072"/>
    <w:rsid w:val="009540F6"/>
    <w:rsid w:val="00954110"/>
    <w:rsid w:val="0095411B"/>
    <w:rsid w:val="00954179"/>
    <w:rsid w:val="0095418A"/>
    <w:rsid w:val="009541FF"/>
    <w:rsid w:val="00954205"/>
    <w:rsid w:val="00954250"/>
    <w:rsid w:val="009542A6"/>
    <w:rsid w:val="009542B7"/>
    <w:rsid w:val="0095430E"/>
    <w:rsid w:val="00954356"/>
    <w:rsid w:val="00954379"/>
    <w:rsid w:val="0095438C"/>
    <w:rsid w:val="0095446C"/>
    <w:rsid w:val="009544F8"/>
    <w:rsid w:val="00954501"/>
    <w:rsid w:val="009545C6"/>
    <w:rsid w:val="009545ED"/>
    <w:rsid w:val="00954660"/>
    <w:rsid w:val="00954672"/>
    <w:rsid w:val="0095468B"/>
    <w:rsid w:val="0095468C"/>
    <w:rsid w:val="0095469B"/>
    <w:rsid w:val="009546B9"/>
    <w:rsid w:val="0095486F"/>
    <w:rsid w:val="00954887"/>
    <w:rsid w:val="009548B8"/>
    <w:rsid w:val="009548CD"/>
    <w:rsid w:val="0095491C"/>
    <w:rsid w:val="00954981"/>
    <w:rsid w:val="009549F5"/>
    <w:rsid w:val="009549FE"/>
    <w:rsid w:val="00954A24"/>
    <w:rsid w:val="00954A91"/>
    <w:rsid w:val="00954AC4"/>
    <w:rsid w:val="00954B19"/>
    <w:rsid w:val="00954B35"/>
    <w:rsid w:val="00954B6A"/>
    <w:rsid w:val="00954BEA"/>
    <w:rsid w:val="00954C08"/>
    <w:rsid w:val="00954C44"/>
    <w:rsid w:val="00954C64"/>
    <w:rsid w:val="00954CC0"/>
    <w:rsid w:val="00954CFA"/>
    <w:rsid w:val="00954D31"/>
    <w:rsid w:val="00954D75"/>
    <w:rsid w:val="00954DB0"/>
    <w:rsid w:val="00954E68"/>
    <w:rsid w:val="00954E89"/>
    <w:rsid w:val="00954F15"/>
    <w:rsid w:val="00954F1D"/>
    <w:rsid w:val="00954F4F"/>
    <w:rsid w:val="00954FD2"/>
    <w:rsid w:val="00955036"/>
    <w:rsid w:val="0095509E"/>
    <w:rsid w:val="009550BA"/>
    <w:rsid w:val="00955131"/>
    <w:rsid w:val="0095516E"/>
    <w:rsid w:val="009551CA"/>
    <w:rsid w:val="0095520F"/>
    <w:rsid w:val="00955284"/>
    <w:rsid w:val="009552BE"/>
    <w:rsid w:val="00955310"/>
    <w:rsid w:val="00955319"/>
    <w:rsid w:val="00955328"/>
    <w:rsid w:val="0095542B"/>
    <w:rsid w:val="00955464"/>
    <w:rsid w:val="009554AF"/>
    <w:rsid w:val="009554BA"/>
    <w:rsid w:val="009554F7"/>
    <w:rsid w:val="00955512"/>
    <w:rsid w:val="00955542"/>
    <w:rsid w:val="00955597"/>
    <w:rsid w:val="0095565F"/>
    <w:rsid w:val="009556A5"/>
    <w:rsid w:val="00955756"/>
    <w:rsid w:val="00955772"/>
    <w:rsid w:val="009557D4"/>
    <w:rsid w:val="00955816"/>
    <w:rsid w:val="00955820"/>
    <w:rsid w:val="00955823"/>
    <w:rsid w:val="00955833"/>
    <w:rsid w:val="009558CE"/>
    <w:rsid w:val="009558DE"/>
    <w:rsid w:val="00955915"/>
    <w:rsid w:val="00955927"/>
    <w:rsid w:val="0095593C"/>
    <w:rsid w:val="00955A41"/>
    <w:rsid w:val="00955ABC"/>
    <w:rsid w:val="00955AD9"/>
    <w:rsid w:val="00955B0B"/>
    <w:rsid w:val="00955B4F"/>
    <w:rsid w:val="00955B91"/>
    <w:rsid w:val="00955B94"/>
    <w:rsid w:val="00955B98"/>
    <w:rsid w:val="00955BCE"/>
    <w:rsid w:val="00955BE6"/>
    <w:rsid w:val="00955C6B"/>
    <w:rsid w:val="00955C71"/>
    <w:rsid w:val="00955C83"/>
    <w:rsid w:val="00955C84"/>
    <w:rsid w:val="00955CBA"/>
    <w:rsid w:val="00955D3E"/>
    <w:rsid w:val="00955DD1"/>
    <w:rsid w:val="00955E44"/>
    <w:rsid w:val="00955FF3"/>
    <w:rsid w:val="00956089"/>
    <w:rsid w:val="009560AC"/>
    <w:rsid w:val="00956176"/>
    <w:rsid w:val="00956287"/>
    <w:rsid w:val="00956320"/>
    <w:rsid w:val="009563F6"/>
    <w:rsid w:val="00956441"/>
    <w:rsid w:val="00956488"/>
    <w:rsid w:val="0095651C"/>
    <w:rsid w:val="00956547"/>
    <w:rsid w:val="00956583"/>
    <w:rsid w:val="009565DE"/>
    <w:rsid w:val="0095660F"/>
    <w:rsid w:val="009566A8"/>
    <w:rsid w:val="009566AB"/>
    <w:rsid w:val="009566B2"/>
    <w:rsid w:val="00956713"/>
    <w:rsid w:val="0095671C"/>
    <w:rsid w:val="009567D0"/>
    <w:rsid w:val="00956837"/>
    <w:rsid w:val="00956872"/>
    <w:rsid w:val="00956887"/>
    <w:rsid w:val="009569F8"/>
    <w:rsid w:val="00956A13"/>
    <w:rsid w:val="00956A70"/>
    <w:rsid w:val="00956A85"/>
    <w:rsid w:val="00956AA9"/>
    <w:rsid w:val="00956AB3"/>
    <w:rsid w:val="00956AD6"/>
    <w:rsid w:val="00956AF9"/>
    <w:rsid w:val="00956B01"/>
    <w:rsid w:val="00956B38"/>
    <w:rsid w:val="00956B47"/>
    <w:rsid w:val="00956B64"/>
    <w:rsid w:val="00956BFF"/>
    <w:rsid w:val="00956D16"/>
    <w:rsid w:val="00956D3C"/>
    <w:rsid w:val="00956D9F"/>
    <w:rsid w:val="00956DFF"/>
    <w:rsid w:val="00956E01"/>
    <w:rsid w:val="00956E06"/>
    <w:rsid w:val="00956E40"/>
    <w:rsid w:val="00956E49"/>
    <w:rsid w:val="00956E59"/>
    <w:rsid w:val="00956E7D"/>
    <w:rsid w:val="00956E85"/>
    <w:rsid w:val="00956EB8"/>
    <w:rsid w:val="00956EE7"/>
    <w:rsid w:val="00956EF8"/>
    <w:rsid w:val="00956F4E"/>
    <w:rsid w:val="00957027"/>
    <w:rsid w:val="00957061"/>
    <w:rsid w:val="00957097"/>
    <w:rsid w:val="009570B2"/>
    <w:rsid w:val="009570D3"/>
    <w:rsid w:val="009570D6"/>
    <w:rsid w:val="0095717B"/>
    <w:rsid w:val="0095719E"/>
    <w:rsid w:val="009571E3"/>
    <w:rsid w:val="0095724F"/>
    <w:rsid w:val="00957301"/>
    <w:rsid w:val="0095731E"/>
    <w:rsid w:val="00957373"/>
    <w:rsid w:val="0095738F"/>
    <w:rsid w:val="00957421"/>
    <w:rsid w:val="00957473"/>
    <w:rsid w:val="00957480"/>
    <w:rsid w:val="009574A4"/>
    <w:rsid w:val="0095753C"/>
    <w:rsid w:val="009575A7"/>
    <w:rsid w:val="009575FD"/>
    <w:rsid w:val="00957607"/>
    <w:rsid w:val="00957611"/>
    <w:rsid w:val="00957618"/>
    <w:rsid w:val="00957654"/>
    <w:rsid w:val="00957664"/>
    <w:rsid w:val="009576ED"/>
    <w:rsid w:val="00957748"/>
    <w:rsid w:val="0095775F"/>
    <w:rsid w:val="009578C4"/>
    <w:rsid w:val="009579ED"/>
    <w:rsid w:val="00957A24"/>
    <w:rsid w:val="00957B1A"/>
    <w:rsid w:val="00957B51"/>
    <w:rsid w:val="00957B65"/>
    <w:rsid w:val="00957BAF"/>
    <w:rsid w:val="00957C1F"/>
    <w:rsid w:val="00957CBA"/>
    <w:rsid w:val="00957DE6"/>
    <w:rsid w:val="00957FBF"/>
    <w:rsid w:val="00957FE4"/>
    <w:rsid w:val="00960017"/>
    <w:rsid w:val="0096004C"/>
    <w:rsid w:val="00960059"/>
    <w:rsid w:val="009600CD"/>
    <w:rsid w:val="009600CE"/>
    <w:rsid w:val="009600F2"/>
    <w:rsid w:val="0096016C"/>
    <w:rsid w:val="009601CE"/>
    <w:rsid w:val="009601E1"/>
    <w:rsid w:val="00960209"/>
    <w:rsid w:val="0096030B"/>
    <w:rsid w:val="00960371"/>
    <w:rsid w:val="00960435"/>
    <w:rsid w:val="00960490"/>
    <w:rsid w:val="009604FD"/>
    <w:rsid w:val="00960511"/>
    <w:rsid w:val="009605C8"/>
    <w:rsid w:val="00960622"/>
    <w:rsid w:val="009606BE"/>
    <w:rsid w:val="009606FE"/>
    <w:rsid w:val="009606FF"/>
    <w:rsid w:val="00960725"/>
    <w:rsid w:val="00960750"/>
    <w:rsid w:val="009607AE"/>
    <w:rsid w:val="009608DB"/>
    <w:rsid w:val="009608F3"/>
    <w:rsid w:val="0096092D"/>
    <w:rsid w:val="0096095B"/>
    <w:rsid w:val="009609C2"/>
    <w:rsid w:val="00960A16"/>
    <w:rsid w:val="00960A2E"/>
    <w:rsid w:val="00960A32"/>
    <w:rsid w:val="00960A3E"/>
    <w:rsid w:val="00960AC4"/>
    <w:rsid w:val="00960B56"/>
    <w:rsid w:val="00960B6D"/>
    <w:rsid w:val="00960B8D"/>
    <w:rsid w:val="00960B99"/>
    <w:rsid w:val="00960BAA"/>
    <w:rsid w:val="00960C6A"/>
    <w:rsid w:val="00960CDC"/>
    <w:rsid w:val="00960D7D"/>
    <w:rsid w:val="00960D8D"/>
    <w:rsid w:val="00960DC5"/>
    <w:rsid w:val="00960E18"/>
    <w:rsid w:val="00960E21"/>
    <w:rsid w:val="00960E46"/>
    <w:rsid w:val="00960EA4"/>
    <w:rsid w:val="00960EAE"/>
    <w:rsid w:val="00960EC5"/>
    <w:rsid w:val="00960EED"/>
    <w:rsid w:val="00960F5E"/>
    <w:rsid w:val="00960F95"/>
    <w:rsid w:val="00960FE9"/>
    <w:rsid w:val="00960FEB"/>
    <w:rsid w:val="0096113C"/>
    <w:rsid w:val="00961226"/>
    <w:rsid w:val="0096123C"/>
    <w:rsid w:val="00961351"/>
    <w:rsid w:val="00961373"/>
    <w:rsid w:val="00961418"/>
    <w:rsid w:val="0096147E"/>
    <w:rsid w:val="009614CE"/>
    <w:rsid w:val="00961534"/>
    <w:rsid w:val="00961599"/>
    <w:rsid w:val="00961663"/>
    <w:rsid w:val="00961686"/>
    <w:rsid w:val="009616B3"/>
    <w:rsid w:val="00961701"/>
    <w:rsid w:val="009617A3"/>
    <w:rsid w:val="009617F8"/>
    <w:rsid w:val="0096182D"/>
    <w:rsid w:val="009618A1"/>
    <w:rsid w:val="00961927"/>
    <w:rsid w:val="0096196C"/>
    <w:rsid w:val="00961999"/>
    <w:rsid w:val="009619C7"/>
    <w:rsid w:val="00961A27"/>
    <w:rsid w:val="00961B44"/>
    <w:rsid w:val="00961B51"/>
    <w:rsid w:val="00961BAA"/>
    <w:rsid w:val="00961BBB"/>
    <w:rsid w:val="00961BEB"/>
    <w:rsid w:val="00961BF7"/>
    <w:rsid w:val="00961C1E"/>
    <w:rsid w:val="00961C5F"/>
    <w:rsid w:val="00961C81"/>
    <w:rsid w:val="00961C90"/>
    <w:rsid w:val="00961CCC"/>
    <w:rsid w:val="00961CF1"/>
    <w:rsid w:val="00961D7B"/>
    <w:rsid w:val="00961E41"/>
    <w:rsid w:val="00961E9F"/>
    <w:rsid w:val="00961F56"/>
    <w:rsid w:val="00961F60"/>
    <w:rsid w:val="00961F9F"/>
    <w:rsid w:val="00962073"/>
    <w:rsid w:val="00962076"/>
    <w:rsid w:val="0096208F"/>
    <w:rsid w:val="009620AF"/>
    <w:rsid w:val="009621A4"/>
    <w:rsid w:val="00962212"/>
    <w:rsid w:val="0096224B"/>
    <w:rsid w:val="00962255"/>
    <w:rsid w:val="00962289"/>
    <w:rsid w:val="009622AE"/>
    <w:rsid w:val="0096236B"/>
    <w:rsid w:val="009623BC"/>
    <w:rsid w:val="0096242C"/>
    <w:rsid w:val="0096248C"/>
    <w:rsid w:val="00962498"/>
    <w:rsid w:val="009624D8"/>
    <w:rsid w:val="009624FA"/>
    <w:rsid w:val="00962544"/>
    <w:rsid w:val="00962549"/>
    <w:rsid w:val="00962645"/>
    <w:rsid w:val="009626B6"/>
    <w:rsid w:val="00962778"/>
    <w:rsid w:val="0096277F"/>
    <w:rsid w:val="009627E4"/>
    <w:rsid w:val="009627EA"/>
    <w:rsid w:val="009628BA"/>
    <w:rsid w:val="009628BB"/>
    <w:rsid w:val="009628C9"/>
    <w:rsid w:val="009628E7"/>
    <w:rsid w:val="00962952"/>
    <w:rsid w:val="0096295D"/>
    <w:rsid w:val="009629B3"/>
    <w:rsid w:val="009629CC"/>
    <w:rsid w:val="00962A14"/>
    <w:rsid w:val="00962AFC"/>
    <w:rsid w:val="00962BAA"/>
    <w:rsid w:val="00962BC9"/>
    <w:rsid w:val="00962BCA"/>
    <w:rsid w:val="00962C6F"/>
    <w:rsid w:val="00962C9B"/>
    <w:rsid w:val="00962CAC"/>
    <w:rsid w:val="00962CD2"/>
    <w:rsid w:val="00962D38"/>
    <w:rsid w:val="00962D45"/>
    <w:rsid w:val="00962E61"/>
    <w:rsid w:val="00962E74"/>
    <w:rsid w:val="00962E97"/>
    <w:rsid w:val="00962F0A"/>
    <w:rsid w:val="00962F1A"/>
    <w:rsid w:val="00962F64"/>
    <w:rsid w:val="00962F7D"/>
    <w:rsid w:val="00962F83"/>
    <w:rsid w:val="0096302C"/>
    <w:rsid w:val="00963092"/>
    <w:rsid w:val="0096314B"/>
    <w:rsid w:val="0096315B"/>
    <w:rsid w:val="0096319A"/>
    <w:rsid w:val="009631C1"/>
    <w:rsid w:val="00963232"/>
    <w:rsid w:val="009632B9"/>
    <w:rsid w:val="009632CC"/>
    <w:rsid w:val="009632E0"/>
    <w:rsid w:val="00963450"/>
    <w:rsid w:val="009634E5"/>
    <w:rsid w:val="00963537"/>
    <w:rsid w:val="00963549"/>
    <w:rsid w:val="00963590"/>
    <w:rsid w:val="009635BB"/>
    <w:rsid w:val="009635CA"/>
    <w:rsid w:val="009635D1"/>
    <w:rsid w:val="009635D2"/>
    <w:rsid w:val="0096364B"/>
    <w:rsid w:val="00963698"/>
    <w:rsid w:val="009637EF"/>
    <w:rsid w:val="00963828"/>
    <w:rsid w:val="0096382C"/>
    <w:rsid w:val="00963873"/>
    <w:rsid w:val="009638DC"/>
    <w:rsid w:val="009639B8"/>
    <w:rsid w:val="00963A30"/>
    <w:rsid w:val="00963AAB"/>
    <w:rsid w:val="00963AEC"/>
    <w:rsid w:val="00963B10"/>
    <w:rsid w:val="00963B49"/>
    <w:rsid w:val="00963BB1"/>
    <w:rsid w:val="00963C24"/>
    <w:rsid w:val="00963C48"/>
    <w:rsid w:val="00963CED"/>
    <w:rsid w:val="00963D5D"/>
    <w:rsid w:val="00963D71"/>
    <w:rsid w:val="00963E15"/>
    <w:rsid w:val="00963E28"/>
    <w:rsid w:val="00963E53"/>
    <w:rsid w:val="00963E8D"/>
    <w:rsid w:val="00963ECB"/>
    <w:rsid w:val="00963EE0"/>
    <w:rsid w:val="00963F65"/>
    <w:rsid w:val="00963F9A"/>
    <w:rsid w:val="00964019"/>
    <w:rsid w:val="00964028"/>
    <w:rsid w:val="0096406E"/>
    <w:rsid w:val="009640B4"/>
    <w:rsid w:val="00964124"/>
    <w:rsid w:val="00964179"/>
    <w:rsid w:val="009641BB"/>
    <w:rsid w:val="009641BD"/>
    <w:rsid w:val="009641E3"/>
    <w:rsid w:val="009642DC"/>
    <w:rsid w:val="009642FB"/>
    <w:rsid w:val="0096430A"/>
    <w:rsid w:val="0096430C"/>
    <w:rsid w:val="0096433F"/>
    <w:rsid w:val="009643D2"/>
    <w:rsid w:val="00964435"/>
    <w:rsid w:val="0096449C"/>
    <w:rsid w:val="009644C3"/>
    <w:rsid w:val="009644CB"/>
    <w:rsid w:val="0096453B"/>
    <w:rsid w:val="00964543"/>
    <w:rsid w:val="0096455E"/>
    <w:rsid w:val="00964580"/>
    <w:rsid w:val="009645E9"/>
    <w:rsid w:val="00964608"/>
    <w:rsid w:val="00964640"/>
    <w:rsid w:val="00964689"/>
    <w:rsid w:val="00964734"/>
    <w:rsid w:val="00964755"/>
    <w:rsid w:val="009647E3"/>
    <w:rsid w:val="009648B1"/>
    <w:rsid w:val="009648C2"/>
    <w:rsid w:val="009648EB"/>
    <w:rsid w:val="009648ED"/>
    <w:rsid w:val="00964910"/>
    <w:rsid w:val="00964931"/>
    <w:rsid w:val="00964963"/>
    <w:rsid w:val="009649A8"/>
    <w:rsid w:val="009649DA"/>
    <w:rsid w:val="00964A5B"/>
    <w:rsid w:val="00964ADE"/>
    <w:rsid w:val="00964B56"/>
    <w:rsid w:val="00964B7C"/>
    <w:rsid w:val="00964C0A"/>
    <w:rsid w:val="00964C19"/>
    <w:rsid w:val="00964C21"/>
    <w:rsid w:val="00964C24"/>
    <w:rsid w:val="00964D34"/>
    <w:rsid w:val="00964D78"/>
    <w:rsid w:val="00964D8F"/>
    <w:rsid w:val="00964DE7"/>
    <w:rsid w:val="00964E1C"/>
    <w:rsid w:val="00964F4D"/>
    <w:rsid w:val="00964F58"/>
    <w:rsid w:val="00964F7A"/>
    <w:rsid w:val="0096500D"/>
    <w:rsid w:val="00965039"/>
    <w:rsid w:val="0096508E"/>
    <w:rsid w:val="009650CF"/>
    <w:rsid w:val="009651F1"/>
    <w:rsid w:val="009651FE"/>
    <w:rsid w:val="0096525E"/>
    <w:rsid w:val="00965284"/>
    <w:rsid w:val="009652E5"/>
    <w:rsid w:val="00965329"/>
    <w:rsid w:val="00965393"/>
    <w:rsid w:val="009653F6"/>
    <w:rsid w:val="00965461"/>
    <w:rsid w:val="00965468"/>
    <w:rsid w:val="00965507"/>
    <w:rsid w:val="00965568"/>
    <w:rsid w:val="00965579"/>
    <w:rsid w:val="009655AF"/>
    <w:rsid w:val="0096563C"/>
    <w:rsid w:val="009656B1"/>
    <w:rsid w:val="009656C4"/>
    <w:rsid w:val="0096570B"/>
    <w:rsid w:val="00965715"/>
    <w:rsid w:val="00965723"/>
    <w:rsid w:val="0096572B"/>
    <w:rsid w:val="00965755"/>
    <w:rsid w:val="00965767"/>
    <w:rsid w:val="009657BE"/>
    <w:rsid w:val="009657F4"/>
    <w:rsid w:val="00965846"/>
    <w:rsid w:val="0096585A"/>
    <w:rsid w:val="00965A1B"/>
    <w:rsid w:val="00965AD4"/>
    <w:rsid w:val="00965B39"/>
    <w:rsid w:val="00965B4B"/>
    <w:rsid w:val="00965B90"/>
    <w:rsid w:val="00965CC8"/>
    <w:rsid w:val="00965E2D"/>
    <w:rsid w:val="00965F6A"/>
    <w:rsid w:val="00965F6F"/>
    <w:rsid w:val="00965FCD"/>
    <w:rsid w:val="0096601E"/>
    <w:rsid w:val="0096608A"/>
    <w:rsid w:val="009660A0"/>
    <w:rsid w:val="009660FF"/>
    <w:rsid w:val="00966209"/>
    <w:rsid w:val="0096625B"/>
    <w:rsid w:val="0096626E"/>
    <w:rsid w:val="00966270"/>
    <w:rsid w:val="009662B2"/>
    <w:rsid w:val="009662C6"/>
    <w:rsid w:val="00966325"/>
    <w:rsid w:val="0096640A"/>
    <w:rsid w:val="0096640F"/>
    <w:rsid w:val="00966439"/>
    <w:rsid w:val="0096649F"/>
    <w:rsid w:val="009664ED"/>
    <w:rsid w:val="00966514"/>
    <w:rsid w:val="00966518"/>
    <w:rsid w:val="0096656B"/>
    <w:rsid w:val="00966650"/>
    <w:rsid w:val="00966659"/>
    <w:rsid w:val="0096665A"/>
    <w:rsid w:val="00966675"/>
    <w:rsid w:val="009666EE"/>
    <w:rsid w:val="00966725"/>
    <w:rsid w:val="0096672B"/>
    <w:rsid w:val="00966776"/>
    <w:rsid w:val="009667E7"/>
    <w:rsid w:val="0096686D"/>
    <w:rsid w:val="0096693D"/>
    <w:rsid w:val="00966970"/>
    <w:rsid w:val="00966994"/>
    <w:rsid w:val="00966A13"/>
    <w:rsid w:val="00966A18"/>
    <w:rsid w:val="00966A89"/>
    <w:rsid w:val="00966A8F"/>
    <w:rsid w:val="00966AC0"/>
    <w:rsid w:val="00966AE7"/>
    <w:rsid w:val="00966BA0"/>
    <w:rsid w:val="00966BD0"/>
    <w:rsid w:val="00966C6C"/>
    <w:rsid w:val="00966CD9"/>
    <w:rsid w:val="00966D3A"/>
    <w:rsid w:val="00966EB5"/>
    <w:rsid w:val="00966F10"/>
    <w:rsid w:val="00966F76"/>
    <w:rsid w:val="00966F78"/>
    <w:rsid w:val="00966FA7"/>
    <w:rsid w:val="00966FB3"/>
    <w:rsid w:val="00967121"/>
    <w:rsid w:val="00967132"/>
    <w:rsid w:val="00967151"/>
    <w:rsid w:val="00967154"/>
    <w:rsid w:val="00967161"/>
    <w:rsid w:val="009671CF"/>
    <w:rsid w:val="009671F3"/>
    <w:rsid w:val="00967242"/>
    <w:rsid w:val="0096734E"/>
    <w:rsid w:val="0096736D"/>
    <w:rsid w:val="009673BF"/>
    <w:rsid w:val="0096743D"/>
    <w:rsid w:val="00967501"/>
    <w:rsid w:val="00967574"/>
    <w:rsid w:val="009675A9"/>
    <w:rsid w:val="009675F3"/>
    <w:rsid w:val="009676A8"/>
    <w:rsid w:val="009676B7"/>
    <w:rsid w:val="0096771E"/>
    <w:rsid w:val="009677E5"/>
    <w:rsid w:val="00967833"/>
    <w:rsid w:val="00967889"/>
    <w:rsid w:val="009678E3"/>
    <w:rsid w:val="00967921"/>
    <w:rsid w:val="0096797B"/>
    <w:rsid w:val="00967999"/>
    <w:rsid w:val="00967A11"/>
    <w:rsid w:val="00967A17"/>
    <w:rsid w:val="00967A18"/>
    <w:rsid w:val="00967A76"/>
    <w:rsid w:val="00967A77"/>
    <w:rsid w:val="00967AB9"/>
    <w:rsid w:val="00967B26"/>
    <w:rsid w:val="00967BFE"/>
    <w:rsid w:val="00967C3C"/>
    <w:rsid w:val="00967C5E"/>
    <w:rsid w:val="00967C9A"/>
    <w:rsid w:val="00967D05"/>
    <w:rsid w:val="00967D63"/>
    <w:rsid w:val="00967EBB"/>
    <w:rsid w:val="00967F26"/>
    <w:rsid w:val="00967F2F"/>
    <w:rsid w:val="00967FAB"/>
    <w:rsid w:val="00967FD3"/>
    <w:rsid w:val="00967FEA"/>
    <w:rsid w:val="00970019"/>
    <w:rsid w:val="0097007F"/>
    <w:rsid w:val="009700BE"/>
    <w:rsid w:val="0097015F"/>
    <w:rsid w:val="009701AC"/>
    <w:rsid w:val="009701AE"/>
    <w:rsid w:val="009701BA"/>
    <w:rsid w:val="009701EA"/>
    <w:rsid w:val="00970271"/>
    <w:rsid w:val="00970291"/>
    <w:rsid w:val="0097030B"/>
    <w:rsid w:val="00970355"/>
    <w:rsid w:val="0097039B"/>
    <w:rsid w:val="00970433"/>
    <w:rsid w:val="00970588"/>
    <w:rsid w:val="009705D1"/>
    <w:rsid w:val="00970626"/>
    <w:rsid w:val="0097065F"/>
    <w:rsid w:val="0097074E"/>
    <w:rsid w:val="009708BB"/>
    <w:rsid w:val="00970944"/>
    <w:rsid w:val="0097097D"/>
    <w:rsid w:val="009709BC"/>
    <w:rsid w:val="009709BD"/>
    <w:rsid w:val="009709D9"/>
    <w:rsid w:val="00970B51"/>
    <w:rsid w:val="00970B8F"/>
    <w:rsid w:val="00970B95"/>
    <w:rsid w:val="00970BCE"/>
    <w:rsid w:val="00970CFE"/>
    <w:rsid w:val="00970DDF"/>
    <w:rsid w:val="00970E06"/>
    <w:rsid w:val="00970E0A"/>
    <w:rsid w:val="00970E13"/>
    <w:rsid w:val="00970F07"/>
    <w:rsid w:val="00970F1F"/>
    <w:rsid w:val="00970F61"/>
    <w:rsid w:val="00971017"/>
    <w:rsid w:val="0097103D"/>
    <w:rsid w:val="009710B6"/>
    <w:rsid w:val="009710C9"/>
    <w:rsid w:val="0097115F"/>
    <w:rsid w:val="0097117C"/>
    <w:rsid w:val="009711C5"/>
    <w:rsid w:val="009711EE"/>
    <w:rsid w:val="00971293"/>
    <w:rsid w:val="0097130D"/>
    <w:rsid w:val="00971334"/>
    <w:rsid w:val="00971389"/>
    <w:rsid w:val="009713A3"/>
    <w:rsid w:val="0097141F"/>
    <w:rsid w:val="009714C0"/>
    <w:rsid w:val="009714E7"/>
    <w:rsid w:val="009714FD"/>
    <w:rsid w:val="00971509"/>
    <w:rsid w:val="00971513"/>
    <w:rsid w:val="0097156B"/>
    <w:rsid w:val="00971605"/>
    <w:rsid w:val="00971611"/>
    <w:rsid w:val="00971700"/>
    <w:rsid w:val="00971701"/>
    <w:rsid w:val="00971709"/>
    <w:rsid w:val="00971758"/>
    <w:rsid w:val="0097178F"/>
    <w:rsid w:val="00971841"/>
    <w:rsid w:val="00971865"/>
    <w:rsid w:val="00971886"/>
    <w:rsid w:val="0097198D"/>
    <w:rsid w:val="00971997"/>
    <w:rsid w:val="00971A1C"/>
    <w:rsid w:val="00971B0A"/>
    <w:rsid w:val="00971BD8"/>
    <w:rsid w:val="00971BF4"/>
    <w:rsid w:val="00971C50"/>
    <w:rsid w:val="00971C6B"/>
    <w:rsid w:val="00971CC1"/>
    <w:rsid w:val="00971D00"/>
    <w:rsid w:val="00971D14"/>
    <w:rsid w:val="00971D3E"/>
    <w:rsid w:val="00971E21"/>
    <w:rsid w:val="00971E7A"/>
    <w:rsid w:val="00971EAF"/>
    <w:rsid w:val="00971EB7"/>
    <w:rsid w:val="00971F5F"/>
    <w:rsid w:val="00971FC5"/>
    <w:rsid w:val="00971FE4"/>
    <w:rsid w:val="00972091"/>
    <w:rsid w:val="009720BF"/>
    <w:rsid w:val="009720C0"/>
    <w:rsid w:val="009720CF"/>
    <w:rsid w:val="009721C7"/>
    <w:rsid w:val="00972210"/>
    <w:rsid w:val="009722F6"/>
    <w:rsid w:val="00972309"/>
    <w:rsid w:val="00972366"/>
    <w:rsid w:val="00972383"/>
    <w:rsid w:val="00972420"/>
    <w:rsid w:val="0097246E"/>
    <w:rsid w:val="009724C4"/>
    <w:rsid w:val="009724E7"/>
    <w:rsid w:val="009724F4"/>
    <w:rsid w:val="00972502"/>
    <w:rsid w:val="0097257A"/>
    <w:rsid w:val="00972631"/>
    <w:rsid w:val="0097265A"/>
    <w:rsid w:val="00972693"/>
    <w:rsid w:val="0097273A"/>
    <w:rsid w:val="009727B4"/>
    <w:rsid w:val="009727BC"/>
    <w:rsid w:val="009727CF"/>
    <w:rsid w:val="009727D3"/>
    <w:rsid w:val="00972812"/>
    <w:rsid w:val="00972830"/>
    <w:rsid w:val="00972845"/>
    <w:rsid w:val="0097284A"/>
    <w:rsid w:val="009728C6"/>
    <w:rsid w:val="009729E2"/>
    <w:rsid w:val="00972A10"/>
    <w:rsid w:val="00972AA2"/>
    <w:rsid w:val="00972B36"/>
    <w:rsid w:val="00972BBC"/>
    <w:rsid w:val="00972BD5"/>
    <w:rsid w:val="00972BF5"/>
    <w:rsid w:val="00972C51"/>
    <w:rsid w:val="00972C6C"/>
    <w:rsid w:val="00972C9D"/>
    <w:rsid w:val="00972CA7"/>
    <w:rsid w:val="00972CF0"/>
    <w:rsid w:val="00972D63"/>
    <w:rsid w:val="00972D66"/>
    <w:rsid w:val="00972D85"/>
    <w:rsid w:val="00972DAD"/>
    <w:rsid w:val="00972DF4"/>
    <w:rsid w:val="00972E25"/>
    <w:rsid w:val="00972E43"/>
    <w:rsid w:val="00972E51"/>
    <w:rsid w:val="00972E72"/>
    <w:rsid w:val="00972E8A"/>
    <w:rsid w:val="00972E95"/>
    <w:rsid w:val="00972ECD"/>
    <w:rsid w:val="00972F20"/>
    <w:rsid w:val="00972F99"/>
    <w:rsid w:val="00972FC8"/>
    <w:rsid w:val="00973018"/>
    <w:rsid w:val="0097309C"/>
    <w:rsid w:val="0097309D"/>
    <w:rsid w:val="00973146"/>
    <w:rsid w:val="009731AD"/>
    <w:rsid w:val="00973274"/>
    <w:rsid w:val="009732EC"/>
    <w:rsid w:val="00973369"/>
    <w:rsid w:val="00973392"/>
    <w:rsid w:val="009733BC"/>
    <w:rsid w:val="00973401"/>
    <w:rsid w:val="00973414"/>
    <w:rsid w:val="00973448"/>
    <w:rsid w:val="0097345C"/>
    <w:rsid w:val="00973484"/>
    <w:rsid w:val="009734A7"/>
    <w:rsid w:val="009734D0"/>
    <w:rsid w:val="009734F5"/>
    <w:rsid w:val="0097352A"/>
    <w:rsid w:val="009735C1"/>
    <w:rsid w:val="009735E0"/>
    <w:rsid w:val="00973627"/>
    <w:rsid w:val="009736BC"/>
    <w:rsid w:val="009736D1"/>
    <w:rsid w:val="009736F3"/>
    <w:rsid w:val="00973703"/>
    <w:rsid w:val="0097379E"/>
    <w:rsid w:val="009737AC"/>
    <w:rsid w:val="0097395E"/>
    <w:rsid w:val="00973962"/>
    <w:rsid w:val="00973980"/>
    <w:rsid w:val="009739C3"/>
    <w:rsid w:val="00973A7A"/>
    <w:rsid w:val="00973B23"/>
    <w:rsid w:val="00973B51"/>
    <w:rsid w:val="00973C30"/>
    <w:rsid w:val="00973C6C"/>
    <w:rsid w:val="00973C79"/>
    <w:rsid w:val="00973CB5"/>
    <w:rsid w:val="00973D36"/>
    <w:rsid w:val="00973D3F"/>
    <w:rsid w:val="00973D45"/>
    <w:rsid w:val="00973D4A"/>
    <w:rsid w:val="00973EE6"/>
    <w:rsid w:val="00974017"/>
    <w:rsid w:val="0097410D"/>
    <w:rsid w:val="00974113"/>
    <w:rsid w:val="00974167"/>
    <w:rsid w:val="0097419F"/>
    <w:rsid w:val="009741CC"/>
    <w:rsid w:val="009741FA"/>
    <w:rsid w:val="0097428D"/>
    <w:rsid w:val="00974324"/>
    <w:rsid w:val="0097436A"/>
    <w:rsid w:val="00974372"/>
    <w:rsid w:val="0097438E"/>
    <w:rsid w:val="009743D7"/>
    <w:rsid w:val="00974401"/>
    <w:rsid w:val="0097440C"/>
    <w:rsid w:val="00974439"/>
    <w:rsid w:val="00974460"/>
    <w:rsid w:val="00974479"/>
    <w:rsid w:val="00974504"/>
    <w:rsid w:val="00974527"/>
    <w:rsid w:val="00974561"/>
    <w:rsid w:val="00974609"/>
    <w:rsid w:val="00974621"/>
    <w:rsid w:val="009746B3"/>
    <w:rsid w:val="00974739"/>
    <w:rsid w:val="0097473A"/>
    <w:rsid w:val="00974769"/>
    <w:rsid w:val="00974774"/>
    <w:rsid w:val="0097478A"/>
    <w:rsid w:val="00974797"/>
    <w:rsid w:val="009747BE"/>
    <w:rsid w:val="009747EC"/>
    <w:rsid w:val="00974880"/>
    <w:rsid w:val="0097488A"/>
    <w:rsid w:val="009748A9"/>
    <w:rsid w:val="009748B9"/>
    <w:rsid w:val="00974906"/>
    <w:rsid w:val="00974934"/>
    <w:rsid w:val="0097493E"/>
    <w:rsid w:val="00974947"/>
    <w:rsid w:val="0097499D"/>
    <w:rsid w:val="009749C7"/>
    <w:rsid w:val="00974A39"/>
    <w:rsid w:val="00974AC2"/>
    <w:rsid w:val="00974AE3"/>
    <w:rsid w:val="00974B0D"/>
    <w:rsid w:val="00974B6F"/>
    <w:rsid w:val="00974B90"/>
    <w:rsid w:val="00974B93"/>
    <w:rsid w:val="00974CC9"/>
    <w:rsid w:val="00974CF6"/>
    <w:rsid w:val="00974D0F"/>
    <w:rsid w:val="00974D6C"/>
    <w:rsid w:val="00974DCD"/>
    <w:rsid w:val="00974E15"/>
    <w:rsid w:val="00974E52"/>
    <w:rsid w:val="00974EB5"/>
    <w:rsid w:val="00975055"/>
    <w:rsid w:val="0097509F"/>
    <w:rsid w:val="009750B0"/>
    <w:rsid w:val="00975194"/>
    <w:rsid w:val="009751D1"/>
    <w:rsid w:val="009751D3"/>
    <w:rsid w:val="009751F7"/>
    <w:rsid w:val="009751FC"/>
    <w:rsid w:val="0097525B"/>
    <w:rsid w:val="00975280"/>
    <w:rsid w:val="009752C8"/>
    <w:rsid w:val="00975350"/>
    <w:rsid w:val="009753E7"/>
    <w:rsid w:val="009753F8"/>
    <w:rsid w:val="0097542B"/>
    <w:rsid w:val="00975430"/>
    <w:rsid w:val="00975462"/>
    <w:rsid w:val="009754C8"/>
    <w:rsid w:val="009754D9"/>
    <w:rsid w:val="0097550D"/>
    <w:rsid w:val="00975593"/>
    <w:rsid w:val="0097561F"/>
    <w:rsid w:val="00975641"/>
    <w:rsid w:val="00975652"/>
    <w:rsid w:val="00975721"/>
    <w:rsid w:val="00975723"/>
    <w:rsid w:val="00975745"/>
    <w:rsid w:val="009757A7"/>
    <w:rsid w:val="009757BB"/>
    <w:rsid w:val="00975953"/>
    <w:rsid w:val="00975A00"/>
    <w:rsid w:val="00975A18"/>
    <w:rsid w:val="00975B06"/>
    <w:rsid w:val="00975BF5"/>
    <w:rsid w:val="00975C95"/>
    <w:rsid w:val="00975CC9"/>
    <w:rsid w:val="00975CD3"/>
    <w:rsid w:val="00975CDD"/>
    <w:rsid w:val="00975D18"/>
    <w:rsid w:val="00975D36"/>
    <w:rsid w:val="00975DF9"/>
    <w:rsid w:val="00975E28"/>
    <w:rsid w:val="00975EF1"/>
    <w:rsid w:val="00975F0D"/>
    <w:rsid w:val="00975F3E"/>
    <w:rsid w:val="00975F92"/>
    <w:rsid w:val="00975FA2"/>
    <w:rsid w:val="00976053"/>
    <w:rsid w:val="0097606E"/>
    <w:rsid w:val="00976083"/>
    <w:rsid w:val="009760EB"/>
    <w:rsid w:val="0097612D"/>
    <w:rsid w:val="00976143"/>
    <w:rsid w:val="00976178"/>
    <w:rsid w:val="0097618F"/>
    <w:rsid w:val="009761E2"/>
    <w:rsid w:val="009762BD"/>
    <w:rsid w:val="00976307"/>
    <w:rsid w:val="0097631A"/>
    <w:rsid w:val="0097631E"/>
    <w:rsid w:val="00976349"/>
    <w:rsid w:val="00976363"/>
    <w:rsid w:val="009763C5"/>
    <w:rsid w:val="009763EB"/>
    <w:rsid w:val="009763FC"/>
    <w:rsid w:val="00976421"/>
    <w:rsid w:val="0097648C"/>
    <w:rsid w:val="0097649F"/>
    <w:rsid w:val="009764F3"/>
    <w:rsid w:val="00976540"/>
    <w:rsid w:val="00976573"/>
    <w:rsid w:val="009765EE"/>
    <w:rsid w:val="0097665D"/>
    <w:rsid w:val="00976690"/>
    <w:rsid w:val="00976708"/>
    <w:rsid w:val="00976789"/>
    <w:rsid w:val="0097678F"/>
    <w:rsid w:val="0097679B"/>
    <w:rsid w:val="009767AF"/>
    <w:rsid w:val="00976850"/>
    <w:rsid w:val="00976853"/>
    <w:rsid w:val="0097689E"/>
    <w:rsid w:val="009768CA"/>
    <w:rsid w:val="009768CB"/>
    <w:rsid w:val="009768FE"/>
    <w:rsid w:val="00976945"/>
    <w:rsid w:val="00976958"/>
    <w:rsid w:val="00976A39"/>
    <w:rsid w:val="00976A5E"/>
    <w:rsid w:val="00976A71"/>
    <w:rsid w:val="00976AD0"/>
    <w:rsid w:val="00976B6A"/>
    <w:rsid w:val="00976B73"/>
    <w:rsid w:val="00976C56"/>
    <w:rsid w:val="00976CED"/>
    <w:rsid w:val="00976D33"/>
    <w:rsid w:val="00976D36"/>
    <w:rsid w:val="00976D45"/>
    <w:rsid w:val="00976DA5"/>
    <w:rsid w:val="00976DEF"/>
    <w:rsid w:val="00976E34"/>
    <w:rsid w:val="00976E61"/>
    <w:rsid w:val="00976E66"/>
    <w:rsid w:val="00976E6D"/>
    <w:rsid w:val="00976E8A"/>
    <w:rsid w:val="00976E98"/>
    <w:rsid w:val="00976EA0"/>
    <w:rsid w:val="00976EE0"/>
    <w:rsid w:val="00977079"/>
    <w:rsid w:val="0097708F"/>
    <w:rsid w:val="009770B8"/>
    <w:rsid w:val="009770F0"/>
    <w:rsid w:val="00977127"/>
    <w:rsid w:val="0097713E"/>
    <w:rsid w:val="0097716E"/>
    <w:rsid w:val="00977185"/>
    <w:rsid w:val="00977195"/>
    <w:rsid w:val="0097720C"/>
    <w:rsid w:val="00977269"/>
    <w:rsid w:val="00977279"/>
    <w:rsid w:val="00977304"/>
    <w:rsid w:val="00977362"/>
    <w:rsid w:val="00977461"/>
    <w:rsid w:val="009774AA"/>
    <w:rsid w:val="009774AF"/>
    <w:rsid w:val="009774D9"/>
    <w:rsid w:val="00977561"/>
    <w:rsid w:val="009775FF"/>
    <w:rsid w:val="00977655"/>
    <w:rsid w:val="00977661"/>
    <w:rsid w:val="00977687"/>
    <w:rsid w:val="00977692"/>
    <w:rsid w:val="009776BC"/>
    <w:rsid w:val="009776CD"/>
    <w:rsid w:val="009777C3"/>
    <w:rsid w:val="009777C8"/>
    <w:rsid w:val="009777E6"/>
    <w:rsid w:val="00977843"/>
    <w:rsid w:val="00977880"/>
    <w:rsid w:val="009778A1"/>
    <w:rsid w:val="009778A6"/>
    <w:rsid w:val="00977968"/>
    <w:rsid w:val="009779B0"/>
    <w:rsid w:val="009779D5"/>
    <w:rsid w:val="009779E1"/>
    <w:rsid w:val="00977A57"/>
    <w:rsid w:val="00977A82"/>
    <w:rsid w:val="00977AD4"/>
    <w:rsid w:val="00977AFF"/>
    <w:rsid w:val="00977B91"/>
    <w:rsid w:val="00977BEA"/>
    <w:rsid w:val="00977C32"/>
    <w:rsid w:val="00977C3B"/>
    <w:rsid w:val="00977C43"/>
    <w:rsid w:val="00977C4A"/>
    <w:rsid w:val="00977C5D"/>
    <w:rsid w:val="00977C8F"/>
    <w:rsid w:val="00977E19"/>
    <w:rsid w:val="00977E71"/>
    <w:rsid w:val="00977EBA"/>
    <w:rsid w:val="00977F28"/>
    <w:rsid w:val="00977F43"/>
    <w:rsid w:val="00977F54"/>
    <w:rsid w:val="00977F89"/>
    <w:rsid w:val="00977F93"/>
    <w:rsid w:val="00977FFD"/>
    <w:rsid w:val="00980002"/>
    <w:rsid w:val="00980015"/>
    <w:rsid w:val="0098003A"/>
    <w:rsid w:val="0098004F"/>
    <w:rsid w:val="00980094"/>
    <w:rsid w:val="009800A7"/>
    <w:rsid w:val="009800E7"/>
    <w:rsid w:val="009800F7"/>
    <w:rsid w:val="0098019A"/>
    <w:rsid w:val="00980309"/>
    <w:rsid w:val="00980422"/>
    <w:rsid w:val="00980444"/>
    <w:rsid w:val="0098046A"/>
    <w:rsid w:val="0098046D"/>
    <w:rsid w:val="00980495"/>
    <w:rsid w:val="00980531"/>
    <w:rsid w:val="00980554"/>
    <w:rsid w:val="00980560"/>
    <w:rsid w:val="009805AB"/>
    <w:rsid w:val="009805AD"/>
    <w:rsid w:val="009805C9"/>
    <w:rsid w:val="009805DB"/>
    <w:rsid w:val="009805EC"/>
    <w:rsid w:val="009805FD"/>
    <w:rsid w:val="00980704"/>
    <w:rsid w:val="00980799"/>
    <w:rsid w:val="009807FA"/>
    <w:rsid w:val="0098083A"/>
    <w:rsid w:val="00980889"/>
    <w:rsid w:val="009808CE"/>
    <w:rsid w:val="009808E6"/>
    <w:rsid w:val="00980918"/>
    <w:rsid w:val="00980946"/>
    <w:rsid w:val="00980952"/>
    <w:rsid w:val="009809DB"/>
    <w:rsid w:val="009809F0"/>
    <w:rsid w:val="00980A04"/>
    <w:rsid w:val="00980A48"/>
    <w:rsid w:val="00980ABE"/>
    <w:rsid w:val="00980AD2"/>
    <w:rsid w:val="00980B24"/>
    <w:rsid w:val="00980B51"/>
    <w:rsid w:val="00980BA0"/>
    <w:rsid w:val="00980BA1"/>
    <w:rsid w:val="00980D00"/>
    <w:rsid w:val="00980D55"/>
    <w:rsid w:val="00980D81"/>
    <w:rsid w:val="00980DAF"/>
    <w:rsid w:val="00980DB8"/>
    <w:rsid w:val="00980E63"/>
    <w:rsid w:val="00980F65"/>
    <w:rsid w:val="00980FA9"/>
    <w:rsid w:val="00980FDA"/>
    <w:rsid w:val="00981075"/>
    <w:rsid w:val="0098107D"/>
    <w:rsid w:val="0098109F"/>
    <w:rsid w:val="009810D1"/>
    <w:rsid w:val="0098110E"/>
    <w:rsid w:val="009811BE"/>
    <w:rsid w:val="0098120A"/>
    <w:rsid w:val="009812C6"/>
    <w:rsid w:val="009812C8"/>
    <w:rsid w:val="00981308"/>
    <w:rsid w:val="0098132D"/>
    <w:rsid w:val="0098133C"/>
    <w:rsid w:val="00981390"/>
    <w:rsid w:val="009813A9"/>
    <w:rsid w:val="00981406"/>
    <w:rsid w:val="00981456"/>
    <w:rsid w:val="00981480"/>
    <w:rsid w:val="0098157D"/>
    <w:rsid w:val="0098158E"/>
    <w:rsid w:val="009815C7"/>
    <w:rsid w:val="009815DA"/>
    <w:rsid w:val="0098164A"/>
    <w:rsid w:val="009816F4"/>
    <w:rsid w:val="0098174F"/>
    <w:rsid w:val="009817C2"/>
    <w:rsid w:val="00981820"/>
    <w:rsid w:val="0098185A"/>
    <w:rsid w:val="009818B1"/>
    <w:rsid w:val="009818D6"/>
    <w:rsid w:val="009819DF"/>
    <w:rsid w:val="00981A1F"/>
    <w:rsid w:val="00981B12"/>
    <w:rsid w:val="00981B24"/>
    <w:rsid w:val="00981BA0"/>
    <w:rsid w:val="00981BC0"/>
    <w:rsid w:val="00981BFC"/>
    <w:rsid w:val="00981C05"/>
    <w:rsid w:val="00981C27"/>
    <w:rsid w:val="00981C8D"/>
    <w:rsid w:val="00981CFF"/>
    <w:rsid w:val="00981D3B"/>
    <w:rsid w:val="00981D80"/>
    <w:rsid w:val="00981DC3"/>
    <w:rsid w:val="00981EAC"/>
    <w:rsid w:val="00981F0E"/>
    <w:rsid w:val="00981F71"/>
    <w:rsid w:val="00981F8D"/>
    <w:rsid w:val="00981F97"/>
    <w:rsid w:val="00981FF3"/>
    <w:rsid w:val="00982026"/>
    <w:rsid w:val="00982059"/>
    <w:rsid w:val="0098206F"/>
    <w:rsid w:val="009820F1"/>
    <w:rsid w:val="00982114"/>
    <w:rsid w:val="00982122"/>
    <w:rsid w:val="00982125"/>
    <w:rsid w:val="0098213A"/>
    <w:rsid w:val="009821CE"/>
    <w:rsid w:val="009821E8"/>
    <w:rsid w:val="009821F1"/>
    <w:rsid w:val="009821F9"/>
    <w:rsid w:val="0098220C"/>
    <w:rsid w:val="0098225A"/>
    <w:rsid w:val="00982281"/>
    <w:rsid w:val="00982293"/>
    <w:rsid w:val="00982404"/>
    <w:rsid w:val="0098246C"/>
    <w:rsid w:val="009824BD"/>
    <w:rsid w:val="009824DB"/>
    <w:rsid w:val="00982541"/>
    <w:rsid w:val="009825D7"/>
    <w:rsid w:val="00982625"/>
    <w:rsid w:val="00982669"/>
    <w:rsid w:val="0098268D"/>
    <w:rsid w:val="009826E1"/>
    <w:rsid w:val="0098272F"/>
    <w:rsid w:val="00982746"/>
    <w:rsid w:val="0098279F"/>
    <w:rsid w:val="00982818"/>
    <w:rsid w:val="0098283C"/>
    <w:rsid w:val="009828E5"/>
    <w:rsid w:val="009829D9"/>
    <w:rsid w:val="00982A26"/>
    <w:rsid w:val="00982A39"/>
    <w:rsid w:val="00982A95"/>
    <w:rsid w:val="00982A96"/>
    <w:rsid w:val="00982AAD"/>
    <w:rsid w:val="00982B8D"/>
    <w:rsid w:val="00982C4D"/>
    <w:rsid w:val="00982C96"/>
    <w:rsid w:val="00982D23"/>
    <w:rsid w:val="00982D64"/>
    <w:rsid w:val="00982DB1"/>
    <w:rsid w:val="00982DBA"/>
    <w:rsid w:val="00982EAA"/>
    <w:rsid w:val="00982FD3"/>
    <w:rsid w:val="00983020"/>
    <w:rsid w:val="00983033"/>
    <w:rsid w:val="0098304C"/>
    <w:rsid w:val="00983069"/>
    <w:rsid w:val="009830A4"/>
    <w:rsid w:val="009831DC"/>
    <w:rsid w:val="009831E6"/>
    <w:rsid w:val="009832D2"/>
    <w:rsid w:val="009832EF"/>
    <w:rsid w:val="009832F0"/>
    <w:rsid w:val="009833A8"/>
    <w:rsid w:val="009833D1"/>
    <w:rsid w:val="00983403"/>
    <w:rsid w:val="0098344F"/>
    <w:rsid w:val="0098350C"/>
    <w:rsid w:val="00983631"/>
    <w:rsid w:val="0098365C"/>
    <w:rsid w:val="009836B6"/>
    <w:rsid w:val="00983700"/>
    <w:rsid w:val="00983708"/>
    <w:rsid w:val="00983735"/>
    <w:rsid w:val="00983893"/>
    <w:rsid w:val="009838C6"/>
    <w:rsid w:val="0098390D"/>
    <w:rsid w:val="009839AD"/>
    <w:rsid w:val="009839D1"/>
    <w:rsid w:val="00983A03"/>
    <w:rsid w:val="00983A63"/>
    <w:rsid w:val="00983A77"/>
    <w:rsid w:val="00983B24"/>
    <w:rsid w:val="00983B56"/>
    <w:rsid w:val="00983B87"/>
    <w:rsid w:val="00983CE3"/>
    <w:rsid w:val="00983D1D"/>
    <w:rsid w:val="00983D27"/>
    <w:rsid w:val="00983D35"/>
    <w:rsid w:val="00983DC0"/>
    <w:rsid w:val="00983DE9"/>
    <w:rsid w:val="00983E56"/>
    <w:rsid w:val="00983E68"/>
    <w:rsid w:val="00983E98"/>
    <w:rsid w:val="00983EA3"/>
    <w:rsid w:val="00983EEA"/>
    <w:rsid w:val="00983F79"/>
    <w:rsid w:val="00983FC9"/>
    <w:rsid w:val="00983FFB"/>
    <w:rsid w:val="009840E5"/>
    <w:rsid w:val="009841E3"/>
    <w:rsid w:val="00984201"/>
    <w:rsid w:val="0098428B"/>
    <w:rsid w:val="00984294"/>
    <w:rsid w:val="009842F6"/>
    <w:rsid w:val="00984309"/>
    <w:rsid w:val="00984330"/>
    <w:rsid w:val="009843A9"/>
    <w:rsid w:val="009843D9"/>
    <w:rsid w:val="00984467"/>
    <w:rsid w:val="009844BF"/>
    <w:rsid w:val="009845BB"/>
    <w:rsid w:val="0098463A"/>
    <w:rsid w:val="00984650"/>
    <w:rsid w:val="00984654"/>
    <w:rsid w:val="0098465D"/>
    <w:rsid w:val="00984739"/>
    <w:rsid w:val="0098475C"/>
    <w:rsid w:val="0098483F"/>
    <w:rsid w:val="00984845"/>
    <w:rsid w:val="009849AD"/>
    <w:rsid w:val="00984A2A"/>
    <w:rsid w:val="00984A8A"/>
    <w:rsid w:val="00984B95"/>
    <w:rsid w:val="00984C40"/>
    <w:rsid w:val="00984C4E"/>
    <w:rsid w:val="00984C9C"/>
    <w:rsid w:val="00984CA6"/>
    <w:rsid w:val="00984CEE"/>
    <w:rsid w:val="00984DBD"/>
    <w:rsid w:val="00984DEA"/>
    <w:rsid w:val="00984E37"/>
    <w:rsid w:val="00984E96"/>
    <w:rsid w:val="00984EA5"/>
    <w:rsid w:val="00984EBB"/>
    <w:rsid w:val="00984EEE"/>
    <w:rsid w:val="00984F04"/>
    <w:rsid w:val="00984F1E"/>
    <w:rsid w:val="00984F27"/>
    <w:rsid w:val="00984F96"/>
    <w:rsid w:val="00985100"/>
    <w:rsid w:val="00985148"/>
    <w:rsid w:val="00985180"/>
    <w:rsid w:val="0098523D"/>
    <w:rsid w:val="009852AF"/>
    <w:rsid w:val="009852CF"/>
    <w:rsid w:val="0098536A"/>
    <w:rsid w:val="00985471"/>
    <w:rsid w:val="009854C6"/>
    <w:rsid w:val="009854DD"/>
    <w:rsid w:val="00985526"/>
    <w:rsid w:val="009855DD"/>
    <w:rsid w:val="0098560D"/>
    <w:rsid w:val="0098564D"/>
    <w:rsid w:val="00985675"/>
    <w:rsid w:val="00985676"/>
    <w:rsid w:val="00985762"/>
    <w:rsid w:val="009857C5"/>
    <w:rsid w:val="009857ED"/>
    <w:rsid w:val="009857F6"/>
    <w:rsid w:val="0098593E"/>
    <w:rsid w:val="00985AA0"/>
    <w:rsid w:val="00985C07"/>
    <w:rsid w:val="00985CAE"/>
    <w:rsid w:val="00985CC5"/>
    <w:rsid w:val="00985CE6"/>
    <w:rsid w:val="00985CEB"/>
    <w:rsid w:val="00985D15"/>
    <w:rsid w:val="00985D2E"/>
    <w:rsid w:val="00985D30"/>
    <w:rsid w:val="00985D55"/>
    <w:rsid w:val="00985D7E"/>
    <w:rsid w:val="00985DA9"/>
    <w:rsid w:val="00985DBD"/>
    <w:rsid w:val="00985EC7"/>
    <w:rsid w:val="00985EE9"/>
    <w:rsid w:val="00985F03"/>
    <w:rsid w:val="00985F3F"/>
    <w:rsid w:val="00985FA9"/>
    <w:rsid w:val="00985FEB"/>
    <w:rsid w:val="00986028"/>
    <w:rsid w:val="00986040"/>
    <w:rsid w:val="0098609A"/>
    <w:rsid w:val="0098610B"/>
    <w:rsid w:val="00986196"/>
    <w:rsid w:val="009861D7"/>
    <w:rsid w:val="00986205"/>
    <w:rsid w:val="009862C5"/>
    <w:rsid w:val="00986314"/>
    <w:rsid w:val="00986391"/>
    <w:rsid w:val="0098639E"/>
    <w:rsid w:val="009863D8"/>
    <w:rsid w:val="00986417"/>
    <w:rsid w:val="00986447"/>
    <w:rsid w:val="0098646C"/>
    <w:rsid w:val="009864CE"/>
    <w:rsid w:val="009864CF"/>
    <w:rsid w:val="009864E8"/>
    <w:rsid w:val="00986531"/>
    <w:rsid w:val="009865D7"/>
    <w:rsid w:val="009865F8"/>
    <w:rsid w:val="009865FA"/>
    <w:rsid w:val="0098677F"/>
    <w:rsid w:val="009867B2"/>
    <w:rsid w:val="009867FF"/>
    <w:rsid w:val="00986815"/>
    <w:rsid w:val="009868C7"/>
    <w:rsid w:val="009868EB"/>
    <w:rsid w:val="00986903"/>
    <w:rsid w:val="0098694F"/>
    <w:rsid w:val="009869D2"/>
    <w:rsid w:val="00986A34"/>
    <w:rsid w:val="00986A41"/>
    <w:rsid w:val="00986A57"/>
    <w:rsid w:val="00986AE9"/>
    <w:rsid w:val="00986AF7"/>
    <w:rsid w:val="00986B2D"/>
    <w:rsid w:val="00986B34"/>
    <w:rsid w:val="00986B73"/>
    <w:rsid w:val="00986BA5"/>
    <w:rsid w:val="00986CD9"/>
    <w:rsid w:val="00986DF3"/>
    <w:rsid w:val="00986E21"/>
    <w:rsid w:val="00986EDA"/>
    <w:rsid w:val="00986F34"/>
    <w:rsid w:val="00986F96"/>
    <w:rsid w:val="00986FCF"/>
    <w:rsid w:val="00986FF4"/>
    <w:rsid w:val="00987002"/>
    <w:rsid w:val="0098709F"/>
    <w:rsid w:val="009870EE"/>
    <w:rsid w:val="009871AF"/>
    <w:rsid w:val="009871D2"/>
    <w:rsid w:val="009871E0"/>
    <w:rsid w:val="0098722F"/>
    <w:rsid w:val="00987242"/>
    <w:rsid w:val="00987281"/>
    <w:rsid w:val="00987295"/>
    <w:rsid w:val="00987308"/>
    <w:rsid w:val="00987314"/>
    <w:rsid w:val="00987350"/>
    <w:rsid w:val="009873F2"/>
    <w:rsid w:val="0098743B"/>
    <w:rsid w:val="0098744E"/>
    <w:rsid w:val="0098746C"/>
    <w:rsid w:val="00987473"/>
    <w:rsid w:val="009874C4"/>
    <w:rsid w:val="009874D7"/>
    <w:rsid w:val="00987528"/>
    <w:rsid w:val="0098765F"/>
    <w:rsid w:val="0098766C"/>
    <w:rsid w:val="00987681"/>
    <w:rsid w:val="0098770F"/>
    <w:rsid w:val="00987715"/>
    <w:rsid w:val="0098775A"/>
    <w:rsid w:val="009877FC"/>
    <w:rsid w:val="0098782D"/>
    <w:rsid w:val="00987831"/>
    <w:rsid w:val="00987903"/>
    <w:rsid w:val="0098797D"/>
    <w:rsid w:val="00987984"/>
    <w:rsid w:val="009879C4"/>
    <w:rsid w:val="00987A27"/>
    <w:rsid w:val="00987A31"/>
    <w:rsid w:val="00987A41"/>
    <w:rsid w:val="00987AB9"/>
    <w:rsid w:val="00987B02"/>
    <w:rsid w:val="00987BE4"/>
    <w:rsid w:val="00987D44"/>
    <w:rsid w:val="00987E04"/>
    <w:rsid w:val="00987E73"/>
    <w:rsid w:val="00987EA9"/>
    <w:rsid w:val="00987F77"/>
    <w:rsid w:val="00987F89"/>
    <w:rsid w:val="00987FE2"/>
    <w:rsid w:val="00990007"/>
    <w:rsid w:val="00990013"/>
    <w:rsid w:val="0099004C"/>
    <w:rsid w:val="009900D5"/>
    <w:rsid w:val="00990117"/>
    <w:rsid w:val="00990156"/>
    <w:rsid w:val="009901CE"/>
    <w:rsid w:val="00990233"/>
    <w:rsid w:val="009902E1"/>
    <w:rsid w:val="009902EF"/>
    <w:rsid w:val="0099034A"/>
    <w:rsid w:val="00990369"/>
    <w:rsid w:val="0099036A"/>
    <w:rsid w:val="009903A1"/>
    <w:rsid w:val="00990411"/>
    <w:rsid w:val="0099055F"/>
    <w:rsid w:val="00990571"/>
    <w:rsid w:val="0099058C"/>
    <w:rsid w:val="009905DE"/>
    <w:rsid w:val="009905FE"/>
    <w:rsid w:val="00990647"/>
    <w:rsid w:val="0099067E"/>
    <w:rsid w:val="0099068B"/>
    <w:rsid w:val="009906B4"/>
    <w:rsid w:val="009907D8"/>
    <w:rsid w:val="0099081D"/>
    <w:rsid w:val="00990848"/>
    <w:rsid w:val="00990894"/>
    <w:rsid w:val="009908A9"/>
    <w:rsid w:val="009908BE"/>
    <w:rsid w:val="009908E2"/>
    <w:rsid w:val="00990982"/>
    <w:rsid w:val="009909ED"/>
    <w:rsid w:val="00990A02"/>
    <w:rsid w:val="00990ABD"/>
    <w:rsid w:val="00990C85"/>
    <w:rsid w:val="00990C9F"/>
    <w:rsid w:val="00990DA4"/>
    <w:rsid w:val="00990DDB"/>
    <w:rsid w:val="00990DE8"/>
    <w:rsid w:val="00990E5E"/>
    <w:rsid w:val="00990F64"/>
    <w:rsid w:val="00990F9C"/>
    <w:rsid w:val="00990FBD"/>
    <w:rsid w:val="00991024"/>
    <w:rsid w:val="00991030"/>
    <w:rsid w:val="0099107C"/>
    <w:rsid w:val="0099108E"/>
    <w:rsid w:val="009910EA"/>
    <w:rsid w:val="009910F3"/>
    <w:rsid w:val="00991269"/>
    <w:rsid w:val="009912FB"/>
    <w:rsid w:val="00991385"/>
    <w:rsid w:val="009913D9"/>
    <w:rsid w:val="009914F7"/>
    <w:rsid w:val="00991530"/>
    <w:rsid w:val="0099153C"/>
    <w:rsid w:val="0099154E"/>
    <w:rsid w:val="009915A9"/>
    <w:rsid w:val="00991659"/>
    <w:rsid w:val="00991689"/>
    <w:rsid w:val="0099168D"/>
    <w:rsid w:val="009916D1"/>
    <w:rsid w:val="0099171B"/>
    <w:rsid w:val="009917B9"/>
    <w:rsid w:val="009917CC"/>
    <w:rsid w:val="00991858"/>
    <w:rsid w:val="00991913"/>
    <w:rsid w:val="0099194B"/>
    <w:rsid w:val="00991961"/>
    <w:rsid w:val="00991972"/>
    <w:rsid w:val="00991979"/>
    <w:rsid w:val="00991995"/>
    <w:rsid w:val="00991A27"/>
    <w:rsid w:val="00991A6E"/>
    <w:rsid w:val="00991A83"/>
    <w:rsid w:val="00991A94"/>
    <w:rsid w:val="00991AB2"/>
    <w:rsid w:val="00991B8D"/>
    <w:rsid w:val="00991BC0"/>
    <w:rsid w:val="00991C0F"/>
    <w:rsid w:val="00991C26"/>
    <w:rsid w:val="00991C95"/>
    <w:rsid w:val="00991CD2"/>
    <w:rsid w:val="00991CE1"/>
    <w:rsid w:val="00991D46"/>
    <w:rsid w:val="00991DA8"/>
    <w:rsid w:val="00991DC9"/>
    <w:rsid w:val="00991DE4"/>
    <w:rsid w:val="00991E27"/>
    <w:rsid w:val="00991EE1"/>
    <w:rsid w:val="00991F0D"/>
    <w:rsid w:val="00991F24"/>
    <w:rsid w:val="00991FF8"/>
    <w:rsid w:val="0099201B"/>
    <w:rsid w:val="00992085"/>
    <w:rsid w:val="00992092"/>
    <w:rsid w:val="009920E1"/>
    <w:rsid w:val="00992129"/>
    <w:rsid w:val="00992192"/>
    <w:rsid w:val="009921B1"/>
    <w:rsid w:val="00992209"/>
    <w:rsid w:val="0099220B"/>
    <w:rsid w:val="00992264"/>
    <w:rsid w:val="00992291"/>
    <w:rsid w:val="00992394"/>
    <w:rsid w:val="009923BC"/>
    <w:rsid w:val="00992418"/>
    <w:rsid w:val="00992458"/>
    <w:rsid w:val="00992481"/>
    <w:rsid w:val="0099249F"/>
    <w:rsid w:val="009924BB"/>
    <w:rsid w:val="009924C9"/>
    <w:rsid w:val="009924CD"/>
    <w:rsid w:val="00992586"/>
    <w:rsid w:val="009925F1"/>
    <w:rsid w:val="009925F3"/>
    <w:rsid w:val="00992698"/>
    <w:rsid w:val="009926CC"/>
    <w:rsid w:val="0099274D"/>
    <w:rsid w:val="009927CA"/>
    <w:rsid w:val="009927E5"/>
    <w:rsid w:val="00992848"/>
    <w:rsid w:val="00992865"/>
    <w:rsid w:val="00992915"/>
    <w:rsid w:val="00992925"/>
    <w:rsid w:val="00992937"/>
    <w:rsid w:val="009929AC"/>
    <w:rsid w:val="00992A50"/>
    <w:rsid w:val="00992A59"/>
    <w:rsid w:val="00992AF4"/>
    <w:rsid w:val="00992BAB"/>
    <w:rsid w:val="00992BAC"/>
    <w:rsid w:val="00992C22"/>
    <w:rsid w:val="00992D19"/>
    <w:rsid w:val="00992D3B"/>
    <w:rsid w:val="00992D77"/>
    <w:rsid w:val="00992D7B"/>
    <w:rsid w:val="00992D95"/>
    <w:rsid w:val="00992E39"/>
    <w:rsid w:val="00992E3F"/>
    <w:rsid w:val="00992E9B"/>
    <w:rsid w:val="00992F3F"/>
    <w:rsid w:val="00992F7A"/>
    <w:rsid w:val="00992F96"/>
    <w:rsid w:val="00992FB0"/>
    <w:rsid w:val="00992FC4"/>
    <w:rsid w:val="00993073"/>
    <w:rsid w:val="00993075"/>
    <w:rsid w:val="00993117"/>
    <w:rsid w:val="0099316F"/>
    <w:rsid w:val="009931B2"/>
    <w:rsid w:val="009932B3"/>
    <w:rsid w:val="00993376"/>
    <w:rsid w:val="00993467"/>
    <w:rsid w:val="009934D6"/>
    <w:rsid w:val="0099352E"/>
    <w:rsid w:val="00993566"/>
    <w:rsid w:val="009935C8"/>
    <w:rsid w:val="009935EA"/>
    <w:rsid w:val="009936BC"/>
    <w:rsid w:val="009936CF"/>
    <w:rsid w:val="009936F7"/>
    <w:rsid w:val="00993709"/>
    <w:rsid w:val="0099376A"/>
    <w:rsid w:val="0099376F"/>
    <w:rsid w:val="009937C9"/>
    <w:rsid w:val="00993838"/>
    <w:rsid w:val="0099387A"/>
    <w:rsid w:val="00993974"/>
    <w:rsid w:val="009939A0"/>
    <w:rsid w:val="009939DB"/>
    <w:rsid w:val="009939ED"/>
    <w:rsid w:val="00993AF6"/>
    <w:rsid w:val="00993B34"/>
    <w:rsid w:val="00993B58"/>
    <w:rsid w:val="00993BA9"/>
    <w:rsid w:val="00993BB9"/>
    <w:rsid w:val="00993CA6"/>
    <w:rsid w:val="00993CB8"/>
    <w:rsid w:val="00993D61"/>
    <w:rsid w:val="00993D71"/>
    <w:rsid w:val="00993D88"/>
    <w:rsid w:val="00993E1C"/>
    <w:rsid w:val="00993EC3"/>
    <w:rsid w:val="00993EE5"/>
    <w:rsid w:val="00993EEB"/>
    <w:rsid w:val="00993F2A"/>
    <w:rsid w:val="00993F56"/>
    <w:rsid w:val="00993FD5"/>
    <w:rsid w:val="00994012"/>
    <w:rsid w:val="009940B8"/>
    <w:rsid w:val="009940E2"/>
    <w:rsid w:val="00994116"/>
    <w:rsid w:val="00994151"/>
    <w:rsid w:val="00994186"/>
    <w:rsid w:val="00994290"/>
    <w:rsid w:val="009942CB"/>
    <w:rsid w:val="00994301"/>
    <w:rsid w:val="0099431E"/>
    <w:rsid w:val="00994328"/>
    <w:rsid w:val="009943A2"/>
    <w:rsid w:val="009943B7"/>
    <w:rsid w:val="009943EE"/>
    <w:rsid w:val="009943F1"/>
    <w:rsid w:val="009944E0"/>
    <w:rsid w:val="00994541"/>
    <w:rsid w:val="00994549"/>
    <w:rsid w:val="009945B2"/>
    <w:rsid w:val="009945B9"/>
    <w:rsid w:val="009945FE"/>
    <w:rsid w:val="0099478D"/>
    <w:rsid w:val="009947CE"/>
    <w:rsid w:val="009947E2"/>
    <w:rsid w:val="0099481F"/>
    <w:rsid w:val="00994821"/>
    <w:rsid w:val="0099483F"/>
    <w:rsid w:val="00994842"/>
    <w:rsid w:val="00994898"/>
    <w:rsid w:val="009948DD"/>
    <w:rsid w:val="00994934"/>
    <w:rsid w:val="00994956"/>
    <w:rsid w:val="0099498C"/>
    <w:rsid w:val="009949AE"/>
    <w:rsid w:val="00994A5F"/>
    <w:rsid w:val="00994A8D"/>
    <w:rsid w:val="00994AD9"/>
    <w:rsid w:val="00994B68"/>
    <w:rsid w:val="00994B7C"/>
    <w:rsid w:val="00994BAB"/>
    <w:rsid w:val="00994BAC"/>
    <w:rsid w:val="00994C04"/>
    <w:rsid w:val="00994C67"/>
    <w:rsid w:val="00994CA1"/>
    <w:rsid w:val="00994DC1"/>
    <w:rsid w:val="00994E01"/>
    <w:rsid w:val="00994E06"/>
    <w:rsid w:val="00994E58"/>
    <w:rsid w:val="00994F73"/>
    <w:rsid w:val="00994FB7"/>
    <w:rsid w:val="00994FDF"/>
    <w:rsid w:val="00995010"/>
    <w:rsid w:val="009950AF"/>
    <w:rsid w:val="009950DA"/>
    <w:rsid w:val="00995107"/>
    <w:rsid w:val="0099511B"/>
    <w:rsid w:val="00995157"/>
    <w:rsid w:val="009951B1"/>
    <w:rsid w:val="009951B9"/>
    <w:rsid w:val="009951FD"/>
    <w:rsid w:val="00995212"/>
    <w:rsid w:val="009953A6"/>
    <w:rsid w:val="009953C7"/>
    <w:rsid w:val="0099551C"/>
    <w:rsid w:val="00995598"/>
    <w:rsid w:val="009955FE"/>
    <w:rsid w:val="00995609"/>
    <w:rsid w:val="00995709"/>
    <w:rsid w:val="0099572D"/>
    <w:rsid w:val="0099574A"/>
    <w:rsid w:val="0099579F"/>
    <w:rsid w:val="009957CA"/>
    <w:rsid w:val="0099581D"/>
    <w:rsid w:val="0099584E"/>
    <w:rsid w:val="009958D9"/>
    <w:rsid w:val="009958EC"/>
    <w:rsid w:val="0099591D"/>
    <w:rsid w:val="009959A9"/>
    <w:rsid w:val="009959D0"/>
    <w:rsid w:val="00995B3E"/>
    <w:rsid w:val="00995BE8"/>
    <w:rsid w:val="00995C7C"/>
    <w:rsid w:val="00995D32"/>
    <w:rsid w:val="00995D44"/>
    <w:rsid w:val="00995D7F"/>
    <w:rsid w:val="00995D94"/>
    <w:rsid w:val="00995DCF"/>
    <w:rsid w:val="00995E0E"/>
    <w:rsid w:val="00995E11"/>
    <w:rsid w:val="00995F0E"/>
    <w:rsid w:val="00995F14"/>
    <w:rsid w:val="00995F17"/>
    <w:rsid w:val="00995F3F"/>
    <w:rsid w:val="00995FC2"/>
    <w:rsid w:val="0099604A"/>
    <w:rsid w:val="009960A6"/>
    <w:rsid w:val="009960AB"/>
    <w:rsid w:val="009960D8"/>
    <w:rsid w:val="009960EC"/>
    <w:rsid w:val="009960FB"/>
    <w:rsid w:val="00996128"/>
    <w:rsid w:val="00996145"/>
    <w:rsid w:val="0099618A"/>
    <w:rsid w:val="009961A5"/>
    <w:rsid w:val="009961B5"/>
    <w:rsid w:val="009962C8"/>
    <w:rsid w:val="00996324"/>
    <w:rsid w:val="00996345"/>
    <w:rsid w:val="0099634D"/>
    <w:rsid w:val="009963D4"/>
    <w:rsid w:val="00996471"/>
    <w:rsid w:val="009964B2"/>
    <w:rsid w:val="0099651C"/>
    <w:rsid w:val="0099654F"/>
    <w:rsid w:val="009965AD"/>
    <w:rsid w:val="009965D5"/>
    <w:rsid w:val="00996602"/>
    <w:rsid w:val="00996647"/>
    <w:rsid w:val="009966C4"/>
    <w:rsid w:val="00996728"/>
    <w:rsid w:val="0099689F"/>
    <w:rsid w:val="00996919"/>
    <w:rsid w:val="00996921"/>
    <w:rsid w:val="0099698D"/>
    <w:rsid w:val="0099698F"/>
    <w:rsid w:val="00996999"/>
    <w:rsid w:val="009969EE"/>
    <w:rsid w:val="00996A5D"/>
    <w:rsid w:val="00996AA4"/>
    <w:rsid w:val="00996B40"/>
    <w:rsid w:val="00996B6D"/>
    <w:rsid w:val="00996B84"/>
    <w:rsid w:val="00996BC3"/>
    <w:rsid w:val="00996C6E"/>
    <w:rsid w:val="00996E0B"/>
    <w:rsid w:val="00996E24"/>
    <w:rsid w:val="00996E79"/>
    <w:rsid w:val="00996E94"/>
    <w:rsid w:val="00996EDD"/>
    <w:rsid w:val="00996EE2"/>
    <w:rsid w:val="00996EF0"/>
    <w:rsid w:val="00996F52"/>
    <w:rsid w:val="00996FCA"/>
    <w:rsid w:val="00996FF1"/>
    <w:rsid w:val="009970EF"/>
    <w:rsid w:val="00997109"/>
    <w:rsid w:val="00997111"/>
    <w:rsid w:val="0099716B"/>
    <w:rsid w:val="00997203"/>
    <w:rsid w:val="0099720D"/>
    <w:rsid w:val="00997241"/>
    <w:rsid w:val="009972D4"/>
    <w:rsid w:val="0099731D"/>
    <w:rsid w:val="00997352"/>
    <w:rsid w:val="00997368"/>
    <w:rsid w:val="00997382"/>
    <w:rsid w:val="00997396"/>
    <w:rsid w:val="009973CE"/>
    <w:rsid w:val="009973FF"/>
    <w:rsid w:val="00997418"/>
    <w:rsid w:val="00997464"/>
    <w:rsid w:val="0099749C"/>
    <w:rsid w:val="0099766C"/>
    <w:rsid w:val="00997692"/>
    <w:rsid w:val="009976E1"/>
    <w:rsid w:val="0099770C"/>
    <w:rsid w:val="0099773B"/>
    <w:rsid w:val="0099775F"/>
    <w:rsid w:val="0099776A"/>
    <w:rsid w:val="00997780"/>
    <w:rsid w:val="00997788"/>
    <w:rsid w:val="009977A6"/>
    <w:rsid w:val="009977FD"/>
    <w:rsid w:val="00997858"/>
    <w:rsid w:val="00997885"/>
    <w:rsid w:val="0099788C"/>
    <w:rsid w:val="00997893"/>
    <w:rsid w:val="009978AF"/>
    <w:rsid w:val="00997909"/>
    <w:rsid w:val="0099796D"/>
    <w:rsid w:val="00997970"/>
    <w:rsid w:val="00997A08"/>
    <w:rsid w:val="00997A6E"/>
    <w:rsid w:val="00997A8C"/>
    <w:rsid w:val="00997B31"/>
    <w:rsid w:val="00997B42"/>
    <w:rsid w:val="00997B4F"/>
    <w:rsid w:val="00997B80"/>
    <w:rsid w:val="00997BAB"/>
    <w:rsid w:val="00997C07"/>
    <w:rsid w:val="00997CE4"/>
    <w:rsid w:val="00997D0A"/>
    <w:rsid w:val="00997D28"/>
    <w:rsid w:val="00997DEE"/>
    <w:rsid w:val="00997E09"/>
    <w:rsid w:val="00997E2E"/>
    <w:rsid w:val="00997E35"/>
    <w:rsid w:val="00997ED9"/>
    <w:rsid w:val="00997F0B"/>
    <w:rsid w:val="00997F23"/>
    <w:rsid w:val="00997F49"/>
    <w:rsid w:val="00997F64"/>
    <w:rsid w:val="00997FDE"/>
    <w:rsid w:val="00997FE5"/>
    <w:rsid w:val="009A0080"/>
    <w:rsid w:val="009A0095"/>
    <w:rsid w:val="009A011E"/>
    <w:rsid w:val="009A0139"/>
    <w:rsid w:val="009A017C"/>
    <w:rsid w:val="009A01EA"/>
    <w:rsid w:val="009A0233"/>
    <w:rsid w:val="009A02AE"/>
    <w:rsid w:val="009A02E2"/>
    <w:rsid w:val="009A02E6"/>
    <w:rsid w:val="009A02EA"/>
    <w:rsid w:val="009A02F5"/>
    <w:rsid w:val="009A035E"/>
    <w:rsid w:val="009A0360"/>
    <w:rsid w:val="009A03EA"/>
    <w:rsid w:val="009A042F"/>
    <w:rsid w:val="009A0449"/>
    <w:rsid w:val="009A0465"/>
    <w:rsid w:val="009A0479"/>
    <w:rsid w:val="009A0557"/>
    <w:rsid w:val="009A05A4"/>
    <w:rsid w:val="009A0705"/>
    <w:rsid w:val="009A07A7"/>
    <w:rsid w:val="009A07D9"/>
    <w:rsid w:val="009A0825"/>
    <w:rsid w:val="009A0878"/>
    <w:rsid w:val="009A08AB"/>
    <w:rsid w:val="009A08EA"/>
    <w:rsid w:val="009A0959"/>
    <w:rsid w:val="009A0A06"/>
    <w:rsid w:val="009A0A0A"/>
    <w:rsid w:val="009A0A4B"/>
    <w:rsid w:val="009A0A6B"/>
    <w:rsid w:val="009A0A7F"/>
    <w:rsid w:val="009A0A9D"/>
    <w:rsid w:val="009A0B24"/>
    <w:rsid w:val="009A0BD3"/>
    <w:rsid w:val="009A0C52"/>
    <w:rsid w:val="009A0CEC"/>
    <w:rsid w:val="009A0D03"/>
    <w:rsid w:val="009A0D52"/>
    <w:rsid w:val="009A0DC8"/>
    <w:rsid w:val="009A0E2A"/>
    <w:rsid w:val="009A0E58"/>
    <w:rsid w:val="009A0E6A"/>
    <w:rsid w:val="009A0F45"/>
    <w:rsid w:val="009A0FDC"/>
    <w:rsid w:val="009A1007"/>
    <w:rsid w:val="009A103C"/>
    <w:rsid w:val="009A103E"/>
    <w:rsid w:val="009A121B"/>
    <w:rsid w:val="009A122A"/>
    <w:rsid w:val="009A1288"/>
    <w:rsid w:val="009A12C0"/>
    <w:rsid w:val="009A138B"/>
    <w:rsid w:val="009A13FE"/>
    <w:rsid w:val="009A147F"/>
    <w:rsid w:val="009A16B9"/>
    <w:rsid w:val="009A16CB"/>
    <w:rsid w:val="009A16E6"/>
    <w:rsid w:val="009A1714"/>
    <w:rsid w:val="009A175C"/>
    <w:rsid w:val="009A17E6"/>
    <w:rsid w:val="009A1800"/>
    <w:rsid w:val="009A188C"/>
    <w:rsid w:val="009A189B"/>
    <w:rsid w:val="009A1948"/>
    <w:rsid w:val="009A1A07"/>
    <w:rsid w:val="009A1A25"/>
    <w:rsid w:val="009A1A5C"/>
    <w:rsid w:val="009A1AA4"/>
    <w:rsid w:val="009A1AF9"/>
    <w:rsid w:val="009A1B73"/>
    <w:rsid w:val="009A1BA9"/>
    <w:rsid w:val="009A1C39"/>
    <w:rsid w:val="009A1D01"/>
    <w:rsid w:val="009A1D0E"/>
    <w:rsid w:val="009A1D53"/>
    <w:rsid w:val="009A1D76"/>
    <w:rsid w:val="009A1DE3"/>
    <w:rsid w:val="009A1EE9"/>
    <w:rsid w:val="009A1F41"/>
    <w:rsid w:val="009A1FF9"/>
    <w:rsid w:val="009A2047"/>
    <w:rsid w:val="009A20E0"/>
    <w:rsid w:val="009A21AB"/>
    <w:rsid w:val="009A2267"/>
    <w:rsid w:val="009A226E"/>
    <w:rsid w:val="009A22ED"/>
    <w:rsid w:val="009A235C"/>
    <w:rsid w:val="009A236C"/>
    <w:rsid w:val="009A23F8"/>
    <w:rsid w:val="009A249E"/>
    <w:rsid w:val="009A2576"/>
    <w:rsid w:val="009A258B"/>
    <w:rsid w:val="009A2617"/>
    <w:rsid w:val="009A262B"/>
    <w:rsid w:val="009A264C"/>
    <w:rsid w:val="009A26C6"/>
    <w:rsid w:val="009A274E"/>
    <w:rsid w:val="009A27E2"/>
    <w:rsid w:val="009A27E8"/>
    <w:rsid w:val="009A281D"/>
    <w:rsid w:val="009A28E0"/>
    <w:rsid w:val="009A2948"/>
    <w:rsid w:val="009A29D0"/>
    <w:rsid w:val="009A29D8"/>
    <w:rsid w:val="009A2A05"/>
    <w:rsid w:val="009A2A31"/>
    <w:rsid w:val="009A2A32"/>
    <w:rsid w:val="009A2A73"/>
    <w:rsid w:val="009A2AAF"/>
    <w:rsid w:val="009A2B64"/>
    <w:rsid w:val="009A2B7F"/>
    <w:rsid w:val="009A2BC7"/>
    <w:rsid w:val="009A2C7C"/>
    <w:rsid w:val="009A2C88"/>
    <w:rsid w:val="009A2C9C"/>
    <w:rsid w:val="009A2CD6"/>
    <w:rsid w:val="009A2D24"/>
    <w:rsid w:val="009A2D7F"/>
    <w:rsid w:val="009A2DDA"/>
    <w:rsid w:val="009A2E2E"/>
    <w:rsid w:val="009A2E70"/>
    <w:rsid w:val="009A2E71"/>
    <w:rsid w:val="009A2EA9"/>
    <w:rsid w:val="009A2EDF"/>
    <w:rsid w:val="009A2EF4"/>
    <w:rsid w:val="009A2F4A"/>
    <w:rsid w:val="009A2F4E"/>
    <w:rsid w:val="009A2F85"/>
    <w:rsid w:val="009A3075"/>
    <w:rsid w:val="009A30AB"/>
    <w:rsid w:val="009A313D"/>
    <w:rsid w:val="009A3199"/>
    <w:rsid w:val="009A31D0"/>
    <w:rsid w:val="009A31ED"/>
    <w:rsid w:val="009A3227"/>
    <w:rsid w:val="009A326B"/>
    <w:rsid w:val="009A3274"/>
    <w:rsid w:val="009A329F"/>
    <w:rsid w:val="009A3334"/>
    <w:rsid w:val="009A3343"/>
    <w:rsid w:val="009A3345"/>
    <w:rsid w:val="009A337B"/>
    <w:rsid w:val="009A33A0"/>
    <w:rsid w:val="009A33AB"/>
    <w:rsid w:val="009A33C4"/>
    <w:rsid w:val="009A33D8"/>
    <w:rsid w:val="009A3496"/>
    <w:rsid w:val="009A3497"/>
    <w:rsid w:val="009A3527"/>
    <w:rsid w:val="009A35A6"/>
    <w:rsid w:val="009A3640"/>
    <w:rsid w:val="009A37BA"/>
    <w:rsid w:val="009A39CC"/>
    <w:rsid w:val="009A39E9"/>
    <w:rsid w:val="009A3A7E"/>
    <w:rsid w:val="009A3A87"/>
    <w:rsid w:val="009A3AA9"/>
    <w:rsid w:val="009A3AC6"/>
    <w:rsid w:val="009A3B29"/>
    <w:rsid w:val="009A3B41"/>
    <w:rsid w:val="009A3B85"/>
    <w:rsid w:val="009A3B8A"/>
    <w:rsid w:val="009A3BE8"/>
    <w:rsid w:val="009A3C9B"/>
    <w:rsid w:val="009A3D06"/>
    <w:rsid w:val="009A3D24"/>
    <w:rsid w:val="009A3D50"/>
    <w:rsid w:val="009A3DA2"/>
    <w:rsid w:val="009A3DC3"/>
    <w:rsid w:val="009A3DF9"/>
    <w:rsid w:val="009A3E68"/>
    <w:rsid w:val="009A3E71"/>
    <w:rsid w:val="009A3EC6"/>
    <w:rsid w:val="009A407E"/>
    <w:rsid w:val="009A40BA"/>
    <w:rsid w:val="009A4161"/>
    <w:rsid w:val="009A41A2"/>
    <w:rsid w:val="009A41B1"/>
    <w:rsid w:val="009A420C"/>
    <w:rsid w:val="009A4211"/>
    <w:rsid w:val="009A4299"/>
    <w:rsid w:val="009A4361"/>
    <w:rsid w:val="009A438B"/>
    <w:rsid w:val="009A4391"/>
    <w:rsid w:val="009A43A4"/>
    <w:rsid w:val="009A43C4"/>
    <w:rsid w:val="009A43D9"/>
    <w:rsid w:val="009A44A4"/>
    <w:rsid w:val="009A44E4"/>
    <w:rsid w:val="009A4538"/>
    <w:rsid w:val="009A4563"/>
    <w:rsid w:val="009A45EB"/>
    <w:rsid w:val="009A46AC"/>
    <w:rsid w:val="009A46B8"/>
    <w:rsid w:val="009A46E2"/>
    <w:rsid w:val="009A473A"/>
    <w:rsid w:val="009A4754"/>
    <w:rsid w:val="009A477B"/>
    <w:rsid w:val="009A47F7"/>
    <w:rsid w:val="009A488A"/>
    <w:rsid w:val="009A48B0"/>
    <w:rsid w:val="009A48DE"/>
    <w:rsid w:val="009A48EF"/>
    <w:rsid w:val="009A48F9"/>
    <w:rsid w:val="009A49AA"/>
    <w:rsid w:val="009A4A3D"/>
    <w:rsid w:val="009A4AC2"/>
    <w:rsid w:val="009A4AC7"/>
    <w:rsid w:val="009A4B68"/>
    <w:rsid w:val="009A4B9A"/>
    <w:rsid w:val="009A4BC9"/>
    <w:rsid w:val="009A4CBC"/>
    <w:rsid w:val="009A4CF4"/>
    <w:rsid w:val="009A4D22"/>
    <w:rsid w:val="009A4D4C"/>
    <w:rsid w:val="009A4F51"/>
    <w:rsid w:val="009A4F9C"/>
    <w:rsid w:val="009A4FC4"/>
    <w:rsid w:val="009A500B"/>
    <w:rsid w:val="009A501B"/>
    <w:rsid w:val="009A5098"/>
    <w:rsid w:val="009A50BE"/>
    <w:rsid w:val="009A50C2"/>
    <w:rsid w:val="009A50C6"/>
    <w:rsid w:val="009A5138"/>
    <w:rsid w:val="009A52E7"/>
    <w:rsid w:val="009A52FF"/>
    <w:rsid w:val="009A536A"/>
    <w:rsid w:val="009A53FD"/>
    <w:rsid w:val="009A5444"/>
    <w:rsid w:val="009A5459"/>
    <w:rsid w:val="009A545A"/>
    <w:rsid w:val="009A54CC"/>
    <w:rsid w:val="009A54E9"/>
    <w:rsid w:val="009A55E8"/>
    <w:rsid w:val="009A56A5"/>
    <w:rsid w:val="009A5721"/>
    <w:rsid w:val="009A5734"/>
    <w:rsid w:val="009A573B"/>
    <w:rsid w:val="009A575E"/>
    <w:rsid w:val="009A576A"/>
    <w:rsid w:val="009A5780"/>
    <w:rsid w:val="009A5798"/>
    <w:rsid w:val="009A57B1"/>
    <w:rsid w:val="009A57E3"/>
    <w:rsid w:val="009A580C"/>
    <w:rsid w:val="009A5844"/>
    <w:rsid w:val="009A5880"/>
    <w:rsid w:val="009A5948"/>
    <w:rsid w:val="009A59A5"/>
    <w:rsid w:val="009A5AE9"/>
    <w:rsid w:val="009A5B20"/>
    <w:rsid w:val="009A5C1F"/>
    <w:rsid w:val="009A5C4C"/>
    <w:rsid w:val="009A5C66"/>
    <w:rsid w:val="009A5C82"/>
    <w:rsid w:val="009A5CE0"/>
    <w:rsid w:val="009A5D09"/>
    <w:rsid w:val="009A5D53"/>
    <w:rsid w:val="009A5EB2"/>
    <w:rsid w:val="009A5F05"/>
    <w:rsid w:val="009A5F5E"/>
    <w:rsid w:val="009A5F6B"/>
    <w:rsid w:val="009A5F78"/>
    <w:rsid w:val="009A5FD4"/>
    <w:rsid w:val="009A5FDA"/>
    <w:rsid w:val="009A5FFE"/>
    <w:rsid w:val="009A6069"/>
    <w:rsid w:val="009A607C"/>
    <w:rsid w:val="009A608D"/>
    <w:rsid w:val="009A60AD"/>
    <w:rsid w:val="009A60E4"/>
    <w:rsid w:val="009A60ED"/>
    <w:rsid w:val="009A61BE"/>
    <w:rsid w:val="009A61CF"/>
    <w:rsid w:val="009A621E"/>
    <w:rsid w:val="009A6227"/>
    <w:rsid w:val="009A626A"/>
    <w:rsid w:val="009A6283"/>
    <w:rsid w:val="009A628B"/>
    <w:rsid w:val="009A6398"/>
    <w:rsid w:val="009A642C"/>
    <w:rsid w:val="009A647A"/>
    <w:rsid w:val="009A6504"/>
    <w:rsid w:val="009A6553"/>
    <w:rsid w:val="009A657A"/>
    <w:rsid w:val="009A658F"/>
    <w:rsid w:val="009A65CE"/>
    <w:rsid w:val="009A65D1"/>
    <w:rsid w:val="009A661E"/>
    <w:rsid w:val="009A6651"/>
    <w:rsid w:val="009A668A"/>
    <w:rsid w:val="009A66A7"/>
    <w:rsid w:val="009A6844"/>
    <w:rsid w:val="009A684F"/>
    <w:rsid w:val="009A6862"/>
    <w:rsid w:val="009A686E"/>
    <w:rsid w:val="009A698F"/>
    <w:rsid w:val="009A6994"/>
    <w:rsid w:val="009A69FA"/>
    <w:rsid w:val="009A6A52"/>
    <w:rsid w:val="009A6B76"/>
    <w:rsid w:val="009A6B91"/>
    <w:rsid w:val="009A6BCB"/>
    <w:rsid w:val="009A6C38"/>
    <w:rsid w:val="009A6CBB"/>
    <w:rsid w:val="009A6CBF"/>
    <w:rsid w:val="009A6D23"/>
    <w:rsid w:val="009A6DE6"/>
    <w:rsid w:val="009A6E49"/>
    <w:rsid w:val="009A6E65"/>
    <w:rsid w:val="009A6ED5"/>
    <w:rsid w:val="009A6F01"/>
    <w:rsid w:val="009A6F1B"/>
    <w:rsid w:val="009A6F30"/>
    <w:rsid w:val="009A6F62"/>
    <w:rsid w:val="009A6F7E"/>
    <w:rsid w:val="009A6F90"/>
    <w:rsid w:val="009A7004"/>
    <w:rsid w:val="009A710F"/>
    <w:rsid w:val="009A7151"/>
    <w:rsid w:val="009A72DD"/>
    <w:rsid w:val="009A7323"/>
    <w:rsid w:val="009A7373"/>
    <w:rsid w:val="009A7382"/>
    <w:rsid w:val="009A747F"/>
    <w:rsid w:val="009A749E"/>
    <w:rsid w:val="009A756B"/>
    <w:rsid w:val="009A75A0"/>
    <w:rsid w:val="009A7612"/>
    <w:rsid w:val="009A763F"/>
    <w:rsid w:val="009A7679"/>
    <w:rsid w:val="009A76D9"/>
    <w:rsid w:val="009A773E"/>
    <w:rsid w:val="009A775C"/>
    <w:rsid w:val="009A777E"/>
    <w:rsid w:val="009A782A"/>
    <w:rsid w:val="009A788C"/>
    <w:rsid w:val="009A7969"/>
    <w:rsid w:val="009A7A0A"/>
    <w:rsid w:val="009A7A77"/>
    <w:rsid w:val="009A7ADA"/>
    <w:rsid w:val="009A7B45"/>
    <w:rsid w:val="009A7B7A"/>
    <w:rsid w:val="009A7BF5"/>
    <w:rsid w:val="009A7C51"/>
    <w:rsid w:val="009A7C8B"/>
    <w:rsid w:val="009A7CC1"/>
    <w:rsid w:val="009A7D48"/>
    <w:rsid w:val="009A7D4C"/>
    <w:rsid w:val="009A7DB6"/>
    <w:rsid w:val="009A7E14"/>
    <w:rsid w:val="009A7E42"/>
    <w:rsid w:val="009A7E4F"/>
    <w:rsid w:val="009A7EBB"/>
    <w:rsid w:val="009A7EFA"/>
    <w:rsid w:val="009A7F5A"/>
    <w:rsid w:val="009A7F82"/>
    <w:rsid w:val="009B00B2"/>
    <w:rsid w:val="009B00E4"/>
    <w:rsid w:val="009B01F4"/>
    <w:rsid w:val="009B01F5"/>
    <w:rsid w:val="009B0214"/>
    <w:rsid w:val="009B0223"/>
    <w:rsid w:val="009B0300"/>
    <w:rsid w:val="009B0327"/>
    <w:rsid w:val="009B03E4"/>
    <w:rsid w:val="009B03EE"/>
    <w:rsid w:val="009B0532"/>
    <w:rsid w:val="009B054B"/>
    <w:rsid w:val="009B056D"/>
    <w:rsid w:val="009B060C"/>
    <w:rsid w:val="009B065E"/>
    <w:rsid w:val="009B0687"/>
    <w:rsid w:val="009B069E"/>
    <w:rsid w:val="009B06FD"/>
    <w:rsid w:val="009B0734"/>
    <w:rsid w:val="009B0750"/>
    <w:rsid w:val="009B07B3"/>
    <w:rsid w:val="009B07BF"/>
    <w:rsid w:val="009B082E"/>
    <w:rsid w:val="009B084E"/>
    <w:rsid w:val="009B0869"/>
    <w:rsid w:val="009B086F"/>
    <w:rsid w:val="009B08A0"/>
    <w:rsid w:val="009B08AF"/>
    <w:rsid w:val="009B08C3"/>
    <w:rsid w:val="009B08DA"/>
    <w:rsid w:val="009B0900"/>
    <w:rsid w:val="009B09A2"/>
    <w:rsid w:val="009B09E8"/>
    <w:rsid w:val="009B0A65"/>
    <w:rsid w:val="009B0AD3"/>
    <w:rsid w:val="009B0ADB"/>
    <w:rsid w:val="009B0AF9"/>
    <w:rsid w:val="009B0B00"/>
    <w:rsid w:val="009B0B1B"/>
    <w:rsid w:val="009B0B2F"/>
    <w:rsid w:val="009B0B68"/>
    <w:rsid w:val="009B0B75"/>
    <w:rsid w:val="009B0BC6"/>
    <w:rsid w:val="009B0C5C"/>
    <w:rsid w:val="009B0CAB"/>
    <w:rsid w:val="009B0D89"/>
    <w:rsid w:val="009B0E80"/>
    <w:rsid w:val="009B0ECB"/>
    <w:rsid w:val="009B0EFC"/>
    <w:rsid w:val="009B0F80"/>
    <w:rsid w:val="009B0FAC"/>
    <w:rsid w:val="009B0FEB"/>
    <w:rsid w:val="009B1074"/>
    <w:rsid w:val="009B109E"/>
    <w:rsid w:val="009B10CB"/>
    <w:rsid w:val="009B1185"/>
    <w:rsid w:val="009B1216"/>
    <w:rsid w:val="009B127D"/>
    <w:rsid w:val="009B1328"/>
    <w:rsid w:val="009B132C"/>
    <w:rsid w:val="009B13D4"/>
    <w:rsid w:val="009B1406"/>
    <w:rsid w:val="009B1417"/>
    <w:rsid w:val="009B1482"/>
    <w:rsid w:val="009B1490"/>
    <w:rsid w:val="009B14B2"/>
    <w:rsid w:val="009B14EE"/>
    <w:rsid w:val="009B14F8"/>
    <w:rsid w:val="009B1514"/>
    <w:rsid w:val="009B154D"/>
    <w:rsid w:val="009B1558"/>
    <w:rsid w:val="009B15E7"/>
    <w:rsid w:val="009B16A8"/>
    <w:rsid w:val="009B170C"/>
    <w:rsid w:val="009B1732"/>
    <w:rsid w:val="009B1757"/>
    <w:rsid w:val="009B179B"/>
    <w:rsid w:val="009B17DC"/>
    <w:rsid w:val="009B181B"/>
    <w:rsid w:val="009B1840"/>
    <w:rsid w:val="009B18CA"/>
    <w:rsid w:val="009B192D"/>
    <w:rsid w:val="009B1975"/>
    <w:rsid w:val="009B19E9"/>
    <w:rsid w:val="009B1A02"/>
    <w:rsid w:val="009B1A04"/>
    <w:rsid w:val="009B1A0F"/>
    <w:rsid w:val="009B1A4A"/>
    <w:rsid w:val="009B1A65"/>
    <w:rsid w:val="009B1A89"/>
    <w:rsid w:val="009B1A96"/>
    <w:rsid w:val="009B1ADF"/>
    <w:rsid w:val="009B1B31"/>
    <w:rsid w:val="009B1B4F"/>
    <w:rsid w:val="009B1BA8"/>
    <w:rsid w:val="009B1C24"/>
    <w:rsid w:val="009B1C32"/>
    <w:rsid w:val="009B1C9A"/>
    <w:rsid w:val="009B1CB4"/>
    <w:rsid w:val="009B1D40"/>
    <w:rsid w:val="009B1DB9"/>
    <w:rsid w:val="009B1EC0"/>
    <w:rsid w:val="009B1F0C"/>
    <w:rsid w:val="009B1F59"/>
    <w:rsid w:val="009B2007"/>
    <w:rsid w:val="009B20CA"/>
    <w:rsid w:val="009B20EA"/>
    <w:rsid w:val="009B213E"/>
    <w:rsid w:val="009B2186"/>
    <w:rsid w:val="009B21DB"/>
    <w:rsid w:val="009B21EB"/>
    <w:rsid w:val="009B2222"/>
    <w:rsid w:val="009B2234"/>
    <w:rsid w:val="009B2291"/>
    <w:rsid w:val="009B22C2"/>
    <w:rsid w:val="009B240D"/>
    <w:rsid w:val="009B2481"/>
    <w:rsid w:val="009B2506"/>
    <w:rsid w:val="009B2530"/>
    <w:rsid w:val="009B25A8"/>
    <w:rsid w:val="009B25E7"/>
    <w:rsid w:val="009B2647"/>
    <w:rsid w:val="009B267E"/>
    <w:rsid w:val="009B26F3"/>
    <w:rsid w:val="009B277E"/>
    <w:rsid w:val="009B28AC"/>
    <w:rsid w:val="009B28D8"/>
    <w:rsid w:val="009B294C"/>
    <w:rsid w:val="009B297F"/>
    <w:rsid w:val="009B2A3B"/>
    <w:rsid w:val="009B2A44"/>
    <w:rsid w:val="009B2B2A"/>
    <w:rsid w:val="009B2B7D"/>
    <w:rsid w:val="009B2B8A"/>
    <w:rsid w:val="009B2B94"/>
    <w:rsid w:val="009B2BBF"/>
    <w:rsid w:val="009B2BD0"/>
    <w:rsid w:val="009B2C05"/>
    <w:rsid w:val="009B2C19"/>
    <w:rsid w:val="009B2C5C"/>
    <w:rsid w:val="009B2CE9"/>
    <w:rsid w:val="009B2DBA"/>
    <w:rsid w:val="009B2E46"/>
    <w:rsid w:val="009B2E4B"/>
    <w:rsid w:val="009B2E59"/>
    <w:rsid w:val="009B2EC4"/>
    <w:rsid w:val="009B2EE7"/>
    <w:rsid w:val="009B2F6D"/>
    <w:rsid w:val="009B2FBF"/>
    <w:rsid w:val="009B3032"/>
    <w:rsid w:val="009B30F3"/>
    <w:rsid w:val="009B3127"/>
    <w:rsid w:val="009B3161"/>
    <w:rsid w:val="009B31C6"/>
    <w:rsid w:val="009B31E4"/>
    <w:rsid w:val="009B31FA"/>
    <w:rsid w:val="009B3215"/>
    <w:rsid w:val="009B32B7"/>
    <w:rsid w:val="009B3356"/>
    <w:rsid w:val="009B335D"/>
    <w:rsid w:val="009B3484"/>
    <w:rsid w:val="009B34F1"/>
    <w:rsid w:val="009B3526"/>
    <w:rsid w:val="009B359A"/>
    <w:rsid w:val="009B35F0"/>
    <w:rsid w:val="009B35FD"/>
    <w:rsid w:val="009B3618"/>
    <w:rsid w:val="009B365A"/>
    <w:rsid w:val="009B365F"/>
    <w:rsid w:val="009B36AF"/>
    <w:rsid w:val="009B36E5"/>
    <w:rsid w:val="009B373A"/>
    <w:rsid w:val="009B374B"/>
    <w:rsid w:val="009B3759"/>
    <w:rsid w:val="009B3795"/>
    <w:rsid w:val="009B37E5"/>
    <w:rsid w:val="009B38D1"/>
    <w:rsid w:val="009B390B"/>
    <w:rsid w:val="009B3913"/>
    <w:rsid w:val="009B3964"/>
    <w:rsid w:val="009B39D1"/>
    <w:rsid w:val="009B39F2"/>
    <w:rsid w:val="009B3A6A"/>
    <w:rsid w:val="009B3A89"/>
    <w:rsid w:val="009B3AEE"/>
    <w:rsid w:val="009B3BDE"/>
    <w:rsid w:val="009B3C76"/>
    <w:rsid w:val="009B3C7B"/>
    <w:rsid w:val="009B3C7E"/>
    <w:rsid w:val="009B3CEB"/>
    <w:rsid w:val="009B3D16"/>
    <w:rsid w:val="009B3D9C"/>
    <w:rsid w:val="009B3DC2"/>
    <w:rsid w:val="009B3DDD"/>
    <w:rsid w:val="009B3DE3"/>
    <w:rsid w:val="009B3E4E"/>
    <w:rsid w:val="009B3E9D"/>
    <w:rsid w:val="009B3F56"/>
    <w:rsid w:val="009B3FCF"/>
    <w:rsid w:val="009B3FDA"/>
    <w:rsid w:val="009B4172"/>
    <w:rsid w:val="009B4212"/>
    <w:rsid w:val="009B4232"/>
    <w:rsid w:val="009B426A"/>
    <w:rsid w:val="009B428C"/>
    <w:rsid w:val="009B42CC"/>
    <w:rsid w:val="009B43D5"/>
    <w:rsid w:val="009B4433"/>
    <w:rsid w:val="009B445D"/>
    <w:rsid w:val="009B44C2"/>
    <w:rsid w:val="009B4564"/>
    <w:rsid w:val="009B4609"/>
    <w:rsid w:val="009B4637"/>
    <w:rsid w:val="009B46B7"/>
    <w:rsid w:val="009B46EB"/>
    <w:rsid w:val="009B4750"/>
    <w:rsid w:val="009B47B1"/>
    <w:rsid w:val="009B47E7"/>
    <w:rsid w:val="009B484B"/>
    <w:rsid w:val="009B4872"/>
    <w:rsid w:val="009B48B0"/>
    <w:rsid w:val="009B48CF"/>
    <w:rsid w:val="009B49CF"/>
    <w:rsid w:val="009B4A39"/>
    <w:rsid w:val="009B4A3A"/>
    <w:rsid w:val="009B4A6A"/>
    <w:rsid w:val="009B4AD9"/>
    <w:rsid w:val="009B4B15"/>
    <w:rsid w:val="009B4B35"/>
    <w:rsid w:val="009B4BC6"/>
    <w:rsid w:val="009B4C23"/>
    <w:rsid w:val="009B4C4D"/>
    <w:rsid w:val="009B4D18"/>
    <w:rsid w:val="009B4D58"/>
    <w:rsid w:val="009B4DAC"/>
    <w:rsid w:val="009B4DDA"/>
    <w:rsid w:val="009B4DEE"/>
    <w:rsid w:val="009B4DF7"/>
    <w:rsid w:val="009B4E1A"/>
    <w:rsid w:val="009B4E4A"/>
    <w:rsid w:val="009B4E75"/>
    <w:rsid w:val="009B4EAD"/>
    <w:rsid w:val="009B4F37"/>
    <w:rsid w:val="009B4FC9"/>
    <w:rsid w:val="009B4FCD"/>
    <w:rsid w:val="009B4FEF"/>
    <w:rsid w:val="009B5110"/>
    <w:rsid w:val="009B5141"/>
    <w:rsid w:val="009B516A"/>
    <w:rsid w:val="009B51C0"/>
    <w:rsid w:val="009B526B"/>
    <w:rsid w:val="009B5311"/>
    <w:rsid w:val="009B5312"/>
    <w:rsid w:val="009B537B"/>
    <w:rsid w:val="009B539C"/>
    <w:rsid w:val="009B5422"/>
    <w:rsid w:val="009B5436"/>
    <w:rsid w:val="009B54A6"/>
    <w:rsid w:val="009B5546"/>
    <w:rsid w:val="009B556F"/>
    <w:rsid w:val="009B55A0"/>
    <w:rsid w:val="009B55D6"/>
    <w:rsid w:val="009B5658"/>
    <w:rsid w:val="009B56C7"/>
    <w:rsid w:val="009B56DA"/>
    <w:rsid w:val="009B577E"/>
    <w:rsid w:val="009B57D3"/>
    <w:rsid w:val="009B581E"/>
    <w:rsid w:val="009B5840"/>
    <w:rsid w:val="009B586A"/>
    <w:rsid w:val="009B5902"/>
    <w:rsid w:val="009B5939"/>
    <w:rsid w:val="009B597E"/>
    <w:rsid w:val="009B5A14"/>
    <w:rsid w:val="009B5A28"/>
    <w:rsid w:val="009B5A70"/>
    <w:rsid w:val="009B5BDB"/>
    <w:rsid w:val="009B5CEA"/>
    <w:rsid w:val="009B5CF4"/>
    <w:rsid w:val="009B5D55"/>
    <w:rsid w:val="009B5DCE"/>
    <w:rsid w:val="009B5E49"/>
    <w:rsid w:val="009B5E80"/>
    <w:rsid w:val="009B5E9B"/>
    <w:rsid w:val="009B5EA2"/>
    <w:rsid w:val="009B5F0B"/>
    <w:rsid w:val="009B5FFE"/>
    <w:rsid w:val="009B6054"/>
    <w:rsid w:val="009B60E2"/>
    <w:rsid w:val="009B6127"/>
    <w:rsid w:val="009B6169"/>
    <w:rsid w:val="009B618C"/>
    <w:rsid w:val="009B61C8"/>
    <w:rsid w:val="009B6202"/>
    <w:rsid w:val="009B6226"/>
    <w:rsid w:val="009B6276"/>
    <w:rsid w:val="009B6361"/>
    <w:rsid w:val="009B6363"/>
    <w:rsid w:val="009B63C7"/>
    <w:rsid w:val="009B6601"/>
    <w:rsid w:val="009B6663"/>
    <w:rsid w:val="009B66DA"/>
    <w:rsid w:val="009B671F"/>
    <w:rsid w:val="009B67C6"/>
    <w:rsid w:val="009B67C9"/>
    <w:rsid w:val="009B67D4"/>
    <w:rsid w:val="009B6865"/>
    <w:rsid w:val="009B6953"/>
    <w:rsid w:val="009B6997"/>
    <w:rsid w:val="009B69B2"/>
    <w:rsid w:val="009B6A65"/>
    <w:rsid w:val="009B6B06"/>
    <w:rsid w:val="009B6B3D"/>
    <w:rsid w:val="009B6B4D"/>
    <w:rsid w:val="009B6BF1"/>
    <w:rsid w:val="009B6BFF"/>
    <w:rsid w:val="009B6C60"/>
    <w:rsid w:val="009B6CDD"/>
    <w:rsid w:val="009B6D08"/>
    <w:rsid w:val="009B6D16"/>
    <w:rsid w:val="009B6D17"/>
    <w:rsid w:val="009B6D59"/>
    <w:rsid w:val="009B6E14"/>
    <w:rsid w:val="009B6E28"/>
    <w:rsid w:val="009B6FA6"/>
    <w:rsid w:val="009B70E1"/>
    <w:rsid w:val="009B7126"/>
    <w:rsid w:val="009B719E"/>
    <w:rsid w:val="009B71D2"/>
    <w:rsid w:val="009B7317"/>
    <w:rsid w:val="009B7331"/>
    <w:rsid w:val="009B734D"/>
    <w:rsid w:val="009B734E"/>
    <w:rsid w:val="009B73BD"/>
    <w:rsid w:val="009B73FD"/>
    <w:rsid w:val="009B7556"/>
    <w:rsid w:val="009B755E"/>
    <w:rsid w:val="009B75C7"/>
    <w:rsid w:val="009B75F3"/>
    <w:rsid w:val="009B76CB"/>
    <w:rsid w:val="009B76F3"/>
    <w:rsid w:val="009B771B"/>
    <w:rsid w:val="009B7762"/>
    <w:rsid w:val="009B7779"/>
    <w:rsid w:val="009B779A"/>
    <w:rsid w:val="009B77A4"/>
    <w:rsid w:val="009B77BD"/>
    <w:rsid w:val="009B78A7"/>
    <w:rsid w:val="009B793D"/>
    <w:rsid w:val="009B797F"/>
    <w:rsid w:val="009B79A5"/>
    <w:rsid w:val="009B79C6"/>
    <w:rsid w:val="009B7A3E"/>
    <w:rsid w:val="009B7ABD"/>
    <w:rsid w:val="009B7AE5"/>
    <w:rsid w:val="009B7AF6"/>
    <w:rsid w:val="009B7B06"/>
    <w:rsid w:val="009B7B92"/>
    <w:rsid w:val="009B7C3E"/>
    <w:rsid w:val="009B7CFB"/>
    <w:rsid w:val="009B7D28"/>
    <w:rsid w:val="009B7D5B"/>
    <w:rsid w:val="009B7D7D"/>
    <w:rsid w:val="009B7DF6"/>
    <w:rsid w:val="009B7E06"/>
    <w:rsid w:val="009B7E2C"/>
    <w:rsid w:val="009B7E40"/>
    <w:rsid w:val="009B7EED"/>
    <w:rsid w:val="009B7F19"/>
    <w:rsid w:val="009B7FCA"/>
    <w:rsid w:val="009C0011"/>
    <w:rsid w:val="009C00BE"/>
    <w:rsid w:val="009C0127"/>
    <w:rsid w:val="009C0132"/>
    <w:rsid w:val="009C013B"/>
    <w:rsid w:val="009C0182"/>
    <w:rsid w:val="009C01B5"/>
    <w:rsid w:val="009C0235"/>
    <w:rsid w:val="009C0275"/>
    <w:rsid w:val="009C0423"/>
    <w:rsid w:val="009C04F9"/>
    <w:rsid w:val="009C0519"/>
    <w:rsid w:val="009C0533"/>
    <w:rsid w:val="009C062C"/>
    <w:rsid w:val="009C066A"/>
    <w:rsid w:val="009C0681"/>
    <w:rsid w:val="009C06AD"/>
    <w:rsid w:val="009C06FF"/>
    <w:rsid w:val="009C0741"/>
    <w:rsid w:val="009C081D"/>
    <w:rsid w:val="009C0864"/>
    <w:rsid w:val="009C08AB"/>
    <w:rsid w:val="009C097F"/>
    <w:rsid w:val="009C09C6"/>
    <w:rsid w:val="009C09CE"/>
    <w:rsid w:val="009C0B9D"/>
    <w:rsid w:val="009C0BEB"/>
    <w:rsid w:val="009C0BEC"/>
    <w:rsid w:val="009C0D8A"/>
    <w:rsid w:val="009C0E83"/>
    <w:rsid w:val="009C0EB3"/>
    <w:rsid w:val="009C0EF4"/>
    <w:rsid w:val="009C0F07"/>
    <w:rsid w:val="009C0F1D"/>
    <w:rsid w:val="009C0F3E"/>
    <w:rsid w:val="009C0FCC"/>
    <w:rsid w:val="009C10FE"/>
    <w:rsid w:val="009C1171"/>
    <w:rsid w:val="009C1203"/>
    <w:rsid w:val="009C1282"/>
    <w:rsid w:val="009C1289"/>
    <w:rsid w:val="009C12BD"/>
    <w:rsid w:val="009C12EB"/>
    <w:rsid w:val="009C1302"/>
    <w:rsid w:val="009C13BA"/>
    <w:rsid w:val="009C1472"/>
    <w:rsid w:val="009C14AD"/>
    <w:rsid w:val="009C14B7"/>
    <w:rsid w:val="009C150A"/>
    <w:rsid w:val="009C151B"/>
    <w:rsid w:val="009C15C1"/>
    <w:rsid w:val="009C167D"/>
    <w:rsid w:val="009C16DA"/>
    <w:rsid w:val="009C172C"/>
    <w:rsid w:val="009C1736"/>
    <w:rsid w:val="009C174D"/>
    <w:rsid w:val="009C177F"/>
    <w:rsid w:val="009C17C4"/>
    <w:rsid w:val="009C17DE"/>
    <w:rsid w:val="009C17F0"/>
    <w:rsid w:val="009C187F"/>
    <w:rsid w:val="009C18C3"/>
    <w:rsid w:val="009C18FB"/>
    <w:rsid w:val="009C1909"/>
    <w:rsid w:val="009C196F"/>
    <w:rsid w:val="009C1A10"/>
    <w:rsid w:val="009C1A59"/>
    <w:rsid w:val="009C1A5A"/>
    <w:rsid w:val="009C1A8A"/>
    <w:rsid w:val="009C1AD5"/>
    <w:rsid w:val="009C1B02"/>
    <w:rsid w:val="009C1B47"/>
    <w:rsid w:val="009C1B82"/>
    <w:rsid w:val="009C1C11"/>
    <w:rsid w:val="009C1C9E"/>
    <w:rsid w:val="009C1CDE"/>
    <w:rsid w:val="009C1CDF"/>
    <w:rsid w:val="009C1D14"/>
    <w:rsid w:val="009C1D54"/>
    <w:rsid w:val="009C1E05"/>
    <w:rsid w:val="009C1FA6"/>
    <w:rsid w:val="009C2037"/>
    <w:rsid w:val="009C2052"/>
    <w:rsid w:val="009C207B"/>
    <w:rsid w:val="009C20A3"/>
    <w:rsid w:val="009C210C"/>
    <w:rsid w:val="009C216B"/>
    <w:rsid w:val="009C21F5"/>
    <w:rsid w:val="009C2242"/>
    <w:rsid w:val="009C227E"/>
    <w:rsid w:val="009C229C"/>
    <w:rsid w:val="009C2307"/>
    <w:rsid w:val="009C2310"/>
    <w:rsid w:val="009C24B5"/>
    <w:rsid w:val="009C24BC"/>
    <w:rsid w:val="009C24F6"/>
    <w:rsid w:val="009C24F9"/>
    <w:rsid w:val="009C25C3"/>
    <w:rsid w:val="009C2643"/>
    <w:rsid w:val="009C2658"/>
    <w:rsid w:val="009C2678"/>
    <w:rsid w:val="009C2686"/>
    <w:rsid w:val="009C26C7"/>
    <w:rsid w:val="009C27F2"/>
    <w:rsid w:val="009C281C"/>
    <w:rsid w:val="009C28F1"/>
    <w:rsid w:val="009C2909"/>
    <w:rsid w:val="009C2913"/>
    <w:rsid w:val="009C2942"/>
    <w:rsid w:val="009C29A6"/>
    <w:rsid w:val="009C29AC"/>
    <w:rsid w:val="009C29B7"/>
    <w:rsid w:val="009C29C0"/>
    <w:rsid w:val="009C2A05"/>
    <w:rsid w:val="009C2A46"/>
    <w:rsid w:val="009C2A76"/>
    <w:rsid w:val="009C2ACA"/>
    <w:rsid w:val="009C2B04"/>
    <w:rsid w:val="009C2BF4"/>
    <w:rsid w:val="009C2C61"/>
    <w:rsid w:val="009C2C93"/>
    <w:rsid w:val="009C2CDD"/>
    <w:rsid w:val="009C2D17"/>
    <w:rsid w:val="009C2E06"/>
    <w:rsid w:val="009C2E20"/>
    <w:rsid w:val="009C2E3B"/>
    <w:rsid w:val="009C2E55"/>
    <w:rsid w:val="009C2E7A"/>
    <w:rsid w:val="009C2EAA"/>
    <w:rsid w:val="009C2EF4"/>
    <w:rsid w:val="009C2F39"/>
    <w:rsid w:val="009C2F44"/>
    <w:rsid w:val="009C3057"/>
    <w:rsid w:val="009C308A"/>
    <w:rsid w:val="009C30D5"/>
    <w:rsid w:val="009C31A3"/>
    <w:rsid w:val="009C31D6"/>
    <w:rsid w:val="009C31E3"/>
    <w:rsid w:val="009C32A0"/>
    <w:rsid w:val="009C32DB"/>
    <w:rsid w:val="009C32E8"/>
    <w:rsid w:val="009C32EA"/>
    <w:rsid w:val="009C3393"/>
    <w:rsid w:val="009C33C8"/>
    <w:rsid w:val="009C33EE"/>
    <w:rsid w:val="009C33F8"/>
    <w:rsid w:val="009C33F9"/>
    <w:rsid w:val="009C3435"/>
    <w:rsid w:val="009C3461"/>
    <w:rsid w:val="009C34DA"/>
    <w:rsid w:val="009C35B8"/>
    <w:rsid w:val="009C3663"/>
    <w:rsid w:val="009C3677"/>
    <w:rsid w:val="009C36D7"/>
    <w:rsid w:val="009C36E4"/>
    <w:rsid w:val="009C370C"/>
    <w:rsid w:val="009C37C6"/>
    <w:rsid w:val="009C382F"/>
    <w:rsid w:val="009C392D"/>
    <w:rsid w:val="009C39A4"/>
    <w:rsid w:val="009C39D3"/>
    <w:rsid w:val="009C3A27"/>
    <w:rsid w:val="009C3A7B"/>
    <w:rsid w:val="009C3A85"/>
    <w:rsid w:val="009C3C00"/>
    <w:rsid w:val="009C3C03"/>
    <w:rsid w:val="009C3C0C"/>
    <w:rsid w:val="009C3C15"/>
    <w:rsid w:val="009C3D19"/>
    <w:rsid w:val="009C3D66"/>
    <w:rsid w:val="009C3D82"/>
    <w:rsid w:val="009C3DA7"/>
    <w:rsid w:val="009C3DEE"/>
    <w:rsid w:val="009C3E4B"/>
    <w:rsid w:val="009C3EDB"/>
    <w:rsid w:val="009C3F06"/>
    <w:rsid w:val="009C3F09"/>
    <w:rsid w:val="009C3F0D"/>
    <w:rsid w:val="009C3F56"/>
    <w:rsid w:val="009C3F91"/>
    <w:rsid w:val="009C3FCB"/>
    <w:rsid w:val="009C3FE5"/>
    <w:rsid w:val="009C4049"/>
    <w:rsid w:val="009C43DD"/>
    <w:rsid w:val="009C4436"/>
    <w:rsid w:val="009C447A"/>
    <w:rsid w:val="009C44AB"/>
    <w:rsid w:val="009C45F2"/>
    <w:rsid w:val="009C4660"/>
    <w:rsid w:val="009C46DA"/>
    <w:rsid w:val="009C47B0"/>
    <w:rsid w:val="009C47D3"/>
    <w:rsid w:val="009C4875"/>
    <w:rsid w:val="009C48B8"/>
    <w:rsid w:val="009C48F5"/>
    <w:rsid w:val="009C4947"/>
    <w:rsid w:val="009C494A"/>
    <w:rsid w:val="009C49B6"/>
    <w:rsid w:val="009C4A23"/>
    <w:rsid w:val="009C4A36"/>
    <w:rsid w:val="009C4AE1"/>
    <w:rsid w:val="009C4B30"/>
    <w:rsid w:val="009C4B93"/>
    <w:rsid w:val="009C4BE4"/>
    <w:rsid w:val="009C4BFA"/>
    <w:rsid w:val="009C4C3E"/>
    <w:rsid w:val="009C4C87"/>
    <w:rsid w:val="009C4C9C"/>
    <w:rsid w:val="009C4CB4"/>
    <w:rsid w:val="009C4CE0"/>
    <w:rsid w:val="009C4D9E"/>
    <w:rsid w:val="009C4DA0"/>
    <w:rsid w:val="009C4DB5"/>
    <w:rsid w:val="009C4DF7"/>
    <w:rsid w:val="009C4E6E"/>
    <w:rsid w:val="009C4E91"/>
    <w:rsid w:val="009C4EC7"/>
    <w:rsid w:val="009C4ED0"/>
    <w:rsid w:val="009C4F45"/>
    <w:rsid w:val="009C4F59"/>
    <w:rsid w:val="009C4F8B"/>
    <w:rsid w:val="009C4FC6"/>
    <w:rsid w:val="009C5008"/>
    <w:rsid w:val="009C5014"/>
    <w:rsid w:val="009C506D"/>
    <w:rsid w:val="009C509C"/>
    <w:rsid w:val="009C50B4"/>
    <w:rsid w:val="009C50BF"/>
    <w:rsid w:val="009C511A"/>
    <w:rsid w:val="009C5138"/>
    <w:rsid w:val="009C516C"/>
    <w:rsid w:val="009C51BE"/>
    <w:rsid w:val="009C5208"/>
    <w:rsid w:val="009C5240"/>
    <w:rsid w:val="009C5253"/>
    <w:rsid w:val="009C5280"/>
    <w:rsid w:val="009C5407"/>
    <w:rsid w:val="009C5423"/>
    <w:rsid w:val="009C55A3"/>
    <w:rsid w:val="009C5645"/>
    <w:rsid w:val="009C568F"/>
    <w:rsid w:val="009C5690"/>
    <w:rsid w:val="009C56E0"/>
    <w:rsid w:val="009C5742"/>
    <w:rsid w:val="009C5746"/>
    <w:rsid w:val="009C57E1"/>
    <w:rsid w:val="009C5819"/>
    <w:rsid w:val="009C5856"/>
    <w:rsid w:val="009C5874"/>
    <w:rsid w:val="009C589A"/>
    <w:rsid w:val="009C58F8"/>
    <w:rsid w:val="009C5914"/>
    <w:rsid w:val="009C5920"/>
    <w:rsid w:val="009C592F"/>
    <w:rsid w:val="009C5937"/>
    <w:rsid w:val="009C593F"/>
    <w:rsid w:val="009C5A62"/>
    <w:rsid w:val="009C5A79"/>
    <w:rsid w:val="009C5AA2"/>
    <w:rsid w:val="009C5AF5"/>
    <w:rsid w:val="009C5B09"/>
    <w:rsid w:val="009C5B74"/>
    <w:rsid w:val="009C5B7C"/>
    <w:rsid w:val="009C5B84"/>
    <w:rsid w:val="009C5B94"/>
    <w:rsid w:val="009C5C28"/>
    <w:rsid w:val="009C5CA2"/>
    <w:rsid w:val="009C5D1B"/>
    <w:rsid w:val="009C5D1C"/>
    <w:rsid w:val="009C5D60"/>
    <w:rsid w:val="009C5DC8"/>
    <w:rsid w:val="009C5E03"/>
    <w:rsid w:val="009C5EA6"/>
    <w:rsid w:val="009C5ECE"/>
    <w:rsid w:val="009C5EDD"/>
    <w:rsid w:val="009C5EF9"/>
    <w:rsid w:val="009C5F5D"/>
    <w:rsid w:val="009C5FEC"/>
    <w:rsid w:val="009C600F"/>
    <w:rsid w:val="009C6029"/>
    <w:rsid w:val="009C6105"/>
    <w:rsid w:val="009C617A"/>
    <w:rsid w:val="009C61AF"/>
    <w:rsid w:val="009C61E5"/>
    <w:rsid w:val="009C625B"/>
    <w:rsid w:val="009C627A"/>
    <w:rsid w:val="009C62D0"/>
    <w:rsid w:val="009C62DF"/>
    <w:rsid w:val="009C631B"/>
    <w:rsid w:val="009C634B"/>
    <w:rsid w:val="009C636D"/>
    <w:rsid w:val="009C6398"/>
    <w:rsid w:val="009C63D2"/>
    <w:rsid w:val="009C6404"/>
    <w:rsid w:val="009C6414"/>
    <w:rsid w:val="009C6419"/>
    <w:rsid w:val="009C6490"/>
    <w:rsid w:val="009C6491"/>
    <w:rsid w:val="009C64AB"/>
    <w:rsid w:val="009C64D9"/>
    <w:rsid w:val="009C64E9"/>
    <w:rsid w:val="009C655C"/>
    <w:rsid w:val="009C65C1"/>
    <w:rsid w:val="009C65E1"/>
    <w:rsid w:val="009C6680"/>
    <w:rsid w:val="009C6685"/>
    <w:rsid w:val="009C66BE"/>
    <w:rsid w:val="009C66D6"/>
    <w:rsid w:val="009C6790"/>
    <w:rsid w:val="009C67BE"/>
    <w:rsid w:val="009C67E7"/>
    <w:rsid w:val="009C67E8"/>
    <w:rsid w:val="009C6823"/>
    <w:rsid w:val="009C682B"/>
    <w:rsid w:val="009C68E9"/>
    <w:rsid w:val="009C693E"/>
    <w:rsid w:val="009C6971"/>
    <w:rsid w:val="009C6980"/>
    <w:rsid w:val="009C69B0"/>
    <w:rsid w:val="009C69F7"/>
    <w:rsid w:val="009C6A83"/>
    <w:rsid w:val="009C6AA3"/>
    <w:rsid w:val="009C6AC6"/>
    <w:rsid w:val="009C6AE3"/>
    <w:rsid w:val="009C6B1B"/>
    <w:rsid w:val="009C6B55"/>
    <w:rsid w:val="009C6B68"/>
    <w:rsid w:val="009C6BBE"/>
    <w:rsid w:val="009C6C15"/>
    <w:rsid w:val="009C6C8B"/>
    <w:rsid w:val="009C6CE4"/>
    <w:rsid w:val="009C6CF8"/>
    <w:rsid w:val="009C6D08"/>
    <w:rsid w:val="009C6D17"/>
    <w:rsid w:val="009C6E27"/>
    <w:rsid w:val="009C6E91"/>
    <w:rsid w:val="009C6F06"/>
    <w:rsid w:val="009C700B"/>
    <w:rsid w:val="009C709F"/>
    <w:rsid w:val="009C710B"/>
    <w:rsid w:val="009C7161"/>
    <w:rsid w:val="009C71C4"/>
    <w:rsid w:val="009C71CF"/>
    <w:rsid w:val="009C71F1"/>
    <w:rsid w:val="009C7204"/>
    <w:rsid w:val="009C7345"/>
    <w:rsid w:val="009C73A6"/>
    <w:rsid w:val="009C73D7"/>
    <w:rsid w:val="009C73DD"/>
    <w:rsid w:val="009C7447"/>
    <w:rsid w:val="009C74A5"/>
    <w:rsid w:val="009C7503"/>
    <w:rsid w:val="009C7516"/>
    <w:rsid w:val="009C7584"/>
    <w:rsid w:val="009C75D8"/>
    <w:rsid w:val="009C75EA"/>
    <w:rsid w:val="009C75F9"/>
    <w:rsid w:val="009C76E3"/>
    <w:rsid w:val="009C77A4"/>
    <w:rsid w:val="009C77A9"/>
    <w:rsid w:val="009C77D1"/>
    <w:rsid w:val="009C77DD"/>
    <w:rsid w:val="009C7820"/>
    <w:rsid w:val="009C7863"/>
    <w:rsid w:val="009C78AD"/>
    <w:rsid w:val="009C7903"/>
    <w:rsid w:val="009C7A5D"/>
    <w:rsid w:val="009C7B43"/>
    <w:rsid w:val="009C7BCE"/>
    <w:rsid w:val="009C7C3D"/>
    <w:rsid w:val="009C7D07"/>
    <w:rsid w:val="009C7D76"/>
    <w:rsid w:val="009C7D77"/>
    <w:rsid w:val="009C7D7C"/>
    <w:rsid w:val="009C7EF1"/>
    <w:rsid w:val="009C7F26"/>
    <w:rsid w:val="009C7F3D"/>
    <w:rsid w:val="009C7F53"/>
    <w:rsid w:val="009C7FA7"/>
    <w:rsid w:val="009C7FE9"/>
    <w:rsid w:val="009D0016"/>
    <w:rsid w:val="009D003E"/>
    <w:rsid w:val="009D008F"/>
    <w:rsid w:val="009D01E1"/>
    <w:rsid w:val="009D0236"/>
    <w:rsid w:val="009D0271"/>
    <w:rsid w:val="009D03D6"/>
    <w:rsid w:val="009D03F5"/>
    <w:rsid w:val="009D03F9"/>
    <w:rsid w:val="009D0401"/>
    <w:rsid w:val="009D0402"/>
    <w:rsid w:val="009D0418"/>
    <w:rsid w:val="009D043F"/>
    <w:rsid w:val="009D044E"/>
    <w:rsid w:val="009D045B"/>
    <w:rsid w:val="009D0474"/>
    <w:rsid w:val="009D04A4"/>
    <w:rsid w:val="009D04ED"/>
    <w:rsid w:val="009D04FA"/>
    <w:rsid w:val="009D050A"/>
    <w:rsid w:val="009D0530"/>
    <w:rsid w:val="009D054C"/>
    <w:rsid w:val="009D0591"/>
    <w:rsid w:val="009D06E6"/>
    <w:rsid w:val="009D0759"/>
    <w:rsid w:val="009D0886"/>
    <w:rsid w:val="009D0992"/>
    <w:rsid w:val="009D0A2F"/>
    <w:rsid w:val="009D0A40"/>
    <w:rsid w:val="009D0A46"/>
    <w:rsid w:val="009D0AA0"/>
    <w:rsid w:val="009D0AAB"/>
    <w:rsid w:val="009D0AD6"/>
    <w:rsid w:val="009D0B19"/>
    <w:rsid w:val="009D0B55"/>
    <w:rsid w:val="009D0B6A"/>
    <w:rsid w:val="009D0B7B"/>
    <w:rsid w:val="009D0BEE"/>
    <w:rsid w:val="009D0CBA"/>
    <w:rsid w:val="009D0CBF"/>
    <w:rsid w:val="009D0D14"/>
    <w:rsid w:val="009D0D17"/>
    <w:rsid w:val="009D0D21"/>
    <w:rsid w:val="009D0DC2"/>
    <w:rsid w:val="009D0E1C"/>
    <w:rsid w:val="009D0E43"/>
    <w:rsid w:val="009D0E45"/>
    <w:rsid w:val="009D0E70"/>
    <w:rsid w:val="009D0EAA"/>
    <w:rsid w:val="009D0F94"/>
    <w:rsid w:val="009D0FB8"/>
    <w:rsid w:val="009D10AA"/>
    <w:rsid w:val="009D10CC"/>
    <w:rsid w:val="009D10EB"/>
    <w:rsid w:val="009D1133"/>
    <w:rsid w:val="009D115C"/>
    <w:rsid w:val="009D1160"/>
    <w:rsid w:val="009D11AF"/>
    <w:rsid w:val="009D11E7"/>
    <w:rsid w:val="009D1207"/>
    <w:rsid w:val="009D1219"/>
    <w:rsid w:val="009D122A"/>
    <w:rsid w:val="009D129F"/>
    <w:rsid w:val="009D13C4"/>
    <w:rsid w:val="009D13EB"/>
    <w:rsid w:val="009D141D"/>
    <w:rsid w:val="009D1425"/>
    <w:rsid w:val="009D14BA"/>
    <w:rsid w:val="009D14D5"/>
    <w:rsid w:val="009D14EC"/>
    <w:rsid w:val="009D14F5"/>
    <w:rsid w:val="009D1507"/>
    <w:rsid w:val="009D1508"/>
    <w:rsid w:val="009D15D6"/>
    <w:rsid w:val="009D1601"/>
    <w:rsid w:val="009D1638"/>
    <w:rsid w:val="009D16F5"/>
    <w:rsid w:val="009D1716"/>
    <w:rsid w:val="009D173D"/>
    <w:rsid w:val="009D174D"/>
    <w:rsid w:val="009D1794"/>
    <w:rsid w:val="009D17D3"/>
    <w:rsid w:val="009D19C4"/>
    <w:rsid w:val="009D1A20"/>
    <w:rsid w:val="009D1AC5"/>
    <w:rsid w:val="009D1B8C"/>
    <w:rsid w:val="009D1B97"/>
    <w:rsid w:val="009D1CA7"/>
    <w:rsid w:val="009D1CC5"/>
    <w:rsid w:val="009D1CCF"/>
    <w:rsid w:val="009D1DED"/>
    <w:rsid w:val="009D1E0D"/>
    <w:rsid w:val="009D1E32"/>
    <w:rsid w:val="009D1E6D"/>
    <w:rsid w:val="009D1E75"/>
    <w:rsid w:val="009D1E90"/>
    <w:rsid w:val="009D1E91"/>
    <w:rsid w:val="009D1EE4"/>
    <w:rsid w:val="009D1EEB"/>
    <w:rsid w:val="009D1EF5"/>
    <w:rsid w:val="009D1F0D"/>
    <w:rsid w:val="009D1FA6"/>
    <w:rsid w:val="009D1FE7"/>
    <w:rsid w:val="009D2056"/>
    <w:rsid w:val="009D208F"/>
    <w:rsid w:val="009D209A"/>
    <w:rsid w:val="009D20B9"/>
    <w:rsid w:val="009D2133"/>
    <w:rsid w:val="009D2145"/>
    <w:rsid w:val="009D2163"/>
    <w:rsid w:val="009D21BC"/>
    <w:rsid w:val="009D220B"/>
    <w:rsid w:val="009D2219"/>
    <w:rsid w:val="009D22B0"/>
    <w:rsid w:val="009D22CD"/>
    <w:rsid w:val="009D22EC"/>
    <w:rsid w:val="009D2308"/>
    <w:rsid w:val="009D23BB"/>
    <w:rsid w:val="009D23E6"/>
    <w:rsid w:val="009D23F8"/>
    <w:rsid w:val="009D23FE"/>
    <w:rsid w:val="009D2425"/>
    <w:rsid w:val="009D243A"/>
    <w:rsid w:val="009D247C"/>
    <w:rsid w:val="009D25FB"/>
    <w:rsid w:val="009D2692"/>
    <w:rsid w:val="009D272A"/>
    <w:rsid w:val="009D27CA"/>
    <w:rsid w:val="009D27FB"/>
    <w:rsid w:val="009D2887"/>
    <w:rsid w:val="009D29A1"/>
    <w:rsid w:val="009D2A52"/>
    <w:rsid w:val="009D2A91"/>
    <w:rsid w:val="009D2B71"/>
    <w:rsid w:val="009D2B91"/>
    <w:rsid w:val="009D2B9D"/>
    <w:rsid w:val="009D2BE4"/>
    <w:rsid w:val="009D2C4B"/>
    <w:rsid w:val="009D2C55"/>
    <w:rsid w:val="009D2C66"/>
    <w:rsid w:val="009D2CAD"/>
    <w:rsid w:val="009D2CE7"/>
    <w:rsid w:val="009D2D16"/>
    <w:rsid w:val="009D2D19"/>
    <w:rsid w:val="009D2DA8"/>
    <w:rsid w:val="009D2DAE"/>
    <w:rsid w:val="009D2DE4"/>
    <w:rsid w:val="009D2E0D"/>
    <w:rsid w:val="009D2E76"/>
    <w:rsid w:val="009D2F09"/>
    <w:rsid w:val="009D2F66"/>
    <w:rsid w:val="009D300D"/>
    <w:rsid w:val="009D302B"/>
    <w:rsid w:val="009D3060"/>
    <w:rsid w:val="009D3085"/>
    <w:rsid w:val="009D316E"/>
    <w:rsid w:val="009D3191"/>
    <w:rsid w:val="009D320F"/>
    <w:rsid w:val="009D3233"/>
    <w:rsid w:val="009D323B"/>
    <w:rsid w:val="009D3336"/>
    <w:rsid w:val="009D333A"/>
    <w:rsid w:val="009D333D"/>
    <w:rsid w:val="009D3352"/>
    <w:rsid w:val="009D3427"/>
    <w:rsid w:val="009D34E7"/>
    <w:rsid w:val="009D3533"/>
    <w:rsid w:val="009D354B"/>
    <w:rsid w:val="009D3578"/>
    <w:rsid w:val="009D35CC"/>
    <w:rsid w:val="009D3643"/>
    <w:rsid w:val="009D3747"/>
    <w:rsid w:val="009D376A"/>
    <w:rsid w:val="009D3787"/>
    <w:rsid w:val="009D3880"/>
    <w:rsid w:val="009D38EF"/>
    <w:rsid w:val="009D3909"/>
    <w:rsid w:val="009D39A5"/>
    <w:rsid w:val="009D39BE"/>
    <w:rsid w:val="009D39C2"/>
    <w:rsid w:val="009D3A2D"/>
    <w:rsid w:val="009D3A6C"/>
    <w:rsid w:val="009D3B83"/>
    <w:rsid w:val="009D3B9E"/>
    <w:rsid w:val="009D3C62"/>
    <w:rsid w:val="009D3C69"/>
    <w:rsid w:val="009D3CB2"/>
    <w:rsid w:val="009D3CDC"/>
    <w:rsid w:val="009D3CE4"/>
    <w:rsid w:val="009D3D4C"/>
    <w:rsid w:val="009D3D5F"/>
    <w:rsid w:val="009D3E5A"/>
    <w:rsid w:val="009D3EE8"/>
    <w:rsid w:val="009D3EEF"/>
    <w:rsid w:val="009D3F10"/>
    <w:rsid w:val="009D3F39"/>
    <w:rsid w:val="009D3F44"/>
    <w:rsid w:val="009D3FD7"/>
    <w:rsid w:val="009D4032"/>
    <w:rsid w:val="009D4057"/>
    <w:rsid w:val="009D40A9"/>
    <w:rsid w:val="009D40F5"/>
    <w:rsid w:val="009D4113"/>
    <w:rsid w:val="009D4189"/>
    <w:rsid w:val="009D41AD"/>
    <w:rsid w:val="009D41C7"/>
    <w:rsid w:val="009D4204"/>
    <w:rsid w:val="009D4261"/>
    <w:rsid w:val="009D430C"/>
    <w:rsid w:val="009D44FB"/>
    <w:rsid w:val="009D450A"/>
    <w:rsid w:val="009D451D"/>
    <w:rsid w:val="009D4671"/>
    <w:rsid w:val="009D4734"/>
    <w:rsid w:val="009D4780"/>
    <w:rsid w:val="009D47E0"/>
    <w:rsid w:val="009D48CA"/>
    <w:rsid w:val="009D490B"/>
    <w:rsid w:val="009D499E"/>
    <w:rsid w:val="009D49B0"/>
    <w:rsid w:val="009D4A76"/>
    <w:rsid w:val="009D4A87"/>
    <w:rsid w:val="009D4B64"/>
    <w:rsid w:val="009D4B89"/>
    <w:rsid w:val="009D4B8C"/>
    <w:rsid w:val="009D4B94"/>
    <w:rsid w:val="009D4BC0"/>
    <w:rsid w:val="009D4C0A"/>
    <w:rsid w:val="009D4C3F"/>
    <w:rsid w:val="009D4C9E"/>
    <w:rsid w:val="009D4D69"/>
    <w:rsid w:val="009D4E24"/>
    <w:rsid w:val="009D4E67"/>
    <w:rsid w:val="009D4E83"/>
    <w:rsid w:val="009D4E92"/>
    <w:rsid w:val="009D4EE6"/>
    <w:rsid w:val="009D50C2"/>
    <w:rsid w:val="009D513C"/>
    <w:rsid w:val="009D5151"/>
    <w:rsid w:val="009D51B0"/>
    <w:rsid w:val="009D51B2"/>
    <w:rsid w:val="009D51F0"/>
    <w:rsid w:val="009D5232"/>
    <w:rsid w:val="009D523E"/>
    <w:rsid w:val="009D52F0"/>
    <w:rsid w:val="009D536E"/>
    <w:rsid w:val="009D53A0"/>
    <w:rsid w:val="009D53B4"/>
    <w:rsid w:val="009D53B5"/>
    <w:rsid w:val="009D53C6"/>
    <w:rsid w:val="009D53CF"/>
    <w:rsid w:val="009D53D4"/>
    <w:rsid w:val="009D541C"/>
    <w:rsid w:val="009D545D"/>
    <w:rsid w:val="009D54F8"/>
    <w:rsid w:val="009D551D"/>
    <w:rsid w:val="009D5521"/>
    <w:rsid w:val="009D55A4"/>
    <w:rsid w:val="009D5604"/>
    <w:rsid w:val="009D560C"/>
    <w:rsid w:val="009D5636"/>
    <w:rsid w:val="009D5675"/>
    <w:rsid w:val="009D5698"/>
    <w:rsid w:val="009D56B4"/>
    <w:rsid w:val="009D56CB"/>
    <w:rsid w:val="009D57DA"/>
    <w:rsid w:val="009D57F1"/>
    <w:rsid w:val="009D5829"/>
    <w:rsid w:val="009D5830"/>
    <w:rsid w:val="009D584A"/>
    <w:rsid w:val="009D5866"/>
    <w:rsid w:val="009D5924"/>
    <w:rsid w:val="009D5935"/>
    <w:rsid w:val="009D594B"/>
    <w:rsid w:val="009D59BD"/>
    <w:rsid w:val="009D5A7E"/>
    <w:rsid w:val="009D5AD5"/>
    <w:rsid w:val="009D5B17"/>
    <w:rsid w:val="009D5B8E"/>
    <w:rsid w:val="009D5C34"/>
    <w:rsid w:val="009D5CEA"/>
    <w:rsid w:val="009D5E7A"/>
    <w:rsid w:val="009D5EC1"/>
    <w:rsid w:val="009D5ED5"/>
    <w:rsid w:val="009D5EE0"/>
    <w:rsid w:val="009D5EFA"/>
    <w:rsid w:val="009D5F11"/>
    <w:rsid w:val="009D5F9B"/>
    <w:rsid w:val="009D5FAD"/>
    <w:rsid w:val="009D601B"/>
    <w:rsid w:val="009D610A"/>
    <w:rsid w:val="009D614C"/>
    <w:rsid w:val="009D616B"/>
    <w:rsid w:val="009D6235"/>
    <w:rsid w:val="009D628D"/>
    <w:rsid w:val="009D6298"/>
    <w:rsid w:val="009D62DB"/>
    <w:rsid w:val="009D6319"/>
    <w:rsid w:val="009D638B"/>
    <w:rsid w:val="009D640E"/>
    <w:rsid w:val="009D6448"/>
    <w:rsid w:val="009D6471"/>
    <w:rsid w:val="009D64A5"/>
    <w:rsid w:val="009D6503"/>
    <w:rsid w:val="009D650A"/>
    <w:rsid w:val="009D6579"/>
    <w:rsid w:val="009D6581"/>
    <w:rsid w:val="009D6596"/>
    <w:rsid w:val="009D661C"/>
    <w:rsid w:val="009D6687"/>
    <w:rsid w:val="009D66D1"/>
    <w:rsid w:val="009D66F3"/>
    <w:rsid w:val="009D670E"/>
    <w:rsid w:val="009D675C"/>
    <w:rsid w:val="009D67A6"/>
    <w:rsid w:val="009D67BA"/>
    <w:rsid w:val="009D680C"/>
    <w:rsid w:val="009D6837"/>
    <w:rsid w:val="009D6857"/>
    <w:rsid w:val="009D688D"/>
    <w:rsid w:val="009D689B"/>
    <w:rsid w:val="009D698F"/>
    <w:rsid w:val="009D6A47"/>
    <w:rsid w:val="009D6A6C"/>
    <w:rsid w:val="009D6B0A"/>
    <w:rsid w:val="009D6C29"/>
    <w:rsid w:val="009D6CE8"/>
    <w:rsid w:val="009D6D0D"/>
    <w:rsid w:val="009D6D15"/>
    <w:rsid w:val="009D6DC2"/>
    <w:rsid w:val="009D6E62"/>
    <w:rsid w:val="009D6F02"/>
    <w:rsid w:val="009D6F16"/>
    <w:rsid w:val="009D6F3E"/>
    <w:rsid w:val="009D7088"/>
    <w:rsid w:val="009D709B"/>
    <w:rsid w:val="009D71DA"/>
    <w:rsid w:val="009D7233"/>
    <w:rsid w:val="009D7250"/>
    <w:rsid w:val="009D7260"/>
    <w:rsid w:val="009D72FD"/>
    <w:rsid w:val="009D73A7"/>
    <w:rsid w:val="009D7407"/>
    <w:rsid w:val="009D7426"/>
    <w:rsid w:val="009D74A6"/>
    <w:rsid w:val="009D74E4"/>
    <w:rsid w:val="009D750F"/>
    <w:rsid w:val="009D7565"/>
    <w:rsid w:val="009D7584"/>
    <w:rsid w:val="009D75A4"/>
    <w:rsid w:val="009D7620"/>
    <w:rsid w:val="009D76FB"/>
    <w:rsid w:val="009D7727"/>
    <w:rsid w:val="009D772B"/>
    <w:rsid w:val="009D7749"/>
    <w:rsid w:val="009D7758"/>
    <w:rsid w:val="009D776A"/>
    <w:rsid w:val="009D786B"/>
    <w:rsid w:val="009D78A5"/>
    <w:rsid w:val="009D7941"/>
    <w:rsid w:val="009D7976"/>
    <w:rsid w:val="009D7984"/>
    <w:rsid w:val="009D79AC"/>
    <w:rsid w:val="009D79B4"/>
    <w:rsid w:val="009D79D9"/>
    <w:rsid w:val="009D7A0F"/>
    <w:rsid w:val="009D7A69"/>
    <w:rsid w:val="009D7B11"/>
    <w:rsid w:val="009D7B30"/>
    <w:rsid w:val="009D7BC4"/>
    <w:rsid w:val="009D7C3D"/>
    <w:rsid w:val="009D7C6C"/>
    <w:rsid w:val="009D7CAC"/>
    <w:rsid w:val="009D7D2C"/>
    <w:rsid w:val="009D7E05"/>
    <w:rsid w:val="009D7ECD"/>
    <w:rsid w:val="009D7F2C"/>
    <w:rsid w:val="009D7F3D"/>
    <w:rsid w:val="009D7F66"/>
    <w:rsid w:val="009D7F8E"/>
    <w:rsid w:val="009D7FB0"/>
    <w:rsid w:val="009D7FC6"/>
    <w:rsid w:val="009D7FF5"/>
    <w:rsid w:val="009D7FF7"/>
    <w:rsid w:val="009E0049"/>
    <w:rsid w:val="009E0064"/>
    <w:rsid w:val="009E007E"/>
    <w:rsid w:val="009E00D0"/>
    <w:rsid w:val="009E0153"/>
    <w:rsid w:val="009E0169"/>
    <w:rsid w:val="009E0183"/>
    <w:rsid w:val="009E0233"/>
    <w:rsid w:val="009E0243"/>
    <w:rsid w:val="009E02AD"/>
    <w:rsid w:val="009E02E0"/>
    <w:rsid w:val="009E02F1"/>
    <w:rsid w:val="009E0335"/>
    <w:rsid w:val="009E0348"/>
    <w:rsid w:val="009E0397"/>
    <w:rsid w:val="009E0450"/>
    <w:rsid w:val="009E0464"/>
    <w:rsid w:val="009E0482"/>
    <w:rsid w:val="009E04D9"/>
    <w:rsid w:val="009E04EB"/>
    <w:rsid w:val="009E0511"/>
    <w:rsid w:val="009E0516"/>
    <w:rsid w:val="009E069E"/>
    <w:rsid w:val="009E06DE"/>
    <w:rsid w:val="009E06E7"/>
    <w:rsid w:val="009E0725"/>
    <w:rsid w:val="009E072D"/>
    <w:rsid w:val="009E075E"/>
    <w:rsid w:val="009E0797"/>
    <w:rsid w:val="009E07C0"/>
    <w:rsid w:val="009E0830"/>
    <w:rsid w:val="009E0843"/>
    <w:rsid w:val="009E0863"/>
    <w:rsid w:val="009E0934"/>
    <w:rsid w:val="009E0944"/>
    <w:rsid w:val="009E098F"/>
    <w:rsid w:val="009E09D6"/>
    <w:rsid w:val="009E0A10"/>
    <w:rsid w:val="009E0A68"/>
    <w:rsid w:val="009E0A86"/>
    <w:rsid w:val="009E0AA0"/>
    <w:rsid w:val="009E0AE9"/>
    <w:rsid w:val="009E0B26"/>
    <w:rsid w:val="009E0B30"/>
    <w:rsid w:val="009E0B7A"/>
    <w:rsid w:val="009E0B89"/>
    <w:rsid w:val="009E0BBE"/>
    <w:rsid w:val="009E0C46"/>
    <w:rsid w:val="009E0C4A"/>
    <w:rsid w:val="009E0CE5"/>
    <w:rsid w:val="009E0D64"/>
    <w:rsid w:val="009E0DC1"/>
    <w:rsid w:val="009E0E45"/>
    <w:rsid w:val="009E0E83"/>
    <w:rsid w:val="009E0E88"/>
    <w:rsid w:val="009E0EB7"/>
    <w:rsid w:val="009E0F62"/>
    <w:rsid w:val="009E0FAD"/>
    <w:rsid w:val="009E1054"/>
    <w:rsid w:val="009E109E"/>
    <w:rsid w:val="009E1138"/>
    <w:rsid w:val="009E1193"/>
    <w:rsid w:val="009E11EE"/>
    <w:rsid w:val="009E1289"/>
    <w:rsid w:val="009E1377"/>
    <w:rsid w:val="009E1378"/>
    <w:rsid w:val="009E1426"/>
    <w:rsid w:val="009E1428"/>
    <w:rsid w:val="009E148A"/>
    <w:rsid w:val="009E14D4"/>
    <w:rsid w:val="009E1530"/>
    <w:rsid w:val="009E1546"/>
    <w:rsid w:val="009E156E"/>
    <w:rsid w:val="009E1570"/>
    <w:rsid w:val="009E15C0"/>
    <w:rsid w:val="009E162A"/>
    <w:rsid w:val="009E166E"/>
    <w:rsid w:val="009E16AA"/>
    <w:rsid w:val="009E16FF"/>
    <w:rsid w:val="009E17AB"/>
    <w:rsid w:val="009E185A"/>
    <w:rsid w:val="009E18A1"/>
    <w:rsid w:val="009E18B2"/>
    <w:rsid w:val="009E18C5"/>
    <w:rsid w:val="009E18F0"/>
    <w:rsid w:val="009E18F8"/>
    <w:rsid w:val="009E198E"/>
    <w:rsid w:val="009E1A76"/>
    <w:rsid w:val="009E1B06"/>
    <w:rsid w:val="009E1BC1"/>
    <w:rsid w:val="009E1C1D"/>
    <w:rsid w:val="009E1C6B"/>
    <w:rsid w:val="009E1C8E"/>
    <w:rsid w:val="009E1CB9"/>
    <w:rsid w:val="009E1CBA"/>
    <w:rsid w:val="009E1CBE"/>
    <w:rsid w:val="009E1CF5"/>
    <w:rsid w:val="009E1D44"/>
    <w:rsid w:val="009E1D68"/>
    <w:rsid w:val="009E1E43"/>
    <w:rsid w:val="009E1E51"/>
    <w:rsid w:val="009E1E69"/>
    <w:rsid w:val="009E1ED9"/>
    <w:rsid w:val="009E1F28"/>
    <w:rsid w:val="009E1F70"/>
    <w:rsid w:val="009E1FC7"/>
    <w:rsid w:val="009E2064"/>
    <w:rsid w:val="009E20AF"/>
    <w:rsid w:val="009E20F5"/>
    <w:rsid w:val="009E2276"/>
    <w:rsid w:val="009E22F5"/>
    <w:rsid w:val="009E2335"/>
    <w:rsid w:val="009E23E4"/>
    <w:rsid w:val="009E2425"/>
    <w:rsid w:val="009E24C0"/>
    <w:rsid w:val="009E253C"/>
    <w:rsid w:val="009E25AD"/>
    <w:rsid w:val="009E25CA"/>
    <w:rsid w:val="009E266D"/>
    <w:rsid w:val="009E26A5"/>
    <w:rsid w:val="009E26AF"/>
    <w:rsid w:val="009E26D1"/>
    <w:rsid w:val="009E2702"/>
    <w:rsid w:val="009E281D"/>
    <w:rsid w:val="009E2821"/>
    <w:rsid w:val="009E284D"/>
    <w:rsid w:val="009E2871"/>
    <w:rsid w:val="009E28E4"/>
    <w:rsid w:val="009E28FF"/>
    <w:rsid w:val="009E290D"/>
    <w:rsid w:val="009E291C"/>
    <w:rsid w:val="009E298F"/>
    <w:rsid w:val="009E2B3C"/>
    <w:rsid w:val="009E2B81"/>
    <w:rsid w:val="009E2BDE"/>
    <w:rsid w:val="009E2C2B"/>
    <w:rsid w:val="009E2CC5"/>
    <w:rsid w:val="009E2CE0"/>
    <w:rsid w:val="009E2D73"/>
    <w:rsid w:val="009E2D74"/>
    <w:rsid w:val="009E2D96"/>
    <w:rsid w:val="009E2E02"/>
    <w:rsid w:val="009E2E3F"/>
    <w:rsid w:val="009E2E67"/>
    <w:rsid w:val="009E2E71"/>
    <w:rsid w:val="009E2EB2"/>
    <w:rsid w:val="009E2F1E"/>
    <w:rsid w:val="009E2F43"/>
    <w:rsid w:val="009E2F60"/>
    <w:rsid w:val="009E2F84"/>
    <w:rsid w:val="009E3024"/>
    <w:rsid w:val="009E306C"/>
    <w:rsid w:val="009E313A"/>
    <w:rsid w:val="009E3160"/>
    <w:rsid w:val="009E3259"/>
    <w:rsid w:val="009E327E"/>
    <w:rsid w:val="009E32E0"/>
    <w:rsid w:val="009E32ED"/>
    <w:rsid w:val="009E32FB"/>
    <w:rsid w:val="009E332B"/>
    <w:rsid w:val="009E332E"/>
    <w:rsid w:val="009E333E"/>
    <w:rsid w:val="009E339E"/>
    <w:rsid w:val="009E3439"/>
    <w:rsid w:val="009E3499"/>
    <w:rsid w:val="009E34B8"/>
    <w:rsid w:val="009E34F6"/>
    <w:rsid w:val="009E3551"/>
    <w:rsid w:val="009E3558"/>
    <w:rsid w:val="009E35C9"/>
    <w:rsid w:val="009E35D2"/>
    <w:rsid w:val="009E3634"/>
    <w:rsid w:val="009E3637"/>
    <w:rsid w:val="009E3678"/>
    <w:rsid w:val="009E371B"/>
    <w:rsid w:val="009E3733"/>
    <w:rsid w:val="009E376E"/>
    <w:rsid w:val="009E3796"/>
    <w:rsid w:val="009E379B"/>
    <w:rsid w:val="009E37D1"/>
    <w:rsid w:val="009E37F6"/>
    <w:rsid w:val="009E38AC"/>
    <w:rsid w:val="009E38FD"/>
    <w:rsid w:val="009E395D"/>
    <w:rsid w:val="009E39DB"/>
    <w:rsid w:val="009E39E2"/>
    <w:rsid w:val="009E3A36"/>
    <w:rsid w:val="009E3A4F"/>
    <w:rsid w:val="009E3A63"/>
    <w:rsid w:val="009E3A7A"/>
    <w:rsid w:val="009E3AAE"/>
    <w:rsid w:val="009E3B02"/>
    <w:rsid w:val="009E3B35"/>
    <w:rsid w:val="009E3B3F"/>
    <w:rsid w:val="009E3BB8"/>
    <w:rsid w:val="009E3CDE"/>
    <w:rsid w:val="009E3CF6"/>
    <w:rsid w:val="009E3DA1"/>
    <w:rsid w:val="009E3DA8"/>
    <w:rsid w:val="009E3E7B"/>
    <w:rsid w:val="009E3E89"/>
    <w:rsid w:val="009E3E8E"/>
    <w:rsid w:val="009E3E95"/>
    <w:rsid w:val="009E3F20"/>
    <w:rsid w:val="009E406C"/>
    <w:rsid w:val="009E4083"/>
    <w:rsid w:val="009E40CA"/>
    <w:rsid w:val="009E4169"/>
    <w:rsid w:val="009E41A8"/>
    <w:rsid w:val="009E41AA"/>
    <w:rsid w:val="009E420B"/>
    <w:rsid w:val="009E4232"/>
    <w:rsid w:val="009E425B"/>
    <w:rsid w:val="009E426C"/>
    <w:rsid w:val="009E42B8"/>
    <w:rsid w:val="009E42CA"/>
    <w:rsid w:val="009E42E3"/>
    <w:rsid w:val="009E42F0"/>
    <w:rsid w:val="009E42F4"/>
    <w:rsid w:val="009E430B"/>
    <w:rsid w:val="009E4334"/>
    <w:rsid w:val="009E4351"/>
    <w:rsid w:val="009E44E2"/>
    <w:rsid w:val="009E4575"/>
    <w:rsid w:val="009E45A9"/>
    <w:rsid w:val="009E45C6"/>
    <w:rsid w:val="009E4651"/>
    <w:rsid w:val="009E46E8"/>
    <w:rsid w:val="009E46F2"/>
    <w:rsid w:val="009E470C"/>
    <w:rsid w:val="009E472C"/>
    <w:rsid w:val="009E476F"/>
    <w:rsid w:val="009E4780"/>
    <w:rsid w:val="009E4862"/>
    <w:rsid w:val="009E486C"/>
    <w:rsid w:val="009E48C8"/>
    <w:rsid w:val="009E48EC"/>
    <w:rsid w:val="009E48EF"/>
    <w:rsid w:val="009E4907"/>
    <w:rsid w:val="009E492C"/>
    <w:rsid w:val="009E4980"/>
    <w:rsid w:val="009E499B"/>
    <w:rsid w:val="009E4AA2"/>
    <w:rsid w:val="009E4AA3"/>
    <w:rsid w:val="009E4AB8"/>
    <w:rsid w:val="009E4ACD"/>
    <w:rsid w:val="009E4AF6"/>
    <w:rsid w:val="009E4B22"/>
    <w:rsid w:val="009E4B39"/>
    <w:rsid w:val="009E4B77"/>
    <w:rsid w:val="009E4BF2"/>
    <w:rsid w:val="009E4BF7"/>
    <w:rsid w:val="009E4C7F"/>
    <w:rsid w:val="009E4CE6"/>
    <w:rsid w:val="009E4D0D"/>
    <w:rsid w:val="009E4D4F"/>
    <w:rsid w:val="009E4D54"/>
    <w:rsid w:val="009E4D61"/>
    <w:rsid w:val="009E4D69"/>
    <w:rsid w:val="009E4D70"/>
    <w:rsid w:val="009E4DEC"/>
    <w:rsid w:val="009E4E3A"/>
    <w:rsid w:val="009E4E58"/>
    <w:rsid w:val="009E4EA7"/>
    <w:rsid w:val="009E4EA9"/>
    <w:rsid w:val="009E4F0A"/>
    <w:rsid w:val="009E4F50"/>
    <w:rsid w:val="009E501A"/>
    <w:rsid w:val="009E501D"/>
    <w:rsid w:val="009E506F"/>
    <w:rsid w:val="009E50BA"/>
    <w:rsid w:val="009E50DE"/>
    <w:rsid w:val="009E50F0"/>
    <w:rsid w:val="009E510F"/>
    <w:rsid w:val="009E5156"/>
    <w:rsid w:val="009E52E3"/>
    <w:rsid w:val="009E534C"/>
    <w:rsid w:val="009E5389"/>
    <w:rsid w:val="009E53BA"/>
    <w:rsid w:val="009E5475"/>
    <w:rsid w:val="009E553C"/>
    <w:rsid w:val="009E559C"/>
    <w:rsid w:val="009E559D"/>
    <w:rsid w:val="009E5612"/>
    <w:rsid w:val="009E562A"/>
    <w:rsid w:val="009E5661"/>
    <w:rsid w:val="009E5715"/>
    <w:rsid w:val="009E573C"/>
    <w:rsid w:val="009E5778"/>
    <w:rsid w:val="009E577E"/>
    <w:rsid w:val="009E5783"/>
    <w:rsid w:val="009E5812"/>
    <w:rsid w:val="009E58F0"/>
    <w:rsid w:val="009E59A4"/>
    <w:rsid w:val="009E59EE"/>
    <w:rsid w:val="009E5A49"/>
    <w:rsid w:val="009E5A88"/>
    <w:rsid w:val="009E5AA4"/>
    <w:rsid w:val="009E5AD0"/>
    <w:rsid w:val="009E5AE4"/>
    <w:rsid w:val="009E5AE6"/>
    <w:rsid w:val="009E5B09"/>
    <w:rsid w:val="009E5B3A"/>
    <w:rsid w:val="009E5B4A"/>
    <w:rsid w:val="009E5B78"/>
    <w:rsid w:val="009E5B8E"/>
    <w:rsid w:val="009E5B9E"/>
    <w:rsid w:val="009E5C2A"/>
    <w:rsid w:val="009E5C81"/>
    <w:rsid w:val="009E5CB9"/>
    <w:rsid w:val="009E5CE5"/>
    <w:rsid w:val="009E5D5B"/>
    <w:rsid w:val="009E5E06"/>
    <w:rsid w:val="009E5E35"/>
    <w:rsid w:val="009E5E65"/>
    <w:rsid w:val="009E5E6F"/>
    <w:rsid w:val="009E5E7C"/>
    <w:rsid w:val="009E5EE1"/>
    <w:rsid w:val="009E5F9D"/>
    <w:rsid w:val="009E5FAF"/>
    <w:rsid w:val="009E603F"/>
    <w:rsid w:val="009E6041"/>
    <w:rsid w:val="009E6045"/>
    <w:rsid w:val="009E609B"/>
    <w:rsid w:val="009E614A"/>
    <w:rsid w:val="009E614D"/>
    <w:rsid w:val="009E6185"/>
    <w:rsid w:val="009E61C0"/>
    <w:rsid w:val="009E6248"/>
    <w:rsid w:val="009E629E"/>
    <w:rsid w:val="009E62A6"/>
    <w:rsid w:val="009E62B4"/>
    <w:rsid w:val="009E62C2"/>
    <w:rsid w:val="009E643D"/>
    <w:rsid w:val="009E6470"/>
    <w:rsid w:val="009E649A"/>
    <w:rsid w:val="009E6577"/>
    <w:rsid w:val="009E65BF"/>
    <w:rsid w:val="009E65D8"/>
    <w:rsid w:val="009E661B"/>
    <w:rsid w:val="009E6638"/>
    <w:rsid w:val="009E663A"/>
    <w:rsid w:val="009E667B"/>
    <w:rsid w:val="009E667D"/>
    <w:rsid w:val="009E66A4"/>
    <w:rsid w:val="009E66D8"/>
    <w:rsid w:val="009E66DA"/>
    <w:rsid w:val="009E66F1"/>
    <w:rsid w:val="009E676D"/>
    <w:rsid w:val="009E67A5"/>
    <w:rsid w:val="009E6803"/>
    <w:rsid w:val="009E6882"/>
    <w:rsid w:val="009E68E0"/>
    <w:rsid w:val="009E690C"/>
    <w:rsid w:val="009E696F"/>
    <w:rsid w:val="009E69D1"/>
    <w:rsid w:val="009E6A45"/>
    <w:rsid w:val="009E6A76"/>
    <w:rsid w:val="009E6A89"/>
    <w:rsid w:val="009E6AA3"/>
    <w:rsid w:val="009E6AF8"/>
    <w:rsid w:val="009E6B4F"/>
    <w:rsid w:val="009E6C44"/>
    <w:rsid w:val="009E6C50"/>
    <w:rsid w:val="009E6CA2"/>
    <w:rsid w:val="009E6CA7"/>
    <w:rsid w:val="009E6D37"/>
    <w:rsid w:val="009E6E23"/>
    <w:rsid w:val="009E6F3F"/>
    <w:rsid w:val="009E6F46"/>
    <w:rsid w:val="009E6FCB"/>
    <w:rsid w:val="009E6FFC"/>
    <w:rsid w:val="009E7047"/>
    <w:rsid w:val="009E7098"/>
    <w:rsid w:val="009E709F"/>
    <w:rsid w:val="009E7166"/>
    <w:rsid w:val="009E717C"/>
    <w:rsid w:val="009E71C1"/>
    <w:rsid w:val="009E71F4"/>
    <w:rsid w:val="009E728B"/>
    <w:rsid w:val="009E7297"/>
    <w:rsid w:val="009E72C2"/>
    <w:rsid w:val="009E730D"/>
    <w:rsid w:val="009E7345"/>
    <w:rsid w:val="009E734D"/>
    <w:rsid w:val="009E736B"/>
    <w:rsid w:val="009E73A6"/>
    <w:rsid w:val="009E74C6"/>
    <w:rsid w:val="009E74D7"/>
    <w:rsid w:val="009E74EF"/>
    <w:rsid w:val="009E75D6"/>
    <w:rsid w:val="009E75F8"/>
    <w:rsid w:val="009E75FE"/>
    <w:rsid w:val="009E761E"/>
    <w:rsid w:val="009E7621"/>
    <w:rsid w:val="009E7639"/>
    <w:rsid w:val="009E7672"/>
    <w:rsid w:val="009E76B0"/>
    <w:rsid w:val="009E76D0"/>
    <w:rsid w:val="009E76F6"/>
    <w:rsid w:val="009E76F8"/>
    <w:rsid w:val="009E7792"/>
    <w:rsid w:val="009E77CF"/>
    <w:rsid w:val="009E77E9"/>
    <w:rsid w:val="009E7801"/>
    <w:rsid w:val="009E780F"/>
    <w:rsid w:val="009E7819"/>
    <w:rsid w:val="009E7841"/>
    <w:rsid w:val="009E785B"/>
    <w:rsid w:val="009E78B2"/>
    <w:rsid w:val="009E7904"/>
    <w:rsid w:val="009E79B7"/>
    <w:rsid w:val="009E79D2"/>
    <w:rsid w:val="009E7AB6"/>
    <w:rsid w:val="009E7B1E"/>
    <w:rsid w:val="009E7BA8"/>
    <w:rsid w:val="009E7CD2"/>
    <w:rsid w:val="009E7CE2"/>
    <w:rsid w:val="009E7D1F"/>
    <w:rsid w:val="009E7D29"/>
    <w:rsid w:val="009E7D6D"/>
    <w:rsid w:val="009E7E39"/>
    <w:rsid w:val="009E7E8D"/>
    <w:rsid w:val="009E7ED1"/>
    <w:rsid w:val="009E7EF7"/>
    <w:rsid w:val="009E7F43"/>
    <w:rsid w:val="009E7F82"/>
    <w:rsid w:val="009F00B0"/>
    <w:rsid w:val="009F00B9"/>
    <w:rsid w:val="009F00D9"/>
    <w:rsid w:val="009F01F6"/>
    <w:rsid w:val="009F0211"/>
    <w:rsid w:val="009F0280"/>
    <w:rsid w:val="009F036D"/>
    <w:rsid w:val="009F043F"/>
    <w:rsid w:val="009F0450"/>
    <w:rsid w:val="009F04A0"/>
    <w:rsid w:val="009F04C0"/>
    <w:rsid w:val="009F05DD"/>
    <w:rsid w:val="009F0606"/>
    <w:rsid w:val="009F0613"/>
    <w:rsid w:val="009F0629"/>
    <w:rsid w:val="009F0650"/>
    <w:rsid w:val="009F066C"/>
    <w:rsid w:val="009F06A8"/>
    <w:rsid w:val="009F06E8"/>
    <w:rsid w:val="009F0701"/>
    <w:rsid w:val="009F0715"/>
    <w:rsid w:val="009F077A"/>
    <w:rsid w:val="009F080B"/>
    <w:rsid w:val="009F081A"/>
    <w:rsid w:val="009F085F"/>
    <w:rsid w:val="009F088E"/>
    <w:rsid w:val="009F0961"/>
    <w:rsid w:val="009F09E5"/>
    <w:rsid w:val="009F09FD"/>
    <w:rsid w:val="009F0A7D"/>
    <w:rsid w:val="009F0AE0"/>
    <w:rsid w:val="009F0B1A"/>
    <w:rsid w:val="009F0B26"/>
    <w:rsid w:val="009F0BB3"/>
    <w:rsid w:val="009F0BC5"/>
    <w:rsid w:val="009F0C2C"/>
    <w:rsid w:val="009F0C70"/>
    <w:rsid w:val="009F0CBB"/>
    <w:rsid w:val="009F0D1E"/>
    <w:rsid w:val="009F0D3C"/>
    <w:rsid w:val="009F0D54"/>
    <w:rsid w:val="009F0D6F"/>
    <w:rsid w:val="009F0DB5"/>
    <w:rsid w:val="009F0DE7"/>
    <w:rsid w:val="009F0DEB"/>
    <w:rsid w:val="009F0E70"/>
    <w:rsid w:val="009F0E99"/>
    <w:rsid w:val="009F0EAA"/>
    <w:rsid w:val="009F0EAF"/>
    <w:rsid w:val="009F0F54"/>
    <w:rsid w:val="009F0F68"/>
    <w:rsid w:val="009F0F70"/>
    <w:rsid w:val="009F0F92"/>
    <w:rsid w:val="009F0FBA"/>
    <w:rsid w:val="009F0FFD"/>
    <w:rsid w:val="009F10DF"/>
    <w:rsid w:val="009F1108"/>
    <w:rsid w:val="009F111A"/>
    <w:rsid w:val="009F11F1"/>
    <w:rsid w:val="009F1284"/>
    <w:rsid w:val="009F129D"/>
    <w:rsid w:val="009F12D4"/>
    <w:rsid w:val="009F1395"/>
    <w:rsid w:val="009F13A2"/>
    <w:rsid w:val="009F13B7"/>
    <w:rsid w:val="009F1528"/>
    <w:rsid w:val="009F1541"/>
    <w:rsid w:val="009F1553"/>
    <w:rsid w:val="009F1578"/>
    <w:rsid w:val="009F16C5"/>
    <w:rsid w:val="009F16CB"/>
    <w:rsid w:val="009F16D6"/>
    <w:rsid w:val="009F1785"/>
    <w:rsid w:val="009F17E5"/>
    <w:rsid w:val="009F1850"/>
    <w:rsid w:val="009F19FC"/>
    <w:rsid w:val="009F1A7F"/>
    <w:rsid w:val="009F1B47"/>
    <w:rsid w:val="009F1B5A"/>
    <w:rsid w:val="009F1C40"/>
    <w:rsid w:val="009F1C69"/>
    <w:rsid w:val="009F1D37"/>
    <w:rsid w:val="009F1E20"/>
    <w:rsid w:val="009F1E33"/>
    <w:rsid w:val="009F1E4F"/>
    <w:rsid w:val="009F1E88"/>
    <w:rsid w:val="009F1E93"/>
    <w:rsid w:val="009F1EAB"/>
    <w:rsid w:val="009F1F17"/>
    <w:rsid w:val="009F1F94"/>
    <w:rsid w:val="009F206F"/>
    <w:rsid w:val="009F20D3"/>
    <w:rsid w:val="009F211C"/>
    <w:rsid w:val="009F217B"/>
    <w:rsid w:val="009F217F"/>
    <w:rsid w:val="009F218D"/>
    <w:rsid w:val="009F21A2"/>
    <w:rsid w:val="009F225A"/>
    <w:rsid w:val="009F2427"/>
    <w:rsid w:val="009F242D"/>
    <w:rsid w:val="009F243F"/>
    <w:rsid w:val="009F2478"/>
    <w:rsid w:val="009F248D"/>
    <w:rsid w:val="009F248F"/>
    <w:rsid w:val="009F252A"/>
    <w:rsid w:val="009F257A"/>
    <w:rsid w:val="009F25B9"/>
    <w:rsid w:val="009F2646"/>
    <w:rsid w:val="009F2764"/>
    <w:rsid w:val="009F2809"/>
    <w:rsid w:val="009F281B"/>
    <w:rsid w:val="009F287D"/>
    <w:rsid w:val="009F28DE"/>
    <w:rsid w:val="009F296F"/>
    <w:rsid w:val="009F2A09"/>
    <w:rsid w:val="009F2A7C"/>
    <w:rsid w:val="009F2AEC"/>
    <w:rsid w:val="009F2AF7"/>
    <w:rsid w:val="009F2B13"/>
    <w:rsid w:val="009F2B2B"/>
    <w:rsid w:val="009F2B53"/>
    <w:rsid w:val="009F2B68"/>
    <w:rsid w:val="009F2B72"/>
    <w:rsid w:val="009F2BA6"/>
    <w:rsid w:val="009F2C10"/>
    <w:rsid w:val="009F2CF4"/>
    <w:rsid w:val="009F2D46"/>
    <w:rsid w:val="009F2E69"/>
    <w:rsid w:val="009F2E7B"/>
    <w:rsid w:val="009F2F66"/>
    <w:rsid w:val="009F2F78"/>
    <w:rsid w:val="009F2F9A"/>
    <w:rsid w:val="009F2FCD"/>
    <w:rsid w:val="009F2FEE"/>
    <w:rsid w:val="009F3065"/>
    <w:rsid w:val="009F315D"/>
    <w:rsid w:val="009F31CF"/>
    <w:rsid w:val="009F32F1"/>
    <w:rsid w:val="009F3304"/>
    <w:rsid w:val="009F347C"/>
    <w:rsid w:val="009F3495"/>
    <w:rsid w:val="009F34E4"/>
    <w:rsid w:val="009F3506"/>
    <w:rsid w:val="009F3512"/>
    <w:rsid w:val="009F3598"/>
    <w:rsid w:val="009F3660"/>
    <w:rsid w:val="009F3666"/>
    <w:rsid w:val="009F3694"/>
    <w:rsid w:val="009F36C8"/>
    <w:rsid w:val="009F3719"/>
    <w:rsid w:val="009F3925"/>
    <w:rsid w:val="009F3998"/>
    <w:rsid w:val="009F39E7"/>
    <w:rsid w:val="009F3A3A"/>
    <w:rsid w:val="009F3AA4"/>
    <w:rsid w:val="009F3B18"/>
    <w:rsid w:val="009F3B3E"/>
    <w:rsid w:val="009F3B70"/>
    <w:rsid w:val="009F3BCA"/>
    <w:rsid w:val="009F3BEC"/>
    <w:rsid w:val="009F3C75"/>
    <w:rsid w:val="009F3CCD"/>
    <w:rsid w:val="009F3D2D"/>
    <w:rsid w:val="009F3D65"/>
    <w:rsid w:val="009F3D67"/>
    <w:rsid w:val="009F3DDC"/>
    <w:rsid w:val="009F3E24"/>
    <w:rsid w:val="009F3E61"/>
    <w:rsid w:val="009F3EB5"/>
    <w:rsid w:val="009F3F00"/>
    <w:rsid w:val="009F3F7A"/>
    <w:rsid w:val="009F3F84"/>
    <w:rsid w:val="009F4014"/>
    <w:rsid w:val="009F4026"/>
    <w:rsid w:val="009F404C"/>
    <w:rsid w:val="009F406A"/>
    <w:rsid w:val="009F408C"/>
    <w:rsid w:val="009F4163"/>
    <w:rsid w:val="009F4280"/>
    <w:rsid w:val="009F42A0"/>
    <w:rsid w:val="009F43EA"/>
    <w:rsid w:val="009F454D"/>
    <w:rsid w:val="009F457A"/>
    <w:rsid w:val="009F45B2"/>
    <w:rsid w:val="009F4663"/>
    <w:rsid w:val="009F4684"/>
    <w:rsid w:val="009F47FB"/>
    <w:rsid w:val="009F484C"/>
    <w:rsid w:val="009F48DB"/>
    <w:rsid w:val="009F48E2"/>
    <w:rsid w:val="009F48FF"/>
    <w:rsid w:val="009F4906"/>
    <w:rsid w:val="009F4935"/>
    <w:rsid w:val="009F493F"/>
    <w:rsid w:val="009F495C"/>
    <w:rsid w:val="009F49CB"/>
    <w:rsid w:val="009F49F7"/>
    <w:rsid w:val="009F49FD"/>
    <w:rsid w:val="009F4A60"/>
    <w:rsid w:val="009F4A8A"/>
    <w:rsid w:val="009F4ADA"/>
    <w:rsid w:val="009F4AE5"/>
    <w:rsid w:val="009F4B1D"/>
    <w:rsid w:val="009F4B97"/>
    <w:rsid w:val="009F4BA8"/>
    <w:rsid w:val="009F4BD6"/>
    <w:rsid w:val="009F4BF6"/>
    <w:rsid w:val="009F4C1A"/>
    <w:rsid w:val="009F4D3F"/>
    <w:rsid w:val="009F4D9E"/>
    <w:rsid w:val="009F4E00"/>
    <w:rsid w:val="009F4E41"/>
    <w:rsid w:val="009F4E8C"/>
    <w:rsid w:val="009F4EA1"/>
    <w:rsid w:val="009F4ED1"/>
    <w:rsid w:val="009F4EF6"/>
    <w:rsid w:val="009F4F04"/>
    <w:rsid w:val="009F4F10"/>
    <w:rsid w:val="009F4F39"/>
    <w:rsid w:val="009F4F59"/>
    <w:rsid w:val="009F4FFC"/>
    <w:rsid w:val="009F501D"/>
    <w:rsid w:val="009F503C"/>
    <w:rsid w:val="009F50C8"/>
    <w:rsid w:val="009F50DD"/>
    <w:rsid w:val="009F5180"/>
    <w:rsid w:val="009F5207"/>
    <w:rsid w:val="009F5219"/>
    <w:rsid w:val="009F5338"/>
    <w:rsid w:val="009F536D"/>
    <w:rsid w:val="009F5389"/>
    <w:rsid w:val="009F543E"/>
    <w:rsid w:val="009F546D"/>
    <w:rsid w:val="009F54BD"/>
    <w:rsid w:val="009F557C"/>
    <w:rsid w:val="009F5680"/>
    <w:rsid w:val="009F56B6"/>
    <w:rsid w:val="009F5751"/>
    <w:rsid w:val="009F57B0"/>
    <w:rsid w:val="009F57FF"/>
    <w:rsid w:val="009F580F"/>
    <w:rsid w:val="009F589E"/>
    <w:rsid w:val="009F591C"/>
    <w:rsid w:val="009F59B5"/>
    <w:rsid w:val="009F59ED"/>
    <w:rsid w:val="009F5A18"/>
    <w:rsid w:val="009F5A7A"/>
    <w:rsid w:val="009F5BC6"/>
    <w:rsid w:val="009F5C5F"/>
    <w:rsid w:val="009F5CD6"/>
    <w:rsid w:val="009F5D2A"/>
    <w:rsid w:val="009F5D4C"/>
    <w:rsid w:val="009F5D76"/>
    <w:rsid w:val="009F5DA5"/>
    <w:rsid w:val="009F5DBD"/>
    <w:rsid w:val="009F5DE6"/>
    <w:rsid w:val="009F5E1F"/>
    <w:rsid w:val="009F5E95"/>
    <w:rsid w:val="009F5E96"/>
    <w:rsid w:val="009F5EF7"/>
    <w:rsid w:val="009F5F0D"/>
    <w:rsid w:val="009F5FFF"/>
    <w:rsid w:val="009F6001"/>
    <w:rsid w:val="009F6075"/>
    <w:rsid w:val="009F60B2"/>
    <w:rsid w:val="009F610E"/>
    <w:rsid w:val="009F61AF"/>
    <w:rsid w:val="009F625D"/>
    <w:rsid w:val="009F6269"/>
    <w:rsid w:val="009F62A5"/>
    <w:rsid w:val="009F62CC"/>
    <w:rsid w:val="009F6310"/>
    <w:rsid w:val="009F6326"/>
    <w:rsid w:val="009F63B3"/>
    <w:rsid w:val="009F63DA"/>
    <w:rsid w:val="009F63F4"/>
    <w:rsid w:val="009F6561"/>
    <w:rsid w:val="009F657C"/>
    <w:rsid w:val="009F65C7"/>
    <w:rsid w:val="009F665D"/>
    <w:rsid w:val="009F66D8"/>
    <w:rsid w:val="009F66FA"/>
    <w:rsid w:val="009F6749"/>
    <w:rsid w:val="009F6753"/>
    <w:rsid w:val="009F6775"/>
    <w:rsid w:val="009F677C"/>
    <w:rsid w:val="009F67EC"/>
    <w:rsid w:val="009F6839"/>
    <w:rsid w:val="009F68DC"/>
    <w:rsid w:val="009F68E1"/>
    <w:rsid w:val="009F6915"/>
    <w:rsid w:val="009F6939"/>
    <w:rsid w:val="009F693D"/>
    <w:rsid w:val="009F699D"/>
    <w:rsid w:val="009F69AF"/>
    <w:rsid w:val="009F69BD"/>
    <w:rsid w:val="009F69D5"/>
    <w:rsid w:val="009F69DD"/>
    <w:rsid w:val="009F6B5E"/>
    <w:rsid w:val="009F6BC7"/>
    <w:rsid w:val="009F6BE0"/>
    <w:rsid w:val="009F6BFB"/>
    <w:rsid w:val="009F6C86"/>
    <w:rsid w:val="009F6CD3"/>
    <w:rsid w:val="009F6D6E"/>
    <w:rsid w:val="009F6DD0"/>
    <w:rsid w:val="009F6DFB"/>
    <w:rsid w:val="009F6E75"/>
    <w:rsid w:val="009F6E90"/>
    <w:rsid w:val="009F6EA0"/>
    <w:rsid w:val="009F6EF9"/>
    <w:rsid w:val="009F6F4D"/>
    <w:rsid w:val="009F6F55"/>
    <w:rsid w:val="009F7004"/>
    <w:rsid w:val="009F7080"/>
    <w:rsid w:val="009F712D"/>
    <w:rsid w:val="009F7149"/>
    <w:rsid w:val="009F7294"/>
    <w:rsid w:val="009F72C3"/>
    <w:rsid w:val="009F7302"/>
    <w:rsid w:val="009F7305"/>
    <w:rsid w:val="009F7370"/>
    <w:rsid w:val="009F741B"/>
    <w:rsid w:val="009F7448"/>
    <w:rsid w:val="009F7486"/>
    <w:rsid w:val="009F748D"/>
    <w:rsid w:val="009F74A2"/>
    <w:rsid w:val="009F74FC"/>
    <w:rsid w:val="009F750B"/>
    <w:rsid w:val="009F754F"/>
    <w:rsid w:val="009F75B4"/>
    <w:rsid w:val="009F760D"/>
    <w:rsid w:val="009F7631"/>
    <w:rsid w:val="009F76C3"/>
    <w:rsid w:val="009F76FC"/>
    <w:rsid w:val="009F7704"/>
    <w:rsid w:val="009F771E"/>
    <w:rsid w:val="009F7759"/>
    <w:rsid w:val="009F7793"/>
    <w:rsid w:val="009F77EF"/>
    <w:rsid w:val="009F7818"/>
    <w:rsid w:val="009F78E1"/>
    <w:rsid w:val="009F7930"/>
    <w:rsid w:val="009F7944"/>
    <w:rsid w:val="009F798A"/>
    <w:rsid w:val="009F79B4"/>
    <w:rsid w:val="009F79CA"/>
    <w:rsid w:val="009F79FF"/>
    <w:rsid w:val="009F7A07"/>
    <w:rsid w:val="009F7B09"/>
    <w:rsid w:val="009F7B8A"/>
    <w:rsid w:val="009F7BAF"/>
    <w:rsid w:val="009F7BBC"/>
    <w:rsid w:val="009F7BBE"/>
    <w:rsid w:val="009F7C1F"/>
    <w:rsid w:val="009F7CDC"/>
    <w:rsid w:val="009F7D59"/>
    <w:rsid w:val="009F7D9F"/>
    <w:rsid w:val="009F7E01"/>
    <w:rsid w:val="009F7E44"/>
    <w:rsid w:val="009F7E51"/>
    <w:rsid w:val="009F7E6F"/>
    <w:rsid w:val="009F7E78"/>
    <w:rsid w:val="009F7F14"/>
    <w:rsid w:val="009F7F39"/>
    <w:rsid w:val="009F7F48"/>
    <w:rsid w:val="009F7F79"/>
    <w:rsid w:val="009F7F87"/>
    <w:rsid w:val="00A00025"/>
    <w:rsid w:val="00A0005D"/>
    <w:rsid w:val="00A00128"/>
    <w:rsid w:val="00A001B4"/>
    <w:rsid w:val="00A001BF"/>
    <w:rsid w:val="00A00208"/>
    <w:rsid w:val="00A00579"/>
    <w:rsid w:val="00A005A4"/>
    <w:rsid w:val="00A005B5"/>
    <w:rsid w:val="00A005E9"/>
    <w:rsid w:val="00A005F8"/>
    <w:rsid w:val="00A005F9"/>
    <w:rsid w:val="00A00619"/>
    <w:rsid w:val="00A006A2"/>
    <w:rsid w:val="00A006D0"/>
    <w:rsid w:val="00A0070A"/>
    <w:rsid w:val="00A00783"/>
    <w:rsid w:val="00A00818"/>
    <w:rsid w:val="00A008B4"/>
    <w:rsid w:val="00A008F7"/>
    <w:rsid w:val="00A00960"/>
    <w:rsid w:val="00A00982"/>
    <w:rsid w:val="00A009B5"/>
    <w:rsid w:val="00A00A2B"/>
    <w:rsid w:val="00A00A63"/>
    <w:rsid w:val="00A00A92"/>
    <w:rsid w:val="00A00AA3"/>
    <w:rsid w:val="00A00AF1"/>
    <w:rsid w:val="00A00B32"/>
    <w:rsid w:val="00A00B9B"/>
    <w:rsid w:val="00A00C18"/>
    <w:rsid w:val="00A00C56"/>
    <w:rsid w:val="00A00D03"/>
    <w:rsid w:val="00A00DB5"/>
    <w:rsid w:val="00A00EE6"/>
    <w:rsid w:val="00A00F25"/>
    <w:rsid w:val="00A00F7E"/>
    <w:rsid w:val="00A00F84"/>
    <w:rsid w:val="00A00F9A"/>
    <w:rsid w:val="00A00FC7"/>
    <w:rsid w:val="00A01002"/>
    <w:rsid w:val="00A01120"/>
    <w:rsid w:val="00A011CA"/>
    <w:rsid w:val="00A0126D"/>
    <w:rsid w:val="00A01287"/>
    <w:rsid w:val="00A0129F"/>
    <w:rsid w:val="00A0133C"/>
    <w:rsid w:val="00A013EB"/>
    <w:rsid w:val="00A013F4"/>
    <w:rsid w:val="00A01466"/>
    <w:rsid w:val="00A01473"/>
    <w:rsid w:val="00A014E9"/>
    <w:rsid w:val="00A014FE"/>
    <w:rsid w:val="00A0150B"/>
    <w:rsid w:val="00A015D8"/>
    <w:rsid w:val="00A015DA"/>
    <w:rsid w:val="00A01654"/>
    <w:rsid w:val="00A0167F"/>
    <w:rsid w:val="00A016BB"/>
    <w:rsid w:val="00A0170D"/>
    <w:rsid w:val="00A0173E"/>
    <w:rsid w:val="00A017DA"/>
    <w:rsid w:val="00A017E2"/>
    <w:rsid w:val="00A0190B"/>
    <w:rsid w:val="00A01957"/>
    <w:rsid w:val="00A019FE"/>
    <w:rsid w:val="00A01A00"/>
    <w:rsid w:val="00A01A24"/>
    <w:rsid w:val="00A01A4F"/>
    <w:rsid w:val="00A01C11"/>
    <w:rsid w:val="00A01C8C"/>
    <w:rsid w:val="00A01D12"/>
    <w:rsid w:val="00A01DEB"/>
    <w:rsid w:val="00A01DF6"/>
    <w:rsid w:val="00A01E20"/>
    <w:rsid w:val="00A01EF5"/>
    <w:rsid w:val="00A01F0E"/>
    <w:rsid w:val="00A01F49"/>
    <w:rsid w:val="00A0207A"/>
    <w:rsid w:val="00A020C9"/>
    <w:rsid w:val="00A020E1"/>
    <w:rsid w:val="00A0213C"/>
    <w:rsid w:val="00A02141"/>
    <w:rsid w:val="00A021A9"/>
    <w:rsid w:val="00A0223F"/>
    <w:rsid w:val="00A02258"/>
    <w:rsid w:val="00A02315"/>
    <w:rsid w:val="00A02354"/>
    <w:rsid w:val="00A02362"/>
    <w:rsid w:val="00A02550"/>
    <w:rsid w:val="00A02601"/>
    <w:rsid w:val="00A02628"/>
    <w:rsid w:val="00A02663"/>
    <w:rsid w:val="00A026BD"/>
    <w:rsid w:val="00A02733"/>
    <w:rsid w:val="00A0278B"/>
    <w:rsid w:val="00A028EE"/>
    <w:rsid w:val="00A0290D"/>
    <w:rsid w:val="00A029B8"/>
    <w:rsid w:val="00A029CE"/>
    <w:rsid w:val="00A029E4"/>
    <w:rsid w:val="00A02A70"/>
    <w:rsid w:val="00A02B82"/>
    <w:rsid w:val="00A02C3E"/>
    <w:rsid w:val="00A02CDD"/>
    <w:rsid w:val="00A02CFC"/>
    <w:rsid w:val="00A02DEE"/>
    <w:rsid w:val="00A02E13"/>
    <w:rsid w:val="00A02F0F"/>
    <w:rsid w:val="00A03052"/>
    <w:rsid w:val="00A03058"/>
    <w:rsid w:val="00A03070"/>
    <w:rsid w:val="00A030B2"/>
    <w:rsid w:val="00A030B6"/>
    <w:rsid w:val="00A030E9"/>
    <w:rsid w:val="00A03120"/>
    <w:rsid w:val="00A03302"/>
    <w:rsid w:val="00A03307"/>
    <w:rsid w:val="00A03368"/>
    <w:rsid w:val="00A033D7"/>
    <w:rsid w:val="00A0342E"/>
    <w:rsid w:val="00A03483"/>
    <w:rsid w:val="00A034ED"/>
    <w:rsid w:val="00A0360C"/>
    <w:rsid w:val="00A0362B"/>
    <w:rsid w:val="00A0371C"/>
    <w:rsid w:val="00A0372A"/>
    <w:rsid w:val="00A03795"/>
    <w:rsid w:val="00A037A1"/>
    <w:rsid w:val="00A03833"/>
    <w:rsid w:val="00A03852"/>
    <w:rsid w:val="00A038EE"/>
    <w:rsid w:val="00A038EF"/>
    <w:rsid w:val="00A03960"/>
    <w:rsid w:val="00A0396C"/>
    <w:rsid w:val="00A03A16"/>
    <w:rsid w:val="00A03A57"/>
    <w:rsid w:val="00A03A6A"/>
    <w:rsid w:val="00A03A91"/>
    <w:rsid w:val="00A03AF4"/>
    <w:rsid w:val="00A03B16"/>
    <w:rsid w:val="00A03B2A"/>
    <w:rsid w:val="00A03B2E"/>
    <w:rsid w:val="00A03BBF"/>
    <w:rsid w:val="00A03BC0"/>
    <w:rsid w:val="00A03C5D"/>
    <w:rsid w:val="00A03C9E"/>
    <w:rsid w:val="00A03CB4"/>
    <w:rsid w:val="00A03D5C"/>
    <w:rsid w:val="00A03D6D"/>
    <w:rsid w:val="00A03D7B"/>
    <w:rsid w:val="00A03DCE"/>
    <w:rsid w:val="00A03DD6"/>
    <w:rsid w:val="00A03DE8"/>
    <w:rsid w:val="00A03E1A"/>
    <w:rsid w:val="00A03E5F"/>
    <w:rsid w:val="00A03F05"/>
    <w:rsid w:val="00A03F85"/>
    <w:rsid w:val="00A03FEB"/>
    <w:rsid w:val="00A04041"/>
    <w:rsid w:val="00A0405A"/>
    <w:rsid w:val="00A0406A"/>
    <w:rsid w:val="00A04092"/>
    <w:rsid w:val="00A04173"/>
    <w:rsid w:val="00A04228"/>
    <w:rsid w:val="00A0422E"/>
    <w:rsid w:val="00A0427E"/>
    <w:rsid w:val="00A042E7"/>
    <w:rsid w:val="00A04303"/>
    <w:rsid w:val="00A0430B"/>
    <w:rsid w:val="00A0432F"/>
    <w:rsid w:val="00A0433D"/>
    <w:rsid w:val="00A04369"/>
    <w:rsid w:val="00A0436B"/>
    <w:rsid w:val="00A04389"/>
    <w:rsid w:val="00A0441E"/>
    <w:rsid w:val="00A0446C"/>
    <w:rsid w:val="00A044A3"/>
    <w:rsid w:val="00A0453A"/>
    <w:rsid w:val="00A0456C"/>
    <w:rsid w:val="00A045F6"/>
    <w:rsid w:val="00A04609"/>
    <w:rsid w:val="00A04652"/>
    <w:rsid w:val="00A046B0"/>
    <w:rsid w:val="00A04786"/>
    <w:rsid w:val="00A04873"/>
    <w:rsid w:val="00A048B1"/>
    <w:rsid w:val="00A048C1"/>
    <w:rsid w:val="00A048C6"/>
    <w:rsid w:val="00A048CD"/>
    <w:rsid w:val="00A048E3"/>
    <w:rsid w:val="00A04920"/>
    <w:rsid w:val="00A04922"/>
    <w:rsid w:val="00A0494F"/>
    <w:rsid w:val="00A0497B"/>
    <w:rsid w:val="00A049B1"/>
    <w:rsid w:val="00A04B2B"/>
    <w:rsid w:val="00A04B44"/>
    <w:rsid w:val="00A04B60"/>
    <w:rsid w:val="00A04CC3"/>
    <w:rsid w:val="00A04CE2"/>
    <w:rsid w:val="00A04D0E"/>
    <w:rsid w:val="00A04D2F"/>
    <w:rsid w:val="00A04D4A"/>
    <w:rsid w:val="00A04E09"/>
    <w:rsid w:val="00A0500B"/>
    <w:rsid w:val="00A050DD"/>
    <w:rsid w:val="00A05136"/>
    <w:rsid w:val="00A0515F"/>
    <w:rsid w:val="00A0521E"/>
    <w:rsid w:val="00A05241"/>
    <w:rsid w:val="00A05336"/>
    <w:rsid w:val="00A0536B"/>
    <w:rsid w:val="00A0544D"/>
    <w:rsid w:val="00A05450"/>
    <w:rsid w:val="00A05468"/>
    <w:rsid w:val="00A05498"/>
    <w:rsid w:val="00A054E9"/>
    <w:rsid w:val="00A0556E"/>
    <w:rsid w:val="00A05599"/>
    <w:rsid w:val="00A055E7"/>
    <w:rsid w:val="00A055F0"/>
    <w:rsid w:val="00A05689"/>
    <w:rsid w:val="00A056CF"/>
    <w:rsid w:val="00A056E7"/>
    <w:rsid w:val="00A05700"/>
    <w:rsid w:val="00A057A6"/>
    <w:rsid w:val="00A057F6"/>
    <w:rsid w:val="00A05864"/>
    <w:rsid w:val="00A05887"/>
    <w:rsid w:val="00A0588F"/>
    <w:rsid w:val="00A058EA"/>
    <w:rsid w:val="00A05925"/>
    <w:rsid w:val="00A0599D"/>
    <w:rsid w:val="00A059A4"/>
    <w:rsid w:val="00A059A9"/>
    <w:rsid w:val="00A059AB"/>
    <w:rsid w:val="00A059B8"/>
    <w:rsid w:val="00A05A01"/>
    <w:rsid w:val="00A05A61"/>
    <w:rsid w:val="00A05A7A"/>
    <w:rsid w:val="00A05A9B"/>
    <w:rsid w:val="00A05B05"/>
    <w:rsid w:val="00A05B15"/>
    <w:rsid w:val="00A05BEC"/>
    <w:rsid w:val="00A05CAE"/>
    <w:rsid w:val="00A05D30"/>
    <w:rsid w:val="00A05D54"/>
    <w:rsid w:val="00A05D8D"/>
    <w:rsid w:val="00A05DE3"/>
    <w:rsid w:val="00A05E39"/>
    <w:rsid w:val="00A05E46"/>
    <w:rsid w:val="00A05E49"/>
    <w:rsid w:val="00A05EC8"/>
    <w:rsid w:val="00A05F12"/>
    <w:rsid w:val="00A05F41"/>
    <w:rsid w:val="00A06007"/>
    <w:rsid w:val="00A06008"/>
    <w:rsid w:val="00A06080"/>
    <w:rsid w:val="00A0615A"/>
    <w:rsid w:val="00A0615F"/>
    <w:rsid w:val="00A06167"/>
    <w:rsid w:val="00A061B3"/>
    <w:rsid w:val="00A06217"/>
    <w:rsid w:val="00A06233"/>
    <w:rsid w:val="00A0624E"/>
    <w:rsid w:val="00A0626D"/>
    <w:rsid w:val="00A062A2"/>
    <w:rsid w:val="00A062AE"/>
    <w:rsid w:val="00A063FE"/>
    <w:rsid w:val="00A0641D"/>
    <w:rsid w:val="00A06500"/>
    <w:rsid w:val="00A06520"/>
    <w:rsid w:val="00A0657E"/>
    <w:rsid w:val="00A065B9"/>
    <w:rsid w:val="00A065CE"/>
    <w:rsid w:val="00A065D0"/>
    <w:rsid w:val="00A06625"/>
    <w:rsid w:val="00A06629"/>
    <w:rsid w:val="00A06664"/>
    <w:rsid w:val="00A066A2"/>
    <w:rsid w:val="00A066F8"/>
    <w:rsid w:val="00A0670C"/>
    <w:rsid w:val="00A06768"/>
    <w:rsid w:val="00A0677A"/>
    <w:rsid w:val="00A067D1"/>
    <w:rsid w:val="00A06918"/>
    <w:rsid w:val="00A06991"/>
    <w:rsid w:val="00A069A7"/>
    <w:rsid w:val="00A06A4E"/>
    <w:rsid w:val="00A06B04"/>
    <w:rsid w:val="00A06B8E"/>
    <w:rsid w:val="00A06C6C"/>
    <w:rsid w:val="00A06CA2"/>
    <w:rsid w:val="00A06CBA"/>
    <w:rsid w:val="00A06CC1"/>
    <w:rsid w:val="00A06E1D"/>
    <w:rsid w:val="00A06E63"/>
    <w:rsid w:val="00A06EA5"/>
    <w:rsid w:val="00A06F59"/>
    <w:rsid w:val="00A06F85"/>
    <w:rsid w:val="00A06FA1"/>
    <w:rsid w:val="00A06FAB"/>
    <w:rsid w:val="00A07010"/>
    <w:rsid w:val="00A07039"/>
    <w:rsid w:val="00A07061"/>
    <w:rsid w:val="00A07102"/>
    <w:rsid w:val="00A07141"/>
    <w:rsid w:val="00A0714C"/>
    <w:rsid w:val="00A071AD"/>
    <w:rsid w:val="00A071CD"/>
    <w:rsid w:val="00A071E9"/>
    <w:rsid w:val="00A07229"/>
    <w:rsid w:val="00A0723F"/>
    <w:rsid w:val="00A072DF"/>
    <w:rsid w:val="00A07323"/>
    <w:rsid w:val="00A073A9"/>
    <w:rsid w:val="00A0745A"/>
    <w:rsid w:val="00A07553"/>
    <w:rsid w:val="00A07568"/>
    <w:rsid w:val="00A0759B"/>
    <w:rsid w:val="00A075B4"/>
    <w:rsid w:val="00A075B8"/>
    <w:rsid w:val="00A075CA"/>
    <w:rsid w:val="00A07630"/>
    <w:rsid w:val="00A07682"/>
    <w:rsid w:val="00A076D0"/>
    <w:rsid w:val="00A07705"/>
    <w:rsid w:val="00A07720"/>
    <w:rsid w:val="00A0772B"/>
    <w:rsid w:val="00A07735"/>
    <w:rsid w:val="00A0774B"/>
    <w:rsid w:val="00A077AB"/>
    <w:rsid w:val="00A077DD"/>
    <w:rsid w:val="00A07811"/>
    <w:rsid w:val="00A07909"/>
    <w:rsid w:val="00A07940"/>
    <w:rsid w:val="00A0794F"/>
    <w:rsid w:val="00A079A7"/>
    <w:rsid w:val="00A079AD"/>
    <w:rsid w:val="00A07A30"/>
    <w:rsid w:val="00A07A4A"/>
    <w:rsid w:val="00A07AB7"/>
    <w:rsid w:val="00A07B03"/>
    <w:rsid w:val="00A07B06"/>
    <w:rsid w:val="00A07B44"/>
    <w:rsid w:val="00A07BF2"/>
    <w:rsid w:val="00A07BFE"/>
    <w:rsid w:val="00A07C1A"/>
    <w:rsid w:val="00A07C54"/>
    <w:rsid w:val="00A07C71"/>
    <w:rsid w:val="00A07CB3"/>
    <w:rsid w:val="00A07CF3"/>
    <w:rsid w:val="00A07D2C"/>
    <w:rsid w:val="00A07DEC"/>
    <w:rsid w:val="00A07E66"/>
    <w:rsid w:val="00A07E73"/>
    <w:rsid w:val="00A07E98"/>
    <w:rsid w:val="00A07EA1"/>
    <w:rsid w:val="00A07F02"/>
    <w:rsid w:val="00A07F18"/>
    <w:rsid w:val="00A07FA8"/>
    <w:rsid w:val="00A07FDC"/>
    <w:rsid w:val="00A1000A"/>
    <w:rsid w:val="00A10087"/>
    <w:rsid w:val="00A100D6"/>
    <w:rsid w:val="00A1015F"/>
    <w:rsid w:val="00A10279"/>
    <w:rsid w:val="00A10307"/>
    <w:rsid w:val="00A1039B"/>
    <w:rsid w:val="00A103C7"/>
    <w:rsid w:val="00A103E7"/>
    <w:rsid w:val="00A1045D"/>
    <w:rsid w:val="00A10460"/>
    <w:rsid w:val="00A104E7"/>
    <w:rsid w:val="00A10534"/>
    <w:rsid w:val="00A10544"/>
    <w:rsid w:val="00A10650"/>
    <w:rsid w:val="00A1068E"/>
    <w:rsid w:val="00A1069F"/>
    <w:rsid w:val="00A107AB"/>
    <w:rsid w:val="00A107BE"/>
    <w:rsid w:val="00A107F4"/>
    <w:rsid w:val="00A10842"/>
    <w:rsid w:val="00A108B7"/>
    <w:rsid w:val="00A108BB"/>
    <w:rsid w:val="00A1092C"/>
    <w:rsid w:val="00A10976"/>
    <w:rsid w:val="00A10992"/>
    <w:rsid w:val="00A1099A"/>
    <w:rsid w:val="00A109A2"/>
    <w:rsid w:val="00A10A2D"/>
    <w:rsid w:val="00A10AEC"/>
    <w:rsid w:val="00A10BA7"/>
    <w:rsid w:val="00A10BBE"/>
    <w:rsid w:val="00A10C03"/>
    <w:rsid w:val="00A10C92"/>
    <w:rsid w:val="00A10C95"/>
    <w:rsid w:val="00A10CEA"/>
    <w:rsid w:val="00A10D50"/>
    <w:rsid w:val="00A10D8B"/>
    <w:rsid w:val="00A10DF2"/>
    <w:rsid w:val="00A10E3B"/>
    <w:rsid w:val="00A10E61"/>
    <w:rsid w:val="00A10ECE"/>
    <w:rsid w:val="00A10ED1"/>
    <w:rsid w:val="00A10EEE"/>
    <w:rsid w:val="00A10F67"/>
    <w:rsid w:val="00A11056"/>
    <w:rsid w:val="00A11083"/>
    <w:rsid w:val="00A1110E"/>
    <w:rsid w:val="00A1111C"/>
    <w:rsid w:val="00A11129"/>
    <w:rsid w:val="00A1112C"/>
    <w:rsid w:val="00A1113E"/>
    <w:rsid w:val="00A11141"/>
    <w:rsid w:val="00A11144"/>
    <w:rsid w:val="00A11228"/>
    <w:rsid w:val="00A1124C"/>
    <w:rsid w:val="00A11250"/>
    <w:rsid w:val="00A1129A"/>
    <w:rsid w:val="00A11318"/>
    <w:rsid w:val="00A11347"/>
    <w:rsid w:val="00A11436"/>
    <w:rsid w:val="00A115C7"/>
    <w:rsid w:val="00A115D5"/>
    <w:rsid w:val="00A11622"/>
    <w:rsid w:val="00A11651"/>
    <w:rsid w:val="00A11676"/>
    <w:rsid w:val="00A116D6"/>
    <w:rsid w:val="00A11728"/>
    <w:rsid w:val="00A11739"/>
    <w:rsid w:val="00A117F5"/>
    <w:rsid w:val="00A117F6"/>
    <w:rsid w:val="00A1182E"/>
    <w:rsid w:val="00A1183E"/>
    <w:rsid w:val="00A11910"/>
    <w:rsid w:val="00A11964"/>
    <w:rsid w:val="00A119F7"/>
    <w:rsid w:val="00A11A1B"/>
    <w:rsid w:val="00A11A3E"/>
    <w:rsid w:val="00A11AA0"/>
    <w:rsid w:val="00A11BF2"/>
    <w:rsid w:val="00A11C06"/>
    <w:rsid w:val="00A11C18"/>
    <w:rsid w:val="00A11C84"/>
    <w:rsid w:val="00A11CAB"/>
    <w:rsid w:val="00A11CB5"/>
    <w:rsid w:val="00A11D8D"/>
    <w:rsid w:val="00A11DDB"/>
    <w:rsid w:val="00A11DF4"/>
    <w:rsid w:val="00A11E12"/>
    <w:rsid w:val="00A11E41"/>
    <w:rsid w:val="00A11E88"/>
    <w:rsid w:val="00A11EE6"/>
    <w:rsid w:val="00A11F25"/>
    <w:rsid w:val="00A11F8D"/>
    <w:rsid w:val="00A12018"/>
    <w:rsid w:val="00A1205B"/>
    <w:rsid w:val="00A1208D"/>
    <w:rsid w:val="00A12100"/>
    <w:rsid w:val="00A12117"/>
    <w:rsid w:val="00A12128"/>
    <w:rsid w:val="00A12162"/>
    <w:rsid w:val="00A121B2"/>
    <w:rsid w:val="00A12318"/>
    <w:rsid w:val="00A1232C"/>
    <w:rsid w:val="00A12345"/>
    <w:rsid w:val="00A12357"/>
    <w:rsid w:val="00A12364"/>
    <w:rsid w:val="00A1239D"/>
    <w:rsid w:val="00A123AC"/>
    <w:rsid w:val="00A12409"/>
    <w:rsid w:val="00A12489"/>
    <w:rsid w:val="00A124D1"/>
    <w:rsid w:val="00A124D3"/>
    <w:rsid w:val="00A124F9"/>
    <w:rsid w:val="00A12548"/>
    <w:rsid w:val="00A12554"/>
    <w:rsid w:val="00A12616"/>
    <w:rsid w:val="00A1263F"/>
    <w:rsid w:val="00A1266A"/>
    <w:rsid w:val="00A126B4"/>
    <w:rsid w:val="00A126FA"/>
    <w:rsid w:val="00A12704"/>
    <w:rsid w:val="00A12787"/>
    <w:rsid w:val="00A12803"/>
    <w:rsid w:val="00A1282A"/>
    <w:rsid w:val="00A1283E"/>
    <w:rsid w:val="00A1283F"/>
    <w:rsid w:val="00A1284E"/>
    <w:rsid w:val="00A12874"/>
    <w:rsid w:val="00A128EF"/>
    <w:rsid w:val="00A128F1"/>
    <w:rsid w:val="00A1295D"/>
    <w:rsid w:val="00A12961"/>
    <w:rsid w:val="00A12A02"/>
    <w:rsid w:val="00A12A0B"/>
    <w:rsid w:val="00A12A5D"/>
    <w:rsid w:val="00A12B2D"/>
    <w:rsid w:val="00A12B49"/>
    <w:rsid w:val="00A12BD2"/>
    <w:rsid w:val="00A12BEB"/>
    <w:rsid w:val="00A12BF6"/>
    <w:rsid w:val="00A12C46"/>
    <w:rsid w:val="00A12C8A"/>
    <w:rsid w:val="00A12C9A"/>
    <w:rsid w:val="00A12CF4"/>
    <w:rsid w:val="00A12D49"/>
    <w:rsid w:val="00A12D4C"/>
    <w:rsid w:val="00A12D9E"/>
    <w:rsid w:val="00A12DA8"/>
    <w:rsid w:val="00A12DF4"/>
    <w:rsid w:val="00A12E22"/>
    <w:rsid w:val="00A12E77"/>
    <w:rsid w:val="00A12ED0"/>
    <w:rsid w:val="00A13149"/>
    <w:rsid w:val="00A131C3"/>
    <w:rsid w:val="00A131CF"/>
    <w:rsid w:val="00A131E7"/>
    <w:rsid w:val="00A131F2"/>
    <w:rsid w:val="00A13205"/>
    <w:rsid w:val="00A1326F"/>
    <w:rsid w:val="00A132A4"/>
    <w:rsid w:val="00A132F7"/>
    <w:rsid w:val="00A1335E"/>
    <w:rsid w:val="00A13374"/>
    <w:rsid w:val="00A1337E"/>
    <w:rsid w:val="00A13385"/>
    <w:rsid w:val="00A133C9"/>
    <w:rsid w:val="00A13489"/>
    <w:rsid w:val="00A1348C"/>
    <w:rsid w:val="00A134B7"/>
    <w:rsid w:val="00A1351B"/>
    <w:rsid w:val="00A13552"/>
    <w:rsid w:val="00A135EC"/>
    <w:rsid w:val="00A13639"/>
    <w:rsid w:val="00A13663"/>
    <w:rsid w:val="00A1371F"/>
    <w:rsid w:val="00A1376B"/>
    <w:rsid w:val="00A13798"/>
    <w:rsid w:val="00A137AE"/>
    <w:rsid w:val="00A1381D"/>
    <w:rsid w:val="00A1386E"/>
    <w:rsid w:val="00A138A9"/>
    <w:rsid w:val="00A1391E"/>
    <w:rsid w:val="00A13944"/>
    <w:rsid w:val="00A13A33"/>
    <w:rsid w:val="00A13A97"/>
    <w:rsid w:val="00A13ACB"/>
    <w:rsid w:val="00A13AD3"/>
    <w:rsid w:val="00A13ADF"/>
    <w:rsid w:val="00A13B11"/>
    <w:rsid w:val="00A13B1C"/>
    <w:rsid w:val="00A13C24"/>
    <w:rsid w:val="00A13C3B"/>
    <w:rsid w:val="00A13C4D"/>
    <w:rsid w:val="00A13C87"/>
    <w:rsid w:val="00A13CD4"/>
    <w:rsid w:val="00A13CED"/>
    <w:rsid w:val="00A13D35"/>
    <w:rsid w:val="00A13D56"/>
    <w:rsid w:val="00A13D58"/>
    <w:rsid w:val="00A13D90"/>
    <w:rsid w:val="00A13D9C"/>
    <w:rsid w:val="00A13DDE"/>
    <w:rsid w:val="00A13E86"/>
    <w:rsid w:val="00A13EA2"/>
    <w:rsid w:val="00A13EBE"/>
    <w:rsid w:val="00A13EEB"/>
    <w:rsid w:val="00A13F22"/>
    <w:rsid w:val="00A13F28"/>
    <w:rsid w:val="00A13F9F"/>
    <w:rsid w:val="00A13FA4"/>
    <w:rsid w:val="00A13FAC"/>
    <w:rsid w:val="00A14011"/>
    <w:rsid w:val="00A14111"/>
    <w:rsid w:val="00A14113"/>
    <w:rsid w:val="00A1412C"/>
    <w:rsid w:val="00A14138"/>
    <w:rsid w:val="00A1415D"/>
    <w:rsid w:val="00A141F0"/>
    <w:rsid w:val="00A14235"/>
    <w:rsid w:val="00A14261"/>
    <w:rsid w:val="00A14268"/>
    <w:rsid w:val="00A1428F"/>
    <w:rsid w:val="00A142D0"/>
    <w:rsid w:val="00A142D2"/>
    <w:rsid w:val="00A1432E"/>
    <w:rsid w:val="00A1433D"/>
    <w:rsid w:val="00A14389"/>
    <w:rsid w:val="00A1443B"/>
    <w:rsid w:val="00A14448"/>
    <w:rsid w:val="00A14458"/>
    <w:rsid w:val="00A1449F"/>
    <w:rsid w:val="00A144E0"/>
    <w:rsid w:val="00A14579"/>
    <w:rsid w:val="00A145AB"/>
    <w:rsid w:val="00A145D8"/>
    <w:rsid w:val="00A14605"/>
    <w:rsid w:val="00A14608"/>
    <w:rsid w:val="00A14674"/>
    <w:rsid w:val="00A14780"/>
    <w:rsid w:val="00A147D0"/>
    <w:rsid w:val="00A147E9"/>
    <w:rsid w:val="00A14807"/>
    <w:rsid w:val="00A1481B"/>
    <w:rsid w:val="00A1482B"/>
    <w:rsid w:val="00A1488A"/>
    <w:rsid w:val="00A148E2"/>
    <w:rsid w:val="00A1495A"/>
    <w:rsid w:val="00A149C0"/>
    <w:rsid w:val="00A149CA"/>
    <w:rsid w:val="00A149F2"/>
    <w:rsid w:val="00A149F6"/>
    <w:rsid w:val="00A14AA3"/>
    <w:rsid w:val="00A14ACA"/>
    <w:rsid w:val="00A14ADB"/>
    <w:rsid w:val="00A14B82"/>
    <w:rsid w:val="00A14C18"/>
    <w:rsid w:val="00A14C56"/>
    <w:rsid w:val="00A14C77"/>
    <w:rsid w:val="00A14CBD"/>
    <w:rsid w:val="00A14CD7"/>
    <w:rsid w:val="00A14CEC"/>
    <w:rsid w:val="00A14E21"/>
    <w:rsid w:val="00A14E2E"/>
    <w:rsid w:val="00A14E35"/>
    <w:rsid w:val="00A14E8D"/>
    <w:rsid w:val="00A14EF5"/>
    <w:rsid w:val="00A14EF6"/>
    <w:rsid w:val="00A14F2D"/>
    <w:rsid w:val="00A14F78"/>
    <w:rsid w:val="00A14F92"/>
    <w:rsid w:val="00A14FB3"/>
    <w:rsid w:val="00A14FEB"/>
    <w:rsid w:val="00A15048"/>
    <w:rsid w:val="00A15084"/>
    <w:rsid w:val="00A15086"/>
    <w:rsid w:val="00A15092"/>
    <w:rsid w:val="00A15195"/>
    <w:rsid w:val="00A1519B"/>
    <w:rsid w:val="00A151BE"/>
    <w:rsid w:val="00A151C0"/>
    <w:rsid w:val="00A1528C"/>
    <w:rsid w:val="00A15330"/>
    <w:rsid w:val="00A1537A"/>
    <w:rsid w:val="00A15391"/>
    <w:rsid w:val="00A1539C"/>
    <w:rsid w:val="00A15446"/>
    <w:rsid w:val="00A15448"/>
    <w:rsid w:val="00A1546F"/>
    <w:rsid w:val="00A15514"/>
    <w:rsid w:val="00A155CD"/>
    <w:rsid w:val="00A155F0"/>
    <w:rsid w:val="00A15631"/>
    <w:rsid w:val="00A15796"/>
    <w:rsid w:val="00A157A6"/>
    <w:rsid w:val="00A157CC"/>
    <w:rsid w:val="00A1581B"/>
    <w:rsid w:val="00A1587A"/>
    <w:rsid w:val="00A15889"/>
    <w:rsid w:val="00A15894"/>
    <w:rsid w:val="00A1590E"/>
    <w:rsid w:val="00A1596E"/>
    <w:rsid w:val="00A159C7"/>
    <w:rsid w:val="00A159EC"/>
    <w:rsid w:val="00A15A0D"/>
    <w:rsid w:val="00A15A3F"/>
    <w:rsid w:val="00A15A85"/>
    <w:rsid w:val="00A15AA2"/>
    <w:rsid w:val="00A15ACB"/>
    <w:rsid w:val="00A15AD1"/>
    <w:rsid w:val="00A15B5E"/>
    <w:rsid w:val="00A15B94"/>
    <w:rsid w:val="00A15BD9"/>
    <w:rsid w:val="00A15BDE"/>
    <w:rsid w:val="00A15BF8"/>
    <w:rsid w:val="00A15C89"/>
    <w:rsid w:val="00A15CC9"/>
    <w:rsid w:val="00A15DFE"/>
    <w:rsid w:val="00A15E50"/>
    <w:rsid w:val="00A15E5E"/>
    <w:rsid w:val="00A15E72"/>
    <w:rsid w:val="00A15EF3"/>
    <w:rsid w:val="00A15F3C"/>
    <w:rsid w:val="00A1603A"/>
    <w:rsid w:val="00A1618D"/>
    <w:rsid w:val="00A161A8"/>
    <w:rsid w:val="00A161F6"/>
    <w:rsid w:val="00A1628A"/>
    <w:rsid w:val="00A16347"/>
    <w:rsid w:val="00A163B1"/>
    <w:rsid w:val="00A163D7"/>
    <w:rsid w:val="00A1642B"/>
    <w:rsid w:val="00A16577"/>
    <w:rsid w:val="00A1657C"/>
    <w:rsid w:val="00A165B9"/>
    <w:rsid w:val="00A16640"/>
    <w:rsid w:val="00A16695"/>
    <w:rsid w:val="00A166A5"/>
    <w:rsid w:val="00A16705"/>
    <w:rsid w:val="00A1670C"/>
    <w:rsid w:val="00A1673C"/>
    <w:rsid w:val="00A16741"/>
    <w:rsid w:val="00A167C7"/>
    <w:rsid w:val="00A167E7"/>
    <w:rsid w:val="00A16817"/>
    <w:rsid w:val="00A168F6"/>
    <w:rsid w:val="00A16962"/>
    <w:rsid w:val="00A16980"/>
    <w:rsid w:val="00A169BD"/>
    <w:rsid w:val="00A169E1"/>
    <w:rsid w:val="00A16A32"/>
    <w:rsid w:val="00A16A5F"/>
    <w:rsid w:val="00A16ACA"/>
    <w:rsid w:val="00A16B36"/>
    <w:rsid w:val="00A16B74"/>
    <w:rsid w:val="00A16B9B"/>
    <w:rsid w:val="00A16BEF"/>
    <w:rsid w:val="00A16C59"/>
    <w:rsid w:val="00A16CD2"/>
    <w:rsid w:val="00A16CF8"/>
    <w:rsid w:val="00A16D2E"/>
    <w:rsid w:val="00A16D53"/>
    <w:rsid w:val="00A16D90"/>
    <w:rsid w:val="00A16DAA"/>
    <w:rsid w:val="00A16DB0"/>
    <w:rsid w:val="00A16DE2"/>
    <w:rsid w:val="00A16E03"/>
    <w:rsid w:val="00A16E04"/>
    <w:rsid w:val="00A16E07"/>
    <w:rsid w:val="00A16E54"/>
    <w:rsid w:val="00A16E5C"/>
    <w:rsid w:val="00A16EED"/>
    <w:rsid w:val="00A16EFD"/>
    <w:rsid w:val="00A16F32"/>
    <w:rsid w:val="00A16F55"/>
    <w:rsid w:val="00A17031"/>
    <w:rsid w:val="00A170E9"/>
    <w:rsid w:val="00A171C0"/>
    <w:rsid w:val="00A17208"/>
    <w:rsid w:val="00A1728E"/>
    <w:rsid w:val="00A1739E"/>
    <w:rsid w:val="00A173D7"/>
    <w:rsid w:val="00A173DA"/>
    <w:rsid w:val="00A1744F"/>
    <w:rsid w:val="00A17470"/>
    <w:rsid w:val="00A175F7"/>
    <w:rsid w:val="00A1762D"/>
    <w:rsid w:val="00A17703"/>
    <w:rsid w:val="00A17712"/>
    <w:rsid w:val="00A1776B"/>
    <w:rsid w:val="00A1781C"/>
    <w:rsid w:val="00A17880"/>
    <w:rsid w:val="00A17896"/>
    <w:rsid w:val="00A178A7"/>
    <w:rsid w:val="00A17979"/>
    <w:rsid w:val="00A1799C"/>
    <w:rsid w:val="00A179F4"/>
    <w:rsid w:val="00A17A21"/>
    <w:rsid w:val="00A17A81"/>
    <w:rsid w:val="00A17A8D"/>
    <w:rsid w:val="00A17AB6"/>
    <w:rsid w:val="00A17AE4"/>
    <w:rsid w:val="00A17AF6"/>
    <w:rsid w:val="00A17AF9"/>
    <w:rsid w:val="00A17B8D"/>
    <w:rsid w:val="00A17B92"/>
    <w:rsid w:val="00A17B9C"/>
    <w:rsid w:val="00A17BBD"/>
    <w:rsid w:val="00A17CA8"/>
    <w:rsid w:val="00A17D3C"/>
    <w:rsid w:val="00A17D9B"/>
    <w:rsid w:val="00A17DF6"/>
    <w:rsid w:val="00A17E38"/>
    <w:rsid w:val="00A17EE5"/>
    <w:rsid w:val="00A17FE5"/>
    <w:rsid w:val="00A2003B"/>
    <w:rsid w:val="00A20063"/>
    <w:rsid w:val="00A20079"/>
    <w:rsid w:val="00A2008B"/>
    <w:rsid w:val="00A200AC"/>
    <w:rsid w:val="00A2011B"/>
    <w:rsid w:val="00A20165"/>
    <w:rsid w:val="00A201BD"/>
    <w:rsid w:val="00A20228"/>
    <w:rsid w:val="00A20242"/>
    <w:rsid w:val="00A20248"/>
    <w:rsid w:val="00A20269"/>
    <w:rsid w:val="00A202A7"/>
    <w:rsid w:val="00A2037A"/>
    <w:rsid w:val="00A203B8"/>
    <w:rsid w:val="00A203CA"/>
    <w:rsid w:val="00A20455"/>
    <w:rsid w:val="00A2047B"/>
    <w:rsid w:val="00A20488"/>
    <w:rsid w:val="00A2055E"/>
    <w:rsid w:val="00A205A0"/>
    <w:rsid w:val="00A205A1"/>
    <w:rsid w:val="00A205C9"/>
    <w:rsid w:val="00A205DB"/>
    <w:rsid w:val="00A2060F"/>
    <w:rsid w:val="00A206C5"/>
    <w:rsid w:val="00A206D0"/>
    <w:rsid w:val="00A206E7"/>
    <w:rsid w:val="00A20713"/>
    <w:rsid w:val="00A207D0"/>
    <w:rsid w:val="00A20886"/>
    <w:rsid w:val="00A208BD"/>
    <w:rsid w:val="00A20903"/>
    <w:rsid w:val="00A209EE"/>
    <w:rsid w:val="00A20B49"/>
    <w:rsid w:val="00A20C34"/>
    <w:rsid w:val="00A20C87"/>
    <w:rsid w:val="00A20C88"/>
    <w:rsid w:val="00A20CB2"/>
    <w:rsid w:val="00A20D0F"/>
    <w:rsid w:val="00A20D26"/>
    <w:rsid w:val="00A20D3B"/>
    <w:rsid w:val="00A20D66"/>
    <w:rsid w:val="00A20D6E"/>
    <w:rsid w:val="00A20E00"/>
    <w:rsid w:val="00A20E0A"/>
    <w:rsid w:val="00A20F94"/>
    <w:rsid w:val="00A2101C"/>
    <w:rsid w:val="00A21056"/>
    <w:rsid w:val="00A210BC"/>
    <w:rsid w:val="00A21184"/>
    <w:rsid w:val="00A21228"/>
    <w:rsid w:val="00A2127B"/>
    <w:rsid w:val="00A212D9"/>
    <w:rsid w:val="00A2130B"/>
    <w:rsid w:val="00A2133A"/>
    <w:rsid w:val="00A21408"/>
    <w:rsid w:val="00A21447"/>
    <w:rsid w:val="00A2149B"/>
    <w:rsid w:val="00A21502"/>
    <w:rsid w:val="00A21506"/>
    <w:rsid w:val="00A21542"/>
    <w:rsid w:val="00A215C1"/>
    <w:rsid w:val="00A2165B"/>
    <w:rsid w:val="00A21687"/>
    <w:rsid w:val="00A216E9"/>
    <w:rsid w:val="00A216EB"/>
    <w:rsid w:val="00A216EC"/>
    <w:rsid w:val="00A2178A"/>
    <w:rsid w:val="00A217DD"/>
    <w:rsid w:val="00A21818"/>
    <w:rsid w:val="00A21872"/>
    <w:rsid w:val="00A218D7"/>
    <w:rsid w:val="00A218DA"/>
    <w:rsid w:val="00A21919"/>
    <w:rsid w:val="00A2194B"/>
    <w:rsid w:val="00A219FD"/>
    <w:rsid w:val="00A21A33"/>
    <w:rsid w:val="00A21B0B"/>
    <w:rsid w:val="00A21B68"/>
    <w:rsid w:val="00A21B90"/>
    <w:rsid w:val="00A21B9E"/>
    <w:rsid w:val="00A21BBD"/>
    <w:rsid w:val="00A21CF8"/>
    <w:rsid w:val="00A21E14"/>
    <w:rsid w:val="00A21E59"/>
    <w:rsid w:val="00A21E73"/>
    <w:rsid w:val="00A21EB0"/>
    <w:rsid w:val="00A21F31"/>
    <w:rsid w:val="00A21F41"/>
    <w:rsid w:val="00A21F8A"/>
    <w:rsid w:val="00A21F8F"/>
    <w:rsid w:val="00A22053"/>
    <w:rsid w:val="00A220DB"/>
    <w:rsid w:val="00A220ED"/>
    <w:rsid w:val="00A22111"/>
    <w:rsid w:val="00A22197"/>
    <w:rsid w:val="00A221BB"/>
    <w:rsid w:val="00A221D1"/>
    <w:rsid w:val="00A221DB"/>
    <w:rsid w:val="00A222A3"/>
    <w:rsid w:val="00A222B7"/>
    <w:rsid w:val="00A222B9"/>
    <w:rsid w:val="00A222E4"/>
    <w:rsid w:val="00A222F2"/>
    <w:rsid w:val="00A2230F"/>
    <w:rsid w:val="00A22346"/>
    <w:rsid w:val="00A223BC"/>
    <w:rsid w:val="00A223C4"/>
    <w:rsid w:val="00A22437"/>
    <w:rsid w:val="00A2244D"/>
    <w:rsid w:val="00A22463"/>
    <w:rsid w:val="00A22492"/>
    <w:rsid w:val="00A224D3"/>
    <w:rsid w:val="00A22512"/>
    <w:rsid w:val="00A22567"/>
    <w:rsid w:val="00A225AB"/>
    <w:rsid w:val="00A225B0"/>
    <w:rsid w:val="00A225DF"/>
    <w:rsid w:val="00A226DE"/>
    <w:rsid w:val="00A22733"/>
    <w:rsid w:val="00A22913"/>
    <w:rsid w:val="00A229AE"/>
    <w:rsid w:val="00A22A0B"/>
    <w:rsid w:val="00A22A46"/>
    <w:rsid w:val="00A22A51"/>
    <w:rsid w:val="00A22B65"/>
    <w:rsid w:val="00A22B9B"/>
    <w:rsid w:val="00A22BE3"/>
    <w:rsid w:val="00A22C93"/>
    <w:rsid w:val="00A22D4D"/>
    <w:rsid w:val="00A22DFE"/>
    <w:rsid w:val="00A22EC6"/>
    <w:rsid w:val="00A22F3D"/>
    <w:rsid w:val="00A22F6D"/>
    <w:rsid w:val="00A22FA3"/>
    <w:rsid w:val="00A22FD9"/>
    <w:rsid w:val="00A23030"/>
    <w:rsid w:val="00A2305F"/>
    <w:rsid w:val="00A230E0"/>
    <w:rsid w:val="00A2313E"/>
    <w:rsid w:val="00A2314B"/>
    <w:rsid w:val="00A2314F"/>
    <w:rsid w:val="00A23170"/>
    <w:rsid w:val="00A231B3"/>
    <w:rsid w:val="00A231DB"/>
    <w:rsid w:val="00A231EE"/>
    <w:rsid w:val="00A23293"/>
    <w:rsid w:val="00A2329D"/>
    <w:rsid w:val="00A23302"/>
    <w:rsid w:val="00A233FE"/>
    <w:rsid w:val="00A2345E"/>
    <w:rsid w:val="00A234C3"/>
    <w:rsid w:val="00A23515"/>
    <w:rsid w:val="00A23530"/>
    <w:rsid w:val="00A23596"/>
    <w:rsid w:val="00A235B5"/>
    <w:rsid w:val="00A23623"/>
    <w:rsid w:val="00A236AA"/>
    <w:rsid w:val="00A2372A"/>
    <w:rsid w:val="00A2372E"/>
    <w:rsid w:val="00A237F6"/>
    <w:rsid w:val="00A23852"/>
    <w:rsid w:val="00A23886"/>
    <w:rsid w:val="00A23899"/>
    <w:rsid w:val="00A238ED"/>
    <w:rsid w:val="00A23900"/>
    <w:rsid w:val="00A23902"/>
    <w:rsid w:val="00A23913"/>
    <w:rsid w:val="00A23945"/>
    <w:rsid w:val="00A23949"/>
    <w:rsid w:val="00A239A4"/>
    <w:rsid w:val="00A239F2"/>
    <w:rsid w:val="00A23A01"/>
    <w:rsid w:val="00A23B22"/>
    <w:rsid w:val="00A23B45"/>
    <w:rsid w:val="00A23BCE"/>
    <w:rsid w:val="00A23BDD"/>
    <w:rsid w:val="00A23C61"/>
    <w:rsid w:val="00A23C69"/>
    <w:rsid w:val="00A23D12"/>
    <w:rsid w:val="00A23D22"/>
    <w:rsid w:val="00A23D5F"/>
    <w:rsid w:val="00A23D7C"/>
    <w:rsid w:val="00A23DA2"/>
    <w:rsid w:val="00A23DC7"/>
    <w:rsid w:val="00A23E95"/>
    <w:rsid w:val="00A23EFE"/>
    <w:rsid w:val="00A23F0D"/>
    <w:rsid w:val="00A23F45"/>
    <w:rsid w:val="00A23F53"/>
    <w:rsid w:val="00A23F5F"/>
    <w:rsid w:val="00A23F8A"/>
    <w:rsid w:val="00A24013"/>
    <w:rsid w:val="00A24069"/>
    <w:rsid w:val="00A2407D"/>
    <w:rsid w:val="00A240B9"/>
    <w:rsid w:val="00A24127"/>
    <w:rsid w:val="00A24152"/>
    <w:rsid w:val="00A2418F"/>
    <w:rsid w:val="00A2419D"/>
    <w:rsid w:val="00A241A4"/>
    <w:rsid w:val="00A241D5"/>
    <w:rsid w:val="00A24234"/>
    <w:rsid w:val="00A2429C"/>
    <w:rsid w:val="00A24394"/>
    <w:rsid w:val="00A243D4"/>
    <w:rsid w:val="00A243EA"/>
    <w:rsid w:val="00A24401"/>
    <w:rsid w:val="00A244B1"/>
    <w:rsid w:val="00A244FA"/>
    <w:rsid w:val="00A24562"/>
    <w:rsid w:val="00A24591"/>
    <w:rsid w:val="00A245B1"/>
    <w:rsid w:val="00A24600"/>
    <w:rsid w:val="00A24710"/>
    <w:rsid w:val="00A2476D"/>
    <w:rsid w:val="00A247B1"/>
    <w:rsid w:val="00A2481D"/>
    <w:rsid w:val="00A24915"/>
    <w:rsid w:val="00A24946"/>
    <w:rsid w:val="00A2496A"/>
    <w:rsid w:val="00A24985"/>
    <w:rsid w:val="00A249AD"/>
    <w:rsid w:val="00A24AE9"/>
    <w:rsid w:val="00A24B18"/>
    <w:rsid w:val="00A24B26"/>
    <w:rsid w:val="00A24B5A"/>
    <w:rsid w:val="00A24B8E"/>
    <w:rsid w:val="00A24BCA"/>
    <w:rsid w:val="00A24CEF"/>
    <w:rsid w:val="00A24DCE"/>
    <w:rsid w:val="00A24EBA"/>
    <w:rsid w:val="00A24EF9"/>
    <w:rsid w:val="00A24F81"/>
    <w:rsid w:val="00A25025"/>
    <w:rsid w:val="00A25039"/>
    <w:rsid w:val="00A2509E"/>
    <w:rsid w:val="00A250AB"/>
    <w:rsid w:val="00A25157"/>
    <w:rsid w:val="00A25176"/>
    <w:rsid w:val="00A251D7"/>
    <w:rsid w:val="00A25258"/>
    <w:rsid w:val="00A25275"/>
    <w:rsid w:val="00A252B9"/>
    <w:rsid w:val="00A252BB"/>
    <w:rsid w:val="00A252FB"/>
    <w:rsid w:val="00A25344"/>
    <w:rsid w:val="00A25369"/>
    <w:rsid w:val="00A25386"/>
    <w:rsid w:val="00A2538B"/>
    <w:rsid w:val="00A25482"/>
    <w:rsid w:val="00A255BD"/>
    <w:rsid w:val="00A255C0"/>
    <w:rsid w:val="00A25627"/>
    <w:rsid w:val="00A256E2"/>
    <w:rsid w:val="00A25745"/>
    <w:rsid w:val="00A25756"/>
    <w:rsid w:val="00A25771"/>
    <w:rsid w:val="00A257B1"/>
    <w:rsid w:val="00A2580B"/>
    <w:rsid w:val="00A25876"/>
    <w:rsid w:val="00A2589B"/>
    <w:rsid w:val="00A2589E"/>
    <w:rsid w:val="00A258A3"/>
    <w:rsid w:val="00A2591B"/>
    <w:rsid w:val="00A2595E"/>
    <w:rsid w:val="00A259AF"/>
    <w:rsid w:val="00A25A7A"/>
    <w:rsid w:val="00A25A8D"/>
    <w:rsid w:val="00A25CD4"/>
    <w:rsid w:val="00A25CEA"/>
    <w:rsid w:val="00A25D17"/>
    <w:rsid w:val="00A25D27"/>
    <w:rsid w:val="00A25D94"/>
    <w:rsid w:val="00A25DA9"/>
    <w:rsid w:val="00A25DD0"/>
    <w:rsid w:val="00A25DFB"/>
    <w:rsid w:val="00A25E7A"/>
    <w:rsid w:val="00A25EE9"/>
    <w:rsid w:val="00A25F91"/>
    <w:rsid w:val="00A26036"/>
    <w:rsid w:val="00A260A3"/>
    <w:rsid w:val="00A260CD"/>
    <w:rsid w:val="00A2616A"/>
    <w:rsid w:val="00A26195"/>
    <w:rsid w:val="00A261E8"/>
    <w:rsid w:val="00A26233"/>
    <w:rsid w:val="00A26285"/>
    <w:rsid w:val="00A262ED"/>
    <w:rsid w:val="00A26316"/>
    <w:rsid w:val="00A26318"/>
    <w:rsid w:val="00A263C9"/>
    <w:rsid w:val="00A263EE"/>
    <w:rsid w:val="00A263F6"/>
    <w:rsid w:val="00A26424"/>
    <w:rsid w:val="00A2644C"/>
    <w:rsid w:val="00A26475"/>
    <w:rsid w:val="00A264BF"/>
    <w:rsid w:val="00A264CA"/>
    <w:rsid w:val="00A264E8"/>
    <w:rsid w:val="00A26505"/>
    <w:rsid w:val="00A2650D"/>
    <w:rsid w:val="00A26561"/>
    <w:rsid w:val="00A265FE"/>
    <w:rsid w:val="00A2662F"/>
    <w:rsid w:val="00A266D4"/>
    <w:rsid w:val="00A266F7"/>
    <w:rsid w:val="00A2678C"/>
    <w:rsid w:val="00A2678E"/>
    <w:rsid w:val="00A26790"/>
    <w:rsid w:val="00A267B0"/>
    <w:rsid w:val="00A2680A"/>
    <w:rsid w:val="00A26817"/>
    <w:rsid w:val="00A26874"/>
    <w:rsid w:val="00A2687F"/>
    <w:rsid w:val="00A26917"/>
    <w:rsid w:val="00A269B1"/>
    <w:rsid w:val="00A269C6"/>
    <w:rsid w:val="00A26A05"/>
    <w:rsid w:val="00A26ADE"/>
    <w:rsid w:val="00A26BA7"/>
    <w:rsid w:val="00A26BBF"/>
    <w:rsid w:val="00A26D48"/>
    <w:rsid w:val="00A26D88"/>
    <w:rsid w:val="00A26D9A"/>
    <w:rsid w:val="00A26D9C"/>
    <w:rsid w:val="00A26DFB"/>
    <w:rsid w:val="00A26E7D"/>
    <w:rsid w:val="00A26EE6"/>
    <w:rsid w:val="00A26EEF"/>
    <w:rsid w:val="00A26EFC"/>
    <w:rsid w:val="00A26F03"/>
    <w:rsid w:val="00A26FD8"/>
    <w:rsid w:val="00A26FE0"/>
    <w:rsid w:val="00A26FE1"/>
    <w:rsid w:val="00A27035"/>
    <w:rsid w:val="00A2704C"/>
    <w:rsid w:val="00A27058"/>
    <w:rsid w:val="00A2706B"/>
    <w:rsid w:val="00A270F4"/>
    <w:rsid w:val="00A27139"/>
    <w:rsid w:val="00A2718C"/>
    <w:rsid w:val="00A2719D"/>
    <w:rsid w:val="00A27219"/>
    <w:rsid w:val="00A27316"/>
    <w:rsid w:val="00A27362"/>
    <w:rsid w:val="00A27386"/>
    <w:rsid w:val="00A273CE"/>
    <w:rsid w:val="00A273E9"/>
    <w:rsid w:val="00A273F3"/>
    <w:rsid w:val="00A27424"/>
    <w:rsid w:val="00A27425"/>
    <w:rsid w:val="00A27489"/>
    <w:rsid w:val="00A2749B"/>
    <w:rsid w:val="00A274AF"/>
    <w:rsid w:val="00A274ED"/>
    <w:rsid w:val="00A27556"/>
    <w:rsid w:val="00A27589"/>
    <w:rsid w:val="00A275A1"/>
    <w:rsid w:val="00A275B1"/>
    <w:rsid w:val="00A275E3"/>
    <w:rsid w:val="00A27630"/>
    <w:rsid w:val="00A2768A"/>
    <w:rsid w:val="00A276D6"/>
    <w:rsid w:val="00A27792"/>
    <w:rsid w:val="00A277A5"/>
    <w:rsid w:val="00A27842"/>
    <w:rsid w:val="00A27872"/>
    <w:rsid w:val="00A27887"/>
    <w:rsid w:val="00A27956"/>
    <w:rsid w:val="00A279D2"/>
    <w:rsid w:val="00A279FA"/>
    <w:rsid w:val="00A27A05"/>
    <w:rsid w:val="00A27A3A"/>
    <w:rsid w:val="00A27B0D"/>
    <w:rsid w:val="00A27B6F"/>
    <w:rsid w:val="00A27C2B"/>
    <w:rsid w:val="00A27C47"/>
    <w:rsid w:val="00A27CB5"/>
    <w:rsid w:val="00A27CCC"/>
    <w:rsid w:val="00A27CFB"/>
    <w:rsid w:val="00A27D4A"/>
    <w:rsid w:val="00A27E20"/>
    <w:rsid w:val="00A27E36"/>
    <w:rsid w:val="00A27E3B"/>
    <w:rsid w:val="00A27EDF"/>
    <w:rsid w:val="00A27F49"/>
    <w:rsid w:val="00A27F64"/>
    <w:rsid w:val="00A27F93"/>
    <w:rsid w:val="00A27FDA"/>
    <w:rsid w:val="00A27FFC"/>
    <w:rsid w:val="00A3002C"/>
    <w:rsid w:val="00A300C5"/>
    <w:rsid w:val="00A300DE"/>
    <w:rsid w:val="00A30159"/>
    <w:rsid w:val="00A301C7"/>
    <w:rsid w:val="00A3023E"/>
    <w:rsid w:val="00A302ED"/>
    <w:rsid w:val="00A3033E"/>
    <w:rsid w:val="00A303AB"/>
    <w:rsid w:val="00A303EA"/>
    <w:rsid w:val="00A3046A"/>
    <w:rsid w:val="00A30502"/>
    <w:rsid w:val="00A30538"/>
    <w:rsid w:val="00A306E4"/>
    <w:rsid w:val="00A307AB"/>
    <w:rsid w:val="00A30895"/>
    <w:rsid w:val="00A30952"/>
    <w:rsid w:val="00A309A6"/>
    <w:rsid w:val="00A30A23"/>
    <w:rsid w:val="00A30B91"/>
    <w:rsid w:val="00A30BDC"/>
    <w:rsid w:val="00A30C69"/>
    <w:rsid w:val="00A30C8D"/>
    <w:rsid w:val="00A30CE5"/>
    <w:rsid w:val="00A30D95"/>
    <w:rsid w:val="00A30DCC"/>
    <w:rsid w:val="00A30DCD"/>
    <w:rsid w:val="00A30DDB"/>
    <w:rsid w:val="00A30E65"/>
    <w:rsid w:val="00A30E6F"/>
    <w:rsid w:val="00A30F89"/>
    <w:rsid w:val="00A31067"/>
    <w:rsid w:val="00A31076"/>
    <w:rsid w:val="00A310C3"/>
    <w:rsid w:val="00A310EE"/>
    <w:rsid w:val="00A3110A"/>
    <w:rsid w:val="00A31127"/>
    <w:rsid w:val="00A31163"/>
    <w:rsid w:val="00A3117A"/>
    <w:rsid w:val="00A3118C"/>
    <w:rsid w:val="00A311B4"/>
    <w:rsid w:val="00A31241"/>
    <w:rsid w:val="00A312BE"/>
    <w:rsid w:val="00A3132D"/>
    <w:rsid w:val="00A3141C"/>
    <w:rsid w:val="00A3142A"/>
    <w:rsid w:val="00A3143E"/>
    <w:rsid w:val="00A314E1"/>
    <w:rsid w:val="00A31539"/>
    <w:rsid w:val="00A3169A"/>
    <w:rsid w:val="00A3169F"/>
    <w:rsid w:val="00A3173B"/>
    <w:rsid w:val="00A31741"/>
    <w:rsid w:val="00A317AA"/>
    <w:rsid w:val="00A317BD"/>
    <w:rsid w:val="00A3184E"/>
    <w:rsid w:val="00A31869"/>
    <w:rsid w:val="00A318A8"/>
    <w:rsid w:val="00A31959"/>
    <w:rsid w:val="00A319F9"/>
    <w:rsid w:val="00A31ACA"/>
    <w:rsid w:val="00A31B1A"/>
    <w:rsid w:val="00A31B28"/>
    <w:rsid w:val="00A31B2A"/>
    <w:rsid w:val="00A31B33"/>
    <w:rsid w:val="00A31BA5"/>
    <w:rsid w:val="00A31BB0"/>
    <w:rsid w:val="00A31C36"/>
    <w:rsid w:val="00A31C41"/>
    <w:rsid w:val="00A31C51"/>
    <w:rsid w:val="00A31C77"/>
    <w:rsid w:val="00A31CC2"/>
    <w:rsid w:val="00A31D0F"/>
    <w:rsid w:val="00A31D1B"/>
    <w:rsid w:val="00A31D3B"/>
    <w:rsid w:val="00A31D52"/>
    <w:rsid w:val="00A31E0C"/>
    <w:rsid w:val="00A31E12"/>
    <w:rsid w:val="00A31EB8"/>
    <w:rsid w:val="00A31EB9"/>
    <w:rsid w:val="00A31ED4"/>
    <w:rsid w:val="00A31EDE"/>
    <w:rsid w:val="00A31FD0"/>
    <w:rsid w:val="00A3200F"/>
    <w:rsid w:val="00A320A3"/>
    <w:rsid w:val="00A320F8"/>
    <w:rsid w:val="00A32218"/>
    <w:rsid w:val="00A3221A"/>
    <w:rsid w:val="00A32275"/>
    <w:rsid w:val="00A322CB"/>
    <w:rsid w:val="00A3232A"/>
    <w:rsid w:val="00A32353"/>
    <w:rsid w:val="00A323F6"/>
    <w:rsid w:val="00A32432"/>
    <w:rsid w:val="00A3243E"/>
    <w:rsid w:val="00A32484"/>
    <w:rsid w:val="00A324A3"/>
    <w:rsid w:val="00A324B2"/>
    <w:rsid w:val="00A324F1"/>
    <w:rsid w:val="00A3253D"/>
    <w:rsid w:val="00A3256C"/>
    <w:rsid w:val="00A32587"/>
    <w:rsid w:val="00A325E0"/>
    <w:rsid w:val="00A326D5"/>
    <w:rsid w:val="00A32843"/>
    <w:rsid w:val="00A32913"/>
    <w:rsid w:val="00A32962"/>
    <w:rsid w:val="00A329AF"/>
    <w:rsid w:val="00A32ACD"/>
    <w:rsid w:val="00A32BAA"/>
    <w:rsid w:val="00A32BEB"/>
    <w:rsid w:val="00A32BF1"/>
    <w:rsid w:val="00A32CC2"/>
    <w:rsid w:val="00A32CE0"/>
    <w:rsid w:val="00A32CE3"/>
    <w:rsid w:val="00A32D3E"/>
    <w:rsid w:val="00A32DED"/>
    <w:rsid w:val="00A32E4B"/>
    <w:rsid w:val="00A32EC7"/>
    <w:rsid w:val="00A32F95"/>
    <w:rsid w:val="00A32FCC"/>
    <w:rsid w:val="00A32FF2"/>
    <w:rsid w:val="00A33069"/>
    <w:rsid w:val="00A330BC"/>
    <w:rsid w:val="00A330F6"/>
    <w:rsid w:val="00A330F9"/>
    <w:rsid w:val="00A331F3"/>
    <w:rsid w:val="00A3321D"/>
    <w:rsid w:val="00A3326C"/>
    <w:rsid w:val="00A33283"/>
    <w:rsid w:val="00A33295"/>
    <w:rsid w:val="00A33399"/>
    <w:rsid w:val="00A33425"/>
    <w:rsid w:val="00A334A5"/>
    <w:rsid w:val="00A33541"/>
    <w:rsid w:val="00A33546"/>
    <w:rsid w:val="00A33613"/>
    <w:rsid w:val="00A336AE"/>
    <w:rsid w:val="00A3376F"/>
    <w:rsid w:val="00A33770"/>
    <w:rsid w:val="00A3377E"/>
    <w:rsid w:val="00A3382B"/>
    <w:rsid w:val="00A3388B"/>
    <w:rsid w:val="00A33894"/>
    <w:rsid w:val="00A338E4"/>
    <w:rsid w:val="00A33967"/>
    <w:rsid w:val="00A33A2E"/>
    <w:rsid w:val="00A33A79"/>
    <w:rsid w:val="00A33A7C"/>
    <w:rsid w:val="00A33ACD"/>
    <w:rsid w:val="00A33B06"/>
    <w:rsid w:val="00A33B1A"/>
    <w:rsid w:val="00A33B1B"/>
    <w:rsid w:val="00A33B5D"/>
    <w:rsid w:val="00A33B6F"/>
    <w:rsid w:val="00A33B88"/>
    <w:rsid w:val="00A33B93"/>
    <w:rsid w:val="00A33BC7"/>
    <w:rsid w:val="00A33C5B"/>
    <w:rsid w:val="00A33C96"/>
    <w:rsid w:val="00A33CD6"/>
    <w:rsid w:val="00A33CDA"/>
    <w:rsid w:val="00A33D36"/>
    <w:rsid w:val="00A33D88"/>
    <w:rsid w:val="00A33D91"/>
    <w:rsid w:val="00A33D9C"/>
    <w:rsid w:val="00A33E0E"/>
    <w:rsid w:val="00A33E27"/>
    <w:rsid w:val="00A33E41"/>
    <w:rsid w:val="00A33E5D"/>
    <w:rsid w:val="00A33EF9"/>
    <w:rsid w:val="00A33F9F"/>
    <w:rsid w:val="00A33FB1"/>
    <w:rsid w:val="00A34003"/>
    <w:rsid w:val="00A34019"/>
    <w:rsid w:val="00A34099"/>
    <w:rsid w:val="00A340D2"/>
    <w:rsid w:val="00A34181"/>
    <w:rsid w:val="00A34223"/>
    <w:rsid w:val="00A342B7"/>
    <w:rsid w:val="00A343DC"/>
    <w:rsid w:val="00A34426"/>
    <w:rsid w:val="00A3444A"/>
    <w:rsid w:val="00A344C2"/>
    <w:rsid w:val="00A34555"/>
    <w:rsid w:val="00A3463A"/>
    <w:rsid w:val="00A3470D"/>
    <w:rsid w:val="00A34712"/>
    <w:rsid w:val="00A3477A"/>
    <w:rsid w:val="00A347DE"/>
    <w:rsid w:val="00A34831"/>
    <w:rsid w:val="00A34845"/>
    <w:rsid w:val="00A34888"/>
    <w:rsid w:val="00A349C9"/>
    <w:rsid w:val="00A34A39"/>
    <w:rsid w:val="00A34A8C"/>
    <w:rsid w:val="00A34AC2"/>
    <w:rsid w:val="00A34B10"/>
    <w:rsid w:val="00A34B81"/>
    <w:rsid w:val="00A34BCE"/>
    <w:rsid w:val="00A34C1F"/>
    <w:rsid w:val="00A34D26"/>
    <w:rsid w:val="00A34D30"/>
    <w:rsid w:val="00A34E10"/>
    <w:rsid w:val="00A34E16"/>
    <w:rsid w:val="00A34E31"/>
    <w:rsid w:val="00A34E51"/>
    <w:rsid w:val="00A34E6D"/>
    <w:rsid w:val="00A34F02"/>
    <w:rsid w:val="00A34F36"/>
    <w:rsid w:val="00A34FB5"/>
    <w:rsid w:val="00A35054"/>
    <w:rsid w:val="00A35112"/>
    <w:rsid w:val="00A3511E"/>
    <w:rsid w:val="00A35131"/>
    <w:rsid w:val="00A35225"/>
    <w:rsid w:val="00A35226"/>
    <w:rsid w:val="00A3522E"/>
    <w:rsid w:val="00A3529F"/>
    <w:rsid w:val="00A352AC"/>
    <w:rsid w:val="00A35359"/>
    <w:rsid w:val="00A353DE"/>
    <w:rsid w:val="00A354CD"/>
    <w:rsid w:val="00A354D6"/>
    <w:rsid w:val="00A354E1"/>
    <w:rsid w:val="00A35696"/>
    <w:rsid w:val="00A35697"/>
    <w:rsid w:val="00A356FC"/>
    <w:rsid w:val="00A357AF"/>
    <w:rsid w:val="00A357D1"/>
    <w:rsid w:val="00A3584C"/>
    <w:rsid w:val="00A358BC"/>
    <w:rsid w:val="00A358DC"/>
    <w:rsid w:val="00A3593F"/>
    <w:rsid w:val="00A35963"/>
    <w:rsid w:val="00A35A99"/>
    <w:rsid w:val="00A35ACC"/>
    <w:rsid w:val="00A35B9D"/>
    <w:rsid w:val="00A35BF3"/>
    <w:rsid w:val="00A35C48"/>
    <w:rsid w:val="00A35CB5"/>
    <w:rsid w:val="00A35CCD"/>
    <w:rsid w:val="00A35D12"/>
    <w:rsid w:val="00A35D14"/>
    <w:rsid w:val="00A35D4E"/>
    <w:rsid w:val="00A35DA8"/>
    <w:rsid w:val="00A35E48"/>
    <w:rsid w:val="00A35E5C"/>
    <w:rsid w:val="00A35E99"/>
    <w:rsid w:val="00A35EA0"/>
    <w:rsid w:val="00A35F0E"/>
    <w:rsid w:val="00A35F1C"/>
    <w:rsid w:val="00A35F84"/>
    <w:rsid w:val="00A35FF9"/>
    <w:rsid w:val="00A36045"/>
    <w:rsid w:val="00A36084"/>
    <w:rsid w:val="00A36175"/>
    <w:rsid w:val="00A361BD"/>
    <w:rsid w:val="00A36215"/>
    <w:rsid w:val="00A36233"/>
    <w:rsid w:val="00A3625E"/>
    <w:rsid w:val="00A362D4"/>
    <w:rsid w:val="00A362DA"/>
    <w:rsid w:val="00A362E4"/>
    <w:rsid w:val="00A362F2"/>
    <w:rsid w:val="00A36329"/>
    <w:rsid w:val="00A3647D"/>
    <w:rsid w:val="00A36488"/>
    <w:rsid w:val="00A36517"/>
    <w:rsid w:val="00A365CF"/>
    <w:rsid w:val="00A36603"/>
    <w:rsid w:val="00A36614"/>
    <w:rsid w:val="00A366A9"/>
    <w:rsid w:val="00A366D1"/>
    <w:rsid w:val="00A366E4"/>
    <w:rsid w:val="00A36729"/>
    <w:rsid w:val="00A367E1"/>
    <w:rsid w:val="00A3681C"/>
    <w:rsid w:val="00A36884"/>
    <w:rsid w:val="00A368DE"/>
    <w:rsid w:val="00A368F3"/>
    <w:rsid w:val="00A368FF"/>
    <w:rsid w:val="00A36937"/>
    <w:rsid w:val="00A36967"/>
    <w:rsid w:val="00A36985"/>
    <w:rsid w:val="00A369A8"/>
    <w:rsid w:val="00A369BB"/>
    <w:rsid w:val="00A369D9"/>
    <w:rsid w:val="00A369FA"/>
    <w:rsid w:val="00A36A07"/>
    <w:rsid w:val="00A36A28"/>
    <w:rsid w:val="00A36B20"/>
    <w:rsid w:val="00A36B67"/>
    <w:rsid w:val="00A36B71"/>
    <w:rsid w:val="00A36B90"/>
    <w:rsid w:val="00A36BE2"/>
    <w:rsid w:val="00A36C69"/>
    <w:rsid w:val="00A36CB1"/>
    <w:rsid w:val="00A36CD9"/>
    <w:rsid w:val="00A36CE2"/>
    <w:rsid w:val="00A36D09"/>
    <w:rsid w:val="00A36D0C"/>
    <w:rsid w:val="00A36D29"/>
    <w:rsid w:val="00A36D7F"/>
    <w:rsid w:val="00A36DBD"/>
    <w:rsid w:val="00A36DC6"/>
    <w:rsid w:val="00A36DD9"/>
    <w:rsid w:val="00A36DE7"/>
    <w:rsid w:val="00A36E22"/>
    <w:rsid w:val="00A36E43"/>
    <w:rsid w:val="00A36EE8"/>
    <w:rsid w:val="00A36EFB"/>
    <w:rsid w:val="00A36F7D"/>
    <w:rsid w:val="00A36FC4"/>
    <w:rsid w:val="00A37037"/>
    <w:rsid w:val="00A370A4"/>
    <w:rsid w:val="00A370AB"/>
    <w:rsid w:val="00A370E0"/>
    <w:rsid w:val="00A37160"/>
    <w:rsid w:val="00A371A2"/>
    <w:rsid w:val="00A371AA"/>
    <w:rsid w:val="00A37225"/>
    <w:rsid w:val="00A37249"/>
    <w:rsid w:val="00A3728C"/>
    <w:rsid w:val="00A372B6"/>
    <w:rsid w:val="00A372DA"/>
    <w:rsid w:val="00A372EA"/>
    <w:rsid w:val="00A37318"/>
    <w:rsid w:val="00A37392"/>
    <w:rsid w:val="00A37405"/>
    <w:rsid w:val="00A3742C"/>
    <w:rsid w:val="00A37450"/>
    <w:rsid w:val="00A37490"/>
    <w:rsid w:val="00A3749B"/>
    <w:rsid w:val="00A374A8"/>
    <w:rsid w:val="00A37552"/>
    <w:rsid w:val="00A3756C"/>
    <w:rsid w:val="00A37577"/>
    <w:rsid w:val="00A375B7"/>
    <w:rsid w:val="00A375CE"/>
    <w:rsid w:val="00A375D9"/>
    <w:rsid w:val="00A375F5"/>
    <w:rsid w:val="00A3762A"/>
    <w:rsid w:val="00A3764A"/>
    <w:rsid w:val="00A37659"/>
    <w:rsid w:val="00A37661"/>
    <w:rsid w:val="00A37705"/>
    <w:rsid w:val="00A37759"/>
    <w:rsid w:val="00A377B0"/>
    <w:rsid w:val="00A377BC"/>
    <w:rsid w:val="00A377C5"/>
    <w:rsid w:val="00A377F6"/>
    <w:rsid w:val="00A377FA"/>
    <w:rsid w:val="00A37827"/>
    <w:rsid w:val="00A37874"/>
    <w:rsid w:val="00A37955"/>
    <w:rsid w:val="00A3795D"/>
    <w:rsid w:val="00A3799F"/>
    <w:rsid w:val="00A379F9"/>
    <w:rsid w:val="00A379FC"/>
    <w:rsid w:val="00A37A4A"/>
    <w:rsid w:val="00A37A50"/>
    <w:rsid w:val="00A37A6D"/>
    <w:rsid w:val="00A37AB3"/>
    <w:rsid w:val="00A37B5A"/>
    <w:rsid w:val="00A37C79"/>
    <w:rsid w:val="00A37D18"/>
    <w:rsid w:val="00A37D3D"/>
    <w:rsid w:val="00A37DED"/>
    <w:rsid w:val="00A37E16"/>
    <w:rsid w:val="00A37E77"/>
    <w:rsid w:val="00A37E9B"/>
    <w:rsid w:val="00A37EC6"/>
    <w:rsid w:val="00A37EEE"/>
    <w:rsid w:val="00A37F63"/>
    <w:rsid w:val="00A37F8A"/>
    <w:rsid w:val="00A40039"/>
    <w:rsid w:val="00A4007D"/>
    <w:rsid w:val="00A400D7"/>
    <w:rsid w:val="00A40109"/>
    <w:rsid w:val="00A40226"/>
    <w:rsid w:val="00A40298"/>
    <w:rsid w:val="00A402BB"/>
    <w:rsid w:val="00A402EC"/>
    <w:rsid w:val="00A403AD"/>
    <w:rsid w:val="00A403B5"/>
    <w:rsid w:val="00A40417"/>
    <w:rsid w:val="00A40498"/>
    <w:rsid w:val="00A404B3"/>
    <w:rsid w:val="00A40505"/>
    <w:rsid w:val="00A40573"/>
    <w:rsid w:val="00A40638"/>
    <w:rsid w:val="00A40693"/>
    <w:rsid w:val="00A406A4"/>
    <w:rsid w:val="00A40730"/>
    <w:rsid w:val="00A407DE"/>
    <w:rsid w:val="00A40887"/>
    <w:rsid w:val="00A408A6"/>
    <w:rsid w:val="00A408ED"/>
    <w:rsid w:val="00A4092A"/>
    <w:rsid w:val="00A409E1"/>
    <w:rsid w:val="00A409F0"/>
    <w:rsid w:val="00A40A09"/>
    <w:rsid w:val="00A40A21"/>
    <w:rsid w:val="00A40AF8"/>
    <w:rsid w:val="00A40B8D"/>
    <w:rsid w:val="00A40C31"/>
    <w:rsid w:val="00A40E30"/>
    <w:rsid w:val="00A40EC1"/>
    <w:rsid w:val="00A40F1F"/>
    <w:rsid w:val="00A40F25"/>
    <w:rsid w:val="00A40F96"/>
    <w:rsid w:val="00A41045"/>
    <w:rsid w:val="00A410E4"/>
    <w:rsid w:val="00A4110A"/>
    <w:rsid w:val="00A41123"/>
    <w:rsid w:val="00A411D6"/>
    <w:rsid w:val="00A411DA"/>
    <w:rsid w:val="00A41220"/>
    <w:rsid w:val="00A4124D"/>
    <w:rsid w:val="00A4131E"/>
    <w:rsid w:val="00A4135C"/>
    <w:rsid w:val="00A41392"/>
    <w:rsid w:val="00A41398"/>
    <w:rsid w:val="00A413E8"/>
    <w:rsid w:val="00A4143E"/>
    <w:rsid w:val="00A41490"/>
    <w:rsid w:val="00A414D6"/>
    <w:rsid w:val="00A41526"/>
    <w:rsid w:val="00A4152E"/>
    <w:rsid w:val="00A4157F"/>
    <w:rsid w:val="00A415E6"/>
    <w:rsid w:val="00A4161A"/>
    <w:rsid w:val="00A41640"/>
    <w:rsid w:val="00A416BD"/>
    <w:rsid w:val="00A41730"/>
    <w:rsid w:val="00A41736"/>
    <w:rsid w:val="00A41743"/>
    <w:rsid w:val="00A4174D"/>
    <w:rsid w:val="00A41825"/>
    <w:rsid w:val="00A4183C"/>
    <w:rsid w:val="00A4183D"/>
    <w:rsid w:val="00A4186C"/>
    <w:rsid w:val="00A41888"/>
    <w:rsid w:val="00A418A4"/>
    <w:rsid w:val="00A418F2"/>
    <w:rsid w:val="00A41937"/>
    <w:rsid w:val="00A41957"/>
    <w:rsid w:val="00A419C5"/>
    <w:rsid w:val="00A419E2"/>
    <w:rsid w:val="00A41A09"/>
    <w:rsid w:val="00A41A23"/>
    <w:rsid w:val="00A41A5A"/>
    <w:rsid w:val="00A41A6C"/>
    <w:rsid w:val="00A41A9A"/>
    <w:rsid w:val="00A41AE0"/>
    <w:rsid w:val="00A41B15"/>
    <w:rsid w:val="00A41B9C"/>
    <w:rsid w:val="00A41CD1"/>
    <w:rsid w:val="00A41D0D"/>
    <w:rsid w:val="00A41D14"/>
    <w:rsid w:val="00A41DA9"/>
    <w:rsid w:val="00A41E82"/>
    <w:rsid w:val="00A41EB5"/>
    <w:rsid w:val="00A41EC9"/>
    <w:rsid w:val="00A41ED2"/>
    <w:rsid w:val="00A42009"/>
    <w:rsid w:val="00A4200F"/>
    <w:rsid w:val="00A42046"/>
    <w:rsid w:val="00A42066"/>
    <w:rsid w:val="00A420C8"/>
    <w:rsid w:val="00A420F4"/>
    <w:rsid w:val="00A420FC"/>
    <w:rsid w:val="00A421B6"/>
    <w:rsid w:val="00A421E1"/>
    <w:rsid w:val="00A42237"/>
    <w:rsid w:val="00A42238"/>
    <w:rsid w:val="00A4226A"/>
    <w:rsid w:val="00A422FC"/>
    <w:rsid w:val="00A4233B"/>
    <w:rsid w:val="00A42381"/>
    <w:rsid w:val="00A423AB"/>
    <w:rsid w:val="00A42402"/>
    <w:rsid w:val="00A42422"/>
    <w:rsid w:val="00A4244C"/>
    <w:rsid w:val="00A424E0"/>
    <w:rsid w:val="00A42559"/>
    <w:rsid w:val="00A42570"/>
    <w:rsid w:val="00A42588"/>
    <w:rsid w:val="00A42589"/>
    <w:rsid w:val="00A425CF"/>
    <w:rsid w:val="00A425F9"/>
    <w:rsid w:val="00A425FA"/>
    <w:rsid w:val="00A42629"/>
    <w:rsid w:val="00A426CE"/>
    <w:rsid w:val="00A4274C"/>
    <w:rsid w:val="00A4276E"/>
    <w:rsid w:val="00A427B4"/>
    <w:rsid w:val="00A427B5"/>
    <w:rsid w:val="00A427F7"/>
    <w:rsid w:val="00A4285C"/>
    <w:rsid w:val="00A4286D"/>
    <w:rsid w:val="00A42900"/>
    <w:rsid w:val="00A42944"/>
    <w:rsid w:val="00A429BD"/>
    <w:rsid w:val="00A42A2B"/>
    <w:rsid w:val="00A42A64"/>
    <w:rsid w:val="00A42A7D"/>
    <w:rsid w:val="00A42AAC"/>
    <w:rsid w:val="00A42B24"/>
    <w:rsid w:val="00A42B29"/>
    <w:rsid w:val="00A42B3C"/>
    <w:rsid w:val="00A42B42"/>
    <w:rsid w:val="00A42B58"/>
    <w:rsid w:val="00A42B74"/>
    <w:rsid w:val="00A42BA8"/>
    <w:rsid w:val="00A42C4C"/>
    <w:rsid w:val="00A42CC5"/>
    <w:rsid w:val="00A42CFB"/>
    <w:rsid w:val="00A42D7F"/>
    <w:rsid w:val="00A42DD8"/>
    <w:rsid w:val="00A42DEA"/>
    <w:rsid w:val="00A42E08"/>
    <w:rsid w:val="00A42E35"/>
    <w:rsid w:val="00A42E7D"/>
    <w:rsid w:val="00A42EA3"/>
    <w:rsid w:val="00A42EC4"/>
    <w:rsid w:val="00A42EEC"/>
    <w:rsid w:val="00A42F20"/>
    <w:rsid w:val="00A42F57"/>
    <w:rsid w:val="00A42F59"/>
    <w:rsid w:val="00A4306E"/>
    <w:rsid w:val="00A430C3"/>
    <w:rsid w:val="00A430FF"/>
    <w:rsid w:val="00A43188"/>
    <w:rsid w:val="00A4319C"/>
    <w:rsid w:val="00A43329"/>
    <w:rsid w:val="00A43339"/>
    <w:rsid w:val="00A433D9"/>
    <w:rsid w:val="00A433FF"/>
    <w:rsid w:val="00A434D3"/>
    <w:rsid w:val="00A4352C"/>
    <w:rsid w:val="00A4360E"/>
    <w:rsid w:val="00A43623"/>
    <w:rsid w:val="00A43663"/>
    <w:rsid w:val="00A436A9"/>
    <w:rsid w:val="00A43713"/>
    <w:rsid w:val="00A4372C"/>
    <w:rsid w:val="00A4374B"/>
    <w:rsid w:val="00A43797"/>
    <w:rsid w:val="00A4379D"/>
    <w:rsid w:val="00A437FD"/>
    <w:rsid w:val="00A4383B"/>
    <w:rsid w:val="00A4391C"/>
    <w:rsid w:val="00A4397E"/>
    <w:rsid w:val="00A43994"/>
    <w:rsid w:val="00A43BD4"/>
    <w:rsid w:val="00A43C28"/>
    <w:rsid w:val="00A43CB2"/>
    <w:rsid w:val="00A43CFC"/>
    <w:rsid w:val="00A43D0F"/>
    <w:rsid w:val="00A43D36"/>
    <w:rsid w:val="00A43D51"/>
    <w:rsid w:val="00A43E70"/>
    <w:rsid w:val="00A43EF1"/>
    <w:rsid w:val="00A43F4B"/>
    <w:rsid w:val="00A44035"/>
    <w:rsid w:val="00A440E1"/>
    <w:rsid w:val="00A44120"/>
    <w:rsid w:val="00A44180"/>
    <w:rsid w:val="00A441E7"/>
    <w:rsid w:val="00A441E8"/>
    <w:rsid w:val="00A44279"/>
    <w:rsid w:val="00A442F5"/>
    <w:rsid w:val="00A4438D"/>
    <w:rsid w:val="00A4439F"/>
    <w:rsid w:val="00A443A3"/>
    <w:rsid w:val="00A444B4"/>
    <w:rsid w:val="00A444C6"/>
    <w:rsid w:val="00A444D9"/>
    <w:rsid w:val="00A4455D"/>
    <w:rsid w:val="00A445D3"/>
    <w:rsid w:val="00A4461E"/>
    <w:rsid w:val="00A4463A"/>
    <w:rsid w:val="00A4466C"/>
    <w:rsid w:val="00A44674"/>
    <w:rsid w:val="00A446CE"/>
    <w:rsid w:val="00A44719"/>
    <w:rsid w:val="00A447A5"/>
    <w:rsid w:val="00A447F4"/>
    <w:rsid w:val="00A448A1"/>
    <w:rsid w:val="00A448B1"/>
    <w:rsid w:val="00A448CF"/>
    <w:rsid w:val="00A448D1"/>
    <w:rsid w:val="00A448D2"/>
    <w:rsid w:val="00A448DD"/>
    <w:rsid w:val="00A448EF"/>
    <w:rsid w:val="00A4490B"/>
    <w:rsid w:val="00A44929"/>
    <w:rsid w:val="00A44955"/>
    <w:rsid w:val="00A4498E"/>
    <w:rsid w:val="00A449E4"/>
    <w:rsid w:val="00A449E9"/>
    <w:rsid w:val="00A44A0F"/>
    <w:rsid w:val="00A44A30"/>
    <w:rsid w:val="00A44A6A"/>
    <w:rsid w:val="00A44A8B"/>
    <w:rsid w:val="00A44AA0"/>
    <w:rsid w:val="00A44AE2"/>
    <w:rsid w:val="00A44B96"/>
    <w:rsid w:val="00A44BE7"/>
    <w:rsid w:val="00A44C15"/>
    <w:rsid w:val="00A44C17"/>
    <w:rsid w:val="00A44C26"/>
    <w:rsid w:val="00A44C29"/>
    <w:rsid w:val="00A44C45"/>
    <w:rsid w:val="00A44C51"/>
    <w:rsid w:val="00A44C72"/>
    <w:rsid w:val="00A44C8E"/>
    <w:rsid w:val="00A44CF6"/>
    <w:rsid w:val="00A44D0C"/>
    <w:rsid w:val="00A44D1E"/>
    <w:rsid w:val="00A44D3A"/>
    <w:rsid w:val="00A44D73"/>
    <w:rsid w:val="00A44E44"/>
    <w:rsid w:val="00A44E49"/>
    <w:rsid w:val="00A44E7F"/>
    <w:rsid w:val="00A44E8E"/>
    <w:rsid w:val="00A44EA5"/>
    <w:rsid w:val="00A44ECA"/>
    <w:rsid w:val="00A44EFC"/>
    <w:rsid w:val="00A44F5F"/>
    <w:rsid w:val="00A45011"/>
    <w:rsid w:val="00A45022"/>
    <w:rsid w:val="00A45102"/>
    <w:rsid w:val="00A45125"/>
    <w:rsid w:val="00A451E9"/>
    <w:rsid w:val="00A45203"/>
    <w:rsid w:val="00A45213"/>
    <w:rsid w:val="00A45237"/>
    <w:rsid w:val="00A45298"/>
    <w:rsid w:val="00A452F1"/>
    <w:rsid w:val="00A45369"/>
    <w:rsid w:val="00A453AA"/>
    <w:rsid w:val="00A45440"/>
    <w:rsid w:val="00A454A5"/>
    <w:rsid w:val="00A454B8"/>
    <w:rsid w:val="00A455A5"/>
    <w:rsid w:val="00A4569A"/>
    <w:rsid w:val="00A45713"/>
    <w:rsid w:val="00A45722"/>
    <w:rsid w:val="00A45729"/>
    <w:rsid w:val="00A457C7"/>
    <w:rsid w:val="00A457D7"/>
    <w:rsid w:val="00A457E2"/>
    <w:rsid w:val="00A45820"/>
    <w:rsid w:val="00A4582C"/>
    <w:rsid w:val="00A458A3"/>
    <w:rsid w:val="00A45967"/>
    <w:rsid w:val="00A45A3C"/>
    <w:rsid w:val="00A45A97"/>
    <w:rsid w:val="00A45AD9"/>
    <w:rsid w:val="00A45B02"/>
    <w:rsid w:val="00A45B4E"/>
    <w:rsid w:val="00A45B9D"/>
    <w:rsid w:val="00A45C69"/>
    <w:rsid w:val="00A45DA6"/>
    <w:rsid w:val="00A45DC1"/>
    <w:rsid w:val="00A45E10"/>
    <w:rsid w:val="00A45E3D"/>
    <w:rsid w:val="00A45E88"/>
    <w:rsid w:val="00A45EFB"/>
    <w:rsid w:val="00A45F22"/>
    <w:rsid w:val="00A45F58"/>
    <w:rsid w:val="00A45F8D"/>
    <w:rsid w:val="00A45F95"/>
    <w:rsid w:val="00A46008"/>
    <w:rsid w:val="00A46022"/>
    <w:rsid w:val="00A46166"/>
    <w:rsid w:val="00A46180"/>
    <w:rsid w:val="00A4628D"/>
    <w:rsid w:val="00A462E0"/>
    <w:rsid w:val="00A462EC"/>
    <w:rsid w:val="00A46362"/>
    <w:rsid w:val="00A4637A"/>
    <w:rsid w:val="00A463D5"/>
    <w:rsid w:val="00A463EB"/>
    <w:rsid w:val="00A46407"/>
    <w:rsid w:val="00A46440"/>
    <w:rsid w:val="00A4644B"/>
    <w:rsid w:val="00A464A9"/>
    <w:rsid w:val="00A464BC"/>
    <w:rsid w:val="00A46507"/>
    <w:rsid w:val="00A46560"/>
    <w:rsid w:val="00A465AD"/>
    <w:rsid w:val="00A46629"/>
    <w:rsid w:val="00A46638"/>
    <w:rsid w:val="00A4669F"/>
    <w:rsid w:val="00A466BE"/>
    <w:rsid w:val="00A466BF"/>
    <w:rsid w:val="00A466F2"/>
    <w:rsid w:val="00A46717"/>
    <w:rsid w:val="00A46774"/>
    <w:rsid w:val="00A467AB"/>
    <w:rsid w:val="00A4680B"/>
    <w:rsid w:val="00A4684D"/>
    <w:rsid w:val="00A46873"/>
    <w:rsid w:val="00A468AF"/>
    <w:rsid w:val="00A468F4"/>
    <w:rsid w:val="00A46A8D"/>
    <w:rsid w:val="00A46B45"/>
    <w:rsid w:val="00A46BC2"/>
    <w:rsid w:val="00A46BCE"/>
    <w:rsid w:val="00A46C82"/>
    <w:rsid w:val="00A46D39"/>
    <w:rsid w:val="00A46DD7"/>
    <w:rsid w:val="00A46ED5"/>
    <w:rsid w:val="00A46FB3"/>
    <w:rsid w:val="00A47010"/>
    <w:rsid w:val="00A4712C"/>
    <w:rsid w:val="00A4718E"/>
    <w:rsid w:val="00A471F1"/>
    <w:rsid w:val="00A4724C"/>
    <w:rsid w:val="00A472B8"/>
    <w:rsid w:val="00A472F1"/>
    <w:rsid w:val="00A474CF"/>
    <w:rsid w:val="00A4752C"/>
    <w:rsid w:val="00A47596"/>
    <w:rsid w:val="00A475D3"/>
    <w:rsid w:val="00A475E0"/>
    <w:rsid w:val="00A47641"/>
    <w:rsid w:val="00A47678"/>
    <w:rsid w:val="00A47682"/>
    <w:rsid w:val="00A476B6"/>
    <w:rsid w:val="00A476EB"/>
    <w:rsid w:val="00A476EE"/>
    <w:rsid w:val="00A4776B"/>
    <w:rsid w:val="00A477B7"/>
    <w:rsid w:val="00A47805"/>
    <w:rsid w:val="00A47806"/>
    <w:rsid w:val="00A4783B"/>
    <w:rsid w:val="00A4784D"/>
    <w:rsid w:val="00A47851"/>
    <w:rsid w:val="00A4788B"/>
    <w:rsid w:val="00A478F7"/>
    <w:rsid w:val="00A4796F"/>
    <w:rsid w:val="00A47A4E"/>
    <w:rsid w:val="00A47A96"/>
    <w:rsid w:val="00A47B06"/>
    <w:rsid w:val="00A47C87"/>
    <w:rsid w:val="00A47C92"/>
    <w:rsid w:val="00A47C9A"/>
    <w:rsid w:val="00A47D9C"/>
    <w:rsid w:val="00A47E11"/>
    <w:rsid w:val="00A47E5A"/>
    <w:rsid w:val="00A47EA5"/>
    <w:rsid w:val="00A47EE4"/>
    <w:rsid w:val="00A47F33"/>
    <w:rsid w:val="00A47F36"/>
    <w:rsid w:val="00A5007E"/>
    <w:rsid w:val="00A5014A"/>
    <w:rsid w:val="00A50196"/>
    <w:rsid w:val="00A501B7"/>
    <w:rsid w:val="00A501DD"/>
    <w:rsid w:val="00A5021B"/>
    <w:rsid w:val="00A50225"/>
    <w:rsid w:val="00A50275"/>
    <w:rsid w:val="00A502B0"/>
    <w:rsid w:val="00A50302"/>
    <w:rsid w:val="00A50324"/>
    <w:rsid w:val="00A50385"/>
    <w:rsid w:val="00A503DE"/>
    <w:rsid w:val="00A50527"/>
    <w:rsid w:val="00A5056E"/>
    <w:rsid w:val="00A5060C"/>
    <w:rsid w:val="00A5061E"/>
    <w:rsid w:val="00A50661"/>
    <w:rsid w:val="00A50688"/>
    <w:rsid w:val="00A5068D"/>
    <w:rsid w:val="00A506D5"/>
    <w:rsid w:val="00A506EA"/>
    <w:rsid w:val="00A506EB"/>
    <w:rsid w:val="00A50794"/>
    <w:rsid w:val="00A507D1"/>
    <w:rsid w:val="00A50802"/>
    <w:rsid w:val="00A50835"/>
    <w:rsid w:val="00A50872"/>
    <w:rsid w:val="00A508A6"/>
    <w:rsid w:val="00A508F4"/>
    <w:rsid w:val="00A50955"/>
    <w:rsid w:val="00A509CB"/>
    <w:rsid w:val="00A509EF"/>
    <w:rsid w:val="00A50A3A"/>
    <w:rsid w:val="00A50A43"/>
    <w:rsid w:val="00A50A54"/>
    <w:rsid w:val="00A50AAA"/>
    <w:rsid w:val="00A50AD6"/>
    <w:rsid w:val="00A50B55"/>
    <w:rsid w:val="00A50BE5"/>
    <w:rsid w:val="00A50C22"/>
    <w:rsid w:val="00A50C61"/>
    <w:rsid w:val="00A50C75"/>
    <w:rsid w:val="00A50CD7"/>
    <w:rsid w:val="00A50DC1"/>
    <w:rsid w:val="00A50E82"/>
    <w:rsid w:val="00A50E83"/>
    <w:rsid w:val="00A50EC4"/>
    <w:rsid w:val="00A50EEA"/>
    <w:rsid w:val="00A50F0A"/>
    <w:rsid w:val="00A50F39"/>
    <w:rsid w:val="00A50F81"/>
    <w:rsid w:val="00A50FD2"/>
    <w:rsid w:val="00A51014"/>
    <w:rsid w:val="00A5103C"/>
    <w:rsid w:val="00A51053"/>
    <w:rsid w:val="00A51069"/>
    <w:rsid w:val="00A51149"/>
    <w:rsid w:val="00A51163"/>
    <w:rsid w:val="00A51198"/>
    <w:rsid w:val="00A511CA"/>
    <w:rsid w:val="00A511EA"/>
    <w:rsid w:val="00A512FA"/>
    <w:rsid w:val="00A51308"/>
    <w:rsid w:val="00A51363"/>
    <w:rsid w:val="00A513AC"/>
    <w:rsid w:val="00A513CD"/>
    <w:rsid w:val="00A513DE"/>
    <w:rsid w:val="00A513E0"/>
    <w:rsid w:val="00A513E8"/>
    <w:rsid w:val="00A51401"/>
    <w:rsid w:val="00A51403"/>
    <w:rsid w:val="00A5141E"/>
    <w:rsid w:val="00A51485"/>
    <w:rsid w:val="00A51490"/>
    <w:rsid w:val="00A514BD"/>
    <w:rsid w:val="00A51536"/>
    <w:rsid w:val="00A5158D"/>
    <w:rsid w:val="00A515FE"/>
    <w:rsid w:val="00A51613"/>
    <w:rsid w:val="00A5170D"/>
    <w:rsid w:val="00A51731"/>
    <w:rsid w:val="00A51810"/>
    <w:rsid w:val="00A51833"/>
    <w:rsid w:val="00A51896"/>
    <w:rsid w:val="00A5189B"/>
    <w:rsid w:val="00A518AC"/>
    <w:rsid w:val="00A51908"/>
    <w:rsid w:val="00A5192B"/>
    <w:rsid w:val="00A5195A"/>
    <w:rsid w:val="00A51984"/>
    <w:rsid w:val="00A519A1"/>
    <w:rsid w:val="00A519C8"/>
    <w:rsid w:val="00A51A4A"/>
    <w:rsid w:val="00A51A80"/>
    <w:rsid w:val="00A51A8A"/>
    <w:rsid w:val="00A51A98"/>
    <w:rsid w:val="00A51AAD"/>
    <w:rsid w:val="00A51AC5"/>
    <w:rsid w:val="00A51ACF"/>
    <w:rsid w:val="00A51AD1"/>
    <w:rsid w:val="00A51BA8"/>
    <w:rsid w:val="00A51BB0"/>
    <w:rsid w:val="00A51E0B"/>
    <w:rsid w:val="00A51E6D"/>
    <w:rsid w:val="00A51E83"/>
    <w:rsid w:val="00A51EBB"/>
    <w:rsid w:val="00A51F27"/>
    <w:rsid w:val="00A51FE9"/>
    <w:rsid w:val="00A520D6"/>
    <w:rsid w:val="00A520E2"/>
    <w:rsid w:val="00A520EB"/>
    <w:rsid w:val="00A5214D"/>
    <w:rsid w:val="00A52191"/>
    <w:rsid w:val="00A521AD"/>
    <w:rsid w:val="00A521C3"/>
    <w:rsid w:val="00A521E8"/>
    <w:rsid w:val="00A52210"/>
    <w:rsid w:val="00A5221B"/>
    <w:rsid w:val="00A522E0"/>
    <w:rsid w:val="00A5231C"/>
    <w:rsid w:val="00A523A7"/>
    <w:rsid w:val="00A5244F"/>
    <w:rsid w:val="00A52450"/>
    <w:rsid w:val="00A52479"/>
    <w:rsid w:val="00A524B0"/>
    <w:rsid w:val="00A524B9"/>
    <w:rsid w:val="00A524DB"/>
    <w:rsid w:val="00A52536"/>
    <w:rsid w:val="00A525B9"/>
    <w:rsid w:val="00A52646"/>
    <w:rsid w:val="00A526BD"/>
    <w:rsid w:val="00A526FF"/>
    <w:rsid w:val="00A52842"/>
    <w:rsid w:val="00A52844"/>
    <w:rsid w:val="00A5284D"/>
    <w:rsid w:val="00A52872"/>
    <w:rsid w:val="00A52934"/>
    <w:rsid w:val="00A5294E"/>
    <w:rsid w:val="00A52996"/>
    <w:rsid w:val="00A529A0"/>
    <w:rsid w:val="00A52B0B"/>
    <w:rsid w:val="00A52BEC"/>
    <w:rsid w:val="00A52CDB"/>
    <w:rsid w:val="00A52D04"/>
    <w:rsid w:val="00A52D75"/>
    <w:rsid w:val="00A52D79"/>
    <w:rsid w:val="00A52DAB"/>
    <w:rsid w:val="00A52DAE"/>
    <w:rsid w:val="00A52DBF"/>
    <w:rsid w:val="00A52E94"/>
    <w:rsid w:val="00A52EF0"/>
    <w:rsid w:val="00A52F9D"/>
    <w:rsid w:val="00A53041"/>
    <w:rsid w:val="00A53118"/>
    <w:rsid w:val="00A53143"/>
    <w:rsid w:val="00A53157"/>
    <w:rsid w:val="00A53167"/>
    <w:rsid w:val="00A531A1"/>
    <w:rsid w:val="00A53238"/>
    <w:rsid w:val="00A5325A"/>
    <w:rsid w:val="00A532C8"/>
    <w:rsid w:val="00A532CA"/>
    <w:rsid w:val="00A53315"/>
    <w:rsid w:val="00A5331A"/>
    <w:rsid w:val="00A53341"/>
    <w:rsid w:val="00A53379"/>
    <w:rsid w:val="00A53392"/>
    <w:rsid w:val="00A53396"/>
    <w:rsid w:val="00A533E8"/>
    <w:rsid w:val="00A5345A"/>
    <w:rsid w:val="00A53532"/>
    <w:rsid w:val="00A53632"/>
    <w:rsid w:val="00A5366A"/>
    <w:rsid w:val="00A5366C"/>
    <w:rsid w:val="00A53670"/>
    <w:rsid w:val="00A53675"/>
    <w:rsid w:val="00A5371C"/>
    <w:rsid w:val="00A5377F"/>
    <w:rsid w:val="00A5378C"/>
    <w:rsid w:val="00A537A9"/>
    <w:rsid w:val="00A537F5"/>
    <w:rsid w:val="00A53868"/>
    <w:rsid w:val="00A53872"/>
    <w:rsid w:val="00A538C4"/>
    <w:rsid w:val="00A53935"/>
    <w:rsid w:val="00A539D2"/>
    <w:rsid w:val="00A539ED"/>
    <w:rsid w:val="00A53A0A"/>
    <w:rsid w:val="00A53A2C"/>
    <w:rsid w:val="00A53B49"/>
    <w:rsid w:val="00A53B5C"/>
    <w:rsid w:val="00A53B5F"/>
    <w:rsid w:val="00A53B6C"/>
    <w:rsid w:val="00A53BBE"/>
    <w:rsid w:val="00A53C41"/>
    <w:rsid w:val="00A53C8F"/>
    <w:rsid w:val="00A53C94"/>
    <w:rsid w:val="00A53CBF"/>
    <w:rsid w:val="00A53CD1"/>
    <w:rsid w:val="00A53CE5"/>
    <w:rsid w:val="00A53D36"/>
    <w:rsid w:val="00A53D38"/>
    <w:rsid w:val="00A53D95"/>
    <w:rsid w:val="00A53DE4"/>
    <w:rsid w:val="00A53E2E"/>
    <w:rsid w:val="00A53E34"/>
    <w:rsid w:val="00A53EE8"/>
    <w:rsid w:val="00A53F02"/>
    <w:rsid w:val="00A53F20"/>
    <w:rsid w:val="00A53F54"/>
    <w:rsid w:val="00A54055"/>
    <w:rsid w:val="00A54074"/>
    <w:rsid w:val="00A54098"/>
    <w:rsid w:val="00A540DD"/>
    <w:rsid w:val="00A54194"/>
    <w:rsid w:val="00A54278"/>
    <w:rsid w:val="00A54294"/>
    <w:rsid w:val="00A542F4"/>
    <w:rsid w:val="00A5437F"/>
    <w:rsid w:val="00A543DC"/>
    <w:rsid w:val="00A5440B"/>
    <w:rsid w:val="00A54432"/>
    <w:rsid w:val="00A544A1"/>
    <w:rsid w:val="00A5450E"/>
    <w:rsid w:val="00A54577"/>
    <w:rsid w:val="00A546AA"/>
    <w:rsid w:val="00A546DE"/>
    <w:rsid w:val="00A54748"/>
    <w:rsid w:val="00A54751"/>
    <w:rsid w:val="00A54753"/>
    <w:rsid w:val="00A5476B"/>
    <w:rsid w:val="00A54770"/>
    <w:rsid w:val="00A54818"/>
    <w:rsid w:val="00A54896"/>
    <w:rsid w:val="00A5492B"/>
    <w:rsid w:val="00A54974"/>
    <w:rsid w:val="00A54992"/>
    <w:rsid w:val="00A54ADD"/>
    <w:rsid w:val="00A54AE3"/>
    <w:rsid w:val="00A54AF2"/>
    <w:rsid w:val="00A54BF5"/>
    <w:rsid w:val="00A54C81"/>
    <w:rsid w:val="00A54D7F"/>
    <w:rsid w:val="00A54D9C"/>
    <w:rsid w:val="00A54DC1"/>
    <w:rsid w:val="00A54DDE"/>
    <w:rsid w:val="00A54E61"/>
    <w:rsid w:val="00A54EBA"/>
    <w:rsid w:val="00A54EC8"/>
    <w:rsid w:val="00A54F4B"/>
    <w:rsid w:val="00A54FAD"/>
    <w:rsid w:val="00A55064"/>
    <w:rsid w:val="00A5516D"/>
    <w:rsid w:val="00A5518B"/>
    <w:rsid w:val="00A551D2"/>
    <w:rsid w:val="00A5523E"/>
    <w:rsid w:val="00A5529A"/>
    <w:rsid w:val="00A552CB"/>
    <w:rsid w:val="00A553BB"/>
    <w:rsid w:val="00A554EE"/>
    <w:rsid w:val="00A554FE"/>
    <w:rsid w:val="00A55521"/>
    <w:rsid w:val="00A5553C"/>
    <w:rsid w:val="00A55561"/>
    <w:rsid w:val="00A5558C"/>
    <w:rsid w:val="00A555B2"/>
    <w:rsid w:val="00A555BA"/>
    <w:rsid w:val="00A55615"/>
    <w:rsid w:val="00A5562E"/>
    <w:rsid w:val="00A5567D"/>
    <w:rsid w:val="00A556D8"/>
    <w:rsid w:val="00A55773"/>
    <w:rsid w:val="00A55777"/>
    <w:rsid w:val="00A55785"/>
    <w:rsid w:val="00A55791"/>
    <w:rsid w:val="00A55796"/>
    <w:rsid w:val="00A557AA"/>
    <w:rsid w:val="00A557D3"/>
    <w:rsid w:val="00A5581B"/>
    <w:rsid w:val="00A55842"/>
    <w:rsid w:val="00A558A8"/>
    <w:rsid w:val="00A558AA"/>
    <w:rsid w:val="00A558D1"/>
    <w:rsid w:val="00A55982"/>
    <w:rsid w:val="00A559B0"/>
    <w:rsid w:val="00A559DE"/>
    <w:rsid w:val="00A559E4"/>
    <w:rsid w:val="00A55A4D"/>
    <w:rsid w:val="00A55B1A"/>
    <w:rsid w:val="00A55BAD"/>
    <w:rsid w:val="00A55C53"/>
    <w:rsid w:val="00A55C93"/>
    <w:rsid w:val="00A55C9D"/>
    <w:rsid w:val="00A55CAE"/>
    <w:rsid w:val="00A55CCD"/>
    <w:rsid w:val="00A55D26"/>
    <w:rsid w:val="00A55D62"/>
    <w:rsid w:val="00A55E2A"/>
    <w:rsid w:val="00A55E69"/>
    <w:rsid w:val="00A55ECA"/>
    <w:rsid w:val="00A55FEA"/>
    <w:rsid w:val="00A55FF0"/>
    <w:rsid w:val="00A56060"/>
    <w:rsid w:val="00A5606A"/>
    <w:rsid w:val="00A560AF"/>
    <w:rsid w:val="00A560C2"/>
    <w:rsid w:val="00A56100"/>
    <w:rsid w:val="00A56131"/>
    <w:rsid w:val="00A561AE"/>
    <w:rsid w:val="00A56220"/>
    <w:rsid w:val="00A562AF"/>
    <w:rsid w:val="00A5632F"/>
    <w:rsid w:val="00A5636C"/>
    <w:rsid w:val="00A5637B"/>
    <w:rsid w:val="00A563CC"/>
    <w:rsid w:val="00A56464"/>
    <w:rsid w:val="00A56474"/>
    <w:rsid w:val="00A564BE"/>
    <w:rsid w:val="00A564D9"/>
    <w:rsid w:val="00A56549"/>
    <w:rsid w:val="00A565ED"/>
    <w:rsid w:val="00A56612"/>
    <w:rsid w:val="00A5661C"/>
    <w:rsid w:val="00A56694"/>
    <w:rsid w:val="00A5673A"/>
    <w:rsid w:val="00A56771"/>
    <w:rsid w:val="00A56774"/>
    <w:rsid w:val="00A567D5"/>
    <w:rsid w:val="00A567E1"/>
    <w:rsid w:val="00A567ED"/>
    <w:rsid w:val="00A56851"/>
    <w:rsid w:val="00A56871"/>
    <w:rsid w:val="00A568D5"/>
    <w:rsid w:val="00A568FD"/>
    <w:rsid w:val="00A5696C"/>
    <w:rsid w:val="00A569E0"/>
    <w:rsid w:val="00A56A2F"/>
    <w:rsid w:val="00A56A40"/>
    <w:rsid w:val="00A56A56"/>
    <w:rsid w:val="00A56B15"/>
    <w:rsid w:val="00A56B88"/>
    <w:rsid w:val="00A56BB7"/>
    <w:rsid w:val="00A56BC9"/>
    <w:rsid w:val="00A56C6C"/>
    <w:rsid w:val="00A56C90"/>
    <w:rsid w:val="00A56CA5"/>
    <w:rsid w:val="00A56CD0"/>
    <w:rsid w:val="00A56D32"/>
    <w:rsid w:val="00A56D69"/>
    <w:rsid w:val="00A56D6D"/>
    <w:rsid w:val="00A56DC4"/>
    <w:rsid w:val="00A56ECB"/>
    <w:rsid w:val="00A56ECF"/>
    <w:rsid w:val="00A56EDE"/>
    <w:rsid w:val="00A56FE9"/>
    <w:rsid w:val="00A57019"/>
    <w:rsid w:val="00A570BA"/>
    <w:rsid w:val="00A570CC"/>
    <w:rsid w:val="00A5710A"/>
    <w:rsid w:val="00A57117"/>
    <w:rsid w:val="00A571B3"/>
    <w:rsid w:val="00A571C6"/>
    <w:rsid w:val="00A571FC"/>
    <w:rsid w:val="00A57281"/>
    <w:rsid w:val="00A57357"/>
    <w:rsid w:val="00A5739F"/>
    <w:rsid w:val="00A575A6"/>
    <w:rsid w:val="00A575C5"/>
    <w:rsid w:val="00A575FB"/>
    <w:rsid w:val="00A57659"/>
    <w:rsid w:val="00A576B6"/>
    <w:rsid w:val="00A577AC"/>
    <w:rsid w:val="00A577C8"/>
    <w:rsid w:val="00A57814"/>
    <w:rsid w:val="00A5783C"/>
    <w:rsid w:val="00A57896"/>
    <w:rsid w:val="00A578A6"/>
    <w:rsid w:val="00A578BA"/>
    <w:rsid w:val="00A578F5"/>
    <w:rsid w:val="00A57988"/>
    <w:rsid w:val="00A57A00"/>
    <w:rsid w:val="00A57A9D"/>
    <w:rsid w:val="00A57B27"/>
    <w:rsid w:val="00A57B29"/>
    <w:rsid w:val="00A57B56"/>
    <w:rsid w:val="00A57B6E"/>
    <w:rsid w:val="00A57BD8"/>
    <w:rsid w:val="00A57BF6"/>
    <w:rsid w:val="00A57C57"/>
    <w:rsid w:val="00A57CC9"/>
    <w:rsid w:val="00A57D73"/>
    <w:rsid w:val="00A57E37"/>
    <w:rsid w:val="00A57E98"/>
    <w:rsid w:val="00A57F00"/>
    <w:rsid w:val="00A57F68"/>
    <w:rsid w:val="00A57F8D"/>
    <w:rsid w:val="00A6006E"/>
    <w:rsid w:val="00A60085"/>
    <w:rsid w:val="00A60125"/>
    <w:rsid w:val="00A601D2"/>
    <w:rsid w:val="00A602CC"/>
    <w:rsid w:val="00A602D6"/>
    <w:rsid w:val="00A60351"/>
    <w:rsid w:val="00A60370"/>
    <w:rsid w:val="00A60371"/>
    <w:rsid w:val="00A603A6"/>
    <w:rsid w:val="00A6040A"/>
    <w:rsid w:val="00A6048F"/>
    <w:rsid w:val="00A60497"/>
    <w:rsid w:val="00A604A8"/>
    <w:rsid w:val="00A60504"/>
    <w:rsid w:val="00A60518"/>
    <w:rsid w:val="00A60587"/>
    <w:rsid w:val="00A605D8"/>
    <w:rsid w:val="00A60611"/>
    <w:rsid w:val="00A6062F"/>
    <w:rsid w:val="00A60679"/>
    <w:rsid w:val="00A6067F"/>
    <w:rsid w:val="00A60682"/>
    <w:rsid w:val="00A606B3"/>
    <w:rsid w:val="00A606D2"/>
    <w:rsid w:val="00A6070E"/>
    <w:rsid w:val="00A6071F"/>
    <w:rsid w:val="00A60753"/>
    <w:rsid w:val="00A607D5"/>
    <w:rsid w:val="00A60822"/>
    <w:rsid w:val="00A60875"/>
    <w:rsid w:val="00A6091B"/>
    <w:rsid w:val="00A60970"/>
    <w:rsid w:val="00A609A2"/>
    <w:rsid w:val="00A609F6"/>
    <w:rsid w:val="00A60A12"/>
    <w:rsid w:val="00A60A17"/>
    <w:rsid w:val="00A60A91"/>
    <w:rsid w:val="00A60C77"/>
    <w:rsid w:val="00A60CE1"/>
    <w:rsid w:val="00A60D04"/>
    <w:rsid w:val="00A60D3A"/>
    <w:rsid w:val="00A60D56"/>
    <w:rsid w:val="00A60D75"/>
    <w:rsid w:val="00A60D94"/>
    <w:rsid w:val="00A60DA8"/>
    <w:rsid w:val="00A60E5E"/>
    <w:rsid w:val="00A60F25"/>
    <w:rsid w:val="00A60F45"/>
    <w:rsid w:val="00A61020"/>
    <w:rsid w:val="00A611AF"/>
    <w:rsid w:val="00A611C9"/>
    <w:rsid w:val="00A611E0"/>
    <w:rsid w:val="00A61237"/>
    <w:rsid w:val="00A61246"/>
    <w:rsid w:val="00A612D0"/>
    <w:rsid w:val="00A6132E"/>
    <w:rsid w:val="00A6138F"/>
    <w:rsid w:val="00A613A9"/>
    <w:rsid w:val="00A613C9"/>
    <w:rsid w:val="00A613D2"/>
    <w:rsid w:val="00A613DC"/>
    <w:rsid w:val="00A61436"/>
    <w:rsid w:val="00A6153F"/>
    <w:rsid w:val="00A6156F"/>
    <w:rsid w:val="00A615F2"/>
    <w:rsid w:val="00A61719"/>
    <w:rsid w:val="00A617F0"/>
    <w:rsid w:val="00A6186E"/>
    <w:rsid w:val="00A6189B"/>
    <w:rsid w:val="00A6190F"/>
    <w:rsid w:val="00A61925"/>
    <w:rsid w:val="00A61A31"/>
    <w:rsid w:val="00A61A8F"/>
    <w:rsid w:val="00A61AB3"/>
    <w:rsid w:val="00A61AF8"/>
    <w:rsid w:val="00A61B3A"/>
    <w:rsid w:val="00A61B4F"/>
    <w:rsid w:val="00A61B57"/>
    <w:rsid w:val="00A61BB7"/>
    <w:rsid w:val="00A61BCB"/>
    <w:rsid w:val="00A61C85"/>
    <w:rsid w:val="00A61CC5"/>
    <w:rsid w:val="00A61D14"/>
    <w:rsid w:val="00A61D1D"/>
    <w:rsid w:val="00A61D29"/>
    <w:rsid w:val="00A61D48"/>
    <w:rsid w:val="00A61D4B"/>
    <w:rsid w:val="00A61D5B"/>
    <w:rsid w:val="00A61DC5"/>
    <w:rsid w:val="00A61DCC"/>
    <w:rsid w:val="00A61DED"/>
    <w:rsid w:val="00A61E90"/>
    <w:rsid w:val="00A61EBA"/>
    <w:rsid w:val="00A61EBB"/>
    <w:rsid w:val="00A61EE8"/>
    <w:rsid w:val="00A61F4A"/>
    <w:rsid w:val="00A61F88"/>
    <w:rsid w:val="00A620C8"/>
    <w:rsid w:val="00A620EF"/>
    <w:rsid w:val="00A6222A"/>
    <w:rsid w:val="00A62241"/>
    <w:rsid w:val="00A622A2"/>
    <w:rsid w:val="00A622ED"/>
    <w:rsid w:val="00A62309"/>
    <w:rsid w:val="00A6233E"/>
    <w:rsid w:val="00A62346"/>
    <w:rsid w:val="00A62371"/>
    <w:rsid w:val="00A62380"/>
    <w:rsid w:val="00A62409"/>
    <w:rsid w:val="00A62438"/>
    <w:rsid w:val="00A6246D"/>
    <w:rsid w:val="00A62479"/>
    <w:rsid w:val="00A6249A"/>
    <w:rsid w:val="00A624A6"/>
    <w:rsid w:val="00A624B4"/>
    <w:rsid w:val="00A624ED"/>
    <w:rsid w:val="00A624FF"/>
    <w:rsid w:val="00A625B3"/>
    <w:rsid w:val="00A625E5"/>
    <w:rsid w:val="00A6280D"/>
    <w:rsid w:val="00A6284A"/>
    <w:rsid w:val="00A6285B"/>
    <w:rsid w:val="00A62878"/>
    <w:rsid w:val="00A628C8"/>
    <w:rsid w:val="00A62926"/>
    <w:rsid w:val="00A62944"/>
    <w:rsid w:val="00A62985"/>
    <w:rsid w:val="00A629D3"/>
    <w:rsid w:val="00A62B4C"/>
    <w:rsid w:val="00A62B63"/>
    <w:rsid w:val="00A62B70"/>
    <w:rsid w:val="00A62B8F"/>
    <w:rsid w:val="00A62C1C"/>
    <w:rsid w:val="00A62C34"/>
    <w:rsid w:val="00A62CB7"/>
    <w:rsid w:val="00A62CDA"/>
    <w:rsid w:val="00A62CE2"/>
    <w:rsid w:val="00A62D49"/>
    <w:rsid w:val="00A62DA4"/>
    <w:rsid w:val="00A62DA6"/>
    <w:rsid w:val="00A62E3D"/>
    <w:rsid w:val="00A62E42"/>
    <w:rsid w:val="00A62F1B"/>
    <w:rsid w:val="00A62F25"/>
    <w:rsid w:val="00A62FF6"/>
    <w:rsid w:val="00A63002"/>
    <w:rsid w:val="00A630A6"/>
    <w:rsid w:val="00A630B7"/>
    <w:rsid w:val="00A631B8"/>
    <w:rsid w:val="00A631EE"/>
    <w:rsid w:val="00A63202"/>
    <w:rsid w:val="00A6320D"/>
    <w:rsid w:val="00A63247"/>
    <w:rsid w:val="00A632B1"/>
    <w:rsid w:val="00A632C1"/>
    <w:rsid w:val="00A63343"/>
    <w:rsid w:val="00A63406"/>
    <w:rsid w:val="00A63415"/>
    <w:rsid w:val="00A6349A"/>
    <w:rsid w:val="00A63665"/>
    <w:rsid w:val="00A6369D"/>
    <w:rsid w:val="00A636F0"/>
    <w:rsid w:val="00A63732"/>
    <w:rsid w:val="00A63753"/>
    <w:rsid w:val="00A63794"/>
    <w:rsid w:val="00A637BF"/>
    <w:rsid w:val="00A63A93"/>
    <w:rsid w:val="00A63BAF"/>
    <w:rsid w:val="00A63BE1"/>
    <w:rsid w:val="00A63BF2"/>
    <w:rsid w:val="00A63C2A"/>
    <w:rsid w:val="00A63C6D"/>
    <w:rsid w:val="00A63C7E"/>
    <w:rsid w:val="00A63CF4"/>
    <w:rsid w:val="00A63D1A"/>
    <w:rsid w:val="00A63D1C"/>
    <w:rsid w:val="00A63D2F"/>
    <w:rsid w:val="00A63D6A"/>
    <w:rsid w:val="00A63DEF"/>
    <w:rsid w:val="00A63DF2"/>
    <w:rsid w:val="00A63E71"/>
    <w:rsid w:val="00A63E9C"/>
    <w:rsid w:val="00A63F48"/>
    <w:rsid w:val="00A640D6"/>
    <w:rsid w:val="00A6415B"/>
    <w:rsid w:val="00A6418C"/>
    <w:rsid w:val="00A641BD"/>
    <w:rsid w:val="00A641F6"/>
    <w:rsid w:val="00A6425B"/>
    <w:rsid w:val="00A64273"/>
    <w:rsid w:val="00A64394"/>
    <w:rsid w:val="00A64399"/>
    <w:rsid w:val="00A64432"/>
    <w:rsid w:val="00A64438"/>
    <w:rsid w:val="00A6445E"/>
    <w:rsid w:val="00A6447A"/>
    <w:rsid w:val="00A644CD"/>
    <w:rsid w:val="00A645BE"/>
    <w:rsid w:val="00A646A3"/>
    <w:rsid w:val="00A646E1"/>
    <w:rsid w:val="00A647BA"/>
    <w:rsid w:val="00A647F4"/>
    <w:rsid w:val="00A64840"/>
    <w:rsid w:val="00A64897"/>
    <w:rsid w:val="00A648A1"/>
    <w:rsid w:val="00A648B3"/>
    <w:rsid w:val="00A64982"/>
    <w:rsid w:val="00A64A58"/>
    <w:rsid w:val="00A64A71"/>
    <w:rsid w:val="00A64A87"/>
    <w:rsid w:val="00A64ACE"/>
    <w:rsid w:val="00A64B16"/>
    <w:rsid w:val="00A64B41"/>
    <w:rsid w:val="00A64B79"/>
    <w:rsid w:val="00A64B81"/>
    <w:rsid w:val="00A64BA9"/>
    <w:rsid w:val="00A64BE6"/>
    <w:rsid w:val="00A64C55"/>
    <w:rsid w:val="00A64CB9"/>
    <w:rsid w:val="00A64CD6"/>
    <w:rsid w:val="00A64D3D"/>
    <w:rsid w:val="00A64D61"/>
    <w:rsid w:val="00A64D9E"/>
    <w:rsid w:val="00A64F32"/>
    <w:rsid w:val="00A64F76"/>
    <w:rsid w:val="00A64FB0"/>
    <w:rsid w:val="00A64FE6"/>
    <w:rsid w:val="00A65085"/>
    <w:rsid w:val="00A650C0"/>
    <w:rsid w:val="00A650C9"/>
    <w:rsid w:val="00A650F2"/>
    <w:rsid w:val="00A6518D"/>
    <w:rsid w:val="00A651A8"/>
    <w:rsid w:val="00A651EA"/>
    <w:rsid w:val="00A65239"/>
    <w:rsid w:val="00A65253"/>
    <w:rsid w:val="00A652B8"/>
    <w:rsid w:val="00A652CB"/>
    <w:rsid w:val="00A65337"/>
    <w:rsid w:val="00A653FB"/>
    <w:rsid w:val="00A655BF"/>
    <w:rsid w:val="00A65671"/>
    <w:rsid w:val="00A656C0"/>
    <w:rsid w:val="00A656CB"/>
    <w:rsid w:val="00A656D0"/>
    <w:rsid w:val="00A65717"/>
    <w:rsid w:val="00A65721"/>
    <w:rsid w:val="00A6572E"/>
    <w:rsid w:val="00A657CB"/>
    <w:rsid w:val="00A657DD"/>
    <w:rsid w:val="00A65820"/>
    <w:rsid w:val="00A65873"/>
    <w:rsid w:val="00A65883"/>
    <w:rsid w:val="00A658FB"/>
    <w:rsid w:val="00A6590D"/>
    <w:rsid w:val="00A65B03"/>
    <w:rsid w:val="00A65C59"/>
    <w:rsid w:val="00A65C60"/>
    <w:rsid w:val="00A65C73"/>
    <w:rsid w:val="00A65C93"/>
    <w:rsid w:val="00A65C99"/>
    <w:rsid w:val="00A65CFE"/>
    <w:rsid w:val="00A65D01"/>
    <w:rsid w:val="00A65D66"/>
    <w:rsid w:val="00A65D67"/>
    <w:rsid w:val="00A65D8F"/>
    <w:rsid w:val="00A65D99"/>
    <w:rsid w:val="00A65E2D"/>
    <w:rsid w:val="00A65EEE"/>
    <w:rsid w:val="00A6600A"/>
    <w:rsid w:val="00A66030"/>
    <w:rsid w:val="00A66076"/>
    <w:rsid w:val="00A660CD"/>
    <w:rsid w:val="00A660E2"/>
    <w:rsid w:val="00A66118"/>
    <w:rsid w:val="00A6617B"/>
    <w:rsid w:val="00A661A2"/>
    <w:rsid w:val="00A661B4"/>
    <w:rsid w:val="00A662AF"/>
    <w:rsid w:val="00A662C2"/>
    <w:rsid w:val="00A662E4"/>
    <w:rsid w:val="00A66307"/>
    <w:rsid w:val="00A6634B"/>
    <w:rsid w:val="00A6634C"/>
    <w:rsid w:val="00A66431"/>
    <w:rsid w:val="00A66570"/>
    <w:rsid w:val="00A665C1"/>
    <w:rsid w:val="00A665DC"/>
    <w:rsid w:val="00A666B2"/>
    <w:rsid w:val="00A66782"/>
    <w:rsid w:val="00A6681D"/>
    <w:rsid w:val="00A6682E"/>
    <w:rsid w:val="00A66849"/>
    <w:rsid w:val="00A66947"/>
    <w:rsid w:val="00A66990"/>
    <w:rsid w:val="00A669CB"/>
    <w:rsid w:val="00A66AD8"/>
    <w:rsid w:val="00A66ADA"/>
    <w:rsid w:val="00A66BDA"/>
    <w:rsid w:val="00A66C42"/>
    <w:rsid w:val="00A66C50"/>
    <w:rsid w:val="00A66C60"/>
    <w:rsid w:val="00A66D21"/>
    <w:rsid w:val="00A66D72"/>
    <w:rsid w:val="00A66DAF"/>
    <w:rsid w:val="00A66DF8"/>
    <w:rsid w:val="00A66E09"/>
    <w:rsid w:val="00A66E36"/>
    <w:rsid w:val="00A66E71"/>
    <w:rsid w:val="00A66EA5"/>
    <w:rsid w:val="00A66F5C"/>
    <w:rsid w:val="00A670ED"/>
    <w:rsid w:val="00A671E6"/>
    <w:rsid w:val="00A672E1"/>
    <w:rsid w:val="00A67332"/>
    <w:rsid w:val="00A6733A"/>
    <w:rsid w:val="00A673AD"/>
    <w:rsid w:val="00A673DB"/>
    <w:rsid w:val="00A67442"/>
    <w:rsid w:val="00A6744D"/>
    <w:rsid w:val="00A674C3"/>
    <w:rsid w:val="00A674F0"/>
    <w:rsid w:val="00A67529"/>
    <w:rsid w:val="00A675F1"/>
    <w:rsid w:val="00A675FC"/>
    <w:rsid w:val="00A67624"/>
    <w:rsid w:val="00A67629"/>
    <w:rsid w:val="00A6762F"/>
    <w:rsid w:val="00A6764F"/>
    <w:rsid w:val="00A6769D"/>
    <w:rsid w:val="00A676FC"/>
    <w:rsid w:val="00A677A4"/>
    <w:rsid w:val="00A677BD"/>
    <w:rsid w:val="00A677E4"/>
    <w:rsid w:val="00A677FA"/>
    <w:rsid w:val="00A6788A"/>
    <w:rsid w:val="00A6791C"/>
    <w:rsid w:val="00A6794A"/>
    <w:rsid w:val="00A67967"/>
    <w:rsid w:val="00A679CE"/>
    <w:rsid w:val="00A67A82"/>
    <w:rsid w:val="00A67AAD"/>
    <w:rsid w:val="00A67AAE"/>
    <w:rsid w:val="00A67AC7"/>
    <w:rsid w:val="00A67AFF"/>
    <w:rsid w:val="00A67BFF"/>
    <w:rsid w:val="00A67D05"/>
    <w:rsid w:val="00A67D5D"/>
    <w:rsid w:val="00A67DF6"/>
    <w:rsid w:val="00A67F01"/>
    <w:rsid w:val="00A67F9C"/>
    <w:rsid w:val="00A67FAC"/>
    <w:rsid w:val="00A70057"/>
    <w:rsid w:val="00A7006E"/>
    <w:rsid w:val="00A700BF"/>
    <w:rsid w:val="00A700FB"/>
    <w:rsid w:val="00A7010C"/>
    <w:rsid w:val="00A70117"/>
    <w:rsid w:val="00A70120"/>
    <w:rsid w:val="00A70140"/>
    <w:rsid w:val="00A7015D"/>
    <w:rsid w:val="00A701AC"/>
    <w:rsid w:val="00A701AD"/>
    <w:rsid w:val="00A702AE"/>
    <w:rsid w:val="00A702F2"/>
    <w:rsid w:val="00A70303"/>
    <w:rsid w:val="00A7031D"/>
    <w:rsid w:val="00A7032C"/>
    <w:rsid w:val="00A7032E"/>
    <w:rsid w:val="00A7033A"/>
    <w:rsid w:val="00A7038B"/>
    <w:rsid w:val="00A703E8"/>
    <w:rsid w:val="00A703EC"/>
    <w:rsid w:val="00A7044D"/>
    <w:rsid w:val="00A7045F"/>
    <w:rsid w:val="00A7049E"/>
    <w:rsid w:val="00A704CB"/>
    <w:rsid w:val="00A70547"/>
    <w:rsid w:val="00A70593"/>
    <w:rsid w:val="00A70599"/>
    <w:rsid w:val="00A705A8"/>
    <w:rsid w:val="00A705FB"/>
    <w:rsid w:val="00A70613"/>
    <w:rsid w:val="00A7065E"/>
    <w:rsid w:val="00A70681"/>
    <w:rsid w:val="00A7068C"/>
    <w:rsid w:val="00A706C1"/>
    <w:rsid w:val="00A706CA"/>
    <w:rsid w:val="00A70732"/>
    <w:rsid w:val="00A7074C"/>
    <w:rsid w:val="00A7075A"/>
    <w:rsid w:val="00A7076C"/>
    <w:rsid w:val="00A7079E"/>
    <w:rsid w:val="00A707B4"/>
    <w:rsid w:val="00A707E2"/>
    <w:rsid w:val="00A707F1"/>
    <w:rsid w:val="00A70839"/>
    <w:rsid w:val="00A7084B"/>
    <w:rsid w:val="00A7086B"/>
    <w:rsid w:val="00A7087C"/>
    <w:rsid w:val="00A708CB"/>
    <w:rsid w:val="00A7091B"/>
    <w:rsid w:val="00A7094C"/>
    <w:rsid w:val="00A709DB"/>
    <w:rsid w:val="00A70A3C"/>
    <w:rsid w:val="00A70B40"/>
    <w:rsid w:val="00A70C7A"/>
    <w:rsid w:val="00A70CD0"/>
    <w:rsid w:val="00A70D2A"/>
    <w:rsid w:val="00A70D61"/>
    <w:rsid w:val="00A70D94"/>
    <w:rsid w:val="00A70DFF"/>
    <w:rsid w:val="00A70E03"/>
    <w:rsid w:val="00A70E04"/>
    <w:rsid w:val="00A70E3C"/>
    <w:rsid w:val="00A70EA0"/>
    <w:rsid w:val="00A7102A"/>
    <w:rsid w:val="00A7104B"/>
    <w:rsid w:val="00A7108A"/>
    <w:rsid w:val="00A710A5"/>
    <w:rsid w:val="00A7111E"/>
    <w:rsid w:val="00A711C1"/>
    <w:rsid w:val="00A712AA"/>
    <w:rsid w:val="00A71477"/>
    <w:rsid w:val="00A71493"/>
    <w:rsid w:val="00A714A8"/>
    <w:rsid w:val="00A714AF"/>
    <w:rsid w:val="00A714DA"/>
    <w:rsid w:val="00A7153E"/>
    <w:rsid w:val="00A715A9"/>
    <w:rsid w:val="00A71677"/>
    <w:rsid w:val="00A716AC"/>
    <w:rsid w:val="00A716CC"/>
    <w:rsid w:val="00A716F3"/>
    <w:rsid w:val="00A716F4"/>
    <w:rsid w:val="00A71764"/>
    <w:rsid w:val="00A7177F"/>
    <w:rsid w:val="00A717A5"/>
    <w:rsid w:val="00A71826"/>
    <w:rsid w:val="00A7182F"/>
    <w:rsid w:val="00A71861"/>
    <w:rsid w:val="00A71941"/>
    <w:rsid w:val="00A71991"/>
    <w:rsid w:val="00A71A1C"/>
    <w:rsid w:val="00A71AAC"/>
    <w:rsid w:val="00A71AFB"/>
    <w:rsid w:val="00A71B33"/>
    <w:rsid w:val="00A71B7F"/>
    <w:rsid w:val="00A71BDA"/>
    <w:rsid w:val="00A71C31"/>
    <w:rsid w:val="00A71C68"/>
    <w:rsid w:val="00A71CD7"/>
    <w:rsid w:val="00A71DE2"/>
    <w:rsid w:val="00A71EAD"/>
    <w:rsid w:val="00A71F16"/>
    <w:rsid w:val="00A71F5E"/>
    <w:rsid w:val="00A7202D"/>
    <w:rsid w:val="00A72092"/>
    <w:rsid w:val="00A720B3"/>
    <w:rsid w:val="00A720DF"/>
    <w:rsid w:val="00A72131"/>
    <w:rsid w:val="00A721B7"/>
    <w:rsid w:val="00A72203"/>
    <w:rsid w:val="00A72245"/>
    <w:rsid w:val="00A7224D"/>
    <w:rsid w:val="00A72251"/>
    <w:rsid w:val="00A72256"/>
    <w:rsid w:val="00A72278"/>
    <w:rsid w:val="00A722AE"/>
    <w:rsid w:val="00A72318"/>
    <w:rsid w:val="00A72324"/>
    <w:rsid w:val="00A72327"/>
    <w:rsid w:val="00A72384"/>
    <w:rsid w:val="00A72432"/>
    <w:rsid w:val="00A72455"/>
    <w:rsid w:val="00A724B5"/>
    <w:rsid w:val="00A724BA"/>
    <w:rsid w:val="00A724D3"/>
    <w:rsid w:val="00A724EB"/>
    <w:rsid w:val="00A7253A"/>
    <w:rsid w:val="00A72586"/>
    <w:rsid w:val="00A725A7"/>
    <w:rsid w:val="00A725C9"/>
    <w:rsid w:val="00A725E4"/>
    <w:rsid w:val="00A726DF"/>
    <w:rsid w:val="00A727F1"/>
    <w:rsid w:val="00A7283D"/>
    <w:rsid w:val="00A7287B"/>
    <w:rsid w:val="00A728C6"/>
    <w:rsid w:val="00A728F4"/>
    <w:rsid w:val="00A72944"/>
    <w:rsid w:val="00A72982"/>
    <w:rsid w:val="00A7298F"/>
    <w:rsid w:val="00A729FB"/>
    <w:rsid w:val="00A72AAD"/>
    <w:rsid w:val="00A72AF8"/>
    <w:rsid w:val="00A72B38"/>
    <w:rsid w:val="00A72B6A"/>
    <w:rsid w:val="00A72C93"/>
    <w:rsid w:val="00A72CD7"/>
    <w:rsid w:val="00A72CE1"/>
    <w:rsid w:val="00A72D0C"/>
    <w:rsid w:val="00A72D4D"/>
    <w:rsid w:val="00A72D65"/>
    <w:rsid w:val="00A72D73"/>
    <w:rsid w:val="00A72E1D"/>
    <w:rsid w:val="00A72E38"/>
    <w:rsid w:val="00A72ED3"/>
    <w:rsid w:val="00A72EEA"/>
    <w:rsid w:val="00A72F75"/>
    <w:rsid w:val="00A72FDD"/>
    <w:rsid w:val="00A73096"/>
    <w:rsid w:val="00A730CB"/>
    <w:rsid w:val="00A7310B"/>
    <w:rsid w:val="00A7313D"/>
    <w:rsid w:val="00A73198"/>
    <w:rsid w:val="00A73248"/>
    <w:rsid w:val="00A73272"/>
    <w:rsid w:val="00A73289"/>
    <w:rsid w:val="00A7329F"/>
    <w:rsid w:val="00A732B6"/>
    <w:rsid w:val="00A732BD"/>
    <w:rsid w:val="00A73383"/>
    <w:rsid w:val="00A733D3"/>
    <w:rsid w:val="00A73439"/>
    <w:rsid w:val="00A7345F"/>
    <w:rsid w:val="00A73470"/>
    <w:rsid w:val="00A734F2"/>
    <w:rsid w:val="00A7356E"/>
    <w:rsid w:val="00A735FF"/>
    <w:rsid w:val="00A7368A"/>
    <w:rsid w:val="00A7370F"/>
    <w:rsid w:val="00A737E0"/>
    <w:rsid w:val="00A737E7"/>
    <w:rsid w:val="00A737F8"/>
    <w:rsid w:val="00A73857"/>
    <w:rsid w:val="00A738B2"/>
    <w:rsid w:val="00A738C8"/>
    <w:rsid w:val="00A738F7"/>
    <w:rsid w:val="00A73944"/>
    <w:rsid w:val="00A73952"/>
    <w:rsid w:val="00A73963"/>
    <w:rsid w:val="00A739A9"/>
    <w:rsid w:val="00A739C7"/>
    <w:rsid w:val="00A73A13"/>
    <w:rsid w:val="00A73ACC"/>
    <w:rsid w:val="00A73AD9"/>
    <w:rsid w:val="00A73BCD"/>
    <w:rsid w:val="00A73DD6"/>
    <w:rsid w:val="00A73DF3"/>
    <w:rsid w:val="00A73E0D"/>
    <w:rsid w:val="00A73E1E"/>
    <w:rsid w:val="00A73E21"/>
    <w:rsid w:val="00A73E25"/>
    <w:rsid w:val="00A73E2C"/>
    <w:rsid w:val="00A73E58"/>
    <w:rsid w:val="00A73EE2"/>
    <w:rsid w:val="00A73EFD"/>
    <w:rsid w:val="00A73F49"/>
    <w:rsid w:val="00A73F8E"/>
    <w:rsid w:val="00A74059"/>
    <w:rsid w:val="00A740D2"/>
    <w:rsid w:val="00A740FF"/>
    <w:rsid w:val="00A74187"/>
    <w:rsid w:val="00A741DE"/>
    <w:rsid w:val="00A7439D"/>
    <w:rsid w:val="00A743A1"/>
    <w:rsid w:val="00A743BC"/>
    <w:rsid w:val="00A743BE"/>
    <w:rsid w:val="00A743CF"/>
    <w:rsid w:val="00A743E3"/>
    <w:rsid w:val="00A74427"/>
    <w:rsid w:val="00A744CE"/>
    <w:rsid w:val="00A744FC"/>
    <w:rsid w:val="00A7464E"/>
    <w:rsid w:val="00A7468D"/>
    <w:rsid w:val="00A7470A"/>
    <w:rsid w:val="00A74729"/>
    <w:rsid w:val="00A7474E"/>
    <w:rsid w:val="00A747DF"/>
    <w:rsid w:val="00A7487D"/>
    <w:rsid w:val="00A748D7"/>
    <w:rsid w:val="00A749F8"/>
    <w:rsid w:val="00A74B39"/>
    <w:rsid w:val="00A74B9B"/>
    <w:rsid w:val="00A74BF3"/>
    <w:rsid w:val="00A74C23"/>
    <w:rsid w:val="00A74D11"/>
    <w:rsid w:val="00A74DB5"/>
    <w:rsid w:val="00A74DFF"/>
    <w:rsid w:val="00A74F09"/>
    <w:rsid w:val="00A74F83"/>
    <w:rsid w:val="00A75004"/>
    <w:rsid w:val="00A75025"/>
    <w:rsid w:val="00A7502A"/>
    <w:rsid w:val="00A75031"/>
    <w:rsid w:val="00A75045"/>
    <w:rsid w:val="00A75051"/>
    <w:rsid w:val="00A750E0"/>
    <w:rsid w:val="00A75267"/>
    <w:rsid w:val="00A7526B"/>
    <w:rsid w:val="00A75272"/>
    <w:rsid w:val="00A75294"/>
    <w:rsid w:val="00A752D1"/>
    <w:rsid w:val="00A75398"/>
    <w:rsid w:val="00A75404"/>
    <w:rsid w:val="00A7541E"/>
    <w:rsid w:val="00A754C9"/>
    <w:rsid w:val="00A75579"/>
    <w:rsid w:val="00A755F9"/>
    <w:rsid w:val="00A75657"/>
    <w:rsid w:val="00A75685"/>
    <w:rsid w:val="00A756AC"/>
    <w:rsid w:val="00A756CD"/>
    <w:rsid w:val="00A7570A"/>
    <w:rsid w:val="00A757B3"/>
    <w:rsid w:val="00A757D2"/>
    <w:rsid w:val="00A7586F"/>
    <w:rsid w:val="00A7587A"/>
    <w:rsid w:val="00A7588B"/>
    <w:rsid w:val="00A758F1"/>
    <w:rsid w:val="00A7591B"/>
    <w:rsid w:val="00A759B8"/>
    <w:rsid w:val="00A759D1"/>
    <w:rsid w:val="00A75A13"/>
    <w:rsid w:val="00A75A60"/>
    <w:rsid w:val="00A75AF0"/>
    <w:rsid w:val="00A75B5B"/>
    <w:rsid w:val="00A75B82"/>
    <w:rsid w:val="00A75BD6"/>
    <w:rsid w:val="00A75BE5"/>
    <w:rsid w:val="00A75C8C"/>
    <w:rsid w:val="00A75D44"/>
    <w:rsid w:val="00A75D54"/>
    <w:rsid w:val="00A75D58"/>
    <w:rsid w:val="00A75D5A"/>
    <w:rsid w:val="00A75D80"/>
    <w:rsid w:val="00A75D92"/>
    <w:rsid w:val="00A75E5D"/>
    <w:rsid w:val="00A75F38"/>
    <w:rsid w:val="00A7602B"/>
    <w:rsid w:val="00A760B6"/>
    <w:rsid w:val="00A7612C"/>
    <w:rsid w:val="00A7616E"/>
    <w:rsid w:val="00A76173"/>
    <w:rsid w:val="00A76176"/>
    <w:rsid w:val="00A76187"/>
    <w:rsid w:val="00A761CB"/>
    <w:rsid w:val="00A7622D"/>
    <w:rsid w:val="00A762A0"/>
    <w:rsid w:val="00A762B3"/>
    <w:rsid w:val="00A762C3"/>
    <w:rsid w:val="00A7653B"/>
    <w:rsid w:val="00A7658C"/>
    <w:rsid w:val="00A765B5"/>
    <w:rsid w:val="00A765DE"/>
    <w:rsid w:val="00A76669"/>
    <w:rsid w:val="00A766CF"/>
    <w:rsid w:val="00A76720"/>
    <w:rsid w:val="00A76730"/>
    <w:rsid w:val="00A76765"/>
    <w:rsid w:val="00A76883"/>
    <w:rsid w:val="00A768F6"/>
    <w:rsid w:val="00A76920"/>
    <w:rsid w:val="00A76986"/>
    <w:rsid w:val="00A76A07"/>
    <w:rsid w:val="00A76A9D"/>
    <w:rsid w:val="00A76AD8"/>
    <w:rsid w:val="00A76B11"/>
    <w:rsid w:val="00A76B9C"/>
    <w:rsid w:val="00A76C62"/>
    <w:rsid w:val="00A76CBC"/>
    <w:rsid w:val="00A76CE7"/>
    <w:rsid w:val="00A76CED"/>
    <w:rsid w:val="00A76CFE"/>
    <w:rsid w:val="00A76D77"/>
    <w:rsid w:val="00A76E47"/>
    <w:rsid w:val="00A76E56"/>
    <w:rsid w:val="00A76EA1"/>
    <w:rsid w:val="00A76ED0"/>
    <w:rsid w:val="00A76EFD"/>
    <w:rsid w:val="00A76F3A"/>
    <w:rsid w:val="00A76F8D"/>
    <w:rsid w:val="00A76FA2"/>
    <w:rsid w:val="00A76FB5"/>
    <w:rsid w:val="00A76FE1"/>
    <w:rsid w:val="00A77008"/>
    <w:rsid w:val="00A7701F"/>
    <w:rsid w:val="00A77044"/>
    <w:rsid w:val="00A7705E"/>
    <w:rsid w:val="00A7708F"/>
    <w:rsid w:val="00A770C0"/>
    <w:rsid w:val="00A770CA"/>
    <w:rsid w:val="00A770F7"/>
    <w:rsid w:val="00A770FE"/>
    <w:rsid w:val="00A77194"/>
    <w:rsid w:val="00A77195"/>
    <w:rsid w:val="00A771AE"/>
    <w:rsid w:val="00A771B6"/>
    <w:rsid w:val="00A7726A"/>
    <w:rsid w:val="00A77277"/>
    <w:rsid w:val="00A77280"/>
    <w:rsid w:val="00A773C7"/>
    <w:rsid w:val="00A773FE"/>
    <w:rsid w:val="00A7748E"/>
    <w:rsid w:val="00A774DC"/>
    <w:rsid w:val="00A7750A"/>
    <w:rsid w:val="00A7751C"/>
    <w:rsid w:val="00A775E5"/>
    <w:rsid w:val="00A77677"/>
    <w:rsid w:val="00A77702"/>
    <w:rsid w:val="00A7772C"/>
    <w:rsid w:val="00A77778"/>
    <w:rsid w:val="00A77787"/>
    <w:rsid w:val="00A778E9"/>
    <w:rsid w:val="00A7792B"/>
    <w:rsid w:val="00A77969"/>
    <w:rsid w:val="00A77982"/>
    <w:rsid w:val="00A779A0"/>
    <w:rsid w:val="00A77B03"/>
    <w:rsid w:val="00A77B18"/>
    <w:rsid w:val="00A77B3C"/>
    <w:rsid w:val="00A77B43"/>
    <w:rsid w:val="00A77B55"/>
    <w:rsid w:val="00A77B88"/>
    <w:rsid w:val="00A77BA9"/>
    <w:rsid w:val="00A77C24"/>
    <w:rsid w:val="00A77C6C"/>
    <w:rsid w:val="00A77C7E"/>
    <w:rsid w:val="00A77C9E"/>
    <w:rsid w:val="00A77D2D"/>
    <w:rsid w:val="00A77D6E"/>
    <w:rsid w:val="00A77DBD"/>
    <w:rsid w:val="00A77DDE"/>
    <w:rsid w:val="00A77E10"/>
    <w:rsid w:val="00A77E1C"/>
    <w:rsid w:val="00A77E38"/>
    <w:rsid w:val="00A77E41"/>
    <w:rsid w:val="00A77E6F"/>
    <w:rsid w:val="00A77FBE"/>
    <w:rsid w:val="00A80018"/>
    <w:rsid w:val="00A80020"/>
    <w:rsid w:val="00A8003C"/>
    <w:rsid w:val="00A80051"/>
    <w:rsid w:val="00A80076"/>
    <w:rsid w:val="00A800E3"/>
    <w:rsid w:val="00A800ED"/>
    <w:rsid w:val="00A800F8"/>
    <w:rsid w:val="00A80111"/>
    <w:rsid w:val="00A801A9"/>
    <w:rsid w:val="00A801C4"/>
    <w:rsid w:val="00A801D6"/>
    <w:rsid w:val="00A801E4"/>
    <w:rsid w:val="00A80332"/>
    <w:rsid w:val="00A80367"/>
    <w:rsid w:val="00A80440"/>
    <w:rsid w:val="00A80466"/>
    <w:rsid w:val="00A804A2"/>
    <w:rsid w:val="00A804CB"/>
    <w:rsid w:val="00A80503"/>
    <w:rsid w:val="00A80520"/>
    <w:rsid w:val="00A80588"/>
    <w:rsid w:val="00A805AE"/>
    <w:rsid w:val="00A805EA"/>
    <w:rsid w:val="00A8062E"/>
    <w:rsid w:val="00A8063A"/>
    <w:rsid w:val="00A80693"/>
    <w:rsid w:val="00A806D1"/>
    <w:rsid w:val="00A807E6"/>
    <w:rsid w:val="00A80854"/>
    <w:rsid w:val="00A8086A"/>
    <w:rsid w:val="00A80888"/>
    <w:rsid w:val="00A808BC"/>
    <w:rsid w:val="00A8091F"/>
    <w:rsid w:val="00A80928"/>
    <w:rsid w:val="00A8092F"/>
    <w:rsid w:val="00A8098F"/>
    <w:rsid w:val="00A80992"/>
    <w:rsid w:val="00A809EE"/>
    <w:rsid w:val="00A80A09"/>
    <w:rsid w:val="00A80A1E"/>
    <w:rsid w:val="00A80A9C"/>
    <w:rsid w:val="00A80ADE"/>
    <w:rsid w:val="00A80BD5"/>
    <w:rsid w:val="00A80BF5"/>
    <w:rsid w:val="00A80C32"/>
    <w:rsid w:val="00A80C79"/>
    <w:rsid w:val="00A80CA3"/>
    <w:rsid w:val="00A80D14"/>
    <w:rsid w:val="00A80D15"/>
    <w:rsid w:val="00A80D2B"/>
    <w:rsid w:val="00A80D37"/>
    <w:rsid w:val="00A80D7F"/>
    <w:rsid w:val="00A80D9A"/>
    <w:rsid w:val="00A80DB0"/>
    <w:rsid w:val="00A80DE5"/>
    <w:rsid w:val="00A80DF0"/>
    <w:rsid w:val="00A80E09"/>
    <w:rsid w:val="00A80E19"/>
    <w:rsid w:val="00A80E75"/>
    <w:rsid w:val="00A80F80"/>
    <w:rsid w:val="00A80FE6"/>
    <w:rsid w:val="00A8106A"/>
    <w:rsid w:val="00A81190"/>
    <w:rsid w:val="00A81229"/>
    <w:rsid w:val="00A8124C"/>
    <w:rsid w:val="00A81280"/>
    <w:rsid w:val="00A812B5"/>
    <w:rsid w:val="00A812C6"/>
    <w:rsid w:val="00A812C9"/>
    <w:rsid w:val="00A81309"/>
    <w:rsid w:val="00A81368"/>
    <w:rsid w:val="00A81397"/>
    <w:rsid w:val="00A8139C"/>
    <w:rsid w:val="00A813C4"/>
    <w:rsid w:val="00A813F2"/>
    <w:rsid w:val="00A813F3"/>
    <w:rsid w:val="00A8140E"/>
    <w:rsid w:val="00A81438"/>
    <w:rsid w:val="00A81469"/>
    <w:rsid w:val="00A8146B"/>
    <w:rsid w:val="00A814A1"/>
    <w:rsid w:val="00A814EC"/>
    <w:rsid w:val="00A81566"/>
    <w:rsid w:val="00A81578"/>
    <w:rsid w:val="00A815CC"/>
    <w:rsid w:val="00A815D4"/>
    <w:rsid w:val="00A815E6"/>
    <w:rsid w:val="00A815FC"/>
    <w:rsid w:val="00A816EC"/>
    <w:rsid w:val="00A81770"/>
    <w:rsid w:val="00A8177C"/>
    <w:rsid w:val="00A81784"/>
    <w:rsid w:val="00A81824"/>
    <w:rsid w:val="00A81826"/>
    <w:rsid w:val="00A8184C"/>
    <w:rsid w:val="00A818AD"/>
    <w:rsid w:val="00A8194A"/>
    <w:rsid w:val="00A81993"/>
    <w:rsid w:val="00A819CF"/>
    <w:rsid w:val="00A81A53"/>
    <w:rsid w:val="00A81AD5"/>
    <w:rsid w:val="00A81AEA"/>
    <w:rsid w:val="00A81B1C"/>
    <w:rsid w:val="00A81BF9"/>
    <w:rsid w:val="00A81C35"/>
    <w:rsid w:val="00A81C97"/>
    <w:rsid w:val="00A81CC8"/>
    <w:rsid w:val="00A81D2D"/>
    <w:rsid w:val="00A81D37"/>
    <w:rsid w:val="00A81D6A"/>
    <w:rsid w:val="00A81E60"/>
    <w:rsid w:val="00A81E9E"/>
    <w:rsid w:val="00A81EC2"/>
    <w:rsid w:val="00A81FC6"/>
    <w:rsid w:val="00A82162"/>
    <w:rsid w:val="00A821A6"/>
    <w:rsid w:val="00A8225E"/>
    <w:rsid w:val="00A82293"/>
    <w:rsid w:val="00A822E1"/>
    <w:rsid w:val="00A822F9"/>
    <w:rsid w:val="00A82308"/>
    <w:rsid w:val="00A82377"/>
    <w:rsid w:val="00A823D7"/>
    <w:rsid w:val="00A8240B"/>
    <w:rsid w:val="00A82422"/>
    <w:rsid w:val="00A82434"/>
    <w:rsid w:val="00A824F4"/>
    <w:rsid w:val="00A82609"/>
    <w:rsid w:val="00A8261C"/>
    <w:rsid w:val="00A82636"/>
    <w:rsid w:val="00A82665"/>
    <w:rsid w:val="00A826A9"/>
    <w:rsid w:val="00A82717"/>
    <w:rsid w:val="00A827A6"/>
    <w:rsid w:val="00A8286A"/>
    <w:rsid w:val="00A82879"/>
    <w:rsid w:val="00A828DE"/>
    <w:rsid w:val="00A828F0"/>
    <w:rsid w:val="00A828F5"/>
    <w:rsid w:val="00A8290A"/>
    <w:rsid w:val="00A82928"/>
    <w:rsid w:val="00A8299A"/>
    <w:rsid w:val="00A829D5"/>
    <w:rsid w:val="00A82A8C"/>
    <w:rsid w:val="00A82B0F"/>
    <w:rsid w:val="00A82B3F"/>
    <w:rsid w:val="00A82B54"/>
    <w:rsid w:val="00A82B7E"/>
    <w:rsid w:val="00A82BA1"/>
    <w:rsid w:val="00A82BCB"/>
    <w:rsid w:val="00A82C70"/>
    <w:rsid w:val="00A82CCC"/>
    <w:rsid w:val="00A82D5E"/>
    <w:rsid w:val="00A82D6E"/>
    <w:rsid w:val="00A82D97"/>
    <w:rsid w:val="00A82DA9"/>
    <w:rsid w:val="00A82E10"/>
    <w:rsid w:val="00A82EBE"/>
    <w:rsid w:val="00A82F2C"/>
    <w:rsid w:val="00A82F51"/>
    <w:rsid w:val="00A82F7B"/>
    <w:rsid w:val="00A82F7D"/>
    <w:rsid w:val="00A830E2"/>
    <w:rsid w:val="00A8312C"/>
    <w:rsid w:val="00A83147"/>
    <w:rsid w:val="00A831C7"/>
    <w:rsid w:val="00A83295"/>
    <w:rsid w:val="00A83325"/>
    <w:rsid w:val="00A83377"/>
    <w:rsid w:val="00A833E8"/>
    <w:rsid w:val="00A833F6"/>
    <w:rsid w:val="00A83401"/>
    <w:rsid w:val="00A83502"/>
    <w:rsid w:val="00A83521"/>
    <w:rsid w:val="00A8360D"/>
    <w:rsid w:val="00A83642"/>
    <w:rsid w:val="00A8365B"/>
    <w:rsid w:val="00A836A5"/>
    <w:rsid w:val="00A836B8"/>
    <w:rsid w:val="00A836BB"/>
    <w:rsid w:val="00A836C6"/>
    <w:rsid w:val="00A83711"/>
    <w:rsid w:val="00A83837"/>
    <w:rsid w:val="00A83882"/>
    <w:rsid w:val="00A8388D"/>
    <w:rsid w:val="00A838F3"/>
    <w:rsid w:val="00A839F1"/>
    <w:rsid w:val="00A83A8D"/>
    <w:rsid w:val="00A83A93"/>
    <w:rsid w:val="00A83AFC"/>
    <w:rsid w:val="00A83B0F"/>
    <w:rsid w:val="00A83B12"/>
    <w:rsid w:val="00A83B15"/>
    <w:rsid w:val="00A83B28"/>
    <w:rsid w:val="00A83B79"/>
    <w:rsid w:val="00A83B80"/>
    <w:rsid w:val="00A83C3A"/>
    <w:rsid w:val="00A83CCD"/>
    <w:rsid w:val="00A83CFA"/>
    <w:rsid w:val="00A83D14"/>
    <w:rsid w:val="00A83D2A"/>
    <w:rsid w:val="00A83DB1"/>
    <w:rsid w:val="00A83E6B"/>
    <w:rsid w:val="00A83E80"/>
    <w:rsid w:val="00A83E88"/>
    <w:rsid w:val="00A83EED"/>
    <w:rsid w:val="00A83F04"/>
    <w:rsid w:val="00A83F2E"/>
    <w:rsid w:val="00A83F90"/>
    <w:rsid w:val="00A8402D"/>
    <w:rsid w:val="00A8407F"/>
    <w:rsid w:val="00A84109"/>
    <w:rsid w:val="00A84116"/>
    <w:rsid w:val="00A8411F"/>
    <w:rsid w:val="00A841AB"/>
    <w:rsid w:val="00A8428D"/>
    <w:rsid w:val="00A84299"/>
    <w:rsid w:val="00A84337"/>
    <w:rsid w:val="00A84346"/>
    <w:rsid w:val="00A84350"/>
    <w:rsid w:val="00A843D8"/>
    <w:rsid w:val="00A84407"/>
    <w:rsid w:val="00A8447E"/>
    <w:rsid w:val="00A844B6"/>
    <w:rsid w:val="00A844CA"/>
    <w:rsid w:val="00A844D7"/>
    <w:rsid w:val="00A844D9"/>
    <w:rsid w:val="00A844E9"/>
    <w:rsid w:val="00A8450C"/>
    <w:rsid w:val="00A8454D"/>
    <w:rsid w:val="00A845C1"/>
    <w:rsid w:val="00A845CA"/>
    <w:rsid w:val="00A84643"/>
    <w:rsid w:val="00A8465A"/>
    <w:rsid w:val="00A8469B"/>
    <w:rsid w:val="00A847A1"/>
    <w:rsid w:val="00A847BA"/>
    <w:rsid w:val="00A847D6"/>
    <w:rsid w:val="00A848FE"/>
    <w:rsid w:val="00A84917"/>
    <w:rsid w:val="00A849A7"/>
    <w:rsid w:val="00A84A0F"/>
    <w:rsid w:val="00A84A58"/>
    <w:rsid w:val="00A84A5A"/>
    <w:rsid w:val="00A84AA4"/>
    <w:rsid w:val="00A84ACB"/>
    <w:rsid w:val="00A84AD0"/>
    <w:rsid w:val="00A84AE3"/>
    <w:rsid w:val="00A84AFC"/>
    <w:rsid w:val="00A84BB2"/>
    <w:rsid w:val="00A84BC3"/>
    <w:rsid w:val="00A84BF1"/>
    <w:rsid w:val="00A84C20"/>
    <w:rsid w:val="00A84C74"/>
    <w:rsid w:val="00A84CE7"/>
    <w:rsid w:val="00A84D1C"/>
    <w:rsid w:val="00A84D2B"/>
    <w:rsid w:val="00A84DEA"/>
    <w:rsid w:val="00A84E03"/>
    <w:rsid w:val="00A84E18"/>
    <w:rsid w:val="00A84EB3"/>
    <w:rsid w:val="00A84F01"/>
    <w:rsid w:val="00A84F2A"/>
    <w:rsid w:val="00A84F6F"/>
    <w:rsid w:val="00A84F97"/>
    <w:rsid w:val="00A850F9"/>
    <w:rsid w:val="00A85159"/>
    <w:rsid w:val="00A851A3"/>
    <w:rsid w:val="00A85219"/>
    <w:rsid w:val="00A85225"/>
    <w:rsid w:val="00A852E3"/>
    <w:rsid w:val="00A852F1"/>
    <w:rsid w:val="00A85361"/>
    <w:rsid w:val="00A85393"/>
    <w:rsid w:val="00A853C1"/>
    <w:rsid w:val="00A85404"/>
    <w:rsid w:val="00A8540D"/>
    <w:rsid w:val="00A8542F"/>
    <w:rsid w:val="00A855BF"/>
    <w:rsid w:val="00A855E4"/>
    <w:rsid w:val="00A855E9"/>
    <w:rsid w:val="00A85618"/>
    <w:rsid w:val="00A85633"/>
    <w:rsid w:val="00A8564C"/>
    <w:rsid w:val="00A856B7"/>
    <w:rsid w:val="00A85702"/>
    <w:rsid w:val="00A85719"/>
    <w:rsid w:val="00A857FC"/>
    <w:rsid w:val="00A85805"/>
    <w:rsid w:val="00A85856"/>
    <w:rsid w:val="00A8585A"/>
    <w:rsid w:val="00A85880"/>
    <w:rsid w:val="00A85883"/>
    <w:rsid w:val="00A85908"/>
    <w:rsid w:val="00A8594B"/>
    <w:rsid w:val="00A85987"/>
    <w:rsid w:val="00A859AF"/>
    <w:rsid w:val="00A859BE"/>
    <w:rsid w:val="00A85A5E"/>
    <w:rsid w:val="00A85A6A"/>
    <w:rsid w:val="00A85A95"/>
    <w:rsid w:val="00A85A9F"/>
    <w:rsid w:val="00A85AE0"/>
    <w:rsid w:val="00A85AF0"/>
    <w:rsid w:val="00A85AFB"/>
    <w:rsid w:val="00A85B98"/>
    <w:rsid w:val="00A85BEA"/>
    <w:rsid w:val="00A85C44"/>
    <w:rsid w:val="00A85CCC"/>
    <w:rsid w:val="00A85D24"/>
    <w:rsid w:val="00A85D51"/>
    <w:rsid w:val="00A85D86"/>
    <w:rsid w:val="00A85DA8"/>
    <w:rsid w:val="00A85DDA"/>
    <w:rsid w:val="00A85E65"/>
    <w:rsid w:val="00A85E79"/>
    <w:rsid w:val="00A85E8B"/>
    <w:rsid w:val="00A85E99"/>
    <w:rsid w:val="00A85EE1"/>
    <w:rsid w:val="00A85EFB"/>
    <w:rsid w:val="00A85EFD"/>
    <w:rsid w:val="00A85F38"/>
    <w:rsid w:val="00A85F88"/>
    <w:rsid w:val="00A85F8B"/>
    <w:rsid w:val="00A8600E"/>
    <w:rsid w:val="00A86034"/>
    <w:rsid w:val="00A8614F"/>
    <w:rsid w:val="00A86171"/>
    <w:rsid w:val="00A86188"/>
    <w:rsid w:val="00A861F6"/>
    <w:rsid w:val="00A86207"/>
    <w:rsid w:val="00A86264"/>
    <w:rsid w:val="00A862A1"/>
    <w:rsid w:val="00A862E6"/>
    <w:rsid w:val="00A8638D"/>
    <w:rsid w:val="00A863B1"/>
    <w:rsid w:val="00A864F4"/>
    <w:rsid w:val="00A8664F"/>
    <w:rsid w:val="00A866A5"/>
    <w:rsid w:val="00A866D2"/>
    <w:rsid w:val="00A8671D"/>
    <w:rsid w:val="00A86765"/>
    <w:rsid w:val="00A8679D"/>
    <w:rsid w:val="00A86842"/>
    <w:rsid w:val="00A868A9"/>
    <w:rsid w:val="00A868B5"/>
    <w:rsid w:val="00A868C2"/>
    <w:rsid w:val="00A868F1"/>
    <w:rsid w:val="00A868F2"/>
    <w:rsid w:val="00A86936"/>
    <w:rsid w:val="00A86965"/>
    <w:rsid w:val="00A8699F"/>
    <w:rsid w:val="00A86A16"/>
    <w:rsid w:val="00A86A53"/>
    <w:rsid w:val="00A86A71"/>
    <w:rsid w:val="00A86B21"/>
    <w:rsid w:val="00A86B31"/>
    <w:rsid w:val="00A86B34"/>
    <w:rsid w:val="00A86B36"/>
    <w:rsid w:val="00A86B4B"/>
    <w:rsid w:val="00A86B7C"/>
    <w:rsid w:val="00A86BAE"/>
    <w:rsid w:val="00A86C66"/>
    <w:rsid w:val="00A86CDE"/>
    <w:rsid w:val="00A86D11"/>
    <w:rsid w:val="00A86D58"/>
    <w:rsid w:val="00A86DCE"/>
    <w:rsid w:val="00A86E37"/>
    <w:rsid w:val="00A86ED6"/>
    <w:rsid w:val="00A86EEA"/>
    <w:rsid w:val="00A86F0F"/>
    <w:rsid w:val="00A86F33"/>
    <w:rsid w:val="00A86F36"/>
    <w:rsid w:val="00A86F72"/>
    <w:rsid w:val="00A86F7C"/>
    <w:rsid w:val="00A86FB2"/>
    <w:rsid w:val="00A86FE7"/>
    <w:rsid w:val="00A8702C"/>
    <w:rsid w:val="00A87059"/>
    <w:rsid w:val="00A8708E"/>
    <w:rsid w:val="00A87114"/>
    <w:rsid w:val="00A8717B"/>
    <w:rsid w:val="00A87187"/>
    <w:rsid w:val="00A8725F"/>
    <w:rsid w:val="00A87272"/>
    <w:rsid w:val="00A8728B"/>
    <w:rsid w:val="00A872CC"/>
    <w:rsid w:val="00A872D8"/>
    <w:rsid w:val="00A8734C"/>
    <w:rsid w:val="00A87373"/>
    <w:rsid w:val="00A873A9"/>
    <w:rsid w:val="00A8747C"/>
    <w:rsid w:val="00A87521"/>
    <w:rsid w:val="00A87531"/>
    <w:rsid w:val="00A87541"/>
    <w:rsid w:val="00A87550"/>
    <w:rsid w:val="00A87557"/>
    <w:rsid w:val="00A8765B"/>
    <w:rsid w:val="00A876FD"/>
    <w:rsid w:val="00A87706"/>
    <w:rsid w:val="00A8777E"/>
    <w:rsid w:val="00A8778A"/>
    <w:rsid w:val="00A877AE"/>
    <w:rsid w:val="00A877DF"/>
    <w:rsid w:val="00A87871"/>
    <w:rsid w:val="00A8787A"/>
    <w:rsid w:val="00A878F7"/>
    <w:rsid w:val="00A87995"/>
    <w:rsid w:val="00A87AAB"/>
    <w:rsid w:val="00A87AFB"/>
    <w:rsid w:val="00A87B45"/>
    <w:rsid w:val="00A87B62"/>
    <w:rsid w:val="00A87B98"/>
    <w:rsid w:val="00A87BCB"/>
    <w:rsid w:val="00A87C20"/>
    <w:rsid w:val="00A87C40"/>
    <w:rsid w:val="00A87C64"/>
    <w:rsid w:val="00A87CE5"/>
    <w:rsid w:val="00A87D21"/>
    <w:rsid w:val="00A87D6A"/>
    <w:rsid w:val="00A87D76"/>
    <w:rsid w:val="00A87DC2"/>
    <w:rsid w:val="00A87DCC"/>
    <w:rsid w:val="00A87E63"/>
    <w:rsid w:val="00A87E80"/>
    <w:rsid w:val="00A87EE3"/>
    <w:rsid w:val="00A87F13"/>
    <w:rsid w:val="00A87F86"/>
    <w:rsid w:val="00A87FE2"/>
    <w:rsid w:val="00A9004C"/>
    <w:rsid w:val="00A90100"/>
    <w:rsid w:val="00A90195"/>
    <w:rsid w:val="00A901C7"/>
    <w:rsid w:val="00A901D7"/>
    <w:rsid w:val="00A90250"/>
    <w:rsid w:val="00A90351"/>
    <w:rsid w:val="00A90358"/>
    <w:rsid w:val="00A90361"/>
    <w:rsid w:val="00A903BC"/>
    <w:rsid w:val="00A90425"/>
    <w:rsid w:val="00A9043E"/>
    <w:rsid w:val="00A90452"/>
    <w:rsid w:val="00A9049C"/>
    <w:rsid w:val="00A904BB"/>
    <w:rsid w:val="00A904D8"/>
    <w:rsid w:val="00A904D9"/>
    <w:rsid w:val="00A904F7"/>
    <w:rsid w:val="00A90589"/>
    <w:rsid w:val="00A9062B"/>
    <w:rsid w:val="00A90680"/>
    <w:rsid w:val="00A9069E"/>
    <w:rsid w:val="00A906C2"/>
    <w:rsid w:val="00A9081E"/>
    <w:rsid w:val="00A90840"/>
    <w:rsid w:val="00A90862"/>
    <w:rsid w:val="00A908EB"/>
    <w:rsid w:val="00A908F1"/>
    <w:rsid w:val="00A909CA"/>
    <w:rsid w:val="00A90A0A"/>
    <w:rsid w:val="00A90AF1"/>
    <w:rsid w:val="00A90C22"/>
    <w:rsid w:val="00A90C4D"/>
    <w:rsid w:val="00A90CF2"/>
    <w:rsid w:val="00A90D29"/>
    <w:rsid w:val="00A90D68"/>
    <w:rsid w:val="00A90E0D"/>
    <w:rsid w:val="00A90E20"/>
    <w:rsid w:val="00A90EA9"/>
    <w:rsid w:val="00A90EAD"/>
    <w:rsid w:val="00A90EEB"/>
    <w:rsid w:val="00A90F30"/>
    <w:rsid w:val="00A9100A"/>
    <w:rsid w:val="00A91028"/>
    <w:rsid w:val="00A9102F"/>
    <w:rsid w:val="00A91037"/>
    <w:rsid w:val="00A9106E"/>
    <w:rsid w:val="00A910B8"/>
    <w:rsid w:val="00A91139"/>
    <w:rsid w:val="00A9114A"/>
    <w:rsid w:val="00A9117F"/>
    <w:rsid w:val="00A911A2"/>
    <w:rsid w:val="00A91240"/>
    <w:rsid w:val="00A9126F"/>
    <w:rsid w:val="00A91284"/>
    <w:rsid w:val="00A91287"/>
    <w:rsid w:val="00A912BC"/>
    <w:rsid w:val="00A912EC"/>
    <w:rsid w:val="00A912F1"/>
    <w:rsid w:val="00A9130C"/>
    <w:rsid w:val="00A91310"/>
    <w:rsid w:val="00A91346"/>
    <w:rsid w:val="00A913DA"/>
    <w:rsid w:val="00A913DC"/>
    <w:rsid w:val="00A91453"/>
    <w:rsid w:val="00A91475"/>
    <w:rsid w:val="00A914B7"/>
    <w:rsid w:val="00A914C5"/>
    <w:rsid w:val="00A914F9"/>
    <w:rsid w:val="00A9156A"/>
    <w:rsid w:val="00A915F0"/>
    <w:rsid w:val="00A91689"/>
    <w:rsid w:val="00A916A4"/>
    <w:rsid w:val="00A916B5"/>
    <w:rsid w:val="00A916DD"/>
    <w:rsid w:val="00A9175D"/>
    <w:rsid w:val="00A91769"/>
    <w:rsid w:val="00A91837"/>
    <w:rsid w:val="00A9186A"/>
    <w:rsid w:val="00A9191B"/>
    <w:rsid w:val="00A91920"/>
    <w:rsid w:val="00A91989"/>
    <w:rsid w:val="00A919A2"/>
    <w:rsid w:val="00A919A6"/>
    <w:rsid w:val="00A919AB"/>
    <w:rsid w:val="00A919FB"/>
    <w:rsid w:val="00A91A21"/>
    <w:rsid w:val="00A91A69"/>
    <w:rsid w:val="00A91A7D"/>
    <w:rsid w:val="00A91AE8"/>
    <w:rsid w:val="00A91AF5"/>
    <w:rsid w:val="00A91B2F"/>
    <w:rsid w:val="00A91B44"/>
    <w:rsid w:val="00A91BFF"/>
    <w:rsid w:val="00A91C8D"/>
    <w:rsid w:val="00A91D3B"/>
    <w:rsid w:val="00A91D41"/>
    <w:rsid w:val="00A91E01"/>
    <w:rsid w:val="00A91EDB"/>
    <w:rsid w:val="00A91F47"/>
    <w:rsid w:val="00A91F51"/>
    <w:rsid w:val="00A91FAE"/>
    <w:rsid w:val="00A92020"/>
    <w:rsid w:val="00A920F1"/>
    <w:rsid w:val="00A92130"/>
    <w:rsid w:val="00A92188"/>
    <w:rsid w:val="00A9219B"/>
    <w:rsid w:val="00A921BB"/>
    <w:rsid w:val="00A921C8"/>
    <w:rsid w:val="00A921FD"/>
    <w:rsid w:val="00A922A0"/>
    <w:rsid w:val="00A922CB"/>
    <w:rsid w:val="00A922E1"/>
    <w:rsid w:val="00A922F1"/>
    <w:rsid w:val="00A9233D"/>
    <w:rsid w:val="00A9243F"/>
    <w:rsid w:val="00A92449"/>
    <w:rsid w:val="00A92498"/>
    <w:rsid w:val="00A924F4"/>
    <w:rsid w:val="00A9253A"/>
    <w:rsid w:val="00A92578"/>
    <w:rsid w:val="00A925D1"/>
    <w:rsid w:val="00A92644"/>
    <w:rsid w:val="00A926BD"/>
    <w:rsid w:val="00A926EB"/>
    <w:rsid w:val="00A92732"/>
    <w:rsid w:val="00A92785"/>
    <w:rsid w:val="00A927C5"/>
    <w:rsid w:val="00A927DB"/>
    <w:rsid w:val="00A927E7"/>
    <w:rsid w:val="00A9281B"/>
    <w:rsid w:val="00A92937"/>
    <w:rsid w:val="00A92945"/>
    <w:rsid w:val="00A92993"/>
    <w:rsid w:val="00A929B0"/>
    <w:rsid w:val="00A929F6"/>
    <w:rsid w:val="00A92A0B"/>
    <w:rsid w:val="00A92A4C"/>
    <w:rsid w:val="00A92A61"/>
    <w:rsid w:val="00A92A83"/>
    <w:rsid w:val="00A92AEA"/>
    <w:rsid w:val="00A92B90"/>
    <w:rsid w:val="00A92BA6"/>
    <w:rsid w:val="00A92BE2"/>
    <w:rsid w:val="00A92C68"/>
    <w:rsid w:val="00A92C97"/>
    <w:rsid w:val="00A92D03"/>
    <w:rsid w:val="00A92D25"/>
    <w:rsid w:val="00A92DD7"/>
    <w:rsid w:val="00A92E84"/>
    <w:rsid w:val="00A92F5A"/>
    <w:rsid w:val="00A92F9F"/>
    <w:rsid w:val="00A92FFC"/>
    <w:rsid w:val="00A93033"/>
    <w:rsid w:val="00A9304C"/>
    <w:rsid w:val="00A93078"/>
    <w:rsid w:val="00A930A7"/>
    <w:rsid w:val="00A930DC"/>
    <w:rsid w:val="00A93168"/>
    <w:rsid w:val="00A93182"/>
    <w:rsid w:val="00A93185"/>
    <w:rsid w:val="00A9322B"/>
    <w:rsid w:val="00A93294"/>
    <w:rsid w:val="00A932B6"/>
    <w:rsid w:val="00A932BD"/>
    <w:rsid w:val="00A93323"/>
    <w:rsid w:val="00A9333C"/>
    <w:rsid w:val="00A9334E"/>
    <w:rsid w:val="00A933DC"/>
    <w:rsid w:val="00A93486"/>
    <w:rsid w:val="00A934D6"/>
    <w:rsid w:val="00A934E7"/>
    <w:rsid w:val="00A93501"/>
    <w:rsid w:val="00A93503"/>
    <w:rsid w:val="00A9356A"/>
    <w:rsid w:val="00A935BB"/>
    <w:rsid w:val="00A93627"/>
    <w:rsid w:val="00A93664"/>
    <w:rsid w:val="00A9367D"/>
    <w:rsid w:val="00A936A1"/>
    <w:rsid w:val="00A936BD"/>
    <w:rsid w:val="00A9378D"/>
    <w:rsid w:val="00A93830"/>
    <w:rsid w:val="00A93845"/>
    <w:rsid w:val="00A938A2"/>
    <w:rsid w:val="00A938A7"/>
    <w:rsid w:val="00A9393B"/>
    <w:rsid w:val="00A9394A"/>
    <w:rsid w:val="00A93A01"/>
    <w:rsid w:val="00A93A3D"/>
    <w:rsid w:val="00A93A4B"/>
    <w:rsid w:val="00A93A87"/>
    <w:rsid w:val="00A93AED"/>
    <w:rsid w:val="00A93B33"/>
    <w:rsid w:val="00A93B89"/>
    <w:rsid w:val="00A93BC7"/>
    <w:rsid w:val="00A93BF9"/>
    <w:rsid w:val="00A93C8B"/>
    <w:rsid w:val="00A93DF0"/>
    <w:rsid w:val="00A93E00"/>
    <w:rsid w:val="00A93E6E"/>
    <w:rsid w:val="00A93E73"/>
    <w:rsid w:val="00A93E80"/>
    <w:rsid w:val="00A93EB1"/>
    <w:rsid w:val="00A93ECA"/>
    <w:rsid w:val="00A93F35"/>
    <w:rsid w:val="00A93FD4"/>
    <w:rsid w:val="00A93FEC"/>
    <w:rsid w:val="00A94029"/>
    <w:rsid w:val="00A94041"/>
    <w:rsid w:val="00A94054"/>
    <w:rsid w:val="00A94074"/>
    <w:rsid w:val="00A94098"/>
    <w:rsid w:val="00A940B5"/>
    <w:rsid w:val="00A940CF"/>
    <w:rsid w:val="00A94143"/>
    <w:rsid w:val="00A9414D"/>
    <w:rsid w:val="00A94210"/>
    <w:rsid w:val="00A94332"/>
    <w:rsid w:val="00A9437E"/>
    <w:rsid w:val="00A94479"/>
    <w:rsid w:val="00A94568"/>
    <w:rsid w:val="00A94580"/>
    <w:rsid w:val="00A9459B"/>
    <w:rsid w:val="00A945C8"/>
    <w:rsid w:val="00A945D2"/>
    <w:rsid w:val="00A94623"/>
    <w:rsid w:val="00A9463D"/>
    <w:rsid w:val="00A9471A"/>
    <w:rsid w:val="00A9477D"/>
    <w:rsid w:val="00A9478C"/>
    <w:rsid w:val="00A947C3"/>
    <w:rsid w:val="00A94819"/>
    <w:rsid w:val="00A9481E"/>
    <w:rsid w:val="00A948C3"/>
    <w:rsid w:val="00A9490C"/>
    <w:rsid w:val="00A94979"/>
    <w:rsid w:val="00A9499F"/>
    <w:rsid w:val="00A949C0"/>
    <w:rsid w:val="00A949EA"/>
    <w:rsid w:val="00A94A5E"/>
    <w:rsid w:val="00A94A90"/>
    <w:rsid w:val="00A94AE1"/>
    <w:rsid w:val="00A94AE6"/>
    <w:rsid w:val="00A94B3E"/>
    <w:rsid w:val="00A94B89"/>
    <w:rsid w:val="00A94BB4"/>
    <w:rsid w:val="00A94BBF"/>
    <w:rsid w:val="00A94C25"/>
    <w:rsid w:val="00A94C77"/>
    <w:rsid w:val="00A94C99"/>
    <w:rsid w:val="00A94CCC"/>
    <w:rsid w:val="00A94D08"/>
    <w:rsid w:val="00A94D6C"/>
    <w:rsid w:val="00A94DE8"/>
    <w:rsid w:val="00A94DEC"/>
    <w:rsid w:val="00A94E2A"/>
    <w:rsid w:val="00A94E3C"/>
    <w:rsid w:val="00A94ED9"/>
    <w:rsid w:val="00A94F69"/>
    <w:rsid w:val="00A94FB7"/>
    <w:rsid w:val="00A9502B"/>
    <w:rsid w:val="00A9503D"/>
    <w:rsid w:val="00A95092"/>
    <w:rsid w:val="00A95096"/>
    <w:rsid w:val="00A950A5"/>
    <w:rsid w:val="00A950AF"/>
    <w:rsid w:val="00A950CA"/>
    <w:rsid w:val="00A950EA"/>
    <w:rsid w:val="00A950F1"/>
    <w:rsid w:val="00A951DB"/>
    <w:rsid w:val="00A95234"/>
    <w:rsid w:val="00A95261"/>
    <w:rsid w:val="00A952A1"/>
    <w:rsid w:val="00A9536D"/>
    <w:rsid w:val="00A95383"/>
    <w:rsid w:val="00A95391"/>
    <w:rsid w:val="00A9539A"/>
    <w:rsid w:val="00A95428"/>
    <w:rsid w:val="00A954B2"/>
    <w:rsid w:val="00A954BB"/>
    <w:rsid w:val="00A9550E"/>
    <w:rsid w:val="00A95517"/>
    <w:rsid w:val="00A95588"/>
    <w:rsid w:val="00A9558B"/>
    <w:rsid w:val="00A9558F"/>
    <w:rsid w:val="00A955A7"/>
    <w:rsid w:val="00A955C6"/>
    <w:rsid w:val="00A955CA"/>
    <w:rsid w:val="00A95656"/>
    <w:rsid w:val="00A956F2"/>
    <w:rsid w:val="00A95719"/>
    <w:rsid w:val="00A95811"/>
    <w:rsid w:val="00A959B5"/>
    <w:rsid w:val="00A959D8"/>
    <w:rsid w:val="00A959E0"/>
    <w:rsid w:val="00A95A01"/>
    <w:rsid w:val="00A95A20"/>
    <w:rsid w:val="00A95A36"/>
    <w:rsid w:val="00A95A40"/>
    <w:rsid w:val="00A95A60"/>
    <w:rsid w:val="00A95A93"/>
    <w:rsid w:val="00A95AA2"/>
    <w:rsid w:val="00A95AD0"/>
    <w:rsid w:val="00A95AF0"/>
    <w:rsid w:val="00A95B98"/>
    <w:rsid w:val="00A95BB7"/>
    <w:rsid w:val="00A95BEA"/>
    <w:rsid w:val="00A95C4A"/>
    <w:rsid w:val="00A95C8B"/>
    <w:rsid w:val="00A95CAC"/>
    <w:rsid w:val="00A95D14"/>
    <w:rsid w:val="00A95D2E"/>
    <w:rsid w:val="00A95E36"/>
    <w:rsid w:val="00A95E66"/>
    <w:rsid w:val="00A95ECC"/>
    <w:rsid w:val="00A95F41"/>
    <w:rsid w:val="00A95F4E"/>
    <w:rsid w:val="00A95FA8"/>
    <w:rsid w:val="00A95FC3"/>
    <w:rsid w:val="00A96030"/>
    <w:rsid w:val="00A96031"/>
    <w:rsid w:val="00A960B6"/>
    <w:rsid w:val="00A9613A"/>
    <w:rsid w:val="00A9618B"/>
    <w:rsid w:val="00A961C5"/>
    <w:rsid w:val="00A9623C"/>
    <w:rsid w:val="00A96262"/>
    <w:rsid w:val="00A96285"/>
    <w:rsid w:val="00A962D7"/>
    <w:rsid w:val="00A962DC"/>
    <w:rsid w:val="00A96300"/>
    <w:rsid w:val="00A96346"/>
    <w:rsid w:val="00A96368"/>
    <w:rsid w:val="00A96388"/>
    <w:rsid w:val="00A963FB"/>
    <w:rsid w:val="00A9643E"/>
    <w:rsid w:val="00A96535"/>
    <w:rsid w:val="00A9657E"/>
    <w:rsid w:val="00A9660C"/>
    <w:rsid w:val="00A96628"/>
    <w:rsid w:val="00A96687"/>
    <w:rsid w:val="00A9669F"/>
    <w:rsid w:val="00A9672E"/>
    <w:rsid w:val="00A9674A"/>
    <w:rsid w:val="00A96798"/>
    <w:rsid w:val="00A96826"/>
    <w:rsid w:val="00A968A8"/>
    <w:rsid w:val="00A968BC"/>
    <w:rsid w:val="00A96927"/>
    <w:rsid w:val="00A969C4"/>
    <w:rsid w:val="00A969DA"/>
    <w:rsid w:val="00A96A0E"/>
    <w:rsid w:val="00A96A55"/>
    <w:rsid w:val="00A96A5A"/>
    <w:rsid w:val="00A96A80"/>
    <w:rsid w:val="00A96B30"/>
    <w:rsid w:val="00A96B7F"/>
    <w:rsid w:val="00A96C22"/>
    <w:rsid w:val="00A96C6C"/>
    <w:rsid w:val="00A96D15"/>
    <w:rsid w:val="00A96D8C"/>
    <w:rsid w:val="00A96D9D"/>
    <w:rsid w:val="00A96E5E"/>
    <w:rsid w:val="00A96EA9"/>
    <w:rsid w:val="00A96EB4"/>
    <w:rsid w:val="00A96F33"/>
    <w:rsid w:val="00A96F82"/>
    <w:rsid w:val="00A96FCF"/>
    <w:rsid w:val="00A9702C"/>
    <w:rsid w:val="00A97054"/>
    <w:rsid w:val="00A9710A"/>
    <w:rsid w:val="00A97153"/>
    <w:rsid w:val="00A971C3"/>
    <w:rsid w:val="00A971DC"/>
    <w:rsid w:val="00A972AE"/>
    <w:rsid w:val="00A972B9"/>
    <w:rsid w:val="00A973C2"/>
    <w:rsid w:val="00A973E5"/>
    <w:rsid w:val="00A97491"/>
    <w:rsid w:val="00A974BD"/>
    <w:rsid w:val="00A974D6"/>
    <w:rsid w:val="00A974D7"/>
    <w:rsid w:val="00A975F3"/>
    <w:rsid w:val="00A9761D"/>
    <w:rsid w:val="00A9768B"/>
    <w:rsid w:val="00A97791"/>
    <w:rsid w:val="00A977CF"/>
    <w:rsid w:val="00A97808"/>
    <w:rsid w:val="00A9780B"/>
    <w:rsid w:val="00A97854"/>
    <w:rsid w:val="00A97888"/>
    <w:rsid w:val="00A978A1"/>
    <w:rsid w:val="00A978BC"/>
    <w:rsid w:val="00A97979"/>
    <w:rsid w:val="00A9797F"/>
    <w:rsid w:val="00A9798B"/>
    <w:rsid w:val="00A97997"/>
    <w:rsid w:val="00A979BA"/>
    <w:rsid w:val="00A97A07"/>
    <w:rsid w:val="00A97A7A"/>
    <w:rsid w:val="00A97A7C"/>
    <w:rsid w:val="00A97A81"/>
    <w:rsid w:val="00A97AC1"/>
    <w:rsid w:val="00A97AD5"/>
    <w:rsid w:val="00A97ADD"/>
    <w:rsid w:val="00A97B85"/>
    <w:rsid w:val="00A97B8F"/>
    <w:rsid w:val="00A97BA5"/>
    <w:rsid w:val="00A97BC2"/>
    <w:rsid w:val="00A97BF6"/>
    <w:rsid w:val="00A97C14"/>
    <w:rsid w:val="00A97CB1"/>
    <w:rsid w:val="00A97CDB"/>
    <w:rsid w:val="00A97CE1"/>
    <w:rsid w:val="00A97CE8"/>
    <w:rsid w:val="00A97E27"/>
    <w:rsid w:val="00A97E71"/>
    <w:rsid w:val="00A97EAD"/>
    <w:rsid w:val="00A97F62"/>
    <w:rsid w:val="00A97F6C"/>
    <w:rsid w:val="00A97F76"/>
    <w:rsid w:val="00A97F99"/>
    <w:rsid w:val="00AA0034"/>
    <w:rsid w:val="00AA0074"/>
    <w:rsid w:val="00AA008E"/>
    <w:rsid w:val="00AA0090"/>
    <w:rsid w:val="00AA00D6"/>
    <w:rsid w:val="00AA00D9"/>
    <w:rsid w:val="00AA00FD"/>
    <w:rsid w:val="00AA017E"/>
    <w:rsid w:val="00AA022D"/>
    <w:rsid w:val="00AA027D"/>
    <w:rsid w:val="00AA027F"/>
    <w:rsid w:val="00AA029E"/>
    <w:rsid w:val="00AA02D5"/>
    <w:rsid w:val="00AA030C"/>
    <w:rsid w:val="00AA037D"/>
    <w:rsid w:val="00AA03D7"/>
    <w:rsid w:val="00AA042B"/>
    <w:rsid w:val="00AA04BD"/>
    <w:rsid w:val="00AA04C0"/>
    <w:rsid w:val="00AA04EE"/>
    <w:rsid w:val="00AA0736"/>
    <w:rsid w:val="00AA0737"/>
    <w:rsid w:val="00AA073E"/>
    <w:rsid w:val="00AA080F"/>
    <w:rsid w:val="00AA0823"/>
    <w:rsid w:val="00AA0841"/>
    <w:rsid w:val="00AA0863"/>
    <w:rsid w:val="00AA08BC"/>
    <w:rsid w:val="00AA08C6"/>
    <w:rsid w:val="00AA0968"/>
    <w:rsid w:val="00AA0984"/>
    <w:rsid w:val="00AA09CA"/>
    <w:rsid w:val="00AA0A22"/>
    <w:rsid w:val="00AA0AB1"/>
    <w:rsid w:val="00AA0AF2"/>
    <w:rsid w:val="00AA0AF5"/>
    <w:rsid w:val="00AA0AFB"/>
    <w:rsid w:val="00AA0B33"/>
    <w:rsid w:val="00AA0B3A"/>
    <w:rsid w:val="00AA0B3D"/>
    <w:rsid w:val="00AA0BA5"/>
    <w:rsid w:val="00AA0BC0"/>
    <w:rsid w:val="00AA0C28"/>
    <w:rsid w:val="00AA0CAD"/>
    <w:rsid w:val="00AA0CE5"/>
    <w:rsid w:val="00AA0D79"/>
    <w:rsid w:val="00AA0D83"/>
    <w:rsid w:val="00AA0D9A"/>
    <w:rsid w:val="00AA0E29"/>
    <w:rsid w:val="00AA0E53"/>
    <w:rsid w:val="00AA0E92"/>
    <w:rsid w:val="00AA0E9D"/>
    <w:rsid w:val="00AA0EEB"/>
    <w:rsid w:val="00AA0EFC"/>
    <w:rsid w:val="00AA0F2D"/>
    <w:rsid w:val="00AA107B"/>
    <w:rsid w:val="00AA108D"/>
    <w:rsid w:val="00AA10E0"/>
    <w:rsid w:val="00AA1138"/>
    <w:rsid w:val="00AA115D"/>
    <w:rsid w:val="00AA127B"/>
    <w:rsid w:val="00AA132A"/>
    <w:rsid w:val="00AA132E"/>
    <w:rsid w:val="00AA14AF"/>
    <w:rsid w:val="00AA156A"/>
    <w:rsid w:val="00AA15D2"/>
    <w:rsid w:val="00AA1634"/>
    <w:rsid w:val="00AA1693"/>
    <w:rsid w:val="00AA1740"/>
    <w:rsid w:val="00AA177A"/>
    <w:rsid w:val="00AA180B"/>
    <w:rsid w:val="00AA183E"/>
    <w:rsid w:val="00AA184F"/>
    <w:rsid w:val="00AA18AF"/>
    <w:rsid w:val="00AA18C2"/>
    <w:rsid w:val="00AA18C5"/>
    <w:rsid w:val="00AA18FA"/>
    <w:rsid w:val="00AA196C"/>
    <w:rsid w:val="00AA19ED"/>
    <w:rsid w:val="00AA1A37"/>
    <w:rsid w:val="00AA1AB2"/>
    <w:rsid w:val="00AA1AC3"/>
    <w:rsid w:val="00AA1B54"/>
    <w:rsid w:val="00AA1B5B"/>
    <w:rsid w:val="00AA1BD4"/>
    <w:rsid w:val="00AA1C09"/>
    <w:rsid w:val="00AA1C8E"/>
    <w:rsid w:val="00AA1D91"/>
    <w:rsid w:val="00AA1E2F"/>
    <w:rsid w:val="00AA1EA9"/>
    <w:rsid w:val="00AA1EEA"/>
    <w:rsid w:val="00AA1F6A"/>
    <w:rsid w:val="00AA200B"/>
    <w:rsid w:val="00AA2052"/>
    <w:rsid w:val="00AA2056"/>
    <w:rsid w:val="00AA2071"/>
    <w:rsid w:val="00AA20C4"/>
    <w:rsid w:val="00AA20CB"/>
    <w:rsid w:val="00AA20F9"/>
    <w:rsid w:val="00AA2165"/>
    <w:rsid w:val="00AA21E0"/>
    <w:rsid w:val="00AA220C"/>
    <w:rsid w:val="00AA2300"/>
    <w:rsid w:val="00AA2333"/>
    <w:rsid w:val="00AA2391"/>
    <w:rsid w:val="00AA23D8"/>
    <w:rsid w:val="00AA248D"/>
    <w:rsid w:val="00AA24F8"/>
    <w:rsid w:val="00AA2532"/>
    <w:rsid w:val="00AA256B"/>
    <w:rsid w:val="00AA25CD"/>
    <w:rsid w:val="00AA25CE"/>
    <w:rsid w:val="00AA2661"/>
    <w:rsid w:val="00AA2833"/>
    <w:rsid w:val="00AA2893"/>
    <w:rsid w:val="00AA28CC"/>
    <w:rsid w:val="00AA294B"/>
    <w:rsid w:val="00AA2A21"/>
    <w:rsid w:val="00AA2A35"/>
    <w:rsid w:val="00AA2A92"/>
    <w:rsid w:val="00AA2AB6"/>
    <w:rsid w:val="00AA2BC2"/>
    <w:rsid w:val="00AA2BE5"/>
    <w:rsid w:val="00AA2BF9"/>
    <w:rsid w:val="00AA2C8E"/>
    <w:rsid w:val="00AA2CD2"/>
    <w:rsid w:val="00AA2CEF"/>
    <w:rsid w:val="00AA2CFC"/>
    <w:rsid w:val="00AA2D84"/>
    <w:rsid w:val="00AA2DF7"/>
    <w:rsid w:val="00AA2E00"/>
    <w:rsid w:val="00AA2E29"/>
    <w:rsid w:val="00AA2EA3"/>
    <w:rsid w:val="00AA2EFC"/>
    <w:rsid w:val="00AA2F04"/>
    <w:rsid w:val="00AA2F73"/>
    <w:rsid w:val="00AA2FED"/>
    <w:rsid w:val="00AA303A"/>
    <w:rsid w:val="00AA3041"/>
    <w:rsid w:val="00AA304D"/>
    <w:rsid w:val="00AA3086"/>
    <w:rsid w:val="00AA313D"/>
    <w:rsid w:val="00AA31C7"/>
    <w:rsid w:val="00AA31CB"/>
    <w:rsid w:val="00AA3243"/>
    <w:rsid w:val="00AA324B"/>
    <w:rsid w:val="00AA326A"/>
    <w:rsid w:val="00AA329D"/>
    <w:rsid w:val="00AA329F"/>
    <w:rsid w:val="00AA32A9"/>
    <w:rsid w:val="00AA32FE"/>
    <w:rsid w:val="00AA3329"/>
    <w:rsid w:val="00AA336C"/>
    <w:rsid w:val="00AA33AF"/>
    <w:rsid w:val="00AA33BE"/>
    <w:rsid w:val="00AA344E"/>
    <w:rsid w:val="00AA345B"/>
    <w:rsid w:val="00AA345F"/>
    <w:rsid w:val="00AA34EF"/>
    <w:rsid w:val="00AA3535"/>
    <w:rsid w:val="00AA3555"/>
    <w:rsid w:val="00AA3578"/>
    <w:rsid w:val="00AA3640"/>
    <w:rsid w:val="00AA36C5"/>
    <w:rsid w:val="00AA37C1"/>
    <w:rsid w:val="00AA3874"/>
    <w:rsid w:val="00AA3889"/>
    <w:rsid w:val="00AA38BF"/>
    <w:rsid w:val="00AA38F6"/>
    <w:rsid w:val="00AA3A09"/>
    <w:rsid w:val="00AA3A1A"/>
    <w:rsid w:val="00AA3A9A"/>
    <w:rsid w:val="00AA3A9B"/>
    <w:rsid w:val="00AA3A9E"/>
    <w:rsid w:val="00AA3AAC"/>
    <w:rsid w:val="00AA3B4D"/>
    <w:rsid w:val="00AA3C89"/>
    <w:rsid w:val="00AA3DC4"/>
    <w:rsid w:val="00AA3DF8"/>
    <w:rsid w:val="00AA3E72"/>
    <w:rsid w:val="00AA3E86"/>
    <w:rsid w:val="00AA3EDC"/>
    <w:rsid w:val="00AA3F14"/>
    <w:rsid w:val="00AA3FEF"/>
    <w:rsid w:val="00AA4062"/>
    <w:rsid w:val="00AA4063"/>
    <w:rsid w:val="00AA40F5"/>
    <w:rsid w:val="00AA411B"/>
    <w:rsid w:val="00AA419D"/>
    <w:rsid w:val="00AA419E"/>
    <w:rsid w:val="00AA41A4"/>
    <w:rsid w:val="00AA426A"/>
    <w:rsid w:val="00AA4310"/>
    <w:rsid w:val="00AA4396"/>
    <w:rsid w:val="00AA4475"/>
    <w:rsid w:val="00AA44E6"/>
    <w:rsid w:val="00AA454C"/>
    <w:rsid w:val="00AA459A"/>
    <w:rsid w:val="00AA45FD"/>
    <w:rsid w:val="00AA4617"/>
    <w:rsid w:val="00AA4638"/>
    <w:rsid w:val="00AA4656"/>
    <w:rsid w:val="00AA4751"/>
    <w:rsid w:val="00AA480C"/>
    <w:rsid w:val="00AA4818"/>
    <w:rsid w:val="00AA49CA"/>
    <w:rsid w:val="00AA4B78"/>
    <w:rsid w:val="00AA4BC4"/>
    <w:rsid w:val="00AA4BCF"/>
    <w:rsid w:val="00AA4C77"/>
    <w:rsid w:val="00AA4CAA"/>
    <w:rsid w:val="00AA4CCC"/>
    <w:rsid w:val="00AA4E10"/>
    <w:rsid w:val="00AA4E59"/>
    <w:rsid w:val="00AA4E67"/>
    <w:rsid w:val="00AA4E81"/>
    <w:rsid w:val="00AA4F55"/>
    <w:rsid w:val="00AA4F66"/>
    <w:rsid w:val="00AA4FE2"/>
    <w:rsid w:val="00AA5095"/>
    <w:rsid w:val="00AA512F"/>
    <w:rsid w:val="00AA5137"/>
    <w:rsid w:val="00AA514A"/>
    <w:rsid w:val="00AA5255"/>
    <w:rsid w:val="00AA5293"/>
    <w:rsid w:val="00AA52F0"/>
    <w:rsid w:val="00AA5310"/>
    <w:rsid w:val="00AA5378"/>
    <w:rsid w:val="00AA5438"/>
    <w:rsid w:val="00AA549F"/>
    <w:rsid w:val="00AA54B6"/>
    <w:rsid w:val="00AA54DC"/>
    <w:rsid w:val="00AA566B"/>
    <w:rsid w:val="00AA56A6"/>
    <w:rsid w:val="00AA56CE"/>
    <w:rsid w:val="00AA56E4"/>
    <w:rsid w:val="00AA5708"/>
    <w:rsid w:val="00AA570E"/>
    <w:rsid w:val="00AA582C"/>
    <w:rsid w:val="00AA5894"/>
    <w:rsid w:val="00AA5899"/>
    <w:rsid w:val="00AA589B"/>
    <w:rsid w:val="00AA58FA"/>
    <w:rsid w:val="00AA5918"/>
    <w:rsid w:val="00AA59DC"/>
    <w:rsid w:val="00AA59FA"/>
    <w:rsid w:val="00AA5A19"/>
    <w:rsid w:val="00AA5A6A"/>
    <w:rsid w:val="00AA5AD0"/>
    <w:rsid w:val="00AA5B1A"/>
    <w:rsid w:val="00AA5C83"/>
    <w:rsid w:val="00AA5D03"/>
    <w:rsid w:val="00AA5D36"/>
    <w:rsid w:val="00AA5D9C"/>
    <w:rsid w:val="00AA5E4C"/>
    <w:rsid w:val="00AA5EC6"/>
    <w:rsid w:val="00AA5F93"/>
    <w:rsid w:val="00AA5FFA"/>
    <w:rsid w:val="00AA6053"/>
    <w:rsid w:val="00AA60AB"/>
    <w:rsid w:val="00AA60BD"/>
    <w:rsid w:val="00AA6123"/>
    <w:rsid w:val="00AA615D"/>
    <w:rsid w:val="00AA6194"/>
    <w:rsid w:val="00AA619B"/>
    <w:rsid w:val="00AA61D8"/>
    <w:rsid w:val="00AA61EE"/>
    <w:rsid w:val="00AA620B"/>
    <w:rsid w:val="00AA621F"/>
    <w:rsid w:val="00AA6286"/>
    <w:rsid w:val="00AA629B"/>
    <w:rsid w:val="00AA62A5"/>
    <w:rsid w:val="00AA6335"/>
    <w:rsid w:val="00AA6370"/>
    <w:rsid w:val="00AA6376"/>
    <w:rsid w:val="00AA6378"/>
    <w:rsid w:val="00AA63AB"/>
    <w:rsid w:val="00AA64AB"/>
    <w:rsid w:val="00AA64DB"/>
    <w:rsid w:val="00AA64F4"/>
    <w:rsid w:val="00AA664B"/>
    <w:rsid w:val="00AA6761"/>
    <w:rsid w:val="00AA67DA"/>
    <w:rsid w:val="00AA684D"/>
    <w:rsid w:val="00AA686A"/>
    <w:rsid w:val="00AA68D1"/>
    <w:rsid w:val="00AA68E5"/>
    <w:rsid w:val="00AA68EF"/>
    <w:rsid w:val="00AA6942"/>
    <w:rsid w:val="00AA6958"/>
    <w:rsid w:val="00AA69A0"/>
    <w:rsid w:val="00AA69AC"/>
    <w:rsid w:val="00AA69D2"/>
    <w:rsid w:val="00AA6A5B"/>
    <w:rsid w:val="00AA6ACE"/>
    <w:rsid w:val="00AA6BD1"/>
    <w:rsid w:val="00AA6D07"/>
    <w:rsid w:val="00AA6D34"/>
    <w:rsid w:val="00AA6DBA"/>
    <w:rsid w:val="00AA6E4D"/>
    <w:rsid w:val="00AA6E57"/>
    <w:rsid w:val="00AA6E85"/>
    <w:rsid w:val="00AA6EA6"/>
    <w:rsid w:val="00AA6EF6"/>
    <w:rsid w:val="00AA6F09"/>
    <w:rsid w:val="00AA6F4F"/>
    <w:rsid w:val="00AA7005"/>
    <w:rsid w:val="00AA7015"/>
    <w:rsid w:val="00AA7091"/>
    <w:rsid w:val="00AA70C0"/>
    <w:rsid w:val="00AA7135"/>
    <w:rsid w:val="00AA7153"/>
    <w:rsid w:val="00AA7154"/>
    <w:rsid w:val="00AA7229"/>
    <w:rsid w:val="00AA7246"/>
    <w:rsid w:val="00AA72DB"/>
    <w:rsid w:val="00AA7313"/>
    <w:rsid w:val="00AA731F"/>
    <w:rsid w:val="00AA7375"/>
    <w:rsid w:val="00AA73BB"/>
    <w:rsid w:val="00AA73D4"/>
    <w:rsid w:val="00AA73F0"/>
    <w:rsid w:val="00AA741F"/>
    <w:rsid w:val="00AA7470"/>
    <w:rsid w:val="00AA74F5"/>
    <w:rsid w:val="00AA752C"/>
    <w:rsid w:val="00AA752E"/>
    <w:rsid w:val="00AA75BF"/>
    <w:rsid w:val="00AA75C2"/>
    <w:rsid w:val="00AA763D"/>
    <w:rsid w:val="00AA766A"/>
    <w:rsid w:val="00AA7671"/>
    <w:rsid w:val="00AA7847"/>
    <w:rsid w:val="00AA7852"/>
    <w:rsid w:val="00AA7855"/>
    <w:rsid w:val="00AA7878"/>
    <w:rsid w:val="00AA78AE"/>
    <w:rsid w:val="00AA78D6"/>
    <w:rsid w:val="00AA78DC"/>
    <w:rsid w:val="00AA7909"/>
    <w:rsid w:val="00AA7985"/>
    <w:rsid w:val="00AA798C"/>
    <w:rsid w:val="00AA79C7"/>
    <w:rsid w:val="00AA7A0B"/>
    <w:rsid w:val="00AA7A25"/>
    <w:rsid w:val="00AA7A4E"/>
    <w:rsid w:val="00AA7A67"/>
    <w:rsid w:val="00AA7A7B"/>
    <w:rsid w:val="00AA7B0F"/>
    <w:rsid w:val="00AA7B48"/>
    <w:rsid w:val="00AA7B64"/>
    <w:rsid w:val="00AA7B76"/>
    <w:rsid w:val="00AA7B93"/>
    <w:rsid w:val="00AA7C1F"/>
    <w:rsid w:val="00AA7C20"/>
    <w:rsid w:val="00AA7C24"/>
    <w:rsid w:val="00AA7C34"/>
    <w:rsid w:val="00AA7C77"/>
    <w:rsid w:val="00AA7CA9"/>
    <w:rsid w:val="00AA7CE4"/>
    <w:rsid w:val="00AA7CFD"/>
    <w:rsid w:val="00AA7D0E"/>
    <w:rsid w:val="00AA7D48"/>
    <w:rsid w:val="00AA7D95"/>
    <w:rsid w:val="00AA7E49"/>
    <w:rsid w:val="00AA7EC6"/>
    <w:rsid w:val="00AA7F94"/>
    <w:rsid w:val="00AA7F9B"/>
    <w:rsid w:val="00AA7FB9"/>
    <w:rsid w:val="00AB0092"/>
    <w:rsid w:val="00AB00EC"/>
    <w:rsid w:val="00AB012B"/>
    <w:rsid w:val="00AB023D"/>
    <w:rsid w:val="00AB0247"/>
    <w:rsid w:val="00AB02A5"/>
    <w:rsid w:val="00AB02E1"/>
    <w:rsid w:val="00AB0375"/>
    <w:rsid w:val="00AB0398"/>
    <w:rsid w:val="00AB03CC"/>
    <w:rsid w:val="00AB03EB"/>
    <w:rsid w:val="00AB0413"/>
    <w:rsid w:val="00AB04A4"/>
    <w:rsid w:val="00AB0540"/>
    <w:rsid w:val="00AB055B"/>
    <w:rsid w:val="00AB0617"/>
    <w:rsid w:val="00AB0663"/>
    <w:rsid w:val="00AB0744"/>
    <w:rsid w:val="00AB0763"/>
    <w:rsid w:val="00AB0795"/>
    <w:rsid w:val="00AB0812"/>
    <w:rsid w:val="00AB0848"/>
    <w:rsid w:val="00AB0879"/>
    <w:rsid w:val="00AB087A"/>
    <w:rsid w:val="00AB088B"/>
    <w:rsid w:val="00AB089F"/>
    <w:rsid w:val="00AB08BB"/>
    <w:rsid w:val="00AB08DF"/>
    <w:rsid w:val="00AB090C"/>
    <w:rsid w:val="00AB0949"/>
    <w:rsid w:val="00AB0983"/>
    <w:rsid w:val="00AB09CE"/>
    <w:rsid w:val="00AB09EC"/>
    <w:rsid w:val="00AB09EF"/>
    <w:rsid w:val="00AB0A0F"/>
    <w:rsid w:val="00AB0A12"/>
    <w:rsid w:val="00AB0A61"/>
    <w:rsid w:val="00AB0A9E"/>
    <w:rsid w:val="00AB0AF4"/>
    <w:rsid w:val="00AB0AFE"/>
    <w:rsid w:val="00AB0B2C"/>
    <w:rsid w:val="00AB0B47"/>
    <w:rsid w:val="00AB0BC1"/>
    <w:rsid w:val="00AB0BC9"/>
    <w:rsid w:val="00AB0C09"/>
    <w:rsid w:val="00AB0C51"/>
    <w:rsid w:val="00AB0D36"/>
    <w:rsid w:val="00AB0E11"/>
    <w:rsid w:val="00AB0E45"/>
    <w:rsid w:val="00AB0E4E"/>
    <w:rsid w:val="00AB0E68"/>
    <w:rsid w:val="00AB0EB6"/>
    <w:rsid w:val="00AB0ED6"/>
    <w:rsid w:val="00AB0EDB"/>
    <w:rsid w:val="00AB0EE0"/>
    <w:rsid w:val="00AB0FA9"/>
    <w:rsid w:val="00AB0FBB"/>
    <w:rsid w:val="00AB0FD0"/>
    <w:rsid w:val="00AB0FD5"/>
    <w:rsid w:val="00AB1011"/>
    <w:rsid w:val="00AB1084"/>
    <w:rsid w:val="00AB10FC"/>
    <w:rsid w:val="00AB1157"/>
    <w:rsid w:val="00AB1165"/>
    <w:rsid w:val="00AB11AD"/>
    <w:rsid w:val="00AB122F"/>
    <w:rsid w:val="00AB1307"/>
    <w:rsid w:val="00AB130B"/>
    <w:rsid w:val="00AB13DE"/>
    <w:rsid w:val="00AB1521"/>
    <w:rsid w:val="00AB15A9"/>
    <w:rsid w:val="00AB161C"/>
    <w:rsid w:val="00AB1635"/>
    <w:rsid w:val="00AB16CA"/>
    <w:rsid w:val="00AB1722"/>
    <w:rsid w:val="00AB1810"/>
    <w:rsid w:val="00AB181F"/>
    <w:rsid w:val="00AB18AD"/>
    <w:rsid w:val="00AB18BC"/>
    <w:rsid w:val="00AB18BE"/>
    <w:rsid w:val="00AB191C"/>
    <w:rsid w:val="00AB192A"/>
    <w:rsid w:val="00AB1965"/>
    <w:rsid w:val="00AB199C"/>
    <w:rsid w:val="00AB1A7B"/>
    <w:rsid w:val="00AB1AE0"/>
    <w:rsid w:val="00AB1B34"/>
    <w:rsid w:val="00AB1B43"/>
    <w:rsid w:val="00AB1B82"/>
    <w:rsid w:val="00AB1B94"/>
    <w:rsid w:val="00AB1BCE"/>
    <w:rsid w:val="00AB1BD8"/>
    <w:rsid w:val="00AB1BF5"/>
    <w:rsid w:val="00AB1C4C"/>
    <w:rsid w:val="00AB1C65"/>
    <w:rsid w:val="00AB1CB0"/>
    <w:rsid w:val="00AB1CE6"/>
    <w:rsid w:val="00AB1D70"/>
    <w:rsid w:val="00AB1E0E"/>
    <w:rsid w:val="00AB1E1E"/>
    <w:rsid w:val="00AB1F01"/>
    <w:rsid w:val="00AB1FBA"/>
    <w:rsid w:val="00AB2059"/>
    <w:rsid w:val="00AB20A3"/>
    <w:rsid w:val="00AB20F9"/>
    <w:rsid w:val="00AB211D"/>
    <w:rsid w:val="00AB2149"/>
    <w:rsid w:val="00AB2152"/>
    <w:rsid w:val="00AB21BE"/>
    <w:rsid w:val="00AB21D0"/>
    <w:rsid w:val="00AB222F"/>
    <w:rsid w:val="00AB229C"/>
    <w:rsid w:val="00AB22B5"/>
    <w:rsid w:val="00AB23CA"/>
    <w:rsid w:val="00AB23CD"/>
    <w:rsid w:val="00AB23E8"/>
    <w:rsid w:val="00AB2434"/>
    <w:rsid w:val="00AB2438"/>
    <w:rsid w:val="00AB2458"/>
    <w:rsid w:val="00AB2468"/>
    <w:rsid w:val="00AB247D"/>
    <w:rsid w:val="00AB24EC"/>
    <w:rsid w:val="00AB24F4"/>
    <w:rsid w:val="00AB258C"/>
    <w:rsid w:val="00AB25C4"/>
    <w:rsid w:val="00AB2646"/>
    <w:rsid w:val="00AB267E"/>
    <w:rsid w:val="00AB267F"/>
    <w:rsid w:val="00AB26E1"/>
    <w:rsid w:val="00AB279F"/>
    <w:rsid w:val="00AB284B"/>
    <w:rsid w:val="00AB2855"/>
    <w:rsid w:val="00AB288C"/>
    <w:rsid w:val="00AB28AC"/>
    <w:rsid w:val="00AB299B"/>
    <w:rsid w:val="00AB29CF"/>
    <w:rsid w:val="00AB2A22"/>
    <w:rsid w:val="00AB2A3B"/>
    <w:rsid w:val="00AB2B36"/>
    <w:rsid w:val="00AB2B56"/>
    <w:rsid w:val="00AB2B6C"/>
    <w:rsid w:val="00AB2B6F"/>
    <w:rsid w:val="00AB2BAC"/>
    <w:rsid w:val="00AB2BD1"/>
    <w:rsid w:val="00AB2BD8"/>
    <w:rsid w:val="00AB2C9F"/>
    <w:rsid w:val="00AB2CAC"/>
    <w:rsid w:val="00AB2CB8"/>
    <w:rsid w:val="00AB2CC2"/>
    <w:rsid w:val="00AB2D92"/>
    <w:rsid w:val="00AB2D99"/>
    <w:rsid w:val="00AB2DD4"/>
    <w:rsid w:val="00AB2DDF"/>
    <w:rsid w:val="00AB2E53"/>
    <w:rsid w:val="00AB2E89"/>
    <w:rsid w:val="00AB2EF8"/>
    <w:rsid w:val="00AB2F1B"/>
    <w:rsid w:val="00AB2F1F"/>
    <w:rsid w:val="00AB2F29"/>
    <w:rsid w:val="00AB2F61"/>
    <w:rsid w:val="00AB2FC1"/>
    <w:rsid w:val="00AB3020"/>
    <w:rsid w:val="00AB30E7"/>
    <w:rsid w:val="00AB30EC"/>
    <w:rsid w:val="00AB3140"/>
    <w:rsid w:val="00AB314C"/>
    <w:rsid w:val="00AB3252"/>
    <w:rsid w:val="00AB3268"/>
    <w:rsid w:val="00AB33A6"/>
    <w:rsid w:val="00AB33CA"/>
    <w:rsid w:val="00AB3402"/>
    <w:rsid w:val="00AB3415"/>
    <w:rsid w:val="00AB3433"/>
    <w:rsid w:val="00AB344E"/>
    <w:rsid w:val="00AB346C"/>
    <w:rsid w:val="00AB3496"/>
    <w:rsid w:val="00AB34B7"/>
    <w:rsid w:val="00AB34C6"/>
    <w:rsid w:val="00AB355F"/>
    <w:rsid w:val="00AB360F"/>
    <w:rsid w:val="00AB3617"/>
    <w:rsid w:val="00AB3633"/>
    <w:rsid w:val="00AB36CD"/>
    <w:rsid w:val="00AB36E6"/>
    <w:rsid w:val="00AB37B9"/>
    <w:rsid w:val="00AB3850"/>
    <w:rsid w:val="00AB385A"/>
    <w:rsid w:val="00AB387C"/>
    <w:rsid w:val="00AB38A5"/>
    <w:rsid w:val="00AB3902"/>
    <w:rsid w:val="00AB397B"/>
    <w:rsid w:val="00AB39E1"/>
    <w:rsid w:val="00AB39EA"/>
    <w:rsid w:val="00AB39EE"/>
    <w:rsid w:val="00AB3A41"/>
    <w:rsid w:val="00AB3A7D"/>
    <w:rsid w:val="00AB3B2D"/>
    <w:rsid w:val="00AB3C05"/>
    <w:rsid w:val="00AB3C1C"/>
    <w:rsid w:val="00AB3C96"/>
    <w:rsid w:val="00AB3CE1"/>
    <w:rsid w:val="00AB3CE3"/>
    <w:rsid w:val="00AB3D0E"/>
    <w:rsid w:val="00AB3D4B"/>
    <w:rsid w:val="00AB3D4F"/>
    <w:rsid w:val="00AB3D75"/>
    <w:rsid w:val="00AB3D95"/>
    <w:rsid w:val="00AB3E54"/>
    <w:rsid w:val="00AB3E74"/>
    <w:rsid w:val="00AB3EBC"/>
    <w:rsid w:val="00AB3ECF"/>
    <w:rsid w:val="00AB3F98"/>
    <w:rsid w:val="00AB425F"/>
    <w:rsid w:val="00AB42F0"/>
    <w:rsid w:val="00AB434D"/>
    <w:rsid w:val="00AB4397"/>
    <w:rsid w:val="00AB4460"/>
    <w:rsid w:val="00AB446E"/>
    <w:rsid w:val="00AB448B"/>
    <w:rsid w:val="00AB44CC"/>
    <w:rsid w:val="00AB4502"/>
    <w:rsid w:val="00AB453B"/>
    <w:rsid w:val="00AB454D"/>
    <w:rsid w:val="00AB45CB"/>
    <w:rsid w:val="00AB4617"/>
    <w:rsid w:val="00AB4623"/>
    <w:rsid w:val="00AB465F"/>
    <w:rsid w:val="00AB46E7"/>
    <w:rsid w:val="00AB47A8"/>
    <w:rsid w:val="00AB4862"/>
    <w:rsid w:val="00AB48C0"/>
    <w:rsid w:val="00AB48FD"/>
    <w:rsid w:val="00AB491D"/>
    <w:rsid w:val="00AB4984"/>
    <w:rsid w:val="00AB49D1"/>
    <w:rsid w:val="00AB49D7"/>
    <w:rsid w:val="00AB4A08"/>
    <w:rsid w:val="00AB4A19"/>
    <w:rsid w:val="00AB4A78"/>
    <w:rsid w:val="00AB4A88"/>
    <w:rsid w:val="00AB4AE4"/>
    <w:rsid w:val="00AB4AE6"/>
    <w:rsid w:val="00AB4AF6"/>
    <w:rsid w:val="00AB4B36"/>
    <w:rsid w:val="00AB4B95"/>
    <w:rsid w:val="00AB4BB5"/>
    <w:rsid w:val="00AB4C00"/>
    <w:rsid w:val="00AB4C4F"/>
    <w:rsid w:val="00AB4D1E"/>
    <w:rsid w:val="00AB4D28"/>
    <w:rsid w:val="00AB4D59"/>
    <w:rsid w:val="00AB4D73"/>
    <w:rsid w:val="00AB4D8B"/>
    <w:rsid w:val="00AB4DAE"/>
    <w:rsid w:val="00AB4DC9"/>
    <w:rsid w:val="00AB4E06"/>
    <w:rsid w:val="00AB4E66"/>
    <w:rsid w:val="00AB4EF0"/>
    <w:rsid w:val="00AB4F18"/>
    <w:rsid w:val="00AB4F48"/>
    <w:rsid w:val="00AB4FB4"/>
    <w:rsid w:val="00AB4FC3"/>
    <w:rsid w:val="00AB500D"/>
    <w:rsid w:val="00AB5020"/>
    <w:rsid w:val="00AB507A"/>
    <w:rsid w:val="00AB50A1"/>
    <w:rsid w:val="00AB50BF"/>
    <w:rsid w:val="00AB50C2"/>
    <w:rsid w:val="00AB50F3"/>
    <w:rsid w:val="00AB510E"/>
    <w:rsid w:val="00AB512B"/>
    <w:rsid w:val="00AB5179"/>
    <w:rsid w:val="00AB5193"/>
    <w:rsid w:val="00AB51AA"/>
    <w:rsid w:val="00AB529F"/>
    <w:rsid w:val="00AB5304"/>
    <w:rsid w:val="00AB5321"/>
    <w:rsid w:val="00AB5351"/>
    <w:rsid w:val="00AB535C"/>
    <w:rsid w:val="00AB5367"/>
    <w:rsid w:val="00AB5382"/>
    <w:rsid w:val="00AB5391"/>
    <w:rsid w:val="00AB53B7"/>
    <w:rsid w:val="00AB53FE"/>
    <w:rsid w:val="00AB540D"/>
    <w:rsid w:val="00AB5425"/>
    <w:rsid w:val="00AB5440"/>
    <w:rsid w:val="00AB5441"/>
    <w:rsid w:val="00AB54A2"/>
    <w:rsid w:val="00AB54D8"/>
    <w:rsid w:val="00AB552A"/>
    <w:rsid w:val="00AB557E"/>
    <w:rsid w:val="00AB55D3"/>
    <w:rsid w:val="00AB55DC"/>
    <w:rsid w:val="00AB5643"/>
    <w:rsid w:val="00AB5662"/>
    <w:rsid w:val="00AB575C"/>
    <w:rsid w:val="00AB57C4"/>
    <w:rsid w:val="00AB5880"/>
    <w:rsid w:val="00AB597A"/>
    <w:rsid w:val="00AB59AC"/>
    <w:rsid w:val="00AB5AB4"/>
    <w:rsid w:val="00AB5AD8"/>
    <w:rsid w:val="00AB5AF9"/>
    <w:rsid w:val="00AB5B73"/>
    <w:rsid w:val="00AB5BA0"/>
    <w:rsid w:val="00AB5BC6"/>
    <w:rsid w:val="00AB5BC9"/>
    <w:rsid w:val="00AB5BF4"/>
    <w:rsid w:val="00AB5BF8"/>
    <w:rsid w:val="00AB5C2F"/>
    <w:rsid w:val="00AB5CB1"/>
    <w:rsid w:val="00AB5CC8"/>
    <w:rsid w:val="00AB5CDE"/>
    <w:rsid w:val="00AB5D5C"/>
    <w:rsid w:val="00AB5DDB"/>
    <w:rsid w:val="00AB5DDF"/>
    <w:rsid w:val="00AB5DE7"/>
    <w:rsid w:val="00AB5E31"/>
    <w:rsid w:val="00AB5EF0"/>
    <w:rsid w:val="00AB5F02"/>
    <w:rsid w:val="00AB5F4E"/>
    <w:rsid w:val="00AB5F68"/>
    <w:rsid w:val="00AB5FD7"/>
    <w:rsid w:val="00AB5FEF"/>
    <w:rsid w:val="00AB5FF7"/>
    <w:rsid w:val="00AB5FFC"/>
    <w:rsid w:val="00AB601D"/>
    <w:rsid w:val="00AB60D1"/>
    <w:rsid w:val="00AB623F"/>
    <w:rsid w:val="00AB6275"/>
    <w:rsid w:val="00AB62AF"/>
    <w:rsid w:val="00AB6371"/>
    <w:rsid w:val="00AB63BD"/>
    <w:rsid w:val="00AB642E"/>
    <w:rsid w:val="00AB65CB"/>
    <w:rsid w:val="00AB65DA"/>
    <w:rsid w:val="00AB6604"/>
    <w:rsid w:val="00AB660D"/>
    <w:rsid w:val="00AB6619"/>
    <w:rsid w:val="00AB6721"/>
    <w:rsid w:val="00AB6791"/>
    <w:rsid w:val="00AB67D6"/>
    <w:rsid w:val="00AB6831"/>
    <w:rsid w:val="00AB691A"/>
    <w:rsid w:val="00AB69E8"/>
    <w:rsid w:val="00AB6A48"/>
    <w:rsid w:val="00AB6AFC"/>
    <w:rsid w:val="00AB6B86"/>
    <w:rsid w:val="00AB6BD0"/>
    <w:rsid w:val="00AB6C42"/>
    <w:rsid w:val="00AB6C43"/>
    <w:rsid w:val="00AB6C60"/>
    <w:rsid w:val="00AB6C6A"/>
    <w:rsid w:val="00AB6C88"/>
    <w:rsid w:val="00AB6CF8"/>
    <w:rsid w:val="00AB6D4F"/>
    <w:rsid w:val="00AB6D66"/>
    <w:rsid w:val="00AB6DB9"/>
    <w:rsid w:val="00AB6ECC"/>
    <w:rsid w:val="00AB6F17"/>
    <w:rsid w:val="00AB6F1C"/>
    <w:rsid w:val="00AB6F66"/>
    <w:rsid w:val="00AB6F87"/>
    <w:rsid w:val="00AB6F9D"/>
    <w:rsid w:val="00AB6FBF"/>
    <w:rsid w:val="00AB706B"/>
    <w:rsid w:val="00AB7086"/>
    <w:rsid w:val="00AB7146"/>
    <w:rsid w:val="00AB719C"/>
    <w:rsid w:val="00AB71C0"/>
    <w:rsid w:val="00AB71F4"/>
    <w:rsid w:val="00AB7272"/>
    <w:rsid w:val="00AB7335"/>
    <w:rsid w:val="00AB7397"/>
    <w:rsid w:val="00AB73B1"/>
    <w:rsid w:val="00AB741A"/>
    <w:rsid w:val="00AB7424"/>
    <w:rsid w:val="00AB742D"/>
    <w:rsid w:val="00AB7451"/>
    <w:rsid w:val="00AB74A2"/>
    <w:rsid w:val="00AB750F"/>
    <w:rsid w:val="00AB7515"/>
    <w:rsid w:val="00AB753B"/>
    <w:rsid w:val="00AB754C"/>
    <w:rsid w:val="00AB7639"/>
    <w:rsid w:val="00AB76A4"/>
    <w:rsid w:val="00AB76E0"/>
    <w:rsid w:val="00AB7783"/>
    <w:rsid w:val="00AB7793"/>
    <w:rsid w:val="00AB779D"/>
    <w:rsid w:val="00AB77D0"/>
    <w:rsid w:val="00AB77F9"/>
    <w:rsid w:val="00AB78E0"/>
    <w:rsid w:val="00AB78F2"/>
    <w:rsid w:val="00AB78FF"/>
    <w:rsid w:val="00AB79CC"/>
    <w:rsid w:val="00AB7A00"/>
    <w:rsid w:val="00AB7A0A"/>
    <w:rsid w:val="00AB7A48"/>
    <w:rsid w:val="00AB7A88"/>
    <w:rsid w:val="00AB7A8A"/>
    <w:rsid w:val="00AB7ACD"/>
    <w:rsid w:val="00AB7B72"/>
    <w:rsid w:val="00AB7BD0"/>
    <w:rsid w:val="00AB7BE9"/>
    <w:rsid w:val="00AB7C0B"/>
    <w:rsid w:val="00AB7C68"/>
    <w:rsid w:val="00AB7CBF"/>
    <w:rsid w:val="00AB7D8F"/>
    <w:rsid w:val="00AB7DD5"/>
    <w:rsid w:val="00AB7E2E"/>
    <w:rsid w:val="00AB7E67"/>
    <w:rsid w:val="00AB7E74"/>
    <w:rsid w:val="00AB7EC7"/>
    <w:rsid w:val="00AB7EE1"/>
    <w:rsid w:val="00AB7FC3"/>
    <w:rsid w:val="00AB7FF4"/>
    <w:rsid w:val="00AC001A"/>
    <w:rsid w:val="00AC0058"/>
    <w:rsid w:val="00AC0069"/>
    <w:rsid w:val="00AC012F"/>
    <w:rsid w:val="00AC0184"/>
    <w:rsid w:val="00AC0223"/>
    <w:rsid w:val="00AC0233"/>
    <w:rsid w:val="00AC0287"/>
    <w:rsid w:val="00AC029B"/>
    <w:rsid w:val="00AC029E"/>
    <w:rsid w:val="00AC02C7"/>
    <w:rsid w:val="00AC02D9"/>
    <w:rsid w:val="00AC02DC"/>
    <w:rsid w:val="00AC03C3"/>
    <w:rsid w:val="00AC041D"/>
    <w:rsid w:val="00AC0484"/>
    <w:rsid w:val="00AC04B8"/>
    <w:rsid w:val="00AC04F5"/>
    <w:rsid w:val="00AC0532"/>
    <w:rsid w:val="00AC05B2"/>
    <w:rsid w:val="00AC05BF"/>
    <w:rsid w:val="00AC0627"/>
    <w:rsid w:val="00AC0692"/>
    <w:rsid w:val="00AC06A7"/>
    <w:rsid w:val="00AC06D4"/>
    <w:rsid w:val="00AC072E"/>
    <w:rsid w:val="00AC075C"/>
    <w:rsid w:val="00AC07B3"/>
    <w:rsid w:val="00AC07B6"/>
    <w:rsid w:val="00AC083D"/>
    <w:rsid w:val="00AC0845"/>
    <w:rsid w:val="00AC0875"/>
    <w:rsid w:val="00AC0AF5"/>
    <w:rsid w:val="00AC0B08"/>
    <w:rsid w:val="00AC0B6C"/>
    <w:rsid w:val="00AC0B83"/>
    <w:rsid w:val="00AC0BD2"/>
    <w:rsid w:val="00AC0BF2"/>
    <w:rsid w:val="00AC0C2A"/>
    <w:rsid w:val="00AC0CC3"/>
    <w:rsid w:val="00AC0EDF"/>
    <w:rsid w:val="00AC0F06"/>
    <w:rsid w:val="00AC0F56"/>
    <w:rsid w:val="00AC0FF4"/>
    <w:rsid w:val="00AC1061"/>
    <w:rsid w:val="00AC10BD"/>
    <w:rsid w:val="00AC10D8"/>
    <w:rsid w:val="00AC10DA"/>
    <w:rsid w:val="00AC10DF"/>
    <w:rsid w:val="00AC1157"/>
    <w:rsid w:val="00AC11A5"/>
    <w:rsid w:val="00AC11AB"/>
    <w:rsid w:val="00AC11B1"/>
    <w:rsid w:val="00AC1219"/>
    <w:rsid w:val="00AC1229"/>
    <w:rsid w:val="00AC1265"/>
    <w:rsid w:val="00AC1321"/>
    <w:rsid w:val="00AC1345"/>
    <w:rsid w:val="00AC1388"/>
    <w:rsid w:val="00AC13BD"/>
    <w:rsid w:val="00AC140C"/>
    <w:rsid w:val="00AC1415"/>
    <w:rsid w:val="00AC142F"/>
    <w:rsid w:val="00AC14F6"/>
    <w:rsid w:val="00AC153A"/>
    <w:rsid w:val="00AC1569"/>
    <w:rsid w:val="00AC16A9"/>
    <w:rsid w:val="00AC1755"/>
    <w:rsid w:val="00AC17CE"/>
    <w:rsid w:val="00AC18F2"/>
    <w:rsid w:val="00AC1AA1"/>
    <w:rsid w:val="00AC1AB3"/>
    <w:rsid w:val="00AC1B10"/>
    <w:rsid w:val="00AC1BBA"/>
    <w:rsid w:val="00AC1C68"/>
    <w:rsid w:val="00AC1D54"/>
    <w:rsid w:val="00AC1D6D"/>
    <w:rsid w:val="00AC1D8A"/>
    <w:rsid w:val="00AC1E28"/>
    <w:rsid w:val="00AC1E50"/>
    <w:rsid w:val="00AC1E57"/>
    <w:rsid w:val="00AC1EAD"/>
    <w:rsid w:val="00AC1EB8"/>
    <w:rsid w:val="00AC1F06"/>
    <w:rsid w:val="00AC1F24"/>
    <w:rsid w:val="00AC1F71"/>
    <w:rsid w:val="00AC1F81"/>
    <w:rsid w:val="00AC201B"/>
    <w:rsid w:val="00AC2070"/>
    <w:rsid w:val="00AC207E"/>
    <w:rsid w:val="00AC215A"/>
    <w:rsid w:val="00AC2168"/>
    <w:rsid w:val="00AC217D"/>
    <w:rsid w:val="00AC21AC"/>
    <w:rsid w:val="00AC21B8"/>
    <w:rsid w:val="00AC21DA"/>
    <w:rsid w:val="00AC22CB"/>
    <w:rsid w:val="00AC22E7"/>
    <w:rsid w:val="00AC22FF"/>
    <w:rsid w:val="00AC2399"/>
    <w:rsid w:val="00AC23A8"/>
    <w:rsid w:val="00AC2459"/>
    <w:rsid w:val="00AC2460"/>
    <w:rsid w:val="00AC248D"/>
    <w:rsid w:val="00AC24B6"/>
    <w:rsid w:val="00AC24FD"/>
    <w:rsid w:val="00AC25D1"/>
    <w:rsid w:val="00AC25D8"/>
    <w:rsid w:val="00AC2688"/>
    <w:rsid w:val="00AC2689"/>
    <w:rsid w:val="00AC26AB"/>
    <w:rsid w:val="00AC26BD"/>
    <w:rsid w:val="00AC2735"/>
    <w:rsid w:val="00AC277A"/>
    <w:rsid w:val="00AC27B0"/>
    <w:rsid w:val="00AC27C1"/>
    <w:rsid w:val="00AC2816"/>
    <w:rsid w:val="00AC286E"/>
    <w:rsid w:val="00AC28F5"/>
    <w:rsid w:val="00AC2905"/>
    <w:rsid w:val="00AC2957"/>
    <w:rsid w:val="00AC2960"/>
    <w:rsid w:val="00AC29A2"/>
    <w:rsid w:val="00AC29D3"/>
    <w:rsid w:val="00AC2B6D"/>
    <w:rsid w:val="00AC2BAC"/>
    <w:rsid w:val="00AC2BD8"/>
    <w:rsid w:val="00AC2C3C"/>
    <w:rsid w:val="00AC2C8D"/>
    <w:rsid w:val="00AC2DB8"/>
    <w:rsid w:val="00AC2DD2"/>
    <w:rsid w:val="00AC2E52"/>
    <w:rsid w:val="00AC2E8B"/>
    <w:rsid w:val="00AC2ED0"/>
    <w:rsid w:val="00AC2F52"/>
    <w:rsid w:val="00AC2F9D"/>
    <w:rsid w:val="00AC301B"/>
    <w:rsid w:val="00AC3031"/>
    <w:rsid w:val="00AC3038"/>
    <w:rsid w:val="00AC306E"/>
    <w:rsid w:val="00AC308F"/>
    <w:rsid w:val="00AC3121"/>
    <w:rsid w:val="00AC3177"/>
    <w:rsid w:val="00AC31D8"/>
    <w:rsid w:val="00AC321C"/>
    <w:rsid w:val="00AC3315"/>
    <w:rsid w:val="00AC33B9"/>
    <w:rsid w:val="00AC33EB"/>
    <w:rsid w:val="00AC343A"/>
    <w:rsid w:val="00AC34B4"/>
    <w:rsid w:val="00AC351E"/>
    <w:rsid w:val="00AC352F"/>
    <w:rsid w:val="00AC35C4"/>
    <w:rsid w:val="00AC35F7"/>
    <w:rsid w:val="00AC36D8"/>
    <w:rsid w:val="00AC3764"/>
    <w:rsid w:val="00AC37B8"/>
    <w:rsid w:val="00AC37DF"/>
    <w:rsid w:val="00AC3832"/>
    <w:rsid w:val="00AC3833"/>
    <w:rsid w:val="00AC3899"/>
    <w:rsid w:val="00AC38A1"/>
    <w:rsid w:val="00AC38C1"/>
    <w:rsid w:val="00AC38EF"/>
    <w:rsid w:val="00AC3925"/>
    <w:rsid w:val="00AC39CE"/>
    <w:rsid w:val="00AC39EB"/>
    <w:rsid w:val="00AC39EF"/>
    <w:rsid w:val="00AC3A6C"/>
    <w:rsid w:val="00AC3A78"/>
    <w:rsid w:val="00AC3A9D"/>
    <w:rsid w:val="00AC3ACE"/>
    <w:rsid w:val="00AC3AF6"/>
    <w:rsid w:val="00AC3B3B"/>
    <w:rsid w:val="00AC3C59"/>
    <w:rsid w:val="00AC3C68"/>
    <w:rsid w:val="00AC3C8C"/>
    <w:rsid w:val="00AC3CE7"/>
    <w:rsid w:val="00AC3D54"/>
    <w:rsid w:val="00AC3DAE"/>
    <w:rsid w:val="00AC3EEF"/>
    <w:rsid w:val="00AC3FB5"/>
    <w:rsid w:val="00AC4085"/>
    <w:rsid w:val="00AC40C9"/>
    <w:rsid w:val="00AC40D3"/>
    <w:rsid w:val="00AC40DE"/>
    <w:rsid w:val="00AC4160"/>
    <w:rsid w:val="00AC417B"/>
    <w:rsid w:val="00AC4198"/>
    <w:rsid w:val="00AC422A"/>
    <w:rsid w:val="00AC4249"/>
    <w:rsid w:val="00AC42B9"/>
    <w:rsid w:val="00AC42D7"/>
    <w:rsid w:val="00AC4334"/>
    <w:rsid w:val="00AC4342"/>
    <w:rsid w:val="00AC43A8"/>
    <w:rsid w:val="00AC44AA"/>
    <w:rsid w:val="00AC4521"/>
    <w:rsid w:val="00AC4589"/>
    <w:rsid w:val="00AC45DF"/>
    <w:rsid w:val="00AC4672"/>
    <w:rsid w:val="00AC46D7"/>
    <w:rsid w:val="00AC4713"/>
    <w:rsid w:val="00AC476E"/>
    <w:rsid w:val="00AC47E8"/>
    <w:rsid w:val="00AC47F1"/>
    <w:rsid w:val="00AC4872"/>
    <w:rsid w:val="00AC48F2"/>
    <w:rsid w:val="00AC4917"/>
    <w:rsid w:val="00AC493E"/>
    <w:rsid w:val="00AC4958"/>
    <w:rsid w:val="00AC4A02"/>
    <w:rsid w:val="00AC4BA5"/>
    <w:rsid w:val="00AC4BC4"/>
    <w:rsid w:val="00AC4C48"/>
    <w:rsid w:val="00AC4C74"/>
    <w:rsid w:val="00AC4CB0"/>
    <w:rsid w:val="00AC4CB5"/>
    <w:rsid w:val="00AC4D38"/>
    <w:rsid w:val="00AC4D4B"/>
    <w:rsid w:val="00AC4D4D"/>
    <w:rsid w:val="00AC4D94"/>
    <w:rsid w:val="00AC4E33"/>
    <w:rsid w:val="00AC4E87"/>
    <w:rsid w:val="00AC4EF1"/>
    <w:rsid w:val="00AC4FC2"/>
    <w:rsid w:val="00AC4FCD"/>
    <w:rsid w:val="00AC5013"/>
    <w:rsid w:val="00AC5044"/>
    <w:rsid w:val="00AC50C4"/>
    <w:rsid w:val="00AC50CE"/>
    <w:rsid w:val="00AC50DD"/>
    <w:rsid w:val="00AC5141"/>
    <w:rsid w:val="00AC52E1"/>
    <w:rsid w:val="00AC541D"/>
    <w:rsid w:val="00AC5421"/>
    <w:rsid w:val="00AC54D7"/>
    <w:rsid w:val="00AC5547"/>
    <w:rsid w:val="00AC555D"/>
    <w:rsid w:val="00AC55BD"/>
    <w:rsid w:val="00AC55C2"/>
    <w:rsid w:val="00AC567C"/>
    <w:rsid w:val="00AC56B4"/>
    <w:rsid w:val="00AC5752"/>
    <w:rsid w:val="00AC5770"/>
    <w:rsid w:val="00AC5847"/>
    <w:rsid w:val="00AC5859"/>
    <w:rsid w:val="00AC5867"/>
    <w:rsid w:val="00AC58D2"/>
    <w:rsid w:val="00AC590A"/>
    <w:rsid w:val="00AC5963"/>
    <w:rsid w:val="00AC5968"/>
    <w:rsid w:val="00AC59E5"/>
    <w:rsid w:val="00AC59F4"/>
    <w:rsid w:val="00AC5A7E"/>
    <w:rsid w:val="00AC5A8B"/>
    <w:rsid w:val="00AC5A8F"/>
    <w:rsid w:val="00AC5AE7"/>
    <w:rsid w:val="00AC5B34"/>
    <w:rsid w:val="00AC5BAE"/>
    <w:rsid w:val="00AC5C54"/>
    <w:rsid w:val="00AC5CA0"/>
    <w:rsid w:val="00AC5D6F"/>
    <w:rsid w:val="00AC5DFD"/>
    <w:rsid w:val="00AC5E00"/>
    <w:rsid w:val="00AC5E25"/>
    <w:rsid w:val="00AC5F2A"/>
    <w:rsid w:val="00AC5F38"/>
    <w:rsid w:val="00AC5FFD"/>
    <w:rsid w:val="00AC60C7"/>
    <w:rsid w:val="00AC60D5"/>
    <w:rsid w:val="00AC60DC"/>
    <w:rsid w:val="00AC60E4"/>
    <w:rsid w:val="00AC612E"/>
    <w:rsid w:val="00AC615B"/>
    <w:rsid w:val="00AC62DF"/>
    <w:rsid w:val="00AC630D"/>
    <w:rsid w:val="00AC6359"/>
    <w:rsid w:val="00AC637D"/>
    <w:rsid w:val="00AC63AF"/>
    <w:rsid w:val="00AC6417"/>
    <w:rsid w:val="00AC641B"/>
    <w:rsid w:val="00AC643C"/>
    <w:rsid w:val="00AC6556"/>
    <w:rsid w:val="00AC65D6"/>
    <w:rsid w:val="00AC65FD"/>
    <w:rsid w:val="00AC662F"/>
    <w:rsid w:val="00AC6650"/>
    <w:rsid w:val="00AC671D"/>
    <w:rsid w:val="00AC675E"/>
    <w:rsid w:val="00AC6764"/>
    <w:rsid w:val="00AC6837"/>
    <w:rsid w:val="00AC684F"/>
    <w:rsid w:val="00AC690C"/>
    <w:rsid w:val="00AC690E"/>
    <w:rsid w:val="00AC6923"/>
    <w:rsid w:val="00AC6949"/>
    <w:rsid w:val="00AC696D"/>
    <w:rsid w:val="00AC699D"/>
    <w:rsid w:val="00AC69BB"/>
    <w:rsid w:val="00AC6A56"/>
    <w:rsid w:val="00AC6A5B"/>
    <w:rsid w:val="00AC6A60"/>
    <w:rsid w:val="00AC6A61"/>
    <w:rsid w:val="00AC6A86"/>
    <w:rsid w:val="00AC6AEF"/>
    <w:rsid w:val="00AC6B18"/>
    <w:rsid w:val="00AC6BE1"/>
    <w:rsid w:val="00AC6C0C"/>
    <w:rsid w:val="00AC6C14"/>
    <w:rsid w:val="00AC6C31"/>
    <w:rsid w:val="00AC6C67"/>
    <w:rsid w:val="00AC6C8F"/>
    <w:rsid w:val="00AC6C94"/>
    <w:rsid w:val="00AC6CD2"/>
    <w:rsid w:val="00AC6D49"/>
    <w:rsid w:val="00AC6F35"/>
    <w:rsid w:val="00AC6F4D"/>
    <w:rsid w:val="00AC6F98"/>
    <w:rsid w:val="00AC6FAA"/>
    <w:rsid w:val="00AC6FAE"/>
    <w:rsid w:val="00AC6FD0"/>
    <w:rsid w:val="00AC6FFC"/>
    <w:rsid w:val="00AC703C"/>
    <w:rsid w:val="00AC7041"/>
    <w:rsid w:val="00AC7053"/>
    <w:rsid w:val="00AC710A"/>
    <w:rsid w:val="00AC7111"/>
    <w:rsid w:val="00AC7125"/>
    <w:rsid w:val="00AC71BC"/>
    <w:rsid w:val="00AC71DA"/>
    <w:rsid w:val="00AC7248"/>
    <w:rsid w:val="00AC72A6"/>
    <w:rsid w:val="00AC72D1"/>
    <w:rsid w:val="00AC72D3"/>
    <w:rsid w:val="00AC7312"/>
    <w:rsid w:val="00AC738B"/>
    <w:rsid w:val="00AC73BC"/>
    <w:rsid w:val="00AC73E7"/>
    <w:rsid w:val="00AC73EF"/>
    <w:rsid w:val="00AC746F"/>
    <w:rsid w:val="00AC74CC"/>
    <w:rsid w:val="00AC7529"/>
    <w:rsid w:val="00AC75C1"/>
    <w:rsid w:val="00AC75EA"/>
    <w:rsid w:val="00AC7653"/>
    <w:rsid w:val="00AC767D"/>
    <w:rsid w:val="00AC772A"/>
    <w:rsid w:val="00AC77A9"/>
    <w:rsid w:val="00AC782C"/>
    <w:rsid w:val="00AC786E"/>
    <w:rsid w:val="00AC793E"/>
    <w:rsid w:val="00AC79B3"/>
    <w:rsid w:val="00AC79D9"/>
    <w:rsid w:val="00AC79FB"/>
    <w:rsid w:val="00AC7A90"/>
    <w:rsid w:val="00AC7B0D"/>
    <w:rsid w:val="00AC7B2D"/>
    <w:rsid w:val="00AC7B72"/>
    <w:rsid w:val="00AC7BC5"/>
    <w:rsid w:val="00AC7BCF"/>
    <w:rsid w:val="00AC7C0B"/>
    <w:rsid w:val="00AC7C16"/>
    <w:rsid w:val="00AC7CF7"/>
    <w:rsid w:val="00AC7D8F"/>
    <w:rsid w:val="00AC7DAE"/>
    <w:rsid w:val="00AC7E4C"/>
    <w:rsid w:val="00AC7E62"/>
    <w:rsid w:val="00AC7E6E"/>
    <w:rsid w:val="00AC7E7E"/>
    <w:rsid w:val="00AC7EE9"/>
    <w:rsid w:val="00AC7F70"/>
    <w:rsid w:val="00AD00C9"/>
    <w:rsid w:val="00AD00CB"/>
    <w:rsid w:val="00AD0122"/>
    <w:rsid w:val="00AD013A"/>
    <w:rsid w:val="00AD01AC"/>
    <w:rsid w:val="00AD01C9"/>
    <w:rsid w:val="00AD0202"/>
    <w:rsid w:val="00AD0208"/>
    <w:rsid w:val="00AD020E"/>
    <w:rsid w:val="00AD021B"/>
    <w:rsid w:val="00AD02CC"/>
    <w:rsid w:val="00AD03F0"/>
    <w:rsid w:val="00AD04A0"/>
    <w:rsid w:val="00AD04B1"/>
    <w:rsid w:val="00AD0560"/>
    <w:rsid w:val="00AD058B"/>
    <w:rsid w:val="00AD0641"/>
    <w:rsid w:val="00AD066B"/>
    <w:rsid w:val="00AD0671"/>
    <w:rsid w:val="00AD0697"/>
    <w:rsid w:val="00AD06A3"/>
    <w:rsid w:val="00AD0726"/>
    <w:rsid w:val="00AD076C"/>
    <w:rsid w:val="00AD07BF"/>
    <w:rsid w:val="00AD087D"/>
    <w:rsid w:val="00AD0889"/>
    <w:rsid w:val="00AD08E0"/>
    <w:rsid w:val="00AD08F5"/>
    <w:rsid w:val="00AD094D"/>
    <w:rsid w:val="00AD096F"/>
    <w:rsid w:val="00AD09AE"/>
    <w:rsid w:val="00AD09B8"/>
    <w:rsid w:val="00AD0A07"/>
    <w:rsid w:val="00AD0A2C"/>
    <w:rsid w:val="00AD0A4E"/>
    <w:rsid w:val="00AD0A73"/>
    <w:rsid w:val="00AD0AD5"/>
    <w:rsid w:val="00AD0B4D"/>
    <w:rsid w:val="00AD0BBE"/>
    <w:rsid w:val="00AD0BEE"/>
    <w:rsid w:val="00AD0C05"/>
    <w:rsid w:val="00AD0C24"/>
    <w:rsid w:val="00AD0D03"/>
    <w:rsid w:val="00AD0DAA"/>
    <w:rsid w:val="00AD0E32"/>
    <w:rsid w:val="00AD0E43"/>
    <w:rsid w:val="00AD0EE7"/>
    <w:rsid w:val="00AD0EE8"/>
    <w:rsid w:val="00AD0EFA"/>
    <w:rsid w:val="00AD0F17"/>
    <w:rsid w:val="00AD104F"/>
    <w:rsid w:val="00AD107E"/>
    <w:rsid w:val="00AD10D6"/>
    <w:rsid w:val="00AD1120"/>
    <w:rsid w:val="00AD114C"/>
    <w:rsid w:val="00AD1155"/>
    <w:rsid w:val="00AD1179"/>
    <w:rsid w:val="00AD117C"/>
    <w:rsid w:val="00AD122F"/>
    <w:rsid w:val="00AD124F"/>
    <w:rsid w:val="00AD131B"/>
    <w:rsid w:val="00AD1391"/>
    <w:rsid w:val="00AD1412"/>
    <w:rsid w:val="00AD1446"/>
    <w:rsid w:val="00AD1594"/>
    <w:rsid w:val="00AD15E0"/>
    <w:rsid w:val="00AD1662"/>
    <w:rsid w:val="00AD1668"/>
    <w:rsid w:val="00AD16EF"/>
    <w:rsid w:val="00AD1797"/>
    <w:rsid w:val="00AD1798"/>
    <w:rsid w:val="00AD1815"/>
    <w:rsid w:val="00AD182B"/>
    <w:rsid w:val="00AD185F"/>
    <w:rsid w:val="00AD19C1"/>
    <w:rsid w:val="00AD19CA"/>
    <w:rsid w:val="00AD1A09"/>
    <w:rsid w:val="00AD1A0C"/>
    <w:rsid w:val="00AD1A1A"/>
    <w:rsid w:val="00AD1AD5"/>
    <w:rsid w:val="00AD1B48"/>
    <w:rsid w:val="00AD1B64"/>
    <w:rsid w:val="00AD1B93"/>
    <w:rsid w:val="00AD1BB5"/>
    <w:rsid w:val="00AD1BF2"/>
    <w:rsid w:val="00AD1C05"/>
    <w:rsid w:val="00AD1C16"/>
    <w:rsid w:val="00AD1CDA"/>
    <w:rsid w:val="00AD1D07"/>
    <w:rsid w:val="00AD1D61"/>
    <w:rsid w:val="00AD1DA0"/>
    <w:rsid w:val="00AD1E12"/>
    <w:rsid w:val="00AD1E1B"/>
    <w:rsid w:val="00AD1E64"/>
    <w:rsid w:val="00AD1EB6"/>
    <w:rsid w:val="00AD1EC9"/>
    <w:rsid w:val="00AD1F02"/>
    <w:rsid w:val="00AD1F47"/>
    <w:rsid w:val="00AD1F53"/>
    <w:rsid w:val="00AD1F88"/>
    <w:rsid w:val="00AD1FE3"/>
    <w:rsid w:val="00AD2026"/>
    <w:rsid w:val="00AD2028"/>
    <w:rsid w:val="00AD203B"/>
    <w:rsid w:val="00AD2081"/>
    <w:rsid w:val="00AD2084"/>
    <w:rsid w:val="00AD2086"/>
    <w:rsid w:val="00AD2099"/>
    <w:rsid w:val="00AD20DE"/>
    <w:rsid w:val="00AD20F6"/>
    <w:rsid w:val="00AD210F"/>
    <w:rsid w:val="00AD2143"/>
    <w:rsid w:val="00AD2171"/>
    <w:rsid w:val="00AD21D0"/>
    <w:rsid w:val="00AD21DB"/>
    <w:rsid w:val="00AD2204"/>
    <w:rsid w:val="00AD220F"/>
    <w:rsid w:val="00AD2279"/>
    <w:rsid w:val="00AD227B"/>
    <w:rsid w:val="00AD22D2"/>
    <w:rsid w:val="00AD2308"/>
    <w:rsid w:val="00AD2313"/>
    <w:rsid w:val="00AD2370"/>
    <w:rsid w:val="00AD2388"/>
    <w:rsid w:val="00AD2446"/>
    <w:rsid w:val="00AD24A5"/>
    <w:rsid w:val="00AD24B5"/>
    <w:rsid w:val="00AD24E9"/>
    <w:rsid w:val="00AD24F7"/>
    <w:rsid w:val="00AD2556"/>
    <w:rsid w:val="00AD256E"/>
    <w:rsid w:val="00AD2668"/>
    <w:rsid w:val="00AD269B"/>
    <w:rsid w:val="00AD26E8"/>
    <w:rsid w:val="00AD272D"/>
    <w:rsid w:val="00AD2789"/>
    <w:rsid w:val="00AD28EC"/>
    <w:rsid w:val="00AD2999"/>
    <w:rsid w:val="00AD29D3"/>
    <w:rsid w:val="00AD29F6"/>
    <w:rsid w:val="00AD2A48"/>
    <w:rsid w:val="00AD2A61"/>
    <w:rsid w:val="00AD2AA1"/>
    <w:rsid w:val="00AD2AB8"/>
    <w:rsid w:val="00AD2ADD"/>
    <w:rsid w:val="00AD2AF3"/>
    <w:rsid w:val="00AD2B1E"/>
    <w:rsid w:val="00AD2B59"/>
    <w:rsid w:val="00AD2C5C"/>
    <w:rsid w:val="00AD2C7F"/>
    <w:rsid w:val="00AD2C8B"/>
    <w:rsid w:val="00AD2C97"/>
    <w:rsid w:val="00AD2C9A"/>
    <w:rsid w:val="00AD2CB4"/>
    <w:rsid w:val="00AD2CF2"/>
    <w:rsid w:val="00AD2E43"/>
    <w:rsid w:val="00AD2E78"/>
    <w:rsid w:val="00AD2F25"/>
    <w:rsid w:val="00AD2F9E"/>
    <w:rsid w:val="00AD2FA9"/>
    <w:rsid w:val="00AD2FC4"/>
    <w:rsid w:val="00AD304D"/>
    <w:rsid w:val="00AD30BA"/>
    <w:rsid w:val="00AD30E5"/>
    <w:rsid w:val="00AD3130"/>
    <w:rsid w:val="00AD3196"/>
    <w:rsid w:val="00AD31C8"/>
    <w:rsid w:val="00AD3336"/>
    <w:rsid w:val="00AD335A"/>
    <w:rsid w:val="00AD3393"/>
    <w:rsid w:val="00AD33DA"/>
    <w:rsid w:val="00AD3405"/>
    <w:rsid w:val="00AD341B"/>
    <w:rsid w:val="00AD3430"/>
    <w:rsid w:val="00AD34DF"/>
    <w:rsid w:val="00AD354D"/>
    <w:rsid w:val="00AD35EE"/>
    <w:rsid w:val="00AD3624"/>
    <w:rsid w:val="00AD3659"/>
    <w:rsid w:val="00AD365F"/>
    <w:rsid w:val="00AD36BD"/>
    <w:rsid w:val="00AD36E9"/>
    <w:rsid w:val="00AD3792"/>
    <w:rsid w:val="00AD37CF"/>
    <w:rsid w:val="00AD3843"/>
    <w:rsid w:val="00AD3883"/>
    <w:rsid w:val="00AD38A2"/>
    <w:rsid w:val="00AD3944"/>
    <w:rsid w:val="00AD396A"/>
    <w:rsid w:val="00AD39CF"/>
    <w:rsid w:val="00AD3A08"/>
    <w:rsid w:val="00AD3A59"/>
    <w:rsid w:val="00AD3AB7"/>
    <w:rsid w:val="00AD3AD6"/>
    <w:rsid w:val="00AD3AE5"/>
    <w:rsid w:val="00AD3AEA"/>
    <w:rsid w:val="00AD3B83"/>
    <w:rsid w:val="00AD3B91"/>
    <w:rsid w:val="00AD3BB7"/>
    <w:rsid w:val="00AD3BCB"/>
    <w:rsid w:val="00AD3C7B"/>
    <w:rsid w:val="00AD3D6F"/>
    <w:rsid w:val="00AD3D8B"/>
    <w:rsid w:val="00AD3D8F"/>
    <w:rsid w:val="00AD3DA1"/>
    <w:rsid w:val="00AD3DB4"/>
    <w:rsid w:val="00AD3E3C"/>
    <w:rsid w:val="00AD3E46"/>
    <w:rsid w:val="00AD3F2F"/>
    <w:rsid w:val="00AD401C"/>
    <w:rsid w:val="00AD403B"/>
    <w:rsid w:val="00AD406A"/>
    <w:rsid w:val="00AD4103"/>
    <w:rsid w:val="00AD4116"/>
    <w:rsid w:val="00AD418D"/>
    <w:rsid w:val="00AD41D7"/>
    <w:rsid w:val="00AD421F"/>
    <w:rsid w:val="00AD42A1"/>
    <w:rsid w:val="00AD42A5"/>
    <w:rsid w:val="00AD42DA"/>
    <w:rsid w:val="00AD437A"/>
    <w:rsid w:val="00AD4389"/>
    <w:rsid w:val="00AD4396"/>
    <w:rsid w:val="00AD43E7"/>
    <w:rsid w:val="00AD441B"/>
    <w:rsid w:val="00AD44A1"/>
    <w:rsid w:val="00AD44AB"/>
    <w:rsid w:val="00AD454B"/>
    <w:rsid w:val="00AD460C"/>
    <w:rsid w:val="00AD4666"/>
    <w:rsid w:val="00AD479D"/>
    <w:rsid w:val="00AD47CB"/>
    <w:rsid w:val="00AD480C"/>
    <w:rsid w:val="00AD483B"/>
    <w:rsid w:val="00AD4847"/>
    <w:rsid w:val="00AD4884"/>
    <w:rsid w:val="00AD488B"/>
    <w:rsid w:val="00AD49A4"/>
    <w:rsid w:val="00AD49AD"/>
    <w:rsid w:val="00AD49C3"/>
    <w:rsid w:val="00AD4A18"/>
    <w:rsid w:val="00AD4B77"/>
    <w:rsid w:val="00AD4B95"/>
    <w:rsid w:val="00AD4BC4"/>
    <w:rsid w:val="00AD4BEA"/>
    <w:rsid w:val="00AD4C36"/>
    <w:rsid w:val="00AD4C58"/>
    <w:rsid w:val="00AD4C74"/>
    <w:rsid w:val="00AD4CCE"/>
    <w:rsid w:val="00AD4D2E"/>
    <w:rsid w:val="00AD4D83"/>
    <w:rsid w:val="00AD4DBD"/>
    <w:rsid w:val="00AD4DDA"/>
    <w:rsid w:val="00AD4DE8"/>
    <w:rsid w:val="00AD4E8E"/>
    <w:rsid w:val="00AD4E94"/>
    <w:rsid w:val="00AD4EC6"/>
    <w:rsid w:val="00AD4EF9"/>
    <w:rsid w:val="00AD4F78"/>
    <w:rsid w:val="00AD4F8A"/>
    <w:rsid w:val="00AD4F8E"/>
    <w:rsid w:val="00AD4FE8"/>
    <w:rsid w:val="00AD4FFC"/>
    <w:rsid w:val="00AD502E"/>
    <w:rsid w:val="00AD50E1"/>
    <w:rsid w:val="00AD50E3"/>
    <w:rsid w:val="00AD50E4"/>
    <w:rsid w:val="00AD5116"/>
    <w:rsid w:val="00AD5137"/>
    <w:rsid w:val="00AD5147"/>
    <w:rsid w:val="00AD5185"/>
    <w:rsid w:val="00AD5206"/>
    <w:rsid w:val="00AD5221"/>
    <w:rsid w:val="00AD522F"/>
    <w:rsid w:val="00AD52C4"/>
    <w:rsid w:val="00AD5304"/>
    <w:rsid w:val="00AD5328"/>
    <w:rsid w:val="00AD5409"/>
    <w:rsid w:val="00AD5455"/>
    <w:rsid w:val="00AD54BA"/>
    <w:rsid w:val="00AD5513"/>
    <w:rsid w:val="00AD5520"/>
    <w:rsid w:val="00AD5521"/>
    <w:rsid w:val="00AD553A"/>
    <w:rsid w:val="00AD5567"/>
    <w:rsid w:val="00AD5594"/>
    <w:rsid w:val="00AD5619"/>
    <w:rsid w:val="00AD5657"/>
    <w:rsid w:val="00AD56AB"/>
    <w:rsid w:val="00AD571D"/>
    <w:rsid w:val="00AD5743"/>
    <w:rsid w:val="00AD5751"/>
    <w:rsid w:val="00AD5773"/>
    <w:rsid w:val="00AD57E4"/>
    <w:rsid w:val="00AD5817"/>
    <w:rsid w:val="00AD5822"/>
    <w:rsid w:val="00AD5823"/>
    <w:rsid w:val="00AD5855"/>
    <w:rsid w:val="00AD58B4"/>
    <w:rsid w:val="00AD5900"/>
    <w:rsid w:val="00AD5A38"/>
    <w:rsid w:val="00AD5B03"/>
    <w:rsid w:val="00AD5B27"/>
    <w:rsid w:val="00AD5B79"/>
    <w:rsid w:val="00AD5B88"/>
    <w:rsid w:val="00AD5BB6"/>
    <w:rsid w:val="00AD5C28"/>
    <w:rsid w:val="00AD5C84"/>
    <w:rsid w:val="00AD5C86"/>
    <w:rsid w:val="00AD5D17"/>
    <w:rsid w:val="00AD5D73"/>
    <w:rsid w:val="00AD5D75"/>
    <w:rsid w:val="00AD5E31"/>
    <w:rsid w:val="00AD5E67"/>
    <w:rsid w:val="00AD600E"/>
    <w:rsid w:val="00AD606C"/>
    <w:rsid w:val="00AD609B"/>
    <w:rsid w:val="00AD60AB"/>
    <w:rsid w:val="00AD60B2"/>
    <w:rsid w:val="00AD60CB"/>
    <w:rsid w:val="00AD6131"/>
    <w:rsid w:val="00AD6178"/>
    <w:rsid w:val="00AD6190"/>
    <w:rsid w:val="00AD6227"/>
    <w:rsid w:val="00AD622A"/>
    <w:rsid w:val="00AD62A8"/>
    <w:rsid w:val="00AD62B3"/>
    <w:rsid w:val="00AD62E9"/>
    <w:rsid w:val="00AD630C"/>
    <w:rsid w:val="00AD63A0"/>
    <w:rsid w:val="00AD63E5"/>
    <w:rsid w:val="00AD6495"/>
    <w:rsid w:val="00AD6533"/>
    <w:rsid w:val="00AD6560"/>
    <w:rsid w:val="00AD65C2"/>
    <w:rsid w:val="00AD65CD"/>
    <w:rsid w:val="00AD65E4"/>
    <w:rsid w:val="00AD6606"/>
    <w:rsid w:val="00AD664B"/>
    <w:rsid w:val="00AD6698"/>
    <w:rsid w:val="00AD6716"/>
    <w:rsid w:val="00AD675D"/>
    <w:rsid w:val="00AD67A7"/>
    <w:rsid w:val="00AD67F6"/>
    <w:rsid w:val="00AD6809"/>
    <w:rsid w:val="00AD6820"/>
    <w:rsid w:val="00AD6836"/>
    <w:rsid w:val="00AD6842"/>
    <w:rsid w:val="00AD68DA"/>
    <w:rsid w:val="00AD68FB"/>
    <w:rsid w:val="00AD6945"/>
    <w:rsid w:val="00AD6A27"/>
    <w:rsid w:val="00AD6A77"/>
    <w:rsid w:val="00AD6AA7"/>
    <w:rsid w:val="00AD6B13"/>
    <w:rsid w:val="00AD6B15"/>
    <w:rsid w:val="00AD6B3F"/>
    <w:rsid w:val="00AD6BAE"/>
    <w:rsid w:val="00AD6BCA"/>
    <w:rsid w:val="00AD6C22"/>
    <w:rsid w:val="00AD6C46"/>
    <w:rsid w:val="00AD6C7F"/>
    <w:rsid w:val="00AD6CC3"/>
    <w:rsid w:val="00AD6D5D"/>
    <w:rsid w:val="00AD6D63"/>
    <w:rsid w:val="00AD6DEF"/>
    <w:rsid w:val="00AD6E29"/>
    <w:rsid w:val="00AD6E8D"/>
    <w:rsid w:val="00AD6EA5"/>
    <w:rsid w:val="00AD6F04"/>
    <w:rsid w:val="00AD6F26"/>
    <w:rsid w:val="00AD6F41"/>
    <w:rsid w:val="00AD6FC8"/>
    <w:rsid w:val="00AD6FD8"/>
    <w:rsid w:val="00AD7024"/>
    <w:rsid w:val="00AD710B"/>
    <w:rsid w:val="00AD71FF"/>
    <w:rsid w:val="00AD720F"/>
    <w:rsid w:val="00AD72DB"/>
    <w:rsid w:val="00AD72EC"/>
    <w:rsid w:val="00AD72F3"/>
    <w:rsid w:val="00AD7336"/>
    <w:rsid w:val="00AD735E"/>
    <w:rsid w:val="00AD7391"/>
    <w:rsid w:val="00AD73F7"/>
    <w:rsid w:val="00AD73FB"/>
    <w:rsid w:val="00AD7472"/>
    <w:rsid w:val="00AD74BF"/>
    <w:rsid w:val="00AD756F"/>
    <w:rsid w:val="00AD7570"/>
    <w:rsid w:val="00AD7597"/>
    <w:rsid w:val="00AD767B"/>
    <w:rsid w:val="00AD76B9"/>
    <w:rsid w:val="00AD774E"/>
    <w:rsid w:val="00AD779D"/>
    <w:rsid w:val="00AD77B5"/>
    <w:rsid w:val="00AD77B9"/>
    <w:rsid w:val="00AD792D"/>
    <w:rsid w:val="00AD7954"/>
    <w:rsid w:val="00AD7A37"/>
    <w:rsid w:val="00AD7A5E"/>
    <w:rsid w:val="00AD7A7D"/>
    <w:rsid w:val="00AD7AD5"/>
    <w:rsid w:val="00AD7B22"/>
    <w:rsid w:val="00AD7B66"/>
    <w:rsid w:val="00AD7B79"/>
    <w:rsid w:val="00AD7B8D"/>
    <w:rsid w:val="00AD7C04"/>
    <w:rsid w:val="00AD7C0E"/>
    <w:rsid w:val="00AD7C15"/>
    <w:rsid w:val="00AD7C18"/>
    <w:rsid w:val="00AD7E1C"/>
    <w:rsid w:val="00AD7E46"/>
    <w:rsid w:val="00AD7E6B"/>
    <w:rsid w:val="00AD7E9F"/>
    <w:rsid w:val="00AD7F5C"/>
    <w:rsid w:val="00AD7FC5"/>
    <w:rsid w:val="00AD7FCE"/>
    <w:rsid w:val="00AE004B"/>
    <w:rsid w:val="00AE005A"/>
    <w:rsid w:val="00AE0157"/>
    <w:rsid w:val="00AE016D"/>
    <w:rsid w:val="00AE01A5"/>
    <w:rsid w:val="00AE022E"/>
    <w:rsid w:val="00AE0276"/>
    <w:rsid w:val="00AE02B2"/>
    <w:rsid w:val="00AE02E6"/>
    <w:rsid w:val="00AE0328"/>
    <w:rsid w:val="00AE039E"/>
    <w:rsid w:val="00AE03AE"/>
    <w:rsid w:val="00AE03CE"/>
    <w:rsid w:val="00AE0427"/>
    <w:rsid w:val="00AE0494"/>
    <w:rsid w:val="00AE04B3"/>
    <w:rsid w:val="00AE04CA"/>
    <w:rsid w:val="00AE04E3"/>
    <w:rsid w:val="00AE0678"/>
    <w:rsid w:val="00AE0699"/>
    <w:rsid w:val="00AE071A"/>
    <w:rsid w:val="00AE0724"/>
    <w:rsid w:val="00AE0755"/>
    <w:rsid w:val="00AE0767"/>
    <w:rsid w:val="00AE076C"/>
    <w:rsid w:val="00AE078D"/>
    <w:rsid w:val="00AE0843"/>
    <w:rsid w:val="00AE08D6"/>
    <w:rsid w:val="00AE092B"/>
    <w:rsid w:val="00AE092F"/>
    <w:rsid w:val="00AE095C"/>
    <w:rsid w:val="00AE09A3"/>
    <w:rsid w:val="00AE09F6"/>
    <w:rsid w:val="00AE0A0E"/>
    <w:rsid w:val="00AE0A2E"/>
    <w:rsid w:val="00AE0A39"/>
    <w:rsid w:val="00AE0A91"/>
    <w:rsid w:val="00AE0B0A"/>
    <w:rsid w:val="00AE0B0C"/>
    <w:rsid w:val="00AE0B17"/>
    <w:rsid w:val="00AE0B41"/>
    <w:rsid w:val="00AE0B59"/>
    <w:rsid w:val="00AE0BC5"/>
    <w:rsid w:val="00AE0BDE"/>
    <w:rsid w:val="00AE0C0E"/>
    <w:rsid w:val="00AE0C18"/>
    <w:rsid w:val="00AE0D49"/>
    <w:rsid w:val="00AE0D7B"/>
    <w:rsid w:val="00AE0D98"/>
    <w:rsid w:val="00AE0DC4"/>
    <w:rsid w:val="00AE0E02"/>
    <w:rsid w:val="00AE0E22"/>
    <w:rsid w:val="00AE0E69"/>
    <w:rsid w:val="00AE0E6E"/>
    <w:rsid w:val="00AE0F07"/>
    <w:rsid w:val="00AE0F11"/>
    <w:rsid w:val="00AE102F"/>
    <w:rsid w:val="00AE10A8"/>
    <w:rsid w:val="00AE10C1"/>
    <w:rsid w:val="00AE1220"/>
    <w:rsid w:val="00AE1301"/>
    <w:rsid w:val="00AE13AF"/>
    <w:rsid w:val="00AE147A"/>
    <w:rsid w:val="00AE1588"/>
    <w:rsid w:val="00AE1661"/>
    <w:rsid w:val="00AE1678"/>
    <w:rsid w:val="00AE16A4"/>
    <w:rsid w:val="00AE16A9"/>
    <w:rsid w:val="00AE170D"/>
    <w:rsid w:val="00AE17B0"/>
    <w:rsid w:val="00AE17DF"/>
    <w:rsid w:val="00AE1812"/>
    <w:rsid w:val="00AE1885"/>
    <w:rsid w:val="00AE1888"/>
    <w:rsid w:val="00AE189B"/>
    <w:rsid w:val="00AE18B8"/>
    <w:rsid w:val="00AE190E"/>
    <w:rsid w:val="00AE1937"/>
    <w:rsid w:val="00AE1943"/>
    <w:rsid w:val="00AE196B"/>
    <w:rsid w:val="00AE199A"/>
    <w:rsid w:val="00AE19D2"/>
    <w:rsid w:val="00AE19EF"/>
    <w:rsid w:val="00AE1A1D"/>
    <w:rsid w:val="00AE1A68"/>
    <w:rsid w:val="00AE1A99"/>
    <w:rsid w:val="00AE1AA5"/>
    <w:rsid w:val="00AE1BBE"/>
    <w:rsid w:val="00AE1BCB"/>
    <w:rsid w:val="00AE1BEB"/>
    <w:rsid w:val="00AE1BEC"/>
    <w:rsid w:val="00AE1C14"/>
    <w:rsid w:val="00AE1CA7"/>
    <w:rsid w:val="00AE1CBE"/>
    <w:rsid w:val="00AE1D09"/>
    <w:rsid w:val="00AE1D42"/>
    <w:rsid w:val="00AE1D83"/>
    <w:rsid w:val="00AE1D94"/>
    <w:rsid w:val="00AE1DDF"/>
    <w:rsid w:val="00AE1E04"/>
    <w:rsid w:val="00AE1E29"/>
    <w:rsid w:val="00AE1EBB"/>
    <w:rsid w:val="00AE1F29"/>
    <w:rsid w:val="00AE1F84"/>
    <w:rsid w:val="00AE214E"/>
    <w:rsid w:val="00AE2188"/>
    <w:rsid w:val="00AE21F6"/>
    <w:rsid w:val="00AE226E"/>
    <w:rsid w:val="00AE233B"/>
    <w:rsid w:val="00AE2453"/>
    <w:rsid w:val="00AE247E"/>
    <w:rsid w:val="00AE24A2"/>
    <w:rsid w:val="00AE24AF"/>
    <w:rsid w:val="00AE24CD"/>
    <w:rsid w:val="00AE24FC"/>
    <w:rsid w:val="00AE2503"/>
    <w:rsid w:val="00AE25DC"/>
    <w:rsid w:val="00AE2662"/>
    <w:rsid w:val="00AE26B0"/>
    <w:rsid w:val="00AE26F6"/>
    <w:rsid w:val="00AE279A"/>
    <w:rsid w:val="00AE27D2"/>
    <w:rsid w:val="00AE281A"/>
    <w:rsid w:val="00AE2857"/>
    <w:rsid w:val="00AE2878"/>
    <w:rsid w:val="00AE290C"/>
    <w:rsid w:val="00AE291D"/>
    <w:rsid w:val="00AE293A"/>
    <w:rsid w:val="00AE294B"/>
    <w:rsid w:val="00AE295B"/>
    <w:rsid w:val="00AE2988"/>
    <w:rsid w:val="00AE29FC"/>
    <w:rsid w:val="00AE2A02"/>
    <w:rsid w:val="00AE2A12"/>
    <w:rsid w:val="00AE2A1D"/>
    <w:rsid w:val="00AE2A6A"/>
    <w:rsid w:val="00AE2B1C"/>
    <w:rsid w:val="00AE2B3A"/>
    <w:rsid w:val="00AE2D58"/>
    <w:rsid w:val="00AE2D91"/>
    <w:rsid w:val="00AE2D9D"/>
    <w:rsid w:val="00AE2E79"/>
    <w:rsid w:val="00AE2EBB"/>
    <w:rsid w:val="00AE2ED1"/>
    <w:rsid w:val="00AE2EF1"/>
    <w:rsid w:val="00AE2F3D"/>
    <w:rsid w:val="00AE2F90"/>
    <w:rsid w:val="00AE2FF8"/>
    <w:rsid w:val="00AE3032"/>
    <w:rsid w:val="00AE305A"/>
    <w:rsid w:val="00AE309F"/>
    <w:rsid w:val="00AE30C4"/>
    <w:rsid w:val="00AE3116"/>
    <w:rsid w:val="00AE314D"/>
    <w:rsid w:val="00AE318E"/>
    <w:rsid w:val="00AE31A0"/>
    <w:rsid w:val="00AE31A4"/>
    <w:rsid w:val="00AE31AF"/>
    <w:rsid w:val="00AE31C0"/>
    <w:rsid w:val="00AE3240"/>
    <w:rsid w:val="00AE324A"/>
    <w:rsid w:val="00AE327B"/>
    <w:rsid w:val="00AE327D"/>
    <w:rsid w:val="00AE3281"/>
    <w:rsid w:val="00AE32FF"/>
    <w:rsid w:val="00AE3368"/>
    <w:rsid w:val="00AE33B6"/>
    <w:rsid w:val="00AE342D"/>
    <w:rsid w:val="00AE345A"/>
    <w:rsid w:val="00AE3584"/>
    <w:rsid w:val="00AE3598"/>
    <w:rsid w:val="00AE35F6"/>
    <w:rsid w:val="00AE3603"/>
    <w:rsid w:val="00AE361A"/>
    <w:rsid w:val="00AE3694"/>
    <w:rsid w:val="00AE36D2"/>
    <w:rsid w:val="00AE36EC"/>
    <w:rsid w:val="00AE3732"/>
    <w:rsid w:val="00AE3740"/>
    <w:rsid w:val="00AE3846"/>
    <w:rsid w:val="00AE3884"/>
    <w:rsid w:val="00AE38E7"/>
    <w:rsid w:val="00AE38F0"/>
    <w:rsid w:val="00AE38FD"/>
    <w:rsid w:val="00AE3903"/>
    <w:rsid w:val="00AE3936"/>
    <w:rsid w:val="00AE395A"/>
    <w:rsid w:val="00AE3975"/>
    <w:rsid w:val="00AE39A5"/>
    <w:rsid w:val="00AE39E0"/>
    <w:rsid w:val="00AE3AAF"/>
    <w:rsid w:val="00AE3AFD"/>
    <w:rsid w:val="00AE3B6F"/>
    <w:rsid w:val="00AE3BAE"/>
    <w:rsid w:val="00AE3BB1"/>
    <w:rsid w:val="00AE3BC8"/>
    <w:rsid w:val="00AE3D2E"/>
    <w:rsid w:val="00AE3D55"/>
    <w:rsid w:val="00AE3D6B"/>
    <w:rsid w:val="00AE3DD0"/>
    <w:rsid w:val="00AE3E0D"/>
    <w:rsid w:val="00AE3E36"/>
    <w:rsid w:val="00AE3E7D"/>
    <w:rsid w:val="00AE3EB4"/>
    <w:rsid w:val="00AE3F57"/>
    <w:rsid w:val="00AE3FD1"/>
    <w:rsid w:val="00AE4042"/>
    <w:rsid w:val="00AE4072"/>
    <w:rsid w:val="00AE40DC"/>
    <w:rsid w:val="00AE4244"/>
    <w:rsid w:val="00AE429C"/>
    <w:rsid w:val="00AE430F"/>
    <w:rsid w:val="00AE4339"/>
    <w:rsid w:val="00AE4364"/>
    <w:rsid w:val="00AE4382"/>
    <w:rsid w:val="00AE4393"/>
    <w:rsid w:val="00AE439A"/>
    <w:rsid w:val="00AE43CC"/>
    <w:rsid w:val="00AE43CD"/>
    <w:rsid w:val="00AE43D3"/>
    <w:rsid w:val="00AE43F2"/>
    <w:rsid w:val="00AE4413"/>
    <w:rsid w:val="00AE4445"/>
    <w:rsid w:val="00AE444E"/>
    <w:rsid w:val="00AE44C6"/>
    <w:rsid w:val="00AE44DC"/>
    <w:rsid w:val="00AE44E8"/>
    <w:rsid w:val="00AE4535"/>
    <w:rsid w:val="00AE459A"/>
    <w:rsid w:val="00AE45AE"/>
    <w:rsid w:val="00AE45BE"/>
    <w:rsid w:val="00AE45CE"/>
    <w:rsid w:val="00AE4630"/>
    <w:rsid w:val="00AE477D"/>
    <w:rsid w:val="00AE47A2"/>
    <w:rsid w:val="00AE4860"/>
    <w:rsid w:val="00AE48ED"/>
    <w:rsid w:val="00AE4A45"/>
    <w:rsid w:val="00AE4AC6"/>
    <w:rsid w:val="00AE4B9D"/>
    <w:rsid w:val="00AE4C01"/>
    <w:rsid w:val="00AE4C5A"/>
    <w:rsid w:val="00AE4CD5"/>
    <w:rsid w:val="00AE4CE0"/>
    <w:rsid w:val="00AE4CE8"/>
    <w:rsid w:val="00AE4D1B"/>
    <w:rsid w:val="00AE4D4F"/>
    <w:rsid w:val="00AE4D81"/>
    <w:rsid w:val="00AE4DEE"/>
    <w:rsid w:val="00AE4E21"/>
    <w:rsid w:val="00AE4E64"/>
    <w:rsid w:val="00AE506D"/>
    <w:rsid w:val="00AE50DC"/>
    <w:rsid w:val="00AE51FD"/>
    <w:rsid w:val="00AE5435"/>
    <w:rsid w:val="00AE5459"/>
    <w:rsid w:val="00AE5462"/>
    <w:rsid w:val="00AE54F0"/>
    <w:rsid w:val="00AE554C"/>
    <w:rsid w:val="00AE5631"/>
    <w:rsid w:val="00AE56F4"/>
    <w:rsid w:val="00AE5710"/>
    <w:rsid w:val="00AE585A"/>
    <w:rsid w:val="00AE5912"/>
    <w:rsid w:val="00AE5929"/>
    <w:rsid w:val="00AE593E"/>
    <w:rsid w:val="00AE596B"/>
    <w:rsid w:val="00AE598C"/>
    <w:rsid w:val="00AE59A0"/>
    <w:rsid w:val="00AE59D2"/>
    <w:rsid w:val="00AE5A3B"/>
    <w:rsid w:val="00AE5B17"/>
    <w:rsid w:val="00AE5B21"/>
    <w:rsid w:val="00AE5B8F"/>
    <w:rsid w:val="00AE5C70"/>
    <w:rsid w:val="00AE5C9D"/>
    <w:rsid w:val="00AE5CA4"/>
    <w:rsid w:val="00AE5CBD"/>
    <w:rsid w:val="00AE5D01"/>
    <w:rsid w:val="00AE5DA7"/>
    <w:rsid w:val="00AE5DB8"/>
    <w:rsid w:val="00AE5DEA"/>
    <w:rsid w:val="00AE5DF9"/>
    <w:rsid w:val="00AE5E42"/>
    <w:rsid w:val="00AE5E69"/>
    <w:rsid w:val="00AE5E6C"/>
    <w:rsid w:val="00AE5F69"/>
    <w:rsid w:val="00AE5FD0"/>
    <w:rsid w:val="00AE5FE3"/>
    <w:rsid w:val="00AE6050"/>
    <w:rsid w:val="00AE6078"/>
    <w:rsid w:val="00AE6126"/>
    <w:rsid w:val="00AE6130"/>
    <w:rsid w:val="00AE6146"/>
    <w:rsid w:val="00AE614E"/>
    <w:rsid w:val="00AE6175"/>
    <w:rsid w:val="00AE61BD"/>
    <w:rsid w:val="00AE6398"/>
    <w:rsid w:val="00AE63A4"/>
    <w:rsid w:val="00AE63F5"/>
    <w:rsid w:val="00AE6490"/>
    <w:rsid w:val="00AE64F1"/>
    <w:rsid w:val="00AE65A6"/>
    <w:rsid w:val="00AE65AF"/>
    <w:rsid w:val="00AE65C5"/>
    <w:rsid w:val="00AE65DE"/>
    <w:rsid w:val="00AE65DF"/>
    <w:rsid w:val="00AE65EE"/>
    <w:rsid w:val="00AE6670"/>
    <w:rsid w:val="00AE6679"/>
    <w:rsid w:val="00AE669A"/>
    <w:rsid w:val="00AE66A5"/>
    <w:rsid w:val="00AE66DD"/>
    <w:rsid w:val="00AE671D"/>
    <w:rsid w:val="00AE67B2"/>
    <w:rsid w:val="00AE682C"/>
    <w:rsid w:val="00AE683D"/>
    <w:rsid w:val="00AE6880"/>
    <w:rsid w:val="00AE68A9"/>
    <w:rsid w:val="00AE68B5"/>
    <w:rsid w:val="00AE6905"/>
    <w:rsid w:val="00AE690E"/>
    <w:rsid w:val="00AE6971"/>
    <w:rsid w:val="00AE6981"/>
    <w:rsid w:val="00AE69B9"/>
    <w:rsid w:val="00AE6A8C"/>
    <w:rsid w:val="00AE6AD7"/>
    <w:rsid w:val="00AE6AD8"/>
    <w:rsid w:val="00AE6B77"/>
    <w:rsid w:val="00AE6B87"/>
    <w:rsid w:val="00AE6BD8"/>
    <w:rsid w:val="00AE6BE0"/>
    <w:rsid w:val="00AE6DBC"/>
    <w:rsid w:val="00AE6DC2"/>
    <w:rsid w:val="00AE6DCC"/>
    <w:rsid w:val="00AE6DE1"/>
    <w:rsid w:val="00AE6DFC"/>
    <w:rsid w:val="00AE6E2A"/>
    <w:rsid w:val="00AE6E44"/>
    <w:rsid w:val="00AE6EBF"/>
    <w:rsid w:val="00AE6EC9"/>
    <w:rsid w:val="00AE6F29"/>
    <w:rsid w:val="00AE6FAA"/>
    <w:rsid w:val="00AE6FDF"/>
    <w:rsid w:val="00AE7024"/>
    <w:rsid w:val="00AE702D"/>
    <w:rsid w:val="00AE70A0"/>
    <w:rsid w:val="00AE70AE"/>
    <w:rsid w:val="00AE70B8"/>
    <w:rsid w:val="00AE7120"/>
    <w:rsid w:val="00AE7199"/>
    <w:rsid w:val="00AE71C2"/>
    <w:rsid w:val="00AE7257"/>
    <w:rsid w:val="00AE7297"/>
    <w:rsid w:val="00AE72D7"/>
    <w:rsid w:val="00AE7386"/>
    <w:rsid w:val="00AE738D"/>
    <w:rsid w:val="00AE73C5"/>
    <w:rsid w:val="00AE7432"/>
    <w:rsid w:val="00AE749D"/>
    <w:rsid w:val="00AE74BC"/>
    <w:rsid w:val="00AE74D0"/>
    <w:rsid w:val="00AE75D2"/>
    <w:rsid w:val="00AE768F"/>
    <w:rsid w:val="00AE7707"/>
    <w:rsid w:val="00AE7764"/>
    <w:rsid w:val="00AE77A9"/>
    <w:rsid w:val="00AE77EC"/>
    <w:rsid w:val="00AE783B"/>
    <w:rsid w:val="00AE7856"/>
    <w:rsid w:val="00AE7862"/>
    <w:rsid w:val="00AE786F"/>
    <w:rsid w:val="00AE7888"/>
    <w:rsid w:val="00AE78A9"/>
    <w:rsid w:val="00AE78ED"/>
    <w:rsid w:val="00AE796A"/>
    <w:rsid w:val="00AE7976"/>
    <w:rsid w:val="00AE79AB"/>
    <w:rsid w:val="00AE7AB4"/>
    <w:rsid w:val="00AE7AB5"/>
    <w:rsid w:val="00AE7B88"/>
    <w:rsid w:val="00AE7B8D"/>
    <w:rsid w:val="00AE7C4E"/>
    <w:rsid w:val="00AE7CB2"/>
    <w:rsid w:val="00AE7CEE"/>
    <w:rsid w:val="00AE7D01"/>
    <w:rsid w:val="00AE7D2D"/>
    <w:rsid w:val="00AE7DAE"/>
    <w:rsid w:val="00AE7DCD"/>
    <w:rsid w:val="00AE7E0B"/>
    <w:rsid w:val="00AE7E27"/>
    <w:rsid w:val="00AE7E35"/>
    <w:rsid w:val="00AE7E3E"/>
    <w:rsid w:val="00AE7E7D"/>
    <w:rsid w:val="00AE7EF1"/>
    <w:rsid w:val="00AE7F2B"/>
    <w:rsid w:val="00AE7F40"/>
    <w:rsid w:val="00AE7F81"/>
    <w:rsid w:val="00AE7F82"/>
    <w:rsid w:val="00AE7F93"/>
    <w:rsid w:val="00AE7FA4"/>
    <w:rsid w:val="00AE7FA7"/>
    <w:rsid w:val="00AF0017"/>
    <w:rsid w:val="00AF0040"/>
    <w:rsid w:val="00AF0053"/>
    <w:rsid w:val="00AF00F0"/>
    <w:rsid w:val="00AF0120"/>
    <w:rsid w:val="00AF0160"/>
    <w:rsid w:val="00AF0198"/>
    <w:rsid w:val="00AF020B"/>
    <w:rsid w:val="00AF0224"/>
    <w:rsid w:val="00AF0384"/>
    <w:rsid w:val="00AF03A9"/>
    <w:rsid w:val="00AF040A"/>
    <w:rsid w:val="00AF0443"/>
    <w:rsid w:val="00AF0493"/>
    <w:rsid w:val="00AF0499"/>
    <w:rsid w:val="00AF0511"/>
    <w:rsid w:val="00AF05C7"/>
    <w:rsid w:val="00AF0631"/>
    <w:rsid w:val="00AF06BF"/>
    <w:rsid w:val="00AF06CD"/>
    <w:rsid w:val="00AF070B"/>
    <w:rsid w:val="00AF0777"/>
    <w:rsid w:val="00AF0885"/>
    <w:rsid w:val="00AF08D8"/>
    <w:rsid w:val="00AF08DA"/>
    <w:rsid w:val="00AF0963"/>
    <w:rsid w:val="00AF0997"/>
    <w:rsid w:val="00AF0A36"/>
    <w:rsid w:val="00AF0A44"/>
    <w:rsid w:val="00AF0A5C"/>
    <w:rsid w:val="00AF0AA9"/>
    <w:rsid w:val="00AF0B2F"/>
    <w:rsid w:val="00AF0C03"/>
    <w:rsid w:val="00AF0C8A"/>
    <w:rsid w:val="00AF0CCA"/>
    <w:rsid w:val="00AF0D21"/>
    <w:rsid w:val="00AF0D28"/>
    <w:rsid w:val="00AF0E5B"/>
    <w:rsid w:val="00AF0EC0"/>
    <w:rsid w:val="00AF0EEF"/>
    <w:rsid w:val="00AF102D"/>
    <w:rsid w:val="00AF1030"/>
    <w:rsid w:val="00AF105B"/>
    <w:rsid w:val="00AF1078"/>
    <w:rsid w:val="00AF10AC"/>
    <w:rsid w:val="00AF10C7"/>
    <w:rsid w:val="00AF10E6"/>
    <w:rsid w:val="00AF10F5"/>
    <w:rsid w:val="00AF113A"/>
    <w:rsid w:val="00AF123C"/>
    <w:rsid w:val="00AF1282"/>
    <w:rsid w:val="00AF12B2"/>
    <w:rsid w:val="00AF12D6"/>
    <w:rsid w:val="00AF1315"/>
    <w:rsid w:val="00AF137A"/>
    <w:rsid w:val="00AF13EB"/>
    <w:rsid w:val="00AF140E"/>
    <w:rsid w:val="00AF1410"/>
    <w:rsid w:val="00AF1449"/>
    <w:rsid w:val="00AF14C8"/>
    <w:rsid w:val="00AF14FF"/>
    <w:rsid w:val="00AF1532"/>
    <w:rsid w:val="00AF1564"/>
    <w:rsid w:val="00AF1634"/>
    <w:rsid w:val="00AF1652"/>
    <w:rsid w:val="00AF169F"/>
    <w:rsid w:val="00AF16AC"/>
    <w:rsid w:val="00AF16E2"/>
    <w:rsid w:val="00AF16FB"/>
    <w:rsid w:val="00AF170D"/>
    <w:rsid w:val="00AF17B4"/>
    <w:rsid w:val="00AF181B"/>
    <w:rsid w:val="00AF1858"/>
    <w:rsid w:val="00AF18C8"/>
    <w:rsid w:val="00AF1924"/>
    <w:rsid w:val="00AF1970"/>
    <w:rsid w:val="00AF19B8"/>
    <w:rsid w:val="00AF19B9"/>
    <w:rsid w:val="00AF19FB"/>
    <w:rsid w:val="00AF1ADF"/>
    <w:rsid w:val="00AF1AE6"/>
    <w:rsid w:val="00AF1B0F"/>
    <w:rsid w:val="00AF1BA4"/>
    <w:rsid w:val="00AF1BE1"/>
    <w:rsid w:val="00AF1BF6"/>
    <w:rsid w:val="00AF1C7C"/>
    <w:rsid w:val="00AF1CC3"/>
    <w:rsid w:val="00AF1D03"/>
    <w:rsid w:val="00AF1D41"/>
    <w:rsid w:val="00AF1D6A"/>
    <w:rsid w:val="00AF1D97"/>
    <w:rsid w:val="00AF1E1D"/>
    <w:rsid w:val="00AF1E40"/>
    <w:rsid w:val="00AF1E70"/>
    <w:rsid w:val="00AF1EC4"/>
    <w:rsid w:val="00AF1EE0"/>
    <w:rsid w:val="00AF1EF3"/>
    <w:rsid w:val="00AF1FAC"/>
    <w:rsid w:val="00AF1FED"/>
    <w:rsid w:val="00AF1FF0"/>
    <w:rsid w:val="00AF203D"/>
    <w:rsid w:val="00AF2063"/>
    <w:rsid w:val="00AF208A"/>
    <w:rsid w:val="00AF2093"/>
    <w:rsid w:val="00AF20AA"/>
    <w:rsid w:val="00AF20E7"/>
    <w:rsid w:val="00AF20F5"/>
    <w:rsid w:val="00AF210A"/>
    <w:rsid w:val="00AF2125"/>
    <w:rsid w:val="00AF2132"/>
    <w:rsid w:val="00AF215A"/>
    <w:rsid w:val="00AF2169"/>
    <w:rsid w:val="00AF2195"/>
    <w:rsid w:val="00AF21B8"/>
    <w:rsid w:val="00AF222D"/>
    <w:rsid w:val="00AF22B6"/>
    <w:rsid w:val="00AF231B"/>
    <w:rsid w:val="00AF231E"/>
    <w:rsid w:val="00AF232E"/>
    <w:rsid w:val="00AF23FA"/>
    <w:rsid w:val="00AF2417"/>
    <w:rsid w:val="00AF245B"/>
    <w:rsid w:val="00AF24C4"/>
    <w:rsid w:val="00AF24D4"/>
    <w:rsid w:val="00AF250E"/>
    <w:rsid w:val="00AF2517"/>
    <w:rsid w:val="00AF253B"/>
    <w:rsid w:val="00AF2584"/>
    <w:rsid w:val="00AF25BF"/>
    <w:rsid w:val="00AF25C7"/>
    <w:rsid w:val="00AF25D3"/>
    <w:rsid w:val="00AF26B1"/>
    <w:rsid w:val="00AF26F2"/>
    <w:rsid w:val="00AF2715"/>
    <w:rsid w:val="00AF2783"/>
    <w:rsid w:val="00AF278F"/>
    <w:rsid w:val="00AF27D5"/>
    <w:rsid w:val="00AF27E1"/>
    <w:rsid w:val="00AF2825"/>
    <w:rsid w:val="00AF28A6"/>
    <w:rsid w:val="00AF28F5"/>
    <w:rsid w:val="00AF2909"/>
    <w:rsid w:val="00AF2924"/>
    <w:rsid w:val="00AF2943"/>
    <w:rsid w:val="00AF2949"/>
    <w:rsid w:val="00AF2951"/>
    <w:rsid w:val="00AF296F"/>
    <w:rsid w:val="00AF2A19"/>
    <w:rsid w:val="00AF2A21"/>
    <w:rsid w:val="00AF2A3A"/>
    <w:rsid w:val="00AF2A4C"/>
    <w:rsid w:val="00AF2A5D"/>
    <w:rsid w:val="00AF2AD8"/>
    <w:rsid w:val="00AF2ADB"/>
    <w:rsid w:val="00AF2B66"/>
    <w:rsid w:val="00AF2BF8"/>
    <w:rsid w:val="00AF2C15"/>
    <w:rsid w:val="00AF2C81"/>
    <w:rsid w:val="00AF2C8D"/>
    <w:rsid w:val="00AF2C8E"/>
    <w:rsid w:val="00AF2D59"/>
    <w:rsid w:val="00AF2D85"/>
    <w:rsid w:val="00AF2DB7"/>
    <w:rsid w:val="00AF2E65"/>
    <w:rsid w:val="00AF2E6D"/>
    <w:rsid w:val="00AF2EAE"/>
    <w:rsid w:val="00AF2F5C"/>
    <w:rsid w:val="00AF2F6A"/>
    <w:rsid w:val="00AF2F6D"/>
    <w:rsid w:val="00AF2F73"/>
    <w:rsid w:val="00AF2F92"/>
    <w:rsid w:val="00AF2FB3"/>
    <w:rsid w:val="00AF2FF4"/>
    <w:rsid w:val="00AF3090"/>
    <w:rsid w:val="00AF3106"/>
    <w:rsid w:val="00AF3161"/>
    <w:rsid w:val="00AF31A2"/>
    <w:rsid w:val="00AF3251"/>
    <w:rsid w:val="00AF329E"/>
    <w:rsid w:val="00AF32A5"/>
    <w:rsid w:val="00AF32B3"/>
    <w:rsid w:val="00AF32B4"/>
    <w:rsid w:val="00AF331C"/>
    <w:rsid w:val="00AF3356"/>
    <w:rsid w:val="00AF336C"/>
    <w:rsid w:val="00AF3381"/>
    <w:rsid w:val="00AF33FC"/>
    <w:rsid w:val="00AF340E"/>
    <w:rsid w:val="00AF3464"/>
    <w:rsid w:val="00AF3537"/>
    <w:rsid w:val="00AF358E"/>
    <w:rsid w:val="00AF36D5"/>
    <w:rsid w:val="00AF373A"/>
    <w:rsid w:val="00AF37AE"/>
    <w:rsid w:val="00AF37BC"/>
    <w:rsid w:val="00AF381A"/>
    <w:rsid w:val="00AF3934"/>
    <w:rsid w:val="00AF3982"/>
    <w:rsid w:val="00AF39C3"/>
    <w:rsid w:val="00AF39D1"/>
    <w:rsid w:val="00AF3A78"/>
    <w:rsid w:val="00AF3A98"/>
    <w:rsid w:val="00AF3B8B"/>
    <w:rsid w:val="00AF3D37"/>
    <w:rsid w:val="00AF3D94"/>
    <w:rsid w:val="00AF3DC6"/>
    <w:rsid w:val="00AF3DD2"/>
    <w:rsid w:val="00AF3DE3"/>
    <w:rsid w:val="00AF3DEB"/>
    <w:rsid w:val="00AF3E2D"/>
    <w:rsid w:val="00AF3E45"/>
    <w:rsid w:val="00AF3F16"/>
    <w:rsid w:val="00AF3F53"/>
    <w:rsid w:val="00AF3F63"/>
    <w:rsid w:val="00AF40B8"/>
    <w:rsid w:val="00AF40D1"/>
    <w:rsid w:val="00AF4163"/>
    <w:rsid w:val="00AF418D"/>
    <w:rsid w:val="00AF4195"/>
    <w:rsid w:val="00AF41C3"/>
    <w:rsid w:val="00AF41EE"/>
    <w:rsid w:val="00AF4218"/>
    <w:rsid w:val="00AF421F"/>
    <w:rsid w:val="00AF4261"/>
    <w:rsid w:val="00AF42E9"/>
    <w:rsid w:val="00AF42FD"/>
    <w:rsid w:val="00AF4309"/>
    <w:rsid w:val="00AF4318"/>
    <w:rsid w:val="00AF43C5"/>
    <w:rsid w:val="00AF43F6"/>
    <w:rsid w:val="00AF4411"/>
    <w:rsid w:val="00AF4487"/>
    <w:rsid w:val="00AF44C6"/>
    <w:rsid w:val="00AF4513"/>
    <w:rsid w:val="00AF4543"/>
    <w:rsid w:val="00AF4545"/>
    <w:rsid w:val="00AF454F"/>
    <w:rsid w:val="00AF4597"/>
    <w:rsid w:val="00AF45B1"/>
    <w:rsid w:val="00AF45F5"/>
    <w:rsid w:val="00AF4628"/>
    <w:rsid w:val="00AF465D"/>
    <w:rsid w:val="00AF46EB"/>
    <w:rsid w:val="00AF474F"/>
    <w:rsid w:val="00AF4797"/>
    <w:rsid w:val="00AF4874"/>
    <w:rsid w:val="00AF48A8"/>
    <w:rsid w:val="00AF4931"/>
    <w:rsid w:val="00AF49D3"/>
    <w:rsid w:val="00AF4A05"/>
    <w:rsid w:val="00AF4A07"/>
    <w:rsid w:val="00AF4A26"/>
    <w:rsid w:val="00AF4A85"/>
    <w:rsid w:val="00AF4ADC"/>
    <w:rsid w:val="00AF4AE9"/>
    <w:rsid w:val="00AF4B00"/>
    <w:rsid w:val="00AF4B0B"/>
    <w:rsid w:val="00AF4B3B"/>
    <w:rsid w:val="00AF4B59"/>
    <w:rsid w:val="00AF4B98"/>
    <w:rsid w:val="00AF4BB8"/>
    <w:rsid w:val="00AF4BCF"/>
    <w:rsid w:val="00AF4BE5"/>
    <w:rsid w:val="00AF4C58"/>
    <w:rsid w:val="00AF4CBE"/>
    <w:rsid w:val="00AF4D66"/>
    <w:rsid w:val="00AF4DBA"/>
    <w:rsid w:val="00AF4DF3"/>
    <w:rsid w:val="00AF4E68"/>
    <w:rsid w:val="00AF4EB7"/>
    <w:rsid w:val="00AF4EF9"/>
    <w:rsid w:val="00AF4FFA"/>
    <w:rsid w:val="00AF50CC"/>
    <w:rsid w:val="00AF50D1"/>
    <w:rsid w:val="00AF50FD"/>
    <w:rsid w:val="00AF5132"/>
    <w:rsid w:val="00AF5162"/>
    <w:rsid w:val="00AF5163"/>
    <w:rsid w:val="00AF51B2"/>
    <w:rsid w:val="00AF51D6"/>
    <w:rsid w:val="00AF5208"/>
    <w:rsid w:val="00AF521C"/>
    <w:rsid w:val="00AF52A1"/>
    <w:rsid w:val="00AF52A3"/>
    <w:rsid w:val="00AF52C4"/>
    <w:rsid w:val="00AF52F5"/>
    <w:rsid w:val="00AF5324"/>
    <w:rsid w:val="00AF53EE"/>
    <w:rsid w:val="00AF53F2"/>
    <w:rsid w:val="00AF5421"/>
    <w:rsid w:val="00AF547B"/>
    <w:rsid w:val="00AF547C"/>
    <w:rsid w:val="00AF54B2"/>
    <w:rsid w:val="00AF551A"/>
    <w:rsid w:val="00AF55AA"/>
    <w:rsid w:val="00AF55F7"/>
    <w:rsid w:val="00AF5675"/>
    <w:rsid w:val="00AF5715"/>
    <w:rsid w:val="00AF5762"/>
    <w:rsid w:val="00AF577F"/>
    <w:rsid w:val="00AF57F8"/>
    <w:rsid w:val="00AF581F"/>
    <w:rsid w:val="00AF592E"/>
    <w:rsid w:val="00AF5983"/>
    <w:rsid w:val="00AF598D"/>
    <w:rsid w:val="00AF59BC"/>
    <w:rsid w:val="00AF5A45"/>
    <w:rsid w:val="00AF5A90"/>
    <w:rsid w:val="00AF5ABF"/>
    <w:rsid w:val="00AF5AEE"/>
    <w:rsid w:val="00AF5B62"/>
    <w:rsid w:val="00AF5B73"/>
    <w:rsid w:val="00AF5CA8"/>
    <w:rsid w:val="00AF5CD9"/>
    <w:rsid w:val="00AF5CDB"/>
    <w:rsid w:val="00AF5D27"/>
    <w:rsid w:val="00AF5D7A"/>
    <w:rsid w:val="00AF5D94"/>
    <w:rsid w:val="00AF5DA4"/>
    <w:rsid w:val="00AF5E61"/>
    <w:rsid w:val="00AF5E71"/>
    <w:rsid w:val="00AF5E7C"/>
    <w:rsid w:val="00AF5E84"/>
    <w:rsid w:val="00AF5EEF"/>
    <w:rsid w:val="00AF5F90"/>
    <w:rsid w:val="00AF5FE0"/>
    <w:rsid w:val="00AF5FEC"/>
    <w:rsid w:val="00AF60D9"/>
    <w:rsid w:val="00AF60EB"/>
    <w:rsid w:val="00AF6103"/>
    <w:rsid w:val="00AF611F"/>
    <w:rsid w:val="00AF6225"/>
    <w:rsid w:val="00AF62B3"/>
    <w:rsid w:val="00AF62C4"/>
    <w:rsid w:val="00AF6371"/>
    <w:rsid w:val="00AF6374"/>
    <w:rsid w:val="00AF6379"/>
    <w:rsid w:val="00AF63CB"/>
    <w:rsid w:val="00AF63E3"/>
    <w:rsid w:val="00AF63F4"/>
    <w:rsid w:val="00AF641F"/>
    <w:rsid w:val="00AF642E"/>
    <w:rsid w:val="00AF6430"/>
    <w:rsid w:val="00AF644F"/>
    <w:rsid w:val="00AF6478"/>
    <w:rsid w:val="00AF64AD"/>
    <w:rsid w:val="00AF64F8"/>
    <w:rsid w:val="00AF650D"/>
    <w:rsid w:val="00AF65B1"/>
    <w:rsid w:val="00AF65C3"/>
    <w:rsid w:val="00AF65DB"/>
    <w:rsid w:val="00AF6667"/>
    <w:rsid w:val="00AF6692"/>
    <w:rsid w:val="00AF675E"/>
    <w:rsid w:val="00AF6760"/>
    <w:rsid w:val="00AF6787"/>
    <w:rsid w:val="00AF681E"/>
    <w:rsid w:val="00AF689A"/>
    <w:rsid w:val="00AF6905"/>
    <w:rsid w:val="00AF6932"/>
    <w:rsid w:val="00AF693E"/>
    <w:rsid w:val="00AF6A75"/>
    <w:rsid w:val="00AF6AA2"/>
    <w:rsid w:val="00AF6AD8"/>
    <w:rsid w:val="00AF6AEE"/>
    <w:rsid w:val="00AF6B18"/>
    <w:rsid w:val="00AF6B8E"/>
    <w:rsid w:val="00AF6CC6"/>
    <w:rsid w:val="00AF6D8A"/>
    <w:rsid w:val="00AF6DB9"/>
    <w:rsid w:val="00AF6E36"/>
    <w:rsid w:val="00AF6E62"/>
    <w:rsid w:val="00AF6F3F"/>
    <w:rsid w:val="00AF6F74"/>
    <w:rsid w:val="00AF6F79"/>
    <w:rsid w:val="00AF6FED"/>
    <w:rsid w:val="00AF7051"/>
    <w:rsid w:val="00AF7059"/>
    <w:rsid w:val="00AF70B9"/>
    <w:rsid w:val="00AF7163"/>
    <w:rsid w:val="00AF71AE"/>
    <w:rsid w:val="00AF71D5"/>
    <w:rsid w:val="00AF71E1"/>
    <w:rsid w:val="00AF7251"/>
    <w:rsid w:val="00AF72BB"/>
    <w:rsid w:val="00AF72C9"/>
    <w:rsid w:val="00AF74C6"/>
    <w:rsid w:val="00AF74EE"/>
    <w:rsid w:val="00AF7563"/>
    <w:rsid w:val="00AF7658"/>
    <w:rsid w:val="00AF7672"/>
    <w:rsid w:val="00AF76CC"/>
    <w:rsid w:val="00AF76D1"/>
    <w:rsid w:val="00AF775D"/>
    <w:rsid w:val="00AF777E"/>
    <w:rsid w:val="00AF77D6"/>
    <w:rsid w:val="00AF7805"/>
    <w:rsid w:val="00AF7815"/>
    <w:rsid w:val="00AF783B"/>
    <w:rsid w:val="00AF7843"/>
    <w:rsid w:val="00AF784A"/>
    <w:rsid w:val="00AF789E"/>
    <w:rsid w:val="00AF78F5"/>
    <w:rsid w:val="00AF791E"/>
    <w:rsid w:val="00AF7945"/>
    <w:rsid w:val="00AF79E8"/>
    <w:rsid w:val="00AF7A3C"/>
    <w:rsid w:val="00AF7BB6"/>
    <w:rsid w:val="00AF7BD7"/>
    <w:rsid w:val="00AF7C73"/>
    <w:rsid w:val="00AF7C9A"/>
    <w:rsid w:val="00AF7D7A"/>
    <w:rsid w:val="00AF7DDA"/>
    <w:rsid w:val="00AF7E47"/>
    <w:rsid w:val="00AF7EC7"/>
    <w:rsid w:val="00AF7F54"/>
    <w:rsid w:val="00AF7F69"/>
    <w:rsid w:val="00B00145"/>
    <w:rsid w:val="00B0016E"/>
    <w:rsid w:val="00B001AB"/>
    <w:rsid w:val="00B0024C"/>
    <w:rsid w:val="00B0030F"/>
    <w:rsid w:val="00B0032D"/>
    <w:rsid w:val="00B0035E"/>
    <w:rsid w:val="00B0046E"/>
    <w:rsid w:val="00B00525"/>
    <w:rsid w:val="00B00581"/>
    <w:rsid w:val="00B005FD"/>
    <w:rsid w:val="00B0060E"/>
    <w:rsid w:val="00B00625"/>
    <w:rsid w:val="00B00635"/>
    <w:rsid w:val="00B006A0"/>
    <w:rsid w:val="00B006BB"/>
    <w:rsid w:val="00B00701"/>
    <w:rsid w:val="00B007DD"/>
    <w:rsid w:val="00B00899"/>
    <w:rsid w:val="00B008C1"/>
    <w:rsid w:val="00B00965"/>
    <w:rsid w:val="00B00977"/>
    <w:rsid w:val="00B00A65"/>
    <w:rsid w:val="00B00AA0"/>
    <w:rsid w:val="00B00B11"/>
    <w:rsid w:val="00B00C72"/>
    <w:rsid w:val="00B00CA4"/>
    <w:rsid w:val="00B00D18"/>
    <w:rsid w:val="00B00D20"/>
    <w:rsid w:val="00B00DEB"/>
    <w:rsid w:val="00B00EA2"/>
    <w:rsid w:val="00B00EAC"/>
    <w:rsid w:val="00B00FB1"/>
    <w:rsid w:val="00B010DB"/>
    <w:rsid w:val="00B010FD"/>
    <w:rsid w:val="00B01166"/>
    <w:rsid w:val="00B0120B"/>
    <w:rsid w:val="00B012A6"/>
    <w:rsid w:val="00B012EB"/>
    <w:rsid w:val="00B01386"/>
    <w:rsid w:val="00B013A1"/>
    <w:rsid w:val="00B013DC"/>
    <w:rsid w:val="00B01585"/>
    <w:rsid w:val="00B015D8"/>
    <w:rsid w:val="00B01694"/>
    <w:rsid w:val="00B016B5"/>
    <w:rsid w:val="00B01712"/>
    <w:rsid w:val="00B0177A"/>
    <w:rsid w:val="00B0179A"/>
    <w:rsid w:val="00B017C7"/>
    <w:rsid w:val="00B01883"/>
    <w:rsid w:val="00B018C3"/>
    <w:rsid w:val="00B018CF"/>
    <w:rsid w:val="00B018EF"/>
    <w:rsid w:val="00B0197B"/>
    <w:rsid w:val="00B0198E"/>
    <w:rsid w:val="00B0199A"/>
    <w:rsid w:val="00B01B6D"/>
    <w:rsid w:val="00B01B80"/>
    <w:rsid w:val="00B01C60"/>
    <w:rsid w:val="00B01CF8"/>
    <w:rsid w:val="00B01D1E"/>
    <w:rsid w:val="00B01D74"/>
    <w:rsid w:val="00B01E9C"/>
    <w:rsid w:val="00B01EF6"/>
    <w:rsid w:val="00B01F4B"/>
    <w:rsid w:val="00B01F70"/>
    <w:rsid w:val="00B01F83"/>
    <w:rsid w:val="00B01F85"/>
    <w:rsid w:val="00B01F86"/>
    <w:rsid w:val="00B01FFD"/>
    <w:rsid w:val="00B02091"/>
    <w:rsid w:val="00B02179"/>
    <w:rsid w:val="00B021B2"/>
    <w:rsid w:val="00B021B5"/>
    <w:rsid w:val="00B02204"/>
    <w:rsid w:val="00B0227B"/>
    <w:rsid w:val="00B022C4"/>
    <w:rsid w:val="00B0230D"/>
    <w:rsid w:val="00B02393"/>
    <w:rsid w:val="00B023C6"/>
    <w:rsid w:val="00B02534"/>
    <w:rsid w:val="00B025B9"/>
    <w:rsid w:val="00B025BD"/>
    <w:rsid w:val="00B025D8"/>
    <w:rsid w:val="00B025DB"/>
    <w:rsid w:val="00B0265E"/>
    <w:rsid w:val="00B02694"/>
    <w:rsid w:val="00B026BC"/>
    <w:rsid w:val="00B026FF"/>
    <w:rsid w:val="00B02707"/>
    <w:rsid w:val="00B02735"/>
    <w:rsid w:val="00B02737"/>
    <w:rsid w:val="00B02748"/>
    <w:rsid w:val="00B027D0"/>
    <w:rsid w:val="00B02806"/>
    <w:rsid w:val="00B02821"/>
    <w:rsid w:val="00B0290A"/>
    <w:rsid w:val="00B02950"/>
    <w:rsid w:val="00B02965"/>
    <w:rsid w:val="00B02979"/>
    <w:rsid w:val="00B02986"/>
    <w:rsid w:val="00B02A09"/>
    <w:rsid w:val="00B02A22"/>
    <w:rsid w:val="00B02A63"/>
    <w:rsid w:val="00B02AE7"/>
    <w:rsid w:val="00B02AF5"/>
    <w:rsid w:val="00B02B9E"/>
    <w:rsid w:val="00B02C0B"/>
    <w:rsid w:val="00B02C30"/>
    <w:rsid w:val="00B02C61"/>
    <w:rsid w:val="00B02C7E"/>
    <w:rsid w:val="00B02C93"/>
    <w:rsid w:val="00B02CAA"/>
    <w:rsid w:val="00B02DD0"/>
    <w:rsid w:val="00B02DF5"/>
    <w:rsid w:val="00B02E9E"/>
    <w:rsid w:val="00B02EAA"/>
    <w:rsid w:val="00B02F45"/>
    <w:rsid w:val="00B02F53"/>
    <w:rsid w:val="00B0303D"/>
    <w:rsid w:val="00B030AD"/>
    <w:rsid w:val="00B030AE"/>
    <w:rsid w:val="00B030C2"/>
    <w:rsid w:val="00B03172"/>
    <w:rsid w:val="00B031D0"/>
    <w:rsid w:val="00B03268"/>
    <w:rsid w:val="00B03288"/>
    <w:rsid w:val="00B0328E"/>
    <w:rsid w:val="00B032C0"/>
    <w:rsid w:val="00B0335E"/>
    <w:rsid w:val="00B0335F"/>
    <w:rsid w:val="00B03373"/>
    <w:rsid w:val="00B0337A"/>
    <w:rsid w:val="00B0337D"/>
    <w:rsid w:val="00B0337E"/>
    <w:rsid w:val="00B033F4"/>
    <w:rsid w:val="00B0341B"/>
    <w:rsid w:val="00B0344F"/>
    <w:rsid w:val="00B0345D"/>
    <w:rsid w:val="00B034BF"/>
    <w:rsid w:val="00B03553"/>
    <w:rsid w:val="00B0355B"/>
    <w:rsid w:val="00B0357E"/>
    <w:rsid w:val="00B03661"/>
    <w:rsid w:val="00B03693"/>
    <w:rsid w:val="00B0370A"/>
    <w:rsid w:val="00B03761"/>
    <w:rsid w:val="00B03781"/>
    <w:rsid w:val="00B037B5"/>
    <w:rsid w:val="00B037F5"/>
    <w:rsid w:val="00B037FF"/>
    <w:rsid w:val="00B03834"/>
    <w:rsid w:val="00B038D2"/>
    <w:rsid w:val="00B038DE"/>
    <w:rsid w:val="00B03914"/>
    <w:rsid w:val="00B03967"/>
    <w:rsid w:val="00B03978"/>
    <w:rsid w:val="00B03987"/>
    <w:rsid w:val="00B039A9"/>
    <w:rsid w:val="00B039B5"/>
    <w:rsid w:val="00B03A46"/>
    <w:rsid w:val="00B03AB9"/>
    <w:rsid w:val="00B03AD6"/>
    <w:rsid w:val="00B03AE0"/>
    <w:rsid w:val="00B03BA2"/>
    <w:rsid w:val="00B03C69"/>
    <w:rsid w:val="00B03C72"/>
    <w:rsid w:val="00B03C8D"/>
    <w:rsid w:val="00B03D3D"/>
    <w:rsid w:val="00B03DEC"/>
    <w:rsid w:val="00B03E54"/>
    <w:rsid w:val="00B03EC1"/>
    <w:rsid w:val="00B03F51"/>
    <w:rsid w:val="00B03F67"/>
    <w:rsid w:val="00B03FF5"/>
    <w:rsid w:val="00B04008"/>
    <w:rsid w:val="00B040CB"/>
    <w:rsid w:val="00B0421F"/>
    <w:rsid w:val="00B0428D"/>
    <w:rsid w:val="00B042B0"/>
    <w:rsid w:val="00B042F7"/>
    <w:rsid w:val="00B04308"/>
    <w:rsid w:val="00B0434E"/>
    <w:rsid w:val="00B043A4"/>
    <w:rsid w:val="00B043AC"/>
    <w:rsid w:val="00B043F8"/>
    <w:rsid w:val="00B043FD"/>
    <w:rsid w:val="00B04477"/>
    <w:rsid w:val="00B0450C"/>
    <w:rsid w:val="00B0452B"/>
    <w:rsid w:val="00B04536"/>
    <w:rsid w:val="00B0453B"/>
    <w:rsid w:val="00B045B6"/>
    <w:rsid w:val="00B04639"/>
    <w:rsid w:val="00B04649"/>
    <w:rsid w:val="00B0468C"/>
    <w:rsid w:val="00B04756"/>
    <w:rsid w:val="00B0483A"/>
    <w:rsid w:val="00B04867"/>
    <w:rsid w:val="00B048A7"/>
    <w:rsid w:val="00B048C0"/>
    <w:rsid w:val="00B0490C"/>
    <w:rsid w:val="00B04A19"/>
    <w:rsid w:val="00B04A7E"/>
    <w:rsid w:val="00B04B7D"/>
    <w:rsid w:val="00B04C2D"/>
    <w:rsid w:val="00B04C51"/>
    <w:rsid w:val="00B04C73"/>
    <w:rsid w:val="00B04CC6"/>
    <w:rsid w:val="00B04CC9"/>
    <w:rsid w:val="00B04D23"/>
    <w:rsid w:val="00B04D4A"/>
    <w:rsid w:val="00B04D4C"/>
    <w:rsid w:val="00B04DB7"/>
    <w:rsid w:val="00B04DBB"/>
    <w:rsid w:val="00B04E6D"/>
    <w:rsid w:val="00B04E94"/>
    <w:rsid w:val="00B04ED8"/>
    <w:rsid w:val="00B04F6D"/>
    <w:rsid w:val="00B04F80"/>
    <w:rsid w:val="00B04FA0"/>
    <w:rsid w:val="00B04FD5"/>
    <w:rsid w:val="00B0503D"/>
    <w:rsid w:val="00B050A1"/>
    <w:rsid w:val="00B050C0"/>
    <w:rsid w:val="00B050C6"/>
    <w:rsid w:val="00B050ED"/>
    <w:rsid w:val="00B050F8"/>
    <w:rsid w:val="00B0510A"/>
    <w:rsid w:val="00B05125"/>
    <w:rsid w:val="00B05281"/>
    <w:rsid w:val="00B052B3"/>
    <w:rsid w:val="00B052BD"/>
    <w:rsid w:val="00B052DE"/>
    <w:rsid w:val="00B05366"/>
    <w:rsid w:val="00B0537A"/>
    <w:rsid w:val="00B053E6"/>
    <w:rsid w:val="00B054F6"/>
    <w:rsid w:val="00B0553B"/>
    <w:rsid w:val="00B0553F"/>
    <w:rsid w:val="00B05547"/>
    <w:rsid w:val="00B055CB"/>
    <w:rsid w:val="00B05603"/>
    <w:rsid w:val="00B056B0"/>
    <w:rsid w:val="00B056C2"/>
    <w:rsid w:val="00B05704"/>
    <w:rsid w:val="00B0573A"/>
    <w:rsid w:val="00B0592D"/>
    <w:rsid w:val="00B059A8"/>
    <w:rsid w:val="00B05A8C"/>
    <w:rsid w:val="00B05ACE"/>
    <w:rsid w:val="00B05B0C"/>
    <w:rsid w:val="00B05B5A"/>
    <w:rsid w:val="00B05B73"/>
    <w:rsid w:val="00B05BAC"/>
    <w:rsid w:val="00B05BCB"/>
    <w:rsid w:val="00B05CAA"/>
    <w:rsid w:val="00B05CC1"/>
    <w:rsid w:val="00B05CE8"/>
    <w:rsid w:val="00B05DC6"/>
    <w:rsid w:val="00B05E21"/>
    <w:rsid w:val="00B05E7B"/>
    <w:rsid w:val="00B05F03"/>
    <w:rsid w:val="00B05F76"/>
    <w:rsid w:val="00B060D1"/>
    <w:rsid w:val="00B0616C"/>
    <w:rsid w:val="00B061A0"/>
    <w:rsid w:val="00B061D1"/>
    <w:rsid w:val="00B0624F"/>
    <w:rsid w:val="00B06279"/>
    <w:rsid w:val="00B06298"/>
    <w:rsid w:val="00B062A8"/>
    <w:rsid w:val="00B06340"/>
    <w:rsid w:val="00B06375"/>
    <w:rsid w:val="00B06392"/>
    <w:rsid w:val="00B063D5"/>
    <w:rsid w:val="00B063F8"/>
    <w:rsid w:val="00B0645C"/>
    <w:rsid w:val="00B0646E"/>
    <w:rsid w:val="00B06491"/>
    <w:rsid w:val="00B064E3"/>
    <w:rsid w:val="00B06500"/>
    <w:rsid w:val="00B06578"/>
    <w:rsid w:val="00B06580"/>
    <w:rsid w:val="00B065AB"/>
    <w:rsid w:val="00B065DD"/>
    <w:rsid w:val="00B0670F"/>
    <w:rsid w:val="00B0672D"/>
    <w:rsid w:val="00B06757"/>
    <w:rsid w:val="00B067A6"/>
    <w:rsid w:val="00B067EF"/>
    <w:rsid w:val="00B0686C"/>
    <w:rsid w:val="00B068BF"/>
    <w:rsid w:val="00B068ED"/>
    <w:rsid w:val="00B06963"/>
    <w:rsid w:val="00B06A3A"/>
    <w:rsid w:val="00B06A8F"/>
    <w:rsid w:val="00B06A9B"/>
    <w:rsid w:val="00B06ABD"/>
    <w:rsid w:val="00B06B08"/>
    <w:rsid w:val="00B06B09"/>
    <w:rsid w:val="00B06B56"/>
    <w:rsid w:val="00B06B5D"/>
    <w:rsid w:val="00B06BAB"/>
    <w:rsid w:val="00B06BF4"/>
    <w:rsid w:val="00B06C63"/>
    <w:rsid w:val="00B06C9F"/>
    <w:rsid w:val="00B06D48"/>
    <w:rsid w:val="00B06D72"/>
    <w:rsid w:val="00B06DB5"/>
    <w:rsid w:val="00B06E86"/>
    <w:rsid w:val="00B06EA0"/>
    <w:rsid w:val="00B06EBF"/>
    <w:rsid w:val="00B06F19"/>
    <w:rsid w:val="00B06F40"/>
    <w:rsid w:val="00B06F82"/>
    <w:rsid w:val="00B0700D"/>
    <w:rsid w:val="00B07063"/>
    <w:rsid w:val="00B07073"/>
    <w:rsid w:val="00B070EB"/>
    <w:rsid w:val="00B07106"/>
    <w:rsid w:val="00B07129"/>
    <w:rsid w:val="00B071AA"/>
    <w:rsid w:val="00B071F0"/>
    <w:rsid w:val="00B07286"/>
    <w:rsid w:val="00B072DA"/>
    <w:rsid w:val="00B07379"/>
    <w:rsid w:val="00B0737F"/>
    <w:rsid w:val="00B073A5"/>
    <w:rsid w:val="00B073F2"/>
    <w:rsid w:val="00B07443"/>
    <w:rsid w:val="00B07555"/>
    <w:rsid w:val="00B07577"/>
    <w:rsid w:val="00B0757A"/>
    <w:rsid w:val="00B075D8"/>
    <w:rsid w:val="00B0763A"/>
    <w:rsid w:val="00B07706"/>
    <w:rsid w:val="00B0775F"/>
    <w:rsid w:val="00B0778D"/>
    <w:rsid w:val="00B078BE"/>
    <w:rsid w:val="00B07972"/>
    <w:rsid w:val="00B07991"/>
    <w:rsid w:val="00B07B3C"/>
    <w:rsid w:val="00B07B3E"/>
    <w:rsid w:val="00B07B5F"/>
    <w:rsid w:val="00B07B63"/>
    <w:rsid w:val="00B07B77"/>
    <w:rsid w:val="00B07BFB"/>
    <w:rsid w:val="00B07C4F"/>
    <w:rsid w:val="00B07C64"/>
    <w:rsid w:val="00B07C9A"/>
    <w:rsid w:val="00B07D31"/>
    <w:rsid w:val="00B07D63"/>
    <w:rsid w:val="00B07DE0"/>
    <w:rsid w:val="00B07DE8"/>
    <w:rsid w:val="00B07E4F"/>
    <w:rsid w:val="00B07EE9"/>
    <w:rsid w:val="00B07FED"/>
    <w:rsid w:val="00B07FF7"/>
    <w:rsid w:val="00B10099"/>
    <w:rsid w:val="00B100C1"/>
    <w:rsid w:val="00B100F8"/>
    <w:rsid w:val="00B101BB"/>
    <w:rsid w:val="00B101C6"/>
    <w:rsid w:val="00B101CD"/>
    <w:rsid w:val="00B10205"/>
    <w:rsid w:val="00B10217"/>
    <w:rsid w:val="00B102ED"/>
    <w:rsid w:val="00B10303"/>
    <w:rsid w:val="00B10338"/>
    <w:rsid w:val="00B103C8"/>
    <w:rsid w:val="00B103DC"/>
    <w:rsid w:val="00B103EB"/>
    <w:rsid w:val="00B1044B"/>
    <w:rsid w:val="00B10456"/>
    <w:rsid w:val="00B10464"/>
    <w:rsid w:val="00B104CC"/>
    <w:rsid w:val="00B10513"/>
    <w:rsid w:val="00B105AB"/>
    <w:rsid w:val="00B10600"/>
    <w:rsid w:val="00B1064D"/>
    <w:rsid w:val="00B10669"/>
    <w:rsid w:val="00B10716"/>
    <w:rsid w:val="00B107BD"/>
    <w:rsid w:val="00B10811"/>
    <w:rsid w:val="00B10847"/>
    <w:rsid w:val="00B10891"/>
    <w:rsid w:val="00B1089E"/>
    <w:rsid w:val="00B10995"/>
    <w:rsid w:val="00B109FD"/>
    <w:rsid w:val="00B10A2B"/>
    <w:rsid w:val="00B10AA1"/>
    <w:rsid w:val="00B10AC6"/>
    <w:rsid w:val="00B10B74"/>
    <w:rsid w:val="00B10C3B"/>
    <w:rsid w:val="00B10C67"/>
    <w:rsid w:val="00B10D69"/>
    <w:rsid w:val="00B10E08"/>
    <w:rsid w:val="00B10E9E"/>
    <w:rsid w:val="00B10EB6"/>
    <w:rsid w:val="00B10F1A"/>
    <w:rsid w:val="00B10F3E"/>
    <w:rsid w:val="00B10FF0"/>
    <w:rsid w:val="00B11006"/>
    <w:rsid w:val="00B1103F"/>
    <w:rsid w:val="00B11096"/>
    <w:rsid w:val="00B110A0"/>
    <w:rsid w:val="00B110FA"/>
    <w:rsid w:val="00B110FE"/>
    <w:rsid w:val="00B1116E"/>
    <w:rsid w:val="00B112BB"/>
    <w:rsid w:val="00B112CD"/>
    <w:rsid w:val="00B112D0"/>
    <w:rsid w:val="00B112D1"/>
    <w:rsid w:val="00B1131A"/>
    <w:rsid w:val="00B1131B"/>
    <w:rsid w:val="00B1133C"/>
    <w:rsid w:val="00B11342"/>
    <w:rsid w:val="00B113B1"/>
    <w:rsid w:val="00B113E3"/>
    <w:rsid w:val="00B113EA"/>
    <w:rsid w:val="00B11476"/>
    <w:rsid w:val="00B1149B"/>
    <w:rsid w:val="00B1149F"/>
    <w:rsid w:val="00B114AE"/>
    <w:rsid w:val="00B114C2"/>
    <w:rsid w:val="00B114F4"/>
    <w:rsid w:val="00B11558"/>
    <w:rsid w:val="00B115A4"/>
    <w:rsid w:val="00B11641"/>
    <w:rsid w:val="00B11652"/>
    <w:rsid w:val="00B1166D"/>
    <w:rsid w:val="00B116B4"/>
    <w:rsid w:val="00B116C3"/>
    <w:rsid w:val="00B116C7"/>
    <w:rsid w:val="00B1176B"/>
    <w:rsid w:val="00B1177D"/>
    <w:rsid w:val="00B11783"/>
    <w:rsid w:val="00B11805"/>
    <w:rsid w:val="00B1184B"/>
    <w:rsid w:val="00B118CC"/>
    <w:rsid w:val="00B11911"/>
    <w:rsid w:val="00B11966"/>
    <w:rsid w:val="00B11975"/>
    <w:rsid w:val="00B1197A"/>
    <w:rsid w:val="00B11A37"/>
    <w:rsid w:val="00B11A90"/>
    <w:rsid w:val="00B11BD8"/>
    <w:rsid w:val="00B11C11"/>
    <w:rsid w:val="00B11C39"/>
    <w:rsid w:val="00B11CF4"/>
    <w:rsid w:val="00B11D74"/>
    <w:rsid w:val="00B11DF6"/>
    <w:rsid w:val="00B11DF9"/>
    <w:rsid w:val="00B11E7F"/>
    <w:rsid w:val="00B11E85"/>
    <w:rsid w:val="00B11EA0"/>
    <w:rsid w:val="00B11EDA"/>
    <w:rsid w:val="00B11F60"/>
    <w:rsid w:val="00B11FA7"/>
    <w:rsid w:val="00B11FCA"/>
    <w:rsid w:val="00B1200E"/>
    <w:rsid w:val="00B1207A"/>
    <w:rsid w:val="00B1215F"/>
    <w:rsid w:val="00B12176"/>
    <w:rsid w:val="00B121CA"/>
    <w:rsid w:val="00B12216"/>
    <w:rsid w:val="00B12245"/>
    <w:rsid w:val="00B1224A"/>
    <w:rsid w:val="00B122B6"/>
    <w:rsid w:val="00B122D5"/>
    <w:rsid w:val="00B123BE"/>
    <w:rsid w:val="00B123DA"/>
    <w:rsid w:val="00B123E8"/>
    <w:rsid w:val="00B12496"/>
    <w:rsid w:val="00B124CD"/>
    <w:rsid w:val="00B12553"/>
    <w:rsid w:val="00B12560"/>
    <w:rsid w:val="00B1259F"/>
    <w:rsid w:val="00B125A3"/>
    <w:rsid w:val="00B125AA"/>
    <w:rsid w:val="00B125D6"/>
    <w:rsid w:val="00B125F2"/>
    <w:rsid w:val="00B127BA"/>
    <w:rsid w:val="00B127EF"/>
    <w:rsid w:val="00B12980"/>
    <w:rsid w:val="00B1299C"/>
    <w:rsid w:val="00B12A5F"/>
    <w:rsid w:val="00B12A84"/>
    <w:rsid w:val="00B12A9D"/>
    <w:rsid w:val="00B12AAF"/>
    <w:rsid w:val="00B12B1F"/>
    <w:rsid w:val="00B12B35"/>
    <w:rsid w:val="00B12C04"/>
    <w:rsid w:val="00B12C31"/>
    <w:rsid w:val="00B12C51"/>
    <w:rsid w:val="00B12C5A"/>
    <w:rsid w:val="00B12CBF"/>
    <w:rsid w:val="00B12CD7"/>
    <w:rsid w:val="00B12D37"/>
    <w:rsid w:val="00B12D8F"/>
    <w:rsid w:val="00B12DA6"/>
    <w:rsid w:val="00B12DC0"/>
    <w:rsid w:val="00B12DE0"/>
    <w:rsid w:val="00B12DE1"/>
    <w:rsid w:val="00B12E92"/>
    <w:rsid w:val="00B12F1E"/>
    <w:rsid w:val="00B1304E"/>
    <w:rsid w:val="00B1307A"/>
    <w:rsid w:val="00B130EC"/>
    <w:rsid w:val="00B130ED"/>
    <w:rsid w:val="00B1322E"/>
    <w:rsid w:val="00B13238"/>
    <w:rsid w:val="00B1329E"/>
    <w:rsid w:val="00B132EC"/>
    <w:rsid w:val="00B132ED"/>
    <w:rsid w:val="00B13309"/>
    <w:rsid w:val="00B1337F"/>
    <w:rsid w:val="00B133C5"/>
    <w:rsid w:val="00B133C7"/>
    <w:rsid w:val="00B13408"/>
    <w:rsid w:val="00B1344F"/>
    <w:rsid w:val="00B13457"/>
    <w:rsid w:val="00B134AA"/>
    <w:rsid w:val="00B13507"/>
    <w:rsid w:val="00B1359F"/>
    <w:rsid w:val="00B135FF"/>
    <w:rsid w:val="00B13626"/>
    <w:rsid w:val="00B136C8"/>
    <w:rsid w:val="00B1375F"/>
    <w:rsid w:val="00B13782"/>
    <w:rsid w:val="00B1379B"/>
    <w:rsid w:val="00B137D1"/>
    <w:rsid w:val="00B137E0"/>
    <w:rsid w:val="00B137FE"/>
    <w:rsid w:val="00B13859"/>
    <w:rsid w:val="00B13881"/>
    <w:rsid w:val="00B138FB"/>
    <w:rsid w:val="00B13909"/>
    <w:rsid w:val="00B1396C"/>
    <w:rsid w:val="00B1398C"/>
    <w:rsid w:val="00B139DF"/>
    <w:rsid w:val="00B13A4D"/>
    <w:rsid w:val="00B13A81"/>
    <w:rsid w:val="00B13AA9"/>
    <w:rsid w:val="00B13AAF"/>
    <w:rsid w:val="00B13C3A"/>
    <w:rsid w:val="00B13C43"/>
    <w:rsid w:val="00B13CA7"/>
    <w:rsid w:val="00B13D46"/>
    <w:rsid w:val="00B13D91"/>
    <w:rsid w:val="00B13D9D"/>
    <w:rsid w:val="00B13DB5"/>
    <w:rsid w:val="00B13DCB"/>
    <w:rsid w:val="00B13DDF"/>
    <w:rsid w:val="00B13E66"/>
    <w:rsid w:val="00B13E7C"/>
    <w:rsid w:val="00B13F7B"/>
    <w:rsid w:val="00B13FAC"/>
    <w:rsid w:val="00B1402E"/>
    <w:rsid w:val="00B14031"/>
    <w:rsid w:val="00B1403E"/>
    <w:rsid w:val="00B14075"/>
    <w:rsid w:val="00B140AC"/>
    <w:rsid w:val="00B141CE"/>
    <w:rsid w:val="00B14232"/>
    <w:rsid w:val="00B14260"/>
    <w:rsid w:val="00B142E2"/>
    <w:rsid w:val="00B14307"/>
    <w:rsid w:val="00B1435C"/>
    <w:rsid w:val="00B14463"/>
    <w:rsid w:val="00B14469"/>
    <w:rsid w:val="00B144C7"/>
    <w:rsid w:val="00B144FC"/>
    <w:rsid w:val="00B14527"/>
    <w:rsid w:val="00B14541"/>
    <w:rsid w:val="00B14575"/>
    <w:rsid w:val="00B145D5"/>
    <w:rsid w:val="00B146CA"/>
    <w:rsid w:val="00B14775"/>
    <w:rsid w:val="00B147A9"/>
    <w:rsid w:val="00B147DB"/>
    <w:rsid w:val="00B147E8"/>
    <w:rsid w:val="00B147F5"/>
    <w:rsid w:val="00B14858"/>
    <w:rsid w:val="00B1485F"/>
    <w:rsid w:val="00B14876"/>
    <w:rsid w:val="00B14891"/>
    <w:rsid w:val="00B148F9"/>
    <w:rsid w:val="00B14978"/>
    <w:rsid w:val="00B1498A"/>
    <w:rsid w:val="00B149AB"/>
    <w:rsid w:val="00B149BC"/>
    <w:rsid w:val="00B149D0"/>
    <w:rsid w:val="00B149E1"/>
    <w:rsid w:val="00B149F6"/>
    <w:rsid w:val="00B14ACE"/>
    <w:rsid w:val="00B14B62"/>
    <w:rsid w:val="00B14B80"/>
    <w:rsid w:val="00B14BA0"/>
    <w:rsid w:val="00B14BBF"/>
    <w:rsid w:val="00B14C03"/>
    <w:rsid w:val="00B14C29"/>
    <w:rsid w:val="00B14C6B"/>
    <w:rsid w:val="00B14C7A"/>
    <w:rsid w:val="00B14D75"/>
    <w:rsid w:val="00B14E19"/>
    <w:rsid w:val="00B14EDC"/>
    <w:rsid w:val="00B14F42"/>
    <w:rsid w:val="00B14F9B"/>
    <w:rsid w:val="00B14FA4"/>
    <w:rsid w:val="00B1500C"/>
    <w:rsid w:val="00B15046"/>
    <w:rsid w:val="00B150B3"/>
    <w:rsid w:val="00B150BC"/>
    <w:rsid w:val="00B150F9"/>
    <w:rsid w:val="00B151F5"/>
    <w:rsid w:val="00B15243"/>
    <w:rsid w:val="00B15354"/>
    <w:rsid w:val="00B15380"/>
    <w:rsid w:val="00B153F8"/>
    <w:rsid w:val="00B1542F"/>
    <w:rsid w:val="00B15463"/>
    <w:rsid w:val="00B154C9"/>
    <w:rsid w:val="00B154DA"/>
    <w:rsid w:val="00B15592"/>
    <w:rsid w:val="00B155E1"/>
    <w:rsid w:val="00B15684"/>
    <w:rsid w:val="00B156AE"/>
    <w:rsid w:val="00B15750"/>
    <w:rsid w:val="00B158AA"/>
    <w:rsid w:val="00B158FB"/>
    <w:rsid w:val="00B159AF"/>
    <w:rsid w:val="00B159C3"/>
    <w:rsid w:val="00B159DD"/>
    <w:rsid w:val="00B15A14"/>
    <w:rsid w:val="00B15A31"/>
    <w:rsid w:val="00B15A6E"/>
    <w:rsid w:val="00B15BCA"/>
    <w:rsid w:val="00B15C06"/>
    <w:rsid w:val="00B15C10"/>
    <w:rsid w:val="00B15C25"/>
    <w:rsid w:val="00B15C3A"/>
    <w:rsid w:val="00B15C47"/>
    <w:rsid w:val="00B15C88"/>
    <w:rsid w:val="00B15CB5"/>
    <w:rsid w:val="00B15CF8"/>
    <w:rsid w:val="00B15D6C"/>
    <w:rsid w:val="00B15DD8"/>
    <w:rsid w:val="00B15DFF"/>
    <w:rsid w:val="00B15EA5"/>
    <w:rsid w:val="00B15EBF"/>
    <w:rsid w:val="00B15EE0"/>
    <w:rsid w:val="00B15EF5"/>
    <w:rsid w:val="00B15F1C"/>
    <w:rsid w:val="00B15F1F"/>
    <w:rsid w:val="00B15F46"/>
    <w:rsid w:val="00B15F4C"/>
    <w:rsid w:val="00B1600D"/>
    <w:rsid w:val="00B1601C"/>
    <w:rsid w:val="00B16061"/>
    <w:rsid w:val="00B1609B"/>
    <w:rsid w:val="00B161BF"/>
    <w:rsid w:val="00B161D6"/>
    <w:rsid w:val="00B16251"/>
    <w:rsid w:val="00B16432"/>
    <w:rsid w:val="00B16453"/>
    <w:rsid w:val="00B16670"/>
    <w:rsid w:val="00B16799"/>
    <w:rsid w:val="00B167C6"/>
    <w:rsid w:val="00B16895"/>
    <w:rsid w:val="00B168A3"/>
    <w:rsid w:val="00B168AF"/>
    <w:rsid w:val="00B168F6"/>
    <w:rsid w:val="00B1698B"/>
    <w:rsid w:val="00B1698F"/>
    <w:rsid w:val="00B16A70"/>
    <w:rsid w:val="00B16A75"/>
    <w:rsid w:val="00B16A9D"/>
    <w:rsid w:val="00B16AC0"/>
    <w:rsid w:val="00B16AC4"/>
    <w:rsid w:val="00B16B2D"/>
    <w:rsid w:val="00B16B3D"/>
    <w:rsid w:val="00B16BD2"/>
    <w:rsid w:val="00B16C3A"/>
    <w:rsid w:val="00B16C4E"/>
    <w:rsid w:val="00B16CBA"/>
    <w:rsid w:val="00B16D77"/>
    <w:rsid w:val="00B16DE0"/>
    <w:rsid w:val="00B16E2C"/>
    <w:rsid w:val="00B16E8F"/>
    <w:rsid w:val="00B16ED0"/>
    <w:rsid w:val="00B16EF5"/>
    <w:rsid w:val="00B16F0C"/>
    <w:rsid w:val="00B16F24"/>
    <w:rsid w:val="00B16F4A"/>
    <w:rsid w:val="00B16F64"/>
    <w:rsid w:val="00B16F6E"/>
    <w:rsid w:val="00B16FFF"/>
    <w:rsid w:val="00B1709A"/>
    <w:rsid w:val="00B170EA"/>
    <w:rsid w:val="00B171C2"/>
    <w:rsid w:val="00B17266"/>
    <w:rsid w:val="00B17284"/>
    <w:rsid w:val="00B172C0"/>
    <w:rsid w:val="00B17407"/>
    <w:rsid w:val="00B1743A"/>
    <w:rsid w:val="00B1745C"/>
    <w:rsid w:val="00B17538"/>
    <w:rsid w:val="00B17575"/>
    <w:rsid w:val="00B17609"/>
    <w:rsid w:val="00B1761D"/>
    <w:rsid w:val="00B17645"/>
    <w:rsid w:val="00B1768D"/>
    <w:rsid w:val="00B176AC"/>
    <w:rsid w:val="00B176B8"/>
    <w:rsid w:val="00B176C5"/>
    <w:rsid w:val="00B1775B"/>
    <w:rsid w:val="00B17825"/>
    <w:rsid w:val="00B17831"/>
    <w:rsid w:val="00B178BC"/>
    <w:rsid w:val="00B17965"/>
    <w:rsid w:val="00B179AC"/>
    <w:rsid w:val="00B179CA"/>
    <w:rsid w:val="00B17A02"/>
    <w:rsid w:val="00B17B2F"/>
    <w:rsid w:val="00B17B46"/>
    <w:rsid w:val="00B17BA1"/>
    <w:rsid w:val="00B17BA5"/>
    <w:rsid w:val="00B17BAE"/>
    <w:rsid w:val="00B17BCC"/>
    <w:rsid w:val="00B17BE9"/>
    <w:rsid w:val="00B17BF7"/>
    <w:rsid w:val="00B17BFD"/>
    <w:rsid w:val="00B17C15"/>
    <w:rsid w:val="00B17C5E"/>
    <w:rsid w:val="00B17C7D"/>
    <w:rsid w:val="00B17CB6"/>
    <w:rsid w:val="00B17DA8"/>
    <w:rsid w:val="00B17DDE"/>
    <w:rsid w:val="00B17E15"/>
    <w:rsid w:val="00B17ECD"/>
    <w:rsid w:val="00B17EF2"/>
    <w:rsid w:val="00B17EFD"/>
    <w:rsid w:val="00B17F7E"/>
    <w:rsid w:val="00B17FD4"/>
    <w:rsid w:val="00B2000E"/>
    <w:rsid w:val="00B2016B"/>
    <w:rsid w:val="00B20176"/>
    <w:rsid w:val="00B20194"/>
    <w:rsid w:val="00B201D9"/>
    <w:rsid w:val="00B201E8"/>
    <w:rsid w:val="00B202BB"/>
    <w:rsid w:val="00B202EB"/>
    <w:rsid w:val="00B202F5"/>
    <w:rsid w:val="00B20302"/>
    <w:rsid w:val="00B20330"/>
    <w:rsid w:val="00B2033A"/>
    <w:rsid w:val="00B20397"/>
    <w:rsid w:val="00B203C5"/>
    <w:rsid w:val="00B203F5"/>
    <w:rsid w:val="00B204A1"/>
    <w:rsid w:val="00B204CE"/>
    <w:rsid w:val="00B20536"/>
    <w:rsid w:val="00B20553"/>
    <w:rsid w:val="00B2057B"/>
    <w:rsid w:val="00B2060E"/>
    <w:rsid w:val="00B2064A"/>
    <w:rsid w:val="00B2071A"/>
    <w:rsid w:val="00B20778"/>
    <w:rsid w:val="00B20781"/>
    <w:rsid w:val="00B20806"/>
    <w:rsid w:val="00B2081D"/>
    <w:rsid w:val="00B2086A"/>
    <w:rsid w:val="00B20873"/>
    <w:rsid w:val="00B2094F"/>
    <w:rsid w:val="00B209CC"/>
    <w:rsid w:val="00B20A55"/>
    <w:rsid w:val="00B20AAA"/>
    <w:rsid w:val="00B20ACE"/>
    <w:rsid w:val="00B20B2D"/>
    <w:rsid w:val="00B20B64"/>
    <w:rsid w:val="00B20C2C"/>
    <w:rsid w:val="00B20C9A"/>
    <w:rsid w:val="00B20D47"/>
    <w:rsid w:val="00B20D50"/>
    <w:rsid w:val="00B20D76"/>
    <w:rsid w:val="00B20DD8"/>
    <w:rsid w:val="00B20E62"/>
    <w:rsid w:val="00B20EEB"/>
    <w:rsid w:val="00B20F4D"/>
    <w:rsid w:val="00B20FA1"/>
    <w:rsid w:val="00B20FBE"/>
    <w:rsid w:val="00B2105E"/>
    <w:rsid w:val="00B21080"/>
    <w:rsid w:val="00B21086"/>
    <w:rsid w:val="00B21087"/>
    <w:rsid w:val="00B210C8"/>
    <w:rsid w:val="00B211A5"/>
    <w:rsid w:val="00B211B3"/>
    <w:rsid w:val="00B211BD"/>
    <w:rsid w:val="00B2124A"/>
    <w:rsid w:val="00B2126D"/>
    <w:rsid w:val="00B21297"/>
    <w:rsid w:val="00B21352"/>
    <w:rsid w:val="00B21353"/>
    <w:rsid w:val="00B213D4"/>
    <w:rsid w:val="00B213EE"/>
    <w:rsid w:val="00B2141E"/>
    <w:rsid w:val="00B21424"/>
    <w:rsid w:val="00B21436"/>
    <w:rsid w:val="00B214AD"/>
    <w:rsid w:val="00B214C3"/>
    <w:rsid w:val="00B21591"/>
    <w:rsid w:val="00B215D8"/>
    <w:rsid w:val="00B21647"/>
    <w:rsid w:val="00B21720"/>
    <w:rsid w:val="00B2174A"/>
    <w:rsid w:val="00B21762"/>
    <w:rsid w:val="00B21834"/>
    <w:rsid w:val="00B21843"/>
    <w:rsid w:val="00B21856"/>
    <w:rsid w:val="00B218B2"/>
    <w:rsid w:val="00B2196B"/>
    <w:rsid w:val="00B2199A"/>
    <w:rsid w:val="00B219EA"/>
    <w:rsid w:val="00B21A96"/>
    <w:rsid w:val="00B21ABC"/>
    <w:rsid w:val="00B21B53"/>
    <w:rsid w:val="00B21BE9"/>
    <w:rsid w:val="00B21BED"/>
    <w:rsid w:val="00B21CD8"/>
    <w:rsid w:val="00B21CE6"/>
    <w:rsid w:val="00B21CF8"/>
    <w:rsid w:val="00B21D06"/>
    <w:rsid w:val="00B21D22"/>
    <w:rsid w:val="00B21D39"/>
    <w:rsid w:val="00B21D66"/>
    <w:rsid w:val="00B21D86"/>
    <w:rsid w:val="00B21DB8"/>
    <w:rsid w:val="00B21DD7"/>
    <w:rsid w:val="00B21DD9"/>
    <w:rsid w:val="00B21E50"/>
    <w:rsid w:val="00B21E8D"/>
    <w:rsid w:val="00B21EB9"/>
    <w:rsid w:val="00B21FBB"/>
    <w:rsid w:val="00B21FCC"/>
    <w:rsid w:val="00B22011"/>
    <w:rsid w:val="00B2202A"/>
    <w:rsid w:val="00B2202D"/>
    <w:rsid w:val="00B220BB"/>
    <w:rsid w:val="00B220CC"/>
    <w:rsid w:val="00B2212A"/>
    <w:rsid w:val="00B221C4"/>
    <w:rsid w:val="00B222BA"/>
    <w:rsid w:val="00B22346"/>
    <w:rsid w:val="00B223F7"/>
    <w:rsid w:val="00B224AB"/>
    <w:rsid w:val="00B224B5"/>
    <w:rsid w:val="00B224F0"/>
    <w:rsid w:val="00B22501"/>
    <w:rsid w:val="00B22590"/>
    <w:rsid w:val="00B22644"/>
    <w:rsid w:val="00B226DF"/>
    <w:rsid w:val="00B226E4"/>
    <w:rsid w:val="00B226F7"/>
    <w:rsid w:val="00B2271E"/>
    <w:rsid w:val="00B22720"/>
    <w:rsid w:val="00B227AA"/>
    <w:rsid w:val="00B22830"/>
    <w:rsid w:val="00B228AB"/>
    <w:rsid w:val="00B228E3"/>
    <w:rsid w:val="00B2295D"/>
    <w:rsid w:val="00B22989"/>
    <w:rsid w:val="00B2299B"/>
    <w:rsid w:val="00B229A7"/>
    <w:rsid w:val="00B229C3"/>
    <w:rsid w:val="00B229E1"/>
    <w:rsid w:val="00B22A1F"/>
    <w:rsid w:val="00B22A73"/>
    <w:rsid w:val="00B22B35"/>
    <w:rsid w:val="00B22B96"/>
    <w:rsid w:val="00B22BB3"/>
    <w:rsid w:val="00B22BBC"/>
    <w:rsid w:val="00B22BC5"/>
    <w:rsid w:val="00B22BF3"/>
    <w:rsid w:val="00B22D6E"/>
    <w:rsid w:val="00B22E18"/>
    <w:rsid w:val="00B22EF1"/>
    <w:rsid w:val="00B22F43"/>
    <w:rsid w:val="00B22F5B"/>
    <w:rsid w:val="00B230CD"/>
    <w:rsid w:val="00B23126"/>
    <w:rsid w:val="00B231ED"/>
    <w:rsid w:val="00B23249"/>
    <w:rsid w:val="00B23282"/>
    <w:rsid w:val="00B232C7"/>
    <w:rsid w:val="00B232E3"/>
    <w:rsid w:val="00B2331C"/>
    <w:rsid w:val="00B234E3"/>
    <w:rsid w:val="00B23506"/>
    <w:rsid w:val="00B23572"/>
    <w:rsid w:val="00B235BE"/>
    <w:rsid w:val="00B235C8"/>
    <w:rsid w:val="00B23617"/>
    <w:rsid w:val="00B23631"/>
    <w:rsid w:val="00B2364E"/>
    <w:rsid w:val="00B2367F"/>
    <w:rsid w:val="00B236E6"/>
    <w:rsid w:val="00B23735"/>
    <w:rsid w:val="00B23778"/>
    <w:rsid w:val="00B2385B"/>
    <w:rsid w:val="00B2385F"/>
    <w:rsid w:val="00B238AC"/>
    <w:rsid w:val="00B238CA"/>
    <w:rsid w:val="00B23903"/>
    <w:rsid w:val="00B23918"/>
    <w:rsid w:val="00B2398E"/>
    <w:rsid w:val="00B239AB"/>
    <w:rsid w:val="00B239EF"/>
    <w:rsid w:val="00B239F6"/>
    <w:rsid w:val="00B23B48"/>
    <w:rsid w:val="00B23B49"/>
    <w:rsid w:val="00B23B69"/>
    <w:rsid w:val="00B23B70"/>
    <w:rsid w:val="00B23C6F"/>
    <w:rsid w:val="00B23C80"/>
    <w:rsid w:val="00B23D00"/>
    <w:rsid w:val="00B23D0F"/>
    <w:rsid w:val="00B23D27"/>
    <w:rsid w:val="00B23DEB"/>
    <w:rsid w:val="00B23EB2"/>
    <w:rsid w:val="00B23ECE"/>
    <w:rsid w:val="00B23EE5"/>
    <w:rsid w:val="00B23EF1"/>
    <w:rsid w:val="00B23F00"/>
    <w:rsid w:val="00B23F56"/>
    <w:rsid w:val="00B23F7F"/>
    <w:rsid w:val="00B240BD"/>
    <w:rsid w:val="00B2412E"/>
    <w:rsid w:val="00B24164"/>
    <w:rsid w:val="00B241BE"/>
    <w:rsid w:val="00B241DF"/>
    <w:rsid w:val="00B24243"/>
    <w:rsid w:val="00B242B3"/>
    <w:rsid w:val="00B242E1"/>
    <w:rsid w:val="00B24352"/>
    <w:rsid w:val="00B24384"/>
    <w:rsid w:val="00B243D6"/>
    <w:rsid w:val="00B24468"/>
    <w:rsid w:val="00B24490"/>
    <w:rsid w:val="00B2449F"/>
    <w:rsid w:val="00B244AB"/>
    <w:rsid w:val="00B2451D"/>
    <w:rsid w:val="00B245F6"/>
    <w:rsid w:val="00B245F8"/>
    <w:rsid w:val="00B24604"/>
    <w:rsid w:val="00B24618"/>
    <w:rsid w:val="00B24633"/>
    <w:rsid w:val="00B24637"/>
    <w:rsid w:val="00B24639"/>
    <w:rsid w:val="00B2474E"/>
    <w:rsid w:val="00B2483E"/>
    <w:rsid w:val="00B2488A"/>
    <w:rsid w:val="00B24974"/>
    <w:rsid w:val="00B24A3C"/>
    <w:rsid w:val="00B24A70"/>
    <w:rsid w:val="00B24AA5"/>
    <w:rsid w:val="00B24AED"/>
    <w:rsid w:val="00B24B08"/>
    <w:rsid w:val="00B24B33"/>
    <w:rsid w:val="00B24B64"/>
    <w:rsid w:val="00B24B76"/>
    <w:rsid w:val="00B24B7A"/>
    <w:rsid w:val="00B24BCA"/>
    <w:rsid w:val="00B24C1C"/>
    <w:rsid w:val="00B24C4D"/>
    <w:rsid w:val="00B24CD5"/>
    <w:rsid w:val="00B24D4A"/>
    <w:rsid w:val="00B24E06"/>
    <w:rsid w:val="00B24E2C"/>
    <w:rsid w:val="00B24EB3"/>
    <w:rsid w:val="00B24F0D"/>
    <w:rsid w:val="00B24F9E"/>
    <w:rsid w:val="00B24FE5"/>
    <w:rsid w:val="00B25018"/>
    <w:rsid w:val="00B25031"/>
    <w:rsid w:val="00B2504C"/>
    <w:rsid w:val="00B250B8"/>
    <w:rsid w:val="00B250D6"/>
    <w:rsid w:val="00B250F2"/>
    <w:rsid w:val="00B2511A"/>
    <w:rsid w:val="00B25163"/>
    <w:rsid w:val="00B25184"/>
    <w:rsid w:val="00B25213"/>
    <w:rsid w:val="00B25215"/>
    <w:rsid w:val="00B25225"/>
    <w:rsid w:val="00B252D0"/>
    <w:rsid w:val="00B2530E"/>
    <w:rsid w:val="00B25355"/>
    <w:rsid w:val="00B25453"/>
    <w:rsid w:val="00B2547D"/>
    <w:rsid w:val="00B25519"/>
    <w:rsid w:val="00B256A7"/>
    <w:rsid w:val="00B2576F"/>
    <w:rsid w:val="00B258A6"/>
    <w:rsid w:val="00B25977"/>
    <w:rsid w:val="00B259AF"/>
    <w:rsid w:val="00B259D4"/>
    <w:rsid w:val="00B259E5"/>
    <w:rsid w:val="00B25A05"/>
    <w:rsid w:val="00B25A0C"/>
    <w:rsid w:val="00B25A10"/>
    <w:rsid w:val="00B25A23"/>
    <w:rsid w:val="00B25A46"/>
    <w:rsid w:val="00B25A60"/>
    <w:rsid w:val="00B25AB2"/>
    <w:rsid w:val="00B25B2D"/>
    <w:rsid w:val="00B25B35"/>
    <w:rsid w:val="00B25BAF"/>
    <w:rsid w:val="00B25C09"/>
    <w:rsid w:val="00B25C0E"/>
    <w:rsid w:val="00B25C41"/>
    <w:rsid w:val="00B25CC6"/>
    <w:rsid w:val="00B25CE7"/>
    <w:rsid w:val="00B25CE9"/>
    <w:rsid w:val="00B25DD7"/>
    <w:rsid w:val="00B25E05"/>
    <w:rsid w:val="00B25E20"/>
    <w:rsid w:val="00B25E52"/>
    <w:rsid w:val="00B25E6F"/>
    <w:rsid w:val="00B25EBC"/>
    <w:rsid w:val="00B25F2F"/>
    <w:rsid w:val="00B25F49"/>
    <w:rsid w:val="00B26035"/>
    <w:rsid w:val="00B260A3"/>
    <w:rsid w:val="00B260A4"/>
    <w:rsid w:val="00B260A8"/>
    <w:rsid w:val="00B260CF"/>
    <w:rsid w:val="00B2613B"/>
    <w:rsid w:val="00B26181"/>
    <w:rsid w:val="00B2618B"/>
    <w:rsid w:val="00B261E5"/>
    <w:rsid w:val="00B2622E"/>
    <w:rsid w:val="00B26263"/>
    <w:rsid w:val="00B26277"/>
    <w:rsid w:val="00B26295"/>
    <w:rsid w:val="00B2629C"/>
    <w:rsid w:val="00B262A9"/>
    <w:rsid w:val="00B26347"/>
    <w:rsid w:val="00B263E3"/>
    <w:rsid w:val="00B26407"/>
    <w:rsid w:val="00B264D5"/>
    <w:rsid w:val="00B26571"/>
    <w:rsid w:val="00B26595"/>
    <w:rsid w:val="00B26632"/>
    <w:rsid w:val="00B2677A"/>
    <w:rsid w:val="00B267F9"/>
    <w:rsid w:val="00B267FA"/>
    <w:rsid w:val="00B2686E"/>
    <w:rsid w:val="00B2688C"/>
    <w:rsid w:val="00B268A7"/>
    <w:rsid w:val="00B2691E"/>
    <w:rsid w:val="00B26968"/>
    <w:rsid w:val="00B269E9"/>
    <w:rsid w:val="00B26A02"/>
    <w:rsid w:val="00B26A18"/>
    <w:rsid w:val="00B26A81"/>
    <w:rsid w:val="00B26AA4"/>
    <w:rsid w:val="00B26B3B"/>
    <w:rsid w:val="00B26B4B"/>
    <w:rsid w:val="00B26B5B"/>
    <w:rsid w:val="00B26B9E"/>
    <w:rsid w:val="00B26BA4"/>
    <w:rsid w:val="00B26BAF"/>
    <w:rsid w:val="00B26BBD"/>
    <w:rsid w:val="00B26BE4"/>
    <w:rsid w:val="00B26C1F"/>
    <w:rsid w:val="00B26C93"/>
    <w:rsid w:val="00B26CCC"/>
    <w:rsid w:val="00B26D6F"/>
    <w:rsid w:val="00B26DA3"/>
    <w:rsid w:val="00B26E87"/>
    <w:rsid w:val="00B26EE1"/>
    <w:rsid w:val="00B26F15"/>
    <w:rsid w:val="00B26F25"/>
    <w:rsid w:val="00B26F33"/>
    <w:rsid w:val="00B26F3D"/>
    <w:rsid w:val="00B26F78"/>
    <w:rsid w:val="00B26F7D"/>
    <w:rsid w:val="00B26F8A"/>
    <w:rsid w:val="00B27011"/>
    <w:rsid w:val="00B270AA"/>
    <w:rsid w:val="00B270DF"/>
    <w:rsid w:val="00B270EE"/>
    <w:rsid w:val="00B27116"/>
    <w:rsid w:val="00B271E8"/>
    <w:rsid w:val="00B271FB"/>
    <w:rsid w:val="00B2725F"/>
    <w:rsid w:val="00B27314"/>
    <w:rsid w:val="00B27370"/>
    <w:rsid w:val="00B27373"/>
    <w:rsid w:val="00B273CC"/>
    <w:rsid w:val="00B27424"/>
    <w:rsid w:val="00B27478"/>
    <w:rsid w:val="00B27487"/>
    <w:rsid w:val="00B274B7"/>
    <w:rsid w:val="00B274B8"/>
    <w:rsid w:val="00B2750B"/>
    <w:rsid w:val="00B2754C"/>
    <w:rsid w:val="00B275EC"/>
    <w:rsid w:val="00B27628"/>
    <w:rsid w:val="00B27654"/>
    <w:rsid w:val="00B27679"/>
    <w:rsid w:val="00B27696"/>
    <w:rsid w:val="00B276E4"/>
    <w:rsid w:val="00B27768"/>
    <w:rsid w:val="00B27800"/>
    <w:rsid w:val="00B27860"/>
    <w:rsid w:val="00B27901"/>
    <w:rsid w:val="00B2790F"/>
    <w:rsid w:val="00B2791F"/>
    <w:rsid w:val="00B279A9"/>
    <w:rsid w:val="00B27A03"/>
    <w:rsid w:val="00B27A09"/>
    <w:rsid w:val="00B27A51"/>
    <w:rsid w:val="00B27ACD"/>
    <w:rsid w:val="00B27AE9"/>
    <w:rsid w:val="00B27AFD"/>
    <w:rsid w:val="00B27B8D"/>
    <w:rsid w:val="00B27BD9"/>
    <w:rsid w:val="00B27C57"/>
    <w:rsid w:val="00B27C71"/>
    <w:rsid w:val="00B27C86"/>
    <w:rsid w:val="00B27CA4"/>
    <w:rsid w:val="00B27E08"/>
    <w:rsid w:val="00B27EC1"/>
    <w:rsid w:val="00B27EC4"/>
    <w:rsid w:val="00B27F16"/>
    <w:rsid w:val="00B27F67"/>
    <w:rsid w:val="00B30089"/>
    <w:rsid w:val="00B300BB"/>
    <w:rsid w:val="00B300E8"/>
    <w:rsid w:val="00B30125"/>
    <w:rsid w:val="00B3016A"/>
    <w:rsid w:val="00B30175"/>
    <w:rsid w:val="00B301AF"/>
    <w:rsid w:val="00B301B5"/>
    <w:rsid w:val="00B301BB"/>
    <w:rsid w:val="00B30229"/>
    <w:rsid w:val="00B3023A"/>
    <w:rsid w:val="00B30254"/>
    <w:rsid w:val="00B303A2"/>
    <w:rsid w:val="00B303A8"/>
    <w:rsid w:val="00B30473"/>
    <w:rsid w:val="00B30482"/>
    <w:rsid w:val="00B304E3"/>
    <w:rsid w:val="00B304E9"/>
    <w:rsid w:val="00B30526"/>
    <w:rsid w:val="00B3054E"/>
    <w:rsid w:val="00B305A7"/>
    <w:rsid w:val="00B3068D"/>
    <w:rsid w:val="00B30742"/>
    <w:rsid w:val="00B3074D"/>
    <w:rsid w:val="00B30775"/>
    <w:rsid w:val="00B30776"/>
    <w:rsid w:val="00B30802"/>
    <w:rsid w:val="00B30816"/>
    <w:rsid w:val="00B3083A"/>
    <w:rsid w:val="00B3089F"/>
    <w:rsid w:val="00B308EB"/>
    <w:rsid w:val="00B30945"/>
    <w:rsid w:val="00B30960"/>
    <w:rsid w:val="00B3099A"/>
    <w:rsid w:val="00B309EA"/>
    <w:rsid w:val="00B30A55"/>
    <w:rsid w:val="00B30ACC"/>
    <w:rsid w:val="00B30BC1"/>
    <w:rsid w:val="00B30BFE"/>
    <w:rsid w:val="00B30C03"/>
    <w:rsid w:val="00B30C56"/>
    <w:rsid w:val="00B30C9E"/>
    <w:rsid w:val="00B30CC1"/>
    <w:rsid w:val="00B30CDB"/>
    <w:rsid w:val="00B30D14"/>
    <w:rsid w:val="00B30D39"/>
    <w:rsid w:val="00B30E0B"/>
    <w:rsid w:val="00B30E4D"/>
    <w:rsid w:val="00B30F1C"/>
    <w:rsid w:val="00B30FFD"/>
    <w:rsid w:val="00B3101E"/>
    <w:rsid w:val="00B3104D"/>
    <w:rsid w:val="00B31097"/>
    <w:rsid w:val="00B310F9"/>
    <w:rsid w:val="00B3112A"/>
    <w:rsid w:val="00B3115D"/>
    <w:rsid w:val="00B31165"/>
    <w:rsid w:val="00B3118F"/>
    <w:rsid w:val="00B311BE"/>
    <w:rsid w:val="00B3121B"/>
    <w:rsid w:val="00B31247"/>
    <w:rsid w:val="00B3129B"/>
    <w:rsid w:val="00B312BD"/>
    <w:rsid w:val="00B312C0"/>
    <w:rsid w:val="00B312C7"/>
    <w:rsid w:val="00B3137D"/>
    <w:rsid w:val="00B3138D"/>
    <w:rsid w:val="00B3139D"/>
    <w:rsid w:val="00B313A7"/>
    <w:rsid w:val="00B313D2"/>
    <w:rsid w:val="00B313F1"/>
    <w:rsid w:val="00B31470"/>
    <w:rsid w:val="00B31493"/>
    <w:rsid w:val="00B3149D"/>
    <w:rsid w:val="00B314E0"/>
    <w:rsid w:val="00B314E3"/>
    <w:rsid w:val="00B3162C"/>
    <w:rsid w:val="00B3164A"/>
    <w:rsid w:val="00B31654"/>
    <w:rsid w:val="00B31664"/>
    <w:rsid w:val="00B31682"/>
    <w:rsid w:val="00B31693"/>
    <w:rsid w:val="00B316ED"/>
    <w:rsid w:val="00B3171B"/>
    <w:rsid w:val="00B31727"/>
    <w:rsid w:val="00B3173E"/>
    <w:rsid w:val="00B31748"/>
    <w:rsid w:val="00B31778"/>
    <w:rsid w:val="00B3177B"/>
    <w:rsid w:val="00B317A8"/>
    <w:rsid w:val="00B317C0"/>
    <w:rsid w:val="00B317C4"/>
    <w:rsid w:val="00B31865"/>
    <w:rsid w:val="00B3189C"/>
    <w:rsid w:val="00B318B3"/>
    <w:rsid w:val="00B318D1"/>
    <w:rsid w:val="00B3197F"/>
    <w:rsid w:val="00B319A3"/>
    <w:rsid w:val="00B31A1E"/>
    <w:rsid w:val="00B31AD7"/>
    <w:rsid w:val="00B31B28"/>
    <w:rsid w:val="00B31BB0"/>
    <w:rsid w:val="00B31BD2"/>
    <w:rsid w:val="00B31C49"/>
    <w:rsid w:val="00B31DA7"/>
    <w:rsid w:val="00B31DCF"/>
    <w:rsid w:val="00B31E00"/>
    <w:rsid w:val="00B31E32"/>
    <w:rsid w:val="00B31E5B"/>
    <w:rsid w:val="00B31EA1"/>
    <w:rsid w:val="00B31EE9"/>
    <w:rsid w:val="00B31F08"/>
    <w:rsid w:val="00B31F82"/>
    <w:rsid w:val="00B31F8F"/>
    <w:rsid w:val="00B31F9E"/>
    <w:rsid w:val="00B31FBB"/>
    <w:rsid w:val="00B32028"/>
    <w:rsid w:val="00B3202A"/>
    <w:rsid w:val="00B3208A"/>
    <w:rsid w:val="00B3208E"/>
    <w:rsid w:val="00B32093"/>
    <w:rsid w:val="00B320A5"/>
    <w:rsid w:val="00B320F8"/>
    <w:rsid w:val="00B321C3"/>
    <w:rsid w:val="00B321C7"/>
    <w:rsid w:val="00B32263"/>
    <w:rsid w:val="00B322EB"/>
    <w:rsid w:val="00B322FD"/>
    <w:rsid w:val="00B32315"/>
    <w:rsid w:val="00B32318"/>
    <w:rsid w:val="00B3232E"/>
    <w:rsid w:val="00B3234F"/>
    <w:rsid w:val="00B32350"/>
    <w:rsid w:val="00B3236A"/>
    <w:rsid w:val="00B323E5"/>
    <w:rsid w:val="00B32463"/>
    <w:rsid w:val="00B32498"/>
    <w:rsid w:val="00B324BD"/>
    <w:rsid w:val="00B324D2"/>
    <w:rsid w:val="00B3250B"/>
    <w:rsid w:val="00B3250F"/>
    <w:rsid w:val="00B32530"/>
    <w:rsid w:val="00B32583"/>
    <w:rsid w:val="00B325A1"/>
    <w:rsid w:val="00B32684"/>
    <w:rsid w:val="00B32689"/>
    <w:rsid w:val="00B326DC"/>
    <w:rsid w:val="00B326F9"/>
    <w:rsid w:val="00B32713"/>
    <w:rsid w:val="00B3272E"/>
    <w:rsid w:val="00B32744"/>
    <w:rsid w:val="00B32747"/>
    <w:rsid w:val="00B3274A"/>
    <w:rsid w:val="00B3278B"/>
    <w:rsid w:val="00B327CC"/>
    <w:rsid w:val="00B32877"/>
    <w:rsid w:val="00B328A2"/>
    <w:rsid w:val="00B32916"/>
    <w:rsid w:val="00B32942"/>
    <w:rsid w:val="00B32981"/>
    <w:rsid w:val="00B3298C"/>
    <w:rsid w:val="00B329AE"/>
    <w:rsid w:val="00B329E6"/>
    <w:rsid w:val="00B32AA2"/>
    <w:rsid w:val="00B32ACB"/>
    <w:rsid w:val="00B32B0D"/>
    <w:rsid w:val="00B32B14"/>
    <w:rsid w:val="00B32B60"/>
    <w:rsid w:val="00B32BC4"/>
    <w:rsid w:val="00B32BEF"/>
    <w:rsid w:val="00B32BF4"/>
    <w:rsid w:val="00B32C0F"/>
    <w:rsid w:val="00B32CF1"/>
    <w:rsid w:val="00B32D17"/>
    <w:rsid w:val="00B32E11"/>
    <w:rsid w:val="00B32E35"/>
    <w:rsid w:val="00B32F54"/>
    <w:rsid w:val="00B33035"/>
    <w:rsid w:val="00B33045"/>
    <w:rsid w:val="00B3308D"/>
    <w:rsid w:val="00B33092"/>
    <w:rsid w:val="00B330A2"/>
    <w:rsid w:val="00B330F0"/>
    <w:rsid w:val="00B3312B"/>
    <w:rsid w:val="00B33161"/>
    <w:rsid w:val="00B3318D"/>
    <w:rsid w:val="00B331BB"/>
    <w:rsid w:val="00B33222"/>
    <w:rsid w:val="00B33291"/>
    <w:rsid w:val="00B332A5"/>
    <w:rsid w:val="00B332D9"/>
    <w:rsid w:val="00B3337E"/>
    <w:rsid w:val="00B3338A"/>
    <w:rsid w:val="00B33392"/>
    <w:rsid w:val="00B333B3"/>
    <w:rsid w:val="00B3344C"/>
    <w:rsid w:val="00B3345D"/>
    <w:rsid w:val="00B33477"/>
    <w:rsid w:val="00B334A3"/>
    <w:rsid w:val="00B334A8"/>
    <w:rsid w:val="00B3357A"/>
    <w:rsid w:val="00B33581"/>
    <w:rsid w:val="00B335A0"/>
    <w:rsid w:val="00B335CF"/>
    <w:rsid w:val="00B3364E"/>
    <w:rsid w:val="00B336C2"/>
    <w:rsid w:val="00B33744"/>
    <w:rsid w:val="00B3376C"/>
    <w:rsid w:val="00B33787"/>
    <w:rsid w:val="00B337D1"/>
    <w:rsid w:val="00B337EB"/>
    <w:rsid w:val="00B3381E"/>
    <w:rsid w:val="00B33838"/>
    <w:rsid w:val="00B33996"/>
    <w:rsid w:val="00B339D3"/>
    <w:rsid w:val="00B33A11"/>
    <w:rsid w:val="00B33A41"/>
    <w:rsid w:val="00B33A5A"/>
    <w:rsid w:val="00B33AD1"/>
    <w:rsid w:val="00B33AEE"/>
    <w:rsid w:val="00B33AFD"/>
    <w:rsid w:val="00B33BB8"/>
    <w:rsid w:val="00B33C3C"/>
    <w:rsid w:val="00B33D92"/>
    <w:rsid w:val="00B33D95"/>
    <w:rsid w:val="00B33DD4"/>
    <w:rsid w:val="00B33DF1"/>
    <w:rsid w:val="00B33E1B"/>
    <w:rsid w:val="00B33E72"/>
    <w:rsid w:val="00B33EA3"/>
    <w:rsid w:val="00B33ED0"/>
    <w:rsid w:val="00B33EE6"/>
    <w:rsid w:val="00B33F47"/>
    <w:rsid w:val="00B33F67"/>
    <w:rsid w:val="00B33F8F"/>
    <w:rsid w:val="00B33F94"/>
    <w:rsid w:val="00B33FAD"/>
    <w:rsid w:val="00B34040"/>
    <w:rsid w:val="00B340A7"/>
    <w:rsid w:val="00B340C9"/>
    <w:rsid w:val="00B340FF"/>
    <w:rsid w:val="00B34141"/>
    <w:rsid w:val="00B3415F"/>
    <w:rsid w:val="00B34174"/>
    <w:rsid w:val="00B342EB"/>
    <w:rsid w:val="00B34346"/>
    <w:rsid w:val="00B34349"/>
    <w:rsid w:val="00B3434A"/>
    <w:rsid w:val="00B34370"/>
    <w:rsid w:val="00B343F1"/>
    <w:rsid w:val="00B3441A"/>
    <w:rsid w:val="00B3441F"/>
    <w:rsid w:val="00B34424"/>
    <w:rsid w:val="00B3449B"/>
    <w:rsid w:val="00B34530"/>
    <w:rsid w:val="00B345D7"/>
    <w:rsid w:val="00B3465C"/>
    <w:rsid w:val="00B34661"/>
    <w:rsid w:val="00B346A8"/>
    <w:rsid w:val="00B34700"/>
    <w:rsid w:val="00B347F8"/>
    <w:rsid w:val="00B34806"/>
    <w:rsid w:val="00B34885"/>
    <w:rsid w:val="00B34892"/>
    <w:rsid w:val="00B34898"/>
    <w:rsid w:val="00B34900"/>
    <w:rsid w:val="00B34920"/>
    <w:rsid w:val="00B34927"/>
    <w:rsid w:val="00B3495F"/>
    <w:rsid w:val="00B34AAD"/>
    <w:rsid w:val="00B34AC4"/>
    <w:rsid w:val="00B34B19"/>
    <w:rsid w:val="00B34B6B"/>
    <w:rsid w:val="00B34B86"/>
    <w:rsid w:val="00B34B8B"/>
    <w:rsid w:val="00B34B9F"/>
    <w:rsid w:val="00B34BBB"/>
    <w:rsid w:val="00B34CDF"/>
    <w:rsid w:val="00B34CE6"/>
    <w:rsid w:val="00B34D4E"/>
    <w:rsid w:val="00B34D78"/>
    <w:rsid w:val="00B34DED"/>
    <w:rsid w:val="00B34E31"/>
    <w:rsid w:val="00B34E40"/>
    <w:rsid w:val="00B34E9D"/>
    <w:rsid w:val="00B34F05"/>
    <w:rsid w:val="00B34F36"/>
    <w:rsid w:val="00B34F3B"/>
    <w:rsid w:val="00B35001"/>
    <w:rsid w:val="00B3504B"/>
    <w:rsid w:val="00B35072"/>
    <w:rsid w:val="00B35076"/>
    <w:rsid w:val="00B35116"/>
    <w:rsid w:val="00B3516D"/>
    <w:rsid w:val="00B3524D"/>
    <w:rsid w:val="00B35263"/>
    <w:rsid w:val="00B3528A"/>
    <w:rsid w:val="00B352F6"/>
    <w:rsid w:val="00B35341"/>
    <w:rsid w:val="00B353C2"/>
    <w:rsid w:val="00B353C8"/>
    <w:rsid w:val="00B353FD"/>
    <w:rsid w:val="00B35461"/>
    <w:rsid w:val="00B35521"/>
    <w:rsid w:val="00B3577F"/>
    <w:rsid w:val="00B35817"/>
    <w:rsid w:val="00B3593A"/>
    <w:rsid w:val="00B3594A"/>
    <w:rsid w:val="00B35981"/>
    <w:rsid w:val="00B35982"/>
    <w:rsid w:val="00B3599C"/>
    <w:rsid w:val="00B359EA"/>
    <w:rsid w:val="00B35AA6"/>
    <w:rsid w:val="00B35ABA"/>
    <w:rsid w:val="00B35AFE"/>
    <w:rsid w:val="00B35B06"/>
    <w:rsid w:val="00B35C05"/>
    <w:rsid w:val="00B35C1E"/>
    <w:rsid w:val="00B35CFA"/>
    <w:rsid w:val="00B35D12"/>
    <w:rsid w:val="00B35E69"/>
    <w:rsid w:val="00B35F55"/>
    <w:rsid w:val="00B35F75"/>
    <w:rsid w:val="00B35FD9"/>
    <w:rsid w:val="00B360CF"/>
    <w:rsid w:val="00B36140"/>
    <w:rsid w:val="00B36176"/>
    <w:rsid w:val="00B36229"/>
    <w:rsid w:val="00B3627C"/>
    <w:rsid w:val="00B362B9"/>
    <w:rsid w:val="00B362C2"/>
    <w:rsid w:val="00B362F0"/>
    <w:rsid w:val="00B3632D"/>
    <w:rsid w:val="00B36334"/>
    <w:rsid w:val="00B36335"/>
    <w:rsid w:val="00B3637A"/>
    <w:rsid w:val="00B363AB"/>
    <w:rsid w:val="00B36445"/>
    <w:rsid w:val="00B36491"/>
    <w:rsid w:val="00B364D2"/>
    <w:rsid w:val="00B364E7"/>
    <w:rsid w:val="00B364FC"/>
    <w:rsid w:val="00B36540"/>
    <w:rsid w:val="00B3654F"/>
    <w:rsid w:val="00B36686"/>
    <w:rsid w:val="00B366C4"/>
    <w:rsid w:val="00B36748"/>
    <w:rsid w:val="00B36778"/>
    <w:rsid w:val="00B367AE"/>
    <w:rsid w:val="00B3682C"/>
    <w:rsid w:val="00B36862"/>
    <w:rsid w:val="00B368D4"/>
    <w:rsid w:val="00B369CE"/>
    <w:rsid w:val="00B369DE"/>
    <w:rsid w:val="00B369FC"/>
    <w:rsid w:val="00B36A62"/>
    <w:rsid w:val="00B36A7B"/>
    <w:rsid w:val="00B36A93"/>
    <w:rsid w:val="00B36ACC"/>
    <w:rsid w:val="00B36B06"/>
    <w:rsid w:val="00B36B64"/>
    <w:rsid w:val="00B36B95"/>
    <w:rsid w:val="00B36B9D"/>
    <w:rsid w:val="00B36C26"/>
    <w:rsid w:val="00B36C9A"/>
    <w:rsid w:val="00B36D0E"/>
    <w:rsid w:val="00B36D11"/>
    <w:rsid w:val="00B36D71"/>
    <w:rsid w:val="00B36D91"/>
    <w:rsid w:val="00B36D96"/>
    <w:rsid w:val="00B36DC0"/>
    <w:rsid w:val="00B36DFE"/>
    <w:rsid w:val="00B36E5E"/>
    <w:rsid w:val="00B36E67"/>
    <w:rsid w:val="00B36E88"/>
    <w:rsid w:val="00B36F16"/>
    <w:rsid w:val="00B36FA7"/>
    <w:rsid w:val="00B37083"/>
    <w:rsid w:val="00B37092"/>
    <w:rsid w:val="00B370A4"/>
    <w:rsid w:val="00B370DC"/>
    <w:rsid w:val="00B3716D"/>
    <w:rsid w:val="00B3719F"/>
    <w:rsid w:val="00B371A4"/>
    <w:rsid w:val="00B371B1"/>
    <w:rsid w:val="00B371B8"/>
    <w:rsid w:val="00B37225"/>
    <w:rsid w:val="00B3722F"/>
    <w:rsid w:val="00B37339"/>
    <w:rsid w:val="00B37385"/>
    <w:rsid w:val="00B373C4"/>
    <w:rsid w:val="00B373D4"/>
    <w:rsid w:val="00B373F9"/>
    <w:rsid w:val="00B37413"/>
    <w:rsid w:val="00B3742C"/>
    <w:rsid w:val="00B374AD"/>
    <w:rsid w:val="00B375BE"/>
    <w:rsid w:val="00B375C8"/>
    <w:rsid w:val="00B3763F"/>
    <w:rsid w:val="00B37652"/>
    <w:rsid w:val="00B37698"/>
    <w:rsid w:val="00B376B5"/>
    <w:rsid w:val="00B376C0"/>
    <w:rsid w:val="00B37714"/>
    <w:rsid w:val="00B3772C"/>
    <w:rsid w:val="00B3776F"/>
    <w:rsid w:val="00B377AF"/>
    <w:rsid w:val="00B377F5"/>
    <w:rsid w:val="00B377FA"/>
    <w:rsid w:val="00B37860"/>
    <w:rsid w:val="00B37874"/>
    <w:rsid w:val="00B378C3"/>
    <w:rsid w:val="00B378C4"/>
    <w:rsid w:val="00B3794B"/>
    <w:rsid w:val="00B37986"/>
    <w:rsid w:val="00B37996"/>
    <w:rsid w:val="00B3799A"/>
    <w:rsid w:val="00B37A07"/>
    <w:rsid w:val="00B37A1E"/>
    <w:rsid w:val="00B37A22"/>
    <w:rsid w:val="00B37A8B"/>
    <w:rsid w:val="00B37AC5"/>
    <w:rsid w:val="00B37B26"/>
    <w:rsid w:val="00B37B8E"/>
    <w:rsid w:val="00B37BE4"/>
    <w:rsid w:val="00B37C59"/>
    <w:rsid w:val="00B37CA1"/>
    <w:rsid w:val="00B37CA6"/>
    <w:rsid w:val="00B37CC8"/>
    <w:rsid w:val="00B37DB0"/>
    <w:rsid w:val="00B37DD2"/>
    <w:rsid w:val="00B37E5F"/>
    <w:rsid w:val="00B37E82"/>
    <w:rsid w:val="00B37F1D"/>
    <w:rsid w:val="00B37F63"/>
    <w:rsid w:val="00B37F77"/>
    <w:rsid w:val="00B37FDF"/>
    <w:rsid w:val="00B4003F"/>
    <w:rsid w:val="00B40064"/>
    <w:rsid w:val="00B4013C"/>
    <w:rsid w:val="00B40167"/>
    <w:rsid w:val="00B401E5"/>
    <w:rsid w:val="00B4027F"/>
    <w:rsid w:val="00B402D4"/>
    <w:rsid w:val="00B402F6"/>
    <w:rsid w:val="00B40314"/>
    <w:rsid w:val="00B40326"/>
    <w:rsid w:val="00B40386"/>
    <w:rsid w:val="00B403CE"/>
    <w:rsid w:val="00B403DC"/>
    <w:rsid w:val="00B4047E"/>
    <w:rsid w:val="00B404DB"/>
    <w:rsid w:val="00B404EC"/>
    <w:rsid w:val="00B405CF"/>
    <w:rsid w:val="00B405FF"/>
    <w:rsid w:val="00B4064C"/>
    <w:rsid w:val="00B40658"/>
    <w:rsid w:val="00B406DC"/>
    <w:rsid w:val="00B4076E"/>
    <w:rsid w:val="00B4078F"/>
    <w:rsid w:val="00B407C8"/>
    <w:rsid w:val="00B407D0"/>
    <w:rsid w:val="00B4084B"/>
    <w:rsid w:val="00B408D1"/>
    <w:rsid w:val="00B40901"/>
    <w:rsid w:val="00B40983"/>
    <w:rsid w:val="00B409DF"/>
    <w:rsid w:val="00B40A5F"/>
    <w:rsid w:val="00B40A85"/>
    <w:rsid w:val="00B40AC7"/>
    <w:rsid w:val="00B40AF9"/>
    <w:rsid w:val="00B40B72"/>
    <w:rsid w:val="00B40B75"/>
    <w:rsid w:val="00B40BB7"/>
    <w:rsid w:val="00B40C7E"/>
    <w:rsid w:val="00B40CD1"/>
    <w:rsid w:val="00B40CE8"/>
    <w:rsid w:val="00B40D17"/>
    <w:rsid w:val="00B40D52"/>
    <w:rsid w:val="00B40DE4"/>
    <w:rsid w:val="00B40E31"/>
    <w:rsid w:val="00B40E44"/>
    <w:rsid w:val="00B40E6B"/>
    <w:rsid w:val="00B40EFD"/>
    <w:rsid w:val="00B40F60"/>
    <w:rsid w:val="00B40F65"/>
    <w:rsid w:val="00B40FAE"/>
    <w:rsid w:val="00B40FC6"/>
    <w:rsid w:val="00B41064"/>
    <w:rsid w:val="00B410AC"/>
    <w:rsid w:val="00B411A1"/>
    <w:rsid w:val="00B411CC"/>
    <w:rsid w:val="00B4126E"/>
    <w:rsid w:val="00B412F4"/>
    <w:rsid w:val="00B4130E"/>
    <w:rsid w:val="00B413CE"/>
    <w:rsid w:val="00B413DD"/>
    <w:rsid w:val="00B413FB"/>
    <w:rsid w:val="00B41440"/>
    <w:rsid w:val="00B41490"/>
    <w:rsid w:val="00B414F2"/>
    <w:rsid w:val="00B41516"/>
    <w:rsid w:val="00B415B7"/>
    <w:rsid w:val="00B4165E"/>
    <w:rsid w:val="00B416FF"/>
    <w:rsid w:val="00B41724"/>
    <w:rsid w:val="00B41753"/>
    <w:rsid w:val="00B41759"/>
    <w:rsid w:val="00B41760"/>
    <w:rsid w:val="00B41765"/>
    <w:rsid w:val="00B41767"/>
    <w:rsid w:val="00B417B0"/>
    <w:rsid w:val="00B4183C"/>
    <w:rsid w:val="00B4183F"/>
    <w:rsid w:val="00B41841"/>
    <w:rsid w:val="00B418EC"/>
    <w:rsid w:val="00B41968"/>
    <w:rsid w:val="00B4199C"/>
    <w:rsid w:val="00B419B3"/>
    <w:rsid w:val="00B419F9"/>
    <w:rsid w:val="00B41A0A"/>
    <w:rsid w:val="00B41A18"/>
    <w:rsid w:val="00B41A1F"/>
    <w:rsid w:val="00B41A2D"/>
    <w:rsid w:val="00B41A5A"/>
    <w:rsid w:val="00B41A74"/>
    <w:rsid w:val="00B41AF4"/>
    <w:rsid w:val="00B41B42"/>
    <w:rsid w:val="00B41B8D"/>
    <w:rsid w:val="00B41BA2"/>
    <w:rsid w:val="00B41BC0"/>
    <w:rsid w:val="00B41C4D"/>
    <w:rsid w:val="00B41C62"/>
    <w:rsid w:val="00B41CA9"/>
    <w:rsid w:val="00B41D18"/>
    <w:rsid w:val="00B41D82"/>
    <w:rsid w:val="00B41DDE"/>
    <w:rsid w:val="00B41E89"/>
    <w:rsid w:val="00B41EC4"/>
    <w:rsid w:val="00B41F2F"/>
    <w:rsid w:val="00B41F54"/>
    <w:rsid w:val="00B41F67"/>
    <w:rsid w:val="00B4201B"/>
    <w:rsid w:val="00B420A8"/>
    <w:rsid w:val="00B42153"/>
    <w:rsid w:val="00B421B3"/>
    <w:rsid w:val="00B421F6"/>
    <w:rsid w:val="00B4222E"/>
    <w:rsid w:val="00B4224E"/>
    <w:rsid w:val="00B42287"/>
    <w:rsid w:val="00B422A6"/>
    <w:rsid w:val="00B422F8"/>
    <w:rsid w:val="00B42370"/>
    <w:rsid w:val="00B42466"/>
    <w:rsid w:val="00B42479"/>
    <w:rsid w:val="00B424B3"/>
    <w:rsid w:val="00B424D3"/>
    <w:rsid w:val="00B42579"/>
    <w:rsid w:val="00B42602"/>
    <w:rsid w:val="00B426B0"/>
    <w:rsid w:val="00B42725"/>
    <w:rsid w:val="00B4272C"/>
    <w:rsid w:val="00B427E7"/>
    <w:rsid w:val="00B4280A"/>
    <w:rsid w:val="00B4284F"/>
    <w:rsid w:val="00B428DD"/>
    <w:rsid w:val="00B42987"/>
    <w:rsid w:val="00B429B5"/>
    <w:rsid w:val="00B42A12"/>
    <w:rsid w:val="00B42A7E"/>
    <w:rsid w:val="00B42B03"/>
    <w:rsid w:val="00B42BC8"/>
    <w:rsid w:val="00B42BE4"/>
    <w:rsid w:val="00B42C3D"/>
    <w:rsid w:val="00B42C7E"/>
    <w:rsid w:val="00B42CB7"/>
    <w:rsid w:val="00B42CCD"/>
    <w:rsid w:val="00B42D03"/>
    <w:rsid w:val="00B42D04"/>
    <w:rsid w:val="00B42D29"/>
    <w:rsid w:val="00B42E03"/>
    <w:rsid w:val="00B42E22"/>
    <w:rsid w:val="00B42E74"/>
    <w:rsid w:val="00B42F07"/>
    <w:rsid w:val="00B42F2F"/>
    <w:rsid w:val="00B42F45"/>
    <w:rsid w:val="00B42F54"/>
    <w:rsid w:val="00B42F81"/>
    <w:rsid w:val="00B42FA7"/>
    <w:rsid w:val="00B42FC4"/>
    <w:rsid w:val="00B430BB"/>
    <w:rsid w:val="00B430C2"/>
    <w:rsid w:val="00B430E3"/>
    <w:rsid w:val="00B4318C"/>
    <w:rsid w:val="00B431C5"/>
    <w:rsid w:val="00B431EB"/>
    <w:rsid w:val="00B4325E"/>
    <w:rsid w:val="00B4332A"/>
    <w:rsid w:val="00B43436"/>
    <w:rsid w:val="00B43455"/>
    <w:rsid w:val="00B4348E"/>
    <w:rsid w:val="00B434AE"/>
    <w:rsid w:val="00B434C2"/>
    <w:rsid w:val="00B43506"/>
    <w:rsid w:val="00B43522"/>
    <w:rsid w:val="00B4352E"/>
    <w:rsid w:val="00B43545"/>
    <w:rsid w:val="00B43579"/>
    <w:rsid w:val="00B435A8"/>
    <w:rsid w:val="00B437D3"/>
    <w:rsid w:val="00B43865"/>
    <w:rsid w:val="00B438C4"/>
    <w:rsid w:val="00B43986"/>
    <w:rsid w:val="00B439B1"/>
    <w:rsid w:val="00B439F3"/>
    <w:rsid w:val="00B43A0B"/>
    <w:rsid w:val="00B43A8B"/>
    <w:rsid w:val="00B43ADB"/>
    <w:rsid w:val="00B43B95"/>
    <w:rsid w:val="00B43B98"/>
    <w:rsid w:val="00B43C0A"/>
    <w:rsid w:val="00B43C23"/>
    <w:rsid w:val="00B43D9B"/>
    <w:rsid w:val="00B43DA8"/>
    <w:rsid w:val="00B43DC1"/>
    <w:rsid w:val="00B43FF5"/>
    <w:rsid w:val="00B44009"/>
    <w:rsid w:val="00B440C7"/>
    <w:rsid w:val="00B440EA"/>
    <w:rsid w:val="00B44113"/>
    <w:rsid w:val="00B441AB"/>
    <w:rsid w:val="00B441CE"/>
    <w:rsid w:val="00B44201"/>
    <w:rsid w:val="00B442C3"/>
    <w:rsid w:val="00B44313"/>
    <w:rsid w:val="00B44358"/>
    <w:rsid w:val="00B44364"/>
    <w:rsid w:val="00B444A0"/>
    <w:rsid w:val="00B444B4"/>
    <w:rsid w:val="00B4456A"/>
    <w:rsid w:val="00B445B3"/>
    <w:rsid w:val="00B445BB"/>
    <w:rsid w:val="00B4468B"/>
    <w:rsid w:val="00B44693"/>
    <w:rsid w:val="00B446DB"/>
    <w:rsid w:val="00B446EE"/>
    <w:rsid w:val="00B4475A"/>
    <w:rsid w:val="00B44784"/>
    <w:rsid w:val="00B4480C"/>
    <w:rsid w:val="00B4481F"/>
    <w:rsid w:val="00B44842"/>
    <w:rsid w:val="00B448E4"/>
    <w:rsid w:val="00B44922"/>
    <w:rsid w:val="00B4494A"/>
    <w:rsid w:val="00B449B5"/>
    <w:rsid w:val="00B44A7E"/>
    <w:rsid w:val="00B44A9A"/>
    <w:rsid w:val="00B44AA8"/>
    <w:rsid w:val="00B44B9C"/>
    <w:rsid w:val="00B44B9D"/>
    <w:rsid w:val="00B44C5B"/>
    <w:rsid w:val="00B44C66"/>
    <w:rsid w:val="00B44D11"/>
    <w:rsid w:val="00B44D30"/>
    <w:rsid w:val="00B44D4D"/>
    <w:rsid w:val="00B44E07"/>
    <w:rsid w:val="00B44E2E"/>
    <w:rsid w:val="00B44E53"/>
    <w:rsid w:val="00B44E65"/>
    <w:rsid w:val="00B44EAC"/>
    <w:rsid w:val="00B44EED"/>
    <w:rsid w:val="00B4500A"/>
    <w:rsid w:val="00B4503E"/>
    <w:rsid w:val="00B4508E"/>
    <w:rsid w:val="00B45093"/>
    <w:rsid w:val="00B450A0"/>
    <w:rsid w:val="00B450C5"/>
    <w:rsid w:val="00B450EC"/>
    <w:rsid w:val="00B4512E"/>
    <w:rsid w:val="00B45132"/>
    <w:rsid w:val="00B45168"/>
    <w:rsid w:val="00B451DD"/>
    <w:rsid w:val="00B45235"/>
    <w:rsid w:val="00B45244"/>
    <w:rsid w:val="00B45271"/>
    <w:rsid w:val="00B45272"/>
    <w:rsid w:val="00B452C7"/>
    <w:rsid w:val="00B452F1"/>
    <w:rsid w:val="00B45317"/>
    <w:rsid w:val="00B45350"/>
    <w:rsid w:val="00B453DB"/>
    <w:rsid w:val="00B45411"/>
    <w:rsid w:val="00B45434"/>
    <w:rsid w:val="00B454E0"/>
    <w:rsid w:val="00B454EC"/>
    <w:rsid w:val="00B4551C"/>
    <w:rsid w:val="00B45531"/>
    <w:rsid w:val="00B4554F"/>
    <w:rsid w:val="00B45584"/>
    <w:rsid w:val="00B455A9"/>
    <w:rsid w:val="00B4561B"/>
    <w:rsid w:val="00B4562F"/>
    <w:rsid w:val="00B45647"/>
    <w:rsid w:val="00B4579D"/>
    <w:rsid w:val="00B4581C"/>
    <w:rsid w:val="00B4581D"/>
    <w:rsid w:val="00B4583B"/>
    <w:rsid w:val="00B4585D"/>
    <w:rsid w:val="00B45865"/>
    <w:rsid w:val="00B458D0"/>
    <w:rsid w:val="00B458EB"/>
    <w:rsid w:val="00B45980"/>
    <w:rsid w:val="00B45A38"/>
    <w:rsid w:val="00B45A74"/>
    <w:rsid w:val="00B45A96"/>
    <w:rsid w:val="00B45B1C"/>
    <w:rsid w:val="00B45B22"/>
    <w:rsid w:val="00B45BA4"/>
    <w:rsid w:val="00B45BBA"/>
    <w:rsid w:val="00B45BDD"/>
    <w:rsid w:val="00B45C68"/>
    <w:rsid w:val="00B45C90"/>
    <w:rsid w:val="00B45CFC"/>
    <w:rsid w:val="00B45D18"/>
    <w:rsid w:val="00B45D4B"/>
    <w:rsid w:val="00B45E09"/>
    <w:rsid w:val="00B45E4F"/>
    <w:rsid w:val="00B45E76"/>
    <w:rsid w:val="00B45EA7"/>
    <w:rsid w:val="00B45EB8"/>
    <w:rsid w:val="00B45F02"/>
    <w:rsid w:val="00B45F42"/>
    <w:rsid w:val="00B45F9D"/>
    <w:rsid w:val="00B4601E"/>
    <w:rsid w:val="00B46020"/>
    <w:rsid w:val="00B4602F"/>
    <w:rsid w:val="00B46057"/>
    <w:rsid w:val="00B4607F"/>
    <w:rsid w:val="00B46127"/>
    <w:rsid w:val="00B461AF"/>
    <w:rsid w:val="00B461B2"/>
    <w:rsid w:val="00B46216"/>
    <w:rsid w:val="00B4624F"/>
    <w:rsid w:val="00B46267"/>
    <w:rsid w:val="00B46272"/>
    <w:rsid w:val="00B462C2"/>
    <w:rsid w:val="00B463B3"/>
    <w:rsid w:val="00B463D5"/>
    <w:rsid w:val="00B463FA"/>
    <w:rsid w:val="00B46455"/>
    <w:rsid w:val="00B464E8"/>
    <w:rsid w:val="00B464EB"/>
    <w:rsid w:val="00B46584"/>
    <w:rsid w:val="00B465A6"/>
    <w:rsid w:val="00B4663F"/>
    <w:rsid w:val="00B4668D"/>
    <w:rsid w:val="00B4673C"/>
    <w:rsid w:val="00B46786"/>
    <w:rsid w:val="00B4681D"/>
    <w:rsid w:val="00B4684A"/>
    <w:rsid w:val="00B468EF"/>
    <w:rsid w:val="00B4692B"/>
    <w:rsid w:val="00B46963"/>
    <w:rsid w:val="00B46971"/>
    <w:rsid w:val="00B469BC"/>
    <w:rsid w:val="00B46A00"/>
    <w:rsid w:val="00B46A3C"/>
    <w:rsid w:val="00B46AB5"/>
    <w:rsid w:val="00B46B47"/>
    <w:rsid w:val="00B46BDE"/>
    <w:rsid w:val="00B46C7D"/>
    <w:rsid w:val="00B46D2B"/>
    <w:rsid w:val="00B46DD7"/>
    <w:rsid w:val="00B46DE7"/>
    <w:rsid w:val="00B46E03"/>
    <w:rsid w:val="00B46E41"/>
    <w:rsid w:val="00B46ED5"/>
    <w:rsid w:val="00B46EE8"/>
    <w:rsid w:val="00B46F24"/>
    <w:rsid w:val="00B46FD5"/>
    <w:rsid w:val="00B4705B"/>
    <w:rsid w:val="00B47076"/>
    <w:rsid w:val="00B4707F"/>
    <w:rsid w:val="00B4708B"/>
    <w:rsid w:val="00B471B8"/>
    <w:rsid w:val="00B47324"/>
    <w:rsid w:val="00B47378"/>
    <w:rsid w:val="00B47392"/>
    <w:rsid w:val="00B47455"/>
    <w:rsid w:val="00B474CA"/>
    <w:rsid w:val="00B474CC"/>
    <w:rsid w:val="00B4754D"/>
    <w:rsid w:val="00B475D6"/>
    <w:rsid w:val="00B475E2"/>
    <w:rsid w:val="00B4760D"/>
    <w:rsid w:val="00B4768F"/>
    <w:rsid w:val="00B47692"/>
    <w:rsid w:val="00B476A6"/>
    <w:rsid w:val="00B476A8"/>
    <w:rsid w:val="00B47710"/>
    <w:rsid w:val="00B4773B"/>
    <w:rsid w:val="00B47769"/>
    <w:rsid w:val="00B477B2"/>
    <w:rsid w:val="00B477B3"/>
    <w:rsid w:val="00B4782C"/>
    <w:rsid w:val="00B478A9"/>
    <w:rsid w:val="00B47927"/>
    <w:rsid w:val="00B479B2"/>
    <w:rsid w:val="00B479C9"/>
    <w:rsid w:val="00B479DF"/>
    <w:rsid w:val="00B47A55"/>
    <w:rsid w:val="00B47A5A"/>
    <w:rsid w:val="00B47A80"/>
    <w:rsid w:val="00B47AB7"/>
    <w:rsid w:val="00B47AC0"/>
    <w:rsid w:val="00B47ACA"/>
    <w:rsid w:val="00B47B0C"/>
    <w:rsid w:val="00B47B17"/>
    <w:rsid w:val="00B47B60"/>
    <w:rsid w:val="00B47B69"/>
    <w:rsid w:val="00B47B9C"/>
    <w:rsid w:val="00B47BA1"/>
    <w:rsid w:val="00B47BCB"/>
    <w:rsid w:val="00B47C66"/>
    <w:rsid w:val="00B47D82"/>
    <w:rsid w:val="00B47D9A"/>
    <w:rsid w:val="00B47E4D"/>
    <w:rsid w:val="00B50012"/>
    <w:rsid w:val="00B50068"/>
    <w:rsid w:val="00B5006C"/>
    <w:rsid w:val="00B50283"/>
    <w:rsid w:val="00B502F8"/>
    <w:rsid w:val="00B50321"/>
    <w:rsid w:val="00B503C7"/>
    <w:rsid w:val="00B503DD"/>
    <w:rsid w:val="00B50443"/>
    <w:rsid w:val="00B5044A"/>
    <w:rsid w:val="00B5044D"/>
    <w:rsid w:val="00B50484"/>
    <w:rsid w:val="00B504A3"/>
    <w:rsid w:val="00B504A9"/>
    <w:rsid w:val="00B504CE"/>
    <w:rsid w:val="00B5053B"/>
    <w:rsid w:val="00B505FC"/>
    <w:rsid w:val="00B50634"/>
    <w:rsid w:val="00B50637"/>
    <w:rsid w:val="00B5065B"/>
    <w:rsid w:val="00B506B1"/>
    <w:rsid w:val="00B50701"/>
    <w:rsid w:val="00B5071D"/>
    <w:rsid w:val="00B5084D"/>
    <w:rsid w:val="00B50855"/>
    <w:rsid w:val="00B50871"/>
    <w:rsid w:val="00B508BD"/>
    <w:rsid w:val="00B5090F"/>
    <w:rsid w:val="00B50925"/>
    <w:rsid w:val="00B50944"/>
    <w:rsid w:val="00B50A09"/>
    <w:rsid w:val="00B50A7D"/>
    <w:rsid w:val="00B50B3D"/>
    <w:rsid w:val="00B50B6F"/>
    <w:rsid w:val="00B50C0B"/>
    <w:rsid w:val="00B50C5F"/>
    <w:rsid w:val="00B50C65"/>
    <w:rsid w:val="00B50CB5"/>
    <w:rsid w:val="00B50D0A"/>
    <w:rsid w:val="00B50E70"/>
    <w:rsid w:val="00B50EC5"/>
    <w:rsid w:val="00B50F0D"/>
    <w:rsid w:val="00B50F3D"/>
    <w:rsid w:val="00B50F59"/>
    <w:rsid w:val="00B50F68"/>
    <w:rsid w:val="00B50F72"/>
    <w:rsid w:val="00B51013"/>
    <w:rsid w:val="00B5107F"/>
    <w:rsid w:val="00B51089"/>
    <w:rsid w:val="00B510AB"/>
    <w:rsid w:val="00B511CF"/>
    <w:rsid w:val="00B51247"/>
    <w:rsid w:val="00B51350"/>
    <w:rsid w:val="00B51490"/>
    <w:rsid w:val="00B514A3"/>
    <w:rsid w:val="00B514D9"/>
    <w:rsid w:val="00B514FA"/>
    <w:rsid w:val="00B5151D"/>
    <w:rsid w:val="00B51523"/>
    <w:rsid w:val="00B51538"/>
    <w:rsid w:val="00B515A9"/>
    <w:rsid w:val="00B5166D"/>
    <w:rsid w:val="00B516CD"/>
    <w:rsid w:val="00B5176C"/>
    <w:rsid w:val="00B5179C"/>
    <w:rsid w:val="00B517E0"/>
    <w:rsid w:val="00B51884"/>
    <w:rsid w:val="00B518AB"/>
    <w:rsid w:val="00B51912"/>
    <w:rsid w:val="00B5192A"/>
    <w:rsid w:val="00B5192C"/>
    <w:rsid w:val="00B519AE"/>
    <w:rsid w:val="00B519F0"/>
    <w:rsid w:val="00B51A41"/>
    <w:rsid w:val="00B51B4A"/>
    <w:rsid w:val="00B51C36"/>
    <w:rsid w:val="00B51C40"/>
    <w:rsid w:val="00B51C62"/>
    <w:rsid w:val="00B51E4C"/>
    <w:rsid w:val="00B51E6E"/>
    <w:rsid w:val="00B51EA0"/>
    <w:rsid w:val="00B51F1D"/>
    <w:rsid w:val="00B51FF0"/>
    <w:rsid w:val="00B5209E"/>
    <w:rsid w:val="00B52121"/>
    <w:rsid w:val="00B52167"/>
    <w:rsid w:val="00B5219A"/>
    <w:rsid w:val="00B521C3"/>
    <w:rsid w:val="00B521D1"/>
    <w:rsid w:val="00B521F6"/>
    <w:rsid w:val="00B5220A"/>
    <w:rsid w:val="00B522D8"/>
    <w:rsid w:val="00B522ED"/>
    <w:rsid w:val="00B5230B"/>
    <w:rsid w:val="00B52312"/>
    <w:rsid w:val="00B52351"/>
    <w:rsid w:val="00B52366"/>
    <w:rsid w:val="00B52368"/>
    <w:rsid w:val="00B523CE"/>
    <w:rsid w:val="00B52464"/>
    <w:rsid w:val="00B5246F"/>
    <w:rsid w:val="00B524D2"/>
    <w:rsid w:val="00B52576"/>
    <w:rsid w:val="00B525D5"/>
    <w:rsid w:val="00B52664"/>
    <w:rsid w:val="00B52672"/>
    <w:rsid w:val="00B52696"/>
    <w:rsid w:val="00B526F6"/>
    <w:rsid w:val="00B526FD"/>
    <w:rsid w:val="00B527CB"/>
    <w:rsid w:val="00B527DC"/>
    <w:rsid w:val="00B52851"/>
    <w:rsid w:val="00B52893"/>
    <w:rsid w:val="00B52973"/>
    <w:rsid w:val="00B52A22"/>
    <w:rsid w:val="00B52A36"/>
    <w:rsid w:val="00B52A62"/>
    <w:rsid w:val="00B52A8A"/>
    <w:rsid w:val="00B52AE5"/>
    <w:rsid w:val="00B52B5B"/>
    <w:rsid w:val="00B52C02"/>
    <w:rsid w:val="00B52C1D"/>
    <w:rsid w:val="00B52C8E"/>
    <w:rsid w:val="00B52D33"/>
    <w:rsid w:val="00B52E2A"/>
    <w:rsid w:val="00B52E55"/>
    <w:rsid w:val="00B52E66"/>
    <w:rsid w:val="00B52EDE"/>
    <w:rsid w:val="00B52F81"/>
    <w:rsid w:val="00B52FAE"/>
    <w:rsid w:val="00B52FB2"/>
    <w:rsid w:val="00B5306F"/>
    <w:rsid w:val="00B5307E"/>
    <w:rsid w:val="00B530D1"/>
    <w:rsid w:val="00B5316C"/>
    <w:rsid w:val="00B531CA"/>
    <w:rsid w:val="00B5321B"/>
    <w:rsid w:val="00B5322D"/>
    <w:rsid w:val="00B532A2"/>
    <w:rsid w:val="00B532A4"/>
    <w:rsid w:val="00B53377"/>
    <w:rsid w:val="00B5337A"/>
    <w:rsid w:val="00B53417"/>
    <w:rsid w:val="00B53421"/>
    <w:rsid w:val="00B53457"/>
    <w:rsid w:val="00B53480"/>
    <w:rsid w:val="00B53492"/>
    <w:rsid w:val="00B53553"/>
    <w:rsid w:val="00B53583"/>
    <w:rsid w:val="00B535A2"/>
    <w:rsid w:val="00B53674"/>
    <w:rsid w:val="00B53696"/>
    <w:rsid w:val="00B5375B"/>
    <w:rsid w:val="00B537D8"/>
    <w:rsid w:val="00B537DE"/>
    <w:rsid w:val="00B53829"/>
    <w:rsid w:val="00B5389E"/>
    <w:rsid w:val="00B538EC"/>
    <w:rsid w:val="00B53922"/>
    <w:rsid w:val="00B53948"/>
    <w:rsid w:val="00B5395F"/>
    <w:rsid w:val="00B5396A"/>
    <w:rsid w:val="00B539BE"/>
    <w:rsid w:val="00B53A6D"/>
    <w:rsid w:val="00B53AF3"/>
    <w:rsid w:val="00B53B47"/>
    <w:rsid w:val="00B53BB6"/>
    <w:rsid w:val="00B53C6A"/>
    <w:rsid w:val="00B53C7C"/>
    <w:rsid w:val="00B53CD7"/>
    <w:rsid w:val="00B53CF7"/>
    <w:rsid w:val="00B53D98"/>
    <w:rsid w:val="00B53EA9"/>
    <w:rsid w:val="00B53EBE"/>
    <w:rsid w:val="00B53FC8"/>
    <w:rsid w:val="00B54049"/>
    <w:rsid w:val="00B54085"/>
    <w:rsid w:val="00B540B3"/>
    <w:rsid w:val="00B5422A"/>
    <w:rsid w:val="00B54235"/>
    <w:rsid w:val="00B54238"/>
    <w:rsid w:val="00B54272"/>
    <w:rsid w:val="00B5427D"/>
    <w:rsid w:val="00B542E9"/>
    <w:rsid w:val="00B5437E"/>
    <w:rsid w:val="00B543F6"/>
    <w:rsid w:val="00B544C6"/>
    <w:rsid w:val="00B54584"/>
    <w:rsid w:val="00B545A4"/>
    <w:rsid w:val="00B545FB"/>
    <w:rsid w:val="00B54603"/>
    <w:rsid w:val="00B54626"/>
    <w:rsid w:val="00B546E3"/>
    <w:rsid w:val="00B5470B"/>
    <w:rsid w:val="00B5479D"/>
    <w:rsid w:val="00B547BA"/>
    <w:rsid w:val="00B547F8"/>
    <w:rsid w:val="00B54852"/>
    <w:rsid w:val="00B548A0"/>
    <w:rsid w:val="00B548DC"/>
    <w:rsid w:val="00B548F8"/>
    <w:rsid w:val="00B548FC"/>
    <w:rsid w:val="00B549B6"/>
    <w:rsid w:val="00B549CF"/>
    <w:rsid w:val="00B54A13"/>
    <w:rsid w:val="00B54A1B"/>
    <w:rsid w:val="00B54ADD"/>
    <w:rsid w:val="00B54AEF"/>
    <w:rsid w:val="00B54B20"/>
    <w:rsid w:val="00B54B90"/>
    <w:rsid w:val="00B54BA1"/>
    <w:rsid w:val="00B54BC9"/>
    <w:rsid w:val="00B54C76"/>
    <w:rsid w:val="00B54C89"/>
    <w:rsid w:val="00B54D5A"/>
    <w:rsid w:val="00B54D98"/>
    <w:rsid w:val="00B54E17"/>
    <w:rsid w:val="00B54E33"/>
    <w:rsid w:val="00B54E79"/>
    <w:rsid w:val="00B54EC0"/>
    <w:rsid w:val="00B54ED0"/>
    <w:rsid w:val="00B54EE9"/>
    <w:rsid w:val="00B54F47"/>
    <w:rsid w:val="00B54F6A"/>
    <w:rsid w:val="00B54FBF"/>
    <w:rsid w:val="00B54FE7"/>
    <w:rsid w:val="00B54FFF"/>
    <w:rsid w:val="00B5508D"/>
    <w:rsid w:val="00B5508E"/>
    <w:rsid w:val="00B550B7"/>
    <w:rsid w:val="00B550C7"/>
    <w:rsid w:val="00B550CA"/>
    <w:rsid w:val="00B55142"/>
    <w:rsid w:val="00B55276"/>
    <w:rsid w:val="00B552A7"/>
    <w:rsid w:val="00B5539A"/>
    <w:rsid w:val="00B55433"/>
    <w:rsid w:val="00B55453"/>
    <w:rsid w:val="00B554AA"/>
    <w:rsid w:val="00B55543"/>
    <w:rsid w:val="00B5558F"/>
    <w:rsid w:val="00B555DD"/>
    <w:rsid w:val="00B556B2"/>
    <w:rsid w:val="00B557F0"/>
    <w:rsid w:val="00B5583C"/>
    <w:rsid w:val="00B5590F"/>
    <w:rsid w:val="00B559A3"/>
    <w:rsid w:val="00B559B9"/>
    <w:rsid w:val="00B559C7"/>
    <w:rsid w:val="00B55A16"/>
    <w:rsid w:val="00B55B5B"/>
    <w:rsid w:val="00B55B5F"/>
    <w:rsid w:val="00B55BE0"/>
    <w:rsid w:val="00B55D17"/>
    <w:rsid w:val="00B55D38"/>
    <w:rsid w:val="00B55D6E"/>
    <w:rsid w:val="00B55DC0"/>
    <w:rsid w:val="00B55E45"/>
    <w:rsid w:val="00B55ECC"/>
    <w:rsid w:val="00B55ECD"/>
    <w:rsid w:val="00B55ED9"/>
    <w:rsid w:val="00B55EED"/>
    <w:rsid w:val="00B55EF2"/>
    <w:rsid w:val="00B55F19"/>
    <w:rsid w:val="00B55F2E"/>
    <w:rsid w:val="00B55F3C"/>
    <w:rsid w:val="00B55FAD"/>
    <w:rsid w:val="00B55FC5"/>
    <w:rsid w:val="00B55FD1"/>
    <w:rsid w:val="00B56006"/>
    <w:rsid w:val="00B5602E"/>
    <w:rsid w:val="00B56040"/>
    <w:rsid w:val="00B56097"/>
    <w:rsid w:val="00B560A7"/>
    <w:rsid w:val="00B56252"/>
    <w:rsid w:val="00B56293"/>
    <w:rsid w:val="00B562D0"/>
    <w:rsid w:val="00B56308"/>
    <w:rsid w:val="00B56309"/>
    <w:rsid w:val="00B56383"/>
    <w:rsid w:val="00B5639C"/>
    <w:rsid w:val="00B56444"/>
    <w:rsid w:val="00B564F5"/>
    <w:rsid w:val="00B5652E"/>
    <w:rsid w:val="00B565E0"/>
    <w:rsid w:val="00B56626"/>
    <w:rsid w:val="00B56699"/>
    <w:rsid w:val="00B56707"/>
    <w:rsid w:val="00B56727"/>
    <w:rsid w:val="00B56741"/>
    <w:rsid w:val="00B56766"/>
    <w:rsid w:val="00B567BB"/>
    <w:rsid w:val="00B567EF"/>
    <w:rsid w:val="00B56819"/>
    <w:rsid w:val="00B56846"/>
    <w:rsid w:val="00B56871"/>
    <w:rsid w:val="00B56928"/>
    <w:rsid w:val="00B569FE"/>
    <w:rsid w:val="00B56A19"/>
    <w:rsid w:val="00B56A2A"/>
    <w:rsid w:val="00B56AF8"/>
    <w:rsid w:val="00B56B33"/>
    <w:rsid w:val="00B56C2E"/>
    <w:rsid w:val="00B56C6D"/>
    <w:rsid w:val="00B56C89"/>
    <w:rsid w:val="00B56CBC"/>
    <w:rsid w:val="00B56CCF"/>
    <w:rsid w:val="00B56D48"/>
    <w:rsid w:val="00B56D8D"/>
    <w:rsid w:val="00B56DA4"/>
    <w:rsid w:val="00B56DCE"/>
    <w:rsid w:val="00B56E78"/>
    <w:rsid w:val="00B56F55"/>
    <w:rsid w:val="00B56F72"/>
    <w:rsid w:val="00B56FB2"/>
    <w:rsid w:val="00B56FD9"/>
    <w:rsid w:val="00B56FE5"/>
    <w:rsid w:val="00B570A6"/>
    <w:rsid w:val="00B570E6"/>
    <w:rsid w:val="00B5714F"/>
    <w:rsid w:val="00B571D7"/>
    <w:rsid w:val="00B5721E"/>
    <w:rsid w:val="00B572A3"/>
    <w:rsid w:val="00B572C0"/>
    <w:rsid w:val="00B57315"/>
    <w:rsid w:val="00B5732C"/>
    <w:rsid w:val="00B5734E"/>
    <w:rsid w:val="00B573B8"/>
    <w:rsid w:val="00B5742A"/>
    <w:rsid w:val="00B5743D"/>
    <w:rsid w:val="00B5744C"/>
    <w:rsid w:val="00B57502"/>
    <w:rsid w:val="00B57561"/>
    <w:rsid w:val="00B5759C"/>
    <w:rsid w:val="00B575BA"/>
    <w:rsid w:val="00B575D8"/>
    <w:rsid w:val="00B576B1"/>
    <w:rsid w:val="00B576E9"/>
    <w:rsid w:val="00B57740"/>
    <w:rsid w:val="00B577C1"/>
    <w:rsid w:val="00B577EA"/>
    <w:rsid w:val="00B577F9"/>
    <w:rsid w:val="00B57846"/>
    <w:rsid w:val="00B578BE"/>
    <w:rsid w:val="00B578D5"/>
    <w:rsid w:val="00B578DA"/>
    <w:rsid w:val="00B578FD"/>
    <w:rsid w:val="00B5793D"/>
    <w:rsid w:val="00B5799C"/>
    <w:rsid w:val="00B579BE"/>
    <w:rsid w:val="00B579CB"/>
    <w:rsid w:val="00B579D5"/>
    <w:rsid w:val="00B579DC"/>
    <w:rsid w:val="00B57A29"/>
    <w:rsid w:val="00B57A43"/>
    <w:rsid w:val="00B57A55"/>
    <w:rsid w:val="00B57AD6"/>
    <w:rsid w:val="00B57B5B"/>
    <w:rsid w:val="00B57BAA"/>
    <w:rsid w:val="00B57C02"/>
    <w:rsid w:val="00B57C0A"/>
    <w:rsid w:val="00B57CEA"/>
    <w:rsid w:val="00B57D03"/>
    <w:rsid w:val="00B57D28"/>
    <w:rsid w:val="00B57DAD"/>
    <w:rsid w:val="00B57DBB"/>
    <w:rsid w:val="00B57DE3"/>
    <w:rsid w:val="00B57E3A"/>
    <w:rsid w:val="00B57E9F"/>
    <w:rsid w:val="00B57EF0"/>
    <w:rsid w:val="00B57F75"/>
    <w:rsid w:val="00B57F9A"/>
    <w:rsid w:val="00B57FB9"/>
    <w:rsid w:val="00B60044"/>
    <w:rsid w:val="00B60065"/>
    <w:rsid w:val="00B60072"/>
    <w:rsid w:val="00B600BC"/>
    <w:rsid w:val="00B6010F"/>
    <w:rsid w:val="00B601BB"/>
    <w:rsid w:val="00B6020E"/>
    <w:rsid w:val="00B60229"/>
    <w:rsid w:val="00B602C5"/>
    <w:rsid w:val="00B602D7"/>
    <w:rsid w:val="00B602F7"/>
    <w:rsid w:val="00B60354"/>
    <w:rsid w:val="00B60374"/>
    <w:rsid w:val="00B60378"/>
    <w:rsid w:val="00B603A8"/>
    <w:rsid w:val="00B603CA"/>
    <w:rsid w:val="00B603EF"/>
    <w:rsid w:val="00B60433"/>
    <w:rsid w:val="00B60462"/>
    <w:rsid w:val="00B605A4"/>
    <w:rsid w:val="00B60655"/>
    <w:rsid w:val="00B606AC"/>
    <w:rsid w:val="00B60812"/>
    <w:rsid w:val="00B60891"/>
    <w:rsid w:val="00B60970"/>
    <w:rsid w:val="00B609A3"/>
    <w:rsid w:val="00B609BF"/>
    <w:rsid w:val="00B609E7"/>
    <w:rsid w:val="00B60A07"/>
    <w:rsid w:val="00B60A60"/>
    <w:rsid w:val="00B60A9D"/>
    <w:rsid w:val="00B60B3C"/>
    <w:rsid w:val="00B60B7E"/>
    <w:rsid w:val="00B60B9C"/>
    <w:rsid w:val="00B60BB2"/>
    <w:rsid w:val="00B60BC5"/>
    <w:rsid w:val="00B60CA2"/>
    <w:rsid w:val="00B60CC6"/>
    <w:rsid w:val="00B60D18"/>
    <w:rsid w:val="00B60D2E"/>
    <w:rsid w:val="00B60D32"/>
    <w:rsid w:val="00B60D9D"/>
    <w:rsid w:val="00B60DAC"/>
    <w:rsid w:val="00B60DC4"/>
    <w:rsid w:val="00B60DD9"/>
    <w:rsid w:val="00B60E22"/>
    <w:rsid w:val="00B60E89"/>
    <w:rsid w:val="00B60EE2"/>
    <w:rsid w:val="00B60EF0"/>
    <w:rsid w:val="00B60F9F"/>
    <w:rsid w:val="00B60FC5"/>
    <w:rsid w:val="00B61062"/>
    <w:rsid w:val="00B610C5"/>
    <w:rsid w:val="00B6110B"/>
    <w:rsid w:val="00B611FA"/>
    <w:rsid w:val="00B61200"/>
    <w:rsid w:val="00B6122D"/>
    <w:rsid w:val="00B612A2"/>
    <w:rsid w:val="00B612F2"/>
    <w:rsid w:val="00B61333"/>
    <w:rsid w:val="00B613BA"/>
    <w:rsid w:val="00B61422"/>
    <w:rsid w:val="00B6142B"/>
    <w:rsid w:val="00B61441"/>
    <w:rsid w:val="00B614AF"/>
    <w:rsid w:val="00B61511"/>
    <w:rsid w:val="00B6155F"/>
    <w:rsid w:val="00B61573"/>
    <w:rsid w:val="00B61583"/>
    <w:rsid w:val="00B615AC"/>
    <w:rsid w:val="00B615FA"/>
    <w:rsid w:val="00B61613"/>
    <w:rsid w:val="00B6161F"/>
    <w:rsid w:val="00B61627"/>
    <w:rsid w:val="00B6162F"/>
    <w:rsid w:val="00B61676"/>
    <w:rsid w:val="00B6169E"/>
    <w:rsid w:val="00B616B9"/>
    <w:rsid w:val="00B61774"/>
    <w:rsid w:val="00B617E5"/>
    <w:rsid w:val="00B6188B"/>
    <w:rsid w:val="00B618B5"/>
    <w:rsid w:val="00B61909"/>
    <w:rsid w:val="00B6191F"/>
    <w:rsid w:val="00B61921"/>
    <w:rsid w:val="00B61935"/>
    <w:rsid w:val="00B61945"/>
    <w:rsid w:val="00B61AF9"/>
    <w:rsid w:val="00B61B50"/>
    <w:rsid w:val="00B61B95"/>
    <w:rsid w:val="00B61BB5"/>
    <w:rsid w:val="00B61BBF"/>
    <w:rsid w:val="00B61BCD"/>
    <w:rsid w:val="00B61C68"/>
    <w:rsid w:val="00B61D5C"/>
    <w:rsid w:val="00B61D72"/>
    <w:rsid w:val="00B61D83"/>
    <w:rsid w:val="00B61D98"/>
    <w:rsid w:val="00B61D9E"/>
    <w:rsid w:val="00B61E0F"/>
    <w:rsid w:val="00B61EA7"/>
    <w:rsid w:val="00B61ED1"/>
    <w:rsid w:val="00B61F3A"/>
    <w:rsid w:val="00B61F57"/>
    <w:rsid w:val="00B61FAB"/>
    <w:rsid w:val="00B61FBA"/>
    <w:rsid w:val="00B62067"/>
    <w:rsid w:val="00B62085"/>
    <w:rsid w:val="00B62136"/>
    <w:rsid w:val="00B62180"/>
    <w:rsid w:val="00B621BB"/>
    <w:rsid w:val="00B6220C"/>
    <w:rsid w:val="00B62211"/>
    <w:rsid w:val="00B6223E"/>
    <w:rsid w:val="00B622CB"/>
    <w:rsid w:val="00B622D9"/>
    <w:rsid w:val="00B62316"/>
    <w:rsid w:val="00B6239F"/>
    <w:rsid w:val="00B623E6"/>
    <w:rsid w:val="00B62433"/>
    <w:rsid w:val="00B62441"/>
    <w:rsid w:val="00B62470"/>
    <w:rsid w:val="00B624DF"/>
    <w:rsid w:val="00B62569"/>
    <w:rsid w:val="00B6257F"/>
    <w:rsid w:val="00B62588"/>
    <w:rsid w:val="00B6258B"/>
    <w:rsid w:val="00B625C6"/>
    <w:rsid w:val="00B625E0"/>
    <w:rsid w:val="00B625F3"/>
    <w:rsid w:val="00B625FA"/>
    <w:rsid w:val="00B62644"/>
    <w:rsid w:val="00B62669"/>
    <w:rsid w:val="00B626DA"/>
    <w:rsid w:val="00B62717"/>
    <w:rsid w:val="00B62719"/>
    <w:rsid w:val="00B6274C"/>
    <w:rsid w:val="00B62774"/>
    <w:rsid w:val="00B62791"/>
    <w:rsid w:val="00B627EF"/>
    <w:rsid w:val="00B62830"/>
    <w:rsid w:val="00B6287C"/>
    <w:rsid w:val="00B6288C"/>
    <w:rsid w:val="00B6289D"/>
    <w:rsid w:val="00B628EE"/>
    <w:rsid w:val="00B62997"/>
    <w:rsid w:val="00B62998"/>
    <w:rsid w:val="00B629C0"/>
    <w:rsid w:val="00B62B69"/>
    <w:rsid w:val="00B62BCA"/>
    <w:rsid w:val="00B62BD2"/>
    <w:rsid w:val="00B62C5A"/>
    <w:rsid w:val="00B62C9B"/>
    <w:rsid w:val="00B62CA5"/>
    <w:rsid w:val="00B62D60"/>
    <w:rsid w:val="00B62D92"/>
    <w:rsid w:val="00B62DA5"/>
    <w:rsid w:val="00B62DE3"/>
    <w:rsid w:val="00B62E0A"/>
    <w:rsid w:val="00B62E2E"/>
    <w:rsid w:val="00B62E57"/>
    <w:rsid w:val="00B62E8A"/>
    <w:rsid w:val="00B62F08"/>
    <w:rsid w:val="00B6300F"/>
    <w:rsid w:val="00B63049"/>
    <w:rsid w:val="00B63074"/>
    <w:rsid w:val="00B6308D"/>
    <w:rsid w:val="00B63120"/>
    <w:rsid w:val="00B63129"/>
    <w:rsid w:val="00B63157"/>
    <w:rsid w:val="00B63188"/>
    <w:rsid w:val="00B631C2"/>
    <w:rsid w:val="00B63383"/>
    <w:rsid w:val="00B63390"/>
    <w:rsid w:val="00B633C0"/>
    <w:rsid w:val="00B633DD"/>
    <w:rsid w:val="00B63430"/>
    <w:rsid w:val="00B6343E"/>
    <w:rsid w:val="00B63461"/>
    <w:rsid w:val="00B634A8"/>
    <w:rsid w:val="00B634B8"/>
    <w:rsid w:val="00B63505"/>
    <w:rsid w:val="00B6350D"/>
    <w:rsid w:val="00B63538"/>
    <w:rsid w:val="00B6353C"/>
    <w:rsid w:val="00B6354D"/>
    <w:rsid w:val="00B6359B"/>
    <w:rsid w:val="00B635F4"/>
    <w:rsid w:val="00B636A9"/>
    <w:rsid w:val="00B636CD"/>
    <w:rsid w:val="00B63702"/>
    <w:rsid w:val="00B6371E"/>
    <w:rsid w:val="00B637B7"/>
    <w:rsid w:val="00B637BC"/>
    <w:rsid w:val="00B6380A"/>
    <w:rsid w:val="00B63850"/>
    <w:rsid w:val="00B63858"/>
    <w:rsid w:val="00B6386C"/>
    <w:rsid w:val="00B6388C"/>
    <w:rsid w:val="00B638AF"/>
    <w:rsid w:val="00B638BE"/>
    <w:rsid w:val="00B63925"/>
    <w:rsid w:val="00B63927"/>
    <w:rsid w:val="00B639BE"/>
    <w:rsid w:val="00B63A38"/>
    <w:rsid w:val="00B63A90"/>
    <w:rsid w:val="00B63AA4"/>
    <w:rsid w:val="00B63B34"/>
    <w:rsid w:val="00B63B7F"/>
    <w:rsid w:val="00B63B81"/>
    <w:rsid w:val="00B63B8D"/>
    <w:rsid w:val="00B63C34"/>
    <w:rsid w:val="00B63CE7"/>
    <w:rsid w:val="00B63D8F"/>
    <w:rsid w:val="00B63DB3"/>
    <w:rsid w:val="00B63E15"/>
    <w:rsid w:val="00B63F64"/>
    <w:rsid w:val="00B63F9F"/>
    <w:rsid w:val="00B64029"/>
    <w:rsid w:val="00B64058"/>
    <w:rsid w:val="00B6410B"/>
    <w:rsid w:val="00B6412A"/>
    <w:rsid w:val="00B64173"/>
    <w:rsid w:val="00B6417B"/>
    <w:rsid w:val="00B641EE"/>
    <w:rsid w:val="00B64210"/>
    <w:rsid w:val="00B64211"/>
    <w:rsid w:val="00B642C4"/>
    <w:rsid w:val="00B6439A"/>
    <w:rsid w:val="00B643D8"/>
    <w:rsid w:val="00B64421"/>
    <w:rsid w:val="00B64482"/>
    <w:rsid w:val="00B644F3"/>
    <w:rsid w:val="00B64539"/>
    <w:rsid w:val="00B645D7"/>
    <w:rsid w:val="00B64734"/>
    <w:rsid w:val="00B6473C"/>
    <w:rsid w:val="00B64796"/>
    <w:rsid w:val="00B648AB"/>
    <w:rsid w:val="00B64958"/>
    <w:rsid w:val="00B649A5"/>
    <w:rsid w:val="00B64A19"/>
    <w:rsid w:val="00B64B1E"/>
    <w:rsid w:val="00B64B46"/>
    <w:rsid w:val="00B64B50"/>
    <w:rsid w:val="00B64BCB"/>
    <w:rsid w:val="00B64C46"/>
    <w:rsid w:val="00B64C56"/>
    <w:rsid w:val="00B64C95"/>
    <w:rsid w:val="00B64CB4"/>
    <w:rsid w:val="00B64CD1"/>
    <w:rsid w:val="00B64DF4"/>
    <w:rsid w:val="00B64E20"/>
    <w:rsid w:val="00B64E37"/>
    <w:rsid w:val="00B64EBA"/>
    <w:rsid w:val="00B64F00"/>
    <w:rsid w:val="00B64F02"/>
    <w:rsid w:val="00B64F25"/>
    <w:rsid w:val="00B64F30"/>
    <w:rsid w:val="00B64F50"/>
    <w:rsid w:val="00B64FA7"/>
    <w:rsid w:val="00B64FDC"/>
    <w:rsid w:val="00B6504C"/>
    <w:rsid w:val="00B650A1"/>
    <w:rsid w:val="00B650B8"/>
    <w:rsid w:val="00B6514C"/>
    <w:rsid w:val="00B651ED"/>
    <w:rsid w:val="00B65284"/>
    <w:rsid w:val="00B652AF"/>
    <w:rsid w:val="00B652BC"/>
    <w:rsid w:val="00B6533D"/>
    <w:rsid w:val="00B65472"/>
    <w:rsid w:val="00B65475"/>
    <w:rsid w:val="00B65493"/>
    <w:rsid w:val="00B65570"/>
    <w:rsid w:val="00B65596"/>
    <w:rsid w:val="00B65617"/>
    <w:rsid w:val="00B65649"/>
    <w:rsid w:val="00B6566C"/>
    <w:rsid w:val="00B656D8"/>
    <w:rsid w:val="00B656FC"/>
    <w:rsid w:val="00B6571A"/>
    <w:rsid w:val="00B6579C"/>
    <w:rsid w:val="00B657B7"/>
    <w:rsid w:val="00B657C3"/>
    <w:rsid w:val="00B657CB"/>
    <w:rsid w:val="00B657DE"/>
    <w:rsid w:val="00B6584F"/>
    <w:rsid w:val="00B65894"/>
    <w:rsid w:val="00B658AD"/>
    <w:rsid w:val="00B65917"/>
    <w:rsid w:val="00B65948"/>
    <w:rsid w:val="00B6599A"/>
    <w:rsid w:val="00B659A5"/>
    <w:rsid w:val="00B659AC"/>
    <w:rsid w:val="00B659C4"/>
    <w:rsid w:val="00B659D7"/>
    <w:rsid w:val="00B65B58"/>
    <w:rsid w:val="00B65BEE"/>
    <w:rsid w:val="00B65C03"/>
    <w:rsid w:val="00B65C9F"/>
    <w:rsid w:val="00B65CCD"/>
    <w:rsid w:val="00B65D2B"/>
    <w:rsid w:val="00B65D5E"/>
    <w:rsid w:val="00B65DDE"/>
    <w:rsid w:val="00B65E25"/>
    <w:rsid w:val="00B65E34"/>
    <w:rsid w:val="00B65E8F"/>
    <w:rsid w:val="00B65EFD"/>
    <w:rsid w:val="00B65F2D"/>
    <w:rsid w:val="00B65F72"/>
    <w:rsid w:val="00B660FC"/>
    <w:rsid w:val="00B660FE"/>
    <w:rsid w:val="00B66108"/>
    <w:rsid w:val="00B6615D"/>
    <w:rsid w:val="00B661CF"/>
    <w:rsid w:val="00B6624A"/>
    <w:rsid w:val="00B6625A"/>
    <w:rsid w:val="00B66267"/>
    <w:rsid w:val="00B66285"/>
    <w:rsid w:val="00B6634F"/>
    <w:rsid w:val="00B664CD"/>
    <w:rsid w:val="00B66517"/>
    <w:rsid w:val="00B6657B"/>
    <w:rsid w:val="00B665DA"/>
    <w:rsid w:val="00B665EA"/>
    <w:rsid w:val="00B6667A"/>
    <w:rsid w:val="00B666D9"/>
    <w:rsid w:val="00B6673F"/>
    <w:rsid w:val="00B66749"/>
    <w:rsid w:val="00B66798"/>
    <w:rsid w:val="00B667FC"/>
    <w:rsid w:val="00B668A9"/>
    <w:rsid w:val="00B6695F"/>
    <w:rsid w:val="00B66996"/>
    <w:rsid w:val="00B669F4"/>
    <w:rsid w:val="00B66A67"/>
    <w:rsid w:val="00B66B88"/>
    <w:rsid w:val="00B66B98"/>
    <w:rsid w:val="00B66C04"/>
    <w:rsid w:val="00B66C4D"/>
    <w:rsid w:val="00B66C72"/>
    <w:rsid w:val="00B66C89"/>
    <w:rsid w:val="00B66C98"/>
    <w:rsid w:val="00B66CAE"/>
    <w:rsid w:val="00B66D5F"/>
    <w:rsid w:val="00B66DAD"/>
    <w:rsid w:val="00B66F02"/>
    <w:rsid w:val="00B66F0E"/>
    <w:rsid w:val="00B66F22"/>
    <w:rsid w:val="00B66F3A"/>
    <w:rsid w:val="00B67007"/>
    <w:rsid w:val="00B67015"/>
    <w:rsid w:val="00B6702C"/>
    <w:rsid w:val="00B6703D"/>
    <w:rsid w:val="00B67043"/>
    <w:rsid w:val="00B670AD"/>
    <w:rsid w:val="00B6711C"/>
    <w:rsid w:val="00B67177"/>
    <w:rsid w:val="00B6717D"/>
    <w:rsid w:val="00B6728B"/>
    <w:rsid w:val="00B672E1"/>
    <w:rsid w:val="00B67393"/>
    <w:rsid w:val="00B673D7"/>
    <w:rsid w:val="00B67400"/>
    <w:rsid w:val="00B67547"/>
    <w:rsid w:val="00B67548"/>
    <w:rsid w:val="00B67581"/>
    <w:rsid w:val="00B675DF"/>
    <w:rsid w:val="00B6768B"/>
    <w:rsid w:val="00B676D4"/>
    <w:rsid w:val="00B676DD"/>
    <w:rsid w:val="00B676F8"/>
    <w:rsid w:val="00B677A2"/>
    <w:rsid w:val="00B677D0"/>
    <w:rsid w:val="00B677E2"/>
    <w:rsid w:val="00B67807"/>
    <w:rsid w:val="00B67811"/>
    <w:rsid w:val="00B678E8"/>
    <w:rsid w:val="00B67946"/>
    <w:rsid w:val="00B679DC"/>
    <w:rsid w:val="00B67A5F"/>
    <w:rsid w:val="00B67AA2"/>
    <w:rsid w:val="00B67AC9"/>
    <w:rsid w:val="00B67B36"/>
    <w:rsid w:val="00B67B4B"/>
    <w:rsid w:val="00B67B4E"/>
    <w:rsid w:val="00B67B5F"/>
    <w:rsid w:val="00B67D71"/>
    <w:rsid w:val="00B67D91"/>
    <w:rsid w:val="00B67E08"/>
    <w:rsid w:val="00B67E35"/>
    <w:rsid w:val="00B67EF5"/>
    <w:rsid w:val="00B67FC7"/>
    <w:rsid w:val="00B70017"/>
    <w:rsid w:val="00B700C4"/>
    <w:rsid w:val="00B700C9"/>
    <w:rsid w:val="00B700FE"/>
    <w:rsid w:val="00B70106"/>
    <w:rsid w:val="00B70116"/>
    <w:rsid w:val="00B7011F"/>
    <w:rsid w:val="00B70189"/>
    <w:rsid w:val="00B7018E"/>
    <w:rsid w:val="00B701CA"/>
    <w:rsid w:val="00B70245"/>
    <w:rsid w:val="00B70278"/>
    <w:rsid w:val="00B702E9"/>
    <w:rsid w:val="00B702F3"/>
    <w:rsid w:val="00B703C7"/>
    <w:rsid w:val="00B704B8"/>
    <w:rsid w:val="00B70576"/>
    <w:rsid w:val="00B7061D"/>
    <w:rsid w:val="00B706DD"/>
    <w:rsid w:val="00B70735"/>
    <w:rsid w:val="00B7074C"/>
    <w:rsid w:val="00B70777"/>
    <w:rsid w:val="00B707A1"/>
    <w:rsid w:val="00B707A8"/>
    <w:rsid w:val="00B70821"/>
    <w:rsid w:val="00B70893"/>
    <w:rsid w:val="00B708FB"/>
    <w:rsid w:val="00B70A2F"/>
    <w:rsid w:val="00B70A37"/>
    <w:rsid w:val="00B70A93"/>
    <w:rsid w:val="00B70B2D"/>
    <w:rsid w:val="00B70B40"/>
    <w:rsid w:val="00B70B8C"/>
    <w:rsid w:val="00B70C85"/>
    <w:rsid w:val="00B70C8F"/>
    <w:rsid w:val="00B70D10"/>
    <w:rsid w:val="00B70D20"/>
    <w:rsid w:val="00B70D6D"/>
    <w:rsid w:val="00B70D76"/>
    <w:rsid w:val="00B70D97"/>
    <w:rsid w:val="00B70DAC"/>
    <w:rsid w:val="00B70DDA"/>
    <w:rsid w:val="00B70E4C"/>
    <w:rsid w:val="00B70E74"/>
    <w:rsid w:val="00B70EEA"/>
    <w:rsid w:val="00B70EED"/>
    <w:rsid w:val="00B70F17"/>
    <w:rsid w:val="00B70F49"/>
    <w:rsid w:val="00B70FBF"/>
    <w:rsid w:val="00B70FC6"/>
    <w:rsid w:val="00B70FC7"/>
    <w:rsid w:val="00B71027"/>
    <w:rsid w:val="00B71068"/>
    <w:rsid w:val="00B7116C"/>
    <w:rsid w:val="00B71178"/>
    <w:rsid w:val="00B711AC"/>
    <w:rsid w:val="00B711FD"/>
    <w:rsid w:val="00B712AB"/>
    <w:rsid w:val="00B712D0"/>
    <w:rsid w:val="00B712EF"/>
    <w:rsid w:val="00B71303"/>
    <w:rsid w:val="00B7131A"/>
    <w:rsid w:val="00B71362"/>
    <w:rsid w:val="00B7140F"/>
    <w:rsid w:val="00B71451"/>
    <w:rsid w:val="00B714B3"/>
    <w:rsid w:val="00B71517"/>
    <w:rsid w:val="00B71591"/>
    <w:rsid w:val="00B715E6"/>
    <w:rsid w:val="00B7161E"/>
    <w:rsid w:val="00B7163E"/>
    <w:rsid w:val="00B71656"/>
    <w:rsid w:val="00B716F1"/>
    <w:rsid w:val="00B7175C"/>
    <w:rsid w:val="00B7177A"/>
    <w:rsid w:val="00B717D7"/>
    <w:rsid w:val="00B7188A"/>
    <w:rsid w:val="00B718B8"/>
    <w:rsid w:val="00B718D6"/>
    <w:rsid w:val="00B718DC"/>
    <w:rsid w:val="00B71948"/>
    <w:rsid w:val="00B71A2B"/>
    <w:rsid w:val="00B71A78"/>
    <w:rsid w:val="00B71AFC"/>
    <w:rsid w:val="00B71B23"/>
    <w:rsid w:val="00B71B5B"/>
    <w:rsid w:val="00B71BD8"/>
    <w:rsid w:val="00B71C29"/>
    <w:rsid w:val="00B71D3D"/>
    <w:rsid w:val="00B71D6B"/>
    <w:rsid w:val="00B71D78"/>
    <w:rsid w:val="00B71DFD"/>
    <w:rsid w:val="00B71E25"/>
    <w:rsid w:val="00B71E4F"/>
    <w:rsid w:val="00B71F2C"/>
    <w:rsid w:val="00B71F32"/>
    <w:rsid w:val="00B72040"/>
    <w:rsid w:val="00B72074"/>
    <w:rsid w:val="00B7209C"/>
    <w:rsid w:val="00B720AE"/>
    <w:rsid w:val="00B720F3"/>
    <w:rsid w:val="00B720FF"/>
    <w:rsid w:val="00B72106"/>
    <w:rsid w:val="00B72109"/>
    <w:rsid w:val="00B72119"/>
    <w:rsid w:val="00B7217A"/>
    <w:rsid w:val="00B721C2"/>
    <w:rsid w:val="00B7227E"/>
    <w:rsid w:val="00B72294"/>
    <w:rsid w:val="00B7237B"/>
    <w:rsid w:val="00B7239F"/>
    <w:rsid w:val="00B723AC"/>
    <w:rsid w:val="00B72496"/>
    <w:rsid w:val="00B724A1"/>
    <w:rsid w:val="00B725BC"/>
    <w:rsid w:val="00B725C1"/>
    <w:rsid w:val="00B7260E"/>
    <w:rsid w:val="00B7265E"/>
    <w:rsid w:val="00B72686"/>
    <w:rsid w:val="00B7271A"/>
    <w:rsid w:val="00B72732"/>
    <w:rsid w:val="00B72790"/>
    <w:rsid w:val="00B727C2"/>
    <w:rsid w:val="00B727EF"/>
    <w:rsid w:val="00B72806"/>
    <w:rsid w:val="00B728CA"/>
    <w:rsid w:val="00B7291E"/>
    <w:rsid w:val="00B72960"/>
    <w:rsid w:val="00B7298C"/>
    <w:rsid w:val="00B72992"/>
    <w:rsid w:val="00B729C3"/>
    <w:rsid w:val="00B72A6D"/>
    <w:rsid w:val="00B72A80"/>
    <w:rsid w:val="00B72A8C"/>
    <w:rsid w:val="00B72AAC"/>
    <w:rsid w:val="00B72AB6"/>
    <w:rsid w:val="00B72AC1"/>
    <w:rsid w:val="00B72BDA"/>
    <w:rsid w:val="00B72C73"/>
    <w:rsid w:val="00B72C77"/>
    <w:rsid w:val="00B72C8C"/>
    <w:rsid w:val="00B72CC2"/>
    <w:rsid w:val="00B72E2E"/>
    <w:rsid w:val="00B72E66"/>
    <w:rsid w:val="00B72E73"/>
    <w:rsid w:val="00B72F1F"/>
    <w:rsid w:val="00B72F26"/>
    <w:rsid w:val="00B72F32"/>
    <w:rsid w:val="00B72F4F"/>
    <w:rsid w:val="00B72F72"/>
    <w:rsid w:val="00B72FB0"/>
    <w:rsid w:val="00B730D1"/>
    <w:rsid w:val="00B73169"/>
    <w:rsid w:val="00B731C1"/>
    <w:rsid w:val="00B7320C"/>
    <w:rsid w:val="00B73253"/>
    <w:rsid w:val="00B73267"/>
    <w:rsid w:val="00B73304"/>
    <w:rsid w:val="00B73327"/>
    <w:rsid w:val="00B73355"/>
    <w:rsid w:val="00B733E4"/>
    <w:rsid w:val="00B733FB"/>
    <w:rsid w:val="00B73458"/>
    <w:rsid w:val="00B734A8"/>
    <w:rsid w:val="00B734AF"/>
    <w:rsid w:val="00B734E8"/>
    <w:rsid w:val="00B7351D"/>
    <w:rsid w:val="00B73554"/>
    <w:rsid w:val="00B73572"/>
    <w:rsid w:val="00B7358C"/>
    <w:rsid w:val="00B7358E"/>
    <w:rsid w:val="00B735CE"/>
    <w:rsid w:val="00B735EE"/>
    <w:rsid w:val="00B7365A"/>
    <w:rsid w:val="00B73663"/>
    <w:rsid w:val="00B7368B"/>
    <w:rsid w:val="00B73732"/>
    <w:rsid w:val="00B737FD"/>
    <w:rsid w:val="00B7387E"/>
    <w:rsid w:val="00B738C0"/>
    <w:rsid w:val="00B738E9"/>
    <w:rsid w:val="00B73956"/>
    <w:rsid w:val="00B739EA"/>
    <w:rsid w:val="00B73A1D"/>
    <w:rsid w:val="00B73A91"/>
    <w:rsid w:val="00B73AF8"/>
    <w:rsid w:val="00B73B5E"/>
    <w:rsid w:val="00B73B75"/>
    <w:rsid w:val="00B73B8C"/>
    <w:rsid w:val="00B73C32"/>
    <w:rsid w:val="00B73C69"/>
    <w:rsid w:val="00B73C81"/>
    <w:rsid w:val="00B73CF1"/>
    <w:rsid w:val="00B73D33"/>
    <w:rsid w:val="00B73E68"/>
    <w:rsid w:val="00B73EB8"/>
    <w:rsid w:val="00B73EEE"/>
    <w:rsid w:val="00B73FDC"/>
    <w:rsid w:val="00B740B0"/>
    <w:rsid w:val="00B740CD"/>
    <w:rsid w:val="00B740F7"/>
    <w:rsid w:val="00B74118"/>
    <w:rsid w:val="00B74131"/>
    <w:rsid w:val="00B74171"/>
    <w:rsid w:val="00B7418F"/>
    <w:rsid w:val="00B741A3"/>
    <w:rsid w:val="00B74334"/>
    <w:rsid w:val="00B74375"/>
    <w:rsid w:val="00B7448F"/>
    <w:rsid w:val="00B744EB"/>
    <w:rsid w:val="00B7453D"/>
    <w:rsid w:val="00B74586"/>
    <w:rsid w:val="00B74589"/>
    <w:rsid w:val="00B745AC"/>
    <w:rsid w:val="00B74607"/>
    <w:rsid w:val="00B74779"/>
    <w:rsid w:val="00B74856"/>
    <w:rsid w:val="00B74964"/>
    <w:rsid w:val="00B749B0"/>
    <w:rsid w:val="00B749EC"/>
    <w:rsid w:val="00B749EE"/>
    <w:rsid w:val="00B74A2F"/>
    <w:rsid w:val="00B74A43"/>
    <w:rsid w:val="00B74A6C"/>
    <w:rsid w:val="00B74AEA"/>
    <w:rsid w:val="00B74AEE"/>
    <w:rsid w:val="00B74B45"/>
    <w:rsid w:val="00B74B4A"/>
    <w:rsid w:val="00B74BC4"/>
    <w:rsid w:val="00B74BC6"/>
    <w:rsid w:val="00B74C33"/>
    <w:rsid w:val="00B74CBA"/>
    <w:rsid w:val="00B74CFF"/>
    <w:rsid w:val="00B74D18"/>
    <w:rsid w:val="00B74D82"/>
    <w:rsid w:val="00B74DA4"/>
    <w:rsid w:val="00B74DD1"/>
    <w:rsid w:val="00B74DFA"/>
    <w:rsid w:val="00B74E37"/>
    <w:rsid w:val="00B74E99"/>
    <w:rsid w:val="00B74F1F"/>
    <w:rsid w:val="00B74F3A"/>
    <w:rsid w:val="00B74F6A"/>
    <w:rsid w:val="00B74F85"/>
    <w:rsid w:val="00B74FBF"/>
    <w:rsid w:val="00B74FE8"/>
    <w:rsid w:val="00B75004"/>
    <w:rsid w:val="00B75007"/>
    <w:rsid w:val="00B75010"/>
    <w:rsid w:val="00B75037"/>
    <w:rsid w:val="00B7505A"/>
    <w:rsid w:val="00B75109"/>
    <w:rsid w:val="00B751E6"/>
    <w:rsid w:val="00B751E7"/>
    <w:rsid w:val="00B751F3"/>
    <w:rsid w:val="00B75273"/>
    <w:rsid w:val="00B75276"/>
    <w:rsid w:val="00B752D1"/>
    <w:rsid w:val="00B753A4"/>
    <w:rsid w:val="00B753A6"/>
    <w:rsid w:val="00B753CD"/>
    <w:rsid w:val="00B75454"/>
    <w:rsid w:val="00B75463"/>
    <w:rsid w:val="00B75479"/>
    <w:rsid w:val="00B7552B"/>
    <w:rsid w:val="00B75559"/>
    <w:rsid w:val="00B75588"/>
    <w:rsid w:val="00B755FC"/>
    <w:rsid w:val="00B7570E"/>
    <w:rsid w:val="00B757F7"/>
    <w:rsid w:val="00B7588E"/>
    <w:rsid w:val="00B758BA"/>
    <w:rsid w:val="00B758F0"/>
    <w:rsid w:val="00B75924"/>
    <w:rsid w:val="00B759C4"/>
    <w:rsid w:val="00B75A53"/>
    <w:rsid w:val="00B75A5A"/>
    <w:rsid w:val="00B75A5E"/>
    <w:rsid w:val="00B75A76"/>
    <w:rsid w:val="00B75A8C"/>
    <w:rsid w:val="00B75B05"/>
    <w:rsid w:val="00B75B51"/>
    <w:rsid w:val="00B75B66"/>
    <w:rsid w:val="00B75BA7"/>
    <w:rsid w:val="00B75C0D"/>
    <w:rsid w:val="00B75C46"/>
    <w:rsid w:val="00B75D39"/>
    <w:rsid w:val="00B75D41"/>
    <w:rsid w:val="00B75D5D"/>
    <w:rsid w:val="00B75D5F"/>
    <w:rsid w:val="00B75D63"/>
    <w:rsid w:val="00B75DDE"/>
    <w:rsid w:val="00B75DE2"/>
    <w:rsid w:val="00B75E53"/>
    <w:rsid w:val="00B75E67"/>
    <w:rsid w:val="00B75F0C"/>
    <w:rsid w:val="00B75F0D"/>
    <w:rsid w:val="00B75F20"/>
    <w:rsid w:val="00B75F35"/>
    <w:rsid w:val="00B75FB2"/>
    <w:rsid w:val="00B75FD3"/>
    <w:rsid w:val="00B7603A"/>
    <w:rsid w:val="00B76091"/>
    <w:rsid w:val="00B760B1"/>
    <w:rsid w:val="00B76147"/>
    <w:rsid w:val="00B76181"/>
    <w:rsid w:val="00B761E0"/>
    <w:rsid w:val="00B761E4"/>
    <w:rsid w:val="00B76281"/>
    <w:rsid w:val="00B762C7"/>
    <w:rsid w:val="00B762DC"/>
    <w:rsid w:val="00B76335"/>
    <w:rsid w:val="00B763A9"/>
    <w:rsid w:val="00B763BD"/>
    <w:rsid w:val="00B76434"/>
    <w:rsid w:val="00B76453"/>
    <w:rsid w:val="00B76474"/>
    <w:rsid w:val="00B76475"/>
    <w:rsid w:val="00B764F8"/>
    <w:rsid w:val="00B76518"/>
    <w:rsid w:val="00B76578"/>
    <w:rsid w:val="00B7657A"/>
    <w:rsid w:val="00B765B4"/>
    <w:rsid w:val="00B765F0"/>
    <w:rsid w:val="00B765FB"/>
    <w:rsid w:val="00B76680"/>
    <w:rsid w:val="00B766F9"/>
    <w:rsid w:val="00B76747"/>
    <w:rsid w:val="00B7679B"/>
    <w:rsid w:val="00B767BB"/>
    <w:rsid w:val="00B767E0"/>
    <w:rsid w:val="00B767F2"/>
    <w:rsid w:val="00B767F7"/>
    <w:rsid w:val="00B767F9"/>
    <w:rsid w:val="00B76867"/>
    <w:rsid w:val="00B76869"/>
    <w:rsid w:val="00B768AB"/>
    <w:rsid w:val="00B768BD"/>
    <w:rsid w:val="00B7690E"/>
    <w:rsid w:val="00B76931"/>
    <w:rsid w:val="00B76950"/>
    <w:rsid w:val="00B76976"/>
    <w:rsid w:val="00B769BF"/>
    <w:rsid w:val="00B769C2"/>
    <w:rsid w:val="00B769CC"/>
    <w:rsid w:val="00B76A2E"/>
    <w:rsid w:val="00B76AFB"/>
    <w:rsid w:val="00B76B59"/>
    <w:rsid w:val="00B76C1F"/>
    <w:rsid w:val="00B76CA6"/>
    <w:rsid w:val="00B76D06"/>
    <w:rsid w:val="00B76D12"/>
    <w:rsid w:val="00B76D58"/>
    <w:rsid w:val="00B76D7E"/>
    <w:rsid w:val="00B76DBE"/>
    <w:rsid w:val="00B76DCB"/>
    <w:rsid w:val="00B76DD5"/>
    <w:rsid w:val="00B76E55"/>
    <w:rsid w:val="00B76EBE"/>
    <w:rsid w:val="00B76EC1"/>
    <w:rsid w:val="00B76F23"/>
    <w:rsid w:val="00B76F4D"/>
    <w:rsid w:val="00B76F6B"/>
    <w:rsid w:val="00B76FDB"/>
    <w:rsid w:val="00B76FF4"/>
    <w:rsid w:val="00B77002"/>
    <w:rsid w:val="00B7702B"/>
    <w:rsid w:val="00B7705E"/>
    <w:rsid w:val="00B77068"/>
    <w:rsid w:val="00B770FF"/>
    <w:rsid w:val="00B77111"/>
    <w:rsid w:val="00B7726A"/>
    <w:rsid w:val="00B772EA"/>
    <w:rsid w:val="00B77301"/>
    <w:rsid w:val="00B77336"/>
    <w:rsid w:val="00B77344"/>
    <w:rsid w:val="00B773B5"/>
    <w:rsid w:val="00B77414"/>
    <w:rsid w:val="00B77444"/>
    <w:rsid w:val="00B774BA"/>
    <w:rsid w:val="00B774BD"/>
    <w:rsid w:val="00B77502"/>
    <w:rsid w:val="00B77581"/>
    <w:rsid w:val="00B7758B"/>
    <w:rsid w:val="00B775B5"/>
    <w:rsid w:val="00B77604"/>
    <w:rsid w:val="00B7781C"/>
    <w:rsid w:val="00B7783D"/>
    <w:rsid w:val="00B778C7"/>
    <w:rsid w:val="00B7798D"/>
    <w:rsid w:val="00B779A5"/>
    <w:rsid w:val="00B77A1B"/>
    <w:rsid w:val="00B77A21"/>
    <w:rsid w:val="00B77A28"/>
    <w:rsid w:val="00B77A96"/>
    <w:rsid w:val="00B77B07"/>
    <w:rsid w:val="00B77B23"/>
    <w:rsid w:val="00B77B34"/>
    <w:rsid w:val="00B77B39"/>
    <w:rsid w:val="00B77B4A"/>
    <w:rsid w:val="00B77B9D"/>
    <w:rsid w:val="00B77BBF"/>
    <w:rsid w:val="00B77BC7"/>
    <w:rsid w:val="00B77BE9"/>
    <w:rsid w:val="00B77C0C"/>
    <w:rsid w:val="00B77C38"/>
    <w:rsid w:val="00B77C75"/>
    <w:rsid w:val="00B77C8B"/>
    <w:rsid w:val="00B77CB8"/>
    <w:rsid w:val="00B77CD8"/>
    <w:rsid w:val="00B77CDB"/>
    <w:rsid w:val="00B77D92"/>
    <w:rsid w:val="00B77D94"/>
    <w:rsid w:val="00B77DD0"/>
    <w:rsid w:val="00B77E0B"/>
    <w:rsid w:val="00B77E77"/>
    <w:rsid w:val="00B77E78"/>
    <w:rsid w:val="00B77EA5"/>
    <w:rsid w:val="00B77EE8"/>
    <w:rsid w:val="00B77F9A"/>
    <w:rsid w:val="00B8003A"/>
    <w:rsid w:val="00B80042"/>
    <w:rsid w:val="00B8004C"/>
    <w:rsid w:val="00B80057"/>
    <w:rsid w:val="00B800B8"/>
    <w:rsid w:val="00B800E2"/>
    <w:rsid w:val="00B8011F"/>
    <w:rsid w:val="00B801F5"/>
    <w:rsid w:val="00B80238"/>
    <w:rsid w:val="00B80256"/>
    <w:rsid w:val="00B80264"/>
    <w:rsid w:val="00B80296"/>
    <w:rsid w:val="00B8029A"/>
    <w:rsid w:val="00B802AA"/>
    <w:rsid w:val="00B802C6"/>
    <w:rsid w:val="00B802DA"/>
    <w:rsid w:val="00B8031E"/>
    <w:rsid w:val="00B80348"/>
    <w:rsid w:val="00B80368"/>
    <w:rsid w:val="00B8042E"/>
    <w:rsid w:val="00B80504"/>
    <w:rsid w:val="00B805B4"/>
    <w:rsid w:val="00B805F1"/>
    <w:rsid w:val="00B8063D"/>
    <w:rsid w:val="00B8069B"/>
    <w:rsid w:val="00B80701"/>
    <w:rsid w:val="00B807A8"/>
    <w:rsid w:val="00B807B3"/>
    <w:rsid w:val="00B80808"/>
    <w:rsid w:val="00B8081F"/>
    <w:rsid w:val="00B80902"/>
    <w:rsid w:val="00B80959"/>
    <w:rsid w:val="00B809A8"/>
    <w:rsid w:val="00B809CB"/>
    <w:rsid w:val="00B809F9"/>
    <w:rsid w:val="00B80A0C"/>
    <w:rsid w:val="00B80B30"/>
    <w:rsid w:val="00B80B90"/>
    <w:rsid w:val="00B80BC3"/>
    <w:rsid w:val="00B80BDB"/>
    <w:rsid w:val="00B80CDE"/>
    <w:rsid w:val="00B80D50"/>
    <w:rsid w:val="00B80D5D"/>
    <w:rsid w:val="00B80D91"/>
    <w:rsid w:val="00B80DCD"/>
    <w:rsid w:val="00B80DCE"/>
    <w:rsid w:val="00B80DD2"/>
    <w:rsid w:val="00B80DD8"/>
    <w:rsid w:val="00B80DDE"/>
    <w:rsid w:val="00B80DE8"/>
    <w:rsid w:val="00B80DF9"/>
    <w:rsid w:val="00B80E06"/>
    <w:rsid w:val="00B80E23"/>
    <w:rsid w:val="00B80E32"/>
    <w:rsid w:val="00B80E93"/>
    <w:rsid w:val="00B80FA5"/>
    <w:rsid w:val="00B80FE3"/>
    <w:rsid w:val="00B80FF5"/>
    <w:rsid w:val="00B8102A"/>
    <w:rsid w:val="00B810EB"/>
    <w:rsid w:val="00B81119"/>
    <w:rsid w:val="00B81220"/>
    <w:rsid w:val="00B81236"/>
    <w:rsid w:val="00B81246"/>
    <w:rsid w:val="00B8141F"/>
    <w:rsid w:val="00B81476"/>
    <w:rsid w:val="00B814A2"/>
    <w:rsid w:val="00B81566"/>
    <w:rsid w:val="00B8158A"/>
    <w:rsid w:val="00B81645"/>
    <w:rsid w:val="00B8166A"/>
    <w:rsid w:val="00B8168D"/>
    <w:rsid w:val="00B816AD"/>
    <w:rsid w:val="00B816F2"/>
    <w:rsid w:val="00B817B6"/>
    <w:rsid w:val="00B817DA"/>
    <w:rsid w:val="00B8185D"/>
    <w:rsid w:val="00B81890"/>
    <w:rsid w:val="00B818B0"/>
    <w:rsid w:val="00B818B7"/>
    <w:rsid w:val="00B8197D"/>
    <w:rsid w:val="00B81992"/>
    <w:rsid w:val="00B819B3"/>
    <w:rsid w:val="00B81A7D"/>
    <w:rsid w:val="00B81B2C"/>
    <w:rsid w:val="00B81B3A"/>
    <w:rsid w:val="00B81B46"/>
    <w:rsid w:val="00B81BB0"/>
    <w:rsid w:val="00B81BB3"/>
    <w:rsid w:val="00B81C58"/>
    <w:rsid w:val="00B81C60"/>
    <w:rsid w:val="00B81C82"/>
    <w:rsid w:val="00B81CAA"/>
    <w:rsid w:val="00B81CBD"/>
    <w:rsid w:val="00B81CE5"/>
    <w:rsid w:val="00B81D31"/>
    <w:rsid w:val="00B81D5C"/>
    <w:rsid w:val="00B81E54"/>
    <w:rsid w:val="00B81EA7"/>
    <w:rsid w:val="00B81ED6"/>
    <w:rsid w:val="00B81EF2"/>
    <w:rsid w:val="00B81F2D"/>
    <w:rsid w:val="00B81F39"/>
    <w:rsid w:val="00B81FE1"/>
    <w:rsid w:val="00B8202F"/>
    <w:rsid w:val="00B8204F"/>
    <w:rsid w:val="00B82059"/>
    <w:rsid w:val="00B82074"/>
    <w:rsid w:val="00B82083"/>
    <w:rsid w:val="00B82085"/>
    <w:rsid w:val="00B820A2"/>
    <w:rsid w:val="00B82101"/>
    <w:rsid w:val="00B82159"/>
    <w:rsid w:val="00B82161"/>
    <w:rsid w:val="00B82168"/>
    <w:rsid w:val="00B8217C"/>
    <w:rsid w:val="00B8218A"/>
    <w:rsid w:val="00B8218E"/>
    <w:rsid w:val="00B821A1"/>
    <w:rsid w:val="00B822F3"/>
    <w:rsid w:val="00B8233B"/>
    <w:rsid w:val="00B82359"/>
    <w:rsid w:val="00B8246F"/>
    <w:rsid w:val="00B824C7"/>
    <w:rsid w:val="00B824D1"/>
    <w:rsid w:val="00B824ED"/>
    <w:rsid w:val="00B825B5"/>
    <w:rsid w:val="00B826CA"/>
    <w:rsid w:val="00B82706"/>
    <w:rsid w:val="00B8270D"/>
    <w:rsid w:val="00B827A1"/>
    <w:rsid w:val="00B827C2"/>
    <w:rsid w:val="00B827CE"/>
    <w:rsid w:val="00B827E5"/>
    <w:rsid w:val="00B8280F"/>
    <w:rsid w:val="00B8282E"/>
    <w:rsid w:val="00B829EB"/>
    <w:rsid w:val="00B82A0E"/>
    <w:rsid w:val="00B82A85"/>
    <w:rsid w:val="00B82AF5"/>
    <w:rsid w:val="00B82B28"/>
    <w:rsid w:val="00B82B89"/>
    <w:rsid w:val="00B82BB7"/>
    <w:rsid w:val="00B82CDB"/>
    <w:rsid w:val="00B82D49"/>
    <w:rsid w:val="00B82DA8"/>
    <w:rsid w:val="00B82DC2"/>
    <w:rsid w:val="00B82DD1"/>
    <w:rsid w:val="00B82E34"/>
    <w:rsid w:val="00B82E59"/>
    <w:rsid w:val="00B82E5C"/>
    <w:rsid w:val="00B82EF9"/>
    <w:rsid w:val="00B82F34"/>
    <w:rsid w:val="00B82F48"/>
    <w:rsid w:val="00B82F4A"/>
    <w:rsid w:val="00B82FAD"/>
    <w:rsid w:val="00B82FF1"/>
    <w:rsid w:val="00B83099"/>
    <w:rsid w:val="00B830F4"/>
    <w:rsid w:val="00B83104"/>
    <w:rsid w:val="00B831F0"/>
    <w:rsid w:val="00B831F2"/>
    <w:rsid w:val="00B83225"/>
    <w:rsid w:val="00B832D1"/>
    <w:rsid w:val="00B83314"/>
    <w:rsid w:val="00B8336D"/>
    <w:rsid w:val="00B8345B"/>
    <w:rsid w:val="00B83469"/>
    <w:rsid w:val="00B834BD"/>
    <w:rsid w:val="00B8368E"/>
    <w:rsid w:val="00B836C8"/>
    <w:rsid w:val="00B836F0"/>
    <w:rsid w:val="00B837B7"/>
    <w:rsid w:val="00B8380A"/>
    <w:rsid w:val="00B83861"/>
    <w:rsid w:val="00B838D4"/>
    <w:rsid w:val="00B838E3"/>
    <w:rsid w:val="00B838E8"/>
    <w:rsid w:val="00B83959"/>
    <w:rsid w:val="00B83968"/>
    <w:rsid w:val="00B83986"/>
    <w:rsid w:val="00B839F6"/>
    <w:rsid w:val="00B839FD"/>
    <w:rsid w:val="00B83A82"/>
    <w:rsid w:val="00B83AEC"/>
    <w:rsid w:val="00B83B58"/>
    <w:rsid w:val="00B83B6F"/>
    <w:rsid w:val="00B83B7C"/>
    <w:rsid w:val="00B83BB0"/>
    <w:rsid w:val="00B83BC2"/>
    <w:rsid w:val="00B83BDD"/>
    <w:rsid w:val="00B83C66"/>
    <w:rsid w:val="00B83C9C"/>
    <w:rsid w:val="00B83CA3"/>
    <w:rsid w:val="00B83CEC"/>
    <w:rsid w:val="00B83D17"/>
    <w:rsid w:val="00B83D31"/>
    <w:rsid w:val="00B83D85"/>
    <w:rsid w:val="00B83D90"/>
    <w:rsid w:val="00B83E1B"/>
    <w:rsid w:val="00B83E79"/>
    <w:rsid w:val="00B83EDC"/>
    <w:rsid w:val="00B83EE3"/>
    <w:rsid w:val="00B83F0B"/>
    <w:rsid w:val="00B83F27"/>
    <w:rsid w:val="00B83F56"/>
    <w:rsid w:val="00B83F58"/>
    <w:rsid w:val="00B84036"/>
    <w:rsid w:val="00B84047"/>
    <w:rsid w:val="00B84054"/>
    <w:rsid w:val="00B84060"/>
    <w:rsid w:val="00B84274"/>
    <w:rsid w:val="00B8427E"/>
    <w:rsid w:val="00B842E7"/>
    <w:rsid w:val="00B8431A"/>
    <w:rsid w:val="00B8431B"/>
    <w:rsid w:val="00B84327"/>
    <w:rsid w:val="00B8436C"/>
    <w:rsid w:val="00B843A7"/>
    <w:rsid w:val="00B843BA"/>
    <w:rsid w:val="00B843FA"/>
    <w:rsid w:val="00B84406"/>
    <w:rsid w:val="00B84500"/>
    <w:rsid w:val="00B84515"/>
    <w:rsid w:val="00B8459C"/>
    <w:rsid w:val="00B8459F"/>
    <w:rsid w:val="00B845A0"/>
    <w:rsid w:val="00B845A7"/>
    <w:rsid w:val="00B845DB"/>
    <w:rsid w:val="00B84659"/>
    <w:rsid w:val="00B846BC"/>
    <w:rsid w:val="00B84765"/>
    <w:rsid w:val="00B847CD"/>
    <w:rsid w:val="00B84826"/>
    <w:rsid w:val="00B84859"/>
    <w:rsid w:val="00B8487F"/>
    <w:rsid w:val="00B848B3"/>
    <w:rsid w:val="00B848F3"/>
    <w:rsid w:val="00B84944"/>
    <w:rsid w:val="00B84966"/>
    <w:rsid w:val="00B8497E"/>
    <w:rsid w:val="00B84A2E"/>
    <w:rsid w:val="00B84A35"/>
    <w:rsid w:val="00B84A42"/>
    <w:rsid w:val="00B84B58"/>
    <w:rsid w:val="00B84C94"/>
    <w:rsid w:val="00B84C9F"/>
    <w:rsid w:val="00B84CC5"/>
    <w:rsid w:val="00B84D3F"/>
    <w:rsid w:val="00B84E3A"/>
    <w:rsid w:val="00B84E62"/>
    <w:rsid w:val="00B84E6A"/>
    <w:rsid w:val="00B84E7C"/>
    <w:rsid w:val="00B84EAA"/>
    <w:rsid w:val="00B84F1E"/>
    <w:rsid w:val="00B84F7E"/>
    <w:rsid w:val="00B85041"/>
    <w:rsid w:val="00B85210"/>
    <w:rsid w:val="00B8530E"/>
    <w:rsid w:val="00B853D1"/>
    <w:rsid w:val="00B853E0"/>
    <w:rsid w:val="00B85443"/>
    <w:rsid w:val="00B8545F"/>
    <w:rsid w:val="00B854B6"/>
    <w:rsid w:val="00B854C5"/>
    <w:rsid w:val="00B854E2"/>
    <w:rsid w:val="00B85555"/>
    <w:rsid w:val="00B855EF"/>
    <w:rsid w:val="00B85642"/>
    <w:rsid w:val="00B8565D"/>
    <w:rsid w:val="00B856BA"/>
    <w:rsid w:val="00B85775"/>
    <w:rsid w:val="00B85789"/>
    <w:rsid w:val="00B8579D"/>
    <w:rsid w:val="00B857BA"/>
    <w:rsid w:val="00B857E0"/>
    <w:rsid w:val="00B857E6"/>
    <w:rsid w:val="00B858AD"/>
    <w:rsid w:val="00B8591E"/>
    <w:rsid w:val="00B85920"/>
    <w:rsid w:val="00B8592D"/>
    <w:rsid w:val="00B85974"/>
    <w:rsid w:val="00B859B2"/>
    <w:rsid w:val="00B859DD"/>
    <w:rsid w:val="00B859EC"/>
    <w:rsid w:val="00B859F6"/>
    <w:rsid w:val="00B85A57"/>
    <w:rsid w:val="00B85AA8"/>
    <w:rsid w:val="00B85AFB"/>
    <w:rsid w:val="00B85C6B"/>
    <w:rsid w:val="00B85CC9"/>
    <w:rsid w:val="00B85D95"/>
    <w:rsid w:val="00B85DB0"/>
    <w:rsid w:val="00B85DED"/>
    <w:rsid w:val="00B85DF6"/>
    <w:rsid w:val="00B85F3D"/>
    <w:rsid w:val="00B85F47"/>
    <w:rsid w:val="00B85F48"/>
    <w:rsid w:val="00B85FD9"/>
    <w:rsid w:val="00B86259"/>
    <w:rsid w:val="00B8626C"/>
    <w:rsid w:val="00B86301"/>
    <w:rsid w:val="00B8630E"/>
    <w:rsid w:val="00B86323"/>
    <w:rsid w:val="00B8639F"/>
    <w:rsid w:val="00B86424"/>
    <w:rsid w:val="00B864B4"/>
    <w:rsid w:val="00B8652D"/>
    <w:rsid w:val="00B86545"/>
    <w:rsid w:val="00B865BB"/>
    <w:rsid w:val="00B865E4"/>
    <w:rsid w:val="00B865FD"/>
    <w:rsid w:val="00B86637"/>
    <w:rsid w:val="00B86660"/>
    <w:rsid w:val="00B866A6"/>
    <w:rsid w:val="00B866DB"/>
    <w:rsid w:val="00B86797"/>
    <w:rsid w:val="00B867B9"/>
    <w:rsid w:val="00B867BE"/>
    <w:rsid w:val="00B867D1"/>
    <w:rsid w:val="00B86826"/>
    <w:rsid w:val="00B8686C"/>
    <w:rsid w:val="00B86980"/>
    <w:rsid w:val="00B86986"/>
    <w:rsid w:val="00B8698E"/>
    <w:rsid w:val="00B869BC"/>
    <w:rsid w:val="00B869C3"/>
    <w:rsid w:val="00B869D5"/>
    <w:rsid w:val="00B869F5"/>
    <w:rsid w:val="00B86A31"/>
    <w:rsid w:val="00B86A54"/>
    <w:rsid w:val="00B86A6A"/>
    <w:rsid w:val="00B86A8B"/>
    <w:rsid w:val="00B86AD5"/>
    <w:rsid w:val="00B86BCC"/>
    <w:rsid w:val="00B86C17"/>
    <w:rsid w:val="00B86C33"/>
    <w:rsid w:val="00B86C5C"/>
    <w:rsid w:val="00B86C71"/>
    <w:rsid w:val="00B86DF6"/>
    <w:rsid w:val="00B86E2E"/>
    <w:rsid w:val="00B86E34"/>
    <w:rsid w:val="00B86EC1"/>
    <w:rsid w:val="00B86ECD"/>
    <w:rsid w:val="00B86F6C"/>
    <w:rsid w:val="00B86F6E"/>
    <w:rsid w:val="00B86F97"/>
    <w:rsid w:val="00B87124"/>
    <w:rsid w:val="00B87134"/>
    <w:rsid w:val="00B87167"/>
    <w:rsid w:val="00B871AE"/>
    <w:rsid w:val="00B871B7"/>
    <w:rsid w:val="00B871C4"/>
    <w:rsid w:val="00B87211"/>
    <w:rsid w:val="00B87214"/>
    <w:rsid w:val="00B87278"/>
    <w:rsid w:val="00B872BD"/>
    <w:rsid w:val="00B8733E"/>
    <w:rsid w:val="00B8741E"/>
    <w:rsid w:val="00B87430"/>
    <w:rsid w:val="00B874C8"/>
    <w:rsid w:val="00B87530"/>
    <w:rsid w:val="00B8758C"/>
    <w:rsid w:val="00B875FA"/>
    <w:rsid w:val="00B8764A"/>
    <w:rsid w:val="00B8764E"/>
    <w:rsid w:val="00B8765E"/>
    <w:rsid w:val="00B8768C"/>
    <w:rsid w:val="00B876CA"/>
    <w:rsid w:val="00B876EE"/>
    <w:rsid w:val="00B87721"/>
    <w:rsid w:val="00B8779A"/>
    <w:rsid w:val="00B877EE"/>
    <w:rsid w:val="00B87843"/>
    <w:rsid w:val="00B8784B"/>
    <w:rsid w:val="00B878A3"/>
    <w:rsid w:val="00B878C3"/>
    <w:rsid w:val="00B878D5"/>
    <w:rsid w:val="00B87914"/>
    <w:rsid w:val="00B87927"/>
    <w:rsid w:val="00B87928"/>
    <w:rsid w:val="00B87A07"/>
    <w:rsid w:val="00B87A2A"/>
    <w:rsid w:val="00B87A2C"/>
    <w:rsid w:val="00B87A72"/>
    <w:rsid w:val="00B87B00"/>
    <w:rsid w:val="00B87C06"/>
    <w:rsid w:val="00B87C76"/>
    <w:rsid w:val="00B87C7B"/>
    <w:rsid w:val="00B87CEC"/>
    <w:rsid w:val="00B87CEF"/>
    <w:rsid w:val="00B87D2D"/>
    <w:rsid w:val="00B87DB3"/>
    <w:rsid w:val="00B87E64"/>
    <w:rsid w:val="00B87FE8"/>
    <w:rsid w:val="00B87FFA"/>
    <w:rsid w:val="00B90047"/>
    <w:rsid w:val="00B90108"/>
    <w:rsid w:val="00B901B7"/>
    <w:rsid w:val="00B901B9"/>
    <w:rsid w:val="00B90201"/>
    <w:rsid w:val="00B90255"/>
    <w:rsid w:val="00B902F4"/>
    <w:rsid w:val="00B90365"/>
    <w:rsid w:val="00B9039A"/>
    <w:rsid w:val="00B903E4"/>
    <w:rsid w:val="00B90421"/>
    <w:rsid w:val="00B90462"/>
    <w:rsid w:val="00B90593"/>
    <w:rsid w:val="00B905D1"/>
    <w:rsid w:val="00B90624"/>
    <w:rsid w:val="00B90654"/>
    <w:rsid w:val="00B90677"/>
    <w:rsid w:val="00B906DB"/>
    <w:rsid w:val="00B906F9"/>
    <w:rsid w:val="00B9073B"/>
    <w:rsid w:val="00B907B5"/>
    <w:rsid w:val="00B9082A"/>
    <w:rsid w:val="00B908BE"/>
    <w:rsid w:val="00B9095C"/>
    <w:rsid w:val="00B909BD"/>
    <w:rsid w:val="00B90A2B"/>
    <w:rsid w:val="00B90AB4"/>
    <w:rsid w:val="00B90AF1"/>
    <w:rsid w:val="00B90B03"/>
    <w:rsid w:val="00B90B08"/>
    <w:rsid w:val="00B90B2B"/>
    <w:rsid w:val="00B90B58"/>
    <w:rsid w:val="00B90BC5"/>
    <w:rsid w:val="00B90CB6"/>
    <w:rsid w:val="00B90D60"/>
    <w:rsid w:val="00B90D8B"/>
    <w:rsid w:val="00B90ECB"/>
    <w:rsid w:val="00B90F40"/>
    <w:rsid w:val="00B90F68"/>
    <w:rsid w:val="00B90FCF"/>
    <w:rsid w:val="00B90FD1"/>
    <w:rsid w:val="00B910AB"/>
    <w:rsid w:val="00B9111D"/>
    <w:rsid w:val="00B91134"/>
    <w:rsid w:val="00B91176"/>
    <w:rsid w:val="00B9124D"/>
    <w:rsid w:val="00B91329"/>
    <w:rsid w:val="00B91358"/>
    <w:rsid w:val="00B91397"/>
    <w:rsid w:val="00B913B1"/>
    <w:rsid w:val="00B913DF"/>
    <w:rsid w:val="00B913F7"/>
    <w:rsid w:val="00B91476"/>
    <w:rsid w:val="00B914AF"/>
    <w:rsid w:val="00B9150E"/>
    <w:rsid w:val="00B91515"/>
    <w:rsid w:val="00B9156D"/>
    <w:rsid w:val="00B915D6"/>
    <w:rsid w:val="00B916A7"/>
    <w:rsid w:val="00B916BF"/>
    <w:rsid w:val="00B91760"/>
    <w:rsid w:val="00B91779"/>
    <w:rsid w:val="00B9177F"/>
    <w:rsid w:val="00B91824"/>
    <w:rsid w:val="00B9182C"/>
    <w:rsid w:val="00B9183B"/>
    <w:rsid w:val="00B9190B"/>
    <w:rsid w:val="00B91982"/>
    <w:rsid w:val="00B91A8C"/>
    <w:rsid w:val="00B91ACA"/>
    <w:rsid w:val="00B91AF9"/>
    <w:rsid w:val="00B91B10"/>
    <w:rsid w:val="00B91C07"/>
    <w:rsid w:val="00B91C4F"/>
    <w:rsid w:val="00B91CBB"/>
    <w:rsid w:val="00B91CBD"/>
    <w:rsid w:val="00B91D09"/>
    <w:rsid w:val="00B91D1A"/>
    <w:rsid w:val="00B91D66"/>
    <w:rsid w:val="00B91D77"/>
    <w:rsid w:val="00B91DF7"/>
    <w:rsid w:val="00B91E0F"/>
    <w:rsid w:val="00B91E90"/>
    <w:rsid w:val="00B91E95"/>
    <w:rsid w:val="00B91EFA"/>
    <w:rsid w:val="00B91F0A"/>
    <w:rsid w:val="00B91F5B"/>
    <w:rsid w:val="00B9202F"/>
    <w:rsid w:val="00B920BA"/>
    <w:rsid w:val="00B920E3"/>
    <w:rsid w:val="00B92108"/>
    <w:rsid w:val="00B92135"/>
    <w:rsid w:val="00B921EA"/>
    <w:rsid w:val="00B92273"/>
    <w:rsid w:val="00B922DA"/>
    <w:rsid w:val="00B922DE"/>
    <w:rsid w:val="00B9230B"/>
    <w:rsid w:val="00B92311"/>
    <w:rsid w:val="00B92340"/>
    <w:rsid w:val="00B92390"/>
    <w:rsid w:val="00B92559"/>
    <w:rsid w:val="00B92585"/>
    <w:rsid w:val="00B92606"/>
    <w:rsid w:val="00B92610"/>
    <w:rsid w:val="00B92619"/>
    <w:rsid w:val="00B92666"/>
    <w:rsid w:val="00B9269D"/>
    <w:rsid w:val="00B92702"/>
    <w:rsid w:val="00B9278A"/>
    <w:rsid w:val="00B92849"/>
    <w:rsid w:val="00B9286A"/>
    <w:rsid w:val="00B9288F"/>
    <w:rsid w:val="00B928ED"/>
    <w:rsid w:val="00B92949"/>
    <w:rsid w:val="00B929B7"/>
    <w:rsid w:val="00B929CF"/>
    <w:rsid w:val="00B92A0D"/>
    <w:rsid w:val="00B92A19"/>
    <w:rsid w:val="00B92AA8"/>
    <w:rsid w:val="00B92AD4"/>
    <w:rsid w:val="00B92AEA"/>
    <w:rsid w:val="00B92B24"/>
    <w:rsid w:val="00B92B5F"/>
    <w:rsid w:val="00B92B93"/>
    <w:rsid w:val="00B92BE1"/>
    <w:rsid w:val="00B92C25"/>
    <w:rsid w:val="00B92C46"/>
    <w:rsid w:val="00B92C4A"/>
    <w:rsid w:val="00B92C9C"/>
    <w:rsid w:val="00B92CE7"/>
    <w:rsid w:val="00B92D17"/>
    <w:rsid w:val="00B92DBE"/>
    <w:rsid w:val="00B92E22"/>
    <w:rsid w:val="00B92E4D"/>
    <w:rsid w:val="00B92ED8"/>
    <w:rsid w:val="00B92FB0"/>
    <w:rsid w:val="00B9302E"/>
    <w:rsid w:val="00B93045"/>
    <w:rsid w:val="00B93048"/>
    <w:rsid w:val="00B930B6"/>
    <w:rsid w:val="00B93139"/>
    <w:rsid w:val="00B93196"/>
    <w:rsid w:val="00B931A4"/>
    <w:rsid w:val="00B9322C"/>
    <w:rsid w:val="00B93243"/>
    <w:rsid w:val="00B93246"/>
    <w:rsid w:val="00B9329C"/>
    <w:rsid w:val="00B932AF"/>
    <w:rsid w:val="00B932BD"/>
    <w:rsid w:val="00B932F9"/>
    <w:rsid w:val="00B9331E"/>
    <w:rsid w:val="00B9332A"/>
    <w:rsid w:val="00B9337E"/>
    <w:rsid w:val="00B9344D"/>
    <w:rsid w:val="00B93489"/>
    <w:rsid w:val="00B934AF"/>
    <w:rsid w:val="00B934BE"/>
    <w:rsid w:val="00B934FA"/>
    <w:rsid w:val="00B93569"/>
    <w:rsid w:val="00B9356C"/>
    <w:rsid w:val="00B93602"/>
    <w:rsid w:val="00B9368E"/>
    <w:rsid w:val="00B936F6"/>
    <w:rsid w:val="00B93727"/>
    <w:rsid w:val="00B93857"/>
    <w:rsid w:val="00B93869"/>
    <w:rsid w:val="00B9387B"/>
    <w:rsid w:val="00B93891"/>
    <w:rsid w:val="00B938DA"/>
    <w:rsid w:val="00B938DF"/>
    <w:rsid w:val="00B93904"/>
    <w:rsid w:val="00B93919"/>
    <w:rsid w:val="00B939F8"/>
    <w:rsid w:val="00B939FF"/>
    <w:rsid w:val="00B93A1F"/>
    <w:rsid w:val="00B93A35"/>
    <w:rsid w:val="00B93AEB"/>
    <w:rsid w:val="00B93C4D"/>
    <w:rsid w:val="00B93CE6"/>
    <w:rsid w:val="00B93D06"/>
    <w:rsid w:val="00B93D37"/>
    <w:rsid w:val="00B93D98"/>
    <w:rsid w:val="00B93DE1"/>
    <w:rsid w:val="00B93DEE"/>
    <w:rsid w:val="00B93E1B"/>
    <w:rsid w:val="00B93EB6"/>
    <w:rsid w:val="00B93EEA"/>
    <w:rsid w:val="00B93F24"/>
    <w:rsid w:val="00B93FA7"/>
    <w:rsid w:val="00B940DF"/>
    <w:rsid w:val="00B940FC"/>
    <w:rsid w:val="00B9413A"/>
    <w:rsid w:val="00B941D6"/>
    <w:rsid w:val="00B94210"/>
    <w:rsid w:val="00B942C0"/>
    <w:rsid w:val="00B94418"/>
    <w:rsid w:val="00B94539"/>
    <w:rsid w:val="00B94562"/>
    <w:rsid w:val="00B945B2"/>
    <w:rsid w:val="00B9462D"/>
    <w:rsid w:val="00B946C1"/>
    <w:rsid w:val="00B9470E"/>
    <w:rsid w:val="00B9474C"/>
    <w:rsid w:val="00B94765"/>
    <w:rsid w:val="00B9479C"/>
    <w:rsid w:val="00B947BD"/>
    <w:rsid w:val="00B9485C"/>
    <w:rsid w:val="00B9487E"/>
    <w:rsid w:val="00B948CB"/>
    <w:rsid w:val="00B948CE"/>
    <w:rsid w:val="00B94912"/>
    <w:rsid w:val="00B949A3"/>
    <w:rsid w:val="00B94A1C"/>
    <w:rsid w:val="00B94B18"/>
    <w:rsid w:val="00B94B27"/>
    <w:rsid w:val="00B94B3A"/>
    <w:rsid w:val="00B94B4F"/>
    <w:rsid w:val="00B94BD7"/>
    <w:rsid w:val="00B94C52"/>
    <w:rsid w:val="00B94C9D"/>
    <w:rsid w:val="00B94CBB"/>
    <w:rsid w:val="00B94CBE"/>
    <w:rsid w:val="00B94D90"/>
    <w:rsid w:val="00B94DD3"/>
    <w:rsid w:val="00B94E07"/>
    <w:rsid w:val="00B94EAC"/>
    <w:rsid w:val="00B94F08"/>
    <w:rsid w:val="00B94F1F"/>
    <w:rsid w:val="00B94F7C"/>
    <w:rsid w:val="00B950BD"/>
    <w:rsid w:val="00B95139"/>
    <w:rsid w:val="00B951BB"/>
    <w:rsid w:val="00B95274"/>
    <w:rsid w:val="00B95279"/>
    <w:rsid w:val="00B952C2"/>
    <w:rsid w:val="00B952C8"/>
    <w:rsid w:val="00B953A3"/>
    <w:rsid w:val="00B953D6"/>
    <w:rsid w:val="00B9546C"/>
    <w:rsid w:val="00B95472"/>
    <w:rsid w:val="00B95478"/>
    <w:rsid w:val="00B9557F"/>
    <w:rsid w:val="00B955BA"/>
    <w:rsid w:val="00B955C3"/>
    <w:rsid w:val="00B95629"/>
    <w:rsid w:val="00B95636"/>
    <w:rsid w:val="00B95728"/>
    <w:rsid w:val="00B9572C"/>
    <w:rsid w:val="00B95730"/>
    <w:rsid w:val="00B9576F"/>
    <w:rsid w:val="00B9577E"/>
    <w:rsid w:val="00B9579C"/>
    <w:rsid w:val="00B957F4"/>
    <w:rsid w:val="00B9580E"/>
    <w:rsid w:val="00B9583E"/>
    <w:rsid w:val="00B9583F"/>
    <w:rsid w:val="00B9587D"/>
    <w:rsid w:val="00B9588D"/>
    <w:rsid w:val="00B958B0"/>
    <w:rsid w:val="00B958E3"/>
    <w:rsid w:val="00B95983"/>
    <w:rsid w:val="00B95A15"/>
    <w:rsid w:val="00B95A6F"/>
    <w:rsid w:val="00B95A93"/>
    <w:rsid w:val="00B95B49"/>
    <w:rsid w:val="00B95B4F"/>
    <w:rsid w:val="00B95BC6"/>
    <w:rsid w:val="00B95BD4"/>
    <w:rsid w:val="00B95C00"/>
    <w:rsid w:val="00B95C16"/>
    <w:rsid w:val="00B95CDC"/>
    <w:rsid w:val="00B95CED"/>
    <w:rsid w:val="00B95D13"/>
    <w:rsid w:val="00B95D17"/>
    <w:rsid w:val="00B95D8B"/>
    <w:rsid w:val="00B95DD3"/>
    <w:rsid w:val="00B95E84"/>
    <w:rsid w:val="00B95EA4"/>
    <w:rsid w:val="00B95EC4"/>
    <w:rsid w:val="00B95ECB"/>
    <w:rsid w:val="00B95EED"/>
    <w:rsid w:val="00B95F35"/>
    <w:rsid w:val="00B95F3E"/>
    <w:rsid w:val="00B95FA2"/>
    <w:rsid w:val="00B95FDA"/>
    <w:rsid w:val="00B95FF6"/>
    <w:rsid w:val="00B9600D"/>
    <w:rsid w:val="00B96021"/>
    <w:rsid w:val="00B96051"/>
    <w:rsid w:val="00B9608C"/>
    <w:rsid w:val="00B9610D"/>
    <w:rsid w:val="00B96138"/>
    <w:rsid w:val="00B96139"/>
    <w:rsid w:val="00B96144"/>
    <w:rsid w:val="00B9615D"/>
    <w:rsid w:val="00B96181"/>
    <w:rsid w:val="00B961BF"/>
    <w:rsid w:val="00B96204"/>
    <w:rsid w:val="00B9629B"/>
    <w:rsid w:val="00B96372"/>
    <w:rsid w:val="00B9639A"/>
    <w:rsid w:val="00B96408"/>
    <w:rsid w:val="00B9640D"/>
    <w:rsid w:val="00B96436"/>
    <w:rsid w:val="00B96518"/>
    <w:rsid w:val="00B965FF"/>
    <w:rsid w:val="00B9660B"/>
    <w:rsid w:val="00B966C3"/>
    <w:rsid w:val="00B966F9"/>
    <w:rsid w:val="00B9671C"/>
    <w:rsid w:val="00B96729"/>
    <w:rsid w:val="00B9679B"/>
    <w:rsid w:val="00B96887"/>
    <w:rsid w:val="00B968A9"/>
    <w:rsid w:val="00B968EF"/>
    <w:rsid w:val="00B96934"/>
    <w:rsid w:val="00B96958"/>
    <w:rsid w:val="00B96999"/>
    <w:rsid w:val="00B969E6"/>
    <w:rsid w:val="00B969F5"/>
    <w:rsid w:val="00B96A16"/>
    <w:rsid w:val="00B96A32"/>
    <w:rsid w:val="00B96A66"/>
    <w:rsid w:val="00B96A67"/>
    <w:rsid w:val="00B96A80"/>
    <w:rsid w:val="00B96B51"/>
    <w:rsid w:val="00B96B82"/>
    <w:rsid w:val="00B96BAC"/>
    <w:rsid w:val="00B96C87"/>
    <w:rsid w:val="00B96CE4"/>
    <w:rsid w:val="00B96D15"/>
    <w:rsid w:val="00B96D54"/>
    <w:rsid w:val="00B96DC1"/>
    <w:rsid w:val="00B96E16"/>
    <w:rsid w:val="00B96E9E"/>
    <w:rsid w:val="00B96EDF"/>
    <w:rsid w:val="00B96F05"/>
    <w:rsid w:val="00B96FD6"/>
    <w:rsid w:val="00B9701D"/>
    <w:rsid w:val="00B97093"/>
    <w:rsid w:val="00B9709E"/>
    <w:rsid w:val="00B970FB"/>
    <w:rsid w:val="00B9716B"/>
    <w:rsid w:val="00B9719E"/>
    <w:rsid w:val="00B971BB"/>
    <w:rsid w:val="00B971DE"/>
    <w:rsid w:val="00B9728A"/>
    <w:rsid w:val="00B972BB"/>
    <w:rsid w:val="00B97330"/>
    <w:rsid w:val="00B97387"/>
    <w:rsid w:val="00B97430"/>
    <w:rsid w:val="00B97458"/>
    <w:rsid w:val="00B9745D"/>
    <w:rsid w:val="00B97464"/>
    <w:rsid w:val="00B9748D"/>
    <w:rsid w:val="00B974CA"/>
    <w:rsid w:val="00B974D8"/>
    <w:rsid w:val="00B97520"/>
    <w:rsid w:val="00B975D8"/>
    <w:rsid w:val="00B9760B"/>
    <w:rsid w:val="00B9760E"/>
    <w:rsid w:val="00B97617"/>
    <w:rsid w:val="00B9766D"/>
    <w:rsid w:val="00B97698"/>
    <w:rsid w:val="00B97729"/>
    <w:rsid w:val="00B97734"/>
    <w:rsid w:val="00B97736"/>
    <w:rsid w:val="00B97748"/>
    <w:rsid w:val="00B97768"/>
    <w:rsid w:val="00B977F2"/>
    <w:rsid w:val="00B97825"/>
    <w:rsid w:val="00B97885"/>
    <w:rsid w:val="00B978D4"/>
    <w:rsid w:val="00B97919"/>
    <w:rsid w:val="00B9796B"/>
    <w:rsid w:val="00B979DB"/>
    <w:rsid w:val="00B97A36"/>
    <w:rsid w:val="00B97AE0"/>
    <w:rsid w:val="00B97B87"/>
    <w:rsid w:val="00B97BCC"/>
    <w:rsid w:val="00B97BE3"/>
    <w:rsid w:val="00B97C2F"/>
    <w:rsid w:val="00B97C45"/>
    <w:rsid w:val="00B97C4D"/>
    <w:rsid w:val="00B97CE1"/>
    <w:rsid w:val="00B97D36"/>
    <w:rsid w:val="00B97D3B"/>
    <w:rsid w:val="00B97D6C"/>
    <w:rsid w:val="00B97D73"/>
    <w:rsid w:val="00B97D8A"/>
    <w:rsid w:val="00B97D8D"/>
    <w:rsid w:val="00B97E1C"/>
    <w:rsid w:val="00B97E41"/>
    <w:rsid w:val="00B97E99"/>
    <w:rsid w:val="00B97EBD"/>
    <w:rsid w:val="00B97F1F"/>
    <w:rsid w:val="00B97F3E"/>
    <w:rsid w:val="00B97F72"/>
    <w:rsid w:val="00B97FEC"/>
    <w:rsid w:val="00BA0017"/>
    <w:rsid w:val="00BA015E"/>
    <w:rsid w:val="00BA0183"/>
    <w:rsid w:val="00BA01C5"/>
    <w:rsid w:val="00BA01E0"/>
    <w:rsid w:val="00BA0267"/>
    <w:rsid w:val="00BA02A7"/>
    <w:rsid w:val="00BA02BF"/>
    <w:rsid w:val="00BA0351"/>
    <w:rsid w:val="00BA03E0"/>
    <w:rsid w:val="00BA044F"/>
    <w:rsid w:val="00BA049C"/>
    <w:rsid w:val="00BA053E"/>
    <w:rsid w:val="00BA05C0"/>
    <w:rsid w:val="00BA05E3"/>
    <w:rsid w:val="00BA064D"/>
    <w:rsid w:val="00BA076D"/>
    <w:rsid w:val="00BA076F"/>
    <w:rsid w:val="00BA077E"/>
    <w:rsid w:val="00BA078F"/>
    <w:rsid w:val="00BA07C7"/>
    <w:rsid w:val="00BA07F1"/>
    <w:rsid w:val="00BA080C"/>
    <w:rsid w:val="00BA0839"/>
    <w:rsid w:val="00BA083C"/>
    <w:rsid w:val="00BA08A2"/>
    <w:rsid w:val="00BA08F0"/>
    <w:rsid w:val="00BA0905"/>
    <w:rsid w:val="00BA0969"/>
    <w:rsid w:val="00BA09AE"/>
    <w:rsid w:val="00BA09B1"/>
    <w:rsid w:val="00BA09BC"/>
    <w:rsid w:val="00BA0A51"/>
    <w:rsid w:val="00BA0A8C"/>
    <w:rsid w:val="00BA0CE5"/>
    <w:rsid w:val="00BA0D64"/>
    <w:rsid w:val="00BA0E5B"/>
    <w:rsid w:val="00BA0F11"/>
    <w:rsid w:val="00BA0F43"/>
    <w:rsid w:val="00BA0F9C"/>
    <w:rsid w:val="00BA100B"/>
    <w:rsid w:val="00BA1085"/>
    <w:rsid w:val="00BA10D5"/>
    <w:rsid w:val="00BA1154"/>
    <w:rsid w:val="00BA1166"/>
    <w:rsid w:val="00BA1181"/>
    <w:rsid w:val="00BA11C3"/>
    <w:rsid w:val="00BA12A9"/>
    <w:rsid w:val="00BA12D2"/>
    <w:rsid w:val="00BA1303"/>
    <w:rsid w:val="00BA135A"/>
    <w:rsid w:val="00BA138A"/>
    <w:rsid w:val="00BA1425"/>
    <w:rsid w:val="00BA1462"/>
    <w:rsid w:val="00BA14E0"/>
    <w:rsid w:val="00BA14F5"/>
    <w:rsid w:val="00BA1530"/>
    <w:rsid w:val="00BA157C"/>
    <w:rsid w:val="00BA15A8"/>
    <w:rsid w:val="00BA15E9"/>
    <w:rsid w:val="00BA160B"/>
    <w:rsid w:val="00BA1612"/>
    <w:rsid w:val="00BA162B"/>
    <w:rsid w:val="00BA16CA"/>
    <w:rsid w:val="00BA16D6"/>
    <w:rsid w:val="00BA16ED"/>
    <w:rsid w:val="00BA17B8"/>
    <w:rsid w:val="00BA1847"/>
    <w:rsid w:val="00BA18DC"/>
    <w:rsid w:val="00BA18FD"/>
    <w:rsid w:val="00BA19BA"/>
    <w:rsid w:val="00BA1A76"/>
    <w:rsid w:val="00BA1ADB"/>
    <w:rsid w:val="00BA1B20"/>
    <w:rsid w:val="00BA1B23"/>
    <w:rsid w:val="00BA1BAD"/>
    <w:rsid w:val="00BA1BF5"/>
    <w:rsid w:val="00BA1C0D"/>
    <w:rsid w:val="00BA1C1B"/>
    <w:rsid w:val="00BA1C53"/>
    <w:rsid w:val="00BA1CA1"/>
    <w:rsid w:val="00BA1CF8"/>
    <w:rsid w:val="00BA1D2B"/>
    <w:rsid w:val="00BA1D2F"/>
    <w:rsid w:val="00BA1D3B"/>
    <w:rsid w:val="00BA1DF7"/>
    <w:rsid w:val="00BA1F68"/>
    <w:rsid w:val="00BA1F7F"/>
    <w:rsid w:val="00BA1F85"/>
    <w:rsid w:val="00BA2061"/>
    <w:rsid w:val="00BA206B"/>
    <w:rsid w:val="00BA208A"/>
    <w:rsid w:val="00BA2092"/>
    <w:rsid w:val="00BA2093"/>
    <w:rsid w:val="00BA20C7"/>
    <w:rsid w:val="00BA20F7"/>
    <w:rsid w:val="00BA2104"/>
    <w:rsid w:val="00BA21C3"/>
    <w:rsid w:val="00BA21C7"/>
    <w:rsid w:val="00BA21EB"/>
    <w:rsid w:val="00BA226D"/>
    <w:rsid w:val="00BA2272"/>
    <w:rsid w:val="00BA2294"/>
    <w:rsid w:val="00BA2347"/>
    <w:rsid w:val="00BA2356"/>
    <w:rsid w:val="00BA236C"/>
    <w:rsid w:val="00BA23A1"/>
    <w:rsid w:val="00BA23E0"/>
    <w:rsid w:val="00BA23E2"/>
    <w:rsid w:val="00BA23FB"/>
    <w:rsid w:val="00BA23FF"/>
    <w:rsid w:val="00BA2442"/>
    <w:rsid w:val="00BA254E"/>
    <w:rsid w:val="00BA25B0"/>
    <w:rsid w:val="00BA25F7"/>
    <w:rsid w:val="00BA263B"/>
    <w:rsid w:val="00BA26C5"/>
    <w:rsid w:val="00BA26D3"/>
    <w:rsid w:val="00BA270E"/>
    <w:rsid w:val="00BA279A"/>
    <w:rsid w:val="00BA27C0"/>
    <w:rsid w:val="00BA27E0"/>
    <w:rsid w:val="00BA281D"/>
    <w:rsid w:val="00BA2898"/>
    <w:rsid w:val="00BA28B0"/>
    <w:rsid w:val="00BA28BD"/>
    <w:rsid w:val="00BA28DE"/>
    <w:rsid w:val="00BA28EE"/>
    <w:rsid w:val="00BA290E"/>
    <w:rsid w:val="00BA2914"/>
    <w:rsid w:val="00BA292D"/>
    <w:rsid w:val="00BA29A5"/>
    <w:rsid w:val="00BA29DE"/>
    <w:rsid w:val="00BA29E7"/>
    <w:rsid w:val="00BA29F2"/>
    <w:rsid w:val="00BA2A04"/>
    <w:rsid w:val="00BA2AD5"/>
    <w:rsid w:val="00BA2AD8"/>
    <w:rsid w:val="00BA2AE9"/>
    <w:rsid w:val="00BA2B04"/>
    <w:rsid w:val="00BA2B26"/>
    <w:rsid w:val="00BA2B44"/>
    <w:rsid w:val="00BA2B5E"/>
    <w:rsid w:val="00BA2C10"/>
    <w:rsid w:val="00BA2C12"/>
    <w:rsid w:val="00BA2C18"/>
    <w:rsid w:val="00BA2C77"/>
    <w:rsid w:val="00BA2CA2"/>
    <w:rsid w:val="00BA2CB5"/>
    <w:rsid w:val="00BA2D22"/>
    <w:rsid w:val="00BA2D3E"/>
    <w:rsid w:val="00BA2D59"/>
    <w:rsid w:val="00BA2E1B"/>
    <w:rsid w:val="00BA2EC3"/>
    <w:rsid w:val="00BA2F0C"/>
    <w:rsid w:val="00BA2F13"/>
    <w:rsid w:val="00BA2F89"/>
    <w:rsid w:val="00BA2F97"/>
    <w:rsid w:val="00BA3004"/>
    <w:rsid w:val="00BA3060"/>
    <w:rsid w:val="00BA3081"/>
    <w:rsid w:val="00BA30A9"/>
    <w:rsid w:val="00BA30E6"/>
    <w:rsid w:val="00BA3133"/>
    <w:rsid w:val="00BA313A"/>
    <w:rsid w:val="00BA31F8"/>
    <w:rsid w:val="00BA3214"/>
    <w:rsid w:val="00BA3283"/>
    <w:rsid w:val="00BA3313"/>
    <w:rsid w:val="00BA3324"/>
    <w:rsid w:val="00BA336E"/>
    <w:rsid w:val="00BA33B3"/>
    <w:rsid w:val="00BA33DD"/>
    <w:rsid w:val="00BA33DF"/>
    <w:rsid w:val="00BA3423"/>
    <w:rsid w:val="00BA345F"/>
    <w:rsid w:val="00BA351F"/>
    <w:rsid w:val="00BA3601"/>
    <w:rsid w:val="00BA3639"/>
    <w:rsid w:val="00BA367E"/>
    <w:rsid w:val="00BA368B"/>
    <w:rsid w:val="00BA36D9"/>
    <w:rsid w:val="00BA36FD"/>
    <w:rsid w:val="00BA3719"/>
    <w:rsid w:val="00BA3747"/>
    <w:rsid w:val="00BA378B"/>
    <w:rsid w:val="00BA37F4"/>
    <w:rsid w:val="00BA37FD"/>
    <w:rsid w:val="00BA38AB"/>
    <w:rsid w:val="00BA38C6"/>
    <w:rsid w:val="00BA38D5"/>
    <w:rsid w:val="00BA38E7"/>
    <w:rsid w:val="00BA3918"/>
    <w:rsid w:val="00BA39F6"/>
    <w:rsid w:val="00BA3AE0"/>
    <w:rsid w:val="00BA3AE1"/>
    <w:rsid w:val="00BA3B4C"/>
    <w:rsid w:val="00BA3BB7"/>
    <w:rsid w:val="00BA3C62"/>
    <w:rsid w:val="00BA3C91"/>
    <w:rsid w:val="00BA3CDC"/>
    <w:rsid w:val="00BA3D04"/>
    <w:rsid w:val="00BA3D98"/>
    <w:rsid w:val="00BA3DEF"/>
    <w:rsid w:val="00BA3ECB"/>
    <w:rsid w:val="00BA3FFC"/>
    <w:rsid w:val="00BA40BE"/>
    <w:rsid w:val="00BA40EE"/>
    <w:rsid w:val="00BA40FA"/>
    <w:rsid w:val="00BA4228"/>
    <w:rsid w:val="00BA4277"/>
    <w:rsid w:val="00BA4285"/>
    <w:rsid w:val="00BA42D2"/>
    <w:rsid w:val="00BA4300"/>
    <w:rsid w:val="00BA4463"/>
    <w:rsid w:val="00BA44BB"/>
    <w:rsid w:val="00BA44D8"/>
    <w:rsid w:val="00BA4566"/>
    <w:rsid w:val="00BA45A8"/>
    <w:rsid w:val="00BA45E7"/>
    <w:rsid w:val="00BA46A1"/>
    <w:rsid w:val="00BA46F7"/>
    <w:rsid w:val="00BA46F9"/>
    <w:rsid w:val="00BA47A0"/>
    <w:rsid w:val="00BA47E1"/>
    <w:rsid w:val="00BA47F0"/>
    <w:rsid w:val="00BA4820"/>
    <w:rsid w:val="00BA489C"/>
    <w:rsid w:val="00BA490B"/>
    <w:rsid w:val="00BA4975"/>
    <w:rsid w:val="00BA49AB"/>
    <w:rsid w:val="00BA49CB"/>
    <w:rsid w:val="00BA49EB"/>
    <w:rsid w:val="00BA49FD"/>
    <w:rsid w:val="00BA4AA2"/>
    <w:rsid w:val="00BA4B3E"/>
    <w:rsid w:val="00BA4BD4"/>
    <w:rsid w:val="00BA4BF3"/>
    <w:rsid w:val="00BA4CBC"/>
    <w:rsid w:val="00BA4D3D"/>
    <w:rsid w:val="00BA4DF6"/>
    <w:rsid w:val="00BA4DFD"/>
    <w:rsid w:val="00BA4E2F"/>
    <w:rsid w:val="00BA4E34"/>
    <w:rsid w:val="00BA4E38"/>
    <w:rsid w:val="00BA4E7A"/>
    <w:rsid w:val="00BA4EDF"/>
    <w:rsid w:val="00BA4F4C"/>
    <w:rsid w:val="00BA4F66"/>
    <w:rsid w:val="00BA4F8A"/>
    <w:rsid w:val="00BA5027"/>
    <w:rsid w:val="00BA506B"/>
    <w:rsid w:val="00BA5094"/>
    <w:rsid w:val="00BA50EA"/>
    <w:rsid w:val="00BA5122"/>
    <w:rsid w:val="00BA5196"/>
    <w:rsid w:val="00BA51A5"/>
    <w:rsid w:val="00BA520C"/>
    <w:rsid w:val="00BA527A"/>
    <w:rsid w:val="00BA538A"/>
    <w:rsid w:val="00BA53C1"/>
    <w:rsid w:val="00BA5429"/>
    <w:rsid w:val="00BA546B"/>
    <w:rsid w:val="00BA54AD"/>
    <w:rsid w:val="00BA5511"/>
    <w:rsid w:val="00BA55F1"/>
    <w:rsid w:val="00BA5609"/>
    <w:rsid w:val="00BA5612"/>
    <w:rsid w:val="00BA5689"/>
    <w:rsid w:val="00BA568B"/>
    <w:rsid w:val="00BA5751"/>
    <w:rsid w:val="00BA5776"/>
    <w:rsid w:val="00BA57DD"/>
    <w:rsid w:val="00BA57F3"/>
    <w:rsid w:val="00BA58DA"/>
    <w:rsid w:val="00BA590C"/>
    <w:rsid w:val="00BA5967"/>
    <w:rsid w:val="00BA5A07"/>
    <w:rsid w:val="00BA5A34"/>
    <w:rsid w:val="00BA5A36"/>
    <w:rsid w:val="00BA5A6E"/>
    <w:rsid w:val="00BA5AE2"/>
    <w:rsid w:val="00BA5B7B"/>
    <w:rsid w:val="00BA5CCB"/>
    <w:rsid w:val="00BA5D19"/>
    <w:rsid w:val="00BA5DF4"/>
    <w:rsid w:val="00BA5E56"/>
    <w:rsid w:val="00BA5E68"/>
    <w:rsid w:val="00BA5E9E"/>
    <w:rsid w:val="00BA5F82"/>
    <w:rsid w:val="00BA5F99"/>
    <w:rsid w:val="00BA6074"/>
    <w:rsid w:val="00BA6152"/>
    <w:rsid w:val="00BA6160"/>
    <w:rsid w:val="00BA61EB"/>
    <w:rsid w:val="00BA634B"/>
    <w:rsid w:val="00BA63A6"/>
    <w:rsid w:val="00BA6467"/>
    <w:rsid w:val="00BA6521"/>
    <w:rsid w:val="00BA6544"/>
    <w:rsid w:val="00BA65DB"/>
    <w:rsid w:val="00BA660C"/>
    <w:rsid w:val="00BA6634"/>
    <w:rsid w:val="00BA663D"/>
    <w:rsid w:val="00BA669B"/>
    <w:rsid w:val="00BA66C8"/>
    <w:rsid w:val="00BA66DB"/>
    <w:rsid w:val="00BA6747"/>
    <w:rsid w:val="00BA677A"/>
    <w:rsid w:val="00BA6787"/>
    <w:rsid w:val="00BA67A7"/>
    <w:rsid w:val="00BA6884"/>
    <w:rsid w:val="00BA6897"/>
    <w:rsid w:val="00BA689B"/>
    <w:rsid w:val="00BA68A5"/>
    <w:rsid w:val="00BA6941"/>
    <w:rsid w:val="00BA6998"/>
    <w:rsid w:val="00BA699C"/>
    <w:rsid w:val="00BA69BB"/>
    <w:rsid w:val="00BA69C5"/>
    <w:rsid w:val="00BA6A16"/>
    <w:rsid w:val="00BA6A83"/>
    <w:rsid w:val="00BA6B42"/>
    <w:rsid w:val="00BA6C9D"/>
    <w:rsid w:val="00BA6CAA"/>
    <w:rsid w:val="00BA6CE3"/>
    <w:rsid w:val="00BA6DAC"/>
    <w:rsid w:val="00BA6E2C"/>
    <w:rsid w:val="00BA6E7B"/>
    <w:rsid w:val="00BA6EBE"/>
    <w:rsid w:val="00BA6F1C"/>
    <w:rsid w:val="00BA710B"/>
    <w:rsid w:val="00BA7175"/>
    <w:rsid w:val="00BA7181"/>
    <w:rsid w:val="00BA71A6"/>
    <w:rsid w:val="00BA71A9"/>
    <w:rsid w:val="00BA71C4"/>
    <w:rsid w:val="00BA722C"/>
    <w:rsid w:val="00BA725F"/>
    <w:rsid w:val="00BA7297"/>
    <w:rsid w:val="00BA730C"/>
    <w:rsid w:val="00BA7340"/>
    <w:rsid w:val="00BA7476"/>
    <w:rsid w:val="00BA74D0"/>
    <w:rsid w:val="00BA7507"/>
    <w:rsid w:val="00BA750A"/>
    <w:rsid w:val="00BA7540"/>
    <w:rsid w:val="00BA7554"/>
    <w:rsid w:val="00BA7581"/>
    <w:rsid w:val="00BA75D1"/>
    <w:rsid w:val="00BA763D"/>
    <w:rsid w:val="00BA7655"/>
    <w:rsid w:val="00BA770E"/>
    <w:rsid w:val="00BA77CC"/>
    <w:rsid w:val="00BA77F0"/>
    <w:rsid w:val="00BA783B"/>
    <w:rsid w:val="00BA7868"/>
    <w:rsid w:val="00BA789E"/>
    <w:rsid w:val="00BA7993"/>
    <w:rsid w:val="00BA7A37"/>
    <w:rsid w:val="00BA7AD1"/>
    <w:rsid w:val="00BA7B62"/>
    <w:rsid w:val="00BA7C62"/>
    <w:rsid w:val="00BA7DCE"/>
    <w:rsid w:val="00BA7F2E"/>
    <w:rsid w:val="00BA7F78"/>
    <w:rsid w:val="00BA7F98"/>
    <w:rsid w:val="00BA7FBC"/>
    <w:rsid w:val="00BA7FE2"/>
    <w:rsid w:val="00BB0009"/>
    <w:rsid w:val="00BB002C"/>
    <w:rsid w:val="00BB006D"/>
    <w:rsid w:val="00BB0129"/>
    <w:rsid w:val="00BB0153"/>
    <w:rsid w:val="00BB0244"/>
    <w:rsid w:val="00BB0270"/>
    <w:rsid w:val="00BB0282"/>
    <w:rsid w:val="00BB02A6"/>
    <w:rsid w:val="00BB02FA"/>
    <w:rsid w:val="00BB030F"/>
    <w:rsid w:val="00BB03C9"/>
    <w:rsid w:val="00BB03FD"/>
    <w:rsid w:val="00BB0409"/>
    <w:rsid w:val="00BB0418"/>
    <w:rsid w:val="00BB042C"/>
    <w:rsid w:val="00BB04A6"/>
    <w:rsid w:val="00BB04B7"/>
    <w:rsid w:val="00BB04EF"/>
    <w:rsid w:val="00BB0566"/>
    <w:rsid w:val="00BB0583"/>
    <w:rsid w:val="00BB0587"/>
    <w:rsid w:val="00BB0590"/>
    <w:rsid w:val="00BB0593"/>
    <w:rsid w:val="00BB05A2"/>
    <w:rsid w:val="00BB061D"/>
    <w:rsid w:val="00BB0649"/>
    <w:rsid w:val="00BB06AF"/>
    <w:rsid w:val="00BB06F0"/>
    <w:rsid w:val="00BB06FC"/>
    <w:rsid w:val="00BB071C"/>
    <w:rsid w:val="00BB0727"/>
    <w:rsid w:val="00BB0782"/>
    <w:rsid w:val="00BB07F7"/>
    <w:rsid w:val="00BB0856"/>
    <w:rsid w:val="00BB086C"/>
    <w:rsid w:val="00BB08FD"/>
    <w:rsid w:val="00BB0906"/>
    <w:rsid w:val="00BB091D"/>
    <w:rsid w:val="00BB0935"/>
    <w:rsid w:val="00BB098A"/>
    <w:rsid w:val="00BB09B6"/>
    <w:rsid w:val="00BB09C1"/>
    <w:rsid w:val="00BB09CA"/>
    <w:rsid w:val="00BB0A12"/>
    <w:rsid w:val="00BB0A1E"/>
    <w:rsid w:val="00BB0A59"/>
    <w:rsid w:val="00BB0A5D"/>
    <w:rsid w:val="00BB0A65"/>
    <w:rsid w:val="00BB0AED"/>
    <w:rsid w:val="00BB0B0C"/>
    <w:rsid w:val="00BB0B57"/>
    <w:rsid w:val="00BB0BCA"/>
    <w:rsid w:val="00BB0C40"/>
    <w:rsid w:val="00BB0C60"/>
    <w:rsid w:val="00BB0CA1"/>
    <w:rsid w:val="00BB0DE4"/>
    <w:rsid w:val="00BB0DF0"/>
    <w:rsid w:val="00BB0E3E"/>
    <w:rsid w:val="00BB0EA8"/>
    <w:rsid w:val="00BB0ED3"/>
    <w:rsid w:val="00BB0ED7"/>
    <w:rsid w:val="00BB0F6F"/>
    <w:rsid w:val="00BB0FD3"/>
    <w:rsid w:val="00BB0FE1"/>
    <w:rsid w:val="00BB0FE4"/>
    <w:rsid w:val="00BB1096"/>
    <w:rsid w:val="00BB10A7"/>
    <w:rsid w:val="00BB1135"/>
    <w:rsid w:val="00BB11DA"/>
    <w:rsid w:val="00BB11EA"/>
    <w:rsid w:val="00BB1287"/>
    <w:rsid w:val="00BB12FE"/>
    <w:rsid w:val="00BB130A"/>
    <w:rsid w:val="00BB1336"/>
    <w:rsid w:val="00BB13B6"/>
    <w:rsid w:val="00BB13C5"/>
    <w:rsid w:val="00BB13F2"/>
    <w:rsid w:val="00BB13FD"/>
    <w:rsid w:val="00BB1478"/>
    <w:rsid w:val="00BB1483"/>
    <w:rsid w:val="00BB14F6"/>
    <w:rsid w:val="00BB156C"/>
    <w:rsid w:val="00BB156E"/>
    <w:rsid w:val="00BB15B9"/>
    <w:rsid w:val="00BB1617"/>
    <w:rsid w:val="00BB178B"/>
    <w:rsid w:val="00BB17CB"/>
    <w:rsid w:val="00BB17D4"/>
    <w:rsid w:val="00BB17EB"/>
    <w:rsid w:val="00BB187D"/>
    <w:rsid w:val="00BB18CF"/>
    <w:rsid w:val="00BB18D6"/>
    <w:rsid w:val="00BB1988"/>
    <w:rsid w:val="00BB1ABF"/>
    <w:rsid w:val="00BB1AD5"/>
    <w:rsid w:val="00BB1AFD"/>
    <w:rsid w:val="00BB1B62"/>
    <w:rsid w:val="00BB1B7B"/>
    <w:rsid w:val="00BB1C49"/>
    <w:rsid w:val="00BB1C52"/>
    <w:rsid w:val="00BB1C9A"/>
    <w:rsid w:val="00BB1D04"/>
    <w:rsid w:val="00BB1D0B"/>
    <w:rsid w:val="00BB1D10"/>
    <w:rsid w:val="00BB1D6A"/>
    <w:rsid w:val="00BB1E0E"/>
    <w:rsid w:val="00BB1E87"/>
    <w:rsid w:val="00BB1F71"/>
    <w:rsid w:val="00BB1F95"/>
    <w:rsid w:val="00BB1FF7"/>
    <w:rsid w:val="00BB200F"/>
    <w:rsid w:val="00BB2020"/>
    <w:rsid w:val="00BB2037"/>
    <w:rsid w:val="00BB2113"/>
    <w:rsid w:val="00BB2133"/>
    <w:rsid w:val="00BB2195"/>
    <w:rsid w:val="00BB2308"/>
    <w:rsid w:val="00BB2372"/>
    <w:rsid w:val="00BB2392"/>
    <w:rsid w:val="00BB2449"/>
    <w:rsid w:val="00BB2457"/>
    <w:rsid w:val="00BB2474"/>
    <w:rsid w:val="00BB249E"/>
    <w:rsid w:val="00BB24DF"/>
    <w:rsid w:val="00BB24E5"/>
    <w:rsid w:val="00BB24E9"/>
    <w:rsid w:val="00BB2526"/>
    <w:rsid w:val="00BB253E"/>
    <w:rsid w:val="00BB263C"/>
    <w:rsid w:val="00BB2645"/>
    <w:rsid w:val="00BB2675"/>
    <w:rsid w:val="00BB2695"/>
    <w:rsid w:val="00BB269D"/>
    <w:rsid w:val="00BB26B4"/>
    <w:rsid w:val="00BB26EF"/>
    <w:rsid w:val="00BB2703"/>
    <w:rsid w:val="00BB27AB"/>
    <w:rsid w:val="00BB27F0"/>
    <w:rsid w:val="00BB28A1"/>
    <w:rsid w:val="00BB2907"/>
    <w:rsid w:val="00BB293A"/>
    <w:rsid w:val="00BB2955"/>
    <w:rsid w:val="00BB2A39"/>
    <w:rsid w:val="00BB2B52"/>
    <w:rsid w:val="00BB2BB8"/>
    <w:rsid w:val="00BB2BE1"/>
    <w:rsid w:val="00BB2BE5"/>
    <w:rsid w:val="00BB2BFF"/>
    <w:rsid w:val="00BB2C74"/>
    <w:rsid w:val="00BB2C83"/>
    <w:rsid w:val="00BB2D0C"/>
    <w:rsid w:val="00BB2D2D"/>
    <w:rsid w:val="00BB2D66"/>
    <w:rsid w:val="00BB2DAA"/>
    <w:rsid w:val="00BB2E43"/>
    <w:rsid w:val="00BB2E87"/>
    <w:rsid w:val="00BB2E98"/>
    <w:rsid w:val="00BB2F1E"/>
    <w:rsid w:val="00BB2F3E"/>
    <w:rsid w:val="00BB2F79"/>
    <w:rsid w:val="00BB3003"/>
    <w:rsid w:val="00BB3005"/>
    <w:rsid w:val="00BB304F"/>
    <w:rsid w:val="00BB30FA"/>
    <w:rsid w:val="00BB3190"/>
    <w:rsid w:val="00BB31F4"/>
    <w:rsid w:val="00BB3294"/>
    <w:rsid w:val="00BB32B3"/>
    <w:rsid w:val="00BB3302"/>
    <w:rsid w:val="00BB3304"/>
    <w:rsid w:val="00BB3343"/>
    <w:rsid w:val="00BB335B"/>
    <w:rsid w:val="00BB33FC"/>
    <w:rsid w:val="00BB3465"/>
    <w:rsid w:val="00BB3466"/>
    <w:rsid w:val="00BB3488"/>
    <w:rsid w:val="00BB3526"/>
    <w:rsid w:val="00BB3596"/>
    <w:rsid w:val="00BB35F2"/>
    <w:rsid w:val="00BB35FB"/>
    <w:rsid w:val="00BB3618"/>
    <w:rsid w:val="00BB361E"/>
    <w:rsid w:val="00BB364E"/>
    <w:rsid w:val="00BB3667"/>
    <w:rsid w:val="00BB36AB"/>
    <w:rsid w:val="00BB3749"/>
    <w:rsid w:val="00BB3776"/>
    <w:rsid w:val="00BB37B5"/>
    <w:rsid w:val="00BB3812"/>
    <w:rsid w:val="00BB3848"/>
    <w:rsid w:val="00BB385A"/>
    <w:rsid w:val="00BB38DE"/>
    <w:rsid w:val="00BB38ED"/>
    <w:rsid w:val="00BB392A"/>
    <w:rsid w:val="00BB39A9"/>
    <w:rsid w:val="00BB3A1E"/>
    <w:rsid w:val="00BB3AE0"/>
    <w:rsid w:val="00BB3B5B"/>
    <w:rsid w:val="00BB3BBD"/>
    <w:rsid w:val="00BB3C1E"/>
    <w:rsid w:val="00BB3C8B"/>
    <w:rsid w:val="00BB3C99"/>
    <w:rsid w:val="00BB3C9C"/>
    <w:rsid w:val="00BB3CC1"/>
    <w:rsid w:val="00BB3CEB"/>
    <w:rsid w:val="00BB3D47"/>
    <w:rsid w:val="00BB3D5C"/>
    <w:rsid w:val="00BB3E3C"/>
    <w:rsid w:val="00BB3EAD"/>
    <w:rsid w:val="00BB4055"/>
    <w:rsid w:val="00BB4098"/>
    <w:rsid w:val="00BB40C9"/>
    <w:rsid w:val="00BB40D7"/>
    <w:rsid w:val="00BB410F"/>
    <w:rsid w:val="00BB4119"/>
    <w:rsid w:val="00BB41D5"/>
    <w:rsid w:val="00BB4202"/>
    <w:rsid w:val="00BB4247"/>
    <w:rsid w:val="00BB42C8"/>
    <w:rsid w:val="00BB4389"/>
    <w:rsid w:val="00BB438D"/>
    <w:rsid w:val="00BB4406"/>
    <w:rsid w:val="00BB440C"/>
    <w:rsid w:val="00BB451A"/>
    <w:rsid w:val="00BB456D"/>
    <w:rsid w:val="00BB4593"/>
    <w:rsid w:val="00BB45AF"/>
    <w:rsid w:val="00BB4637"/>
    <w:rsid w:val="00BB4649"/>
    <w:rsid w:val="00BB477A"/>
    <w:rsid w:val="00BB477C"/>
    <w:rsid w:val="00BB48DA"/>
    <w:rsid w:val="00BB4954"/>
    <w:rsid w:val="00BB49AB"/>
    <w:rsid w:val="00BB49C4"/>
    <w:rsid w:val="00BB49F7"/>
    <w:rsid w:val="00BB4AA9"/>
    <w:rsid w:val="00BB4ABF"/>
    <w:rsid w:val="00BB4AF4"/>
    <w:rsid w:val="00BB4B08"/>
    <w:rsid w:val="00BB4B45"/>
    <w:rsid w:val="00BB4B62"/>
    <w:rsid w:val="00BB4C66"/>
    <w:rsid w:val="00BB4C8B"/>
    <w:rsid w:val="00BB4C92"/>
    <w:rsid w:val="00BB4CA9"/>
    <w:rsid w:val="00BB4D14"/>
    <w:rsid w:val="00BB4D64"/>
    <w:rsid w:val="00BB4DAA"/>
    <w:rsid w:val="00BB4DE3"/>
    <w:rsid w:val="00BB4DFF"/>
    <w:rsid w:val="00BB4E33"/>
    <w:rsid w:val="00BB4E75"/>
    <w:rsid w:val="00BB4EC5"/>
    <w:rsid w:val="00BB4EC9"/>
    <w:rsid w:val="00BB4ED9"/>
    <w:rsid w:val="00BB4F9E"/>
    <w:rsid w:val="00BB4FF2"/>
    <w:rsid w:val="00BB5045"/>
    <w:rsid w:val="00BB512A"/>
    <w:rsid w:val="00BB515A"/>
    <w:rsid w:val="00BB5175"/>
    <w:rsid w:val="00BB5194"/>
    <w:rsid w:val="00BB51E5"/>
    <w:rsid w:val="00BB52DA"/>
    <w:rsid w:val="00BB5311"/>
    <w:rsid w:val="00BB5331"/>
    <w:rsid w:val="00BB533D"/>
    <w:rsid w:val="00BB536D"/>
    <w:rsid w:val="00BB53CA"/>
    <w:rsid w:val="00BB53FA"/>
    <w:rsid w:val="00BB542F"/>
    <w:rsid w:val="00BB54ED"/>
    <w:rsid w:val="00BB5516"/>
    <w:rsid w:val="00BB5566"/>
    <w:rsid w:val="00BB5569"/>
    <w:rsid w:val="00BB559B"/>
    <w:rsid w:val="00BB55A5"/>
    <w:rsid w:val="00BB55FF"/>
    <w:rsid w:val="00BB5611"/>
    <w:rsid w:val="00BB563C"/>
    <w:rsid w:val="00BB5651"/>
    <w:rsid w:val="00BB5662"/>
    <w:rsid w:val="00BB5682"/>
    <w:rsid w:val="00BB5702"/>
    <w:rsid w:val="00BB5718"/>
    <w:rsid w:val="00BB5771"/>
    <w:rsid w:val="00BB5881"/>
    <w:rsid w:val="00BB588C"/>
    <w:rsid w:val="00BB58AA"/>
    <w:rsid w:val="00BB58AC"/>
    <w:rsid w:val="00BB58FC"/>
    <w:rsid w:val="00BB5984"/>
    <w:rsid w:val="00BB59D4"/>
    <w:rsid w:val="00BB5A08"/>
    <w:rsid w:val="00BB5A69"/>
    <w:rsid w:val="00BB5ADD"/>
    <w:rsid w:val="00BB5AE1"/>
    <w:rsid w:val="00BB5AF2"/>
    <w:rsid w:val="00BB5B98"/>
    <w:rsid w:val="00BB5BC1"/>
    <w:rsid w:val="00BB5C25"/>
    <w:rsid w:val="00BB5C5B"/>
    <w:rsid w:val="00BB5C9C"/>
    <w:rsid w:val="00BB5CA3"/>
    <w:rsid w:val="00BB5CB0"/>
    <w:rsid w:val="00BB5CD2"/>
    <w:rsid w:val="00BB5CD7"/>
    <w:rsid w:val="00BB5CFA"/>
    <w:rsid w:val="00BB5D00"/>
    <w:rsid w:val="00BB5D57"/>
    <w:rsid w:val="00BB5D68"/>
    <w:rsid w:val="00BB5E40"/>
    <w:rsid w:val="00BB5E59"/>
    <w:rsid w:val="00BB5E6C"/>
    <w:rsid w:val="00BB5E79"/>
    <w:rsid w:val="00BB5E84"/>
    <w:rsid w:val="00BB5ED9"/>
    <w:rsid w:val="00BB5F52"/>
    <w:rsid w:val="00BB5F9F"/>
    <w:rsid w:val="00BB603A"/>
    <w:rsid w:val="00BB6041"/>
    <w:rsid w:val="00BB6065"/>
    <w:rsid w:val="00BB60E5"/>
    <w:rsid w:val="00BB60F8"/>
    <w:rsid w:val="00BB60FA"/>
    <w:rsid w:val="00BB613D"/>
    <w:rsid w:val="00BB6193"/>
    <w:rsid w:val="00BB6212"/>
    <w:rsid w:val="00BB6257"/>
    <w:rsid w:val="00BB629D"/>
    <w:rsid w:val="00BB62A9"/>
    <w:rsid w:val="00BB62F0"/>
    <w:rsid w:val="00BB631C"/>
    <w:rsid w:val="00BB6327"/>
    <w:rsid w:val="00BB6548"/>
    <w:rsid w:val="00BB659B"/>
    <w:rsid w:val="00BB664C"/>
    <w:rsid w:val="00BB6668"/>
    <w:rsid w:val="00BB6690"/>
    <w:rsid w:val="00BB66AC"/>
    <w:rsid w:val="00BB66C5"/>
    <w:rsid w:val="00BB6755"/>
    <w:rsid w:val="00BB677F"/>
    <w:rsid w:val="00BB6782"/>
    <w:rsid w:val="00BB6853"/>
    <w:rsid w:val="00BB6887"/>
    <w:rsid w:val="00BB68DC"/>
    <w:rsid w:val="00BB68E5"/>
    <w:rsid w:val="00BB68EE"/>
    <w:rsid w:val="00BB6934"/>
    <w:rsid w:val="00BB696B"/>
    <w:rsid w:val="00BB696F"/>
    <w:rsid w:val="00BB6A6F"/>
    <w:rsid w:val="00BB6A86"/>
    <w:rsid w:val="00BB6AAE"/>
    <w:rsid w:val="00BB6ABA"/>
    <w:rsid w:val="00BB6AE2"/>
    <w:rsid w:val="00BB6AF6"/>
    <w:rsid w:val="00BB6B7E"/>
    <w:rsid w:val="00BB6BA1"/>
    <w:rsid w:val="00BB6C17"/>
    <w:rsid w:val="00BB6C2E"/>
    <w:rsid w:val="00BB6C42"/>
    <w:rsid w:val="00BB6D28"/>
    <w:rsid w:val="00BB6E1D"/>
    <w:rsid w:val="00BB6EF6"/>
    <w:rsid w:val="00BB6F8D"/>
    <w:rsid w:val="00BB6F8E"/>
    <w:rsid w:val="00BB6FBD"/>
    <w:rsid w:val="00BB7019"/>
    <w:rsid w:val="00BB7025"/>
    <w:rsid w:val="00BB70BB"/>
    <w:rsid w:val="00BB717E"/>
    <w:rsid w:val="00BB7194"/>
    <w:rsid w:val="00BB71CE"/>
    <w:rsid w:val="00BB71D0"/>
    <w:rsid w:val="00BB71E8"/>
    <w:rsid w:val="00BB7203"/>
    <w:rsid w:val="00BB724B"/>
    <w:rsid w:val="00BB7285"/>
    <w:rsid w:val="00BB730F"/>
    <w:rsid w:val="00BB737D"/>
    <w:rsid w:val="00BB742F"/>
    <w:rsid w:val="00BB748F"/>
    <w:rsid w:val="00BB74EF"/>
    <w:rsid w:val="00BB75D6"/>
    <w:rsid w:val="00BB75FC"/>
    <w:rsid w:val="00BB763D"/>
    <w:rsid w:val="00BB7681"/>
    <w:rsid w:val="00BB76D5"/>
    <w:rsid w:val="00BB774E"/>
    <w:rsid w:val="00BB7753"/>
    <w:rsid w:val="00BB7771"/>
    <w:rsid w:val="00BB777E"/>
    <w:rsid w:val="00BB7783"/>
    <w:rsid w:val="00BB77C4"/>
    <w:rsid w:val="00BB7840"/>
    <w:rsid w:val="00BB7936"/>
    <w:rsid w:val="00BB7947"/>
    <w:rsid w:val="00BB7957"/>
    <w:rsid w:val="00BB7992"/>
    <w:rsid w:val="00BB79BB"/>
    <w:rsid w:val="00BB7A13"/>
    <w:rsid w:val="00BB7A6C"/>
    <w:rsid w:val="00BB7A7D"/>
    <w:rsid w:val="00BB7A7F"/>
    <w:rsid w:val="00BB7AA0"/>
    <w:rsid w:val="00BB7AA5"/>
    <w:rsid w:val="00BB7AD2"/>
    <w:rsid w:val="00BB7B35"/>
    <w:rsid w:val="00BB7B72"/>
    <w:rsid w:val="00BB7BA9"/>
    <w:rsid w:val="00BB7C26"/>
    <w:rsid w:val="00BB7C48"/>
    <w:rsid w:val="00BB7C75"/>
    <w:rsid w:val="00BB7C7B"/>
    <w:rsid w:val="00BB7C95"/>
    <w:rsid w:val="00BB7CAA"/>
    <w:rsid w:val="00BB7D08"/>
    <w:rsid w:val="00BB7D39"/>
    <w:rsid w:val="00BB7E56"/>
    <w:rsid w:val="00BB7E7B"/>
    <w:rsid w:val="00BB7E8C"/>
    <w:rsid w:val="00BB7EDC"/>
    <w:rsid w:val="00BB7EE5"/>
    <w:rsid w:val="00BB7F11"/>
    <w:rsid w:val="00BB7F28"/>
    <w:rsid w:val="00BB7FEF"/>
    <w:rsid w:val="00BC00D8"/>
    <w:rsid w:val="00BC0170"/>
    <w:rsid w:val="00BC01D5"/>
    <w:rsid w:val="00BC0344"/>
    <w:rsid w:val="00BC0352"/>
    <w:rsid w:val="00BC0385"/>
    <w:rsid w:val="00BC0488"/>
    <w:rsid w:val="00BC0535"/>
    <w:rsid w:val="00BC0559"/>
    <w:rsid w:val="00BC055A"/>
    <w:rsid w:val="00BC058D"/>
    <w:rsid w:val="00BC0590"/>
    <w:rsid w:val="00BC05AF"/>
    <w:rsid w:val="00BC05F3"/>
    <w:rsid w:val="00BC0604"/>
    <w:rsid w:val="00BC0641"/>
    <w:rsid w:val="00BC0654"/>
    <w:rsid w:val="00BC06A2"/>
    <w:rsid w:val="00BC06A8"/>
    <w:rsid w:val="00BC06FF"/>
    <w:rsid w:val="00BC0707"/>
    <w:rsid w:val="00BC0746"/>
    <w:rsid w:val="00BC0846"/>
    <w:rsid w:val="00BC0870"/>
    <w:rsid w:val="00BC088A"/>
    <w:rsid w:val="00BC0905"/>
    <w:rsid w:val="00BC0956"/>
    <w:rsid w:val="00BC0987"/>
    <w:rsid w:val="00BC09B2"/>
    <w:rsid w:val="00BC09E9"/>
    <w:rsid w:val="00BC0A0F"/>
    <w:rsid w:val="00BC0A37"/>
    <w:rsid w:val="00BC0B7B"/>
    <w:rsid w:val="00BC0BA0"/>
    <w:rsid w:val="00BC0BC2"/>
    <w:rsid w:val="00BC0BFB"/>
    <w:rsid w:val="00BC0C4E"/>
    <w:rsid w:val="00BC0C63"/>
    <w:rsid w:val="00BC0C80"/>
    <w:rsid w:val="00BC0D5D"/>
    <w:rsid w:val="00BC0D71"/>
    <w:rsid w:val="00BC0E09"/>
    <w:rsid w:val="00BC0E28"/>
    <w:rsid w:val="00BC0E55"/>
    <w:rsid w:val="00BC0E70"/>
    <w:rsid w:val="00BC0EC1"/>
    <w:rsid w:val="00BC0EF5"/>
    <w:rsid w:val="00BC0F1D"/>
    <w:rsid w:val="00BC0F4C"/>
    <w:rsid w:val="00BC0F95"/>
    <w:rsid w:val="00BC1058"/>
    <w:rsid w:val="00BC1062"/>
    <w:rsid w:val="00BC10B5"/>
    <w:rsid w:val="00BC10D0"/>
    <w:rsid w:val="00BC10DB"/>
    <w:rsid w:val="00BC1148"/>
    <w:rsid w:val="00BC1177"/>
    <w:rsid w:val="00BC117F"/>
    <w:rsid w:val="00BC11E1"/>
    <w:rsid w:val="00BC11F7"/>
    <w:rsid w:val="00BC124F"/>
    <w:rsid w:val="00BC1332"/>
    <w:rsid w:val="00BC13AB"/>
    <w:rsid w:val="00BC13BB"/>
    <w:rsid w:val="00BC13F0"/>
    <w:rsid w:val="00BC1414"/>
    <w:rsid w:val="00BC146B"/>
    <w:rsid w:val="00BC1478"/>
    <w:rsid w:val="00BC14D9"/>
    <w:rsid w:val="00BC14EF"/>
    <w:rsid w:val="00BC1549"/>
    <w:rsid w:val="00BC1566"/>
    <w:rsid w:val="00BC156F"/>
    <w:rsid w:val="00BC179A"/>
    <w:rsid w:val="00BC186F"/>
    <w:rsid w:val="00BC1911"/>
    <w:rsid w:val="00BC19AA"/>
    <w:rsid w:val="00BC19C6"/>
    <w:rsid w:val="00BC19F1"/>
    <w:rsid w:val="00BC1AF8"/>
    <w:rsid w:val="00BC1B1E"/>
    <w:rsid w:val="00BC1B33"/>
    <w:rsid w:val="00BC1C04"/>
    <w:rsid w:val="00BC1C96"/>
    <w:rsid w:val="00BC1D12"/>
    <w:rsid w:val="00BC1D17"/>
    <w:rsid w:val="00BC1D36"/>
    <w:rsid w:val="00BC1D7D"/>
    <w:rsid w:val="00BC1DE4"/>
    <w:rsid w:val="00BC1E04"/>
    <w:rsid w:val="00BC1E1C"/>
    <w:rsid w:val="00BC1E65"/>
    <w:rsid w:val="00BC1ED8"/>
    <w:rsid w:val="00BC1F6B"/>
    <w:rsid w:val="00BC2061"/>
    <w:rsid w:val="00BC209C"/>
    <w:rsid w:val="00BC21BB"/>
    <w:rsid w:val="00BC2200"/>
    <w:rsid w:val="00BC2244"/>
    <w:rsid w:val="00BC224B"/>
    <w:rsid w:val="00BC2309"/>
    <w:rsid w:val="00BC2312"/>
    <w:rsid w:val="00BC2372"/>
    <w:rsid w:val="00BC2391"/>
    <w:rsid w:val="00BC23AD"/>
    <w:rsid w:val="00BC23EA"/>
    <w:rsid w:val="00BC248D"/>
    <w:rsid w:val="00BC24E9"/>
    <w:rsid w:val="00BC2565"/>
    <w:rsid w:val="00BC2580"/>
    <w:rsid w:val="00BC25F0"/>
    <w:rsid w:val="00BC266F"/>
    <w:rsid w:val="00BC26A4"/>
    <w:rsid w:val="00BC26FC"/>
    <w:rsid w:val="00BC27B8"/>
    <w:rsid w:val="00BC27C4"/>
    <w:rsid w:val="00BC286A"/>
    <w:rsid w:val="00BC288F"/>
    <w:rsid w:val="00BC289E"/>
    <w:rsid w:val="00BC28C7"/>
    <w:rsid w:val="00BC28CC"/>
    <w:rsid w:val="00BC28CF"/>
    <w:rsid w:val="00BC28F4"/>
    <w:rsid w:val="00BC28FD"/>
    <w:rsid w:val="00BC29C3"/>
    <w:rsid w:val="00BC29F8"/>
    <w:rsid w:val="00BC2A47"/>
    <w:rsid w:val="00BC2A81"/>
    <w:rsid w:val="00BC2B4A"/>
    <w:rsid w:val="00BC2B4D"/>
    <w:rsid w:val="00BC2B78"/>
    <w:rsid w:val="00BC2C79"/>
    <w:rsid w:val="00BC2D61"/>
    <w:rsid w:val="00BC2D93"/>
    <w:rsid w:val="00BC2DB8"/>
    <w:rsid w:val="00BC2FD7"/>
    <w:rsid w:val="00BC3041"/>
    <w:rsid w:val="00BC3105"/>
    <w:rsid w:val="00BC3162"/>
    <w:rsid w:val="00BC3173"/>
    <w:rsid w:val="00BC3188"/>
    <w:rsid w:val="00BC31D4"/>
    <w:rsid w:val="00BC3211"/>
    <w:rsid w:val="00BC3259"/>
    <w:rsid w:val="00BC330A"/>
    <w:rsid w:val="00BC3340"/>
    <w:rsid w:val="00BC3358"/>
    <w:rsid w:val="00BC33CB"/>
    <w:rsid w:val="00BC33E9"/>
    <w:rsid w:val="00BC340F"/>
    <w:rsid w:val="00BC34DC"/>
    <w:rsid w:val="00BC34ED"/>
    <w:rsid w:val="00BC3536"/>
    <w:rsid w:val="00BC3559"/>
    <w:rsid w:val="00BC3591"/>
    <w:rsid w:val="00BC35C9"/>
    <w:rsid w:val="00BC3620"/>
    <w:rsid w:val="00BC3645"/>
    <w:rsid w:val="00BC3690"/>
    <w:rsid w:val="00BC369C"/>
    <w:rsid w:val="00BC36A4"/>
    <w:rsid w:val="00BC37A0"/>
    <w:rsid w:val="00BC37A7"/>
    <w:rsid w:val="00BC37B1"/>
    <w:rsid w:val="00BC37FA"/>
    <w:rsid w:val="00BC383A"/>
    <w:rsid w:val="00BC385A"/>
    <w:rsid w:val="00BC39D5"/>
    <w:rsid w:val="00BC3A28"/>
    <w:rsid w:val="00BC3A61"/>
    <w:rsid w:val="00BC3A7A"/>
    <w:rsid w:val="00BC3B24"/>
    <w:rsid w:val="00BC3B79"/>
    <w:rsid w:val="00BC3C1D"/>
    <w:rsid w:val="00BC3C9F"/>
    <w:rsid w:val="00BC3CA4"/>
    <w:rsid w:val="00BC3D81"/>
    <w:rsid w:val="00BC3DD2"/>
    <w:rsid w:val="00BC3DEA"/>
    <w:rsid w:val="00BC3E66"/>
    <w:rsid w:val="00BC3E7D"/>
    <w:rsid w:val="00BC3EA2"/>
    <w:rsid w:val="00BC3EBB"/>
    <w:rsid w:val="00BC3ED6"/>
    <w:rsid w:val="00BC3EE0"/>
    <w:rsid w:val="00BC3F27"/>
    <w:rsid w:val="00BC3F8A"/>
    <w:rsid w:val="00BC3FB3"/>
    <w:rsid w:val="00BC3FC5"/>
    <w:rsid w:val="00BC3FC8"/>
    <w:rsid w:val="00BC3FDA"/>
    <w:rsid w:val="00BC3FE6"/>
    <w:rsid w:val="00BC3FF9"/>
    <w:rsid w:val="00BC3FFA"/>
    <w:rsid w:val="00BC4057"/>
    <w:rsid w:val="00BC405E"/>
    <w:rsid w:val="00BC40A9"/>
    <w:rsid w:val="00BC410B"/>
    <w:rsid w:val="00BC4160"/>
    <w:rsid w:val="00BC41A9"/>
    <w:rsid w:val="00BC41AB"/>
    <w:rsid w:val="00BC41C8"/>
    <w:rsid w:val="00BC4214"/>
    <w:rsid w:val="00BC4269"/>
    <w:rsid w:val="00BC4296"/>
    <w:rsid w:val="00BC429D"/>
    <w:rsid w:val="00BC42F3"/>
    <w:rsid w:val="00BC430C"/>
    <w:rsid w:val="00BC4313"/>
    <w:rsid w:val="00BC4341"/>
    <w:rsid w:val="00BC43CB"/>
    <w:rsid w:val="00BC43DB"/>
    <w:rsid w:val="00BC43FD"/>
    <w:rsid w:val="00BC4421"/>
    <w:rsid w:val="00BC443E"/>
    <w:rsid w:val="00BC4459"/>
    <w:rsid w:val="00BC449A"/>
    <w:rsid w:val="00BC4522"/>
    <w:rsid w:val="00BC4582"/>
    <w:rsid w:val="00BC4590"/>
    <w:rsid w:val="00BC4615"/>
    <w:rsid w:val="00BC462B"/>
    <w:rsid w:val="00BC464C"/>
    <w:rsid w:val="00BC465C"/>
    <w:rsid w:val="00BC4688"/>
    <w:rsid w:val="00BC46C3"/>
    <w:rsid w:val="00BC479B"/>
    <w:rsid w:val="00BC47DA"/>
    <w:rsid w:val="00BC47F6"/>
    <w:rsid w:val="00BC4808"/>
    <w:rsid w:val="00BC4893"/>
    <w:rsid w:val="00BC48FA"/>
    <w:rsid w:val="00BC4910"/>
    <w:rsid w:val="00BC497C"/>
    <w:rsid w:val="00BC49A6"/>
    <w:rsid w:val="00BC49CF"/>
    <w:rsid w:val="00BC4A18"/>
    <w:rsid w:val="00BC4A31"/>
    <w:rsid w:val="00BC4A47"/>
    <w:rsid w:val="00BC4A4F"/>
    <w:rsid w:val="00BC4AA7"/>
    <w:rsid w:val="00BC4AD2"/>
    <w:rsid w:val="00BC4ADB"/>
    <w:rsid w:val="00BC4B94"/>
    <w:rsid w:val="00BC4C78"/>
    <w:rsid w:val="00BC4CDE"/>
    <w:rsid w:val="00BC4D01"/>
    <w:rsid w:val="00BC4D57"/>
    <w:rsid w:val="00BC4D70"/>
    <w:rsid w:val="00BC4D9A"/>
    <w:rsid w:val="00BC4DB7"/>
    <w:rsid w:val="00BC4DE9"/>
    <w:rsid w:val="00BC4DF3"/>
    <w:rsid w:val="00BC4F2B"/>
    <w:rsid w:val="00BC4F68"/>
    <w:rsid w:val="00BC4F7E"/>
    <w:rsid w:val="00BC4FAD"/>
    <w:rsid w:val="00BC4FC3"/>
    <w:rsid w:val="00BC504D"/>
    <w:rsid w:val="00BC5106"/>
    <w:rsid w:val="00BC5165"/>
    <w:rsid w:val="00BC5178"/>
    <w:rsid w:val="00BC51AC"/>
    <w:rsid w:val="00BC51BF"/>
    <w:rsid w:val="00BC524A"/>
    <w:rsid w:val="00BC5289"/>
    <w:rsid w:val="00BC52B1"/>
    <w:rsid w:val="00BC5370"/>
    <w:rsid w:val="00BC53C2"/>
    <w:rsid w:val="00BC5420"/>
    <w:rsid w:val="00BC5479"/>
    <w:rsid w:val="00BC5485"/>
    <w:rsid w:val="00BC548B"/>
    <w:rsid w:val="00BC5492"/>
    <w:rsid w:val="00BC54B8"/>
    <w:rsid w:val="00BC54CB"/>
    <w:rsid w:val="00BC55DB"/>
    <w:rsid w:val="00BC563C"/>
    <w:rsid w:val="00BC5768"/>
    <w:rsid w:val="00BC578B"/>
    <w:rsid w:val="00BC57E0"/>
    <w:rsid w:val="00BC58E5"/>
    <w:rsid w:val="00BC58EC"/>
    <w:rsid w:val="00BC591E"/>
    <w:rsid w:val="00BC5962"/>
    <w:rsid w:val="00BC59AB"/>
    <w:rsid w:val="00BC59B8"/>
    <w:rsid w:val="00BC59E4"/>
    <w:rsid w:val="00BC59E5"/>
    <w:rsid w:val="00BC5A2C"/>
    <w:rsid w:val="00BC5A3D"/>
    <w:rsid w:val="00BC5A65"/>
    <w:rsid w:val="00BC5A80"/>
    <w:rsid w:val="00BC5AB7"/>
    <w:rsid w:val="00BC5AE9"/>
    <w:rsid w:val="00BC5AFA"/>
    <w:rsid w:val="00BC5B3D"/>
    <w:rsid w:val="00BC5B48"/>
    <w:rsid w:val="00BC5BE5"/>
    <w:rsid w:val="00BC5C20"/>
    <w:rsid w:val="00BC5C5C"/>
    <w:rsid w:val="00BC5C8C"/>
    <w:rsid w:val="00BC5D96"/>
    <w:rsid w:val="00BC5DA5"/>
    <w:rsid w:val="00BC5DB7"/>
    <w:rsid w:val="00BC5EC1"/>
    <w:rsid w:val="00BC5EF7"/>
    <w:rsid w:val="00BC5F99"/>
    <w:rsid w:val="00BC6161"/>
    <w:rsid w:val="00BC616C"/>
    <w:rsid w:val="00BC617A"/>
    <w:rsid w:val="00BC61E4"/>
    <w:rsid w:val="00BC6215"/>
    <w:rsid w:val="00BC621F"/>
    <w:rsid w:val="00BC62A3"/>
    <w:rsid w:val="00BC62DE"/>
    <w:rsid w:val="00BC6330"/>
    <w:rsid w:val="00BC636F"/>
    <w:rsid w:val="00BC63AD"/>
    <w:rsid w:val="00BC6402"/>
    <w:rsid w:val="00BC6415"/>
    <w:rsid w:val="00BC64E2"/>
    <w:rsid w:val="00BC65E6"/>
    <w:rsid w:val="00BC6614"/>
    <w:rsid w:val="00BC6660"/>
    <w:rsid w:val="00BC668D"/>
    <w:rsid w:val="00BC6709"/>
    <w:rsid w:val="00BC677D"/>
    <w:rsid w:val="00BC6789"/>
    <w:rsid w:val="00BC67B5"/>
    <w:rsid w:val="00BC6803"/>
    <w:rsid w:val="00BC6829"/>
    <w:rsid w:val="00BC687E"/>
    <w:rsid w:val="00BC6953"/>
    <w:rsid w:val="00BC6987"/>
    <w:rsid w:val="00BC6A12"/>
    <w:rsid w:val="00BC6A58"/>
    <w:rsid w:val="00BC6A95"/>
    <w:rsid w:val="00BC6AAF"/>
    <w:rsid w:val="00BC6B87"/>
    <w:rsid w:val="00BC6BDE"/>
    <w:rsid w:val="00BC6C2F"/>
    <w:rsid w:val="00BC6C3C"/>
    <w:rsid w:val="00BC6C3D"/>
    <w:rsid w:val="00BC6C4A"/>
    <w:rsid w:val="00BC6CF4"/>
    <w:rsid w:val="00BC6D6B"/>
    <w:rsid w:val="00BC6D9D"/>
    <w:rsid w:val="00BC6EEF"/>
    <w:rsid w:val="00BC6EF3"/>
    <w:rsid w:val="00BC6F46"/>
    <w:rsid w:val="00BC6FA6"/>
    <w:rsid w:val="00BC6FA8"/>
    <w:rsid w:val="00BC6FB1"/>
    <w:rsid w:val="00BC6FC0"/>
    <w:rsid w:val="00BC7044"/>
    <w:rsid w:val="00BC70D0"/>
    <w:rsid w:val="00BC7138"/>
    <w:rsid w:val="00BC71BE"/>
    <w:rsid w:val="00BC71DC"/>
    <w:rsid w:val="00BC7215"/>
    <w:rsid w:val="00BC7273"/>
    <w:rsid w:val="00BC7281"/>
    <w:rsid w:val="00BC72D3"/>
    <w:rsid w:val="00BC72F6"/>
    <w:rsid w:val="00BC74AC"/>
    <w:rsid w:val="00BC74EA"/>
    <w:rsid w:val="00BC759A"/>
    <w:rsid w:val="00BC75A0"/>
    <w:rsid w:val="00BC762A"/>
    <w:rsid w:val="00BC7655"/>
    <w:rsid w:val="00BC765A"/>
    <w:rsid w:val="00BC765F"/>
    <w:rsid w:val="00BC76AA"/>
    <w:rsid w:val="00BC76C9"/>
    <w:rsid w:val="00BC76F3"/>
    <w:rsid w:val="00BC76FD"/>
    <w:rsid w:val="00BC776B"/>
    <w:rsid w:val="00BC77BA"/>
    <w:rsid w:val="00BC77D0"/>
    <w:rsid w:val="00BC7837"/>
    <w:rsid w:val="00BC7854"/>
    <w:rsid w:val="00BC7924"/>
    <w:rsid w:val="00BC7993"/>
    <w:rsid w:val="00BC7AFA"/>
    <w:rsid w:val="00BC7AFC"/>
    <w:rsid w:val="00BC7AFF"/>
    <w:rsid w:val="00BC7B6A"/>
    <w:rsid w:val="00BC7B6F"/>
    <w:rsid w:val="00BC7BC1"/>
    <w:rsid w:val="00BC7C2B"/>
    <w:rsid w:val="00BC7C4A"/>
    <w:rsid w:val="00BC7C69"/>
    <w:rsid w:val="00BC7C97"/>
    <w:rsid w:val="00BC7CA2"/>
    <w:rsid w:val="00BC7D40"/>
    <w:rsid w:val="00BC7D65"/>
    <w:rsid w:val="00BC7DAB"/>
    <w:rsid w:val="00BC7DF7"/>
    <w:rsid w:val="00BC7DFB"/>
    <w:rsid w:val="00BC7E3F"/>
    <w:rsid w:val="00BC7E67"/>
    <w:rsid w:val="00BC7E6F"/>
    <w:rsid w:val="00BD00B6"/>
    <w:rsid w:val="00BD00EE"/>
    <w:rsid w:val="00BD0102"/>
    <w:rsid w:val="00BD0139"/>
    <w:rsid w:val="00BD0168"/>
    <w:rsid w:val="00BD019A"/>
    <w:rsid w:val="00BD01CA"/>
    <w:rsid w:val="00BD01F5"/>
    <w:rsid w:val="00BD0245"/>
    <w:rsid w:val="00BD0255"/>
    <w:rsid w:val="00BD0267"/>
    <w:rsid w:val="00BD02D1"/>
    <w:rsid w:val="00BD02D9"/>
    <w:rsid w:val="00BD0322"/>
    <w:rsid w:val="00BD0388"/>
    <w:rsid w:val="00BD0390"/>
    <w:rsid w:val="00BD03FB"/>
    <w:rsid w:val="00BD0405"/>
    <w:rsid w:val="00BD041A"/>
    <w:rsid w:val="00BD0469"/>
    <w:rsid w:val="00BD06A2"/>
    <w:rsid w:val="00BD072F"/>
    <w:rsid w:val="00BD0731"/>
    <w:rsid w:val="00BD0753"/>
    <w:rsid w:val="00BD0886"/>
    <w:rsid w:val="00BD091A"/>
    <w:rsid w:val="00BD09DA"/>
    <w:rsid w:val="00BD0AB9"/>
    <w:rsid w:val="00BD0AE5"/>
    <w:rsid w:val="00BD0BEB"/>
    <w:rsid w:val="00BD0C1C"/>
    <w:rsid w:val="00BD0C7C"/>
    <w:rsid w:val="00BD0C80"/>
    <w:rsid w:val="00BD0CAC"/>
    <w:rsid w:val="00BD0D04"/>
    <w:rsid w:val="00BD0D0E"/>
    <w:rsid w:val="00BD0D55"/>
    <w:rsid w:val="00BD0D84"/>
    <w:rsid w:val="00BD0D8D"/>
    <w:rsid w:val="00BD0DB8"/>
    <w:rsid w:val="00BD0EBB"/>
    <w:rsid w:val="00BD0ED5"/>
    <w:rsid w:val="00BD0F51"/>
    <w:rsid w:val="00BD0F96"/>
    <w:rsid w:val="00BD0FAD"/>
    <w:rsid w:val="00BD0FC1"/>
    <w:rsid w:val="00BD0FC8"/>
    <w:rsid w:val="00BD0FD6"/>
    <w:rsid w:val="00BD0FF6"/>
    <w:rsid w:val="00BD1063"/>
    <w:rsid w:val="00BD106B"/>
    <w:rsid w:val="00BD10CA"/>
    <w:rsid w:val="00BD10D2"/>
    <w:rsid w:val="00BD1105"/>
    <w:rsid w:val="00BD112C"/>
    <w:rsid w:val="00BD113C"/>
    <w:rsid w:val="00BD1147"/>
    <w:rsid w:val="00BD11E2"/>
    <w:rsid w:val="00BD1244"/>
    <w:rsid w:val="00BD124D"/>
    <w:rsid w:val="00BD12A4"/>
    <w:rsid w:val="00BD12AB"/>
    <w:rsid w:val="00BD132A"/>
    <w:rsid w:val="00BD1337"/>
    <w:rsid w:val="00BD13E5"/>
    <w:rsid w:val="00BD13E6"/>
    <w:rsid w:val="00BD1426"/>
    <w:rsid w:val="00BD157D"/>
    <w:rsid w:val="00BD157E"/>
    <w:rsid w:val="00BD1587"/>
    <w:rsid w:val="00BD1606"/>
    <w:rsid w:val="00BD1670"/>
    <w:rsid w:val="00BD167A"/>
    <w:rsid w:val="00BD16D2"/>
    <w:rsid w:val="00BD177E"/>
    <w:rsid w:val="00BD1805"/>
    <w:rsid w:val="00BD18C3"/>
    <w:rsid w:val="00BD18F1"/>
    <w:rsid w:val="00BD1970"/>
    <w:rsid w:val="00BD1A02"/>
    <w:rsid w:val="00BD1AB6"/>
    <w:rsid w:val="00BD1BA3"/>
    <w:rsid w:val="00BD1BC0"/>
    <w:rsid w:val="00BD1BC5"/>
    <w:rsid w:val="00BD1BCE"/>
    <w:rsid w:val="00BD1C12"/>
    <w:rsid w:val="00BD1C81"/>
    <w:rsid w:val="00BD1CA3"/>
    <w:rsid w:val="00BD1CF9"/>
    <w:rsid w:val="00BD1D22"/>
    <w:rsid w:val="00BD1DB1"/>
    <w:rsid w:val="00BD1E57"/>
    <w:rsid w:val="00BD1E6D"/>
    <w:rsid w:val="00BD1E95"/>
    <w:rsid w:val="00BD1EFB"/>
    <w:rsid w:val="00BD1F0D"/>
    <w:rsid w:val="00BD1F16"/>
    <w:rsid w:val="00BD1F8E"/>
    <w:rsid w:val="00BD1F9C"/>
    <w:rsid w:val="00BD1FC3"/>
    <w:rsid w:val="00BD2017"/>
    <w:rsid w:val="00BD201B"/>
    <w:rsid w:val="00BD204A"/>
    <w:rsid w:val="00BD2092"/>
    <w:rsid w:val="00BD2139"/>
    <w:rsid w:val="00BD216A"/>
    <w:rsid w:val="00BD2178"/>
    <w:rsid w:val="00BD21FC"/>
    <w:rsid w:val="00BD2295"/>
    <w:rsid w:val="00BD22CB"/>
    <w:rsid w:val="00BD22EB"/>
    <w:rsid w:val="00BD233D"/>
    <w:rsid w:val="00BD23E4"/>
    <w:rsid w:val="00BD24D2"/>
    <w:rsid w:val="00BD24E8"/>
    <w:rsid w:val="00BD24F3"/>
    <w:rsid w:val="00BD2544"/>
    <w:rsid w:val="00BD257A"/>
    <w:rsid w:val="00BD257E"/>
    <w:rsid w:val="00BD25EC"/>
    <w:rsid w:val="00BD2604"/>
    <w:rsid w:val="00BD261D"/>
    <w:rsid w:val="00BD26C9"/>
    <w:rsid w:val="00BD26D0"/>
    <w:rsid w:val="00BD2703"/>
    <w:rsid w:val="00BD27AB"/>
    <w:rsid w:val="00BD282C"/>
    <w:rsid w:val="00BD2838"/>
    <w:rsid w:val="00BD28D1"/>
    <w:rsid w:val="00BD28F3"/>
    <w:rsid w:val="00BD29B7"/>
    <w:rsid w:val="00BD2A33"/>
    <w:rsid w:val="00BD2B3E"/>
    <w:rsid w:val="00BD2B99"/>
    <w:rsid w:val="00BD2BAD"/>
    <w:rsid w:val="00BD2BE8"/>
    <w:rsid w:val="00BD2C88"/>
    <w:rsid w:val="00BD2CA1"/>
    <w:rsid w:val="00BD2CD7"/>
    <w:rsid w:val="00BD2D07"/>
    <w:rsid w:val="00BD2D72"/>
    <w:rsid w:val="00BD2DD7"/>
    <w:rsid w:val="00BD2E21"/>
    <w:rsid w:val="00BD2E54"/>
    <w:rsid w:val="00BD2E5B"/>
    <w:rsid w:val="00BD2E65"/>
    <w:rsid w:val="00BD2EFE"/>
    <w:rsid w:val="00BD2F20"/>
    <w:rsid w:val="00BD2F81"/>
    <w:rsid w:val="00BD2FB6"/>
    <w:rsid w:val="00BD2FC0"/>
    <w:rsid w:val="00BD2FC2"/>
    <w:rsid w:val="00BD2FCB"/>
    <w:rsid w:val="00BD311E"/>
    <w:rsid w:val="00BD3177"/>
    <w:rsid w:val="00BD319F"/>
    <w:rsid w:val="00BD31C0"/>
    <w:rsid w:val="00BD31DD"/>
    <w:rsid w:val="00BD320D"/>
    <w:rsid w:val="00BD327E"/>
    <w:rsid w:val="00BD32B0"/>
    <w:rsid w:val="00BD3380"/>
    <w:rsid w:val="00BD33A0"/>
    <w:rsid w:val="00BD33CF"/>
    <w:rsid w:val="00BD33DD"/>
    <w:rsid w:val="00BD3409"/>
    <w:rsid w:val="00BD3418"/>
    <w:rsid w:val="00BD3422"/>
    <w:rsid w:val="00BD3434"/>
    <w:rsid w:val="00BD3475"/>
    <w:rsid w:val="00BD34C8"/>
    <w:rsid w:val="00BD34E0"/>
    <w:rsid w:val="00BD351D"/>
    <w:rsid w:val="00BD35C2"/>
    <w:rsid w:val="00BD3605"/>
    <w:rsid w:val="00BD3609"/>
    <w:rsid w:val="00BD3616"/>
    <w:rsid w:val="00BD367E"/>
    <w:rsid w:val="00BD3680"/>
    <w:rsid w:val="00BD3748"/>
    <w:rsid w:val="00BD379B"/>
    <w:rsid w:val="00BD37FD"/>
    <w:rsid w:val="00BD3822"/>
    <w:rsid w:val="00BD3875"/>
    <w:rsid w:val="00BD38CD"/>
    <w:rsid w:val="00BD393C"/>
    <w:rsid w:val="00BD3997"/>
    <w:rsid w:val="00BD3AC6"/>
    <w:rsid w:val="00BD3B4C"/>
    <w:rsid w:val="00BD3B77"/>
    <w:rsid w:val="00BD3B79"/>
    <w:rsid w:val="00BD3BDA"/>
    <w:rsid w:val="00BD3BEC"/>
    <w:rsid w:val="00BD3C2D"/>
    <w:rsid w:val="00BD3C64"/>
    <w:rsid w:val="00BD3C83"/>
    <w:rsid w:val="00BD3CD4"/>
    <w:rsid w:val="00BD3CF5"/>
    <w:rsid w:val="00BD3D48"/>
    <w:rsid w:val="00BD3D5D"/>
    <w:rsid w:val="00BD3D79"/>
    <w:rsid w:val="00BD3DDB"/>
    <w:rsid w:val="00BD3ED1"/>
    <w:rsid w:val="00BD3F48"/>
    <w:rsid w:val="00BD3FD7"/>
    <w:rsid w:val="00BD407F"/>
    <w:rsid w:val="00BD40BD"/>
    <w:rsid w:val="00BD415E"/>
    <w:rsid w:val="00BD4225"/>
    <w:rsid w:val="00BD4244"/>
    <w:rsid w:val="00BD42A7"/>
    <w:rsid w:val="00BD42D7"/>
    <w:rsid w:val="00BD435A"/>
    <w:rsid w:val="00BD437B"/>
    <w:rsid w:val="00BD4381"/>
    <w:rsid w:val="00BD439E"/>
    <w:rsid w:val="00BD43BB"/>
    <w:rsid w:val="00BD4466"/>
    <w:rsid w:val="00BD44A2"/>
    <w:rsid w:val="00BD44D4"/>
    <w:rsid w:val="00BD44E5"/>
    <w:rsid w:val="00BD4526"/>
    <w:rsid w:val="00BD4587"/>
    <w:rsid w:val="00BD45E6"/>
    <w:rsid w:val="00BD4649"/>
    <w:rsid w:val="00BD4681"/>
    <w:rsid w:val="00BD46A4"/>
    <w:rsid w:val="00BD46D3"/>
    <w:rsid w:val="00BD46DD"/>
    <w:rsid w:val="00BD4718"/>
    <w:rsid w:val="00BD472B"/>
    <w:rsid w:val="00BD47A0"/>
    <w:rsid w:val="00BD47F6"/>
    <w:rsid w:val="00BD4806"/>
    <w:rsid w:val="00BD4877"/>
    <w:rsid w:val="00BD4881"/>
    <w:rsid w:val="00BD48CF"/>
    <w:rsid w:val="00BD48DB"/>
    <w:rsid w:val="00BD48EB"/>
    <w:rsid w:val="00BD4946"/>
    <w:rsid w:val="00BD4A31"/>
    <w:rsid w:val="00BD4AB7"/>
    <w:rsid w:val="00BD4ADB"/>
    <w:rsid w:val="00BD4AE0"/>
    <w:rsid w:val="00BD4B20"/>
    <w:rsid w:val="00BD4B33"/>
    <w:rsid w:val="00BD4B69"/>
    <w:rsid w:val="00BD4B95"/>
    <w:rsid w:val="00BD4BBB"/>
    <w:rsid w:val="00BD4C1B"/>
    <w:rsid w:val="00BD4C24"/>
    <w:rsid w:val="00BD4C44"/>
    <w:rsid w:val="00BD4D1E"/>
    <w:rsid w:val="00BD4E07"/>
    <w:rsid w:val="00BD4E2F"/>
    <w:rsid w:val="00BD4F3E"/>
    <w:rsid w:val="00BD4F54"/>
    <w:rsid w:val="00BD5007"/>
    <w:rsid w:val="00BD506C"/>
    <w:rsid w:val="00BD50BE"/>
    <w:rsid w:val="00BD5106"/>
    <w:rsid w:val="00BD5152"/>
    <w:rsid w:val="00BD517D"/>
    <w:rsid w:val="00BD519A"/>
    <w:rsid w:val="00BD5221"/>
    <w:rsid w:val="00BD5282"/>
    <w:rsid w:val="00BD5285"/>
    <w:rsid w:val="00BD528B"/>
    <w:rsid w:val="00BD5330"/>
    <w:rsid w:val="00BD5383"/>
    <w:rsid w:val="00BD53BB"/>
    <w:rsid w:val="00BD5453"/>
    <w:rsid w:val="00BD548D"/>
    <w:rsid w:val="00BD548E"/>
    <w:rsid w:val="00BD54C8"/>
    <w:rsid w:val="00BD54DA"/>
    <w:rsid w:val="00BD556E"/>
    <w:rsid w:val="00BD55A3"/>
    <w:rsid w:val="00BD55BD"/>
    <w:rsid w:val="00BD5650"/>
    <w:rsid w:val="00BD5660"/>
    <w:rsid w:val="00BD566D"/>
    <w:rsid w:val="00BD5693"/>
    <w:rsid w:val="00BD56B1"/>
    <w:rsid w:val="00BD5826"/>
    <w:rsid w:val="00BD582B"/>
    <w:rsid w:val="00BD5851"/>
    <w:rsid w:val="00BD5878"/>
    <w:rsid w:val="00BD5A00"/>
    <w:rsid w:val="00BD5B80"/>
    <w:rsid w:val="00BD5C19"/>
    <w:rsid w:val="00BD5CA2"/>
    <w:rsid w:val="00BD5CAF"/>
    <w:rsid w:val="00BD5D7F"/>
    <w:rsid w:val="00BD5E5A"/>
    <w:rsid w:val="00BD5ED5"/>
    <w:rsid w:val="00BD5F0A"/>
    <w:rsid w:val="00BD5F16"/>
    <w:rsid w:val="00BD5FA2"/>
    <w:rsid w:val="00BD601D"/>
    <w:rsid w:val="00BD6056"/>
    <w:rsid w:val="00BD60A6"/>
    <w:rsid w:val="00BD60B9"/>
    <w:rsid w:val="00BD612E"/>
    <w:rsid w:val="00BD61C2"/>
    <w:rsid w:val="00BD6282"/>
    <w:rsid w:val="00BD62D8"/>
    <w:rsid w:val="00BD62DC"/>
    <w:rsid w:val="00BD62E6"/>
    <w:rsid w:val="00BD6331"/>
    <w:rsid w:val="00BD6341"/>
    <w:rsid w:val="00BD6390"/>
    <w:rsid w:val="00BD6420"/>
    <w:rsid w:val="00BD643A"/>
    <w:rsid w:val="00BD64C2"/>
    <w:rsid w:val="00BD6501"/>
    <w:rsid w:val="00BD657F"/>
    <w:rsid w:val="00BD6597"/>
    <w:rsid w:val="00BD6603"/>
    <w:rsid w:val="00BD671F"/>
    <w:rsid w:val="00BD673F"/>
    <w:rsid w:val="00BD677A"/>
    <w:rsid w:val="00BD679C"/>
    <w:rsid w:val="00BD6828"/>
    <w:rsid w:val="00BD6884"/>
    <w:rsid w:val="00BD68DE"/>
    <w:rsid w:val="00BD68F9"/>
    <w:rsid w:val="00BD691F"/>
    <w:rsid w:val="00BD69D6"/>
    <w:rsid w:val="00BD6A25"/>
    <w:rsid w:val="00BD6A6C"/>
    <w:rsid w:val="00BD6AB9"/>
    <w:rsid w:val="00BD6AC8"/>
    <w:rsid w:val="00BD6AE2"/>
    <w:rsid w:val="00BD6B09"/>
    <w:rsid w:val="00BD6B0C"/>
    <w:rsid w:val="00BD6B20"/>
    <w:rsid w:val="00BD6B3D"/>
    <w:rsid w:val="00BD6B98"/>
    <w:rsid w:val="00BD6CA7"/>
    <w:rsid w:val="00BD6CB8"/>
    <w:rsid w:val="00BD6D66"/>
    <w:rsid w:val="00BD6D7F"/>
    <w:rsid w:val="00BD6E13"/>
    <w:rsid w:val="00BD6E5E"/>
    <w:rsid w:val="00BD6E92"/>
    <w:rsid w:val="00BD6F78"/>
    <w:rsid w:val="00BD6FD6"/>
    <w:rsid w:val="00BD70A4"/>
    <w:rsid w:val="00BD70EE"/>
    <w:rsid w:val="00BD70F3"/>
    <w:rsid w:val="00BD71B3"/>
    <w:rsid w:val="00BD7249"/>
    <w:rsid w:val="00BD7289"/>
    <w:rsid w:val="00BD729D"/>
    <w:rsid w:val="00BD7365"/>
    <w:rsid w:val="00BD7416"/>
    <w:rsid w:val="00BD745F"/>
    <w:rsid w:val="00BD74F0"/>
    <w:rsid w:val="00BD74F2"/>
    <w:rsid w:val="00BD76A9"/>
    <w:rsid w:val="00BD76E3"/>
    <w:rsid w:val="00BD7752"/>
    <w:rsid w:val="00BD775C"/>
    <w:rsid w:val="00BD778C"/>
    <w:rsid w:val="00BD7820"/>
    <w:rsid w:val="00BD784E"/>
    <w:rsid w:val="00BD78CA"/>
    <w:rsid w:val="00BD794A"/>
    <w:rsid w:val="00BD7AD3"/>
    <w:rsid w:val="00BD7AE5"/>
    <w:rsid w:val="00BD7AE7"/>
    <w:rsid w:val="00BD7AEA"/>
    <w:rsid w:val="00BD7B23"/>
    <w:rsid w:val="00BD7B2C"/>
    <w:rsid w:val="00BD7B30"/>
    <w:rsid w:val="00BD7B3C"/>
    <w:rsid w:val="00BD7B4B"/>
    <w:rsid w:val="00BD7C31"/>
    <w:rsid w:val="00BD7C97"/>
    <w:rsid w:val="00BD7D8C"/>
    <w:rsid w:val="00BD7D9C"/>
    <w:rsid w:val="00BD7DA2"/>
    <w:rsid w:val="00BD7E3D"/>
    <w:rsid w:val="00BD7E3F"/>
    <w:rsid w:val="00BD7E74"/>
    <w:rsid w:val="00BD7E8F"/>
    <w:rsid w:val="00BD7E9B"/>
    <w:rsid w:val="00BD7E9D"/>
    <w:rsid w:val="00BD7EFD"/>
    <w:rsid w:val="00BD7F20"/>
    <w:rsid w:val="00BD7F33"/>
    <w:rsid w:val="00BE00C8"/>
    <w:rsid w:val="00BE00D4"/>
    <w:rsid w:val="00BE0172"/>
    <w:rsid w:val="00BE01A2"/>
    <w:rsid w:val="00BE01B2"/>
    <w:rsid w:val="00BE01D5"/>
    <w:rsid w:val="00BE01E1"/>
    <w:rsid w:val="00BE0229"/>
    <w:rsid w:val="00BE025D"/>
    <w:rsid w:val="00BE0313"/>
    <w:rsid w:val="00BE040B"/>
    <w:rsid w:val="00BE0416"/>
    <w:rsid w:val="00BE0456"/>
    <w:rsid w:val="00BE0464"/>
    <w:rsid w:val="00BE04A9"/>
    <w:rsid w:val="00BE04C6"/>
    <w:rsid w:val="00BE0553"/>
    <w:rsid w:val="00BE06C4"/>
    <w:rsid w:val="00BE076F"/>
    <w:rsid w:val="00BE07CC"/>
    <w:rsid w:val="00BE07F2"/>
    <w:rsid w:val="00BE0809"/>
    <w:rsid w:val="00BE093D"/>
    <w:rsid w:val="00BE09C2"/>
    <w:rsid w:val="00BE09D1"/>
    <w:rsid w:val="00BE09EE"/>
    <w:rsid w:val="00BE0A55"/>
    <w:rsid w:val="00BE0AA3"/>
    <w:rsid w:val="00BE0AA4"/>
    <w:rsid w:val="00BE0AAB"/>
    <w:rsid w:val="00BE0AE7"/>
    <w:rsid w:val="00BE0B07"/>
    <w:rsid w:val="00BE0B46"/>
    <w:rsid w:val="00BE0BB5"/>
    <w:rsid w:val="00BE0C12"/>
    <w:rsid w:val="00BE0CD4"/>
    <w:rsid w:val="00BE0CDF"/>
    <w:rsid w:val="00BE0D56"/>
    <w:rsid w:val="00BE0D5E"/>
    <w:rsid w:val="00BE0DD9"/>
    <w:rsid w:val="00BE0DE6"/>
    <w:rsid w:val="00BE0E8A"/>
    <w:rsid w:val="00BE0EC1"/>
    <w:rsid w:val="00BE0EEF"/>
    <w:rsid w:val="00BE0EFF"/>
    <w:rsid w:val="00BE0FBC"/>
    <w:rsid w:val="00BE110E"/>
    <w:rsid w:val="00BE110F"/>
    <w:rsid w:val="00BE114F"/>
    <w:rsid w:val="00BE1155"/>
    <w:rsid w:val="00BE117F"/>
    <w:rsid w:val="00BE1183"/>
    <w:rsid w:val="00BE11FC"/>
    <w:rsid w:val="00BE12A1"/>
    <w:rsid w:val="00BE12C1"/>
    <w:rsid w:val="00BE12E7"/>
    <w:rsid w:val="00BE1377"/>
    <w:rsid w:val="00BE1383"/>
    <w:rsid w:val="00BE14F6"/>
    <w:rsid w:val="00BE1583"/>
    <w:rsid w:val="00BE1594"/>
    <w:rsid w:val="00BE1616"/>
    <w:rsid w:val="00BE1723"/>
    <w:rsid w:val="00BE17FE"/>
    <w:rsid w:val="00BE189C"/>
    <w:rsid w:val="00BE18BB"/>
    <w:rsid w:val="00BE18F9"/>
    <w:rsid w:val="00BE1921"/>
    <w:rsid w:val="00BE193D"/>
    <w:rsid w:val="00BE1A23"/>
    <w:rsid w:val="00BE1A60"/>
    <w:rsid w:val="00BE1A8D"/>
    <w:rsid w:val="00BE1AF9"/>
    <w:rsid w:val="00BE1B5B"/>
    <w:rsid w:val="00BE1C60"/>
    <w:rsid w:val="00BE1CAB"/>
    <w:rsid w:val="00BE1CCD"/>
    <w:rsid w:val="00BE1CEE"/>
    <w:rsid w:val="00BE1D21"/>
    <w:rsid w:val="00BE1D4D"/>
    <w:rsid w:val="00BE1D52"/>
    <w:rsid w:val="00BE1DC2"/>
    <w:rsid w:val="00BE1E17"/>
    <w:rsid w:val="00BE1E49"/>
    <w:rsid w:val="00BE1F0A"/>
    <w:rsid w:val="00BE1F1A"/>
    <w:rsid w:val="00BE1F9E"/>
    <w:rsid w:val="00BE1FF5"/>
    <w:rsid w:val="00BE2018"/>
    <w:rsid w:val="00BE2092"/>
    <w:rsid w:val="00BE217E"/>
    <w:rsid w:val="00BE21C8"/>
    <w:rsid w:val="00BE21EE"/>
    <w:rsid w:val="00BE2201"/>
    <w:rsid w:val="00BE227A"/>
    <w:rsid w:val="00BE228B"/>
    <w:rsid w:val="00BE22F8"/>
    <w:rsid w:val="00BE234B"/>
    <w:rsid w:val="00BE23BC"/>
    <w:rsid w:val="00BE23E6"/>
    <w:rsid w:val="00BE2441"/>
    <w:rsid w:val="00BE24DF"/>
    <w:rsid w:val="00BE259B"/>
    <w:rsid w:val="00BE27A6"/>
    <w:rsid w:val="00BE2920"/>
    <w:rsid w:val="00BE293D"/>
    <w:rsid w:val="00BE29CE"/>
    <w:rsid w:val="00BE29F5"/>
    <w:rsid w:val="00BE29FD"/>
    <w:rsid w:val="00BE2AA6"/>
    <w:rsid w:val="00BE2B4D"/>
    <w:rsid w:val="00BE2BB4"/>
    <w:rsid w:val="00BE2BB6"/>
    <w:rsid w:val="00BE2BFF"/>
    <w:rsid w:val="00BE2C4C"/>
    <w:rsid w:val="00BE2C5F"/>
    <w:rsid w:val="00BE2C67"/>
    <w:rsid w:val="00BE2C7C"/>
    <w:rsid w:val="00BE2CEA"/>
    <w:rsid w:val="00BE2D2A"/>
    <w:rsid w:val="00BE2D35"/>
    <w:rsid w:val="00BE2DA3"/>
    <w:rsid w:val="00BE2E0E"/>
    <w:rsid w:val="00BE2E8C"/>
    <w:rsid w:val="00BE2EB7"/>
    <w:rsid w:val="00BE2F0B"/>
    <w:rsid w:val="00BE2F0D"/>
    <w:rsid w:val="00BE2FCA"/>
    <w:rsid w:val="00BE2FFF"/>
    <w:rsid w:val="00BE3071"/>
    <w:rsid w:val="00BE30A8"/>
    <w:rsid w:val="00BE30AC"/>
    <w:rsid w:val="00BE30F2"/>
    <w:rsid w:val="00BE3238"/>
    <w:rsid w:val="00BE3290"/>
    <w:rsid w:val="00BE32F4"/>
    <w:rsid w:val="00BE3421"/>
    <w:rsid w:val="00BE3427"/>
    <w:rsid w:val="00BE3467"/>
    <w:rsid w:val="00BE3538"/>
    <w:rsid w:val="00BE359D"/>
    <w:rsid w:val="00BE35BB"/>
    <w:rsid w:val="00BE3633"/>
    <w:rsid w:val="00BE363E"/>
    <w:rsid w:val="00BE364F"/>
    <w:rsid w:val="00BE3653"/>
    <w:rsid w:val="00BE36C6"/>
    <w:rsid w:val="00BE36CC"/>
    <w:rsid w:val="00BE371F"/>
    <w:rsid w:val="00BE373E"/>
    <w:rsid w:val="00BE3751"/>
    <w:rsid w:val="00BE3766"/>
    <w:rsid w:val="00BE37BE"/>
    <w:rsid w:val="00BE37D4"/>
    <w:rsid w:val="00BE389E"/>
    <w:rsid w:val="00BE38C9"/>
    <w:rsid w:val="00BE390D"/>
    <w:rsid w:val="00BE3942"/>
    <w:rsid w:val="00BE396A"/>
    <w:rsid w:val="00BE3A17"/>
    <w:rsid w:val="00BE3AB1"/>
    <w:rsid w:val="00BE3AF1"/>
    <w:rsid w:val="00BE3CC6"/>
    <w:rsid w:val="00BE3CF3"/>
    <w:rsid w:val="00BE3CFD"/>
    <w:rsid w:val="00BE3D1B"/>
    <w:rsid w:val="00BE3E22"/>
    <w:rsid w:val="00BE3E42"/>
    <w:rsid w:val="00BE3E70"/>
    <w:rsid w:val="00BE3EBB"/>
    <w:rsid w:val="00BE3EC3"/>
    <w:rsid w:val="00BE3EE4"/>
    <w:rsid w:val="00BE3EE5"/>
    <w:rsid w:val="00BE3FB2"/>
    <w:rsid w:val="00BE3FC0"/>
    <w:rsid w:val="00BE3FE0"/>
    <w:rsid w:val="00BE4018"/>
    <w:rsid w:val="00BE4028"/>
    <w:rsid w:val="00BE407B"/>
    <w:rsid w:val="00BE4080"/>
    <w:rsid w:val="00BE40B7"/>
    <w:rsid w:val="00BE40F1"/>
    <w:rsid w:val="00BE41DF"/>
    <w:rsid w:val="00BE4233"/>
    <w:rsid w:val="00BE4282"/>
    <w:rsid w:val="00BE428E"/>
    <w:rsid w:val="00BE4299"/>
    <w:rsid w:val="00BE42F9"/>
    <w:rsid w:val="00BE433F"/>
    <w:rsid w:val="00BE4408"/>
    <w:rsid w:val="00BE443F"/>
    <w:rsid w:val="00BE4443"/>
    <w:rsid w:val="00BE444E"/>
    <w:rsid w:val="00BE4545"/>
    <w:rsid w:val="00BE455E"/>
    <w:rsid w:val="00BE4574"/>
    <w:rsid w:val="00BE45B7"/>
    <w:rsid w:val="00BE45C7"/>
    <w:rsid w:val="00BE45F0"/>
    <w:rsid w:val="00BE461A"/>
    <w:rsid w:val="00BE4717"/>
    <w:rsid w:val="00BE473F"/>
    <w:rsid w:val="00BE47A4"/>
    <w:rsid w:val="00BE4806"/>
    <w:rsid w:val="00BE4817"/>
    <w:rsid w:val="00BE481A"/>
    <w:rsid w:val="00BE4860"/>
    <w:rsid w:val="00BE4864"/>
    <w:rsid w:val="00BE493D"/>
    <w:rsid w:val="00BE498B"/>
    <w:rsid w:val="00BE49BE"/>
    <w:rsid w:val="00BE4ADC"/>
    <w:rsid w:val="00BE4B04"/>
    <w:rsid w:val="00BE4BD7"/>
    <w:rsid w:val="00BE4C41"/>
    <w:rsid w:val="00BE4CDB"/>
    <w:rsid w:val="00BE4D2F"/>
    <w:rsid w:val="00BE4E2B"/>
    <w:rsid w:val="00BE4E5D"/>
    <w:rsid w:val="00BE4E6F"/>
    <w:rsid w:val="00BE4EAD"/>
    <w:rsid w:val="00BE4F2F"/>
    <w:rsid w:val="00BE4F46"/>
    <w:rsid w:val="00BE4FB9"/>
    <w:rsid w:val="00BE4FBE"/>
    <w:rsid w:val="00BE4FD0"/>
    <w:rsid w:val="00BE4FE5"/>
    <w:rsid w:val="00BE4FF6"/>
    <w:rsid w:val="00BE5048"/>
    <w:rsid w:val="00BE50FC"/>
    <w:rsid w:val="00BE511F"/>
    <w:rsid w:val="00BE5206"/>
    <w:rsid w:val="00BE5243"/>
    <w:rsid w:val="00BE5268"/>
    <w:rsid w:val="00BE526A"/>
    <w:rsid w:val="00BE526E"/>
    <w:rsid w:val="00BE528E"/>
    <w:rsid w:val="00BE52DB"/>
    <w:rsid w:val="00BE52F4"/>
    <w:rsid w:val="00BE539D"/>
    <w:rsid w:val="00BE53DF"/>
    <w:rsid w:val="00BE5413"/>
    <w:rsid w:val="00BE541B"/>
    <w:rsid w:val="00BE5541"/>
    <w:rsid w:val="00BE5563"/>
    <w:rsid w:val="00BE5624"/>
    <w:rsid w:val="00BE5667"/>
    <w:rsid w:val="00BE5682"/>
    <w:rsid w:val="00BE56EE"/>
    <w:rsid w:val="00BE5709"/>
    <w:rsid w:val="00BE573F"/>
    <w:rsid w:val="00BE5760"/>
    <w:rsid w:val="00BE5773"/>
    <w:rsid w:val="00BE57EA"/>
    <w:rsid w:val="00BE5801"/>
    <w:rsid w:val="00BE589D"/>
    <w:rsid w:val="00BE5926"/>
    <w:rsid w:val="00BE5939"/>
    <w:rsid w:val="00BE5946"/>
    <w:rsid w:val="00BE59F8"/>
    <w:rsid w:val="00BE5B4B"/>
    <w:rsid w:val="00BE5BD4"/>
    <w:rsid w:val="00BE5BD8"/>
    <w:rsid w:val="00BE5C38"/>
    <w:rsid w:val="00BE5C6E"/>
    <w:rsid w:val="00BE5C8C"/>
    <w:rsid w:val="00BE5CDF"/>
    <w:rsid w:val="00BE5D51"/>
    <w:rsid w:val="00BE5D5D"/>
    <w:rsid w:val="00BE5E66"/>
    <w:rsid w:val="00BE5F7D"/>
    <w:rsid w:val="00BE5FD0"/>
    <w:rsid w:val="00BE5FD3"/>
    <w:rsid w:val="00BE6026"/>
    <w:rsid w:val="00BE603B"/>
    <w:rsid w:val="00BE6044"/>
    <w:rsid w:val="00BE605C"/>
    <w:rsid w:val="00BE60D0"/>
    <w:rsid w:val="00BE611C"/>
    <w:rsid w:val="00BE613A"/>
    <w:rsid w:val="00BE614D"/>
    <w:rsid w:val="00BE6157"/>
    <w:rsid w:val="00BE617D"/>
    <w:rsid w:val="00BE61C8"/>
    <w:rsid w:val="00BE61F5"/>
    <w:rsid w:val="00BE624D"/>
    <w:rsid w:val="00BE624E"/>
    <w:rsid w:val="00BE627F"/>
    <w:rsid w:val="00BE6282"/>
    <w:rsid w:val="00BE62DD"/>
    <w:rsid w:val="00BE6320"/>
    <w:rsid w:val="00BE6356"/>
    <w:rsid w:val="00BE638C"/>
    <w:rsid w:val="00BE63BE"/>
    <w:rsid w:val="00BE63D2"/>
    <w:rsid w:val="00BE63EF"/>
    <w:rsid w:val="00BE63F8"/>
    <w:rsid w:val="00BE63FE"/>
    <w:rsid w:val="00BE649E"/>
    <w:rsid w:val="00BE65B1"/>
    <w:rsid w:val="00BE65D2"/>
    <w:rsid w:val="00BE65E2"/>
    <w:rsid w:val="00BE665A"/>
    <w:rsid w:val="00BE66AC"/>
    <w:rsid w:val="00BE66D0"/>
    <w:rsid w:val="00BE6778"/>
    <w:rsid w:val="00BE6821"/>
    <w:rsid w:val="00BE6914"/>
    <w:rsid w:val="00BE6932"/>
    <w:rsid w:val="00BE696E"/>
    <w:rsid w:val="00BE6A14"/>
    <w:rsid w:val="00BE6AA0"/>
    <w:rsid w:val="00BE6AB1"/>
    <w:rsid w:val="00BE6AD3"/>
    <w:rsid w:val="00BE6AFF"/>
    <w:rsid w:val="00BE6B11"/>
    <w:rsid w:val="00BE6BA4"/>
    <w:rsid w:val="00BE6BE4"/>
    <w:rsid w:val="00BE6BE6"/>
    <w:rsid w:val="00BE6C84"/>
    <w:rsid w:val="00BE6CA2"/>
    <w:rsid w:val="00BE6CE8"/>
    <w:rsid w:val="00BE6D46"/>
    <w:rsid w:val="00BE6DCC"/>
    <w:rsid w:val="00BE6E42"/>
    <w:rsid w:val="00BE6E80"/>
    <w:rsid w:val="00BE6E9B"/>
    <w:rsid w:val="00BE6FE7"/>
    <w:rsid w:val="00BE6FFA"/>
    <w:rsid w:val="00BE7002"/>
    <w:rsid w:val="00BE70CC"/>
    <w:rsid w:val="00BE714D"/>
    <w:rsid w:val="00BE7162"/>
    <w:rsid w:val="00BE71DB"/>
    <w:rsid w:val="00BE7220"/>
    <w:rsid w:val="00BE72B0"/>
    <w:rsid w:val="00BE7375"/>
    <w:rsid w:val="00BE73BA"/>
    <w:rsid w:val="00BE73F5"/>
    <w:rsid w:val="00BE7409"/>
    <w:rsid w:val="00BE7454"/>
    <w:rsid w:val="00BE7463"/>
    <w:rsid w:val="00BE74A5"/>
    <w:rsid w:val="00BE74DE"/>
    <w:rsid w:val="00BE75C2"/>
    <w:rsid w:val="00BE7646"/>
    <w:rsid w:val="00BE76DB"/>
    <w:rsid w:val="00BE770F"/>
    <w:rsid w:val="00BE786E"/>
    <w:rsid w:val="00BE788A"/>
    <w:rsid w:val="00BE7903"/>
    <w:rsid w:val="00BE7951"/>
    <w:rsid w:val="00BE795A"/>
    <w:rsid w:val="00BE7989"/>
    <w:rsid w:val="00BE7A07"/>
    <w:rsid w:val="00BE7A32"/>
    <w:rsid w:val="00BE7A97"/>
    <w:rsid w:val="00BE7A9F"/>
    <w:rsid w:val="00BE7B8A"/>
    <w:rsid w:val="00BE7BBE"/>
    <w:rsid w:val="00BE7BC8"/>
    <w:rsid w:val="00BE7BD8"/>
    <w:rsid w:val="00BE7C06"/>
    <w:rsid w:val="00BE7C59"/>
    <w:rsid w:val="00BE7C5E"/>
    <w:rsid w:val="00BE7C70"/>
    <w:rsid w:val="00BE7CE0"/>
    <w:rsid w:val="00BE7CE4"/>
    <w:rsid w:val="00BE7D02"/>
    <w:rsid w:val="00BE7D9D"/>
    <w:rsid w:val="00BE7E02"/>
    <w:rsid w:val="00BE7E1A"/>
    <w:rsid w:val="00BE7E89"/>
    <w:rsid w:val="00BE7EA8"/>
    <w:rsid w:val="00BE7F3E"/>
    <w:rsid w:val="00BE7FDD"/>
    <w:rsid w:val="00BF000F"/>
    <w:rsid w:val="00BF001D"/>
    <w:rsid w:val="00BF002A"/>
    <w:rsid w:val="00BF0055"/>
    <w:rsid w:val="00BF0070"/>
    <w:rsid w:val="00BF00CA"/>
    <w:rsid w:val="00BF012E"/>
    <w:rsid w:val="00BF02E1"/>
    <w:rsid w:val="00BF030E"/>
    <w:rsid w:val="00BF0329"/>
    <w:rsid w:val="00BF034C"/>
    <w:rsid w:val="00BF03F7"/>
    <w:rsid w:val="00BF0419"/>
    <w:rsid w:val="00BF0430"/>
    <w:rsid w:val="00BF043C"/>
    <w:rsid w:val="00BF0456"/>
    <w:rsid w:val="00BF0577"/>
    <w:rsid w:val="00BF06F4"/>
    <w:rsid w:val="00BF070E"/>
    <w:rsid w:val="00BF0713"/>
    <w:rsid w:val="00BF0803"/>
    <w:rsid w:val="00BF081C"/>
    <w:rsid w:val="00BF0821"/>
    <w:rsid w:val="00BF0865"/>
    <w:rsid w:val="00BF0885"/>
    <w:rsid w:val="00BF0905"/>
    <w:rsid w:val="00BF0920"/>
    <w:rsid w:val="00BF0977"/>
    <w:rsid w:val="00BF09A2"/>
    <w:rsid w:val="00BF0A25"/>
    <w:rsid w:val="00BF0A2E"/>
    <w:rsid w:val="00BF0A37"/>
    <w:rsid w:val="00BF0A51"/>
    <w:rsid w:val="00BF0A7D"/>
    <w:rsid w:val="00BF0ADC"/>
    <w:rsid w:val="00BF0AED"/>
    <w:rsid w:val="00BF0B7A"/>
    <w:rsid w:val="00BF0BF8"/>
    <w:rsid w:val="00BF0C98"/>
    <w:rsid w:val="00BF0CDD"/>
    <w:rsid w:val="00BF0CDF"/>
    <w:rsid w:val="00BF0CEF"/>
    <w:rsid w:val="00BF0D29"/>
    <w:rsid w:val="00BF0D74"/>
    <w:rsid w:val="00BF0DBD"/>
    <w:rsid w:val="00BF0E44"/>
    <w:rsid w:val="00BF0E5C"/>
    <w:rsid w:val="00BF0E94"/>
    <w:rsid w:val="00BF0E9C"/>
    <w:rsid w:val="00BF0E9E"/>
    <w:rsid w:val="00BF0EE6"/>
    <w:rsid w:val="00BF0F21"/>
    <w:rsid w:val="00BF0F85"/>
    <w:rsid w:val="00BF1139"/>
    <w:rsid w:val="00BF123D"/>
    <w:rsid w:val="00BF1249"/>
    <w:rsid w:val="00BF1254"/>
    <w:rsid w:val="00BF1299"/>
    <w:rsid w:val="00BF13B1"/>
    <w:rsid w:val="00BF1476"/>
    <w:rsid w:val="00BF1479"/>
    <w:rsid w:val="00BF14A0"/>
    <w:rsid w:val="00BF1541"/>
    <w:rsid w:val="00BF1560"/>
    <w:rsid w:val="00BF1596"/>
    <w:rsid w:val="00BF1599"/>
    <w:rsid w:val="00BF15B2"/>
    <w:rsid w:val="00BF15B9"/>
    <w:rsid w:val="00BF1692"/>
    <w:rsid w:val="00BF1701"/>
    <w:rsid w:val="00BF177B"/>
    <w:rsid w:val="00BF178D"/>
    <w:rsid w:val="00BF1794"/>
    <w:rsid w:val="00BF17A7"/>
    <w:rsid w:val="00BF17B0"/>
    <w:rsid w:val="00BF17EF"/>
    <w:rsid w:val="00BF18DE"/>
    <w:rsid w:val="00BF1905"/>
    <w:rsid w:val="00BF194E"/>
    <w:rsid w:val="00BF19EF"/>
    <w:rsid w:val="00BF1A07"/>
    <w:rsid w:val="00BF1A1F"/>
    <w:rsid w:val="00BF1A4B"/>
    <w:rsid w:val="00BF1AC6"/>
    <w:rsid w:val="00BF1AC7"/>
    <w:rsid w:val="00BF1B07"/>
    <w:rsid w:val="00BF1B2B"/>
    <w:rsid w:val="00BF1B33"/>
    <w:rsid w:val="00BF1BF6"/>
    <w:rsid w:val="00BF1C2C"/>
    <w:rsid w:val="00BF1CAE"/>
    <w:rsid w:val="00BF1CDE"/>
    <w:rsid w:val="00BF1E52"/>
    <w:rsid w:val="00BF1E9B"/>
    <w:rsid w:val="00BF200B"/>
    <w:rsid w:val="00BF20C4"/>
    <w:rsid w:val="00BF20CC"/>
    <w:rsid w:val="00BF2189"/>
    <w:rsid w:val="00BF21C1"/>
    <w:rsid w:val="00BF222E"/>
    <w:rsid w:val="00BF2265"/>
    <w:rsid w:val="00BF2277"/>
    <w:rsid w:val="00BF227D"/>
    <w:rsid w:val="00BF22C1"/>
    <w:rsid w:val="00BF232B"/>
    <w:rsid w:val="00BF2399"/>
    <w:rsid w:val="00BF23E7"/>
    <w:rsid w:val="00BF23F9"/>
    <w:rsid w:val="00BF24B2"/>
    <w:rsid w:val="00BF24CB"/>
    <w:rsid w:val="00BF2501"/>
    <w:rsid w:val="00BF2526"/>
    <w:rsid w:val="00BF253F"/>
    <w:rsid w:val="00BF254A"/>
    <w:rsid w:val="00BF2568"/>
    <w:rsid w:val="00BF2596"/>
    <w:rsid w:val="00BF261B"/>
    <w:rsid w:val="00BF2633"/>
    <w:rsid w:val="00BF2656"/>
    <w:rsid w:val="00BF2675"/>
    <w:rsid w:val="00BF26A5"/>
    <w:rsid w:val="00BF26B1"/>
    <w:rsid w:val="00BF26E2"/>
    <w:rsid w:val="00BF271E"/>
    <w:rsid w:val="00BF2753"/>
    <w:rsid w:val="00BF279B"/>
    <w:rsid w:val="00BF27AE"/>
    <w:rsid w:val="00BF27E9"/>
    <w:rsid w:val="00BF2803"/>
    <w:rsid w:val="00BF2815"/>
    <w:rsid w:val="00BF2836"/>
    <w:rsid w:val="00BF28D6"/>
    <w:rsid w:val="00BF2933"/>
    <w:rsid w:val="00BF2965"/>
    <w:rsid w:val="00BF29A4"/>
    <w:rsid w:val="00BF2A41"/>
    <w:rsid w:val="00BF2A85"/>
    <w:rsid w:val="00BF2AD8"/>
    <w:rsid w:val="00BF2AE1"/>
    <w:rsid w:val="00BF2B10"/>
    <w:rsid w:val="00BF2B39"/>
    <w:rsid w:val="00BF2B95"/>
    <w:rsid w:val="00BF2BB3"/>
    <w:rsid w:val="00BF2BCC"/>
    <w:rsid w:val="00BF2C17"/>
    <w:rsid w:val="00BF2C1B"/>
    <w:rsid w:val="00BF2CD2"/>
    <w:rsid w:val="00BF2CEE"/>
    <w:rsid w:val="00BF2D24"/>
    <w:rsid w:val="00BF2D59"/>
    <w:rsid w:val="00BF2E12"/>
    <w:rsid w:val="00BF2E24"/>
    <w:rsid w:val="00BF2E61"/>
    <w:rsid w:val="00BF2E7E"/>
    <w:rsid w:val="00BF2EFE"/>
    <w:rsid w:val="00BF2F29"/>
    <w:rsid w:val="00BF2FFB"/>
    <w:rsid w:val="00BF3004"/>
    <w:rsid w:val="00BF3061"/>
    <w:rsid w:val="00BF30A5"/>
    <w:rsid w:val="00BF30B1"/>
    <w:rsid w:val="00BF318C"/>
    <w:rsid w:val="00BF318F"/>
    <w:rsid w:val="00BF322F"/>
    <w:rsid w:val="00BF328F"/>
    <w:rsid w:val="00BF33B9"/>
    <w:rsid w:val="00BF33CC"/>
    <w:rsid w:val="00BF34E9"/>
    <w:rsid w:val="00BF34EF"/>
    <w:rsid w:val="00BF3554"/>
    <w:rsid w:val="00BF3559"/>
    <w:rsid w:val="00BF358F"/>
    <w:rsid w:val="00BF35A4"/>
    <w:rsid w:val="00BF35FF"/>
    <w:rsid w:val="00BF3645"/>
    <w:rsid w:val="00BF3672"/>
    <w:rsid w:val="00BF3687"/>
    <w:rsid w:val="00BF36BB"/>
    <w:rsid w:val="00BF36E8"/>
    <w:rsid w:val="00BF36FE"/>
    <w:rsid w:val="00BF379A"/>
    <w:rsid w:val="00BF37EE"/>
    <w:rsid w:val="00BF37F7"/>
    <w:rsid w:val="00BF3883"/>
    <w:rsid w:val="00BF38D9"/>
    <w:rsid w:val="00BF3904"/>
    <w:rsid w:val="00BF3957"/>
    <w:rsid w:val="00BF3968"/>
    <w:rsid w:val="00BF3982"/>
    <w:rsid w:val="00BF39A4"/>
    <w:rsid w:val="00BF39D1"/>
    <w:rsid w:val="00BF3A69"/>
    <w:rsid w:val="00BF3AB4"/>
    <w:rsid w:val="00BF3B38"/>
    <w:rsid w:val="00BF3B55"/>
    <w:rsid w:val="00BF3B59"/>
    <w:rsid w:val="00BF3C0B"/>
    <w:rsid w:val="00BF3C1C"/>
    <w:rsid w:val="00BF3C61"/>
    <w:rsid w:val="00BF3C71"/>
    <w:rsid w:val="00BF3C91"/>
    <w:rsid w:val="00BF3CB2"/>
    <w:rsid w:val="00BF3D3B"/>
    <w:rsid w:val="00BF3DE3"/>
    <w:rsid w:val="00BF3E08"/>
    <w:rsid w:val="00BF3E2E"/>
    <w:rsid w:val="00BF3E7D"/>
    <w:rsid w:val="00BF3F7F"/>
    <w:rsid w:val="00BF3F9B"/>
    <w:rsid w:val="00BF402A"/>
    <w:rsid w:val="00BF4033"/>
    <w:rsid w:val="00BF404A"/>
    <w:rsid w:val="00BF4106"/>
    <w:rsid w:val="00BF4118"/>
    <w:rsid w:val="00BF4131"/>
    <w:rsid w:val="00BF4188"/>
    <w:rsid w:val="00BF41DA"/>
    <w:rsid w:val="00BF421A"/>
    <w:rsid w:val="00BF4272"/>
    <w:rsid w:val="00BF42A8"/>
    <w:rsid w:val="00BF4314"/>
    <w:rsid w:val="00BF432B"/>
    <w:rsid w:val="00BF43DC"/>
    <w:rsid w:val="00BF43DF"/>
    <w:rsid w:val="00BF442F"/>
    <w:rsid w:val="00BF443F"/>
    <w:rsid w:val="00BF44B1"/>
    <w:rsid w:val="00BF44EE"/>
    <w:rsid w:val="00BF4581"/>
    <w:rsid w:val="00BF459F"/>
    <w:rsid w:val="00BF45C7"/>
    <w:rsid w:val="00BF4611"/>
    <w:rsid w:val="00BF4636"/>
    <w:rsid w:val="00BF46A8"/>
    <w:rsid w:val="00BF47C4"/>
    <w:rsid w:val="00BF47CC"/>
    <w:rsid w:val="00BF4886"/>
    <w:rsid w:val="00BF488D"/>
    <w:rsid w:val="00BF48BF"/>
    <w:rsid w:val="00BF48CF"/>
    <w:rsid w:val="00BF490C"/>
    <w:rsid w:val="00BF4992"/>
    <w:rsid w:val="00BF4A01"/>
    <w:rsid w:val="00BF4A75"/>
    <w:rsid w:val="00BF4B9B"/>
    <w:rsid w:val="00BF4C1E"/>
    <w:rsid w:val="00BF4C9C"/>
    <w:rsid w:val="00BF4D11"/>
    <w:rsid w:val="00BF4D25"/>
    <w:rsid w:val="00BF4D2A"/>
    <w:rsid w:val="00BF4D73"/>
    <w:rsid w:val="00BF4E2C"/>
    <w:rsid w:val="00BF4F95"/>
    <w:rsid w:val="00BF4F9C"/>
    <w:rsid w:val="00BF4FAD"/>
    <w:rsid w:val="00BF4FC9"/>
    <w:rsid w:val="00BF5021"/>
    <w:rsid w:val="00BF50A0"/>
    <w:rsid w:val="00BF50C3"/>
    <w:rsid w:val="00BF510F"/>
    <w:rsid w:val="00BF5121"/>
    <w:rsid w:val="00BF5136"/>
    <w:rsid w:val="00BF5165"/>
    <w:rsid w:val="00BF51B2"/>
    <w:rsid w:val="00BF51BD"/>
    <w:rsid w:val="00BF51F8"/>
    <w:rsid w:val="00BF520B"/>
    <w:rsid w:val="00BF52E3"/>
    <w:rsid w:val="00BF535D"/>
    <w:rsid w:val="00BF5363"/>
    <w:rsid w:val="00BF5395"/>
    <w:rsid w:val="00BF53D1"/>
    <w:rsid w:val="00BF5427"/>
    <w:rsid w:val="00BF5485"/>
    <w:rsid w:val="00BF548D"/>
    <w:rsid w:val="00BF54BA"/>
    <w:rsid w:val="00BF54ED"/>
    <w:rsid w:val="00BF5506"/>
    <w:rsid w:val="00BF5693"/>
    <w:rsid w:val="00BF5697"/>
    <w:rsid w:val="00BF56A5"/>
    <w:rsid w:val="00BF5729"/>
    <w:rsid w:val="00BF57DA"/>
    <w:rsid w:val="00BF580C"/>
    <w:rsid w:val="00BF5901"/>
    <w:rsid w:val="00BF5975"/>
    <w:rsid w:val="00BF59B0"/>
    <w:rsid w:val="00BF5A0A"/>
    <w:rsid w:val="00BF5A25"/>
    <w:rsid w:val="00BF5B5E"/>
    <w:rsid w:val="00BF5BA3"/>
    <w:rsid w:val="00BF5C53"/>
    <w:rsid w:val="00BF5C80"/>
    <w:rsid w:val="00BF5C9E"/>
    <w:rsid w:val="00BF5CA8"/>
    <w:rsid w:val="00BF5CD8"/>
    <w:rsid w:val="00BF5CF6"/>
    <w:rsid w:val="00BF5D90"/>
    <w:rsid w:val="00BF5D99"/>
    <w:rsid w:val="00BF5DE8"/>
    <w:rsid w:val="00BF5E7D"/>
    <w:rsid w:val="00BF5F04"/>
    <w:rsid w:val="00BF5F0A"/>
    <w:rsid w:val="00BF5F16"/>
    <w:rsid w:val="00BF5FB4"/>
    <w:rsid w:val="00BF5FBB"/>
    <w:rsid w:val="00BF60B3"/>
    <w:rsid w:val="00BF60EF"/>
    <w:rsid w:val="00BF6100"/>
    <w:rsid w:val="00BF6174"/>
    <w:rsid w:val="00BF620A"/>
    <w:rsid w:val="00BF626F"/>
    <w:rsid w:val="00BF62CE"/>
    <w:rsid w:val="00BF6342"/>
    <w:rsid w:val="00BF635D"/>
    <w:rsid w:val="00BF63AA"/>
    <w:rsid w:val="00BF63F4"/>
    <w:rsid w:val="00BF63F6"/>
    <w:rsid w:val="00BF642A"/>
    <w:rsid w:val="00BF6479"/>
    <w:rsid w:val="00BF647F"/>
    <w:rsid w:val="00BF649F"/>
    <w:rsid w:val="00BF6535"/>
    <w:rsid w:val="00BF653A"/>
    <w:rsid w:val="00BF65F4"/>
    <w:rsid w:val="00BF6662"/>
    <w:rsid w:val="00BF675D"/>
    <w:rsid w:val="00BF67CE"/>
    <w:rsid w:val="00BF6899"/>
    <w:rsid w:val="00BF68A0"/>
    <w:rsid w:val="00BF6919"/>
    <w:rsid w:val="00BF69A7"/>
    <w:rsid w:val="00BF6A82"/>
    <w:rsid w:val="00BF6B1A"/>
    <w:rsid w:val="00BF6B7C"/>
    <w:rsid w:val="00BF6BAA"/>
    <w:rsid w:val="00BF6BF8"/>
    <w:rsid w:val="00BF6C07"/>
    <w:rsid w:val="00BF6C46"/>
    <w:rsid w:val="00BF6C60"/>
    <w:rsid w:val="00BF6C66"/>
    <w:rsid w:val="00BF6C87"/>
    <w:rsid w:val="00BF6CCE"/>
    <w:rsid w:val="00BF6CD2"/>
    <w:rsid w:val="00BF6CF3"/>
    <w:rsid w:val="00BF6D14"/>
    <w:rsid w:val="00BF6D48"/>
    <w:rsid w:val="00BF6DAD"/>
    <w:rsid w:val="00BF6E6A"/>
    <w:rsid w:val="00BF6E7D"/>
    <w:rsid w:val="00BF6ECB"/>
    <w:rsid w:val="00BF6F0C"/>
    <w:rsid w:val="00BF6F3D"/>
    <w:rsid w:val="00BF6F48"/>
    <w:rsid w:val="00BF6F8E"/>
    <w:rsid w:val="00BF6FB5"/>
    <w:rsid w:val="00BF6FB6"/>
    <w:rsid w:val="00BF7029"/>
    <w:rsid w:val="00BF704B"/>
    <w:rsid w:val="00BF70E5"/>
    <w:rsid w:val="00BF70F8"/>
    <w:rsid w:val="00BF7190"/>
    <w:rsid w:val="00BF71EC"/>
    <w:rsid w:val="00BF7270"/>
    <w:rsid w:val="00BF72B6"/>
    <w:rsid w:val="00BF72DC"/>
    <w:rsid w:val="00BF7309"/>
    <w:rsid w:val="00BF735D"/>
    <w:rsid w:val="00BF746B"/>
    <w:rsid w:val="00BF75B5"/>
    <w:rsid w:val="00BF761E"/>
    <w:rsid w:val="00BF762B"/>
    <w:rsid w:val="00BF767E"/>
    <w:rsid w:val="00BF76B8"/>
    <w:rsid w:val="00BF7728"/>
    <w:rsid w:val="00BF775E"/>
    <w:rsid w:val="00BF7782"/>
    <w:rsid w:val="00BF7802"/>
    <w:rsid w:val="00BF780E"/>
    <w:rsid w:val="00BF7886"/>
    <w:rsid w:val="00BF78A1"/>
    <w:rsid w:val="00BF78A2"/>
    <w:rsid w:val="00BF78F6"/>
    <w:rsid w:val="00BF79B1"/>
    <w:rsid w:val="00BF79C7"/>
    <w:rsid w:val="00BF7A06"/>
    <w:rsid w:val="00BF7A37"/>
    <w:rsid w:val="00BF7A4D"/>
    <w:rsid w:val="00BF7AE3"/>
    <w:rsid w:val="00BF7BD8"/>
    <w:rsid w:val="00BF7BF6"/>
    <w:rsid w:val="00BF7D23"/>
    <w:rsid w:val="00BF7DCA"/>
    <w:rsid w:val="00BF7E2A"/>
    <w:rsid w:val="00BF7E56"/>
    <w:rsid w:val="00BF7E7B"/>
    <w:rsid w:val="00BF7E96"/>
    <w:rsid w:val="00BF7EA3"/>
    <w:rsid w:val="00BF7EB5"/>
    <w:rsid w:val="00BF7EF7"/>
    <w:rsid w:val="00BF7F38"/>
    <w:rsid w:val="00BF7FA8"/>
    <w:rsid w:val="00BF7FB6"/>
    <w:rsid w:val="00C00038"/>
    <w:rsid w:val="00C00064"/>
    <w:rsid w:val="00C000BB"/>
    <w:rsid w:val="00C000E8"/>
    <w:rsid w:val="00C000F6"/>
    <w:rsid w:val="00C00112"/>
    <w:rsid w:val="00C00140"/>
    <w:rsid w:val="00C00178"/>
    <w:rsid w:val="00C00184"/>
    <w:rsid w:val="00C001E5"/>
    <w:rsid w:val="00C00212"/>
    <w:rsid w:val="00C002A0"/>
    <w:rsid w:val="00C002A5"/>
    <w:rsid w:val="00C002BC"/>
    <w:rsid w:val="00C0035D"/>
    <w:rsid w:val="00C00391"/>
    <w:rsid w:val="00C003A6"/>
    <w:rsid w:val="00C003B7"/>
    <w:rsid w:val="00C003BE"/>
    <w:rsid w:val="00C003D9"/>
    <w:rsid w:val="00C003E4"/>
    <w:rsid w:val="00C003E7"/>
    <w:rsid w:val="00C004BF"/>
    <w:rsid w:val="00C0055C"/>
    <w:rsid w:val="00C005EE"/>
    <w:rsid w:val="00C006BF"/>
    <w:rsid w:val="00C00716"/>
    <w:rsid w:val="00C00742"/>
    <w:rsid w:val="00C0075B"/>
    <w:rsid w:val="00C0076E"/>
    <w:rsid w:val="00C0078B"/>
    <w:rsid w:val="00C00856"/>
    <w:rsid w:val="00C00874"/>
    <w:rsid w:val="00C00892"/>
    <w:rsid w:val="00C008AB"/>
    <w:rsid w:val="00C008E9"/>
    <w:rsid w:val="00C00A15"/>
    <w:rsid w:val="00C00A16"/>
    <w:rsid w:val="00C00A83"/>
    <w:rsid w:val="00C00ADC"/>
    <w:rsid w:val="00C00AE2"/>
    <w:rsid w:val="00C00B11"/>
    <w:rsid w:val="00C00B45"/>
    <w:rsid w:val="00C00B4C"/>
    <w:rsid w:val="00C00B7C"/>
    <w:rsid w:val="00C00D51"/>
    <w:rsid w:val="00C00D67"/>
    <w:rsid w:val="00C00D6C"/>
    <w:rsid w:val="00C00DB9"/>
    <w:rsid w:val="00C00EB9"/>
    <w:rsid w:val="00C00EC4"/>
    <w:rsid w:val="00C00EEA"/>
    <w:rsid w:val="00C00EED"/>
    <w:rsid w:val="00C0101E"/>
    <w:rsid w:val="00C01032"/>
    <w:rsid w:val="00C01033"/>
    <w:rsid w:val="00C010A5"/>
    <w:rsid w:val="00C010B3"/>
    <w:rsid w:val="00C010E9"/>
    <w:rsid w:val="00C01193"/>
    <w:rsid w:val="00C01196"/>
    <w:rsid w:val="00C011A8"/>
    <w:rsid w:val="00C0121E"/>
    <w:rsid w:val="00C0122A"/>
    <w:rsid w:val="00C01232"/>
    <w:rsid w:val="00C0123E"/>
    <w:rsid w:val="00C0123F"/>
    <w:rsid w:val="00C012CB"/>
    <w:rsid w:val="00C0131B"/>
    <w:rsid w:val="00C0145D"/>
    <w:rsid w:val="00C01516"/>
    <w:rsid w:val="00C01522"/>
    <w:rsid w:val="00C01534"/>
    <w:rsid w:val="00C01553"/>
    <w:rsid w:val="00C01589"/>
    <w:rsid w:val="00C0159A"/>
    <w:rsid w:val="00C0160A"/>
    <w:rsid w:val="00C01616"/>
    <w:rsid w:val="00C01688"/>
    <w:rsid w:val="00C016B8"/>
    <w:rsid w:val="00C01767"/>
    <w:rsid w:val="00C017F2"/>
    <w:rsid w:val="00C01819"/>
    <w:rsid w:val="00C01851"/>
    <w:rsid w:val="00C018C6"/>
    <w:rsid w:val="00C018D0"/>
    <w:rsid w:val="00C0191F"/>
    <w:rsid w:val="00C01921"/>
    <w:rsid w:val="00C0194D"/>
    <w:rsid w:val="00C019AE"/>
    <w:rsid w:val="00C019FC"/>
    <w:rsid w:val="00C01AC2"/>
    <w:rsid w:val="00C01B19"/>
    <w:rsid w:val="00C01B45"/>
    <w:rsid w:val="00C01B9F"/>
    <w:rsid w:val="00C01BE9"/>
    <w:rsid w:val="00C01D02"/>
    <w:rsid w:val="00C01D3A"/>
    <w:rsid w:val="00C01D45"/>
    <w:rsid w:val="00C01EF5"/>
    <w:rsid w:val="00C01F01"/>
    <w:rsid w:val="00C01F20"/>
    <w:rsid w:val="00C01F22"/>
    <w:rsid w:val="00C01F32"/>
    <w:rsid w:val="00C01F9B"/>
    <w:rsid w:val="00C01F9F"/>
    <w:rsid w:val="00C023AB"/>
    <w:rsid w:val="00C023D4"/>
    <w:rsid w:val="00C023DB"/>
    <w:rsid w:val="00C023E1"/>
    <w:rsid w:val="00C02446"/>
    <w:rsid w:val="00C02525"/>
    <w:rsid w:val="00C02573"/>
    <w:rsid w:val="00C025B2"/>
    <w:rsid w:val="00C025B3"/>
    <w:rsid w:val="00C025F5"/>
    <w:rsid w:val="00C0261F"/>
    <w:rsid w:val="00C02661"/>
    <w:rsid w:val="00C02693"/>
    <w:rsid w:val="00C026E8"/>
    <w:rsid w:val="00C02730"/>
    <w:rsid w:val="00C02734"/>
    <w:rsid w:val="00C02751"/>
    <w:rsid w:val="00C027BE"/>
    <w:rsid w:val="00C0280B"/>
    <w:rsid w:val="00C02888"/>
    <w:rsid w:val="00C02935"/>
    <w:rsid w:val="00C029EB"/>
    <w:rsid w:val="00C029F5"/>
    <w:rsid w:val="00C02AD8"/>
    <w:rsid w:val="00C02BAC"/>
    <w:rsid w:val="00C02BBF"/>
    <w:rsid w:val="00C02BD8"/>
    <w:rsid w:val="00C02BEC"/>
    <w:rsid w:val="00C02C41"/>
    <w:rsid w:val="00C02C77"/>
    <w:rsid w:val="00C02C7A"/>
    <w:rsid w:val="00C02CD0"/>
    <w:rsid w:val="00C02D88"/>
    <w:rsid w:val="00C02DD7"/>
    <w:rsid w:val="00C02DF7"/>
    <w:rsid w:val="00C02F17"/>
    <w:rsid w:val="00C03007"/>
    <w:rsid w:val="00C0300A"/>
    <w:rsid w:val="00C03032"/>
    <w:rsid w:val="00C030F0"/>
    <w:rsid w:val="00C030F1"/>
    <w:rsid w:val="00C03152"/>
    <w:rsid w:val="00C03175"/>
    <w:rsid w:val="00C0318D"/>
    <w:rsid w:val="00C031CA"/>
    <w:rsid w:val="00C031D0"/>
    <w:rsid w:val="00C03235"/>
    <w:rsid w:val="00C032AD"/>
    <w:rsid w:val="00C032B7"/>
    <w:rsid w:val="00C03330"/>
    <w:rsid w:val="00C03343"/>
    <w:rsid w:val="00C03357"/>
    <w:rsid w:val="00C03359"/>
    <w:rsid w:val="00C0336B"/>
    <w:rsid w:val="00C033E0"/>
    <w:rsid w:val="00C0346E"/>
    <w:rsid w:val="00C034FF"/>
    <w:rsid w:val="00C0351C"/>
    <w:rsid w:val="00C0352B"/>
    <w:rsid w:val="00C036B8"/>
    <w:rsid w:val="00C0377B"/>
    <w:rsid w:val="00C03780"/>
    <w:rsid w:val="00C037CC"/>
    <w:rsid w:val="00C037CF"/>
    <w:rsid w:val="00C0385D"/>
    <w:rsid w:val="00C0386A"/>
    <w:rsid w:val="00C0388C"/>
    <w:rsid w:val="00C0390F"/>
    <w:rsid w:val="00C03948"/>
    <w:rsid w:val="00C039DF"/>
    <w:rsid w:val="00C03A0B"/>
    <w:rsid w:val="00C03A51"/>
    <w:rsid w:val="00C03B0B"/>
    <w:rsid w:val="00C03B12"/>
    <w:rsid w:val="00C03B5B"/>
    <w:rsid w:val="00C03BB1"/>
    <w:rsid w:val="00C03BDE"/>
    <w:rsid w:val="00C03BF1"/>
    <w:rsid w:val="00C03C23"/>
    <w:rsid w:val="00C03C2B"/>
    <w:rsid w:val="00C03C4C"/>
    <w:rsid w:val="00C03C6E"/>
    <w:rsid w:val="00C03CA8"/>
    <w:rsid w:val="00C03D7A"/>
    <w:rsid w:val="00C03DAD"/>
    <w:rsid w:val="00C03DF8"/>
    <w:rsid w:val="00C03E72"/>
    <w:rsid w:val="00C03EA0"/>
    <w:rsid w:val="00C03F1B"/>
    <w:rsid w:val="00C03F23"/>
    <w:rsid w:val="00C03F60"/>
    <w:rsid w:val="00C03F98"/>
    <w:rsid w:val="00C040FD"/>
    <w:rsid w:val="00C0416E"/>
    <w:rsid w:val="00C04172"/>
    <w:rsid w:val="00C04182"/>
    <w:rsid w:val="00C04195"/>
    <w:rsid w:val="00C041B8"/>
    <w:rsid w:val="00C041E3"/>
    <w:rsid w:val="00C0420A"/>
    <w:rsid w:val="00C04287"/>
    <w:rsid w:val="00C043EE"/>
    <w:rsid w:val="00C0444E"/>
    <w:rsid w:val="00C04526"/>
    <w:rsid w:val="00C0456B"/>
    <w:rsid w:val="00C045D1"/>
    <w:rsid w:val="00C04618"/>
    <w:rsid w:val="00C04620"/>
    <w:rsid w:val="00C04623"/>
    <w:rsid w:val="00C04625"/>
    <w:rsid w:val="00C046D5"/>
    <w:rsid w:val="00C046F5"/>
    <w:rsid w:val="00C047AC"/>
    <w:rsid w:val="00C0491D"/>
    <w:rsid w:val="00C04941"/>
    <w:rsid w:val="00C04970"/>
    <w:rsid w:val="00C049E3"/>
    <w:rsid w:val="00C04A26"/>
    <w:rsid w:val="00C04ABB"/>
    <w:rsid w:val="00C04AC7"/>
    <w:rsid w:val="00C04AFF"/>
    <w:rsid w:val="00C04C04"/>
    <w:rsid w:val="00C04C1D"/>
    <w:rsid w:val="00C04C5E"/>
    <w:rsid w:val="00C04E7D"/>
    <w:rsid w:val="00C04E90"/>
    <w:rsid w:val="00C04E94"/>
    <w:rsid w:val="00C04EE1"/>
    <w:rsid w:val="00C04F5C"/>
    <w:rsid w:val="00C04FAA"/>
    <w:rsid w:val="00C04FFB"/>
    <w:rsid w:val="00C0502D"/>
    <w:rsid w:val="00C05044"/>
    <w:rsid w:val="00C05052"/>
    <w:rsid w:val="00C0507D"/>
    <w:rsid w:val="00C05091"/>
    <w:rsid w:val="00C0512B"/>
    <w:rsid w:val="00C05245"/>
    <w:rsid w:val="00C05297"/>
    <w:rsid w:val="00C052AF"/>
    <w:rsid w:val="00C052DD"/>
    <w:rsid w:val="00C05320"/>
    <w:rsid w:val="00C0532B"/>
    <w:rsid w:val="00C053B6"/>
    <w:rsid w:val="00C05441"/>
    <w:rsid w:val="00C05444"/>
    <w:rsid w:val="00C054A1"/>
    <w:rsid w:val="00C054B9"/>
    <w:rsid w:val="00C0557C"/>
    <w:rsid w:val="00C055C5"/>
    <w:rsid w:val="00C055F7"/>
    <w:rsid w:val="00C055FC"/>
    <w:rsid w:val="00C05696"/>
    <w:rsid w:val="00C05697"/>
    <w:rsid w:val="00C05731"/>
    <w:rsid w:val="00C05742"/>
    <w:rsid w:val="00C05819"/>
    <w:rsid w:val="00C05876"/>
    <w:rsid w:val="00C058DE"/>
    <w:rsid w:val="00C05945"/>
    <w:rsid w:val="00C05973"/>
    <w:rsid w:val="00C0598E"/>
    <w:rsid w:val="00C059E4"/>
    <w:rsid w:val="00C05A43"/>
    <w:rsid w:val="00C05AA9"/>
    <w:rsid w:val="00C05ACD"/>
    <w:rsid w:val="00C05BB5"/>
    <w:rsid w:val="00C05BBA"/>
    <w:rsid w:val="00C05BCF"/>
    <w:rsid w:val="00C05BDF"/>
    <w:rsid w:val="00C05BF6"/>
    <w:rsid w:val="00C05C01"/>
    <w:rsid w:val="00C05C2A"/>
    <w:rsid w:val="00C05C4D"/>
    <w:rsid w:val="00C05C83"/>
    <w:rsid w:val="00C05CD9"/>
    <w:rsid w:val="00C05CED"/>
    <w:rsid w:val="00C05D12"/>
    <w:rsid w:val="00C05DA3"/>
    <w:rsid w:val="00C05E62"/>
    <w:rsid w:val="00C05E81"/>
    <w:rsid w:val="00C05EB3"/>
    <w:rsid w:val="00C05EFF"/>
    <w:rsid w:val="00C05FBB"/>
    <w:rsid w:val="00C05FD1"/>
    <w:rsid w:val="00C05FDA"/>
    <w:rsid w:val="00C05FFA"/>
    <w:rsid w:val="00C06003"/>
    <w:rsid w:val="00C06093"/>
    <w:rsid w:val="00C06094"/>
    <w:rsid w:val="00C06156"/>
    <w:rsid w:val="00C061EF"/>
    <w:rsid w:val="00C06250"/>
    <w:rsid w:val="00C06315"/>
    <w:rsid w:val="00C0635B"/>
    <w:rsid w:val="00C0640D"/>
    <w:rsid w:val="00C06424"/>
    <w:rsid w:val="00C064C9"/>
    <w:rsid w:val="00C064D3"/>
    <w:rsid w:val="00C064DD"/>
    <w:rsid w:val="00C064FD"/>
    <w:rsid w:val="00C06516"/>
    <w:rsid w:val="00C06587"/>
    <w:rsid w:val="00C065DD"/>
    <w:rsid w:val="00C06681"/>
    <w:rsid w:val="00C06698"/>
    <w:rsid w:val="00C0669A"/>
    <w:rsid w:val="00C066A7"/>
    <w:rsid w:val="00C06701"/>
    <w:rsid w:val="00C0672F"/>
    <w:rsid w:val="00C06746"/>
    <w:rsid w:val="00C068B4"/>
    <w:rsid w:val="00C068BA"/>
    <w:rsid w:val="00C0693F"/>
    <w:rsid w:val="00C06980"/>
    <w:rsid w:val="00C0698F"/>
    <w:rsid w:val="00C069BD"/>
    <w:rsid w:val="00C06A2F"/>
    <w:rsid w:val="00C06A9D"/>
    <w:rsid w:val="00C06B12"/>
    <w:rsid w:val="00C06B32"/>
    <w:rsid w:val="00C06BB6"/>
    <w:rsid w:val="00C06BB7"/>
    <w:rsid w:val="00C06BEB"/>
    <w:rsid w:val="00C06C49"/>
    <w:rsid w:val="00C06CAF"/>
    <w:rsid w:val="00C06CD0"/>
    <w:rsid w:val="00C06CDA"/>
    <w:rsid w:val="00C06D8F"/>
    <w:rsid w:val="00C06E75"/>
    <w:rsid w:val="00C06E82"/>
    <w:rsid w:val="00C06F07"/>
    <w:rsid w:val="00C06F0A"/>
    <w:rsid w:val="00C06F0B"/>
    <w:rsid w:val="00C06F50"/>
    <w:rsid w:val="00C06FA6"/>
    <w:rsid w:val="00C06FAF"/>
    <w:rsid w:val="00C06FE0"/>
    <w:rsid w:val="00C07031"/>
    <w:rsid w:val="00C070A0"/>
    <w:rsid w:val="00C0717A"/>
    <w:rsid w:val="00C07194"/>
    <w:rsid w:val="00C07241"/>
    <w:rsid w:val="00C0725C"/>
    <w:rsid w:val="00C0725D"/>
    <w:rsid w:val="00C072E9"/>
    <w:rsid w:val="00C0737A"/>
    <w:rsid w:val="00C07385"/>
    <w:rsid w:val="00C0745E"/>
    <w:rsid w:val="00C074B1"/>
    <w:rsid w:val="00C074C5"/>
    <w:rsid w:val="00C074ED"/>
    <w:rsid w:val="00C074F2"/>
    <w:rsid w:val="00C07541"/>
    <w:rsid w:val="00C0755E"/>
    <w:rsid w:val="00C07587"/>
    <w:rsid w:val="00C0758C"/>
    <w:rsid w:val="00C075D1"/>
    <w:rsid w:val="00C076C6"/>
    <w:rsid w:val="00C0775F"/>
    <w:rsid w:val="00C077AC"/>
    <w:rsid w:val="00C077C3"/>
    <w:rsid w:val="00C078B3"/>
    <w:rsid w:val="00C07991"/>
    <w:rsid w:val="00C07A22"/>
    <w:rsid w:val="00C07ADC"/>
    <w:rsid w:val="00C07AFE"/>
    <w:rsid w:val="00C07B3A"/>
    <w:rsid w:val="00C07C39"/>
    <w:rsid w:val="00C07C41"/>
    <w:rsid w:val="00C07C52"/>
    <w:rsid w:val="00C07CC6"/>
    <w:rsid w:val="00C07D00"/>
    <w:rsid w:val="00C07D04"/>
    <w:rsid w:val="00C07D5D"/>
    <w:rsid w:val="00C07DC2"/>
    <w:rsid w:val="00C07DD5"/>
    <w:rsid w:val="00C07DF9"/>
    <w:rsid w:val="00C07E24"/>
    <w:rsid w:val="00C07E82"/>
    <w:rsid w:val="00C10011"/>
    <w:rsid w:val="00C1005B"/>
    <w:rsid w:val="00C10087"/>
    <w:rsid w:val="00C1008B"/>
    <w:rsid w:val="00C100C6"/>
    <w:rsid w:val="00C100E3"/>
    <w:rsid w:val="00C100FB"/>
    <w:rsid w:val="00C1015D"/>
    <w:rsid w:val="00C10188"/>
    <w:rsid w:val="00C101C0"/>
    <w:rsid w:val="00C101CB"/>
    <w:rsid w:val="00C10216"/>
    <w:rsid w:val="00C102AB"/>
    <w:rsid w:val="00C102FF"/>
    <w:rsid w:val="00C10359"/>
    <w:rsid w:val="00C1035E"/>
    <w:rsid w:val="00C1037D"/>
    <w:rsid w:val="00C10408"/>
    <w:rsid w:val="00C10428"/>
    <w:rsid w:val="00C1049C"/>
    <w:rsid w:val="00C10619"/>
    <w:rsid w:val="00C10687"/>
    <w:rsid w:val="00C106B1"/>
    <w:rsid w:val="00C106FA"/>
    <w:rsid w:val="00C1072D"/>
    <w:rsid w:val="00C10840"/>
    <w:rsid w:val="00C10862"/>
    <w:rsid w:val="00C10867"/>
    <w:rsid w:val="00C10873"/>
    <w:rsid w:val="00C108BF"/>
    <w:rsid w:val="00C10988"/>
    <w:rsid w:val="00C10A5D"/>
    <w:rsid w:val="00C10A69"/>
    <w:rsid w:val="00C10A83"/>
    <w:rsid w:val="00C10AA1"/>
    <w:rsid w:val="00C10AE8"/>
    <w:rsid w:val="00C10AF7"/>
    <w:rsid w:val="00C10B46"/>
    <w:rsid w:val="00C10B62"/>
    <w:rsid w:val="00C10B79"/>
    <w:rsid w:val="00C10BD2"/>
    <w:rsid w:val="00C10BFD"/>
    <w:rsid w:val="00C10DE5"/>
    <w:rsid w:val="00C10F7D"/>
    <w:rsid w:val="00C10F86"/>
    <w:rsid w:val="00C10FAF"/>
    <w:rsid w:val="00C11085"/>
    <w:rsid w:val="00C11109"/>
    <w:rsid w:val="00C1115E"/>
    <w:rsid w:val="00C1121F"/>
    <w:rsid w:val="00C11233"/>
    <w:rsid w:val="00C1124E"/>
    <w:rsid w:val="00C11258"/>
    <w:rsid w:val="00C11271"/>
    <w:rsid w:val="00C113B2"/>
    <w:rsid w:val="00C11446"/>
    <w:rsid w:val="00C114C1"/>
    <w:rsid w:val="00C11542"/>
    <w:rsid w:val="00C116A7"/>
    <w:rsid w:val="00C116E1"/>
    <w:rsid w:val="00C117B6"/>
    <w:rsid w:val="00C117D8"/>
    <w:rsid w:val="00C11809"/>
    <w:rsid w:val="00C11838"/>
    <w:rsid w:val="00C11849"/>
    <w:rsid w:val="00C11893"/>
    <w:rsid w:val="00C118E8"/>
    <w:rsid w:val="00C11907"/>
    <w:rsid w:val="00C11931"/>
    <w:rsid w:val="00C11957"/>
    <w:rsid w:val="00C1199C"/>
    <w:rsid w:val="00C119E2"/>
    <w:rsid w:val="00C11B14"/>
    <w:rsid w:val="00C11B82"/>
    <w:rsid w:val="00C11C89"/>
    <w:rsid w:val="00C11CE5"/>
    <w:rsid w:val="00C11CFA"/>
    <w:rsid w:val="00C11D9F"/>
    <w:rsid w:val="00C11DFC"/>
    <w:rsid w:val="00C11EA6"/>
    <w:rsid w:val="00C11EBC"/>
    <w:rsid w:val="00C11F08"/>
    <w:rsid w:val="00C11F49"/>
    <w:rsid w:val="00C11F52"/>
    <w:rsid w:val="00C11F55"/>
    <w:rsid w:val="00C12007"/>
    <w:rsid w:val="00C12047"/>
    <w:rsid w:val="00C12056"/>
    <w:rsid w:val="00C120AB"/>
    <w:rsid w:val="00C120DE"/>
    <w:rsid w:val="00C120E5"/>
    <w:rsid w:val="00C12156"/>
    <w:rsid w:val="00C12161"/>
    <w:rsid w:val="00C12174"/>
    <w:rsid w:val="00C121F2"/>
    <w:rsid w:val="00C1225A"/>
    <w:rsid w:val="00C122D1"/>
    <w:rsid w:val="00C122DF"/>
    <w:rsid w:val="00C1245D"/>
    <w:rsid w:val="00C1245F"/>
    <w:rsid w:val="00C124C4"/>
    <w:rsid w:val="00C124EA"/>
    <w:rsid w:val="00C124F2"/>
    <w:rsid w:val="00C12610"/>
    <w:rsid w:val="00C12612"/>
    <w:rsid w:val="00C12628"/>
    <w:rsid w:val="00C12689"/>
    <w:rsid w:val="00C126AF"/>
    <w:rsid w:val="00C126D7"/>
    <w:rsid w:val="00C12722"/>
    <w:rsid w:val="00C12744"/>
    <w:rsid w:val="00C1274D"/>
    <w:rsid w:val="00C12774"/>
    <w:rsid w:val="00C12815"/>
    <w:rsid w:val="00C12894"/>
    <w:rsid w:val="00C12904"/>
    <w:rsid w:val="00C12941"/>
    <w:rsid w:val="00C129AD"/>
    <w:rsid w:val="00C129E5"/>
    <w:rsid w:val="00C12A2D"/>
    <w:rsid w:val="00C12A64"/>
    <w:rsid w:val="00C12B05"/>
    <w:rsid w:val="00C12B48"/>
    <w:rsid w:val="00C12B90"/>
    <w:rsid w:val="00C12BB3"/>
    <w:rsid w:val="00C12C50"/>
    <w:rsid w:val="00C12D36"/>
    <w:rsid w:val="00C12D3A"/>
    <w:rsid w:val="00C12D3B"/>
    <w:rsid w:val="00C12D40"/>
    <w:rsid w:val="00C12D4B"/>
    <w:rsid w:val="00C12D74"/>
    <w:rsid w:val="00C12DB4"/>
    <w:rsid w:val="00C12DFD"/>
    <w:rsid w:val="00C12E53"/>
    <w:rsid w:val="00C12F04"/>
    <w:rsid w:val="00C12F32"/>
    <w:rsid w:val="00C12F6C"/>
    <w:rsid w:val="00C12FAB"/>
    <w:rsid w:val="00C130B2"/>
    <w:rsid w:val="00C130BB"/>
    <w:rsid w:val="00C1310D"/>
    <w:rsid w:val="00C13123"/>
    <w:rsid w:val="00C13140"/>
    <w:rsid w:val="00C13173"/>
    <w:rsid w:val="00C1323D"/>
    <w:rsid w:val="00C13240"/>
    <w:rsid w:val="00C132BA"/>
    <w:rsid w:val="00C1330B"/>
    <w:rsid w:val="00C13341"/>
    <w:rsid w:val="00C1346D"/>
    <w:rsid w:val="00C134BD"/>
    <w:rsid w:val="00C134BF"/>
    <w:rsid w:val="00C134DD"/>
    <w:rsid w:val="00C13514"/>
    <w:rsid w:val="00C13553"/>
    <w:rsid w:val="00C13625"/>
    <w:rsid w:val="00C1369A"/>
    <w:rsid w:val="00C136A2"/>
    <w:rsid w:val="00C1378A"/>
    <w:rsid w:val="00C13918"/>
    <w:rsid w:val="00C13921"/>
    <w:rsid w:val="00C13A15"/>
    <w:rsid w:val="00C13A1C"/>
    <w:rsid w:val="00C13A1D"/>
    <w:rsid w:val="00C13A32"/>
    <w:rsid w:val="00C13A62"/>
    <w:rsid w:val="00C13AAF"/>
    <w:rsid w:val="00C13AB8"/>
    <w:rsid w:val="00C13ABB"/>
    <w:rsid w:val="00C13B46"/>
    <w:rsid w:val="00C13B6C"/>
    <w:rsid w:val="00C13BA8"/>
    <w:rsid w:val="00C13BDC"/>
    <w:rsid w:val="00C13C0E"/>
    <w:rsid w:val="00C13C19"/>
    <w:rsid w:val="00C13C3A"/>
    <w:rsid w:val="00C13D62"/>
    <w:rsid w:val="00C13EC5"/>
    <w:rsid w:val="00C13EC7"/>
    <w:rsid w:val="00C13F43"/>
    <w:rsid w:val="00C13F56"/>
    <w:rsid w:val="00C13FEC"/>
    <w:rsid w:val="00C14015"/>
    <w:rsid w:val="00C1403E"/>
    <w:rsid w:val="00C1406A"/>
    <w:rsid w:val="00C14094"/>
    <w:rsid w:val="00C140BE"/>
    <w:rsid w:val="00C140E4"/>
    <w:rsid w:val="00C141B8"/>
    <w:rsid w:val="00C141B9"/>
    <w:rsid w:val="00C143CB"/>
    <w:rsid w:val="00C143F3"/>
    <w:rsid w:val="00C1446E"/>
    <w:rsid w:val="00C144A6"/>
    <w:rsid w:val="00C144A7"/>
    <w:rsid w:val="00C144F9"/>
    <w:rsid w:val="00C14521"/>
    <w:rsid w:val="00C1452C"/>
    <w:rsid w:val="00C14588"/>
    <w:rsid w:val="00C145A7"/>
    <w:rsid w:val="00C1462B"/>
    <w:rsid w:val="00C146A6"/>
    <w:rsid w:val="00C14726"/>
    <w:rsid w:val="00C14730"/>
    <w:rsid w:val="00C14739"/>
    <w:rsid w:val="00C1475C"/>
    <w:rsid w:val="00C14777"/>
    <w:rsid w:val="00C1486C"/>
    <w:rsid w:val="00C1487B"/>
    <w:rsid w:val="00C148C9"/>
    <w:rsid w:val="00C1499D"/>
    <w:rsid w:val="00C149B9"/>
    <w:rsid w:val="00C149DF"/>
    <w:rsid w:val="00C14AA3"/>
    <w:rsid w:val="00C14AED"/>
    <w:rsid w:val="00C14B0D"/>
    <w:rsid w:val="00C14B38"/>
    <w:rsid w:val="00C14B3B"/>
    <w:rsid w:val="00C14B54"/>
    <w:rsid w:val="00C14B7A"/>
    <w:rsid w:val="00C14B7C"/>
    <w:rsid w:val="00C14C82"/>
    <w:rsid w:val="00C14D0A"/>
    <w:rsid w:val="00C14D20"/>
    <w:rsid w:val="00C14D91"/>
    <w:rsid w:val="00C14DFA"/>
    <w:rsid w:val="00C14E36"/>
    <w:rsid w:val="00C14E75"/>
    <w:rsid w:val="00C14E8E"/>
    <w:rsid w:val="00C14E92"/>
    <w:rsid w:val="00C14F46"/>
    <w:rsid w:val="00C14FC7"/>
    <w:rsid w:val="00C15050"/>
    <w:rsid w:val="00C15115"/>
    <w:rsid w:val="00C15145"/>
    <w:rsid w:val="00C1523B"/>
    <w:rsid w:val="00C1523D"/>
    <w:rsid w:val="00C15246"/>
    <w:rsid w:val="00C152B4"/>
    <w:rsid w:val="00C1531E"/>
    <w:rsid w:val="00C1533D"/>
    <w:rsid w:val="00C153CA"/>
    <w:rsid w:val="00C15438"/>
    <w:rsid w:val="00C15525"/>
    <w:rsid w:val="00C15543"/>
    <w:rsid w:val="00C1556F"/>
    <w:rsid w:val="00C155B1"/>
    <w:rsid w:val="00C155BD"/>
    <w:rsid w:val="00C15693"/>
    <w:rsid w:val="00C156ED"/>
    <w:rsid w:val="00C15714"/>
    <w:rsid w:val="00C15753"/>
    <w:rsid w:val="00C1576F"/>
    <w:rsid w:val="00C15773"/>
    <w:rsid w:val="00C157A6"/>
    <w:rsid w:val="00C15803"/>
    <w:rsid w:val="00C1586C"/>
    <w:rsid w:val="00C15896"/>
    <w:rsid w:val="00C159A7"/>
    <w:rsid w:val="00C159C2"/>
    <w:rsid w:val="00C15A31"/>
    <w:rsid w:val="00C15AA3"/>
    <w:rsid w:val="00C15ABC"/>
    <w:rsid w:val="00C15AEA"/>
    <w:rsid w:val="00C15BCC"/>
    <w:rsid w:val="00C15C31"/>
    <w:rsid w:val="00C15C3F"/>
    <w:rsid w:val="00C15D17"/>
    <w:rsid w:val="00C15D21"/>
    <w:rsid w:val="00C15D25"/>
    <w:rsid w:val="00C15D2B"/>
    <w:rsid w:val="00C15D5C"/>
    <w:rsid w:val="00C15D6C"/>
    <w:rsid w:val="00C15EA2"/>
    <w:rsid w:val="00C15EF4"/>
    <w:rsid w:val="00C16022"/>
    <w:rsid w:val="00C16112"/>
    <w:rsid w:val="00C1612E"/>
    <w:rsid w:val="00C161CE"/>
    <w:rsid w:val="00C1629D"/>
    <w:rsid w:val="00C162D3"/>
    <w:rsid w:val="00C16343"/>
    <w:rsid w:val="00C16366"/>
    <w:rsid w:val="00C1640A"/>
    <w:rsid w:val="00C16424"/>
    <w:rsid w:val="00C16553"/>
    <w:rsid w:val="00C1658E"/>
    <w:rsid w:val="00C165DA"/>
    <w:rsid w:val="00C165DC"/>
    <w:rsid w:val="00C16603"/>
    <w:rsid w:val="00C1665A"/>
    <w:rsid w:val="00C1666B"/>
    <w:rsid w:val="00C1670F"/>
    <w:rsid w:val="00C16727"/>
    <w:rsid w:val="00C16744"/>
    <w:rsid w:val="00C1675C"/>
    <w:rsid w:val="00C16771"/>
    <w:rsid w:val="00C167AF"/>
    <w:rsid w:val="00C167B2"/>
    <w:rsid w:val="00C167C8"/>
    <w:rsid w:val="00C167CE"/>
    <w:rsid w:val="00C1682D"/>
    <w:rsid w:val="00C16939"/>
    <w:rsid w:val="00C16941"/>
    <w:rsid w:val="00C16944"/>
    <w:rsid w:val="00C1694D"/>
    <w:rsid w:val="00C16992"/>
    <w:rsid w:val="00C169C9"/>
    <w:rsid w:val="00C169CC"/>
    <w:rsid w:val="00C169DE"/>
    <w:rsid w:val="00C16A06"/>
    <w:rsid w:val="00C16AAF"/>
    <w:rsid w:val="00C16AD1"/>
    <w:rsid w:val="00C16B84"/>
    <w:rsid w:val="00C16B9F"/>
    <w:rsid w:val="00C16BA3"/>
    <w:rsid w:val="00C16BBB"/>
    <w:rsid w:val="00C16BF0"/>
    <w:rsid w:val="00C16C2C"/>
    <w:rsid w:val="00C16C74"/>
    <w:rsid w:val="00C16CC1"/>
    <w:rsid w:val="00C16CF8"/>
    <w:rsid w:val="00C16D5E"/>
    <w:rsid w:val="00C16D66"/>
    <w:rsid w:val="00C16E60"/>
    <w:rsid w:val="00C16EB5"/>
    <w:rsid w:val="00C16EBD"/>
    <w:rsid w:val="00C16F02"/>
    <w:rsid w:val="00C16F20"/>
    <w:rsid w:val="00C17091"/>
    <w:rsid w:val="00C170A6"/>
    <w:rsid w:val="00C170CC"/>
    <w:rsid w:val="00C170E1"/>
    <w:rsid w:val="00C17115"/>
    <w:rsid w:val="00C171E6"/>
    <w:rsid w:val="00C17212"/>
    <w:rsid w:val="00C17240"/>
    <w:rsid w:val="00C1727C"/>
    <w:rsid w:val="00C1727F"/>
    <w:rsid w:val="00C1728D"/>
    <w:rsid w:val="00C1729D"/>
    <w:rsid w:val="00C172FA"/>
    <w:rsid w:val="00C17302"/>
    <w:rsid w:val="00C17411"/>
    <w:rsid w:val="00C17437"/>
    <w:rsid w:val="00C17531"/>
    <w:rsid w:val="00C17593"/>
    <w:rsid w:val="00C1761E"/>
    <w:rsid w:val="00C17695"/>
    <w:rsid w:val="00C176F1"/>
    <w:rsid w:val="00C17702"/>
    <w:rsid w:val="00C17722"/>
    <w:rsid w:val="00C177C4"/>
    <w:rsid w:val="00C17887"/>
    <w:rsid w:val="00C178F0"/>
    <w:rsid w:val="00C1790D"/>
    <w:rsid w:val="00C179E4"/>
    <w:rsid w:val="00C179EE"/>
    <w:rsid w:val="00C17A04"/>
    <w:rsid w:val="00C17A37"/>
    <w:rsid w:val="00C17A75"/>
    <w:rsid w:val="00C17AA3"/>
    <w:rsid w:val="00C17AE5"/>
    <w:rsid w:val="00C17AEC"/>
    <w:rsid w:val="00C17B14"/>
    <w:rsid w:val="00C17B39"/>
    <w:rsid w:val="00C17B62"/>
    <w:rsid w:val="00C17B82"/>
    <w:rsid w:val="00C17B8C"/>
    <w:rsid w:val="00C17BCC"/>
    <w:rsid w:val="00C17CCD"/>
    <w:rsid w:val="00C17CDD"/>
    <w:rsid w:val="00C17D46"/>
    <w:rsid w:val="00C17E64"/>
    <w:rsid w:val="00C17E7C"/>
    <w:rsid w:val="00C17E90"/>
    <w:rsid w:val="00C17F22"/>
    <w:rsid w:val="00C17F36"/>
    <w:rsid w:val="00C17FE0"/>
    <w:rsid w:val="00C20026"/>
    <w:rsid w:val="00C2006D"/>
    <w:rsid w:val="00C200D3"/>
    <w:rsid w:val="00C20109"/>
    <w:rsid w:val="00C20145"/>
    <w:rsid w:val="00C20173"/>
    <w:rsid w:val="00C20232"/>
    <w:rsid w:val="00C20271"/>
    <w:rsid w:val="00C202FC"/>
    <w:rsid w:val="00C20340"/>
    <w:rsid w:val="00C2035E"/>
    <w:rsid w:val="00C2036E"/>
    <w:rsid w:val="00C20377"/>
    <w:rsid w:val="00C20409"/>
    <w:rsid w:val="00C20416"/>
    <w:rsid w:val="00C20460"/>
    <w:rsid w:val="00C205B2"/>
    <w:rsid w:val="00C205F6"/>
    <w:rsid w:val="00C20602"/>
    <w:rsid w:val="00C20618"/>
    <w:rsid w:val="00C2062D"/>
    <w:rsid w:val="00C20667"/>
    <w:rsid w:val="00C206CE"/>
    <w:rsid w:val="00C206FB"/>
    <w:rsid w:val="00C20832"/>
    <w:rsid w:val="00C208E2"/>
    <w:rsid w:val="00C20947"/>
    <w:rsid w:val="00C209C4"/>
    <w:rsid w:val="00C20AAD"/>
    <w:rsid w:val="00C20AD7"/>
    <w:rsid w:val="00C20AF9"/>
    <w:rsid w:val="00C20B94"/>
    <w:rsid w:val="00C20BD2"/>
    <w:rsid w:val="00C20BDA"/>
    <w:rsid w:val="00C20C9C"/>
    <w:rsid w:val="00C20DBC"/>
    <w:rsid w:val="00C20DC2"/>
    <w:rsid w:val="00C20E80"/>
    <w:rsid w:val="00C20E82"/>
    <w:rsid w:val="00C20EBD"/>
    <w:rsid w:val="00C20ECF"/>
    <w:rsid w:val="00C20F1E"/>
    <w:rsid w:val="00C20FD5"/>
    <w:rsid w:val="00C21010"/>
    <w:rsid w:val="00C21021"/>
    <w:rsid w:val="00C2102C"/>
    <w:rsid w:val="00C21061"/>
    <w:rsid w:val="00C2107B"/>
    <w:rsid w:val="00C21085"/>
    <w:rsid w:val="00C21098"/>
    <w:rsid w:val="00C210DF"/>
    <w:rsid w:val="00C21149"/>
    <w:rsid w:val="00C2115C"/>
    <w:rsid w:val="00C2116D"/>
    <w:rsid w:val="00C211BD"/>
    <w:rsid w:val="00C211E2"/>
    <w:rsid w:val="00C2120C"/>
    <w:rsid w:val="00C212BF"/>
    <w:rsid w:val="00C212D7"/>
    <w:rsid w:val="00C212DB"/>
    <w:rsid w:val="00C2130E"/>
    <w:rsid w:val="00C21318"/>
    <w:rsid w:val="00C2131D"/>
    <w:rsid w:val="00C21428"/>
    <w:rsid w:val="00C214F6"/>
    <w:rsid w:val="00C21543"/>
    <w:rsid w:val="00C215B4"/>
    <w:rsid w:val="00C215C5"/>
    <w:rsid w:val="00C21619"/>
    <w:rsid w:val="00C21666"/>
    <w:rsid w:val="00C2169F"/>
    <w:rsid w:val="00C216C5"/>
    <w:rsid w:val="00C216F5"/>
    <w:rsid w:val="00C21736"/>
    <w:rsid w:val="00C2178D"/>
    <w:rsid w:val="00C2182F"/>
    <w:rsid w:val="00C2187D"/>
    <w:rsid w:val="00C219BF"/>
    <w:rsid w:val="00C219F4"/>
    <w:rsid w:val="00C21A8D"/>
    <w:rsid w:val="00C21A9E"/>
    <w:rsid w:val="00C21B40"/>
    <w:rsid w:val="00C21B86"/>
    <w:rsid w:val="00C21C51"/>
    <w:rsid w:val="00C21C8A"/>
    <w:rsid w:val="00C21C9F"/>
    <w:rsid w:val="00C21CCF"/>
    <w:rsid w:val="00C21D5E"/>
    <w:rsid w:val="00C21D68"/>
    <w:rsid w:val="00C21D73"/>
    <w:rsid w:val="00C21D78"/>
    <w:rsid w:val="00C21DC2"/>
    <w:rsid w:val="00C21DE0"/>
    <w:rsid w:val="00C21DFF"/>
    <w:rsid w:val="00C21E09"/>
    <w:rsid w:val="00C21E2E"/>
    <w:rsid w:val="00C21E67"/>
    <w:rsid w:val="00C21EA0"/>
    <w:rsid w:val="00C21F2C"/>
    <w:rsid w:val="00C21F35"/>
    <w:rsid w:val="00C21F6C"/>
    <w:rsid w:val="00C21FA6"/>
    <w:rsid w:val="00C21FD3"/>
    <w:rsid w:val="00C2206F"/>
    <w:rsid w:val="00C22142"/>
    <w:rsid w:val="00C22150"/>
    <w:rsid w:val="00C22176"/>
    <w:rsid w:val="00C22183"/>
    <w:rsid w:val="00C22293"/>
    <w:rsid w:val="00C2229C"/>
    <w:rsid w:val="00C222CA"/>
    <w:rsid w:val="00C223D6"/>
    <w:rsid w:val="00C223F9"/>
    <w:rsid w:val="00C22479"/>
    <w:rsid w:val="00C22497"/>
    <w:rsid w:val="00C224D5"/>
    <w:rsid w:val="00C224D9"/>
    <w:rsid w:val="00C22549"/>
    <w:rsid w:val="00C22577"/>
    <w:rsid w:val="00C2257E"/>
    <w:rsid w:val="00C22627"/>
    <w:rsid w:val="00C22652"/>
    <w:rsid w:val="00C226A3"/>
    <w:rsid w:val="00C226C5"/>
    <w:rsid w:val="00C22720"/>
    <w:rsid w:val="00C2276D"/>
    <w:rsid w:val="00C227C3"/>
    <w:rsid w:val="00C2281C"/>
    <w:rsid w:val="00C22889"/>
    <w:rsid w:val="00C228D4"/>
    <w:rsid w:val="00C228FF"/>
    <w:rsid w:val="00C22915"/>
    <w:rsid w:val="00C22952"/>
    <w:rsid w:val="00C22977"/>
    <w:rsid w:val="00C229D4"/>
    <w:rsid w:val="00C229E5"/>
    <w:rsid w:val="00C22A29"/>
    <w:rsid w:val="00C22AB8"/>
    <w:rsid w:val="00C22AF7"/>
    <w:rsid w:val="00C22B4E"/>
    <w:rsid w:val="00C22B50"/>
    <w:rsid w:val="00C22B56"/>
    <w:rsid w:val="00C22B5C"/>
    <w:rsid w:val="00C22BB4"/>
    <w:rsid w:val="00C22BD0"/>
    <w:rsid w:val="00C22C16"/>
    <w:rsid w:val="00C22CF4"/>
    <w:rsid w:val="00C22D07"/>
    <w:rsid w:val="00C22DA0"/>
    <w:rsid w:val="00C22E5C"/>
    <w:rsid w:val="00C22EA5"/>
    <w:rsid w:val="00C22ED3"/>
    <w:rsid w:val="00C22F29"/>
    <w:rsid w:val="00C22F30"/>
    <w:rsid w:val="00C22F3A"/>
    <w:rsid w:val="00C230A7"/>
    <w:rsid w:val="00C230C7"/>
    <w:rsid w:val="00C230EB"/>
    <w:rsid w:val="00C23110"/>
    <w:rsid w:val="00C231D2"/>
    <w:rsid w:val="00C231FE"/>
    <w:rsid w:val="00C2333A"/>
    <w:rsid w:val="00C2337C"/>
    <w:rsid w:val="00C23389"/>
    <w:rsid w:val="00C23403"/>
    <w:rsid w:val="00C23439"/>
    <w:rsid w:val="00C23446"/>
    <w:rsid w:val="00C234D7"/>
    <w:rsid w:val="00C235D5"/>
    <w:rsid w:val="00C235D6"/>
    <w:rsid w:val="00C23656"/>
    <w:rsid w:val="00C236FD"/>
    <w:rsid w:val="00C23799"/>
    <w:rsid w:val="00C2395E"/>
    <w:rsid w:val="00C239A7"/>
    <w:rsid w:val="00C239C7"/>
    <w:rsid w:val="00C239E0"/>
    <w:rsid w:val="00C239F3"/>
    <w:rsid w:val="00C239FC"/>
    <w:rsid w:val="00C23A69"/>
    <w:rsid w:val="00C23AE6"/>
    <w:rsid w:val="00C23B0F"/>
    <w:rsid w:val="00C23C63"/>
    <w:rsid w:val="00C23C6D"/>
    <w:rsid w:val="00C23CD8"/>
    <w:rsid w:val="00C23CE6"/>
    <w:rsid w:val="00C23CFB"/>
    <w:rsid w:val="00C23E02"/>
    <w:rsid w:val="00C23EC9"/>
    <w:rsid w:val="00C23ECB"/>
    <w:rsid w:val="00C23F19"/>
    <w:rsid w:val="00C23FA6"/>
    <w:rsid w:val="00C23FB4"/>
    <w:rsid w:val="00C23FC1"/>
    <w:rsid w:val="00C23FF2"/>
    <w:rsid w:val="00C23FF6"/>
    <w:rsid w:val="00C2406B"/>
    <w:rsid w:val="00C240F3"/>
    <w:rsid w:val="00C240FF"/>
    <w:rsid w:val="00C24138"/>
    <w:rsid w:val="00C24146"/>
    <w:rsid w:val="00C24161"/>
    <w:rsid w:val="00C24178"/>
    <w:rsid w:val="00C24247"/>
    <w:rsid w:val="00C2424F"/>
    <w:rsid w:val="00C2425E"/>
    <w:rsid w:val="00C24294"/>
    <w:rsid w:val="00C24297"/>
    <w:rsid w:val="00C242A1"/>
    <w:rsid w:val="00C242C0"/>
    <w:rsid w:val="00C242C1"/>
    <w:rsid w:val="00C24315"/>
    <w:rsid w:val="00C243B3"/>
    <w:rsid w:val="00C24434"/>
    <w:rsid w:val="00C2450C"/>
    <w:rsid w:val="00C24521"/>
    <w:rsid w:val="00C24588"/>
    <w:rsid w:val="00C2467E"/>
    <w:rsid w:val="00C24688"/>
    <w:rsid w:val="00C246AA"/>
    <w:rsid w:val="00C246B5"/>
    <w:rsid w:val="00C246B9"/>
    <w:rsid w:val="00C246D6"/>
    <w:rsid w:val="00C246EC"/>
    <w:rsid w:val="00C24737"/>
    <w:rsid w:val="00C24749"/>
    <w:rsid w:val="00C24764"/>
    <w:rsid w:val="00C247B1"/>
    <w:rsid w:val="00C247F2"/>
    <w:rsid w:val="00C24826"/>
    <w:rsid w:val="00C2482E"/>
    <w:rsid w:val="00C248D9"/>
    <w:rsid w:val="00C2492A"/>
    <w:rsid w:val="00C2492F"/>
    <w:rsid w:val="00C2499C"/>
    <w:rsid w:val="00C249BA"/>
    <w:rsid w:val="00C249DE"/>
    <w:rsid w:val="00C24A34"/>
    <w:rsid w:val="00C24ACB"/>
    <w:rsid w:val="00C24B00"/>
    <w:rsid w:val="00C24B23"/>
    <w:rsid w:val="00C24B24"/>
    <w:rsid w:val="00C24B89"/>
    <w:rsid w:val="00C24BBD"/>
    <w:rsid w:val="00C24BF1"/>
    <w:rsid w:val="00C24C82"/>
    <w:rsid w:val="00C24C9F"/>
    <w:rsid w:val="00C24CD1"/>
    <w:rsid w:val="00C24CD3"/>
    <w:rsid w:val="00C24CFE"/>
    <w:rsid w:val="00C24D5A"/>
    <w:rsid w:val="00C24D73"/>
    <w:rsid w:val="00C24DC2"/>
    <w:rsid w:val="00C24DD8"/>
    <w:rsid w:val="00C24DFF"/>
    <w:rsid w:val="00C24E11"/>
    <w:rsid w:val="00C24E9D"/>
    <w:rsid w:val="00C24ED2"/>
    <w:rsid w:val="00C24F8E"/>
    <w:rsid w:val="00C24F9F"/>
    <w:rsid w:val="00C24FCB"/>
    <w:rsid w:val="00C24FFE"/>
    <w:rsid w:val="00C25021"/>
    <w:rsid w:val="00C250CB"/>
    <w:rsid w:val="00C25180"/>
    <w:rsid w:val="00C251A1"/>
    <w:rsid w:val="00C25201"/>
    <w:rsid w:val="00C25252"/>
    <w:rsid w:val="00C252A1"/>
    <w:rsid w:val="00C252FA"/>
    <w:rsid w:val="00C2531D"/>
    <w:rsid w:val="00C253A5"/>
    <w:rsid w:val="00C253BE"/>
    <w:rsid w:val="00C253E2"/>
    <w:rsid w:val="00C253F3"/>
    <w:rsid w:val="00C25435"/>
    <w:rsid w:val="00C25471"/>
    <w:rsid w:val="00C2547F"/>
    <w:rsid w:val="00C254E7"/>
    <w:rsid w:val="00C2551A"/>
    <w:rsid w:val="00C25559"/>
    <w:rsid w:val="00C25581"/>
    <w:rsid w:val="00C255C6"/>
    <w:rsid w:val="00C25604"/>
    <w:rsid w:val="00C25686"/>
    <w:rsid w:val="00C256B9"/>
    <w:rsid w:val="00C256F3"/>
    <w:rsid w:val="00C256FB"/>
    <w:rsid w:val="00C257D3"/>
    <w:rsid w:val="00C25825"/>
    <w:rsid w:val="00C2583E"/>
    <w:rsid w:val="00C2583F"/>
    <w:rsid w:val="00C2585D"/>
    <w:rsid w:val="00C258E1"/>
    <w:rsid w:val="00C258EF"/>
    <w:rsid w:val="00C25905"/>
    <w:rsid w:val="00C25919"/>
    <w:rsid w:val="00C25969"/>
    <w:rsid w:val="00C25971"/>
    <w:rsid w:val="00C25A2B"/>
    <w:rsid w:val="00C25A53"/>
    <w:rsid w:val="00C25AD0"/>
    <w:rsid w:val="00C25AEB"/>
    <w:rsid w:val="00C25BA2"/>
    <w:rsid w:val="00C25BAC"/>
    <w:rsid w:val="00C25BE2"/>
    <w:rsid w:val="00C25BF8"/>
    <w:rsid w:val="00C25C35"/>
    <w:rsid w:val="00C25CED"/>
    <w:rsid w:val="00C25D92"/>
    <w:rsid w:val="00C25E43"/>
    <w:rsid w:val="00C25E48"/>
    <w:rsid w:val="00C25E83"/>
    <w:rsid w:val="00C25EEC"/>
    <w:rsid w:val="00C25F46"/>
    <w:rsid w:val="00C25FE1"/>
    <w:rsid w:val="00C25FF1"/>
    <w:rsid w:val="00C26086"/>
    <w:rsid w:val="00C26096"/>
    <w:rsid w:val="00C260B1"/>
    <w:rsid w:val="00C260C5"/>
    <w:rsid w:val="00C26132"/>
    <w:rsid w:val="00C26134"/>
    <w:rsid w:val="00C2620A"/>
    <w:rsid w:val="00C2621E"/>
    <w:rsid w:val="00C2629E"/>
    <w:rsid w:val="00C26307"/>
    <w:rsid w:val="00C26343"/>
    <w:rsid w:val="00C2637A"/>
    <w:rsid w:val="00C263F3"/>
    <w:rsid w:val="00C264EB"/>
    <w:rsid w:val="00C26645"/>
    <w:rsid w:val="00C2668E"/>
    <w:rsid w:val="00C266D5"/>
    <w:rsid w:val="00C26744"/>
    <w:rsid w:val="00C26748"/>
    <w:rsid w:val="00C26750"/>
    <w:rsid w:val="00C267E1"/>
    <w:rsid w:val="00C26884"/>
    <w:rsid w:val="00C268FF"/>
    <w:rsid w:val="00C26920"/>
    <w:rsid w:val="00C2698A"/>
    <w:rsid w:val="00C269BE"/>
    <w:rsid w:val="00C26A18"/>
    <w:rsid w:val="00C26A80"/>
    <w:rsid w:val="00C26ABA"/>
    <w:rsid w:val="00C26AF6"/>
    <w:rsid w:val="00C26B52"/>
    <w:rsid w:val="00C26B55"/>
    <w:rsid w:val="00C26BAB"/>
    <w:rsid w:val="00C26C0A"/>
    <w:rsid w:val="00C26CAB"/>
    <w:rsid w:val="00C26CAE"/>
    <w:rsid w:val="00C26CF5"/>
    <w:rsid w:val="00C26D0C"/>
    <w:rsid w:val="00C26D0D"/>
    <w:rsid w:val="00C26E03"/>
    <w:rsid w:val="00C26E28"/>
    <w:rsid w:val="00C26E92"/>
    <w:rsid w:val="00C26EA3"/>
    <w:rsid w:val="00C26FE0"/>
    <w:rsid w:val="00C27015"/>
    <w:rsid w:val="00C27032"/>
    <w:rsid w:val="00C2716A"/>
    <w:rsid w:val="00C27184"/>
    <w:rsid w:val="00C27195"/>
    <w:rsid w:val="00C271DE"/>
    <w:rsid w:val="00C27260"/>
    <w:rsid w:val="00C2730D"/>
    <w:rsid w:val="00C2733D"/>
    <w:rsid w:val="00C27377"/>
    <w:rsid w:val="00C273FA"/>
    <w:rsid w:val="00C27414"/>
    <w:rsid w:val="00C27495"/>
    <w:rsid w:val="00C274AC"/>
    <w:rsid w:val="00C274C5"/>
    <w:rsid w:val="00C2756E"/>
    <w:rsid w:val="00C27663"/>
    <w:rsid w:val="00C276CB"/>
    <w:rsid w:val="00C2788A"/>
    <w:rsid w:val="00C278D4"/>
    <w:rsid w:val="00C2794C"/>
    <w:rsid w:val="00C27971"/>
    <w:rsid w:val="00C279B9"/>
    <w:rsid w:val="00C27ACD"/>
    <w:rsid w:val="00C27B06"/>
    <w:rsid w:val="00C27B41"/>
    <w:rsid w:val="00C27BED"/>
    <w:rsid w:val="00C27C2E"/>
    <w:rsid w:val="00C27D7A"/>
    <w:rsid w:val="00C27D86"/>
    <w:rsid w:val="00C27DB2"/>
    <w:rsid w:val="00C27DF4"/>
    <w:rsid w:val="00C27E75"/>
    <w:rsid w:val="00C27EC1"/>
    <w:rsid w:val="00C27FAA"/>
    <w:rsid w:val="00C27FE3"/>
    <w:rsid w:val="00C27FFE"/>
    <w:rsid w:val="00C30013"/>
    <w:rsid w:val="00C3005B"/>
    <w:rsid w:val="00C30092"/>
    <w:rsid w:val="00C3009D"/>
    <w:rsid w:val="00C30110"/>
    <w:rsid w:val="00C301C6"/>
    <w:rsid w:val="00C30297"/>
    <w:rsid w:val="00C3031C"/>
    <w:rsid w:val="00C3034B"/>
    <w:rsid w:val="00C30397"/>
    <w:rsid w:val="00C303FD"/>
    <w:rsid w:val="00C30443"/>
    <w:rsid w:val="00C3048A"/>
    <w:rsid w:val="00C3049B"/>
    <w:rsid w:val="00C304AF"/>
    <w:rsid w:val="00C304D2"/>
    <w:rsid w:val="00C30525"/>
    <w:rsid w:val="00C30576"/>
    <w:rsid w:val="00C30598"/>
    <w:rsid w:val="00C3059E"/>
    <w:rsid w:val="00C305DE"/>
    <w:rsid w:val="00C306BD"/>
    <w:rsid w:val="00C306EE"/>
    <w:rsid w:val="00C306FF"/>
    <w:rsid w:val="00C3071A"/>
    <w:rsid w:val="00C30728"/>
    <w:rsid w:val="00C30738"/>
    <w:rsid w:val="00C30833"/>
    <w:rsid w:val="00C3089F"/>
    <w:rsid w:val="00C308C7"/>
    <w:rsid w:val="00C309AD"/>
    <w:rsid w:val="00C30A61"/>
    <w:rsid w:val="00C30A7A"/>
    <w:rsid w:val="00C30A97"/>
    <w:rsid w:val="00C30AFE"/>
    <w:rsid w:val="00C30B6D"/>
    <w:rsid w:val="00C30B8B"/>
    <w:rsid w:val="00C30CAF"/>
    <w:rsid w:val="00C30CED"/>
    <w:rsid w:val="00C30CFF"/>
    <w:rsid w:val="00C30D54"/>
    <w:rsid w:val="00C30D90"/>
    <w:rsid w:val="00C30DA9"/>
    <w:rsid w:val="00C30E77"/>
    <w:rsid w:val="00C30F10"/>
    <w:rsid w:val="00C30F22"/>
    <w:rsid w:val="00C30F39"/>
    <w:rsid w:val="00C30F50"/>
    <w:rsid w:val="00C30F67"/>
    <w:rsid w:val="00C3100A"/>
    <w:rsid w:val="00C310BB"/>
    <w:rsid w:val="00C310BC"/>
    <w:rsid w:val="00C310D5"/>
    <w:rsid w:val="00C310D9"/>
    <w:rsid w:val="00C31121"/>
    <w:rsid w:val="00C31252"/>
    <w:rsid w:val="00C31257"/>
    <w:rsid w:val="00C313C4"/>
    <w:rsid w:val="00C313C5"/>
    <w:rsid w:val="00C313D5"/>
    <w:rsid w:val="00C313DF"/>
    <w:rsid w:val="00C31408"/>
    <w:rsid w:val="00C31467"/>
    <w:rsid w:val="00C3154C"/>
    <w:rsid w:val="00C3159A"/>
    <w:rsid w:val="00C315FF"/>
    <w:rsid w:val="00C316AE"/>
    <w:rsid w:val="00C316F9"/>
    <w:rsid w:val="00C3171E"/>
    <w:rsid w:val="00C31732"/>
    <w:rsid w:val="00C31774"/>
    <w:rsid w:val="00C31875"/>
    <w:rsid w:val="00C318E8"/>
    <w:rsid w:val="00C31937"/>
    <w:rsid w:val="00C31955"/>
    <w:rsid w:val="00C3196D"/>
    <w:rsid w:val="00C31A9E"/>
    <w:rsid w:val="00C31AFF"/>
    <w:rsid w:val="00C31B29"/>
    <w:rsid w:val="00C31B3F"/>
    <w:rsid w:val="00C31B70"/>
    <w:rsid w:val="00C31B88"/>
    <w:rsid w:val="00C31BCB"/>
    <w:rsid w:val="00C31C5E"/>
    <w:rsid w:val="00C31C5F"/>
    <w:rsid w:val="00C31C74"/>
    <w:rsid w:val="00C31CA3"/>
    <w:rsid w:val="00C31D0C"/>
    <w:rsid w:val="00C31D38"/>
    <w:rsid w:val="00C31D65"/>
    <w:rsid w:val="00C31D9A"/>
    <w:rsid w:val="00C31DCB"/>
    <w:rsid w:val="00C31DED"/>
    <w:rsid w:val="00C31E1B"/>
    <w:rsid w:val="00C320A2"/>
    <w:rsid w:val="00C320B0"/>
    <w:rsid w:val="00C320EB"/>
    <w:rsid w:val="00C32194"/>
    <w:rsid w:val="00C321EA"/>
    <w:rsid w:val="00C32209"/>
    <w:rsid w:val="00C32270"/>
    <w:rsid w:val="00C32299"/>
    <w:rsid w:val="00C3229F"/>
    <w:rsid w:val="00C322E3"/>
    <w:rsid w:val="00C32362"/>
    <w:rsid w:val="00C3241E"/>
    <w:rsid w:val="00C32424"/>
    <w:rsid w:val="00C324C1"/>
    <w:rsid w:val="00C3265B"/>
    <w:rsid w:val="00C3269C"/>
    <w:rsid w:val="00C326A9"/>
    <w:rsid w:val="00C326B6"/>
    <w:rsid w:val="00C326FD"/>
    <w:rsid w:val="00C32768"/>
    <w:rsid w:val="00C3277C"/>
    <w:rsid w:val="00C3278A"/>
    <w:rsid w:val="00C3279A"/>
    <w:rsid w:val="00C327C1"/>
    <w:rsid w:val="00C327D5"/>
    <w:rsid w:val="00C327FB"/>
    <w:rsid w:val="00C32882"/>
    <w:rsid w:val="00C328DD"/>
    <w:rsid w:val="00C32936"/>
    <w:rsid w:val="00C32945"/>
    <w:rsid w:val="00C329B6"/>
    <w:rsid w:val="00C32A88"/>
    <w:rsid w:val="00C32AA3"/>
    <w:rsid w:val="00C32AD7"/>
    <w:rsid w:val="00C32AED"/>
    <w:rsid w:val="00C32B0F"/>
    <w:rsid w:val="00C32B77"/>
    <w:rsid w:val="00C32BEA"/>
    <w:rsid w:val="00C32C61"/>
    <w:rsid w:val="00C32C83"/>
    <w:rsid w:val="00C32C95"/>
    <w:rsid w:val="00C32CA6"/>
    <w:rsid w:val="00C32CA8"/>
    <w:rsid w:val="00C32CEC"/>
    <w:rsid w:val="00C32D3D"/>
    <w:rsid w:val="00C32D4B"/>
    <w:rsid w:val="00C32DF0"/>
    <w:rsid w:val="00C32E1B"/>
    <w:rsid w:val="00C32E46"/>
    <w:rsid w:val="00C32E4D"/>
    <w:rsid w:val="00C32F66"/>
    <w:rsid w:val="00C32F7C"/>
    <w:rsid w:val="00C32FD1"/>
    <w:rsid w:val="00C32FE6"/>
    <w:rsid w:val="00C3303A"/>
    <w:rsid w:val="00C3304C"/>
    <w:rsid w:val="00C330CF"/>
    <w:rsid w:val="00C33112"/>
    <w:rsid w:val="00C33153"/>
    <w:rsid w:val="00C33181"/>
    <w:rsid w:val="00C331B3"/>
    <w:rsid w:val="00C33278"/>
    <w:rsid w:val="00C33283"/>
    <w:rsid w:val="00C332DF"/>
    <w:rsid w:val="00C332F2"/>
    <w:rsid w:val="00C3334F"/>
    <w:rsid w:val="00C33360"/>
    <w:rsid w:val="00C333A9"/>
    <w:rsid w:val="00C333AE"/>
    <w:rsid w:val="00C33469"/>
    <w:rsid w:val="00C334F5"/>
    <w:rsid w:val="00C33504"/>
    <w:rsid w:val="00C33511"/>
    <w:rsid w:val="00C33537"/>
    <w:rsid w:val="00C33540"/>
    <w:rsid w:val="00C335EF"/>
    <w:rsid w:val="00C33739"/>
    <w:rsid w:val="00C33763"/>
    <w:rsid w:val="00C337B7"/>
    <w:rsid w:val="00C337CD"/>
    <w:rsid w:val="00C33880"/>
    <w:rsid w:val="00C338CE"/>
    <w:rsid w:val="00C338F3"/>
    <w:rsid w:val="00C3391C"/>
    <w:rsid w:val="00C33931"/>
    <w:rsid w:val="00C339D4"/>
    <w:rsid w:val="00C339F9"/>
    <w:rsid w:val="00C33A3E"/>
    <w:rsid w:val="00C33A79"/>
    <w:rsid w:val="00C33AB8"/>
    <w:rsid w:val="00C33BDD"/>
    <w:rsid w:val="00C33BFD"/>
    <w:rsid w:val="00C33C1D"/>
    <w:rsid w:val="00C33D17"/>
    <w:rsid w:val="00C33D50"/>
    <w:rsid w:val="00C33D51"/>
    <w:rsid w:val="00C33DF9"/>
    <w:rsid w:val="00C33E28"/>
    <w:rsid w:val="00C33E3A"/>
    <w:rsid w:val="00C33EDB"/>
    <w:rsid w:val="00C33F6F"/>
    <w:rsid w:val="00C33F83"/>
    <w:rsid w:val="00C33FAC"/>
    <w:rsid w:val="00C33FEB"/>
    <w:rsid w:val="00C3403D"/>
    <w:rsid w:val="00C34085"/>
    <w:rsid w:val="00C340DF"/>
    <w:rsid w:val="00C3410F"/>
    <w:rsid w:val="00C34127"/>
    <w:rsid w:val="00C34149"/>
    <w:rsid w:val="00C34156"/>
    <w:rsid w:val="00C34178"/>
    <w:rsid w:val="00C341B4"/>
    <w:rsid w:val="00C341E7"/>
    <w:rsid w:val="00C3423B"/>
    <w:rsid w:val="00C342EC"/>
    <w:rsid w:val="00C3441C"/>
    <w:rsid w:val="00C34456"/>
    <w:rsid w:val="00C34468"/>
    <w:rsid w:val="00C34480"/>
    <w:rsid w:val="00C344DB"/>
    <w:rsid w:val="00C344E8"/>
    <w:rsid w:val="00C345E4"/>
    <w:rsid w:val="00C34618"/>
    <w:rsid w:val="00C346E3"/>
    <w:rsid w:val="00C34707"/>
    <w:rsid w:val="00C34722"/>
    <w:rsid w:val="00C34771"/>
    <w:rsid w:val="00C34857"/>
    <w:rsid w:val="00C34879"/>
    <w:rsid w:val="00C34888"/>
    <w:rsid w:val="00C34913"/>
    <w:rsid w:val="00C3491A"/>
    <w:rsid w:val="00C34923"/>
    <w:rsid w:val="00C34943"/>
    <w:rsid w:val="00C349B7"/>
    <w:rsid w:val="00C34A1B"/>
    <w:rsid w:val="00C34A44"/>
    <w:rsid w:val="00C34A96"/>
    <w:rsid w:val="00C34B12"/>
    <w:rsid w:val="00C34C49"/>
    <w:rsid w:val="00C34C71"/>
    <w:rsid w:val="00C34CDE"/>
    <w:rsid w:val="00C34D01"/>
    <w:rsid w:val="00C34D03"/>
    <w:rsid w:val="00C34D4F"/>
    <w:rsid w:val="00C34DAA"/>
    <w:rsid w:val="00C34DB2"/>
    <w:rsid w:val="00C34DF6"/>
    <w:rsid w:val="00C34DFF"/>
    <w:rsid w:val="00C34E52"/>
    <w:rsid w:val="00C34E82"/>
    <w:rsid w:val="00C34E8E"/>
    <w:rsid w:val="00C34E93"/>
    <w:rsid w:val="00C34E99"/>
    <w:rsid w:val="00C34EF3"/>
    <w:rsid w:val="00C34F4A"/>
    <w:rsid w:val="00C34F7C"/>
    <w:rsid w:val="00C34F92"/>
    <w:rsid w:val="00C34FFB"/>
    <w:rsid w:val="00C3518F"/>
    <w:rsid w:val="00C35193"/>
    <w:rsid w:val="00C35263"/>
    <w:rsid w:val="00C35384"/>
    <w:rsid w:val="00C3539F"/>
    <w:rsid w:val="00C3541B"/>
    <w:rsid w:val="00C35469"/>
    <w:rsid w:val="00C35494"/>
    <w:rsid w:val="00C354E5"/>
    <w:rsid w:val="00C35511"/>
    <w:rsid w:val="00C35516"/>
    <w:rsid w:val="00C3552C"/>
    <w:rsid w:val="00C35548"/>
    <w:rsid w:val="00C35570"/>
    <w:rsid w:val="00C35589"/>
    <w:rsid w:val="00C3558F"/>
    <w:rsid w:val="00C355DD"/>
    <w:rsid w:val="00C35606"/>
    <w:rsid w:val="00C35639"/>
    <w:rsid w:val="00C35679"/>
    <w:rsid w:val="00C3568E"/>
    <w:rsid w:val="00C35708"/>
    <w:rsid w:val="00C3584D"/>
    <w:rsid w:val="00C35887"/>
    <w:rsid w:val="00C3590B"/>
    <w:rsid w:val="00C35A41"/>
    <w:rsid w:val="00C35AB0"/>
    <w:rsid w:val="00C35B0A"/>
    <w:rsid w:val="00C35B65"/>
    <w:rsid w:val="00C35B71"/>
    <w:rsid w:val="00C35C16"/>
    <w:rsid w:val="00C35C48"/>
    <w:rsid w:val="00C35CF1"/>
    <w:rsid w:val="00C35DE5"/>
    <w:rsid w:val="00C35DFB"/>
    <w:rsid w:val="00C35E72"/>
    <w:rsid w:val="00C35EA5"/>
    <w:rsid w:val="00C35EDF"/>
    <w:rsid w:val="00C35EF1"/>
    <w:rsid w:val="00C35F66"/>
    <w:rsid w:val="00C35F7B"/>
    <w:rsid w:val="00C35FEB"/>
    <w:rsid w:val="00C360DA"/>
    <w:rsid w:val="00C360F1"/>
    <w:rsid w:val="00C360F6"/>
    <w:rsid w:val="00C36119"/>
    <w:rsid w:val="00C36167"/>
    <w:rsid w:val="00C36182"/>
    <w:rsid w:val="00C3621C"/>
    <w:rsid w:val="00C362A2"/>
    <w:rsid w:val="00C362BD"/>
    <w:rsid w:val="00C362C4"/>
    <w:rsid w:val="00C362F5"/>
    <w:rsid w:val="00C36314"/>
    <w:rsid w:val="00C3631B"/>
    <w:rsid w:val="00C36341"/>
    <w:rsid w:val="00C3636D"/>
    <w:rsid w:val="00C363A8"/>
    <w:rsid w:val="00C363CC"/>
    <w:rsid w:val="00C363E0"/>
    <w:rsid w:val="00C36400"/>
    <w:rsid w:val="00C3647A"/>
    <w:rsid w:val="00C364C4"/>
    <w:rsid w:val="00C3655F"/>
    <w:rsid w:val="00C365A4"/>
    <w:rsid w:val="00C365CE"/>
    <w:rsid w:val="00C365EB"/>
    <w:rsid w:val="00C365F2"/>
    <w:rsid w:val="00C365FA"/>
    <w:rsid w:val="00C36602"/>
    <w:rsid w:val="00C3661D"/>
    <w:rsid w:val="00C36797"/>
    <w:rsid w:val="00C367C6"/>
    <w:rsid w:val="00C3684B"/>
    <w:rsid w:val="00C368A2"/>
    <w:rsid w:val="00C368A7"/>
    <w:rsid w:val="00C368BF"/>
    <w:rsid w:val="00C3692E"/>
    <w:rsid w:val="00C36935"/>
    <w:rsid w:val="00C36980"/>
    <w:rsid w:val="00C369A6"/>
    <w:rsid w:val="00C36A64"/>
    <w:rsid w:val="00C36AAF"/>
    <w:rsid w:val="00C36B6F"/>
    <w:rsid w:val="00C36B92"/>
    <w:rsid w:val="00C36C71"/>
    <w:rsid w:val="00C36C8D"/>
    <w:rsid w:val="00C36CA9"/>
    <w:rsid w:val="00C36CD9"/>
    <w:rsid w:val="00C36CF7"/>
    <w:rsid w:val="00C36D16"/>
    <w:rsid w:val="00C36DC6"/>
    <w:rsid w:val="00C36DEB"/>
    <w:rsid w:val="00C36DFC"/>
    <w:rsid w:val="00C36E97"/>
    <w:rsid w:val="00C36EBB"/>
    <w:rsid w:val="00C36EFD"/>
    <w:rsid w:val="00C36F9D"/>
    <w:rsid w:val="00C36FDF"/>
    <w:rsid w:val="00C36FF2"/>
    <w:rsid w:val="00C3707C"/>
    <w:rsid w:val="00C370C4"/>
    <w:rsid w:val="00C370DD"/>
    <w:rsid w:val="00C370DF"/>
    <w:rsid w:val="00C3713B"/>
    <w:rsid w:val="00C371AC"/>
    <w:rsid w:val="00C37217"/>
    <w:rsid w:val="00C37229"/>
    <w:rsid w:val="00C3729C"/>
    <w:rsid w:val="00C3730C"/>
    <w:rsid w:val="00C37332"/>
    <w:rsid w:val="00C373A3"/>
    <w:rsid w:val="00C3742B"/>
    <w:rsid w:val="00C374DA"/>
    <w:rsid w:val="00C374FD"/>
    <w:rsid w:val="00C37501"/>
    <w:rsid w:val="00C375DC"/>
    <w:rsid w:val="00C375DD"/>
    <w:rsid w:val="00C3760F"/>
    <w:rsid w:val="00C3762E"/>
    <w:rsid w:val="00C3768C"/>
    <w:rsid w:val="00C376F5"/>
    <w:rsid w:val="00C37780"/>
    <w:rsid w:val="00C3782D"/>
    <w:rsid w:val="00C37851"/>
    <w:rsid w:val="00C37909"/>
    <w:rsid w:val="00C37972"/>
    <w:rsid w:val="00C37A34"/>
    <w:rsid w:val="00C37A89"/>
    <w:rsid w:val="00C37A8E"/>
    <w:rsid w:val="00C37AD4"/>
    <w:rsid w:val="00C37BA0"/>
    <w:rsid w:val="00C37BC9"/>
    <w:rsid w:val="00C37C27"/>
    <w:rsid w:val="00C37CE2"/>
    <w:rsid w:val="00C37D20"/>
    <w:rsid w:val="00C37DE8"/>
    <w:rsid w:val="00C37DEB"/>
    <w:rsid w:val="00C37E06"/>
    <w:rsid w:val="00C37EB8"/>
    <w:rsid w:val="00C37ED6"/>
    <w:rsid w:val="00C37F12"/>
    <w:rsid w:val="00C37F20"/>
    <w:rsid w:val="00C37F54"/>
    <w:rsid w:val="00C37F8D"/>
    <w:rsid w:val="00C40006"/>
    <w:rsid w:val="00C40016"/>
    <w:rsid w:val="00C40023"/>
    <w:rsid w:val="00C4006D"/>
    <w:rsid w:val="00C40076"/>
    <w:rsid w:val="00C400AC"/>
    <w:rsid w:val="00C40147"/>
    <w:rsid w:val="00C401A5"/>
    <w:rsid w:val="00C4021F"/>
    <w:rsid w:val="00C402A6"/>
    <w:rsid w:val="00C402B6"/>
    <w:rsid w:val="00C402D2"/>
    <w:rsid w:val="00C40304"/>
    <w:rsid w:val="00C4030E"/>
    <w:rsid w:val="00C40362"/>
    <w:rsid w:val="00C4036A"/>
    <w:rsid w:val="00C403A1"/>
    <w:rsid w:val="00C40468"/>
    <w:rsid w:val="00C404EE"/>
    <w:rsid w:val="00C40503"/>
    <w:rsid w:val="00C40572"/>
    <w:rsid w:val="00C40573"/>
    <w:rsid w:val="00C405A8"/>
    <w:rsid w:val="00C405FD"/>
    <w:rsid w:val="00C407F3"/>
    <w:rsid w:val="00C40877"/>
    <w:rsid w:val="00C408CC"/>
    <w:rsid w:val="00C40908"/>
    <w:rsid w:val="00C40A26"/>
    <w:rsid w:val="00C40AE6"/>
    <w:rsid w:val="00C40BB0"/>
    <w:rsid w:val="00C40C26"/>
    <w:rsid w:val="00C40D08"/>
    <w:rsid w:val="00C40E46"/>
    <w:rsid w:val="00C40E73"/>
    <w:rsid w:val="00C40F26"/>
    <w:rsid w:val="00C40F4B"/>
    <w:rsid w:val="00C40FFD"/>
    <w:rsid w:val="00C4100F"/>
    <w:rsid w:val="00C4102D"/>
    <w:rsid w:val="00C41051"/>
    <w:rsid w:val="00C410B9"/>
    <w:rsid w:val="00C410C0"/>
    <w:rsid w:val="00C41165"/>
    <w:rsid w:val="00C41171"/>
    <w:rsid w:val="00C4117C"/>
    <w:rsid w:val="00C4117F"/>
    <w:rsid w:val="00C4120D"/>
    <w:rsid w:val="00C41210"/>
    <w:rsid w:val="00C4122E"/>
    <w:rsid w:val="00C41233"/>
    <w:rsid w:val="00C41261"/>
    <w:rsid w:val="00C413D8"/>
    <w:rsid w:val="00C41484"/>
    <w:rsid w:val="00C414BA"/>
    <w:rsid w:val="00C41509"/>
    <w:rsid w:val="00C4153E"/>
    <w:rsid w:val="00C4154D"/>
    <w:rsid w:val="00C41591"/>
    <w:rsid w:val="00C41634"/>
    <w:rsid w:val="00C41646"/>
    <w:rsid w:val="00C4165E"/>
    <w:rsid w:val="00C417D6"/>
    <w:rsid w:val="00C4183F"/>
    <w:rsid w:val="00C418B5"/>
    <w:rsid w:val="00C4192C"/>
    <w:rsid w:val="00C419CD"/>
    <w:rsid w:val="00C419EF"/>
    <w:rsid w:val="00C41A12"/>
    <w:rsid w:val="00C41A24"/>
    <w:rsid w:val="00C41AAD"/>
    <w:rsid w:val="00C41B3A"/>
    <w:rsid w:val="00C41B50"/>
    <w:rsid w:val="00C41B6F"/>
    <w:rsid w:val="00C41BB1"/>
    <w:rsid w:val="00C41BB4"/>
    <w:rsid w:val="00C41BE5"/>
    <w:rsid w:val="00C41C43"/>
    <w:rsid w:val="00C41C48"/>
    <w:rsid w:val="00C41C98"/>
    <w:rsid w:val="00C41CA2"/>
    <w:rsid w:val="00C41CAA"/>
    <w:rsid w:val="00C41CCC"/>
    <w:rsid w:val="00C41DB8"/>
    <w:rsid w:val="00C41DEF"/>
    <w:rsid w:val="00C41E75"/>
    <w:rsid w:val="00C41E92"/>
    <w:rsid w:val="00C41F14"/>
    <w:rsid w:val="00C41F3F"/>
    <w:rsid w:val="00C41FAF"/>
    <w:rsid w:val="00C42013"/>
    <w:rsid w:val="00C42089"/>
    <w:rsid w:val="00C420D0"/>
    <w:rsid w:val="00C42173"/>
    <w:rsid w:val="00C421C9"/>
    <w:rsid w:val="00C421D9"/>
    <w:rsid w:val="00C421F1"/>
    <w:rsid w:val="00C421F3"/>
    <w:rsid w:val="00C42208"/>
    <w:rsid w:val="00C4221D"/>
    <w:rsid w:val="00C4227A"/>
    <w:rsid w:val="00C422C9"/>
    <w:rsid w:val="00C422D8"/>
    <w:rsid w:val="00C42300"/>
    <w:rsid w:val="00C42316"/>
    <w:rsid w:val="00C4231C"/>
    <w:rsid w:val="00C4234A"/>
    <w:rsid w:val="00C423A2"/>
    <w:rsid w:val="00C423D4"/>
    <w:rsid w:val="00C424B8"/>
    <w:rsid w:val="00C4252A"/>
    <w:rsid w:val="00C425CE"/>
    <w:rsid w:val="00C425FE"/>
    <w:rsid w:val="00C42616"/>
    <w:rsid w:val="00C42637"/>
    <w:rsid w:val="00C426B4"/>
    <w:rsid w:val="00C426E0"/>
    <w:rsid w:val="00C426FA"/>
    <w:rsid w:val="00C4280A"/>
    <w:rsid w:val="00C42875"/>
    <w:rsid w:val="00C429D0"/>
    <w:rsid w:val="00C429D7"/>
    <w:rsid w:val="00C42A61"/>
    <w:rsid w:val="00C42AEE"/>
    <w:rsid w:val="00C42B05"/>
    <w:rsid w:val="00C42B86"/>
    <w:rsid w:val="00C42C2C"/>
    <w:rsid w:val="00C42C7C"/>
    <w:rsid w:val="00C42C97"/>
    <w:rsid w:val="00C42CB3"/>
    <w:rsid w:val="00C42CDE"/>
    <w:rsid w:val="00C42D0C"/>
    <w:rsid w:val="00C42E11"/>
    <w:rsid w:val="00C42E7B"/>
    <w:rsid w:val="00C42E96"/>
    <w:rsid w:val="00C42F28"/>
    <w:rsid w:val="00C42F8F"/>
    <w:rsid w:val="00C42FB8"/>
    <w:rsid w:val="00C43010"/>
    <w:rsid w:val="00C43020"/>
    <w:rsid w:val="00C430C6"/>
    <w:rsid w:val="00C430C8"/>
    <w:rsid w:val="00C4310E"/>
    <w:rsid w:val="00C4316B"/>
    <w:rsid w:val="00C43247"/>
    <w:rsid w:val="00C4324D"/>
    <w:rsid w:val="00C4327E"/>
    <w:rsid w:val="00C43323"/>
    <w:rsid w:val="00C43462"/>
    <w:rsid w:val="00C434C3"/>
    <w:rsid w:val="00C434F4"/>
    <w:rsid w:val="00C435F6"/>
    <w:rsid w:val="00C4362A"/>
    <w:rsid w:val="00C43631"/>
    <w:rsid w:val="00C43710"/>
    <w:rsid w:val="00C43755"/>
    <w:rsid w:val="00C437D3"/>
    <w:rsid w:val="00C438CA"/>
    <w:rsid w:val="00C43952"/>
    <w:rsid w:val="00C43998"/>
    <w:rsid w:val="00C4399C"/>
    <w:rsid w:val="00C43A1B"/>
    <w:rsid w:val="00C43A4D"/>
    <w:rsid w:val="00C43A5B"/>
    <w:rsid w:val="00C43A93"/>
    <w:rsid w:val="00C43B94"/>
    <w:rsid w:val="00C43BF2"/>
    <w:rsid w:val="00C43DE5"/>
    <w:rsid w:val="00C43DF4"/>
    <w:rsid w:val="00C43DF6"/>
    <w:rsid w:val="00C43E9B"/>
    <w:rsid w:val="00C43EA2"/>
    <w:rsid w:val="00C43EA5"/>
    <w:rsid w:val="00C43EA6"/>
    <w:rsid w:val="00C43EEC"/>
    <w:rsid w:val="00C43EF0"/>
    <w:rsid w:val="00C43F43"/>
    <w:rsid w:val="00C43FF9"/>
    <w:rsid w:val="00C44069"/>
    <w:rsid w:val="00C44099"/>
    <w:rsid w:val="00C440A7"/>
    <w:rsid w:val="00C440CC"/>
    <w:rsid w:val="00C44270"/>
    <w:rsid w:val="00C4428F"/>
    <w:rsid w:val="00C442B4"/>
    <w:rsid w:val="00C442C5"/>
    <w:rsid w:val="00C442DE"/>
    <w:rsid w:val="00C4438A"/>
    <w:rsid w:val="00C4438E"/>
    <w:rsid w:val="00C44441"/>
    <w:rsid w:val="00C44446"/>
    <w:rsid w:val="00C4445B"/>
    <w:rsid w:val="00C4445F"/>
    <w:rsid w:val="00C444B8"/>
    <w:rsid w:val="00C44550"/>
    <w:rsid w:val="00C44577"/>
    <w:rsid w:val="00C445FB"/>
    <w:rsid w:val="00C445FE"/>
    <w:rsid w:val="00C44640"/>
    <w:rsid w:val="00C44654"/>
    <w:rsid w:val="00C446A1"/>
    <w:rsid w:val="00C446D9"/>
    <w:rsid w:val="00C44770"/>
    <w:rsid w:val="00C44847"/>
    <w:rsid w:val="00C44873"/>
    <w:rsid w:val="00C4487C"/>
    <w:rsid w:val="00C448D1"/>
    <w:rsid w:val="00C448FD"/>
    <w:rsid w:val="00C44916"/>
    <w:rsid w:val="00C44928"/>
    <w:rsid w:val="00C44962"/>
    <w:rsid w:val="00C44972"/>
    <w:rsid w:val="00C44978"/>
    <w:rsid w:val="00C449B9"/>
    <w:rsid w:val="00C449F7"/>
    <w:rsid w:val="00C44A1E"/>
    <w:rsid w:val="00C44A2C"/>
    <w:rsid w:val="00C44A4C"/>
    <w:rsid w:val="00C44A7E"/>
    <w:rsid w:val="00C44A98"/>
    <w:rsid w:val="00C44AA5"/>
    <w:rsid w:val="00C44ADB"/>
    <w:rsid w:val="00C44B5D"/>
    <w:rsid w:val="00C44BA4"/>
    <w:rsid w:val="00C44C26"/>
    <w:rsid w:val="00C44C65"/>
    <w:rsid w:val="00C44CB1"/>
    <w:rsid w:val="00C44CD4"/>
    <w:rsid w:val="00C44D68"/>
    <w:rsid w:val="00C44DA4"/>
    <w:rsid w:val="00C44E57"/>
    <w:rsid w:val="00C44EBC"/>
    <w:rsid w:val="00C44F09"/>
    <w:rsid w:val="00C44F4D"/>
    <w:rsid w:val="00C44FD8"/>
    <w:rsid w:val="00C44FEA"/>
    <w:rsid w:val="00C4502E"/>
    <w:rsid w:val="00C450F8"/>
    <w:rsid w:val="00C450FF"/>
    <w:rsid w:val="00C45167"/>
    <w:rsid w:val="00C451A5"/>
    <w:rsid w:val="00C45287"/>
    <w:rsid w:val="00C452AD"/>
    <w:rsid w:val="00C453D2"/>
    <w:rsid w:val="00C453FB"/>
    <w:rsid w:val="00C45416"/>
    <w:rsid w:val="00C45435"/>
    <w:rsid w:val="00C45465"/>
    <w:rsid w:val="00C45466"/>
    <w:rsid w:val="00C454B1"/>
    <w:rsid w:val="00C45524"/>
    <w:rsid w:val="00C45550"/>
    <w:rsid w:val="00C45555"/>
    <w:rsid w:val="00C4555A"/>
    <w:rsid w:val="00C45567"/>
    <w:rsid w:val="00C455BB"/>
    <w:rsid w:val="00C4560A"/>
    <w:rsid w:val="00C45610"/>
    <w:rsid w:val="00C45639"/>
    <w:rsid w:val="00C45640"/>
    <w:rsid w:val="00C4565C"/>
    <w:rsid w:val="00C456D6"/>
    <w:rsid w:val="00C456FE"/>
    <w:rsid w:val="00C45772"/>
    <w:rsid w:val="00C457A9"/>
    <w:rsid w:val="00C4580A"/>
    <w:rsid w:val="00C45826"/>
    <w:rsid w:val="00C45869"/>
    <w:rsid w:val="00C458A5"/>
    <w:rsid w:val="00C45953"/>
    <w:rsid w:val="00C459AC"/>
    <w:rsid w:val="00C459B5"/>
    <w:rsid w:val="00C459EC"/>
    <w:rsid w:val="00C45A1A"/>
    <w:rsid w:val="00C45A53"/>
    <w:rsid w:val="00C45A82"/>
    <w:rsid w:val="00C45A9C"/>
    <w:rsid w:val="00C45B0B"/>
    <w:rsid w:val="00C45B14"/>
    <w:rsid w:val="00C45B28"/>
    <w:rsid w:val="00C45B85"/>
    <w:rsid w:val="00C45BE7"/>
    <w:rsid w:val="00C45C0C"/>
    <w:rsid w:val="00C45C15"/>
    <w:rsid w:val="00C45C75"/>
    <w:rsid w:val="00C45C7F"/>
    <w:rsid w:val="00C45C8A"/>
    <w:rsid w:val="00C45ED7"/>
    <w:rsid w:val="00C45F4E"/>
    <w:rsid w:val="00C45F5E"/>
    <w:rsid w:val="00C45F79"/>
    <w:rsid w:val="00C46037"/>
    <w:rsid w:val="00C46049"/>
    <w:rsid w:val="00C46075"/>
    <w:rsid w:val="00C460AA"/>
    <w:rsid w:val="00C460FF"/>
    <w:rsid w:val="00C46329"/>
    <w:rsid w:val="00C4639E"/>
    <w:rsid w:val="00C463B8"/>
    <w:rsid w:val="00C463FA"/>
    <w:rsid w:val="00C4646C"/>
    <w:rsid w:val="00C4648C"/>
    <w:rsid w:val="00C464B4"/>
    <w:rsid w:val="00C4654D"/>
    <w:rsid w:val="00C46560"/>
    <w:rsid w:val="00C46640"/>
    <w:rsid w:val="00C46681"/>
    <w:rsid w:val="00C46745"/>
    <w:rsid w:val="00C467D6"/>
    <w:rsid w:val="00C467F3"/>
    <w:rsid w:val="00C46816"/>
    <w:rsid w:val="00C46819"/>
    <w:rsid w:val="00C46829"/>
    <w:rsid w:val="00C46840"/>
    <w:rsid w:val="00C46884"/>
    <w:rsid w:val="00C4689B"/>
    <w:rsid w:val="00C4689D"/>
    <w:rsid w:val="00C4697E"/>
    <w:rsid w:val="00C4698D"/>
    <w:rsid w:val="00C46A18"/>
    <w:rsid w:val="00C46A66"/>
    <w:rsid w:val="00C46A8F"/>
    <w:rsid w:val="00C46A97"/>
    <w:rsid w:val="00C46ABE"/>
    <w:rsid w:val="00C46AF1"/>
    <w:rsid w:val="00C46B27"/>
    <w:rsid w:val="00C46B61"/>
    <w:rsid w:val="00C46B73"/>
    <w:rsid w:val="00C46B81"/>
    <w:rsid w:val="00C46BB7"/>
    <w:rsid w:val="00C46C39"/>
    <w:rsid w:val="00C46C41"/>
    <w:rsid w:val="00C46C86"/>
    <w:rsid w:val="00C46CAC"/>
    <w:rsid w:val="00C46CB9"/>
    <w:rsid w:val="00C46CE0"/>
    <w:rsid w:val="00C46CEA"/>
    <w:rsid w:val="00C46CF3"/>
    <w:rsid w:val="00C46CFE"/>
    <w:rsid w:val="00C46D8B"/>
    <w:rsid w:val="00C46DB5"/>
    <w:rsid w:val="00C46DDD"/>
    <w:rsid w:val="00C46E0B"/>
    <w:rsid w:val="00C46EAD"/>
    <w:rsid w:val="00C46ED9"/>
    <w:rsid w:val="00C46F08"/>
    <w:rsid w:val="00C46F10"/>
    <w:rsid w:val="00C46F88"/>
    <w:rsid w:val="00C46F96"/>
    <w:rsid w:val="00C46FAD"/>
    <w:rsid w:val="00C46FFB"/>
    <w:rsid w:val="00C47024"/>
    <w:rsid w:val="00C470DF"/>
    <w:rsid w:val="00C471AA"/>
    <w:rsid w:val="00C471C4"/>
    <w:rsid w:val="00C471E3"/>
    <w:rsid w:val="00C47231"/>
    <w:rsid w:val="00C47338"/>
    <w:rsid w:val="00C47374"/>
    <w:rsid w:val="00C473A7"/>
    <w:rsid w:val="00C473B0"/>
    <w:rsid w:val="00C473B5"/>
    <w:rsid w:val="00C473FD"/>
    <w:rsid w:val="00C47421"/>
    <w:rsid w:val="00C474A0"/>
    <w:rsid w:val="00C47519"/>
    <w:rsid w:val="00C47525"/>
    <w:rsid w:val="00C475CA"/>
    <w:rsid w:val="00C475EC"/>
    <w:rsid w:val="00C47644"/>
    <w:rsid w:val="00C47656"/>
    <w:rsid w:val="00C476BE"/>
    <w:rsid w:val="00C476E8"/>
    <w:rsid w:val="00C4774F"/>
    <w:rsid w:val="00C4778A"/>
    <w:rsid w:val="00C47858"/>
    <w:rsid w:val="00C4790C"/>
    <w:rsid w:val="00C479F2"/>
    <w:rsid w:val="00C47A81"/>
    <w:rsid w:val="00C47B2F"/>
    <w:rsid w:val="00C47B89"/>
    <w:rsid w:val="00C47C4B"/>
    <w:rsid w:val="00C47CA0"/>
    <w:rsid w:val="00C47D3F"/>
    <w:rsid w:val="00C47D55"/>
    <w:rsid w:val="00C47D68"/>
    <w:rsid w:val="00C47D88"/>
    <w:rsid w:val="00C47E00"/>
    <w:rsid w:val="00C47E01"/>
    <w:rsid w:val="00C47E06"/>
    <w:rsid w:val="00C47E2B"/>
    <w:rsid w:val="00C47E8F"/>
    <w:rsid w:val="00C47F06"/>
    <w:rsid w:val="00C47F22"/>
    <w:rsid w:val="00C47F32"/>
    <w:rsid w:val="00C47F35"/>
    <w:rsid w:val="00C47F82"/>
    <w:rsid w:val="00C47F8C"/>
    <w:rsid w:val="00C47F98"/>
    <w:rsid w:val="00C5001C"/>
    <w:rsid w:val="00C5005C"/>
    <w:rsid w:val="00C5007A"/>
    <w:rsid w:val="00C50105"/>
    <w:rsid w:val="00C50107"/>
    <w:rsid w:val="00C50154"/>
    <w:rsid w:val="00C5016C"/>
    <w:rsid w:val="00C50232"/>
    <w:rsid w:val="00C50271"/>
    <w:rsid w:val="00C502E2"/>
    <w:rsid w:val="00C5030C"/>
    <w:rsid w:val="00C50314"/>
    <w:rsid w:val="00C5037E"/>
    <w:rsid w:val="00C5039F"/>
    <w:rsid w:val="00C503A8"/>
    <w:rsid w:val="00C503B6"/>
    <w:rsid w:val="00C503B9"/>
    <w:rsid w:val="00C503C2"/>
    <w:rsid w:val="00C503DC"/>
    <w:rsid w:val="00C503F5"/>
    <w:rsid w:val="00C50456"/>
    <w:rsid w:val="00C504D9"/>
    <w:rsid w:val="00C50571"/>
    <w:rsid w:val="00C50579"/>
    <w:rsid w:val="00C5059B"/>
    <w:rsid w:val="00C50625"/>
    <w:rsid w:val="00C50638"/>
    <w:rsid w:val="00C5067C"/>
    <w:rsid w:val="00C50684"/>
    <w:rsid w:val="00C50690"/>
    <w:rsid w:val="00C5078C"/>
    <w:rsid w:val="00C507B6"/>
    <w:rsid w:val="00C507E6"/>
    <w:rsid w:val="00C5082D"/>
    <w:rsid w:val="00C5083C"/>
    <w:rsid w:val="00C50865"/>
    <w:rsid w:val="00C50925"/>
    <w:rsid w:val="00C50935"/>
    <w:rsid w:val="00C50965"/>
    <w:rsid w:val="00C509E5"/>
    <w:rsid w:val="00C509FF"/>
    <w:rsid w:val="00C50A09"/>
    <w:rsid w:val="00C50A8B"/>
    <w:rsid w:val="00C50AC6"/>
    <w:rsid w:val="00C50ADE"/>
    <w:rsid w:val="00C50BCF"/>
    <w:rsid w:val="00C50BF5"/>
    <w:rsid w:val="00C50C06"/>
    <w:rsid w:val="00C50D1F"/>
    <w:rsid w:val="00C50D32"/>
    <w:rsid w:val="00C50D71"/>
    <w:rsid w:val="00C50D86"/>
    <w:rsid w:val="00C50D93"/>
    <w:rsid w:val="00C50DA6"/>
    <w:rsid w:val="00C50E54"/>
    <w:rsid w:val="00C50E84"/>
    <w:rsid w:val="00C50ECE"/>
    <w:rsid w:val="00C50EE9"/>
    <w:rsid w:val="00C50F02"/>
    <w:rsid w:val="00C50FD0"/>
    <w:rsid w:val="00C51021"/>
    <w:rsid w:val="00C51030"/>
    <w:rsid w:val="00C51171"/>
    <w:rsid w:val="00C51191"/>
    <w:rsid w:val="00C51226"/>
    <w:rsid w:val="00C5123B"/>
    <w:rsid w:val="00C512A0"/>
    <w:rsid w:val="00C512BF"/>
    <w:rsid w:val="00C512CD"/>
    <w:rsid w:val="00C51365"/>
    <w:rsid w:val="00C51372"/>
    <w:rsid w:val="00C51392"/>
    <w:rsid w:val="00C513B4"/>
    <w:rsid w:val="00C513F2"/>
    <w:rsid w:val="00C51424"/>
    <w:rsid w:val="00C5142D"/>
    <w:rsid w:val="00C5142E"/>
    <w:rsid w:val="00C5143A"/>
    <w:rsid w:val="00C51471"/>
    <w:rsid w:val="00C5147D"/>
    <w:rsid w:val="00C51491"/>
    <w:rsid w:val="00C514B9"/>
    <w:rsid w:val="00C514E8"/>
    <w:rsid w:val="00C5150C"/>
    <w:rsid w:val="00C5157C"/>
    <w:rsid w:val="00C515D9"/>
    <w:rsid w:val="00C515EA"/>
    <w:rsid w:val="00C5161A"/>
    <w:rsid w:val="00C5167C"/>
    <w:rsid w:val="00C516C3"/>
    <w:rsid w:val="00C51723"/>
    <w:rsid w:val="00C51745"/>
    <w:rsid w:val="00C5174D"/>
    <w:rsid w:val="00C51791"/>
    <w:rsid w:val="00C517C9"/>
    <w:rsid w:val="00C517CB"/>
    <w:rsid w:val="00C5181D"/>
    <w:rsid w:val="00C518BB"/>
    <w:rsid w:val="00C518C6"/>
    <w:rsid w:val="00C518DC"/>
    <w:rsid w:val="00C518EE"/>
    <w:rsid w:val="00C5195B"/>
    <w:rsid w:val="00C519AE"/>
    <w:rsid w:val="00C519BA"/>
    <w:rsid w:val="00C519DE"/>
    <w:rsid w:val="00C51A26"/>
    <w:rsid w:val="00C51A66"/>
    <w:rsid w:val="00C51A74"/>
    <w:rsid w:val="00C51B2F"/>
    <w:rsid w:val="00C51BFE"/>
    <w:rsid w:val="00C51C44"/>
    <w:rsid w:val="00C51C51"/>
    <w:rsid w:val="00C51C53"/>
    <w:rsid w:val="00C51C80"/>
    <w:rsid w:val="00C51DC5"/>
    <w:rsid w:val="00C51DE6"/>
    <w:rsid w:val="00C51E04"/>
    <w:rsid w:val="00C51E0D"/>
    <w:rsid w:val="00C51E41"/>
    <w:rsid w:val="00C51E73"/>
    <w:rsid w:val="00C51E78"/>
    <w:rsid w:val="00C51EC7"/>
    <w:rsid w:val="00C51F39"/>
    <w:rsid w:val="00C51FEA"/>
    <w:rsid w:val="00C5203F"/>
    <w:rsid w:val="00C52044"/>
    <w:rsid w:val="00C52050"/>
    <w:rsid w:val="00C52070"/>
    <w:rsid w:val="00C520AB"/>
    <w:rsid w:val="00C52140"/>
    <w:rsid w:val="00C52367"/>
    <w:rsid w:val="00C5237F"/>
    <w:rsid w:val="00C52388"/>
    <w:rsid w:val="00C5244C"/>
    <w:rsid w:val="00C52475"/>
    <w:rsid w:val="00C524B2"/>
    <w:rsid w:val="00C52559"/>
    <w:rsid w:val="00C525E2"/>
    <w:rsid w:val="00C52672"/>
    <w:rsid w:val="00C526AC"/>
    <w:rsid w:val="00C526C3"/>
    <w:rsid w:val="00C526FE"/>
    <w:rsid w:val="00C5282F"/>
    <w:rsid w:val="00C528EF"/>
    <w:rsid w:val="00C52934"/>
    <w:rsid w:val="00C52982"/>
    <w:rsid w:val="00C529B0"/>
    <w:rsid w:val="00C529EE"/>
    <w:rsid w:val="00C529FB"/>
    <w:rsid w:val="00C52A3B"/>
    <w:rsid w:val="00C52A77"/>
    <w:rsid w:val="00C52A80"/>
    <w:rsid w:val="00C52AA9"/>
    <w:rsid w:val="00C52B0E"/>
    <w:rsid w:val="00C52B9E"/>
    <w:rsid w:val="00C52C21"/>
    <w:rsid w:val="00C52C44"/>
    <w:rsid w:val="00C52C75"/>
    <w:rsid w:val="00C52C83"/>
    <w:rsid w:val="00C52E29"/>
    <w:rsid w:val="00C52E85"/>
    <w:rsid w:val="00C52ECC"/>
    <w:rsid w:val="00C52EE8"/>
    <w:rsid w:val="00C52F31"/>
    <w:rsid w:val="00C52F37"/>
    <w:rsid w:val="00C52F7F"/>
    <w:rsid w:val="00C53065"/>
    <w:rsid w:val="00C53124"/>
    <w:rsid w:val="00C53274"/>
    <w:rsid w:val="00C532F0"/>
    <w:rsid w:val="00C53322"/>
    <w:rsid w:val="00C533B9"/>
    <w:rsid w:val="00C533D8"/>
    <w:rsid w:val="00C533FE"/>
    <w:rsid w:val="00C53441"/>
    <w:rsid w:val="00C53522"/>
    <w:rsid w:val="00C53532"/>
    <w:rsid w:val="00C535BF"/>
    <w:rsid w:val="00C53608"/>
    <w:rsid w:val="00C53662"/>
    <w:rsid w:val="00C5369B"/>
    <w:rsid w:val="00C536A0"/>
    <w:rsid w:val="00C53721"/>
    <w:rsid w:val="00C537F3"/>
    <w:rsid w:val="00C537F7"/>
    <w:rsid w:val="00C5383E"/>
    <w:rsid w:val="00C53841"/>
    <w:rsid w:val="00C538B3"/>
    <w:rsid w:val="00C5392A"/>
    <w:rsid w:val="00C53981"/>
    <w:rsid w:val="00C53993"/>
    <w:rsid w:val="00C53994"/>
    <w:rsid w:val="00C53996"/>
    <w:rsid w:val="00C539A6"/>
    <w:rsid w:val="00C53AA3"/>
    <w:rsid w:val="00C53AD1"/>
    <w:rsid w:val="00C53B63"/>
    <w:rsid w:val="00C53BAE"/>
    <w:rsid w:val="00C53C0A"/>
    <w:rsid w:val="00C53D06"/>
    <w:rsid w:val="00C53D22"/>
    <w:rsid w:val="00C53D7B"/>
    <w:rsid w:val="00C53DAF"/>
    <w:rsid w:val="00C53DD8"/>
    <w:rsid w:val="00C53DEC"/>
    <w:rsid w:val="00C53EA5"/>
    <w:rsid w:val="00C53FF2"/>
    <w:rsid w:val="00C54081"/>
    <w:rsid w:val="00C54115"/>
    <w:rsid w:val="00C5415A"/>
    <w:rsid w:val="00C541E1"/>
    <w:rsid w:val="00C5422A"/>
    <w:rsid w:val="00C54294"/>
    <w:rsid w:val="00C542B0"/>
    <w:rsid w:val="00C543CB"/>
    <w:rsid w:val="00C543E5"/>
    <w:rsid w:val="00C54431"/>
    <w:rsid w:val="00C54475"/>
    <w:rsid w:val="00C544A3"/>
    <w:rsid w:val="00C54508"/>
    <w:rsid w:val="00C5452F"/>
    <w:rsid w:val="00C545A0"/>
    <w:rsid w:val="00C54672"/>
    <w:rsid w:val="00C546C1"/>
    <w:rsid w:val="00C54707"/>
    <w:rsid w:val="00C54734"/>
    <w:rsid w:val="00C547FC"/>
    <w:rsid w:val="00C5483F"/>
    <w:rsid w:val="00C54856"/>
    <w:rsid w:val="00C548C9"/>
    <w:rsid w:val="00C54901"/>
    <w:rsid w:val="00C54950"/>
    <w:rsid w:val="00C5496A"/>
    <w:rsid w:val="00C54A02"/>
    <w:rsid w:val="00C54A4E"/>
    <w:rsid w:val="00C54AAA"/>
    <w:rsid w:val="00C54B40"/>
    <w:rsid w:val="00C54B45"/>
    <w:rsid w:val="00C54B7B"/>
    <w:rsid w:val="00C54C4F"/>
    <w:rsid w:val="00C54C97"/>
    <w:rsid w:val="00C54CBC"/>
    <w:rsid w:val="00C54D8B"/>
    <w:rsid w:val="00C54DBB"/>
    <w:rsid w:val="00C54E28"/>
    <w:rsid w:val="00C54E4E"/>
    <w:rsid w:val="00C54E7E"/>
    <w:rsid w:val="00C54EA7"/>
    <w:rsid w:val="00C54F1E"/>
    <w:rsid w:val="00C54F98"/>
    <w:rsid w:val="00C54FE8"/>
    <w:rsid w:val="00C5502B"/>
    <w:rsid w:val="00C55088"/>
    <w:rsid w:val="00C55184"/>
    <w:rsid w:val="00C551F7"/>
    <w:rsid w:val="00C551F8"/>
    <w:rsid w:val="00C55229"/>
    <w:rsid w:val="00C55237"/>
    <w:rsid w:val="00C5531B"/>
    <w:rsid w:val="00C55360"/>
    <w:rsid w:val="00C553D5"/>
    <w:rsid w:val="00C5540E"/>
    <w:rsid w:val="00C554FD"/>
    <w:rsid w:val="00C55512"/>
    <w:rsid w:val="00C55526"/>
    <w:rsid w:val="00C55560"/>
    <w:rsid w:val="00C5556E"/>
    <w:rsid w:val="00C55698"/>
    <w:rsid w:val="00C556EC"/>
    <w:rsid w:val="00C556F7"/>
    <w:rsid w:val="00C55700"/>
    <w:rsid w:val="00C55843"/>
    <w:rsid w:val="00C5584D"/>
    <w:rsid w:val="00C55897"/>
    <w:rsid w:val="00C558C7"/>
    <w:rsid w:val="00C558EC"/>
    <w:rsid w:val="00C55987"/>
    <w:rsid w:val="00C559A0"/>
    <w:rsid w:val="00C559B4"/>
    <w:rsid w:val="00C559CC"/>
    <w:rsid w:val="00C55A12"/>
    <w:rsid w:val="00C55A2F"/>
    <w:rsid w:val="00C55A49"/>
    <w:rsid w:val="00C55A72"/>
    <w:rsid w:val="00C55B92"/>
    <w:rsid w:val="00C55BA0"/>
    <w:rsid w:val="00C55CBB"/>
    <w:rsid w:val="00C55D67"/>
    <w:rsid w:val="00C55D73"/>
    <w:rsid w:val="00C55DC4"/>
    <w:rsid w:val="00C55E2D"/>
    <w:rsid w:val="00C55EDA"/>
    <w:rsid w:val="00C55EFC"/>
    <w:rsid w:val="00C55F18"/>
    <w:rsid w:val="00C55F8F"/>
    <w:rsid w:val="00C56008"/>
    <w:rsid w:val="00C56011"/>
    <w:rsid w:val="00C56015"/>
    <w:rsid w:val="00C56073"/>
    <w:rsid w:val="00C560AA"/>
    <w:rsid w:val="00C560CF"/>
    <w:rsid w:val="00C560D4"/>
    <w:rsid w:val="00C5610B"/>
    <w:rsid w:val="00C56176"/>
    <w:rsid w:val="00C561B3"/>
    <w:rsid w:val="00C561E0"/>
    <w:rsid w:val="00C561FF"/>
    <w:rsid w:val="00C56218"/>
    <w:rsid w:val="00C562AE"/>
    <w:rsid w:val="00C562EE"/>
    <w:rsid w:val="00C56315"/>
    <w:rsid w:val="00C5632D"/>
    <w:rsid w:val="00C5636C"/>
    <w:rsid w:val="00C56411"/>
    <w:rsid w:val="00C56430"/>
    <w:rsid w:val="00C56440"/>
    <w:rsid w:val="00C564BE"/>
    <w:rsid w:val="00C564DF"/>
    <w:rsid w:val="00C564E2"/>
    <w:rsid w:val="00C56545"/>
    <w:rsid w:val="00C5659B"/>
    <w:rsid w:val="00C565AC"/>
    <w:rsid w:val="00C565C8"/>
    <w:rsid w:val="00C566E4"/>
    <w:rsid w:val="00C56725"/>
    <w:rsid w:val="00C5674E"/>
    <w:rsid w:val="00C56833"/>
    <w:rsid w:val="00C5688E"/>
    <w:rsid w:val="00C56898"/>
    <w:rsid w:val="00C56987"/>
    <w:rsid w:val="00C56994"/>
    <w:rsid w:val="00C5699D"/>
    <w:rsid w:val="00C569BE"/>
    <w:rsid w:val="00C56A0C"/>
    <w:rsid w:val="00C56A1A"/>
    <w:rsid w:val="00C56A3E"/>
    <w:rsid w:val="00C56A43"/>
    <w:rsid w:val="00C56A4C"/>
    <w:rsid w:val="00C56A72"/>
    <w:rsid w:val="00C56A7E"/>
    <w:rsid w:val="00C56B20"/>
    <w:rsid w:val="00C56BCE"/>
    <w:rsid w:val="00C56BED"/>
    <w:rsid w:val="00C56C65"/>
    <w:rsid w:val="00C56C96"/>
    <w:rsid w:val="00C56CB1"/>
    <w:rsid w:val="00C56CD2"/>
    <w:rsid w:val="00C56DC3"/>
    <w:rsid w:val="00C56E1F"/>
    <w:rsid w:val="00C56E54"/>
    <w:rsid w:val="00C56E7C"/>
    <w:rsid w:val="00C56FC5"/>
    <w:rsid w:val="00C5706E"/>
    <w:rsid w:val="00C570D1"/>
    <w:rsid w:val="00C5718F"/>
    <w:rsid w:val="00C571AF"/>
    <w:rsid w:val="00C571CD"/>
    <w:rsid w:val="00C57239"/>
    <w:rsid w:val="00C572D2"/>
    <w:rsid w:val="00C572DE"/>
    <w:rsid w:val="00C573C8"/>
    <w:rsid w:val="00C573E4"/>
    <w:rsid w:val="00C573EC"/>
    <w:rsid w:val="00C573EF"/>
    <w:rsid w:val="00C57430"/>
    <w:rsid w:val="00C57435"/>
    <w:rsid w:val="00C57477"/>
    <w:rsid w:val="00C5757D"/>
    <w:rsid w:val="00C575BA"/>
    <w:rsid w:val="00C575CC"/>
    <w:rsid w:val="00C575DE"/>
    <w:rsid w:val="00C575E1"/>
    <w:rsid w:val="00C5768F"/>
    <w:rsid w:val="00C5773C"/>
    <w:rsid w:val="00C57761"/>
    <w:rsid w:val="00C577C4"/>
    <w:rsid w:val="00C577EB"/>
    <w:rsid w:val="00C57851"/>
    <w:rsid w:val="00C57897"/>
    <w:rsid w:val="00C578A0"/>
    <w:rsid w:val="00C57924"/>
    <w:rsid w:val="00C5795F"/>
    <w:rsid w:val="00C57961"/>
    <w:rsid w:val="00C57973"/>
    <w:rsid w:val="00C579F1"/>
    <w:rsid w:val="00C57B09"/>
    <w:rsid w:val="00C57BDA"/>
    <w:rsid w:val="00C57C22"/>
    <w:rsid w:val="00C57C81"/>
    <w:rsid w:val="00C57CC5"/>
    <w:rsid w:val="00C57D63"/>
    <w:rsid w:val="00C57D7E"/>
    <w:rsid w:val="00C57D86"/>
    <w:rsid w:val="00C57DBC"/>
    <w:rsid w:val="00C57E3B"/>
    <w:rsid w:val="00C57E70"/>
    <w:rsid w:val="00C57E78"/>
    <w:rsid w:val="00C57E84"/>
    <w:rsid w:val="00C57E90"/>
    <w:rsid w:val="00C57EC1"/>
    <w:rsid w:val="00C57ECC"/>
    <w:rsid w:val="00C57F3D"/>
    <w:rsid w:val="00C57FB9"/>
    <w:rsid w:val="00C57FEC"/>
    <w:rsid w:val="00C6003D"/>
    <w:rsid w:val="00C60056"/>
    <w:rsid w:val="00C600DB"/>
    <w:rsid w:val="00C6015C"/>
    <w:rsid w:val="00C60167"/>
    <w:rsid w:val="00C601CB"/>
    <w:rsid w:val="00C60244"/>
    <w:rsid w:val="00C60265"/>
    <w:rsid w:val="00C6027A"/>
    <w:rsid w:val="00C6028C"/>
    <w:rsid w:val="00C602DC"/>
    <w:rsid w:val="00C60412"/>
    <w:rsid w:val="00C60427"/>
    <w:rsid w:val="00C6049D"/>
    <w:rsid w:val="00C60541"/>
    <w:rsid w:val="00C605B2"/>
    <w:rsid w:val="00C60692"/>
    <w:rsid w:val="00C607E7"/>
    <w:rsid w:val="00C607EE"/>
    <w:rsid w:val="00C60BA8"/>
    <w:rsid w:val="00C60BDE"/>
    <w:rsid w:val="00C60BE5"/>
    <w:rsid w:val="00C60C2A"/>
    <w:rsid w:val="00C60C47"/>
    <w:rsid w:val="00C60C5F"/>
    <w:rsid w:val="00C60C9C"/>
    <w:rsid w:val="00C60D03"/>
    <w:rsid w:val="00C60D9C"/>
    <w:rsid w:val="00C60D9D"/>
    <w:rsid w:val="00C60DB0"/>
    <w:rsid w:val="00C60DC2"/>
    <w:rsid w:val="00C60EBA"/>
    <w:rsid w:val="00C60ED5"/>
    <w:rsid w:val="00C60F0E"/>
    <w:rsid w:val="00C60F37"/>
    <w:rsid w:val="00C60F43"/>
    <w:rsid w:val="00C60F51"/>
    <w:rsid w:val="00C60F76"/>
    <w:rsid w:val="00C60FEE"/>
    <w:rsid w:val="00C6102F"/>
    <w:rsid w:val="00C6107B"/>
    <w:rsid w:val="00C6108E"/>
    <w:rsid w:val="00C61117"/>
    <w:rsid w:val="00C61192"/>
    <w:rsid w:val="00C61296"/>
    <w:rsid w:val="00C612BB"/>
    <w:rsid w:val="00C61373"/>
    <w:rsid w:val="00C61394"/>
    <w:rsid w:val="00C61422"/>
    <w:rsid w:val="00C61429"/>
    <w:rsid w:val="00C6157C"/>
    <w:rsid w:val="00C61621"/>
    <w:rsid w:val="00C61630"/>
    <w:rsid w:val="00C61686"/>
    <w:rsid w:val="00C6172A"/>
    <w:rsid w:val="00C618B1"/>
    <w:rsid w:val="00C618B3"/>
    <w:rsid w:val="00C618DE"/>
    <w:rsid w:val="00C618FA"/>
    <w:rsid w:val="00C61939"/>
    <w:rsid w:val="00C61957"/>
    <w:rsid w:val="00C6195B"/>
    <w:rsid w:val="00C61999"/>
    <w:rsid w:val="00C61A96"/>
    <w:rsid w:val="00C61B18"/>
    <w:rsid w:val="00C61B39"/>
    <w:rsid w:val="00C61B79"/>
    <w:rsid w:val="00C61B80"/>
    <w:rsid w:val="00C61BA7"/>
    <w:rsid w:val="00C61C45"/>
    <w:rsid w:val="00C61C9C"/>
    <w:rsid w:val="00C61CB1"/>
    <w:rsid w:val="00C61CE0"/>
    <w:rsid w:val="00C61CEB"/>
    <w:rsid w:val="00C61D47"/>
    <w:rsid w:val="00C61D77"/>
    <w:rsid w:val="00C61DBF"/>
    <w:rsid w:val="00C61DCD"/>
    <w:rsid w:val="00C61DD5"/>
    <w:rsid w:val="00C61E51"/>
    <w:rsid w:val="00C61E87"/>
    <w:rsid w:val="00C61EC4"/>
    <w:rsid w:val="00C61F5F"/>
    <w:rsid w:val="00C61F6B"/>
    <w:rsid w:val="00C61FC8"/>
    <w:rsid w:val="00C62014"/>
    <w:rsid w:val="00C6203C"/>
    <w:rsid w:val="00C6207F"/>
    <w:rsid w:val="00C62082"/>
    <w:rsid w:val="00C620DF"/>
    <w:rsid w:val="00C621B6"/>
    <w:rsid w:val="00C621F6"/>
    <w:rsid w:val="00C62286"/>
    <w:rsid w:val="00C622E5"/>
    <w:rsid w:val="00C623AC"/>
    <w:rsid w:val="00C6254E"/>
    <w:rsid w:val="00C62564"/>
    <w:rsid w:val="00C6257A"/>
    <w:rsid w:val="00C62645"/>
    <w:rsid w:val="00C626A7"/>
    <w:rsid w:val="00C627D1"/>
    <w:rsid w:val="00C62816"/>
    <w:rsid w:val="00C62851"/>
    <w:rsid w:val="00C62882"/>
    <w:rsid w:val="00C6289E"/>
    <w:rsid w:val="00C628CD"/>
    <w:rsid w:val="00C62933"/>
    <w:rsid w:val="00C6299C"/>
    <w:rsid w:val="00C629F5"/>
    <w:rsid w:val="00C62A1B"/>
    <w:rsid w:val="00C62A92"/>
    <w:rsid w:val="00C62ACC"/>
    <w:rsid w:val="00C62AD3"/>
    <w:rsid w:val="00C62AE0"/>
    <w:rsid w:val="00C62B42"/>
    <w:rsid w:val="00C62B71"/>
    <w:rsid w:val="00C62BE7"/>
    <w:rsid w:val="00C62BE9"/>
    <w:rsid w:val="00C62CD8"/>
    <w:rsid w:val="00C62CDC"/>
    <w:rsid w:val="00C62D40"/>
    <w:rsid w:val="00C62D73"/>
    <w:rsid w:val="00C62D81"/>
    <w:rsid w:val="00C62D8D"/>
    <w:rsid w:val="00C62E77"/>
    <w:rsid w:val="00C62E78"/>
    <w:rsid w:val="00C62E8D"/>
    <w:rsid w:val="00C62ED9"/>
    <w:rsid w:val="00C62EDF"/>
    <w:rsid w:val="00C62EF0"/>
    <w:rsid w:val="00C62F19"/>
    <w:rsid w:val="00C62F2D"/>
    <w:rsid w:val="00C62F8F"/>
    <w:rsid w:val="00C62FA9"/>
    <w:rsid w:val="00C62FCC"/>
    <w:rsid w:val="00C63019"/>
    <w:rsid w:val="00C63060"/>
    <w:rsid w:val="00C63091"/>
    <w:rsid w:val="00C63139"/>
    <w:rsid w:val="00C631D4"/>
    <w:rsid w:val="00C63251"/>
    <w:rsid w:val="00C632C5"/>
    <w:rsid w:val="00C632EB"/>
    <w:rsid w:val="00C63321"/>
    <w:rsid w:val="00C6332D"/>
    <w:rsid w:val="00C63387"/>
    <w:rsid w:val="00C633C3"/>
    <w:rsid w:val="00C63436"/>
    <w:rsid w:val="00C63499"/>
    <w:rsid w:val="00C634D0"/>
    <w:rsid w:val="00C63506"/>
    <w:rsid w:val="00C63534"/>
    <w:rsid w:val="00C63551"/>
    <w:rsid w:val="00C63568"/>
    <w:rsid w:val="00C63590"/>
    <w:rsid w:val="00C635C4"/>
    <w:rsid w:val="00C635D0"/>
    <w:rsid w:val="00C635FE"/>
    <w:rsid w:val="00C63609"/>
    <w:rsid w:val="00C63648"/>
    <w:rsid w:val="00C63680"/>
    <w:rsid w:val="00C6380A"/>
    <w:rsid w:val="00C6386C"/>
    <w:rsid w:val="00C63918"/>
    <w:rsid w:val="00C6398C"/>
    <w:rsid w:val="00C639C2"/>
    <w:rsid w:val="00C63B18"/>
    <w:rsid w:val="00C63B93"/>
    <w:rsid w:val="00C63C27"/>
    <w:rsid w:val="00C63D65"/>
    <w:rsid w:val="00C63E18"/>
    <w:rsid w:val="00C63E1D"/>
    <w:rsid w:val="00C63E27"/>
    <w:rsid w:val="00C63E56"/>
    <w:rsid w:val="00C63F88"/>
    <w:rsid w:val="00C63FCA"/>
    <w:rsid w:val="00C63FDD"/>
    <w:rsid w:val="00C64027"/>
    <w:rsid w:val="00C64078"/>
    <w:rsid w:val="00C64094"/>
    <w:rsid w:val="00C640D0"/>
    <w:rsid w:val="00C6427F"/>
    <w:rsid w:val="00C64284"/>
    <w:rsid w:val="00C64333"/>
    <w:rsid w:val="00C64342"/>
    <w:rsid w:val="00C64371"/>
    <w:rsid w:val="00C64372"/>
    <w:rsid w:val="00C64396"/>
    <w:rsid w:val="00C64481"/>
    <w:rsid w:val="00C644B5"/>
    <w:rsid w:val="00C64543"/>
    <w:rsid w:val="00C6458C"/>
    <w:rsid w:val="00C6458E"/>
    <w:rsid w:val="00C645BD"/>
    <w:rsid w:val="00C645CA"/>
    <w:rsid w:val="00C645ED"/>
    <w:rsid w:val="00C64604"/>
    <w:rsid w:val="00C64626"/>
    <w:rsid w:val="00C64670"/>
    <w:rsid w:val="00C64722"/>
    <w:rsid w:val="00C64864"/>
    <w:rsid w:val="00C6489B"/>
    <w:rsid w:val="00C648BD"/>
    <w:rsid w:val="00C648FD"/>
    <w:rsid w:val="00C6492E"/>
    <w:rsid w:val="00C64977"/>
    <w:rsid w:val="00C6498E"/>
    <w:rsid w:val="00C649A8"/>
    <w:rsid w:val="00C649B4"/>
    <w:rsid w:val="00C649C3"/>
    <w:rsid w:val="00C649C7"/>
    <w:rsid w:val="00C64A26"/>
    <w:rsid w:val="00C64A34"/>
    <w:rsid w:val="00C64A63"/>
    <w:rsid w:val="00C64AA4"/>
    <w:rsid w:val="00C64AD4"/>
    <w:rsid w:val="00C64B07"/>
    <w:rsid w:val="00C64B0D"/>
    <w:rsid w:val="00C64B2B"/>
    <w:rsid w:val="00C64BC5"/>
    <w:rsid w:val="00C64C06"/>
    <w:rsid w:val="00C64CEE"/>
    <w:rsid w:val="00C64D35"/>
    <w:rsid w:val="00C64EC6"/>
    <w:rsid w:val="00C64F11"/>
    <w:rsid w:val="00C64FA7"/>
    <w:rsid w:val="00C6505B"/>
    <w:rsid w:val="00C650A8"/>
    <w:rsid w:val="00C650AD"/>
    <w:rsid w:val="00C650D3"/>
    <w:rsid w:val="00C6512A"/>
    <w:rsid w:val="00C65137"/>
    <w:rsid w:val="00C6519E"/>
    <w:rsid w:val="00C6523A"/>
    <w:rsid w:val="00C65243"/>
    <w:rsid w:val="00C652E6"/>
    <w:rsid w:val="00C652FB"/>
    <w:rsid w:val="00C65398"/>
    <w:rsid w:val="00C65541"/>
    <w:rsid w:val="00C65582"/>
    <w:rsid w:val="00C6559D"/>
    <w:rsid w:val="00C655C4"/>
    <w:rsid w:val="00C65650"/>
    <w:rsid w:val="00C656B0"/>
    <w:rsid w:val="00C656B2"/>
    <w:rsid w:val="00C656C3"/>
    <w:rsid w:val="00C656EF"/>
    <w:rsid w:val="00C6570D"/>
    <w:rsid w:val="00C65780"/>
    <w:rsid w:val="00C6578C"/>
    <w:rsid w:val="00C658A6"/>
    <w:rsid w:val="00C658D9"/>
    <w:rsid w:val="00C658E1"/>
    <w:rsid w:val="00C65919"/>
    <w:rsid w:val="00C6592D"/>
    <w:rsid w:val="00C6594B"/>
    <w:rsid w:val="00C65978"/>
    <w:rsid w:val="00C659AA"/>
    <w:rsid w:val="00C659AB"/>
    <w:rsid w:val="00C65A89"/>
    <w:rsid w:val="00C65ACA"/>
    <w:rsid w:val="00C65B90"/>
    <w:rsid w:val="00C65B91"/>
    <w:rsid w:val="00C65BC9"/>
    <w:rsid w:val="00C65BFD"/>
    <w:rsid w:val="00C65C30"/>
    <w:rsid w:val="00C65C3E"/>
    <w:rsid w:val="00C65C58"/>
    <w:rsid w:val="00C65CFC"/>
    <w:rsid w:val="00C65E3B"/>
    <w:rsid w:val="00C65EBA"/>
    <w:rsid w:val="00C65ECD"/>
    <w:rsid w:val="00C65F25"/>
    <w:rsid w:val="00C65F29"/>
    <w:rsid w:val="00C65F63"/>
    <w:rsid w:val="00C65F96"/>
    <w:rsid w:val="00C65FB8"/>
    <w:rsid w:val="00C65FEA"/>
    <w:rsid w:val="00C66014"/>
    <w:rsid w:val="00C6608E"/>
    <w:rsid w:val="00C660B6"/>
    <w:rsid w:val="00C660C3"/>
    <w:rsid w:val="00C66177"/>
    <w:rsid w:val="00C661C3"/>
    <w:rsid w:val="00C6626D"/>
    <w:rsid w:val="00C662C6"/>
    <w:rsid w:val="00C663AB"/>
    <w:rsid w:val="00C663B0"/>
    <w:rsid w:val="00C6641A"/>
    <w:rsid w:val="00C664BC"/>
    <w:rsid w:val="00C66558"/>
    <w:rsid w:val="00C6657B"/>
    <w:rsid w:val="00C665CC"/>
    <w:rsid w:val="00C66713"/>
    <w:rsid w:val="00C66716"/>
    <w:rsid w:val="00C667CC"/>
    <w:rsid w:val="00C667E1"/>
    <w:rsid w:val="00C667F7"/>
    <w:rsid w:val="00C668B0"/>
    <w:rsid w:val="00C6693D"/>
    <w:rsid w:val="00C66944"/>
    <w:rsid w:val="00C66970"/>
    <w:rsid w:val="00C66989"/>
    <w:rsid w:val="00C669EE"/>
    <w:rsid w:val="00C66A1E"/>
    <w:rsid w:val="00C66AF2"/>
    <w:rsid w:val="00C66B17"/>
    <w:rsid w:val="00C66B80"/>
    <w:rsid w:val="00C66BA4"/>
    <w:rsid w:val="00C66BB5"/>
    <w:rsid w:val="00C66C9B"/>
    <w:rsid w:val="00C66CFB"/>
    <w:rsid w:val="00C66D8F"/>
    <w:rsid w:val="00C66DAB"/>
    <w:rsid w:val="00C66E96"/>
    <w:rsid w:val="00C66F01"/>
    <w:rsid w:val="00C6702C"/>
    <w:rsid w:val="00C67062"/>
    <w:rsid w:val="00C670F4"/>
    <w:rsid w:val="00C67130"/>
    <w:rsid w:val="00C671AD"/>
    <w:rsid w:val="00C671F4"/>
    <w:rsid w:val="00C6727A"/>
    <w:rsid w:val="00C672E0"/>
    <w:rsid w:val="00C672FD"/>
    <w:rsid w:val="00C6730B"/>
    <w:rsid w:val="00C6731E"/>
    <w:rsid w:val="00C67349"/>
    <w:rsid w:val="00C67358"/>
    <w:rsid w:val="00C673A6"/>
    <w:rsid w:val="00C673CE"/>
    <w:rsid w:val="00C673D1"/>
    <w:rsid w:val="00C673D5"/>
    <w:rsid w:val="00C67450"/>
    <w:rsid w:val="00C67460"/>
    <w:rsid w:val="00C6749F"/>
    <w:rsid w:val="00C674AC"/>
    <w:rsid w:val="00C6753A"/>
    <w:rsid w:val="00C67586"/>
    <w:rsid w:val="00C6760F"/>
    <w:rsid w:val="00C67611"/>
    <w:rsid w:val="00C67657"/>
    <w:rsid w:val="00C67811"/>
    <w:rsid w:val="00C678A4"/>
    <w:rsid w:val="00C678F4"/>
    <w:rsid w:val="00C679F1"/>
    <w:rsid w:val="00C67A69"/>
    <w:rsid w:val="00C67A81"/>
    <w:rsid w:val="00C67B31"/>
    <w:rsid w:val="00C67BEB"/>
    <w:rsid w:val="00C67C80"/>
    <w:rsid w:val="00C67C9A"/>
    <w:rsid w:val="00C67CB2"/>
    <w:rsid w:val="00C67CBA"/>
    <w:rsid w:val="00C67D56"/>
    <w:rsid w:val="00C67D8B"/>
    <w:rsid w:val="00C67D9C"/>
    <w:rsid w:val="00C67E16"/>
    <w:rsid w:val="00C67E35"/>
    <w:rsid w:val="00C67EF0"/>
    <w:rsid w:val="00C67F2F"/>
    <w:rsid w:val="00C67F42"/>
    <w:rsid w:val="00C67F9B"/>
    <w:rsid w:val="00C67F9E"/>
    <w:rsid w:val="00C67FE1"/>
    <w:rsid w:val="00C7008E"/>
    <w:rsid w:val="00C700F8"/>
    <w:rsid w:val="00C70177"/>
    <w:rsid w:val="00C701EE"/>
    <w:rsid w:val="00C70223"/>
    <w:rsid w:val="00C7022F"/>
    <w:rsid w:val="00C70232"/>
    <w:rsid w:val="00C70255"/>
    <w:rsid w:val="00C70286"/>
    <w:rsid w:val="00C7029B"/>
    <w:rsid w:val="00C70352"/>
    <w:rsid w:val="00C703E4"/>
    <w:rsid w:val="00C70407"/>
    <w:rsid w:val="00C70466"/>
    <w:rsid w:val="00C70478"/>
    <w:rsid w:val="00C704B8"/>
    <w:rsid w:val="00C70597"/>
    <w:rsid w:val="00C705D8"/>
    <w:rsid w:val="00C705E2"/>
    <w:rsid w:val="00C70661"/>
    <w:rsid w:val="00C706D8"/>
    <w:rsid w:val="00C706FF"/>
    <w:rsid w:val="00C70746"/>
    <w:rsid w:val="00C7077D"/>
    <w:rsid w:val="00C707E0"/>
    <w:rsid w:val="00C707E4"/>
    <w:rsid w:val="00C707EA"/>
    <w:rsid w:val="00C708C0"/>
    <w:rsid w:val="00C7095F"/>
    <w:rsid w:val="00C70985"/>
    <w:rsid w:val="00C70994"/>
    <w:rsid w:val="00C70A02"/>
    <w:rsid w:val="00C70A43"/>
    <w:rsid w:val="00C70A57"/>
    <w:rsid w:val="00C70B28"/>
    <w:rsid w:val="00C70B39"/>
    <w:rsid w:val="00C70CAB"/>
    <w:rsid w:val="00C70CAD"/>
    <w:rsid w:val="00C70D1B"/>
    <w:rsid w:val="00C70D20"/>
    <w:rsid w:val="00C70D27"/>
    <w:rsid w:val="00C70D6C"/>
    <w:rsid w:val="00C70DB1"/>
    <w:rsid w:val="00C70E61"/>
    <w:rsid w:val="00C70E8C"/>
    <w:rsid w:val="00C70F49"/>
    <w:rsid w:val="00C70F66"/>
    <w:rsid w:val="00C70FE9"/>
    <w:rsid w:val="00C7100A"/>
    <w:rsid w:val="00C7100F"/>
    <w:rsid w:val="00C7102D"/>
    <w:rsid w:val="00C710C0"/>
    <w:rsid w:val="00C710DA"/>
    <w:rsid w:val="00C711B5"/>
    <w:rsid w:val="00C711CD"/>
    <w:rsid w:val="00C711D5"/>
    <w:rsid w:val="00C71232"/>
    <w:rsid w:val="00C71296"/>
    <w:rsid w:val="00C712ED"/>
    <w:rsid w:val="00C71326"/>
    <w:rsid w:val="00C71355"/>
    <w:rsid w:val="00C713DD"/>
    <w:rsid w:val="00C71484"/>
    <w:rsid w:val="00C7154C"/>
    <w:rsid w:val="00C715A4"/>
    <w:rsid w:val="00C715B2"/>
    <w:rsid w:val="00C715CB"/>
    <w:rsid w:val="00C7164F"/>
    <w:rsid w:val="00C71697"/>
    <w:rsid w:val="00C7171B"/>
    <w:rsid w:val="00C7176F"/>
    <w:rsid w:val="00C717C7"/>
    <w:rsid w:val="00C717CB"/>
    <w:rsid w:val="00C717EF"/>
    <w:rsid w:val="00C7183F"/>
    <w:rsid w:val="00C71881"/>
    <w:rsid w:val="00C7192D"/>
    <w:rsid w:val="00C71967"/>
    <w:rsid w:val="00C71985"/>
    <w:rsid w:val="00C71995"/>
    <w:rsid w:val="00C719E1"/>
    <w:rsid w:val="00C71A21"/>
    <w:rsid w:val="00C71AA8"/>
    <w:rsid w:val="00C71AD2"/>
    <w:rsid w:val="00C71B55"/>
    <w:rsid w:val="00C71B56"/>
    <w:rsid w:val="00C71B82"/>
    <w:rsid w:val="00C71BE5"/>
    <w:rsid w:val="00C71BEB"/>
    <w:rsid w:val="00C71C6C"/>
    <w:rsid w:val="00C71C9C"/>
    <w:rsid w:val="00C71DA4"/>
    <w:rsid w:val="00C71DCC"/>
    <w:rsid w:val="00C71EA9"/>
    <w:rsid w:val="00C71F7B"/>
    <w:rsid w:val="00C71FAE"/>
    <w:rsid w:val="00C71FB0"/>
    <w:rsid w:val="00C71FC0"/>
    <w:rsid w:val="00C71FD0"/>
    <w:rsid w:val="00C71FDD"/>
    <w:rsid w:val="00C72062"/>
    <w:rsid w:val="00C72106"/>
    <w:rsid w:val="00C7211A"/>
    <w:rsid w:val="00C7215C"/>
    <w:rsid w:val="00C721CE"/>
    <w:rsid w:val="00C721EA"/>
    <w:rsid w:val="00C7222B"/>
    <w:rsid w:val="00C7223F"/>
    <w:rsid w:val="00C72254"/>
    <w:rsid w:val="00C7226F"/>
    <w:rsid w:val="00C72288"/>
    <w:rsid w:val="00C7229C"/>
    <w:rsid w:val="00C72406"/>
    <w:rsid w:val="00C72419"/>
    <w:rsid w:val="00C72428"/>
    <w:rsid w:val="00C7244A"/>
    <w:rsid w:val="00C72461"/>
    <w:rsid w:val="00C7246D"/>
    <w:rsid w:val="00C724BF"/>
    <w:rsid w:val="00C724C0"/>
    <w:rsid w:val="00C724E3"/>
    <w:rsid w:val="00C72564"/>
    <w:rsid w:val="00C725B3"/>
    <w:rsid w:val="00C725E4"/>
    <w:rsid w:val="00C72627"/>
    <w:rsid w:val="00C72679"/>
    <w:rsid w:val="00C72698"/>
    <w:rsid w:val="00C726AB"/>
    <w:rsid w:val="00C726D8"/>
    <w:rsid w:val="00C726E6"/>
    <w:rsid w:val="00C726F7"/>
    <w:rsid w:val="00C726F9"/>
    <w:rsid w:val="00C72727"/>
    <w:rsid w:val="00C727E6"/>
    <w:rsid w:val="00C728C2"/>
    <w:rsid w:val="00C728CE"/>
    <w:rsid w:val="00C728E5"/>
    <w:rsid w:val="00C72942"/>
    <w:rsid w:val="00C7294D"/>
    <w:rsid w:val="00C729AE"/>
    <w:rsid w:val="00C729CD"/>
    <w:rsid w:val="00C72A19"/>
    <w:rsid w:val="00C72A3E"/>
    <w:rsid w:val="00C72A79"/>
    <w:rsid w:val="00C72A7C"/>
    <w:rsid w:val="00C72ACB"/>
    <w:rsid w:val="00C72B0A"/>
    <w:rsid w:val="00C72BEE"/>
    <w:rsid w:val="00C72C26"/>
    <w:rsid w:val="00C72CAE"/>
    <w:rsid w:val="00C72CD2"/>
    <w:rsid w:val="00C72D02"/>
    <w:rsid w:val="00C72D1E"/>
    <w:rsid w:val="00C72D7D"/>
    <w:rsid w:val="00C72DDE"/>
    <w:rsid w:val="00C72DE6"/>
    <w:rsid w:val="00C72E2A"/>
    <w:rsid w:val="00C72E99"/>
    <w:rsid w:val="00C72ECF"/>
    <w:rsid w:val="00C72EEA"/>
    <w:rsid w:val="00C72F5B"/>
    <w:rsid w:val="00C72F60"/>
    <w:rsid w:val="00C72F6B"/>
    <w:rsid w:val="00C72F72"/>
    <w:rsid w:val="00C72FEE"/>
    <w:rsid w:val="00C7300B"/>
    <w:rsid w:val="00C73149"/>
    <w:rsid w:val="00C7314A"/>
    <w:rsid w:val="00C731D7"/>
    <w:rsid w:val="00C731F9"/>
    <w:rsid w:val="00C7324A"/>
    <w:rsid w:val="00C73289"/>
    <w:rsid w:val="00C7328A"/>
    <w:rsid w:val="00C732D5"/>
    <w:rsid w:val="00C73302"/>
    <w:rsid w:val="00C733CE"/>
    <w:rsid w:val="00C7344B"/>
    <w:rsid w:val="00C734B6"/>
    <w:rsid w:val="00C73594"/>
    <w:rsid w:val="00C735A6"/>
    <w:rsid w:val="00C735AC"/>
    <w:rsid w:val="00C735FE"/>
    <w:rsid w:val="00C73620"/>
    <w:rsid w:val="00C73649"/>
    <w:rsid w:val="00C7366C"/>
    <w:rsid w:val="00C7367A"/>
    <w:rsid w:val="00C73689"/>
    <w:rsid w:val="00C736AB"/>
    <w:rsid w:val="00C736DC"/>
    <w:rsid w:val="00C7370B"/>
    <w:rsid w:val="00C73756"/>
    <w:rsid w:val="00C7379A"/>
    <w:rsid w:val="00C737E9"/>
    <w:rsid w:val="00C73823"/>
    <w:rsid w:val="00C73931"/>
    <w:rsid w:val="00C73940"/>
    <w:rsid w:val="00C73A6F"/>
    <w:rsid w:val="00C73A92"/>
    <w:rsid w:val="00C73B3E"/>
    <w:rsid w:val="00C73B4F"/>
    <w:rsid w:val="00C73B5F"/>
    <w:rsid w:val="00C73BAA"/>
    <w:rsid w:val="00C73C28"/>
    <w:rsid w:val="00C73C2E"/>
    <w:rsid w:val="00C73C36"/>
    <w:rsid w:val="00C73C81"/>
    <w:rsid w:val="00C73CFE"/>
    <w:rsid w:val="00C73D3B"/>
    <w:rsid w:val="00C73DC6"/>
    <w:rsid w:val="00C73E27"/>
    <w:rsid w:val="00C73E3B"/>
    <w:rsid w:val="00C73E5D"/>
    <w:rsid w:val="00C73E60"/>
    <w:rsid w:val="00C73E8A"/>
    <w:rsid w:val="00C73ECA"/>
    <w:rsid w:val="00C73F24"/>
    <w:rsid w:val="00C73F28"/>
    <w:rsid w:val="00C73F9D"/>
    <w:rsid w:val="00C73FAF"/>
    <w:rsid w:val="00C73FBF"/>
    <w:rsid w:val="00C740BF"/>
    <w:rsid w:val="00C740DB"/>
    <w:rsid w:val="00C7411D"/>
    <w:rsid w:val="00C741C6"/>
    <w:rsid w:val="00C741DF"/>
    <w:rsid w:val="00C7421A"/>
    <w:rsid w:val="00C742B7"/>
    <w:rsid w:val="00C74302"/>
    <w:rsid w:val="00C74330"/>
    <w:rsid w:val="00C74335"/>
    <w:rsid w:val="00C743EC"/>
    <w:rsid w:val="00C74449"/>
    <w:rsid w:val="00C74487"/>
    <w:rsid w:val="00C744BF"/>
    <w:rsid w:val="00C74537"/>
    <w:rsid w:val="00C745A8"/>
    <w:rsid w:val="00C74730"/>
    <w:rsid w:val="00C747A7"/>
    <w:rsid w:val="00C747E7"/>
    <w:rsid w:val="00C74841"/>
    <w:rsid w:val="00C74883"/>
    <w:rsid w:val="00C748EE"/>
    <w:rsid w:val="00C74A1E"/>
    <w:rsid w:val="00C74A49"/>
    <w:rsid w:val="00C74A6D"/>
    <w:rsid w:val="00C74A6F"/>
    <w:rsid w:val="00C74ADC"/>
    <w:rsid w:val="00C74B26"/>
    <w:rsid w:val="00C74B5D"/>
    <w:rsid w:val="00C74B77"/>
    <w:rsid w:val="00C74BB3"/>
    <w:rsid w:val="00C74BE7"/>
    <w:rsid w:val="00C74C83"/>
    <w:rsid w:val="00C74CA7"/>
    <w:rsid w:val="00C74D8A"/>
    <w:rsid w:val="00C74DAE"/>
    <w:rsid w:val="00C74DB8"/>
    <w:rsid w:val="00C74DF6"/>
    <w:rsid w:val="00C74E2D"/>
    <w:rsid w:val="00C74E90"/>
    <w:rsid w:val="00C74EC0"/>
    <w:rsid w:val="00C74EEB"/>
    <w:rsid w:val="00C74F07"/>
    <w:rsid w:val="00C74F0E"/>
    <w:rsid w:val="00C74FC9"/>
    <w:rsid w:val="00C74FD0"/>
    <w:rsid w:val="00C74FE8"/>
    <w:rsid w:val="00C75077"/>
    <w:rsid w:val="00C75147"/>
    <w:rsid w:val="00C75160"/>
    <w:rsid w:val="00C751FD"/>
    <w:rsid w:val="00C7527B"/>
    <w:rsid w:val="00C752CA"/>
    <w:rsid w:val="00C752EA"/>
    <w:rsid w:val="00C752EE"/>
    <w:rsid w:val="00C752F5"/>
    <w:rsid w:val="00C75303"/>
    <w:rsid w:val="00C75344"/>
    <w:rsid w:val="00C75391"/>
    <w:rsid w:val="00C753F5"/>
    <w:rsid w:val="00C7547D"/>
    <w:rsid w:val="00C754DC"/>
    <w:rsid w:val="00C754E5"/>
    <w:rsid w:val="00C754F1"/>
    <w:rsid w:val="00C75647"/>
    <w:rsid w:val="00C75649"/>
    <w:rsid w:val="00C75683"/>
    <w:rsid w:val="00C75722"/>
    <w:rsid w:val="00C75726"/>
    <w:rsid w:val="00C75732"/>
    <w:rsid w:val="00C7577E"/>
    <w:rsid w:val="00C75780"/>
    <w:rsid w:val="00C757E4"/>
    <w:rsid w:val="00C75803"/>
    <w:rsid w:val="00C7586E"/>
    <w:rsid w:val="00C75881"/>
    <w:rsid w:val="00C75885"/>
    <w:rsid w:val="00C7588C"/>
    <w:rsid w:val="00C758BA"/>
    <w:rsid w:val="00C75936"/>
    <w:rsid w:val="00C75957"/>
    <w:rsid w:val="00C759BC"/>
    <w:rsid w:val="00C75AE0"/>
    <w:rsid w:val="00C75B41"/>
    <w:rsid w:val="00C75BA9"/>
    <w:rsid w:val="00C75BF5"/>
    <w:rsid w:val="00C75C0F"/>
    <w:rsid w:val="00C75C15"/>
    <w:rsid w:val="00C75C47"/>
    <w:rsid w:val="00C75C88"/>
    <w:rsid w:val="00C75D15"/>
    <w:rsid w:val="00C75D33"/>
    <w:rsid w:val="00C75D51"/>
    <w:rsid w:val="00C75D84"/>
    <w:rsid w:val="00C75EA3"/>
    <w:rsid w:val="00C75FE6"/>
    <w:rsid w:val="00C7603C"/>
    <w:rsid w:val="00C76092"/>
    <w:rsid w:val="00C760A4"/>
    <w:rsid w:val="00C760C2"/>
    <w:rsid w:val="00C76147"/>
    <w:rsid w:val="00C761AC"/>
    <w:rsid w:val="00C76225"/>
    <w:rsid w:val="00C7626F"/>
    <w:rsid w:val="00C76280"/>
    <w:rsid w:val="00C7640F"/>
    <w:rsid w:val="00C76412"/>
    <w:rsid w:val="00C7641F"/>
    <w:rsid w:val="00C7643D"/>
    <w:rsid w:val="00C76446"/>
    <w:rsid w:val="00C7644B"/>
    <w:rsid w:val="00C764F7"/>
    <w:rsid w:val="00C76543"/>
    <w:rsid w:val="00C765D4"/>
    <w:rsid w:val="00C76606"/>
    <w:rsid w:val="00C76609"/>
    <w:rsid w:val="00C7660B"/>
    <w:rsid w:val="00C7664B"/>
    <w:rsid w:val="00C7666B"/>
    <w:rsid w:val="00C76690"/>
    <w:rsid w:val="00C7679C"/>
    <w:rsid w:val="00C767B4"/>
    <w:rsid w:val="00C7684C"/>
    <w:rsid w:val="00C7689E"/>
    <w:rsid w:val="00C768AD"/>
    <w:rsid w:val="00C768BB"/>
    <w:rsid w:val="00C76A5F"/>
    <w:rsid w:val="00C76A73"/>
    <w:rsid w:val="00C76A8C"/>
    <w:rsid w:val="00C76AA1"/>
    <w:rsid w:val="00C76ADC"/>
    <w:rsid w:val="00C76AED"/>
    <w:rsid w:val="00C76B3D"/>
    <w:rsid w:val="00C76B51"/>
    <w:rsid w:val="00C76B5E"/>
    <w:rsid w:val="00C76B5F"/>
    <w:rsid w:val="00C76BFF"/>
    <w:rsid w:val="00C76C13"/>
    <w:rsid w:val="00C76C50"/>
    <w:rsid w:val="00C76CA0"/>
    <w:rsid w:val="00C76CA1"/>
    <w:rsid w:val="00C76DB3"/>
    <w:rsid w:val="00C76E26"/>
    <w:rsid w:val="00C76E35"/>
    <w:rsid w:val="00C76E61"/>
    <w:rsid w:val="00C76EAB"/>
    <w:rsid w:val="00C76EC5"/>
    <w:rsid w:val="00C76ECD"/>
    <w:rsid w:val="00C76F06"/>
    <w:rsid w:val="00C76F5C"/>
    <w:rsid w:val="00C76F66"/>
    <w:rsid w:val="00C76F88"/>
    <w:rsid w:val="00C76F9E"/>
    <w:rsid w:val="00C76FA2"/>
    <w:rsid w:val="00C77070"/>
    <w:rsid w:val="00C77094"/>
    <w:rsid w:val="00C770BB"/>
    <w:rsid w:val="00C7718F"/>
    <w:rsid w:val="00C771A7"/>
    <w:rsid w:val="00C771B7"/>
    <w:rsid w:val="00C771F1"/>
    <w:rsid w:val="00C7720D"/>
    <w:rsid w:val="00C77241"/>
    <w:rsid w:val="00C772B2"/>
    <w:rsid w:val="00C772CF"/>
    <w:rsid w:val="00C773CE"/>
    <w:rsid w:val="00C773D7"/>
    <w:rsid w:val="00C773EC"/>
    <w:rsid w:val="00C774B7"/>
    <w:rsid w:val="00C774FD"/>
    <w:rsid w:val="00C775AD"/>
    <w:rsid w:val="00C775C6"/>
    <w:rsid w:val="00C775E7"/>
    <w:rsid w:val="00C7765F"/>
    <w:rsid w:val="00C77676"/>
    <w:rsid w:val="00C7767F"/>
    <w:rsid w:val="00C776E3"/>
    <w:rsid w:val="00C777B3"/>
    <w:rsid w:val="00C778DF"/>
    <w:rsid w:val="00C77916"/>
    <w:rsid w:val="00C7791C"/>
    <w:rsid w:val="00C77922"/>
    <w:rsid w:val="00C7792F"/>
    <w:rsid w:val="00C77944"/>
    <w:rsid w:val="00C7798F"/>
    <w:rsid w:val="00C77A0A"/>
    <w:rsid w:val="00C77A81"/>
    <w:rsid w:val="00C77AF7"/>
    <w:rsid w:val="00C77B07"/>
    <w:rsid w:val="00C77B5D"/>
    <w:rsid w:val="00C77BAF"/>
    <w:rsid w:val="00C77C4E"/>
    <w:rsid w:val="00C77C9E"/>
    <w:rsid w:val="00C77CB8"/>
    <w:rsid w:val="00C77CBB"/>
    <w:rsid w:val="00C77E0A"/>
    <w:rsid w:val="00C77F00"/>
    <w:rsid w:val="00C77F49"/>
    <w:rsid w:val="00C77FBC"/>
    <w:rsid w:val="00C77FD0"/>
    <w:rsid w:val="00C80006"/>
    <w:rsid w:val="00C800EB"/>
    <w:rsid w:val="00C8011D"/>
    <w:rsid w:val="00C801B1"/>
    <w:rsid w:val="00C801BD"/>
    <w:rsid w:val="00C8020A"/>
    <w:rsid w:val="00C802C4"/>
    <w:rsid w:val="00C802FE"/>
    <w:rsid w:val="00C8033E"/>
    <w:rsid w:val="00C80360"/>
    <w:rsid w:val="00C8039E"/>
    <w:rsid w:val="00C80448"/>
    <w:rsid w:val="00C804C7"/>
    <w:rsid w:val="00C804F9"/>
    <w:rsid w:val="00C804FE"/>
    <w:rsid w:val="00C8055D"/>
    <w:rsid w:val="00C805C8"/>
    <w:rsid w:val="00C8062A"/>
    <w:rsid w:val="00C80686"/>
    <w:rsid w:val="00C806EE"/>
    <w:rsid w:val="00C807A7"/>
    <w:rsid w:val="00C80863"/>
    <w:rsid w:val="00C808D4"/>
    <w:rsid w:val="00C8093C"/>
    <w:rsid w:val="00C8094E"/>
    <w:rsid w:val="00C80966"/>
    <w:rsid w:val="00C80993"/>
    <w:rsid w:val="00C8099E"/>
    <w:rsid w:val="00C809F3"/>
    <w:rsid w:val="00C80AA4"/>
    <w:rsid w:val="00C80AB8"/>
    <w:rsid w:val="00C80AF3"/>
    <w:rsid w:val="00C80B39"/>
    <w:rsid w:val="00C80C42"/>
    <w:rsid w:val="00C80C48"/>
    <w:rsid w:val="00C80CA9"/>
    <w:rsid w:val="00C80CBD"/>
    <w:rsid w:val="00C80CE2"/>
    <w:rsid w:val="00C80D4D"/>
    <w:rsid w:val="00C80DA3"/>
    <w:rsid w:val="00C80DB8"/>
    <w:rsid w:val="00C80DDB"/>
    <w:rsid w:val="00C80E1E"/>
    <w:rsid w:val="00C80E35"/>
    <w:rsid w:val="00C80E38"/>
    <w:rsid w:val="00C80E40"/>
    <w:rsid w:val="00C80E74"/>
    <w:rsid w:val="00C80E9C"/>
    <w:rsid w:val="00C80ED2"/>
    <w:rsid w:val="00C80EE3"/>
    <w:rsid w:val="00C80F45"/>
    <w:rsid w:val="00C80F56"/>
    <w:rsid w:val="00C80FBD"/>
    <w:rsid w:val="00C81010"/>
    <w:rsid w:val="00C8102E"/>
    <w:rsid w:val="00C8107F"/>
    <w:rsid w:val="00C810A6"/>
    <w:rsid w:val="00C810C1"/>
    <w:rsid w:val="00C810C3"/>
    <w:rsid w:val="00C810D7"/>
    <w:rsid w:val="00C8111C"/>
    <w:rsid w:val="00C8116B"/>
    <w:rsid w:val="00C811D1"/>
    <w:rsid w:val="00C81258"/>
    <w:rsid w:val="00C81259"/>
    <w:rsid w:val="00C812A2"/>
    <w:rsid w:val="00C812C7"/>
    <w:rsid w:val="00C812F8"/>
    <w:rsid w:val="00C8141F"/>
    <w:rsid w:val="00C81464"/>
    <w:rsid w:val="00C81490"/>
    <w:rsid w:val="00C81532"/>
    <w:rsid w:val="00C815C7"/>
    <w:rsid w:val="00C81611"/>
    <w:rsid w:val="00C8170B"/>
    <w:rsid w:val="00C8178E"/>
    <w:rsid w:val="00C817E3"/>
    <w:rsid w:val="00C81866"/>
    <w:rsid w:val="00C818F8"/>
    <w:rsid w:val="00C819D1"/>
    <w:rsid w:val="00C81A02"/>
    <w:rsid w:val="00C81A51"/>
    <w:rsid w:val="00C81A5A"/>
    <w:rsid w:val="00C81A5D"/>
    <w:rsid w:val="00C81A69"/>
    <w:rsid w:val="00C81ABE"/>
    <w:rsid w:val="00C81B3C"/>
    <w:rsid w:val="00C81B7A"/>
    <w:rsid w:val="00C81B81"/>
    <w:rsid w:val="00C81BBE"/>
    <w:rsid w:val="00C81C7F"/>
    <w:rsid w:val="00C81CDD"/>
    <w:rsid w:val="00C81D17"/>
    <w:rsid w:val="00C81D2A"/>
    <w:rsid w:val="00C81D2F"/>
    <w:rsid w:val="00C81E29"/>
    <w:rsid w:val="00C81E4F"/>
    <w:rsid w:val="00C81EC0"/>
    <w:rsid w:val="00C81EEF"/>
    <w:rsid w:val="00C81FDB"/>
    <w:rsid w:val="00C81FEC"/>
    <w:rsid w:val="00C8201E"/>
    <w:rsid w:val="00C820A4"/>
    <w:rsid w:val="00C82165"/>
    <w:rsid w:val="00C821B7"/>
    <w:rsid w:val="00C82258"/>
    <w:rsid w:val="00C82310"/>
    <w:rsid w:val="00C82384"/>
    <w:rsid w:val="00C82422"/>
    <w:rsid w:val="00C82440"/>
    <w:rsid w:val="00C824C7"/>
    <w:rsid w:val="00C82501"/>
    <w:rsid w:val="00C82558"/>
    <w:rsid w:val="00C8255E"/>
    <w:rsid w:val="00C825A2"/>
    <w:rsid w:val="00C825AB"/>
    <w:rsid w:val="00C825D9"/>
    <w:rsid w:val="00C825E9"/>
    <w:rsid w:val="00C82673"/>
    <w:rsid w:val="00C8267A"/>
    <w:rsid w:val="00C8273F"/>
    <w:rsid w:val="00C8276C"/>
    <w:rsid w:val="00C827E8"/>
    <w:rsid w:val="00C82803"/>
    <w:rsid w:val="00C82832"/>
    <w:rsid w:val="00C82835"/>
    <w:rsid w:val="00C82872"/>
    <w:rsid w:val="00C82950"/>
    <w:rsid w:val="00C82A62"/>
    <w:rsid w:val="00C82ADD"/>
    <w:rsid w:val="00C82AE6"/>
    <w:rsid w:val="00C82AFA"/>
    <w:rsid w:val="00C82B24"/>
    <w:rsid w:val="00C82B2A"/>
    <w:rsid w:val="00C82B46"/>
    <w:rsid w:val="00C82B4A"/>
    <w:rsid w:val="00C82B7E"/>
    <w:rsid w:val="00C82BA3"/>
    <w:rsid w:val="00C82BD8"/>
    <w:rsid w:val="00C82BF9"/>
    <w:rsid w:val="00C82C84"/>
    <w:rsid w:val="00C82D25"/>
    <w:rsid w:val="00C82DA3"/>
    <w:rsid w:val="00C82DCC"/>
    <w:rsid w:val="00C82DF2"/>
    <w:rsid w:val="00C82E0E"/>
    <w:rsid w:val="00C82F1F"/>
    <w:rsid w:val="00C82F7A"/>
    <w:rsid w:val="00C83005"/>
    <w:rsid w:val="00C8300B"/>
    <w:rsid w:val="00C830EE"/>
    <w:rsid w:val="00C8310A"/>
    <w:rsid w:val="00C8310E"/>
    <w:rsid w:val="00C8311E"/>
    <w:rsid w:val="00C8316E"/>
    <w:rsid w:val="00C8318D"/>
    <w:rsid w:val="00C831E2"/>
    <w:rsid w:val="00C8323E"/>
    <w:rsid w:val="00C83268"/>
    <w:rsid w:val="00C8333C"/>
    <w:rsid w:val="00C834D8"/>
    <w:rsid w:val="00C83539"/>
    <w:rsid w:val="00C8358C"/>
    <w:rsid w:val="00C835F0"/>
    <w:rsid w:val="00C8360B"/>
    <w:rsid w:val="00C83656"/>
    <w:rsid w:val="00C83698"/>
    <w:rsid w:val="00C8376D"/>
    <w:rsid w:val="00C8376E"/>
    <w:rsid w:val="00C83773"/>
    <w:rsid w:val="00C83847"/>
    <w:rsid w:val="00C838D4"/>
    <w:rsid w:val="00C838DD"/>
    <w:rsid w:val="00C839D0"/>
    <w:rsid w:val="00C839DC"/>
    <w:rsid w:val="00C83A2E"/>
    <w:rsid w:val="00C83A39"/>
    <w:rsid w:val="00C83B10"/>
    <w:rsid w:val="00C83BB4"/>
    <w:rsid w:val="00C83D19"/>
    <w:rsid w:val="00C83DD5"/>
    <w:rsid w:val="00C83E96"/>
    <w:rsid w:val="00C83EF0"/>
    <w:rsid w:val="00C83F54"/>
    <w:rsid w:val="00C83F71"/>
    <w:rsid w:val="00C83FA0"/>
    <w:rsid w:val="00C83FC9"/>
    <w:rsid w:val="00C83FD2"/>
    <w:rsid w:val="00C84041"/>
    <w:rsid w:val="00C8405B"/>
    <w:rsid w:val="00C8407D"/>
    <w:rsid w:val="00C840D3"/>
    <w:rsid w:val="00C840E7"/>
    <w:rsid w:val="00C840FE"/>
    <w:rsid w:val="00C8412E"/>
    <w:rsid w:val="00C84165"/>
    <w:rsid w:val="00C841A0"/>
    <w:rsid w:val="00C8429E"/>
    <w:rsid w:val="00C842A9"/>
    <w:rsid w:val="00C842CF"/>
    <w:rsid w:val="00C842ED"/>
    <w:rsid w:val="00C84377"/>
    <w:rsid w:val="00C843C5"/>
    <w:rsid w:val="00C8440F"/>
    <w:rsid w:val="00C8441C"/>
    <w:rsid w:val="00C84477"/>
    <w:rsid w:val="00C844AA"/>
    <w:rsid w:val="00C844C9"/>
    <w:rsid w:val="00C844E3"/>
    <w:rsid w:val="00C84504"/>
    <w:rsid w:val="00C84521"/>
    <w:rsid w:val="00C8456C"/>
    <w:rsid w:val="00C8456D"/>
    <w:rsid w:val="00C8458E"/>
    <w:rsid w:val="00C84590"/>
    <w:rsid w:val="00C84689"/>
    <w:rsid w:val="00C8468A"/>
    <w:rsid w:val="00C846BC"/>
    <w:rsid w:val="00C84708"/>
    <w:rsid w:val="00C847A2"/>
    <w:rsid w:val="00C847E4"/>
    <w:rsid w:val="00C84834"/>
    <w:rsid w:val="00C84853"/>
    <w:rsid w:val="00C8489D"/>
    <w:rsid w:val="00C848B5"/>
    <w:rsid w:val="00C848C1"/>
    <w:rsid w:val="00C848C3"/>
    <w:rsid w:val="00C848E4"/>
    <w:rsid w:val="00C84931"/>
    <w:rsid w:val="00C8495D"/>
    <w:rsid w:val="00C84961"/>
    <w:rsid w:val="00C849D9"/>
    <w:rsid w:val="00C849FC"/>
    <w:rsid w:val="00C84ADD"/>
    <w:rsid w:val="00C84AE3"/>
    <w:rsid w:val="00C84B0E"/>
    <w:rsid w:val="00C84B3B"/>
    <w:rsid w:val="00C84B89"/>
    <w:rsid w:val="00C84BAD"/>
    <w:rsid w:val="00C84BEC"/>
    <w:rsid w:val="00C84C3F"/>
    <w:rsid w:val="00C84CFC"/>
    <w:rsid w:val="00C84D1A"/>
    <w:rsid w:val="00C84D47"/>
    <w:rsid w:val="00C84EE6"/>
    <w:rsid w:val="00C84F1A"/>
    <w:rsid w:val="00C84F76"/>
    <w:rsid w:val="00C84FA6"/>
    <w:rsid w:val="00C84FB7"/>
    <w:rsid w:val="00C84FC2"/>
    <w:rsid w:val="00C85066"/>
    <w:rsid w:val="00C850A9"/>
    <w:rsid w:val="00C850E3"/>
    <w:rsid w:val="00C85102"/>
    <w:rsid w:val="00C8512B"/>
    <w:rsid w:val="00C851D0"/>
    <w:rsid w:val="00C851FC"/>
    <w:rsid w:val="00C85234"/>
    <w:rsid w:val="00C8524C"/>
    <w:rsid w:val="00C852B4"/>
    <w:rsid w:val="00C852C7"/>
    <w:rsid w:val="00C852E0"/>
    <w:rsid w:val="00C85313"/>
    <w:rsid w:val="00C85314"/>
    <w:rsid w:val="00C853B1"/>
    <w:rsid w:val="00C853FA"/>
    <w:rsid w:val="00C8543D"/>
    <w:rsid w:val="00C854B9"/>
    <w:rsid w:val="00C854EB"/>
    <w:rsid w:val="00C8554A"/>
    <w:rsid w:val="00C855CC"/>
    <w:rsid w:val="00C856F5"/>
    <w:rsid w:val="00C8585D"/>
    <w:rsid w:val="00C85997"/>
    <w:rsid w:val="00C859DC"/>
    <w:rsid w:val="00C859FF"/>
    <w:rsid w:val="00C85A1F"/>
    <w:rsid w:val="00C85A4F"/>
    <w:rsid w:val="00C85A89"/>
    <w:rsid w:val="00C85A8A"/>
    <w:rsid w:val="00C85B1C"/>
    <w:rsid w:val="00C85B47"/>
    <w:rsid w:val="00C85B49"/>
    <w:rsid w:val="00C85BC8"/>
    <w:rsid w:val="00C85C08"/>
    <w:rsid w:val="00C85C52"/>
    <w:rsid w:val="00C85CA2"/>
    <w:rsid w:val="00C85D19"/>
    <w:rsid w:val="00C85D3B"/>
    <w:rsid w:val="00C85D75"/>
    <w:rsid w:val="00C85DB5"/>
    <w:rsid w:val="00C85E16"/>
    <w:rsid w:val="00C85E2B"/>
    <w:rsid w:val="00C85E41"/>
    <w:rsid w:val="00C85E50"/>
    <w:rsid w:val="00C85EB2"/>
    <w:rsid w:val="00C85EE6"/>
    <w:rsid w:val="00C86042"/>
    <w:rsid w:val="00C860AE"/>
    <w:rsid w:val="00C860C4"/>
    <w:rsid w:val="00C860EF"/>
    <w:rsid w:val="00C86186"/>
    <w:rsid w:val="00C861B6"/>
    <w:rsid w:val="00C861E7"/>
    <w:rsid w:val="00C86283"/>
    <w:rsid w:val="00C86294"/>
    <w:rsid w:val="00C8633A"/>
    <w:rsid w:val="00C86395"/>
    <w:rsid w:val="00C86423"/>
    <w:rsid w:val="00C86473"/>
    <w:rsid w:val="00C8647F"/>
    <w:rsid w:val="00C864F9"/>
    <w:rsid w:val="00C86542"/>
    <w:rsid w:val="00C865FE"/>
    <w:rsid w:val="00C86627"/>
    <w:rsid w:val="00C86635"/>
    <w:rsid w:val="00C866B3"/>
    <w:rsid w:val="00C866BB"/>
    <w:rsid w:val="00C86836"/>
    <w:rsid w:val="00C8699A"/>
    <w:rsid w:val="00C869CE"/>
    <w:rsid w:val="00C86AAD"/>
    <w:rsid w:val="00C86AD2"/>
    <w:rsid w:val="00C86AD8"/>
    <w:rsid w:val="00C86AF7"/>
    <w:rsid w:val="00C86B15"/>
    <w:rsid w:val="00C86BA2"/>
    <w:rsid w:val="00C86BF8"/>
    <w:rsid w:val="00C86BF9"/>
    <w:rsid w:val="00C86C25"/>
    <w:rsid w:val="00C86C31"/>
    <w:rsid w:val="00C86C7E"/>
    <w:rsid w:val="00C86C90"/>
    <w:rsid w:val="00C86CB5"/>
    <w:rsid w:val="00C86CCD"/>
    <w:rsid w:val="00C86D44"/>
    <w:rsid w:val="00C86D92"/>
    <w:rsid w:val="00C86E0A"/>
    <w:rsid w:val="00C86E1D"/>
    <w:rsid w:val="00C86E67"/>
    <w:rsid w:val="00C86F30"/>
    <w:rsid w:val="00C86F38"/>
    <w:rsid w:val="00C86F42"/>
    <w:rsid w:val="00C86F45"/>
    <w:rsid w:val="00C86FA4"/>
    <w:rsid w:val="00C86FF3"/>
    <w:rsid w:val="00C87003"/>
    <w:rsid w:val="00C8700E"/>
    <w:rsid w:val="00C87014"/>
    <w:rsid w:val="00C87026"/>
    <w:rsid w:val="00C87069"/>
    <w:rsid w:val="00C87076"/>
    <w:rsid w:val="00C87096"/>
    <w:rsid w:val="00C870A2"/>
    <w:rsid w:val="00C870B9"/>
    <w:rsid w:val="00C870BF"/>
    <w:rsid w:val="00C87129"/>
    <w:rsid w:val="00C871AB"/>
    <w:rsid w:val="00C871F4"/>
    <w:rsid w:val="00C87228"/>
    <w:rsid w:val="00C87313"/>
    <w:rsid w:val="00C87356"/>
    <w:rsid w:val="00C873F0"/>
    <w:rsid w:val="00C87402"/>
    <w:rsid w:val="00C8743B"/>
    <w:rsid w:val="00C87446"/>
    <w:rsid w:val="00C874BF"/>
    <w:rsid w:val="00C874D2"/>
    <w:rsid w:val="00C8764B"/>
    <w:rsid w:val="00C87662"/>
    <w:rsid w:val="00C87731"/>
    <w:rsid w:val="00C87735"/>
    <w:rsid w:val="00C87749"/>
    <w:rsid w:val="00C877C9"/>
    <w:rsid w:val="00C877D0"/>
    <w:rsid w:val="00C8787E"/>
    <w:rsid w:val="00C8788F"/>
    <w:rsid w:val="00C878E0"/>
    <w:rsid w:val="00C87916"/>
    <w:rsid w:val="00C87974"/>
    <w:rsid w:val="00C8798D"/>
    <w:rsid w:val="00C879D1"/>
    <w:rsid w:val="00C879D5"/>
    <w:rsid w:val="00C879E9"/>
    <w:rsid w:val="00C87A85"/>
    <w:rsid w:val="00C87B19"/>
    <w:rsid w:val="00C87B5C"/>
    <w:rsid w:val="00C87BAB"/>
    <w:rsid w:val="00C87BBD"/>
    <w:rsid w:val="00C87C9D"/>
    <w:rsid w:val="00C87CD7"/>
    <w:rsid w:val="00C87D9F"/>
    <w:rsid w:val="00C87E11"/>
    <w:rsid w:val="00C87E85"/>
    <w:rsid w:val="00C87F42"/>
    <w:rsid w:val="00C9000A"/>
    <w:rsid w:val="00C9001C"/>
    <w:rsid w:val="00C900BB"/>
    <w:rsid w:val="00C900EA"/>
    <w:rsid w:val="00C90179"/>
    <w:rsid w:val="00C901B2"/>
    <w:rsid w:val="00C9022B"/>
    <w:rsid w:val="00C90263"/>
    <w:rsid w:val="00C9029E"/>
    <w:rsid w:val="00C902B7"/>
    <w:rsid w:val="00C902E5"/>
    <w:rsid w:val="00C902F9"/>
    <w:rsid w:val="00C903A4"/>
    <w:rsid w:val="00C903D3"/>
    <w:rsid w:val="00C903EB"/>
    <w:rsid w:val="00C903F1"/>
    <w:rsid w:val="00C9040F"/>
    <w:rsid w:val="00C90446"/>
    <w:rsid w:val="00C9048B"/>
    <w:rsid w:val="00C9048F"/>
    <w:rsid w:val="00C904A0"/>
    <w:rsid w:val="00C904D2"/>
    <w:rsid w:val="00C904DF"/>
    <w:rsid w:val="00C904F9"/>
    <w:rsid w:val="00C9056C"/>
    <w:rsid w:val="00C905EA"/>
    <w:rsid w:val="00C90625"/>
    <w:rsid w:val="00C90640"/>
    <w:rsid w:val="00C9070F"/>
    <w:rsid w:val="00C9080A"/>
    <w:rsid w:val="00C9083A"/>
    <w:rsid w:val="00C90884"/>
    <w:rsid w:val="00C908A4"/>
    <w:rsid w:val="00C9091D"/>
    <w:rsid w:val="00C9091F"/>
    <w:rsid w:val="00C9092F"/>
    <w:rsid w:val="00C909C6"/>
    <w:rsid w:val="00C909CB"/>
    <w:rsid w:val="00C909E2"/>
    <w:rsid w:val="00C90AFE"/>
    <w:rsid w:val="00C90B84"/>
    <w:rsid w:val="00C90C5F"/>
    <w:rsid w:val="00C90C76"/>
    <w:rsid w:val="00C90C7F"/>
    <w:rsid w:val="00C90CA4"/>
    <w:rsid w:val="00C90D13"/>
    <w:rsid w:val="00C90D2E"/>
    <w:rsid w:val="00C90D74"/>
    <w:rsid w:val="00C90D7B"/>
    <w:rsid w:val="00C90D86"/>
    <w:rsid w:val="00C90DB4"/>
    <w:rsid w:val="00C90E01"/>
    <w:rsid w:val="00C90E43"/>
    <w:rsid w:val="00C90E85"/>
    <w:rsid w:val="00C90E8C"/>
    <w:rsid w:val="00C90E96"/>
    <w:rsid w:val="00C90EEC"/>
    <w:rsid w:val="00C90EF0"/>
    <w:rsid w:val="00C91071"/>
    <w:rsid w:val="00C91096"/>
    <w:rsid w:val="00C910AF"/>
    <w:rsid w:val="00C911D9"/>
    <w:rsid w:val="00C91236"/>
    <w:rsid w:val="00C912BB"/>
    <w:rsid w:val="00C912E7"/>
    <w:rsid w:val="00C91329"/>
    <w:rsid w:val="00C9137A"/>
    <w:rsid w:val="00C9139A"/>
    <w:rsid w:val="00C913B6"/>
    <w:rsid w:val="00C91453"/>
    <w:rsid w:val="00C91468"/>
    <w:rsid w:val="00C914A0"/>
    <w:rsid w:val="00C91511"/>
    <w:rsid w:val="00C91522"/>
    <w:rsid w:val="00C915B3"/>
    <w:rsid w:val="00C915BD"/>
    <w:rsid w:val="00C9164C"/>
    <w:rsid w:val="00C91696"/>
    <w:rsid w:val="00C916DA"/>
    <w:rsid w:val="00C916E9"/>
    <w:rsid w:val="00C91780"/>
    <w:rsid w:val="00C917B9"/>
    <w:rsid w:val="00C917BE"/>
    <w:rsid w:val="00C91872"/>
    <w:rsid w:val="00C9187A"/>
    <w:rsid w:val="00C91952"/>
    <w:rsid w:val="00C91966"/>
    <w:rsid w:val="00C919A0"/>
    <w:rsid w:val="00C91A28"/>
    <w:rsid w:val="00C91A31"/>
    <w:rsid w:val="00C91A6F"/>
    <w:rsid w:val="00C91A87"/>
    <w:rsid w:val="00C91B01"/>
    <w:rsid w:val="00C91C0F"/>
    <w:rsid w:val="00C91C26"/>
    <w:rsid w:val="00C91C70"/>
    <w:rsid w:val="00C91D0B"/>
    <w:rsid w:val="00C91D41"/>
    <w:rsid w:val="00C91D86"/>
    <w:rsid w:val="00C91E24"/>
    <w:rsid w:val="00C91E2B"/>
    <w:rsid w:val="00C91E33"/>
    <w:rsid w:val="00C91E8C"/>
    <w:rsid w:val="00C91F16"/>
    <w:rsid w:val="00C91F29"/>
    <w:rsid w:val="00C91FF6"/>
    <w:rsid w:val="00C92015"/>
    <w:rsid w:val="00C92072"/>
    <w:rsid w:val="00C9207C"/>
    <w:rsid w:val="00C9209D"/>
    <w:rsid w:val="00C9210E"/>
    <w:rsid w:val="00C9214C"/>
    <w:rsid w:val="00C92172"/>
    <w:rsid w:val="00C921DA"/>
    <w:rsid w:val="00C92219"/>
    <w:rsid w:val="00C922BB"/>
    <w:rsid w:val="00C922E3"/>
    <w:rsid w:val="00C92331"/>
    <w:rsid w:val="00C9234E"/>
    <w:rsid w:val="00C92369"/>
    <w:rsid w:val="00C923A2"/>
    <w:rsid w:val="00C923B9"/>
    <w:rsid w:val="00C92405"/>
    <w:rsid w:val="00C92430"/>
    <w:rsid w:val="00C92471"/>
    <w:rsid w:val="00C924B5"/>
    <w:rsid w:val="00C924EA"/>
    <w:rsid w:val="00C9250B"/>
    <w:rsid w:val="00C9261A"/>
    <w:rsid w:val="00C92736"/>
    <w:rsid w:val="00C9274C"/>
    <w:rsid w:val="00C92755"/>
    <w:rsid w:val="00C92820"/>
    <w:rsid w:val="00C9283E"/>
    <w:rsid w:val="00C9284D"/>
    <w:rsid w:val="00C92857"/>
    <w:rsid w:val="00C92863"/>
    <w:rsid w:val="00C928EA"/>
    <w:rsid w:val="00C92921"/>
    <w:rsid w:val="00C92934"/>
    <w:rsid w:val="00C929EC"/>
    <w:rsid w:val="00C92B46"/>
    <w:rsid w:val="00C92B49"/>
    <w:rsid w:val="00C92B77"/>
    <w:rsid w:val="00C92D3B"/>
    <w:rsid w:val="00C92D91"/>
    <w:rsid w:val="00C92DA1"/>
    <w:rsid w:val="00C92E36"/>
    <w:rsid w:val="00C92E98"/>
    <w:rsid w:val="00C92EDA"/>
    <w:rsid w:val="00C92F64"/>
    <w:rsid w:val="00C92FFB"/>
    <w:rsid w:val="00C93031"/>
    <w:rsid w:val="00C9304E"/>
    <w:rsid w:val="00C9305E"/>
    <w:rsid w:val="00C9308B"/>
    <w:rsid w:val="00C930BA"/>
    <w:rsid w:val="00C930C1"/>
    <w:rsid w:val="00C93149"/>
    <w:rsid w:val="00C9315A"/>
    <w:rsid w:val="00C931AC"/>
    <w:rsid w:val="00C931D2"/>
    <w:rsid w:val="00C93231"/>
    <w:rsid w:val="00C9323B"/>
    <w:rsid w:val="00C9324A"/>
    <w:rsid w:val="00C933CC"/>
    <w:rsid w:val="00C934BA"/>
    <w:rsid w:val="00C934DB"/>
    <w:rsid w:val="00C934F8"/>
    <w:rsid w:val="00C93515"/>
    <w:rsid w:val="00C93538"/>
    <w:rsid w:val="00C9354E"/>
    <w:rsid w:val="00C93554"/>
    <w:rsid w:val="00C93586"/>
    <w:rsid w:val="00C93589"/>
    <w:rsid w:val="00C935A8"/>
    <w:rsid w:val="00C935D6"/>
    <w:rsid w:val="00C93616"/>
    <w:rsid w:val="00C936EE"/>
    <w:rsid w:val="00C93729"/>
    <w:rsid w:val="00C93806"/>
    <w:rsid w:val="00C93871"/>
    <w:rsid w:val="00C938A7"/>
    <w:rsid w:val="00C939C6"/>
    <w:rsid w:val="00C939D8"/>
    <w:rsid w:val="00C939DE"/>
    <w:rsid w:val="00C93A36"/>
    <w:rsid w:val="00C93A3A"/>
    <w:rsid w:val="00C93A52"/>
    <w:rsid w:val="00C93A82"/>
    <w:rsid w:val="00C93A96"/>
    <w:rsid w:val="00C93B42"/>
    <w:rsid w:val="00C93BC1"/>
    <w:rsid w:val="00C93C05"/>
    <w:rsid w:val="00C93C8A"/>
    <w:rsid w:val="00C93CC2"/>
    <w:rsid w:val="00C93D68"/>
    <w:rsid w:val="00C93D82"/>
    <w:rsid w:val="00C93DA9"/>
    <w:rsid w:val="00C93DDA"/>
    <w:rsid w:val="00C93E01"/>
    <w:rsid w:val="00C93F8A"/>
    <w:rsid w:val="00C93FA1"/>
    <w:rsid w:val="00C9401E"/>
    <w:rsid w:val="00C94176"/>
    <w:rsid w:val="00C9417A"/>
    <w:rsid w:val="00C94185"/>
    <w:rsid w:val="00C94196"/>
    <w:rsid w:val="00C941AC"/>
    <w:rsid w:val="00C94216"/>
    <w:rsid w:val="00C9421D"/>
    <w:rsid w:val="00C9427E"/>
    <w:rsid w:val="00C942A1"/>
    <w:rsid w:val="00C942EB"/>
    <w:rsid w:val="00C9431C"/>
    <w:rsid w:val="00C94320"/>
    <w:rsid w:val="00C945DA"/>
    <w:rsid w:val="00C945E1"/>
    <w:rsid w:val="00C9463A"/>
    <w:rsid w:val="00C9468B"/>
    <w:rsid w:val="00C94748"/>
    <w:rsid w:val="00C9479C"/>
    <w:rsid w:val="00C94875"/>
    <w:rsid w:val="00C948AC"/>
    <w:rsid w:val="00C948CB"/>
    <w:rsid w:val="00C94910"/>
    <w:rsid w:val="00C949D9"/>
    <w:rsid w:val="00C94A34"/>
    <w:rsid w:val="00C94A7D"/>
    <w:rsid w:val="00C94B18"/>
    <w:rsid w:val="00C94BA1"/>
    <w:rsid w:val="00C94BB2"/>
    <w:rsid w:val="00C94BF3"/>
    <w:rsid w:val="00C94C9C"/>
    <w:rsid w:val="00C94D0A"/>
    <w:rsid w:val="00C94D69"/>
    <w:rsid w:val="00C94DDD"/>
    <w:rsid w:val="00C94E2A"/>
    <w:rsid w:val="00C94E3B"/>
    <w:rsid w:val="00C94E7F"/>
    <w:rsid w:val="00C94EBF"/>
    <w:rsid w:val="00C94FC4"/>
    <w:rsid w:val="00C95005"/>
    <w:rsid w:val="00C95046"/>
    <w:rsid w:val="00C95061"/>
    <w:rsid w:val="00C95084"/>
    <w:rsid w:val="00C95137"/>
    <w:rsid w:val="00C9514F"/>
    <w:rsid w:val="00C9515B"/>
    <w:rsid w:val="00C951AE"/>
    <w:rsid w:val="00C9521E"/>
    <w:rsid w:val="00C9525E"/>
    <w:rsid w:val="00C952C4"/>
    <w:rsid w:val="00C952D3"/>
    <w:rsid w:val="00C952F9"/>
    <w:rsid w:val="00C95302"/>
    <w:rsid w:val="00C9535B"/>
    <w:rsid w:val="00C9536E"/>
    <w:rsid w:val="00C953AC"/>
    <w:rsid w:val="00C953C0"/>
    <w:rsid w:val="00C953ED"/>
    <w:rsid w:val="00C95420"/>
    <w:rsid w:val="00C9546B"/>
    <w:rsid w:val="00C954B8"/>
    <w:rsid w:val="00C95508"/>
    <w:rsid w:val="00C95528"/>
    <w:rsid w:val="00C9555D"/>
    <w:rsid w:val="00C9557C"/>
    <w:rsid w:val="00C955D5"/>
    <w:rsid w:val="00C955EC"/>
    <w:rsid w:val="00C95605"/>
    <w:rsid w:val="00C95606"/>
    <w:rsid w:val="00C95779"/>
    <w:rsid w:val="00C95853"/>
    <w:rsid w:val="00C95868"/>
    <w:rsid w:val="00C95870"/>
    <w:rsid w:val="00C9588B"/>
    <w:rsid w:val="00C9588D"/>
    <w:rsid w:val="00C95979"/>
    <w:rsid w:val="00C959AB"/>
    <w:rsid w:val="00C959AD"/>
    <w:rsid w:val="00C959E5"/>
    <w:rsid w:val="00C95A4A"/>
    <w:rsid w:val="00C95A55"/>
    <w:rsid w:val="00C95A62"/>
    <w:rsid w:val="00C95ABD"/>
    <w:rsid w:val="00C95AE7"/>
    <w:rsid w:val="00C95B13"/>
    <w:rsid w:val="00C95B14"/>
    <w:rsid w:val="00C95B6E"/>
    <w:rsid w:val="00C95B79"/>
    <w:rsid w:val="00C95B9F"/>
    <w:rsid w:val="00C95C0D"/>
    <w:rsid w:val="00C95CA3"/>
    <w:rsid w:val="00C95CAA"/>
    <w:rsid w:val="00C95CCA"/>
    <w:rsid w:val="00C95CF2"/>
    <w:rsid w:val="00C95E34"/>
    <w:rsid w:val="00C95E98"/>
    <w:rsid w:val="00C95EF7"/>
    <w:rsid w:val="00C95F17"/>
    <w:rsid w:val="00C95F97"/>
    <w:rsid w:val="00C95FEF"/>
    <w:rsid w:val="00C9600F"/>
    <w:rsid w:val="00C9607F"/>
    <w:rsid w:val="00C960F7"/>
    <w:rsid w:val="00C9612D"/>
    <w:rsid w:val="00C961AB"/>
    <w:rsid w:val="00C961D1"/>
    <w:rsid w:val="00C961ED"/>
    <w:rsid w:val="00C961EF"/>
    <w:rsid w:val="00C962B0"/>
    <w:rsid w:val="00C9635A"/>
    <w:rsid w:val="00C963AA"/>
    <w:rsid w:val="00C963B8"/>
    <w:rsid w:val="00C963CF"/>
    <w:rsid w:val="00C96437"/>
    <w:rsid w:val="00C96562"/>
    <w:rsid w:val="00C96607"/>
    <w:rsid w:val="00C9663E"/>
    <w:rsid w:val="00C96642"/>
    <w:rsid w:val="00C96681"/>
    <w:rsid w:val="00C966EA"/>
    <w:rsid w:val="00C96710"/>
    <w:rsid w:val="00C96802"/>
    <w:rsid w:val="00C9681B"/>
    <w:rsid w:val="00C96821"/>
    <w:rsid w:val="00C968E5"/>
    <w:rsid w:val="00C968FC"/>
    <w:rsid w:val="00C969B3"/>
    <w:rsid w:val="00C96A2B"/>
    <w:rsid w:val="00C96A40"/>
    <w:rsid w:val="00C96A83"/>
    <w:rsid w:val="00C96B2D"/>
    <w:rsid w:val="00C96B49"/>
    <w:rsid w:val="00C96B4C"/>
    <w:rsid w:val="00C96B58"/>
    <w:rsid w:val="00C96B65"/>
    <w:rsid w:val="00C96B71"/>
    <w:rsid w:val="00C96B7B"/>
    <w:rsid w:val="00C96BBD"/>
    <w:rsid w:val="00C96C19"/>
    <w:rsid w:val="00C96C52"/>
    <w:rsid w:val="00C96C6A"/>
    <w:rsid w:val="00C96CC0"/>
    <w:rsid w:val="00C96F17"/>
    <w:rsid w:val="00C96F34"/>
    <w:rsid w:val="00C96F94"/>
    <w:rsid w:val="00C96FAB"/>
    <w:rsid w:val="00C96FEB"/>
    <w:rsid w:val="00C96FF8"/>
    <w:rsid w:val="00C97023"/>
    <w:rsid w:val="00C9704C"/>
    <w:rsid w:val="00C97097"/>
    <w:rsid w:val="00C970F9"/>
    <w:rsid w:val="00C97101"/>
    <w:rsid w:val="00C9719A"/>
    <w:rsid w:val="00C9722A"/>
    <w:rsid w:val="00C972DF"/>
    <w:rsid w:val="00C97301"/>
    <w:rsid w:val="00C97361"/>
    <w:rsid w:val="00C973FF"/>
    <w:rsid w:val="00C97455"/>
    <w:rsid w:val="00C974CA"/>
    <w:rsid w:val="00C974CF"/>
    <w:rsid w:val="00C974D9"/>
    <w:rsid w:val="00C9757F"/>
    <w:rsid w:val="00C975C4"/>
    <w:rsid w:val="00C975D3"/>
    <w:rsid w:val="00C975FB"/>
    <w:rsid w:val="00C97634"/>
    <w:rsid w:val="00C976AC"/>
    <w:rsid w:val="00C97751"/>
    <w:rsid w:val="00C9778B"/>
    <w:rsid w:val="00C977A8"/>
    <w:rsid w:val="00C97888"/>
    <w:rsid w:val="00C978A1"/>
    <w:rsid w:val="00C978A6"/>
    <w:rsid w:val="00C978E1"/>
    <w:rsid w:val="00C97904"/>
    <w:rsid w:val="00C9797C"/>
    <w:rsid w:val="00C97A7C"/>
    <w:rsid w:val="00C97A8C"/>
    <w:rsid w:val="00C97B25"/>
    <w:rsid w:val="00C97C06"/>
    <w:rsid w:val="00C97C28"/>
    <w:rsid w:val="00C97D05"/>
    <w:rsid w:val="00C97D6B"/>
    <w:rsid w:val="00C97E1A"/>
    <w:rsid w:val="00C97EED"/>
    <w:rsid w:val="00C97EF3"/>
    <w:rsid w:val="00C97F21"/>
    <w:rsid w:val="00C97F8A"/>
    <w:rsid w:val="00C97FD5"/>
    <w:rsid w:val="00C97FE3"/>
    <w:rsid w:val="00CA002A"/>
    <w:rsid w:val="00CA0033"/>
    <w:rsid w:val="00CA003B"/>
    <w:rsid w:val="00CA0049"/>
    <w:rsid w:val="00CA0147"/>
    <w:rsid w:val="00CA0173"/>
    <w:rsid w:val="00CA01AC"/>
    <w:rsid w:val="00CA01C8"/>
    <w:rsid w:val="00CA029A"/>
    <w:rsid w:val="00CA02E4"/>
    <w:rsid w:val="00CA044F"/>
    <w:rsid w:val="00CA0455"/>
    <w:rsid w:val="00CA0495"/>
    <w:rsid w:val="00CA052E"/>
    <w:rsid w:val="00CA05BB"/>
    <w:rsid w:val="00CA05F6"/>
    <w:rsid w:val="00CA05F9"/>
    <w:rsid w:val="00CA0677"/>
    <w:rsid w:val="00CA06B0"/>
    <w:rsid w:val="00CA06B8"/>
    <w:rsid w:val="00CA0736"/>
    <w:rsid w:val="00CA0771"/>
    <w:rsid w:val="00CA0827"/>
    <w:rsid w:val="00CA090C"/>
    <w:rsid w:val="00CA094E"/>
    <w:rsid w:val="00CA0997"/>
    <w:rsid w:val="00CA09BB"/>
    <w:rsid w:val="00CA0A5C"/>
    <w:rsid w:val="00CA0AF0"/>
    <w:rsid w:val="00CA0B8A"/>
    <w:rsid w:val="00CA0C85"/>
    <w:rsid w:val="00CA0C8D"/>
    <w:rsid w:val="00CA0CA5"/>
    <w:rsid w:val="00CA0D10"/>
    <w:rsid w:val="00CA0D5A"/>
    <w:rsid w:val="00CA0D7D"/>
    <w:rsid w:val="00CA0DC9"/>
    <w:rsid w:val="00CA0DE1"/>
    <w:rsid w:val="00CA0DFD"/>
    <w:rsid w:val="00CA0E8C"/>
    <w:rsid w:val="00CA0F0F"/>
    <w:rsid w:val="00CA0F27"/>
    <w:rsid w:val="00CA0F2B"/>
    <w:rsid w:val="00CA0F52"/>
    <w:rsid w:val="00CA0F64"/>
    <w:rsid w:val="00CA0FA8"/>
    <w:rsid w:val="00CA0FD7"/>
    <w:rsid w:val="00CA0FD9"/>
    <w:rsid w:val="00CA1053"/>
    <w:rsid w:val="00CA1064"/>
    <w:rsid w:val="00CA1089"/>
    <w:rsid w:val="00CA10EA"/>
    <w:rsid w:val="00CA1110"/>
    <w:rsid w:val="00CA1151"/>
    <w:rsid w:val="00CA1158"/>
    <w:rsid w:val="00CA1175"/>
    <w:rsid w:val="00CA11E4"/>
    <w:rsid w:val="00CA1225"/>
    <w:rsid w:val="00CA128F"/>
    <w:rsid w:val="00CA12EE"/>
    <w:rsid w:val="00CA130E"/>
    <w:rsid w:val="00CA1314"/>
    <w:rsid w:val="00CA1337"/>
    <w:rsid w:val="00CA1391"/>
    <w:rsid w:val="00CA13A2"/>
    <w:rsid w:val="00CA13AF"/>
    <w:rsid w:val="00CA141E"/>
    <w:rsid w:val="00CA148E"/>
    <w:rsid w:val="00CA14C7"/>
    <w:rsid w:val="00CA14EA"/>
    <w:rsid w:val="00CA1591"/>
    <w:rsid w:val="00CA15FD"/>
    <w:rsid w:val="00CA165C"/>
    <w:rsid w:val="00CA168E"/>
    <w:rsid w:val="00CA16BF"/>
    <w:rsid w:val="00CA16CA"/>
    <w:rsid w:val="00CA1734"/>
    <w:rsid w:val="00CA177E"/>
    <w:rsid w:val="00CA17B2"/>
    <w:rsid w:val="00CA17DB"/>
    <w:rsid w:val="00CA1830"/>
    <w:rsid w:val="00CA1855"/>
    <w:rsid w:val="00CA1877"/>
    <w:rsid w:val="00CA189C"/>
    <w:rsid w:val="00CA19B1"/>
    <w:rsid w:val="00CA19DE"/>
    <w:rsid w:val="00CA1A34"/>
    <w:rsid w:val="00CA1A35"/>
    <w:rsid w:val="00CA1A47"/>
    <w:rsid w:val="00CA1A4F"/>
    <w:rsid w:val="00CA1A74"/>
    <w:rsid w:val="00CA1A79"/>
    <w:rsid w:val="00CA1B42"/>
    <w:rsid w:val="00CA1B8B"/>
    <w:rsid w:val="00CA1B9B"/>
    <w:rsid w:val="00CA1BC6"/>
    <w:rsid w:val="00CA1BDA"/>
    <w:rsid w:val="00CA1BFD"/>
    <w:rsid w:val="00CA1C58"/>
    <w:rsid w:val="00CA1C78"/>
    <w:rsid w:val="00CA1CF3"/>
    <w:rsid w:val="00CA1DCC"/>
    <w:rsid w:val="00CA1DE1"/>
    <w:rsid w:val="00CA1E59"/>
    <w:rsid w:val="00CA1EBE"/>
    <w:rsid w:val="00CA1ED4"/>
    <w:rsid w:val="00CA1F6C"/>
    <w:rsid w:val="00CA1F7A"/>
    <w:rsid w:val="00CA1F97"/>
    <w:rsid w:val="00CA203A"/>
    <w:rsid w:val="00CA2067"/>
    <w:rsid w:val="00CA2076"/>
    <w:rsid w:val="00CA20AD"/>
    <w:rsid w:val="00CA20AE"/>
    <w:rsid w:val="00CA2184"/>
    <w:rsid w:val="00CA21AF"/>
    <w:rsid w:val="00CA21E0"/>
    <w:rsid w:val="00CA220E"/>
    <w:rsid w:val="00CA223C"/>
    <w:rsid w:val="00CA2324"/>
    <w:rsid w:val="00CA23A1"/>
    <w:rsid w:val="00CA23B6"/>
    <w:rsid w:val="00CA23F0"/>
    <w:rsid w:val="00CA2463"/>
    <w:rsid w:val="00CA250B"/>
    <w:rsid w:val="00CA254E"/>
    <w:rsid w:val="00CA256D"/>
    <w:rsid w:val="00CA258D"/>
    <w:rsid w:val="00CA25E1"/>
    <w:rsid w:val="00CA260F"/>
    <w:rsid w:val="00CA263D"/>
    <w:rsid w:val="00CA266C"/>
    <w:rsid w:val="00CA271E"/>
    <w:rsid w:val="00CA2731"/>
    <w:rsid w:val="00CA2845"/>
    <w:rsid w:val="00CA2848"/>
    <w:rsid w:val="00CA2885"/>
    <w:rsid w:val="00CA28DA"/>
    <w:rsid w:val="00CA298D"/>
    <w:rsid w:val="00CA2A2E"/>
    <w:rsid w:val="00CA2A93"/>
    <w:rsid w:val="00CA2B25"/>
    <w:rsid w:val="00CA2B7A"/>
    <w:rsid w:val="00CA2B93"/>
    <w:rsid w:val="00CA2BC3"/>
    <w:rsid w:val="00CA2C2A"/>
    <w:rsid w:val="00CA2C64"/>
    <w:rsid w:val="00CA2C9D"/>
    <w:rsid w:val="00CA2CAF"/>
    <w:rsid w:val="00CA2CC3"/>
    <w:rsid w:val="00CA2CDC"/>
    <w:rsid w:val="00CA2CDD"/>
    <w:rsid w:val="00CA2D00"/>
    <w:rsid w:val="00CA2DB3"/>
    <w:rsid w:val="00CA2DCB"/>
    <w:rsid w:val="00CA2E65"/>
    <w:rsid w:val="00CA2E76"/>
    <w:rsid w:val="00CA2EFF"/>
    <w:rsid w:val="00CA2FBA"/>
    <w:rsid w:val="00CA2FDF"/>
    <w:rsid w:val="00CA307C"/>
    <w:rsid w:val="00CA3080"/>
    <w:rsid w:val="00CA3092"/>
    <w:rsid w:val="00CA309E"/>
    <w:rsid w:val="00CA3100"/>
    <w:rsid w:val="00CA31B9"/>
    <w:rsid w:val="00CA31C2"/>
    <w:rsid w:val="00CA3233"/>
    <w:rsid w:val="00CA326C"/>
    <w:rsid w:val="00CA329F"/>
    <w:rsid w:val="00CA32F5"/>
    <w:rsid w:val="00CA3302"/>
    <w:rsid w:val="00CA3392"/>
    <w:rsid w:val="00CA346C"/>
    <w:rsid w:val="00CA3525"/>
    <w:rsid w:val="00CA35D5"/>
    <w:rsid w:val="00CA35E5"/>
    <w:rsid w:val="00CA3627"/>
    <w:rsid w:val="00CA3663"/>
    <w:rsid w:val="00CA366C"/>
    <w:rsid w:val="00CA366D"/>
    <w:rsid w:val="00CA36F4"/>
    <w:rsid w:val="00CA3749"/>
    <w:rsid w:val="00CA377B"/>
    <w:rsid w:val="00CA37D7"/>
    <w:rsid w:val="00CA388A"/>
    <w:rsid w:val="00CA38A8"/>
    <w:rsid w:val="00CA390B"/>
    <w:rsid w:val="00CA3924"/>
    <w:rsid w:val="00CA3942"/>
    <w:rsid w:val="00CA396B"/>
    <w:rsid w:val="00CA399F"/>
    <w:rsid w:val="00CA39DA"/>
    <w:rsid w:val="00CA3A47"/>
    <w:rsid w:val="00CA3A56"/>
    <w:rsid w:val="00CA3A70"/>
    <w:rsid w:val="00CA3A72"/>
    <w:rsid w:val="00CA3B0B"/>
    <w:rsid w:val="00CA3B4F"/>
    <w:rsid w:val="00CA3B86"/>
    <w:rsid w:val="00CA3C2E"/>
    <w:rsid w:val="00CA3CEE"/>
    <w:rsid w:val="00CA3CF5"/>
    <w:rsid w:val="00CA3D37"/>
    <w:rsid w:val="00CA3DCE"/>
    <w:rsid w:val="00CA3E05"/>
    <w:rsid w:val="00CA3E1F"/>
    <w:rsid w:val="00CA3EFA"/>
    <w:rsid w:val="00CA3F17"/>
    <w:rsid w:val="00CA3F2A"/>
    <w:rsid w:val="00CA3F4D"/>
    <w:rsid w:val="00CA3F8C"/>
    <w:rsid w:val="00CA3FD9"/>
    <w:rsid w:val="00CA3FFA"/>
    <w:rsid w:val="00CA4082"/>
    <w:rsid w:val="00CA4177"/>
    <w:rsid w:val="00CA417A"/>
    <w:rsid w:val="00CA41C5"/>
    <w:rsid w:val="00CA420F"/>
    <w:rsid w:val="00CA4292"/>
    <w:rsid w:val="00CA429B"/>
    <w:rsid w:val="00CA42D7"/>
    <w:rsid w:val="00CA4320"/>
    <w:rsid w:val="00CA43F6"/>
    <w:rsid w:val="00CA4456"/>
    <w:rsid w:val="00CA447E"/>
    <w:rsid w:val="00CA44A0"/>
    <w:rsid w:val="00CA44B0"/>
    <w:rsid w:val="00CA44E5"/>
    <w:rsid w:val="00CA453F"/>
    <w:rsid w:val="00CA4557"/>
    <w:rsid w:val="00CA456E"/>
    <w:rsid w:val="00CA45BC"/>
    <w:rsid w:val="00CA45C4"/>
    <w:rsid w:val="00CA4628"/>
    <w:rsid w:val="00CA464D"/>
    <w:rsid w:val="00CA465F"/>
    <w:rsid w:val="00CA46B9"/>
    <w:rsid w:val="00CA46BA"/>
    <w:rsid w:val="00CA46D0"/>
    <w:rsid w:val="00CA46D6"/>
    <w:rsid w:val="00CA46DF"/>
    <w:rsid w:val="00CA46E1"/>
    <w:rsid w:val="00CA46F4"/>
    <w:rsid w:val="00CA4735"/>
    <w:rsid w:val="00CA4742"/>
    <w:rsid w:val="00CA4809"/>
    <w:rsid w:val="00CA4810"/>
    <w:rsid w:val="00CA4818"/>
    <w:rsid w:val="00CA481B"/>
    <w:rsid w:val="00CA489C"/>
    <w:rsid w:val="00CA48A0"/>
    <w:rsid w:val="00CA48CC"/>
    <w:rsid w:val="00CA48EE"/>
    <w:rsid w:val="00CA49C2"/>
    <w:rsid w:val="00CA49C6"/>
    <w:rsid w:val="00CA49CC"/>
    <w:rsid w:val="00CA4A16"/>
    <w:rsid w:val="00CA4A3B"/>
    <w:rsid w:val="00CA4A80"/>
    <w:rsid w:val="00CA4AC6"/>
    <w:rsid w:val="00CA4AD3"/>
    <w:rsid w:val="00CA4B18"/>
    <w:rsid w:val="00CA4B21"/>
    <w:rsid w:val="00CA4B6D"/>
    <w:rsid w:val="00CA4BC0"/>
    <w:rsid w:val="00CA4D5D"/>
    <w:rsid w:val="00CA4D68"/>
    <w:rsid w:val="00CA4DA0"/>
    <w:rsid w:val="00CA4E04"/>
    <w:rsid w:val="00CA4E6A"/>
    <w:rsid w:val="00CA4EB6"/>
    <w:rsid w:val="00CA4F2D"/>
    <w:rsid w:val="00CA4F43"/>
    <w:rsid w:val="00CA4F7D"/>
    <w:rsid w:val="00CA4FA0"/>
    <w:rsid w:val="00CA4FA3"/>
    <w:rsid w:val="00CA4FE4"/>
    <w:rsid w:val="00CA501C"/>
    <w:rsid w:val="00CA508E"/>
    <w:rsid w:val="00CA51C4"/>
    <w:rsid w:val="00CA5202"/>
    <w:rsid w:val="00CA525A"/>
    <w:rsid w:val="00CA52CD"/>
    <w:rsid w:val="00CA52E4"/>
    <w:rsid w:val="00CA52F2"/>
    <w:rsid w:val="00CA532D"/>
    <w:rsid w:val="00CA5351"/>
    <w:rsid w:val="00CA5396"/>
    <w:rsid w:val="00CA5490"/>
    <w:rsid w:val="00CA5535"/>
    <w:rsid w:val="00CA5560"/>
    <w:rsid w:val="00CA5582"/>
    <w:rsid w:val="00CA560F"/>
    <w:rsid w:val="00CA565B"/>
    <w:rsid w:val="00CA566F"/>
    <w:rsid w:val="00CA56B6"/>
    <w:rsid w:val="00CA56E9"/>
    <w:rsid w:val="00CA56F4"/>
    <w:rsid w:val="00CA5722"/>
    <w:rsid w:val="00CA578E"/>
    <w:rsid w:val="00CA5800"/>
    <w:rsid w:val="00CA5831"/>
    <w:rsid w:val="00CA58EB"/>
    <w:rsid w:val="00CA58EC"/>
    <w:rsid w:val="00CA592F"/>
    <w:rsid w:val="00CA5A4B"/>
    <w:rsid w:val="00CA5A58"/>
    <w:rsid w:val="00CA5A79"/>
    <w:rsid w:val="00CA5AC0"/>
    <w:rsid w:val="00CA5AF6"/>
    <w:rsid w:val="00CA5B3F"/>
    <w:rsid w:val="00CA5B65"/>
    <w:rsid w:val="00CA5B66"/>
    <w:rsid w:val="00CA5B80"/>
    <w:rsid w:val="00CA5C26"/>
    <w:rsid w:val="00CA5C69"/>
    <w:rsid w:val="00CA5D56"/>
    <w:rsid w:val="00CA5D57"/>
    <w:rsid w:val="00CA5D67"/>
    <w:rsid w:val="00CA5D72"/>
    <w:rsid w:val="00CA5DE7"/>
    <w:rsid w:val="00CA5E0C"/>
    <w:rsid w:val="00CA5E1F"/>
    <w:rsid w:val="00CA5E3B"/>
    <w:rsid w:val="00CA5F15"/>
    <w:rsid w:val="00CA5F2E"/>
    <w:rsid w:val="00CA604D"/>
    <w:rsid w:val="00CA6075"/>
    <w:rsid w:val="00CA6080"/>
    <w:rsid w:val="00CA60E5"/>
    <w:rsid w:val="00CA6124"/>
    <w:rsid w:val="00CA613F"/>
    <w:rsid w:val="00CA6181"/>
    <w:rsid w:val="00CA618A"/>
    <w:rsid w:val="00CA6193"/>
    <w:rsid w:val="00CA6203"/>
    <w:rsid w:val="00CA62CF"/>
    <w:rsid w:val="00CA63C4"/>
    <w:rsid w:val="00CA63F6"/>
    <w:rsid w:val="00CA6411"/>
    <w:rsid w:val="00CA6425"/>
    <w:rsid w:val="00CA6436"/>
    <w:rsid w:val="00CA6459"/>
    <w:rsid w:val="00CA649A"/>
    <w:rsid w:val="00CA649D"/>
    <w:rsid w:val="00CA6529"/>
    <w:rsid w:val="00CA652E"/>
    <w:rsid w:val="00CA653A"/>
    <w:rsid w:val="00CA6584"/>
    <w:rsid w:val="00CA659D"/>
    <w:rsid w:val="00CA66F0"/>
    <w:rsid w:val="00CA66F5"/>
    <w:rsid w:val="00CA66F7"/>
    <w:rsid w:val="00CA66FF"/>
    <w:rsid w:val="00CA6786"/>
    <w:rsid w:val="00CA67DA"/>
    <w:rsid w:val="00CA680A"/>
    <w:rsid w:val="00CA68E5"/>
    <w:rsid w:val="00CA6912"/>
    <w:rsid w:val="00CA692D"/>
    <w:rsid w:val="00CA697D"/>
    <w:rsid w:val="00CA6A1B"/>
    <w:rsid w:val="00CA6A41"/>
    <w:rsid w:val="00CA6A61"/>
    <w:rsid w:val="00CA6A86"/>
    <w:rsid w:val="00CA6ABA"/>
    <w:rsid w:val="00CA6ADC"/>
    <w:rsid w:val="00CA6B19"/>
    <w:rsid w:val="00CA6B26"/>
    <w:rsid w:val="00CA6B49"/>
    <w:rsid w:val="00CA6BB5"/>
    <w:rsid w:val="00CA6BBB"/>
    <w:rsid w:val="00CA6BC2"/>
    <w:rsid w:val="00CA6C2F"/>
    <w:rsid w:val="00CA6C35"/>
    <w:rsid w:val="00CA6C8C"/>
    <w:rsid w:val="00CA6CDA"/>
    <w:rsid w:val="00CA6CE8"/>
    <w:rsid w:val="00CA6D8A"/>
    <w:rsid w:val="00CA6DA5"/>
    <w:rsid w:val="00CA6DB4"/>
    <w:rsid w:val="00CA6E16"/>
    <w:rsid w:val="00CA6E8C"/>
    <w:rsid w:val="00CA6FBB"/>
    <w:rsid w:val="00CA6FEB"/>
    <w:rsid w:val="00CA7010"/>
    <w:rsid w:val="00CA7044"/>
    <w:rsid w:val="00CA70A6"/>
    <w:rsid w:val="00CA70B3"/>
    <w:rsid w:val="00CA70D7"/>
    <w:rsid w:val="00CA7109"/>
    <w:rsid w:val="00CA7156"/>
    <w:rsid w:val="00CA716E"/>
    <w:rsid w:val="00CA7178"/>
    <w:rsid w:val="00CA7197"/>
    <w:rsid w:val="00CA720B"/>
    <w:rsid w:val="00CA72B0"/>
    <w:rsid w:val="00CA72B3"/>
    <w:rsid w:val="00CA7341"/>
    <w:rsid w:val="00CA73EB"/>
    <w:rsid w:val="00CA7412"/>
    <w:rsid w:val="00CA7451"/>
    <w:rsid w:val="00CA74C3"/>
    <w:rsid w:val="00CA74D8"/>
    <w:rsid w:val="00CA7538"/>
    <w:rsid w:val="00CA7574"/>
    <w:rsid w:val="00CA7591"/>
    <w:rsid w:val="00CA75A3"/>
    <w:rsid w:val="00CA75CB"/>
    <w:rsid w:val="00CA7693"/>
    <w:rsid w:val="00CA76E1"/>
    <w:rsid w:val="00CA7706"/>
    <w:rsid w:val="00CA780D"/>
    <w:rsid w:val="00CA7819"/>
    <w:rsid w:val="00CA7847"/>
    <w:rsid w:val="00CA790B"/>
    <w:rsid w:val="00CA798C"/>
    <w:rsid w:val="00CA7A01"/>
    <w:rsid w:val="00CA7A15"/>
    <w:rsid w:val="00CA7A75"/>
    <w:rsid w:val="00CA7ADF"/>
    <w:rsid w:val="00CA7BFE"/>
    <w:rsid w:val="00CA7C46"/>
    <w:rsid w:val="00CA7C7A"/>
    <w:rsid w:val="00CA7E05"/>
    <w:rsid w:val="00CA7E06"/>
    <w:rsid w:val="00CA7E24"/>
    <w:rsid w:val="00CA7E40"/>
    <w:rsid w:val="00CA7E9C"/>
    <w:rsid w:val="00CA7F00"/>
    <w:rsid w:val="00CA7F84"/>
    <w:rsid w:val="00CA7FD8"/>
    <w:rsid w:val="00CB0012"/>
    <w:rsid w:val="00CB001C"/>
    <w:rsid w:val="00CB0027"/>
    <w:rsid w:val="00CB0096"/>
    <w:rsid w:val="00CB009F"/>
    <w:rsid w:val="00CB00C5"/>
    <w:rsid w:val="00CB00E5"/>
    <w:rsid w:val="00CB00F5"/>
    <w:rsid w:val="00CB00F8"/>
    <w:rsid w:val="00CB018F"/>
    <w:rsid w:val="00CB01AD"/>
    <w:rsid w:val="00CB022F"/>
    <w:rsid w:val="00CB023C"/>
    <w:rsid w:val="00CB0263"/>
    <w:rsid w:val="00CB026B"/>
    <w:rsid w:val="00CB02F4"/>
    <w:rsid w:val="00CB03C7"/>
    <w:rsid w:val="00CB03CE"/>
    <w:rsid w:val="00CB046E"/>
    <w:rsid w:val="00CB048F"/>
    <w:rsid w:val="00CB05CD"/>
    <w:rsid w:val="00CB05FF"/>
    <w:rsid w:val="00CB060A"/>
    <w:rsid w:val="00CB0693"/>
    <w:rsid w:val="00CB069A"/>
    <w:rsid w:val="00CB074C"/>
    <w:rsid w:val="00CB07C0"/>
    <w:rsid w:val="00CB07F3"/>
    <w:rsid w:val="00CB0803"/>
    <w:rsid w:val="00CB0813"/>
    <w:rsid w:val="00CB0831"/>
    <w:rsid w:val="00CB08A7"/>
    <w:rsid w:val="00CB08F0"/>
    <w:rsid w:val="00CB0913"/>
    <w:rsid w:val="00CB091A"/>
    <w:rsid w:val="00CB0976"/>
    <w:rsid w:val="00CB0983"/>
    <w:rsid w:val="00CB0991"/>
    <w:rsid w:val="00CB0999"/>
    <w:rsid w:val="00CB09F5"/>
    <w:rsid w:val="00CB0AA3"/>
    <w:rsid w:val="00CB0AA4"/>
    <w:rsid w:val="00CB0AB9"/>
    <w:rsid w:val="00CB0AC5"/>
    <w:rsid w:val="00CB0AFB"/>
    <w:rsid w:val="00CB0C0F"/>
    <w:rsid w:val="00CB0C84"/>
    <w:rsid w:val="00CB0C93"/>
    <w:rsid w:val="00CB0D06"/>
    <w:rsid w:val="00CB0D59"/>
    <w:rsid w:val="00CB0DB7"/>
    <w:rsid w:val="00CB0DDE"/>
    <w:rsid w:val="00CB0DE3"/>
    <w:rsid w:val="00CB0E2F"/>
    <w:rsid w:val="00CB0E85"/>
    <w:rsid w:val="00CB0F78"/>
    <w:rsid w:val="00CB0FBD"/>
    <w:rsid w:val="00CB0FF7"/>
    <w:rsid w:val="00CB1018"/>
    <w:rsid w:val="00CB105D"/>
    <w:rsid w:val="00CB10D7"/>
    <w:rsid w:val="00CB1108"/>
    <w:rsid w:val="00CB1111"/>
    <w:rsid w:val="00CB1126"/>
    <w:rsid w:val="00CB115E"/>
    <w:rsid w:val="00CB1187"/>
    <w:rsid w:val="00CB1221"/>
    <w:rsid w:val="00CB12C4"/>
    <w:rsid w:val="00CB12E7"/>
    <w:rsid w:val="00CB1322"/>
    <w:rsid w:val="00CB1349"/>
    <w:rsid w:val="00CB13B5"/>
    <w:rsid w:val="00CB1419"/>
    <w:rsid w:val="00CB1439"/>
    <w:rsid w:val="00CB144A"/>
    <w:rsid w:val="00CB144C"/>
    <w:rsid w:val="00CB14CE"/>
    <w:rsid w:val="00CB152F"/>
    <w:rsid w:val="00CB154B"/>
    <w:rsid w:val="00CB157E"/>
    <w:rsid w:val="00CB1659"/>
    <w:rsid w:val="00CB16C7"/>
    <w:rsid w:val="00CB16DC"/>
    <w:rsid w:val="00CB170A"/>
    <w:rsid w:val="00CB177B"/>
    <w:rsid w:val="00CB17DF"/>
    <w:rsid w:val="00CB1842"/>
    <w:rsid w:val="00CB1882"/>
    <w:rsid w:val="00CB188F"/>
    <w:rsid w:val="00CB18AA"/>
    <w:rsid w:val="00CB19DF"/>
    <w:rsid w:val="00CB1A2C"/>
    <w:rsid w:val="00CB1AF0"/>
    <w:rsid w:val="00CB1C24"/>
    <w:rsid w:val="00CB1C8F"/>
    <w:rsid w:val="00CB1CAC"/>
    <w:rsid w:val="00CB1CC6"/>
    <w:rsid w:val="00CB1CD2"/>
    <w:rsid w:val="00CB1CF3"/>
    <w:rsid w:val="00CB1D05"/>
    <w:rsid w:val="00CB1D21"/>
    <w:rsid w:val="00CB1DB3"/>
    <w:rsid w:val="00CB1DEA"/>
    <w:rsid w:val="00CB1E12"/>
    <w:rsid w:val="00CB1E85"/>
    <w:rsid w:val="00CB1ED2"/>
    <w:rsid w:val="00CB1ED7"/>
    <w:rsid w:val="00CB1F1D"/>
    <w:rsid w:val="00CB203C"/>
    <w:rsid w:val="00CB20E4"/>
    <w:rsid w:val="00CB20E6"/>
    <w:rsid w:val="00CB2143"/>
    <w:rsid w:val="00CB215B"/>
    <w:rsid w:val="00CB21A8"/>
    <w:rsid w:val="00CB21D2"/>
    <w:rsid w:val="00CB21DE"/>
    <w:rsid w:val="00CB2267"/>
    <w:rsid w:val="00CB2271"/>
    <w:rsid w:val="00CB239E"/>
    <w:rsid w:val="00CB24F6"/>
    <w:rsid w:val="00CB24F9"/>
    <w:rsid w:val="00CB251B"/>
    <w:rsid w:val="00CB2558"/>
    <w:rsid w:val="00CB255B"/>
    <w:rsid w:val="00CB256F"/>
    <w:rsid w:val="00CB257A"/>
    <w:rsid w:val="00CB25D2"/>
    <w:rsid w:val="00CB261E"/>
    <w:rsid w:val="00CB2645"/>
    <w:rsid w:val="00CB26CC"/>
    <w:rsid w:val="00CB2709"/>
    <w:rsid w:val="00CB270F"/>
    <w:rsid w:val="00CB271D"/>
    <w:rsid w:val="00CB2736"/>
    <w:rsid w:val="00CB2768"/>
    <w:rsid w:val="00CB27B0"/>
    <w:rsid w:val="00CB282C"/>
    <w:rsid w:val="00CB2889"/>
    <w:rsid w:val="00CB28D9"/>
    <w:rsid w:val="00CB2920"/>
    <w:rsid w:val="00CB29C6"/>
    <w:rsid w:val="00CB2A77"/>
    <w:rsid w:val="00CB2AB0"/>
    <w:rsid w:val="00CB2B04"/>
    <w:rsid w:val="00CB2B32"/>
    <w:rsid w:val="00CB2B72"/>
    <w:rsid w:val="00CB2BDA"/>
    <w:rsid w:val="00CB2BF2"/>
    <w:rsid w:val="00CB2C24"/>
    <w:rsid w:val="00CB2C6B"/>
    <w:rsid w:val="00CB2C88"/>
    <w:rsid w:val="00CB2C9E"/>
    <w:rsid w:val="00CB2D2D"/>
    <w:rsid w:val="00CB2D35"/>
    <w:rsid w:val="00CB2D8C"/>
    <w:rsid w:val="00CB2E3C"/>
    <w:rsid w:val="00CB2E87"/>
    <w:rsid w:val="00CB2ED6"/>
    <w:rsid w:val="00CB2F27"/>
    <w:rsid w:val="00CB2F3F"/>
    <w:rsid w:val="00CB30AF"/>
    <w:rsid w:val="00CB30CC"/>
    <w:rsid w:val="00CB30D2"/>
    <w:rsid w:val="00CB30D9"/>
    <w:rsid w:val="00CB30FD"/>
    <w:rsid w:val="00CB311C"/>
    <w:rsid w:val="00CB318D"/>
    <w:rsid w:val="00CB31CC"/>
    <w:rsid w:val="00CB3284"/>
    <w:rsid w:val="00CB32AB"/>
    <w:rsid w:val="00CB3348"/>
    <w:rsid w:val="00CB33C7"/>
    <w:rsid w:val="00CB33CB"/>
    <w:rsid w:val="00CB3470"/>
    <w:rsid w:val="00CB347A"/>
    <w:rsid w:val="00CB34D1"/>
    <w:rsid w:val="00CB3512"/>
    <w:rsid w:val="00CB3523"/>
    <w:rsid w:val="00CB3543"/>
    <w:rsid w:val="00CB35DF"/>
    <w:rsid w:val="00CB35FA"/>
    <w:rsid w:val="00CB360A"/>
    <w:rsid w:val="00CB3627"/>
    <w:rsid w:val="00CB36A6"/>
    <w:rsid w:val="00CB3700"/>
    <w:rsid w:val="00CB3794"/>
    <w:rsid w:val="00CB3829"/>
    <w:rsid w:val="00CB388F"/>
    <w:rsid w:val="00CB38D8"/>
    <w:rsid w:val="00CB3947"/>
    <w:rsid w:val="00CB3960"/>
    <w:rsid w:val="00CB3980"/>
    <w:rsid w:val="00CB39AD"/>
    <w:rsid w:val="00CB39C3"/>
    <w:rsid w:val="00CB3A11"/>
    <w:rsid w:val="00CB3A89"/>
    <w:rsid w:val="00CB3AA2"/>
    <w:rsid w:val="00CB3AE2"/>
    <w:rsid w:val="00CB3B23"/>
    <w:rsid w:val="00CB3B6F"/>
    <w:rsid w:val="00CB3BAB"/>
    <w:rsid w:val="00CB3BC0"/>
    <w:rsid w:val="00CB3C1C"/>
    <w:rsid w:val="00CB3C37"/>
    <w:rsid w:val="00CB3C5C"/>
    <w:rsid w:val="00CB3C5D"/>
    <w:rsid w:val="00CB3CCC"/>
    <w:rsid w:val="00CB3D27"/>
    <w:rsid w:val="00CB3D4D"/>
    <w:rsid w:val="00CB3D62"/>
    <w:rsid w:val="00CB3D64"/>
    <w:rsid w:val="00CB3DAD"/>
    <w:rsid w:val="00CB3DFF"/>
    <w:rsid w:val="00CB3E1C"/>
    <w:rsid w:val="00CB3E28"/>
    <w:rsid w:val="00CB3F72"/>
    <w:rsid w:val="00CB3FAE"/>
    <w:rsid w:val="00CB3FF1"/>
    <w:rsid w:val="00CB3FF3"/>
    <w:rsid w:val="00CB406A"/>
    <w:rsid w:val="00CB4078"/>
    <w:rsid w:val="00CB40AB"/>
    <w:rsid w:val="00CB40AC"/>
    <w:rsid w:val="00CB40B1"/>
    <w:rsid w:val="00CB40D6"/>
    <w:rsid w:val="00CB4198"/>
    <w:rsid w:val="00CB41F8"/>
    <w:rsid w:val="00CB420C"/>
    <w:rsid w:val="00CB421A"/>
    <w:rsid w:val="00CB4242"/>
    <w:rsid w:val="00CB424B"/>
    <w:rsid w:val="00CB4250"/>
    <w:rsid w:val="00CB42F5"/>
    <w:rsid w:val="00CB43A9"/>
    <w:rsid w:val="00CB43BF"/>
    <w:rsid w:val="00CB43C4"/>
    <w:rsid w:val="00CB43CB"/>
    <w:rsid w:val="00CB4400"/>
    <w:rsid w:val="00CB4420"/>
    <w:rsid w:val="00CB44AC"/>
    <w:rsid w:val="00CB44B0"/>
    <w:rsid w:val="00CB44DD"/>
    <w:rsid w:val="00CB45BC"/>
    <w:rsid w:val="00CB45D3"/>
    <w:rsid w:val="00CB460D"/>
    <w:rsid w:val="00CB4672"/>
    <w:rsid w:val="00CB467C"/>
    <w:rsid w:val="00CB4686"/>
    <w:rsid w:val="00CB4689"/>
    <w:rsid w:val="00CB46D1"/>
    <w:rsid w:val="00CB474E"/>
    <w:rsid w:val="00CB474F"/>
    <w:rsid w:val="00CB475F"/>
    <w:rsid w:val="00CB47D4"/>
    <w:rsid w:val="00CB483D"/>
    <w:rsid w:val="00CB4885"/>
    <w:rsid w:val="00CB488B"/>
    <w:rsid w:val="00CB48C7"/>
    <w:rsid w:val="00CB48CF"/>
    <w:rsid w:val="00CB48F5"/>
    <w:rsid w:val="00CB4900"/>
    <w:rsid w:val="00CB4921"/>
    <w:rsid w:val="00CB496F"/>
    <w:rsid w:val="00CB4987"/>
    <w:rsid w:val="00CB49FD"/>
    <w:rsid w:val="00CB4A31"/>
    <w:rsid w:val="00CB4A37"/>
    <w:rsid w:val="00CB4AB2"/>
    <w:rsid w:val="00CB4AC3"/>
    <w:rsid w:val="00CB4C23"/>
    <w:rsid w:val="00CB4C8B"/>
    <w:rsid w:val="00CB4CAB"/>
    <w:rsid w:val="00CB4CAE"/>
    <w:rsid w:val="00CB4D18"/>
    <w:rsid w:val="00CB4D48"/>
    <w:rsid w:val="00CB4E20"/>
    <w:rsid w:val="00CB4E23"/>
    <w:rsid w:val="00CB4EAC"/>
    <w:rsid w:val="00CB4EAE"/>
    <w:rsid w:val="00CB4F0C"/>
    <w:rsid w:val="00CB4FB4"/>
    <w:rsid w:val="00CB4FFD"/>
    <w:rsid w:val="00CB5029"/>
    <w:rsid w:val="00CB51CF"/>
    <w:rsid w:val="00CB523F"/>
    <w:rsid w:val="00CB5263"/>
    <w:rsid w:val="00CB52A7"/>
    <w:rsid w:val="00CB52DB"/>
    <w:rsid w:val="00CB535F"/>
    <w:rsid w:val="00CB5441"/>
    <w:rsid w:val="00CB5502"/>
    <w:rsid w:val="00CB5523"/>
    <w:rsid w:val="00CB55BF"/>
    <w:rsid w:val="00CB56BA"/>
    <w:rsid w:val="00CB572E"/>
    <w:rsid w:val="00CB5792"/>
    <w:rsid w:val="00CB57A4"/>
    <w:rsid w:val="00CB57C8"/>
    <w:rsid w:val="00CB5869"/>
    <w:rsid w:val="00CB5889"/>
    <w:rsid w:val="00CB58F0"/>
    <w:rsid w:val="00CB5915"/>
    <w:rsid w:val="00CB594D"/>
    <w:rsid w:val="00CB5959"/>
    <w:rsid w:val="00CB597D"/>
    <w:rsid w:val="00CB5983"/>
    <w:rsid w:val="00CB59AC"/>
    <w:rsid w:val="00CB59B8"/>
    <w:rsid w:val="00CB59FB"/>
    <w:rsid w:val="00CB5A3C"/>
    <w:rsid w:val="00CB5B06"/>
    <w:rsid w:val="00CB5B8A"/>
    <w:rsid w:val="00CB5C13"/>
    <w:rsid w:val="00CB5C67"/>
    <w:rsid w:val="00CB5D60"/>
    <w:rsid w:val="00CB5DA5"/>
    <w:rsid w:val="00CB5E18"/>
    <w:rsid w:val="00CB5EC3"/>
    <w:rsid w:val="00CB5ED2"/>
    <w:rsid w:val="00CB6080"/>
    <w:rsid w:val="00CB60FF"/>
    <w:rsid w:val="00CB612E"/>
    <w:rsid w:val="00CB6180"/>
    <w:rsid w:val="00CB61C4"/>
    <w:rsid w:val="00CB62D7"/>
    <w:rsid w:val="00CB62EF"/>
    <w:rsid w:val="00CB63B0"/>
    <w:rsid w:val="00CB63C1"/>
    <w:rsid w:val="00CB63F9"/>
    <w:rsid w:val="00CB6455"/>
    <w:rsid w:val="00CB6534"/>
    <w:rsid w:val="00CB6556"/>
    <w:rsid w:val="00CB655B"/>
    <w:rsid w:val="00CB656B"/>
    <w:rsid w:val="00CB6611"/>
    <w:rsid w:val="00CB6639"/>
    <w:rsid w:val="00CB66C9"/>
    <w:rsid w:val="00CB66CD"/>
    <w:rsid w:val="00CB66DE"/>
    <w:rsid w:val="00CB66F8"/>
    <w:rsid w:val="00CB6728"/>
    <w:rsid w:val="00CB6733"/>
    <w:rsid w:val="00CB6761"/>
    <w:rsid w:val="00CB6771"/>
    <w:rsid w:val="00CB67BC"/>
    <w:rsid w:val="00CB6815"/>
    <w:rsid w:val="00CB6834"/>
    <w:rsid w:val="00CB685A"/>
    <w:rsid w:val="00CB68E5"/>
    <w:rsid w:val="00CB6912"/>
    <w:rsid w:val="00CB6935"/>
    <w:rsid w:val="00CB6954"/>
    <w:rsid w:val="00CB6957"/>
    <w:rsid w:val="00CB697F"/>
    <w:rsid w:val="00CB69B5"/>
    <w:rsid w:val="00CB6A11"/>
    <w:rsid w:val="00CB6A54"/>
    <w:rsid w:val="00CB6A7D"/>
    <w:rsid w:val="00CB6AB5"/>
    <w:rsid w:val="00CB6B12"/>
    <w:rsid w:val="00CB6B3E"/>
    <w:rsid w:val="00CB6B79"/>
    <w:rsid w:val="00CB6C2D"/>
    <w:rsid w:val="00CB6C53"/>
    <w:rsid w:val="00CB6C7A"/>
    <w:rsid w:val="00CB6C9E"/>
    <w:rsid w:val="00CB6DBC"/>
    <w:rsid w:val="00CB6DDE"/>
    <w:rsid w:val="00CB6E61"/>
    <w:rsid w:val="00CB6E96"/>
    <w:rsid w:val="00CB6F09"/>
    <w:rsid w:val="00CB6F23"/>
    <w:rsid w:val="00CB6FE4"/>
    <w:rsid w:val="00CB7004"/>
    <w:rsid w:val="00CB7088"/>
    <w:rsid w:val="00CB709F"/>
    <w:rsid w:val="00CB70AF"/>
    <w:rsid w:val="00CB70F0"/>
    <w:rsid w:val="00CB710A"/>
    <w:rsid w:val="00CB71A6"/>
    <w:rsid w:val="00CB71B6"/>
    <w:rsid w:val="00CB7201"/>
    <w:rsid w:val="00CB7233"/>
    <w:rsid w:val="00CB7242"/>
    <w:rsid w:val="00CB72B2"/>
    <w:rsid w:val="00CB7319"/>
    <w:rsid w:val="00CB7371"/>
    <w:rsid w:val="00CB73A8"/>
    <w:rsid w:val="00CB73BE"/>
    <w:rsid w:val="00CB73EA"/>
    <w:rsid w:val="00CB74DA"/>
    <w:rsid w:val="00CB7606"/>
    <w:rsid w:val="00CB76A0"/>
    <w:rsid w:val="00CB76BD"/>
    <w:rsid w:val="00CB76F1"/>
    <w:rsid w:val="00CB76F7"/>
    <w:rsid w:val="00CB7729"/>
    <w:rsid w:val="00CB7791"/>
    <w:rsid w:val="00CB77E4"/>
    <w:rsid w:val="00CB7810"/>
    <w:rsid w:val="00CB7848"/>
    <w:rsid w:val="00CB7888"/>
    <w:rsid w:val="00CB78B0"/>
    <w:rsid w:val="00CB78EF"/>
    <w:rsid w:val="00CB790F"/>
    <w:rsid w:val="00CB7922"/>
    <w:rsid w:val="00CB798D"/>
    <w:rsid w:val="00CB79B7"/>
    <w:rsid w:val="00CB7A6A"/>
    <w:rsid w:val="00CB7B1E"/>
    <w:rsid w:val="00CB7B7A"/>
    <w:rsid w:val="00CB7B92"/>
    <w:rsid w:val="00CB7B93"/>
    <w:rsid w:val="00CB7BB2"/>
    <w:rsid w:val="00CB7BD5"/>
    <w:rsid w:val="00CB7CC0"/>
    <w:rsid w:val="00CB7D75"/>
    <w:rsid w:val="00CB7DA9"/>
    <w:rsid w:val="00CB7DE6"/>
    <w:rsid w:val="00CB7E33"/>
    <w:rsid w:val="00CB7E5F"/>
    <w:rsid w:val="00CB7E6D"/>
    <w:rsid w:val="00CB7EC6"/>
    <w:rsid w:val="00CB7F39"/>
    <w:rsid w:val="00CB7F8F"/>
    <w:rsid w:val="00CB7FB5"/>
    <w:rsid w:val="00CB7FE3"/>
    <w:rsid w:val="00CC0029"/>
    <w:rsid w:val="00CC008F"/>
    <w:rsid w:val="00CC00BB"/>
    <w:rsid w:val="00CC00BD"/>
    <w:rsid w:val="00CC00D7"/>
    <w:rsid w:val="00CC00D8"/>
    <w:rsid w:val="00CC01AA"/>
    <w:rsid w:val="00CC01BB"/>
    <w:rsid w:val="00CC01E2"/>
    <w:rsid w:val="00CC02B5"/>
    <w:rsid w:val="00CC02F9"/>
    <w:rsid w:val="00CC031E"/>
    <w:rsid w:val="00CC0327"/>
    <w:rsid w:val="00CC0344"/>
    <w:rsid w:val="00CC03BF"/>
    <w:rsid w:val="00CC03C1"/>
    <w:rsid w:val="00CC0479"/>
    <w:rsid w:val="00CC049F"/>
    <w:rsid w:val="00CC04B2"/>
    <w:rsid w:val="00CC050A"/>
    <w:rsid w:val="00CC0515"/>
    <w:rsid w:val="00CC0545"/>
    <w:rsid w:val="00CC0641"/>
    <w:rsid w:val="00CC0685"/>
    <w:rsid w:val="00CC0783"/>
    <w:rsid w:val="00CC07FC"/>
    <w:rsid w:val="00CC0813"/>
    <w:rsid w:val="00CC0830"/>
    <w:rsid w:val="00CC0854"/>
    <w:rsid w:val="00CC09E2"/>
    <w:rsid w:val="00CC09E8"/>
    <w:rsid w:val="00CC0B53"/>
    <w:rsid w:val="00CC0C0D"/>
    <w:rsid w:val="00CC0C7C"/>
    <w:rsid w:val="00CC0C92"/>
    <w:rsid w:val="00CC0CBC"/>
    <w:rsid w:val="00CC0D57"/>
    <w:rsid w:val="00CC0D62"/>
    <w:rsid w:val="00CC0E03"/>
    <w:rsid w:val="00CC0E62"/>
    <w:rsid w:val="00CC0E74"/>
    <w:rsid w:val="00CC0E98"/>
    <w:rsid w:val="00CC0EA0"/>
    <w:rsid w:val="00CC0F06"/>
    <w:rsid w:val="00CC0F71"/>
    <w:rsid w:val="00CC0FD8"/>
    <w:rsid w:val="00CC0FE5"/>
    <w:rsid w:val="00CC1020"/>
    <w:rsid w:val="00CC103F"/>
    <w:rsid w:val="00CC10C2"/>
    <w:rsid w:val="00CC110D"/>
    <w:rsid w:val="00CC113C"/>
    <w:rsid w:val="00CC118F"/>
    <w:rsid w:val="00CC11A0"/>
    <w:rsid w:val="00CC12AF"/>
    <w:rsid w:val="00CC12ED"/>
    <w:rsid w:val="00CC12F4"/>
    <w:rsid w:val="00CC132E"/>
    <w:rsid w:val="00CC13EA"/>
    <w:rsid w:val="00CC1420"/>
    <w:rsid w:val="00CC1480"/>
    <w:rsid w:val="00CC14C6"/>
    <w:rsid w:val="00CC15C6"/>
    <w:rsid w:val="00CC15E1"/>
    <w:rsid w:val="00CC1612"/>
    <w:rsid w:val="00CC16BC"/>
    <w:rsid w:val="00CC16D3"/>
    <w:rsid w:val="00CC1737"/>
    <w:rsid w:val="00CC174D"/>
    <w:rsid w:val="00CC1769"/>
    <w:rsid w:val="00CC17B1"/>
    <w:rsid w:val="00CC17B3"/>
    <w:rsid w:val="00CC17C4"/>
    <w:rsid w:val="00CC1801"/>
    <w:rsid w:val="00CC1837"/>
    <w:rsid w:val="00CC187F"/>
    <w:rsid w:val="00CC1881"/>
    <w:rsid w:val="00CC18A9"/>
    <w:rsid w:val="00CC1967"/>
    <w:rsid w:val="00CC1989"/>
    <w:rsid w:val="00CC19BF"/>
    <w:rsid w:val="00CC19C8"/>
    <w:rsid w:val="00CC1A39"/>
    <w:rsid w:val="00CC1A91"/>
    <w:rsid w:val="00CC1AB9"/>
    <w:rsid w:val="00CC1ADE"/>
    <w:rsid w:val="00CC1B53"/>
    <w:rsid w:val="00CC1B67"/>
    <w:rsid w:val="00CC1B86"/>
    <w:rsid w:val="00CC1B87"/>
    <w:rsid w:val="00CC1BBA"/>
    <w:rsid w:val="00CC1BC7"/>
    <w:rsid w:val="00CC1BF5"/>
    <w:rsid w:val="00CC1C5A"/>
    <w:rsid w:val="00CC1C67"/>
    <w:rsid w:val="00CC1C7E"/>
    <w:rsid w:val="00CC1C86"/>
    <w:rsid w:val="00CC1C89"/>
    <w:rsid w:val="00CC1C9F"/>
    <w:rsid w:val="00CC1CB0"/>
    <w:rsid w:val="00CC1D5F"/>
    <w:rsid w:val="00CC1D6A"/>
    <w:rsid w:val="00CC1D78"/>
    <w:rsid w:val="00CC1D9A"/>
    <w:rsid w:val="00CC1E02"/>
    <w:rsid w:val="00CC1E27"/>
    <w:rsid w:val="00CC1E30"/>
    <w:rsid w:val="00CC1E43"/>
    <w:rsid w:val="00CC1EA5"/>
    <w:rsid w:val="00CC1EC7"/>
    <w:rsid w:val="00CC1ED3"/>
    <w:rsid w:val="00CC1EF0"/>
    <w:rsid w:val="00CC1F41"/>
    <w:rsid w:val="00CC1FE5"/>
    <w:rsid w:val="00CC2065"/>
    <w:rsid w:val="00CC217D"/>
    <w:rsid w:val="00CC233A"/>
    <w:rsid w:val="00CC234D"/>
    <w:rsid w:val="00CC23BF"/>
    <w:rsid w:val="00CC2432"/>
    <w:rsid w:val="00CC2490"/>
    <w:rsid w:val="00CC24EA"/>
    <w:rsid w:val="00CC24EE"/>
    <w:rsid w:val="00CC251F"/>
    <w:rsid w:val="00CC257B"/>
    <w:rsid w:val="00CC2692"/>
    <w:rsid w:val="00CC2730"/>
    <w:rsid w:val="00CC273E"/>
    <w:rsid w:val="00CC276A"/>
    <w:rsid w:val="00CC2851"/>
    <w:rsid w:val="00CC2890"/>
    <w:rsid w:val="00CC28C4"/>
    <w:rsid w:val="00CC2945"/>
    <w:rsid w:val="00CC29FB"/>
    <w:rsid w:val="00CC2ACC"/>
    <w:rsid w:val="00CC2C73"/>
    <w:rsid w:val="00CC2C79"/>
    <w:rsid w:val="00CC2CAE"/>
    <w:rsid w:val="00CC2D2B"/>
    <w:rsid w:val="00CC2DBB"/>
    <w:rsid w:val="00CC2DC6"/>
    <w:rsid w:val="00CC2DCF"/>
    <w:rsid w:val="00CC2E87"/>
    <w:rsid w:val="00CC2EA2"/>
    <w:rsid w:val="00CC2EF0"/>
    <w:rsid w:val="00CC2F3F"/>
    <w:rsid w:val="00CC2F58"/>
    <w:rsid w:val="00CC2F9F"/>
    <w:rsid w:val="00CC2FBD"/>
    <w:rsid w:val="00CC2FFC"/>
    <w:rsid w:val="00CC2FFE"/>
    <w:rsid w:val="00CC3162"/>
    <w:rsid w:val="00CC3269"/>
    <w:rsid w:val="00CC32A9"/>
    <w:rsid w:val="00CC331A"/>
    <w:rsid w:val="00CC332E"/>
    <w:rsid w:val="00CC335D"/>
    <w:rsid w:val="00CC339B"/>
    <w:rsid w:val="00CC33D1"/>
    <w:rsid w:val="00CC3472"/>
    <w:rsid w:val="00CC35B8"/>
    <w:rsid w:val="00CC35BA"/>
    <w:rsid w:val="00CC35D6"/>
    <w:rsid w:val="00CC35D8"/>
    <w:rsid w:val="00CC35E0"/>
    <w:rsid w:val="00CC3621"/>
    <w:rsid w:val="00CC362A"/>
    <w:rsid w:val="00CC3632"/>
    <w:rsid w:val="00CC3653"/>
    <w:rsid w:val="00CC36CD"/>
    <w:rsid w:val="00CC36CE"/>
    <w:rsid w:val="00CC36EF"/>
    <w:rsid w:val="00CC3747"/>
    <w:rsid w:val="00CC378E"/>
    <w:rsid w:val="00CC37D9"/>
    <w:rsid w:val="00CC380B"/>
    <w:rsid w:val="00CC38D2"/>
    <w:rsid w:val="00CC38D7"/>
    <w:rsid w:val="00CC38F8"/>
    <w:rsid w:val="00CC398B"/>
    <w:rsid w:val="00CC39AF"/>
    <w:rsid w:val="00CC3A29"/>
    <w:rsid w:val="00CC3ACA"/>
    <w:rsid w:val="00CC3B0C"/>
    <w:rsid w:val="00CC3B97"/>
    <w:rsid w:val="00CC3BDD"/>
    <w:rsid w:val="00CC3BE6"/>
    <w:rsid w:val="00CC3CB6"/>
    <w:rsid w:val="00CC3D15"/>
    <w:rsid w:val="00CC3D82"/>
    <w:rsid w:val="00CC3D88"/>
    <w:rsid w:val="00CC3D8A"/>
    <w:rsid w:val="00CC3DFB"/>
    <w:rsid w:val="00CC3E7F"/>
    <w:rsid w:val="00CC3EE1"/>
    <w:rsid w:val="00CC3EEE"/>
    <w:rsid w:val="00CC3EF5"/>
    <w:rsid w:val="00CC3EF7"/>
    <w:rsid w:val="00CC3F53"/>
    <w:rsid w:val="00CC4023"/>
    <w:rsid w:val="00CC404A"/>
    <w:rsid w:val="00CC405E"/>
    <w:rsid w:val="00CC408B"/>
    <w:rsid w:val="00CC40DB"/>
    <w:rsid w:val="00CC4187"/>
    <w:rsid w:val="00CC41EC"/>
    <w:rsid w:val="00CC4225"/>
    <w:rsid w:val="00CC4229"/>
    <w:rsid w:val="00CC4254"/>
    <w:rsid w:val="00CC42BE"/>
    <w:rsid w:val="00CC431D"/>
    <w:rsid w:val="00CC4338"/>
    <w:rsid w:val="00CC433A"/>
    <w:rsid w:val="00CC4399"/>
    <w:rsid w:val="00CC43EB"/>
    <w:rsid w:val="00CC43FF"/>
    <w:rsid w:val="00CC443C"/>
    <w:rsid w:val="00CC444F"/>
    <w:rsid w:val="00CC4458"/>
    <w:rsid w:val="00CC446F"/>
    <w:rsid w:val="00CC457B"/>
    <w:rsid w:val="00CC4581"/>
    <w:rsid w:val="00CC4582"/>
    <w:rsid w:val="00CC4585"/>
    <w:rsid w:val="00CC45C3"/>
    <w:rsid w:val="00CC45FA"/>
    <w:rsid w:val="00CC4675"/>
    <w:rsid w:val="00CC4694"/>
    <w:rsid w:val="00CC46AC"/>
    <w:rsid w:val="00CC4700"/>
    <w:rsid w:val="00CC4711"/>
    <w:rsid w:val="00CC4770"/>
    <w:rsid w:val="00CC4801"/>
    <w:rsid w:val="00CC481F"/>
    <w:rsid w:val="00CC48D5"/>
    <w:rsid w:val="00CC48F6"/>
    <w:rsid w:val="00CC4931"/>
    <w:rsid w:val="00CC4940"/>
    <w:rsid w:val="00CC4955"/>
    <w:rsid w:val="00CC4A04"/>
    <w:rsid w:val="00CC4A3C"/>
    <w:rsid w:val="00CC4B60"/>
    <w:rsid w:val="00CC4BAA"/>
    <w:rsid w:val="00CC4BAB"/>
    <w:rsid w:val="00CC4C8A"/>
    <w:rsid w:val="00CC4C8B"/>
    <w:rsid w:val="00CC4D86"/>
    <w:rsid w:val="00CC4DDA"/>
    <w:rsid w:val="00CC4DF2"/>
    <w:rsid w:val="00CC4E9A"/>
    <w:rsid w:val="00CC4E9B"/>
    <w:rsid w:val="00CC4EB4"/>
    <w:rsid w:val="00CC4F4C"/>
    <w:rsid w:val="00CC4F83"/>
    <w:rsid w:val="00CC4FAC"/>
    <w:rsid w:val="00CC4FAE"/>
    <w:rsid w:val="00CC4FE7"/>
    <w:rsid w:val="00CC4FF4"/>
    <w:rsid w:val="00CC501E"/>
    <w:rsid w:val="00CC502B"/>
    <w:rsid w:val="00CC508C"/>
    <w:rsid w:val="00CC50BC"/>
    <w:rsid w:val="00CC50BD"/>
    <w:rsid w:val="00CC50CB"/>
    <w:rsid w:val="00CC5106"/>
    <w:rsid w:val="00CC5161"/>
    <w:rsid w:val="00CC519D"/>
    <w:rsid w:val="00CC51DA"/>
    <w:rsid w:val="00CC51EA"/>
    <w:rsid w:val="00CC5219"/>
    <w:rsid w:val="00CC523D"/>
    <w:rsid w:val="00CC5291"/>
    <w:rsid w:val="00CC5322"/>
    <w:rsid w:val="00CC533E"/>
    <w:rsid w:val="00CC53E0"/>
    <w:rsid w:val="00CC5408"/>
    <w:rsid w:val="00CC5457"/>
    <w:rsid w:val="00CC548A"/>
    <w:rsid w:val="00CC5490"/>
    <w:rsid w:val="00CC54AF"/>
    <w:rsid w:val="00CC54EC"/>
    <w:rsid w:val="00CC5508"/>
    <w:rsid w:val="00CC5581"/>
    <w:rsid w:val="00CC559D"/>
    <w:rsid w:val="00CC56E8"/>
    <w:rsid w:val="00CC5739"/>
    <w:rsid w:val="00CC57A0"/>
    <w:rsid w:val="00CC57CB"/>
    <w:rsid w:val="00CC57ED"/>
    <w:rsid w:val="00CC581B"/>
    <w:rsid w:val="00CC5853"/>
    <w:rsid w:val="00CC5860"/>
    <w:rsid w:val="00CC5881"/>
    <w:rsid w:val="00CC58D8"/>
    <w:rsid w:val="00CC5923"/>
    <w:rsid w:val="00CC59E1"/>
    <w:rsid w:val="00CC5A20"/>
    <w:rsid w:val="00CC5A83"/>
    <w:rsid w:val="00CC5A96"/>
    <w:rsid w:val="00CC5B06"/>
    <w:rsid w:val="00CC5B28"/>
    <w:rsid w:val="00CC5BA3"/>
    <w:rsid w:val="00CC5BE3"/>
    <w:rsid w:val="00CC5BEF"/>
    <w:rsid w:val="00CC5CBF"/>
    <w:rsid w:val="00CC5D2E"/>
    <w:rsid w:val="00CC5E09"/>
    <w:rsid w:val="00CC5E51"/>
    <w:rsid w:val="00CC5E8B"/>
    <w:rsid w:val="00CC5F2D"/>
    <w:rsid w:val="00CC5F74"/>
    <w:rsid w:val="00CC5F96"/>
    <w:rsid w:val="00CC6006"/>
    <w:rsid w:val="00CC601F"/>
    <w:rsid w:val="00CC604C"/>
    <w:rsid w:val="00CC605D"/>
    <w:rsid w:val="00CC60BF"/>
    <w:rsid w:val="00CC60C6"/>
    <w:rsid w:val="00CC6165"/>
    <w:rsid w:val="00CC6280"/>
    <w:rsid w:val="00CC6283"/>
    <w:rsid w:val="00CC6285"/>
    <w:rsid w:val="00CC629F"/>
    <w:rsid w:val="00CC62C3"/>
    <w:rsid w:val="00CC6358"/>
    <w:rsid w:val="00CC6381"/>
    <w:rsid w:val="00CC644F"/>
    <w:rsid w:val="00CC64A2"/>
    <w:rsid w:val="00CC650C"/>
    <w:rsid w:val="00CC6514"/>
    <w:rsid w:val="00CC662E"/>
    <w:rsid w:val="00CC6630"/>
    <w:rsid w:val="00CC664A"/>
    <w:rsid w:val="00CC6676"/>
    <w:rsid w:val="00CC66FF"/>
    <w:rsid w:val="00CC679C"/>
    <w:rsid w:val="00CC67A6"/>
    <w:rsid w:val="00CC67AC"/>
    <w:rsid w:val="00CC67C6"/>
    <w:rsid w:val="00CC67F2"/>
    <w:rsid w:val="00CC6812"/>
    <w:rsid w:val="00CC6836"/>
    <w:rsid w:val="00CC689C"/>
    <w:rsid w:val="00CC68A5"/>
    <w:rsid w:val="00CC68C3"/>
    <w:rsid w:val="00CC68EA"/>
    <w:rsid w:val="00CC690D"/>
    <w:rsid w:val="00CC6A76"/>
    <w:rsid w:val="00CC6A94"/>
    <w:rsid w:val="00CC6AD4"/>
    <w:rsid w:val="00CC6B22"/>
    <w:rsid w:val="00CC6B53"/>
    <w:rsid w:val="00CC6B5A"/>
    <w:rsid w:val="00CC6B7E"/>
    <w:rsid w:val="00CC6BB9"/>
    <w:rsid w:val="00CC6BC8"/>
    <w:rsid w:val="00CC6BD6"/>
    <w:rsid w:val="00CC6BF6"/>
    <w:rsid w:val="00CC6BFE"/>
    <w:rsid w:val="00CC6C81"/>
    <w:rsid w:val="00CC6D4E"/>
    <w:rsid w:val="00CC6D78"/>
    <w:rsid w:val="00CC6D96"/>
    <w:rsid w:val="00CC6DD1"/>
    <w:rsid w:val="00CC6DF8"/>
    <w:rsid w:val="00CC6E10"/>
    <w:rsid w:val="00CC6E29"/>
    <w:rsid w:val="00CC6E42"/>
    <w:rsid w:val="00CC6EDF"/>
    <w:rsid w:val="00CC6EF3"/>
    <w:rsid w:val="00CC700D"/>
    <w:rsid w:val="00CC704F"/>
    <w:rsid w:val="00CC706D"/>
    <w:rsid w:val="00CC7075"/>
    <w:rsid w:val="00CC71AF"/>
    <w:rsid w:val="00CC72C9"/>
    <w:rsid w:val="00CC731C"/>
    <w:rsid w:val="00CC73A5"/>
    <w:rsid w:val="00CC7439"/>
    <w:rsid w:val="00CC74EA"/>
    <w:rsid w:val="00CC74F4"/>
    <w:rsid w:val="00CC7529"/>
    <w:rsid w:val="00CC7553"/>
    <w:rsid w:val="00CC7557"/>
    <w:rsid w:val="00CC75F8"/>
    <w:rsid w:val="00CC761E"/>
    <w:rsid w:val="00CC76A2"/>
    <w:rsid w:val="00CC772D"/>
    <w:rsid w:val="00CC7748"/>
    <w:rsid w:val="00CC7901"/>
    <w:rsid w:val="00CC7952"/>
    <w:rsid w:val="00CC79B6"/>
    <w:rsid w:val="00CC79D6"/>
    <w:rsid w:val="00CC79FC"/>
    <w:rsid w:val="00CC7A5B"/>
    <w:rsid w:val="00CC7AAC"/>
    <w:rsid w:val="00CC7B92"/>
    <w:rsid w:val="00CC7BF3"/>
    <w:rsid w:val="00CC7CB8"/>
    <w:rsid w:val="00CC7CF7"/>
    <w:rsid w:val="00CC7D0C"/>
    <w:rsid w:val="00CC7D11"/>
    <w:rsid w:val="00CC7D55"/>
    <w:rsid w:val="00CC7D78"/>
    <w:rsid w:val="00CC7DE8"/>
    <w:rsid w:val="00CC7E15"/>
    <w:rsid w:val="00CC7E42"/>
    <w:rsid w:val="00CC7EB3"/>
    <w:rsid w:val="00CC7F12"/>
    <w:rsid w:val="00CC7F5E"/>
    <w:rsid w:val="00CC7F62"/>
    <w:rsid w:val="00CD0028"/>
    <w:rsid w:val="00CD00B5"/>
    <w:rsid w:val="00CD00B9"/>
    <w:rsid w:val="00CD00C7"/>
    <w:rsid w:val="00CD00CA"/>
    <w:rsid w:val="00CD0147"/>
    <w:rsid w:val="00CD01B0"/>
    <w:rsid w:val="00CD01FC"/>
    <w:rsid w:val="00CD0217"/>
    <w:rsid w:val="00CD0242"/>
    <w:rsid w:val="00CD024F"/>
    <w:rsid w:val="00CD027C"/>
    <w:rsid w:val="00CD02CF"/>
    <w:rsid w:val="00CD02DE"/>
    <w:rsid w:val="00CD031D"/>
    <w:rsid w:val="00CD0351"/>
    <w:rsid w:val="00CD0354"/>
    <w:rsid w:val="00CD03C8"/>
    <w:rsid w:val="00CD03D9"/>
    <w:rsid w:val="00CD0405"/>
    <w:rsid w:val="00CD0498"/>
    <w:rsid w:val="00CD04D0"/>
    <w:rsid w:val="00CD04E9"/>
    <w:rsid w:val="00CD0519"/>
    <w:rsid w:val="00CD0653"/>
    <w:rsid w:val="00CD066D"/>
    <w:rsid w:val="00CD066F"/>
    <w:rsid w:val="00CD06FB"/>
    <w:rsid w:val="00CD079B"/>
    <w:rsid w:val="00CD0862"/>
    <w:rsid w:val="00CD0876"/>
    <w:rsid w:val="00CD08CF"/>
    <w:rsid w:val="00CD08EE"/>
    <w:rsid w:val="00CD0920"/>
    <w:rsid w:val="00CD0964"/>
    <w:rsid w:val="00CD0A63"/>
    <w:rsid w:val="00CD0AAD"/>
    <w:rsid w:val="00CD0AAF"/>
    <w:rsid w:val="00CD0AE0"/>
    <w:rsid w:val="00CD0AE1"/>
    <w:rsid w:val="00CD0AF2"/>
    <w:rsid w:val="00CD0AF4"/>
    <w:rsid w:val="00CD0BAB"/>
    <w:rsid w:val="00CD0BCA"/>
    <w:rsid w:val="00CD0C20"/>
    <w:rsid w:val="00CD0C74"/>
    <w:rsid w:val="00CD0C85"/>
    <w:rsid w:val="00CD0DC6"/>
    <w:rsid w:val="00CD0E46"/>
    <w:rsid w:val="00CD0E9A"/>
    <w:rsid w:val="00CD0EAC"/>
    <w:rsid w:val="00CD0EBC"/>
    <w:rsid w:val="00CD0ECB"/>
    <w:rsid w:val="00CD1011"/>
    <w:rsid w:val="00CD1013"/>
    <w:rsid w:val="00CD1015"/>
    <w:rsid w:val="00CD101B"/>
    <w:rsid w:val="00CD1082"/>
    <w:rsid w:val="00CD10C2"/>
    <w:rsid w:val="00CD10E2"/>
    <w:rsid w:val="00CD113F"/>
    <w:rsid w:val="00CD1176"/>
    <w:rsid w:val="00CD11DC"/>
    <w:rsid w:val="00CD11FD"/>
    <w:rsid w:val="00CD11FF"/>
    <w:rsid w:val="00CD1261"/>
    <w:rsid w:val="00CD1271"/>
    <w:rsid w:val="00CD1274"/>
    <w:rsid w:val="00CD13B7"/>
    <w:rsid w:val="00CD143B"/>
    <w:rsid w:val="00CD1484"/>
    <w:rsid w:val="00CD14A8"/>
    <w:rsid w:val="00CD1558"/>
    <w:rsid w:val="00CD15EA"/>
    <w:rsid w:val="00CD16DD"/>
    <w:rsid w:val="00CD17BB"/>
    <w:rsid w:val="00CD17C2"/>
    <w:rsid w:val="00CD17C3"/>
    <w:rsid w:val="00CD17DB"/>
    <w:rsid w:val="00CD17E1"/>
    <w:rsid w:val="00CD17F6"/>
    <w:rsid w:val="00CD1882"/>
    <w:rsid w:val="00CD1893"/>
    <w:rsid w:val="00CD189A"/>
    <w:rsid w:val="00CD18C3"/>
    <w:rsid w:val="00CD18CC"/>
    <w:rsid w:val="00CD18F8"/>
    <w:rsid w:val="00CD18FE"/>
    <w:rsid w:val="00CD1922"/>
    <w:rsid w:val="00CD1A18"/>
    <w:rsid w:val="00CD1A58"/>
    <w:rsid w:val="00CD1A60"/>
    <w:rsid w:val="00CD1B09"/>
    <w:rsid w:val="00CD1B2B"/>
    <w:rsid w:val="00CD1BD3"/>
    <w:rsid w:val="00CD1BDE"/>
    <w:rsid w:val="00CD1C2B"/>
    <w:rsid w:val="00CD1C35"/>
    <w:rsid w:val="00CD1C55"/>
    <w:rsid w:val="00CD1C74"/>
    <w:rsid w:val="00CD1D81"/>
    <w:rsid w:val="00CD1D98"/>
    <w:rsid w:val="00CD1DA5"/>
    <w:rsid w:val="00CD1E4D"/>
    <w:rsid w:val="00CD1E8D"/>
    <w:rsid w:val="00CD1EA0"/>
    <w:rsid w:val="00CD1F26"/>
    <w:rsid w:val="00CD1F38"/>
    <w:rsid w:val="00CD1F79"/>
    <w:rsid w:val="00CD1F9F"/>
    <w:rsid w:val="00CD206D"/>
    <w:rsid w:val="00CD20E7"/>
    <w:rsid w:val="00CD2151"/>
    <w:rsid w:val="00CD219C"/>
    <w:rsid w:val="00CD21CB"/>
    <w:rsid w:val="00CD21DB"/>
    <w:rsid w:val="00CD2210"/>
    <w:rsid w:val="00CD2281"/>
    <w:rsid w:val="00CD234D"/>
    <w:rsid w:val="00CD23EE"/>
    <w:rsid w:val="00CD24A8"/>
    <w:rsid w:val="00CD24B2"/>
    <w:rsid w:val="00CD250E"/>
    <w:rsid w:val="00CD2519"/>
    <w:rsid w:val="00CD251E"/>
    <w:rsid w:val="00CD253E"/>
    <w:rsid w:val="00CD255C"/>
    <w:rsid w:val="00CD258D"/>
    <w:rsid w:val="00CD258E"/>
    <w:rsid w:val="00CD25E7"/>
    <w:rsid w:val="00CD26C9"/>
    <w:rsid w:val="00CD2729"/>
    <w:rsid w:val="00CD272F"/>
    <w:rsid w:val="00CD2779"/>
    <w:rsid w:val="00CD278A"/>
    <w:rsid w:val="00CD2790"/>
    <w:rsid w:val="00CD2796"/>
    <w:rsid w:val="00CD279A"/>
    <w:rsid w:val="00CD27A4"/>
    <w:rsid w:val="00CD27B2"/>
    <w:rsid w:val="00CD280F"/>
    <w:rsid w:val="00CD2831"/>
    <w:rsid w:val="00CD2857"/>
    <w:rsid w:val="00CD28EC"/>
    <w:rsid w:val="00CD2915"/>
    <w:rsid w:val="00CD2920"/>
    <w:rsid w:val="00CD2922"/>
    <w:rsid w:val="00CD2984"/>
    <w:rsid w:val="00CD29CA"/>
    <w:rsid w:val="00CD29E8"/>
    <w:rsid w:val="00CD2A88"/>
    <w:rsid w:val="00CD2AB6"/>
    <w:rsid w:val="00CD2AC6"/>
    <w:rsid w:val="00CD2B01"/>
    <w:rsid w:val="00CD2B29"/>
    <w:rsid w:val="00CD2B34"/>
    <w:rsid w:val="00CD2C06"/>
    <w:rsid w:val="00CD2CA9"/>
    <w:rsid w:val="00CD2D60"/>
    <w:rsid w:val="00CD2D75"/>
    <w:rsid w:val="00CD2DAC"/>
    <w:rsid w:val="00CD2DF4"/>
    <w:rsid w:val="00CD2EBF"/>
    <w:rsid w:val="00CD2F0B"/>
    <w:rsid w:val="00CD2F17"/>
    <w:rsid w:val="00CD2F23"/>
    <w:rsid w:val="00CD2F46"/>
    <w:rsid w:val="00CD2F58"/>
    <w:rsid w:val="00CD2FB3"/>
    <w:rsid w:val="00CD2FE7"/>
    <w:rsid w:val="00CD3008"/>
    <w:rsid w:val="00CD3064"/>
    <w:rsid w:val="00CD311C"/>
    <w:rsid w:val="00CD3153"/>
    <w:rsid w:val="00CD3156"/>
    <w:rsid w:val="00CD327E"/>
    <w:rsid w:val="00CD32EF"/>
    <w:rsid w:val="00CD3316"/>
    <w:rsid w:val="00CD3388"/>
    <w:rsid w:val="00CD33A7"/>
    <w:rsid w:val="00CD33D8"/>
    <w:rsid w:val="00CD341C"/>
    <w:rsid w:val="00CD347F"/>
    <w:rsid w:val="00CD34C7"/>
    <w:rsid w:val="00CD3500"/>
    <w:rsid w:val="00CD3503"/>
    <w:rsid w:val="00CD353C"/>
    <w:rsid w:val="00CD357E"/>
    <w:rsid w:val="00CD362C"/>
    <w:rsid w:val="00CD369F"/>
    <w:rsid w:val="00CD38A3"/>
    <w:rsid w:val="00CD38D6"/>
    <w:rsid w:val="00CD392E"/>
    <w:rsid w:val="00CD396C"/>
    <w:rsid w:val="00CD3973"/>
    <w:rsid w:val="00CD39A7"/>
    <w:rsid w:val="00CD39D0"/>
    <w:rsid w:val="00CD3A10"/>
    <w:rsid w:val="00CD3A13"/>
    <w:rsid w:val="00CD3A1D"/>
    <w:rsid w:val="00CD3A27"/>
    <w:rsid w:val="00CD3AB3"/>
    <w:rsid w:val="00CD3BB7"/>
    <w:rsid w:val="00CD3CC9"/>
    <w:rsid w:val="00CD3CE1"/>
    <w:rsid w:val="00CD3CEA"/>
    <w:rsid w:val="00CD3D6E"/>
    <w:rsid w:val="00CD3DAA"/>
    <w:rsid w:val="00CD3DE8"/>
    <w:rsid w:val="00CD3E46"/>
    <w:rsid w:val="00CD3E93"/>
    <w:rsid w:val="00CD3F30"/>
    <w:rsid w:val="00CD3F40"/>
    <w:rsid w:val="00CD3F61"/>
    <w:rsid w:val="00CD3F83"/>
    <w:rsid w:val="00CD3F93"/>
    <w:rsid w:val="00CD3FE1"/>
    <w:rsid w:val="00CD4045"/>
    <w:rsid w:val="00CD40CF"/>
    <w:rsid w:val="00CD40DE"/>
    <w:rsid w:val="00CD411B"/>
    <w:rsid w:val="00CD417D"/>
    <w:rsid w:val="00CD41C8"/>
    <w:rsid w:val="00CD4223"/>
    <w:rsid w:val="00CD4232"/>
    <w:rsid w:val="00CD4237"/>
    <w:rsid w:val="00CD428F"/>
    <w:rsid w:val="00CD4308"/>
    <w:rsid w:val="00CD4314"/>
    <w:rsid w:val="00CD4350"/>
    <w:rsid w:val="00CD436B"/>
    <w:rsid w:val="00CD43B8"/>
    <w:rsid w:val="00CD44CB"/>
    <w:rsid w:val="00CD45AA"/>
    <w:rsid w:val="00CD45AE"/>
    <w:rsid w:val="00CD45D3"/>
    <w:rsid w:val="00CD462E"/>
    <w:rsid w:val="00CD465B"/>
    <w:rsid w:val="00CD4669"/>
    <w:rsid w:val="00CD4675"/>
    <w:rsid w:val="00CD46D6"/>
    <w:rsid w:val="00CD46F7"/>
    <w:rsid w:val="00CD474C"/>
    <w:rsid w:val="00CD478D"/>
    <w:rsid w:val="00CD47A1"/>
    <w:rsid w:val="00CD489F"/>
    <w:rsid w:val="00CD48D4"/>
    <w:rsid w:val="00CD48D9"/>
    <w:rsid w:val="00CD48E8"/>
    <w:rsid w:val="00CD49A4"/>
    <w:rsid w:val="00CD49B7"/>
    <w:rsid w:val="00CD4A44"/>
    <w:rsid w:val="00CD4A8B"/>
    <w:rsid w:val="00CD4AA7"/>
    <w:rsid w:val="00CD4ADD"/>
    <w:rsid w:val="00CD4B42"/>
    <w:rsid w:val="00CD4B51"/>
    <w:rsid w:val="00CD4B86"/>
    <w:rsid w:val="00CD4B9F"/>
    <w:rsid w:val="00CD4BCF"/>
    <w:rsid w:val="00CD4BDB"/>
    <w:rsid w:val="00CD4BDE"/>
    <w:rsid w:val="00CD4C8E"/>
    <w:rsid w:val="00CD4C9A"/>
    <w:rsid w:val="00CD4CB0"/>
    <w:rsid w:val="00CD4CB5"/>
    <w:rsid w:val="00CD4CC9"/>
    <w:rsid w:val="00CD4D28"/>
    <w:rsid w:val="00CD4D55"/>
    <w:rsid w:val="00CD4D60"/>
    <w:rsid w:val="00CD4DBA"/>
    <w:rsid w:val="00CD4EE2"/>
    <w:rsid w:val="00CD4F61"/>
    <w:rsid w:val="00CD4F85"/>
    <w:rsid w:val="00CD4F94"/>
    <w:rsid w:val="00CD500A"/>
    <w:rsid w:val="00CD5072"/>
    <w:rsid w:val="00CD50A3"/>
    <w:rsid w:val="00CD50BE"/>
    <w:rsid w:val="00CD5134"/>
    <w:rsid w:val="00CD51D1"/>
    <w:rsid w:val="00CD51DC"/>
    <w:rsid w:val="00CD521C"/>
    <w:rsid w:val="00CD522D"/>
    <w:rsid w:val="00CD5257"/>
    <w:rsid w:val="00CD525A"/>
    <w:rsid w:val="00CD5332"/>
    <w:rsid w:val="00CD536A"/>
    <w:rsid w:val="00CD53A8"/>
    <w:rsid w:val="00CD53BA"/>
    <w:rsid w:val="00CD5456"/>
    <w:rsid w:val="00CD549E"/>
    <w:rsid w:val="00CD54E7"/>
    <w:rsid w:val="00CD5628"/>
    <w:rsid w:val="00CD5634"/>
    <w:rsid w:val="00CD5657"/>
    <w:rsid w:val="00CD5674"/>
    <w:rsid w:val="00CD5682"/>
    <w:rsid w:val="00CD56A5"/>
    <w:rsid w:val="00CD56E7"/>
    <w:rsid w:val="00CD5740"/>
    <w:rsid w:val="00CD576C"/>
    <w:rsid w:val="00CD577F"/>
    <w:rsid w:val="00CD589C"/>
    <w:rsid w:val="00CD58D9"/>
    <w:rsid w:val="00CD58FB"/>
    <w:rsid w:val="00CD5958"/>
    <w:rsid w:val="00CD5AD0"/>
    <w:rsid w:val="00CD5B50"/>
    <w:rsid w:val="00CD5C5A"/>
    <w:rsid w:val="00CD5C5D"/>
    <w:rsid w:val="00CD5D4D"/>
    <w:rsid w:val="00CD5DF6"/>
    <w:rsid w:val="00CD5E0D"/>
    <w:rsid w:val="00CD5E1F"/>
    <w:rsid w:val="00CD5E91"/>
    <w:rsid w:val="00CD5EC0"/>
    <w:rsid w:val="00CD5F5E"/>
    <w:rsid w:val="00CD5F79"/>
    <w:rsid w:val="00CD5FC1"/>
    <w:rsid w:val="00CD6017"/>
    <w:rsid w:val="00CD6024"/>
    <w:rsid w:val="00CD603C"/>
    <w:rsid w:val="00CD6103"/>
    <w:rsid w:val="00CD6180"/>
    <w:rsid w:val="00CD62D2"/>
    <w:rsid w:val="00CD62E1"/>
    <w:rsid w:val="00CD6334"/>
    <w:rsid w:val="00CD635F"/>
    <w:rsid w:val="00CD63A5"/>
    <w:rsid w:val="00CD64A1"/>
    <w:rsid w:val="00CD64FC"/>
    <w:rsid w:val="00CD64FE"/>
    <w:rsid w:val="00CD6517"/>
    <w:rsid w:val="00CD654B"/>
    <w:rsid w:val="00CD656B"/>
    <w:rsid w:val="00CD663F"/>
    <w:rsid w:val="00CD6684"/>
    <w:rsid w:val="00CD668C"/>
    <w:rsid w:val="00CD66E7"/>
    <w:rsid w:val="00CD66FA"/>
    <w:rsid w:val="00CD67A7"/>
    <w:rsid w:val="00CD67D4"/>
    <w:rsid w:val="00CD67DE"/>
    <w:rsid w:val="00CD6840"/>
    <w:rsid w:val="00CD687F"/>
    <w:rsid w:val="00CD68AA"/>
    <w:rsid w:val="00CD693B"/>
    <w:rsid w:val="00CD693E"/>
    <w:rsid w:val="00CD69B2"/>
    <w:rsid w:val="00CD6A04"/>
    <w:rsid w:val="00CD6A1C"/>
    <w:rsid w:val="00CD6A62"/>
    <w:rsid w:val="00CD6A69"/>
    <w:rsid w:val="00CD6B05"/>
    <w:rsid w:val="00CD6B09"/>
    <w:rsid w:val="00CD6B0A"/>
    <w:rsid w:val="00CD6B8E"/>
    <w:rsid w:val="00CD6BD4"/>
    <w:rsid w:val="00CD6C0D"/>
    <w:rsid w:val="00CD6C10"/>
    <w:rsid w:val="00CD6C45"/>
    <w:rsid w:val="00CD6C71"/>
    <w:rsid w:val="00CD6DC5"/>
    <w:rsid w:val="00CD6DDF"/>
    <w:rsid w:val="00CD6E0A"/>
    <w:rsid w:val="00CD6EAE"/>
    <w:rsid w:val="00CD6FCA"/>
    <w:rsid w:val="00CD703D"/>
    <w:rsid w:val="00CD706C"/>
    <w:rsid w:val="00CD7151"/>
    <w:rsid w:val="00CD7153"/>
    <w:rsid w:val="00CD7155"/>
    <w:rsid w:val="00CD7173"/>
    <w:rsid w:val="00CD71A0"/>
    <w:rsid w:val="00CD7270"/>
    <w:rsid w:val="00CD7272"/>
    <w:rsid w:val="00CD7282"/>
    <w:rsid w:val="00CD735B"/>
    <w:rsid w:val="00CD738D"/>
    <w:rsid w:val="00CD743D"/>
    <w:rsid w:val="00CD74AB"/>
    <w:rsid w:val="00CD7569"/>
    <w:rsid w:val="00CD7589"/>
    <w:rsid w:val="00CD75E9"/>
    <w:rsid w:val="00CD75EE"/>
    <w:rsid w:val="00CD7609"/>
    <w:rsid w:val="00CD7659"/>
    <w:rsid w:val="00CD76A0"/>
    <w:rsid w:val="00CD7725"/>
    <w:rsid w:val="00CD7793"/>
    <w:rsid w:val="00CD7842"/>
    <w:rsid w:val="00CD7883"/>
    <w:rsid w:val="00CD7889"/>
    <w:rsid w:val="00CD791B"/>
    <w:rsid w:val="00CD7944"/>
    <w:rsid w:val="00CD7A0B"/>
    <w:rsid w:val="00CD7A17"/>
    <w:rsid w:val="00CD7AA2"/>
    <w:rsid w:val="00CD7AE7"/>
    <w:rsid w:val="00CD7B2F"/>
    <w:rsid w:val="00CD7B50"/>
    <w:rsid w:val="00CD7B7A"/>
    <w:rsid w:val="00CD7BDF"/>
    <w:rsid w:val="00CD7BEC"/>
    <w:rsid w:val="00CD7C2D"/>
    <w:rsid w:val="00CD7C45"/>
    <w:rsid w:val="00CD7CA1"/>
    <w:rsid w:val="00CD7CDE"/>
    <w:rsid w:val="00CD7CE1"/>
    <w:rsid w:val="00CD7E21"/>
    <w:rsid w:val="00CD7EC0"/>
    <w:rsid w:val="00CD7F15"/>
    <w:rsid w:val="00CD7F27"/>
    <w:rsid w:val="00CD7F6D"/>
    <w:rsid w:val="00CD7F6F"/>
    <w:rsid w:val="00CD7F70"/>
    <w:rsid w:val="00CD7FCE"/>
    <w:rsid w:val="00CE0032"/>
    <w:rsid w:val="00CE0083"/>
    <w:rsid w:val="00CE00BE"/>
    <w:rsid w:val="00CE00C4"/>
    <w:rsid w:val="00CE00E4"/>
    <w:rsid w:val="00CE012B"/>
    <w:rsid w:val="00CE0132"/>
    <w:rsid w:val="00CE0194"/>
    <w:rsid w:val="00CE01A6"/>
    <w:rsid w:val="00CE01B5"/>
    <w:rsid w:val="00CE01DE"/>
    <w:rsid w:val="00CE0235"/>
    <w:rsid w:val="00CE0251"/>
    <w:rsid w:val="00CE0367"/>
    <w:rsid w:val="00CE037D"/>
    <w:rsid w:val="00CE03E7"/>
    <w:rsid w:val="00CE0424"/>
    <w:rsid w:val="00CE0443"/>
    <w:rsid w:val="00CE046D"/>
    <w:rsid w:val="00CE0494"/>
    <w:rsid w:val="00CE04C4"/>
    <w:rsid w:val="00CE051B"/>
    <w:rsid w:val="00CE053D"/>
    <w:rsid w:val="00CE05FD"/>
    <w:rsid w:val="00CE065D"/>
    <w:rsid w:val="00CE06E7"/>
    <w:rsid w:val="00CE0752"/>
    <w:rsid w:val="00CE0761"/>
    <w:rsid w:val="00CE0785"/>
    <w:rsid w:val="00CE085B"/>
    <w:rsid w:val="00CE08AA"/>
    <w:rsid w:val="00CE08F5"/>
    <w:rsid w:val="00CE0933"/>
    <w:rsid w:val="00CE096A"/>
    <w:rsid w:val="00CE09BF"/>
    <w:rsid w:val="00CE0A65"/>
    <w:rsid w:val="00CE0A9F"/>
    <w:rsid w:val="00CE0AE5"/>
    <w:rsid w:val="00CE0B3E"/>
    <w:rsid w:val="00CE0B53"/>
    <w:rsid w:val="00CE0BA9"/>
    <w:rsid w:val="00CE0BFD"/>
    <w:rsid w:val="00CE0C54"/>
    <w:rsid w:val="00CE0D1F"/>
    <w:rsid w:val="00CE0DF4"/>
    <w:rsid w:val="00CE0E88"/>
    <w:rsid w:val="00CE0ED3"/>
    <w:rsid w:val="00CE0EDF"/>
    <w:rsid w:val="00CE0F20"/>
    <w:rsid w:val="00CE0F22"/>
    <w:rsid w:val="00CE0F62"/>
    <w:rsid w:val="00CE1028"/>
    <w:rsid w:val="00CE10B0"/>
    <w:rsid w:val="00CE10D0"/>
    <w:rsid w:val="00CE10F7"/>
    <w:rsid w:val="00CE110A"/>
    <w:rsid w:val="00CE111A"/>
    <w:rsid w:val="00CE1149"/>
    <w:rsid w:val="00CE1167"/>
    <w:rsid w:val="00CE11C7"/>
    <w:rsid w:val="00CE1298"/>
    <w:rsid w:val="00CE1335"/>
    <w:rsid w:val="00CE1385"/>
    <w:rsid w:val="00CE14DB"/>
    <w:rsid w:val="00CE14F2"/>
    <w:rsid w:val="00CE159D"/>
    <w:rsid w:val="00CE1641"/>
    <w:rsid w:val="00CE1651"/>
    <w:rsid w:val="00CE16CE"/>
    <w:rsid w:val="00CE16F1"/>
    <w:rsid w:val="00CE1703"/>
    <w:rsid w:val="00CE173C"/>
    <w:rsid w:val="00CE184C"/>
    <w:rsid w:val="00CE18DC"/>
    <w:rsid w:val="00CE1916"/>
    <w:rsid w:val="00CE1927"/>
    <w:rsid w:val="00CE192F"/>
    <w:rsid w:val="00CE1963"/>
    <w:rsid w:val="00CE1A23"/>
    <w:rsid w:val="00CE1A2C"/>
    <w:rsid w:val="00CE1A37"/>
    <w:rsid w:val="00CE1AA4"/>
    <w:rsid w:val="00CE1AC4"/>
    <w:rsid w:val="00CE1B11"/>
    <w:rsid w:val="00CE1B63"/>
    <w:rsid w:val="00CE1BC5"/>
    <w:rsid w:val="00CE1C8D"/>
    <w:rsid w:val="00CE1CA7"/>
    <w:rsid w:val="00CE1CBC"/>
    <w:rsid w:val="00CE1DE6"/>
    <w:rsid w:val="00CE1DEA"/>
    <w:rsid w:val="00CE1E94"/>
    <w:rsid w:val="00CE1F56"/>
    <w:rsid w:val="00CE1FB4"/>
    <w:rsid w:val="00CE1FD2"/>
    <w:rsid w:val="00CE1FF8"/>
    <w:rsid w:val="00CE2017"/>
    <w:rsid w:val="00CE2040"/>
    <w:rsid w:val="00CE2053"/>
    <w:rsid w:val="00CE210D"/>
    <w:rsid w:val="00CE214F"/>
    <w:rsid w:val="00CE21C2"/>
    <w:rsid w:val="00CE2229"/>
    <w:rsid w:val="00CE223E"/>
    <w:rsid w:val="00CE2282"/>
    <w:rsid w:val="00CE22F0"/>
    <w:rsid w:val="00CE2317"/>
    <w:rsid w:val="00CE236C"/>
    <w:rsid w:val="00CE23A9"/>
    <w:rsid w:val="00CE240E"/>
    <w:rsid w:val="00CE2414"/>
    <w:rsid w:val="00CE24BA"/>
    <w:rsid w:val="00CE24C6"/>
    <w:rsid w:val="00CE2558"/>
    <w:rsid w:val="00CE25D7"/>
    <w:rsid w:val="00CE25EB"/>
    <w:rsid w:val="00CE262D"/>
    <w:rsid w:val="00CE2662"/>
    <w:rsid w:val="00CE2669"/>
    <w:rsid w:val="00CE26A3"/>
    <w:rsid w:val="00CE26B4"/>
    <w:rsid w:val="00CE26FD"/>
    <w:rsid w:val="00CE275F"/>
    <w:rsid w:val="00CE2781"/>
    <w:rsid w:val="00CE2814"/>
    <w:rsid w:val="00CE2834"/>
    <w:rsid w:val="00CE2865"/>
    <w:rsid w:val="00CE290C"/>
    <w:rsid w:val="00CE292E"/>
    <w:rsid w:val="00CE2A8B"/>
    <w:rsid w:val="00CE2C16"/>
    <w:rsid w:val="00CE2C2C"/>
    <w:rsid w:val="00CE2C3C"/>
    <w:rsid w:val="00CE2C7B"/>
    <w:rsid w:val="00CE2C84"/>
    <w:rsid w:val="00CE2C9A"/>
    <w:rsid w:val="00CE2F9B"/>
    <w:rsid w:val="00CE309A"/>
    <w:rsid w:val="00CE3119"/>
    <w:rsid w:val="00CE3176"/>
    <w:rsid w:val="00CE3199"/>
    <w:rsid w:val="00CE31EE"/>
    <w:rsid w:val="00CE32BE"/>
    <w:rsid w:val="00CE3304"/>
    <w:rsid w:val="00CE33CE"/>
    <w:rsid w:val="00CE345A"/>
    <w:rsid w:val="00CE3490"/>
    <w:rsid w:val="00CE349F"/>
    <w:rsid w:val="00CE3533"/>
    <w:rsid w:val="00CE3576"/>
    <w:rsid w:val="00CE358F"/>
    <w:rsid w:val="00CE35AA"/>
    <w:rsid w:val="00CE373A"/>
    <w:rsid w:val="00CE37AA"/>
    <w:rsid w:val="00CE385B"/>
    <w:rsid w:val="00CE3876"/>
    <w:rsid w:val="00CE38F8"/>
    <w:rsid w:val="00CE392F"/>
    <w:rsid w:val="00CE394D"/>
    <w:rsid w:val="00CE39E2"/>
    <w:rsid w:val="00CE3A78"/>
    <w:rsid w:val="00CE3B10"/>
    <w:rsid w:val="00CE3B65"/>
    <w:rsid w:val="00CE3B7C"/>
    <w:rsid w:val="00CE3CB0"/>
    <w:rsid w:val="00CE3D75"/>
    <w:rsid w:val="00CE3DBF"/>
    <w:rsid w:val="00CE3DD1"/>
    <w:rsid w:val="00CE3E1C"/>
    <w:rsid w:val="00CE3E70"/>
    <w:rsid w:val="00CE3EA5"/>
    <w:rsid w:val="00CE3EF6"/>
    <w:rsid w:val="00CE3F40"/>
    <w:rsid w:val="00CE3F54"/>
    <w:rsid w:val="00CE3FCF"/>
    <w:rsid w:val="00CE4049"/>
    <w:rsid w:val="00CE40A1"/>
    <w:rsid w:val="00CE40B0"/>
    <w:rsid w:val="00CE40F9"/>
    <w:rsid w:val="00CE4120"/>
    <w:rsid w:val="00CE413C"/>
    <w:rsid w:val="00CE41F8"/>
    <w:rsid w:val="00CE42F1"/>
    <w:rsid w:val="00CE4446"/>
    <w:rsid w:val="00CE44B1"/>
    <w:rsid w:val="00CE45AF"/>
    <w:rsid w:val="00CE45CE"/>
    <w:rsid w:val="00CE45DD"/>
    <w:rsid w:val="00CE467C"/>
    <w:rsid w:val="00CE46F0"/>
    <w:rsid w:val="00CE4703"/>
    <w:rsid w:val="00CE472E"/>
    <w:rsid w:val="00CE47A3"/>
    <w:rsid w:val="00CE47CB"/>
    <w:rsid w:val="00CE489D"/>
    <w:rsid w:val="00CE4930"/>
    <w:rsid w:val="00CE4938"/>
    <w:rsid w:val="00CE4975"/>
    <w:rsid w:val="00CE4A4A"/>
    <w:rsid w:val="00CE4A4F"/>
    <w:rsid w:val="00CE4A6B"/>
    <w:rsid w:val="00CE4AA5"/>
    <w:rsid w:val="00CE4BEF"/>
    <w:rsid w:val="00CE4BF9"/>
    <w:rsid w:val="00CE4C66"/>
    <w:rsid w:val="00CE4D02"/>
    <w:rsid w:val="00CE4DC2"/>
    <w:rsid w:val="00CE4DC4"/>
    <w:rsid w:val="00CE4DD4"/>
    <w:rsid w:val="00CE4E2C"/>
    <w:rsid w:val="00CE4E81"/>
    <w:rsid w:val="00CE4F2F"/>
    <w:rsid w:val="00CE50CE"/>
    <w:rsid w:val="00CE5110"/>
    <w:rsid w:val="00CE5149"/>
    <w:rsid w:val="00CE5232"/>
    <w:rsid w:val="00CE5259"/>
    <w:rsid w:val="00CE52CD"/>
    <w:rsid w:val="00CE5311"/>
    <w:rsid w:val="00CE531C"/>
    <w:rsid w:val="00CE5355"/>
    <w:rsid w:val="00CE538B"/>
    <w:rsid w:val="00CE53BD"/>
    <w:rsid w:val="00CE5451"/>
    <w:rsid w:val="00CE5557"/>
    <w:rsid w:val="00CE556A"/>
    <w:rsid w:val="00CE559F"/>
    <w:rsid w:val="00CE55CE"/>
    <w:rsid w:val="00CE5670"/>
    <w:rsid w:val="00CE56AF"/>
    <w:rsid w:val="00CE56F0"/>
    <w:rsid w:val="00CE573B"/>
    <w:rsid w:val="00CE5747"/>
    <w:rsid w:val="00CE576E"/>
    <w:rsid w:val="00CE580C"/>
    <w:rsid w:val="00CE5852"/>
    <w:rsid w:val="00CE585C"/>
    <w:rsid w:val="00CE5895"/>
    <w:rsid w:val="00CE5935"/>
    <w:rsid w:val="00CE5957"/>
    <w:rsid w:val="00CE5A14"/>
    <w:rsid w:val="00CE5AB3"/>
    <w:rsid w:val="00CE5AD6"/>
    <w:rsid w:val="00CE5B0C"/>
    <w:rsid w:val="00CE5B70"/>
    <w:rsid w:val="00CE5B8F"/>
    <w:rsid w:val="00CE5BDF"/>
    <w:rsid w:val="00CE5BEC"/>
    <w:rsid w:val="00CE5C39"/>
    <w:rsid w:val="00CE5C7C"/>
    <w:rsid w:val="00CE5CAD"/>
    <w:rsid w:val="00CE5CC6"/>
    <w:rsid w:val="00CE5D0B"/>
    <w:rsid w:val="00CE5D88"/>
    <w:rsid w:val="00CE5E61"/>
    <w:rsid w:val="00CE5E95"/>
    <w:rsid w:val="00CE5F1D"/>
    <w:rsid w:val="00CE5F5A"/>
    <w:rsid w:val="00CE5F76"/>
    <w:rsid w:val="00CE5FC3"/>
    <w:rsid w:val="00CE60AA"/>
    <w:rsid w:val="00CE6102"/>
    <w:rsid w:val="00CE6151"/>
    <w:rsid w:val="00CE6156"/>
    <w:rsid w:val="00CE6158"/>
    <w:rsid w:val="00CE630B"/>
    <w:rsid w:val="00CE6316"/>
    <w:rsid w:val="00CE6334"/>
    <w:rsid w:val="00CE6347"/>
    <w:rsid w:val="00CE639E"/>
    <w:rsid w:val="00CE641F"/>
    <w:rsid w:val="00CE6450"/>
    <w:rsid w:val="00CE648C"/>
    <w:rsid w:val="00CE649D"/>
    <w:rsid w:val="00CE64FB"/>
    <w:rsid w:val="00CE65B5"/>
    <w:rsid w:val="00CE65DF"/>
    <w:rsid w:val="00CE6611"/>
    <w:rsid w:val="00CE6652"/>
    <w:rsid w:val="00CE6740"/>
    <w:rsid w:val="00CE6748"/>
    <w:rsid w:val="00CE6772"/>
    <w:rsid w:val="00CE6803"/>
    <w:rsid w:val="00CE684E"/>
    <w:rsid w:val="00CE6893"/>
    <w:rsid w:val="00CE68A2"/>
    <w:rsid w:val="00CE68C6"/>
    <w:rsid w:val="00CE68DF"/>
    <w:rsid w:val="00CE6963"/>
    <w:rsid w:val="00CE69DD"/>
    <w:rsid w:val="00CE69EE"/>
    <w:rsid w:val="00CE69F5"/>
    <w:rsid w:val="00CE6A9F"/>
    <w:rsid w:val="00CE6AC8"/>
    <w:rsid w:val="00CE6AD7"/>
    <w:rsid w:val="00CE6BAD"/>
    <w:rsid w:val="00CE6BE7"/>
    <w:rsid w:val="00CE6BF2"/>
    <w:rsid w:val="00CE6CE5"/>
    <w:rsid w:val="00CE6CEC"/>
    <w:rsid w:val="00CE6D0C"/>
    <w:rsid w:val="00CE6D38"/>
    <w:rsid w:val="00CE6D57"/>
    <w:rsid w:val="00CE6D7C"/>
    <w:rsid w:val="00CE6E25"/>
    <w:rsid w:val="00CE6E84"/>
    <w:rsid w:val="00CE6E8C"/>
    <w:rsid w:val="00CE6FA5"/>
    <w:rsid w:val="00CE6FD9"/>
    <w:rsid w:val="00CE7071"/>
    <w:rsid w:val="00CE70C3"/>
    <w:rsid w:val="00CE70DF"/>
    <w:rsid w:val="00CE70F1"/>
    <w:rsid w:val="00CE7118"/>
    <w:rsid w:val="00CE7125"/>
    <w:rsid w:val="00CE719E"/>
    <w:rsid w:val="00CE7214"/>
    <w:rsid w:val="00CE72A9"/>
    <w:rsid w:val="00CE72AE"/>
    <w:rsid w:val="00CE72C6"/>
    <w:rsid w:val="00CE72D4"/>
    <w:rsid w:val="00CE72E5"/>
    <w:rsid w:val="00CE7355"/>
    <w:rsid w:val="00CE73A1"/>
    <w:rsid w:val="00CE7422"/>
    <w:rsid w:val="00CE7467"/>
    <w:rsid w:val="00CE7472"/>
    <w:rsid w:val="00CE7487"/>
    <w:rsid w:val="00CE7488"/>
    <w:rsid w:val="00CE752C"/>
    <w:rsid w:val="00CE75CC"/>
    <w:rsid w:val="00CE763F"/>
    <w:rsid w:val="00CE764F"/>
    <w:rsid w:val="00CE7663"/>
    <w:rsid w:val="00CE7666"/>
    <w:rsid w:val="00CE76E7"/>
    <w:rsid w:val="00CE77C1"/>
    <w:rsid w:val="00CE781B"/>
    <w:rsid w:val="00CE7896"/>
    <w:rsid w:val="00CE78A4"/>
    <w:rsid w:val="00CE78EF"/>
    <w:rsid w:val="00CE7938"/>
    <w:rsid w:val="00CE794C"/>
    <w:rsid w:val="00CE7A16"/>
    <w:rsid w:val="00CE7A1D"/>
    <w:rsid w:val="00CE7A45"/>
    <w:rsid w:val="00CE7A9E"/>
    <w:rsid w:val="00CE7AAE"/>
    <w:rsid w:val="00CE7BC1"/>
    <w:rsid w:val="00CE7BC2"/>
    <w:rsid w:val="00CE7BE8"/>
    <w:rsid w:val="00CE7C14"/>
    <w:rsid w:val="00CE7C59"/>
    <w:rsid w:val="00CE7C6A"/>
    <w:rsid w:val="00CE7C7E"/>
    <w:rsid w:val="00CE7C92"/>
    <w:rsid w:val="00CE7C9E"/>
    <w:rsid w:val="00CE7CC3"/>
    <w:rsid w:val="00CE7D44"/>
    <w:rsid w:val="00CE7D5B"/>
    <w:rsid w:val="00CE7E70"/>
    <w:rsid w:val="00CE7F26"/>
    <w:rsid w:val="00CE7F3E"/>
    <w:rsid w:val="00CE7F4B"/>
    <w:rsid w:val="00CE7FCB"/>
    <w:rsid w:val="00CF0021"/>
    <w:rsid w:val="00CF0095"/>
    <w:rsid w:val="00CF00A9"/>
    <w:rsid w:val="00CF0146"/>
    <w:rsid w:val="00CF015A"/>
    <w:rsid w:val="00CF01AD"/>
    <w:rsid w:val="00CF027A"/>
    <w:rsid w:val="00CF0306"/>
    <w:rsid w:val="00CF0386"/>
    <w:rsid w:val="00CF03E9"/>
    <w:rsid w:val="00CF040C"/>
    <w:rsid w:val="00CF0492"/>
    <w:rsid w:val="00CF051C"/>
    <w:rsid w:val="00CF053B"/>
    <w:rsid w:val="00CF057A"/>
    <w:rsid w:val="00CF0594"/>
    <w:rsid w:val="00CF05C4"/>
    <w:rsid w:val="00CF05FA"/>
    <w:rsid w:val="00CF060D"/>
    <w:rsid w:val="00CF0710"/>
    <w:rsid w:val="00CF0737"/>
    <w:rsid w:val="00CF0769"/>
    <w:rsid w:val="00CF076F"/>
    <w:rsid w:val="00CF0771"/>
    <w:rsid w:val="00CF07F1"/>
    <w:rsid w:val="00CF0860"/>
    <w:rsid w:val="00CF08ED"/>
    <w:rsid w:val="00CF093A"/>
    <w:rsid w:val="00CF098E"/>
    <w:rsid w:val="00CF0A50"/>
    <w:rsid w:val="00CF0A88"/>
    <w:rsid w:val="00CF0A8F"/>
    <w:rsid w:val="00CF0C1D"/>
    <w:rsid w:val="00CF0C7A"/>
    <w:rsid w:val="00CF0C88"/>
    <w:rsid w:val="00CF0CB2"/>
    <w:rsid w:val="00CF0CDF"/>
    <w:rsid w:val="00CF0DBF"/>
    <w:rsid w:val="00CF0E1B"/>
    <w:rsid w:val="00CF0E1F"/>
    <w:rsid w:val="00CF0F4C"/>
    <w:rsid w:val="00CF0F56"/>
    <w:rsid w:val="00CF101C"/>
    <w:rsid w:val="00CF101D"/>
    <w:rsid w:val="00CF11DC"/>
    <w:rsid w:val="00CF1235"/>
    <w:rsid w:val="00CF1248"/>
    <w:rsid w:val="00CF12D6"/>
    <w:rsid w:val="00CF13AC"/>
    <w:rsid w:val="00CF13C2"/>
    <w:rsid w:val="00CF1496"/>
    <w:rsid w:val="00CF14B2"/>
    <w:rsid w:val="00CF14E1"/>
    <w:rsid w:val="00CF158F"/>
    <w:rsid w:val="00CF15B8"/>
    <w:rsid w:val="00CF15CB"/>
    <w:rsid w:val="00CF1645"/>
    <w:rsid w:val="00CF16B1"/>
    <w:rsid w:val="00CF16B2"/>
    <w:rsid w:val="00CF16B7"/>
    <w:rsid w:val="00CF16FE"/>
    <w:rsid w:val="00CF17EA"/>
    <w:rsid w:val="00CF180E"/>
    <w:rsid w:val="00CF1846"/>
    <w:rsid w:val="00CF1884"/>
    <w:rsid w:val="00CF18B2"/>
    <w:rsid w:val="00CF18C3"/>
    <w:rsid w:val="00CF18EA"/>
    <w:rsid w:val="00CF1913"/>
    <w:rsid w:val="00CF1936"/>
    <w:rsid w:val="00CF19C1"/>
    <w:rsid w:val="00CF1A1C"/>
    <w:rsid w:val="00CF1A22"/>
    <w:rsid w:val="00CF1A7B"/>
    <w:rsid w:val="00CF1A89"/>
    <w:rsid w:val="00CF1AC4"/>
    <w:rsid w:val="00CF1B24"/>
    <w:rsid w:val="00CF1C41"/>
    <w:rsid w:val="00CF1C5E"/>
    <w:rsid w:val="00CF1CB5"/>
    <w:rsid w:val="00CF1CD0"/>
    <w:rsid w:val="00CF1CDF"/>
    <w:rsid w:val="00CF1D90"/>
    <w:rsid w:val="00CF1E66"/>
    <w:rsid w:val="00CF1E6F"/>
    <w:rsid w:val="00CF1E92"/>
    <w:rsid w:val="00CF1EE3"/>
    <w:rsid w:val="00CF1FE1"/>
    <w:rsid w:val="00CF206C"/>
    <w:rsid w:val="00CF2090"/>
    <w:rsid w:val="00CF20AF"/>
    <w:rsid w:val="00CF211D"/>
    <w:rsid w:val="00CF2178"/>
    <w:rsid w:val="00CF2180"/>
    <w:rsid w:val="00CF2206"/>
    <w:rsid w:val="00CF2248"/>
    <w:rsid w:val="00CF2297"/>
    <w:rsid w:val="00CF2334"/>
    <w:rsid w:val="00CF2368"/>
    <w:rsid w:val="00CF23BD"/>
    <w:rsid w:val="00CF23C0"/>
    <w:rsid w:val="00CF2413"/>
    <w:rsid w:val="00CF2436"/>
    <w:rsid w:val="00CF2485"/>
    <w:rsid w:val="00CF24D1"/>
    <w:rsid w:val="00CF251C"/>
    <w:rsid w:val="00CF252C"/>
    <w:rsid w:val="00CF25CD"/>
    <w:rsid w:val="00CF25E1"/>
    <w:rsid w:val="00CF262D"/>
    <w:rsid w:val="00CF2648"/>
    <w:rsid w:val="00CF2649"/>
    <w:rsid w:val="00CF26DE"/>
    <w:rsid w:val="00CF26E9"/>
    <w:rsid w:val="00CF272F"/>
    <w:rsid w:val="00CF2733"/>
    <w:rsid w:val="00CF275E"/>
    <w:rsid w:val="00CF2798"/>
    <w:rsid w:val="00CF281A"/>
    <w:rsid w:val="00CF288C"/>
    <w:rsid w:val="00CF2893"/>
    <w:rsid w:val="00CF28A8"/>
    <w:rsid w:val="00CF28B4"/>
    <w:rsid w:val="00CF28F7"/>
    <w:rsid w:val="00CF2907"/>
    <w:rsid w:val="00CF2973"/>
    <w:rsid w:val="00CF2A12"/>
    <w:rsid w:val="00CF2A7F"/>
    <w:rsid w:val="00CF2ABE"/>
    <w:rsid w:val="00CF2AC1"/>
    <w:rsid w:val="00CF2AC3"/>
    <w:rsid w:val="00CF2B3A"/>
    <w:rsid w:val="00CF2B78"/>
    <w:rsid w:val="00CF2C07"/>
    <w:rsid w:val="00CF2C20"/>
    <w:rsid w:val="00CF2C9D"/>
    <w:rsid w:val="00CF2CA8"/>
    <w:rsid w:val="00CF2CC7"/>
    <w:rsid w:val="00CF2D42"/>
    <w:rsid w:val="00CF2D68"/>
    <w:rsid w:val="00CF2E0B"/>
    <w:rsid w:val="00CF2E2A"/>
    <w:rsid w:val="00CF2E98"/>
    <w:rsid w:val="00CF2E9D"/>
    <w:rsid w:val="00CF2F37"/>
    <w:rsid w:val="00CF2F75"/>
    <w:rsid w:val="00CF303D"/>
    <w:rsid w:val="00CF3067"/>
    <w:rsid w:val="00CF30C4"/>
    <w:rsid w:val="00CF3103"/>
    <w:rsid w:val="00CF3141"/>
    <w:rsid w:val="00CF3155"/>
    <w:rsid w:val="00CF3204"/>
    <w:rsid w:val="00CF3208"/>
    <w:rsid w:val="00CF3281"/>
    <w:rsid w:val="00CF3289"/>
    <w:rsid w:val="00CF32F8"/>
    <w:rsid w:val="00CF3379"/>
    <w:rsid w:val="00CF33C2"/>
    <w:rsid w:val="00CF33CB"/>
    <w:rsid w:val="00CF340F"/>
    <w:rsid w:val="00CF3426"/>
    <w:rsid w:val="00CF352A"/>
    <w:rsid w:val="00CF3536"/>
    <w:rsid w:val="00CF3650"/>
    <w:rsid w:val="00CF3683"/>
    <w:rsid w:val="00CF3729"/>
    <w:rsid w:val="00CF3757"/>
    <w:rsid w:val="00CF381F"/>
    <w:rsid w:val="00CF3820"/>
    <w:rsid w:val="00CF382C"/>
    <w:rsid w:val="00CF384D"/>
    <w:rsid w:val="00CF3867"/>
    <w:rsid w:val="00CF388E"/>
    <w:rsid w:val="00CF39D3"/>
    <w:rsid w:val="00CF39E6"/>
    <w:rsid w:val="00CF3A00"/>
    <w:rsid w:val="00CF3A04"/>
    <w:rsid w:val="00CF3A3A"/>
    <w:rsid w:val="00CF3A6C"/>
    <w:rsid w:val="00CF3A82"/>
    <w:rsid w:val="00CF3A84"/>
    <w:rsid w:val="00CF3AAF"/>
    <w:rsid w:val="00CF3AFF"/>
    <w:rsid w:val="00CF3B96"/>
    <w:rsid w:val="00CF3C1A"/>
    <w:rsid w:val="00CF3C33"/>
    <w:rsid w:val="00CF3C4F"/>
    <w:rsid w:val="00CF3C67"/>
    <w:rsid w:val="00CF3C7B"/>
    <w:rsid w:val="00CF3C80"/>
    <w:rsid w:val="00CF3D3B"/>
    <w:rsid w:val="00CF3ED9"/>
    <w:rsid w:val="00CF3F06"/>
    <w:rsid w:val="00CF3F54"/>
    <w:rsid w:val="00CF3FBA"/>
    <w:rsid w:val="00CF4034"/>
    <w:rsid w:val="00CF4040"/>
    <w:rsid w:val="00CF411A"/>
    <w:rsid w:val="00CF4152"/>
    <w:rsid w:val="00CF421F"/>
    <w:rsid w:val="00CF422D"/>
    <w:rsid w:val="00CF427B"/>
    <w:rsid w:val="00CF429A"/>
    <w:rsid w:val="00CF42C8"/>
    <w:rsid w:val="00CF4312"/>
    <w:rsid w:val="00CF432D"/>
    <w:rsid w:val="00CF437F"/>
    <w:rsid w:val="00CF438F"/>
    <w:rsid w:val="00CF4514"/>
    <w:rsid w:val="00CF4575"/>
    <w:rsid w:val="00CF4593"/>
    <w:rsid w:val="00CF4597"/>
    <w:rsid w:val="00CF45AA"/>
    <w:rsid w:val="00CF45BC"/>
    <w:rsid w:val="00CF461B"/>
    <w:rsid w:val="00CF462D"/>
    <w:rsid w:val="00CF46B2"/>
    <w:rsid w:val="00CF4700"/>
    <w:rsid w:val="00CF4771"/>
    <w:rsid w:val="00CF47BF"/>
    <w:rsid w:val="00CF481D"/>
    <w:rsid w:val="00CF49A1"/>
    <w:rsid w:val="00CF49C1"/>
    <w:rsid w:val="00CF4A6A"/>
    <w:rsid w:val="00CF4A95"/>
    <w:rsid w:val="00CF4AC6"/>
    <w:rsid w:val="00CF4AFC"/>
    <w:rsid w:val="00CF4B20"/>
    <w:rsid w:val="00CF4B74"/>
    <w:rsid w:val="00CF4BE6"/>
    <w:rsid w:val="00CF4BEA"/>
    <w:rsid w:val="00CF4BF0"/>
    <w:rsid w:val="00CF4D34"/>
    <w:rsid w:val="00CF4DB2"/>
    <w:rsid w:val="00CF4EC7"/>
    <w:rsid w:val="00CF4F16"/>
    <w:rsid w:val="00CF4F97"/>
    <w:rsid w:val="00CF4FD5"/>
    <w:rsid w:val="00CF5081"/>
    <w:rsid w:val="00CF5090"/>
    <w:rsid w:val="00CF5103"/>
    <w:rsid w:val="00CF516F"/>
    <w:rsid w:val="00CF517F"/>
    <w:rsid w:val="00CF5182"/>
    <w:rsid w:val="00CF51B4"/>
    <w:rsid w:val="00CF51C0"/>
    <w:rsid w:val="00CF51D3"/>
    <w:rsid w:val="00CF51E7"/>
    <w:rsid w:val="00CF521E"/>
    <w:rsid w:val="00CF52B5"/>
    <w:rsid w:val="00CF5333"/>
    <w:rsid w:val="00CF5348"/>
    <w:rsid w:val="00CF536E"/>
    <w:rsid w:val="00CF537F"/>
    <w:rsid w:val="00CF53B2"/>
    <w:rsid w:val="00CF5402"/>
    <w:rsid w:val="00CF546A"/>
    <w:rsid w:val="00CF5663"/>
    <w:rsid w:val="00CF5696"/>
    <w:rsid w:val="00CF56F1"/>
    <w:rsid w:val="00CF578F"/>
    <w:rsid w:val="00CF57E4"/>
    <w:rsid w:val="00CF580D"/>
    <w:rsid w:val="00CF583F"/>
    <w:rsid w:val="00CF58AE"/>
    <w:rsid w:val="00CF5908"/>
    <w:rsid w:val="00CF5946"/>
    <w:rsid w:val="00CF597C"/>
    <w:rsid w:val="00CF59BA"/>
    <w:rsid w:val="00CF5A09"/>
    <w:rsid w:val="00CF5A5D"/>
    <w:rsid w:val="00CF5B14"/>
    <w:rsid w:val="00CF5B2D"/>
    <w:rsid w:val="00CF5B3E"/>
    <w:rsid w:val="00CF5B86"/>
    <w:rsid w:val="00CF5B87"/>
    <w:rsid w:val="00CF5CA4"/>
    <w:rsid w:val="00CF5CD6"/>
    <w:rsid w:val="00CF5D40"/>
    <w:rsid w:val="00CF5D53"/>
    <w:rsid w:val="00CF5D54"/>
    <w:rsid w:val="00CF5D89"/>
    <w:rsid w:val="00CF5DC7"/>
    <w:rsid w:val="00CF5DFC"/>
    <w:rsid w:val="00CF5E12"/>
    <w:rsid w:val="00CF5E25"/>
    <w:rsid w:val="00CF5E35"/>
    <w:rsid w:val="00CF5E53"/>
    <w:rsid w:val="00CF5E5B"/>
    <w:rsid w:val="00CF5E76"/>
    <w:rsid w:val="00CF5EFA"/>
    <w:rsid w:val="00CF5F98"/>
    <w:rsid w:val="00CF5FC2"/>
    <w:rsid w:val="00CF5FF8"/>
    <w:rsid w:val="00CF612B"/>
    <w:rsid w:val="00CF614C"/>
    <w:rsid w:val="00CF61BE"/>
    <w:rsid w:val="00CF625F"/>
    <w:rsid w:val="00CF6269"/>
    <w:rsid w:val="00CF62E5"/>
    <w:rsid w:val="00CF62EB"/>
    <w:rsid w:val="00CF6354"/>
    <w:rsid w:val="00CF6381"/>
    <w:rsid w:val="00CF63AD"/>
    <w:rsid w:val="00CF63E2"/>
    <w:rsid w:val="00CF6418"/>
    <w:rsid w:val="00CF6487"/>
    <w:rsid w:val="00CF649F"/>
    <w:rsid w:val="00CF6575"/>
    <w:rsid w:val="00CF657B"/>
    <w:rsid w:val="00CF6584"/>
    <w:rsid w:val="00CF65DE"/>
    <w:rsid w:val="00CF65EA"/>
    <w:rsid w:val="00CF6645"/>
    <w:rsid w:val="00CF66AD"/>
    <w:rsid w:val="00CF66D7"/>
    <w:rsid w:val="00CF6783"/>
    <w:rsid w:val="00CF67A3"/>
    <w:rsid w:val="00CF67D1"/>
    <w:rsid w:val="00CF67F0"/>
    <w:rsid w:val="00CF6830"/>
    <w:rsid w:val="00CF688A"/>
    <w:rsid w:val="00CF68C2"/>
    <w:rsid w:val="00CF68FA"/>
    <w:rsid w:val="00CF69AF"/>
    <w:rsid w:val="00CF6AAF"/>
    <w:rsid w:val="00CF6AE5"/>
    <w:rsid w:val="00CF6B3C"/>
    <w:rsid w:val="00CF6B47"/>
    <w:rsid w:val="00CF6BBB"/>
    <w:rsid w:val="00CF6C0E"/>
    <w:rsid w:val="00CF6C62"/>
    <w:rsid w:val="00CF6C90"/>
    <w:rsid w:val="00CF6C95"/>
    <w:rsid w:val="00CF6CBB"/>
    <w:rsid w:val="00CF6CC8"/>
    <w:rsid w:val="00CF6CD4"/>
    <w:rsid w:val="00CF6D1B"/>
    <w:rsid w:val="00CF6DB2"/>
    <w:rsid w:val="00CF6E34"/>
    <w:rsid w:val="00CF6EDF"/>
    <w:rsid w:val="00CF6F0F"/>
    <w:rsid w:val="00CF6F70"/>
    <w:rsid w:val="00CF6FFE"/>
    <w:rsid w:val="00CF702B"/>
    <w:rsid w:val="00CF7090"/>
    <w:rsid w:val="00CF70DD"/>
    <w:rsid w:val="00CF719D"/>
    <w:rsid w:val="00CF71B2"/>
    <w:rsid w:val="00CF71BE"/>
    <w:rsid w:val="00CF7357"/>
    <w:rsid w:val="00CF738D"/>
    <w:rsid w:val="00CF73B8"/>
    <w:rsid w:val="00CF73F3"/>
    <w:rsid w:val="00CF7427"/>
    <w:rsid w:val="00CF74A8"/>
    <w:rsid w:val="00CF74EC"/>
    <w:rsid w:val="00CF7515"/>
    <w:rsid w:val="00CF7527"/>
    <w:rsid w:val="00CF75BF"/>
    <w:rsid w:val="00CF75DB"/>
    <w:rsid w:val="00CF7611"/>
    <w:rsid w:val="00CF7633"/>
    <w:rsid w:val="00CF76C3"/>
    <w:rsid w:val="00CF774A"/>
    <w:rsid w:val="00CF776C"/>
    <w:rsid w:val="00CF77A5"/>
    <w:rsid w:val="00CF77AF"/>
    <w:rsid w:val="00CF7809"/>
    <w:rsid w:val="00CF78C2"/>
    <w:rsid w:val="00CF78F7"/>
    <w:rsid w:val="00CF7903"/>
    <w:rsid w:val="00CF793C"/>
    <w:rsid w:val="00CF7957"/>
    <w:rsid w:val="00CF79D6"/>
    <w:rsid w:val="00CF7B65"/>
    <w:rsid w:val="00CF7C8F"/>
    <w:rsid w:val="00CF7CD6"/>
    <w:rsid w:val="00CF7D5D"/>
    <w:rsid w:val="00CF7E68"/>
    <w:rsid w:val="00CF7ECB"/>
    <w:rsid w:val="00CF7F05"/>
    <w:rsid w:val="00CF7F16"/>
    <w:rsid w:val="00CF7F1F"/>
    <w:rsid w:val="00CF7F76"/>
    <w:rsid w:val="00D000DA"/>
    <w:rsid w:val="00D000DB"/>
    <w:rsid w:val="00D000FA"/>
    <w:rsid w:val="00D00104"/>
    <w:rsid w:val="00D00174"/>
    <w:rsid w:val="00D001AD"/>
    <w:rsid w:val="00D00225"/>
    <w:rsid w:val="00D00251"/>
    <w:rsid w:val="00D002C4"/>
    <w:rsid w:val="00D002E8"/>
    <w:rsid w:val="00D003B4"/>
    <w:rsid w:val="00D00403"/>
    <w:rsid w:val="00D0042D"/>
    <w:rsid w:val="00D0043B"/>
    <w:rsid w:val="00D0044A"/>
    <w:rsid w:val="00D004D6"/>
    <w:rsid w:val="00D00520"/>
    <w:rsid w:val="00D0055D"/>
    <w:rsid w:val="00D0061F"/>
    <w:rsid w:val="00D0066E"/>
    <w:rsid w:val="00D00769"/>
    <w:rsid w:val="00D0086B"/>
    <w:rsid w:val="00D0087C"/>
    <w:rsid w:val="00D008D7"/>
    <w:rsid w:val="00D00967"/>
    <w:rsid w:val="00D009C4"/>
    <w:rsid w:val="00D00A15"/>
    <w:rsid w:val="00D00A5F"/>
    <w:rsid w:val="00D00AFA"/>
    <w:rsid w:val="00D00B04"/>
    <w:rsid w:val="00D00B6D"/>
    <w:rsid w:val="00D00C17"/>
    <w:rsid w:val="00D00D3D"/>
    <w:rsid w:val="00D00D8A"/>
    <w:rsid w:val="00D00EAC"/>
    <w:rsid w:val="00D00F99"/>
    <w:rsid w:val="00D00FC8"/>
    <w:rsid w:val="00D01016"/>
    <w:rsid w:val="00D0109E"/>
    <w:rsid w:val="00D010C3"/>
    <w:rsid w:val="00D010F0"/>
    <w:rsid w:val="00D0120F"/>
    <w:rsid w:val="00D0122F"/>
    <w:rsid w:val="00D01241"/>
    <w:rsid w:val="00D01255"/>
    <w:rsid w:val="00D01273"/>
    <w:rsid w:val="00D01299"/>
    <w:rsid w:val="00D012AC"/>
    <w:rsid w:val="00D01342"/>
    <w:rsid w:val="00D0139E"/>
    <w:rsid w:val="00D013DB"/>
    <w:rsid w:val="00D01447"/>
    <w:rsid w:val="00D0146A"/>
    <w:rsid w:val="00D014C9"/>
    <w:rsid w:val="00D0155D"/>
    <w:rsid w:val="00D015F5"/>
    <w:rsid w:val="00D016D1"/>
    <w:rsid w:val="00D01748"/>
    <w:rsid w:val="00D0177B"/>
    <w:rsid w:val="00D017EE"/>
    <w:rsid w:val="00D0188D"/>
    <w:rsid w:val="00D018A9"/>
    <w:rsid w:val="00D01A12"/>
    <w:rsid w:val="00D01A34"/>
    <w:rsid w:val="00D01A9E"/>
    <w:rsid w:val="00D01AAB"/>
    <w:rsid w:val="00D01AE2"/>
    <w:rsid w:val="00D01C2B"/>
    <w:rsid w:val="00D01C53"/>
    <w:rsid w:val="00D01C8E"/>
    <w:rsid w:val="00D01CA4"/>
    <w:rsid w:val="00D01D18"/>
    <w:rsid w:val="00D01D4A"/>
    <w:rsid w:val="00D01D4B"/>
    <w:rsid w:val="00D01DD8"/>
    <w:rsid w:val="00D01E1B"/>
    <w:rsid w:val="00D01E86"/>
    <w:rsid w:val="00D01EBE"/>
    <w:rsid w:val="00D01F2A"/>
    <w:rsid w:val="00D01F92"/>
    <w:rsid w:val="00D01F9B"/>
    <w:rsid w:val="00D01FD3"/>
    <w:rsid w:val="00D02074"/>
    <w:rsid w:val="00D02087"/>
    <w:rsid w:val="00D0209E"/>
    <w:rsid w:val="00D020E0"/>
    <w:rsid w:val="00D02104"/>
    <w:rsid w:val="00D0210E"/>
    <w:rsid w:val="00D0220C"/>
    <w:rsid w:val="00D0221C"/>
    <w:rsid w:val="00D0225A"/>
    <w:rsid w:val="00D02363"/>
    <w:rsid w:val="00D023AD"/>
    <w:rsid w:val="00D02487"/>
    <w:rsid w:val="00D02525"/>
    <w:rsid w:val="00D02579"/>
    <w:rsid w:val="00D025F8"/>
    <w:rsid w:val="00D025FE"/>
    <w:rsid w:val="00D02644"/>
    <w:rsid w:val="00D02661"/>
    <w:rsid w:val="00D02670"/>
    <w:rsid w:val="00D0270B"/>
    <w:rsid w:val="00D02827"/>
    <w:rsid w:val="00D028C0"/>
    <w:rsid w:val="00D02907"/>
    <w:rsid w:val="00D02912"/>
    <w:rsid w:val="00D0292B"/>
    <w:rsid w:val="00D02930"/>
    <w:rsid w:val="00D02945"/>
    <w:rsid w:val="00D0294B"/>
    <w:rsid w:val="00D02967"/>
    <w:rsid w:val="00D02B32"/>
    <w:rsid w:val="00D02CC2"/>
    <w:rsid w:val="00D02CE7"/>
    <w:rsid w:val="00D02D10"/>
    <w:rsid w:val="00D02D1F"/>
    <w:rsid w:val="00D02D5D"/>
    <w:rsid w:val="00D02D80"/>
    <w:rsid w:val="00D02DA5"/>
    <w:rsid w:val="00D02DD1"/>
    <w:rsid w:val="00D02E16"/>
    <w:rsid w:val="00D02E51"/>
    <w:rsid w:val="00D02E70"/>
    <w:rsid w:val="00D02E95"/>
    <w:rsid w:val="00D02EA4"/>
    <w:rsid w:val="00D02EF1"/>
    <w:rsid w:val="00D02F1A"/>
    <w:rsid w:val="00D02F5D"/>
    <w:rsid w:val="00D02FA9"/>
    <w:rsid w:val="00D02FD5"/>
    <w:rsid w:val="00D03001"/>
    <w:rsid w:val="00D03012"/>
    <w:rsid w:val="00D0302C"/>
    <w:rsid w:val="00D030CE"/>
    <w:rsid w:val="00D030DA"/>
    <w:rsid w:val="00D031F1"/>
    <w:rsid w:val="00D031F2"/>
    <w:rsid w:val="00D0324E"/>
    <w:rsid w:val="00D0329A"/>
    <w:rsid w:val="00D0329D"/>
    <w:rsid w:val="00D032AC"/>
    <w:rsid w:val="00D032EF"/>
    <w:rsid w:val="00D0333E"/>
    <w:rsid w:val="00D033AD"/>
    <w:rsid w:val="00D033C6"/>
    <w:rsid w:val="00D03421"/>
    <w:rsid w:val="00D0345E"/>
    <w:rsid w:val="00D034BA"/>
    <w:rsid w:val="00D0350B"/>
    <w:rsid w:val="00D03598"/>
    <w:rsid w:val="00D037AA"/>
    <w:rsid w:val="00D0380A"/>
    <w:rsid w:val="00D03820"/>
    <w:rsid w:val="00D0386B"/>
    <w:rsid w:val="00D03879"/>
    <w:rsid w:val="00D038A5"/>
    <w:rsid w:val="00D03937"/>
    <w:rsid w:val="00D03959"/>
    <w:rsid w:val="00D0397A"/>
    <w:rsid w:val="00D039B6"/>
    <w:rsid w:val="00D03A19"/>
    <w:rsid w:val="00D03A60"/>
    <w:rsid w:val="00D03A61"/>
    <w:rsid w:val="00D03A84"/>
    <w:rsid w:val="00D03AA5"/>
    <w:rsid w:val="00D03B08"/>
    <w:rsid w:val="00D03B32"/>
    <w:rsid w:val="00D03B43"/>
    <w:rsid w:val="00D03B45"/>
    <w:rsid w:val="00D03C3B"/>
    <w:rsid w:val="00D03CCE"/>
    <w:rsid w:val="00D03CF5"/>
    <w:rsid w:val="00D03D87"/>
    <w:rsid w:val="00D03E0E"/>
    <w:rsid w:val="00D03E2F"/>
    <w:rsid w:val="00D03F05"/>
    <w:rsid w:val="00D03F3F"/>
    <w:rsid w:val="00D03F79"/>
    <w:rsid w:val="00D03FEA"/>
    <w:rsid w:val="00D0400A"/>
    <w:rsid w:val="00D04029"/>
    <w:rsid w:val="00D04045"/>
    <w:rsid w:val="00D0407B"/>
    <w:rsid w:val="00D040EF"/>
    <w:rsid w:val="00D0411D"/>
    <w:rsid w:val="00D04191"/>
    <w:rsid w:val="00D041A9"/>
    <w:rsid w:val="00D041B9"/>
    <w:rsid w:val="00D041D2"/>
    <w:rsid w:val="00D04209"/>
    <w:rsid w:val="00D04224"/>
    <w:rsid w:val="00D04226"/>
    <w:rsid w:val="00D042D4"/>
    <w:rsid w:val="00D0434C"/>
    <w:rsid w:val="00D0439E"/>
    <w:rsid w:val="00D04460"/>
    <w:rsid w:val="00D04466"/>
    <w:rsid w:val="00D04477"/>
    <w:rsid w:val="00D044CB"/>
    <w:rsid w:val="00D045C2"/>
    <w:rsid w:val="00D045E0"/>
    <w:rsid w:val="00D045E4"/>
    <w:rsid w:val="00D045FD"/>
    <w:rsid w:val="00D0463F"/>
    <w:rsid w:val="00D04655"/>
    <w:rsid w:val="00D0467A"/>
    <w:rsid w:val="00D0468E"/>
    <w:rsid w:val="00D0477C"/>
    <w:rsid w:val="00D047C1"/>
    <w:rsid w:val="00D0482B"/>
    <w:rsid w:val="00D04839"/>
    <w:rsid w:val="00D04854"/>
    <w:rsid w:val="00D04873"/>
    <w:rsid w:val="00D048C2"/>
    <w:rsid w:val="00D048EA"/>
    <w:rsid w:val="00D049E2"/>
    <w:rsid w:val="00D049F9"/>
    <w:rsid w:val="00D04A0A"/>
    <w:rsid w:val="00D04A8B"/>
    <w:rsid w:val="00D04B14"/>
    <w:rsid w:val="00D04B80"/>
    <w:rsid w:val="00D04C32"/>
    <w:rsid w:val="00D04C84"/>
    <w:rsid w:val="00D04C91"/>
    <w:rsid w:val="00D04DCC"/>
    <w:rsid w:val="00D04E38"/>
    <w:rsid w:val="00D04EA6"/>
    <w:rsid w:val="00D04EAD"/>
    <w:rsid w:val="00D04EE9"/>
    <w:rsid w:val="00D04F29"/>
    <w:rsid w:val="00D04F34"/>
    <w:rsid w:val="00D04F6C"/>
    <w:rsid w:val="00D04F6F"/>
    <w:rsid w:val="00D04FF3"/>
    <w:rsid w:val="00D050A7"/>
    <w:rsid w:val="00D050D9"/>
    <w:rsid w:val="00D05130"/>
    <w:rsid w:val="00D052A7"/>
    <w:rsid w:val="00D0534F"/>
    <w:rsid w:val="00D05371"/>
    <w:rsid w:val="00D053AD"/>
    <w:rsid w:val="00D053C8"/>
    <w:rsid w:val="00D0543B"/>
    <w:rsid w:val="00D05443"/>
    <w:rsid w:val="00D05491"/>
    <w:rsid w:val="00D054E7"/>
    <w:rsid w:val="00D05535"/>
    <w:rsid w:val="00D0557A"/>
    <w:rsid w:val="00D055D0"/>
    <w:rsid w:val="00D055E1"/>
    <w:rsid w:val="00D055F6"/>
    <w:rsid w:val="00D05601"/>
    <w:rsid w:val="00D0569D"/>
    <w:rsid w:val="00D05853"/>
    <w:rsid w:val="00D05856"/>
    <w:rsid w:val="00D05868"/>
    <w:rsid w:val="00D058BD"/>
    <w:rsid w:val="00D0590D"/>
    <w:rsid w:val="00D0591F"/>
    <w:rsid w:val="00D05972"/>
    <w:rsid w:val="00D05981"/>
    <w:rsid w:val="00D059DD"/>
    <w:rsid w:val="00D059F4"/>
    <w:rsid w:val="00D059FC"/>
    <w:rsid w:val="00D05A0F"/>
    <w:rsid w:val="00D05A46"/>
    <w:rsid w:val="00D05B72"/>
    <w:rsid w:val="00D05B9E"/>
    <w:rsid w:val="00D05BD6"/>
    <w:rsid w:val="00D05C79"/>
    <w:rsid w:val="00D05D74"/>
    <w:rsid w:val="00D05E2B"/>
    <w:rsid w:val="00D05E4B"/>
    <w:rsid w:val="00D05EB9"/>
    <w:rsid w:val="00D05EBC"/>
    <w:rsid w:val="00D05F3A"/>
    <w:rsid w:val="00D05F46"/>
    <w:rsid w:val="00D05F64"/>
    <w:rsid w:val="00D05FEE"/>
    <w:rsid w:val="00D06045"/>
    <w:rsid w:val="00D061BC"/>
    <w:rsid w:val="00D061CB"/>
    <w:rsid w:val="00D061F0"/>
    <w:rsid w:val="00D061F3"/>
    <w:rsid w:val="00D061F8"/>
    <w:rsid w:val="00D06235"/>
    <w:rsid w:val="00D0627E"/>
    <w:rsid w:val="00D06295"/>
    <w:rsid w:val="00D06323"/>
    <w:rsid w:val="00D0632C"/>
    <w:rsid w:val="00D0635F"/>
    <w:rsid w:val="00D06376"/>
    <w:rsid w:val="00D0645D"/>
    <w:rsid w:val="00D064E7"/>
    <w:rsid w:val="00D064FD"/>
    <w:rsid w:val="00D06515"/>
    <w:rsid w:val="00D06539"/>
    <w:rsid w:val="00D065C3"/>
    <w:rsid w:val="00D065DD"/>
    <w:rsid w:val="00D065E1"/>
    <w:rsid w:val="00D06603"/>
    <w:rsid w:val="00D06646"/>
    <w:rsid w:val="00D06653"/>
    <w:rsid w:val="00D066A4"/>
    <w:rsid w:val="00D066B8"/>
    <w:rsid w:val="00D06733"/>
    <w:rsid w:val="00D0674D"/>
    <w:rsid w:val="00D067F9"/>
    <w:rsid w:val="00D068E8"/>
    <w:rsid w:val="00D068F3"/>
    <w:rsid w:val="00D068FB"/>
    <w:rsid w:val="00D06925"/>
    <w:rsid w:val="00D06975"/>
    <w:rsid w:val="00D06B48"/>
    <w:rsid w:val="00D06BA2"/>
    <w:rsid w:val="00D06BBC"/>
    <w:rsid w:val="00D06C96"/>
    <w:rsid w:val="00D06CEE"/>
    <w:rsid w:val="00D06CEF"/>
    <w:rsid w:val="00D06D35"/>
    <w:rsid w:val="00D06D42"/>
    <w:rsid w:val="00D06DA5"/>
    <w:rsid w:val="00D06DB3"/>
    <w:rsid w:val="00D06E38"/>
    <w:rsid w:val="00D06EAD"/>
    <w:rsid w:val="00D06FFD"/>
    <w:rsid w:val="00D07026"/>
    <w:rsid w:val="00D070B5"/>
    <w:rsid w:val="00D07143"/>
    <w:rsid w:val="00D071CC"/>
    <w:rsid w:val="00D07210"/>
    <w:rsid w:val="00D07229"/>
    <w:rsid w:val="00D072CA"/>
    <w:rsid w:val="00D072CC"/>
    <w:rsid w:val="00D07391"/>
    <w:rsid w:val="00D073D1"/>
    <w:rsid w:val="00D073E8"/>
    <w:rsid w:val="00D07455"/>
    <w:rsid w:val="00D074D2"/>
    <w:rsid w:val="00D074DE"/>
    <w:rsid w:val="00D074EA"/>
    <w:rsid w:val="00D07511"/>
    <w:rsid w:val="00D0752A"/>
    <w:rsid w:val="00D07578"/>
    <w:rsid w:val="00D07606"/>
    <w:rsid w:val="00D0761B"/>
    <w:rsid w:val="00D07649"/>
    <w:rsid w:val="00D07671"/>
    <w:rsid w:val="00D076D1"/>
    <w:rsid w:val="00D076F3"/>
    <w:rsid w:val="00D0772A"/>
    <w:rsid w:val="00D07776"/>
    <w:rsid w:val="00D07788"/>
    <w:rsid w:val="00D077B0"/>
    <w:rsid w:val="00D077F7"/>
    <w:rsid w:val="00D0790F"/>
    <w:rsid w:val="00D0793A"/>
    <w:rsid w:val="00D07968"/>
    <w:rsid w:val="00D0797A"/>
    <w:rsid w:val="00D079A3"/>
    <w:rsid w:val="00D079DB"/>
    <w:rsid w:val="00D07A0A"/>
    <w:rsid w:val="00D07A2A"/>
    <w:rsid w:val="00D07A6A"/>
    <w:rsid w:val="00D07ABE"/>
    <w:rsid w:val="00D07B56"/>
    <w:rsid w:val="00D07B75"/>
    <w:rsid w:val="00D07B7F"/>
    <w:rsid w:val="00D07BA0"/>
    <w:rsid w:val="00D07BF6"/>
    <w:rsid w:val="00D07C1E"/>
    <w:rsid w:val="00D07D49"/>
    <w:rsid w:val="00D07E67"/>
    <w:rsid w:val="00D07E84"/>
    <w:rsid w:val="00D07F09"/>
    <w:rsid w:val="00D07F25"/>
    <w:rsid w:val="00D1013B"/>
    <w:rsid w:val="00D101B1"/>
    <w:rsid w:val="00D10244"/>
    <w:rsid w:val="00D10253"/>
    <w:rsid w:val="00D102E1"/>
    <w:rsid w:val="00D102FA"/>
    <w:rsid w:val="00D10321"/>
    <w:rsid w:val="00D103CD"/>
    <w:rsid w:val="00D10430"/>
    <w:rsid w:val="00D104B1"/>
    <w:rsid w:val="00D106EC"/>
    <w:rsid w:val="00D107C5"/>
    <w:rsid w:val="00D107CD"/>
    <w:rsid w:val="00D1080C"/>
    <w:rsid w:val="00D10840"/>
    <w:rsid w:val="00D10844"/>
    <w:rsid w:val="00D10855"/>
    <w:rsid w:val="00D108DB"/>
    <w:rsid w:val="00D108E2"/>
    <w:rsid w:val="00D10926"/>
    <w:rsid w:val="00D10953"/>
    <w:rsid w:val="00D10A24"/>
    <w:rsid w:val="00D10A5E"/>
    <w:rsid w:val="00D10A99"/>
    <w:rsid w:val="00D10AF3"/>
    <w:rsid w:val="00D10AFA"/>
    <w:rsid w:val="00D10B0D"/>
    <w:rsid w:val="00D10B67"/>
    <w:rsid w:val="00D10C07"/>
    <w:rsid w:val="00D10CE2"/>
    <w:rsid w:val="00D10D00"/>
    <w:rsid w:val="00D10D07"/>
    <w:rsid w:val="00D10D1F"/>
    <w:rsid w:val="00D10D25"/>
    <w:rsid w:val="00D10D7C"/>
    <w:rsid w:val="00D10DF1"/>
    <w:rsid w:val="00D10EE6"/>
    <w:rsid w:val="00D10F46"/>
    <w:rsid w:val="00D10F6D"/>
    <w:rsid w:val="00D1104D"/>
    <w:rsid w:val="00D1105A"/>
    <w:rsid w:val="00D1107A"/>
    <w:rsid w:val="00D1114E"/>
    <w:rsid w:val="00D1116D"/>
    <w:rsid w:val="00D111B0"/>
    <w:rsid w:val="00D111EA"/>
    <w:rsid w:val="00D1120F"/>
    <w:rsid w:val="00D112C8"/>
    <w:rsid w:val="00D112E4"/>
    <w:rsid w:val="00D113D9"/>
    <w:rsid w:val="00D11402"/>
    <w:rsid w:val="00D11454"/>
    <w:rsid w:val="00D11501"/>
    <w:rsid w:val="00D115B8"/>
    <w:rsid w:val="00D115E6"/>
    <w:rsid w:val="00D1168A"/>
    <w:rsid w:val="00D11709"/>
    <w:rsid w:val="00D1170D"/>
    <w:rsid w:val="00D117D9"/>
    <w:rsid w:val="00D117FE"/>
    <w:rsid w:val="00D118AB"/>
    <w:rsid w:val="00D118ED"/>
    <w:rsid w:val="00D118FD"/>
    <w:rsid w:val="00D11911"/>
    <w:rsid w:val="00D11973"/>
    <w:rsid w:val="00D11B6D"/>
    <w:rsid w:val="00D11B9A"/>
    <w:rsid w:val="00D11BC5"/>
    <w:rsid w:val="00D11C0D"/>
    <w:rsid w:val="00D11C4D"/>
    <w:rsid w:val="00D11D72"/>
    <w:rsid w:val="00D11E08"/>
    <w:rsid w:val="00D11E10"/>
    <w:rsid w:val="00D11E69"/>
    <w:rsid w:val="00D11EE1"/>
    <w:rsid w:val="00D11F10"/>
    <w:rsid w:val="00D11FB3"/>
    <w:rsid w:val="00D11FEF"/>
    <w:rsid w:val="00D11FFA"/>
    <w:rsid w:val="00D12034"/>
    <w:rsid w:val="00D1208F"/>
    <w:rsid w:val="00D120C4"/>
    <w:rsid w:val="00D12180"/>
    <w:rsid w:val="00D12190"/>
    <w:rsid w:val="00D121B4"/>
    <w:rsid w:val="00D121B8"/>
    <w:rsid w:val="00D121C3"/>
    <w:rsid w:val="00D121D0"/>
    <w:rsid w:val="00D1221F"/>
    <w:rsid w:val="00D1225D"/>
    <w:rsid w:val="00D122A4"/>
    <w:rsid w:val="00D122B9"/>
    <w:rsid w:val="00D123B1"/>
    <w:rsid w:val="00D123D5"/>
    <w:rsid w:val="00D123FD"/>
    <w:rsid w:val="00D12401"/>
    <w:rsid w:val="00D12489"/>
    <w:rsid w:val="00D124A5"/>
    <w:rsid w:val="00D12508"/>
    <w:rsid w:val="00D125FF"/>
    <w:rsid w:val="00D12771"/>
    <w:rsid w:val="00D1280D"/>
    <w:rsid w:val="00D1285B"/>
    <w:rsid w:val="00D128A7"/>
    <w:rsid w:val="00D12953"/>
    <w:rsid w:val="00D12976"/>
    <w:rsid w:val="00D1297B"/>
    <w:rsid w:val="00D1299C"/>
    <w:rsid w:val="00D129F7"/>
    <w:rsid w:val="00D129F8"/>
    <w:rsid w:val="00D12A4A"/>
    <w:rsid w:val="00D12A9E"/>
    <w:rsid w:val="00D12AE5"/>
    <w:rsid w:val="00D12AE8"/>
    <w:rsid w:val="00D12B25"/>
    <w:rsid w:val="00D12BA7"/>
    <w:rsid w:val="00D12C2D"/>
    <w:rsid w:val="00D12C48"/>
    <w:rsid w:val="00D12D10"/>
    <w:rsid w:val="00D12D58"/>
    <w:rsid w:val="00D12E5D"/>
    <w:rsid w:val="00D12E9E"/>
    <w:rsid w:val="00D12EA3"/>
    <w:rsid w:val="00D12EF1"/>
    <w:rsid w:val="00D12F0F"/>
    <w:rsid w:val="00D1312D"/>
    <w:rsid w:val="00D13307"/>
    <w:rsid w:val="00D13313"/>
    <w:rsid w:val="00D1332F"/>
    <w:rsid w:val="00D13357"/>
    <w:rsid w:val="00D1348B"/>
    <w:rsid w:val="00D134DB"/>
    <w:rsid w:val="00D13517"/>
    <w:rsid w:val="00D1351B"/>
    <w:rsid w:val="00D1357B"/>
    <w:rsid w:val="00D1357C"/>
    <w:rsid w:val="00D13677"/>
    <w:rsid w:val="00D136CE"/>
    <w:rsid w:val="00D136EA"/>
    <w:rsid w:val="00D1370B"/>
    <w:rsid w:val="00D1375F"/>
    <w:rsid w:val="00D13785"/>
    <w:rsid w:val="00D137AC"/>
    <w:rsid w:val="00D137CA"/>
    <w:rsid w:val="00D13839"/>
    <w:rsid w:val="00D13852"/>
    <w:rsid w:val="00D139F5"/>
    <w:rsid w:val="00D13A18"/>
    <w:rsid w:val="00D13A65"/>
    <w:rsid w:val="00D13A82"/>
    <w:rsid w:val="00D13B05"/>
    <w:rsid w:val="00D13B86"/>
    <w:rsid w:val="00D13B94"/>
    <w:rsid w:val="00D13B98"/>
    <w:rsid w:val="00D13C8B"/>
    <w:rsid w:val="00D13CBD"/>
    <w:rsid w:val="00D13DB9"/>
    <w:rsid w:val="00D13E1C"/>
    <w:rsid w:val="00D13E1E"/>
    <w:rsid w:val="00D13E22"/>
    <w:rsid w:val="00D13E2F"/>
    <w:rsid w:val="00D13EF9"/>
    <w:rsid w:val="00D13F38"/>
    <w:rsid w:val="00D140ED"/>
    <w:rsid w:val="00D14117"/>
    <w:rsid w:val="00D1412E"/>
    <w:rsid w:val="00D14166"/>
    <w:rsid w:val="00D14169"/>
    <w:rsid w:val="00D1417D"/>
    <w:rsid w:val="00D14241"/>
    <w:rsid w:val="00D142D3"/>
    <w:rsid w:val="00D142EA"/>
    <w:rsid w:val="00D14307"/>
    <w:rsid w:val="00D14309"/>
    <w:rsid w:val="00D14347"/>
    <w:rsid w:val="00D14370"/>
    <w:rsid w:val="00D14390"/>
    <w:rsid w:val="00D143C3"/>
    <w:rsid w:val="00D143E2"/>
    <w:rsid w:val="00D144EF"/>
    <w:rsid w:val="00D145F1"/>
    <w:rsid w:val="00D145F5"/>
    <w:rsid w:val="00D14632"/>
    <w:rsid w:val="00D14635"/>
    <w:rsid w:val="00D14638"/>
    <w:rsid w:val="00D1470C"/>
    <w:rsid w:val="00D1473A"/>
    <w:rsid w:val="00D14793"/>
    <w:rsid w:val="00D147B8"/>
    <w:rsid w:val="00D14841"/>
    <w:rsid w:val="00D1490D"/>
    <w:rsid w:val="00D14962"/>
    <w:rsid w:val="00D1497C"/>
    <w:rsid w:val="00D1499F"/>
    <w:rsid w:val="00D149EC"/>
    <w:rsid w:val="00D14A59"/>
    <w:rsid w:val="00D14A83"/>
    <w:rsid w:val="00D14B72"/>
    <w:rsid w:val="00D14C2F"/>
    <w:rsid w:val="00D14C61"/>
    <w:rsid w:val="00D14CEF"/>
    <w:rsid w:val="00D14DB9"/>
    <w:rsid w:val="00D14DF7"/>
    <w:rsid w:val="00D14E00"/>
    <w:rsid w:val="00D14E0A"/>
    <w:rsid w:val="00D14E7E"/>
    <w:rsid w:val="00D14EA8"/>
    <w:rsid w:val="00D14F65"/>
    <w:rsid w:val="00D14F66"/>
    <w:rsid w:val="00D14F81"/>
    <w:rsid w:val="00D14FE8"/>
    <w:rsid w:val="00D150A6"/>
    <w:rsid w:val="00D150B0"/>
    <w:rsid w:val="00D15104"/>
    <w:rsid w:val="00D15183"/>
    <w:rsid w:val="00D1521C"/>
    <w:rsid w:val="00D15287"/>
    <w:rsid w:val="00D1549D"/>
    <w:rsid w:val="00D154BC"/>
    <w:rsid w:val="00D155C8"/>
    <w:rsid w:val="00D155E8"/>
    <w:rsid w:val="00D15604"/>
    <w:rsid w:val="00D15680"/>
    <w:rsid w:val="00D1569C"/>
    <w:rsid w:val="00D156CE"/>
    <w:rsid w:val="00D15725"/>
    <w:rsid w:val="00D15763"/>
    <w:rsid w:val="00D1577C"/>
    <w:rsid w:val="00D15831"/>
    <w:rsid w:val="00D158C0"/>
    <w:rsid w:val="00D15934"/>
    <w:rsid w:val="00D15981"/>
    <w:rsid w:val="00D15A12"/>
    <w:rsid w:val="00D15A16"/>
    <w:rsid w:val="00D15AA2"/>
    <w:rsid w:val="00D15B92"/>
    <w:rsid w:val="00D15BF8"/>
    <w:rsid w:val="00D15C0F"/>
    <w:rsid w:val="00D15C92"/>
    <w:rsid w:val="00D15D1A"/>
    <w:rsid w:val="00D15E10"/>
    <w:rsid w:val="00D15E4A"/>
    <w:rsid w:val="00D15E66"/>
    <w:rsid w:val="00D15ED4"/>
    <w:rsid w:val="00D15FAC"/>
    <w:rsid w:val="00D15FD9"/>
    <w:rsid w:val="00D16181"/>
    <w:rsid w:val="00D16193"/>
    <w:rsid w:val="00D161B7"/>
    <w:rsid w:val="00D1621C"/>
    <w:rsid w:val="00D16227"/>
    <w:rsid w:val="00D16244"/>
    <w:rsid w:val="00D162EB"/>
    <w:rsid w:val="00D163F9"/>
    <w:rsid w:val="00D16468"/>
    <w:rsid w:val="00D16473"/>
    <w:rsid w:val="00D164FF"/>
    <w:rsid w:val="00D16511"/>
    <w:rsid w:val="00D16544"/>
    <w:rsid w:val="00D16597"/>
    <w:rsid w:val="00D16612"/>
    <w:rsid w:val="00D1664E"/>
    <w:rsid w:val="00D16690"/>
    <w:rsid w:val="00D166B5"/>
    <w:rsid w:val="00D166CA"/>
    <w:rsid w:val="00D16742"/>
    <w:rsid w:val="00D1675D"/>
    <w:rsid w:val="00D16770"/>
    <w:rsid w:val="00D1679D"/>
    <w:rsid w:val="00D1679F"/>
    <w:rsid w:val="00D167BE"/>
    <w:rsid w:val="00D167D4"/>
    <w:rsid w:val="00D16854"/>
    <w:rsid w:val="00D168A4"/>
    <w:rsid w:val="00D168A5"/>
    <w:rsid w:val="00D168CC"/>
    <w:rsid w:val="00D168EF"/>
    <w:rsid w:val="00D16932"/>
    <w:rsid w:val="00D16933"/>
    <w:rsid w:val="00D169D1"/>
    <w:rsid w:val="00D169FA"/>
    <w:rsid w:val="00D16A48"/>
    <w:rsid w:val="00D16B5B"/>
    <w:rsid w:val="00D16B67"/>
    <w:rsid w:val="00D16B93"/>
    <w:rsid w:val="00D16B96"/>
    <w:rsid w:val="00D16BC9"/>
    <w:rsid w:val="00D16BD5"/>
    <w:rsid w:val="00D16CA9"/>
    <w:rsid w:val="00D16CB3"/>
    <w:rsid w:val="00D16D12"/>
    <w:rsid w:val="00D16D39"/>
    <w:rsid w:val="00D16DB7"/>
    <w:rsid w:val="00D16E16"/>
    <w:rsid w:val="00D16E3D"/>
    <w:rsid w:val="00D16E55"/>
    <w:rsid w:val="00D16E8B"/>
    <w:rsid w:val="00D16EA5"/>
    <w:rsid w:val="00D16EAC"/>
    <w:rsid w:val="00D16EAF"/>
    <w:rsid w:val="00D16F11"/>
    <w:rsid w:val="00D16F30"/>
    <w:rsid w:val="00D16FBF"/>
    <w:rsid w:val="00D16FC7"/>
    <w:rsid w:val="00D17089"/>
    <w:rsid w:val="00D1709F"/>
    <w:rsid w:val="00D170AB"/>
    <w:rsid w:val="00D17149"/>
    <w:rsid w:val="00D17153"/>
    <w:rsid w:val="00D171B7"/>
    <w:rsid w:val="00D17235"/>
    <w:rsid w:val="00D17258"/>
    <w:rsid w:val="00D1727F"/>
    <w:rsid w:val="00D17324"/>
    <w:rsid w:val="00D17363"/>
    <w:rsid w:val="00D1736F"/>
    <w:rsid w:val="00D17371"/>
    <w:rsid w:val="00D17398"/>
    <w:rsid w:val="00D173AF"/>
    <w:rsid w:val="00D173E9"/>
    <w:rsid w:val="00D173FA"/>
    <w:rsid w:val="00D17425"/>
    <w:rsid w:val="00D1743B"/>
    <w:rsid w:val="00D1744C"/>
    <w:rsid w:val="00D174D6"/>
    <w:rsid w:val="00D1761E"/>
    <w:rsid w:val="00D176DC"/>
    <w:rsid w:val="00D177F0"/>
    <w:rsid w:val="00D178CA"/>
    <w:rsid w:val="00D178DB"/>
    <w:rsid w:val="00D178F3"/>
    <w:rsid w:val="00D178F8"/>
    <w:rsid w:val="00D17954"/>
    <w:rsid w:val="00D17978"/>
    <w:rsid w:val="00D179E0"/>
    <w:rsid w:val="00D17A1F"/>
    <w:rsid w:val="00D17A2B"/>
    <w:rsid w:val="00D17AFA"/>
    <w:rsid w:val="00D17B3A"/>
    <w:rsid w:val="00D17BDC"/>
    <w:rsid w:val="00D17C3C"/>
    <w:rsid w:val="00D17C5A"/>
    <w:rsid w:val="00D17C7F"/>
    <w:rsid w:val="00D17CB0"/>
    <w:rsid w:val="00D17CD8"/>
    <w:rsid w:val="00D17D04"/>
    <w:rsid w:val="00D17D45"/>
    <w:rsid w:val="00D17D99"/>
    <w:rsid w:val="00D17E17"/>
    <w:rsid w:val="00D17E48"/>
    <w:rsid w:val="00D17E4B"/>
    <w:rsid w:val="00D17E51"/>
    <w:rsid w:val="00D17F87"/>
    <w:rsid w:val="00D17FC8"/>
    <w:rsid w:val="00D17FCF"/>
    <w:rsid w:val="00D17FD1"/>
    <w:rsid w:val="00D2009C"/>
    <w:rsid w:val="00D200AC"/>
    <w:rsid w:val="00D200CB"/>
    <w:rsid w:val="00D2010A"/>
    <w:rsid w:val="00D2018F"/>
    <w:rsid w:val="00D201AC"/>
    <w:rsid w:val="00D201AE"/>
    <w:rsid w:val="00D201C2"/>
    <w:rsid w:val="00D2024A"/>
    <w:rsid w:val="00D2026C"/>
    <w:rsid w:val="00D20329"/>
    <w:rsid w:val="00D2036F"/>
    <w:rsid w:val="00D20399"/>
    <w:rsid w:val="00D203CF"/>
    <w:rsid w:val="00D2042B"/>
    <w:rsid w:val="00D2045A"/>
    <w:rsid w:val="00D20475"/>
    <w:rsid w:val="00D204DD"/>
    <w:rsid w:val="00D204FE"/>
    <w:rsid w:val="00D20517"/>
    <w:rsid w:val="00D20519"/>
    <w:rsid w:val="00D20531"/>
    <w:rsid w:val="00D2057F"/>
    <w:rsid w:val="00D205A1"/>
    <w:rsid w:val="00D205AB"/>
    <w:rsid w:val="00D206D8"/>
    <w:rsid w:val="00D20728"/>
    <w:rsid w:val="00D20826"/>
    <w:rsid w:val="00D20834"/>
    <w:rsid w:val="00D20837"/>
    <w:rsid w:val="00D20844"/>
    <w:rsid w:val="00D2085B"/>
    <w:rsid w:val="00D208C2"/>
    <w:rsid w:val="00D2098D"/>
    <w:rsid w:val="00D209FD"/>
    <w:rsid w:val="00D20A54"/>
    <w:rsid w:val="00D20A5D"/>
    <w:rsid w:val="00D20AEF"/>
    <w:rsid w:val="00D20B62"/>
    <w:rsid w:val="00D20BC7"/>
    <w:rsid w:val="00D20C2B"/>
    <w:rsid w:val="00D20C7D"/>
    <w:rsid w:val="00D20DE1"/>
    <w:rsid w:val="00D20DFE"/>
    <w:rsid w:val="00D20E2C"/>
    <w:rsid w:val="00D20E3B"/>
    <w:rsid w:val="00D20EA5"/>
    <w:rsid w:val="00D20EC0"/>
    <w:rsid w:val="00D20F5A"/>
    <w:rsid w:val="00D20FBE"/>
    <w:rsid w:val="00D20FF0"/>
    <w:rsid w:val="00D21052"/>
    <w:rsid w:val="00D211AA"/>
    <w:rsid w:val="00D211E0"/>
    <w:rsid w:val="00D211E2"/>
    <w:rsid w:val="00D21262"/>
    <w:rsid w:val="00D21285"/>
    <w:rsid w:val="00D21292"/>
    <w:rsid w:val="00D212E3"/>
    <w:rsid w:val="00D21347"/>
    <w:rsid w:val="00D21368"/>
    <w:rsid w:val="00D21476"/>
    <w:rsid w:val="00D214D9"/>
    <w:rsid w:val="00D2159D"/>
    <w:rsid w:val="00D215F4"/>
    <w:rsid w:val="00D2160C"/>
    <w:rsid w:val="00D21678"/>
    <w:rsid w:val="00D216D7"/>
    <w:rsid w:val="00D21702"/>
    <w:rsid w:val="00D21748"/>
    <w:rsid w:val="00D217BA"/>
    <w:rsid w:val="00D217BD"/>
    <w:rsid w:val="00D217CE"/>
    <w:rsid w:val="00D2189F"/>
    <w:rsid w:val="00D218CF"/>
    <w:rsid w:val="00D218F0"/>
    <w:rsid w:val="00D21995"/>
    <w:rsid w:val="00D219A3"/>
    <w:rsid w:val="00D219BB"/>
    <w:rsid w:val="00D219DD"/>
    <w:rsid w:val="00D21A10"/>
    <w:rsid w:val="00D21AFF"/>
    <w:rsid w:val="00D21B34"/>
    <w:rsid w:val="00D21BD1"/>
    <w:rsid w:val="00D21C47"/>
    <w:rsid w:val="00D21CB9"/>
    <w:rsid w:val="00D21CCB"/>
    <w:rsid w:val="00D21CF4"/>
    <w:rsid w:val="00D21D62"/>
    <w:rsid w:val="00D21D8D"/>
    <w:rsid w:val="00D21E13"/>
    <w:rsid w:val="00D21E7C"/>
    <w:rsid w:val="00D21E87"/>
    <w:rsid w:val="00D2204C"/>
    <w:rsid w:val="00D2206F"/>
    <w:rsid w:val="00D220C1"/>
    <w:rsid w:val="00D2211D"/>
    <w:rsid w:val="00D22147"/>
    <w:rsid w:val="00D2214B"/>
    <w:rsid w:val="00D221B7"/>
    <w:rsid w:val="00D22206"/>
    <w:rsid w:val="00D2220F"/>
    <w:rsid w:val="00D22253"/>
    <w:rsid w:val="00D222B5"/>
    <w:rsid w:val="00D22350"/>
    <w:rsid w:val="00D2238D"/>
    <w:rsid w:val="00D223C0"/>
    <w:rsid w:val="00D223F6"/>
    <w:rsid w:val="00D224DA"/>
    <w:rsid w:val="00D224F2"/>
    <w:rsid w:val="00D22541"/>
    <w:rsid w:val="00D225BB"/>
    <w:rsid w:val="00D225CE"/>
    <w:rsid w:val="00D225ED"/>
    <w:rsid w:val="00D22651"/>
    <w:rsid w:val="00D226AD"/>
    <w:rsid w:val="00D227D9"/>
    <w:rsid w:val="00D227E3"/>
    <w:rsid w:val="00D227F4"/>
    <w:rsid w:val="00D2284C"/>
    <w:rsid w:val="00D228BA"/>
    <w:rsid w:val="00D228BB"/>
    <w:rsid w:val="00D22976"/>
    <w:rsid w:val="00D229F1"/>
    <w:rsid w:val="00D229F8"/>
    <w:rsid w:val="00D22A9F"/>
    <w:rsid w:val="00D22B17"/>
    <w:rsid w:val="00D22B64"/>
    <w:rsid w:val="00D22BE8"/>
    <w:rsid w:val="00D22C68"/>
    <w:rsid w:val="00D22C85"/>
    <w:rsid w:val="00D22CEC"/>
    <w:rsid w:val="00D22D5E"/>
    <w:rsid w:val="00D22D97"/>
    <w:rsid w:val="00D22DE7"/>
    <w:rsid w:val="00D22E44"/>
    <w:rsid w:val="00D22E86"/>
    <w:rsid w:val="00D22F14"/>
    <w:rsid w:val="00D22F9B"/>
    <w:rsid w:val="00D22FF5"/>
    <w:rsid w:val="00D23009"/>
    <w:rsid w:val="00D2303E"/>
    <w:rsid w:val="00D231F3"/>
    <w:rsid w:val="00D23212"/>
    <w:rsid w:val="00D23272"/>
    <w:rsid w:val="00D2328A"/>
    <w:rsid w:val="00D23308"/>
    <w:rsid w:val="00D23379"/>
    <w:rsid w:val="00D233B7"/>
    <w:rsid w:val="00D233FA"/>
    <w:rsid w:val="00D23445"/>
    <w:rsid w:val="00D2348B"/>
    <w:rsid w:val="00D234B1"/>
    <w:rsid w:val="00D23501"/>
    <w:rsid w:val="00D23515"/>
    <w:rsid w:val="00D2352C"/>
    <w:rsid w:val="00D2360A"/>
    <w:rsid w:val="00D2370B"/>
    <w:rsid w:val="00D23727"/>
    <w:rsid w:val="00D237E3"/>
    <w:rsid w:val="00D237F2"/>
    <w:rsid w:val="00D238E2"/>
    <w:rsid w:val="00D239BB"/>
    <w:rsid w:val="00D239C6"/>
    <w:rsid w:val="00D239DB"/>
    <w:rsid w:val="00D239E7"/>
    <w:rsid w:val="00D239F2"/>
    <w:rsid w:val="00D239FC"/>
    <w:rsid w:val="00D23A5D"/>
    <w:rsid w:val="00D23B81"/>
    <w:rsid w:val="00D23B98"/>
    <w:rsid w:val="00D23BE5"/>
    <w:rsid w:val="00D23C5F"/>
    <w:rsid w:val="00D23D37"/>
    <w:rsid w:val="00D23D4D"/>
    <w:rsid w:val="00D23DBC"/>
    <w:rsid w:val="00D23DF0"/>
    <w:rsid w:val="00D23EBF"/>
    <w:rsid w:val="00D23F1C"/>
    <w:rsid w:val="00D240AB"/>
    <w:rsid w:val="00D2410C"/>
    <w:rsid w:val="00D24112"/>
    <w:rsid w:val="00D24129"/>
    <w:rsid w:val="00D24186"/>
    <w:rsid w:val="00D241E7"/>
    <w:rsid w:val="00D242B2"/>
    <w:rsid w:val="00D2430F"/>
    <w:rsid w:val="00D24315"/>
    <w:rsid w:val="00D24333"/>
    <w:rsid w:val="00D243F9"/>
    <w:rsid w:val="00D243FC"/>
    <w:rsid w:val="00D243FF"/>
    <w:rsid w:val="00D24476"/>
    <w:rsid w:val="00D244E9"/>
    <w:rsid w:val="00D2455C"/>
    <w:rsid w:val="00D24576"/>
    <w:rsid w:val="00D245A4"/>
    <w:rsid w:val="00D24619"/>
    <w:rsid w:val="00D2463B"/>
    <w:rsid w:val="00D247F1"/>
    <w:rsid w:val="00D247F2"/>
    <w:rsid w:val="00D24831"/>
    <w:rsid w:val="00D24834"/>
    <w:rsid w:val="00D248C6"/>
    <w:rsid w:val="00D248D5"/>
    <w:rsid w:val="00D248E0"/>
    <w:rsid w:val="00D24955"/>
    <w:rsid w:val="00D249A9"/>
    <w:rsid w:val="00D249D4"/>
    <w:rsid w:val="00D24AA8"/>
    <w:rsid w:val="00D24B2A"/>
    <w:rsid w:val="00D24CC6"/>
    <w:rsid w:val="00D24DAA"/>
    <w:rsid w:val="00D24DB1"/>
    <w:rsid w:val="00D24DD7"/>
    <w:rsid w:val="00D24DE2"/>
    <w:rsid w:val="00D24E89"/>
    <w:rsid w:val="00D24F65"/>
    <w:rsid w:val="00D24FE7"/>
    <w:rsid w:val="00D25046"/>
    <w:rsid w:val="00D2509F"/>
    <w:rsid w:val="00D251C5"/>
    <w:rsid w:val="00D251C7"/>
    <w:rsid w:val="00D252E5"/>
    <w:rsid w:val="00D25390"/>
    <w:rsid w:val="00D25402"/>
    <w:rsid w:val="00D2549E"/>
    <w:rsid w:val="00D254F1"/>
    <w:rsid w:val="00D2557B"/>
    <w:rsid w:val="00D25594"/>
    <w:rsid w:val="00D255E8"/>
    <w:rsid w:val="00D25603"/>
    <w:rsid w:val="00D2563C"/>
    <w:rsid w:val="00D2564A"/>
    <w:rsid w:val="00D25675"/>
    <w:rsid w:val="00D256A8"/>
    <w:rsid w:val="00D2575A"/>
    <w:rsid w:val="00D25774"/>
    <w:rsid w:val="00D2578D"/>
    <w:rsid w:val="00D25812"/>
    <w:rsid w:val="00D2586F"/>
    <w:rsid w:val="00D25926"/>
    <w:rsid w:val="00D259FE"/>
    <w:rsid w:val="00D25A22"/>
    <w:rsid w:val="00D25B67"/>
    <w:rsid w:val="00D25BA1"/>
    <w:rsid w:val="00D25BD6"/>
    <w:rsid w:val="00D25BF4"/>
    <w:rsid w:val="00D25C0B"/>
    <w:rsid w:val="00D25C16"/>
    <w:rsid w:val="00D25C5F"/>
    <w:rsid w:val="00D25C6C"/>
    <w:rsid w:val="00D25C94"/>
    <w:rsid w:val="00D25D15"/>
    <w:rsid w:val="00D25D27"/>
    <w:rsid w:val="00D25D4F"/>
    <w:rsid w:val="00D25E15"/>
    <w:rsid w:val="00D25E6B"/>
    <w:rsid w:val="00D25F2D"/>
    <w:rsid w:val="00D25FAD"/>
    <w:rsid w:val="00D25FFE"/>
    <w:rsid w:val="00D26083"/>
    <w:rsid w:val="00D260A1"/>
    <w:rsid w:val="00D260DE"/>
    <w:rsid w:val="00D26187"/>
    <w:rsid w:val="00D2619F"/>
    <w:rsid w:val="00D261A2"/>
    <w:rsid w:val="00D2625D"/>
    <w:rsid w:val="00D26260"/>
    <w:rsid w:val="00D262B2"/>
    <w:rsid w:val="00D262C3"/>
    <w:rsid w:val="00D262EA"/>
    <w:rsid w:val="00D26357"/>
    <w:rsid w:val="00D26404"/>
    <w:rsid w:val="00D264E9"/>
    <w:rsid w:val="00D26610"/>
    <w:rsid w:val="00D26626"/>
    <w:rsid w:val="00D26695"/>
    <w:rsid w:val="00D2674C"/>
    <w:rsid w:val="00D267D9"/>
    <w:rsid w:val="00D2681C"/>
    <w:rsid w:val="00D26865"/>
    <w:rsid w:val="00D268F2"/>
    <w:rsid w:val="00D26929"/>
    <w:rsid w:val="00D2696C"/>
    <w:rsid w:val="00D2696D"/>
    <w:rsid w:val="00D2697A"/>
    <w:rsid w:val="00D2698C"/>
    <w:rsid w:val="00D269A9"/>
    <w:rsid w:val="00D269C9"/>
    <w:rsid w:val="00D26ABC"/>
    <w:rsid w:val="00D26AE2"/>
    <w:rsid w:val="00D26AE7"/>
    <w:rsid w:val="00D26AF2"/>
    <w:rsid w:val="00D26B9E"/>
    <w:rsid w:val="00D26BC0"/>
    <w:rsid w:val="00D26C3C"/>
    <w:rsid w:val="00D26C50"/>
    <w:rsid w:val="00D26C70"/>
    <w:rsid w:val="00D26C95"/>
    <w:rsid w:val="00D26CF0"/>
    <w:rsid w:val="00D26CF2"/>
    <w:rsid w:val="00D26D1B"/>
    <w:rsid w:val="00D26D66"/>
    <w:rsid w:val="00D26D7C"/>
    <w:rsid w:val="00D26DA3"/>
    <w:rsid w:val="00D26DD7"/>
    <w:rsid w:val="00D26DE1"/>
    <w:rsid w:val="00D26E25"/>
    <w:rsid w:val="00D26E48"/>
    <w:rsid w:val="00D26E74"/>
    <w:rsid w:val="00D26F39"/>
    <w:rsid w:val="00D26F45"/>
    <w:rsid w:val="00D26FE6"/>
    <w:rsid w:val="00D2705D"/>
    <w:rsid w:val="00D27126"/>
    <w:rsid w:val="00D27144"/>
    <w:rsid w:val="00D2718D"/>
    <w:rsid w:val="00D271DC"/>
    <w:rsid w:val="00D27204"/>
    <w:rsid w:val="00D27219"/>
    <w:rsid w:val="00D27241"/>
    <w:rsid w:val="00D27296"/>
    <w:rsid w:val="00D272FF"/>
    <w:rsid w:val="00D2732E"/>
    <w:rsid w:val="00D27342"/>
    <w:rsid w:val="00D27353"/>
    <w:rsid w:val="00D273BE"/>
    <w:rsid w:val="00D273C5"/>
    <w:rsid w:val="00D273D3"/>
    <w:rsid w:val="00D2744C"/>
    <w:rsid w:val="00D27483"/>
    <w:rsid w:val="00D274ED"/>
    <w:rsid w:val="00D27529"/>
    <w:rsid w:val="00D27568"/>
    <w:rsid w:val="00D275A4"/>
    <w:rsid w:val="00D277F1"/>
    <w:rsid w:val="00D278AD"/>
    <w:rsid w:val="00D278B9"/>
    <w:rsid w:val="00D278BD"/>
    <w:rsid w:val="00D27964"/>
    <w:rsid w:val="00D279AC"/>
    <w:rsid w:val="00D279C8"/>
    <w:rsid w:val="00D279F4"/>
    <w:rsid w:val="00D27A25"/>
    <w:rsid w:val="00D27A39"/>
    <w:rsid w:val="00D27B23"/>
    <w:rsid w:val="00D27B25"/>
    <w:rsid w:val="00D27BAC"/>
    <w:rsid w:val="00D27CF5"/>
    <w:rsid w:val="00D27CF8"/>
    <w:rsid w:val="00D27D37"/>
    <w:rsid w:val="00D27D3B"/>
    <w:rsid w:val="00D27DE6"/>
    <w:rsid w:val="00D27E1B"/>
    <w:rsid w:val="00D27E78"/>
    <w:rsid w:val="00D27E7D"/>
    <w:rsid w:val="00D27EB0"/>
    <w:rsid w:val="00D27F3A"/>
    <w:rsid w:val="00D27F45"/>
    <w:rsid w:val="00D27F94"/>
    <w:rsid w:val="00D27FA3"/>
    <w:rsid w:val="00D30015"/>
    <w:rsid w:val="00D3004F"/>
    <w:rsid w:val="00D30081"/>
    <w:rsid w:val="00D300FF"/>
    <w:rsid w:val="00D3014D"/>
    <w:rsid w:val="00D30176"/>
    <w:rsid w:val="00D3026D"/>
    <w:rsid w:val="00D30311"/>
    <w:rsid w:val="00D30359"/>
    <w:rsid w:val="00D3043E"/>
    <w:rsid w:val="00D3045D"/>
    <w:rsid w:val="00D3052B"/>
    <w:rsid w:val="00D3064A"/>
    <w:rsid w:val="00D306FD"/>
    <w:rsid w:val="00D30867"/>
    <w:rsid w:val="00D30965"/>
    <w:rsid w:val="00D30967"/>
    <w:rsid w:val="00D30969"/>
    <w:rsid w:val="00D3096A"/>
    <w:rsid w:val="00D309D6"/>
    <w:rsid w:val="00D30A1B"/>
    <w:rsid w:val="00D30A65"/>
    <w:rsid w:val="00D30AA5"/>
    <w:rsid w:val="00D30AAE"/>
    <w:rsid w:val="00D30AF9"/>
    <w:rsid w:val="00D30B14"/>
    <w:rsid w:val="00D30BFB"/>
    <w:rsid w:val="00D30C7E"/>
    <w:rsid w:val="00D30D03"/>
    <w:rsid w:val="00D30D96"/>
    <w:rsid w:val="00D30DAA"/>
    <w:rsid w:val="00D30DE1"/>
    <w:rsid w:val="00D30DE5"/>
    <w:rsid w:val="00D30DF3"/>
    <w:rsid w:val="00D30E24"/>
    <w:rsid w:val="00D30E53"/>
    <w:rsid w:val="00D30EA9"/>
    <w:rsid w:val="00D30EB4"/>
    <w:rsid w:val="00D3100B"/>
    <w:rsid w:val="00D3108F"/>
    <w:rsid w:val="00D31284"/>
    <w:rsid w:val="00D312A0"/>
    <w:rsid w:val="00D312CB"/>
    <w:rsid w:val="00D312EC"/>
    <w:rsid w:val="00D3134E"/>
    <w:rsid w:val="00D313AB"/>
    <w:rsid w:val="00D31434"/>
    <w:rsid w:val="00D31482"/>
    <w:rsid w:val="00D31517"/>
    <w:rsid w:val="00D31525"/>
    <w:rsid w:val="00D3153F"/>
    <w:rsid w:val="00D3155F"/>
    <w:rsid w:val="00D31566"/>
    <w:rsid w:val="00D315D8"/>
    <w:rsid w:val="00D3160A"/>
    <w:rsid w:val="00D3161C"/>
    <w:rsid w:val="00D31636"/>
    <w:rsid w:val="00D31685"/>
    <w:rsid w:val="00D3168D"/>
    <w:rsid w:val="00D316BC"/>
    <w:rsid w:val="00D316C2"/>
    <w:rsid w:val="00D316D4"/>
    <w:rsid w:val="00D316FD"/>
    <w:rsid w:val="00D31713"/>
    <w:rsid w:val="00D317D4"/>
    <w:rsid w:val="00D317F3"/>
    <w:rsid w:val="00D3182E"/>
    <w:rsid w:val="00D318C4"/>
    <w:rsid w:val="00D318CE"/>
    <w:rsid w:val="00D318E2"/>
    <w:rsid w:val="00D31935"/>
    <w:rsid w:val="00D3199E"/>
    <w:rsid w:val="00D31A3B"/>
    <w:rsid w:val="00D31AAF"/>
    <w:rsid w:val="00D31AC4"/>
    <w:rsid w:val="00D31B45"/>
    <w:rsid w:val="00D31BC0"/>
    <w:rsid w:val="00D31BD0"/>
    <w:rsid w:val="00D31C5F"/>
    <w:rsid w:val="00D31C93"/>
    <w:rsid w:val="00D31CA2"/>
    <w:rsid w:val="00D31CD8"/>
    <w:rsid w:val="00D31CE5"/>
    <w:rsid w:val="00D31DCA"/>
    <w:rsid w:val="00D31E58"/>
    <w:rsid w:val="00D31E7A"/>
    <w:rsid w:val="00D31EEA"/>
    <w:rsid w:val="00D31F31"/>
    <w:rsid w:val="00D31F9C"/>
    <w:rsid w:val="00D32008"/>
    <w:rsid w:val="00D32083"/>
    <w:rsid w:val="00D3209B"/>
    <w:rsid w:val="00D3214E"/>
    <w:rsid w:val="00D32198"/>
    <w:rsid w:val="00D321C5"/>
    <w:rsid w:val="00D3220C"/>
    <w:rsid w:val="00D32280"/>
    <w:rsid w:val="00D322A6"/>
    <w:rsid w:val="00D32332"/>
    <w:rsid w:val="00D32342"/>
    <w:rsid w:val="00D3239D"/>
    <w:rsid w:val="00D32481"/>
    <w:rsid w:val="00D3248D"/>
    <w:rsid w:val="00D3257D"/>
    <w:rsid w:val="00D326F8"/>
    <w:rsid w:val="00D32705"/>
    <w:rsid w:val="00D327F0"/>
    <w:rsid w:val="00D32808"/>
    <w:rsid w:val="00D32888"/>
    <w:rsid w:val="00D3288B"/>
    <w:rsid w:val="00D328E2"/>
    <w:rsid w:val="00D3295A"/>
    <w:rsid w:val="00D3298C"/>
    <w:rsid w:val="00D329B2"/>
    <w:rsid w:val="00D329BE"/>
    <w:rsid w:val="00D329EB"/>
    <w:rsid w:val="00D329FE"/>
    <w:rsid w:val="00D32A15"/>
    <w:rsid w:val="00D32A33"/>
    <w:rsid w:val="00D32AAE"/>
    <w:rsid w:val="00D32B2F"/>
    <w:rsid w:val="00D32BBC"/>
    <w:rsid w:val="00D32BE6"/>
    <w:rsid w:val="00D32C87"/>
    <w:rsid w:val="00D32CAD"/>
    <w:rsid w:val="00D32CB4"/>
    <w:rsid w:val="00D32D10"/>
    <w:rsid w:val="00D32EB9"/>
    <w:rsid w:val="00D32EF9"/>
    <w:rsid w:val="00D32FAB"/>
    <w:rsid w:val="00D33012"/>
    <w:rsid w:val="00D3307E"/>
    <w:rsid w:val="00D33110"/>
    <w:rsid w:val="00D3311A"/>
    <w:rsid w:val="00D331C1"/>
    <w:rsid w:val="00D33283"/>
    <w:rsid w:val="00D33312"/>
    <w:rsid w:val="00D33350"/>
    <w:rsid w:val="00D33377"/>
    <w:rsid w:val="00D33486"/>
    <w:rsid w:val="00D33496"/>
    <w:rsid w:val="00D334AE"/>
    <w:rsid w:val="00D33555"/>
    <w:rsid w:val="00D3360A"/>
    <w:rsid w:val="00D3364D"/>
    <w:rsid w:val="00D33685"/>
    <w:rsid w:val="00D33713"/>
    <w:rsid w:val="00D33723"/>
    <w:rsid w:val="00D33768"/>
    <w:rsid w:val="00D337C0"/>
    <w:rsid w:val="00D3387A"/>
    <w:rsid w:val="00D338D4"/>
    <w:rsid w:val="00D33930"/>
    <w:rsid w:val="00D33A1F"/>
    <w:rsid w:val="00D33A33"/>
    <w:rsid w:val="00D33A57"/>
    <w:rsid w:val="00D33ABC"/>
    <w:rsid w:val="00D33AF6"/>
    <w:rsid w:val="00D33B4D"/>
    <w:rsid w:val="00D33BDC"/>
    <w:rsid w:val="00D33C92"/>
    <w:rsid w:val="00D33CB0"/>
    <w:rsid w:val="00D33D03"/>
    <w:rsid w:val="00D33D07"/>
    <w:rsid w:val="00D33D8E"/>
    <w:rsid w:val="00D33DA3"/>
    <w:rsid w:val="00D33E47"/>
    <w:rsid w:val="00D33E79"/>
    <w:rsid w:val="00D33E99"/>
    <w:rsid w:val="00D33EC7"/>
    <w:rsid w:val="00D33ED2"/>
    <w:rsid w:val="00D33F00"/>
    <w:rsid w:val="00D33F28"/>
    <w:rsid w:val="00D33F74"/>
    <w:rsid w:val="00D33FA8"/>
    <w:rsid w:val="00D33FE2"/>
    <w:rsid w:val="00D3401F"/>
    <w:rsid w:val="00D3404C"/>
    <w:rsid w:val="00D340BF"/>
    <w:rsid w:val="00D34104"/>
    <w:rsid w:val="00D34134"/>
    <w:rsid w:val="00D34142"/>
    <w:rsid w:val="00D34150"/>
    <w:rsid w:val="00D34180"/>
    <w:rsid w:val="00D34204"/>
    <w:rsid w:val="00D34250"/>
    <w:rsid w:val="00D3426D"/>
    <w:rsid w:val="00D34270"/>
    <w:rsid w:val="00D3428B"/>
    <w:rsid w:val="00D342D1"/>
    <w:rsid w:val="00D34305"/>
    <w:rsid w:val="00D34329"/>
    <w:rsid w:val="00D3435A"/>
    <w:rsid w:val="00D34377"/>
    <w:rsid w:val="00D3437E"/>
    <w:rsid w:val="00D34398"/>
    <w:rsid w:val="00D343B5"/>
    <w:rsid w:val="00D343F6"/>
    <w:rsid w:val="00D34405"/>
    <w:rsid w:val="00D34474"/>
    <w:rsid w:val="00D3447E"/>
    <w:rsid w:val="00D344AF"/>
    <w:rsid w:val="00D344BB"/>
    <w:rsid w:val="00D345AA"/>
    <w:rsid w:val="00D3464B"/>
    <w:rsid w:val="00D34672"/>
    <w:rsid w:val="00D3470D"/>
    <w:rsid w:val="00D34765"/>
    <w:rsid w:val="00D3476B"/>
    <w:rsid w:val="00D3476C"/>
    <w:rsid w:val="00D34773"/>
    <w:rsid w:val="00D34786"/>
    <w:rsid w:val="00D3478B"/>
    <w:rsid w:val="00D3478C"/>
    <w:rsid w:val="00D347A6"/>
    <w:rsid w:val="00D347C3"/>
    <w:rsid w:val="00D34825"/>
    <w:rsid w:val="00D3487F"/>
    <w:rsid w:val="00D348C9"/>
    <w:rsid w:val="00D348EB"/>
    <w:rsid w:val="00D34906"/>
    <w:rsid w:val="00D3490E"/>
    <w:rsid w:val="00D34922"/>
    <w:rsid w:val="00D349B4"/>
    <w:rsid w:val="00D349C1"/>
    <w:rsid w:val="00D349C6"/>
    <w:rsid w:val="00D34ABB"/>
    <w:rsid w:val="00D34B48"/>
    <w:rsid w:val="00D34BB0"/>
    <w:rsid w:val="00D34C14"/>
    <w:rsid w:val="00D34CC9"/>
    <w:rsid w:val="00D34CCA"/>
    <w:rsid w:val="00D34DBB"/>
    <w:rsid w:val="00D34E0E"/>
    <w:rsid w:val="00D34E18"/>
    <w:rsid w:val="00D34E26"/>
    <w:rsid w:val="00D34E37"/>
    <w:rsid w:val="00D34E4C"/>
    <w:rsid w:val="00D34E51"/>
    <w:rsid w:val="00D34E8E"/>
    <w:rsid w:val="00D34EC7"/>
    <w:rsid w:val="00D34F0B"/>
    <w:rsid w:val="00D34F11"/>
    <w:rsid w:val="00D34F8C"/>
    <w:rsid w:val="00D34FCD"/>
    <w:rsid w:val="00D35066"/>
    <w:rsid w:val="00D35074"/>
    <w:rsid w:val="00D350A2"/>
    <w:rsid w:val="00D3514A"/>
    <w:rsid w:val="00D35190"/>
    <w:rsid w:val="00D351D6"/>
    <w:rsid w:val="00D35211"/>
    <w:rsid w:val="00D35218"/>
    <w:rsid w:val="00D35225"/>
    <w:rsid w:val="00D35277"/>
    <w:rsid w:val="00D352BF"/>
    <w:rsid w:val="00D352DC"/>
    <w:rsid w:val="00D352FD"/>
    <w:rsid w:val="00D353A6"/>
    <w:rsid w:val="00D354D4"/>
    <w:rsid w:val="00D35501"/>
    <w:rsid w:val="00D35556"/>
    <w:rsid w:val="00D355F0"/>
    <w:rsid w:val="00D35671"/>
    <w:rsid w:val="00D356BA"/>
    <w:rsid w:val="00D35705"/>
    <w:rsid w:val="00D35718"/>
    <w:rsid w:val="00D35719"/>
    <w:rsid w:val="00D357A8"/>
    <w:rsid w:val="00D35828"/>
    <w:rsid w:val="00D35889"/>
    <w:rsid w:val="00D358C8"/>
    <w:rsid w:val="00D358F7"/>
    <w:rsid w:val="00D35908"/>
    <w:rsid w:val="00D35992"/>
    <w:rsid w:val="00D359C7"/>
    <w:rsid w:val="00D359DE"/>
    <w:rsid w:val="00D35A9A"/>
    <w:rsid w:val="00D35AC7"/>
    <w:rsid w:val="00D35AEC"/>
    <w:rsid w:val="00D35BCB"/>
    <w:rsid w:val="00D35BF0"/>
    <w:rsid w:val="00D35C07"/>
    <w:rsid w:val="00D35C3D"/>
    <w:rsid w:val="00D35C52"/>
    <w:rsid w:val="00D35CEC"/>
    <w:rsid w:val="00D35CF5"/>
    <w:rsid w:val="00D35D56"/>
    <w:rsid w:val="00D35D89"/>
    <w:rsid w:val="00D35DE2"/>
    <w:rsid w:val="00D35E69"/>
    <w:rsid w:val="00D35EE9"/>
    <w:rsid w:val="00D35F4B"/>
    <w:rsid w:val="00D35FB7"/>
    <w:rsid w:val="00D36006"/>
    <w:rsid w:val="00D3600A"/>
    <w:rsid w:val="00D36040"/>
    <w:rsid w:val="00D360F8"/>
    <w:rsid w:val="00D3613D"/>
    <w:rsid w:val="00D3614A"/>
    <w:rsid w:val="00D36191"/>
    <w:rsid w:val="00D361D8"/>
    <w:rsid w:val="00D36211"/>
    <w:rsid w:val="00D3622B"/>
    <w:rsid w:val="00D36234"/>
    <w:rsid w:val="00D362F0"/>
    <w:rsid w:val="00D3632B"/>
    <w:rsid w:val="00D363B3"/>
    <w:rsid w:val="00D363B4"/>
    <w:rsid w:val="00D3641B"/>
    <w:rsid w:val="00D3649B"/>
    <w:rsid w:val="00D364CB"/>
    <w:rsid w:val="00D364E1"/>
    <w:rsid w:val="00D3650D"/>
    <w:rsid w:val="00D36535"/>
    <w:rsid w:val="00D36556"/>
    <w:rsid w:val="00D36581"/>
    <w:rsid w:val="00D3658D"/>
    <w:rsid w:val="00D3661B"/>
    <w:rsid w:val="00D3662B"/>
    <w:rsid w:val="00D36682"/>
    <w:rsid w:val="00D366EA"/>
    <w:rsid w:val="00D366F7"/>
    <w:rsid w:val="00D3671C"/>
    <w:rsid w:val="00D367B2"/>
    <w:rsid w:val="00D367D9"/>
    <w:rsid w:val="00D367FF"/>
    <w:rsid w:val="00D36815"/>
    <w:rsid w:val="00D3685A"/>
    <w:rsid w:val="00D3686A"/>
    <w:rsid w:val="00D3688F"/>
    <w:rsid w:val="00D368BD"/>
    <w:rsid w:val="00D36907"/>
    <w:rsid w:val="00D36926"/>
    <w:rsid w:val="00D36950"/>
    <w:rsid w:val="00D3696C"/>
    <w:rsid w:val="00D36993"/>
    <w:rsid w:val="00D369F1"/>
    <w:rsid w:val="00D36A22"/>
    <w:rsid w:val="00D36AEC"/>
    <w:rsid w:val="00D36B13"/>
    <w:rsid w:val="00D36B18"/>
    <w:rsid w:val="00D36BEF"/>
    <w:rsid w:val="00D36C09"/>
    <w:rsid w:val="00D36C33"/>
    <w:rsid w:val="00D36C48"/>
    <w:rsid w:val="00D36C4F"/>
    <w:rsid w:val="00D36CAA"/>
    <w:rsid w:val="00D36CD9"/>
    <w:rsid w:val="00D36D34"/>
    <w:rsid w:val="00D36D3C"/>
    <w:rsid w:val="00D36D75"/>
    <w:rsid w:val="00D36DFE"/>
    <w:rsid w:val="00D36E7D"/>
    <w:rsid w:val="00D36EC0"/>
    <w:rsid w:val="00D36EF2"/>
    <w:rsid w:val="00D36F39"/>
    <w:rsid w:val="00D36FF2"/>
    <w:rsid w:val="00D37063"/>
    <w:rsid w:val="00D370C4"/>
    <w:rsid w:val="00D370CC"/>
    <w:rsid w:val="00D370CD"/>
    <w:rsid w:val="00D37124"/>
    <w:rsid w:val="00D37146"/>
    <w:rsid w:val="00D371AF"/>
    <w:rsid w:val="00D37256"/>
    <w:rsid w:val="00D37287"/>
    <w:rsid w:val="00D37390"/>
    <w:rsid w:val="00D37408"/>
    <w:rsid w:val="00D37421"/>
    <w:rsid w:val="00D3745A"/>
    <w:rsid w:val="00D37464"/>
    <w:rsid w:val="00D374F8"/>
    <w:rsid w:val="00D3753B"/>
    <w:rsid w:val="00D3758A"/>
    <w:rsid w:val="00D3761A"/>
    <w:rsid w:val="00D376E3"/>
    <w:rsid w:val="00D376FC"/>
    <w:rsid w:val="00D37774"/>
    <w:rsid w:val="00D37789"/>
    <w:rsid w:val="00D3779F"/>
    <w:rsid w:val="00D377C7"/>
    <w:rsid w:val="00D377DA"/>
    <w:rsid w:val="00D377F1"/>
    <w:rsid w:val="00D37846"/>
    <w:rsid w:val="00D3789E"/>
    <w:rsid w:val="00D378EA"/>
    <w:rsid w:val="00D3791E"/>
    <w:rsid w:val="00D3795C"/>
    <w:rsid w:val="00D3798E"/>
    <w:rsid w:val="00D379A2"/>
    <w:rsid w:val="00D37A42"/>
    <w:rsid w:val="00D37A89"/>
    <w:rsid w:val="00D37B0D"/>
    <w:rsid w:val="00D37B7B"/>
    <w:rsid w:val="00D37B96"/>
    <w:rsid w:val="00D37BA9"/>
    <w:rsid w:val="00D37BB8"/>
    <w:rsid w:val="00D37CC2"/>
    <w:rsid w:val="00D37CCD"/>
    <w:rsid w:val="00D37D72"/>
    <w:rsid w:val="00D37DA9"/>
    <w:rsid w:val="00D37E28"/>
    <w:rsid w:val="00D37EAC"/>
    <w:rsid w:val="00D4007F"/>
    <w:rsid w:val="00D400CB"/>
    <w:rsid w:val="00D400E7"/>
    <w:rsid w:val="00D4014E"/>
    <w:rsid w:val="00D40198"/>
    <w:rsid w:val="00D4019A"/>
    <w:rsid w:val="00D4019E"/>
    <w:rsid w:val="00D401E1"/>
    <w:rsid w:val="00D40207"/>
    <w:rsid w:val="00D4020A"/>
    <w:rsid w:val="00D402AC"/>
    <w:rsid w:val="00D403F2"/>
    <w:rsid w:val="00D40432"/>
    <w:rsid w:val="00D404A9"/>
    <w:rsid w:val="00D405BE"/>
    <w:rsid w:val="00D405FB"/>
    <w:rsid w:val="00D40633"/>
    <w:rsid w:val="00D406AC"/>
    <w:rsid w:val="00D4073E"/>
    <w:rsid w:val="00D407EC"/>
    <w:rsid w:val="00D40886"/>
    <w:rsid w:val="00D40A8F"/>
    <w:rsid w:val="00D40AC8"/>
    <w:rsid w:val="00D40ACF"/>
    <w:rsid w:val="00D40BBD"/>
    <w:rsid w:val="00D40C9C"/>
    <w:rsid w:val="00D40CC2"/>
    <w:rsid w:val="00D40CFF"/>
    <w:rsid w:val="00D40D01"/>
    <w:rsid w:val="00D40D4E"/>
    <w:rsid w:val="00D40D68"/>
    <w:rsid w:val="00D40DFE"/>
    <w:rsid w:val="00D40E44"/>
    <w:rsid w:val="00D40EA4"/>
    <w:rsid w:val="00D40EBB"/>
    <w:rsid w:val="00D40F97"/>
    <w:rsid w:val="00D41012"/>
    <w:rsid w:val="00D4109F"/>
    <w:rsid w:val="00D410C8"/>
    <w:rsid w:val="00D410EC"/>
    <w:rsid w:val="00D41131"/>
    <w:rsid w:val="00D41218"/>
    <w:rsid w:val="00D41284"/>
    <w:rsid w:val="00D41387"/>
    <w:rsid w:val="00D413B0"/>
    <w:rsid w:val="00D413DE"/>
    <w:rsid w:val="00D4149D"/>
    <w:rsid w:val="00D41500"/>
    <w:rsid w:val="00D41571"/>
    <w:rsid w:val="00D4157E"/>
    <w:rsid w:val="00D41592"/>
    <w:rsid w:val="00D415A6"/>
    <w:rsid w:val="00D41646"/>
    <w:rsid w:val="00D41687"/>
    <w:rsid w:val="00D41786"/>
    <w:rsid w:val="00D41793"/>
    <w:rsid w:val="00D417F5"/>
    <w:rsid w:val="00D41836"/>
    <w:rsid w:val="00D41851"/>
    <w:rsid w:val="00D4186E"/>
    <w:rsid w:val="00D418C8"/>
    <w:rsid w:val="00D418E2"/>
    <w:rsid w:val="00D4191E"/>
    <w:rsid w:val="00D41A14"/>
    <w:rsid w:val="00D41A23"/>
    <w:rsid w:val="00D41A7E"/>
    <w:rsid w:val="00D41ACE"/>
    <w:rsid w:val="00D41AF8"/>
    <w:rsid w:val="00D41AFD"/>
    <w:rsid w:val="00D41B2E"/>
    <w:rsid w:val="00D41BDB"/>
    <w:rsid w:val="00D41C09"/>
    <w:rsid w:val="00D41C27"/>
    <w:rsid w:val="00D41C48"/>
    <w:rsid w:val="00D41CF9"/>
    <w:rsid w:val="00D41DA6"/>
    <w:rsid w:val="00D41DDA"/>
    <w:rsid w:val="00D41DFD"/>
    <w:rsid w:val="00D41E12"/>
    <w:rsid w:val="00D41E1B"/>
    <w:rsid w:val="00D41EED"/>
    <w:rsid w:val="00D41F96"/>
    <w:rsid w:val="00D42067"/>
    <w:rsid w:val="00D4213A"/>
    <w:rsid w:val="00D4213E"/>
    <w:rsid w:val="00D42187"/>
    <w:rsid w:val="00D421FB"/>
    <w:rsid w:val="00D4220A"/>
    <w:rsid w:val="00D4220D"/>
    <w:rsid w:val="00D422C5"/>
    <w:rsid w:val="00D42320"/>
    <w:rsid w:val="00D42391"/>
    <w:rsid w:val="00D4245D"/>
    <w:rsid w:val="00D424E8"/>
    <w:rsid w:val="00D425A4"/>
    <w:rsid w:val="00D425FA"/>
    <w:rsid w:val="00D42669"/>
    <w:rsid w:val="00D4273B"/>
    <w:rsid w:val="00D427C8"/>
    <w:rsid w:val="00D42803"/>
    <w:rsid w:val="00D42818"/>
    <w:rsid w:val="00D4284C"/>
    <w:rsid w:val="00D4288B"/>
    <w:rsid w:val="00D4289A"/>
    <w:rsid w:val="00D428EC"/>
    <w:rsid w:val="00D42950"/>
    <w:rsid w:val="00D4295B"/>
    <w:rsid w:val="00D42967"/>
    <w:rsid w:val="00D4296B"/>
    <w:rsid w:val="00D429F7"/>
    <w:rsid w:val="00D42A17"/>
    <w:rsid w:val="00D42A53"/>
    <w:rsid w:val="00D42AC2"/>
    <w:rsid w:val="00D42B4A"/>
    <w:rsid w:val="00D42B4C"/>
    <w:rsid w:val="00D42B4D"/>
    <w:rsid w:val="00D42C33"/>
    <w:rsid w:val="00D42CA4"/>
    <w:rsid w:val="00D42D6F"/>
    <w:rsid w:val="00D42DA4"/>
    <w:rsid w:val="00D42DB5"/>
    <w:rsid w:val="00D42E04"/>
    <w:rsid w:val="00D42E4E"/>
    <w:rsid w:val="00D42E50"/>
    <w:rsid w:val="00D42E5D"/>
    <w:rsid w:val="00D42EF4"/>
    <w:rsid w:val="00D42F39"/>
    <w:rsid w:val="00D42F75"/>
    <w:rsid w:val="00D42F7C"/>
    <w:rsid w:val="00D42FE6"/>
    <w:rsid w:val="00D43097"/>
    <w:rsid w:val="00D430A8"/>
    <w:rsid w:val="00D430C7"/>
    <w:rsid w:val="00D43125"/>
    <w:rsid w:val="00D43189"/>
    <w:rsid w:val="00D431C9"/>
    <w:rsid w:val="00D4324B"/>
    <w:rsid w:val="00D432A4"/>
    <w:rsid w:val="00D432C0"/>
    <w:rsid w:val="00D432C1"/>
    <w:rsid w:val="00D4332F"/>
    <w:rsid w:val="00D43378"/>
    <w:rsid w:val="00D433E6"/>
    <w:rsid w:val="00D4349E"/>
    <w:rsid w:val="00D434DD"/>
    <w:rsid w:val="00D43568"/>
    <w:rsid w:val="00D4363A"/>
    <w:rsid w:val="00D436A9"/>
    <w:rsid w:val="00D436CE"/>
    <w:rsid w:val="00D43765"/>
    <w:rsid w:val="00D43821"/>
    <w:rsid w:val="00D438F4"/>
    <w:rsid w:val="00D438FF"/>
    <w:rsid w:val="00D43903"/>
    <w:rsid w:val="00D4396C"/>
    <w:rsid w:val="00D4398A"/>
    <w:rsid w:val="00D43A6E"/>
    <w:rsid w:val="00D43AD2"/>
    <w:rsid w:val="00D43AED"/>
    <w:rsid w:val="00D43AFB"/>
    <w:rsid w:val="00D43B36"/>
    <w:rsid w:val="00D43BEA"/>
    <w:rsid w:val="00D43C89"/>
    <w:rsid w:val="00D43CB1"/>
    <w:rsid w:val="00D43DCC"/>
    <w:rsid w:val="00D43E4E"/>
    <w:rsid w:val="00D43ED1"/>
    <w:rsid w:val="00D43FB3"/>
    <w:rsid w:val="00D43FF9"/>
    <w:rsid w:val="00D4402A"/>
    <w:rsid w:val="00D44035"/>
    <w:rsid w:val="00D4404A"/>
    <w:rsid w:val="00D44067"/>
    <w:rsid w:val="00D44088"/>
    <w:rsid w:val="00D440B6"/>
    <w:rsid w:val="00D44145"/>
    <w:rsid w:val="00D44147"/>
    <w:rsid w:val="00D4416F"/>
    <w:rsid w:val="00D441C7"/>
    <w:rsid w:val="00D441E9"/>
    <w:rsid w:val="00D4426B"/>
    <w:rsid w:val="00D442A8"/>
    <w:rsid w:val="00D442C4"/>
    <w:rsid w:val="00D4442D"/>
    <w:rsid w:val="00D4446C"/>
    <w:rsid w:val="00D444A7"/>
    <w:rsid w:val="00D444FF"/>
    <w:rsid w:val="00D4461D"/>
    <w:rsid w:val="00D44667"/>
    <w:rsid w:val="00D446F7"/>
    <w:rsid w:val="00D4476C"/>
    <w:rsid w:val="00D447BE"/>
    <w:rsid w:val="00D447CF"/>
    <w:rsid w:val="00D448BD"/>
    <w:rsid w:val="00D4490C"/>
    <w:rsid w:val="00D44964"/>
    <w:rsid w:val="00D449AA"/>
    <w:rsid w:val="00D449B7"/>
    <w:rsid w:val="00D449C5"/>
    <w:rsid w:val="00D449CA"/>
    <w:rsid w:val="00D449DD"/>
    <w:rsid w:val="00D44B29"/>
    <w:rsid w:val="00D44BE4"/>
    <w:rsid w:val="00D44C0E"/>
    <w:rsid w:val="00D44C22"/>
    <w:rsid w:val="00D44C52"/>
    <w:rsid w:val="00D44CD6"/>
    <w:rsid w:val="00D44D21"/>
    <w:rsid w:val="00D44D43"/>
    <w:rsid w:val="00D44E1F"/>
    <w:rsid w:val="00D44E20"/>
    <w:rsid w:val="00D44E6B"/>
    <w:rsid w:val="00D44E95"/>
    <w:rsid w:val="00D44ECF"/>
    <w:rsid w:val="00D44F59"/>
    <w:rsid w:val="00D44F7D"/>
    <w:rsid w:val="00D4503B"/>
    <w:rsid w:val="00D4504C"/>
    <w:rsid w:val="00D450A6"/>
    <w:rsid w:val="00D45129"/>
    <w:rsid w:val="00D45163"/>
    <w:rsid w:val="00D451DD"/>
    <w:rsid w:val="00D45203"/>
    <w:rsid w:val="00D45278"/>
    <w:rsid w:val="00D452AA"/>
    <w:rsid w:val="00D452B0"/>
    <w:rsid w:val="00D452FB"/>
    <w:rsid w:val="00D45305"/>
    <w:rsid w:val="00D45389"/>
    <w:rsid w:val="00D453C2"/>
    <w:rsid w:val="00D453FC"/>
    <w:rsid w:val="00D45405"/>
    <w:rsid w:val="00D45417"/>
    <w:rsid w:val="00D4541C"/>
    <w:rsid w:val="00D4549E"/>
    <w:rsid w:val="00D454FC"/>
    <w:rsid w:val="00D45583"/>
    <w:rsid w:val="00D455A8"/>
    <w:rsid w:val="00D455AE"/>
    <w:rsid w:val="00D455FB"/>
    <w:rsid w:val="00D45601"/>
    <w:rsid w:val="00D45689"/>
    <w:rsid w:val="00D456B4"/>
    <w:rsid w:val="00D456BF"/>
    <w:rsid w:val="00D456DB"/>
    <w:rsid w:val="00D456EF"/>
    <w:rsid w:val="00D45754"/>
    <w:rsid w:val="00D45791"/>
    <w:rsid w:val="00D457AF"/>
    <w:rsid w:val="00D457B4"/>
    <w:rsid w:val="00D457F3"/>
    <w:rsid w:val="00D45821"/>
    <w:rsid w:val="00D45866"/>
    <w:rsid w:val="00D458D9"/>
    <w:rsid w:val="00D459A3"/>
    <w:rsid w:val="00D459AA"/>
    <w:rsid w:val="00D459B5"/>
    <w:rsid w:val="00D45A11"/>
    <w:rsid w:val="00D45A12"/>
    <w:rsid w:val="00D45AD4"/>
    <w:rsid w:val="00D45ADD"/>
    <w:rsid w:val="00D45AF8"/>
    <w:rsid w:val="00D45B5F"/>
    <w:rsid w:val="00D45BA6"/>
    <w:rsid w:val="00D45BC5"/>
    <w:rsid w:val="00D45BDE"/>
    <w:rsid w:val="00D45BE9"/>
    <w:rsid w:val="00D45CD5"/>
    <w:rsid w:val="00D45D65"/>
    <w:rsid w:val="00D45DEE"/>
    <w:rsid w:val="00D45DF7"/>
    <w:rsid w:val="00D45E45"/>
    <w:rsid w:val="00D45EEB"/>
    <w:rsid w:val="00D45F13"/>
    <w:rsid w:val="00D45F8C"/>
    <w:rsid w:val="00D45F98"/>
    <w:rsid w:val="00D45FB9"/>
    <w:rsid w:val="00D46048"/>
    <w:rsid w:val="00D46065"/>
    <w:rsid w:val="00D460B1"/>
    <w:rsid w:val="00D460BD"/>
    <w:rsid w:val="00D460CF"/>
    <w:rsid w:val="00D460F7"/>
    <w:rsid w:val="00D46180"/>
    <w:rsid w:val="00D4619E"/>
    <w:rsid w:val="00D461C4"/>
    <w:rsid w:val="00D46237"/>
    <w:rsid w:val="00D4627E"/>
    <w:rsid w:val="00D462C2"/>
    <w:rsid w:val="00D46356"/>
    <w:rsid w:val="00D463D7"/>
    <w:rsid w:val="00D46420"/>
    <w:rsid w:val="00D46455"/>
    <w:rsid w:val="00D46464"/>
    <w:rsid w:val="00D4647B"/>
    <w:rsid w:val="00D46485"/>
    <w:rsid w:val="00D464D5"/>
    <w:rsid w:val="00D4651E"/>
    <w:rsid w:val="00D46541"/>
    <w:rsid w:val="00D4654A"/>
    <w:rsid w:val="00D465DD"/>
    <w:rsid w:val="00D46642"/>
    <w:rsid w:val="00D4672F"/>
    <w:rsid w:val="00D4673A"/>
    <w:rsid w:val="00D46771"/>
    <w:rsid w:val="00D4684B"/>
    <w:rsid w:val="00D468F7"/>
    <w:rsid w:val="00D4696E"/>
    <w:rsid w:val="00D46992"/>
    <w:rsid w:val="00D469C4"/>
    <w:rsid w:val="00D46A13"/>
    <w:rsid w:val="00D46A5D"/>
    <w:rsid w:val="00D46A5F"/>
    <w:rsid w:val="00D46AB1"/>
    <w:rsid w:val="00D46AB9"/>
    <w:rsid w:val="00D46ABA"/>
    <w:rsid w:val="00D46B4B"/>
    <w:rsid w:val="00D46BE1"/>
    <w:rsid w:val="00D46C03"/>
    <w:rsid w:val="00D46C1C"/>
    <w:rsid w:val="00D46C69"/>
    <w:rsid w:val="00D46CC8"/>
    <w:rsid w:val="00D46D98"/>
    <w:rsid w:val="00D46DBE"/>
    <w:rsid w:val="00D46E77"/>
    <w:rsid w:val="00D46ED9"/>
    <w:rsid w:val="00D46EF0"/>
    <w:rsid w:val="00D46F5F"/>
    <w:rsid w:val="00D46F90"/>
    <w:rsid w:val="00D46FC1"/>
    <w:rsid w:val="00D46FC2"/>
    <w:rsid w:val="00D47028"/>
    <w:rsid w:val="00D47057"/>
    <w:rsid w:val="00D47083"/>
    <w:rsid w:val="00D470B9"/>
    <w:rsid w:val="00D470CF"/>
    <w:rsid w:val="00D470E9"/>
    <w:rsid w:val="00D4710E"/>
    <w:rsid w:val="00D47114"/>
    <w:rsid w:val="00D47216"/>
    <w:rsid w:val="00D47276"/>
    <w:rsid w:val="00D47293"/>
    <w:rsid w:val="00D47299"/>
    <w:rsid w:val="00D472B1"/>
    <w:rsid w:val="00D4731C"/>
    <w:rsid w:val="00D4735F"/>
    <w:rsid w:val="00D473AA"/>
    <w:rsid w:val="00D473CC"/>
    <w:rsid w:val="00D473E3"/>
    <w:rsid w:val="00D473F4"/>
    <w:rsid w:val="00D4740B"/>
    <w:rsid w:val="00D47419"/>
    <w:rsid w:val="00D47454"/>
    <w:rsid w:val="00D4748B"/>
    <w:rsid w:val="00D474D6"/>
    <w:rsid w:val="00D474E4"/>
    <w:rsid w:val="00D4755D"/>
    <w:rsid w:val="00D47597"/>
    <w:rsid w:val="00D476A1"/>
    <w:rsid w:val="00D476EA"/>
    <w:rsid w:val="00D477B1"/>
    <w:rsid w:val="00D477C1"/>
    <w:rsid w:val="00D477E3"/>
    <w:rsid w:val="00D47816"/>
    <w:rsid w:val="00D4788D"/>
    <w:rsid w:val="00D4789B"/>
    <w:rsid w:val="00D478EE"/>
    <w:rsid w:val="00D478F5"/>
    <w:rsid w:val="00D4798E"/>
    <w:rsid w:val="00D479EB"/>
    <w:rsid w:val="00D479F6"/>
    <w:rsid w:val="00D47A6D"/>
    <w:rsid w:val="00D47ADF"/>
    <w:rsid w:val="00D47B42"/>
    <w:rsid w:val="00D47B54"/>
    <w:rsid w:val="00D47B58"/>
    <w:rsid w:val="00D47B62"/>
    <w:rsid w:val="00D47BDA"/>
    <w:rsid w:val="00D47CBB"/>
    <w:rsid w:val="00D47CE1"/>
    <w:rsid w:val="00D47D87"/>
    <w:rsid w:val="00D47DD9"/>
    <w:rsid w:val="00D47DF5"/>
    <w:rsid w:val="00D47E61"/>
    <w:rsid w:val="00D47F85"/>
    <w:rsid w:val="00D50040"/>
    <w:rsid w:val="00D5009C"/>
    <w:rsid w:val="00D500A3"/>
    <w:rsid w:val="00D50170"/>
    <w:rsid w:val="00D50191"/>
    <w:rsid w:val="00D501B9"/>
    <w:rsid w:val="00D50205"/>
    <w:rsid w:val="00D502DB"/>
    <w:rsid w:val="00D50327"/>
    <w:rsid w:val="00D503C6"/>
    <w:rsid w:val="00D50421"/>
    <w:rsid w:val="00D50457"/>
    <w:rsid w:val="00D50458"/>
    <w:rsid w:val="00D5049A"/>
    <w:rsid w:val="00D504AA"/>
    <w:rsid w:val="00D504C5"/>
    <w:rsid w:val="00D50595"/>
    <w:rsid w:val="00D505B9"/>
    <w:rsid w:val="00D505E8"/>
    <w:rsid w:val="00D5068D"/>
    <w:rsid w:val="00D506A5"/>
    <w:rsid w:val="00D506D2"/>
    <w:rsid w:val="00D506E4"/>
    <w:rsid w:val="00D50702"/>
    <w:rsid w:val="00D50790"/>
    <w:rsid w:val="00D507B5"/>
    <w:rsid w:val="00D508E5"/>
    <w:rsid w:val="00D50944"/>
    <w:rsid w:val="00D50A98"/>
    <w:rsid w:val="00D50AB3"/>
    <w:rsid w:val="00D50B4F"/>
    <w:rsid w:val="00D50BB0"/>
    <w:rsid w:val="00D50BF3"/>
    <w:rsid w:val="00D50C67"/>
    <w:rsid w:val="00D50E06"/>
    <w:rsid w:val="00D50E7E"/>
    <w:rsid w:val="00D50E84"/>
    <w:rsid w:val="00D50E86"/>
    <w:rsid w:val="00D50F34"/>
    <w:rsid w:val="00D50F81"/>
    <w:rsid w:val="00D510B9"/>
    <w:rsid w:val="00D510D1"/>
    <w:rsid w:val="00D51102"/>
    <w:rsid w:val="00D5117A"/>
    <w:rsid w:val="00D5118D"/>
    <w:rsid w:val="00D511B3"/>
    <w:rsid w:val="00D511CE"/>
    <w:rsid w:val="00D51210"/>
    <w:rsid w:val="00D51276"/>
    <w:rsid w:val="00D512D7"/>
    <w:rsid w:val="00D51300"/>
    <w:rsid w:val="00D51361"/>
    <w:rsid w:val="00D51382"/>
    <w:rsid w:val="00D513C2"/>
    <w:rsid w:val="00D513DA"/>
    <w:rsid w:val="00D513FB"/>
    <w:rsid w:val="00D51492"/>
    <w:rsid w:val="00D51493"/>
    <w:rsid w:val="00D514B4"/>
    <w:rsid w:val="00D514B9"/>
    <w:rsid w:val="00D514E1"/>
    <w:rsid w:val="00D514E6"/>
    <w:rsid w:val="00D5151E"/>
    <w:rsid w:val="00D51540"/>
    <w:rsid w:val="00D515B2"/>
    <w:rsid w:val="00D51632"/>
    <w:rsid w:val="00D5170F"/>
    <w:rsid w:val="00D5172E"/>
    <w:rsid w:val="00D51743"/>
    <w:rsid w:val="00D5175F"/>
    <w:rsid w:val="00D5176D"/>
    <w:rsid w:val="00D5179E"/>
    <w:rsid w:val="00D517DD"/>
    <w:rsid w:val="00D5184A"/>
    <w:rsid w:val="00D5184D"/>
    <w:rsid w:val="00D51853"/>
    <w:rsid w:val="00D51873"/>
    <w:rsid w:val="00D518E5"/>
    <w:rsid w:val="00D51951"/>
    <w:rsid w:val="00D51958"/>
    <w:rsid w:val="00D5198E"/>
    <w:rsid w:val="00D51991"/>
    <w:rsid w:val="00D51A01"/>
    <w:rsid w:val="00D51A17"/>
    <w:rsid w:val="00D51B55"/>
    <w:rsid w:val="00D51C05"/>
    <w:rsid w:val="00D51DCE"/>
    <w:rsid w:val="00D51DFC"/>
    <w:rsid w:val="00D51E54"/>
    <w:rsid w:val="00D51EAA"/>
    <w:rsid w:val="00D51ED4"/>
    <w:rsid w:val="00D51F38"/>
    <w:rsid w:val="00D51F8C"/>
    <w:rsid w:val="00D51FB1"/>
    <w:rsid w:val="00D51FF8"/>
    <w:rsid w:val="00D52015"/>
    <w:rsid w:val="00D5208A"/>
    <w:rsid w:val="00D52092"/>
    <w:rsid w:val="00D520D1"/>
    <w:rsid w:val="00D52198"/>
    <w:rsid w:val="00D521C6"/>
    <w:rsid w:val="00D5225C"/>
    <w:rsid w:val="00D52352"/>
    <w:rsid w:val="00D52354"/>
    <w:rsid w:val="00D5236B"/>
    <w:rsid w:val="00D5244B"/>
    <w:rsid w:val="00D52475"/>
    <w:rsid w:val="00D524AC"/>
    <w:rsid w:val="00D524DC"/>
    <w:rsid w:val="00D52529"/>
    <w:rsid w:val="00D5257C"/>
    <w:rsid w:val="00D52582"/>
    <w:rsid w:val="00D5258A"/>
    <w:rsid w:val="00D525D1"/>
    <w:rsid w:val="00D5267D"/>
    <w:rsid w:val="00D52682"/>
    <w:rsid w:val="00D527E2"/>
    <w:rsid w:val="00D527F0"/>
    <w:rsid w:val="00D5283B"/>
    <w:rsid w:val="00D528EF"/>
    <w:rsid w:val="00D52908"/>
    <w:rsid w:val="00D529E9"/>
    <w:rsid w:val="00D52A20"/>
    <w:rsid w:val="00D52A90"/>
    <w:rsid w:val="00D52AC3"/>
    <w:rsid w:val="00D52B5F"/>
    <w:rsid w:val="00D52BA8"/>
    <w:rsid w:val="00D52BAF"/>
    <w:rsid w:val="00D52C03"/>
    <w:rsid w:val="00D52CF5"/>
    <w:rsid w:val="00D52D09"/>
    <w:rsid w:val="00D52D45"/>
    <w:rsid w:val="00D52D5E"/>
    <w:rsid w:val="00D52DB5"/>
    <w:rsid w:val="00D52E04"/>
    <w:rsid w:val="00D52E2B"/>
    <w:rsid w:val="00D52E78"/>
    <w:rsid w:val="00D52EB0"/>
    <w:rsid w:val="00D52FA1"/>
    <w:rsid w:val="00D52FCD"/>
    <w:rsid w:val="00D5306E"/>
    <w:rsid w:val="00D53123"/>
    <w:rsid w:val="00D53125"/>
    <w:rsid w:val="00D53183"/>
    <w:rsid w:val="00D53197"/>
    <w:rsid w:val="00D531C4"/>
    <w:rsid w:val="00D531E8"/>
    <w:rsid w:val="00D532AA"/>
    <w:rsid w:val="00D53384"/>
    <w:rsid w:val="00D533CC"/>
    <w:rsid w:val="00D5344B"/>
    <w:rsid w:val="00D53484"/>
    <w:rsid w:val="00D534FA"/>
    <w:rsid w:val="00D535A3"/>
    <w:rsid w:val="00D5361A"/>
    <w:rsid w:val="00D53635"/>
    <w:rsid w:val="00D53647"/>
    <w:rsid w:val="00D5364A"/>
    <w:rsid w:val="00D536E6"/>
    <w:rsid w:val="00D53753"/>
    <w:rsid w:val="00D537FF"/>
    <w:rsid w:val="00D5385C"/>
    <w:rsid w:val="00D53877"/>
    <w:rsid w:val="00D5389D"/>
    <w:rsid w:val="00D538F1"/>
    <w:rsid w:val="00D53904"/>
    <w:rsid w:val="00D539CB"/>
    <w:rsid w:val="00D53A16"/>
    <w:rsid w:val="00D53A1A"/>
    <w:rsid w:val="00D53A41"/>
    <w:rsid w:val="00D53B0D"/>
    <w:rsid w:val="00D53B7C"/>
    <w:rsid w:val="00D53C72"/>
    <w:rsid w:val="00D53C9F"/>
    <w:rsid w:val="00D53CFA"/>
    <w:rsid w:val="00D53D53"/>
    <w:rsid w:val="00D53DA5"/>
    <w:rsid w:val="00D53E09"/>
    <w:rsid w:val="00D53E16"/>
    <w:rsid w:val="00D53EAB"/>
    <w:rsid w:val="00D53EB6"/>
    <w:rsid w:val="00D53F58"/>
    <w:rsid w:val="00D53F73"/>
    <w:rsid w:val="00D53FA8"/>
    <w:rsid w:val="00D5401C"/>
    <w:rsid w:val="00D54048"/>
    <w:rsid w:val="00D540E1"/>
    <w:rsid w:val="00D5412A"/>
    <w:rsid w:val="00D54158"/>
    <w:rsid w:val="00D5418E"/>
    <w:rsid w:val="00D5419C"/>
    <w:rsid w:val="00D541CA"/>
    <w:rsid w:val="00D541CE"/>
    <w:rsid w:val="00D54204"/>
    <w:rsid w:val="00D5421F"/>
    <w:rsid w:val="00D54247"/>
    <w:rsid w:val="00D54270"/>
    <w:rsid w:val="00D54285"/>
    <w:rsid w:val="00D54319"/>
    <w:rsid w:val="00D54328"/>
    <w:rsid w:val="00D5434F"/>
    <w:rsid w:val="00D543C7"/>
    <w:rsid w:val="00D54405"/>
    <w:rsid w:val="00D544A9"/>
    <w:rsid w:val="00D544AA"/>
    <w:rsid w:val="00D544BA"/>
    <w:rsid w:val="00D544E8"/>
    <w:rsid w:val="00D54533"/>
    <w:rsid w:val="00D54633"/>
    <w:rsid w:val="00D54674"/>
    <w:rsid w:val="00D5468A"/>
    <w:rsid w:val="00D546B8"/>
    <w:rsid w:val="00D54727"/>
    <w:rsid w:val="00D54779"/>
    <w:rsid w:val="00D547D7"/>
    <w:rsid w:val="00D547FC"/>
    <w:rsid w:val="00D5499A"/>
    <w:rsid w:val="00D5499F"/>
    <w:rsid w:val="00D54A4D"/>
    <w:rsid w:val="00D54A58"/>
    <w:rsid w:val="00D54A64"/>
    <w:rsid w:val="00D54ABE"/>
    <w:rsid w:val="00D54AC3"/>
    <w:rsid w:val="00D54AE3"/>
    <w:rsid w:val="00D54B16"/>
    <w:rsid w:val="00D54B5D"/>
    <w:rsid w:val="00D54B84"/>
    <w:rsid w:val="00D54C60"/>
    <w:rsid w:val="00D54CA0"/>
    <w:rsid w:val="00D54CAD"/>
    <w:rsid w:val="00D54D02"/>
    <w:rsid w:val="00D54D19"/>
    <w:rsid w:val="00D54D32"/>
    <w:rsid w:val="00D54D47"/>
    <w:rsid w:val="00D54D63"/>
    <w:rsid w:val="00D54D6A"/>
    <w:rsid w:val="00D54DB1"/>
    <w:rsid w:val="00D54DE2"/>
    <w:rsid w:val="00D54E47"/>
    <w:rsid w:val="00D54E91"/>
    <w:rsid w:val="00D54EBF"/>
    <w:rsid w:val="00D54EDC"/>
    <w:rsid w:val="00D54F12"/>
    <w:rsid w:val="00D54FAB"/>
    <w:rsid w:val="00D54FC6"/>
    <w:rsid w:val="00D54FF3"/>
    <w:rsid w:val="00D55028"/>
    <w:rsid w:val="00D55030"/>
    <w:rsid w:val="00D55044"/>
    <w:rsid w:val="00D5508C"/>
    <w:rsid w:val="00D55098"/>
    <w:rsid w:val="00D55132"/>
    <w:rsid w:val="00D551CC"/>
    <w:rsid w:val="00D551E4"/>
    <w:rsid w:val="00D55241"/>
    <w:rsid w:val="00D55289"/>
    <w:rsid w:val="00D553FF"/>
    <w:rsid w:val="00D5541A"/>
    <w:rsid w:val="00D554A1"/>
    <w:rsid w:val="00D554C0"/>
    <w:rsid w:val="00D55513"/>
    <w:rsid w:val="00D55586"/>
    <w:rsid w:val="00D55590"/>
    <w:rsid w:val="00D55699"/>
    <w:rsid w:val="00D556A0"/>
    <w:rsid w:val="00D556EB"/>
    <w:rsid w:val="00D556F2"/>
    <w:rsid w:val="00D556F7"/>
    <w:rsid w:val="00D556FF"/>
    <w:rsid w:val="00D5578A"/>
    <w:rsid w:val="00D5581B"/>
    <w:rsid w:val="00D558F6"/>
    <w:rsid w:val="00D559F3"/>
    <w:rsid w:val="00D55A06"/>
    <w:rsid w:val="00D55AA6"/>
    <w:rsid w:val="00D55B12"/>
    <w:rsid w:val="00D55B3C"/>
    <w:rsid w:val="00D55B8B"/>
    <w:rsid w:val="00D55C02"/>
    <w:rsid w:val="00D55C35"/>
    <w:rsid w:val="00D55C62"/>
    <w:rsid w:val="00D55C93"/>
    <w:rsid w:val="00D55CB6"/>
    <w:rsid w:val="00D55D0E"/>
    <w:rsid w:val="00D55D11"/>
    <w:rsid w:val="00D55D8F"/>
    <w:rsid w:val="00D55DB3"/>
    <w:rsid w:val="00D55E34"/>
    <w:rsid w:val="00D55E6A"/>
    <w:rsid w:val="00D55E9B"/>
    <w:rsid w:val="00D55EEC"/>
    <w:rsid w:val="00D56012"/>
    <w:rsid w:val="00D56013"/>
    <w:rsid w:val="00D56075"/>
    <w:rsid w:val="00D56079"/>
    <w:rsid w:val="00D560C8"/>
    <w:rsid w:val="00D560F3"/>
    <w:rsid w:val="00D560FE"/>
    <w:rsid w:val="00D5620C"/>
    <w:rsid w:val="00D5622C"/>
    <w:rsid w:val="00D56238"/>
    <w:rsid w:val="00D56239"/>
    <w:rsid w:val="00D56256"/>
    <w:rsid w:val="00D56301"/>
    <w:rsid w:val="00D5637E"/>
    <w:rsid w:val="00D5639D"/>
    <w:rsid w:val="00D563E7"/>
    <w:rsid w:val="00D5641D"/>
    <w:rsid w:val="00D564A3"/>
    <w:rsid w:val="00D5650B"/>
    <w:rsid w:val="00D56534"/>
    <w:rsid w:val="00D5653F"/>
    <w:rsid w:val="00D56552"/>
    <w:rsid w:val="00D566DC"/>
    <w:rsid w:val="00D56737"/>
    <w:rsid w:val="00D56780"/>
    <w:rsid w:val="00D56850"/>
    <w:rsid w:val="00D56918"/>
    <w:rsid w:val="00D5692A"/>
    <w:rsid w:val="00D569AB"/>
    <w:rsid w:val="00D56AAB"/>
    <w:rsid w:val="00D56AD0"/>
    <w:rsid w:val="00D56AD3"/>
    <w:rsid w:val="00D56BCB"/>
    <w:rsid w:val="00D56BDC"/>
    <w:rsid w:val="00D56CA0"/>
    <w:rsid w:val="00D56CA7"/>
    <w:rsid w:val="00D56DC2"/>
    <w:rsid w:val="00D56DEA"/>
    <w:rsid w:val="00D56E51"/>
    <w:rsid w:val="00D56EAD"/>
    <w:rsid w:val="00D56EE1"/>
    <w:rsid w:val="00D56F6B"/>
    <w:rsid w:val="00D56F7B"/>
    <w:rsid w:val="00D56FCE"/>
    <w:rsid w:val="00D56FD1"/>
    <w:rsid w:val="00D57043"/>
    <w:rsid w:val="00D570AE"/>
    <w:rsid w:val="00D57115"/>
    <w:rsid w:val="00D5712D"/>
    <w:rsid w:val="00D571B1"/>
    <w:rsid w:val="00D57246"/>
    <w:rsid w:val="00D5729F"/>
    <w:rsid w:val="00D572FE"/>
    <w:rsid w:val="00D5736E"/>
    <w:rsid w:val="00D57386"/>
    <w:rsid w:val="00D57388"/>
    <w:rsid w:val="00D573BE"/>
    <w:rsid w:val="00D57437"/>
    <w:rsid w:val="00D574A3"/>
    <w:rsid w:val="00D57572"/>
    <w:rsid w:val="00D575EB"/>
    <w:rsid w:val="00D57615"/>
    <w:rsid w:val="00D57662"/>
    <w:rsid w:val="00D576B9"/>
    <w:rsid w:val="00D576FF"/>
    <w:rsid w:val="00D57703"/>
    <w:rsid w:val="00D57841"/>
    <w:rsid w:val="00D5784E"/>
    <w:rsid w:val="00D57934"/>
    <w:rsid w:val="00D5795F"/>
    <w:rsid w:val="00D579B5"/>
    <w:rsid w:val="00D579CC"/>
    <w:rsid w:val="00D579EF"/>
    <w:rsid w:val="00D57A02"/>
    <w:rsid w:val="00D57A36"/>
    <w:rsid w:val="00D57B07"/>
    <w:rsid w:val="00D57B70"/>
    <w:rsid w:val="00D57BE8"/>
    <w:rsid w:val="00D57C18"/>
    <w:rsid w:val="00D57C3E"/>
    <w:rsid w:val="00D57C4E"/>
    <w:rsid w:val="00D57CBF"/>
    <w:rsid w:val="00D57CE5"/>
    <w:rsid w:val="00D57D4D"/>
    <w:rsid w:val="00D57D6D"/>
    <w:rsid w:val="00D57DC8"/>
    <w:rsid w:val="00D57DDD"/>
    <w:rsid w:val="00D57DE0"/>
    <w:rsid w:val="00D57E0C"/>
    <w:rsid w:val="00D57E3B"/>
    <w:rsid w:val="00D57E47"/>
    <w:rsid w:val="00D57E7D"/>
    <w:rsid w:val="00D57E99"/>
    <w:rsid w:val="00D57ED2"/>
    <w:rsid w:val="00D57EEC"/>
    <w:rsid w:val="00D60026"/>
    <w:rsid w:val="00D6007D"/>
    <w:rsid w:val="00D60091"/>
    <w:rsid w:val="00D600CD"/>
    <w:rsid w:val="00D600E3"/>
    <w:rsid w:val="00D60114"/>
    <w:rsid w:val="00D60135"/>
    <w:rsid w:val="00D60142"/>
    <w:rsid w:val="00D601C9"/>
    <w:rsid w:val="00D60205"/>
    <w:rsid w:val="00D6021F"/>
    <w:rsid w:val="00D60231"/>
    <w:rsid w:val="00D60345"/>
    <w:rsid w:val="00D6038E"/>
    <w:rsid w:val="00D60393"/>
    <w:rsid w:val="00D604FA"/>
    <w:rsid w:val="00D6054C"/>
    <w:rsid w:val="00D60567"/>
    <w:rsid w:val="00D60596"/>
    <w:rsid w:val="00D6069D"/>
    <w:rsid w:val="00D6069F"/>
    <w:rsid w:val="00D60781"/>
    <w:rsid w:val="00D60782"/>
    <w:rsid w:val="00D60787"/>
    <w:rsid w:val="00D6086A"/>
    <w:rsid w:val="00D6089B"/>
    <w:rsid w:val="00D6092A"/>
    <w:rsid w:val="00D6097C"/>
    <w:rsid w:val="00D60988"/>
    <w:rsid w:val="00D609F0"/>
    <w:rsid w:val="00D60A0A"/>
    <w:rsid w:val="00D60A38"/>
    <w:rsid w:val="00D60A4D"/>
    <w:rsid w:val="00D60A5D"/>
    <w:rsid w:val="00D60AFC"/>
    <w:rsid w:val="00D60B6F"/>
    <w:rsid w:val="00D60C30"/>
    <w:rsid w:val="00D60C7A"/>
    <w:rsid w:val="00D60CE7"/>
    <w:rsid w:val="00D60D16"/>
    <w:rsid w:val="00D60D27"/>
    <w:rsid w:val="00D60DDC"/>
    <w:rsid w:val="00D60DDE"/>
    <w:rsid w:val="00D60E29"/>
    <w:rsid w:val="00D60E7B"/>
    <w:rsid w:val="00D60EE4"/>
    <w:rsid w:val="00D60F8F"/>
    <w:rsid w:val="00D60FC7"/>
    <w:rsid w:val="00D60FE6"/>
    <w:rsid w:val="00D61031"/>
    <w:rsid w:val="00D610ED"/>
    <w:rsid w:val="00D61105"/>
    <w:rsid w:val="00D61119"/>
    <w:rsid w:val="00D6115F"/>
    <w:rsid w:val="00D611BA"/>
    <w:rsid w:val="00D611E0"/>
    <w:rsid w:val="00D61245"/>
    <w:rsid w:val="00D612E6"/>
    <w:rsid w:val="00D61339"/>
    <w:rsid w:val="00D6134F"/>
    <w:rsid w:val="00D61350"/>
    <w:rsid w:val="00D6135E"/>
    <w:rsid w:val="00D6138E"/>
    <w:rsid w:val="00D6139F"/>
    <w:rsid w:val="00D613BB"/>
    <w:rsid w:val="00D61402"/>
    <w:rsid w:val="00D614DC"/>
    <w:rsid w:val="00D614FE"/>
    <w:rsid w:val="00D615C2"/>
    <w:rsid w:val="00D61631"/>
    <w:rsid w:val="00D6167C"/>
    <w:rsid w:val="00D61687"/>
    <w:rsid w:val="00D61745"/>
    <w:rsid w:val="00D6175D"/>
    <w:rsid w:val="00D61794"/>
    <w:rsid w:val="00D617C2"/>
    <w:rsid w:val="00D61836"/>
    <w:rsid w:val="00D6188B"/>
    <w:rsid w:val="00D61936"/>
    <w:rsid w:val="00D6194C"/>
    <w:rsid w:val="00D6195A"/>
    <w:rsid w:val="00D6197E"/>
    <w:rsid w:val="00D619A6"/>
    <w:rsid w:val="00D619A9"/>
    <w:rsid w:val="00D61A49"/>
    <w:rsid w:val="00D61A71"/>
    <w:rsid w:val="00D61A72"/>
    <w:rsid w:val="00D61B16"/>
    <w:rsid w:val="00D61B1B"/>
    <w:rsid w:val="00D61B63"/>
    <w:rsid w:val="00D61B98"/>
    <w:rsid w:val="00D61BC8"/>
    <w:rsid w:val="00D61C14"/>
    <w:rsid w:val="00D61C1B"/>
    <w:rsid w:val="00D61C1F"/>
    <w:rsid w:val="00D61C3A"/>
    <w:rsid w:val="00D61CE9"/>
    <w:rsid w:val="00D61D51"/>
    <w:rsid w:val="00D61DB9"/>
    <w:rsid w:val="00D61DD0"/>
    <w:rsid w:val="00D61DD2"/>
    <w:rsid w:val="00D61DDA"/>
    <w:rsid w:val="00D61E0A"/>
    <w:rsid w:val="00D61E41"/>
    <w:rsid w:val="00D61E50"/>
    <w:rsid w:val="00D61E8A"/>
    <w:rsid w:val="00D61F0D"/>
    <w:rsid w:val="00D61F5E"/>
    <w:rsid w:val="00D61FD3"/>
    <w:rsid w:val="00D61FD7"/>
    <w:rsid w:val="00D62006"/>
    <w:rsid w:val="00D6200C"/>
    <w:rsid w:val="00D62015"/>
    <w:rsid w:val="00D62033"/>
    <w:rsid w:val="00D62091"/>
    <w:rsid w:val="00D62149"/>
    <w:rsid w:val="00D6218B"/>
    <w:rsid w:val="00D62224"/>
    <w:rsid w:val="00D6228D"/>
    <w:rsid w:val="00D6229E"/>
    <w:rsid w:val="00D622D5"/>
    <w:rsid w:val="00D6231E"/>
    <w:rsid w:val="00D62353"/>
    <w:rsid w:val="00D623BB"/>
    <w:rsid w:val="00D6248D"/>
    <w:rsid w:val="00D624B0"/>
    <w:rsid w:val="00D624FD"/>
    <w:rsid w:val="00D62512"/>
    <w:rsid w:val="00D62663"/>
    <w:rsid w:val="00D6266A"/>
    <w:rsid w:val="00D62730"/>
    <w:rsid w:val="00D62769"/>
    <w:rsid w:val="00D6276F"/>
    <w:rsid w:val="00D627F6"/>
    <w:rsid w:val="00D62833"/>
    <w:rsid w:val="00D6287D"/>
    <w:rsid w:val="00D62A3E"/>
    <w:rsid w:val="00D62A40"/>
    <w:rsid w:val="00D62A98"/>
    <w:rsid w:val="00D62AA8"/>
    <w:rsid w:val="00D62AB7"/>
    <w:rsid w:val="00D62B0B"/>
    <w:rsid w:val="00D62B3C"/>
    <w:rsid w:val="00D62B3E"/>
    <w:rsid w:val="00D62B71"/>
    <w:rsid w:val="00D62B85"/>
    <w:rsid w:val="00D62B86"/>
    <w:rsid w:val="00D62B92"/>
    <w:rsid w:val="00D62B94"/>
    <w:rsid w:val="00D62C0D"/>
    <w:rsid w:val="00D62C52"/>
    <w:rsid w:val="00D62D3D"/>
    <w:rsid w:val="00D62D60"/>
    <w:rsid w:val="00D62D90"/>
    <w:rsid w:val="00D62DE8"/>
    <w:rsid w:val="00D62E45"/>
    <w:rsid w:val="00D62F57"/>
    <w:rsid w:val="00D62FE2"/>
    <w:rsid w:val="00D63109"/>
    <w:rsid w:val="00D6310D"/>
    <w:rsid w:val="00D63183"/>
    <w:rsid w:val="00D631B6"/>
    <w:rsid w:val="00D631D8"/>
    <w:rsid w:val="00D631F7"/>
    <w:rsid w:val="00D63254"/>
    <w:rsid w:val="00D63379"/>
    <w:rsid w:val="00D633C6"/>
    <w:rsid w:val="00D633F6"/>
    <w:rsid w:val="00D63413"/>
    <w:rsid w:val="00D63429"/>
    <w:rsid w:val="00D6342B"/>
    <w:rsid w:val="00D63464"/>
    <w:rsid w:val="00D63479"/>
    <w:rsid w:val="00D6348A"/>
    <w:rsid w:val="00D6349D"/>
    <w:rsid w:val="00D634A1"/>
    <w:rsid w:val="00D6351C"/>
    <w:rsid w:val="00D6351E"/>
    <w:rsid w:val="00D63524"/>
    <w:rsid w:val="00D6357D"/>
    <w:rsid w:val="00D63582"/>
    <w:rsid w:val="00D635C6"/>
    <w:rsid w:val="00D635C9"/>
    <w:rsid w:val="00D635D1"/>
    <w:rsid w:val="00D636B7"/>
    <w:rsid w:val="00D636B8"/>
    <w:rsid w:val="00D636DA"/>
    <w:rsid w:val="00D63738"/>
    <w:rsid w:val="00D63780"/>
    <w:rsid w:val="00D63787"/>
    <w:rsid w:val="00D637C3"/>
    <w:rsid w:val="00D63897"/>
    <w:rsid w:val="00D638DA"/>
    <w:rsid w:val="00D6394E"/>
    <w:rsid w:val="00D639BF"/>
    <w:rsid w:val="00D639E9"/>
    <w:rsid w:val="00D639EB"/>
    <w:rsid w:val="00D63A9F"/>
    <w:rsid w:val="00D63AC4"/>
    <w:rsid w:val="00D63B89"/>
    <w:rsid w:val="00D63B8F"/>
    <w:rsid w:val="00D63BB3"/>
    <w:rsid w:val="00D63C10"/>
    <w:rsid w:val="00D63C23"/>
    <w:rsid w:val="00D63CCF"/>
    <w:rsid w:val="00D63CE0"/>
    <w:rsid w:val="00D63D43"/>
    <w:rsid w:val="00D63D48"/>
    <w:rsid w:val="00D63D49"/>
    <w:rsid w:val="00D63DB4"/>
    <w:rsid w:val="00D63DB5"/>
    <w:rsid w:val="00D63DDA"/>
    <w:rsid w:val="00D63E5E"/>
    <w:rsid w:val="00D63EC5"/>
    <w:rsid w:val="00D63EC8"/>
    <w:rsid w:val="00D63ECE"/>
    <w:rsid w:val="00D63F0B"/>
    <w:rsid w:val="00D63F9A"/>
    <w:rsid w:val="00D63FE8"/>
    <w:rsid w:val="00D6402C"/>
    <w:rsid w:val="00D6405B"/>
    <w:rsid w:val="00D64069"/>
    <w:rsid w:val="00D64073"/>
    <w:rsid w:val="00D64091"/>
    <w:rsid w:val="00D64095"/>
    <w:rsid w:val="00D640BF"/>
    <w:rsid w:val="00D640D6"/>
    <w:rsid w:val="00D640FE"/>
    <w:rsid w:val="00D6411E"/>
    <w:rsid w:val="00D64142"/>
    <w:rsid w:val="00D64166"/>
    <w:rsid w:val="00D641F3"/>
    <w:rsid w:val="00D64230"/>
    <w:rsid w:val="00D6438D"/>
    <w:rsid w:val="00D643B4"/>
    <w:rsid w:val="00D6448A"/>
    <w:rsid w:val="00D6448B"/>
    <w:rsid w:val="00D644FA"/>
    <w:rsid w:val="00D64527"/>
    <w:rsid w:val="00D6452E"/>
    <w:rsid w:val="00D6454B"/>
    <w:rsid w:val="00D6462E"/>
    <w:rsid w:val="00D6463B"/>
    <w:rsid w:val="00D64640"/>
    <w:rsid w:val="00D64680"/>
    <w:rsid w:val="00D64725"/>
    <w:rsid w:val="00D64792"/>
    <w:rsid w:val="00D6480F"/>
    <w:rsid w:val="00D6486B"/>
    <w:rsid w:val="00D6487E"/>
    <w:rsid w:val="00D64925"/>
    <w:rsid w:val="00D64974"/>
    <w:rsid w:val="00D64990"/>
    <w:rsid w:val="00D649B9"/>
    <w:rsid w:val="00D64A12"/>
    <w:rsid w:val="00D64A39"/>
    <w:rsid w:val="00D64A43"/>
    <w:rsid w:val="00D64A74"/>
    <w:rsid w:val="00D64B7E"/>
    <w:rsid w:val="00D64B9C"/>
    <w:rsid w:val="00D64BBE"/>
    <w:rsid w:val="00D64BC7"/>
    <w:rsid w:val="00D64C13"/>
    <w:rsid w:val="00D64C55"/>
    <w:rsid w:val="00D64CA7"/>
    <w:rsid w:val="00D64CC8"/>
    <w:rsid w:val="00D64CCC"/>
    <w:rsid w:val="00D64D5D"/>
    <w:rsid w:val="00D64DA0"/>
    <w:rsid w:val="00D64E20"/>
    <w:rsid w:val="00D64EB8"/>
    <w:rsid w:val="00D64EC0"/>
    <w:rsid w:val="00D64F12"/>
    <w:rsid w:val="00D64F20"/>
    <w:rsid w:val="00D64FF4"/>
    <w:rsid w:val="00D64FF9"/>
    <w:rsid w:val="00D65027"/>
    <w:rsid w:val="00D6506D"/>
    <w:rsid w:val="00D65085"/>
    <w:rsid w:val="00D6509A"/>
    <w:rsid w:val="00D650E1"/>
    <w:rsid w:val="00D65108"/>
    <w:rsid w:val="00D65174"/>
    <w:rsid w:val="00D651F1"/>
    <w:rsid w:val="00D6527C"/>
    <w:rsid w:val="00D65290"/>
    <w:rsid w:val="00D652DE"/>
    <w:rsid w:val="00D65347"/>
    <w:rsid w:val="00D6536A"/>
    <w:rsid w:val="00D6536E"/>
    <w:rsid w:val="00D65395"/>
    <w:rsid w:val="00D653B5"/>
    <w:rsid w:val="00D653D9"/>
    <w:rsid w:val="00D65459"/>
    <w:rsid w:val="00D65483"/>
    <w:rsid w:val="00D654D3"/>
    <w:rsid w:val="00D6555D"/>
    <w:rsid w:val="00D6556B"/>
    <w:rsid w:val="00D65653"/>
    <w:rsid w:val="00D6569C"/>
    <w:rsid w:val="00D656C8"/>
    <w:rsid w:val="00D65732"/>
    <w:rsid w:val="00D6578A"/>
    <w:rsid w:val="00D657B5"/>
    <w:rsid w:val="00D657BA"/>
    <w:rsid w:val="00D657C8"/>
    <w:rsid w:val="00D657CA"/>
    <w:rsid w:val="00D657D7"/>
    <w:rsid w:val="00D65899"/>
    <w:rsid w:val="00D658B5"/>
    <w:rsid w:val="00D65920"/>
    <w:rsid w:val="00D65A20"/>
    <w:rsid w:val="00D65ACC"/>
    <w:rsid w:val="00D65B17"/>
    <w:rsid w:val="00D65B26"/>
    <w:rsid w:val="00D65B75"/>
    <w:rsid w:val="00D65C01"/>
    <w:rsid w:val="00D65C35"/>
    <w:rsid w:val="00D65C6E"/>
    <w:rsid w:val="00D65C70"/>
    <w:rsid w:val="00D65CC9"/>
    <w:rsid w:val="00D65CF3"/>
    <w:rsid w:val="00D65D05"/>
    <w:rsid w:val="00D65D20"/>
    <w:rsid w:val="00D65D49"/>
    <w:rsid w:val="00D65D66"/>
    <w:rsid w:val="00D65D73"/>
    <w:rsid w:val="00D65D8E"/>
    <w:rsid w:val="00D65E65"/>
    <w:rsid w:val="00D65F4C"/>
    <w:rsid w:val="00D65FE7"/>
    <w:rsid w:val="00D6605B"/>
    <w:rsid w:val="00D66072"/>
    <w:rsid w:val="00D6607B"/>
    <w:rsid w:val="00D66109"/>
    <w:rsid w:val="00D66159"/>
    <w:rsid w:val="00D6626E"/>
    <w:rsid w:val="00D6630F"/>
    <w:rsid w:val="00D663A1"/>
    <w:rsid w:val="00D663BA"/>
    <w:rsid w:val="00D66406"/>
    <w:rsid w:val="00D6641B"/>
    <w:rsid w:val="00D6642A"/>
    <w:rsid w:val="00D664DD"/>
    <w:rsid w:val="00D664DF"/>
    <w:rsid w:val="00D664FC"/>
    <w:rsid w:val="00D6651A"/>
    <w:rsid w:val="00D66531"/>
    <w:rsid w:val="00D665A3"/>
    <w:rsid w:val="00D667B8"/>
    <w:rsid w:val="00D6680A"/>
    <w:rsid w:val="00D66858"/>
    <w:rsid w:val="00D66913"/>
    <w:rsid w:val="00D66914"/>
    <w:rsid w:val="00D6691D"/>
    <w:rsid w:val="00D66945"/>
    <w:rsid w:val="00D66951"/>
    <w:rsid w:val="00D669B1"/>
    <w:rsid w:val="00D66A19"/>
    <w:rsid w:val="00D66A29"/>
    <w:rsid w:val="00D66AAA"/>
    <w:rsid w:val="00D66ADF"/>
    <w:rsid w:val="00D66E04"/>
    <w:rsid w:val="00D66E48"/>
    <w:rsid w:val="00D66E5A"/>
    <w:rsid w:val="00D66ED4"/>
    <w:rsid w:val="00D66F0A"/>
    <w:rsid w:val="00D66FA7"/>
    <w:rsid w:val="00D66FC9"/>
    <w:rsid w:val="00D6705C"/>
    <w:rsid w:val="00D67063"/>
    <w:rsid w:val="00D67164"/>
    <w:rsid w:val="00D6716D"/>
    <w:rsid w:val="00D6716F"/>
    <w:rsid w:val="00D67184"/>
    <w:rsid w:val="00D6719C"/>
    <w:rsid w:val="00D672BA"/>
    <w:rsid w:val="00D672DE"/>
    <w:rsid w:val="00D67302"/>
    <w:rsid w:val="00D6744E"/>
    <w:rsid w:val="00D67506"/>
    <w:rsid w:val="00D67619"/>
    <w:rsid w:val="00D67620"/>
    <w:rsid w:val="00D6766D"/>
    <w:rsid w:val="00D67697"/>
    <w:rsid w:val="00D676B2"/>
    <w:rsid w:val="00D676CA"/>
    <w:rsid w:val="00D676F4"/>
    <w:rsid w:val="00D677E8"/>
    <w:rsid w:val="00D67811"/>
    <w:rsid w:val="00D67817"/>
    <w:rsid w:val="00D6784A"/>
    <w:rsid w:val="00D67893"/>
    <w:rsid w:val="00D678AB"/>
    <w:rsid w:val="00D678FE"/>
    <w:rsid w:val="00D6792E"/>
    <w:rsid w:val="00D679B2"/>
    <w:rsid w:val="00D679D7"/>
    <w:rsid w:val="00D679E0"/>
    <w:rsid w:val="00D67A1C"/>
    <w:rsid w:val="00D67A37"/>
    <w:rsid w:val="00D67B51"/>
    <w:rsid w:val="00D67B9E"/>
    <w:rsid w:val="00D67C5D"/>
    <w:rsid w:val="00D67CC1"/>
    <w:rsid w:val="00D67D03"/>
    <w:rsid w:val="00D67D86"/>
    <w:rsid w:val="00D67DB2"/>
    <w:rsid w:val="00D67E14"/>
    <w:rsid w:val="00D67E74"/>
    <w:rsid w:val="00D67EF0"/>
    <w:rsid w:val="00D67F0E"/>
    <w:rsid w:val="00D67F59"/>
    <w:rsid w:val="00D7003A"/>
    <w:rsid w:val="00D7003D"/>
    <w:rsid w:val="00D70047"/>
    <w:rsid w:val="00D70064"/>
    <w:rsid w:val="00D70086"/>
    <w:rsid w:val="00D7008C"/>
    <w:rsid w:val="00D700F6"/>
    <w:rsid w:val="00D70114"/>
    <w:rsid w:val="00D701E7"/>
    <w:rsid w:val="00D701EC"/>
    <w:rsid w:val="00D70215"/>
    <w:rsid w:val="00D7024E"/>
    <w:rsid w:val="00D70255"/>
    <w:rsid w:val="00D70278"/>
    <w:rsid w:val="00D70432"/>
    <w:rsid w:val="00D704D8"/>
    <w:rsid w:val="00D7053F"/>
    <w:rsid w:val="00D705DE"/>
    <w:rsid w:val="00D705F4"/>
    <w:rsid w:val="00D706A5"/>
    <w:rsid w:val="00D70727"/>
    <w:rsid w:val="00D70768"/>
    <w:rsid w:val="00D7089B"/>
    <w:rsid w:val="00D708D9"/>
    <w:rsid w:val="00D7090E"/>
    <w:rsid w:val="00D70946"/>
    <w:rsid w:val="00D70A4F"/>
    <w:rsid w:val="00D70AA3"/>
    <w:rsid w:val="00D70AE6"/>
    <w:rsid w:val="00D70B18"/>
    <w:rsid w:val="00D70B34"/>
    <w:rsid w:val="00D70BDC"/>
    <w:rsid w:val="00D70BEA"/>
    <w:rsid w:val="00D70C81"/>
    <w:rsid w:val="00D70CE4"/>
    <w:rsid w:val="00D70D6F"/>
    <w:rsid w:val="00D70DC4"/>
    <w:rsid w:val="00D70EF9"/>
    <w:rsid w:val="00D70F0A"/>
    <w:rsid w:val="00D70F39"/>
    <w:rsid w:val="00D70F45"/>
    <w:rsid w:val="00D70F99"/>
    <w:rsid w:val="00D70FC7"/>
    <w:rsid w:val="00D7103B"/>
    <w:rsid w:val="00D71063"/>
    <w:rsid w:val="00D7108B"/>
    <w:rsid w:val="00D7110B"/>
    <w:rsid w:val="00D71153"/>
    <w:rsid w:val="00D7120E"/>
    <w:rsid w:val="00D7122E"/>
    <w:rsid w:val="00D71240"/>
    <w:rsid w:val="00D71276"/>
    <w:rsid w:val="00D712EA"/>
    <w:rsid w:val="00D7132C"/>
    <w:rsid w:val="00D7133C"/>
    <w:rsid w:val="00D71389"/>
    <w:rsid w:val="00D71392"/>
    <w:rsid w:val="00D713E8"/>
    <w:rsid w:val="00D7146C"/>
    <w:rsid w:val="00D7148F"/>
    <w:rsid w:val="00D714A6"/>
    <w:rsid w:val="00D714B2"/>
    <w:rsid w:val="00D714BA"/>
    <w:rsid w:val="00D714C6"/>
    <w:rsid w:val="00D714D8"/>
    <w:rsid w:val="00D71594"/>
    <w:rsid w:val="00D715C7"/>
    <w:rsid w:val="00D71637"/>
    <w:rsid w:val="00D716E3"/>
    <w:rsid w:val="00D71756"/>
    <w:rsid w:val="00D7178A"/>
    <w:rsid w:val="00D71798"/>
    <w:rsid w:val="00D718D0"/>
    <w:rsid w:val="00D71901"/>
    <w:rsid w:val="00D71949"/>
    <w:rsid w:val="00D7198A"/>
    <w:rsid w:val="00D7198C"/>
    <w:rsid w:val="00D71996"/>
    <w:rsid w:val="00D71A1A"/>
    <w:rsid w:val="00D71A54"/>
    <w:rsid w:val="00D71A82"/>
    <w:rsid w:val="00D71B5F"/>
    <w:rsid w:val="00D71B64"/>
    <w:rsid w:val="00D71B84"/>
    <w:rsid w:val="00D71BE6"/>
    <w:rsid w:val="00D71C04"/>
    <w:rsid w:val="00D71CB3"/>
    <w:rsid w:val="00D71CE4"/>
    <w:rsid w:val="00D71D04"/>
    <w:rsid w:val="00D71D43"/>
    <w:rsid w:val="00D71D4A"/>
    <w:rsid w:val="00D71E16"/>
    <w:rsid w:val="00D71E46"/>
    <w:rsid w:val="00D71E8E"/>
    <w:rsid w:val="00D71F51"/>
    <w:rsid w:val="00D72018"/>
    <w:rsid w:val="00D7208C"/>
    <w:rsid w:val="00D720BB"/>
    <w:rsid w:val="00D7210D"/>
    <w:rsid w:val="00D72119"/>
    <w:rsid w:val="00D72126"/>
    <w:rsid w:val="00D72137"/>
    <w:rsid w:val="00D72163"/>
    <w:rsid w:val="00D722D8"/>
    <w:rsid w:val="00D72316"/>
    <w:rsid w:val="00D72395"/>
    <w:rsid w:val="00D723BA"/>
    <w:rsid w:val="00D7241A"/>
    <w:rsid w:val="00D7248D"/>
    <w:rsid w:val="00D7250A"/>
    <w:rsid w:val="00D7260B"/>
    <w:rsid w:val="00D72673"/>
    <w:rsid w:val="00D72689"/>
    <w:rsid w:val="00D726DA"/>
    <w:rsid w:val="00D72744"/>
    <w:rsid w:val="00D7274A"/>
    <w:rsid w:val="00D72764"/>
    <w:rsid w:val="00D72821"/>
    <w:rsid w:val="00D72850"/>
    <w:rsid w:val="00D728C8"/>
    <w:rsid w:val="00D728DB"/>
    <w:rsid w:val="00D728EE"/>
    <w:rsid w:val="00D7294D"/>
    <w:rsid w:val="00D7296F"/>
    <w:rsid w:val="00D729A1"/>
    <w:rsid w:val="00D72A14"/>
    <w:rsid w:val="00D72A17"/>
    <w:rsid w:val="00D72A38"/>
    <w:rsid w:val="00D72A3E"/>
    <w:rsid w:val="00D72AB3"/>
    <w:rsid w:val="00D72ABC"/>
    <w:rsid w:val="00D72AE1"/>
    <w:rsid w:val="00D72B05"/>
    <w:rsid w:val="00D72B37"/>
    <w:rsid w:val="00D72B6E"/>
    <w:rsid w:val="00D72B7E"/>
    <w:rsid w:val="00D72B9E"/>
    <w:rsid w:val="00D72BB2"/>
    <w:rsid w:val="00D72BE9"/>
    <w:rsid w:val="00D72C0F"/>
    <w:rsid w:val="00D72C58"/>
    <w:rsid w:val="00D72C64"/>
    <w:rsid w:val="00D72C67"/>
    <w:rsid w:val="00D72C6E"/>
    <w:rsid w:val="00D72C98"/>
    <w:rsid w:val="00D72CE9"/>
    <w:rsid w:val="00D72CF9"/>
    <w:rsid w:val="00D72D1C"/>
    <w:rsid w:val="00D72D1D"/>
    <w:rsid w:val="00D72D46"/>
    <w:rsid w:val="00D72E09"/>
    <w:rsid w:val="00D72E2C"/>
    <w:rsid w:val="00D72E98"/>
    <w:rsid w:val="00D72F25"/>
    <w:rsid w:val="00D72FB1"/>
    <w:rsid w:val="00D72FC0"/>
    <w:rsid w:val="00D73014"/>
    <w:rsid w:val="00D73049"/>
    <w:rsid w:val="00D73092"/>
    <w:rsid w:val="00D730C4"/>
    <w:rsid w:val="00D730DE"/>
    <w:rsid w:val="00D730ED"/>
    <w:rsid w:val="00D7315B"/>
    <w:rsid w:val="00D73172"/>
    <w:rsid w:val="00D73198"/>
    <w:rsid w:val="00D731A5"/>
    <w:rsid w:val="00D731AE"/>
    <w:rsid w:val="00D7320B"/>
    <w:rsid w:val="00D7322D"/>
    <w:rsid w:val="00D7326D"/>
    <w:rsid w:val="00D7327D"/>
    <w:rsid w:val="00D73291"/>
    <w:rsid w:val="00D7329B"/>
    <w:rsid w:val="00D73319"/>
    <w:rsid w:val="00D7335A"/>
    <w:rsid w:val="00D7336F"/>
    <w:rsid w:val="00D733A8"/>
    <w:rsid w:val="00D733C1"/>
    <w:rsid w:val="00D733EF"/>
    <w:rsid w:val="00D733F2"/>
    <w:rsid w:val="00D73442"/>
    <w:rsid w:val="00D73502"/>
    <w:rsid w:val="00D7354A"/>
    <w:rsid w:val="00D73597"/>
    <w:rsid w:val="00D73603"/>
    <w:rsid w:val="00D73640"/>
    <w:rsid w:val="00D73647"/>
    <w:rsid w:val="00D73649"/>
    <w:rsid w:val="00D736A7"/>
    <w:rsid w:val="00D736CB"/>
    <w:rsid w:val="00D736FB"/>
    <w:rsid w:val="00D73718"/>
    <w:rsid w:val="00D73740"/>
    <w:rsid w:val="00D73872"/>
    <w:rsid w:val="00D738B9"/>
    <w:rsid w:val="00D73909"/>
    <w:rsid w:val="00D73945"/>
    <w:rsid w:val="00D739DF"/>
    <w:rsid w:val="00D73A16"/>
    <w:rsid w:val="00D73B49"/>
    <w:rsid w:val="00D73C19"/>
    <w:rsid w:val="00D73C2D"/>
    <w:rsid w:val="00D73C3B"/>
    <w:rsid w:val="00D73C7C"/>
    <w:rsid w:val="00D73D6A"/>
    <w:rsid w:val="00D73D6C"/>
    <w:rsid w:val="00D73D6D"/>
    <w:rsid w:val="00D73E30"/>
    <w:rsid w:val="00D73E3B"/>
    <w:rsid w:val="00D73E92"/>
    <w:rsid w:val="00D73EF9"/>
    <w:rsid w:val="00D73EFA"/>
    <w:rsid w:val="00D73F67"/>
    <w:rsid w:val="00D73F89"/>
    <w:rsid w:val="00D73F96"/>
    <w:rsid w:val="00D74008"/>
    <w:rsid w:val="00D7411E"/>
    <w:rsid w:val="00D74215"/>
    <w:rsid w:val="00D742C1"/>
    <w:rsid w:val="00D74502"/>
    <w:rsid w:val="00D745D6"/>
    <w:rsid w:val="00D746CF"/>
    <w:rsid w:val="00D746E9"/>
    <w:rsid w:val="00D74778"/>
    <w:rsid w:val="00D74825"/>
    <w:rsid w:val="00D748F9"/>
    <w:rsid w:val="00D74912"/>
    <w:rsid w:val="00D7493B"/>
    <w:rsid w:val="00D74946"/>
    <w:rsid w:val="00D74A0C"/>
    <w:rsid w:val="00D74AE8"/>
    <w:rsid w:val="00D74B0D"/>
    <w:rsid w:val="00D74B34"/>
    <w:rsid w:val="00D74B92"/>
    <w:rsid w:val="00D74BFA"/>
    <w:rsid w:val="00D74D11"/>
    <w:rsid w:val="00D74DDA"/>
    <w:rsid w:val="00D74E64"/>
    <w:rsid w:val="00D74E6A"/>
    <w:rsid w:val="00D74E6F"/>
    <w:rsid w:val="00D74E89"/>
    <w:rsid w:val="00D74E99"/>
    <w:rsid w:val="00D74F7A"/>
    <w:rsid w:val="00D74FCB"/>
    <w:rsid w:val="00D75008"/>
    <w:rsid w:val="00D75017"/>
    <w:rsid w:val="00D7508D"/>
    <w:rsid w:val="00D75176"/>
    <w:rsid w:val="00D751D1"/>
    <w:rsid w:val="00D75220"/>
    <w:rsid w:val="00D7526C"/>
    <w:rsid w:val="00D752D2"/>
    <w:rsid w:val="00D752DF"/>
    <w:rsid w:val="00D752FA"/>
    <w:rsid w:val="00D75321"/>
    <w:rsid w:val="00D753A2"/>
    <w:rsid w:val="00D753FD"/>
    <w:rsid w:val="00D75405"/>
    <w:rsid w:val="00D7542C"/>
    <w:rsid w:val="00D75431"/>
    <w:rsid w:val="00D7543F"/>
    <w:rsid w:val="00D7549B"/>
    <w:rsid w:val="00D75506"/>
    <w:rsid w:val="00D7551B"/>
    <w:rsid w:val="00D75542"/>
    <w:rsid w:val="00D7555E"/>
    <w:rsid w:val="00D75583"/>
    <w:rsid w:val="00D75657"/>
    <w:rsid w:val="00D75675"/>
    <w:rsid w:val="00D756CF"/>
    <w:rsid w:val="00D7576F"/>
    <w:rsid w:val="00D758A2"/>
    <w:rsid w:val="00D7596D"/>
    <w:rsid w:val="00D7599A"/>
    <w:rsid w:val="00D759C5"/>
    <w:rsid w:val="00D75A56"/>
    <w:rsid w:val="00D75A67"/>
    <w:rsid w:val="00D75A81"/>
    <w:rsid w:val="00D75AB5"/>
    <w:rsid w:val="00D75B8A"/>
    <w:rsid w:val="00D75C67"/>
    <w:rsid w:val="00D75CBE"/>
    <w:rsid w:val="00D75CF8"/>
    <w:rsid w:val="00D75D75"/>
    <w:rsid w:val="00D75D77"/>
    <w:rsid w:val="00D75DBD"/>
    <w:rsid w:val="00D75DCD"/>
    <w:rsid w:val="00D75E00"/>
    <w:rsid w:val="00D75FA1"/>
    <w:rsid w:val="00D75FB2"/>
    <w:rsid w:val="00D76081"/>
    <w:rsid w:val="00D760DA"/>
    <w:rsid w:val="00D76107"/>
    <w:rsid w:val="00D76109"/>
    <w:rsid w:val="00D7612D"/>
    <w:rsid w:val="00D76139"/>
    <w:rsid w:val="00D7621B"/>
    <w:rsid w:val="00D7621C"/>
    <w:rsid w:val="00D7630F"/>
    <w:rsid w:val="00D7632A"/>
    <w:rsid w:val="00D76392"/>
    <w:rsid w:val="00D763D6"/>
    <w:rsid w:val="00D763DB"/>
    <w:rsid w:val="00D763FA"/>
    <w:rsid w:val="00D76432"/>
    <w:rsid w:val="00D7645D"/>
    <w:rsid w:val="00D7647C"/>
    <w:rsid w:val="00D7649B"/>
    <w:rsid w:val="00D7651F"/>
    <w:rsid w:val="00D76545"/>
    <w:rsid w:val="00D76578"/>
    <w:rsid w:val="00D766BE"/>
    <w:rsid w:val="00D76773"/>
    <w:rsid w:val="00D76796"/>
    <w:rsid w:val="00D767EC"/>
    <w:rsid w:val="00D76800"/>
    <w:rsid w:val="00D7685A"/>
    <w:rsid w:val="00D76864"/>
    <w:rsid w:val="00D76884"/>
    <w:rsid w:val="00D76953"/>
    <w:rsid w:val="00D76984"/>
    <w:rsid w:val="00D769AD"/>
    <w:rsid w:val="00D769CC"/>
    <w:rsid w:val="00D769EA"/>
    <w:rsid w:val="00D769EE"/>
    <w:rsid w:val="00D76A50"/>
    <w:rsid w:val="00D76A58"/>
    <w:rsid w:val="00D76A6D"/>
    <w:rsid w:val="00D76AED"/>
    <w:rsid w:val="00D76AF7"/>
    <w:rsid w:val="00D76AF8"/>
    <w:rsid w:val="00D76BD2"/>
    <w:rsid w:val="00D76C75"/>
    <w:rsid w:val="00D76C9C"/>
    <w:rsid w:val="00D76CB5"/>
    <w:rsid w:val="00D76CFD"/>
    <w:rsid w:val="00D76D2D"/>
    <w:rsid w:val="00D76D76"/>
    <w:rsid w:val="00D76D9F"/>
    <w:rsid w:val="00D76DBC"/>
    <w:rsid w:val="00D76EB3"/>
    <w:rsid w:val="00D76EB9"/>
    <w:rsid w:val="00D76ECB"/>
    <w:rsid w:val="00D76F0D"/>
    <w:rsid w:val="00D76F59"/>
    <w:rsid w:val="00D76F72"/>
    <w:rsid w:val="00D76F99"/>
    <w:rsid w:val="00D76FB3"/>
    <w:rsid w:val="00D7701B"/>
    <w:rsid w:val="00D77061"/>
    <w:rsid w:val="00D770A3"/>
    <w:rsid w:val="00D770EA"/>
    <w:rsid w:val="00D77101"/>
    <w:rsid w:val="00D77152"/>
    <w:rsid w:val="00D77222"/>
    <w:rsid w:val="00D77235"/>
    <w:rsid w:val="00D77271"/>
    <w:rsid w:val="00D7729F"/>
    <w:rsid w:val="00D772C6"/>
    <w:rsid w:val="00D772DD"/>
    <w:rsid w:val="00D77400"/>
    <w:rsid w:val="00D7744E"/>
    <w:rsid w:val="00D774F3"/>
    <w:rsid w:val="00D7755B"/>
    <w:rsid w:val="00D7764E"/>
    <w:rsid w:val="00D776D5"/>
    <w:rsid w:val="00D77718"/>
    <w:rsid w:val="00D7773C"/>
    <w:rsid w:val="00D7786D"/>
    <w:rsid w:val="00D7788D"/>
    <w:rsid w:val="00D778DB"/>
    <w:rsid w:val="00D779A5"/>
    <w:rsid w:val="00D779DF"/>
    <w:rsid w:val="00D77A09"/>
    <w:rsid w:val="00D77A2C"/>
    <w:rsid w:val="00D77AFD"/>
    <w:rsid w:val="00D77B1D"/>
    <w:rsid w:val="00D77B23"/>
    <w:rsid w:val="00D77B8E"/>
    <w:rsid w:val="00D77CB7"/>
    <w:rsid w:val="00D77D2F"/>
    <w:rsid w:val="00D77D76"/>
    <w:rsid w:val="00D77DC9"/>
    <w:rsid w:val="00D77DDF"/>
    <w:rsid w:val="00D77E4F"/>
    <w:rsid w:val="00D77E8D"/>
    <w:rsid w:val="00D77F52"/>
    <w:rsid w:val="00D77F89"/>
    <w:rsid w:val="00D77F8C"/>
    <w:rsid w:val="00D77FE0"/>
    <w:rsid w:val="00D8002B"/>
    <w:rsid w:val="00D8009A"/>
    <w:rsid w:val="00D80106"/>
    <w:rsid w:val="00D8016F"/>
    <w:rsid w:val="00D8023E"/>
    <w:rsid w:val="00D8026B"/>
    <w:rsid w:val="00D802BB"/>
    <w:rsid w:val="00D8037B"/>
    <w:rsid w:val="00D80385"/>
    <w:rsid w:val="00D803AB"/>
    <w:rsid w:val="00D803F8"/>
    <w:rsid w:val="00D80457"/>
    <w:rsid w:val="00D804EE"/>
    <w:rsid w:val="00D804F8"/>
    <w:rsid w:val="00D80508"/>
    <w:rsid w:val="00D80532"/>
    <w:rsid w:val="00D805A9"/>
    <w:rsid w:val="00D805AF"/>
    <w:rsid w:val="00D805D9"/>
    <w:rsid w:val="00D80751"/>
    <w:rsid w:val="00D80772"/>
    <w:rsid w:val="00D8078D"/>
    <w:rsid w:val="00D80898"/>
    <w:rsid w:val="00D808FB"/>
    <w:rsid w:val="00D80923"/>
    <w:rsid w:val="00D8095B"/>
    <w:rsid w:val="00D80961"/>
    <w:rsid w:val="00D809D6"/>
    <w:rsid w:val="00D80A2B"/>
    <w:rsid w:val="00D80BAE"/>
    <w:rsid w:val="00D80C4E"/>
    <w:rsid w:val="00D80C80"/>
    <w:rsid w:val="00D80D19"/>
    <w:rsid w:val="00D80D29"/>
    <w:rsid w:val="00D80E09"/>
    <w:rsid w:val="00D80E1E"/>
    <w:rsid w:val="00D80E39"/>
    <w:rsid w:val="00D80F64"/>
    <w:rsid w:val="00D80F77"/>
    <w:rsid w:val="00D80F88"/>
    <w:rsid w:val="00D80FB5"/>
    <w:rsid w:val="00D80FC8"/>
    <w:rsid w:val="00D80FD1"/>
    <w:rsid w:val="00D8101B"/>
    <w:rsid w:val="00D81077"/>
    <w:rsid w:val="00D8112A"/>
    <w:rsid w:val="00D81174"/>
    <w:rsid w:val="00D81182"/>
    <w:rsid w:val="00D811A8"/>
    <w:rsid w:val="00D81280"/>
    <w:rsid w:val="00D812CB"/>
    <w:rsid w:val="00D812E7"/>
    <w:rsid w:val="00D812ED"/>
    <w:rsid w:val="00D8131D"/>
    <w:rsid w:val="00D81395"/>
    <w:rsid w:val="00D81428"/>
    <w:rsid w:val="00D81433"/>
    <w:rsid w:val="00D814A3"/>
    <w:rsid w:val="00D81559"/>
    <w:rsid w:val="00D8156E"/>
    <w:rsid w:val="00D81579"/>
    <w:rsid w:val="00D815DB"/>
    <w:rsid w:val="00D81655"/>
    <w:rsid w:val="00D8168A"/>
    <w:rsid w:val="00D81770"/>
    <w:rsid w:val="00D8177A"/>
    <w:rsid w:val="00D817D6"/>
    <w:rsid w:val="00D817F6"/>
    <w:rsid w:val="00D8184C"/>
    <w:rsid w:val="00D81895"/>
    <w:rsid w:val="00D81911"/>
    <w:rsid w:val="00D8195B"/>
    <w:rsid w:val="00D81987"/>
    <w:rsid w:val="00D81994"/>
    <w:rsid w:val="00D819B4"/>
    <w:rsid w:val="00D819BF"/>
    <w:rsid w:val="00D81A11"/>
    <w:rsid w:val="00D81A52"/>
    <w:rsid w:val="00D81AB8"/>
    <w:rsid w:val="00D81B00"/>
    <w:rsid w:val="00D81B18"/>
    <w:rsid w:val="00D81B1A"/>
    <w:rsid w:val="00D81B23"/>
    <w:rsid w:val="00D81BB0"/>
    <w:rsid w:val="00D81BDE"/>
    <w:rsid w:val="00D81BF7"/>
    <w:rsid w:val="00D81C9B"/>
    <w:rsid w:val="00D81CF8"/>
    <w:rsid w:val="00D81DA9"/>
    <w:rsid w:val="00D81EAF"/>
    <w:rsid w:val="00D81EE6"/>
    <w:rsid w:val="00D81EFB"/>
    <w:rsid w:val="00D81F18"/>
    <w:rsid w:val="00D81F67"/>
    <w:rsid w:val="00D81FA5"/>
    <w:rsid w:val="00D81FE6"/>
    <w:rsid w:val="00D82046"/>
    <w:rsid w:val="00D8207B"/>
    <w:rsid w:val="00D8210B"/>
    <w:rsid w:val="00D82133"/>
    <w:rsid w:val="00D8216D"/>
    <w:rsid w:val="00D8217F"/>
    <w:rsid w:val="00D8219A"/>
    <w:rsid w:val="00D821B4"/>
    <w:rsid w:val="00D821FA"/>
    <w:rsid w:val="00D821FF"/>
    <w:rsid w:val="00D8225E"/>
    <w:rsid w:val="00D822B2"/>
    <w:rsid w:val="00D822DC"/>
    <w:rsid w:val="00D822FA"/>
    <w:rsid w:val="00D82357"/>
    <w:rsid w:val="00D82377"/>
    <w:rsid w:val="00D823D4"/>
    <w:rsid w:val="00D823E8"/>
    <w:rsid w:val="00D824D7"/>
    <w:rsid w:val="00D8256C"/>
    <w:rsid w:val="00D825B9"/>
    <w:rsid w:val="00D825BB"/>
    <w:rsid w:val="00D825CF"/>
    <w:rsid w:val="00D8260F"/>
    <w:rsid w:val="00D82663"/>
    <w:rsid w:val="00D826A4"/>
    <w:rsid w:val="00D826CF"/>
    <w:rsid w:val="00D826D4"/>
    <w:rsid w:val="00D82765"/>
    <w:rsid w:val="00D827A4"/>
    <w:rsid w:val="00D82807"/>
    <w:rsid w:val="00D82837"/>
    <w:rsid w:val="00D82847"/>
    <w:rsid w:val="00D82862"/>
    <w:rsid w:val="00D82877"/>
    <w:rsid w:val="00D828CD"/>
    <w:rsid w:val="00D828D0"/>
    <w:rsid w:val="00D828D5"/>
    <w:rsid w:val="00D82921"/>
    <w:rsid w:val="00D82926"/>
    <w:rsid w:val="00D82A64"/>
    <w:rsid w:val="00D82A9F"/>
    <w:rsid w:val="00D82B0A"/>
    <w:rsid w:val="00D82B3D"/>
    <w:rsid w:val="00D82B94"/>
    <w:rsid w:val="00D82C16"/>
    <w:rsid w:val="00D82C38"/>
    <w:rsid w:val="00D82C65"/>
    <w:rsid w:val="00D82CA4"/>
    <w:rsid w:val="00D82CD1"/>
    <w:rsid w:val="00D82CD6"/>
    <w:rsid w:val="00D82D09"/>
    <w:rsid w:val="00D82DFE"/>
    <w:rsid w:val="00D82E46"/>
    <w:rsid w:val="00D82E54"/>
    <w:rsid w:val="00D82E97"/>
    <w:rsid w:val="00D82ED9"/>
    <w:rsid w:val="00D82EEE"/>
    <w:rsid w:val="00D82F76"/>
    <w:rsid w:val="00D82FD2"/>
    <w:rsid w:val="00D830A8"/>
    <w:rsid w:val="00D830AC"/>
    <w:rsid w:val="00D830BB"/>
    <w:rsid w:val="00D830C6"/>
    <w:rsid w:val="00D830CD"/>
    <w:rsid w:val="00D830F6"/>
    <w:rsid w:val="00D831F5"/>
    <w:rsid w:val="00D83245"/>
    <w:rsid w:val="00D83278"/>
    <w:rsid w:val="00D8329E"/>
    <w:rsid w:val="00D833D4"/>
    <w:rsid w:val="00D833F7"/>
    <w:rsid w:val="00D83417"/>
    <w:rsid w:val="00D8341A"/>
    <w:rsid w:val="00D834C1"/>
    <w:rsid w:val="00D834D7"/>
    <w:rsid w:val="00D83529"/>
    <w:rsid w:val="00D835F3"/>
    <w:rsid w:val="00D83696"/>
    <w:rsid w:val="00D836F5"/>
    <w:rsid w:val="00D8372F"/>
    <w:rsid w:val="00D837D7"/>
    <w:rsid w:val="00D837ED"/>
    <w:rsid w:val="00D837F3"/>
    <w:rsid w:val="00D8381E"/>
    <w:rsid w:val="00D838C5"/>
    <w:rsid w:val="00D83915"/>
    <w:rsid w:val="00D83949"/>
    <w:rsid w:val="00D839BA"/>
    <w:rsid w:val="00D839D3"/>
    <w:rsid w:val="00D83A07"/>
    <w:rsid w:val="00D83A39"/>
    <w:rsid w:val="00D83ABA"/>
    <w:rsid w:val="00D83AC5"/>
    <w:rsid w:val="00D83B1D"/>
    <w:rsid w:val="00D83BD9"/>
    <w:rsid w:val="00D83BDC"/>
    <w:rsid w:val="00D83CF2"/>
    <w:rsid w:val="00D83D24"/>
    <w:rsid w:val="00D83D4F"/>
    <w:rsid w:val="00D83D65"/>
    <w:rsid w:val="00D83D80"/>
    <w:rsid w:val="00D83D82"/>
    <w:rsid w:val="00D83D8C"/>
    <w:rsid w:val="00D83D8D"/>
    <w:rsid w:val="00D83DAC"/>
    <w:rsid w:val="00D83E4B"/>
    <w:rsid w:val="00D83E5F"/>
    <w:rsid w:val="00D83E71"/>
    <w:rsid w:val="00D83EC5"/>
    <w:rsid w:val="00D83F10"/>
    <w:rsid w:val="00D83FA0"/>
    <w:rsid w:val="00D83FB5"/>
    <w:rsid w:val="00D83FDD"/>
    <w:rsid w:val="00D83FE9"/>
    <w:rsid w:val="00D8404E"/>
    <w:rsid w:val="00D8408A"/>
    <w:rsid w:val="00D840CC"/>
    <w:rsid w:val="00D840DB"/>
    <w:rsid w:val="00D84108"/>
    <w:rsid w:val="00D841F6"/>
    <w:rsid w:val="00D8420F"/>
    <w:rsid w:val="00D84249"/>
    <w:rsid w:val="00D84315"/>
    <w:rsid w:val="00D843BB"/>
    <w:rsid w:val="00D8446A"/>
    <w:rsid w:val="00D844CB"/>
    <w:rsid w:val="00D844CC"/>
    <w:rsid w:val="00D844DE"/>
    <w:rsid w:val="00D845AC"/>
    <w:rsid w:val="00D845D9"/>
    <w:rsid w:val="00D845F4"/>
    <w:rsid w:val="00D846C6"/>
    <w:rsid w:val="00D846D7"/>
    <w:rsid w:val="00D84755"/>
    <w:rsid w:val="00D8478D"/>
    <w:rsid w:val="00D8479D"/>
    <w:rsid w:val="00D84852"/>
    <w:rsid w:val="00D848E3"/>
    <w:rsid w:val="00D849B0"/>
    <w:rsid w:val="00D849EF"/>
    <w:rsid w:val="00D849F9"/>
    <w:rsid w:val="00D84A0F"/>
    <w:rsid w:val="00D84A5D"/>
    <w:rsid w:val="00D84AC5"/>
    <w:rsid w:val="00D84ACE"/>
    <w:rsid w:val="00D84ADC"/>
    <w:rsid w:val="00D84B22"/>
    <w:rsid w:val="00D84BA2"/>
    <w:rsid w:val="00D84C40"/>
    <w:rsid w:val="00D84CB3"/>
    <w:rsid w:val="00D84CC0"/>
    <w:rsid w:val="00D84CC5"/>
    <w:rsid w:val="00D84D12"/>
    <w:rsid w:val="00D84D6D"/>
    <w:rsid w:val="00D84DD0"/>
    <w:rsid w:val="00D84DDB"/>
    <w:rsid w:val="00D84E2E"/>
    <w:rsid w:val="00D84E44"/>
    <w:rsid w:val="00D84F23"/>
    <w:rsid w:val="00D84F6D"/>
    <w:rsid w:val="00D84F7F"/>
    <w:rsid w:val="00D84FFE"/>
    <w:rsid w:val="00D85093"/>
    <w:rsid w:val="00D85099"/>
    <w:rsid w:val="00D85101"/>
    <w:rsid w:val="00D85122"/>
    <w:rsid w:val="00D85151"/>
    <w:rsid w:val="00D8519D"/>
    <w:rsid w:val="00D8526D"/>
    <w:rsid w:val="00D852C9"/>
    <w:rsid w:val="00D853DF"/>
    <w:rsid w:val="00D853E4"/>
    <w:rsid w:val="00D8543F"/>
    <w:rsid w:val="00D8544E"/>
    <w:rsid w:val="00D85486"/>
    <w:rsid w:val="00D854E3"/>
    <w:rsid w:val="00D854F9"/>
    <w:rsid w:val="00D8553A"/>
    <w:rsid w:val="00D8559E"/>
    <w:rsid w:val="00D85604"/>
    <w:rsid w:val="00D8565C"/>
    <w:rsid w:val="00D856B9"/>
    <w:rsid w:val="00D85725"/>
    <w:rsid w:val="00D857C7"/>
    <w:rsid w:val="00D8581E"/>
    <w:rsid w:val="00D85822"/>
    <w:rsid w:val="00D8584D"/>
    <w:rsid w:val="00D85904"/>
    <w:rsid w:val="00D85938"/>
    <w:rsid w:val="00D859D6"/>
    <w:rsid w:val="00D85A81"/>
    <w:rsid w:val="00D85A90"/>
    <w:rsid w:val="00D85AA1"/>
    <w:rsid w:val="00D85AA5"/>
    <w:rsid w:val="00D85BB5"/>
    <w:rsid w:val="00D85BF1"/>
    <w:rsid w:val="00D85C5E"/>
    <w:rsid w:val="00D85C9E"/>
    <w:rsid w:val="00D85CBC"/>
    <w:rsid w:val="00D85CE0"/>
    <w:rsid w:val="00D85CE2"/>
    <w:rsid w:val="00D85E7D"/>
    <w:rsid w:val="00D85E8A"/>
    <w:rsid w:val="00D85EA8"/>
    <w:rsid w:val="00D85EC3"/>
    <w:rsid w:val="00D85EC8"/>
    <w:rsid w:val="00D85ECF"/>
    <w:rsid w:val="00D85ED9"/>
    <w:rsid w:val="00D85EDB"/>
    <w:rsid w:val="00D85FB2"/>
    <w:rsid w:val="00D85FFD"/>
    <w:rsid w:val="00D86003"/>
    <w:rsid w:val="00D86095"/>
    <w:rsid w:val="00D860DE"/>
    <w:rsid w:val="00D86154"/>
    <w:rsid w:val="00D86157"/>
    <w:rsid w:val="00D861FC"/>
    <w:rsid w:val="00D86227"/>
    <w:rsid w:val="00D8624D"/>
    <w:rsid w:val="00D862C8"/>
    <w:rsid w:val="00D862E4"/>
    <w:rsid w:val="00D863B1"/>
    <w:rsid w:val="00D863FB"/>
    <w:rsid w:val="00D86423"/>
    <w:rsid w:val="00D8644B"/>
    <w:rsid w:val="00D86529"/>
    <w:rsid w:val="00D86531"/>
    <w:rsid w:val="00D86549"/>
    <w:rsid w:val="00D8654F"/>
    <w:rsid w:val="00D8656B"/>
    <w:rsid w:val="00D865AA"/>
    <w:rsid w:val="00D865D5"/>
    <w:rsid w:val="00D86645"/>
    <w:rsid w:val="00D86664"/>
    <w:rsid w:val="00D866B0"/>
    <w:rsid w:val="00D866CB"/>
    <w:rsid w:val="00D867A6"/>
    <w:rsid w:val="00D86858"/>
    <w:rsid w:val="00D8685C"/>
    <w:rsid w:val="00D869C5"/>
    <w:rsid w:val="00D869CC"/>
    <w:rsid w:val="00D86A2C"/>
    <w:rsid w:val="00D86A3D"/>
    <w:rsid w:val="00D86A59"/>
    <w:rsid w:val="00D86A6C"/>
    <w:rsid w:val="00D86B90"/>
    <w:rsid w:val="00D86BAF"/>
    <w:rsid w:val="00D86BCE"/>
    <w:rsid w:val="00D86C9D"/>
    <w:rsid w:val="00D86CB7"/>
    <w:rsid w:val="00D86D13"/>
    <w:rsid w:val="00D86E31"/>
    <w:rsid w:val="00D86E33"/>
    <w:rsid w:val="00D86F5C"/>
    <w:rsid w:val="00D86F69"/>
    <w:rsid w:val="00D86F75"/>
    <w:rsid w:val="00D86F8C"/>
    <w:rsid w:val="00D87060"/>
    <w:rsid w:val="00D87085"/>
    <w:rsid w:val="00D87089"/>
    <w:rsid w:val="00D870CE"/>
    <w:rsid w:val="00D87105"/>
    <w:rsid w:val="00D8710E"/>
    <w:rsid w:val="00D87148"/>
    <w:rsid w:val="00D87215"/>
    <w:rsid w:val="00D87244"/>
    <w:rsid w:val="00D87433"/>
    <w:rsid w:val="00D87465"/>
    <w:rsid w:val="00D874C0"/>
    <w:rsid w:val="00D87535"/>
    <w:rsid w:val="00D87577"/>
    <w:rsid w:val="00D876CB"/>
    <w:rsid w:val="00D8770C"/>
    <w:rsid w:val="00D8784A"/>
    <w:rsid w:val="00D8787E"/>
    <w:rsid w:val="00D878B8"/>
    <w:rsid w:val="00D87911"/>
    <w:rsid w:val="00D87998"/>
    <w:rsid w:val="00D87A6D"/>
    <w:rsid w:val="00D87BB6"/>
    <w:rsid w:val="00D87BCC"/>
    <w:rsid w:val="00D87BD8"/>
    <w:rsid w:val="00D87C02"/>
    <w:rsid w:val="00D87C10"/>
    <w:rsid w:val="00D87C55"/>
    <w:rsid w:val="00D87C88"/>
    <w:rsid w:val="00D87CD8"/>
    <w:rsid w:val="00D87D1E"/>
    <w:rsid w:val="00D87DAD"/>
    <w:rsid w:val="00D87E37"/>
    <w:rsid w:val="00D87E3B"/>
    <w:rsid w:val="00D87F24"/>
    <w:rsid w:val="00D87FA3"/>
    <w:rsid w:val="00D87FEB"/>
    <w:rsid w:val="00D87FFD"/>
    <w:rsid w:val="00D90018"/>
    <w:rsid w:val="00D90097"/>
    <w:rsid w:val="00D900B7"/>
    <w:rsid w:val="00D900E0"/>
    <w:rsid w:val="00D9012D"/>
    <w:rsid w:val="00D90139"/>
    <w:rsid w:val="00D90144"/>
    <w:rsid w:val="00D9015A"/>
    <w:rsid w:val="00D90194"/>
    <w:rsid w:val="00D901BB"/>
    <w:rsid w:val="00D901C7"/>
    <w:rsid w:val="00D901D6"/>
    <w:rsid w:val="00D90306"/>
    <w:rsid w:val="00D90367"/>
    <w:rsid w:val="00D90378"/>
    <w:rsid w:val="00D90489"/>
    <w:rsid w:val="00D904C1"/>
    <w:rsid w:val="00D90516"/>
    <w:rsid w:val="00D9052A"/>
    <w:rsid w:val="00D90566"/>
    <w:rsid w:val="00D9058C"/>
    <w:rsid w:val="00D905D8"/>
    <w:rsid w:val="00D9068A"/>
    <w:rsid w:val="00D906BF"/>
    <w:rsid w:val="00D906EE"/>
    <w:rsid w:val="00D907CC"/>
    <w:rsid w:val="00D9086D"/>
    <w:rsid w:val="00D90875"/>
    <w:rsid w:val="00D908CA"/>
    <w:rsid w:val="00D90930"/>
    <w:rsid w:val="00D90A3C"/>
    <w:rsid w:val="00D90A7B"/>
    <w:rsid w:val="00D90ACA"/>
    <w:rsid w:val="00D90ACD"/>
    <w:rsid w:val="00D90AED"/>
    <w:rsid w:val="00D90B2E"/>
    <w:rsid w:val="00D90B46"/>
    <w:rsid w:val="00D90B8B"/>
    <w:rsid w:val="00D90BD9"/>
    <w:rsid w:val="00D90C1C"/>
    <w:rsid w:val="00D90C3D"/>
    <w:rsid w:val="00D90C84"/>
    <w:rsid w:val="00D90CA0"/>
    <w:rsid w:val="00D90CF1"/>
    <w:rsid w:val="00D90D33"/>
    <w:rsid w:val="00D90D66"/>
    <w:rsid w:val="00D90D7E"/>
    <w:rsid w:val="00D90DF4"/>
    <w:rsid w:val="00D90EB7"/>
    <w:rsid w:val="00D90EC2"/>
    <w:rsid w:val="00D90F26"/>
    <w:rsid w:val="00D90F30"/>
    <w:rsid w:val="00D90F33"/>
    <w:rsid w:val="00D90F78"/>
    <w:rsid w:val="00D90FCE"/>
    <w:rsid w:val="00D91035"/>
    <w:rsid w:val="00D91118"/>
    <w:rsid w:val="00D9111C"/>
    <w:rsid w:val="00D91165"/>
    <w:rsid w:val="00D91182"/>
    <w:rsid w:val="00D911CB"/>
    <w:rsid w:val="00D91221"/>
    <w:rsid w:val="00D91234"/>
    <w:rsid w:val="00D91360"/>
    <w:rsid w:val="00D913AB"/>
    <w:rsid w:val="00D91407"/>
    <w:rsid w:val="00D91480"/>
    <w:rsid w:val="00D914B7"/>
    <w:rsid w:val="00D914DC"/>
    <w:rsid w:val="00D914E6"/>
    <w:rsid w:val="00D915B6"/>
    <w:rsid w:val="00D91600"/>
    <w:rsid w:val="00D91626"/>
    <w:rsid w:val="00D9163B"/>
    <w:rsid w:val="00D9164C"/>
    <w:rsid w:val="00D9169B"/>
    <w:rsid w:val="00D9177A"/>
    <w:rsid w:val="00D9177E"/>
    <w:rsid w:val="00D917A3"/>
    <w:rsid w:val="00D917B1"/>
    <w:rsid w:val="00D9180A"/>
    <w:rsid w:val="00D918B6"/>
    <w:rsid w:val="00D918F4"/>
    <w:rsid w:val="00D91912"/>
    <w:rsid w:val="00D91939"/>
    <w:rsid w:val="00D91987"/>
    <w:rsid w:val="00D91995"/>
    <w:rsid w:val="00D91A3B"/>
    <w:rsid w:val="00D91A86"/>
    <w:rsid w:val="00D91C1B"/>
    <w:rsid w:val="00D91C23"/>
    <w:rsid w:val="00D91C48"/>
    <w:rsid w:val="00D91C4A"/>
    <w:rsid w:val="00D91C9C"/>
    <w:rsid w:val="00D91CF7"/>
    <w:rsid w:val="00D91E41"/>
    <w:rsid w:val="00D91E4C"/>
    <w:rsid w:val="00D91F7F"/>
    <w:rsid w:val="00D91FC1"/>
    <w:rsid w:val="00D920C9"/>
    <w:rsid w:val="00D920E9"/>
    <w:rsid w:val="00D920F6"/>
    <w:rsid w:val="00D9213F"/>
    <w:rsid w:val="00D92171"/>
    <w:rsid w:val="00D92198"/>
    <w:rsid w:val="00D921FA"/>
    <w:rsid w:val="00D92212"/>
    <w:rsid w:val="00D922A8"/>
    <w:rsid w:val="00D922E2"/>
    <w:rsid w:val="00D92300"/>
    <w:rsid w:val="00D9237E"/>
    <w:rsid w:val="00D923FF"/>
    <w:rsid w:val="00D92465"/>
    <w:rsid w:val="00D9250B"/>
    <w:rsid w:val="00D92591"/>
    <w:rsid w:val="00D92684"/>
    <w:rsid w:val="00D926A0"/>
    <w:rsid w:val="00D926D5"/>
    <w:rsid w:val="00D92726"/>
    <w:rsid w:val="00D927E5"/>
    <w:rsid w:val="00D92862"/>
    <w:rsid w:val="00D92880"/>
    <w:rsid w:val="00D928B8"/>
    <w:rsid w:val="00D929BD"/>
    <w:rsid w:val="00D929C6"/>
    <w:rsid w:val="00D92B3E"/>
    <w:rsid w:val="00D92B60"/>
    <w:rsid w:val="00D92BEA"/>
    <w:rsid w:val="00D92BF3"/>
    <w:rsid w:val="00D92CA5"/>
    <w:rsid w:val="00D92D13"/>
    <w:rsid w:val="00D92D17"/>
    <w:rsid w:val="00D92DFB"/>
    <w:rsid w:val="00D92E18"/>
    <w:rsid w:val="00D92E2D"/>
    <w:rsid w:val="00D92F16"/>
    <w:rsid w:val="00D92F17"/>
    <w:rsid w:val="00D92F1F"/>
    <w:rsid w:val="00D92F28"/>
    <w:rsid w:val="00D92F73"/>
    <w:rsid w:val="00D93070"/>
    <w:rsid w:val="00D930AF"/>
    <w:rsid w:val="00D9312D"/>
    <w:rsid w:val="00D931AD"/>
    <w:rsid w:val="00D93232"/>
    <w:rsid w:val="00D9323B"/>
    <w:rsid w:val="00D932C6"/>
    <w:rsid w:val="00D932FC"/>
    <w:rsid w:val="00D93327"/>
    <w:rsid w:val="00D933A2"/>
    <w:rsid w:val="00D93453"/>
    <w:rsid w:val="00D93499"/>
    <w:rsid w:val="00D9349E"/>
    <w:rsid w:val="00D934DF"/>
    <w:rsid w:val="00D93585"/>
    <w:rsid w:val="00D9358D"/>
    <w:rsid w:val="00D93597"/>
    <w:rsid w:val="00D935CA"/>
    <w:rsid w:val="00D93629"/>
    <w:rsid w:val="00D93634"/>
    <w:rsid w:val="00D9367B"/>
    <w:rsid w:val="00D93681"/>
    <w:rsid w:val="00D93751"/>
    <w:rsid w:val="00D93753"/>
    <w:rsid w:val="00D937EA"/>
    <w:rsid w:val="00D9381A"/>
    <w:rsid w:val="00D93883"/>
    <w:rsid w:val="00D939A4"/>
    <w:rsid w:val="00D939D9"/>
    <w:rsid w:val="00D93A14"/>
    <w:rsid w:val="00D93A56"/>
    <w:rsid w:val="00D93A7B"/>
    <w:rsid w:val="00D93A92"/>
    <w:rsid w:val="00D93AD2"/>
    <w:rsid w:val="00D93AE4"/>
    <w:rsid w:val="00D93B0C"/>
    <w:rsid w:val="00D93B0D"/>
    <w:rsid w:val="00D93B5F"/>
    <w:rsid w:val="00D93B97"/>
    <w:rsid w:val="00D93BA4"/>
    <w:rsid w:val="00D93BB4"/>
    <w:rsid w:val="00D93BEE"/>
    <w:rsid w:val="00D93BFC"/>
    <w:rsid w:val="00D93C69"/>
    <w:rsid w:val="00D93CF1"/>
    <w:rsid w:val="00D93D01"/>
    <w:rsid w:val="00D93D0D"/>
    <w:rsid w:val="00D93D18"/>
    <w:rsid w:val="00D93DA8"/>
    <w:rsid w:val="00D93DD7"/>
    <w:rsid w:val="00D93DEF"/>
    <w:rsid w:val="00D93DFF"/>
    <w:rsid w:val="00D93E8B"/>
    <w:rsid w:val="00D93ED8"/>
    <w:rsid w:val="00D93F02"/>
    <w:rsid w:val="00D93F3F"/>
    <w:rsid w:val="00D93FE5"/>
    <w:rsid w:val="00D941D6"/>
    <w:rsid w:val="00D941E1"/>
    <w:rsid w:val="00D941ED"/>
    <w:rsid w:val="00D94281"/>
    <w:rsid w:val="00D9429D"/>
    <w:rsid w:val="00D9429E"/>
    <w:rsid w:val="00D942BB"/>
    <w:rsid w:val="00D9430A"/>
    <w:rsid w:val="00D94358"/>
    <w:rsid w:val="00D943BF"/>
    <w:rsid w:val="00D9445D"/>
    <w:rsid w:val="00D94462"/>
    <w:rsid w:val="00D94492"/>
    <w:rsid w:val="00D944C8"/>
    <w:rsid w:val="00D944D8"/>
    <w:rsid w:val="00D944EF"/>
    <w:rsid w:val="00D944F7"/>
    <w:rsid w:val="00D9457B"/>
    <w:rsid w:val="00D9457C"/>
    <w:rsid w:val="00D945BC"/>
    <w:rsid w:val="00D9464B"/>
    <w:rsid w:val="00D946D4"/>
    <w:rsid w:val="00D9470B"/>
    <w:rsid w:val="00D94742"/>
    <w:rsid w:val="00D947AE"/>
    <w:rsid w:val="00D947C7"/>
    <w:rsid w:val="00D948B5"/>
    <w:rsid w:val="00D94A37"/>
    <w:rsid w:val="00D94A6C"/>
    <w:rsid w:val="00D94A8F"/>
    <w:rsid w:val="00D94B00"/>
    <w:rsid w:val="00D94B5A"/>
    <w:rsid w:val="00D94B71"/>
    <w:rsid w:val="00D94B88"/>
    <w:rsid w:val="00D94BDD"/>
    <w:rsid w:val="00D94BE6"/>
    <w:rsid w:val="00D94BFD"/>
    <w:rsid w:val="00D94CD9"/>
    <w:rsid w:val="00D94CDE"/>
    <w:rsid w:val="00D94D21"/>
    <w:rsid w:val="00D94D2F"/>
    <w:rsid w:val="00D94D80"/>
    <w:rsid w:val="00D94ED4"/>
    <w:rsid w:val="00D94EF1"/>
    <w:rsid w:val="00D94EFF"/>
    <w:rsid w:val="00D94F7F"/>
    <w:rsid w:val="00D94F8A"/>
    <w:rsid w:val="00D94F9A"/>
    <w:rsid w:val="00D94F9F"/>
    <w:rsid w:val="00D94FA3"/>
    <w:rsid w:val="00D95007"/>
    <w:rsid w:val="00D951A2"/>
    <w:rsid w:val="00D95257"/>
    <w:rsid w:val="00D95261"/>
    <w:rsid w:val="00D952A1"/>
    <w:rsid w:val="00D952AB"/>
    <w:rsid w:val="00D952CB"/>
    <w:rsid w:val="00D952D1"/>
    <w:rsid w:val="00D95357"/>
    <w:rsid w:val="00D95405"/>
    <w:rsid w:val="00D95417"/>
    <w:rsid w:val="00D95454"/>
    <w:rsid w:val="00D954C6"/>
    <w:rsid w:val="00D95501"/>
    <w:rsid w:val="00D9554E"/>
    <w:rsid w:val="00D95564"/>
    <w:rsid w:val="00D955B5"/>
    <w:rsid w:val="00D95625"/>
    <w:rsid w:val="00D956CF"/>
    <w:rsid w:val="00D95732"/>
    <w:rsid w:val="00D95765"/>
    <w:rsid w:val="00D95776"/>
    <w:rsid w:val="00D95790"/>
    <w:rsid w:val="00D9586D"/>
    <w:rsid w:val="00D958DE"/>
    <w:rsid w:val="00D95955"/>
    <w:rsid w:val="00D9595B"/>
    <w:rsid w:val="00D9596C"/>
    <w:rsid w:val="00D959EC"/>
    <w:rsid w:val="00D95A20"/>
    <w:rsid w:val="00D95B1C"/>
    <w:rsid w:val="00D95B2B"/>
    <w:rsid w:val="00D95BBE"/>
    <w:rsid w:val="00D95BD6"/>
    <w:rsid w:val="00D95BE1"/>
    <w:rsid w:val="00D95BED"/>
    <w:rsid w:val="00D95C29"/>
    <w:rsid w:val="00D95CA5"/>
    <w:rsid w:val="00D95CDA"/>
    <w:rsid w:val="00D95D38"/>
    <w:rsid w:val="00D95D70"/>
    <w:rsid w:val="00D95D79"/>
    <w:rsid w:val="00D95E2D"/>
    <w:rsid w:val="00D95F43"/>
    <w:rsid w:val="00D95F53"/>
    <w:rsid w:val="00D95F72"/>
    <w:rsid w:val="00D95F99"/>
    <w:rsid w:val="00D95FB9"/>
    <w:rsid w:val="00D95FD0"/>
    <w:rsid w:val="00D95FD4"/>
    <w:rsid w:val="00D9600A"/>
    <w:rsid w:val="00D96055"/>
    <w:rsid w:val="00D96154"/>
    <w:rsid w:val="00D9619C"/>
    <w:rsid w:val="00D961A0"/>
    <w:rsid w:val="00D961AB"/>
    <w:rsid w:val="00D961B5"/>
    <w:rsid w:val="00D961FC"/>
    <w:rsid w:val="00D96232"/>
    <w:rsid w:val="00D9623C"/>
    <w:rsid w:val="00D962A5"/>
    <w:rsid w:val="00D962E0"/>
    <w:rsid w:val="00D962F7"/>
    <w:rsid w:val="00D96339"/>
    <w:rsid w:val="00D963DE"/>
    <w:rsid w:val="00D963F3"/>
    <w:rsid w:val="00D96447"/>
    <w:rsid w:val="00D964AE"/>
    <w:rsid w:val="00D964C5"/>
    <w:rsid w:val="00D964D5"/>
    <w:rsid w:val="00D96543"/>
    <w:rsid w:val="00D96565"/>
    <w:rsid w:val="00D965EF"/>
    <w:rsid w:val="00D96657"/>
    <w:rsid w:val="00D966D5"/>
    <w:rsid w:val="00D966EC"/>
    <w:rsid w:val="00D966F6"/>
    <w:rsid w:val="00D9670E"/>
    <w:rsid w:val="00D96776"/>
    <w:rsid w:val="00D96793"/>
    <w:rsid w:val="00D96856"/>
    <w:rsid w:val="00D968A4"/>
    <w:rsid w:val="00D96963"/>
    <w:rsid w:val="00D96984"/>
    <w:rsid w:val="00D96AA1"/>
    <w:rsid w:val="00D96B34"/>
    <w:rsid w:val="00D96B76"/>
    <w:rsid w:val="00D96B7D"/>
    <w:rsid w:val="00D96BD8"/>
    <w:rsid w:val="00D96C17"/>
    <w:rsid w:val="00D96C25"/>
    <w:rsid w:val="00D96C59"/>
    <w:rsid w:val="00D96CAF"/>
    <w:rsid w:val="00D96CC7"/>
    <w:rsid w:val="00D96CDE"/>
    <w:rsid w:val="00D96DBC"/>
    <w:rsid w:val="00D96DF5"/>
    <w:rsid w:val="00D96E46"/>
    <w:rsid w:val="00D96E8E"/>
    <w:rsid w:val="00D96EA6"/>
    <w:rsid w:val="00D96F1C"/>
    <w:rsid w:val="00D96F65"/>
    <w:rsid w:val="00D96F78"/>
    <w:rsid w:val="00D96FB9"/>
    <w:rsid w:val="00D96FBC"/>
    <w:rsid w:val="00D97050"/>
    <w:rsid w:val="00D97097"/>
    <w:rsid w:val="00D970A1"/>
    <w:rsid w:val="00D970F2"/>
    <w:rsid w:val="00D97121"/>
    <w:rsid w:val="00D9716E"/>
    <w:rsid w:val="00D971B7"/>
    <w:rsid w:val="00D97246"/>
    <w:rsid w:val="00D9724B"/>
    <w:rsid w:val="00D972C7"/>
    <w:rsid w:val="00D9734B"/>
    <w:rsid w:val="00D97352"/>
    <w:rsid w:val="00D973C2"/>
    <w:rsid w:val="00D97444"/>
    <w:rsid w:val="00D974B5"/>
    <w:rsid w:val="00D9779B"/>
    <w:rsid w:val="00D97840"/>
    <w:rsid w:val="00D978C8"/>
    <w:rsid w:val="00D978FD"/>
    <w:rsid w:val="00D97901"/>
    <w:rsid w:val="00D97969"/>
    <w:rsid w:val="00D979D9"/>
    <w:rsid w:val="00D979FA"/>
    <w:rsid w:val="00D97A05"/>
    <w:rsid w:val="00D97A12"/>
    <w:rsid w:val="00D97A3B"/>
    <w:rsid w:val="00D97A62"/>
    <w:rsid w:val="00D97B13"/>
    <w:rsid w:val="00D97B6C"/>
    <w:rsid w:val="00D97B77"/>
    <w:rsid w:val="00D97BD2"/>
    <w:rsid w:val="00D97BE6"/>
    <w:rsid w:val="00D97BF7"/>
    <w:rsid w:val="00D97C0F"/>
    <w:rsid w:val="00D97C20"/>
    <w:rsid w:val="00D97C96"/>
    <w:rsid w:val="00D97C98"/>
    <w:rsid w:val="00D97CB8"/>
    <w:rsid w:val="00D97CD0"/>
    <w:rsid w:val="00D97E4B"/>
    <w:rsid w:val="00D97EA4"/>
    <w:rsid w:val="00D97F05"/>
    <w:rsid w:val="00D97F0B"/>
    <w:rsid w:val="00DA00AD"/>
    <w:rsid w:val="00DA00CF"/>
    <w:rsid w:val="00DA0184"/>
    <w:rsid w:val="00DA01CC"/>
    <w:rsid w:val="00DA01E6"/>
    <w:rsid w:val="00DA0217"/>
    <w:rsid w:val="00DA0257"/>
    <w:rsid w:val="00DA030F"/>
    <w:rsid w:val="00DA0337"/>
    <w:rsid w:val="00DA0340"/>
    <w:rsid w:val="00DA0346"/>
    <w:rsid w:val="00DA03AA"/>
    <w:rsid w:val="00DA044F"/>
    <w:rsid w:val="00DA049F"/>
    <w:rsid w:val="00DA04D8"/>
    <w:rsid w:val="00DA04E1"/>
    <w:rsid w:val="00DA0500"/>
    <w:rsid w:val="00DA0527"/>
    <w:rsid w:val="00DA0587"/>
    <w:rsid w:val="00DA062C"/>
    <w:rsid w:val="00DA0699"/>
    <w:rsid w:val="00DA06B4"/>
    <w:rsid w:val="00DA06C8"/>
    <w:rsid w:val="00DA0712"/>
    <w:rsid w:val="00DA071E"/>
    <w:rsid w:val="00DA0723"/>
    <w:rsid w:val="00DA0740"/>
    <w:rsid w:val="00DA0747"/>
    <w:rsid w:val="00DA0782"/>
    <w:rsid w:val="00DA07DD"/>
    <w:rsid w:val="00DA0840"/>
    <w:rsid w:val="00DA0903"/>
    <w:rsid w:val="00DA0905"/>
    <w:rsid w:val="00DA093B"/>
    <w:rsid w:val="00DA094D"/>
    <w:rsid w:val="00DA0966"/>
    <w:rsid w:val="00DA0992"/>
    <w:rsid w:val="00DA0A18"/>
    <w:rsid w:val="00DA0A89"/>
    <w:rsid w:val="00DA0AFC"/>
    <w:rsid w:val="00DA0B2F"/>
    <w:rsid w:val="00DA0B91"/>
    <w:rsid w:val="00DA0BA1"/>
    <w:rsid w:val="00DA0C2B"/>
    <w:rsid w:val="00DA0CB9"/>
    <w:rsid w:val="00DA0D86"/>
    <w:rsid w:val="00DA0DB2"/>
    <w:rsid w:val="00DA0DD6"/>
    <w:rsid w:val="00DA0E46"/>
    <w:rsid w:val="00DA0E66"/>
    <w:rsid w:val="00DA0EB1"/>
    <w:rsid w:val="00DA0EB5"/>
    <w:rsid w:val="00DA0EBD"/>
    <w:rsid w:val="00DA0F32"/>
    <w:rsid w:val="00DA1015"/>
    <w:rsid w:val="00DA101E"/>
    <w:rsid w:val="00DA1034"/>
    <w:rsid w:val="00DA10A7"/>
    <w:rsid w:val="00DA10BE"/>
    <w:rsid w:val="00DA116C"/>
    <w:rsid w:val="00DA1185"/>
    <w:rsid w:val="00DA11F0"/>
    <w:rsid w:val="00DA12DC"/>
    <w:rsid w:val="00DA12E4"/>
    <w:rsid w:val="00DA1339"/>
    <w:rsid w:val="00DA134D"/>
    <w:rsid w:val="00DA1367"/>
    <w:rsid w:val="00DA1373"/>
    <w:rsid w:val="00DA13A2"/>
    <w:rsid w:val="00DA13E6"/>
    <w:rsid w:val="00DA15BD"/>
    <w:rsid w:val="00DA15E8"/>
    <w:rsid w:val="00DA1674"/>
    <w:rsid w:val="00DA167D"/>
    <w:rsid w:val="00DA16B4"/>
    <w:rsid w:val="00DA16BE"/>
    <w:rsid w:val="00DA1703"/>
    <w:rsid w:val="00DA171B"/>
    <w:rsid w:val="00DA172D"/>
    <w:rsid w:val="00DA17C6"/>
    <w:rsid w:val="00DA17E9"/>
    <w:rsid w:val="00DA180E"/>
    <w:rsid w:val="00DA1859"/>
    <w:rsid w:val="00DA1898"/>
    <w:rsid w:val="00DA18C4"/>
    <w:rsid w:val="00DA18E2"/>
    <w:rsid w:val="00DA1917"/>
    <w:rsid w:val="00DA19AE"/>
    <w:rsid w:val="00DA19BC"/>
    <w:rsid w:val="00DA19F9"/>
    <w:rsid w:val="00DA1A26"/>
    <w:rsid w:val="00DA1B13"/>
    <w:rsid w:val="00DA1B70"/>
    <w:rsid w:val="00DA1D15"/>
    <w:rsid w:val="00DA1D1E"/>
    <w:rsid w:val="00DA1D45"/>
    <w:rsid w:val="00DA1D92"/>
    <w:rsid w:val="00DA1DCF"/>
    <w:rsid w:val="00DA1E2D"/>
    <w:rsid w:val="00DA1E3F"/>
    <w:rsid w:val="00DA1E6E"/>
    <w:rsid w:val="00DA1E93"/>
    <w:rsid w:val="00DA1F02"/>
    <w:rsid w:val="00DA1F09"/>
    <w:rsid w:val="00DA1F80"/>
    <w:rsid w:val="00DA1F95"/>
    <w:rsid w:val="00DA1FD6"/>
    <w:rsid w:val="00DA205F"/>
    <w:rsid w:val="00DA2082"/>
    <w:rsid w:val="00DA20CC"/>
    <w:rsid w:val="00DA212E"/>
    <w:rsid w:val="00DA2139"/>
    <w:rsid w:val="00DA2210"/>
    <w:rsid w:val="00DA2231"/>
    <w:rsid w:val="00DA226F"/>
    <w:rsid w:val="00DA22C7"/>
    <w:rsid w:val="00DA231F"/>
    <w:rsid w:val="00DA2365"/>
    <w:rsid w:val="00DA23B8"/>
    <w:rsid w:val="00DA2425"/>
    <w:rsid w:val="00DA24CA"/>
    <w:rsid w:val="00DA25E1"/>
    <w:rsid w:val="00DA2608"/>
    <w:rsid w:val="00DA267E"/>
    <w:rsid w:val="00DA26F9"/>
    <w:rsid w:val="00DA2700"/>
    <w:rsid w:val="00DA271A"/>
    <w:rsid w:val="00DA272C"/>
    <w:rsid w:val="00DA2771"/>
    <w:rsid w:val="00DA2786"/>
    <w:rsid w:val="00DA27B2"/>
    <w:rsid w:val="00DA27E6"/>
    <w:rsid w:val="00DA2813"/>
    <w:rsid w:val="00DA281A"/>
    <w:rsid w:val="00DA2851"/>
    <w:rsid w:val="00DA28C1"/>
    <w:rsid w:val="00DA294A"/>
    <w:rsid w:val="00DA295C"/>
    <w:rsid w:val="00DA2997"/>
    <w:rsid w:val="00DA29AE"/>
    <w:rsid w:val="00DA29CA"/>
    <w:rsid w:val="00DA29D2"/>
    <w:rsid w:val="00DA2A5D"/>
    <w:rsid w:val="00DA2ACF"/>
    <w:rsid w:val="00DA2B38"/>
    <w:rsid w:val="00DA2BAC"/>
    <w:rsid w:val="00DA2BD8"/>
    <w:rsid w:val="00DA2C6B"/>
    <w:rsid w:val="00DA2C82"/>
    <w:rsid w:val="00DA2D1F"/>
    <w:rsid w:val="00DA2EAC"/>
    <w:rsid w:val="00DA2F7D"/>
    <w:rsid w:val="00DA2FA1"/>
    <w:rsid w:val="00DA3017"/>
    <w:rsid w:val="00DA3050"/>
    <w:rsid w:val="00DA30A2"/>
    <w:rsid w:val="00DA30C1"/>
    <w:rsid w:val="00DA30ED"/>
    <w:rsid w:val="00DA3122"/>
    <w:rsid w:val="00DA3160"/>
    <w:rsid w:val="00DA3185"/>
    <w:rsid w:val="00DA3241"/>
    <w:rsid w:val="00DA328C"/>
    <w:rsid w:val="00DA3296"/>
    <w:rsid w:val="00DA3335"/>
    <w:rsid w:val="00DA3342"/>
    <w:rsid w:val="00DA33A2"/>
    <w:rsid w:val="00DA33B3"/>
    <w:rsid w:val="00DA34F8"/>
    <w:rsid w:val="00DA35FC"/>
    <w:rsid w:val="00DA3605"/>
    <w:rsid w:val="00DA3648"/>
    <w:rsid w:val="00DA365C"/>
    <w:rsid w:val="00DA3691"/>
    <w:rsid w:val="00DA36E3"/>
    <w:rsid w:val="00DA36FA"/>
    <w:rsid w:val="00DA375F"/>
    <w:rsid w:val="00DA3836"/>
    <w:rsid w:val="00DA3883"/>
    <w:rsid w:val="00DA389E"/>
    <w:rsid w:val="00DA38DD"/>
    <w:rsid w:val="00DA38EF"/>
    <w:rsid w:val="00DA39CE"/>
    <w:rsid w:val="00DA3A50"/>
    <w:rsid w:val="00DA3B21"/>
    <w:rsid w:val="00DA3B3C"/>
    <w:rsid w:val="00DA3B48"/>
    <w:rsid w:val="00DA3B4B"/>
    <w:rsid w:val="00DA3B67"/>
    <w:rsid w:val="00DA3C2E"/>
    <w:rsid w:val="00DA3C68"/>
    <w:rsid w:val="00DA3D0E"/>
    <w:rsid w:val="00DA3D2F"/>
    <w:rsid w:val="00DA3D36"/>
    <w:rsid w:val="00DA3E06"/>
    <w:rsid w:val="00DA3F6B"/>
    <w:rsid w:val="00DA3FC8"/>
    <w:rsid w:val="00DA4000"/>
    <w:rsid w:val="00DA4086"/>
    <w:rsid w:val="00DA40C2"/>
    <w:rsid w:val="00DA40CC"/>
    <w:rsid w:val="00DA4154"/>
    <w:rsid w:val="00DA41D3"/>
    <w:rsid w:val="00DA4201"/>
    <w:rsid w:val="00DA4203"/>
    <w:rsid w:val="00DA420B"/>
    <w:rsid w:val="00DA420E"/>
    <w:rsid w:val="00DA4242"/>
    <w:rsid w:val="00DA425F"/>
    <w:rsid w:val="00DA4292"/>
    <w:rsid w:val="00DA438D"/>
    <w:rsid w:val="00DA43C9"/>
    <w:rsid w:val="00DA456A"/>
    <w:rsid w:val="00DA4574"/>
    <w:rsid w:val="00DA45AD"/>
    <w:rsid w:val="00DA45B0"/>
    <w:rsid w:val="00DA4680"/>
    <w:rsid w:val="00DA4715"/>
    <w:rsid w:val="00DA47B4"/>
    <w:rsid w:val="00DA482F"/>
    <w:rsid w:val="00DA4891"/>
    <w:rsid w:val="00DA48B8"/>
    <w:rsid w:val="00DA48EC"/>
    <w:rsid w:val="00DA4906"/>
    <w:rsid w:val="00DA4976"/>
    <w:rsid w:val="00DA49FC"/>
    <w:rsid w:val="00DA4A09"/>
    <w:rsid w:val="00DA4A27"/>
    <w:rsid w:val="00DA4A87"/>
    <w:rsid w:val="00DA4A94"/>
    <w:rsid w:val="00DA4AA5"/>
    <w:rsid w:val="00DA4AAE"/>
    <w:rsid w:val="00DA4AB6"/>
    <w:rsid w:val="00DA4AC5"/>
    <w:rsid w:val="00DA4AC7"/>
    <w:rsid w:val="00DA4B36"/>
    <w:rsid w:val="00DA4C25"/>
    <w:rsid w:val="00DA4C37"/>
    <w:rsid w:val="00DA4C8B"/>
    <w:rsid w:val="00DA4CC5"/>
    <w:rsid w:val="00DA4CD0"/>
    <w:rsid w:val="00DA4D07"/>
    <w:rsid w:val="00DA4D43"/>
    <w:rsid w:val="00DA4D50"/>
    <w:rsid w:val="00DA4D73"/>
    <w:rsid w:val="00DA4DD8"/>
    <w:rsid w:val="00DA4E23"/>
    <w:rsid w:val="00DA4E69"/>
    <w:rsid w:val="00DA4F66"/>
    <w:rsid w:val="00DA4F88"/>
    <w:rsid w:val="00DA4F97"/>
    <w:rsid w:val="00DA4FC7"/>
    <w:rsid w:val="00DA50C9"/>
    <w:rsid w:val="00DA51C5"/>
    <w:rsid w:val="00DA5226"/>
    <w:rsid w:val="00DA526B"/>
    <w:rsid w:val="00DA52BD"/>
    <w:rsid w:val="00DA52C9"/>
    <w:rsid w:val="00DA52CC"/>
    <w:rsid w:val="00DA532B"/>
    <w:rsid w:val="00DA5391"/>
    <w:rsid w:val="00DA53A1"/>
    <w:rsid w:val="00DA53EF"/>
    <w:rsid w:val="00DA5413"/>
    <w:rsid w:val="00DA5455"/>
    <w:rsid w:val="00DA548B"/>
    <w:rsid w:val="00DA54B8"/>
    <w:rsid w:val="00DA54C3"/>
    <w:rsid w:val="00DA5562"/>
    <w:rsid w:val="00DA556F"/>
    <w:rsid w:val="00DA559B"/>
    <w:rsid w:val="00DA5600"/>
    <w:rsid w:val="00DA564F"/>
    <w:rsid w:val="00DA5686"/>
    <w:rsid w:val="00DA568C"/>
    <w:rsid w:val="00DA5698"/>
    <w:rsid w:val="00DA5753"/>
    <w:rsid w:val="00DA578E"/>
    <w:rsid w:val="00DA57B9"/>
    <w:rsid w:val="00DA57C6"/>
    <w:rsid w:val="00DA5854"/>
    <w:rsid w:val="00DA5867"/>
    <w:rsid w:val="00DA5871"/>
    <w:rsid w:val="00DA58E9"/>
    <w:rsid w:val="00DA5904"/>
    <w:rsid w:val="00DA5906"/>
    <w:rsid w:val="00DA59E4"/>
    <w:rsid w:val="00DA5A9A"/>
    <w:rsid w:val="00DA5AC9"/>
    <w:rsid w:val="00DA5AE0"/>
    <w:rsid w:val="00DA5C53"/>
    <w:rsid w:val="00DA5CD9"/>
    <w:rsid w:val="00DA5D0F"/>
    <w:rsid w:val="00DA5D2C"/>
    <w:rsid w:val="00DA5D6F"/>
    <w:rsid w:val="00DA5D84"/>
    <w:rsid w:val="00DA5DBD"/>
    <w:rsid w:val="00DA5DC2"/>
    <w:rsid w:val="00DA5E1B"/>
    <w:rsid w:val="00DA5E4C"/>
    <w:rsid w:val="00DA5EE8"/>
    <w:rsid w:val="00DA6006"/>
    <w:rsid w:val="00DA6033"/>
    <w:rsid w:val="00DA6249"/>
    <w:rsid w:val="00DA62C2"/>
    <w:rsid w:val="00DA62D1"/>
    <w:rsid w:val="00DA6345"/>
    <w:rsid w:val="00DA6355"/>
    <w:rsid w:val="00DA63A6"/>
    <w:rsid w:val="00DA643D"/>
    <w:rsid w:val="00DA6524"/>
    <w:rsid w:val="00DA65A7"/>
    <w:rsid w:val="00DA65E0"/>
    <w:rsid w:val="00DA66A4"/>
    <w:rsid w:val="00DA6751"/>
    <w:rsid w:val="00DA6775"/>
    <w:rsid w:val="00DA67B4"/>
    <w:rsid w:val="00DA6848"/>
    <w:rsid w:val="00DA686B"/>
    <w:rsid w:val="00DA687A"/>
    <w:rsid w:val="00DA68E2"/>
    <w:rsid w:val="00DA6945"/>
    <w:rsid w:val="00DA6975"/>
    <w:rsid w:val="00DA69A1"/>
    <w:rsid w:val="00DA6A3A"/>
    <w:rsid w:val="00DA6A7B"/>
    <w:rsid w:val="00DA6ABD"/>
    <w:rsid w:val="00DA6AE2"/>
    <w:rsid w:val="00DA6B00"/>
    <w:rsid w:val="00DA6B3A"/>
    <w:rsid w:val="00DA6B4C"/>
    <w:rsid w:val="00DA6BF1"/>
    <w:rsid w:val="00DA6CAD"/>
    <w:rsid w:val="00DA6D0F"/>
    <w:rsid w:val="00DA6D1F"/>
    <w:rsid w:val="00DA6DE8"/>
    <w:rsid w:val="00DA6E0E"/>
    <w:rsid w:val="00DA6E35"/>
    <w:rsid w:val="00DA6E59"/>
    <w:rsid w:val="00DA6F1D"/>
    <w:rsid w:val="00DA6F24"/>
    <w:rsid w:val="00DA7030"/>
    <w:rsid w:val="00DA7047"/>
    <w:rsid w:val="00DA7122"/>
    <w:rsid w:val="00DA7130"/>
    <w:rsid w:val="00DA714C"/>
    <w:rsid w:val="00DA717D"/>
    <w:rsid w:val="00DA7185"/>
    <w:rsid w:val="00DA71DF"/>
    <w:rsid w:val="00DA72AB"/>
    <w:rsid w:val="00DA72AF"/>
    <w:rsid w:val="00DA72B3"/>
    <w:rsid w:val="00DA72D6"/>
    <w:rsid w:val="00DA7303"/>
    <w:rsid w:val="00DA7473"/>
    <w:rsid w:val="00DA7476"/>
    <w:rsid w:val="00DA74A5"/>
    <w:rsid w:val="00DA74DF"/>
    <w:rsid w:val="00DA7510"/>
    <w:rsid w:val="00DA754D"/>
    <w:rsid w:val="00DA7600"/>
    <w:rsid w:val="00DA767C"/>
    <w:rsid w:val="00DA76C1"/>
    <w:rsid w:val="00DA7720"/>
    <w:rsid w:val="00DA7739"/>
    <w:rsid w:val="00DA7753"/>
    <w:rsid w:val="00DA779F"/>
    <w:rsid w:val="00DA77E2"/>
    <w:rsid w:val="00DA7800"/>
    <w:rsid w:val="00DA7818"/>
    <w:rsid w:val="00DA7840"/>
    <w:rsid w:val="00DA787A"/>
    <w:rsid w:val="00DA789B"/>
    <w:rsid w:val="00DA78A2"/>
    <w:rsid w:val="00DA78E9"/>
    <w:rsid w:val="00DA79BD"/>
    <w:rsid w:val="00DA7A3B"/>
    <w:rsid w:val="00DA7A5C"/>
    <w:rsid w:val="00DA7B09"/>
    <w:rsid w:val="00DA7B57"/>
    <w:rsid w:val="00DA7BB8"/>
    <w:rsid w:val="00DA7BD6"/>
    <w:rsid w:val="00DA7C40"/>
    <w:rsid w:val="00DA7C84"/>
    <w:rsid w:val="00DA7CBF"/>
    <w:rsid w:val="00DA7DDC"/>
    <w:rsid w:val="00DA7E2A"/>
    <w:rsid w:val="00DA7E35"/>
    <w:rsid w:val="00DA7E3A"/>
    <w:rsid w:val="00DA7E67"/>
    <w:rsid w:val="00DA7EC6"/>
    <w:rsid w:val="00DA7FF0"/>
    <w:rsid w:val="00DA7FFA"/>
    <w:rsid w:val="00DB00E0"/>
    <w:rsid w:val="00DB00E5"/>
    <w:rsid w:val="00DB011D"/>
    <w:rsid w:val="00DB0178"/>
    <w:rsid w:val="00DB01A3"/>
    <w:rsid w:val="00DB0225"/>
    <w:rsid w:val="00DB022E"/>
    <w:rsid w:val="00DB028C"/>
    <w:rsid w:val="00DB0403"/>
    <w:rsid w:val="00DB0408"/>
    <w:rsid w:val="00DB0472"/>
    <w:rsid w:val="00DB047F"/>
    <w:rsid w:val="00DB04C5"/>
    <w:rsid w:val="00DB053B"/>
    <w:rsid w:val="00DB05B0"/>
    <w:rsid w:val="00DB06A3"/>
    <w:rsid w:val="00DB06BF"/>
    <w:rsid w:val="00DB0757"/>
    <w:rsid w:val="00DB07DA"/>
    <w:rsid w:val="00DB07F7"/>
    <w:rsid w:val="00DB0833"/>
    <w:rsid w:val="00DB0861"/>
    <w:rsid w:val="00DB087D"/>
    <w:rsid w:val="00DB08B3"/>
    <w:rsid w:val="00DB08DB"/>
    <w:rsid w:val="00DB0930"/>
    <w:rsid w:val="00DB0A06"/>
    <w:rsid w:val="00DB0ABC"/>
    <w:rsid w:val="00DB0ABE"/>
    <w:rsid w:val="00DB0AD7"/>
    <w:rsid w:val="00DB0B53"/>
    <w:rsid w:val="00DB0B8A"/>
    <w:rsid w:val="00DB0B93"/>
    <w:rsid w:val="00DB0BAF"/>
    <w:rsid w:val="00DB0BC3"/>
    <w:rsid w:val="00DB0BF3"/>
    <w:rsid w:val="00DB0C33"/>
    <w:rsid w:val="00DB0C34"/>
    <w:rsid w:val="00DB0C58"/>
    <w:rsid w:val="00DB0D00"/>
    <w:rsid w:val="00DB0E2A"/>
    <w:rsid w:val="00DB0E86"/>
    <w:rsid w:val="00DB0EA1"/>
    <w:rsid w:val="00DB0ECB"/>
    <w:rsid w:val="00DB0ECF"/>
    <w:rsid w:val="00DB0F69"/>
    <w:rsid w:val="00DB0F96"/>
    <w:rsid w:val="00DB1069"/>
    <w:rsid w:val="00DB11B1"/>
    <w:rsid w:val="00DB11C2"/>
    <w:rsid w:val="00DB13DC"/>
    <w:rsid w:val="00DB145C"/>
    <w:rsid w:val="00DB154B"/>
    <w:rsid w:val="00DB15DC"/>
    <w:rsid w:val="00DB15DD"/>
    <w:rsid w:val="00DB1601"/>
    <w:rsid w:val="00DB1625"/>
    <w:rsid w:val="00DB1627"/>
    <w:rsid w:val="00DB1644"/>
    <w:rsid w:val="00DB1695"/>
    <w:rsid w:val="00DB16D4"/>
    <w:rsid w:val="00DB1737"/>
    <w:rsid w:val="00DB1745"/>
    <w:rsid w:val="00DB175C"/>
    <w:rsid w:val="00DB17E5"/>
    <w:rsid w:val="00DB17E7"/>
    <w:rsid w:val="00DB180B"/>
    <w:rsid w:val="00DB181F"/>
    <w:rsid w:val="00DB1911"/>
    <w:rsid w:val="00DB19D2"/>
    <w:rsid w:val="00DB1A5B"/>
    <w:rsid w:val="00DB1A9C"/>
    <w:rsid w:val="00DB1B36"/>
    <w:rsid w:val="00DB1B4E"/>
    <w:rsid w:val="00DB1B59"/>
    <w:rsid w:val="00DB1B78"/>
    <w:rsid w:val="00DB1BEE"/>
    <w:rsid w:val="00DB1C30"/>
    <w:rsid w:val="00DB1C46"/>
    <w:rsid w:val="00DB1C58"/>
    <w:rsid w:val="00DB1DC0"/>
    <w:rsid w:val="00DB1DDB"/>
    <w:rsid w:val="00DB1DE1"/>
    <w:rsid w:val="00DB1E28"/>
    <w:rsid w:val="00DB1F09"/>
    <w:rsid w:val="00DB1FF9"/>
    <w:rsid w:val="00DB20DA"/>
    <w:rsid w:val="00DB2137"/>
    <w:rsid w:val="00DB22FD"/>
    <w:rsid w:val="00DB2360"/>
    <w:rsid w:val="00DB23B9"/>
    <w:rsid w:val="00DB2428"/>
    <w:rsid w:val="00DB246D"/>
    <w:rsid w:val="00DB2483"/>
    <w:rsid w:val="00DB24BA"/>
    <w:rsid w:val="00DB2522"/>
    <w:rsid w:val="00DB2544"/>
    <w:rsid w:val="00DB2554"/>
    <w:rsid w:val="00DB257E"/>
    <w:rsid w:val="00DB26AA"/>
    <w:rsid w:val="00DB26B4"/>
    <w:rsid w:val="00DB26DE"/>
    <w:rsid w:val="00DB2795"/>
    <w:rsid w:val="00DB2932"/>
    <w:rsid w:val="00DB29A6"/>
    <w:rsid w:val="00DB29D0"/>
    <w:rsid w:val="00DB2A3C"/>
    <w:rsid w:val="00DB2AA9"/>
    <w:rsid w:val="00DB2AC6"/>
    <w:rsid w:val="00DB2B5C"/>
    <w:rsid w:val="00DB2B64"/>
    <w:rsid w:val="00DB2B71"/>
    <w:rsid w:val="00DB2B97"/>
    <w:rsid w:val="00DB2BAE"/>
    <w:rsid w:val="00DB2BC1"/>
    <w:rsid w:val="00DB2C41"/>
    <w:rsid w:val="00DB2C45"/>
    <w:rsid w:val="00DB2C8E"/>
    <w:rsid w:val="00DB2CD5"/>
    <w:rsid w:val="00DB2CEA"/>
    <w:rsid w:val="00DB2D0D"/>
    <w:rsid w:val="00DB2D8A"/>
    <w:rsid w:val="00DB2D91"/>
    <w:rsid w:val="00DB2DB0"/>
    <w:rsid w:val="00DB2DBE"/>
    <w:rsid w:val="00DB2DD7"/>
    <w:rsid w:val="00DB2DEA"/>
    <w:rsid w:val="00DB2E6A"/>
    <w:rsid w:val="00DB2F14"/>
    <w:rsid w:val="00DB2F76"/>
    <w:rsid w:val="00DB2FA2"/>
    <w:rsid w:val="00DB3067"/>
    <w:rsid w:val="00DB3078"/>
    <w:rsid w:val="00DB30E5"/>
    <w:rsid w:val="00DB30F7"/>
    <w:rsid w:val="00DB31F7"/>
    <w:rsid w:val="00DB3234"/>
    <w:rsid w:val="00DB3251"/>
    <w:rsid w:val="00DB3298"/>
    <w:rsid w:val="00DB32AD"/>
    <w:rsid w:val="00DB32C8"/>
    <w:rsid w:val="00DB33B3"/>
    <w:rsid w:val="00DB33F8"/>
    <w:rsid w:val="00DB348C"/>
    <w:rsid w:val="00DB3493"/>
    <w:rsid w:val="00DB34B7"/>
    <w:rsid w:val="00DB34C6"/>
    <w:rsid w:val="00DB34DB"/>
    <w:rsid w:val="00DB352E"/>
    <w:rsid w:val="00DB3533"/>
    <w:rsid w:val="00DB3539"/>
    <w:rsid w:val="00DB35B7"/>
    <w:rsid w:val="00DB35CD"/>
    <w:rsid w:val="00DB374B"/>
    <w:rsid w:val="00DB378D"/>
    <w:rsid w:val="00DB37A8"/>
    <w:rsid w:val="00DB37CC"/>
    <w:rsid w:val="00DB393B"/>
    <w:rsid w:val="00DB3990"/>
    <w:rsid w:val="00DB3993"/>
    <w:rsid w:val="00DB3A0E"/>
    <w:rsid w:val="00DB3A2B"/>
    <w:rsid w:val="00DB3A68"/>
    <w:rsid w:val="00DB3A72"/>
    <w:rsid w:val="00DB3A9A"/>
    <w:rsid w:val="00DB3B05"/>
    <w:rsid w:val="00DB3B0A"/>
    <w:rsid w:val="00DB3B19"/>
    <w:rsid w:val="00DB3BFD"/>
    <w:rsid w:val="00DB3C97"/>
    <w:rsid w:val="00DB3CAC"/>
    <w:rsid w:val="00DB3CCE"/>
    <w:rsid w:val="00DB3CF0"/>
    <w:rsid w:val="00DB3E32"/>
    <w:rsid w:val="00DB3E53"/>
    <w:rsid w:val="00DB3ED3"/>
    <w:rsid w:val="00DB3F66"/>
    <w:rsid w:val="00DB3F85"/>
    <w:rsid w:val="00DB3F86"/>
    <w:rsid w:val="00DB3F99"/>
    <w:rsid w:val="00DB4039"/>
    <w:rsid w:val="00DB4050"/>
    <w:rsid w:val="00DB407A"/>
    <w:rsid w:val="00DB4087"/>
    <w:rsid w:val="00DB40B7"/>
    <w:rsid w:val="00DB40D6"/>
    <w:rsid w:val="00DB4173"/>
    <w:rsid w:val="00DB41EE"/>
    <w:rsid w:val="00DB41F9"/>
    <w:rsid w:val="00DB4228"/>
    <w:rsid w:val="00DB4270"/>
    <w:rsid w:val="00DB4275"/>
    <w:rsid w:val="00DB4394"/>
    <w:rsid w:val="00DB43CA"/>
    <w:rsid w:val="00DB4454"/>
    <w:rsid w:val="00DB449F"/>
    <w:rsid w:val="00DB44EF"/>
    <w:rsid w:val="00DB451D"/>
    <w:rsid w:val="00DB459F"/>
    <w:rsid w:val="00DB45BA"/>
    <w:rsid w:val="00DB45E2"/>
    <w:rsid w:val="00DB45F1"/>
    <w:rsid w:val="00DB4644"/>
    <w:rsid w:val="00DB46C9"/>
    <w:rsid w:val="00DB473D"/>
    <w:rsid w:val="00DB47A5"/>
    <w:rsid w:val="00DB4919"/>
    <w:rsid w:val="00DB4A04"/>
    <w:rsid w:val="00DB4A26"/>
    <w:rsid w:val="00DB4A36"/>
    <w:rsid w:val="00DB4A6E"/>
    <w:rsid w:val="00DB4A93"/>
    <w:rsid w:val="00DB4AB0"/>
    <w:rsid w:val="00DB4AC3"/>
    <w:rsid w:val="00DB4AD7"/>
    <w:rsid w:val="00DB4AE3"/>
    <w:rsid w:val="00DB4B86"/>
    <w:rsid w:val="00DB4B8E"/>
    <w:rsid w:val="00DB4BA5"/>
    <w:rsid w:val="00DB4C76"/>
    <w:rsid w:val="00DB4CDB"/>
    <w:rsid w:val="00DB4D12"/>
    <w:rsid w:val="00DB4D50"/>
    <w:rsid w:val="00DB4E06"/>
    <w:rsid w:val="00DB4E0E"/>
    <w:rsid w:val="00DB4E2E"/>
    <w:rsid w:val="00DB4E50"/>
    <w:rsid w:val="00DB4E6B"/>
    <w:rsid w:val="00DB4F2F"/>
    <w:rsid w:val="00DB4F7F"/>
    <w:rsid w:val="00DB4F8C"/>
    <w:rsid w:val="00DB5056"/>
    <w:rsid w:val="00DB5082"/>
    <w:rsid w:val="00DB50D9"/>
    <w:rsid w:val="00DB50F9"/>
    <w:rsid w:val="00DB5162"/>
    <w:rsid w:val="00DB519D"/>
    <w:rsid w:val="00DB51CE"/>
    <w:rsid w:val="00DB51F2"/>
    <w:rsid w:val="00DB5207"/>
    <w:rsid w:val="00DB5211"/>
    <w:rsid w:val="00DB522B"/>
    <w:rsid w:val="00DB52B1"/>
    <w:rsid w:val="00DB52B4"/>
    <w:rsid w:val="00DB530D"/>
    <w:rsid w:val="00DB5346"/>
    <w:rsid w:val="00DB53BD"/>
    <w:rsid w:val="00DB53E3"/>
    <w:rsid w:val="00DB53EC"/>
    <w:rsid w:val="00DB5424"/>
    <w:rsid w:val="00DB5445"/>
    <w:rsid w:val="00DB54D8"/>
    <w:rsid w:val="00DB553E"/>
    <w:rsid w:val="00DB5557"/>
    <w:rsid w:val="00DB5568"/>
    <w:rsid w:val="00DB5569"/>
    <w:rsid w:val="00DB566D"/>
    <w:rsid w:val="00DB56E3"/>
    <w:rsid w:val="00DB573A"/>
    <w:rsid w:val="00DB5746"/>
    <w:rsid w:val="00DB5794"/>
    <w:rsid w:val="00DB57A3"/>
    <w:rsid w:val="00DB5809"/>
    <w:rsid w:val="00DB582A"/>
    <w:rsid w:val="00DB5895"/>
    <w:rsid w:val="00DB58CF"/>
    <w:rsid w:val="00DB5938"/>
    <w:rsid w:val="00DB59AE"/>
    <w:rsid w:val="00DB5AE7"/>
    <w:rsid w:val="00DB5B7B"/>
    <w:rsid w:val="00DB5C3A"/>
    <w:rsid w:val="00DB5C8E"/>
    <w:rsid w:val="00DB5D51"/>
    <w:rsid w:val="00DB5DE4"/>
    <w:rsid w:val="00DB5E11"/>
    <w:rsid w:val="00DB5E12"/>
    <w:rsid w:val="00DB5E2D"/>
    <w:rsid w:val="00DB5E47"/>
    <w:rsid w:val="00DB5E6C"/>
    <w:rsid w:val="00DB5E8A"/>
    <w:rsid w:val="00DB5E9A"/>
    <w:rsid w:val="00DB5EC9"/>
    <w:rsid w:val="00DB5EF0"/>
    <w:rsid w:val="00DB5EFE"/>
    <w:rsid w:val="00DB5F8F"/>
    <w:rsid w:val="00DB5FA5"/>
    <w:rsid w:val="00DB5FB0"/>
    <w:rsid w:val="00DB6147"/>
    <w:rsid w:val="00DB614B"/>
    <w:rsid w:val="00DB61B6"/>
    <w:rsid w:val="00DB61C6"/>
    <w:rsid w:val="00DB61FD"/>
    <w:rsid w:val="00DB6330"/>
    <w:rsid w:val="00DB6579"/>
    <w:rsid w:val="00DB65E0"/>
    <w:rsid w:val="00DB65EF"/>
    <w:rsid w:val="00DB6613"/>
    <w:rsid w:val="00DB6640"/>
    <w:rsid w:val="00DB667F"/>
    <w:rsid w:val="00DB6741"/>
    <w:rsid w:val="00DB6764"/>
    <w:rsid w:val="00DB6788"/>
    <w:rsid w:val="00DB67B0"/>
    <w:rsid w:val="00DB683B"/>
    <w:rsid w:val="00DB6842"/>
    <w:rsid w:val="00DB6863"/>
    <w:rsid w:val="00DB68D6"/>
    <w:rsid w:val="00DB68E2"/>
    <w:rsid w:val="00DB6933"/>
    <w:rsid w:val="00DB696E"/>
    <w:rsid w:val="00DB6989"/>
    <w:rsid w:val="00DB6998"/>
    <w:rsid w:val="00DB6A16"/>
    <w:rsid w:val="00DB6A3C"/>
    <w:rsid w:val="00DB6A3D"/>
    <w:rsid w:val="00DB6A58"/>
    <w:rsid w:val="00DB6A8D"/>
    <w:rsid w:val="00DB6AE3"/>
    <w:rsid w:val="00DB6B1E"/>
    <w:rsid w:val="00DB6B4F"/>
    <w:rsid w:val="00DB6B68"/>
    <w:rsid w:val="00DB6B82"/>
    <w:rsid w:val="00DB6BA3"/>
    <w:rsid w:val="00DB6BCF"/>
    <w:rsid w:val="00DB6C73"/>
    <w:rsid w:val="00DB6C76"/>
    <w:rsid w:val="00DB6CD0"/>
    <w:rsid w:val="00DB6CE3"/>
    <w:rsid w:val="00DB6CE7"/>
    <w:rsid w:val="00DB6CFE"/>
    <w:rsid w:val="00DB6D01"/>
    <w:rsid w:val="00DB6D04"/>
    <w:rsid w:val="00DB6D3B"/>
    <w:rsid w:val="00DB6EF5"/>
    <w:rsid w:val="00DB6F3A"/>
    <w:rsid w:val="00DB6F75"/>
    <w:rsid w:val="00DB6F9F"/>
    <w:rsid w:val="00DB6FFB"/>
    <w:rsid w:val="00DB7008"/>
    <w:rsid w:val="00DB703C"/>
    <w:rsid w:val="00DB71BE"/>
    <w:rsid w:val="00DB71F2"/>
    <w:rsid w:val="00DB7220"/>
    <w:rsid w:val="00DB7269"/>
    <w:rsid w:val="00DB7270"/>
    <w:rsid w:val="00DB72F2"/>
    <w:rsid w:val="00DB7320"/>
    <w:rsid w:val="00DB7361"/>
    <w:rsid w:val="00DB742B"/>
    <w:rsid w:val="00DB7529"/>
    <w:rsid w:val="00DB7566"/>
    <w:rsid w:val="00DB7582"/>
    <w:rsid w:val="00DB75BE"/>
    <w:rsid w:val="00DB7609"/>
    <w:rsid w:val="00DB760A"/>
    <w:rsid w:val="00DB762B"/>
    <w:rsid w:val="00DB76A5"/>
    <w:rsid w:val="00DB76A9"/>
    <w:rsid w:val="00DB7718"/>
    <w:rsid w:val="00DB775B"/>
    <w:rsid w:val="00DB775C"/>
    <w:rsid w:val="00DB778D"/>
    <w:rsid w:val="00DB77AD"/>
    <w:rsid w:val="00DB782C"/>
    <w:rsid w:val="00DB7851"/>
    <w:rsid w:val="00DB7873"/>
    <w:rsid w:val="00DB7880"/>
    <w:rsid w:val="00DB7893"/>
    <w:rsid w:val="00DB78B0"/>
    <w:rsid w:val="00DB795E"/>
    <w:rsid w:val="00DB79A7"/>
    <w:rsid w:val="00DB7A9F"/>
    <w:rsid w:val="00DB7AB9"/>
    <w:rsid w:val="00DB7AD9"/>
    <w:rsid w:val="00DB7AE9"/>
    <w:rsid w:val="00DB7B06"/>
    <w:rsid w:val="00DB7B0E"/>
    <w:rsid w:val="00DB7B11"/>
    <w:rsid w:val="00DB7BAA"/>
    <w:rsid w:val="00DB7C07"/>
    <w:rsid w:val="00DB7C22"/>
    <w:rsid w:val="00DB7C8A"/>
    <w:rsid w:val="00DB7D0E"/>
    <w:rsid w:val="00DB7D57"/>
    <w:rsid w:val="00DB7E3A"/>
    <w:rsid w:val="00DB7F09"/>
    <w:rsid w:val="00DB7F12"/>
    <w:rsid w:val="00DB7F24"/>
    <w:rsid w:val="00DB7F2C"/>
    <w:rsid w:val="00DB7F49"/>
    <w:rsid w:val="00DB7F5A"/>
    <w:rsid w:val="00DB7FAF"/>
    <w:rsid w:val="00DB7FC4"/>
    <w:rsid w:val="00DB7FFA"/>
    <w:rsid w:val="00DC0011"/>
    <w:rsid w:val="00DC0018"/>
    <w:rsid w:val="00DC00E7"/>
    <w:rsid w:val="00DC00E8"/>
    <w:rsid w:val="00DC00FE"/>
    <w:rsid w:val="00DC0114"/>
    <w:rsid w:val="00DC0327"/>
    <w:rsid w:val="00DC0330"/>
    <w:rsid w:val="00DC033B"/>
    <w:rsid w:val="00DC0365"/>
    <w:rsid w:val="00DC0368"/>
    <w:rsid w:val="00DC03B1"/>
    <w:rsid w:val="00DC03D5"/>
    <w:rsid w:val="00DC0400"/>
    <w:rsid w:val="00DC0507"/>
    <w:rsid w:val="00DC0551"/>
    <w:rsid w:val="00DC05DF"/>
    <w:rsid w:val="00DC064A"/>
    <w:rsid w:val="00DC0715"/>
    <w:rsid w:val="00DC07F7"/>
    <w:rsid w:val="00DC08C3"/>
    <w:rsid w:val="00DC08CA"/>
    <w:rsid w:val="00DC08EC"/>
    <w:rsid w:val="00DC09A8"/>
    <w:rsid w:val="00DC09BB"/>
    <w:rsid w:val="00DC0A2B"/>
    <w:rsid w:val="00DC0A53"/>
    <w:rsid w:val="00DC0A5C"/>
    <w:rsid w:val="00DC0A6B"/>
    <w:rsid w:val="00DC0A93"/>
    <w:rsid w:val="00DC0A95"/>
    <w:rsid w:val="00DC0AC8"/>
    <w:rsid w:val="00DC0AD0"/>
    <w:rsid w:val="00DC0ADB"/>
    <w:rsid w:val="00DC0AE6"/>
    <w:rsid w:val="00DC0AF6"/>
    <w:rsid w:val="00DC0AF7"/>
    <w:rsid w:val="00DC0B63"/>
    <w:rsid w:val="00DC0B7B"/>
    <w:rsid w:val="00DC0B9F"/>
    <w:rsid w:val="00DC0BC5"/>
    <w:rsid w:val="00DC0CB6"/>
    <w:rsid w:val="00DC0D9F"/>
    <w:rsid w:val="00DC0DF8"/>
    <w:rsid w:val="00DC0E16"/>
    <w:rsid w:val="00DC0EE2"/>
    <w:rsid w:val="00DC0F96"/>
    <w:rsid w:val="00DC0FE7"/>
    <w:rsid w:val="00DC1002"/>
    <w:rsid w:val="00DC1017"/>
    <w:rsid w:val="00DC1066"/>
    <w:rsid w:val="00DC1104"/>
    <w:rsid w:val="00DC1133"/>
    <w:rsid w:val="00DC11E9"/>
    <w:rsid w:val="00DC1224"/>
    <w:rsid w:val="00DC130C"/>
    <w:rsid w:val="00DC1343"/>
    <w:rsid w:val="00DC134A"/>
    <w:rsid w:val="00DC136F"/>
    <w:rsid w:val="00DC1377"/>
    <w:rsid w:val="00DC13D8"/>
    <w:rsid w:val="00DC1463"/>
    <w:rsid w:val="00DC1476"/>
    <w:rsid w:val="00DC148E"/>
    <w:rsid w:val="00DC14E1"/>
    <w:rsid w:val="00DC1505"/>
    <w:rsid w:val="00DC150E"/>
    <w:rsid w:val="00DC1538"/>
    <w:rsid w:val="00DC1591"/>
    <w:rsid w:val="00DC1592"/>
    <w:rsid w:val="00DC1599"/>
    <w:rsid w:val="00DC15A7"/>
    <w:rsid w:val="00DC15CD"/>
    <w:rsid w:val="00DC15D9"/>
    <w:rsid w:val="00DC15E8"/>
    <w:rsid w:val="00DC1627"/>
    <w:rsid w:val="00DC1671"/>
    <w:rsid w:val="00DC1759"/>
    <w:rsid w:val="00DC1811"/>
    <w:rsid w:val="00DC18DA"/>
    <w:rsid w:val="00DC18EA"/>
    <w:rsid w:val="00DC18F8"/>
    <w:rsid w:val="00DC19D8"/>
    <w:rsid w:val="00DC19F3"/>
    <w:rsid w:val="00DC1A22"/>
    <w:rsid w:val="00DC1A31"/>
    <w:rsid w:val="00DC1B28"/>
    <w:rsid w:val="00DC1B96"/>
    <w:rsid w:val="00DC1BBC"/>
    <w:rsid w:val="00DC1BC1"/>
    <w:rsid w:val="00DC1BCD"/>
    <w:rsid w:val="00DC1C21"/>
    <w:rsid w:val="00DC1C44"/>
    <w:rsid w:val="00DC1C51"/>
    <w:rsid w:val="00DC1C57"/>
    <w:rsid w:val="00DC1C65"/>
    <w:rsid w:val="00DC1E3A"/>
    <w:rsid w:val="00DC1E69"/>
    <w:rsid w:val="00DC1E8A"/>
    <w:rsid w:val="00DC1F25"/>
    <w:rsid w:val="00DC1F7C"/>
    <w:rsid w:val="00DC1FA3"/>
    <w:rsid w:val="00DC1FAD"/>
    <w:rsid w:val="00DC2018"/>
    <w:rsid w:val="00DC206E"/>
    <w:rsid w:val="00DC208C"/>
    <w:rsid w:val="00DC2096"/>
    <w:rsid w:val="00DC2159"/>
    <w:rsid w:val="00DC21B4"/>
    <w:rsid w:val="00DC21CE"/>
    <w:rsid w:val="00DC220B"/>
    <w:rsid w:val="00DC2248"/>
    <w:rsid w:val="00DC22BA"/>
    <w:rsid w:val="00DC2303"/>
    <w:rsid w:val="00DC230F"/>
    <w:rsid w:val="00DC235A"/>
    <w:rsid w:val="00DC23A9"/>
    <w:rsid w:val="00DC23DD"/>
    <w:rsid w:val="00DC23E6"/>
    <w:rsid w:val="00DC23ED"/>
    <w:rsid w:val="00DC242E"/>
    <w:rsid w:val="00DC2533"/>
    <w:rsid w:val="00DC2574"/>
    <w:rsid w:val="00DC259E"/>
    <w:rsid w:val="00DC25E8"/>
    <w:rsid w:val="00DC2607"/>
    <w:rsid w:val="00DC26A4"/>
    <w:rsid w:val="00DC26BA"/>
    <w:rsid w:val="00DC2707"/>
    <w:rsid w:val="00DC270D"/>
    <w:rsid w:val="00DC2792"/>
    <w:rsid w:val="00DC27B5"/>
    <w:rsid w:val="00DC27D2"/>
    <w:rsid w:val="00DC280D"/>
    <w:rsid w:val="00DC2818"/>
    <w:rsid w:val="00DC282D"/>
    <w:rsid w:val="00DC2890"/>
    <w:rsid w:val="00DC2905"/>
    <w:rsid w:val="00DC294A"/>
    <w:rsid w:val="00DC294C"/>
    <w:rsid w:val="00DC298F"/>
    <w:rsid w:val="00DC29BF"/>
    <w:rsid w:val="00DC29C0"/>
    <w:rsid w:val="00DC29C7"/>
    <w:rsid w:val="00DC29DE"/>
    <w:rsid w:val="00DC2A69"/>
    <w:rsid w:val="00DC2A71"/>
    <w:rsid w:val="00DC2AF9"/>
    <w:rsid w:val="00DC2B1B"/>
    <w:rsid w:val="00DC2B8E"/>
    <w:rsid w:val="00DC2C8D"/>
    <w:rsid w:val="00DC2C9B"/>
    <w:rsid w:val="00DC2CB6"/>
    <w:rsid w:val="00DC2D0E"/>
    <w:rsid w:val="00DC2D42"/>
    <w:rsid w:val="00DC2D4A"/>
    <w:rsid w:val="00DC2D83"/>
    <w:rsid w:val="00DC2DE1"/>
    <w:rsid w:val="00DC2DE4"/>
    <w:rsid w:val="00DC2DF8"/>
    <w:rsid w:val="00DC2E6E"/>
    <w:rsid w:val="00DC2EBC"/>
    <w:rsid w:val="00DC2EE0"/>
    <w:rsid w:val="00DC2F1B"/>
    <w:rsid w:val="00DC2F51"/>
    <w:rsid w:val="00DC2F70"/>
    <w:rsid w:val="00DC301E"/>
    <w:rsid w:val="00DC304D"/>
    <w:rsid w:val="00DC307D"/>
    <w:rsid w:val="00DC30D5"/>
    <w:rsid w:val="00DC311D"/>
    <w:rsid w:val="00DC3120"/>
    <w:rsid w:val="00DC3162"/>
    <w:rsid w:val="00DC31B0"/>
    <w:rsid w:val="00DC31D3"/>
    <w:rsid w:val="00DC31EE"/>
    <w:rsid w:val="00DC3240"/>
    <w:rsid w:val="00DC3264"/>
    <w:rsid w:val="00DC32AE"/>
    <w:rsid w:val="00DC32F1"/>
    <w:rsid w:val="00DC331C"/>
    <w:rsid w:val="00DC33A5"/>
    <w:rsid w:val="00DC340D"/>
    <w:rsid w:val="00DC34D7"/>
    <w:rsid w:val="00DC3521"/>
    <w:rsid w:val="00DC359A"/>
    <w:rsid w:val="00DC35D4"/>
    <w:rsid w:val="00DC35DA"/>
    <w:rsid w:val="00DC35E5"/>
    <w:rsid w:val="00DC3639"/>
    <w:rsid w:val="00DC3686"/>
    <w:rsid w:val="00DC372C"/>
    <w:rsid w:val="00DC3756"/>
    <w:rsid w:val="00DC377B"/>
    <w:rsid w:val="00DC3795"/>
    <w:rsid w:val="00DC3852"/>
    <w:rsid w:val="00DC3888"/>
    <w:rsid w:val="00DC3892"/>
    <w:rsid w:val="00DC38E5"/>
    <w:rsid w:val="00DC38FC"/>
    <w:rsid w:val="00DC3976"/>
    <w:rsid w:val="00DC39A4"/>
    <w:rsid w:val="00DC3A6C"/>
    <w:rsid w:val="00DC3AEE"/>
    <w:rsid w:val="00DC3B43"/>
    <w:rsid w:val="00DC3B4F"/>
    <w:rsid w:val="00DC3BB4"/>
    <w:rsid w:val="00DC3BBD"/>
    <w:rsid w:val="00DC3C24"/>
    <w:rsid w:val="00DC3C8C"/>
    <w:rsid w:val="00DC3D40"/>
    <w:rsid w:val="00DC3D64"/>
    <w:rsid w:val="00DC3D79"/>
    <w:rsid w:val="00DC3D7F"/>
    <w:rsid w:val="00DC3DBF"/>
    <w:rsid w:val="00DC3DFE"/>
    <w:rsid w:val="00DC3E8C"/>
    <w:rsid w:val="00DC3F13"/>
    <w:rsid w:val="00DC3F52"/>
    <w:rsid w:val="00DC3F62"/>
    <w:rsid w:val="00DC3F6D"/>
    <w:rsid w:val="00DC3FB2"/>
    <w:rsid w:val="00DC4092"/>
    <w:rsid w:val="00DC40CE"/>
    <w:rsid w:val="00DC4105"/>
    <w:rsid w:val="00DC4177"/>
    <w:rsid w:val="00DC427F"/>
    <w:rsid w:val="00DC429C"/>
    <w:rsid w:val="00DC4318"/>
    <w:rsid w:val="00DC438D"/>
    <w:rsid w:val="00DC444D"/>
    <w:rsid w:val="00DC445D"/>
    <w:rsid w:val="00DC44EA"/>
    <w:rsid w:val="00DC4563"/>
    <w:rsid w:val="00DC45C4"/>
    <w:rsid w:val="00DC45CA"/>
    <w:rsid w:val="00DC462F"/>
    <w:rsid w:val="00DC4684"/>
    <w:rsid w:val="00DC46AA"/>
    <w:rsid w:val="00DC472F"/>
    <w:rsid w:val="00DC473E"/>
    <w:rsid w:val="00DC47EE"/>
    <w:rsid w:val="00DC481B"/>
    <w:rsid w:val="00DC48E2"/>
    <w:rsid w:val="00DC48EB"/>
    <w:rsid w:val="00DC48FF"/>
    <w:rsid w:val="00DC4974"/>
    <w:rsid w:val="00DC49B9"/>
    <w:rsid w:val="00DC49D3"/>
    <w:rsid w:val="00DC4B42"/>
    <w:rsid w:val="00DC4B78"/>
    <w:rsid w:val="00DC4B9C"/>
    <w:rsid w:val="00DC4BC7"/>
    <w:rsid w:val="00DC4C56"/>
    <w:rsid w:val="00DC4C82"/>
    <w:rsid w:val="00DC4D01"/>
    <w:rsid w:val="00DC4D21"/>
    <w:rsid w:val="00DC4D41"/>
    <w:rsid w:val="00DC4D5D"/>
    <w:rsid w:val="00DC4D6F"/>
    <w:rsid w:val="00DC4E06"/>
    <w:rsid w:val="00DC4E1C"/>
    <w:rsid w:val="00DC4E83"/>
    <w:rsid w:val="00DC4ECC"/>
    <w:rsid w:val="00DC5070"/>
    <w:rsid w:val="00DC50BC"/>
    <w:rsid w:val="00DC5135"/>
    <w:rsid w:val="00DC5188"/>
    <w:rsid w:val="00DC51BE"/>
    <w:rsid w:val="00DC51CF"/>
    <w:rsid w:val="00DC52E2"/>
    <w:rsid w:val="00DC53A0"/>
    <w:rsid w:val="00DC53A8"/>
    <w:rsid w:val="00DC5482"/>
    <w:rsid w:val="00DC54A1"/>
    <w:rsid w:val="00DC54ED"/>
    <w:rsid w:val="00DC558C"/>
    <w:rsid w:val="00DC55AA"/>
    <w:rsid w:val="00DC5620"/>
    <w:rsid w:val="00DC56AF"/>
    <w:rsid w:val="00DC56C1"/>
    <w:rsid w:val="00DC56C7"/>
    <w:rsid w:val="00DC56EA"/>
    <w:rsid w:val="00DC5732"/>
    <w:rsid w:val="00DC5824"/>
    <w:rsid w:val="00DC5838"/>
    <w:rsid w:val="00DC587B"/>
    <w:rsid w:val="00DC58AE"/>
    <w:rsid w:val="00DC5946"/>
    <w:rsid w:val="00DC5983"/>
    <w:rsid w:val="00DC59E7"/>
    <w:rsid w:val="00DC5BD4"/>
    <w:rsid w:val="00DC5C89"/>
    <w:rsid w:val="00DC5CA2"/>
    <w:rsid w:val="00DC5CBB"/>
    <w:rsid w:val="00DC5D4D"/>
    <w:rsid w:val="00DC5D81"/>
    <w:rsid w:val="00DC5D8D"/>
    <w:rsid w:val="00DC5D92"/>
    <w:rsid w:val="00DC5E68"/>
    <w:rsid w:val="00DC5E95"/>
    <w:rsid w:val="00DC5F08"/>
    <w:rsid w:val="00DC5FAC"/>
    <w:rsid w:val="00DC5FBA"/>
    <w:rsid w:val="00DC6010"/>
    <w:rsid w:val="00DC603A"/>
    <w:rsid w:val="00DC60C2"/>
    <w:rsid w:val="00DC6171"/>
    <w:rsid w:val="00DC6177"/>
    <w:rsid w:val="00DC61C3"/>
    <w:rsid w:val="00DC6232"/>
    <w:rsid w:val="00DC62AE"/>
    <w:rsid w:val="00DC62C5"/>
    <w:rsid w:val="00DC63A1"/>
    <w:rsid w:val="00DC63F1"/>
    <w:rsid w:val="00DC6411"/>
    <w:rsid w:val="00DC6447"/>
    <w:rsid w:val="00DC645D"/>
    <w:rsid w:val="00DC64DE"/>
    <w:rsid w:val="00DC6561"/>
    <w:rsid w:val="00DC65D0"/>
    <w:rsid w:val="00DC65D3"/>
    <w:rsid w:val="00DC65FD"/>
    <w:rsid w:val="00DC6619"/>
    <w:rsid w:val="00DC661E"/>
    <w:rsid w:val="00DC6623"/>
    <w:rsid w:val="00DC663F"/>
    <w:rsid w:val="00DC66A7"/>
    <w:rsid w:val="00DC6706"/>
    <w:rsid w:val="00DC671D"/>
    <w:rsid w:val="00DC6828"/>
    <w:rsid w:val="00DC682C"/>
    <w:rsid w:val="00DC6881"/>
    <w:rsid w:val="00DC68E0"/>
    <w:rsid w:val="00DC6977"/>
    <w:rsid w:val="00DC69F0"/>
    <w:rsid w:val="00DC6A73"/>
    <w:rsid w:val="00DC6B0B"/>
    <w:rsid w:val="00DC6C41"/>
    <w:rsid w:val="00DC6CAF"/>
    <w:rsid w:val="00DC6D0B"/>
    <w:rsid w:val="00DC6D10"/>
    <w:rsid w:val="00DC6D1C"/>
    <w:rsid w:val="00DC6D20"/>
    <w:rsid w:val="00DC6D5B"/>
    <w:rsid w:val="00DC6D76"/>
    <w:rsid w:val="00DC6D94"/>
    <w:rsid w:val="00DC6E22"/>
    <w:rsid w:val="00DC6E72"/>
    <w:rsid w:val="00DC6EF9"/>
    <w:rsid w:val="00DC6F2E"/>
    <w:rsid w:val="00DC6F69"/>
    <w:rsid w:val="00DC6FFA"/>
    <w:rsid w:val="00DC7017"/>
    <w:rsid w:val="00DC702B"/>
    <w:rsid w:val="00DC70DA"/>
    <w:rsid w:val="00DC70F2"/>
    <w:rsid w:val="00DC70F6"/>
    <w:rsid w:val="00DC71F4"/>
    <w:rsid w:val="00DC726D"/>
    <w:rsid w:val="00DC72A8"/>
    <w:rsid w:val="00DC72C5"/>
    <w:rsid w:val="00DC72D1"/>
    <w:rsid w:val="00DC73A0"/>
    <w:rsid w:val="00DC7444"/>
    <w:rsid w:val="00DC7468"/>
    <w:rsid w:val="00DC7475"/>
    <w:rsid w:val="00DC74BB"/>
    <w:rsid w:val="00DC74D3"/>
    <w:rsid w:val="00DC74D7"/>
    <w:rsid w:val="00DC74F1"/>
    <w:rsid w:val="00DC74F8"/>
    <w:rsid w:val="00DC7517"/>
    <w:rsid w:val="00DC7599"/>
    <w:rsid w:val="00DC75C9"/>
    <w:rsid w:val="00DC762C"/>
    <w:rsid w:val="00DC7751"/>
    <w:rsid w:val="00DC7774"/>
    <w:rsid w:val="00DC77D1"/>
    <w:rsid w:val="00DC77EA"/>
    <w:rsid w:val="00DC7990"/>
    <w:rsid w:val="00DC7A31"/>
    <w:rsid w:val="00DC7B45"/>
    <w:rsid w:val="00DC7B5A"/>
    <w:rsid w:val="00DC7B82"/>
    <w:rsid w:val="00DC7B8D"/>
    <w:rsid w:val="00DC7C6D"/>
    <w:rsid w:val="00DC7CBD"/>
    <w:rsid w:val="00DC7D86"/>
    <w:rsid w:val="00DC7DA2"/>
    <w:rsid w:val="00DC7DE0"/>
    <w:rsid w:val="00DC7DF7"/>
    <w:rsid w:val="00DC7E94"/>
    <w:rsid w:val="00DC7F0C"/>
    <w:rsid w:val="00DC7F18"/>
    <w:rsid w:val="00DD000D"/>
    <w:rsid w:val="00DD007B"/>
    <w:rsid w:val="00DD013E"/>
    <w:rsid w:val="00DD0145"/>
    <w:rsid w:val="00DD0189"/>
    <w:rsid w:val="00DD0198"/>
    <w:rsid w:val="00DD0212"/>
    <w:rsid w:val="00DD0343"/>
    <w:rsid w:val="00DD03C6"/>
    <w:rsid w:val="00DD03D1"/>
    <w:rsid w:val="00DD044A"/>
    <w:rsid w:val="00DD047E"/>
    <w:rsid w:val="00DD04CD"/>
    <w:rsid w:val="00DD0567"/>
    <w:rsid w:val="00DD05D8"/>
    <w:rsid w:val="00DD05E9"/>
    <w:rsid w:val="00DD0639"/>
    <w:rsid w:val="00DD068C"/>
    <w:rsid w:val="00DD06BB"/>
    <w:rsid w:val="00DD06F7"/>
    <w:rsid w:val="00DD0774"/>
    <w:rsid w:val="00DD07A9"/>
    <w:rsid w:val="00DD07D8"/>
    <w:rsid w:val="00DD081F"/>
    <w:rsid w:val="00DD082A"/>
    <w:rsid w:val="00DD0876"/>
    <w:rsid w:val="00DD0889"/>
    <w:rsid w:val="00DD0900"/>
    <w:rsid w:val="00DD0916"/>
    <w:rsid w:val="00DD0998"/>
    <w:rsid w:val="00DD09B5"/>
    <w:rsid w:val="00DD0A02"/>
    <w:rsid w:val="00DD0B01"/>
    <w:rsid w:val="00DD0B84"/>
    <w:rsid w:val="00DD0BB9"/>
    <w:rsid w:val="00DD0BBF"/>
    <w:rsid w:val="00DD0BC1"/>
    <w:rsid w:val="00DD0CA1"/>
    <w:rsid w:val="00DD0D1C"/>
    <w:rsid w:val="00DD0D84"/>
    <w:rsid w:val="00DD0DBF"/>
    <w:rsid w:val="00DD0DF5"/>
    <w:rsid w:val="00DD0DF6"/>
    <w:rsid w:val="00DD0EC4"/>
    <w:rsid w:val="00DD0F1A"/>
    <w:rsid w:val="00DD0F98"/>
    <w:rsid w:val="00DD0FC1"/>
    <w:rsid w:val="00DD1078"/>
    <w:rsid w:val="00DD109D"/>
    <w:rsid w:val="00DD10B2"/>
    <w:rsid w:val="00DD10C3"/>
    <w:rsid w:val="00DD10FB"/>
    <w:rsid w:val="00DD114B"/>
    <w:rsid w:val="00DD12D5"/>
    <w:rsid w:val="00DD131E"/>
    <w:rsid w:val="00DD1322"/>
    <w:rsid w:val="00DD1338"/>
    <w:rsid w:val="00DD136F"/>
    <w:rsid w:val="00DD137E"/>
    <w:rsid w:val="00DD1425"/>
    <w:rsid w:val="00DD14E4"/>
    <w:rsid w:val="00DD150F"/>
    <w:rsid w:val="00DD15B4"/>
    <w:rsid w:val="00DD168B"/>
    <w:rsid w:val="00DD1709"/>
    <w:rsid w:val="00DD1728"/>
    <w:rsid w:val="00DD1826"/>
    <w:rsid w:val="00DD1994"/>
    <w:rsid w:val="00DD1AE6"/>
    <w:rsid w:val="00DD1AFF"/>
    <w:rsid w:val="00DD1B29"/>
    <w:rsid w:val="00DD1BBF"/>
    <w:rsid w:val="00DD1C03"/>
    <w:rsid w:val="00DD1C0B"/>
    <w:rsid w:val="00DD1C53"/>
    <w:rsid w:val="00DD1C70"/>
    <w:rsid w:val="00DD1D3F"/>
    <w:rsid w:val="00DD1D85"/>
    <w:rsid w:val="00DD1DD9"/>
    <w:rsid w:val="00DD1DF8"/>
    <w:rsid w:val="00DD1E62"/>
    <w:rsid w:val="00DD1ECB"/>
    <w:rsid w:val="00DD1EE1"/>
    <w:rsid w:val="00DD1EE3"/>
    <w:rsid w:val="00DD1FE5"/>
    <w:rsid w:val="00DD2013"/>
    <w:rsid w:val="00DD20A8"/>
    <w:rsid w:val="00DD20EA"/>
    <w:rsid w:val="00DD2133"/>
    <w:rsid w:val="00DD2145"/>
    <w:rsid w:val="00DD21A2"/>
    <w:rsid w:val="00DD21F3"/>
    <w:rsid w:val="00DD21F4"/>
    <w:rsid w:val="00DD22A6"/>
    <w:rsid w:val="00DD2316"/>
    <w:rsid w:val="00DD237C"/>
    <w:rsid w:val="00DD23EE"/>
    <w:rsid w:val="00DD24BD"/>
    <w:rsid w:val="00DD2562"/>
    <w:rsid w:val="00DD2587"/>
    <w:rsid w:val="00DD25D6"/>
    <w:rsid w:val="00DD263F"/>
    <w:rsid w:val="00DD2709"/>
    <w:rsid w:val="00DD2726"/>
    <w:rsid w:val="00DD2762"/>
    <w:rsid w:val="00DD2779"/>
    <w:rsid w:val="00DD27EC"/>
    <w:rsid w:val="00DD282C"/>
    <w:rsid w:val="00DD28B5"/>
    <w:rsid w:val="00DD2922"/>
    <w:rsid w:val="00DD29D6"/>
    <w:rsid w:val="00DD2A5B"/>
    <w:rsid w:val="00DD2A70"/>
    <w:rsid w:val="00DD2B07"/>
    <w:rsid w:val="00DD2B0D"/>
    <w:rsid w:val="00DD2B9E"/>
    <w:rsid w:val="00DD2C15"/>
    <w:rsid w:val="00DD2C7C"/>
    <w:rsid w:val="00DD2CBA"/>
    <w:rsid w:val="00DD2CE7"/>
    <w:rsid w:val="00DD2D73"/>
    <w:rsid w:val="00DD2E15"/>
    <w:rsid w:val="00DD2E6B"/>
    <w:rsid w:val="00DD2F58"/>
    <w:rsid w:val="00DD2F6A"/>
    <w:rsid w:val="00DD2F9F"/>
    <w:rsid w:val="00DD3039"/>
    <w:rsid w:val="00DD303A"/>
    <w:rsid w:val="00DD306F"/>
    <w:rsid w:val="00DD316D"/>
    <w:rsid w:val="00DD31A1"/>
    <w:rsid w:val="00DD31A2"/>
    <w:rsid w:val="00DD31E5"/>
    <w:rsid w:val="00DD31E9"/>
    <w:rsid w:val="00DD329D"/>
    <w:rsid w:val="00DD32AA"/>
    <w:rsid w:val="00DD330A"/>
    <w:rsid w:val="00DD3351"/>
    <w:rsid w:val="00DD336A"/>
    <w:rsid w:val="00DD33D6"/>
    <w:rsid w:val="00DD33E1"/>
    <w:rsid w:val="00DD34EC"/>
    <w:rsid w:val="00DD3519"/>
    <w:rsid w:val="00DD3528"/>
    <w:rsid w:val="00DD3538"/>
    <w:rsid w:val="00DD35B0"/>
    <w:rsid w:val="00DD3601"/>
    <w:rsid w:val="00DD3715"/>
    <w:rsid w:val="00DD375E"/>
    <w:rsid w:val="00DD3834"/>
    <w:rsid w:val="00DD3859"/>
    <w:rsid w:val="00DD38CE"/>
    <w:rsid w:val="00DD39BD"/>
    <w:rsid w:val="00DD39EC"/>
    <w:rsid w:val="00DD3A37"/>
    <w:rsid w:val="00DD3A5C"/>
    <w:rsid w:val="00DD3A69"/>
    <w:rsid w:val="00DD3AA6"/>
    <w:rsid w:val="00DD3AD4"/>
    <w:rsid w:val="00DD3ADE"/>
    <w:rsid w:val="00DD3AEC"/>
    <w:rsid w:val="00DD3AF6"/>
    <w:rsid w:val="00DD3B32"/>
    <w:rsid w:val="00DD3B81"/>
    <w:rsid w:val="00DD3BF6"/>
    <w:rsid w:val="00DD3C27"/>
    <w:rsid w:val="00DD3C36"/>
    <w:rsid w:val="00DD3C3F"/>
    <w:rsid w:val="00DD3D9E"/>
    <w:rsid w:val="00DD3DA2"/>
    <w:rsid w:val="00DD3E2C"/>
    <w:rsid w:val="00DD3E2E"/>
    <w:rsid w:val="00DD3E35"/>
    <w:rsid w:val="00DD3EB9"/>
    <w:rsid w:val="00DD3EC9"/>
    <w:rsid w:val="00DD3F7B"/>
    <w:rsid w:val="00DD3F8F"/>
    <w:rsid w:val="00DD3FC0"/>
    <w:rsid w:val="00DD3FF8"/>
    <w:rsid w:val="00DD4010"/>
    <w:rsid w:val="00DD4080"/>
    <w:rsid w:val="00DD40CB"/>
    <w:rsid w:val="00DD40D4"/>
    <w:rsid w:val="00DD4113"/>
    <w:rsid w:val="00DD4148"/>
    <w:rsid w:val="00DD4180"/>
    <w:rsid w:val="00DD4183"/>
    <w:rsid w:val="00DD41CC"/>
    <w:rsid w:val="00DD41D3"/>
    <w:rsid w:val="00DD4203"/>
    <w:rsid w:val="00DD422D"/>
    <w:rsid w:val="00DD429A"/>
    <w:rsid w:val="00DD429F"/>
    <w:rsid w:val="00DD42BA"/>
    <w:rsid w:val="00DD4332"/>
    <w:rsid w:val="00DD43B0"/>
    <w:rsid w:val="00DD43B1"/>
    <w:rsid w:val="00DD43C1"/>
    <w:rsid w:val="00DD43D6"/>
    <w:rsid w:val="00DD444A"/>
    <w:rsid w:val="00DD4463"/>
    <w:rsid w:val="00DD447D"/>
    <w:rsid w:val="00DD4506"/>
    <w:rsid w:val="00DD4557"/>
    <w:rsid w:val="00DD462A"/>
    <w:rsid w:val="00DD462F"/>
    <w:rsid w:val="00DD4659"/>
    <w:rsid w:val="00DD4748"/>
    <w:rsid w:val="00DD476C"/>
    <w:rsid w:val="00DD476E"/>
    <w:rsid w:val="00DD47B6"/>
    <w:rsid w:val="00DD47C6"/>
    <w:rsid w:val="00DD4830"/>
    <w:rsid w:val="00DD49CB"/>
    <w:rsid w:val="00DD49D7"/>
    <w:rsid w:val="00DD49E1"/>
    <w:rsid w:val="00DD49F8"/>
    <w:rsid w:val="00DD4BCE"/>
    <w:rsid w:val="00DD4BF9"/>
    <w:rsid w:val="00DD4C79"/>
    <w:rsid w:val="00DD4D2F"/>
    <w:rsid w:val="00DD4D3F"/>
    <w:rsid w:val="00DD4D7E"/>
    <w:rsid w:val="00DD4DB6"/>
    <w:rsid w:val="00DD4DBF"/>
    <w:rsid w:val="00DD4E2A"/>
    <w:rsid w:val="00DD4E51"/>
    <w:rsid w:val="00DD4E8C"/>
    <w:rsid w:val="00DD4E8D"/>
    <w:rsid w:val="00DD4F57"/>
    <w:rsid w:val="00DD4F6E"/>
    <w:rsid w:val="00DD4FBB"/>
    <w:rsid w:val="00DD4FDD"/>
    <w:rsid w:val="00DD503A"/>
    <w:rsid w:val="00DD5054"/>
    <w:rsid w:val="00DD508A"/>
    <w:rsid w:val="00DD50DF"/>
    <w:rsid w:val="00DD5105"/>
    <w:rsid w:val="00DD5188"/>
    <w:rsid w:val="00DD51B4"/>
    <w:rsid w:val="00DD51E0"/>
    <w:rsid w:val="00DD51E3"/>
    <w:rsid w:val="00DD52B1"/>
    <w:rsid w:val="00DD5346"/>
    <w:rsid w:val="00DD5388"/>
    <w:rsid w:val="00DD53A2"/>
    <w:rsid w:val="00DD542F"/>
    <w:rsid w:val="00DD5440"/>
    <w:rsid w:val="00DD54D4"/>
    <w:rsid w:val="00DD54D6"/>
    <w:rsid w:val="00DD550A"/>
    <w:rsid w:val="00DD5571"/>
    <w:rsid w:val="00DD557B"/>
    <w:rsid w:val="00DD55DF"/>
    <w:rsid w:val="00DD5641"/>
    <w:rsid w:val="00DD5678"/>
    <w:rsid w:val="00DD56BE"/>
    <w:rsid w:val="00DD572D"/>
    <w:rsid w:val="00DD573C"/>
    <w:rsid w:val="00DD5786"/>
    <w:rsid w:val="00DD5877"/>
    <w:rsid w:val="00DD58C0"/>
    <w:rsid w:val="00DD5908"/>
    <w:rsid w:val="00DD59ED"/>
    <w:rsid w:val="00DD5A37"/>
    <w:rsid w:val="00DD5A5F"/>
    <w:rsid w:val="00DD5ABA"/>
    <w:rsid w:val="00DD5AD5"/>
    <w:rsid w:val="00DD5B31"/>
    <w:rsid w:val="00DD5B36"/>
    <w:rsid w:val="00DD5BA4"/>
    <w:rsid w:val="00DD5BAA"/>
    <w:rsid w:val="00DD5BC9"/>
    <w:rsid w:val="00DD5BE0"/>
    <w:rsid w:val="00DD5BF3"/>
    <w:rsid w:val="00DD5C4C"/>
    <w:rsid w:val="00DD5C8A"/>
    <w:rsid w:val="00DD5C90"/>
    <w:rsid w:val="00DD5D6B"/>
    <w:rsid w:val="00DD5E94"/>
    <w:rsid w:val="00DD60F6"/>
    <w:rsid w:val="00DD60FE"/>
    <w:rsid w:val="00DD620C"/>
    <w:rsid w:val="00DD6293"/>
    <w:rsid w:val="00DD62A9"/>
    <w:rsid w:val="00DD62EB"/>
    <w:rsid w:val="00DD63AE"/>
    <w:rsid w:val="00DD63CF"/>
    <w:rsid w:val="00DD644E"/>
    <w:rsid w:val="00DD64A1"/>
    <w:rsid w:val="00DD64F5"/>
    <w:rsid w:val="00DD654D"/>
    <w:rsid w:val="00DD6653"/>
    <w:rsid w:val="00DD6710"/>
    <w:rsid w:val="00DD67B5"/>
    <w:rsid w:val="00DD67BA"/>
    <w:rsid w:val="00DD689F"/>
    <w:rsid w:val="00DD68AD"/>
    <w:rsid w:val="00DD68CA"/>
    <w:rsid w:val="00DD68EC"/>
    <w:rsid w:val="00DD6924"/>
    <w:rsid w:val="00DD6985"/>
    <w:rsid w:val="00DD6A1C"/>
    <w:rsid w:val="00DD6A21"/>
    <w:rsid w:val="00DD6A5B"/>
    <w:rsid w:val="00DD6ADC"/>
    <w:rsid w:val="00DD6B4A"/>
    <w:rsid w:val="00DD6B4D"/>
    <w:rsid w:val="00DD6C16"/>
    <w:rsid w:val="00DD6C52"/>
    <w:rsid w:val="00DD6C6D"/>
    <w:rsid w:val="00DD6C79"/>
    <w:rsid w:val="00DD6D3B"/>
    <w:rsid w:val="00DD6D44"/>
    <w:rsid w:val="00DD6D7F"/>
    <w:rsid w:val="00DD6DB1"/>
    <w:rsid w:val="00DD6E0D"/>
    <w:rsid w:val="00DD6E51"/>
    <w:rsid w:val="00DD6E9B"/>
    <w:rsid w:val="00DD6EA2"/>
    <w:rsid w:val="00DD6EB5"/>
    <w:rsid w:val="00DD6F39"/>
    <w:rsid w:val="00DD6F3F"/>
    <w:rsid w:val="00DD6F66"/>
    <w:rsid w:val="00DD6F72"/>
    <w:rsid w:val="00DD6F79"/>
    <w:rsid w:val="00DD6FBF"/>
    <w:rsid w:val="00DD6FD0"/>
    <w:rsid w:val="00DD6FF9"/>
    <w:rsid w:val="00DD7020"/>
    <w:rsid w:val="00DD7083"/>
    <w:rsid w:val="00DD709E"/>
    <w:rsid w:val="00DD70D6"/>
    <w:rsid w:val="00DD70E4"/>
    <w:rsid w:val="00DD7103"/>
    <w:rsid w:val="00DD7168"/>
    <w:rsid w:val="00DD7176"/>
    <w:rsid w:val="00DD717B"/>
    <w:rsid w:val="00DD7208"/>
    <w:rsid w:val="00DD7267"/>
    <w:rsid w:val="00DD72E5"/>
    <w:rsid w:val="00DD7331"/>
    <w:rsid w:val="00DD7333"/>
    <w:rsid w:val="00DD733F"/>
    <w:rsid w:val="00DD73E1"/>
    <w:rsid w:val="00DD73E4"/>
    <w:rsid w:val="00DD74A0"/>
    <w:rsid w:val="00DD755C"/>
    <w:rsid w:val="00DD75CD"/>
    <w:rsid w:val="00DD764A"/>
    <w:rsid w:val="00DD764D"/>
    <w:rsid w:val="00DD7782"/>
    <w:rsid w:val="00DD77B3"/>
    <w:rsid w:val="00DD7836"/>
    <w:rsid w:val="00DD78C9"/>
    <w:rsid w:val="00DD78D5"/>
    <w:rsid w:val="00DD78F4"/>
    <w:rsid w:val="00DD7980"/>
    <w:rsid w:val="00DD79A0"/>
    <w:rsid w:val="00DD79A7"/>
    <w:rsid w:val="00DD79C0"/>
    <w:rsid w:val="00DD79C6"/>
    <w:rsid w:val="00DD7A04"/>
    <w:rsid w:val="00DD7A07"/>
    <w:rsid w:val="00DD7A34"/>
    <w:rsid w:val="00DD7A3E"/>
    <w:rsid w:val="00DD7AA4"/>
    <w:rsid w:val="00DD7ADD"/>
    <w:rsid w:val="00DD7AE2"/>
    <w:rsid w:val="00DD7B23"/>
    <w:rsid w:val="00DD7B27"/>
    <w:rsid w:val="00DD7B40"/>
    <w:rsid w:val="00DD7B4F"/>
    <w:rsid w:val="00DD7B80"/>
    <w:rsid w:val="00DD7B98"/>
    <w:rsid w:val="00DD7BCB"/>
    <w:rsid w:val="00DD7BDD"/>
    <w:rsid w:val="00DD7C45"/>
    <w:rsid w:val="00DD7C85"/>
    <w:rsid w:val="00DD7DA4"/>
    <w:rsid w:val="00DD7DCF"/>
    <w:rsid w:val="00DD7E2A"/>
    <w:rsid w:val="00DD7E50"/>
    <w:rsid w:val="00DD7F28"/>
    <w:rsid w:val="00DD7F6B"/>
    <w:rsid w:val="00DD7F87"/>
    <w:rsid w:val="00DD7FD1"/>
    <w:rsid w:val="00DE003D"/>
    <w:rsid w:val="00DE00A3"/>
    <w:rsid w:val="00DE00C2"/>
    <w:rsid w:val="00DE010A"/>
    <w:rsid w:val="00DE0157"/>
    <w:rsid w:val="00DE01BA"/>
    <w:rsid w:val="00DE0245"/>
    <w:rsid w:val="00DE0249"/>
    <w:rsid w:val="00DE02BD"/>
    <w:rsid w:val="00DE0360"/>
    <w:rsid w:val="00DE036E"/>
    <w:rsid w:val="00DE0372"/>
    <w:rsid w:val="00DE03AF"/>
    <w:rsid w:val="00DE03C3"/>
    <w:rsid w:val="00DE04FC"/>
    <w:rsid w:val="00DE0529"/>
    <w:rsid w:val="00DE054F"/>
    <w:rsid w:val="00DE0564"/>
    <w:rsid w:val="00DE05EB"/>
    <w:rsid w:val="00DE0689"/>
    <w:rsid w:val="00DE06AC"/>
    <w:rsid w:val="00DE06DE"/>
    <w:rsid w:val="00DE076C"/>
    <w:rsid w:val="00DE07BF"/>
    <w:rsid w:val="00DE07EE"/>
    <w:rsid w:val="00DE0863"/>
    <w:rsid w:val="00DE0902"/>
    <w:rsid w:val="00DE09CF"/>
    <w:rsid w:val="00DE09D2"/>
    <w:rsid w:val="00DE0A06"/>
    <w:rsid w:val="00DE0A16"/>
    <w:rsid w:val="00DE0A51"/>
    <w:rsid w:val="00DE0A83"/>
    <w:rsid w:val="00DE0AC1"/>
    <w:rsid w:val="00DE0ADD"/>
    <w:rsid w:val="00DE0B33"/>
    <w:rsid w:val="00DE0B78"/>
    <w:rsid w:val="00DE0B90"/>
    <w:rsid w:val="00DE0BA9"/>
    <w:rsid w:val="00DE0BAD"/>
    <w:rsid w:val="00DE0BD3"/>
    <w:rsid w:val="00DE0C01"/>
    <w:rsid w:val="00DE0C48"/>
    <w:rsid w:val="00DE0CC1"/>
    <w:rsid w:val="00DE0CE7"/>
    <w:rsid w:val="00DE0CF2"/>
    <w:rsid w:val="00DE0D7C"/>
    <w:rsid w:val="00DE0E12"/>
    <w:rsid w:val="00DE0E59"/>
    <w:rsid w:val="00DE0F1D"/>
    <w:rsid w:val="00DE0F7D"/>
    <w:rsid w:val="00DE1038"/>
    <w:rsid w:val="00DE111C"/>
    <w:rsid w:val="00DE113E"/>
    <w:rsid w:val="00DE1145"/>
    <w:rsid w:val="00DE117B"/>
    <w:rsid w:val="00DE11F2"/>
    <w:rsid w:val="00DE1207"/>
    <w:rsid w:val="00DE1250"/>
    <w:rsid w:val="00DE12A7"/>
    <w:rsid w:val="00DE133F"/>
    <w:rsid w:val="00DE1343"/>
    <w:rsid w:val="00DE144D"/>
    <w:rsid w:val="00DE1475"/>
    <w:rsid w:val="00DE14E5"/>
    <w:rsid w:val="00DE14E9"/>
    <w:rsid w:val="00DE14FC"/>
    <w:rsid w:val="00DE15B6"/>
    <w:rsid w:val="00DE15DF"/>
    <w:rsid w:val="00DE161F"/>
    <w:rsid w:val="00DE16A0"/>
    <w:rsid w:val="00DE16F4"/>
    <w:rsid w:val="00DE170F"/>
    <w:rsid w:val="00DE185C"/>
    <w:rsid w:val="00DE18CB"/>
    <w:rsid w:val="00DE1974"/>
    <w:rsid w:val="00DE19E2"/>
    <w:rsid w:val="00DE1A66"/>
    <w:rsid w:val="00DE1ADE"/>
    <w:rsid w:val="00DE1AE2"/>
    <w:rsid w:val="00DE1AFF"/>
    <w:rsid w:val="00DE1B16"/>
    <w:rsid w:val="00DE1B5E"/>
    <w:rsid w:val="00DE1BE0"/>
    <w:rsid w:val="00DE1BF4"/>
    <w:rsid w:val="00DE1C2D"/>
    <w:rsid w:val="00DE1C32"/>
    <w:rsid w:val="00DE1CA6"/>
    <w:rsid w:val="00DE1CA7"/>
    <w:rsid w:val="00DE1CC5"/>
    <w:rsid w:val="00DE1D10"/>
    <w:rsid w:val="00DE1D3D"/>
    <w:rsid w:val="00DE1D7C"/>
    <w:rsid w:val="00DE1D92"/>
    <w:rsid w:val="00DE1E7B"/>
    <w:rsid w:val="00DE1EB4"/>
    <w:rsid w:val="00DE1ECF"/>
    <w:rsid w:val="00DE1F56"/>
    <w:rsid w:val="00DE1FC1"/>
    <w:rsid w:val="00DE2015"/>
    <w:rsid w:val="00DE2036"/>
    <w:rsid w:val="00DE20D3"/>
    <w:rsid w:val="00DE218F"/>
    <w:rsid w:val="00DE229A"/>
    <w:rsid w:val="00DE22F6"/>
    <w:rsid w:val="00DE2337"/>
    <w:rsid w:val="00DE23C7"/>
    <w:rsid w:val="00DE23DA"/>
    <w:rsid w:val="00DE2410"/>
    <w:rsid w:val="00DE24A6"/>
    <w:rsid w:val="00DE24BD"/>
    <w:rsid w:val="00DE2679"/>
    <w:rsid w:val="00DE26FC"/>
    <w:rsid w:val="00DE2741"/>
    <w:rsid w:val="00DE27B9"/>
    <w:rsid w:val="00DE27BF"/>
    <w:rsid w:val="00DE2841"/>
    <w:rsid w:val="00DE28A7"/>
    <w:rsid w:val="00DE28D0"/>
    <w:rsid w:val="00DE28EA"/>
    <w:rsid w:val="00DE28F3"/>
    <w:rsid w:val="00DE291D"/>
    <w:rsid w:val="00DE2927"/>
    <w:rsid w:val="00DE2934"/>
    <w:rsid w:val="00DE2965"/>
    <w:rsid w:val="00DE2A42"/>
    <w:rsid w:val="00DE2AA4"/>
    <w:rsid w:val="00DE2B1A"/>
    <w:rsid w:val="00DE2B22"/>
    <w:rsid w:val="00DE2BA8"/>
    <w:rsid w:val="00DE2D3B"/>
    <w:rsid w:val="00DE2D66"/>
    <w:rsid w:val="00DE2DA2"/>
    <w:rsid w:val="00DE2DAF"/>
    <w:rsid w:val="00DE2DDD"/>
    <w:rsid w:val="00DE2DEC"/>
    <w:rsid w:val="00DE2DED"/>
    <w:rsid w:val="00DE2DF6"/>
    <w:rsid w:val="00DE2DFF"/>
    <w:rsid w:val="00DE2E37"/>
    <w:rsid w:val="00DE2E7E"/>
    <w:rsid w:val="00DE2EE2"/>
    <w:rsid w:val="00DE2F73"/>
    <w:rsid w:val="00DE2F8D"/>
    <w:rsid w:val="00DE2FE6"/>
    <w:rsid w:val="00DE2FF0"/>
    <w:rsid w:val="00DE30D5"/>
    <w:rsid w:val="00DE311A"/>
    <w:rsid w:val="00DE313B"/>
    <w:rsid w:val="00DE316B"/>
    <w:rsid w:val="00DE3173"/>
    <w:rsid w:val="00DE31AA"/>
    <w:rsid w:val="00DE3271"/>
    <w:rsid w:val="00DE32CC"/>
    <w:rsid w:val="00DE3370"/>
    <w:rsid w:val="00DE337D"/>
    <w:rsid w:val="00DE33AC"/>
    <w:rsid w:val="00DE34B7"/>
    <w:rsid w:val="00DE3613"/>
    <w:rsid w:val="00DE36DC"/>
    <w:rsid w:val="00DE36E7"/>
    <w:rsid w:val="00DE36F6"/>
    <w:rsid w:val="00DE3718"/>
    <w:rsid w:val="00DE37D5"/>
    <w:rsid w:val="00DE37E5"/>
    <w:rsid w:val="00DE383B"/>
    <w:rsid w:val="00DE3881"/>
    <w:rsid w:val="00DE3987"/>
    <w:rsid w:val="00DE399B"/>
    <w:rsid w:val="00DE3ABD"/>
    <w:rsid w:val="00DE3B64"/>
    <w:rsid w:val="00DE3B75"/>
    <w:rsid w:val="00DE3D21"/>
    <w:rsid w:val="00DE3D3D"/>
    <w:rsid w:val="00DE3D43"/>
    <w:rsid w:val="00DE3D44"/>
    <w:rsid w:val="00DE3D88"/>
    <w:rsid w:val="00DE3D91"/>
    <w:rsid w:val="00DE3E55"/>
    <w:rsid w:val="00DE3E7E"/>
    <w:rsid w:val="00DE3F58"/>
    <w:rsid w:val="00DE3F7F"/>
    <w:rsid w:val="00DE3F8D"/>
    <w:rsid w:val="00DE3FA7"/>
    <w:rsid w:val="00DE3FB4"/>
    <w:rsid w:val="00DE4005"/>
    <w:rsid w:val="00DE4043"/>
    <w:rsid w:val="00DE4060"/>
    <w:rsid w:val="00DE4107"/>
    <w:rsid w:val="00DE413B"/>
    <w:rsid w:val="00DE41A1"/>
    <w:rsid w:val="00DE428E"/>
    <w:rsid w:val="00DE4305"/>
    <w:rsid w:val="00DE4376"/>
    <w:rsid w:val="00DE43A7"/>
    <w:rsid w:val="00DE43B9"/>
    <w:rsid w:val="00DE4445"/>
    <w:rsid w:val="00DE44E7"/>
    <w:rsid w:val="00DE4541"/>
    <w:rsid w:val="00DE4570"/>
    <w:rsid w:val="00DE4591"/>
    <w:rsid w:val="00DE45A2"/>
    <w:rsid w:val="00DE45C8"/>
    <w:rsid w:val="00DE45DD"/>
    <w:rsid w:val="00DE4610"/>
    <w:rsid w:val="00DE46E9"/>
    <w:rsid w:val="00DE4701"/>
    <w:rsid w:val="00DE475F"/>
    <w:rsid w:val="00DE477B"/>
    <w:rsid w:val="00DE478D"/>
    <w:rsid w:val="00DE47B5"/>
    <w:rsid w:val="00DE47BA"/>
    <w:rsid w:val="00DE47FC"/>
    <w:rsid w:val="00DE48D4"/>
    <w:rsid w:val="00DE4933"/>
    <w:rsid w:val="00DE498B"/>
    <w:rsid w:val="00DE498C"/>
    <w:rsid w:val="00DE49E8"/>
    <w:rsid w:val="00DE4A62"/>
    <w:rsid w:val="00DE4A6B"/>
    <w:rsid w:val="00DE4B69"/>
    <w:rsid w:val="00DE4B9E"/>
    <w:rsid w:val="00DE4BCF"/>
    <w:rsid w:val="00DE4BEE"/>
    <w:rsid w:val="00DE4BEF"/>
    <w:rsid w:val="00DE4C25"/>
    <w:rsid w:val="00DE4C45"/>
    <w:rsid w:val="00DE4CA5"/>
    <w:rsid w:val="00DE4D82"/>
    <w:rsid w:val="00DE4D9F"/>
    <w:rsid w:val="00DE4DDA"/>
    <w:rsid w:val="00DE4E28"/>
    <w:rsid w:val="00DE4E4F"/>
    <w:rsid w:val="00DE4EF0"/>
    <w:rsid w:val="00DE4EF4"/>
    <w:rsid w:val="00DE4F3D"/>
    <w:rsid w:val="00DE4F74"/>
    <w:rsid w:val="00DE4F9B"/>
    <w:rsid w:val="00DE4FDF"/>
    <w:rsid w:val="00DE500F"/>
    <w:rsid w:val="00DE50F8"/>
    <w:rsid w:val="00DE5104"/>
    <w:rsid w:val="00DE5115"/>
    <w:rsid w:val="00DE511D"/>
    <w:rsid w:val="00DE516A"/>
    <w:rsid w:val="00DE5196"/>
    <w:rsid w:val="00DE51D2"/>
    <w:rsid w:val="00DE51DE"/>
    <w:rsid w:val="00DE5224"/>
    <w:rsid w:val="00DE5263"/>
    <w:rsid w:val="00DE52C8"/>
    <w:rsid w:val="00DE53F0"/>
    <w:rsid w:val="00DE544D"/>
    <w:rsid w:val="00DE5459"/>
    <w:rsid w:val="00DE54CD"/>
    <w:rsid w:val="00DE54D0"/>
    <w:rsid w:val="00DE54E7"/>
    <w:rsid w:val="00DE5554"/>
    <w:rsid w:val="00DE56D4"/>
    <w:rsid w:val="00DE579A"/>
    <w:rsid w:val="00DE57B5"/>
    <w:rsid w:val="00DE57E3"/>
    <w:rsid w:val="00DE57F8"/>
    <w:rsid w:val="00DE5838"/>
    <w:rsid w:val="00DE5881"/>
    <w:rsid w:val="00DE58D1"/>
    <w:rsid w:val="00DE594C"/>
    <w:rsid w:val="00DE5957"/>
    <w:rsid w:val="00DE596F"/>
    <w:rsid w:val="00DE5A0D"/>
    <w:rsid w:val="00DE5A3E"/>
    <w:rsid w:val="00DE5A9F"/>
    <w:rsid w:val="00DE5AED"/>
    <w:rsid w:val="00DE5B04"/>
    <w:rsid w:val="00DE5B05"/>
    <w:rsid w:val="00DE5B38"/>
    <w:rsid w:val="00DE5B4B"/>
    <w:rsid w:val="00DE5C50"/>
    <w:rsid w:val="00DE5D37"/>
    <w:rsid w:val="00DE5D61"/>
    <w:rsid w:val="00DE5DF9"/>
    <w:rsid w:val="00DE5E60"/>
    <w:rsid w:val="00DE5E81"/>
    <w:rsid w:val="00DE5E9F"/>
    <w:rsid w:val="00DE5EAF"/>
    <w:rsid w:val="00DE5EB1"/>
    <w:rsid w:val="00DE5F04"/>
    <w:rsid w:val="00DE5F21"/>
    <w:rsid w:val="00DE5F45"/>
    <w:rsid w:val="00DE5F92"/>
    <w:rsid w:val="00DE5FD0"/>
    <w:rsid w:val="00DE6007"/>
    <w:rsid w:val="00DE601D"/>
    <w:rsid w:val="00DE6131"/>
    <w:rsid w:val="00DE6156"/>
    <w:rsid w:val="00DE624B"/>
    <w:rsid w:val="00DE624E"/>
    <w:rsid w:val="00DE6281"/>
    <w:rsid w:val="00DE62A7"/>
    <w:rsid w:val="00DE62FA"/>
    <w:rsid w:val="00DE637A"/>
    <w:rsid w:val="00DE63B9"/>
    <w:rsid w:val="00DE6456"/>
    <w:rsid w:val="00DE6488"/>
    <w:rsid w:val="00DE64B6"/>
    <w:rsid w:val="00DE6536"/>
    <w:rsid w:val="00DE65A1"/>
    <w:rsid w:val="00DE6680"/>
    <w:rsid w:val="00DE66D9"/>
    <w:rsid w:val="00DE670D"/>
    <w:rsid w:val="00DE6716"/>
    <w:rsid w:val="00DE6791"/>
    <w:rsid w:val="00DE6799"/>
    <w:rsid w:val="00DE6929"/>
    <w:rsid w:val="00DE6987"/>
    <w:rsid w:val="00DE6B32"/>
    <w:rsid w:val="00DE6B4B"/>
    <w:rsid w:val="00DE6BBA"/>
    <w:rsid w:val="00DE6CC6"/>
    <w:rsid w:val="00DE6CD4"/>
    <w:rsid w:val="00DE6CDA"/>
    <w:rsid w:val="00DE6D18"/>
    <w:rsid w:val="00DE6DA0"/>
    <w:rsid w:val="00DE6E12"/>
    <w:rsid w:val="00DE6E46"/>
    <w:rsid w:val="00DE6F09"/>
    <w:rsid w:val="00DE6F64"/>
    <w:rsid w:val="00DE6FD0"/>
    <w:rsid w:val="00DE6FFB"/>
    <w:rsid w:val="00DE7069"/>
    <w:rsid w:val="00DE70E4"/>
    <w:rsid w:val="00DE71A3"/>
    <w:rsid w:val="00DE7261"/>
    <w:rsid w:val="00DE72C6"/>
    <w:rsid w:val="00DE72CF"/>
    <w:rsid w:val="00DE7377"/>
    <w:rsid w:val="00DE73C8"/>
    <w:rsid w:val="00DE7411"/>
    <w:rsid w:val="00DE7435"/>
    <w:rsid w:val="00DE7444"/>
    <w:rsid w:val="00DE74C1"/>
    <w:rsid w:val="00DE74F5"/>
    <w:rsid w:val="00DE7525"/>
    <w:rsid w:val="00DE75DB"/>
    <w:rsid w:val="00DE75F2"/>
    <w:rsid w:val="00DE75FD"/>
    <w:rsid w:val="00DE7606"/>
    <w:rsid w:val="00DE7675"/>
    <w:rsid w:val="00DE77B8"/>
    <w:rsid w:val="00DE77F1"/>
    <w:rsid w:val="00DE7876"/>
    <w:rsid w:val="00DE791E"/>
    <w:rsid w:val="00DE7959"/>
    <w:rsid w:val="00DE796B"/>
    <w:rsid w:val="00DE7983"/>
    <w:rsid w:val="00DE7989"/>
    <w:rsid w:val="00DE79F0"/>
    <w:rsid w:val="00DE79FC"/>
    <w:rsid w:val="00DE7A19"/>
    <w:rsid w:val="00DE7A38"/>
    <w:rsid w:val="00DE7AD4"/>
    <w:rsid w:val="00DE7B68"/>
    <w:rsid w:val="00DE7B85"/>
    <w:rsid w:val="00DE7BB0"/>
    <w:rsid w:val="00DE7BCB"/>
    <w:rsid w:val="00DE7C24"/>
    <w:rsid w:val="00DE7C26"/>
    <w:rsid w:val="00DE7CF1"/>
    <w:rsid w:val="00DE7D0C"/>
    <w:rsid w:val="00DE7D40"/>
    <w:rsid w:val="00DE7D8A"/>
    <w:rsid w:val="00DE7DD8"/>
    <w:rsid w:val="00DE7E17"/>
    <w:rsid w:val="00DE7E4F"/>
    <w:rsid w:val="00DE7E93"/>
    <w:rsid w:val="00DE7FB5"/>
    <w:rsid w:val="00DE7FDA"/>
    <w:rsid w:val="00DF0002"/>
    <w:rsid w:val="00DF0025"/>
    <w:rsid w:val="00DF002E"/>
    <w:rsid w:val="00DF0056"/>
    <w:rsid w:val="00DF00AB"/>
    <w:rsid w:val="00DF00BA"/>
    <w:rsid w:val="00DF00CC"/>
    <w:rsid w:val="00DF00E7"/>
    <w:rsid w:val="00DF0155"/>
    <w:rsid w:val="00DF0159"/>
    <w:rsid w:val="00DF023F"/>
    <w:rsid w:val="00DF0376"/>
    <w:rsid w:val="00DF03B5"/>
    <w:rsid w:val="00DF03C7"/>
    <w:rsid w:val="00DF03E6"/>
    <w:rsid w:val="00DF0411"/>
    <w:rsid w:val="00DF04CA"/>
    <w:rsid w:val="00DF04EF"/>
    <w:rsid w:val="00DF0503"/>
    <w:rsid w:val="00DF050E"/>
    <w:rsid w:val="00DF0520"/>
    <w:rsid w:val="00DF0522"/>
    <w:rsid w:val="00DF05B0"/>
    <w:rsid w:val="00DF0619"/>
    <w:rsid w:val="00DF061D"/>
    <w:rsid w:val="00DF067F"/>
    <w:rsid w:val="00DF0852"/>
    <w:rsid w:val="00DF0895"/>
    <w:rsid w:val="00DF08FE"/>
    <w:rsid w:val="00DF0973"/>
    <w:rsid w:val="00DF09C6"/>
    <w:rsid w:val="00DF0A04"/>
    <w:rsid w:val="00DF0A1D"/>
    <w:rsid w:val="00DF0A3D"/>
    <w:rsid w:val="00DF0A3F"/>
    <w:rsid w:val="00DF0A5E"/>
    <w:rsid w:val="00DF0A93"/>
    <w:rsid w:val="00DF0C04"/>
    <w:rsid w:val="00DF0C74"/>
    <w:rsid w:val="00DF0C8F"/>
    <w:rsid w:val="00DF0CDA"/>
    <w:rsid w:val="00DF0D72"/>
    <w:rsid w:val="00DF0D9A"/>
    <w:rsid w:val="00DF0DEB"/>
    <w:rsid w:val="00DF0E94"/>
    <w:rsid w:val="00DF0ECC"/>
    <w:rsid w:val="00DF0EE9"/>
    <w:rsid w:val="00DF0F18"/>
    <w:rsid w:val="00DF0FB0"/>
    <w:rsid w:val="00DF1016"/>
    <w:rsid w:val="00DF10B2"/>
    <w:rsid w:val="00DF11FF"/>
    <w:rsid w:val="00DF125D"/>
    <w:rsid w:val="00DF129C"/>
    <w:rsid w:val="00DF12C5"/>
    <w:rsid w:val="00DF131E"/>
    <w:rsid w:val="00DF13A8"/>
    <w:rsid w:val="00DF13D3"/>
    <w:rsid w:val="00DF1443"/>
    <w:rsid w:val="00DF1459"/>
    <w:rsid w:val="00DF14B0"/>
    <w:rsid w:val="00DF1529"/>
    <w:rsid w:val="00DF1549"/>
    <w:rsid w:val="00DF157F"/>
    <w:rsid w:val="00DF15EE"/>
    <w:rsid w:val="00DF1616"/>
    <w:rsid w:val="00DF162C"/>
    <w:rsid w:val="00DF1659"/>
    <w:rsid w:val="00DF1677"/>
    <w:rsid w:val="00DF168C"/>
    <w:rsid w:val="00DF168D"/>
    <w:rsid w:val="00DF16B7"/>
    <w:rsid w:val="00DF16CD"/>
    <w:rsid w:val="00DF1728"/>
    <w:rsid w:val="00DF1794"/>
    <w:rsid w:val="00DF17D9"/>
    <w:rsid w:val="00DF17FD"/>
    <w:rsid w:val="00DF18A2"/>
    <w:rsid w:val="00DF198F"/>
    <w:rsid w:val="00DF1A78"/>
    <w:rsid w:val="00DF1A89"/>
    <w:rsid w:val="00DF1AB9"/>
    <w:rsid w:val="00DF1B1F"/>
    <w:rsid w:val="00DF1B32"/>
    <w:rsid w:val="00DF1B4D"/>
    <w:rsid w:val="00DF1BA0"/>
    <w:rsid w:val="00DF1BC2"/>
    <w:rsid w:val="00DF1C1E"/>
    <w:rsid w:val="00DF1C32"/>
    <w:rsid w:val="00DF1C5D"/>
    <w:rsid w:val="00DF1C88"/>
    <w:rsid w:val="00DF1CE6"/>
    <w:rsid w:val="00DF1D9D"/>
    <w:rsid w:val="00DF1EC2"/>
    <w:rsid w:val="00DF1ED9"/>
    <w:rsid w:val="00DF1F00"/>
    <w:rsid w:val="00DF1F71"/>
    <w:rsid w:val="00DF1F7F"/>
    <w:rsid w:val="00DF1F84"/>
    <w:rsid w:val="00DF1FC5"/>
    <w:rsid w:val="00DF1FF6"/>
    <w:rsid w:val="00DF1FFF"/>
    <w:rsid w:val="00DF2032"/>
    <w:rsid w:val="00DF206C"/>
    <w:rsid w:val="00DF2080"/>
    <w:rsid w:val="00DF2086"/>
    <w:rsid w:val="00DF219F"/>
    <w:rsid w:val="00DF21A0"/>
    <w:rsid w:val="00DF2209"/>
    <w:rsid w:val="00DF224C"/>
    <w:rsid w:val="00DF2277"/>
    <w:rsid w:val="00DF22D9"/>
    <w:rsid w:val="00DF23AE"/>
    <w:rsid w:val="00DF24B7"/>
    <w:rsid w:val="00DF2649"/>
    <w:rsid w:val="00DF269D"/>
    <w:rsid w:val="00DF26AB"/>
    <w:rsid w:val="00DF26EE"/>
    <w:rsid w:val="00DF26F7"/>
    <w:rsid w:val="00DF2758"/>
    <w:rsid w:val="00DF27FD"/>
    <w:rsid w:val="00DF28D3"/>
    <w:rsid w:val="00DF2910"/>
    <w:rsid w:val="00DF296C"/>
    <w:rsid w:val="00DF2A33"/>
    <w:rsid w:val="00DF2A36"/>
    <w:rsid w:val="00DF2A92"/>
    <w:rsid w:val="00DF2B1D"/>
    <w:rsid w:val="00DF2B56"/>
    <w:rsid w:val="00DF2BA4"/>
    <w:rsid w:val="00DF2BBA"/>
    <w:rsid w:val="00DF2BBE"/>
    <w:rsid w:val="00DF2BEC"/>
    <w:rsid w:val="00DF2BF6"/>
    <w:rsid w:val="00DF2C07"/>
    <w:rsid w:val="00DF2C08"/>
    <w:rsid w:val="00DF2CCD"/>
    <w:rsid w:val="00DF2CD4"/>
    <w:rsid w:val="00DF2E00"/>
    <w:rsid w:val="00DF2E3F"/>
    <w:rsid w:val="00DF2E4E"/>
    <w:rsid w:val="00DF2F3E"/>
    <w:rsid w:val="00DF2F4E"/>
    <w:rsid w:val="00DF2FAE"/>
    <w:rsid w:val="00DF3009"/>
    <w:rsid w:val="00DF30C5"/>
    <w:rsid w:val="00DF30DB"/>
    <w:rsid w:val="00DF31A6"/>
    <w:rsid w:val="00DF3268"/>
    <w:rsid w:val="00DF329C"/>
    <w:rsid w:val="00DF32A7"/>
    <w:rsid w:val="00DF32B2"/>
    <w:rsid w:val="00DF3353"/>
    <w:rsid w:val="00DF3358"/>
    <w:rsid w:val="00DF335E"/>
    <w:rsid w:val="00DF3367"/>
    <w:rsid w:val="00DF3394"/>
    <w:rsid w:val="00DF33B9"/>
    <w:rsid w:val="00DF343F"/>
    <w:rsid w:val="00DF3553"/>
    <w:rsid w:val="00DF3557"/>
    <w:rsid w:val="00DF35C5"/>
    <w:rsid w:val="00DF35D7"/>
    <w:rsid w:val="00DF3625"/>
    <w:rsid w:val="00DF3648"/>
    <w:rsid w:val="00DF3659"/>
    <w:rsid w:val="00DF36D6"/>
    <w:rsid w:val="00DF3760"/>
    <w:rsid w:val="00DF3764"/>
    <w:rsid w:val="00DF379D"/>
    <w:rsid w:val="00DF37A0"/>
    <w:rsid w:val="00DF37A4"/>
    <w:rsid w:val="00DF3805"/>
    <w:rsid w:val="00DF3838"/>
    <w:rsid w:val="00DF385B"/>
    <w:rsid w:val="00DF38AA"/>
    <w:rsid w:val="00DF38C6"/>
    <w:rsid w:val="00DF398C"/>
    <w:rsid w:val="00DF39EE"/>
    <w:rsid w:val="00DF3A03"/>
    <w:rsid w:val="00DF3A24"/>
    <w:rsid w:val="00DF3A4D"/>
    <w:rsid w:val="00DF3AA8"/>
    <w:rsid w:val="00DF3ACB"/>
    <w:rsid w:val="00DF3AF4"/>
    <w:rsid w:val="00DF3B08"/>
    <w:rsid w:val="00DF3B2E"/>
    <w:rsid w:val="00DF3B30"/>
    <w:rsid w:val="00DF3D02"/>
    <w:rsid w:val="00DF3D27"/>
    <w:rsid w:val="00DF3DB2"/>
    <w:rsid w:val="00DF3DCD"/>
    <w:rsid w:val="00DF3E22"/>
    <w:rsid w:val="00DF3E41"/>
    <w:rsid w:val="00DF3E5A"/>
    <w:rsid w:val="00DF3E6E"/>
    <w:rsid w:val="00DF3EDC"/>
    <w:rsid w:val="00DF3F10"/>
    <w:rsid w:val="00DF3F3D"/>
    <w:rsid w:val="00DF3F4C"/>
    <w:rsid w:val="00DF3FB2"/>
    <w:rsid w:val="00DF3FC9"/>
    <w:rsid w:val="00DF4017"/>
    <w:rsid w:val="00DF4098"/>
    <w:rsid w:val="00DF4104"/>
    <w:rsid w:val="00DF4105"/>
    <w:rsid w:val="00DF41A6"/>
    <w:rsid w:val="00DF41B2"/>
    <w:rsid w:val="00DF41CA"/>
    <w:rsid w:val="00DF41CB"/>
    <w:rsid w:val="00DF4204"/>
    <w:rsid w:val="00DF421C"/>
    <w:rsid w:val="00DF421E"/>
    <w:rsid w:val="00DF4243"/>
    <w:rsid w:val="00DF4244"/>
    <w:rsid w:val="00DF42BC"/>
    <w:rsid w:val="00DF42C8"/>
    <w:rsid w:val="00DF4325"/>
    <w:rsid w:val="00DF4378"/>
    <w:rsid w:val="00DF4480"/>
    <w:rsid w:val="00DF4498"/>
    <w:rsid w:val="00DF454B"/>
    <w:rsid w:val="00DF4577"/>
    <w:rsid w:val="00DF45A5"/>
    <w:rsid w:val="00DF45DF"/>
    <w:rsid w:val="00DF4706"/>
    <w:rsid w:val="00DF476F"/>
    <w:rsid w:val="00DF481C"/>
    <w:rsid w:val="00DF48AF"/>
    <w:rsid w:val="00DF48C2"/>
    <w:rsid w:val="00DF48C4"/>
    <w:rsid w:val="00DF48F4"/>
    <w:rsid w:val="00DF4920"/>
    <w:rsid w:val="00DF4991"/>
    <w:rsid w:val="00DF499C"/>
    <w:rsid w:val="00DF4A73"/>
    <w:rsid w:val="00DF4AE2"/>
    <w:rsid w:val="00DF4CC7"/>
    <w:rsid w:val="00DF4D98"/>
    <w:rsid w:val="00DF4DE8"/>
    <w:rsid w:val="00DF4E84"/>
    <w:rsid w:val="00DF4E88"/>
    <w:rsid w:val="00DF4F09"/>
    <w:rsid w:val="00DF4F1D"/>
    <w:rsid w:val="00DF4F32"/>
    <w:rsid w:val="00DF4F38"/>
    <w:rsid w:val="00DF4F8C"/>
    <w:rsid w:val="00DF4F91"/>
    <w:rsid w:val="00DF4FC8"/>
    <w:rsid w:val="00DF502E"/>
    <w:rsid w:val="00DF507A"/>
    <w:rsid w:val="00DF50E2"/>
    <w:rsid w:val="00DF5176"/>
    <w:rsid w:val="00DF5285"/>
    <w:rsid w:val="00DF52B6"/>
    <w:rsid w:val="00DF53E4"/>
    <w:rsid w:val="00DF5524"/>
    <w:rsid w:val="00DF55B3"/>
    <w:rsid w:val="00DF55F5"/>
    <w:rsid w:val="00DF5618"/>
    <w:rsid w:val="00DF5679"/>
    <w:rsid w:val="00DF567B"/>
    <w:rsid w:val="00DF56A8"/>
    <w:rsid w:val="00DF573F"/>
    <w:rsid w:val="00DF5753"/>
    <w:rsid w:val="00DF57A7"/>
    <w:rsid w:val="00DF5861"/>
    <w:rsid w:val="00DF58AF"/>
    <w:rsid w:val="00DF58FD"/>
    <w:rsid w:val="00DF591A"/>
    <w:rsid w:val="00DF592E"/>
    <w:rsid w:val="00DF59D7"/>
    <w:rsid w:val="00DF5AFE"/>
    <w:rsid w:val="00DF5C14"/>
    <w:rsid w:val="00DF5D06"/>
    <w:rsid w:val="00DF5D4E"/>
    <w:rsid w:val="00DF5D4F"/>
    <w:rsid w:val="00DF5DBD"/>
    <w:rsid w:val="00DF5DE5"/>
    <w:rsid w:val="00DF5E99"/>
    <w:rsid w:val="00DF5F12"/>
    <w:rsid w:val="00DF5F15"/>
    <w:rsid w:val="00DF5F85"/>
    <w:rsid w:val="00DF5F96"/>
    <w:rsid w:val="00DF5F99"/>
    <w:rsid w:val="00DF5FC2"/>
    <w:rsid w:val="00DF5FDF"/>
    <w:rsid w:val="00DF60C4"/>
    <w:rsid w:val="00DF60D7"/>
    <w:rsid w:val="00DF6122"/>
    <w:rsid w:val="00DF6135"/>
    <w:rsid w:val="00DF6170"/>
    <w:rsid w:val="00DF61AE"/>
    <w:rsid w:val="00DF61B1"/>
    <w:rsid w:val="00DF61F3"/>
    <w:rsid w:val="00DF62A1"/>
    <w:rsid w:val="00DF62AD"/>
    <w:rsid w:val="00DF62E1"/>
    <w:rsid w:val="00DF631A"/>
    <w:rsid w:val="00DF6422"/>
    <w:rsid w:val="00DF64B8"/>
    <w:rsid w:val="00DF659F"/>
    <w:rsid w:val="00DF65A0"/>
    <w:rsid w:val="00DF65B4"/>
    <w:rsid w:val="00DF65B7"/>
    <w:rsid w:val="00DF679C"/>
    <w:rsid w:val="00DF687A"/>
    <w:rsid w:val="00DF6883"/>
    <w:rsid w:val="00DF68E2"/>
    <w:rsid w:val="00DF6946"/>
    <w:rsid w:val="00DF696C"/>
    <w:rsid w:val="00DF6A2D"/>
    <w:rsid w:val="00DF6A44"/>
    <w:rsid w:val="00DF6C25"/>
    <w:rsid w:val="00DF6C29"/>
    <w:rsid w:val="00DF6C52"/>
    <w:rsid w:val="00DF6C99"/>
    <w:rsid w:val="00DF6CCE"/>
    <w:rsid w:val="00DF6CEA"/>
    <w:rsid w:val="00DF6D06"/>
    <w:rsid w:val="00DF6D1F"/>
    <w:rsid w:val="00DF6D32"/>
    <w:rsid w:val="00DF6D59"/>
    <w:rsid w:val="00DF6E83"/>
    <w:rsid w:val="00DF6E8A"/>
    <w:rsid w:val="00DF6EDA"/>
    <w:rsid w:val="00DF6F28"/>
    <w:rsid w:val="00DF6F49"/>
    <w:rsid w:val="00DF6FCB"/>
    <w:rsid w:val="00DF7006"/>
    <w:rsid w:val="00DF7064"/>
    <w:rsid w:val="00DF7078"/>
    <w:rsid w:val="00DF70C1"/>
    <w:rsid w:val="00DF70F0"/>
    <w:rsid w:val="00DF70FD"/>
    <w:rsid w:val="00DF711C"/>
    <w:rsid w:val="00DF715C"/>
    <w:rsid w:val="00DF715D"/>
    <w:rsid w:val="00DF7165"/>
    <w:rsid w:val="00DF71C2"/>
    <w:rsid w:val="00DF72BD"/>
    <w:rsid w:val="00DF72E2"/>
    <w:rsid w:val="00DF7300"/>
    <w:rsid w:val="00DF7315"/>
    <w:rsid w:val="00DF73B0"/>
    <w:rsid w:val="00DF7428"/>
    <w:rsid w:val="00DF744B"/>
    <w:rsid w:val="00DF74B9"/>
    <w:rsid w:val="00DF74C3"/>
    <w:rsid w:val="00DF755A"/>
    <w:rsid w:val="00DF75EE"/>
    <w:rsid w:val="00DF762F"/>
    <w:rsid w:val="00DF7692"/>
    <w:rsid w:val="00DF76DE"/>
    <w:rsid w:val="00DF7737"/>
    <w:rsid w:val="00DF7764"/>
    <w:rsid w:val="00DF779A"/>
    <w:rsid w:val="00DF77B9"/>
    <w:rsid w:val="00DF77C0"/>
    <w:rsid w:val="00DF788F"/>
    <w:rsid w:val="00DF789D"/>
    <w:rsid w:val="00DF793E"/>
    <w:rsid w:val="00DF7976"/>
    <w:rsid w:val="00DF7ABC"/>
    <w:rsid w:val="00DF7AD2"/>
    <w:rsid w:val="00DF7AF4"/>
    <w:rsid w:val="00DF7B27"/>
    <w:rsid w:val="00DF7B73"/>
    <w:rsid w:val="00DF7C1E"/>
    <w:rsid w:val="00DF7CDA"/>
    <w:rsid w:val="00DF7D1A"/>
    <w:rsid w:val="00DF7D47"/>
    <w:rsid w:val="00DF7D48"/>
    <w:rsid w:val="00DF7DD9"/>
    <w:rsid w:val="00DF7DF7"/>
    <w:rsid w:val="00DF7E34"/>
    <w:rsid w:val="00DF7EF0"/>
    <w:rsid w:val="00DF7F22"/>
    <w:rsid w:val="00DF7F57"/>
    <w:rsid w:val="00DF7F64"/>
    <w:rsid w:val="00DF7F86"/>
    <w:rsid w:val="00DF7FE9"/>
    <w:rsid w:val="00E00034"/>
    <w:rsid w:val="00E00081"/>
    <w:rsid w:val="00E000B4"/>
    <w:rsid w:val="00E00102"/>
    <w:rsid w:val="00E00113"/>
    <w:rsid w:val="00E001C4"/>
    <w:rsid w:val="00E0025E"/>
    <w:rsid w:val="00E00293"/>
    <w:rsid w:val="00E00316"/>
    <w:rsid w:val="00E003A7"/>
    <w:rsid w:val="00E003B6"/>
    <w:rsid w:val="00E0040F"/>
    <w:rsid w:val="00E0042C"/>
    <w:rsid w:val="00E00484"/>
    <w:rsid w:val="00E0050C"/>
    <w:rsid w:val="00E0052F"/>
    <w:rsid w:val="00E00553"/>
    <w:rsid w:val="00E005C6"/>
    <w:rsid w:val="00E00664"/>
    <w:rsid w:val="00E006FE"/>
    <w:rsid w:val="00E0075A"/>
    <w:rsid w:val="00E0077C"/>
    <w:rsid w:val="00E0083C"/>
    <w:rsid w:val="00E008FF"/>
    <w:rsid w:val="00E00903"/>
    <w:rsid w:val="00E0090F"/>
    <w:rsid w:val="00E0099D"/>
    <w:rsid w:val="00E009DF"/>
    <w:rsid w:val="00E00A30"/>
    <w:rsid w:val="00E00A34"/>
    <w:rsid w:val="00E00AF3"/>
    <w:rsid w:val="00E00B04"/>
    <w:rsid w:val="00E00B26"/>
    <w:rsid w:val="00E00B62"/>
    <w:rsid w:val="00E00C2A"/>
    <w:rsid w:val="00E00C36"/>
    <w:rsid w:val="00E00C46"/>
    <w:rsid w:val="00E00CFC"/>
    <w:rsid w:val="00E00DCC"/>
    <w:rsid w:val="00E00DEE"/>
    <w:rsid w:val="00E00E2A"/>
    <w:rsid w:val="00E00EF6"/>
    <w:rsid w:val="00E00F45"/>
    <w:rsid w:val="00E00F46"/>
    <w:rsid w:val="00E00F53"/>
    <w:rsid w:val="00E00F7F"/>
    <w:rsid w:val="00E00F8E"/>
    <w:rsid w:val="00E00FEF"/>
    <w:rsid w:val="00E0103F"/>
    <w:rsid w:val="00E0109B"/>
    <w:rsid w:val="00E010B9"/>
    <w:rsid w:val="00E0113A"/>
    <w:rsid w:val="00E01154"/>
    <w:rsid w:val="00E011F9"/>
    <w:rsid w:val="00E0121C"/>
    <w:rsid w:val="00E01323"/>
    <w:rsid w:val="00E01343"/>
    <w:rsid w:val="00E013E8"/>
    <w:rsid w:val="00E013FC"/>
    <w:rsid w:val="00E01467"/>
    <w:rsid w:val="00E014B8"/>
    <w:rsid w:val="00E014EA"/>
    <w:rsid w:val="00E014FF"/>
    <w:rsid w:val="00E0154E"/>
    <w:rsid w:val="00E01583"/>
    <w:rsid w:val="00E01599"/>
    <w:rsid w:val="00E015B2"/>
    <w:rsid w:val="00E01632"/>
    <w:rsid w:val="00E01639"/>
    <w:rsid w:val="00E0163A"/>
    <w:rsid w:val="00E016A3"/>
    <w:rsid w:val="00E0174F"/>
    <w:rsid w:val="00E01752"/>
    <w:rsid w:val="00E01757"/>
    <w:rsid w:val="00E0177D"/>
    <w:rsid w:val="00E01783"/>
    <w:rsid w:val="00E018B3"/>
    <w:rsid w:val="00E018E4"/>
    <w:rsid w:val="00E018EE"/>
    <w:rsid w:val="00E0196F"/>
    <w:rsid w:val="00E019F2"/>
    <w:rsid w:val="00E01A72"/>
    <w:rsid w:val="00E01A86"/>
    <w:rsid w:val="00E01AE7"/>
    <w:rsid w:val="00E01B71"/>
    <w:rsid w:val="00E01BA1"/>
    <w:rsid w:val="00E01BCC"/>
    <w:rsid w:val="00E01BDF"/>
    <w:rsid w:val="00E01C22"/>
    <w:rsid w:val="00E01C92"/>
    <w:rsid w:val="00E01CAF"/>
    <w:rsid w:val="00E01D57"/>
    <w:rsid w:val="00E01D5E"/>
    <w:rsid w:val="00E01D63"/>
    <w:rsid w:val="00E01E17"/>
    <w:rsid w:val="00E01E3D"/>
    <w:rsid w:val="00E01E7C"/>
    <w:rsid w:val="00E01EA5"/>
    <w:rsid w:val="00E01EB2"/>
    <w:rsid w:val="00E01EEC"/>
    <w:rsid w:val="00E01F07"/>
    <w:rsid w:val="00E01F1B"/>
    <w:rsid w:val="00E01F88"/>
    <w:rsid w:val="00E02000"/>
    <w:rsid w:val="00E020B2"/>
    <w:rsid w:val="00E0217F"/>
    <w:rsid w:val="00E02191"/>
    <w:rsid w:val="00E0219A"/>
    <w:rsid w:val="00E021A4"/>
    <w:rsid w:val="00E02226"/>
    <w:rsid w:val="00E022B9"/>
    <w:rsid w:val="00E0235D"/>
    <w:rsid w:val="00E02366"/>
    <w:rsid w:val="00E023B1"/>
    <w:rsid w:val="00E0243F"/>
    <w:rsid w:val="00E0244C"/>
    <w:rsid w:val="00E02500"/>
    <w:rsid w:val="00E02505"/>
    <w:rsid w:val="00E026B5"/>
    <w:rsid w:val="00E026E8"/>
    <w:rsid w:val="00E026FD"/>
    <w:rsid w:val="00E02704"/>
    <w:rsid w:val="00E027AA"/>
    <w:rsid w:val="00E027D9"/>
    <w:rsid w:val="00E02833"/>
    <w:rsid w:val="00E0288B"/>
    <w:rsid w:val="00E028CA"/>
    <w:rsid w:val="00E02936"/>
    <w:rsid w:val="00E029A0"/>
    <w:rsid w:val="00E029A3"/>
    <w:rsid w:val="00E02A31"/>
    <w:rsid w:val="00E02A84"/>
    <w:rsid w:val="00E02B54"/>
    <w:rsid w:val="00E02BE9"/>
    <w:rsid w:val="00E02C59"/>
    <w:rsid w:val="00E02C5A"/>
    <w:rsid w:val="00E02C6D"/>
    <w:rsid w:val="00E02CC2"/>
    <w:rsid w:val="00E02D18"/>
    <w:rsid w:val="00E02D44"/>
    <w:rsid w:val="00E02D5E"/>
    <w:rsid w:val="00E02D6C"/>
    <w:rsid w:val="00E02E05"/>
    <w:rsid w:val="00E02E2F"/>
    <w:rsid w:val="00E02ED6"/>
    <w:rsid w:val="00E02F7A"/>
    <w:rsid w:val="00E03005"/>
    <w:rsid w:val="00E03006"/>
    <w:rsid w:val="00E0300D"/>
    <w:rsid w:val="00E030C6"/>
    <w:rsid w:val="00E03130"/>
    <w:rsid w:val="00E03181"/>
    <w:rsid w:val="00E0318B"/>
    <w:rsid w:val="00E0319C"/>
    <w:rsid w:val="00E03216"/>
    <w:rsid w:val="00E03247"/>
    <w:rsid w:val="00E032CD"/>
    <w:rsid w:val="00E032E8"/>
    <w:rsid w:val="00E032FE"/>
    <w:rsid w:val="00E03301"/>
    <w:rsid w:val="00E0331A"/>
    <w:rsid w:val="00E03369"/>
    <w:rsid w:val="00E03383"/>
    <w:rsid w:val="00E033C8"/>
    <w:rsid w:val="00E03458"/>
    <w:rsid w:val="00E034BC"/>
    <w:rsid w:val="00E034C8"/>
    <w:rsid w:val="00E034C9"/>
    <w:rsid w:val="00E03521"/>
    <w:rsid w:val="00E03556"/>
    <w:rsid w:val="00E0362B"/>
    <w:rsid w:val="00E03652"/>
    <w:rsid w:val="00E036E0"/>
    <w:rsid w:val="00E0377E"/>
    <w:rsid w:val="00E037C7"/>
    <w:rsid w:val="00E037EC"/>
    <w:rsid w:val="00E03876"/>
    <w:rsid w:val="00E03917"/>
    <w:rsid w:val="00E03997"/>
    <w:rsid w:val="00E039F6"/>
    <w:rsid w:val="00E03A73"/>
    <w:rsid w:val="00E03B36"/>
    <w:rsid w:val="00E03B54"/>
    <w:rsid w:val="00E03B81"/>
    <w:rsid w:val="00E03BE5"/>
    <w:rsid w:val="00E03C65"/>
    <w:rsid w:val="00E03C6A"/>
    <w:rsid w:val="00E03C70"/>
    <w:rsid w:val="00E03CCE"/>
    <w:rsid w:val="00E03D4D"/>
    <w:rsid w:val="00E03E74"/>
    <w:rsid w:val="00E03ED4"/>
    <w:rsid w:val="00E03EE6"/>
    <w:rsid w:val="00E03F56"/>
    <w:rsid w:val="00E03F5E"/>
    <w:rsid w:val="00E04002"/>
    <w:rsid w:val="00E040B9"/>
    <w:rsid w:val="00E04147"/>
    <w:rsid w:val="00E0417C"/>
    <w:rsid w:val="00E04193"/>
    <w:rsid w:val="00E04249"/>
    <w:rsid w:val="00E042B7"/>
    <w:rsid w:val="00E0432C"/>
    <w:rsid w:val="00E0433A"/>
    <w:rsid w:val="00E04342"/>
    <w:rsid w:val="00E043AA"/>
    <w:rsid w:val="00E0451B"/>
    <w:rsid w:val="00E0455E"/>
    <w:rsid w:val="00E04568"/>
    <w:rsid w:val="00E04587"/>
    <w:rsid w:val="00E04599"/>
    <w:rsid w:val="00E045F9"/>
    <w:rsid w:val="00E046FB"/>
    <w:rsid w:val="00E0473B"/>
    <w:rsid w:val="00E047B8"/>
    <w:rsid w:val="00E047D2"/>
    <w:rsid w:val="00E0481F"/>
    <w:rsid w:val="00E048A0"/>
    <w:rsid w:val="00E048E5"/>
    <w:rsid w:val="00E0494A"/>
    <w:rsid w:val="00E049CD"/>
    <w:rsid w:val="00E049D2"/>
    <w:rsid w:val="00E04AC5"/>
    <w:rsid w:val="00E04ADD"/>
    <w:rsid w:val="00E04B68"/>
    <w:rsid w:val="00E04BE1"/>
    <w:rsid w:val="00E04BF6"/>
    <w:rsid w:val="00E04C0D"/>
    <w:rsid w:val="00E04C25"/>
    <w:rsid w:val="00E04C3A"/>
    <w:rsid w:val="00E04C93"/>
    <w:rsid w:val="00E04CC9"/>
    <w:rsid w:val="00E04CCD"/>
    <w:rsid w:val="00E04CEE"/>
    <w:rsid w:val="00E04CEF"/>
    <w:rsid w:val="00E04E18"/>
    <w:rsid w:val="00E04E8B"/>
    <w:rsid w:val="00E04EA9"/>
    <w:rsid w:val="00E04F4B"/>
    <w:rsid w:val="00E0501B"/>
    <w:rsid w:val="00E05059"/>
    <w:rsid w:val="00E0515E"/>
    <w:rsid w:val="00E0519A"/>
    <w:rsid w:val="00E051A5"/>
    <w:rsid w:val="00E05279"/>
    <w:rsid w:val="00E0527E"/>
    <w:rsid w:val="00E0546D"/>
    <w:rsid w:val="00E05471"/>
    <w:rsid w:val="00E054FF"/>
    <w:rsid w:val="00E0550C"/>
    <w:rsid w:val="00E0556C"/>
    <w:rsid w:val="00E05570"/>
    <w:rsid w:val="00E05573"/>
    <w:rsid w:val="00E05679"/>
    <w:rsid w:val="00E056C5"/>
    <w:rsid w:val="00E05715"/>
    <w:rsid w:val="00E05774"/>
    <w:rsid w:val="00E05820"/>
    <w:rsid w:val="00E05843"/>
    <w:rsid w:val="00E05877"/>
    <w:rsid w:val="00E0588C"/>
    <w:rsid w:val="00E05984"/>
    <w:rsid w:val="00E05A1D"/>
    <w:rsid w:val="00E05AC9"/>
    <w:rsid w:val="00E05BF7"/>
    <w:rsid w:val="00E05C59"/>
    <w:rsid w:val="00E05C7E"/>
    <w:rsid w:val="00E05C99"/>
    <w:rsid w:val="00E05CF1"/>
    <w:rsid w:val="00E05D00"/>
    <w:rsid w:val="00E05DAC"/>
    <w:rsid w:val="00E05DB2"/>
    <w:rsid w:val="00E05EA8"/>
    <w:rsid w:val="00E05EEE"/>
    <w:rsid w:val="00E05F1B"/>
    <w:rsid w:val="00E05F55"/>
    <w:rsid w:val="00E05FA4"/>
    <w:rsid w:val="00E05FB6"/>
    <w:rsid w:val="00E05FE9"/>
    <w:rsid w:val="00E06006"/>
    <w:rsid w:val="00E06017"/>
    <w:rsid w:val="00E0603A"/>
    <w:rsid w:val="00E060F1"/>
    <w:rsid w:val="00E0616B"/>
    <w:rsid w:val="00E06178"/>
    <w:rsid w:val="00E061C4"/>
    <w:rsid w:val="00E061C8"/>
    <w:rsid w:val="00E06268"/>
    <w:rsid w:val="00E06269"/>
    <w:rsid w:val="00E062AC"/>
    <w:rsid w:val="00E062C1"/>
    <w:rsid w:val="00E0637A"/>
    <w:rsid w:val="00E063AD"/>
    <w:rsid w:val="00E063B2"/>
    <w:rsid w:val="00E06423"/>
    <w:rsid w:val="00E06473"/>
    <w:rsid w:val="00E064A5"/>
    <w:rsid w:val="00E06566"/>
    <w:rsid w:val="00E065A1"/>
    <w:rsid w:val="00E065A4"/>
    <w:rsid w:val="00E066B3"/>
    <w:rsid w:val="00E066D5"/>
    <w:rsid w:val="00E067A9"/>
    <w:rsid w:val="00E0682B"/>
    <w:rsid w:val="00E0687B"/>
    <w:rsid w:val="00E06880"/>
    <w:rsid w:val="00E068E6"/>
    <w:rsid w:val="00E06912"/>
    <w:rsid w:val="00E06995"/>
    <w:rsid w:val="00E06A6F"/>
    <w:rsid w:val="00E06BA2"/>
    <w:rsid w:val="00E06BA4"/>
    <w:rsid w:val="00E06BD9"/>
    <w:rsid w:val="00E06BF8"/>
    <w:rsid w:val="00E06C58"/>
    <w:rsid w:val="00E06C65"/>
    <w:rsid w:val="00E06C66"/>
    <w:rsid w:val="00E06CEE"/>
    <w:rsid w:val="00E06CF1"/>
    <w:rsid w:val="00E06D31"/>
    <w:rsid w:val="00E06D5D"/>
    <w:rsid w:val="00E06D7F"/>
    <w:rsid w:val="00E06D80"/>
    <w:rsid w:val="00E06DBC"/>
    <w:rsid w:val="00E06DCA"/>
    <w:rsid w:val="00E06EE9"/>
    <w:rsid w:val="00E06F43"/>
    <w:rsid w:val="00E06F52"/>
    <w:rsid w:val="00E06FC0"/>
    <w:rsid w:val="00E06FD9"/>
    <w:rsid w:val="00E07044"/>
    <w:rsid w:val="00E07096"/>
    <w:rsid w:val="00E0711B"/>
    <w:rsid w:val="00E0711E"/>
    <w:rsid w:val="00E07183"/>
    <w:rsid w:val="00E07194"/>
    <w:rsid w:val="00E072B1"/>
    <w:rsid w:val="00E072BD"/>
    <w:rsid w:val="00E072EF"/>
    <w:rsid w:val="00E073BA"/>
    <w:rsid w:val="00E07423"/>
    <w:rsid w:val="00E0743B"/>
    <w:rsid w:val="00E07454"/>
    <w:rsid w:val="00E074AC"/>
    <w:rsid w:val="00E074CF"/>
    <w:rsid w:val="00E07535"/>
    <w:rsid w:val="00E07617"/>
    <w:rsid w:val="00E07693"/>
    <w:rsid w:val="00E076AC"/>
    <w:rsid w:val="00E0771B"/>
    <w:rsid w:val="00E0776C"/>
    <w:rsid w:val="00E07779"/>
    <w:rsid w:val="00E077A9"/>
    <w:rsid w:val="00E0786C"/>
    <w:rsid w:val="00E07932"/>
    <w:rsid w:val="00E0793B"/>
    <w:rsid w:val="00E07955"/>
    <w:rsid w:val="00E0799D"/>
    <w:rsid w:val="00E079A9"/>
    <w:rsid w:val="00E079AA"/>
    <w:rsid w:val="00E079BB"/>
    <w:rsid w:val="00E079E3"/>
    <w:rsid w:val="00E07A33"/>
    <w:rsid w:val="00E07B32"/>
    <w:rsid w:val="00E07B4B"/>
    <w:rsid w:val="00E07B84"/>
    <w:rsid w:val="00E07CAC"/>
    <w:rsid w:val="00E07CE5"/>
    <w:rsid w:val="00E07D19"/>
    <w:rsid w:val="00E07D3A"/>
    <w:rsid w:val="00E07D54"/>
    <w:rsid w:val="00E07D83"/>
    <w:rsid w:val="00E07DC7"/>
    <w:rsid w:val="00E07DDB"/>
    <w:rsid w:val="00E07DE8"/>
    <w:rsid w:val="00E07DFF"/>
    <w:rsid w:val="00E07E03"/>
    <w:rsid w:val="00E07EBB"/>
    <w:rsid w:val="00E07EFD"/>
    <w:rsid w:val="00E07F3C"/>
    <w:rsid w:val="00E07FAF"/>
    <w:rsid w:val="00E10043"/>
    <w:rsid w:val="00E10057"/>
    <w:rsid w:val="00E1008C"/>
    <w:rsid w:val="00E1008D"/>
    <w:rsid w:val="00E1008F"/>
    <w:rsid w:val="00E100B1"/>
    <w:rsid w:val="00E100E2"/>
    <w:rsid w:val="00E10120"/>
    <w:rsid w:val="00E10144"/>
    <w:rsid w:val="00E10200"/>
    <w:rsid w:val="00E10206"/>
    <w:rsid w:val="00E10208"/>
    <w:rsid w:val="00E10251"/>
    <w:rsid w:val="00E10259"/>
    <w:rsid w:val="00E102C6"/>
    <w:rsid w:val="00E10321"/>
    <w:rsid w:val="00E10374"/>
    <w:rsid w:val="00E1049C"/>
    <w:rsid w:val="00E104A5"/>
    <w:rsid w:val="00E104D6"/>
    <w:rsid w:val="00E1050E"/>
    <w:rsid w:val="00E1053E"/>
    <w:rsid w:val="00E105C6"/>
    <w:rsid w:val="00E105D5"/>
    <w:rsid w:val="00E105E8"/>
    <w:rsid w:val="00E10644"/>
    <w:rsid w:val="00E10681"/>
    <w:rsid w:val="00E10692"/>
    <w:rsid w:val="00E106A8"/>
    <w:rsid w:val="00E106F6"/>
    <w:rsid w:val="00E10706"/>
    <w:rsid w:val="00E10711"/>
    <w:rsid w:val="00E10727"/>
    <w:rsid w:val="00E10859"/>
    <w:rsid w:val="00E10893"/>
    <w:rsid w:val="00E108BA"/>
    <w:rsid w:val="00E108CF"/>
    <w:rsid w:val="00E108ED"/>
    <w:rsid w:val="00E10A6E"/>
    <w:rsid w:val="00E10A89"/>
    <w:rsid w:val="00E10ACA"/>
    <w:rsid w:val="00E10B11"/>
    <w:rsid w:val="00E10BE0"/>
    <w:rsid w:val="00E10C0B"/>
    <w:rsid w:val="00E10C3F"/>
    <w:rsid w:val="00E10D39"/>
    <w:rsid w:val="00E10D5A"/>
    <w:rsid w:val="00E10DD4"/>
    <w:rsid w:val="00E10DF6"/>
    <w:rsid w:val="00E10E1D"/>
    <w:rsid w:val="00E10E1E"/>
    <w:rsid w:val="00E10F23"/>
    <w:rsid w:val="00E10F25"/>
    <w:rsid w:val="00E10FB7"/>
    <w:rsid w:val="00E10FC1"/>
    <w:rsid w:val="00E110A8"/>
    <w:rsid w:val="00E110AE"/>
    <w:rsid w:val="00E110D5"/>
    <w:rsid w:val="00E1111A"/>
    <w:rsid w:val="00E1111E"/>
    <w:rsid w:val="00E1113A"/>
    <w:rsid w:val="00E1118D"/>
    <w:rsid w:val="00E11213"/>
    <w:rsid w:val="00E11241"/>
    <w:rsid w:val="00E11283"/>
    <w:rsid w:val="00E11294"/>
    <w:rsid w:val="00E112E8"/>
    <w:rsid w:val="00E1136B"/>
    <w:rsid w:val="00E113B8"/>
    <w:rsid w:val="00E11432"/>
    <w:rsid w:val="00E1145B"/>
    <w:rsid w:val="00E1149B"/>
    <w:rsid w:val="00E11651"/>
    <w:rsid w:val="00E1165A"/>
    <w:rsid w:val="00E116A0"/>
    <w:rsid w:val="00E11796"/>
    <w:rsid w:val="00E11814"/>
    <w:rsid w:val="00E11819"/>
    <w:rsid w:val="00E11879"/>
    <w:rsid w:val="00E11884"/>
    <w:rsid w:val="00E11902"/>
    <w:rsid w:val="00E11904"/>
    <w:rsid w:val="00E11959"/>
    <w:rsid w:val="00E11A20"/>
    <w:rsid w:val="00E11A68"/>
    <w:rsid w:val="00E11A6E"/>
    <w:rsid w:val="00E11AC1"/>
    <w:rsid w:val="00E11B32"/>
    <w:rsid w:val="00E11C37"/>
    <w:rsid w:val="00E11C6F"/>
    <w:rsid w:val="00E11CA1"/>
    <w:rsid w:val="00E11CBF"/>
    <w:rsid w:val="00E11D5D"/>
    <w:rsid w:val="00E11D9A"/>
    <w:rsid w:val="00E11DEC"/>
    <w:rsid w:val="00E11E09"/>
    <w:rsid w:val="00E11E58"/>
    <w:rsid w:val="00E11EAA"/>
    <w:rsid w:val="00E11EB0"/>
    <w:rsid w:val="00E11EBF"/>
    <w:rsid w:val="00E11EFF"/>
    <w:rsid w:val="00E11F34"/>
    <w:rsid w:val="00E11F88"/>
    <w:rsid w:val="00E1200D"/>
    <w:rsid w:val="00E1206E"/>
    <w:rsid w:val="00E120AC"/>
    <w:rsid w:val="00E120C8"/>
    <w:rsid w:val="00E1211B"/>
    <w:rsid w:val="00E1212E"/>
    <w:rsid w:val="00E12151"/>
    <w:rsid w:val="00E12169"/>
    <w:rsid w:val="00E1216B"/>
    <w:rsid w:val="00E12191"/>
    <w:rsid w:val="00E121D6"/>
    <w:rsid w:val="00E121D9"/>
    <w:rsid w:val="00E121F3"/>
    <w:rsid w:val="00E12235"/>
    <w:rsid w:val="00E12306"/>
    <w:rsid w:val="00E12341"/>
    <w:rsid w:val="00E12387"/>
    <w:rsid w:val="00E12394"/>
    <w:rsid w:val="00E123CA"/>
    <w:rsid w:val="00E1242B"/>
    <w:rsid w:val="00E12444"/>
    <w:rsid w:val="00E124F1"/>
    <w:rsid w:val="00E1251E"/>
    <w:rsid w:val="00E12532"/>
    <w:rsid w:val="00E1258C"/>
    <w:rsid w:val="00E12627"/>
    <w:rsid w:val="00E12645"/>
    <w:rsid w:val="00E126E0"/>
    <w:rsid w:val="00E12723"/>
    <w:rsid w:val="00E12764"/>
    <w:rsid w:val="00E1280D"/>
    <w:rsid w:val="00E12947"/>
    <w:rsid w:val="00E1299E"/>
    <w:rsid w:val="00E12AA4"/>
    <w:rsid w:val="00E12ABB"/>
    <w:rsid w:val="00E12B39"/>
    <w:rsid w:val="00E12B59"/>
    <w:rsid w:val="00E12B5D"/>
    <w:rsid w:val="00E12B67"/>
    <w:rsid w:val="00E12BF3"/>
    <w:rsid w:val="00E12C51"/>
    <w:rsid w:val="00E12C9A"/>
    <w:rsid w:val="00E12CC5"/>
    <w:rsid w:val="00E12CD9"/>
    <w:rsid w:val="00E12D60"/>
    <w:rsid w:val="00E12D9A"/>
    <w:rsid w:val="00E12E54"/>
    <w:rsid w:val="00E12E62"/>
    <w:rsid w:val="00E12E7A"/>
    <w:rsid w:val="00E12EDB"/>
    <w:rsid w:val="00E12F29"/>
    <w:rsid w:val="00E12F30"/>
    <w:rsid w:val="00E12F35"/>
    <w:rsid w:val="00E12FA4"/>
    <w:rsid w:val="00E12FAD"/>
    <w:rsid w:val="00E12FDF"/>
    <w:rsid w:val="00E12FEE"/>
    <w:rsid w:val="00E1305C"/>
    <w:rsid w:val="00E130A1"/>
    <w:rsid w:val="00E130BC"/>
    <w:rsid w:val="00E130CB"/>
    <w:rsid w:val="00E13128"/>
    <w:rsid w:val="00E13146"/>
    <w:rsid w:val="00E13175"/>
    <w:rsid w:val="00E1323C"/>
    <w:rsid w:val="00E13275"/>
    <w:rsid w:val="00E1327E"/>
    <w:rsid w:val="00E132C9"/>
    <w:rsid w:val="00E13341"/>
    <w:rsid w:val="00E13457"/>
    <w:rsid w:val="00E13474"/>
    <w:rsid w:val="00E13477"/>
    <w:rsid w:val="00E13488"/>
    <w:rsid w:val="00E134A6"/>
    <w:rsid w:val="00E134AC"/>
    <w:rsid w:val="00E134C5"/>
    <w:rsid w:val="00E134F5"/>
    <w:rsid w:val="00E13502"/>
    <w:rsid w:val="00E135C5"/>
    <w:rsid w:val="00E13625"/>
    <w:rsid w:val="00E1362C"/>
    <w:rsid w:val="00E136A7"/>
    <w:rsid w:val="00E136AB"/>
    <w:rsid w:val="00E136DD"/>
    <w:rsid w:val="00E13717"/>
    <w:rsid w:val="00E1375B"/>
    <w:rsid w:val="00E137B7"/>
    <w:rsid w:val="00E1385F"/>
    <w:rsid w:val="00E139FE"/>
    <w:rsid w:val="00E13A18"/>
    <w:rsid w:val="00E13A38"/>
    <w:rsid w:val="00E13AC1"/>
    <w:rsid w:val="00E13AF0"/>
    <w:rsid w:val="00E13B3D"/>
    <w:rsid w:val="00E13B5C"/>
    <w:rsid w:val="00E13B94"/>
    <w:rsid w:val="00E13BE6"/>
    <w:rsid w:val="00E13BF7"/>
    <w:rsid w:val="00E13C51"/>
    <w:rsid w:val="00E13C68"/>
    <w:rsid w:val="00E13C9D"/>
    <w:rsid w:val="00E13DBE"/>
    <w:rsid w:val="00E13E90"/>
    <w:rsid w:val="00E13EAA"/>
    <w:rsid w:val="00E13EC7"/>
    <w:rsid w:val="00E13F11"/>
    <w:rsid w:val="00E13F8B"/>
    <w:rsid w:val="00E13FC4"/>
    <w:rsid w:val="00E1404A"/>
    <w:rsid w:val="00E14056"/>
    <w:rsid w:val="00E14083"/>
    <w:rsid w:val="00E140A3"/>
    <w:rsid w:val="00E14128"/>
    <w:rsid w:val="00E14166"/>
    <w:rsid w:val="00E14183"/>
    <w:rsid w:val="00E141CB"/>
    <w:rsid w:val="00E141DD"/>
    <w:rsid w:val="00E1428A"/>
    <w:rsid w:val="00E14336"/>
    <w:rsid w:val="00E1435E"/>
    <w:rsid w:val="00E143B3"/>
    <w:rsid w:val="00E14400"/>
    <w:rsid w:val="00E14443"/>
    <w:rsid w:val="00E14487"/>
    <w:rsid w:val="00E1451E"/>
    <w:rsid w:val="00E14530"/>
    <w:rsid w:val="00E1457A"/>
    <w:rsid w:val="00E14599"/>
    <w:rsid w:val="00E145F6"/>
    <w:rsid w:val="00E1462B"/>
    <w:rsid w:val="00E14692"/>
    <w:rsid w:val="00E146EB"/>
    <w:rsid w:val="00E14713"/>
    <w:rsid w:val="00E147A7"/>
    <w:rsid w:val="00E14892"/>
    <w:rsid w:val="00E148A0"/>
    <w:rsid w:val="00E148DE"/>
    <w:rsid w:val="00E148EE"/>
    <w:rsid w:val="00E14A16"/>
    <w:rsid w:val="00E14B3B"/>
    <w:rsid w:val="00E14C0E"/>
    <w:rsid w:val="00E14C17"/>
    <w:rsid w:val="00E14C6E"/>
    <w:rsid w:val="00E14C8D"/>
    <w:rsid w:val="00E14C92"/>
    <w:rsid w:val="00E14CAE"/>
    <w:rsid w:val="00E14CD4"/>
    <w:rsid w:val="00E14D99"/>
    <w:rsid w:val="00E14DC7"/>
    <w:rsid w:val="00E14E1D"/>
    <w:rsid w:val="00E14E3A"/>
    <w:rsid w:val="00E14E5D"/>
    <w:rsid w:val="00E14EB8"/>
    <w:rsid w:val="00E14EBB"/>
    <w:rsid w:val="00E14F12"/>
    <w:rsid w:val="00E14F87"/>
    <w:rsid w:val="00E14FD0"/>
    <w:rsid w:val="00E15044"/>
    <w:rsid w:val="00E15087"/>
    <w:rsid w:val="00E150FC"/>
    <w:rsid w:val="00E1517F"/>
    <w:rsid w:val="00E15186"/>
    <w:rsid w:val="00E15199"/>
    <w:rsid w:val="00E151C1"/>
    <w:rsid w:val="00E151D6"/>
    <w:rsid w:val="00E1528D"/>
    <w:rsid w:val="00E15292"/>
    <w:rsid w:val="00E152B3"/>
    <w:rsid w:val="00E1533C"/>
    <w:rsid w:val="00E1533E"/>
    <w:rsid w:val="00E1535F"/>
    <w:rsid w:val="00E153AF"/>
    <w:rsid w:val="00E153C1"/>
    <w:rsid w:val="00E153D8"/>
    <w:rsid w:val="00E15471"/>
    <w:rsid w:val="00E154A9"/>
    <w:rsid w:val="00E15569"/>
    <w:rsid w:val="00E1564A"/>
    <w:rsid w:val="00E156B1"/>
    <w:rsid w:val="00E1572C"/>
    <w:rsid w:val="00E157FB"/>
    <w:rsid w:val="00E157FD"/>
    <w:rsid w:val="00E158F5"/>
    <w:rsid w:val="00E15975"/>
    <w:rsid w:val="00E1597C"/>
    <w:rsid w:val="00E1598A"/>
    <w:rsid w:val="00E15A7F"/>
    <w:rsid w:val="00E15ACF"/>
    <w:rsid w:val="00E15B84"/>
    <w:rsid w:val="00E15BEF"/>
    <w:rsid w:val="00E15C50"/>
    <w:rsid w:val="00E15C5C"/>
    <w:rsid w:val="00E15D37"/>
    <w:rsid w:val="00E15D71"/>
    <w:rsid w:val="00E15DBB"/>
    <w:rsid w:val="00E15DF5"/>
    <w:rsid w:val="00E15E2C"/>
    <w:rsid w:val="00E15E5B"/>
    <w:rsid w:val="00E15EC1"/>
    <w:rsid w:val="00E15EC7"/>
    <w:rsid w:val="00E15ED4"/>
    <w:rsid w:val="00E15F7B"/>
    <w:rsid w:val="00E15FC1"/>
    <w:rsid w:val="00E16024"/>
    <w:rsid w:val="00E1606E"/>
    <w:rsid w:val="00E160E4"/>
    <w:rsid w:val="00E16164"/>
    <w:rsid w:val="00E16178"/>
    <w:rsid w:val="00E16179"/>
    <w:rsid w:val="00E161FD"/>
    <w:rsid w:val="00E1620E"/>
    <w:rsid w:val="00E16214"/>
    <w:rsid w:val="00E16219"/>
    <w:rsid w:val="00E162C8"/>
    <w:rsid w:val="00E162E7"/>
    <w:rsid w:val="00E16323"/>
    <w:rsid w:val="00E1639D"/>
    <w:rsid w:val="00E163C3"/>
    <w:rsid w:val="00E163F8"/>
    <w:rsid w:val="00E1644F"/>
    <w:rsid w:val="00E16486"/>
    <w:rsid w:val="00E16487"/>
    <w:rsid w:val="00E164C1"/>
    <w:rsid w:val="00E164C2"/>
    <w:rsid w:val="00E164D2"/>
    <w:rsid w:val="00E16540"/>
    <w:rsid w:val="00E1658B"/>
    <w:rsid w:val="00E165BE"/>
    <w:rsid w:val="00E16646"/>
    <w:rsid w:val="00E16695"/>
    <w:rsid w:val="00E166E0"/>
    <w:rsid w:val="00E16709"/>
    <w:rsid w:val="00E16724"/>
    <w:rsid w:val="00E16750"/>
    <w:rsid w:val="00E168A3"/>
    <w:rsid w:val="00E169F0"/>
    <w:rsid w:val="00E16AA7"/>
    <w:rsid w:val="00E16AB1"/>
    <w:rsid w:val="00E16AF4"/>
    <w:rsid w:val="00E16B44"/>
    <w:rsid w:val="00E16BB8"/>
    <w:rsid w:val="00E16C17"/>
    <w:rsid w:val="00E16D61"/>
    <w:rsid w:val="00E16D68"/>
    <w:rsid w:val="00E16D75"/>
    <w:rsid w:val="00E16D94"/>
    <w:rsid w:val="00E16E7B"/>
    <w:rsid w:val="00E16EC1"/>
    <w:rsid w:val="00E16ECA"/>
    <w:rsid w:val="00E16EE3"/>
    <w:rsid w:val="00E16F20"/>
    <w:rsid w:val="00E16F46"/>
    <w:rsid w:val="00E16F58"/>
    <w:rsid w:val="00E16F5E"/>
    <w:rsid w:val="00E16F84"/>
    <w:rsid w:val="00E16F94"/>
    <w:rsid w:val="00E16FD7"/>
    <w:rsid w:val="00E17068"/>
    <w:rsid w:val="00E17079"/>
    <w:rsid w:val="00E170EC"/>
    <w:rsid w:val="00E17105"/>
    <w:rsid w:val="00E17111"/>
    <w:rsid w:val="00E17132"/>
    <w:rsid w:val="00E17176"/>
    <w:rsid w:val="00E171D1"/>
    <w:rsid w:val="00E171DB"/>
    <w:rsid w:val="00E1721F"/>
    <w:rsid w:val="00E1723B"/>
    <w:rsid w:val="00E17245"/>
    <w:rsid w:val="00E172E7"/>
    <w:rsid w:val="00E1732F"/>
    <w:rsid w:val="00E173E4"/>
    <w:rsid w:val="00E173E5"/>
    <w:rsid w:val="00E17402"/>
    <w:rsid w:val="00E17472"/>
    <w:rsid w:val="00E174E7"/>
    <w:rsid w:val="00E17551"/>
    <w:rsid w:val="00E17570"/>
    <w:rsid w:val="00E17615"/>
    <w:rsid w:val="00E176C3"/>
    <w:rsid w:val="00E1770F"/>
    <w:rsid w:val="00E17745"/>
    <w:rsid w:val="00E1778C"/>
    <w:rsid w:val="00E1778D"/>
    <w:rsid w:val="00E177E4"/>
    <w:rsid w:val="00E177F1"/>
    <w:rsid w:val="00E177F4"/>
    <w:rsid w:val="00E17825"/>
    <w:rsid w:val="00E17863"/>
    <w:rsid w:val="00E178AA"/>
    <w:rsid w:val="00E17989"/>
    <w:rsid w:val="00E179AE"/>
    <w:rsid w:val="00E179DA"/>
    <w:rsid w:val="00E179E9"/>
    <w:rsid w:val="00E17AF7"/>
    <w:rsid w:val="00E17B5D"/>
    <w:rsid w:val="00E17BA1"/>
    <w:rsid w:val="00E17D3F"/>
    <w:rsid w:val="00E17D4E"/>
    <w:rsid w:val="00E17D51"/>
    <w:rsid w:val="00E17DEF"/>
    <w:rsid w:val="00E17E7D"/>
    <w:rsid w:val="00E17E81"/>
    <w:rsid w:val="00E17F69"/>
    <w:rsid w:val="00E20008"/>
    <w:rsid w:val="00E20105"/>
    <w:rsid w:val="00E20129"/>
    <w:rsid w:val="00E2024C"/>
    <w:rsid w:val="00E2027C"/>
    <w:rsid w:val="00E2029B"/>
    <w:rsid w:val="00E202D9"/>
    <w:rsid w:val="00E203EB"/>
    <w:rsid w:val="00E204A8"/>
    <w:rsid w:val="00E204B4"/>
    <w:rsid w:val="00E204BB"/>
    <w:rsid w:val="00E20510"/>
    <w:rsid w:val="00E20547"/>
    <w:rsid w:val="00E20567"/>
    <w:rsid w:val="00E205EA"/>
    <w:rsid w:val="00E20674"/>
    <w:rsid w:val="00E206C9"/>
    <w:rsid w:val="00E2071F"/>
    <w:rsid w:val="00E20739"/>
    <w:rsid w:val="00E207B8"/>
    <w:rsid w:val="00E207BD"/>
    <w:rsid w:val="00E207C9"/>
    <w:rsid w:val="00E207E9"/>
    <w:rsid w:val="00E20800"/>
    <w:rsid w:val="00E20838"/>
    <w:rsid w:val="00E208E6"/>
    <w:rsid w:val="00E20904"/>
    <w:rsid w:val="00E20953"/>
    <w:rsid w:val="00E20971"/>
    <w:rsid w:val="00E20A1A"/>
    <w:rsid w:val="00E20AB2"/>
    <w:rsid w:val="00E20B1B"/>
    <w:rsid w:val="00E20B36"/>
    <w:rsid w:val="00E20B42"/>
    <w:rsid w:val="00E20C80"/>
    <w:rsid w:val="00E20CA5"/>
    <w:rsid w:val="00E20D0E"/>
    <w:rsid w:val="00E20D20"/>
    <w:rsid w:val="00E20D9C"/>
    <w:rsid w:val="00E20DA6"/>
    <w:rsid w:val="00E20E15"/>
    <w:rsid w:val="00E20E69"/>
    <w:rsid w:val="00E20EA7"/>
    <w:rsid w:val="00E20EAA"/>
    <w:rsid w:val="00E20EC2"/>
    <w:rsid w:val="00E20F12"/>
    <w:rsid w:val="00E20F5F"/>
    <w:rsid w:val="00E20FCE"/>
    <w:rsid w:val="00E21119"/>
    <w:rsid w:val="00E21218"/>
    <w:rsid w:val="00E21272"/>
    <w:rsid w:val="00E212E2"/>
    <w:rsid w:val="00E212F4"/>
    <w:rsid w:val="00E21324"/>
    <w:rsid w:val="00E213E1"/>
    <w:rsid w:val="00E21402"/>
    <w:rsid w:val="00E2144E"/>
    <w:rsid w:val="00E21476"/>
    <w:rsid w:val="00E214B9"/>
    <w:rsid w:val="00E2156A"/>
    <w:rsid w:val="00E21644"/>
    <w:rsid w:val="00E21669"/>
    <w:rsid w:val="00E216E9"/>
    <w:rsid w:val="00E21706"/>
    <w:rsid w:val="00E21756"/>
    <w:rsid w:val="00E21815"/>
    <w:rsid w:val="00E2182E"/>
    <w:rsid w:val="00E21852"/>
    <w:rsid w:val="00E218B0"/>
    <w:rsid w:val="00E218BF"/>
    <w:rsid w:val="00E219E9"/>
    <w:rsid w:val="00E21A67"/>
    <w:rsid w:val="00E21AB9"/>
    <w:rsid w:val="00E21AF5"/>
    <w:rsid w:val="00E21AF8"/>
    <w:rsid w:val="00E21B15"/>
    <w:rsid w:val="00E21B25"/>
    <w:rsid w:val="00E21B37"/>
    <w:rsid w:val="00E21B44"/>
    <w:rsid w:val="00E21B60"/>
    <w:rsid w:val="00E21B68"/>
    <w:rsid w:val="00E21B69"/>
    <w:rsid w:val="00E21B72"/>
    <w:rsid w:val="00E21B74"/>
    <w:rsid w:val="00E21B7C"/>
    <w:rsid w:val="00E21C04"/>
    <w:rsid w:val="00E21C34"/>
    <w:rsid w:val="00E21C3F"/>
    <w:rsid w:val="00E21C68"/>
    <w:rsid w:val="00E21C74"/>
    <w:rsid w:val="00E21CFE"/>
    <w:rsid w:val="00E21DA2"/>
    <w:rsid w:val="00E21DD3"/>
    <w:rsid w:val="00E21DE5"/>
    <w:rsid w:val="00E21E03"/>
    <w:rsid w:val="00E21EAD"/>
    <w:rsid w:val="00E21F46"/>
    <w:rsid w:val="00E21F56"/>
    <w:rsid w:val="00E21F76"/>
    <w:rsid w:val="00E21F84"/>
    <w:rsid w:val="00E21F93"/>
    <w:rsid w:val="00E21FA8"/>
    <w:rsid w:val="00E21FFC"/>
    <w:rsid w:val="00E22199"/>
    <w:rsid w:val="00E221AE"/>
    <w:rsid w:val="00E221AF"/>
    <w:rsid w:val="00E221B3"/>
    <w:rsid w:val="00E2222F"/>
    <w:rsid w:val="00E2224B"/>
    <w:rsid w:val="00E22332"/>
    <w:rsid w:val="00E22349"/>
    <w:rsid w:val="00E22354"/>
    <w:rsid w:val="00E224E3"/>
    <w:rsid w:val="00E2250C"/>
    <w:rsid w:val="00E22533"/>
    <w:rsid w:val="00E225DA"/>
    <w:rsid w:val="00E22600"/>
    <w:rsid w:val="00E2260C"/>
    <w:rsid w:val="00E22668"/>
    <w:rsid w:val="00E22690"/>
    <w:rsid w:val="00E22709"/>
    <w:rsid w:val="00E227AD"/>
    <w:rsid w:val="00E2288C"/>
    <w:rsid w:val="00E228AA"/>
    <w:rsid w:val="00E228FA"/>
    <w:rsid w:val="00E2297B"/>
    <w:rsid w:val="00E229A9"/>
    <w:rsid w:val="00E22A90"/>
    <w:rsid w:val="00E22AA0"/>
    <w:rsid w:val="00E22B08"/>
    <w:rsid w:val="00E22BC8"/>
    <w:rsid w:val="00E22C13"/>
    <w:rsid w:val="00E22C54"/>
    <w:rsid w:val="00E22C8D"/>
    <w:rsid w:val="00E22CC9"/>
    <w:rsid w:val="00E22CF4"/>
    <w:rsid w:val="00E22D16"/>
    <w:rsid w:val="00E22D51"/>
    <w:rsid w:val="00E22D97"/>
    <w:rsid w:val="00E22E42"/>
    <w:rsid w:val="00E22E7B"/>
    <w:rsid w:val="00E22EBE"/>
    <w:rsid w:val="00E22EDD"/>
    <w:rsid w:val="00E22F1A"/>
    <w:rsid w:val="00E22F36"/>
    <w:rsid w:val="00E22F9E"/>
    <w:rsid w:val="00E23048"/>
    <w:rsid w:val="00E23049"/>
    <w:rsid w:val="00E230A2"/>
    <w:rsid w:val="00E230A8"/>
    <w:rsid w:val="00E23148"/>
    <w:rsid w:val="00E231CE"/>
    <w:rsid w:val="00E231E5"/>
    <w:rsid w:val="00E23214"/>
    <w:rsid w:val="00E23388"/>
    <w:rsid w:val="00E233D5"/>
    <w:rsid w:val="00E23436"/>
    <w:rsid w:val="00E2344B"/>
    <w:rsid w:val="00E23501"/>
    <w:rsid w:val="00E2352A"/>
    <w:rsid w:val="00E23573"/>
    <w:rsid w:val="00E236AF"/>
    <w:rsid w:val="00E236C5"/>
    <w:rsid w:val="00E236E8"/>
    <w:rsid w:val="00E2373E"/>
    <w:rsid w:val="00E237FA"/>
    <w:rsid w:val="00E237FD"/>
    <w:rsid w:val="00E23828"/>
    <w:rsid w:val="00E23864"/>
    <w:rsid w:val="00E23866"/>
    <w:rsid w:val="00E23892"/>
    <w:rsid w:val="00E238A0"/>
    <w:rsid w:val="00E238BA"/>
    <w:rsid w:val="00E238F2"/>
    <w:rsid w:val="00E23917"/>
    <w:rsid w:val="00E2391E"/>
    <w:rsid w:val="00E23928"/>
    <w:rsid w:val="00E239B4"/>
    <w:rsid w:val="00E239B8"/>
    <w:rsid w:val="00E239C0"/>
    <w:rsid w:val="00E23A04"/>
    <w:rsid w:val="00E23A0A"/>
    <w:rsid w:val="00E23A8F"/>
    <w:rsid w:val="00E23AD0"/>
    <w:rsid w:val="00E23B42"/>
    <w:rsid w:val="00E23B9B"/>
    <w:rsid w:val="00E23C8F"/>
    <w:rsid w:val="00E23C9E"/>
    <w:rsid w:val="00E23CF0"/>
    <w:rsid w:val="00E23D97"/>
    <w:rsid w:val="00E23D9E"/>
    <w:rsid w:val="00E23DD3"/>
    <w:rsid w:val="00E23DEF"/>
    <w:rsid w:val="00E23E37"/>
    <w:rsid w:val="00E23E5D"/>
    <w:rsid w:val="00E23E97"/>
    <w:rsid w:val="00E23EA5"/>
    <w:rsid w:val="00E23F04"/>
    <w:rsid w:val="00E23F7D"/>
    <w:rsid w:val="00E23FF5"/>
    <w:rsid w:val="00E24004"/>
    <w:rsid w:val="00E24005"/>
    <w:rsid w:val="00E24031"/>
    <w:rsid w:val="00E2407D"/>
    <w:rsid w:val="00E240B2"/>
    <w:rsid w:val="00E240B3"/>
    <w:rsid w:val="00E240BD"/>
    <w:rsid w:val="00E240F3"/>
    <w:rsid w:val="00E2414E"/>
    <w:rsid w:val="00E241E7"/>
    <w:rsid w:val="00E24273"/>
    <w:rsid w:val="00E242F5"/>
    <w:rsid w:val="00E24313"/>
    <w:rsid w:val="00E24318"/>
    <w:rsid w:val="00E24341"/>
    <w:rsid w:val="00E2437D"/>
    <w:rsid w:val="00E243A1"/>
    <w:rsid w:val="00E24409"/>
    <w:rsid w:val="00E24417"/>
    <w:rsid w:val="00E2448C"/>
    <w:rsid w:val="00E245FD"/>
    <w:rsid w:val="00E246C1"/>
    <w:rsid w:val="00E24793"/>
    <w:rsid w:val="00E24820"/>
    <w:rsid w:val="00E2485B"/>
    <w:rsid w:val="00E248C6"/>
    <w:rsid w:val="00E248E4"/>
    <w:rsid w:val="00E24921"/>
    <w:rsid w:val="00E24925"/>
    <w:rsid w:val="00E24931"/>
    <w:rsid w:val="00E2494E"/>
    <w:rsid w:val="00E249A7"/>
    <w:rsid w:val="00E249E5"/>
    <w:rsid w:val="00E24AC7"/>
    <w:rsid w:val="00E24B14"/>
    <w:rsid w:val="00E24B93"/>
    <w:rsid w:val="00E24CCF"/>
    <w:rsid w:val="00E24DE0"/>
    <w:rsid w:val="00E24E13"/>
    <w:rsid w:val="00E24E4F"/>
    <w:rsid w:val="00E24E6F"/>
    <w:rsid w:val="00E24F27"/>
    <w:rsid w:val="00E24F59"/>
    <w:rsid w:val="00E24FA5"/>
    <w:rsid w:val="00E25002"/>
    <w:rsid w:val="00E25060"/>
    <w:rsid w:val="00E25090"/>
    <w:rsid w:val="00E250CE"/>
    <w:rsid w:val="00E250FA"/>
    <w:rsid w:val="00E2513E"/>
    <w:rsid w:val="00E2516E"/>
    <w:rsid w:val="00E251A0"/>
    <w:rsid w:val="00E251FA"/>
    <w:rsid w:val="00E252EE"/>
    <w:rsid w:val="00E252F8"/>
    <w:rsid w:val="00E253CD"/>
    <w:rsid w:val="00E25422"/>
    <w:rsid w:val="00E254A6"/>
    <w:rsid w:val="00E25560"/>
    <w:rsid w:val="00E255BA"/>
    <w:rsid w:val="00E255FF"/>
    <w:rsid w:val="00E256A8"/>
    <w:rsid w:val="00E256C1"/>
    <w:rsid w:val="00E2571F"/>
    <w:rsid w:val="00E25775"/>
    <w:rsid w:val="00E257C1"/>
    <w:rsid w:val="00E257FD"/>
    <w:rsid w:val="00E25919"/>
    <w:rsid w:val="00E25947"/>
    <w:rsid w:val="00E25970"/>
    <w:rsid w:val="00E259B3"/>
    <w:rsid w:val="00E259DF"/>
    <w:rsid w:val="00E259E5"/>
    <w:rsid w:val="00E25A54"/>
    <w:rsid w:val="00E25BBB"/>
    <w:rsid w:val="00E25C10"/>
    <w:rsid w:val="00E25C30"/>
    <w:rsid w:val="00E25C47"/>
    <w:rsid w:val="00E25E94"/>
    <w:rsid w:val="00E25EEF"/>
    <w:rsid w:val="00E25F16"/>
    <w:rsid w:val="00E25F48"/>
    <w:rsid w:val="00E25F64"/>
    <w:rsid w:val="00E260E2"/>
    <w:rsid w:val="00E260F4"/>
    <w:rsid w:val="00E26101"/>
    <w:rsid w:val="00E261C4"/>
    <w:rsid w:val="00E261CC"/>
    <w:rsid w:val="00E26215"/>
    <w:rsid w:val="00E26314"/>
    <w:rsid w:val="00E2632E"/>
    <w:rsid w:val="00E2637E"/>
    <w:rsid w:val="00E26393"/>
    <w:rsid w:val="00E264D5"/>
    <w:rsid w:val="00E264DF"/>
    <w:rsid w:val="00E26548"/>
    <w:rsid w:val="00E265AC"/>
    <w:rsid w:val="00E2661E"/>
    <w:rsid w:val="00E2669C"/>
    <w:rsid w:val="00E266A1"/>
    <w:rsid w:val="00E266DB"/>
    <w:rsid w:val="00E26756"/>
    <w:rsid w:val="00E268E0"/>
    <w:rsid w:val="00E26919"/>
    <w:rsid w:val="00E269D0"/>
    <w:rsid w:val="00E26A0F"/>
    <w:rsid w:val="00E26A9A"/>
    <w:rsid w:val="00E26BB4"/>
    <w:rsid w:val="00E26C1F"/>
    <w:rsid w:val="00E26C4D"/>
    <w:rsid w:val="00E26C99"/>
    <w:rsid w:val="00E26C9E"/>
    <w:rsid w:val="00E26DC1"/>
    <w:rsid w:val="00E26DCD"/>
    <w:rsid w:val="00E26DEF"/>
    <w:rsid w:val="00E26E69"/>
    <w:rsid w:val="00E26E8A"/>
    <w:rsid w:val="00E26E8B"/>
    <w:rsid w:val="00E26EDD"/>
    <w:rsid w:val="00E26FB1"/>
    <w:rsid w:val="00E27047"/>
    <w:rsid w:val="00E27066"/>
    <w:rsid w:val="00E2706C"/>
    <w:rsid w:val="00E270BE"/>
    <w:rsid w:val="00E2710D"/>
    <w:rsid w:val="00E27110"/>
    <w:rsid w:val="00E271A1"/>
    <w:rsid w:val="00E271C5"/>
    <w:rsid w:val="00E272C1"/>
    <w:rsid w:val="00E272FE"/>
    <w:rsid w:val="00E27308"/>
    <w:rsid w:val="00E27392"/>
    <w:rsid w:val="00E27398"/>
    <w:rsid w:val="00E273A8"/>
    <w:rsid w:val="00E273B5"/>
    <w:rsid w:val="00E2745C"/>
    <w:rsid w:val="00E274B4"/>
    <w:rsid w:val="00E2755B"/>
    <w:rsid w:val="00E27565"/>
    <w:rsid w:val="00E275B2"/>
    <w:rsid w:val="00E275C4"/>
    <w:rsid w:val="00E2761D"/>
    <w:rsid w:val="00E2763C"/>
    <w:rsid w:val="00E2763D"/>
    <w:rsid w:val="00E276DF"/>
    <w:rsid w:val="00E27778"/>
    <w:rsid w:val="00E27799"/>
    <w:rsid w:val="00E277C5"/>
    <w:rsid w:val="00E27845"/>
    <w:rsid w:val="00E27885"/>
    <w:rsid w:val="00E27906"/>
    <w:rsid w:val="00E2790A"/>
    <w:rsid w:val="00E2791E"/>
    <w:rsid w:val="00E279B2"/>
    <w:rsid w:val="00E279D7"/>
    <w:rsid w:val="00E279EB"/>
    <w:rsid w:val="00E27A0A"/>
    <w:rsid w:val="00E27A2A"/>
    <w:rsid w:val="00E27A51"/>
    <w:rsid w:val="00E27B52"/>
    <w:rsid w:val="00E27BBA"/>
    <w:rsid w:val="00E27C10"/>
    <w:rsid w:val="00E27C1B"/>
    <w:rsid w:val="00E27C1C"/>
    <w:rsid w:val="00E27C3F"/>
    <w:rsid w:val="00E27C88"/>
    <w:rsid w:val="00E27D36"/>
    <w:rsid w:val="00E27D8A"/>
    <w:rsid w:val="00E27DBD"/>
    <w:rsid w:val="00E27E62"/>
    <w:rsid w:val="00E27E97"/>
    <w:rsid w:val="00E27EA1"/>
    <w:rsid w:val="00E27F03"/>
    <w:rsid w:val="00E27F84"/>
    <w:rsid w:val="00E27F94"/>
    <w:rsid w:val="00E27F98"/>
    <w:rsid w:val="00E3001C"/>
    <w:rsid w:val="00E3003A"/>
    <w:rsid w:val="00E3007E"/>
    <w:rsid w:val="00E300E3"/>
    <w:rsid w:val="00E30128"/>
    <w:rsid w:val="00E30161"/>
    <w:rsid w:val="00E301D1"/>
    <w:rsid w:val="00E301DD"/>
    <w:rsid w:val="00E30216"/>
    <w:rsid w:val="00E3025A"/>
    <w:rsid w:val="00E302B7"/>
    <w:rsid w:val="00E302B9"/>
    <w:rsid w:val="00E303AB"/>
    <w:rsid w:val="00E303B3"/>
    <w:rsid w:val="00E303B7"/>
    <w:rsid w:val="00E304D1"/>
    <w:rsid w:val="00E30509"/>
    <w:rsid w:val="00E3051C"/>
    <w:rsid w:val="00E30586"/>
    <w:rsid w:val="00E305BE"/>
    <w:rsid w:val="00E305D6"/>
    <w:rsid w:val="00E305F9"/>
    <w:rsid w:val="00E30717"/>
    <w:rsid w:val="00E3077C"/>
    <w:rsid w:val="00E307BE"/>
    <w:rsid w:val="00E30827"/>
    <w:rsid w:val="00E30851"/>
    <w:rsid w:val="00E308C9"/>
    <w:rsid w:val="00E30911"/>
    <w:rsid w:val="00E30926"/>
    <w:rsid w:val="00E309E3"/>
    <w:rsid w:val="00E30A53"/>
    <w:rsid w:val="00E30AB0"/>
    <w:rsid w:val="00E30B17"/>
    <w:rsid w:val="00E30B7C"/>
    <w:rsid w:val="00E30C8A"/>
    <w:rsid w:val="00E30CA4"/>
    <w:rsid w:val="00E30CAB"/>
    <w:rsid w:val="00E30CE6"/>
    <w:rsid w:val="00E30D3D"/>
    <w:rsid w:val="00E30DA3"/>
    <w:rsid w:val="00E30DD8"/>
    <w:rsid w:val="00E30DE0"/>
    <w:rsid w:val="00E30E53"/>
    <w:rsid w:val="00E30EDC"/>
    <w:rsid w:val="00E30F51"/>
    <w:rsid w:val="00E30F59"/>
    <w:rsid w:val="00E30FA8"/>
    <w:rsid w:val="00E30FED"/>
    <w:rsid w:val="00E30FF0"/>
    <w:rsid w:val="00E31081"/>
    <w:rsid w:val="00E31098"/>
    <w:rsid w:val="00E3109C"/>
    <w:rsid w:val="00E310A8"/>
    <w:rsid w:val="00E310C5"/>
    <w:rsid w:val="00E3112D"/>
    <w:rsid w:val="00E31150"/>
    <w:rsid w:val="00E3120E"/>
    <w:rsid w:val="00E3122F"/>
    <w:rsid w:val="00E3123E"/>
    <w:rsid w:val="00E31266"/>
    <w:rsid w:val="00E3126C"/>
    <w:rsid w:val="00E31281"/>
    <w:rsid w:val="00E315D5"/>
    <w:rsid w:val="00E315E7"/>
    <w:rsid w:val="00E31648"/>
    <w:rsid w:val="00E31695"/>
    <w:rsid w:val="00E316C8"/>
    <w:rsid w:val="00E316ED"/>
    <w:rsid w:val="00E316F6"/>
    <w:rsid w:val="00E31756"/>
    <w:rsid w:val="00E318C6"/>
    <w:rsid w:val="00E318F1"/>
    <w:rsid w:val="00E3190B"/>
    <w:rsid w:val="00E3199D"/>
    <w:rsid w:val="00E319CD"/>
    <w:rsid w:val="00E31ABB"/>
    <w:rsid w:val="00E31B33"/>
    <w:rsid w:val="00E31B48"/>
    <w:rsid w:val="00E31C40"/>
    <w:rsid w:val="00E31CB3"/>
    <w:rsid w:val="00E31D7E"/>
    <w:rsid w:val="00E31DBE"/>
    <w:rsid w:val="00E31E5F"/>
    <w:rsid w:val="00E31E63"/>
    <w:rsid w:val="00E31E7D"/>
    <w:rsid w:val="00E31E85"/>
    <w:rsid w:val="00E31EAB"/>
    <w:rsid w:val="00E31EB3"/>
    <w:rsid w:val="00E31EF9"/>
    <w:rsid w:val="00E31F60"/>
    <w:rsid w:val="00E31F69"/>
    <w:rsid w:val="00E31F92"/>
    <w:rsid w:val="00E32017"/>
    <w:rsid w:val="00E3204D"/>
    <w:rsid w:val="00E320D3"/>
    <w:rsid w:val="00E32205"/>
    <w:rsid w:val="00E32262"/>
    <w:rsid w:val="00E32297"/>
    <w:rsid w:val="00E322AC"/>
    <w:rsid w:val="00E322D2"/>
    <w:rsid w:val="00E322F0"/>
    <w:rsid w:val="00E32328"/>
    <w:rsid w:val="00E323A0"/>
    <w:rsid w:val="00E323B2"/>
    <w:rsid w:val="00E323FF"/>
    <w:rsid w:val="00E32489"/>
    <w:rsid w:val="00E3248E"/>
    <w:rsid w:val="00E32505"/>
    <w:rsid w:val="00E3256E"/>
    <w:rsid w:val="00E3257C"/>
    <w:rsid w:val="00E32687"/>
    <w:rsid w:val="00E3268E"/>
    <w:rsid w:val="00E326C5"/>
    <w:rsid w:val="00E32751"/>
    <w:rsid w:val="00E3279D"/>
    <w:rsid w:val="00E327E5"/>
    <w:rsid w:val="00E328D1"/>
    <w:rsid w:val="00E32924"/>
    <w:rsid w:val="00E3292D"/>
    <w:rsid w:val="00E32948"/>
    <w:rsid w:val="00E329D0"/>
    <w:rsid w:val="00E329F5"/>
    <w:rsid w:val="00E329FB"/>
    <w:rsid w:val="00E32A19"/>
    <w:rsid w:val="00E32AB0"/>
    <w:rsid w:val="00E32B6F"/>
    <w:rsid w:val="00E32B8D"/>
    <w:rsid w:val="00E32BC8"/>
    <w:rsid w:val="00E32C31"/>
    <w:rsid w:val="00E32C77"/>
    <w:rsid w:val="00E32C95"/>
    <w:rsid w:val="00E32DAB"/>
    <w:rsid w:val="00E32DEE"/>
    <w:rsid w:val="00E32E65"/>
    <w:rsid w:val="00E32F60"/>
    <w:rsid w:val="00E32F79"/>
    <w:rsid w:val="00E32F89"/>
    <w:rsid w:val="00E32FDF"/>
    <w:rsid w:val="00E33078"/>
    <w:rsid w:val="00E3309C"/>
    <w:rsid w:val="00E330EF"/>
    <w:rsid w:val="00E33113"/>
    <w:rsid w:val="00E33129"/>
    <w:rsid w:val="00E3312D"/>
    <w:rsid w:val="00E33143"/>
    <w:rsid w:val="00E3314A"/>
    <w:rsid w:val="00E3319F"/>
    <w:rsid w:val="00E331A3"/>
    <w:rsid w:val="00E3321F"/>
    <w:rsid w:val="00E33228"/>
    <w:rsid w:val="00E332A5"/>
    <w:rsid w:val="00E333EA"/>
    <w:rsid w:val="00E33457"/>
    <w:rsid w:val="00E33515"/>
    <w:rsid w:val="00E3353C"/>
    <w:rsid w:val="00E3355B"/>
    <w:rsid w:val="00E3359E"/>
    <w:rsid w:val="00E33600"/>
    <w:rsid w:val="00E33631"/>
    <w:rsid w:val="00E33652"/>
    <w:rsid w:val="00E336B2"/>
    <w:rsid w:val="00E336D6"/>
    <w:rsid w:val="00E336EC"/>
    <w:rsid w:val="00E3374E"/>
    <w:rsid w:val="00E3375F"/>
    <w:rsid w:val="00E3378D"/>
    <w:rsid w:val="00E33806"/>
    <w:rsid w:val="00E33830"/>
    <w:rsid w:val="00E338EC"/>
    <w:rsid w:val="00E338ED"/>
    <w:rsid w:val="00E3391D"/>
    <w:rsid w:val="00E33951"/>
    <w:rsid w:val="00E339A9"/>
    <w:rsid w:val="00E339F8"/>
    <w:rsid w:val="00E339FF"/>
    <w:rsid w:val="00E33AF5"/>
    <w:rsid w:val="00E33B92"/>
    <w:rsid w:val="00E33BA6"/>
    <w:rsid w:val="00E33BF7"/>
    <w:rsid w:val="00E33C0B"/>
    <w:rsid w:val="00E33C81"/>
    <w:rsid w:val="00E33C96"/>
    <w:rsid w:val="00E33CB5"/>
    <w:rsid w:val="00E33CF1"/>
    <w:rsid w:val="00E33D03"/>
    <w:rsid w:val="00E33D04"/>
    <w:rsid w:val="00E33D05"/>
    <w:rsid w:val="00E33D11"/>
    <w:rsid w:val="00E33DDA"/>
    <w:rsid w:val="00E33E47"/>
    <w:rsid w:val="00E33E6D"/>
    <w:rsid w:val="00E33FC6"/>
    <w:rsid w:val="00E33FD1"/>
    <w:rsid w:val="00E33FDD"/>
    <w:rsid w:val="00E3400C"/>
    <w:rsid w:val="00E3405A"/>
    <w:rsid w:val="00E3413E"/>
    <w:rsid w:val="00E34181"/>
    <w:rsid w:val="00E34265"/>
    <w:rsid w:val="00E3426C"/>
    <w:rsid w:val="00E34298"/>
    <w:rsid w:val="00E342C0"/>
    <w:rsid w:val="00E342F9"/>
    <w:rsid w:val="00E3442F"/>
    <w:rsid w:val="00E344A8"/>
    <w:rsid w:val="00E344B6"/>
    <w:rsid w:val="00E34569"/>
    <w:rsid w:val="00E34587"/>
    <w:rsid w:val="00E345AC"/>
    <w:rsid w:val="00E345DB"/>
    <w:rsid w:val="00E34660"/>
    <w:rsid w:val="00E346F4"/>
    <w:rsid w:val="00E346F7"/>
    <w:rsid w:val="00E34721"/>
    <w:rsid w:val="00E3474C"/>
    <w:rsid w:val="00E34759"/>
    <w:rsid w:val="00E3477E"/>
    <w:rsid w:val="00E34794"/>
    <w:rsid w:val="00E348A0"/>
    <w:rsid w:val="00E348B9"/>
    <w:rsid w:val="00E348C3"/>
    <w:rsid w:val="00E348DB"/>
    <w:rsid w:val="00E34925"/>
    <w:rsid w:val="00E34941"/>
    <w:rsid w:val="00E349D9"/>
    <w:rsid w:val="00E34AD1"/>
    <w:rsid w:val="00E34BB9"/>
    <w:rsid w:val="00E34BF5"/>
    <w:rsid w:val="00E34C01"/>
    <w:rsid w:val="00E34CDC"/>
    <w:rsid w:val="00E34D28"/>
    <w:rsid w:val="00E34DC0"/>
    <w:rsid w:val="00E34E07"/>
    <w:rsid w:val="00E34E41"/>
    <w:rsid w:val="00E34EA2"/>
    <w:rsid w:val="00E34EED"/>
    <w:rsid w:val="00E34F27"/>
    <w:rsid w:val="00E34F2D"/>
    <w:rsid w:val="00E34F57"/>
    <w:rsid w:val="00E34F97"/>
    <w:rsid w:val="00E34FC0"/>
    <w:rsid w:val="00E34FFE"/>
    <w:rsid w:val="00E3504A"/>
    <w:rsid w:val="00E35052"/>
    <w:rsid w:val="00E35126"/>
    <w:rsid w:val="00E3513A"/>
    <w:rsid w:val="00E3516D"/>
    <w:rsid w:val="00E351B0"/>
    <w:rsid w:val="00E351B8"/>
    <w:rsid w:val="00E351D0"/>
    <w:rsid w:val="00E351E8"/>
    <w:rsid w:val="00E35231"/>
    <w:rsid w:val="00E3526C"/>
    <w:rsid w:val="00E3527D"/>
    <w:rsid w:val="00E352E6"/>
    <w:rsid w:val="00E3538C"/>
    <w:rsid w:val="00E3540A"/>
    <w:rsid w:val="00E35415"/>
    <w:rsid w:val="00E35474"/>
    <w:rsid w:val="00E35488"/>
    <w:rsid w:val="00E354C2"/>
    <w:rsid w:val="00E354C7"/>
    <w:rsid w:val="00E354CC"/>
    <w:rsid w:val="00E354F8"/>
    <w:rsid w:val="00E3550D"/>
    <w:rsid w:val="00E35572"/>
    <w:rsid w:val="00E35578"/>
    <w:rsid w:val="00E3565E"/>
    <w:rsid w:val="00E35662"/>
    <w:rsid w:val="00E356B1"/>
    <w:rsid w:val="00E356FB"/>
    <w:rsid w:val="00E35733"/>
    <w:rsid w:val="00E35789"/>
    <w:rsid w:val="00E357E1"/>
    <w:rsid w:val="00E35818"/>
    <w:rsid w:val="00E3581D"/>
    <w:rsid w:val="00E35822"/>
    <w:rsid w:val="00E35827"/>
    <w:rsid w:val="00E358A5"/>
    <w:rsid w:val="00E359CA"/>
    <w:rsid w:val="00E35A03"/>
    <w:rsid w:val="00E35A43"/>
    <w:rsid w:val="00E35A78"/>
    <w:rsid w:val="00E35A93"/>
    <w:rsid w:val="00E35B3D"/>
    <w:rsid w:val="00E35BF7"/>
    <w:rsid w:val="00E35C4E"/>
    <w:rsid w:val="00E35C97"/>
    <w:rsid w:val="00E35C9F"/>
    <w:rsid w:val="00E35CC7"/>
    <w:rsid w:val="00E35D0E"/>
    <w:rsid w:val="00E35D12"/>
    <w:rsid w:val="00E35D29"/>
    <w:rsid w:val="00E35D34"/>
    <w:rsid w:val="00E35D58"/>
    <w:rsid w:val="00E35D8D"/>
    <w:rsid w:val="00E35DDE"/>
    <w:rsid w:val="00E35E4E"/>
    <w:rsid w:val="00E35EAC"/>
    <w:rsid w:val="00E35F27"/>
    <w:rsid w:val="00E35F8A"/>
    <w:rsid w:val="00E35FA1"/>
    <w:rsid w:val="00E35FC8"/>
    <w:rsid w:val="00E35FDF"/>
    <w:rsid w:val="00E3600E"/>
    <w:rsid w:val="00E36012"/>
    <w:rsid w:val="00E3601B"/>
    <w:rsid w:val="00E36073"/>
    <w:rsid w:val="00E36089"/>
    <w:rsid w:val="00E36094"/>
    <w:rsid w:val="00E36103"/>
    <w:rsid w:val="00E361B1"/>
    <w:rsid w:val="00E362A3"/>
    <w:rsid w:val="00E362F0"/>
    <w:rsid w:val="00E36303"/>
    <w:rsid w:val="00E3637C"/>
    <w:rsid w:val="00E36390"/>
    <w:rsid w:val="00E36437"/>
    <w:rsid w:val="00E36475"/>
    <w:rsid w:val="00E364AE"/>
    <w:rsid w:val="00E36557"/>
    <w:rsid w:val="00E36579"/>
    <w:rsid w:val="00E36646"/>
    <w:rsid w:val="00E36665"/>
    <w:rsid w:val="00E36738"/>
    <w:rsid w:val="00E3678E"/>
    <w:rsid w:val="00E367F7"/>
    <w:rsid w:val="00E36829"/>
    <w:rsid w:val="00E3682A"/>
    <w:rsid w:val="00E36859"/>
    <w:rsid w:val="00E368A2"/>
    <w:rsid w:val="00E36955"/>
    <w:rsid w:val="00E3698B"/>
    <w:rsid w:val="00E369F5"/>
    <w:rsid w:val="00E36A65"/>
    <w:rsid w:val="00E36B87"/>
    <w:rsid w:val="00E36C21"/>
    <w:rsid w:val="00E36C69"/>
    <w:rsid w:val="00E36CDB"/>
    <w:rsid w:val="00E36CFD"/>
    <w:rsid w:val="00E36DF3"/>
    <w:rsid w:val="00E36EBB"/>
    <w:rsid w:val="00E36ECE"/>
    <w:rsid w:val="00E36F51"/>
    <w:rsid w:val="00E36F61"/>
    <w:rsid w:val="00E37010"/>
    <w:rsid w:val="00E37029"/>
    <w:rsid w:val="00E37033"/>
    <w:rsid w:val="00E37036"/>
    <w:rsid w:val="00E37056"/>
    <w:rsid w:val="00E37151"/>
    <w:rsid w:val="00E3721B"/>
    <w:rsid w:val="00E372BC"/>
    <w:rsid w:val="00E37373"/>
    <w:rsid w:val="00E37393"/>
    <w:rsid w:val="00E373B8"/>
    <w:rsid w:val="00E373C5"/>
    <w:rsid w:val="00E373FA"/>
    <w:rsid w:val="00E37454"/>
    <w:rsid w:val="00E37456"/>
    <w:rsid w:val="00E374C1"/>
    <w:rsid w:val="00E374DE"/>
    <w:rsid w:val="00E37541"/>
    <w:rsid w:val="00E37599"/>
    <w:rsid w:val="00E375C1"/>
    <w:rsid w:val="00E375C6"/>
    <w:rsid w:val="00E37611"/>
    <w:rsid w:val="00E37625"/>
    <w:rsid w:val="00E376C8"/>
    <w:rsid w:val="00E3774B"/>
    <w:rsid w:val="00E37786"/>
    <w:rsid w:val="00E377F2"/>
    <w:rsid w:val="00E37808"/>
    <w:rsid w:val="00E379F1"/>
    <w:rsid w:val="00E379FF"/>
    <w:rsid w:val="00E37A00"/>
    <w:rsid w:val="00E37AA5"/>
    <w:rsid w:val="00E37B37"/>
    <w:rsid w:val="00E37C28"/>
    <w:rsid w:val="00E37C3F"/>
    <w:rsid w:val="00E37D17"/>
    <w:rsid w:val="00E37D2A"/>
    <w:rsid w:val="00E37E26"/>
    <w:rsid w:val="00E37E88"/>
    <w:rsid w:val="00E37F6E"/>
    <w:rsid w:val="00E37FAD"/>
    <w:rsid w:val="00E37FE3"/>
    <w:rsid w:val="00E37FF7"/>
    <w:rsid w:val="00E4000B"/>
    <w:rsid w:val="00E40127"/>
    <w:rsid w:val="00E40183"/>
    <w:rsid w:val="00E4021C"/>
    <w:rsid w:val="00E40242"/>
    <w:rsid w:val="00E40258"/>
    <w:rsid w:val="00E4028C"/>
    <w:rsid w:val="00E40316"/>
    <w:rsid w:val="00E403A0"/>
    <w:rsid w:val="00E403D7"/>
    <w:rsid w:val="00E403F3"/>
    <w:rsid w:val="00E4052B"/>
    <w:rsid w:val="00E40555"/>
    <w:rsid w:val="00E405B7"/>
    <w:rsid w:val="00E405BC"/>
    <w:rsid w:val="00E405F2"/>
    <w:rsid w:val="00E40645"/>
    <w:rsid w:val="00E40674"/>
    <w:rsid w:val="00E406FA"/>
    <w:rsid w:val="00E40753"/>
    <w:rsid w:val="00E40767"/>
    <w:rsid w:val="00E407AD"/>
    <w:rsid w:val="00E407C2"/>
    <w:rsid w:val="00E40919"/>
    <w:rsid w:val="00E4092A"/>
    <w:rsid w:val="00E40940"/>
    <w:rsid w:val="00E40981"/>
    <w:rsid w:val="00E409E9"/>
    <w:rsid w:val="00E40B39"/>
    <w:rsid w:val="00E40B5D"/>
    <w:rsid w:val="00E40C43"/>
    <w:rsid w:val="00E40C45"/>
    <w:rsid w:val="00E40C4C"/>
    <w:rsid w:val="00E40C5B"/>
    <w:rsid w:val="00E40CA6"/>
    <w:rsid w:val="00E40CAC"/>
    <w:rsid w:val="00E40CC3"/>
    <w:rsid w:val="00E40CE1"/>
    <w:rsid w:val="00E40D45"/>
    <w:rsid w:val="00E40D4E"/>
    <w:rsid w:val="00E40E19"/>
    <w:rsid w:val="00E40E4D"/>
    <w:rsid w:val="00E40F00"/>
    <w:rsid w:val="00E40F51"/>
    <w:rsid w:val="00E40F93"/>
    <w:rsid w:val="00E40FC9"/>
    <w:rsid w:val="00E40FD5"/>
    <w:rsid w:val="00E41092"/>
    <w:rsid w:val="00E41108"/>
    <w:rsid w:val="00E41124"/>
    <w:rsid w:val="00E41128"/>
    <w:rsid w:val="00E41134"/>
    <w:rsid w:val="00E41196"/>
    <w:rsid w:val="00E412EE"/>
    <w:rsid w:val="00E41313"/>
    <w:rsid w:val="00E4135C"/>
    <w:rsid w:val="00E413B7"/>
    <w:rsid w:val="00E414C8"/>
    <w:rsid w:val="00E41521"/>
    <w:rsid w:val="00E4153E"/>
    <w:rsid w:val="00E41565"/>
    <w:rsid w:val="00E41582"/>
    <w:rsid w:val="00E415CE"/>
    <w:rsid w:val="00E41634"/>
    <w:rsid w:val="00E41661"/>
    <w:rsid w:val="00E4170D"/>
    <w:rsid w:val="00E4175E"/>
    <w:rsid w:val="00E417F4"/>
    <w:rsid w:val="00E41813"/>
    <w:rsid w:val="00E4183B"/>
    <w:rsid w:val="00E4189D"/>
    <w:rsid w:val="00E41974"/>
    <w:rsid w:val="00E419C3"/>
    <w:rsid w:val="00E41A40"/>
    <w:rsid w:val="00E41A99"/>
    <w:rsid w:val="00E41B34"/>
    <w:rsid w:val="00E41BBF"/>
    <w:rsid w:val="00E41BCF"/>
    <w:rsid w:val="00E41C73"/>
    <w:rsid w:val="00E41CAB"/>
    <w:rsid w:val="00E41D41"/>
    <w:rsid w:val="00E41D48"/>
    <w:rsid w:val="00E41D65"/>
    <w:rsid w:val="00E41D9D"/>
    <w:rsid w:val="00E41E03"/>
    <w:rsid w:val="00E41E5B"/>
    <w:rsid w:val="00E41E7D"/>
    <w:rsid w:val="00E41E90"/>
    <w:rsid w:val="00E41F87"/>
    <w:rsid w:val="00E41F94"/>
    <w:rsid w:val="00E41F99"/>
    <w:rsid w:val="00E41FA7"/>
    <w:rsid w:val="00E41FF8"/>
    <w:rsid w:val="00E42067"/>
    <w:rsid w:val="00E42090"/>
    <w:rsid w:val="00E420A3"/>
    <w:rsid w:val="00E421C0"/>
    <w:rsid w:val="00E4222F"/>
    <w:rsid w:val="00E4223A"/>
    <w:rsid w:val="00E42290"/>
    <w:rsid w:val="00E422A3"/>
    <w:rsid w:val="00E42411"/>
    <w:rsid w:val="00E4246C"/>
    <w:rsid w:val="00E42478"/>
    <w:rsid w:val="00E424E4"/>
    <w:rsid w:val="00E424EC"/>
    <w:rsid w:val="00E424F9"/>
    <w:rsid w:val="00E4253E"/>
    <w:rsid w:val="00E425CC"/>
    <w:rsid w:val="00E4267C"/>
    <w:rsid w:val="00E42700"/>
    <w:rsid w:val="00E427A1"/>
    <w:rsid w:val="00E42876"/>
    <w:rsid w:val="00E4288F"/>
    <w:rsid w:val="00E42898"/>
    <w:rsid w:val="00E42A9E"/>
    <w:rsid w:val="00E42AA2"/>
    <w:rsid w:val="00E42AA3"/>
    <w:rsid w:val="00E42BA5"/>
    <w:rsid w:val="00E42C1C"/>
    <w:rsid w:val="00E42C7C"/>
    <w:rsid w:val="00E42CC6"/>
    <w:rsid w:val="00E42E19"/>
    <w:rsid w:val="00E42E9E"/>
    <w:rsid w:val="00E42ED0"/>
    <w:rsid w:val="00E42EED"/>
    <w:rsid w:val="00E42F37"/>
    <w:rsid w:val="00E42F7F"/>
    <w:rsid w:val="00E43017"/>
    <w:rsid w:val="00E43024"/>
    <w:rsid w:val="00E430F1"/>
    <w:rsid w:val="00E431EC"/>
    <w:rsid w:val="00E4320C"/>
    <w:rsid w:val="00E4325D"/>
    <w:rsid w:val="00E432AB"/>
    <w:rsid w:val="00E4336D"/>
    <w:rsid w:val="00E43374"/>
    <w:rsid w:val="00E4348B"/>
    <w:rsid w:val="00E4349A"/>
    <w:rsid w:val="00E434DA"/>
    <w:rsid w:val="00E434E1"/>
    <w:rsid w:val="00E43508"/>
    <w:rsid w:val="00E43542"/>
    <w:rsid w:val="00E435C3"/>
    <w:rsid w:val="00E435C5"/>
    <w:rsid w:val="00E435D2"/>
    <w:rsid w:val="00E435F3"/>
    <w:rsid w:val="00E43633"/>
    <w:rsid w:val="00E4365C"/>
    <w:rsid w:val="00E436AD"/>
    <w:rsid w:val="00E4372A"/>
    <w:rsid w:val="00E43753"/>
    <w:rsid w:val="00E4379D"/>
    <w:rsid w:val="00E437CA"/>
    <w:rsid w:val="00E437FA"/>
    <w:rsid w:val="00E43861"/>
    <w:rsid w:val="00E4386B"/>
    <w:rsid w:val="00E43890"/>
    <w:rsid w:val="00E438EF"/>
    <w:rsid w:val="00E439AF"/>
    <w:rsid w:val="00E43A19"/>
    <w:rsid w:val="00E43BB7"/>
    <w:rsid w:val="00E43C1F"/>
    <w:rsid w:val="00E43C2F"/>
    <w:rsid w:val="00E43C83"/>
    <w:rsid w:val="00E43CEC"/>
    <w:rsid w:val="00E43D3B"/>
    <w:rsid w:val="00E43DA6"/>
    <w:rsid w:val="00E43DDF"/>
    <w:rsid w:val="00E43E48"/>
    <w:rsid w:val="00E43E67"/>
    <w:rsid w:val="00E43EB1"/>
    <w:rsid w:val="00E43F47"/>
    <w:rsid w:val="00E43F4B"/>
    <w:rsid w:val="00E43FBF"/>
    <w:rsid w:val="00E4400A"/>
    <w:rsid w:val="00E44010"/>
    <w:rsid w:val="00E44069"/>
    <w:rsid w:val="00E440A0"/>
    <w:rsid w:val="00E440D8"/>
    <w:rsid w:val="00E44116"/>
    <w:rsid w:val="00E4411F"/>
    <w:rsid w:val="00E44132"/>
    <w:rsid w:val="00E441C9"/>
    <w:rsid w:val="00E442BD"/>
    <w:rsid w:val="00E44315"/>
    <w:rsid w:val="00E44354"/>
    <w:rsid w:val="00E443C0"/>
    <w:rsid w:val="00E44419"/>
    <w:rsid w:val="00E44425"/>
    <w:rsid w:val="00E4454E"/>
    <w:rsid w:val="00E44624"/>
    <w:rsid w:val="00E4473F"/>
    <w:rsid w:val="00E44768"/>
    <w:rsid w:val="00E44813"/>
    <w:rsid w:val="00E44852"/>
    <w:rsid w:val="00E448AF"/>
    <w:rsid w:val="00E448B1"/>
    <w:rsid w:val="00E448DB"/>
    <w:rsid w:val="00E448FD"/>
    <w:rsid w:val="00E44967"/>
    <w:rsid w:val="00E4496B"/>
    <w:rsid w:val="00E449A7"/>
    <w:rsid w:val="00E449B5"/>
    <w:rsid w:val="00E449D9"/>
    <w:rsid w:val="00E449FE"/>
    <w:rsid w:val="00E44A26"/>
    <w:rsid w:val="00E44A34"/>
    <w:rsid w:val="00E44ACB"/>
    <w:rsid w:val="00E44B06"/>
    <w:rsid w:val="00E44BC1"/>
    <w:rsid w:val="00E44BDC"/>
    <w:rsid w:val="00E44BFA"/>
    <w:rsid w:val="00E44C2E"/>
    <w:rsid w:val="00E44C4A"/>
    <w:rsid w:val="00E44C94"/>
    <w:rsid w:val="00E44CA7"/>
    <w:rsid w:val="00E44CEC"/>
    <w:rsid w:val="00E44CFC"/>
    <w:rsid w:val="00E44DF0"/>
    <w:rsid w:val="00E44DF8"/>
    <w:rsid w:val="00E44E27"/>
    <w:rsid w:val="00E44EDC"/>
    <w:rsid w:val="00E44F23"/>
    <w:rsid w:val="00E44F42"/>
    <w:rsid w:val="00E44F9C"/>
    <w:rsid w:val="00E44FC9"/>
    <w:rsid w:val="00E44FCE"/>
    <w:rsid w:val="00E450E7"/>
    <w:rsid w:val="00E4512F"/>
    <w:rsid w:val="00E45134"/>
    <w:rsid w:val="00E45147"/>
    <w:rsid w:val="00E4518C"/>
    <w:rsid w:val="00E451A2"/>
    <w:rsid w:val="00E451B0"/>
    <w:rsid w:val="00E45222"/>
    <w:rsid w:val="00E4525E"/>
    <w:rsid w:val="00E45283"/>
    <w:rsid w:val="00E45351"/>
    <w:rsid w:val="00E45352"/>
    <w:rsid w:val="00E45364"/>
    <w:rsid w:val="00E4536F"/>
    <w:rsid w:val="00E45392"/>
    <w:rsid w:val="00E453F8"/>
    <w:rsid w:val="00E45414"/>
    <w:rsid w:val="00E45455"/>
    <w:rsid w:val="00E454C9"/>
    <w:rsid w:val="00E45555"/>
    <w:rsid w:val="00E45563"/>
    <w:rsid w:val="00E45573"/>
    <w:rsid w:val="00E4566A"/>
    <w:rsid w:val="00E456B8"/>
    <w:rsid w:val="00E45711"/>
    <w:rsid w:val="00E4573E"/>
    <w:rsid w:val="00E45770"/>
    <w:rsid w:val="00E45820"/>
    <w:rsid w:val="00E4585E"/>
    <w:rsid w:val="00E4587B"/>
    <w:rsid w:val="00E4593E"/>
    <w:rsid w:val="00E45974"/>
    <w:rsid w:val="00E45991"/>
    <w:rsid w:val="00E459B3"/>
    <w:rsid w:val="00E45A15"/>
    <w:rsid w:val="00E45A1C"/>
    <w:rsid w:val="00E45A32"/>
    <w:rsid w:val="00E45A5C"/>
    <w:rsid w:val="00E45A72"/>
    <w:rsid w:val="00E45A82"/>
    <w:rsid w:val="00E45AA1"/>
    <w:rsid w:val="00E45AA8"/>
    <w:rsid w:val="00E45B8D"/>
    <w:rsid w:val="00E45BF4"/>
    <w:rsid w:val="00E45C05"/>
    <w:rsid w:val="00E45C11"/>
    <w:rsid w:val="00E45C57"/>
    <w:rsid w:val="00E45C93"/>
    <w:rsid w:val="00E45CA3"/>
    <w:rsid w:val="00E45CB7"/>
    <w:rsid w:val="00E45CB9"/>
    <w:rsid w:val="00E45CBA"/>
    <w:rsid w:val="00E45D8B"/>
    <w:rsid w:val="00E45DC2"/>
    <w:rsid w:val="00E45E65"/>
    <w:rsid w:val="00E45E80"/>
    <w:rsid w:val="00E45E9F"/>
    <w:rsid w:val="00E45F07"/>
    <w:rsid w:val="00E45F0C"/>
    <w:rsid w:val="00E45F34"/>
    <w:rsid w:val="00E45F8B"/>
    <w:rsid w:val="00E45FE2"/>
    <w:rsid w:val="00E45FF0"/>
    <w:rsid w:val="00E46003"/>
    <w:rsid w:val="00E4606B"/>
    <w:rsid w:val="00E46122"/>
    <w:rsid w:val="00E46152"/>
    <w:rsid w:val="00E46192"/>
    <w:rsid w:val="00E461A8"/>
    <w:rsid w:val="00E46256"/>
    <w:rsid w:val="00E4627B"/>
    <w:rsid w:val="00E4627F"/>
    <w:rsid w:val="00E46290"/>
    <w:rsid w:val="00E462B2"/>
    <w:rsid w:val="00E462DB"/>
    <w:rsid w:val="00E46344"/>
    <w:rsid w:val="00E46398"/>
    <w:rsid w:val="00E463FA"/>
    <w:rsid w:val="00E4643F"/>
    <w:rsid w:val="00E46600"/>
    <w:rsid w:val="00E4661E"/>
    <w:rsid w:val="00E4664F"/>
    <w:rsid w:val="00E46666"/>
    <w:rsid w:val="00E466B6"/>
    <w:rsid w:val="00E46703"/>
    <w:rsid w:val="00E467C5"/>
    <w:rsid w:val="00E46868"/>
    <w:rsid w:val="00E4695E"/>
    <w:rsid w:val="00E4696B"/>
    <w:rsid w:val="00E46A3D"/>
    <w:rsid w:val="00E46A56"/>
    <w:rsid w:val="00E46A5B"/>
    <w:rsid w:val="00E46A5C"/>
    <w:rsid w:val="00E46A68"/>
    <w:rsid w:val="00E46AE4"/>
    <w:rsid w:val="00E46B36"/>
    <w:rsid w:val="00E46B46"/>
    <w:rsid w:val="00E46B83"/>
    <w:rsid w:val="00E46C1B"/>
    <w:rsid w:val="00E46C4B"/>
    <w:rsid w:val="00E46C53"/>
    <w:rsid w:val="00E46C5A"/>
    <w:rsid w:val="00E46C72"/>
    <w:rsid w:val="00E46D1E"/>
    <w:rsid w:val="00E46D63"/>
    <w:rsid w:val="00E46DB0"/>
    <w:rsid w:val="00E46DFA"/>
    <w:rsid w:val="00E46E8D"/>
    <w:rsid w:val="00E46F15"/>
    <w:rsid w:val="00E46F37"/>
    <w:rsid w:val="00E46F8C"/>
    <w:rsid w:val="00E46FB9"/>
    <w:rsid w:val="00E46FF2"/>
    <w:rsid w:val="00E4705E"/>
    <w:rsid w:val="00E47120"/>
    <w:rsid w:val="00E47153"/>
    <w:rsid w:val="00E4717D"/>
    <w:rsid w:val="00E47225"/>
    <w:rsid w:val="00E4726E"/>
    <w:rsid w:val="00E4730D"/>
    <w:rsid w:val="00E4736F"/>
    <w:rsid w:val="00E47549"/>
    <w:rsid w:val="00E47553"/>
    <w:rsid w:val="00E4758A"/>
    <w:rsid w:val="00E47590"/>
    <w:rsid w:val="00E47591"/>
    <w:rsid w:val="00E475F2"/>
    <w:rsid w:val="00E4761E"/>
    <w:rsid w:val="00E4767D"/>
    <w:rsid w:val="00E47762"/>
    <w:rsid w:val="00E477B3"/>
    <w:rsid w:val="00E477C4"/>
    <w:rsid w:val="00E47830"/>
    <w:rsid w:val="00E478CF"/>
    <w:rsid w:val="00E478E8"/>
    <w:rsid w:val="00E47928"/>
    <w:rsid w:val="00E4794D"/>
    <w:rsid w:val="00E479AC"/>
    <w:rsid w:val="00E47A56"/>
    <w:rsid w:val="00E47A87"/>
    <w:rsid w:val="00E47AD2"/>
    <w:rsid w:val="00E47B03"/>
    <w:rsid w:val="00E47B4B"/>
    <w:rsid w:val="00E47B6E"/>
    <w:rsid w:val="00E47B8A"/>
    <w:rsid w:val="00E47B9E"/>
    <w:rsid w:val="00E47BAD"/>
    <w:rsid w:val="00E47BD3"/>
    <w:rsid w:val="00E47BE3"/>
    <w:rsid w:val="00E47C03"/>
    <w:rsid w:val="00E47C6A"/>
    <w:rsid w:val="00E47C82"/>
    <w:rsid w:val="00E47C84"/>
    <w:rsid w:val="00E47CAD"/>
    <w:rsid w:val="00E47CB8"/>
    <w:rsid w:val="00E47CC1"/>
    <w:rsid w:val="00E47D24"/>
    <w:rsid w:val="00E47D2E"/>
    <w:rsid w:val="00E47D94"/>
    <w:rsid w:val="00E47DAE"/>
    <w:rsid w:val="00E47DE4"/>
    <w:rsid w:val="00E47E34"/>
    <w:rsid w:val="00E47E68"/>
    <w:rsid w:val="00E47E8F"/>
    <w:rsid w:val="00E47F9D"/>
    <w:rsid w:val="00E50068"/>
    <w:rsid w:val="00E5014D"/>
    <w:rsid w:val="00E501A3"/>
    <w:rsid w:val="00E50275"/>
    <w:rsid w:val="00E5028D"/>
    <w:rsid w:val="00E502AD"/>
    <w:rsid w:val="00E502C6"/>
    <w:rsid w:val="00E502D2"/>
    <w:rsid w:val="00E5031C"/>
    <w:rsid w:val="00E50352"/>
    <w:rsid w:val="00E50355"/>
    <w:rsid w:val="00E5036D"/>
    <w:rsid w:val="00E50433"/>
    <w:rsid w:val="00E50457"/>
    <w:rsid w:val="00E50480"/>
    <w:rsid w:val="00E5054D"/>
    <w:rsid w:val="00E5054F"/>
    <w:rsid w:val="00E50588"/>
    <w:rsid w:val="00E505E8"/>
    <w:rsid w:val="00E505F6"/>
    <w:rsid w:val="00E50611"/>
    <w:rsid w:val="00E50659"/>
    <w:rsid w:val="00E506B0"/>
    <w:rsid w:val="00E5070A"/>
    <w:rsid w:val="00E507CA"/>
    <w:rsid w:val="00E50938"/>
    <w:rsid w:val="00E50ADB"/>
    <w:rsid w:val="00E50B5E"/>
    <w:rsid w:val="00E50B70"/>
    <w:rsid w:val="00E50D14"/>
    <w:rsid w:val="00E50D5B"/>
    <w:rsid w:val="00E50D90"/>
    <w:rsid w:val="00E50DB9"/>
    <w:rsid w:val="00E50E30"/>
    <w:rsid w:val="00E50E7C"/>
    <w:rsid w:val="00E50F91"/>
    <w:rsid w:val="00E50FD1"/>
    <w:rsid w:val="00E5102E"/>
    <w:rsid w:val="00E51037"/>
    <w:rsid w:val="00E5103A"/>
    <w:rsid w:val="00E51064"/>
    <w:rsid w:val="00E510AA"/>
    <w:rsid w:val="00E51119"/>
    <w:rsid w:val="00E51121"/>
    <w:rsid w:val="00E5118C"/>
    <w:rsid w:val="00E511A9"/>
    <w:rsid w:val="00E511DE"/>
    <w:rsid w:val="00E511EF"/>
    <w:rsid w:val="00E51235"/>
    <w:rsid w:val="00E51267"/>
    <w:rsid w:val="00E5126C"/>
    <w:rsid w:val="00E5127B"/>
    <w:rsid w:val="00E51357"/>
    <w:rsid w:val="00E513EA"/>
    <w:rsid w:val="00E513F2"/>
    <w:rsid w:val="00E5148B"/>
    <w:rsid w:val="00E514C4"/>
    <w:rsid w:val="00E514ED"/>
    <w:rsid w:val="00E51505"/>
    <w:rsid w:val="00E51538"/>
    <w:rsid w:val="00E51545"/>
    <w:rsid w:val="00E51563"/>
    <w:rsid w:val="00E51578"/>
    <w:rsid w:val="00E515E0"/>
    <w:rsid w:val="00E515F5"/>
    <w:rsid w:val="00E51614"/>
    <w:rsid w:val="00E5168B"/>
    <w:rsid w:val="00E516F9"/>
    <w:rsid w:val="00E51748"/>
    <w:rsid w:val="00E51852"/>
    <w:rsid w:val="00E51854"/>
    <w:rsid w:val="00E5185E"/>
    <w:rsid w:val="00E518A9"/>
    <w:rsid w:val="00E51912"/>
    <w:rsid w:val="00E51966"/>
    <w:rsid w:val="00E5197F"/>
    <w:rsid w:val="00E51993"/>
    <w:rsid w:val="00E51A08"/>
    <w:rsid w:val="00E51A12"/>
    <w:rsid w:val="00E51A42"/>
    <w:rsid w:val="00E51A6F"/>
    <w:rsid w:val="00E51AF6"/>
    <w:rsid w:val="00E51B4D"/>
    <w:rsid w:val="00E51B57"/>
    <w:rsid w:val="00E51BBB"/>
    <w:rsid w:val="00E51BCD"/>
    <w:rsid w:val="00E51BD1"/>
    <w:rsid w:val="00E51C9A"/>
    <w:rsid w:val="00E51CAE"/>
    <w:rsid w:val="00E51CC9"/>
    <w:rsid w:val="00E51D09"/>
    <w:rsid w:val="00E51D41"/>
    <w:rsid w:val="00E51D69"/>
    <w:rsid w:val="00E51DC1"/>
    <w:rsid w:val="00E51DFB"/>
    <w:rsid w:val="00E51E0E"/>
    <w:rsid w:val="00E51E34"/>
    <w:rsid w:val="00E51EEF"/>
    <w:rsid w:val="00E51F05"/>
    <w:rsid w:val="00E51F7A"/>
    <w:rsid w:val="00E51FB4"/>
    <w:rsid w:val="00E5218C"/>
    <w:rsid w:val="00E521E9"/>
    <w:rsid w:val="00E522B4"/>
    <w:rsid w:val="00E52302"/>
    <w:rsid w:val="00E5231A"/>
    <w:rsid w:val="00E5234F"/>
    <w:rsid w:val="00E52391"/>
    <w:rsid w:val="00E523E8"/>
    <w:rsid w:val="00E5240B"/>
    <w:rsid w:val="00E5244D"/>
    <w:rsid w:val="00E524C2"/>
    <w:rsid w:val="00E524E1"/>
    <w:rsid w:val="00E5252D"/>
    <w:rsid w:val="00E525C4"/>
    <w:rsid w:val="00E525CA"/>
    <w:rsid w:val="00E525DF"/>
    <w:rsid w:val="00E52685"/>
    <w:rsid w:val="00E526B2"/>
    <w:rsid w:val="00E52782"/>
    <w:rsid w:val="00E52797"/>
    <w:rsid w:val="00E527D9"/>
    <w:rsid w:val="00E528E4"/>
    <w:rsid w:val="00E52909"/>
    <w:rsid w:val="00E529B2"/>
    <w:rsid w:val="00E529E9"/>
    <w:rsid w:val="00E52A2E"/>
    <w:rsid w:val="00E52A56"/>
    <w:rsid w:val="00E52ADB"/>
    <w:rsid w:val="00E52B14"/>
    <w:rsid w:val="00E52B16"/>
    <w:rsid w:val="00E52B41"/>
    <w:rsid w:val="00E52BAE"/>
    <w:rsid w:val="00E52C21"/>
    <w:rsid w:val="00E52CD0"/>
    <w:rsid w:val="00E52CE7"/>
    <w:rsid w:val="00E52DB2"/>
    <w:rsid w:val="00E52DBA"/>
    <w:rsid w:val="00E52DDB"/>
    <w:rsid w:val="00E52DE0"/>
    <w:rsid w:val="00E52F01"/>
    <w:rsid w:val="00E52F9F"/>
    <w:rsid w:val="00E53084"/>
    <w:rsid w:val="00E530BB"/>
    <w:rsid w:val="00E5314E"/>
    <w:rsid w:val="00E53231"/>
    <w:rsid w:val="00E5323A"/>
    <w:rsid w:val="00E5324A"/>
    <w:rsid w:val="00E5325B"/>
    <w:rsid w:val="00E532BF"/>
    <w:rsid w:val="00E532DF"/>
    <w:rsid w:val="00E532E9"/>
    <w:rsid w:val="00E532F4"/>
    <w:rsid w:val="00E53353"/>
    <w:rsid w:val="00E53367"/>
    <w:rsid w:val="00E5337D"/>
    <w:rsid w:val="00E533B6"/>
    <w:rsid w:val="00E533B8"/>
    <w:rsid w:val="00E533BD"/>
    <w:rsid w:val="00E533CE"/>
    <w:rsid w:val="00E534E9"/>
    <w:rsid w:val="00E534EA"/>
    <w:rsid w:val="00E53505"/>
    <w:rsid w:val="00E5352D"/>
    <w:rsid w:val="00E53541"/>
    <w:rsid w:val="00E535B2"/>
    <w:rsid w:val="00E535B8"/>
    <w:rsid w:val="00E53669"/>
    <w:rsid w:val="00E536CF"/>
    <w:rsid w:val="00E536F5"/>
    <w:rsid w:val="00E5371F"/>
    <w:rsid w:val="00E537A6"/>
    <w:rsid w:val="00E537BC"/>
    <w:rsid w:val="00E5382A"/>
    <w:rsid w:val="00E53862"/>
    <w:rsid w:val="00E538E3"/>
    <w:rsid w:val="00E539CF"/>
    <w:rsid w:val="00E53A12"/>
    <w:rsid w:val="00E53A17"/>
    <w:rsid w:val="00E53A29"/>
    <w:rsid w:val="00E53AF5"/>
    <w:rsid w:val="00E53BA8"/>
    <w:rsid w:val="00E53BC4"/>
    <w:rsid w:val="00E53C13"/>
    <w:rsid w:val="00E53C19"/>
    <w:rsid w:val="00E53CB6"/>
    <w:rsid w:val="00E53CE9"/>
    <w:rsid w:val="00E53D54"/>
    <w:rsid w:val="00E53D56"/>
    <w:rsid w:val="00E53EA2"/>
    <w:rsid w:val="00E53EBB"/>
    <w:rsid w:val="00E53F82"/>
    <w:rsid w:val="00E53FE5"/>
    <w:rsid w:val="00E54004"/>
    <w:rsid w:val="00E54035"/>
    <w:rsid w:val="00E54091"/>
    <w:rsid w:val="00E5409F"/>
    <w:rsid w:val="00E540A5"/>
    <w:rsid w:val="00E540B9"/>
    <w:rsid w:val="00E540ED"/>
    <w:rsid w:val="00E540FE"/>
    <w:rsid w:val="00E5414B"/>
    <w:rsid w:val="00E54179"/>
    <w:rsid w:val="00E541BF"/>
    <w:rsid w:val="00E541F1"/>
    <w:rsid w:val="00E541F6"/>
    <w:rsid w:val="00E54210"/>
    <w:rsid w:val="00E54295"/>
    <w:rsid w:val="00E542A1"/>
    <w:rsid w:val="00E542D3"/>
    <w:rsid w:val="00E5436A"/>
    <w:rsid w:val="00E543B5"/>
    <w:rsid w:val="00E5442B"/>
    <w:rsid w:val="00E544D4"/>
    <w:rsid w:val="00E544EC"/>
    <w:rsid w:val="00E5450A"/>
    <w:rsid w:val="00E5457E"/>
    <w:rsid w:val="00E545AD"/>
    <w:rsid w:val="00E54613"/>
    <w:rsid w:val="00E54661"/>
    <w:rsid w:val="00E54675"/>
    <w:rsid w:val="00E546EA"/>
    <w:rsid w:val="00E547B1"/>
    <w:rsid w:val="00E547E7"/>
    <w:rsid w:val="00E5487B"/>
    <w:rsid w:val="00E54888"/>
    <w:rsid w:val="00E549CB"/>
    <w:rsid w:val="00E549D1"/>
    <w:rsid w:val="00E54A4D"/>
    <w:rsid w:val="00E54A9E"/>
    <w:rsid w:val="00E54B37"/>
    <w:rsid w:val="00E54C53"/>
    <w:rsid w:val="00E54CBF"/>
    <w:rsid w:val="00E54D09"/>
    <w:rsid w:val="00E54EBC"/>
    <w:rsid w:val="00E54EBD"/>
    <w:rsid w:val="00E54ED6"/>
    <w:rsid w:val="00E54ED7"/>
    <w:rsid w:val="00E54EF6"/>
    <w:rsid w:val="00E54EF7"/>
    <w:rsid w:val="00E54FBD"/>
    <w:rsid w:val="00E54FBE"/>
    <w:rsid w:val="00E54FE8"/>
    <w:rsid w:val="00E55022"/>
    <w:rsid w:val="00E55043"/>
    <w:rsid w:val="00E55094"/>
    <w:rsid w:val="00E55099"/>
    <w:rsid w:val="00E5509B"/>
    <w:rsid w:val="00E551A0"/>
    <w:rsid w:val="00E551A2"/>
    <w:rsid w:val="00E55210"/>
    <w:rsid w:val="00E55326"/>
    <w:rsid w:val="00E55343"/>
    <w:rsid w:val="00E55365"/>
    <w:rsid w:val="00E55390"/>
    <w:rsid w:val="00E5539A"/>
    <w:rsid w:val="00E553A1"/>
    <w:rsid w:val="00E553A8"/>
    <w:rsid w:val="00E553AF"/>
    <w:rsid w:val="00E553F2"/>
    <w:rsid w:val="00E55440"/>
    <w:rsid w:val="00E55443"/>
    <w:rsid w:val="00E5547C"/>
    <w:rsid w:val="00E55493"/>
    <w:rsid w:val="00E5551D"/>
    <w:rsid w:val="00E5551E"/>
    <w:rsid w:val="00E55558"/>
    <w:rsid w:val="00E555D2"/>
    <w:rsid w:val="00E5566D"/>
    <w:rsid w:val="00E5567C"/>
    <w:rsid w:val="00E5573C"/>
    <w:rsid w:val="00E5574B"/>
    <w:rsid w:val="00E557AE"/>
    <w:rsid w:val="00E557E7"/>
    <w:rsid w:val="00E5582B"/>
    <w:rsid w:val="00E55831"/>
    <w:rsid w:val="00E5587D"/>
    <w:rsid w:val="00E558E4"/>
    <w:rsid w:val="00E558E6"/>
    <w:rsid w:val="00E55980"/>
    <w:rsid w:val="00E559C2"/>
    <w:rsid w:val="00E55A01"/>
    <w:rsid w:val="00E55A19"/>
    <w:rsid w:val="00E55A72"/>
    <w:rsid w:val="00E55A7E"/>
    <w:rsid w:val="00E55AD0"/>
    <w:rsid w:val="00E55AF1"/>
    <w:rsid w:val="00E55B27"/>
    <w:rsid w:val="00E55B9A"/>
    <w:rsid w:val="00E55BA2"/>
    <w:rsid w:val="00E55BCB"/>
    <w:rsid w:val="00E55BD8"/>
    <w:rsid w:val="00E55C11"/>
    <w:rsid w:val="00E55C21"/>
    <w:rsid w:val="00E55C4C"/>
    <w:rsid w:val="00E55C69"/>
    <w:rsid w:val="00E55C72"/>
    <w:rsid w:val="00E55D04"/>
    <w:rsid w:val="00E55D1B"/>
    <w:rsid w:val="00E55D85"/>
    <w:rsid w:val="00E55D98"/>
    <w:rsid w:val="00E55E01"/>
    <w:rsid w:val="00E55E36"/>
    <w:rsid w:val="00E55EB4"/>
    <w:rsid w:val="00E55F17"/>
    <w:rsid w:val="00E55F49"/>
    <w:rsid w:val="00E55F71"/>
    <w:rsid w:val="00E55FDD"/>
    <w:rsid w:val="00E56025"/>
    <w:rsid w:val="00E56033"/>
    <w:rsid w:val="00E560A9"/>
    <w:rsid w:val="00E560AB"/>
    <w:rsid w:val="00E560B9"/>
    <w:rsid w:val="00E5623C"/>
    <w:rsid w:val="00E56289"/>
    <w:rsid w:val="00E562A7"/>
    <w:rsid w:val="00E562CA"/>
    <w:rsid w:val="00E56344"/>
    <w:rsid w:val="00E5636C"/>
    <w:rsid w:val="00E563AF"/>
    <w:rsid w:val="00E56418"/>
    <w:rsid w:val="00E5641B"/>
    <w:rsid w:val="00E56472"/>
    <w:rsid w:val="00E56476"/>
    <w:rsid w:val="00E564E2"/>
    <w:rsid w:val="00E56527"/>
    <w:rsid w:val="00E56531"/>
    <w:rsid w:val="00E56559"/>
    <w:rsid w:val="00E56587"/>
    <w:rsid w:val="00E565C1"/>
    <w:rsid w:val="00E56670"/>
    <w:rsid w:val="00E56769"/>
    <w:rsid w:val="00E567D1"/>
    <w:rsid w:val="00E567D9"/>
    <w:rsid w:val="00E56838"/>
    <w:rsid w:val="00E56840"/>
    <w:rsid w:val="00E56881"/>
    <w:rsid w:val="00E568D2"/>
    <w:rsid w:val="00E5692B"/>
    <w:rsid w:val="00E56997"/>
    <w:rsid w:val="00E569AA"/>
    <w:rsid w:val="00E56A87"/>
    <w:rsid w:val="00E56A8F"/>
    <w:rsid w:val="00E56A90"/>
    <w:rsid w:val="00E56AAE"/>
    <w:rsid w:val="00E56B38"/>
    <w:rsid w:val="00E56C9A"/>
    <w:rsid w:val="00E56CBF"/>
    <w:rsid w:val="00E56CEF"/>
    <w:rsid w:val="00E56DA5"/>
    <w:rsid w:val="00E56DD0"/>
    <w:rsid w:val="00E56E31"/>
    <w:rsid w:val="00E56E4D"/>
    <w:rsid w:val="00E56EE5"/>
    <w:rsid w:val="00E56EEA"/>
    <w:rsid w:val="00E56F0E"/>
    <w:rsid w:val="00E56F86"/>
    <w:rsid w:val="00E56FC5"/>
    <w:rsid w:val="00E56FD5"/>
    <w:rsid w:val="00E570AE"/>
    <w:rsid w:val="00E570BC"/>
    <w:rsid w:val="00E570D2"/>
    <w:rsid w:val="00E57144"/>
    <w:rsid w:val="00E57177"/>
    <w:rsid w:val="00E571B3"/>
    <w:rsid w:val="00E571D3"/>
    <w:rsid w:val="00E57228"/>
    <w:rsid w:val="00E5722D"/>
    <w:rsid w:val="00E572CD"/>
    <w:rsid w:val="00E572FD"/>
    <w:rsid w:val="00E57398"/>
    <w:rsid w:val="00E5742C"/>
    <w:rsid w:val="00E574F3"/>
    <w:rsid w:val="00E5751A"/>
    <w:rsid w:val="00E5753E"/>
    <w:rsid w:val="00E5755E"/>
    <w:rsid w:val="00E575F2"/>
    <w:rsid w:val="00E57615"/>
    <w:rsid w:val="00E576A4"/>
    <w:rsid w:val="00E576BF"/>
    <w:rsid w:val="00E576E9"/>
    <w:rsid w:val="00E57786"/>
    <w:rsid w:val="00E577CB"/>
    <w:rsid w:val="00E57854"/>
    <w:rsid w:val="00E5785F"/>
    <w:rsid w:val="00E5786F"/>
    <w:rsid w:val="00E578B9"/>
    <w:rsid w:val="00E578C6"/>
    <w:rsid w:val="00E5791F"/>
    <w:rsid w:val="00E5792D"/>
    <w:rsid w:val="00E5797C"/>
    <w:rsid w:val="00E579DC"/>
    <w:rsid w:val="00E579F7"/>
    <w:rsid w:val="00E579FA"/>
    <w:rsid w:val="00E57BE6"/>
    <w:rsid w:val="00E57BFB"/>
    <w:rsid w:val="00E57C5B"/>
    <w:rsid w:val="00E57C6D"/>
    <w:rsid w:val="00E57CBC"/>
    <w:rsid w:val="00E57CC3"/>
    <w:rsid w:val="00E57D58"/>
    <w:rsid w:val="00E57D6E"/>
    <w:rsid w:val="00E57D7E"/>
    <w:rsid w:val="00E57D9A"/>
    <w:rsid w:val="00E57DB9"/>
    <w:rsid w:val="00E57DD5"/>
    <w:rsid w:val="00E57E14"/>
    <w:rsid w:val="00E57E3D"/>
    <w:rsid w:val="00E57E85"/>
    <w:rsid w:val="00E57ECA"/>
    <w:rsid w:val="00E57ED3"/>
    <w:rsid w:val="00E57EDC"/>
    <w:rsid w:val="00E57EDF"/>
    <w:rsid w:val="00E57FF6"/>
    <w:rsid w:val="00E57FFA"/>
    <w:rsid w:val="00E60083"/>
    <w:rsid w:val="00E600B7"/>
    <w:rsid w:val="00E600CB"/>
    <w:rsid w:val="00E600CF"/>
    <w:rsid w:val="00E60153"/>
    <w:rsid w:val="00E601BE"/>
    <w:rsid w:val="00E601C3"/>
    <w:rsid w:val="00E6028D"/>
    <w:rsid w:val="00E60301"/>
    <w:rsid w:val="00E603CC"/>
    <w:rsid w:val="00E603F5"/>
    <w:rsid w:val="00E60448"/>
    <w:rsid w:val="00E604A5"/>
    <w:rsid w:val="00E604C6"/>
    <w:rsid w:val="00E6052E"/>
    <w:rsid w:val="00E60563"/>
    <w:rsid w:val="00E60584"/>
    <w:rsid w:val="00E6067E"/>
    <w:rsid w:val="00E606F8"/>
    <w:rsid w:val="00E60724"/>
    <w:rsid w:val="00E607C3"/>
    <w:rsid w:val="00E607D0"/>
    <w:rsid w:val="00E60863"/>
    <w:rsid w:val="00E608EA"/>
    <w:rsid w:val="00E6093C"/>
    <w:rsid w:val="00E60956"/>
    <w:rsid w:val="00E609E6"/>
    <w:rsid w:val="00E609F7"/>
    <w:rsid w:val="00E60B02"/>
    <w:rsid w:val="00E60BA0"/>
    <w:rsid w:val="00E60C0B"/>
    <w:rsid w:val="00E60C1B"/>
    <w:rsid w:val="00E60C3B"/>
    <w:rsid w:val="00E60C79"/>
    <w:rsid w:val="00E60CBA"/>
    <w:rsid w:val="00E60D13"/>
    <w:rsid w:val="00E60DD5"/>
    <w:rsid w:val="00E60E52"/>
    <w:rsid w:val="00E60E6A"/>
    <w:rsid w:val="00E60EAF"/>
    <w:rsid w:val="00E60F13"/>
    <w:rsid w:val="00E60FC3"/>
    <w:rsid w:val="00E6106A"/>
    <w:rsid w:val="00E61083"/>
    <w:rsid w:val="00E6112A"/>
    <w:rsid w:val="00E61141"/>
    <w:rsid w:val="00E611BA"/>
    <w:rsid w:val="00E611CB"/>
    <w:rsid w:val="00E61212"/>
    <w:rsid w:val="00E61260"/>
    <w:rsid w:val="00E61299"/>
    <w:rsid w:val="00E612DD"/>
    <w:rsid w:val="00E612ED"/>
    <w:rsid w:val="00E61354"/>
    <w:rsid w:val="00E61361"/>
    <w:rsid w:val="00E61392"/>
    <w:rsid w:val="00E613B3"/>
    <w:rsid w:val="00E613C3"/>
    <w:rsid w:val="00E6141F"/>
    <w:rsid w:val="00E61437"/>
    <w:rsid w:val="00E6144A"/>
    <w:rsid w:val="00E6149F"/>
    <w:rsid w:val="00E614F5"/>
    <w:rsid w:val="00E615A5"/>
    <w:rsid w:val="00E615AD"/>
    <w:rsid w:val="00E615FB"/>
    <w:rsid w:val="00E615FF"/>
    <w:rsid w:val="00E61638"/>
    <w:rsid w:val="00E61642"/>
    <w:rsid w:val="00E61650"/>
    <w:rsid w:val="00E61693"/>
    <w:rsid w:val="00E616BB"/>
    <w:rsid w:val="00E6177D"/>
    <w:rsid w:val="00E61829"/>
    <w:rsid w:val="00E618C9"/>
    <w:rsid w:val="00E618DD"/>
    <w:rsid w:val="00E6191A"/>
    <w:rsid w:val="00E61968"/>
    <w:rsid w:val="00E619D3"/>
    <w:rsid w:val="00E619F9"/>
    <w:rsid w:val="00E61A39"/>
    <w:rsid w:val="00E61A90"/>
    <w:rsid w:val="00E61AE0"/>
    <w:rsid w:val="00E61B4C"/>
    <w:rsid w:val="00E61B5B"/>
    <w:rsid w:val="00E61BBC"/>
    <w:rsid w:val="00E61BFC"/>
    <w:rsid w:val="00E61C6F"/>
    <w:rsid w:val="00E61CC4"/>
    <w:rsid w:val="00E61CFE"/>
    <w:rsid w:val="00E61D25"/>
    <w:rsid w:val="00E61D60"/>
    <w:rsid w:val="00E61DA9"/>
    <w:rsid w:val="00E61E10"/>
    <w:rsid w:val="00E61E6C"/>
    <w:rsid w:val="00E61E8A"/>
    <w:rsid w:val="00E61F34"/>
    <w:rsid w:val="00E61F92"/>
    <w:rsid w:val="00E61FAE"/>
    <w:rsid w:val="00E61FD3"/>
    <w:rsid w:val="00E61FEC"/>
    <w:rsid w:val="00E62133"/>
    <w:rsid w:val="00E62168"/>
    <w:rsid w:val="00E62177"/>
    <w:rsid w:val="00E6217A"/>
    <w:rsid w:val="00E621C8"/>
    <w:rsid w:val="00E621E1"/>
    <w:rsid w:val="00E62207"/>
    <w:rsid w:val="00E62254"/>
    <w:rsid w:val="00E6227A"/>
    <w:rsid w:val="00E62299"/>
    <w:rsid w:val="00E62447"/>
    <w:rsid w:val="00E62487"/>
    <w:rsid w:val="00E624C1"/>
    <w:rsid w:val="00E624EE"/>
    <w:rsid w:val="00E62558"/>
    <w:rsid w:val="00E625BE"/>
    <w:rsid w:val="00E62612"/>
    <w:rsid w:val="00E6263B"/>
    <w:rsid w:val="00E62700"/>
    <w:rsid w:val="00E62757"/>
    <w:rsid w:val="00E627B0"/>
    <w:rsid w:val="00E6283E"/>
    <w:rsid w:val="00E62970"/>
    <w:rsid w:val="00E62A09"/>
    <w:rsid w:val="00E62A16"/>
    <w:rsid w:val="00E62A6B"/>
    <w:rsid w:val="00E62AFE"/>
    <w:rsid w:val="00E62B28"/>
    <w:rsid w:val="00E62B38"/>
    <w:rsid w:val="00E62B4E"/>
    <w:rsid w:val="00E62BC9"/>
    <w:rsid w:val="00E62BD4"/>
    <w:rsid w:val="00E62BEE"/>
    <w:rsid w:val="00E62BFE"/>
    <w:rsid w:val="00E62BFF"/>
    <w:rsid w:val="00E62C16"/>
    <w:rsid w:val="00E62C46"/>
    <w:rsid w:val="00E62CAB"/>
    <w:rsid w:val="00E62CB6"/>
    <w:rsid w:val="00E62CE0"/>
    <w:rsid w:val="00E62D58"/>
    <w:rsid w:val="00E62E4A"/>
    <w:rsid w:val="00E62E51"/>
    <w:rsid w:val="00E62EC0"/>
    <w:rsid w:val="00E62EDC"/>
    <w:rsid w:val="00E62F64"/>
    <w:rsid w:val="00E62FBC"/>
    <w:rsid w:val="00E63042"/>
    <w:rsid w:val="00E6304C"/>
    <w:rsid w:val="00E63084"/>
    <w:rsid w:val="00E6317C"/>
    <w:rsid w:val="00E631EA"/>
    <w:rsid w:val="00E63226"/>
    <w:rsid w:val="00E63254"/>
    <w:rsid w:val="00E632AD"/>
    <w:rsid w:val="00E63379"/>
    <w:rsid w:val="00E633BE"/>
    <w:rsid w:val="00E63445"/>
    <w:rsid w:val="00E634FC"/>
    <w:rsid w:val="00E63519"/>
    <w:rsid w:val="00E63540"/>
    <w:rsid w:val="00E6354F"/>
    <w:rsid w:val="00E63652"/>
    <w:rsid w:val="00E63667"/>
    <w:rsid w:val="00E636D8"/>
    <w:rsid w:val="00E63723"/>
    <w:rsid w:val="00E6374A"/>
    <w:rsid w:val="00E6375D"/>
    <w:rsid w:val="00E63762"/>
    <w:rsid w:val="00E63763"/>
    <w:rsid w:val="00E63787"/>
    <w:rsid w:val="00E638B3"/>
    <w:rsid w:val="00E638F9"/>
    <w:rsid w:val="00E6393E"/>
    <w:rsid w:val="00E63A9D"/>
    <w:rsid w:val="00E63AAB"/>
    <w:rsid w:val="00E63B37"/>
    <w:rsid w:val="00E63BC8"/>
    <w:rsid w:val="00E63BE0"/>
    <w:rsid w:val="00E63BEA"/>
    <w:rsid w:val="00E63C2A"/>
    <w:rsid w:val="00E63C38"/>
    <w:rsid w:val="00E63C70"/>
    <w:rsid w:val="00E63C73"/>
    <w:rsid w:val="00E63C85"/>
    <w:rsid w:val="00E63CB1"/>
    <w:rsid w:val="00E63CBB"/>
    <w:rsid w:val="00E63D1C"/>
    <w:rsid w:val="00E63D24"/>
    <w:rsid w:val="00E63DB1"/>
    <w:rsid w:val="00E63DC5"/>
    <w:rsid w:val="00E63DDA"/>
    <w:rsid w:val="00E63E3C"/>
    <w:rsid w:val="00E63E54"/>
    <w:rsid w:val="00E63E8F"/>
    <w:rsid w:val="00E63FD4"/>
    <w:rsid w:val="00E6408E"/>
    <w:rsid w:val="00E64093"/>
    <w:rsid w:val="00E64141"/>
    <w:rsid w:val="00E6414F"/>
    <w:rsid w:val="00E64359"/>
    <w:rsid w:val="00E6436E"/>
    <w:rsid w:val="00E64427"/>
    <w:rsid w:val="00E6448C"/>
    <w:rsid w:val="00E6451A"/>
    <w:rsid w:val="00E645C6"/>
    <w:rsid w:val="00E646A6"/>
    <w:rsid w:val="00E64706"/>
    <w:rsid w:val="00E647C0"/>
    <w:rsid w:val="00E64828"/>
    <w:rsid w:val="00E64833"/>
    <w:rsid w:val="00E6483E"/>
    <w:rsid w:val="00E6485D"/>
    <w:rsid w:val="00E64863"/>
    <w:rsid w:val="00E648C9"/>
    <w:rsid w:val="00E64925"/>
    <w:rsid w:val="00E64933"/>
    <w:rsid w:val="00E6497C"/>
    <w:rsid w:val="00E64981"/>
    <w:rsid w:val="00E649BC"/>
    <w:rsid w:val="00E64A23"/>
    <w:rsid w:val="00E64A98"/>
    <w:rsid w:val="00E64B4A"/>
    <w:rsid w:val="00E64B85"/>
    <w:rsid w:val="00E64BF8"/>
    <w:rsid w:val="00E64C28"/>
    <w:rsid w:val="00E64C29"/>
    <w:rsid w:val="00E64C68"/>
    <w:rsid w:val="00E64CB7"/>
    <w:rsid w:val="00E64D27"/>
    <w:rsid w:val="00E64D2C"/>
    <w:rsid w:val="00E64D47"/>
    <w:rsid w:val="00E64D70"/>
    <w:rsid w:val="00E64DCF"/>
    <w:rsid w:val="00E64DDE"/>
    <w:rsid w:val="00E64E45"/>
    <w:rsid w:val="00E64E5A"/>
    <w:rsid w:val="00E64E79"/>
    <w:rsid w:val="00E64EB8"/>
    <w:rsid w:val="00E64EBE"/>
    <w:rsid w:val="00E64EE1"/>
    <w:rsid w:val="00E64F17"/>
    <w:rsid w:val="00E64F28"/>
    <w:rsid w:val="00E64F8A"/>
    <w:rsid w:val="00E64F99"/>
    <w:rsid w:val="00E64FB4"/>
    <w:rsid w:val="00E64FB5"/>
    <w:rsid w:val="00E64FE2"/>
    <w:rsid w:val="00E65002"/>
    <w:rsid w:val="00E65023"/>
    <w:rsid w:val="00E650A4"/>
    <w:rsid w:val="00E650C1"/>
    <w:rsid w:val="00E650D6"/>
    <w:rsid w:val="00E65147"/>
    <w:rsid w:val="00E652BF"/>
    <w:rsid w:val="00E652C7"/>
    <w:rsid w:val="00E65311"/>
    <w:rsid w:val="00E65340"/>
    <w:rsid w:val="00E65396"/>
    <w:rsid w:val="00E65427"/>
    <w:rsid w:val="00E65488"/>
    <w:rsid w:val="00E65607"/>
    <w:rsid w:val="00E65633"/>
    <w:rsid w:val="00E6563F"/>
    <w:rsid w:val="00E65690"/>
    <w:rsid w:val="00E6570C"/>
    <w:rsid w:val="00E657A8"/>
    <w:rsid w:val="00E657B4"/>
    <w:rsid w:val="00E657CA"/>
    <w:rsid w:val="00E657FE"/>
    <w:rsid w:val="00E65832"/>
    <w:rsid w:val="00E65839"/>
    <w:rsid w:val="00E65892"/>
    <w:rsid w:val="00E658AA"/>
    <w:rsid w:val="00E658B1"/>
    <w:rsid w:val="00E658CB"/>
    <w:rsid w:val="00E6593A"/>
    <w:rsid w:val="00E65A0D"/>
    <w:rsid w:val="00E65ADC"/>
    <w:rsid w:val="00E65AFD"/>
    <w:rsid w:val="00E65B0A"/>
    <w:rsid w:val="00E65B45"/>
    <w:rsid w:val="00E65B7D"/>
    <w:rsid w:val="00E65BA3"/>
    <w:rsid w:val="00E65BA6"/>
    <w:rsid w:val="00E65BBA"/>
    <w:rsid w:val="00E65BBC"/>
    <w:rsid w:val="00E65BD5"/>
    <w:rsid w:val="00E65BF6"/>
    <w:rsid w:val="00E65C07"/>
    <w:rsid w:val="00E65CBA"/>
    <w:rsid w:val="00E65CE3"/>
    <w:rsid w:val="00E65D35"/>
    <w:rsid w:val="00E65D4C"/>
    <w:rsid w:val="00E65E22"/>
    <w:rsid w:val="00E65E8F"/>
    <w:rsid w:val="00E65EC5"/>
    <w:rsid w:val="00E65ED9"/>
    <w:rsid w:val="00E65F43"/>
    <w:rsid w:val="00E65F59"/>
    <w:rsid w:val="00E65FC0"/>
    <w:rsid w:val="00E65FC1"/>
    <w:rsid w:val="00E66033"/>
    <w:rsid w:val="00E6604F"/>
    <w:rsid w:val="00E66060"/>
    <w:rsid w:val="00E66089"/>
    <w:rsid w:val="00E6613F"/>
    <w:rsid w:val="00E6614B"/>
    <w:rsid w:val="00E6620B"/>
    <w:rsid w:val="00E66230"/>
    <w:rsid w:val="00E662BB"/>
    <w:rsid w:val="00E662C0"/>
    <w:rsid w:val="00E662FD"/>
    <w:rsid w:val="00E66327"/>
    <w:rsid w:val="00E663E2"/>
    <w:rsid w:val="00E664B3"/>
    <w:rsid w:val="00E664BE"/>
    <w:rsid w:val="00E664EE"/>
    <w:rsid w:val="00E6658E"/>
    <w:rsid w:val="00E66593"/>
    <w:rsid w:val="00E66652"/>
    <w:rsid w:val="00E666A8"/>
    <w:rsid w:val="00E666B6"/>
    <w:rsid w:val="00E666F2"/>
    <w:rsid w:val="00E66714"/>
    <w:rsid w:val="00E66835"/>
    <w:rsid w:val="00E66857"/>
    <w:rsid w:val="00E668DC"/>
    <w:rsid w:val="00E66933"/>
    <w:rsid w:val="00E66941"/>
    <w:rsid w:val="00E66985"/>
    <w:rsid w:val="00E66A06"/>
    <w:rsid w:val="00E66A2B"/>
    <w:rsid w:val="00E66A3B"/>
    <w:rsid w:val="00E66BCA"/>
    <w:rsid w:val="00E66BE1"/>
    <w:rsid w:val="00E66C09"/>
    <w:rsid w:val="00E66CAD"/>
    <w:rsid w:val="00E66CEE"/>
    <w:rsid w:val="00E66D4D"/>
    <w:rsid w:val="00E66D8D"/>
    <w:rsid w:val="00E66E58"/>
    <w:rsid w:val="00E66E65"/>
    <w:rsid w:val="00E66E9B"/>
    <w:rsid w:val="00E66EAC"/>
    <w:rsid w:val="00E66F2B"/>
    <w:rsid w:val="00E66F66"/>
    <w:rsid w:val="00E66FAD"/>
    <w:rsid w:val="00E66FB7"/>
    <w:rsid w:val="00E67030"/>
    <w:rsid w:val="00E67062"/>
    <w:rsid w:val="00E670BF"/>
    <w:rsid w:val="00E6716A"/>
    <w:rsid w:val="00E671D8"/>
    <w:rsid w:val="00E6722A"/>
    <w:rsid w:val="00E67298"/>
    <w:rsid w:val="00E672B4"/>
    <w:rsid w:val="00E672FF"/>
    <w:rsid w:val="00E67351"/>
    <w:rsid w:val="00E67367"/>
    <w:rsid w:val="00E67463"/>
    <w:rsid w:val="00E6748D"/>
    <w:rsid w:val="00E674A5"/>
    <w:rsid w:val="00E67521"/>
    <w:rsid w:val="00E675AE"/>
    <w:rsid w:val="00E675DF"/>
    <w:rsid w:val="00E67631"/>
    <w:rsid w:val="00E67661"/>
    <w:rsid w:val="00E6767C"/>
    <w:rsid w:val="00E6767F"/>
    <w:rsid w:val="00E67744"/>
    <w:rsid w:val="00E6775D"/>
    <w:rsid w:val="00E677BA"/>
    <w:rsid w:val="00E67807"/>
    <w:rsid w:val="00E6792E"/>
    <w:rsid w:val="00E6798F"/>
    <w:rsid w:val="00E67A9A"/>
    <w:rsid w:val="00E67A9F"/>
    <w:rsid w:val="00E67AA1"/>
    <w:rsid w:val="00E67AF5"/>
    <w:rsid w:val="00E67AF6"/>
    <w:rsid w:val="00E67BBB"/>
    <w:rsid w:val="00E67BF3"/>
    <w:rsid w:val="00E67C08"/>
    <w:rsid w:val="00E67C0C"/>
    <w:rsid w:val="00E67C55"/>
    <w:rsid w:val="00E67CAC"/>
    <w:rsid w:val="00E67CB7"/>
    <w:rsid w:val="00E67DA9"/>
    <w:rsid w:val="00E67E21"/>
    <w:rsid w:val="00E67E23"/>
    <w:rsid w:val="00E67EB3"/>
    <w:rsid w:val="00E67EC7"/>
    <w:rsid w:val="00E67F11"/>
    <w:rsid w:val="00E67F82"/>
    <w:rsid w:val="00E67FBE"/>
    <w:rsid w:val="00E67FE6"/>
    <w:rsid w:val="00E7001C"/>
    <w:rsid w:val="00E7003B"/>
    <w:rsid w:val="00E70098"/>
    <w:rsid w:val="00E700C0"/>
    <w:rsid w:val="00E70119"/>
    <w:rsid w:val="00E70167"/>
    <w:rsid w:val="00E70180"/>
    <w:rsid w:val="00E701B9"/>
    <w:rsid w:val="00E701C6"/>
    <w:rsid w:val="00E701D6"/>
    <w:rsid w:val="00E703B1"/>
    <w:rsid w:val="00E703CC"/>
    <w:rsid w:val="00E70459"/>
    <w:rsid w:val="00E70461"/>
    <w:rsid w:val="00E70473"/>
    <w:rsid w:val="00E704AB"/>
    <w:rsid w:val="00E70532"/>
    <w:rsid w:val="00E7053D"/>
    <w:rsid w:val="00E70581"/>
    <w:rsid w:val="00E705BA"/>
    <w:rsid w:val="00E705FF"/>
    <w:rsid w:val="00E7062D"/>
    <w:rsid w:val="00E70680"/>
    <w:rsid w:val="00E70698"/>
    <w:rsid w:val="00E706D9"/>
    <w:rsid w:val="00E707BD"/>
    <w:rsid w:val="00E70824"/>
    <w:rsid w:val="00E7086F"/>
    <w:rsid w:val="00E7087F"/>
    <w:rsid w:val="00E708A8"/>
    <w:rsid w:val="00E708B6"/>
    <w:rsid w:val="00E7092E"/>
    <w:rsid w:val="00E70952"/>
    <w:rsid w:val="00E70982"/>
    <w:rsid w:val="00E70AA3"/>
    <w:rsid w:val="00E70AD4"/>
    <w:rsid w:val="00E70B03"/>
    <w:rsid w:val="00E70B1E"/>
    <w:rsid w:val="00E70B74"/>
    <w:rsid w:val="00E70B88"/>
    <w:rsid w:val="00E70B9A"/>
    <w:rsid w:val="00E70BFB"/>
    <w:rsid w:val="00E70C1D"/>
    <w:rsid w:val="00E70CE4"/>
    <w:rsid w:val="00E70D08"/>
    <w:rsid w:val="00E70D4E"/>
    <w:rsid w:val="00E70D79"/>
    <w:rsid w:val="00E70D86"/>
    <w:rsid w:val="00E70E2A"/>
    <w:rsid w:val="00E70E3B"/>
    <w:rsid w:val="00E70E7C"/>
    <w:rsid w:val="00E70E82"/>
    <w:rsid w:val="00E70EE0"/>
    <w:rsid w:val="00E70EFB"/>
    <w:rsid w:val="00E70F09"/>
    <w:rsid w:val="00E70F16"/>
    <w:rsid w:val="00E70FC2"/>
    <w:rsid w:val="00E71060"/>
    <w:rsid w:val="00E710BF"/>
    <w:rsid w:val="00E710E3"/>
    <w:rsid w:val="00E71133"/>
    <w:rsid w:val="00E711A3"/>
    <w:rsid w:val="00E711D7"/>
    <w:rsid w:val="00E711E3"/>
    <w:rsid w:val="00E712AB"/>
    <w:rsid w:val="00E712D4"/>
    <w:rsid w:val="00E713BB"/>
    <w:rsid w:val="00E714C6"/>
    <w:rsid w:val="00E714F1"/>
    <w:rsid w:val="00E71523"/>
    <w:rsid w:val="00E7154F"/>
    <w:rsid w:val="00E715A4"/>
    <w:rsid w:val="00E715D4"/>
    <w:rsid w:val="00E715E0"/>
    <w:rsid w:val="00E71639"/>
    <w:rsid w:val="00E7168D"/>
    <w:rsid w:val="00E716A0"/>
    <w:rsid w:val="00E716C1"/>
    <w:rsid w:val="00E716D8"/>
    <w:rsid w:val="00E71706"/>
    <w:rsid w:val="00E717EE"/>
    <w:rsid w:val="00E7185A"/>
    <w:rsid w:val="00E71863"/>
    <w:rsid w:val="00E7186F"/>
    <w:rsid w:val="00E718CC"/>
    <w:rsid w:val="00E71901"/>
    <w:rsid w:val="00E71969"/>
    <w:rsid w:val="00E71981"/>
    <w:rsid w:val="00E71989"/>
    <w:rsid w:val="00E719F5"/>
    <w:rsid w:val="00E71A44"/>
    <w:rsid w:val="00E71A4E"/>
    <w:rsid w:val="00E71AED"/>
    <w:rsid w:val="00E71B63"/>
    <w:rsid w:val="00E71BC4"/>
    <w:rsid w:val="00E71BF1"/>
    <w:rsid w:val="00E71C3B"/>
    <w:rsid w:val="00E71C6F"/>
    <w:rsid w:val="00E71CF5"/>
    <w:rsid w:val="00E71D25"/>
    <w:rsid w:val="00E71D28"/>
    <w:rsid w:val="00E71D74"/>
    <w:rsid w:val="00E71DD3"/>
    <w:rsid w:val="00E71DF1"/>
    <w:rsid w:val="00E71E1B"/>
    <w:rsid w:val="00E71E4A"/>
    <w:rsid w:val="00E71ED8"/>
    <w:rsid w:val="00E71F0B"/>
    <w:rsid w:val="00E71F66"/>
    <w:rsid w:val="00E71FD1"/>
    <w:rsid w:val="00E72018"/>
    <w:rsid w:val="00E7207C"/>
    <w:rsid w:val="00E72088"/>
    <w:rsid w:val="00E720A7"/>
    <w:rsid w:val="00E720C4"/>
    <w:rsid w:val="00E72109"/>
    <w:rsid w:val="00E7222F"/>
    <w:rsid w:val="00E72264"/>
    <w:rsid w:val="00E72286"/>
    <w:rsid w:val="00E722DC"/>
    <w:rsid w:val="00E7237B"/>
    <w:rsid w:val="00E723FE"/>
    <w:rsid w:val="00E72411"/>
    <w:rsid w:val="00E7248B"/>
    <w:rsid w:val="00E7253D"/>
    <w:rsid w:val="00E7258E"/>
    <w:rsid w:val="00E725A4"/>
    <w:rsid w:val="00E725A8"/>
    <w:rsid w:val="00E725CD"/>
    <w:rsid w:val="00E725F3"/>
    <w:rsid w:val="00E7261A"/>
    <w:rsid w:val="00E7271D"/>
    <w:rsid w:val="00E72738"/>
    <w:rsid w:val="00E72941"/>
    <w:rsid w:val="00E729DA"/>
    <w:rsid w:val="00E729DE"/>
    <w:rsid w:val="00E72A54"/>
    <w:rsid w:val="00E72A81"/>
    <w:rsid w:val="00E72AD5"/>
    <w:rsid w:val="00E72AE8"/>
    <w:rsid w:val="00E72B15"/>
    <w:rsid w:val="00E72BC8"/>
    <w:rsid w:val="00E72C5D"/>
    <w:rsid w:val="00E72D56"/>
    <w:rsid w:val="00E72D90"/>
    <w:rsid w:val="00E72DB9"/>
    <w:rsid w:val="00E72E46"/>
    <w:rsid w:val="00E72E74"/>
    <w:rsid w:val="00E72F08"/>
    <w:rsid w:val="00E72F41"/>
    <w:rsid w:val="00E72F93"/>
    <w:rsid w:val="00E72F9A"/>
    <w:rsid w:val="00E72F9D"/>
    <w:rsid w:val="00E72FD0"/>
    <w:rsid w:val="00E7307D"/>
    <w:rsid w:val="00E73168"/>
    <w:rsid w:val="00E731E2"/>
    <w:rsid w:val="00E732A5"/>
    <w:rsid w:val="00E732AA"/>
    <w:rsid w:val="00E732E4"/>
    <w:rsid w:val="00E7330B"/>
    <w:rsid w:val="00E733FD"/>
    <w:rsid w:val="00E73408"/>
    <w:rsid w:val="00E7340E"/>
    <w:rsid w:val="00E73497"/>
    <w:rsid w:val="00E734DA"/>
    <w:rsid w:val="00E734F7"/>
    <w:rsid w:val="00E7352B"/>
    <w:rsid w:val="00E73594"/>
    <w:rsid w:val="00E7367F"/>
    <w:rsid w:val="00E736DD"/>
    <w:rsid w:val="00E7371F"/>
    <w:rsid w:val="00E7375E"/>
    <w:rsid w:val="00E73823"/>
    <w:rsid w:val="00E73847"/>
    <w:rsid w:val="00E7386A"/>
    <w:rsid w:val="00E73871"/>
    <w:rsid w:val="00E7387D"/>
    <w:rsid w:val="00E73974"/>
    <w:rsid w:val="00E739CB"/>
    <w:rsid w:val="00E73A41"/>
    <w:rsid w:val="00E73A58"/>
    <w:rsid w:val="00E73A67"/>
    <w:rsid w:val="00E73A70"/>
    <w:rsid w:val="00E73B52"/>
    <w:rsid w:val="00E73B95"/>
    <w:rsid w:val="00E73B9F"/>
    <w:rsid w:val="00E73C9D"/>
    <w:rsid w:val="00E73D05"/>
    <w:rsid w:val="00E73D85"/>
    <w:rsid w:val="00E73D8C"/>
    <w:rsid w:val="00E73D9D"/>
    <w:rsid w:val="00E73E59"/>
    <w:rsid w:val="00E73E5E"/>
    <w:rsid w:val="00E73E6B"/>
    <w:rsid w:val="00E73E7A"/>
    <w:rsid w:val="00E73F1B"/>
    <w:rsid w:val="00E73F3D"/>
    <w:rsid w:val="00E73F59"/>
    <w:rsid w:val="00E73FA3"/>
    <w:rsid w:val="00E73FDE"/>
    <w:rsid w:val="00E7403B"/>
    <w:rsid w:val="00E74075"/>
    <w:rsid w:val="00E7408F"/>
    <w:rsid w:val="00E740BE"/>
    <w:rsid w:val="00E740FB"/>
    <w:rsid w:val="00E7413C"/>
    <w:rsid w:val="00E74174"/>
    <w:rsid w:val="00E7420E"/>
    <w:rsid w:val="00E74314"/>
    <w:rsid w:val="00E7434F"/>
    <w:rsid w:val="00E74373"/>
    <w:rsid w:val="00E743A7"/>
    <w:rsid w:val="00E74442"/>
    <w:rsid w:val="00E74446"/>
    <w:rsid w:val="00E7447C"/>
    <w:rsid w:val="00E74500"/>
    <w:rsid w:val="00E7453E"/>
    <w:rsid w:val="00E745CC"/>
    <w:rsid w:val="00E74621"/>
    <w:rsid w:val="00E746CA"/>
    <w:rsid w:val="00E746D6"/>
    <w:rsid w:val="00E74706"/>
    <w:rsid w:val="00E74708"/>
    <w:rsid w:val="00E7472A"/>
    <w:rsid w:val="00E74735"/>
    <w:rsid w:val="00E748E4"/>
    <w:rsid w:val="00E749D6"/>
    <w:rsid w:val="00E74A3C"/>
    <w:rsid w:val="00E74A94"/>
    <w:rsid w:val="00E74B08"/>
    <w:rsid w:val="00E74B48"/>
    <w:rsid w:val="00E74BDC"/>
    <w:rsid w:val="00E74CF2"/>
    <w:rsid w:val="00E74D0B"/>
    <w:rsid w:val="00E74DD9"/>
    <w:rsid w:val="00E7500A"/>
    <w:rsid w:val="00E7500D"/>
    <w:rsid w:val="00E7507C"/>
    <w:rsid w:val="00E750AA"/>
    <w:rsid w:val="00E75194"/>
    <w:rsid w:val="00E7519A"/>
    <w:rsid w:val="00E751EC"/>
    <w:rsid w:val="00E7520E"/>
    <w:rsid w:val="00E752AB"/>
    <w:rsid w:val="00E75375"/>
    <w:rsid w:val="00E753E5"/>
    <w:rsid w:val="00E75432"/>
    <w:rsid w:val="00E7544F"/>
    <w:rsid w:val="00E75564"/>
    <w:rsid w:val="00E7557F"/>
    <w:rsid w:val="00E75588"/>
    <w:rsid w:val="00E756A7"/>
    <w:rsid w:val="00E756CD"/>
    <w:rsid w:val="00E75709"/>
    <w:rsid w:val="00E75789"/>
    <w:rsid w:val="00E757C0"/>
    <w:rsid w:val="00E757D6"/>
    <w:rsid w:val="00E7580F"/>
    <w:rsid w:val="00E75879"/>
    <w:rsid w:val="00E75908"/>
    <w:rsid w:val="00E759B2"/>
    <w:rsid w:val="00E759C4"/>
    <w:rsid w:val="00E759D2"/>
    <w:rsid w:val="00E759DA"/>
    <w:rsid w:val="00E759FB"/>
    <w:rsid w:val="00E75A15"/>
    <w:rsid w:val="00E75A24"/>
    <w:rsid w:val="00E75A39"/>
    <w:rsid w:val="00E75A42"/>
    <w:rsid w:val="00E75A54"/>
    <w:rsid w:val="00E75A6E"/>
    <w:rsid w:val="00E75ABD"/>
    <w:rsid w:val="00E75B64"/>
    <w:rsid w:val="00E75BD3"/>
    <w:rsid w:val="00E75C31"/>
    <w:rsid w:val="00E75CA6"/>
    <w:rsid w:val="00E75D04"/>
    <w:rsid w:val="00E75D62"/>
    <w:rsid w:val="00E75F08"/>
    <w:rsid w:val="00E76084"/>
    <w:rsid w:val="00E76086"/>
    <w:rsid w:val="00E760AA"/>
    <w:rsid w:val="00E760D1"/>
    <w:rsid w:val="00E76144"/>
    <w:rsid w:val="00E761A3"/>
    <w:rsid w:val="00E762D5"/>
    <w:rsid w:val="00E76367"/>
    <w:rsid w:val="00E763C2"/>
    <w:rsid w:val="00E763C7"/>
    <w:rsid w:val="00E7646B"/>
    <w:rsid w:val="00E76495"/>
    <w:rsid w:val="00E764A3"/>
    <w:rsid w:val="00E76513"/>
    <w:rsid w:val="00E76588"/>
    <w:rsid w:val="00E765EA"/>
    <w:rsid w:val="00E76622"/>
    <w:rsid w:val="00E766B9"/>
    <w:rsid w:val="00E76706"/>
    <w:rsid w:val="00E767A4"/>
    <w:rsid w:val="00E767B5"/>
    <w:rsid w:val="00E767C2"/>
    <w:rsid w:val="00E767C5"/>
    <w:rsid w:val="00E76825"/>
    <w:rsid w:val="00E768ED"/>
    <w:rsid w:val="00E76939"/>
    <w:rsid w:val="00E76953"/>
    <w:rsid w:val="00E76965"/>
    <w:rsid w:val="00E769D1"/>
    <w:rsid w:val="00E769D5"/>
    <w:rsid w:val="00E769E7"/>
    <w:rsid w:val="00E76A17"/>
    <w:rsid w:val="00E76AAC"/>
    <w:rsid w:val="00E76AC7"/>
    <w:rsid w:val="00E76ACD"/>
    <w:rsid w:val="00E76B6C"/>
    <w:rsid w:val="00E76BC2"/>
    <w:rsid w:val="00E76C05"/>
    <w:rsid w:val="00E76C93"/>
    <w:rsid w:val="00E76C9C"/>
    <w:rsid w:val="00E76CA1"/>
    <w:rsid w:val="00E76CE3"/>
    <w:rsid w:val="00E76D01"/>
    <w:rsid w:val="00E76D5B"/>
    <w:rsid w:val="00E76D5D"/>
    <w:rsid w:val="00E76DF1"/>
    <w:rsid w:val="00E76E98"/>
    <w:rsid w:val="00E76F5D"/>
    <w:rsid w:val="00E76FB1"/>
    <w:rsid w:val="00E76FB9"/>
    <w:rsid w:val="00E76FC6"/>
    <w:rsid w:val="00E770BB"/>
    <w:rsid w:val="00E771A8"/>
    <w:rsid w:val="00E77272"/>
    <w:rsid w:val="00E77278"/>
    <w:rsid w:val="00E77292"/>
    <w:rsid w:val="00E772DC"/>
    <w:rsid w:val="00E77368"/>
    <w:rsid w:val="00E77379"/>
    <w:rsid w:val="00E7739B"/>
    <w:rsid w:val="00E773F0"/>
    <w:rsid w:val="00E773F7"/>
    <w:rsid w:val="00E7741A"/>
    <w:rsid w:val="00E774AF"/>
    <w:rsid w:val="00E774DF"/>
    <w:rsid w:val="00E774FF"/>
    <w:rsid w:val="00E77562"/>
    <w:rsid w:val="00E77565"/>
    <w:rsid w:val="00E7756A"/>
    <w:rsid w:val="00E7756F"/>
    <w:rsid w:val="00E7757E"/>
    <w:rsid w:val="00E775B0"/>
    <w:rsid w:val="00E775F4"/>
    <w:rsid w:val="00E7761F"/>
    <w:rsid w:val="00E77625"/>
    <w:rsid w:val="00E77649"/>
    <w:rsid w:val="00E77690"/>
    <w:rsid w:val="00E776B7"/>
    <w:rsid w:val="00E77767"/>
    <w:rsid w:val="00E7778F"/>
    <w:rsid w:val="00E7779C"/>
    <w:rsid w:val="00E77803"/>
    <w:rsid w:val="00E77835"/>
    <w:rsid w:val="00E77A6D"/>
    <w:rsid w:val="00E77AC6"/>
    <w:rsid w:val="00E77AD1"/>
    <w:rsid w:val="00E77AD6"/>
    <w:rsid w:val="00E77B05"/>
    <w:rsid w:val="00E77B1C"/>
    <w:rsid w:val="00E77B56"/>
    <w:rsid w:val="00E77BBA"/>
    <w:rsid w:val="00E77C6F"/>
    <w:rsid w:val="00E77CA5"/>
    <w:rsid w:val="00E77CAF"/>
    <w:rsid w:val="00E77CEA"/>
    <w:rsid w:val="00E77D09"/>
    <w:rsid w:val="00E77D0B"/>
    <w:rsid w:val="00E77D52"/>
    <w:rsid w:val="00E77DFD"/>
    <w:rsid w:val="00E77E1A"/>
    <w:rsid w:val="00E77EB4"/>
    <w:rsid w:val="00E77FCC"/>
    <w:rsid w:val="00E8002C"/>
    <w:rsid w:val="00E8002D"/>
    <w:rsid w:val="00E800B1"/>
    <w:rsid w:val="00E800EF"/>
    <w:rsid w:val="00E8015F"/>
    <w:rsid w:val="00E8017B"/>
    <w:rsid w:val="00E80247"/>
    <w:rsid w:val="00E80296"/>
    <w:rsid w:val="00E80430"/>
    <w:rsid w:val="00E8045B"/>
    <w:rsid w:val="00E8047C"/>
    <w:rsid w:val="00E8055E"/>
    <w:rsid w:val="00E80569"/>
    <w:rsid w:val="00E8057A"/>
    <w:rsid w:val="00E8061A"/>
    <w:rsid w:val="00E80684"/>
    <w:rsid w:val="00E80695"/>
    <w:rsid w:val="00E806F7"/>
    <w:rsid w:val="00E8071A"/>
    <w:rsid w:val="00E80753"/>
    <w:rsid w:val="00E80856"/>
    <w:rsid w:val="00E808B5"/>
    <w:rsid w:val="00E808DA"/>
    <w:rsid w:val="00E80951"/>
    <w:rsid w:val="00E809AF"/>
    <w:rsid w:val="00E809C5"/>
    <w:rsid w:val="00E809D7"/>
    <w:rsid w:val="00E80A08"/>
    <w:rsid w:val="00E80A17"/>
    <w:rsid w:val="00E80A6A"/>
    <w:rsid w:val="00E80B40"/>
    <w:rsid w:val="00E80B44"/>
    <w:rsid w:val="00E80B6B"/>
    <w:rsid w:val="00E80B92"/>
    <w:rsid w:val="00E80B96"/>
    <w:rsid w:val="00E80BB8"/>
    <w:rsid w:val="00E80C7F"/>
    <w:rsid w:val="00E80D4A"/>
    <w:rsid w:val="00E80DCC"/>
    <w:rsid w:val="00E80E3E"/>
    <w:rsid w:val="00E80EA6"/>
    <w:rsid w:val="00E80EAA"/>
    <w:rsid w:val="00E80ED2"/>
    <w:rsid w:val="00E80EE4"/>
    <w:rsid w:val="00E80F99"/>
    <w:rsid w:val="00E80FB4"/>
    <w:rsid w:val="00E8101F"/>
    <w:rsid w:val="00E8103D"/>
    <w:rsid w:val="00E81083"/>
    <w:rsid w:val="00E81153"/>
    <w:rsid w:val="00E8116F"/>
    <w:rsid w:val="00E81199"/>
    <w:rsid w:val="00E811F2"/>
    <w:rsid w:val="00E81207"/>
    <w:rsid w:val="00E8127C"/>
    <w:rsid w:val="00E8128B"/>
    <w:rsid w:val="00E81323"/>
    <w:rsid w:val="00E813F2"/>
    <w:rsid w:val="00E813F4"/>
    <w:rsid w:val="00E81401"/>
    <w:rsid w:val="00E8142A"/>
    <w:rsid w:val="00E81444"/>
    <w:rsid w:val="00E814FA"/>
    <w:rsid w:val="00E8151C"/>
    <w:rsid w:val="00E8153D"/>
    <w:rsid w:val="00E815CB"/>
    <w:rsid w:val="00E815D0"/>
    <w:rsid w:val="00E8160B"/>
    <w:rsid w:val="00E81661"/>
    <w:rsid w:val="00E816CB"/>
    <w:rsid w:val="00E81743"/>
    <w:rsid w:val="00E81752"/>
    <w:rsid w:val="00E8177C"/>
    <w:rsid w:val="00E817E7"/>
    <w:rsid w:val="00E81831"/>
    <w:rsid w:val="00E8183A"/>
    <w:rsid w:val="00E81858"/>
    <w:rsid w:val="00E81889"/>
    <w:rsid w:val="00E818BB"/>
    <w:rsid w:val="00E818E1"/>
    <w:rsid w:val="00E818E8"/>
    <w:rsid w:val="00E81910"/>
    <w:rsid w:val="00E8191C"/>
    <w:rsid w:val="00E81926"/>
    <w:rsid w:val="00E819AD"/>
    <w:rsid w:val="00E819BA"/>
    <w:rsid w:val="00E81A07"/>
    <w:rsid w:val="00E81A30"/>
    <w:rsid w:val="00E81A40"/>
    <w:rsid w:val="00E81B8C"/>
    <w:rsid w:val="00E81BA4"/>
    <w:rsid w:val="00E81C0D"/>
    <w:rsid w:val="00E81C1A"/>
    <w:rsid w:val="00E81D1A"/>
    <w:rsid w:val="00E81D36"/>
    <w:rsid w:val="00E81DA2"/>
    <w:rsid w:val="00E81E0A"/>
    <w:rsid w:val="00E81E20"/>
    <w:rsid w:val="00E81E25"/>
    <w:rsid w:val="00E81E4B"/>
    <w:rsid w:val="00E81E82"/>
    <w:rsid w:val="00E81EB9"/>
    <w:rsid w:val="00E81ED8"/>
    <w:rsid w:val="00E81EEE"/>
    <w:rsid w:val="00E81F33"/>
    <w:rsid w:val="00E82002"/>
    <w:rsid w:val="00E8210C"/>
    <w:rsid w:val="00E82138"/>
    <w:rsid w:val="00E82176"/>
    <w:rsid w:val="00E821A3"/>
    <w:rsid w:val="00E821C5"/>
    <w:rsid w:val="00E821D4"/>
    <w:rsid w:val="00E821F0"/>
    <w:rsid w:val="00E82208"/>
    <w:rsid w:val="00E822A7"/>
    <w:rsid w:val="00E822EE"/>
    <w:rsid w:val="00E823FE"/>
    <w:rsid w:val="00E824B3"/>
    <w:rsid w:val="00E82658"/>
    <w:rsid w:val="00E826AF"/>
    <w:rsid w:val="00E82764"/>
    <w:rsid w:val="00E82792"/>
    <w:rsid w:val="00E827E2"/>
    <w:rsid w:val="00E827E5"/>
    <w:rsid w:val="00E8280B"/>
    <w:rsid w:val="00E828D6"/>
    <w:rsid w:val="00E82922"/>
    <w:rsid w:val="00E82950"/>
    <w:rsid w:val="00E829BF"/>
    <w:rsid w:val="00E82AA0"/>
    <w:rsid w:val="00E82ABB"/>
    <w:rsid w:val="00E82ADB"/>
    <w:rsid w:val="00E82B84"/>
    <w:rsid w:val="00E82BCB"/>
    <w:rsid w:val="00E82C23"/>
    <w:rsid w:val="00E82C69"/>
    <w:rsid w:val="00E82C6F"/>
    <w:rsid w:val="00E82CB4"/>
    <w:rsid w:val="00E82CFE"/>
    <w:rsid w:val="00E82D16"/>
    <w:rsid w:val="00E82E0C"/>
    <w:rsid w:val="00E82E4B"/>
    <w:rsid w:val="00E82EDB"/>
    <w:rsid w:val="00E82F54"/>
    <w:rsid w:val="00E83054"/>
    <w:rsid w:val="00E830FC"/>
    <w:rsid w:val="00E830FE"/>
    <w:rsid w:val="00E831A7"/>
    <w:rsid w:val="00E831CB"/>
    <w:rsid w:val="00E83221"/>
    <w:rsid w:val="00E83296"/>
    <w:rsid w:val="00E832E5"/>
    <w:rsid w:val="00E832F1"/>
    <w:rsid w:val="00E83375"/>
    <w:rsid w:val="00E83379"/>
    <w:rsid w:val="00E833CD"/>
    <w:rsid w:val="00E83444"/>
    <w:rsid w:val="00E8349A"/>
    <w:rsid w:val="00E834BE"/>
    <w:rsid w:val="00E834FF"/>
    <w:rsid w:val="00E8352B"/>
    <w:rsid w:val="00E835A2"/>
    <w:rsid w:val="00E83617"/>
    <w:rsid w:val="00E8364D"/>
    <w:rsid w:val="00E83687"/>
    <w:rsid w:val="00E83709"/>
    <w:rsid w:val="00E8374F"/>
    <w:rsid w:val="00E83779"/>
    <w:rsid w:val="00E83802"/>
    <w:rsid w:val="00E8380F"/>
    <w:rsid w:val="00E83852"/>
    <w:rsid w:val="00E838C9"/>
    <w:rsid w:val="00E839A2"/>
    <w:rsid w:val="00E839B6"/>
    <w:rsid w:val="00E83A31"/>
    <w:rsid w:val="00E83A5B"/>
    <w:rsid w:val="00E83B42"/>
    <w:rsid w:val="00E83B54"/>
    <w:rsid w:val="00E83B88"/>
    <w:rsid w:val="00E83B9A"/>
    <w:rsid w:val="00E83B9B"/>
    <w:rsid w:val="00E83BA2"/>
    <w:rsid w:val="00E83BA5"/>
    <w:rsid w:val="00E83BCB"/>
    <w:rsid w:val="00E83BE1"/>
    <w:rsid w:val="00E83C9A"/>
    <w:rsid w:val="00E83CAF"/>
    <w:rsid w:val="00E83CDB"/>
    <w:rsid w:val="00E83DAE"/>
    <w:rsid w:val="00E83DF6"/>
    <w:rsid w:val="00E83DFB"/>
    <w:rsid w:val="00E83E46"/>
    <w:rsid w:val="00E83EC9"/>
    <w:rsid w:val="00E83EF8"/>
    <w:rsid w:val="00E83F19"/>
    <w:rsid w:val="00E83F1B"/>
    <w:rsid w:val="00E83F5A"/>
    <w:rsid w:val="00E83F5E"/>
    <w:rsid w:val="00E83F78"/>
    <w:rsid w:val="00E83FAE"/>
    <w:rsid w:val="00E84001"/>
    <w:rsid w:val="00E8401F"/>
    <w:rsid w:val="00E8408D"/>
    <w:rsid w:val="00E840D1"/>
    <w:rsid w:val="00E8410E"/>
    <w:rsid w:val="00E84160"/>
    <w:rsid w:val="00E84290"/>
    <w:rsid w:val="00E842AC"/>
    <w:rsid w:val="00E8430C"/>
    <w:rsid w:val="00E8432C"/>
    <w:rsid w:val="00E844EF"/>
    <w:rsid w:val="00E84500"/>
    <w:rsid w:val="00E84546"/>
    <w:rsid w:val="00E8457D"/>
    <w:rsid w:val="00E8459C"/>
    <w:rsid w:val="00E845FC"/>
    <w:rsid w:val="00E84605"/>
    <w:rsid w:val="00E8460C"/>
    <w:rsid w:val="00E84619"/>
    <w:rsid w:val="00E846A5"/>
    <w:rsid w:val="00E84709"/>
    <w:rsid w:val="00E84712"/>
    <w:rsid w:val="00E84728"/>
    <w:rsid w:val="00E8472A"/>
    <w:rsid w:val="00E84790"/>
    <w:rsid w:val="00E847A9"/>
    <w:rsid w:val="00E847CD"/>
    <w:rsid w:val="00E847F7"/>
    <w:rsid w:val="00E847FD"/>
    <w:rsid w:val="00E84834"/>
    <w:rsid w:val="00E8483D"/>
    <w:rsid w:val="00E8486E"/>
    <w:rsid w:val="00E848A4"/>
    <w:rsid w:val="00E848A9"/>
    <w:rsid w:val="00E84931"/>
    <w:rsid w:val="00E84965"/>
    <w:rsid w:val="00E84980"/>
    <w:rsid w:val="00E84988"/>
    <w:rsid w:val="00E84A59"/>
    <w:rsid w:val="00E84A79"/>
    <w:rsid w:val="00E84A88"/>
    <w:rsid w:val="00E84AE7"/>
    <w:rsid w:val="00E84B05"/>
    <w:rsid w:val="00E84B07"/>
    <w:rsid w:val="00E84B0A"/>
    <w:rsid w:val="00E84B0B"/>
    <w:rsid w:val="00E84B3B"/>
    <w:rsid w:val="00E84BAF"/>
    <w:rsid w:val="00E84C38"/>
    <w:rsid w:val="00E84C7D"/>
    <w:rsid w:val="00E84C9E"/>
    <w:rsid w:val="00E84CFB"/>
    <w:rsid w:val="00E84D63"/>
    <w:rsid w:val="00E84D83"/>
    <w:rsid w:val="00E84D8D"/>
    <w:rsid w:val="00E84DB3"/>
    <w:rsid w:val="00E84DBC"/>
    <w:rsid w:val="00E84E08"/>
    <w:rsid w:val="00E84EA8"/>
    <w:rsid w:val="00E84ECC"/>
    <w:rsid w:val="00E84F41"/>
    <w:rsid w:val="00E84F8D"/>
    <w:rsid w:val="00E84FAC"/>
    <w:rsid w:val="00E84FD4"/>
    <w:rsid w:val="00E84FD8"/>
    <w:rsid w:val="00E85075"/>
    <w:rsid w:val="00E850B5"/>
    <w:rsid w:val="00E85115"/>
    <w:rsid w:val="00E85118"/>
    <w:rsid w:val="00E85154"/>
    <w:rsid w:val="00E851FE"/>
    <w:rsid w:val="00E8520D"/>
    <w:rsid w:val="00E8528D"/>
    <w:rsid w:val="00E852C2"/>
    <w:rsid w:val="00E854BC"/>
    <w:rsid w:val="00E8553E"/>
    <w:rsid w:val="00E855B7"/>
    <w:rsid w:val="00E855E7"/>
    <w:rsid w:val="00E85617"/>
    <w:rsid w:val="00E85686"/>
    <w:rsid w:val="00E8572B"/>
    <w:rsid w:val="00E85740"/>
    <w:rsid w:val="00E8574A"/>
    <w:rsid w:val="00E85795"/>
    <w:rsid w:val="00E857CD"/>
    <w:rsid w:val="00E8586E"/>
    <w:rsid w:val="00E85899"/>
    <w:rsid w:val="00E858C1"/>
    <w:rsid w:val="00E858F8"/>
    <w:rsid w:val="00E85987"/>
    <w:rsid w:val="00E859A8"/>
    <w:rsid w:val="00E859C0"/>
    <w:rsid w:val="00E859E6"/>
    <w:rsid w:val="00E85A42"/>
    <w:rsid w:val="00E85A49"/>
    <w:rsid w:val="00E85A4C"/>
    <w:rsid w:val="00E85A8C"/>
    <w:rsid w:val="00E85AB0"/>
    <w:rsid w:val="00E85B31"/>
    <w:rsid w:val="00E85B52"/>
    <w:rsid w:val="00E85BC7"/>
    <w:rsid w:val="00E85BD2"/>
    <w:rsid w:val="00E85BD6"/>
    <w:rsid w:val="00E85BDD"/>
    <w:rsid w:val="00E85C0F"/>
    <w:rsid w:val="00E85CC0"/>
    <w:rsid w:val="00E85CC5"/>
    <w:rsid w:val="00E85CDB"/>
    <w:rsid w:val="00E85D3B"/>
    <w:rsid w:val="00E85D4C"/>
    <w:rsid w:val="00E85D6E"/>
    <w:rsid w:val="00E85DD8"/>
    <w:rsid w:val="00E85E0D"/>
    <w:rsid w:val="00E85E50"/>
    <w:rsid w:val="00E85E5C"/>
    <w:rsid w:val="00E85FAE"/>
    <w:rsid w:val="00E85FF6"/>
    <w:rsid w:val="00E86048"/>
    <w:rsid w:val="00E86079"/>
    <w:rsid w:val="00E86080"/>
    <w:rsid w:val="00E8615F"/>
    <w:rsid w:val="00E86200"/>
    <w:rsid w:val="00E862A2"/>
    <w:rsid w:val="00E862AA"/>
    <w:rsid w:val="00E862D0"/>
    <w:rsid w:val="00E86346"/>
    <w:rsid w:val="00E863FA"/>
    <w:rsid w:val="00E8640B"/>
    <w:rsid w:val="00E8643D"/>
    <w:rsid w:val="00E86456"/>
    <w:rsid w:val="00E8649B"/>
    <w:rsid w:val="00E864CD"/>
    <w:rsid w:val="00E864D7"/>
    <w:rsid w:val="00E864E3"/>
    <w:rsid w:val="00E86503"/>
    <w:rsid w:val="00E8651B"/>
    <w:rsid w:val="00E865C0"/>
    <w:rsid w:val="00E86653"/>
    <w:rsid w:val="00E86747"/>
    <w:rsid w:val="00E86758"/>
    <w:rsid w:val="00E86894"/>
    <w:rsid w:val="00E86900"/>
    <w:rsid w:val="00E8696A"/>
    <w:rsid w:val="00E8698B"/>
    <w:rsid w:val="00E869EB"/>
    <w:rsid w:val="00E86A07"/>
    <w:rsid w:val="00E86A6F"/>
    <w:rsid w:val="00E86B27"/>
    <w:rsid w:val="00E86BC7"/>
    <w:rsid w:val="00E86C5B"/>
    <w:rsid w:val="00E86C62"/>
    <w:rsid w:val="00E86CCA"/>
    <w:rsid w:val="00E86CF8"/>
    <w:rsid w:val="00E86D14"/>
    <w:rsid w:val="00E86E35"/>
    <w:rsid w:val="00E86E9A"/>
    <w:rsid w:val="00E86EE8"/>
    <w:rsid w:val="00E86F3E"/>
    <w:rsid w:val="00E86FA8"/>
    <w:rsid w:val="00E86FC6"/>
    <w:rsid w:val="00E86FFE"/>
    <w:rsid w:val="00E8703D"/>
    <w:rsid w:val="00E87066"/>
    <w:rsid w:val="00E870D8"/>
    <w:rsid w:val="00E87132"/>
    <w:rsid w:val="00E87209"/>
    <w:rsid w:val="00E87211"/>
    <w:rsid w:val="00E8724B"/>
    <w:rsid w:val="00E87276"/>
    <w:rsid w:val="00E872FD"/>
    <w:rsid w:val="00E87315"/>
    <w:rsid w:val="00E8734C"/>
    <w:rsid w:val="00E87351"/>
    <w:rsid w:val="00E87390"/>
    <w:rsid w:val="00E873D9"/>
    <w:rsid w:val="00E873F2"/>
    <w:rsid w:val="00E87463"/>
    <w:rsid w:val="00E874C3"/>
    <w:rsid w:val="00E874CC"/>
    <w:rsid w:val="00E87523"/>
    <w:rsid w:val="00E8757C"/>
    <w:rsid w:val="00E875B3"/>
    <w:rsid w:val="00E876D5"/>
    <w:rsid w:val="00E8770C"/>
    <w:rsid w:val="00E8778C"/>
    <w:rsid w:val="00E87798"/>
    <w:rsid w:val="00E87814"/>
    <w:rsid w:val="00E8781A"/>
    <w:rsid w:val="00E8785F"/>
    <w:rsid w:val="00E879DE"/>
    <w:rsid w:val="00E879EE"/>
    <w:rsid w:val="00E87A0F"/>
    <w:rsid w:val="00E87A2F"/>
    <w:rsid w:val="00E87A6B"/>
    <w:rsid w:val="00E87A8D"/>
    <w:rsid w:val="00E87AAC"/>
    <w:rsid w:val="00E87AEA"/>
    <w:rsid w:val="00E87AF2"/>
    <w:rsid w:val="00E87B8E"/>
    <w:rsid w:val="00E87BA3"/>
    <w:rsid w:val="00E87C57"/>
    <w:rsid w:val="00E87C63"/>
    <w:rsid w:val="00E87D07"/>
    <w:rsid w:val="00E87D45"/>
    <w:rsid w:val="00E87D89"/>
    <w:rsid w:val="00E87DEB"/>
    <w:rsid w:val="00E87E58"/>
    <w:rsid w:val="00E87EAC"/>
    <w:rsid w:val="00E87ED2"/>
    <w:rsid w:val="00E87F37"/>
    <w:rsid w:val="00E87F6C"/>
    <w:rsid w:val="00E87F7F"/>
    <w:rsid w:val="00E87F85"/>
    <w:rsid w:val="00E87FA1"/>
    <w:rsid w:val="00E87FD6"/>
    <w:rsid w:val="00E90044"/>
    <w:rsid w:val="00E900D9"/>
    <w:rsid w:val="00E900DC"/>
    <w:rsid w:val="00E90135"/>
    <w:rsid w:val="00E9013B"/>
    <w:rsid w:val="00E90189"/>
    <w:rsid w:val="00E901CF"/>
    <w:rsid w:val="00E901E0"/>
    <w:rsid w:val="00E90263"/>
    <w:rsid w:val="00E902A4"/>
    <w:rsid w:val="00E902B0"/>
    <w:rsid w:val="00E902E8"/>
    <w:rsid w:val="00E902F0"/>
    <w:rsid w:val="00E902F3"/>
    <w:rsid w:val="00E90310"/>
    <w:rsid w:val="00E90343"/>
    <w:rsid w:val="00E9037E"/>
    <w:rsid w:val="00E903A4"/>
    <w:rsid w:val="00E904A1"/>
    <w:rsid w:val="00E904E3"/>
    <w:rsid w:val="00E904EB"/>
    <w:rsid w:val="00E904ED"/>
    <w:rsid w:val="00E904F5"/>
    <w:rsid w:val="00E90527"/>
    <w:rsid w:val="00E9053B"/>
    <w:rsid w:val="00E90662"/>
    <w:rsid w:val="00E9076D"/>
    <w:rsid w:val="00E90849"/>
    <w:rsid w:val="00E9085A"/>
    <w:rsid w:val="00E90868"/>
    <w:rsid w:val="00E9095C"/>
    <w:rsid w:val="00E90971"/>
    <w:rsid w:val="00E90A37"/>
    <w:rsid w:val="00E90A9D"/>
    <w:rsid w:val="00E90AB0"/>
    <w:rsid w:val="00E90B0C"/>
    <w:rsid w:val="00E90C44"/>
    <w:rsid w:val="00E90C54"/>
    <w:rsid w:val="00E90C57"/>
    <w:rsid w:val="00E90C89"/>
    <w:rsid w:val="00E90D8A"/>
    <w:rsid w:val="00E90DC7"/>
    <w:rsid w:val="00E90DD0"/>
    <w:rsid w:val="00E90E09"/>
    <w:rsid w:val="00E90E4F"/>
    <w:rsid w:val="00E90E6F"/>
    <w:rsid w:val="00E90E90"/>
    <w:rsid w:val="00E90F0F"/>
    <w:rsid w:val="00E90F36"/>
    <w:rsid w:val="00E90FBA"/>
    <w:rsid w:val="00E90FFA"/>
    <w:rsid w:val="00E9103F"/>
    <w:rsid w:val="00E91043"/>
    <w:rsid w:val="00E91057"/>
    <w:rsid w:val="00E910F9"/>
    <w:rsid w:val="00E91127"/>
    <w:rsid w:val="00E9113A"/>
    <w:rsid w:val="00E91173"/>
    <w:rsid w:val="00E911A5"/>
    <w:rsid w:val="00E9127B"/>
    <w:rsid w:val="00E9133B"/>
    <w:rsid w:val="00E9135A"/>
    <w:rsid w:val="00E91445"/>
    <w:rsid w:val="00E9148E"/>
    <w:rsid w:val="00E915CC"/>
    <w:rsid w:val="00E9169A"/>
    <w:rsid w:val="00E91726"/>
    <w:rsid w:val="00E91751"/>
    <w:rsid w:val="00E917D3"/>
    <w:rsid w:val="00E917FE"/>
    <w:rsid w:val="00E918C3"/>
    <w:rsid w:val="00E91A0E"/>
    <w:rsid w:val="00E91A4C"/>
    <w:rsid w:val="00E91AAD"/>
    <w:rsid w:val="00E91AC1"/>
    <w:rsid w:val="00E91AE9"/>
    <w:rsid w:val="00E91B25"/>
    <w:rsid w:val="00E91B42"/>
    <w:rsid w:val="00E91BCA"/>
    <w:rsid w:val="00E91C58"/>
    <w:rsid w:val="00E91CAD"/>
    <w:rsid w:val="00E91CCD"/>
    <w:rsid w:val="00E91D1D"/>
    <w:rsid w:val="00E91DD6"/>
    <w:rsid w:val="00E91E0A"/>
    <w:rsid w:val="00E91E20"/>
    <w:rsid w:val="00E91E2D"/>
    <w:rsid w:val="00E91E3A"/>
    <w:rsid w:val="00E91E65"/>
    <w:rsid w:val="00E91E93"/>
    <w:rsid w:val="00E91F18"/>
    <w:rsid w:val="00E91F50"/>
    <w:rsid w:val="00E91FEA"/>
    <w:rsid w:val="00E91FFF"/>
    <w:rsid w:val="00E92000"/>
    <w:rsid w:val="00E92070"/>
    <w:rsid w:val="00E92096"/>
    <w:rsid w:val="00E921D0"/>
    <w:rsid w:val="00E921DC"/>
    <w:rsid w:val="00E92214"/>
    <w:rsid w:val="00E92235"/>
    <w:rsid w:val="00E9226C"/>
    <w:rsid w:val="00E92280"/>
    <w:rsid w:val="00E922AD"/>
    <w:rsid w:val="00E922BD"/>
    <w:rsid w:val="00E922EF"/>
    <w:rsid w:val="00E92341"/>
    <w:rsid w:val="00E92345"/>
    <w:rsid w:val="00E92357"/>
    <w:rsid w:val="00E92360"/>
    <w:rsid w:val="00E9237A"/>
    <w:rsid w:val="00E923B2"/>
    <w:rsid w:val="00E923C7"/>
    <w:rsid w:val="00E9241A"/>
    <w:rsid w:val="00E9241B"/>
    <w:rsid w:val="00E92444"/>
    <w:rsid w:val="00E9248A"/>
    <w:rsid w:val="00E9250F"/>
    <w:rsid w:val="00E92553"/>
    <w:rsid w:val="00E92580"/>
    <w:rsid w:val="00E925AC"/>
    <w:rsid w:val="00E925D8"/>
    <w:rsid w:val="00E9262F"/>
    <w:rsid w:val="00E92661"/>
    <w:rsid w:val="00E9268E"/>
    <w:rsid w:val="00E9269B"/>
    <w:rsid w:val="00E926D1"/>
    <w:rsid w:val="00E9279B"/>
    <w:rsid w:val="00E927E4"/>
    <w:rsid w:val="00E9282D"/>
    <w:rsid w:val="00E92855"/>
    <w:rsid w:val="00E92978"/>
    <w:rsid w:val="00E929C5"/>
    <w:rsid w:val="00E92A0C"/>
    <w:rsid w:val="00E92A57"/>
    <w:rsid w:val="00E92A60"/>
    <w:rsid w:val="00E92A8E"/>
    <w:rsid w:val="00E92A94"/>
    <w:rsid w:val="00E92B0F"/>
    <w:rsid w:val="00E92BB3"/>
    <w:rsid w:val="00E92C0E"/>
    <w:rsid w:val="00E92C3D"/>
    <w:rsid w:val="00E92C63"/>
    <w:rsid w:val="00E92C8F"/>
    <w:rsid w:val="00E92D76"/>
    <w:rsid w:val="00E92D9B"/>
    <w:rsid w:val="00E92DEE"/>
    <w:rsid w:val="00E92E0C"/>
    <w:rsid w:val="00E92E21"/>
    <w:rsid w:val="00E92EA2"/>
    <w:rsid w:val="00E92ED5"/>
    <w:rsid w:val="00E92ED9"/>
    <w:rsid w:val="00E92F57"/>
    <w:rsid w:val="00E92F84"/>
    <w:rsid w:val="00E92FB4"/>
    <w:rsid w:val="00E93013"/>
    <w:rsid w:val="00E9307E"/>
    <w:rsid w:val="00E93092"/>
    <w:rsid w:val="00E930AD"/>
    <w:rsid w:val="00E930FA"/>
    <w:rsid w:val="00E93105"/>
    <w:rsid w:val="00E9315A"/>
    <w:rsid w:val="00E931E7"/>
    <w:rsid w:val="00E93204"/>
    <w:rsid w:val="00E93228"/>
    <w:rsid w:val="00E9328E"/>
    <w:rsid w:val="00E93295"/>
    <w:rsid w:val="00E9329C"/>
    <w:rsid w:val="00E932EA"/>
    <w:rsid w:val="00E932F1"/>
    <w:rsid w:val="00E93333"/>
    <w:rsid w:val="00E933F3"/>
    <w:rsid w:val="00E93423"/>
    <w:rsid w:val="00E93470"/>
    <w:rsid w:val="00E934A1"/>
    <w:rsid w:val="00E934E8"/>
    <w:rsid w:val="00E934F5"/>
    <w:rsid w:val="00E93523"/>
    <w:rsid w:val="00E9352D"/>
    <w:rsid w:val="00E93559"/>
    <w:rsid w:val="00E9355A"/>
    <w:rsid w:val="00E9356C"/>
    <w:rsid w:val="00E935D9"/>
    <w:rsid w:val="00E93649"/>
    <w:rsid w:val="00E93669"/>
    <w:rsid w:val="00E9367C"/>
    <w:rsid w:val="00E9373C"/>
    <w:rsid w:val="00E93778"/>
    <w:rsid w:val="00E937B0"/>
    <w:rsid w:val="00E937EA"/>
    <w:rsid w:val="00E937F0"/>
    <w:rsid w:val="00E93885"/>
    <w:rsid w:val="00E9389D"/>
    <w:rsid w:val="00E938D5"/>
    <w:rsid w:val="00E93972"/>
    <w:rsid w:val="00E939A0"/>
    <w:rsid w:val="00E939B3"/>
    <w:rsid w:val="00E939F4"/>
    <w:rsid w:val="00E93AB2"/>
    <w:rsid w:val="00E93AB6"/>
    <w:rsid w:val="00E93B41"/>
    <w:rsid w:val="00E93B45"/>
    <w:rsid w:val="00E93B48"/>
    <w:rsid w:val="00E93B56"/>
    <w:rsid w:val="00E93C20"/>
    <w:rsid w:val="00E93C23"/>
    <w:rsid w:val="00E93C50"/>
    <w:rsid w:val="00E93C84"/>
    <w:rsid w:val="00E93CBC"/>
    <w:rsid w:val="00E93D39"/>
    <w:rsid w:val="00E93D5A"/>
    <w:rsid w:val="00E93D7E"/>
    <w:rsid w:val="00E93D8C"/>
    <w:rsid w:val="00E93D96"/>
    <w:rsid w:val="00E93DAB"/>
    <w:rsid w:val="00E93E01"/>
    <w:rsid w:val="00E93E84"/>
    <w:rsid w:val="00E93E95"/>
    <w:rsid w:val="00E93EA9"/>
    <w:rsid w:val="00E93EB9"/>
    <w:rsid w:val="00E93FBE"/>
    <w:rsid w:val="00E93FC7"/>
    <w:rsid w:val="00E93FDD"/>
    <w:rsid w:val="00E94003"/>
    <w:rsid w:val="00E9402A"/>
    <w:rsid w:val="00E9406D"/>
    <w:rsid w:val="00E9406F"/>
    <w:rsid w:val="00E940A1"/>
    <w:rsid w:val="00E940FD"/>
    <w:rsid w:val="00E94115"/>
    <w:rsid w:val="00E942B4"/>
    <w:rsid w:val="00E94369"/>
    <w:rsid w:val="00E943A3"/>
    <w:rsid w:val="00E943A8"/>
    <w:rsid w:val="00E943E5"/>
    <w:rsid w:val="00E943FA"/>
    <w:rsid w:val="00E94420"/>
    <w:rsid w:val="00E94423"/>
    <w:rsid w:val="00E9446C"/>
    <w:rsid w:val="00E944C0"/>
    <w:rsid w:val="00E944D2"/>
    <w:rsid w:val="00E9452F"/>
    <w:rsid w:val="00E945C3"/>
    <w:rsid w:val="00E94652"/>
    <w:rsid w:val="00E946B5"/>
    <w:rsid w:val="00E946CF"/>
    <w:rsid w:val="00E946F6"/>
    <w:rsid w:val="00E94748"/>
    <w:rsid w:val="00E94769"/>
    <w:rsid w:val="00E94797"/>
    <w:rsid w:val="00E947DE"/>
    <w:rsid w:val="00E9480C"/>
    <w:rsid w:val="00E94889"/>
    <w:rsid w:val="00E9488D"/>
    <w:rsid w:val="00E9489B"/>
    <w:rsid w:val="00E948A0"/>
    <w:rsid w:val="00E948A8"/>
    <w:rsid w:val="00E948AB"/>
    <w:rsid w:val="00E948CC"/>
    <w:rsid w:val="00E948E3"/>
    <w:rsid w:val="00E9490D"/>
    <w:rsid w:val="00E94955"/>
    <w:rsid w:val="00E949B2"/>
    <w:rsid w:val="00E949CE"/>
    <w:rsid w:val="00E949FC"/>
    <w:rsid w:val="00E94A73"/>
    <w:rsid w:val="00E94B67"/>
    <w:rsid w:val="00E94B7D"/>
    <w:rsid w:val="00E94BE1"/>
    <w:rsid w:val="00E94C9D"/>
    <w:rsid w:val="00E94D0B"/>
    <w:rsid w:val="00E94D5C"/>
    <w:rsid w:val="00E94D90"/>
    <w:rsid w:val="00E94D95"/>
    <w:rsid w:val="00E94DE1"/>
    <w:rsid w:val="00E94DE8"/>
    <w:rsid w:val="00E94DF6"/>
    <w:rsid w:val="00E94E1F"/>
    <w:rsid w:val="00E94E88"/>
    <w:rsid w:val="00E94F08"/>
    <w:rsid w:val="00E94F1E"/>
    <w:rsid w:val="00E94F29"/>
    <w:rsid w:val="00E94F34"/>
    <w:rsid w:val="00E94F51"/>
    <w:rsid w:val="00E94F8D"/>
    <w:rsid w:val="00E950B2"/>
    <w:rsid w:val="00E950F2"/>
    <w:rsid w:val="00E95134"/>
    <w:rsid w:val="00E95148"/>
    <w:rsid w:val="00E95166"/>
    <w:rsid w:val="00E9516A"/>
    <w:rsid w:val="00E951A9"/>
    <w:rsid w:val="00E95225"/>
    <w:rsid w:val="00E95273"/>
    <w:rsid w:val="00E95379"/>
    <w:rsid w:val="00E9541C"/>
    <w:rsid w:val="00E95493"/>
    <w:rsid w:val="00E954A3"/>
    <w:rsid w:val="00E955BE"/>
    <w:rsid w:val="00E95695"/>
    <w:rsid w:val="00E956A9"/>
    <w:rsid w:val="00E95706"/>
    <w:rsid w:val="00E957AA"/>
    <w:rsid w:val="00E957E5"/>
    <w:rsid w:val="00E95878"/>
    <w:rsid w:val="00E9588C"/>
    <w:rsid w:val="00E958A8"/>
    <w:rsid w:val="00E958C9"/>
    <w:rsid w:val="00E95991"/>
    <w:rsid w:val="00E959A3"/>
    <w:rsid w:val="00E959B5"/>
    <w:rsid w:val="00E959B8"/>
    <w:rsid w:val="00E959ED"/>
    <w:rsid w:val="00E95A9C"/>
    <w:rsid w:val="00E95B4A"/>
    <w:rsid w:val="00E95BF8"/>
    <w:rsid w:val="00E95C29"/>
    <w:rsid w:val="00E95C2F"/>
    <w:rsid w:val="00E95C54"/>
    <w:rsid w:val="00E95C94"/>
    <w:rsid w:val="00E95D5A"/>
    <w:rsid w:val="00E95D95"/>
    <w:rsid w:val="00E95DB7"/>
    <w:rsid w:val="00E95EA6"/>
    <w:rsid w:val="00E95EDA"/>
    <w:rsid w:val="00E95F9E"/>
    <w:rsid w:val="00E95FF3"/>
    <w:rsid w:val="00E95FF8"/>
    <w:rsid w:val="00E9601E"/>
    <w:rsid w:val="00E96046"/>
    <w:rsid w:val="00E96138"/>
    <w:rsid w:val="00E9617D"/>
    <w:rsid w:val="00E961BB"/>
    <w:rsid w:val="00E9629B"/>
    <w:rsid w:val="00E962D6"/>
    <w:rsid w:val="00E9630B"/>
    <w:rsid w:val="00E96429"/>
    <w:rsid w:val="00E9644D"/>
    <w:rsid w:val="00E964F6"/>
    <w:rsid w:val="00E9659A"/>
    <w:rsid w:val="00E965FC"/>
    <w:rsid w:val="00E96601"/>
    <w:rsid w:val="00E966D5"/>
    <w:rsid w:val="00E9673E"/>
    <w:rsid w:val="00E9674A"/>
    <w:rsid w:val="00E967E1"/>
    <w:rsid w:val="00E967F1"/>
    <w:rsid w:val="00E96803"/>
    <w:rsid w:val="00E968F7"/>
    <w:rsid w:val="00E96908"/>
    <w:rsid w:val="00E96924"/>
    <w:rsid w:val="00E969CD"/>
    <w:rsid w:val="00E969D3"/>
    <w:rsid w:val="00E96A70"/>
    <w:rsid w:val="00E96A7F"/>
    <w:rsid w:val="00E96B73"/>
    <w:rsid w:val="00E96BB7"/>
    <w:rsid w:val="00E96BD8"/>
    <w:rsid w:val="00E96C04"/>
    <w:rsid w:val="00E96C0D"/>
    <w:rsid w:val="00E96C1C"/>
    <w:rsid w:val="00E96CB8"/>
    <w:rsid w:val="00E96D60"/>
    <w:rsid w:val="00E96DDE"/>
    <w:rsid w:val="00E96EE7"/>
    <w:rsid w:val="00E96F0F"/>
    <w:rsid w:val="00E96F33"/>
    <w:rsid w:val="00E96FC3"/>
    <w:rsid w:val="00E97070"/>
    <w:rsid w:val="00E97085"/>
    <w:rsid w:val="00E970AD"/>
    <w:rsid w:val="00E970C1"/>
    <w:rsid w:val="00E970E4"/>
    <w:rsid w:val="00E9713E"/>
    <w:rsid w:val="00E9717E"/>
    <w:rsid w:val="00E97188"/>
    <w:rsid w:val="00E971BC"/>
    <w:rsid w:val="00E97257"/>
    <w:rsid w:val="00E972D7"/>
    <w:rsid w:val="00E972DB"/>
    <w:rsid w:val="00E97325"/>
    <w:rsid w:val="00E97329"/>
    <w:rsid w:val="00E97412"/>
    <w:rsid w:val="00E97447"/>
    <w:rsid w:val="00E9747B"/>
    <w:rsid w:val="00E974B3"/>
    <w:rsid w:val="00E974B9"/>
    <w:rsid w:val="00E974BF"/>
    <w:rsid w:val="00E9751D"/>
    <w:rsid w:val="00E97585"/>
    <w:rsid w:val="00E975AB"/>
    <w:rsid w:val="00E97625"/>
    <w:rsid w:val="00E97691"/>
    <w:rsid w:val="00E9776E"/>
    <w:rsid w:val="00E977AE"/>
    <w:rsid w:val="00E977EB"/>
    <w:rsid w:val="00E9783C"/>
    <w:rsid w:val="00E9787D"/>
    <w:rsid w:val="00E978D0"/>
    <w:rsid w:val="00E9790A"/>
    <w:rsid w:val="00E9791E"/>
    <w:rsid w:val="00E97960"/>
    <w:rsid w:val="00E97967"/>
    <w:rsid w:val="00E97A12"/>
    <w:rsid w:val="00E97A35"/>
    <w:rsid w:val="00E97A46"/>
    <w:rsid w:val="00E97A6A"/>
    <w:rsid w:val="00E97ADE"/>
    <w:rsid w:val="00E97BAA"/>
    <w:rsid w:val="00E97BEC"/>
    <w:rsid w:val="00E97C3D"/>
    <w:rsid w:val="00E97C9F"/>
    <w:rsid w:val="00E97CE3"/>
    <w:rsid w:val="00E97D08"/>
    <w:rsid w:val="00E97D75"/>
    <w:rsid w:val="00E97D82"/>
    <w:rsid w:val="00E97E15"/>
    <w:rsid w:val="00E97E74"/>
    <w:rsid w:val="00E97EAB"/>
    <w:rsid w:val="00E97EBF"/>
    <w:rsid w:val="00E97ECA"/>
    <w:rsid w:val="00E97F09"/>
    <w:rsid w:val="00E97F0E"/>
    <w:rsid w:val="00E97F37"/>
    <w:rsid w:val="00EA0076"/>
    <w:rsid w:val="00EA00AE"/>
    <w:rsid w:val="00EA011E"/>
    <w:rsid w:val="00EA0152"/>
    <w:rsid w:val="00EA0168"/>
    <w:rsid w:val="00EA0174"/>
    <w:rsid w:val="00EA01AE"/>
    <w:rsid w:val="00EA01B7"/>
    <w:rsid w:val="00EA01D7"/>
    <w:rsid w:val="00EA0246"/>
    <w:rsid w:val="00EA03C5"/>
    <w:rsid w:val="00EA03D2"/>
    <w:rsid w:val="00EA0404"/>
    <w:rsid w:val="00EA0447"/>
    <w:rsid w:val="00EA045F"/>
    <w:rsid w:val="00EA046B"/>
    <w:rsid w:val="00EA0484"/>
    <w:rsid w:val="00EA049A"/>
    <w:rsid w:val="00EA04DD"/>
    <w:rsid w:val="00EA0594"/>
    <w:rsid w:val="00EA05AC"/>
    <w:rsid w:val="00EA060D"/>
    <w:rsid w:val="00EA067A"/>
    <w:rsid w:val="00EA068B"/>
    <w:rsid w:val="00EA06A0"/>
    <w:rsid w:val="00EA06DB"/>
    <w:rsid w:val="00EA06F5"/>
    <w:rsid w:val="00EA0777"/>
    <w:rsid w:val="00EA07B7"/>
    <w:rsid w:val="00EA07C3"/>
    <w:rsid w:val="00EA07D7"/>
    <w:rsid w:val="00EA08A7"/>
    <w:rsid w:val="00EA08D0"/>
    <w:rsid w:val="00EA08D9"/>
    <w:rsid w:val="00EA0901"/>
    <w:rsid w:val="00EA09A0"/>
    <w:rsid w:val="00EA0AA3"/>
    <w:rsid w:val="00EA0AB4"/>
    <w:rsid w:val="00EA0B22"/>
    <w:rsid w:val="00EA0B68"/>
    <w:rsid w:val="00EA0B9C"/>
    <w:rsid w:val="00EA0BA1"/>
    <w:rsid w:val="00EA0BE2"/>
    <w:rsid w:val="00EA0C18"/>
    <w:rsid w:val="00EA0C56"/>
    <w:rsid w:val="00EA0C8E"/>
    <w:rsid w:val="00EA0CAE"/>
    <w:rsid w:val="00EA0E1A"/>
    <w:rsid w:val="00EA0FAE"/>
    <w:rsid w:val="00EA1098"/>
    <w:rsid w:val="00EA10ED"/>
    <w:rsid w:val="00EA1106"/>
    <w:rsid w:val="00EA111E"/>
    <w:rsid w:val="00EA11C4"/>
    <w:rsid w:val="00EA11E2"/>
    <w:rsid w:val="00EA129A"/>
    <w:rsid w:val="00EA1329"/>
    <w:rsid w:val="00EA1336"/>
    <w:rsid w:val="00EA1375"/>
    <w:rsid w:val="00EA137B"/>
    <w:rsid w:val="00EA13A1"/>
    <w:rsid w:val="00EA13A9"/>
    <w:rsid w:val="00EA13D9"/>
    <w:rsid w:val="00EA13DF"/>
    <w:rsid w:val="00EA1428"/>
    <w:rsid w:val="00EA147D"/>
    <w:rsid w:val="00EA14AB"/>
    <w:rsid w:val="00EA1698"/>
    <w:rsid w:val="00EA16E4"/>
    <w:rsid w:val="00EA17B4"/>
    <w:rsid w:val="00EA17BB"/>
    <w:rsid w:val="00EA17C2"/>
    <w:rsid w:val="00EA17E0"/>
    <w:rsid w:val="00EA1801"/>
    <w:rsid w:val="00EA1876"/>
    <w:rsid w:val="00EA18CB"/>
    <w:rsid w:val="00EA1965"/>
    <w:rsid w:val="00EA197E"/>
    <w:rsid w:val="00EA199F"/>
    <w:rsid w:val="00EA19C8"/>
    <w:rsid w:val="00EA1A05"/>
    <w:rsid w:val="00EA1B1B"/>
    <w:rsid w:val="00EA1B56"/>
    <w:rsid w:val="00EA1C52"/>
    <w:rsid w:val="00EA1C77"/>
    <w:rsid w:val="00EA1CB2"/>
    <w:rsid w:val="00EA1CCD"/>
    <w:rsid w:val="00EA1D25"/>
    <w:rsid w:val="00EA1D44"/>
    <w:rsid w:val="00EA1E13"/>
    <w:rsid w:val="00EA1E57"/>
    <w:rsid w:val="00EA1E97"/>
    <w:rsid w:val="00EA1EA3"/>
    <w:rsid w:val="00EA1EA9"/>
    <w:rsid w:val="00EA1EC2"/>
    <w:rsid w:val="00EA1EEC"/>
    <w:rsid w:val="00EA1F15"/>
    <w:rsid w:val="00EA1F55"/>
    <w:rsid w:val="00EA20C0"/>
    <w:rsid w:val="00EA20EB"/>
    <w:rsid w:val="00EA212C"/>
    <w:rsid w:val="00EA21A1"/>
    <w:rsid w:val="00EA21AD"/>
    <w:rsid w:val="00EA21EC"/>
    <w:rsid w:val="00EA229D"/>
    <w:rsid w:val="00EA22C1"/>
    <w:rsid w:val="00EA2308"/>
    <w:rsid w:val="00EA2340"/>
    <w:rsid w:val="00EA235C"/>
    <w:rsid w:val="00EA236D"/>
    <w:rsid w:val="00EA2388"/>
    <w:rsid w:val="00EA239B"/>
    <w:rsid w:val="00EA23AA"/>
    <w:rsid w:val="00EA23BF"/>
    <w:rsid w:val="00EA23CE"/>
    <w:rsid w:val="00EA243C"/>
    <w:rsid w:val="00EA2456"/>
    <w:rsid w:val="00EA2489"/>
    <w:rsid w:val="00EA24A2"/>
    <w:rsid w:val="00EA2592"/>
    <w:rsid w:val="00EA25D3"/>
    <w:rsid w:val="00EA25DA"/>
    <w:rsid w:val="00EA2642"/>
    <w:rsid w:val="00EA26E9"/>
    <w:rsid w:val="00EA2827"/>
    <w:rsid w:val="00EA293C"/>
    <w:rsid w:val="00EA2951"/>
    <w:rsid w:val="00EA29A7"/>
    <w:rsid w:val="00EA29B6"/>
    <w:rsid w:val="00EA29C7"/>
    <w:rsid w:val="00EA2A0E"/>
    <w:rsid w:val="00EA2A20"/>
    <w:rsid w:val="00EA2A75"/>
    <w:rsid w:val="00EA2B42"/>
    <w:rsid w:val="00EA2C13"/>
    <w:rsid w:val="00EA2C69"/>
    <w:rsid w:val="00EA2C74"/>
    <w:rsid w:val="00EA2CEE"/>
    <w:rsid w:val="00EA2D38"/>
    <w:rsid w:val="00EA2D9A"/>
    <w:rsid w:val="00EA2DA6"/>
    <w:rsid w:val="00EA2DAE"/>
    <w:rsid w:val="00EA2E2A"/>
    <w:rsid w:val="00EA2E70"/>
    <w:rsid w:val="00EA2E7C"/>
    <w:rsid w:val="00EA2E80"/>
    <w:rsid w:val="00EA2EAC"/>
    <w:rsid w:val="00EA2ECF"/>
    <w:rsid w:val="00EA2ED7"/>
    <w:rsid w:val="00EA2F05"/>
    <w:rsid w:val="00EA2F41"/>
    <w:rsid w:val="00EA3057"/>
    <w:rsid w:val="00EA305B"/>
    <w:rsid w:val="00EA3079"/>
    <w:rsid w:val="00EA30AC"/>
    <w:rsid w:val="00EA30F6"/>
    <w:rsid w:val="00EA3134"/>
    <w:rsid w:val="00EA314A"/>
    <w:rsid w:val="00EA31C2"/>
    <w:rsid w:val="00EA321B"/>
    <w:rsid w:val="00EA323C"/>
    <w:rsid w:val="00EA3256"/>
    <w:rsid w:val="00EA32FD"/>
    <w:rsid w:val="00EA334F"/>
    <w:rsid w:val="00EA336C"/>
    <w:rsid w:val="00EA33D1"/>
    <w:rsid w:val="00EA33F3"/>
    <w:rsid w:val="00EA343D"/>
    <w:rsid w:val="00EA34AE"/>
    <w:rsid w:val="00EA358D"/>
    <w:rsid w:val="00EA359D"/>
    <w:rsid w:val="00EA35B3"/>
    <w:rsid w:val="00EA35D8"/>
    <w:rsid w:val="00EA3687"/>
    <w:rsid w:val="00EA3694"/>
    <w:rsid w:val="00EA36AE"/>
    <w:rsid w:val="00EA375D"/>
    <w:rsid w:val="00EA3795"/>
    <w:rsid w:val="00EA37E2"/>
    <w:rsid w:val="00EA37ED"/>
    <w:rsid w:val="00EA3867"/>
    <w:rsid w:val="00EA38B0"/>
    <w:rsid w:val="00EA38C3"/>
    <w:rsid w:val="00EA3921"/>
    <w:rsid w:val="00EA3AA8"/>
    <w:rsid w:val="00EA3ABC"/>
    <w:rsid w:val="00EA3AC6"/>
    <w:rsid w:val="00EA3ACD"/>
    <w:rsid w:val="00EA3B57"/>
    <w:rsid w:val="00EA3B5C"/>
    <w:rsid w:val="00EA3BB4"/>
    <w:rsid w:val="00EA3C15"/>
    <w:rsid w:val="00EA3E09"/>
    <w:rsid w:val="00EA3E35"/>
    <w:rsid w:val="00EA3EF6"/>
    <w:rsid w:val="00EA3F34"/>
    <w:rsid w:val="00EA3F41"/>
    <w:rsid w:val="00EA3F4E"/>
    <w:rsid w:val="00EA3F5B"/>
    <w:rsid w:val="00EA3F66"/>
    <w:rsid w:val="00EA3F98"/>
    <w:rsid w:val="00EA3FD3"/>
    <w:rsid w:val="00EA4001"/>
    <w:rsid w:val="00EA4030"/>
    <w:rsid w:val="00EA4032"/>
    <w:rsid w:val="00EA4047"/>
    <w:rsid w:val="00EA40B2"/>
    <w:rsid w:val="00EA4103"/>
    <w:rsid w:val="00EA410D"/>
    <w:rsid w:val="00EA41A2"/>
    <w:rsid w:val="00EA41BE"/>
    <w:rsid w:val="00EA4346"/>
    <w:rsid w:val="00EA438A"/>
    <w:rsid w:val="00EA43AE"/>
    <w:rsid w:val="00EA43EA"/>
    <w:rsid w:val="00EA43ED"/>
    <w:rsid w:val="00EA44A0"/>
    <w:rsid w:val="00EA44B4"/>
    <w:rsid w:val="00EA451B"/>
    <w:rsid w:val="00EA4553"/>
    <w:rsid w:val="00EA45E0"/>
    <w:rsid w:val="00EA463C"/>
    <w:rsid w:val="00EA4657"/>
    <w:rsid w:val="00EA46A0"/>
    <w:rsid w:val="00EA46A5"/>
    <w:rsid w:val="00EA47A6"/>
    <w:rsid w:val="00EA47D9"/>
    <w:rsid w:val="00EA47F4"/>
    <w:rsid w:val="00EA48B6"/>
    <w:rsid w:val="00EA48D5"/>
    <w:rsid w:val="00EA492E"/>
    <w:rsid w:val="00EA4976"/>
    <w:rsid w:val="00EA49F9"/>
    <w:rsid w:val="00EA4A88"/>
    <w:rsid w:val="00EA4A9B"/>
    <w:rsid w:val="00EA4AB0"/>
    <w:rsid w:val="00EA4B18"/>
    <w:rsid w:val="00EA4B52"/>
    <w:rsid w:val="00EA4B8E"/>
    <w:rsid w:val="00EA4C2A"/>
    <w:rsid w:val="00EA4C50"/>
    <w:rsid w:val="00EA4C72"/>
    <w:rsid w:val="00EA4CD0"/>
    <w:rsid w:val="00EA4D20"/>
    <w:rsid w:val="00EA4D5A"/>
    <w:rsid w:val="00EA4D7C"/>
    <w:rsid w:val="00EA4D91"/>
    <w:rsid w:val="00EA4DA6"/>
    <w:rsid w:val="00EA4E31"/>
    <w:rsid w:val="00EA4E65"/>
    <w:rsid w:val="00EA4E72"/>
    <w:rsid w:val="00EA4E93"/>
    <w:rsid w:val="00EA4F09"/>
    <w:rsid w:val="00EA500C"/>
    <w:rsid w:val="00EA505D"/>
    <w:rsid w:val="00EA506B"/>
    <w:rsid w:val="00EA50A9"/>
    <w:rsid w:val="00EA50B5"/>
    <w:rsid w:val="00EA511D"/>
    <w:rsid w:val="00EA5154"/>
    <w:rsid w:val="00EA516E"/>
    <w:rsid w:val="00EA5195"/>
    <w:rsid w:val="00EA5222"/>
    <w:rsid w:val="00EA5252"/>
    <w:rsid w:val="00EA539B"/>
    <w:rsid w:val="00EA5437"/>
    <w:rsid w:val="00EA5463"/>
    <w:rsid w:val="00EA5480"/>
    <w:rsid w:val="00EA5560"/>
    <w:rsid w:val="00EA55F4"/>
    <w:rsid w:val="00EA5630"/>
    <w:rsid w:val="00EA5643"/>
    <w:rsid w:val="00EA5658"/>
    <w:rsid w:val="00EA56FA"/>
    <w:rsid w:val="00EA589F"/>
    <w:rsid w:val="00EA58A9"/>
    <w:rsid w:val="00EA5936"/>
    <w:rsid w:val="00EA5960"/>
    <w:rsid w:val="00EA5989"/>
    <w:rsid w:val="00EA59E1"/>
    <w:rsid w:val="00EA5A00"/>
    <w:rsid w:val="00EA5A53"/>
    <w:rsid w:val="00EA5A69"/>
    <w:rsid w:val="00EA5B2C"/>
    <w:rsid w:val="00EA5B86"/>
    <w:rsid w:val="00EA5CB0"/>
    <w:rsid w:val="00EA5E6D"/>
    <w:rsid w:val="00EA5E77"/>
    <w:rsid w:val="00EA5E7B"/>
    <w:rsid w:val="00EA5E7E"/>
    <w:rsid w:val="00EA5E84"/>
    <w:rsid w:val="00EA5E8D"/>
    <w:rsid w:val="00EA5F74"/>
    <w:rsid w:val="00EA6313"/>
    <w:rsid w:val="00EA632E"/>
    <w:rsid w:val="00EA63B8"/>
    <w:rsid w:val="00EA6468"/>
    <w:rsid w:val="00EA64DA"/>
    <w:rsid w:val="00EA6521"/>
    <w:rsid w:val="00EA6555"/>
    <w:rsid w:val="00EA6573"/>
    <w:rsid w:val="00EA657C"/>
    <w:rsid w:val="00EA6591"/>
    <w:rsid w:val="00EA65C7"/>
    <w:rsid w:val="00EA65F3"/>
    <w:rsid w:val="00EA6615"/>
    <w:rsid w:val="00EA6642"/>
    <w:rsid w:val="00EA66AB"/>
    <w:rsid w:val="00EA6734"/>
    <w:rsid w:val="00EA6761"/>
    <w:rsid w:val="00EA67C8"/>
    <w:rsid w:val="00EA689E"/>
    <w:rsid w:val="00EA68BE"/>
    <w:rsid w:val="00EA690F"/>
    <w:rsid w:val="00EA6950"/>
    <w:rsid w:val="00EA6973"/>
    <w:rsid w:val="00EA69D9"/>
    <w:rsid w:val="00EA69FF"/>
    <w:rsid w:val="00EA6AC0"/>
    <w:rsid w:val="00EA6B04"/>
    <w:rsid w:val="00EA6C03"/>
    <w:rsid w:val="00EA6C39"/>
    <w:rsid w:val="00EA6C71"/>
    <w:rsid w:val="00EA6C81"/>
    <w:rsid w:val="00EA6D57"/>
    <w:rsid w:val="00EA6E3B"/>
    <w:rsid w:val="00EA6E99"/>
    <w:rsid w:val="00EA6F87"/>
    <w:rsid w:val="00EA7005"/>
    <w:rsid w:val="00EA7038"/>
    <w:rsid w:val="00EA7042"/>
    <w:rsid w:val="00EA7077"/>
    <w:rsid w:val="00EA7082"/>
    <w:rsid w:val="00EA70B0"/>
    <w:rsid w:val="00EA70F5"/>
    <w:rsid w:val="00EA7145"/>
    <w:rsid w:val="00EA714E"/>
    <w:rsid w:val="00EA7246"/>
    <w:rsid w:val="00EA724E"/>
    <w:rsid w:val="00EA7281"/>
    <w:rsid w:val="00EA7316"/>
    <w:rsid w:val="00EA731A"/>
    <w:rsid w:val="00EA7356"/>
    <w:rsid w:val="00EA7395"/>
    <w:rsid w:val="00EA73CC"/>
    <w:rsid w:val="00EA73E2"/>
    <w:rsid w:val="00EA746A"/>
    <w:rsid w:val="00EA74F6"/>
    <w:rsid w:val="00EA74FF"/>
    <w:rsid w:val="00EA750D"/>
    <w:rsid w:val="00EA75E3"/>
    <w:rsid w:val="00EA7608"/>
    <w:rsid w:val="00EA7666"/>
    <w:rsid w:val="00EA7698"/>
    <w:rsid w:val="00EA76B4"/>
    <w:rsid w:val="00EA76BC"/>
    <w:rsid w:val="00EA76FD"/>
    <w:rsid w:val="00EA781D"/>
    <w:rsid w:val="00EA783B"/>
    <w:rsid w:val="00EA7884"/>
    <w:rsid w:val="00EA7898"/>
    <w:rsid w:val="00EA78A7"/>
    <w:rsid w:val="00EA7972"/>
    <w:rsid w:val="00EA7A61"/>
    <w:rsid w:val="00EA7AA6"/>
    <w:rsid w:val="00EA7AB9"/>
    <w:rsid w:val="00EA7AD3"/>
    <w:rsid w:val="00EA7AE4"/>
    <w:rsid w:val="00EA7B93"/>
    <w:rsid w:val="00EA7BB3"/>
    <w:rsid w:val="00EA7BFB"/>
    <w:rsid w:val="00EA7C7F"/>
    <w:rsid w:val="00EA7D5E"/>
    <w:rsid w:val="00EA7E0D"/>
    <w:rsid w:val="00EA7E24"/>
    <w:rsid w:val="00EA7E58"/>
    <w:rsid w:val="00EA7E93"/>
    <w:rsid w:val="00EA7EB4"/>
    <w:rsid w:val="00EA7EB6"/>
    <w:rsid w:val="00EA7ED4"/>
    <w:rsid w:val="00EA7EDC"/>
    <w:rsid w:val="00EA7F21"/>
    <w:rsid w:val="00EA7F67"/>
    <w:rsid w:val="00EB0005"/>
    <w:rsid w:val="00EB000C"/>
    <w:rsid w:val="00EB0027"/>
    <w:rsid w:val="00EB0029"/>
    <w:rsid w:val="00EB00BA"/>
    <w:rsid w:val="00EB00C0"/>
    <w:rsid w:val="00EB0135"/>
    <w:rsid w:val="00EB0164"/>
    <w:rsid w:val="00EB01BB"/>
    <w:rsid w:val="00EB0201"/>
    <w:rsid w:val="00EB022D"/>
    <w:rsid w:val="00EB025B"/>
    <w:rsid w:val="00EB028E"/>
    <w:rsid w:val="00EB030F"/>
    <w:rsid w:val="00EB037A"/>
    <w:rsid w:val="00EB03F2"/>
    <w:rsid w:val="00EB0562"/>
    <w:rsid w:val="00EB05DE"/>
    <w:rsid w:val="00EB05E3"/>
    <w:rsid w:val="00EB05EE"/>
    <w:rsid w:val="00EB0600"/>
    <w:rsid w:val="00EB064C"/>
    <w:rsid w:val="00EB075B"/>
    <w:rsid w:val="00EB0771"/>
    <w:rsid w:val="00EB07EA"/>
    <w:rsid w:val="00EB0844"/>
    <w:rsid w:val="00EB084D"/>
    <w:rsid w:val="00EB0857"/>
    <w:rsid w:val="00EB0904"/>
    <w:rsid w:val="00EB0926"/>
    <w:rsid w:val="00EB09BF"/>
    <w:rsid w:val="00EB0A32"/>
    <w:rsid w:val="00EB0A73"/>
    <w:rsid w:val="00EB0A86"/>
    <w:rsid w:val="00EB0AA0"/>
    <w:rsid w:val="00EB0B23"/>
    <w:rsid w:val="00EB0C39"/>
    <w:rsid w:val="00EB0C40"/>
    <w:rsid w:val="00EB0CF8"/>
    <w:rsid w:val="00EB0D1C"/>
    <w:rsid w:val="00EB0D7D"/>
    <w:rsid w:val="00EB0D8E"/>
    <w:rsid w:val="00EB0E31"/>
    <w:rsid w:val="00EB0EA9"/>
    <w:rsid w:val="00EB0EBC"/>
    <w:rsid w:val="00EB0FB3"/>
    <w:rsid w:val="00EB0FE0"/>
    <w:rsid w:val="00EB110B"/>
    <w:rsid w:val="00EB117D"/>
    <w:rsid w:val="00EB11CE"/>
    <w:rsid w:val="00EB11DE"/>
    <w:rsid w:val="00EB129B"/>
    <w:rsid w:val="00EB12EE"/>
    <w:rsid w:val="00EB130F"/>
    <w:rsid w:val="00EB131A"/>
    <w:rsid w:val="00EB132F"/>
    <w:rsid w:val="00EB1359"/>
    <w:rsid w:val="00EB1386"/>
    <w:rsid w:val="00EB13C5"/>
    <w:rsid w:val="00EB13E9"/>
    <w:rsid w:val="00EB13EE"/>
    <w:rsid w:val="00EB13F5"/>
    <w:rsid w:val="00EB1401"/>
    <w:rsid w:val="00EB1465"/>
    <w:rsid w:val="00EB14CB"/>
    <w:rsid w:val="00EB14E5"/>
    <w:rsid w:val="00EB1517"/>
    <w:rsid w:val="00EB15EB"/>
    <w:rsid w:val="00EB182A"/>
    <w:rsid w:val="00EB1841"/>
    <w:rsid w:val="00EB1852"/>
    <w:rsid w:val="00EB1875"/>
    <w:rsid w:val="00EB1898"/>
    <w:rsid w:val="00EB18EC"/>
    <w:rsid w:val="00EB1927"/>
    <w:rsid w:val="00EB1929"/>
    <w:rsid w:val="00EB1963"/>
    <w:rsid w:val="00EB1972"/>
    <w:rsid w:val="00EB19A9"/>
    <w:rsid w:val="00EB1A43"/>
    <w:rsid w:val="00EB1A5F"/>
    <w:rsid w:val="00EB1AB5"/>
    <w:rsid w:val="00EB1AEB"/>
    <w:rsid w:val="00EB1B45"/>
    <w:rsid w:val="00EB1B51"/>
    <w:rsid w:val="00EB1B71"/>
    <w:rsid w:val="00EB1BE2"/>
    <w:rsid w:val="00EB1BEA"/>
    <w:rsid w:val="00EB1C6B"/>
    <w:rsid w:val="00EB1C91"/>
    <w:rsid w:val="00EB1C98"/>
    <w:rsid w:val="00EB1CC1"/>
    <w:rsid w:val="00EB1D44"/>
    <w:rsid w:val="00EB1D83"/>
    <w:rsid w:val="00EB1E0E"/>
    <w:rsid w:val="00EB1ED8"/>
    <w:rsid w:val="00EB1EF4"/>
    <w:rsid w:val="00EB1F6E"/>
    <w:rsid w:val="00EB1FC2"/>
    <w:rsid w:val="00EB20C1"/>
    <w:rsid w:val="00EB20FA"/>
    <w:rsid w:val="00EB2100"/>
    <w:rsid w:val="00EB210F"/>
    <w:rsid w:val="00EB21B0"/>
    <w:rsid w:val="00EB223A"/>
    <w:rsid w:val="00EB22B7"/>
    <w:rsid w:val="00EB22EF"/>
    <w:rsid w:val="00EB234E"/>
    <w:rsid w:val="00EB2353"/>
    <w:rsid w:val="00EB2359"/>
    <w:rsid w:val="00EB2378"/>
    <w:rsid w:val="00EB238E"/>
    <w:rsid w:val="00EB23C1"/>
    <w:rsid w:val="00EB242D"/>
    <w:rsid w:val="00EB2432"/>
    <w:rsid w:val="00EB24AA"/>
    <w:rsid w:val="00EB24DD"/>
    <w:rsid w:val="00EB24E7"/>
    <w:rsid w:val="00EB2572"/>
    <w:rsid w:val="00EB2580"/>
    <w:rsid w:val="00EB25B3"/>
    <w:rsid w:val="00EB26CD"/>
    <w:rsid w:val="00EB2738"/>
    <w:rsid w:val="00EB278E"/>
    <w:rsid w:val="00EB27C6"/>
    <w:rsid w:val="00EB27D1"/>
    <w:rsid w:val="00EB27D4"/>
    <w:rsid w:val="00EB2875"/>
    <w:rsid w:val="00EB2890"/>
    <w:rsid w:val="00EB28B9"/>
    <w:rsid w:val="00EB2976"/>
    <w:rsid w:val="00EB2A41"/>
    <w:rsid w:val="00EB2AEF"/>
    <w:rsid w:val="00EB2AF5"/>
    <w:rsid w:val="00EB2B19"/>
    <w:rsid w:val="00EB2B3A"/>
    <w:rsid w:val="00EB2B40"/>
    <w:rsid w:val="00EB2B74"/>
    <w:rsid w:val="00EB2B85"/>
    <w:rsid w:val="00EB2B86"/>
    <w:rsid w:val="00EB2C0E"/>
    <w:rsid w:val="00EB2C41"/>
    <w:rsid w:val="00EB2C48"/>
    <w:rsid w:val="00EB2C7F"/>
    <w:rsid w:val="00EB2C92"/>
    <w:rsid w:val="00EB2D03"/>
    <w:rsid w:val="00EB2D5D"/>
    <w:rsid w:val="00EB2D5E"/>
    <w:rsid w:val="00EB2DFB"/>
    <w:rsid w:val="00EB2E10"/>
    <w:rsid w:val="00EB2E5F"/>
    <w:rsid w:val="00EB2EA4"/>
    <w:rsid w:val="00EB2F3C"/>
    <w:rsid w:val="00EB2FB9"/>
    <w:rsid w:val="00EB3080"/>
    <w:rsid w:val="00EB30B5"/>
    <w:rsid w:val="00EB311F"/>
    <w:rsid w:val="00EB315D"/>
    <w:rsid w:val="00EB315E"/>
    <w:rsid w:val="00EB3165"/>
    <w:rsid w:val="00EB31B1"/>
    <w:rsid w:val="00EB32F7"/>
    <w:rsid w:val="00EB332A"/>
    <w:rsid w:val="00EB341F"/>
    <w:rsid w:val="00EB34F3"/>
    <w:rsid w:val="00EB359A"/>
    <w:rsid w:val="00EB35B6"/>
    <w:rsid w:val="00EB35FC"/>
    <w:rsid w:val="00EB368E"/>
    <w:rsid w:val="00EB3690"/>
    <w:rsid w:val="00EB3713"/>
    <w:rsid w:val="00EB3764"/>
    <w:rsid w:val="00EB37DC"/>
    <w:rsid w:val="00EB384F"/>
    <w:rsid w:val="00EB3895"/>
    <w:rsid w:val="00EB38E7"/>
    <w:rsid w:val="00EB3901"/>
    <w:rsid w:val="00EB3951"/>
    <w:rsid w:val="00EB39C1"/>
    <w:rsid w:val="00EB3AB9"/>
    <w:rsid w:val="00EB3B84"/>
    <w:rsid w:val="00EB3B90"/>
    <w:rsid w:val="00EB3BC8"/>
    <w:rsid w:val="00EB3C04"/>
    <w:rsid w:val="00EB3C1B"/>
    <w:rsid w:val="00EB3C3B"/>
    <w:rsid w:val="00EB3C3D"/>
    <w:rsid w:val="00EB3C87"/>
    <w:rsid w:val="00EB3D04"/>
    <w:rsid w:val="00EB3D1A"/>
    <w:rsid w:val="00EB3D92"/>
    <w:rsid w:val="00EB3DC0"/>
    <w:rsid w:val="00EB3EC4"/>
    <w:rsid w:val="00EB3EF7"/>
    <w:rsid w:val="00EB3FD0"/>
    <w:rsid w:val="00EB405E"/>
    <w:rsid w:val="00EB4084"/>
    <w:rsid w:val="00EB40A2"/>
    <w:rsid w:val="00EB40A7"/>
    <w:rsid w:val="00EB40E6"/>
    <w:rsid w:val="00EB4116"/>
    <w:rsid w:val="00EB417E"/>
    <w:rsid w:val="00EB41F5"/>
    <w:rsid w:val="00EB4211"/>
    <w:rsid w:val="00EB4218"/>
    <w:rsid w:val="00EB429B"/>
    <w:rsid w:val="00EB42A1"/>
    <w:rsid w:val="00EB42D2"/>
    <w:rsid w:val="00EB4345"/>
    <w:rsid w:val="00EB4361"/>
    <w:rsid w:val="00EB4369"/>
    <w:rsid w:val="00EB437F"/>
    <w:rsid w:val="00EB4381"/>
    <w:rsid w:val="00EB4405"/>
    <w:rsid w:val="00EB449B"/>
    <w:rsid w:val="00EB4533"/>
    <w:rsid w:val="00EB4595"/>
    <w:rsid w:val="00EB45CE"/>
    <w:rsid w:val="00EB45FC"/>
    <w:rsid w:val="00EB4614"/>
    <w:rsid w:val="00EB4619"/>
    <w:rsid w:val="00EB46B7"/>
    <w:rsid w:val="00EB46EC"/>
    <w:rsid w:val="00EB4819"/>
    <w:rsid w:val="00EB4852"/>
    <w:rsid w:val="00EB4862"/>
    <w:rsid w:val="00EB489A"/>
    <w:rsid w:val="00EB48FA"/>
    <w:rsid w:val="00EB4940"/>
    <w:rsid w:val="00EB4942"/>
    <w:rsid w:val="00EB4977"/>
    <w:rsid w:val="00EB49DB"/>
    <w:rsid w:val="00EB4B55"/>
    <w:rsid w:val="00EB4BC1"/>
    <w:rsid w:val="00EB4C0D"/>
    <w:rsid w:val="00EB4C87"/>
    <w:rsid w:val="00EB4CDC"/>
    <w:rsid w:val="00EB4CFE"/>
    <w:rsid w:val="00EB4E58"/>
    <w:rsid w:val="00EB4EAD"/>
    <w:rsid w:val="00EB4F39"/>
    <w:rsid w:val="00EB5004"/>
    <w:rsid w:val="00EB51E0"/>
    <w:rsid w:val="00EB5370"/>
    <w:rsid w:val="00EB5388"/>
    <w:rsid w:val="00EB53AD"/>
    <w:rsid w:val="00EB53DD"/>
    <w:rsid w:val="00EB53EA"/>
    <w:rsid w:val="00EB545B"/>
    <w:rsid w:val="00EB54BC"/>
    <w:rsid w:val="00EB5540"/>
    <w:rsid w:val="00EB55B7"/>
    <w:rsid w:val="00EB564C"/>
    <w:rsid w:val="00EB567E"/>
    <w:rsid w:val="00EB56A9"/>
    <w:rsid w:val="00EB56C4"/>
    <w:rsid w:val="00EB5716"/>
    <w:rsid w:val="00EB5738"/>
    <w:rsid w:val="00EB5754"/>
    <w:rsid w:val="00EB57DA"/>
    <w:rsid w:val="00EB5833"/>
    <w:rsid w:val="00EB5847"/>
    <w:rsid w:val="00EB5853"/>
    <w:rsid w:val="00EB5969"/>
    <w:rsid w:val="00EB59A2"/>
    <w:rsid w:val="00EB59A9"/>
    <w:rsid w:val="00EB5B0F"/>
    <w:rsid w:val="00EB5B3A"/>
    <w:rsid w:val="00EB5B96"/>
    <w:rsid w:val="00EB5B9C"/>
    <w:rsid w:val="00EB5BD3"/>
    <w:rsid w:val="00EB5C67"/>
    <w:rsid w:val="00EB5CDF"/>
    <w:rsid w:val="00EB5D16"/>
    <w:rsid w:val="00EB5D8F"/>
    <w:rsid w:val="00EB5E07"/>
    <w:rsid w:val="00EB5E0B"/>
    <w:rsid w:val="00EB5E2A"/>
    <w:rsid w:val="00EB5E4D"/>
    <w:rsid w:val="00EB5E76"/>
    <w:rsid w:val="00EB5E8D"/>
    <w:rsid w:val="00EB5EC4"/>
    <w:rsid w:val="00EB5EFE"/>
    <w:rsid w:val="00EB5F03"/>
    <w:rsid w:val="00EB5F0A"/>
    <w:rsid w:val="00EB5F3B"/>
    <w:rsid w:val="00EB5F62"/>
    <w:rsid w:val="00EB5F63"/>
    <w:rsid w:val="00EB5F7F"/>
    <w:rsid w:val="00EB5F9A"/>
    <w:rsid w:val="00EB5FBE"/>
    <w:rsid w:val="00EB60B8"/>
    <w:rsid w:val="00EB61AE"/>
    <w:rsid w:val="00EB625E"/>
    <w:rsid w:val="00EB6289"/>
    <w:rsid w:val="00EB62CC"/>
    <w:rsid w:val="00EB631D"/>
    <w:rsid w:val="00EB63D1"/>
    <w:rsid w:val="00EB640B"/>
    <w:rsid w:val="00EB6454"/>
    <w:rsid w:val="00EB64E6"/>
    <w:rsid w:val="00EB659A"/>
    <w:rsid w:val="00EB66FE"/>
    <w:rsid w:val="00EB672C"/>
    <w:rsid w:val="00EB673F"/>
    <w:rsid w:val="00EB67BD"/>
    <w:rsid w:val="00EB67E7"/>
    <w:rsid w:val="00EB6871"/>
    <w:rsid w:val="00EB690A"/>
    <w:rsid w:val="00EB6915"/>
    <w:rsid w:val="00EB6923"/>
    <w:rsid w:val="00EB69E6"/>
    <w:rsid w:val="00EB6ACA"/>
    <w:rsid w:val="00EB6AE3"/>
    <w:rsid w:val="00EB6B11"/>
    <w:rsid w:val="00EB6B24"/>
    <w:rsid w:val="00EB6B95"/>
    <w:rsid w:val="00EB6BC3"/>
    <w:rsid w:val="00EB6C26"/>
    <w:rsid w:val="00EB6C58"/>
    <w:rsid w:val="00EB6C74"/>
    <w:rsid w:val="00EB6D64"/>
    <w:rsid w:val="00EB6DA0"/>
    <w:rsid w:val="00EB6DDA"/>
    <w:rsid w:val="00EB6E82"/>
    <w:rsid w:val="00EB6F38"/>
    <w:rsid w:val="00EB6F6E"/>
    <w:rsid w:val="00EB6F97"/>
    <w:rsid w:val="00EB6FD4"/>
    <w:rsid w:val="00EB700A"/>
    <w:rsid w:val="00EB703F"/>
    <w:rsid w:val="00EB70CD"/>
    <w:rsid w:val="00EB71E7"/>
    <w:rsid w:val="00EB71F0"/>
    <w:rsid w:val="00EB72AC"/>
    <w:rsid w:val="00EB72EA"/>
    <w:rsid w:val="00EB7349"/>
    <w:rsid w:val="00EB734E"/>
    <w:rsid w:val="00EB7380"/>
    <w:rsid w:val="00EB739D"/>
    <w:rsid w:val="00EB73D3"/>
    <w:rsid w:val="00EB74A0"/>
    <w:rsid w:val="00EB74C0"/>
    <w:rsid w:val="00EB75CD"/>
    <w:rsid w:val="00EB7614"/>
    <w:rsid w:val="00EB765E"/>
    <w:rsid w:val="00EB76ED"/>
    <w:rsid w:val="00EB76EF"/>
    <w:rsid w:val="00EB76F7"/>
    <w:rsid w:val="00EB77F0"/>
    <w:rsid w:val="00EB77FE"/>
    <w:rsid w:val="00EB7871"/>
    <w:rsid w:val="00EB7908"/>
    <w:rsid w:val="00EB7927"/>
    <w:rsid w:val="00EB79C0"/>
    <w:rsid w:val="00EB79CB"/>
    <w:rsid w:val="00EB79D4"/>
    <w:rsid w:val="00EB7AAE"/>
    <w:rsid w:val="00EB7AD5"/>
    <w:rsid w:val="00EB7AE6"/>
    <w:rsid w:val="00EB7B17"/>
    <w:rsid w:val="00EB7B22"/>
    <w:rsid w:val="00EB7B31"/>
    <w:rsid w:val="00EB7B3B"/>
    <w:rsid w:val="00EB7D9C"/>
    <w:rsid w:val="00EB7DB1"/>
    <w:rsid w:val="00EB7E83"/>
    <w:rsid w:val="00EB7ED8"/>
    <w:rsid w:val="00EB7EDC"/>
    <w:rsid w:val="00EB7F02"/>
    <w:rsid w:val="00EB7F05"/>
    <w:rsid w:val="00EB7F0A"/>
    <w:rsid w:val="00EB7F83"/>
    <w:rsid w:val="00EB7FCD"/>
    <w:rsid w:val="00EB7FEF"/>
    <w:rsid w:val="00EC0026"/>
    <w:rsid w:val="00EC0031"/>
    <w:rsid w:val="00EC004F"/>
    <w:rsid w:val="00EC0073"/>
    <w:rsid w:val="00EC008D"/>
    <w:rsid w:val="00EC0092"/>
    <w:rsid w:val="00EC009D"/>
    <w:rsid w:val="00EC009E"/>
    <w:rsid w:val="00EC00CC"/>
    <w:rsid w:val="00EC01BD"/>
    <w:rsid w:val="00EC0268"/>
    <w:rsid w:val="00EC028B"/>
    <w:rsid w:val="00EC0385"/>
    <w:rsid w:val="00EC041A"/>
    <w:rsid w:val="00EC0473"/>
    <w:rsid w:val="00EC04BB"/>
    <w:rsid w:val="00EC052B"/>
    <w:rsid w:val="00EC056B"/>
    <w:rsid w:val="00EC057A"/>
    <w:rsid w:val="00EC0617"/>
    <w:rsid w:val="00EC0644"/>
    <w:rsid w:val="00EC0664"/>
    <w:rsid w:val="00EC0695"/>
    <w:rsid w:val="00EC0747"/>
    <w:rsid w:val="00EC078D"/>
    <w:rsid w:val="00EC07BF"/>
    <w:rsid w:val="00EC07DA"/>
    <w:rsid w:val="00EC089C"/>
    <w:rsid w:val="00EC0951"/>
    <w:rsid w:val="00EC0B07"/>
    <w:rsid w:val="00EC0C12"/>
    <w:rsid w:val="00EC0C86"/>
    <w:rsid w:val="00EC0C94"/>
    <w:rsid w:val="00EC0C95"/>
    <w:rsid w:val="00EC0CD2"/>
    <w:rsid w:val="00EC0D2B"/>
    <w:rsid w:val="00EC0D34"/>
    <w:rsid w:val="00EC0D39"/>
    <w:rsid w:val="00EC0D86"/>
    <w:rsid w:val="00EC0D9E"/>
    <w:rsid w:val="00EC0E5C"/>
    <w:rsid w:val="00EC0E67"/>
    <w:rsid w:val="00EC0EC9"/>
    <w:rsid w:val="00EC0ED1"/>
    <w:rsid w:val="00EC0FCD"/>
    <w:rsid w:val="00EC0FE5"/>
    <w:rsid w:val="00EC1002"/>
    <w:rsid w:val="00EC1020"/>
    <w:rsid w:val="00EC1052"/>
    <w:rsid w:val="00EC1087"/>
    <w:rsid w:val="00EC1096"/>
    <w:rsid w:val="00EC10E0"/>
    <w:rsid w:val="00EC1100"/>
    <w:rsid w:val="00EC11CB"/>
    <w:rsid w:val="00EC1234"/>
    <w:rsid w:val="00EC124A"/>
    <w:rsid w:val="00EC126C"/>
    <w:rsid w:val="00EC12B9"/>
    <w:rsid w:val="00EC1317"/>
    <w:rsid w:val="00EC1367"/>
    <w:rsid w:val="00EC1375"/>
    <w:rsid w:val="00EC13A1"/>
    <w:rsid w:val="00EC1407"/>
    <w:rsid w:val="00EC146E"/>
    <w:rsid w:val="00EC1489"/>
    <w:rsid w:val="00EC14AF"/>
    <w:rsid w:val="00EC14F6"/>
    <w:rsid w:val="00EC153A"/>
    <w:rsid w:val="00EC154F"/>
    <w:rsid w:val="00EC159C"/>
    <w:rsid w:val="00EC160B"/>
    <w:rsid w:val="00EC1673"/>
    <w:rsid w:val="00EC16D0"/>
    <w:rsid w:val="00EC1721"/>
    <w:rsid w:val="00EC177E"/>
    <w:rsid w:val="00EC17E6"/>
    <w:rsid w:val="00EC17F9"/>
    <w:rsid w:val="00EC1849"/>
    <w:rsid w:val="00EC1868"/>
    <w:rsid w:val="00EC190F"/>
    <w:rsid w:val="00EC1911"/>
    <w:rsid w:val="00EC1946"/>
    <w:rsid w:val="00EC199B"/>
    <w:rsid w:val="00EC19B8"/>
    <w:rsid w:val="00EC1AB5"/>
    <w:rsid w:val="00EC1ACA"/>
    <w:rsid w:val="00EC1B10"/>
    <w:rsid w:val="00EC1B2F"/>
    <w:rsid w:val="00EC1B8D"/>
    <w:rsid w:val="00EC1BBA"/>
    <w:rsid w:val="00EC1BE1"/>
    <w:rsid w:val="00EC1C02"/>
    <w:rsid w:val="00EC1CFD"/>
    <w:rsid w:val="00EC1D68"/>
    <w:rsid w:val="00EC1ED4"/>
    <w:rsid w:val="00EC1EE3"/>
    <w:rsid w:val="00EC1F29"/>
    <w:rsid w:val="00EC1F4C"/>
    <w:rsid w:val="00EC1FA5"/>
    <w:rsid w:val="00EC1FC5"/>
    <w:rsid w:val="00EC20A6"/>
    <w:rsid w:val="00EC20E0"/>
    <w:rsid w:val="00EC21AF"/>
    <w:rsid w:val="00EC21B4"/>
    <w:rsid w:val="00EC21DA"/>
    <w:rsid w:val="00EC2281"/>
    <w:rsid w:val="00EC2286"/>
    <w:rsid w:val="00EC22B0"/>
    <w:rsid w:val="00EC2333"/>
    <w:rsid w:val="00EC2355"/>
    <w:rsid w:val="00EC2452"/>
    <w:rsid w:val="00EC246D"/>
    <w:rsid w:val="00EC2488"/>
    <w:rsid w:val="00EC2498"/>
    <w:rsid w:val="00EC2508"/>
    <w:rsid w:val="00EC2548"/>
    <w:rsid w:val="00EC25A5"/>
    <w:rsid w:val="00EC25F2"/>
    <w:rsid w:val="00EC25FC"/>
    <w:rsid w:val="00EC265B"/>
    <w:rsid w:val="00EC2665"/>
    <w:rsid w:val="00EC2727"/>
    <w:rsid w:val="00EC2748"/>
    <w:rsid w:val="00EC2750"/>
    <w:rsid w:val="00EC2779"/>
    <w:rsid w:val="00EC27D3"/>
    <w:rsid w:val="00EC2811"/>
    <w:rsid w:val="00EC285F"/>
    <w:rsid w:val="00EC2860"/>
    <w:rsid w:val="00EC289C"/>
    <w:rsid w:val="00EC28DA"/>
    <w:rsid w:val="00EC2932"/>
    <w:rsid w:val="00EC29E1"/>
    <w:rsid w:val="00EC2A12"/>
    <w:rsid w:val="00EC2A1B"/>
    <w:rsid w:val="00EC2AA1"/>
    <w:rsid w:val="00EC2AE8"/>
    <w:rsid w:val="00EC2B1D"/>
    <w:rsid w:val="00EC2BB4"/>
    <w:rsid w:val="00EC2C57"/>
    <w:rsid w:val="00EC2C9E"/>
    <w:rsid w:val="00EC2CAA"/>
    <w:rsid w:val="00EC2CCB"/>
    <w:rsid w:val="00EC2D48"/>
    <w:rsid w:val="00EC2D96"/>
    <w:rsid w:val="00EC2E19"/>
    <w:rsid w:val="00EC2EB9"/>
    <w:rsid w:val="00EC2F4E"/>
    <w:rsid w:val="00EC2F77"/>
    <w:rsid w:val="00EC304B"/>
    <w:rsid w:val="00EC308B"/>
    <w:rsid w:val="00EC31CB"/>
    <w:rsid w:val="00EC3261"/>
    <w:rsid w:val="00EC32A4"/>
    <w:rsid w:val="00EC32B6"/>
    <w:rsid w:val="00EC3309"/>
    <w:rsid w:val="00EC3320"/>
    <w:rsid w:val="00EC33A1"/>
    <w:rsid w:val="00EC33DE"/>
    <w:rsid w:val="00EC340E"/>
    <w:rsid w:val="00EC3415"/>
    <w:rsid w:val="00EC350C"/>
    <w:rsid w:val="00EC3516"/>
    <w:rsid w:val="00EC354C"/>
    <w:rsid w:val="00EC35C9"/>
    <w:rsid w:val="00EC35E1"/>
    <w:rsid w:val="00EC361D"/>
    <w:rsid w:val="00EC3643"/>
    <w:rsid w:val="00EC368A"/>
    <w:rsid w:val="00EC36BA"/>
    <w:rsid w:val="00EC3750"/>
    <w:rsid w:val="00EC37CE"/>
    <w:rsid w:val="00EC3822"/>
    <w:rsid w:val="00EC38AB"/>
    <w:rsid w:val="00EC38FD"/>
    <w:rsid w:val="00EC391B"/>
    <w:rsid w:val="00EC393E"/>
    <w:rsid w:val="00EC3958"/>
    <w:rsid w:val="00EC3A70"/>
    <w:rsid w:val="00EC3ABE"/>
    <w:rsid w:val="00EC3AEE"/>
    <w:rsid w:val="00EC3B25"/>
    <w:rsid w:val="00EC3B38"/>
    <w:rsid w:val="00EC3BCA"/>
    <w:rsid w:val="00EC3BE4"/>
    <w:rsid w:val="00EC3BF1"/>
    <w:rsid w:val="00EC3C04"/>
    <w:rsid w:val="00EC3C29"/>
    <w:rsid w:val="00EC3DF0"/>
    <w:rsid w:val="00EC3E0C"/>
    <w:rsid w:val="00EC3E51"/>
    <w:rsid w:val="00EC3E6B"/>
    <w:rsid w:val="00EC3E84"/>
    <w:rsid w:val="00EC3EB6"/>
    <w:rsid w:val="00EC3F41"/>
    <w:rsid w:val="00EC3FBB"/>
    <w:rsid w:val="00EC3FF3"/>
    <w:rsid w:val="00EC4045"/>
    <w:rsid w:val="00EC407D"/>
    <w:rsid w:val="00EC409F"/>
    <w:rsid w:val="00EC40E7"/>
    <w:rsid w:val="00EC40EC"/>
    <w:rsid w:val="00EC4129"/>
    <w:rsid w:val="00EC417F"/>
    <w:rsid w:val="00EC41D3"/>
    <w:rsid w:val="00EC420D"/>
    <w:rsid w:val="00EC422D"/>
    <w:rsid w:val="00EC42D3"/>
    <w:rsid w:val="00EC42D7"/>
    <w:rsid w:val="00EC42E8"/>
    <w:rsid w:val="00EC43E1"/>
    <w:rsid w:val="00EC442A"/>
    <w:rsid w:val="00EC4466"/>
    <w:rsid w:val="00EC44FA"/>
    <w:rsid w:val="00EC4500"/>
    <w:rsid w:val="00EC464B"/>
    <w:rsid w:val="00EC4708"/>
    <w:rsid w:val="00EC4751"/>
    <w:rsid w:val="00EC4832"/>
    <w:rsid w:val="00EC498A"/>
    <w:rsid w:val="00EC49BC"/>
    <w:rsid w:val="00EC4A25"/>
    <w:rsid w:val="00EC4A3B"/>
    <w:rsid w:val="00EC4BB8"/>
    <w:rsid w:val="00EC4BBC"/>
    <w:rsid w:val="00EC4C06"/>
    <w:rsid w:val="00EC4C6B"/>
    <w:rsid w:val="00EC4C83"/>
    <w:rsid w:val="00EC4DEA"/>
    <w:rsid w:val="00EC4DEE"/>
    <w:rsid w:val="00EC4E11"/>
    <w:rsid w:val="00EC4E95"/>
    <w:rsid w:val="00EC4ECC"/>
    <w:rsid w:val="00EC4F15"/>
    <w:rsid w:val="00EC4F71"/>
    <w:rsid w:val="00EC4F94"/>
    <w:rsid w:val="00EC4FAE"/>
    <w:rsid w:val="00EC4FB3"/>
    <w:rsid w:val="00EC4FEC"/>
    <w:rsid w:val="00EC502E"/>
    <w:rsid w:val="00EC5046"/>
    <w:rsid w:val="00EC50D4"/>
    <w:rsid w:val="00EC51A5"/>
    <w:rsid w:val="00EC527F"/>
    <w:rsid w:val="00EC5306"/>
    <w:rsid w:val="00EC5309"/>
    <w:rsid w:val="00EC535A"/>
    <w:rsid w:val="00EC5384"/>
    <w:rsid w:val="00EC53C6"/>
    <w:rsid w:val="00EC5414"/>
    <w:rsid w:val="00EC542B"/>
    <w:rsid w:val="00EC546F"/>
    <w:rsid w:val="00EC54BC"/>
    <w:rsid w:val="00EC560A"/>
    <w:rsid w:val="00EC566E"/>
    <w:rsid w:val="00EC5688"/>
    <w:rsid w:val="00EC570F"/>
    <w:rsid w:val="00EC572C"/>
    <w:rsid w:val="00EC577A"/>
    <w:rsid w:val="00EC57AE"/>
    <w:rsid w:val="00EC57C1"/>
    <w:rsid w:val="00EC57CF"/>
    <w:rsid w:val="00EC5820"/>
    <w:rsid w:val="00EC584D"/>
    <w:rsid w:val="00EC58F4"/>
    <w:rsid w:val="00EC595F"/>
    <w:rsid w:val="00EC5994"/>
    <w:rsid w:val="00EC59EB"/>
    <w:rsid w:val="00EC59F9"/>
    <w:rsid w:val="00EC5A12"/>
    <w:rsid w:val="00EC5A26"/>
    <w:rsid w:val="00EC5A66"/>
    <w:rsid w:val="00EC5A87"/>
    <w:rsid w:val="00EC5B14"/>
    <w:rsid w:val="00EC5C1C"/>
    <w:rsid w:val="00EC5C33"/>
    <w:rsid w:val="00EC5C90"/>
    <w:rsid w:val="00EC5D5A"/>
    <w:rsid w:val="00EC5DEA"/>
    <w:rsid w:val="00EC5DF1"/>
    <w:rsid w:val="00EC5E27"/>
    <w:rsid w:val="00EC5EB9"/>
    <w:rsid w:val="00EC5F88"/>
    <w:rsid w:val="00EC6061"/>
    <w:rsid w:val="00EC60DE"/>
    <w:rsid w:val="00EC60F2"/>
    <w:rsid w:val="00EC6115"/>
    <w:rsid w:val="00EC618B"/>
    <w:rsid w:val="00EC61E5"/>
    <w:rsid w:val="00EC6213"/>
    <w:rsid w:val="00EC6219"/>
    <w:rsid w:val="00EC6227"/>
    <w:rsid w:val="00EC6246"/>
    <w:rsid w:val="00EC631B"/>
    <w:rsid w:val="00EC6356"/>
    <w:rsid w:val="00EC636B"/>
    <w:rsid w:val="00EC644E"/>
    <w:rsid w:val="00EC64AD"/>
    <w:rsid w:val="00EC6591"/>
    <w:rsid w:val="00EC65BA"/>
    <w:rsid w:val="00EC65DE"/>
    <w:rsid w:val="00EC6634"/>
    <w:rsid w:val="00EC6658"/>
    <w:rsid w:val="00EC669F"/>
    <w:rsid w:val="00EC66A1"/>
    <w:rsid w:val="00EC66B3"/>
    <w:rsid w:val="00EC66E0"/>
    <w:rsid w:val="00EC6756"/>
    <w:rsid w:val="00EC6779"/>
    <w:rsid w:val="00EC6858"/>
    <w:rsid w:val="00EC686D"/>
    <w:rsid w:val="00EC68A4"/>
    <w:rsid w:val="00EC690C"/>
    <w:rsid w:val="00EC691E"/>
    <w:rsid w:val="00EC6945"/>
    <w:rsid w:val="00EC6969"/>
    <w:rsid w:val="00EC69A5"/>
    <w:rsid w:val="00EC69C7"/>
    <w:rsid w:val="00EC69F5"/>
    <w:rsid w:val="00EC6A8C"/>
    <w:rsid w:val="00EC6AAF"/>
    <w:rsid w:val="00EC6AE1"/>
    <w:rsid w:val="00EC6B16"/>
    <w:rsid w:val="00EC6B35"/>
    <w:rsid w:val="00EC6B5B"/>
    <w:rsid w:val="00EC6BC4"/>
    <w:rsid w:val="00EC6BFC"/>
    <w:rsid w:val="00EC6C0B"/>
    <w:rsid w:val="00EC6C68"/>
    <w:rsid w:val="00EC6C74"/>
    <w:rsid w:val="00EC6C77"/>
    <w:rsid w:val="00EC6D79"/>
    <w:rsid w:val="00EC6DCE"/>
    <w:rsid w:val="00EC6E00"/>
    <w:rsid w:val="00EC6E2C"/>
    <w:rsid w:val="00EC6E72"/>
    <w:rsid w:val="00EC6EA9"/>
    <w:rsid w:val="00EC6EE1"/>
    <w:rsid w:val="00EC6EF7"/>
    <w:rsid w:val="00EC6F1B"/>
    <w:rsid w:val="00EC6FB9"/>
    <w:rsid w:val="00EC6FD3"/>
    <w:rsid w:val="00EC7004"/>
    <w:rsid w:val="00EC7019"/>
    <w:rsid w:val="00EC7025"/>
    <w:rsid w:val="00EC702C"/>
    <w:rsid w:val="00EC7067"/>
    <w:rsid w:val="00EC70CF"/>
    <w:rsid w:val="00EC70FC"/>
    <w:rsid w:val="00EC715F"/>
    <w:rsid w:val="00EC71C9"/>
    <w:rsid w:val="00EC71CF"/>
    <w:rsid w:val="00EC71F8"/>
    <w:rsid w:val="00EC7276"/>
    <w:rsid w:val="00EC72AA"/>
    <w:rsid w:val="00EC72D8"/>
    <w:rsid w:val="00EC7304"/>
    <w:rsid w:val="00EC7323"/>
    <w:rsid w:val="00EC7344"/>
    <w:rsid w:val="00EC7348"/>
    <w:rsid w:val="00EC7356"/>
    <w:rsid w:val="00EC73CD"/>
    <w:rsid w:val="00EC73DF"/>
    <w:rsid w:val="00EC7405"/>
    <w:rsid w:val="00EC7419"/>
    <w:rsid w:val="00EC741C"/>
    <w:rsid w:val="00EC742D"/>
    <w:rsid w:val="00EC74CB"/>
    <w:rsid w:val="00EC74E1"/>
    <w:rsid w:val="00EC74F9"/>
    <w:rsid w:val="00EC7500"/>
    <w:rsid w:val="00EC756E"/>
    <w:rsid w:val="00EC7643"/>
    <w:rsid w:val="00EC7665"/>
    <w:rsid w:val="00EC76EB"/>
    <w:rsid w:val="00EC770E"/>
    <w:rsid w:val="00EC771D"/>
    <w:rsid w:val="00EC774F"/>
    <w:rsid w:val="00EC7754"/>
    <w:rsid w:val="00EC77DC"/>
    <w:rsid w:val="00EC77DE"/>
    <w:rsid w:val="00EC7894"/>
    <w:rsid w:val="00EC78A6"/>
    <w:rsid w:val="00EC78CD"/>
    <w:rsid w:val="00EC78EB"/>
    <w:rsid w:val="00EC791A"/>
    <w:rsid w:val="00EC7A04"/>
    <w:rsid w:val="00EC7A50"/>
    <w:rsid w:val="00EC7BBB"/>
    <w:rsid w:val="00EC7BC9"/>
    <w:rsid w:val="00EC7BFB"/>
    <w:rsid w:val="00EC7C1B"/>
    <w:rsid w:val="00EC7CB3"/>
    <w:rsid w:val="00EC7CEB"/>
    <w:rsid w:val="00EC7CF0"/>
    <w:rsid w:val="00EC7D12"/>
    <w:rsid w:val="00EC7D15"/>
    <w:rsid w:val="00EC7D5E"/>
    <w:rsid w:val="00EC7D85"/>
    <w:rsid w:val="00EC7DB5"/>
    <w:rsid w:val="00EC7E37"/>
    <w:rsid w:val="00EC7F57"/>
    <w:rsid w:val="00EC7F72"/>
    <w:rsid w:val="00EC7FFE"/>
    <w:rsid w:val="00ED004D"/>
    <w:rsid w:val="00ED009D"/>
    <w:rsid w:val="00ED00B3"/>
    <w:rsid w:val="00ED00FD"/>
    <w:rsid w:val="00ED0105"/>
    <w:rsid w:val="00ED0278"/>
    <w:rsid w:val="00ED0351"/>
    <w:rsid w:val="00ED03A2"/>
    <w:rsid w:val="00ED03AD"/>
    <w:rsid w:val="00ED03D9"/>
    <w:rsid w:val="00ED0459"/>
    <w:rsid w:val="00ED04BF"/>
    <w:rsid w:val="00ED054B"/>
    <w:rsid w:val="00ED060A"/>
    <w:rsid w:val="00ED070E"/>
    <w:rsid w:val="00ED0718"/>
    <w:rsid w:val="00ED0723"/>
    <w:rsid w:val="00ED07C0"/>
    <w:rsid w:val="00ED083E"/>
    <w:rsid w:val="00ED08AA"/>
    <w:rsid w:val="00ED090D"/>
    <w:rsid w:val="00ED0965"/>
    <w:rsid w:val="00ED09A9"/>
    <w:rsid w:val="00ED09BF"/>
    <w:rsid w:val="00ED0A90"/>
    <w:rsid w:val="00ED0AF1"/>
    <w:rsid w:val="00ED0B45"/>
    <w:rsid w:val="00ED0B4D"/>
    <w:rsid w:val="00ED0B91"/>
    <w:rsid w:val="00ED0B92"/>
    <w:rsid w:val="00ED0C21"/>
    <w:rsid w:val="00ED0C2C"/>
    <w:rsid w:val="00ED0CAA"/>
    <w:rsid w:val="00ED0D59"/>
    <w:rsid w:val="00ED0D69"/>
    <w:rsid w:val="00ED0DDF"/>
    <w:rsid w:val="00ED0E39"/>
    <w:rsid w:val="00ED0F29"/>
    <w:rsid w:val="00ED0F51"/>
    <w:rsid w:val="00ED0F8A"/>
    <w:rsid w:val="00ED0F98"/>
    <w:rsid w:val="00ED0F9A"/>
    <w:rsid w:val="00ED0FB9"/>
    <w:rsid w:val="00ED0FEF"/>
    <w:rsid w:val="00ED0FF5"/>
    <w:rsid w:val="00ED1026"/>
    <w:rsid w:val="00ED113F"/>
    <w:rsid w:val="00ED1195"/>
    <w:rsid w:val="00ED123B"/>
    <w:rsid w:val="00ED1386"/>
    <w:rsid w:val="00ED141D"/>
    <w:rsid w:val="00ED1476"/>
    <w:rsid w:val="00ED14FB"/>
    <w:rsid w:val="00ED1502"/>
    <w:rsid w:val="00ED1509"/>
    <w:rsid w:val="00ED15E6"/>
    <w:rsid w:val="00ED15F3"/>
    <w:rsid w:val="00ED15FE"/>
    <w:rsid w:val="00ED163F"/>
    <w:rsid w:val="00ED1673"/>
    <w:rsid w:val="00ED167F"/>
    <w:rsid w:val="00ED17CC"/>
    <w:rsid w:val="00ED1885"/>
    <w:rsid w:val="00ED18D9"/>
    <w:rsid w:val="00ED1994"/>
    <w:rsid w:val="00ED19D5"/>
    <w:rsid w:val="00ED1A08"/>
    <w:rsid w:val="00ED1A1D"/>
    <w:rsid w:val="00ED1A5A"/>
    <w:rsid w:val="00ED1A6A"/>
    <w:rsid w:val="00ED1B8F"/>
    <w:rsid w:val="00ED1BBD"/>
    <w:rsid w:val="00ED1BDF"/>
    <w:rsid w:val="00ED1C67"/>
    <w:rsid w:val="00ED1C8C"/>
    <w:rsid w:val="00ED1CBD"/>
    <w:rsid w:val="00ED1CDF"/>
    <w:rsid w:val="00ED1CF0"/>
    <w:rsid w:val="00ED1D34"/>
    <w:rsid w:val="00ED1D3C"/>
    <w:rsid w:val="00ED1D4F"/>
    <w:rsid w:val="00ED1DBD"/>
    <w:rsid w:val="00ED1E07"/>
    <w:rsid w:val="00ED1E0D"/>
    <w:rsid w:val="00ED1E4D"/>
    <w:rsid w:val="00ED1E75"/>
    <w:rsid w:val="00ED1EC1"/>
    <w:rsid w:val="00ED1FCA"/>
    <w:rsid w:val="00ED1FF7"/>
    <w:rsid w:val="00ED1FFE"/>
    <w:rsid w:val="00ED211F"/>
    <w:rsid w:val="00ED2148"/>
    <w:rsid w:val="00ED2171"/>
    <w:rsid w:val="00ED217E"/>
    <w:rsid w:val="00ED21DD"/>
    <w:rsid w:val="00ED2282"/>
    <w:rsid w:val="00ED2342"/>
    <w:rsid w:val="00ED235B"/>
    <w:rsid w:val="00ED2373"/>
    <w:rsid w:val="00ED2402"/>
    <w:rsid w:val="00ED2419"/>
    <w:rsid w:val="00ED243F"/>
    <w:rsid w:val="00ED247F"/>
    <w:rsid w:val="00ED2481"/>
    <w:rsid w:val="00ED2483"/>
    <w:rsid w:val="00ED24CC"/>
    <w:rsid w:val="00ED24DD"/>
    <w:rsid w:val="00ED2573"/>
    <w:rsid w:val="00ED25AF"/>
    <w:rsid w:val="00ED26BA"/>
    <w:rsid w:val="00ED26F3"/>
    <w:rsid w:val="00ED26FF"/>
    <w:rsid w:val="00ED2719"/>
    <w:rsid w:val="00ED2762"/>
    <w:rsid w:val="00ED27B6"/>
    <w:rsid w:val="00ED27F9"/>
    <w:rsid w:val="00ED2838"/>
    <w:rsid w:val="00ED2840"/>
    <w:rsid w:val="00ED288C"/>
    <w:rsid w:val="00ED28A8"/>
    <w:rsid w:val="00ED28DF"/>
    <w:rsid w:val="00ED292E"/>
    <w:rsid w:val="00ED299F"/>
    <w:rsid w:val="00ED29F4"/>
    <w:rsid w:val="00ED2A14"/>
    <w:rsid w:val="00ED2A2C"/>
    <w:rsid w:val="00ED2A90"/>
    <w:rsid w:val="00ED2ABA"/>
    <w:rsid w:val="00ED2AD3"/>
    <w:rsid w:val="00ED2AF6"/>
    <w:rsid w:val="00ED2AFE"/>
    <w:rsid w:val="00ED2B5C"/>
    <w:rsid w:val="00ED2B69"/>
    <w:rsid w:val="00ED2BC9"/>
    <w:rsid w:val="00ED2CB2"/>
    <w:rsid w:val="00ED2D02"/>
    <w:rsid w:val="00ED2D4C"/>
    <w:rsid w:val="00ED2D82"/>
    <w:rsid w:val="00ED2DD4"/>
    <w:rsid w:val="00ED2E56"/>
    <w:rsid w:val="00ED2EAD"/>
    <w:rsid w:val="00ED2EDF"/>
    <w:rsid w:val="00ED2F0C"/>
    <w:rsid w:val="00ED2F74"/>
    <w:rsid w:val="00ED2F89"/>
    <w:rsid w:val="00ED3017"/>
    <w:rsid w:val="00ED303F"/>
    <w:rsid w:val="00ED3053"/>
    <w:rsid w:val="00ED30D2"/>
    <w:rsid w:val="00ED3173"/>
    <w:rsid w:val="00ED31BA"/>
    <w:rsid w:val="00ED31E2"/>
    <w:rsid w:val="00ED31F7"/>
    <w:rsid w:val="00ED3203"/>
    <w:rsid w:val="00ED3226"/>
    <w:rsid w:val="00ED3301"/>
    <w:rsid w:val="00ED33AC"/>
    <w:rsid w:val="00ED33C3"/>
    <w:rsid w:val="00ED34E4"/>
    <w:rsid w:val="00ED3502"/>
    <w:rsid w:val="00ED3561"/>
    <w:rsid w:val="00ED35D0"/>
    <w:rsid w:val="00ED368E"/>
    <w:rsid w:val="00ED3704"/>
    <w:rsid w:val="00ED37BE"/>
    <w:rsid w:val="00ED380A"/>
    <w:rsid w:val="00ED382C"/>
    <w:rsid w:val="00ED385B"/>
    <w:rsid w:val="00ED388E"/>
    <w:rsid w:val="00ED38CD"/>
    <w:rsid w:val="00ED3941"/>
    <w:rsid w:val="00ED39D3"/>
    <w:rsid w:val="00ED3A20"/>
    <w:rsid w:val="00ED3A3B"/>
    <w:rsid w:val="00ED3A40"/>
    <w:rsid w:val="00ED3A81"/>
    <w:rsid w:val="00ED3AAB"/>
    <w:rsid w:val="00ED3B0A"/>
    <w:rsid w:val="00ED3B58"/>
    <w:rsid w:val="00ED3BD4"/>
    <w:rsid w:val="00ED3C37"/>
    <w:rsid w:val="00ED3CA3"/>
    <w:rsid w:val="00ED3CA9"/>
    <w:rsid w:val="00ED3CCE"/>
    <w:rsid w:val="00ED3D38"/>
    <w:rsid w:val="00ED3D39"/>
    <w:rsid w:val="00ED3DAA"/>
    <w:rsid w:val="00ED3F68"/>
    <w:rsid w:val="00ED3FA1"/>
    <w:rsid w:val="00ED3FF5"/>
    <w:rsid w:val="00ED3FF6"/>
    <w:rsid w:val="00ED4036"/>
    <w:rsid w:val="00ED409E"/>
    <w:rsid w:val="00ED40D8"/>
    <w:rsid w:val="00ED41B2"/>
    <w:rsid w:val="00ED41EF"/>
    <w:rsid w:val="00ED423F"/>
    <w:rsid w:val="00ED4244"/>
    <w:rsid w:val="00ED4286"/>
    <w:rsid w:val="00ED42D4"/>
    <w:rsid w:val="00ED4323"/>
    <w:rsid w:val="00ED435D"/>
    <w:rsid w:val="00ED4400"/>
    <w:rsid w:val="00ED443E"/>
    <w:rsid w:val="00ED4470"/>
    <w:rsid w:val="00ED44A8"/>
    <w:rsid w:val="00ED44BF"/>
    <w:rsid w:val="00ED44C1"/>
    <w:rsid w:val="00ED44F7"/>
    <w:rsid w:val="00ED451E"/>
    <w:rsid w:val="00ED452A"/>
    <w:rsid w:val="00ED452E"/>
    <w:rsid w:val="00ED45AC"/>
    <w:rsid w:val="00ED461D"/>
    <w:rsid w:val="00ED461F"/>
    <w:rsid w:val="00ED46A3"/>
    <w:rsid w:val="00ED46D5"/>
    <w:rsid w:val="00ED4785"/>
    <w:rsid w:val="00ED47A9"/>
    <w:rsid w:val="00ED4808"/>
    <w:rsid w:val="00ED4870"/>
    <w:rsid w:val="00ED4954"/>
    <w:rsid w:val="00ED4965"/>
    <w:rsid w:val="00ED4994"/>
    <w:rsid w:val="00ED499F"/>
    <w:rsid w:val="00ED49F7"/>
    <w:rsid w:val="00ED4A17"/>
    <w:rsid w:val="00ED4ACF"/>
    <w:rsid w:val="00ED4B11"/>
    <w:rsid w:val="00ED4B6E"/>
    <w:rsid w:val="00ED4BF3"/>
    <w:rsid w:val="00ED4CA8"/>
    <w:rsid w:val="00ED4D2D"/>
    <w:rsid w:val="00ED4D34"/>
    <w:rsid w:val="00ED4D40"/>
    <w:rsid w:val="00ED4DB0"/>
    <w:rsid w:val="00ED4DD4"/>
    <w:rsid w:val="00ED4E3E"/>
    <w:rsid w:val="00ED4EA1"/>
    <w:rsid w:val="00ED4F06"/>
    <w:rsid w:val="00ED4F7D"/>
    <w:rsid w:val="00ED502D"/>
    <w:rsid w:val="00ED503E"/>
    <w:rsid w:val="00ED50DD"/>
    <w:rsid w:val="00ED5102"/>
    <w:rsid w:val="00ED513D"/>
    <w:rsid w:val="00ED514D"/>
    <w:rsid w:val="00ED5160"/>
    <w:rsid w:val="00ED5193"/>
    <w:rsid w:val="00ED5219"/>
    <w:rsid w:val="00ED525B"/>
    <w:rsid w:val="00ED525D"/>
    <w:rsid w:val="00ED52F3"/>
    <w:rsid w:val="00ED52FF"/>
    <w:rsid w:val="00ED530F"/>
    <w:rsid w:val="00ED531F"/>
    <w:rsid w:val="00ED53EC"/>
    <w:rsid w:val="00ED5444"/>
    <w:rsid w:val="00ED55AB"/>
    <w:rsid w:val="00ED5666"/>
    <w:rsid w:val="00ED5682"/>
    <w:rsid w:val="00ED56C4"/>
    <w:rsid w:val="00ED5787"/>
    <w:rsid w:val="00ED57BE"/>
    <w:rsid w:val="00ED57D8"/>
    <w:rsid w:val="00ED583B"/>
    <w:rsid w:val="00ED5926"/>
    <w:rsid w:val="00ED594D"/>
    <w:rsid w:val="00ED5987"/>
    <w:rsid w:val="00ED5A44"/>
    <w:rsid w:val="00ED5B20"/>
    <w:rsid w:val="00ED5B92"/>
    <w:rsid w:val="00ED5B9C"/>
    <w:rsid w:val="00ED5BE9"/>
    <w:rsid w:val="00ED5C02"/>
    <w:rsid w:val="00ED5D69"/>
    <w:rsid w:val="00ED5E5B"/>
    <w:rsid w:val="00ED5E82"/>
    <w:rsid w:val="00ED5EE1"/>
    <w:rsid w:val="00ED5F56"/>
    <w:rsid w:val="00ED5F71"/>
    <w:rsid w:val="00ED5F8F"/>
    <w:rsid w:val="00ED5F9A"/>
    <w:rsid w:val="00ED5FC8"/>
    <w:rsid w:val="00ED600E"/>
    <w:rsid w:val="00ED608F"/>
    <w:rsid w:val="00ED612A"/>
    <w:rsid w:val="00ED612E"/>
    <w:rsid w:val="00ED6173"/>
    <w:rsid w:val="00ED6174"/>
    <w:rsid w:val="00ED6185"/>
    <w:rsid w:val="00ED619F"/>
    <w:rsid w:val="00ED61F5"/>
    <w:rsid w:val="00ED621F"/>
    <w:rsid w:val="00ED624C"/>
    <w:rsid w:val="00ED625F"/>
    <w:rsid w:val="00ED6263"/>
    <w:rsid w:val="00ED6266"/>
    <w:rsid w:val="00ED62C1"/>
    <w:rsid w:val="00ED631D"/>
    <w:rsid w:val="00ED6325"/>
    <w:rsid w:val="00ED63EF"/>
    <w:rsid w:val="00ED640A"/>
    <w:rsid w:val="00ED6451"/>
    <w:rsid w:val="00ED646A"/>
    <w:rsid w:val="00ED6574"/>
    <w:rsid w:val="00ED659B"/>
    <w:rsid w:val="00ED65B7"/>
    <w:rsid w:val="00ED65FC"/>
    <w:rsid w:val="00ED660E"/>
    <w:rsid w:val="00ED6614"/>
    <w:rsid w:val="00ED664F"/>
    <w:rsid w:val="00ED6685"/>
    <w:rsid w:val="00ED66D0"/>
    <w:rsid w:val="00ED672A"/>
    <w:rsid w:val="00ED67FA"/>
    <w:rsid w:val="00ED6874"/>
    <w:rsid w:val="00ED6882"/>
    <w:rsid w:val="00ED68DA"/>
    <w:rsid w:val="00ED68F4"/>
    <w:rsid w:val="00ED6960"/>
    <w:rsid w:val="00ED6A03"/>
    <w:rsid w:val="00ED6A0A"/>
    <w:rsid w:val="00ED6A42"/>
    <w:rsid w:val="00ED6A9B"/>
    <w:rsid w:val="00ED6AF4"/>
    <w:rsid w:val="00ED6B61"/>
    <w:rsid w:val="00ED6BA3"/>
    <w:rsid w:val="00ED6C1F"/>
    <w:rsid w:val="00ED6C2C"/>
    <w:rsid w:val="00ED6C5C"/>
    <w:rsid w:val="00ED6CE8"/>
    <w:rsid w:val="00ED6D07"/>
    <w:rsid w:val="00ED6D56"/>
    <w:rsid w:val="00ED6D60"/>
    <w:rsid w:val="00ED6D64"/>
    <w:rsid w:val="00ED6DAF"/>
    <w:rsid w:val="00ED6DCC"/>
    <w:rsid w:val="00ED6DE8"/>
    <w:rsid w:val="00ED6DEF"/>
    <w:rsid w:val="00ED6E06"/>
    <w:rsid w:val="00ED6EB3"/>
    <w:rsid w:val="00ED6EF2"/>
    <w:rsid w:val="00ED6F64"/>
    <w:rsid w:val="00ED6FCF"/>
    <w:rsid w:val="00ED6FE0"/>
    <w:rsid w:val="00ED6FE5"/>
    <w:rsid w:val="00ED7024"/>
    <w:rsid w:val="00ED7031"/>
    <w:rsid w:val="00ED706F"/>
    <w:rsid w:val="00ED707E"/>
    <w:rsid w:val="00ED70A8"/>
    <w:rsid w:val="00ED70B7"/>
    <w:rsid w:val="00ED70F5"/>
    <w:rsid w:val="00ED712D"/>
    <w:rsid w:val="00ED7236"/>
    <w:rsid w:val="00ED724B"/>
    <w:rsid w:val="00ED72EF"/>
    <w:rsid w:val="00ED7333"/>
    <w:rsid w:val="00ED73A3"/>
    <w:rsid w:val="00ED7437"/>
    <w:rsid w:val="00ED7443"/>
    <w:rsid w:val="00ED7456"/>
    <w:rsid w:val="00ED758E"/>
    <w:rsid w:val="00ED75A9"/>
    <w:rsid w:val="00ED767C"/>
    <w:rsid w:val="00ED76CF"/>
    <w:rsid w:val="00ED770D"/>
    <w:rsid w:val="00ED771B"/>
    <w:rsid w:val="00ED781A"/>
    <w:rsid w:val="00ED7829"/>
    <w:rsid w:val="00ED782C"/>
    <w:rsid w:val="00ED7836"/>
    <w:rsid w:val="00ED7860"/>
    <w:rsid w:val="00ED788B"/>
    <w:rsid w:val="00ED78B9"/>
    <w:rsid w:val="00ED7929"/>
    <w:rsid w:val="00ED79AA"/>
    <w:rsid w:val="00ED7A0F"/>
    <w:rsid w:val="00ED7A48"/>
    <w:rsid w:val="00ED7B89"/>
    <w:rsid w:val="00ED7BB7"/>
    <w:rsid w:val="00ED7BD1"/>
    <w:rsid w:val="00ED7BDF"/>
    <w:rsid w:val="00ED7C2C"/>
    <w:rsid w:val="00ED7C38"/>
    <w:rsid w:val="00ED7CAF"/>
    <w:rsid w:val="00ED7CF1"/>
    <w:rsid w:val="00ED7D1E"/>
    <w:rsid w:val="00ED7D6B"/>
    <w:rsid w:val="00ED7D8A"/>
    <w:rsid w:val="00ED7D99"/>
    <w:rsid w:val="00ED7DDB"/>
    <w:rsid w:val="00ED7DDF"/>
    <w:rsid w:val="00ED7E15"/>
    <w:rsid w:val="00ED7E4C"/>
    <w:rsid w:val="00ED7E78"/>
    <w:rsid w:val="00ED7F20"/>
    <w:rsid w:val="00ED7F3E"/>
    <w:rsid w:val="00ED7F73"/>
    <w:rsid w:val="00EE0033"/>
    <w:rsid w:val="00EE0091"/>
    <w:rsid w:val="00EE00F9"/>
    <w:rsid w:val="00EE013A"/>
    <w:rsid w:val="00EE016F"/>
    <w:rsid w:val="00EE019C"/>
    <w:rsid w:val="00EE0259"/>
    <w:rsid w:val="00EE025F"/>
    <w:rsid w:val="00EE02A6"/>
    <w:rsid w:val="00EE0312"/>
    <w:rsid w:val="00EE034D"/>
    <w:rsid w:val="00EE040D"/>
    <w:rsid w:val="00EE0466"/>
    <w:rsid w:val="00EE0534"/>
    <w:rsid w:val="00EE0581"/>
    <w:rsid w:val="00EE066D"/>
    <w:rsid w:val="00EE06E5"/>
    <w:rsid w:val="00EE070B"/>
    <w:rsid w:val="00EE07F4"/>
    <w:rsid w:val="00EE0808"/>
    <w:rsid w:val="00EE0817"/>
    <w:rsid w:val="00EE087E"/>
    <w:rsid w:val="00EE08D0"/>
    <w:rsid w:val="00EE08F0"/>
    <w:rsid w:val="00EE08FA"/>
    <w:rsid w:val="00EE0952"/>
    <w:rsid w:val="00EE09FF"/>
    <w:rsid w:val="00EE0A41"/>
    <w:rsid w:val="00EE0B55"/>
    <w:rsid w:val="00EE0BD6"/>
    <w:rsid w:val="00EE0BE3"/>
    <w:rsid w:val="00EE0C00"/>
    <w:rsid w:val="00EE0C20"/>
    <w:rsid w:val="00EE0C8A"/>
    <w:rsid w:val="00EE0CE3"/>
    <w:rsid w:val="00EE0CF8"/>
    <w:rsid w:val="00EE0D1E"/>
    <w:rsid w:val="00EE0D54"/>
    <w:rsid w:val="00EE0D6F"/>
    <w:rsid w:val="00EE0D7E"/>
    <w:rsid w:val="00EE0DA5"/>
    <w:rsid w:val="00EE0DB6"/>
    <w:rsid w:val="00EE0DC8"/>
    <w:rsid w:val="00EE0E4A"/>
    <w:rsid w:val="00EE0E67"/>
    <w:rsid w:val="00EE0E7A"/>
    <w:rsid w:val="00EE0E9C"/>
    <w:rsid w:val="00EE0EAD"/>
    <w:rsid w:val="00EE102A"/>
    <w:rsid w:val="00EE1062"/>
    <w:rsid w:val="00EE108B"/>
    <w:rsid w:val="00EE10DC"/>
    <w:rsid w:val="00EE1169"/>
    <w:rsid w:val="00EE1181"/>
    <w:rsid w:val="00EE1257"/>
    <w:rsid w:val="00EE1265"/>
    <w:rsid w:val="00EE1290"/>
    <w:rsid w:val="00EE131C"/>
    <w:rsid w:val="00EE1355"/>
    <w:rsid w:val="00EE1409"/>
    <w:rsid w:val="00EE1451"/>
    <w:rsid w:val="00EE1457"/>
    <w:rsid w:val="00EE14EE"/>
    <w:rsid w:val="00EE1531"/>
    <w:rsid w:val="00EE157D"/>
    <w:rsid w:val="00EE1594"/>
    <w:rsid w:val="00EE15C9"/>
    <w:rsid w:val="00EE162E"/>
    <w:rsid w:val="00EE1671"/>
    <w:rsid w:val="00EE1702"/>
    <w:rsid w:val="00EE176F"/>
    <w:rsid w:val="00EE1797"/>
    <w:rsid w:val="00EE1798"/>
    <w:rsid w:val="00EE186C"/>
    <w:rsid w:val="00EE18A5"/>
    <w:rsid w:val="00EE193C"/>
    <w:rsid w:val="00EE1AC2"/>
    <w:rsid w:val="00EE1BA2"/>
    <w:rsid w:val="00EE1BDB"/>
    <w:rsid w:val="00EE1C15"/>
    <w:rsid w:val="00EE1D05"/>
    <w:rsid w:val="00EE1D4E"/>
    <w:rsid w:val="00EE1D56"/>
    <w:rsid w:val="00EE1DA8"/>
    <w:rsid w:val="00EE1E07"/>
    <w:rsid w:val="00EE1E9C"/>
    <w:rsid w:val="00EE1EB9"/>
    <w:rsid w:val="00EE1EF2"/>
    <w:rsid w:val="00EE1F1E"/>
    <w:rsid w:val="00EE1F72"/>
    <w:rsid w:val="00EE1FBA"/>
    <w:rsid w:val="00EE1FCF"/>
    <w:rsid w:val="00EE2000"/>
    <w:rsid w:val="00EE2020"/>
    <w:rsid w:val="00EE2165"/>
    <w:rsid w:val="00EE217B"/>
    <w:rsid w:val="00EE21A2"/>
    <w:rsid w:val="00EE21CD"/>
    <w:rsid w:val="00EE220E"/>
    <w:rsid w:val="00EE2233"/>
    <w:rsid w:val="00EE2261"/>
    <w:rsid w:val="00EE229B"/>
    <w:rsid w:val="00EE22DB"/>
    <w:rsid w:val="00EE23A2"/>
    <w:rsid w:val="00EE23B7"/>
    <w:rsid w:val="00EE2429"/>
    <w:rsid w:val="00EE2449"/>
    <w:rsid w:val="00EE2466"/>
    <w:rsid w:val="00EE2502"/>
    <w:rsid w:val="00EE2611"/>
    <w:rsid w:val="00EE2621"/>
    <w:rsid w:val="00EE2627"/>
    <w:rsid w:val="00EE26B2"/>
    <w:rsid w:val="00EE26B6"/>
    <w:rsid w:val="00EE2773"/>
    <w:rsid w:val="00EE2789"/>
    <w:rsid w:val="00EE27A3"/>
    <w:rsid w:val="00EE27AA"/>
    <w:rsid w:val="00EE2813"/>
    <w:rsid w:val="00EE2865"/>
    <w:rsid w:val="00EE28D2"/>
    <w:rsid w:val="00EE2903"/>
    <w:rsid w:val="00EE2954"/>
    <w:rsid w:val="00EE2A07"/>
    <w:rsid w:val="00EE2A43"/>
    <w:rsid w:val="00EE2B38"/>
    <w:rsid w:val="00EE2B9C"/>
    <w:rsid w:val="00EE2BEC"/>
    <w:rsid w:val="00EE2C57"/>
    <w:rsid w:val="00EE2DEE"/>
    <w:rsid w:val="00EE31A7"/>
    <w:rsid w:val="00EE323D"/>
    <w:rsid w:val="00EE3282"/>
    <w:rsid w:val="00EE328F"/>
    <w:rsid w:val="00EE3362"/>
    <w:rsid w:val="00EE33BF"/>
    <w:rsid w:val="00EE33DE"/>
    <w:rsid w:val="00EE33EC"/>
    <w:rsid w:val="00EE3413"/>
    <w:rsid w:val="00EE342A"/>
    <w:rsid w:val="00EE34CA"/>
    <w:rsid w:val="00EE3533"/>
    <w:rsid w:val="00EE3541"/>
    <w:rsid w:val="00EE3588"/>
    <w:rsid w:val="00EE358A"/>
    <w:rsid w:val="00EE3642"/>
    <w:rsid w:val="00EE36A8"/>
    <w:rsid w:val="00EE36D5"/>
    <w:rsid w:val="00EE37E2"/>
    <w:rsid w:val="00EE3981"/>
    <w:rsid w:val="00EE39B4"/>
    <w:rsid w:val="00EE3A37"/>
    <w:rsid w:val="00EE3B70"/>
    <w:rsid w:val="00EE3B89"/>
    <w:rsid w:val="00EE3BDC"/>
    <w:rsid w:val="00EE3BDE"/>
    <w:rsid w:val="00EE3C4D"/>
    <w:rsid w:val="00EE3C85"/>
    <w:rsid w:val="00EE3CC0"/>
    <w:rsid w:val="00EE3D1B"/>
    <w:rsid w:val="00EE3D5C"/>
    <w:rsid w:val="00EE3D74"/>
    <w:rsid w:val="00EE3DEA"/>
    <w:rsid w:val="00EE3DEF"/>
    <w:rsid w:val="00EE3E1B"/>
    <w:rsid w:val="00EE3E20"/>
    <w:rsid w:val="00EE3E74"/>
    <w:rsid w:val="00EE3F55"/>
    <w:rsid w:val="00EE3F5B"/>
    <w:rsid w:val="00EE3F6E"/>
    <w:rsid w:val="00EE3F87"/>
    <w:rsid w:val="00EE403D"/>
    <w:rsid w:val="00EE4054"/>
    <w:rsid w:val="00EE4083"/>
    <w:rsid w:val="00EE40A3"/>
    <w:rsid w:val="00EE40F9"/>
    <w:rsid w:val="00EE4122"/>
    <w:rsid w:val="00EE4149"/>
    <w:rsid w:val="00EE416F"/>
    <w:rsid w:val="00EE41BA"/>
    <w:rsid w:val="00EE41E6"/>
    <w:rsid w:val="00EE4209"/>
    <w:rsid w:val="00EE4213"/>
    <w:rsid w:val="00EE4233"/>
    <w:rsid w:val="00EE4262"/>
    <w:rsid w:val="00EE4294"/>
    <w:rsid w:val="00EE4316"/>
    <w:rsid w:val="00EE4348"/>
    <w:rsid w:val="00EE434F"/>
    <w:rsid w:val="00EE4373"/>
    <w:rsid w:val="00EE43CF"/>
    <w:rsid w:val="00EE43F5"/>
    <w:rsid w:val="00EE441D"/>
    <w:rsid w:val="00EE449C"/>
    <w:rsid w:val="00EE44B7"/>
    <w:rsid w:val="00EE4535"/>
    <w:rsid w:val="00EE45A4"/>
    <w:rsid w:val="00EE4652"/>
    <w:rsid w:val="00EE469A"/>
    <w:rsid w:val="00EE46B0"/>
    <w:rsid w:val="00EE46D0"/>
    <w:rsid w:val="00EE4771"/>
    <w:rsid w:val="00EE47ED"/>
    <w:rsid w:val="00EE47F6"/>
    <w:rsid w:val="00EE4857"/>
    <w:rsid w:val="00EE48BD"/>
    <w:rsid w:val="00EE492F"/>
    <w:rsid w:val="00EE4964"/>
    <w:rsid w:val="00EE49CC"/>
    <w:rsid w:val="00EE4A25"/>
    <w:rsid w:val="00EE4A3B"/>
    <w:rsid w:val="00EE4A78"/>
    <w:rsid w:val="00EE4A85"/>
    <w:rsid w:val="00EE4A97"/>
    <w:rsid w:val="00EE4A9B"/>
    <w:rsid w:val="00EE4AA2"/>
    <w:rsid w:val="00EE4B14"/>
    <w:rsid w:val="00EE4B2A"/>
    <w:rsid w:val="00EE4B9E"/>
    <w:rsid w:val="00EE4BC4"/>
    <w:rsid w:val="00EE4BF4"/>
    <w:rsid w:val="00EE4BF6"/>
    <w:rsid w:val="00EE4C1C"/>
    <w:rsid w:val="00EE4C51"/>
    <w:rsid w:val="00EE4C8B"/>
    <w:rsid w:val="00EE4D5C"/>
    <w:rsid w:val="00EE4DDA"/>
    <w:rsid w:val="00EE4E7C"/>
    <w:rsid w:val="00EE4E9A"/>
    <w:rsid w:val="00EE4EB8"/>
    <w:rsid w:val="00EE4ECE"/>
    <w:rsid w:val="00EE4EE7"/>
    <w:rsid w:val="00EE4F80"/>
    <w:rsid w:val="00EE4FB2"/>
    <w:rsid w:val="00EE4FB6"/>
    <w:rsid w:val="00EE4FD0"/>
    <w:rsid w:val="00EE4FE2"/>
    <w:rsid w:val="00EE5007"/>
    <w:rsid w:val="00EE50D0"/>
    <w:rsid w:val="00EE50D3"/>
    <w:rsid w:val="00EE51A6"/>
    <w:rsid w:val="00EE51A8"/>
    <w:rsid w:val="00EE51DB"/>
    <w:rsid w:val="00EE52AD"/>
    <w:rsid w:val="00EE52D9"/>
    <w:rsid w:val="00EE52DB"/>
    <w:rsid w:val="00EE53D0"/>
    <w:rsid w:val="00EE5400"/>
    <w:rsid w:val="00EE556F"/>
    <w:rsid w:val="00EE557B"/>
    <w:rsid w:val="00EE55E5"/>
    <w:rsid w:val="00EE5771"/>
    <w:rsid w:val="00EE577C"/>
    <w:rsid w:val="00EE57FF"/>
    <w:rsid w:val="00EE581A"/>
    <w:rsid w:val="00EE5879"/>
    <w:rsid w:val="00EE58D7"/>
    <w:rsid w:val="00EE5961"/>
    <w:rsid w:val="00EE5A01"/>
    <w:rsid w:val="00EE5A11"/>
    <w:rsid w:val="00EE5A9E"/>
    <w:rsid w:val="00EE5B23"/>
    <w:rsid w:val="00EE5B9B"/>
    <w:rsid w:val="00EE5BA8"/>
    <w:rsid w:val="00EE5BBC"/>
    <w:rsid w:val="00EE5C55"/>
    <w:rsid w:val="00EE5C5C"/>
    <w:rsid w:val="00EE5C99"/>
    <w:rsid w:val="00EE5C9A"/>
    <w:rsid w:val="00EE5D00"/>
    <w:rsid w:val="00EE5D30"/>
    <w:rsid w:val="00EE5D9D"/>
    <w:rsid w:val="00EE5DC0"/>
    <w:rsid w:val="00EE5E0A"/>
    <w:rsid w:val="00EE5E7B"/>
    <w:rsid w:val="00EE5E90"/>
    <w:rsid w:val="00EE5F05"/>
    <w:rsid w:val="00EE5F5A"/>
    <w:rsid w:val="00EE6063"/>
    <w:rsid w:val="00EE60A3"/>
    <w:rsid w:val="00EE60E0"/>
    <w:rsid w:val="00EE6106"/>
    <w:rsid w:val="00EE6138"/>
    <w:rsid w:val="00EE6156"/>
    <w:rsid w:val="00EE6181"/>
    <w:rsid w:val="00EE6278"/>
    <w:rsid w:val="00EE62C4"/>
    <w:rsid w:val="00EE62E1"/>
    <w:rsid w:val="00EE638F"/>
    <w:rsid w:val="00EE639E"/>
    <w:rsid w:val="00EE63A4"/>
    <w:rsid w:val="00EE63BD"/>
    <w:rsid w:val="00EE63D0"/>
    <w:rsid w:val="00EE63E0"/>
    <w:rsid w:val="00EE6426"/>
    <w:rsid w:val="00EE6471"/>
    <w:rsid w:val="00EE64DF"/>
    <w:rsid w:val="00EE6536"/>
    <w:rsid w:val="00EE653C"/>
    <w:rsid w:val="00EE65C6"/>
    <w:rsid w:val="00EE661C"/>
    <w:rsid w:val="00EE664E"/>
    <w:rsid w:val="00EE668A"/>
    <w:rsid w:val="00EE66F2"/>
    <w:rsid w:val="00EE66F3"/>
    <w:rsid w:val="00EE6728"/>
    <w:rsid w:val="00EE6752"/>
    <w:rsid w:val="00EE677F"/>
    <w:rsid w:val="00EE6795"/>
    <w:rsid w:val="00EE67B9"/>
    <w:rsid w:val="00EE6960"/>
    <w:rsid w:val="00EE6985"/>
    <w:rsid w:val="00EE69B5"/>
    <w:rsid w:val="00EE69F4"/>
    <w:rsid w:val="00EE6AB5"/>
    <w:rsid w:val="00EE6AE0"/>
    <w:rsid w:val="00EE6AE5"/>
    <w:rsid w:val="00EE6B07"/>
    <w:rsid w:val="00EE6B70"/>
    <w:rsid w:val="00EE6B8D"/>
    <w:rsid w:val="00EE6C66"/>
    <w:rsid w:val="00EE6C72"/>
    <w:rsid w:val="00EE6C94"/>
    <w:rsid w:val="00EE6CB0"/>
    <w:rsid w:val="00EE6CC2"/>
    <w:rsid w:val="00EE6D50"/>
    <w:rsid w:val="00EE6DB4"/>
    <w:rsid w:val="00EE6DFC"/>
    <w:rsid w:val="00EE6E45"/>
    <w:rsid w:val="00EE6E5B"/>
    <w:rsid w:val="00EE6E80"/>
    <w:rsid w:val="00EE6ECA"/>
    <w:rsid w:val="00EE6EE4"/>
    <w:rsid w:val="00EE6F52"/>
    <w:rsid w:val="00EE70BC"/>
    <w:rsid w:val="00EE7111"/>
    <w:rsid w:val="00EE71D1"/>
    <w:rsid w:val="00EE7287"/>
    <w:rsid w:val="00EE7399"/>
    <w:rsid w:val="00EE73A7"/>
    <w:rsid w:val="00EE73F8"/>
    <w:rsid w:val="00EE7434"/>
    <w:rsid w:val="00EE7469"/>
    <w:rsid w:val="00EE7492"/>
    <w:rsid w:val="00EE74E8"/>
    <w:rsid w:val="00EE7500"/>
    <w:rsid w:val="00EE7597"/>
    <w:rsid w:val="00EE7599"/>
    <w:rsid w:val="00EE75F8"/>
    <w:rsid w:val="00EE767F"/>
    <w:rsid w:val="00EE7715"/>
    <w:rsid w:val="00EE778C"/>
    <w:rsid w:val="00EE7796"/>
    <w:rsid w:val="00EE77CC"/>
    <w:rsid w:val="00EE77DA"/>
    <w:rsid w:val="00EE7869"/>
    <w:rsid w:val="00EE78B5"/>
    <w:rsid w:val="00EE78B6"/>
    <w:rsid w:val="00EE78E9"/>
    <w:rsid w:val="00EE7929"/>
    <w:rsid w:val="00EE795E"/>
    <w:rsid w:val="00EE7987"/>
    <w:rsid w:val="00EE7995"/>
    <w:rsid w:val="00EE79E8"/>
    <w:rsid w:val="00EE79E9"/>
    <w:rsid w:val="00EE79ED"/>
    <w:rsid w:val="00EE7A1A"/>
    <w:rsid w:val="00EE7A6F"/>
    <w:rsid w:val="00EE7AA0"/>
    <w:rsid w:val="00EE7B07"/>
    <w:rsid w:val="00EE7B1E"/>
    <w:rsid w:val="00EE7B58"/>
    <w:rsid w:val="00EE7B86"/>
    <w:rsid w:val="00EE7BF6"/>
    <w:rsid w:val="00EE7C0F"/>
    <w:rsid w:val="00EE7D3F"/>
    <w:rsid w:val="00EE7DBB"/>
    <w:rsid w:val="00EE7DBD"/>
    <w:rsid w:val="00EE7EBA"/>
    <w:rsid w:val="00EE7ED6"/>
    <w:rsid w:val="00EE7F3D"/>
    <w:rsid w:val="00EE7FF2"/>
    <w:rsid w:val="00EE7FF7"/>
    <w:rsid w:val="00EF008B"/>
    <w:rsid w:val="00EF00D5"/>
    <w:rsid w:val="00EF00EC"/>
    <w:rsid w:val="00EF01C2"/>
    <w:rsid w:val="00EF01D1"/>
    <w:rsid w:val="00EF0264"/>
    <w:rsid w:val="00EF0289"/>
    <w:rsid w:val="00EF0298"/>
    <w:rsid w:val="00EF02BC"/>
    <w:rsid w:val="00EF02CC"/>
    <w:rsid w:val="00EF0329"/>
    <w:rsid w:val="00EF033A"/>
    <w:rsid w:val="00EF03C9"/>
    <w:rsid w:val="00EF03DE"/>
    <w:rsid w:val="00EF0455"/>
    <w:rsid w:val="00EF0494"/>
    <w:rsid w:val="00EF04B3"/>
    <w:rsid w:val="00EF0524"/>
    <w:rsid w:val="00EF05CE"/>
    <w:rsid w:val="00EF05F7"/>
    <w:rsid w:val="00EF060B"/>
    <w:rsid w:val="00EF06AE"/>
    <w:rsid w:val="00EF06FD"/>
    <w:rsid w:val="00EF0703"/>
    <w:rsid w:val="00EF0724"/>
    <w:rsid w:val="00EF0758"/>
    <w:rsid w:val="00EF07C1"/>
    <w:rsid w:val="00EF07CA"/>
    <w:rsid w:val="00EF07D9"/>
    <w:rsid w:val="00EF07FB"/>
    <w:rsid w:val="00EF07FE"/>
    <w:rsid w:val="00EF08CF"/>
    <w:rsid w:val="00EF0903"/>
    <w:rsid w:val="00EF097C"/>
    <w:rsid w:val="00EF0992"/>
    <w:rsid w:val="00EF0A7C"/>
    <w:rsid w:val="00EF0ADA"/>
    <w:rsid w:val="00EF0AE9"/>
    <w:rsid w:val="00EF0B14"/>
    <w:rsid w:val="00EF0B25"/>
    <w:rsid w:val="00EF0B31"/>
    <w:rsid w:val="00EF0B44"/>
    <w:rsid w:val="00EF0B4B"/>
    <w:rsid w:val="00EF0B56"/>
    <w:rsid w:val="00EF0C39"/>
    <w:rsid w:val="00EF0C5D"/>
    <w:rsid w:val="00EF0C65"/>
    <w:rsid w:val="00EF0C8F"/>
    <w:rsid w:val="00EF0CD1"/>
    <w:rsid w:val="00EF0D33"/>
    <w:rsid w:val="00EF0D50"/>
    <w:rsid w:val="00EF0E29"/>
    <w:rsid w:val="00EF0E5E"/>
    <w:rsid w:val="00EF0E61"/>
    <w:rsid w:val="00EF0E69"/>
    <w:rsid w:val="00EF0E8D"/>
    <w:rsid w:val="00EF0E91"/>
    <w:rsid w:val="00EF0ED0"/>
    <w:rsid w:val="00EF0FC8"/>
    <w:rsid w:val="00EF0FE7"/>
    <w:rsid w:val="00EF103C"/>
    <w:rsid w:val="00EF1043"/>
    <w:rsid w:val="00EF1053"/>
    <w:rsid w:val="00EF1060"/>
    <w:rsid w:val="00EF10A2"/>
    <w:rsid w:val="00EF1137"/>
    <w:rsid w:val="00EF1140"/>
    <w:rsid w:val="00EF114D"/>
    <w:rsid w:val="00EF11F7"/>
    <w:rsid w:val="00EF121A"/>
    <w:rsid w:val="00EF1237"/>
    <w:rsid w:val="00EF12DB"/>
    <w:rsid w:val="00EF13CF"/>
    <w:rsid w:val="00EF13F8"/>
    <w:rsid w:val="00EF1495"/>
    <w:rsid w:val="00EF14AD"/>
    <w:rsid w:val="00EF14CD"/>
    <w:rsid w:val="00EF14D6"/>
    <w:rsid w:val="00EF14F8"/>
    <w:rsid w:val="00EF1534"/>
    <w:rsid w:val="00EF1621"/>
    <w:rsid w:val="00EF163B"/>
    <w:rsid w:val="00EF16BD"/>
    <w:rsid w:val="00EF16F9"/>
    <w:rsid w:val="00EF1711"/>
    <w:rsid w:val="00EF1717"/>
    <w:rsid w:val="00EF176E"/>
    <w:rsid w:val="00EF18B8"/>
    <w:rsid w:val="00EF192D"/>
    <w:rsid w:val="00EF19A1"/>
    <w:rsid w:val="00EF19A3"/>
    <w:rsid w:val="00EF1A72"/>
    <w:rsid w:val="00EF1A81"/>
    <w:rsid w:val="00EF1B2A"/>
    <w:rsid w:val="00EF1B49"/>
    <w:rsid w:val="00EF1B5D"/>
    <w:rsid w:val="00EF1BB0"/>
    <w:rsid w:val="00EF1BFA"/>
    <w:rsid w:val="00EF1C33"/>
    <w:rsid w:val="00EF1C92"/>
    <w:rsid w:val="00EF1CE9"/>
    <w:rsid w:val="00EF1D90"/>
    <w:rsid w:val="00EF1DAB"/>
    <w:rsid w:val="00EF1E92"/>
    <w:rsid w:val="00EF1ED2"/>
    <w:rsid w:val="00EF1EE6"/>
    <w:rsid w:val="00EF1F19"/>
    <w:rsid w:val="00EF1F4A"/>
    <w:rsid w:val="00EF1F6E"/>
    <w:rsid w:val="00EF1F81"/>
    <w:rsid w:val="00EF1FD2"/>
    <w:rsid w:val="00EF20BF"/>
    <w:rsid w:val="00EF211F"/>
    <w:rsid w:val="00EF21B2"/>
    <w:rsid w:val="00EF2201"/>
    <w:rsid w:val="00EF2212"/>
    <w:rsid w:val="00EF239E"/>
    <w:rsid w:val="00EF23C4"/>
    <w:rsid w:val="00EF2404"/>
    <w:rsid w:val="00EF24FC"/>
    <w:rsid w:val="00EF2589"/>
    <w:rsid w:val="00EF26B5"/>
    <w:rsid w:val="00EF2714"/>
    <w:rsid w:val="00EF2715"/>
    <w:rsid w:val="00EF2721"/>
    <w:rsid w:val="00EF2750"/>
    <w:rsid w:val="00EF27BF"/>
    <w:rsid w:val="00EF28AD"/>
    <w:rsid w:val="00EF298F"/>
    <w:rsid w:val="00EF29EA"/>
    <w:rsid w:val="00EF2A3E"/>
    <w:rsid w:val="00EF2AA5"/>
    <w:rsid w:val="00EF2AAC"/>
    <w:rsid w:val="00EF2AEF"/>
    <w:rsid w:val="00EF2B91"/>
    <w:rsid w:val="00EF2BDD"/>
    <w:rsid w:val="00EF2C06"/>
    <w:rsid w:val="00EF2C11"/>
    <w:rsid w:val="00EF2C34"/>
    <w:rsid w:val="00EF2C36"/>
    <w:rsid w:val="00EF2C39"/>
    <w:rsid w:val="00EF2E33"/>
    <w:rsid w:val="00EF2E60"/>
    <w:rsid w:val="00EF2EB8"/>
    <w:rsid w:val="00EF2ECD"/>
    <w:rsid w:val="00EF2F19"/>
    <w:rsid w:val="00EF2F83"/>
    <w:rsid w:val="00EF2FBF"/>
    <w:rsid w:val="00EF2FC1"/>
    <w:rsid w:val="00EF2FC6"/>
    <w:rsid w:val="00EF2FCF"/>
    <w:rsid w:val="00EF305C"/>
    <w:rsid w:val="00EF30C4"/>
    <w:rsid w:val="00EF311F"/>
    <w:rsid w:val="00EF3125"/>
    <w:rsid w:val="00EF312A"/>
    <w:rsid w:val="00EF326C"/>
    <w:rsid w:val="00EF32E5"/>
    <w:rsid w:val="00EF32EA"/>
    <w:rsid w:val="00EF3365"/>
    <w:rsid w:val="00EF339A"/>
    <w:rsid w:val="00EF3512"/>
    <w:rsid w:val="00EF3525"/>
    <w:rsid w:val="00EF3562"/>
    <w:rsid w:val="00EF356E"/>
    <w:rsid w:val="00EF35B6"/>
    <w:rsid w:val="00EF3644"/>
    <w:rsid w:val="00EF36DC"/>
    <w:rsid w:val="00EF371D"/>
    <w:rsid w:val="00EF37E1"/>
    <w:rsid w:val="00EF3829"/>
    <w:rsid w:val="00EF3870"/>
    <w:rsid w:val="00EF38B1"/>
    <w:rsid w:val="00EF38C1"/>
    <w:rsid w:val="00EF3957"/>
    <w:rsid w:val="00EF3973"/>
    <w:rsid w:val="00EF39CF"/>
    <w:rsid w:val="00EF3A13"/>
    <w:rsid w:val="00EF3A41"/>
    <w:rsid w:val="00EF3A75"/>
    <w:rsid w:val="00EF3A8A"/>
    <w:rsid w:val="00EF3A92"/>
    <w:rsid w:val="00EF3B5C"/>
    <w:rsid w:val="00EF3B73"/>
    <w:rsid w:val="00EF3BE1"/>
    <w:rsid w:val="00EF3C28"/>
    <w:rsid w:val="00EF3CA0"/>
    <w:rsid w:val="00EF3DFE"/>
    <w:rsid w:val="00EF3E10"/>
    <w:rsid w:val="00EF3E38"/>
    <w:rsid w:val="00EF3E6C"/>
    <w:rsid w:val="00EF3EBB"/>
    <w:rsid w:val="00EF3ED8"/>
    <w:rsid w:val="00EF3EFF"/>
    <w:rsid w:val="00EF3F05"/>
    <w:rsid w:val="00EF3F0E"/>
    <w:rsid w:val="00EF3FB9"/>
    <w:rsid w:val="00EF3FEC"/>
    <w:rsid w:val="00EF4096"/>
    <w:rsid w:val="00EF40AA"/>
    <w:rsid w:val="00EF4113"/>
    <w:rsid w:val="00EF4147"/>
    <w:rsid w:val="00EF4229"/>
    <w:rsid w:val="00EF422B"/>
    <w:rsid w:val="00EF42CE"/>
    <w:rsid w:val="00EF4342"/>
    <w:rsid w:val="00EF4348"/>
    <w:rsid w:val="00EF43D0"/>
    <w:rsid w:val="00EF43DF"/>
    <w:rsid w:val="00EF4479"/>
    <w:rsid w:val="00EF4583"/>
    <w:rsid w:val="00EF463A"/>
    <w:rsid w:val="00EF46CD"/>
    <w:rsid w:val="00EF47F2"/>
    <w:rsid w:val="00EF4833"/>
    <w:rsid w:val="00EF4845"/>
    <w:rsid w:val="00EF4871"/>
    <w:rsid w:val="00EF492B"/>
    <w:rsid w:val="00EF492C"/>
    <w:rsid w:val="00EF4A07"/>
    <w:rsid w:val="00EF4A18"/>
    <w:rsid w:val="00EF4A35"/>
    <w:rsid w:val="00EF4AA5"/>
    <w:rsid w:val="00EF4AE0"/>
    <w:rsid w:val="00EF4BB2"/>
    <w:rsid w:val="00EF4BDF"/>
    <w:rsid w:val="00EF4C0D"/>
    <w:rsid w:val="00EF4EB6"/>
    <w:rsid w:val="00EF4EB8"/>
    <w:rsid w:val="00EF4EC1"/>
    <w:rsid w:val="00EF4F4E"/>
    <w:rsid w:val="00EF4FC2"/>
    <w:rsid w:val="00EF4FFD"/>
    <w:rsid w:val="00EF502B"/>
    <w:rsid w:val="00EF5046"/>
    <w:rsid w:val="00EF50BD"/>
    <w:rsid w:val="00EF511F"/>
    <w:rsid w:val="00EF5140"/>
    <w:rsid w:val="00EF515F"/>
    <w:rsid w:val="00EF51C7"/>
    <w:rsid w:val="00EF51E9"/>
    <w:rsid w:val="00EF5289"/>
    <w:rsid w:val="00EF52F8"/>
    <w:rsid w:val="00EF534D"/>
    <w:rsid w:val="00EF5352"/>
    <w:rsid w:val="00EF5376"/>
    <w:rsid w:val="00EF5455"/>
    <w:rsid w:val="00EF54A2"/>
    <w:rsid w:val="00EF54F1"/>
    <w:rsid w:val="00EF5512"/>
    <w:rsid w:val="00EF5587"/>
    <w:rsid w:val="00EF55C0"/>
    <w:rsid w:val="00EF55E0"/>
    <w:rsid w:val="00EF561C"/>
    <w:rsid w:val="00EF577E"/>
    <w:rsid w:val="00EF582F"/>
    <w:rsid w:val="00EF5857"/>
    <w:rsid w:val="00EF585F"/>
    <w:rsid w:val="00EF5875"/>
    <w:rsid w:val="00EF58BA"/>
    <w:rsid w:val="00EF58C3"/>
    <w:rsid w:val="00EF58CE"/>
    <w:rsid w:val="00EF5991"/>
    <w:rsid w:val="00EF599E"/>
    <w:rsid w:val="00EF59EA"/>
    <w:rsid w:val="00EF5A4D"/>
    <w:rsid w:val="00EF5AA2"/>
    <w:rsid w:val="00EF5B2B"/>
    <w:rsid w:val="00EF5BCC"/>
    <w:rsid w:val="00EF5C7D"/>
    <w:rsid w:val="00EF5CB5"/>
    <w:rsid w:val="00EF5CD1"/>
    <w:rsid w:val="00EF5D79"/>
    <w:rsid w:val="00EF5DB8"/>
    <w:rsid w:val="00EF5EBF"/>
    <w:rsid w:val="00EF5F11"/>
    <w:rsid w:val="00EF5F81"/>
    <w:rsid w:val="00EF5F97"/>
    <w:rsid w:val="00EF6014"/>
    <w:rsid w:val="00EF603B"/>
    <w:rsid w:val="00EF6079"/>
    <w:rsid w:val="00EF612F"/>
    <w:rsid w:val="00EF6132"/>
    <w:rsid w:val="00EF6141"/>
    <w:rsid w:val="00EF6143"/>
    <w:rsid w:val="00EF61BC"/>
    <w:rsid w:val="00EF61E1"/>
    <w:rsid w:val="00EF627D"/>
    <w:rsid w:val="00EF6418"/>
    <w:rsid w:val="00EF64AC"/>
    <w:rsid w:val="00EF651C"/>
    <w:rsid w:val="00EF6531"/>
    <w:rsid w:val="00EF6543"/>
    <w:rsid w:val="00EF65D5"/>
    <w:rsid w:val="00EF662E"/>
    <w:rsid w:val="00EF667D"/>
    <w:rsid w:val="00EF6699"/>
    <w:rsid w:val="00EF67A8"/>
    <w:rsid w:val="00EF6962"/>
    <w:rsid w:val="00EF69BC"/>
    <w:rsid w:val="00EF69E0"/>
    <w:rsid w:val="00EF6A12"/>
    <w:rsid w:val="00EF6A23"/>
    <w:rsid w:val="00EF6A2A"/>
    <w:rsid w:val="00EF6A84"/>
    <w:rsid w:val="00EF6AAA"/>
    <w:rsid w:val="00EF6AB0"/>
    <w:rsid w:val="00EF6B3E"/>
    <w:rsid w:val="00EF6B7C"/>
    <w:rsid w:val="00EF6BEF"/>
    <w:rsid w:val="00EF6BF9"/>
    <w:rsid w:val="00EF6C3F"/>
    <w:rsid w:val="00EF6C8C"/>
    <w:rsid w:val="00EF6CE1"/>
    <w:rsid w:val="00EF6CE9"/>
    <w:rsid w:val="00EF6D25"/>
    <w:rsid w:val="00EF6D59"/>
    <w:rsid w:val="00EF6D65"/>
    <w:rsid w:val="00EF6D83"/>
    <w:rsid w:val="00EF6DCC"/>
    <w:rsid w:val="00EF6DE0"/>
    <w:rsid w:val="00EF6EA4"/>
    <w:rsid w:val="00EF6ED0"/>
    <w:rsid w:val="00EF6EFC"/>
    <w:rsid w:val="00EF6F31"/>
    <w:rsid w:val="00EF6F5F"/>
    <w:rsid w:val="00EF6FD2"/>
    <w:rsid w:val="00EF7027"/>
    <w:rsid w:val="00EF702D"/>
    <w:rsid w:val="00EF705D"/>
    <w:rsid w:val="00EF70D0"/>
    <w:rsid w:val="00EF70DC"/>
    <w:rsid w:val="00EF7142"/>
    <w:rsid w:val="00EF715E"/>
    <w:rsid w:val="00EF7166"/>
    <w:rsid w:val="00EF71D6"/>
    <w:rsid w:val="00EF72A5"/>
    <w:rsid w:val="00EF72AC"/>
    <w:rsid w:val="00EF72B9"/>
    <w:rsid w:val="00EF72C0"/>
    <w:rsid w:val="00EF72C3"/>
    <w:rsid w:val="00EF7302"/>
    <w:rsid w:val="00EF732B"/>
    <w:rsid w:val="00EF7366"/>
    <w:rsid w:val="00EF73D2"/>
    <w:rsid w:val="00EF752C"/>
    <w:rsid w:val="00EF7563"/>
    <w:rsid w:val="00EF75AD"/>
    <w:rsid w:val="00EF75D4"/>
    <w:rsid w:val="00EF75F1"/>
    <w:rsid w:val="00EF7618"/>
    <w:rsid w:val="00EF7627"/>
    <w:rsid w:val="00EF7660"/>
    <w:rsid w:val="00EF7673"/>
    <w:rsid w:val="00EF76A9"/>
    <w:rsid w:val="00EF76CB"/>
    <w:rsid w:val="00EF7715"/>
    <w:rsid w:val="00EF777C"/>
    <w:rsid w:val="00EF7786"/>
    <w:rsid w:val="00EF77B7"/>
    <w:rsid w:val="00EF77C7"/>
    <w:rsid w:val="00EF7834"/>
    <w:rsid w:val="00EF78BC"/>
    <w:rsid w:val="00EF78D6"/>
    <w:rsid w:val="00EF78D9"/>
    <w:rsid w:val="00EF7911"/>
    <w:rsid w:val="00EF7933"/>
    <w:rsid w:val="00EF793C"/>
    <w:rsid w:val="00EF797B"/>
    <w:rsid w:val="00EF7A52"/>
    <w:rsid w:val="00EF7A87"/>
    <w:rsid w:val="00EF7AD0"/>
    <w:rsid w:val="00EF7B32"/>
    <w:rsid w:val="00EF7B78"/>
    <w:rsid w:val="00EF7BB3"/>
    <w:rsid w:val="00EF7C5D"/>
    <w:rsid w:val="00EF7C77"/>
    <w:rsid w:val="00EF7D18"/>
    <w:rsid w:val="00EF7D2B"/>
    <w:rsid w:val="00EF7D44"/>
    <w:rsid w:val="00EF7D46"/>
    <w:rsid w:val="00EF7D67"/>
    <w:rsid w:val="00EF7D82"/>
    <w:rsid w:val="00EF7DD9"/>
    <w:rsid w:val="00EF7DEC"/>
    <w:rsid w:val="00EF7E2C"/>
    <w:rsid w:val="00EF7E8C"/>
    <w:rsid w:val="00EF7ED5"/>
    <w:rsid w:val="00EF7F83"/>
    <w:rsid w:val="00EF7F8D"/>
    <w:rsid w:val="00EF7FC3"/>
    <w:rsid w:val="00EF7FD5"/>
    <w:rsid w:val="00F00033"/>
    <w:rsid w:val="00F000C1"/>
    <w:rsid w:val="00F000E6"/>
    <w:rsid w:val="00F0014B"/>
    <w:rsid w:val="00F00169"/>
    <w:rsid w:val="00F0018C"/>
    <w:rsid w:val="00F001B9"/>
    <w:rsid w:val="00F001C5"/>
    <w:rsid w:val="00F0025E"/>
    <w:rsid w:val="00F0026F"/>
    <w:rsid w:val="00F002C0"/>
    <w:rsid w:val="00F002F1"/>
    <w:rsid w:val="00F00301"/>
    <w:rsid w:val="00F0035C"/>
    <w:rsid w:val="00F00416"/>
    <w:rsid w:val="00F00462"/>
    <w:rsid w:val="00F00486"/>
    <w:rsid w:val="00F004A9"/>
    <w:rsid w:val="00F004AA"/>
    <w:rsid w:val="00F004C6"/>
    <w:rsid w:val="00F004DA"/>
    <w:rsid w:val="00F00507"/>
    <w:rsid w:val="00F0050D"/>
    <w:rsid w:val="00F00537"/>
    <w:rsid w:val="00F005D2"/>
    <w:rsid w:val="00F0064D"/>
    <w:rsid w:val="00F00689"/>
    <w:rsid w:val="00F0068E"/>
    <w:rsid w:val="00F006A5"/>
    <w:rsid w:val="00F006BD"/>
    <w:rsid w:val="00F00737"/>
    <w:rsid w:val="00F0077E"/>
    <w:rsid w:val="00F007AB"/>
    <w:rsid w:val="00F0082D"/>
    <w:rsid w:val="00F008CC"/>
    <w:rsid w:val="00F00905"/>
    <w:rsid w:val="00F009FC"/>
    <w:rsid w:val="00F00A48"/>
    <w:rsid w:val="00F00A49"/>
    <w:rsid w:val="00F00A5D"/>
    <w:rsid w:val="00F00A98"/>
    <w:rsid w:val="00F00AD7"/>
    <w:rsid w:val="00F00B16"/>
    <w:rsid w:val="00F00CDF"/>
    <w:rsid w:val="00F00CF0"/>
    <w:rsid w:val="00F00D33"/>
    <w:rsid w:val="00F00DD2"/>
    <w:rsid w:val="00F00E11"/>
    <w:rsid w:val="00F00E12"/>
    <w:rsid w:val="00F00E9F"/>
    <w:rsid w:val="00F00F08"/>
    <w:rsid w:val="00F00FE4"/>
    <w:rsid w:val="00F00FEA"/>
    <w:rsid w:val="00F00FF1"/>
    <w:rsid w:val="00F01060"/>
    <w:rsid w:val="00F01179"/>
    <w:rsid w:val="00F01191"/>
    <w:rsid w:val="00F011B5"/>
    <w:rsid w:val="00F0120D"/>
    <w:rsid w:val="00F0128B"/>
    <w:rsid w:val="00F0135C"/>
    <w:rsid w:val="00F013A9"/>
    <w:rsid w:val="00F013F5"/>
    <w:rsid w:val="00F01412"/>
    <w:rsid w:val="00F01419"/>
    <w:rsid w:val="00F0143B"/>
    <w:rsid w:val="00F01448"/>
    <w:rsid w:val="00F01455"/>
    <w:rsid w:val="00F01475"/>
    <w:rsid w:val="00F014B1"/>
    <w:rsid w:val="00F0156C"/>
    <w:rsid w:val="00F015A5"/>
    <w:rsid w:val="00F015E8"/>
    <w:rsid w:val="00F0160D"/>
    <w:rsid w:val="00F01697"/>
    <w:rsid w:val="00F0174B"/>
    <w:rsid w:val="00F0177E"/>
    <w:rsid w:val="00F017F2"/>
    <w:rsid w:val="00F01831"/>
    <w:rsid w:val="00F01853"/>
    <w:rsid w:val="00F01888"/>
    <w:rsid w:val="00F018AA"/>
    <w:rsid w:val="00F018B0"/>
    <w:rsid w:val="00F01966"/>
    <w:rsid w:val="00F01969"/>
    <w:rsid w:val="00F01990"/>
    <w:rsid w:val="00F019E5"/>
    <w:rsid w:val="00F01A33"/>
    <w:rsid w:val="00F01A6A"/>
    <w:rsid w:val="00F01AFA"/>
    <w:rsid w:val="00F01CB4"/>
    <w:rsid w:val="00F01CB6"/>
    <w:rsid w:val="00F01DEB"/>
    <w:rsid w:val="00F01E02"/>
    <w:rsid w:val="00F01ECE"/>
    <w:rsid w:val="00F01F2C"/>
    <w:rsid w:val="00F01FCC"/>
    <w:rsid w:val="00F0201A"/>
    <w:rsid w:val="00F02154"/>
    <w:rsid w:val="00F02159"/>
    <w:rsid w:val="00F021B3"/>
    <w:rsid w:val="00F02251"/>
    <w:rsid w:val="00F02271"/>
    <w:rsid w:val="00F0228C"/>
    <w:rsid w:val="00F022D3"/>
    <w:rsid w:val="00F022ED"/>
    <w:rsid w:val="00F0232A"/>
    <w:rsid w:val="00F02333"/>
    <w:rsid w:val="00F02379"/>
    <w:rsid w:val="00F023ED"/>
    <w:rsid w:val="00F02412"/>
    <w:rsid w:val="00F02421"/>
    <w:rsid w:val="00F02455"/>
    <w:rsid w:val="00F02475"/>
    <w:rsid w:val="00F024C6"/>
    <w:rsid w:val="00F024CE"/>
    <w:rsid w:val="00F02582"/>
    <w:rsid w:val="00F02584"/>
    <w:rsid w:val="00F0269D"/>
    <w:rsid w:val="00F026B6"/>
    <w:rsid w:val="00F027CB"/>
    <w:rsid w:val="00F0285C"/>
    <w:rsid w:val="00F0296F"/>
    <w:rsid w:val="00F02986"/>
    <w:rsid w:val="00F029B2"/>
    <w:rsid w:val="00F02A36"/>
    <w:rsid w:val="00F02A47"/>
    <w:rsid w:val="00F02A54"/>
    <w:rsid w:val="00F02AAD"/>
    <w:rsid w:val="00F02AE0"/>
    <w:rsid w:val="00F02B1F"/>
    <w:rsid w:val="00F02B35"/>
    <w:rsid w:val="00F02B36"/>
    <w:rsid w:val="00F02B3A"/>
    <w:rsid w:val="00F02B9A"/>
    <w:rsid w:val="00F02B9B"/>
    <w:rsid w:val="00F02BE8"/>
    <w:rsid w:val="00F02CE0"/>
    <w:rsid w:val="00F02CE9"/>
    <w:rsid w:val="00F02D23"/>
    <w:rsid w:val="00F02DC6"/>
    <w:rsid w:val="00F02E07"/>
    <w:rsid w:val="00F02EAD"/>
    <w:rsid w:val="00F02F33"/>
    <w:rsid w:val="00F0306E"/>
    <w:rsid w:val="00F0308E"/>
    <w:rsid w:val="00F030A2"/>
    <w:rsid w:val="00F030BE"/>
    <w:rsid w:val="00F030DC"/>
    <w:rsid w:val="00F030F6"/>
    <w:rsid w:val="00F03115"/>
    <w:rsid w:val="00F03149"/>
    <w:rsid w:val="00F03152"/>
    <w:rsid w:val="00F03171"/>
    <w:rsid w:val="00F0325A"/>
    <w:rsid w:val="00F0329F"/>
    <w:rsid w:val="00F032A8"/>
    <w:rsid w:val="00F034A9"/>
    <w:rsid w:val="00F034AB"/>
    <w:rsid w:val="00F034AF"/>
    <w:rsid w:val="00F03574"/>
    <w:rsid w:val="00F035DB"/>
    <w:rsid w:val="00F036C1"/>
    <w:rsid w:val="00F036DB"/>
    <w:rsid w:val="00F03708"/>
    <w:rsid w:val="00F037DF"/>
    <w:rsid w:val="00F03833"/>
    <w:rsid w:val="00F03867"/>
    <w:rsid w:val="00F03884"/>
    <w:rsid w:val="00F038E8"/>
    <w:rsid w:val="00F0392C"/>
    <w:rsid w:val="00F039F1"/>
    <w:rsid w:val="00F03A2D"/>
    <w:rsid w:val="00F03A34"/>
    <w:rsid w:val="00F03A47"/>
    <w:rsid w:val="00F03A55"/>
    <w:rsid w:val="00F03A5B"/>
    <w:rsid w:val="00F03B2C"/>
    <w:rsid w:val="00F03B50"/>
    <w:rsid w:val="00F03B52"/>
    <w:rsid w:val="00F03C93"/>
    <w:rsid w:val="00F03CBF"/>
    <w:rsid w:val="00F03CE7"/>
    <w:rsid w:val="00F03D16"/>
    <w:rsid w:val="00F03D24"/>
    <w:rsid w:val="00F03D2F"/>
    <w:rsid w:val="00F03D4E"/>
    <w:rsid w:val="00F03DA7"/>
    <w:rsid w:val="00F03DB9"/>
    <w:rsid w:val="00F03E2B"/>
    <w:rsid w:val="00F03E98"/>
    <w:rsid w:val="00F03ED8"/>
    <w:rsid w:val="00F03F34"/>
    <w:rsid w:val="00F04055"/>
    <w:rsid w:val="00F040B2"/>
    <w:rsid w:val="00F04118"/>
    <w:rsid w:val="00F04170"/>
    <w:rsid w:val="00F04198"/>
    <w:rsid w:val="00F041C8"/>
    <w:rsid w:val="00F041FA"/>
    <w:rsid w:val="00F04228"/>
    <w:rsid w:val="00F0430C"/>
    <w:rsid w:val="00F04347"/>
    <w:rsid w:val="00F04493"/>
    <w:rsid w:val="00F0450F"/>
    <w:rsid w:val="00F04514"/>
    <w:rsid w:val="00F0452F"/>
    <w:rsid w:val="00F04598"/>
    <w:rsid w:val="00F04651"/>
    <w:rsid w:val="00F0467C"/>
    <w:rsid w:val="00F0467E"/>
    <w:rsid w:val="00F04694"/>
    <w:rsid w:val="00F046AE"/>
    <w:rsid w:val="00F046F3"/>
    <w:rsid w:val="00F047B7"/>
    <w:rsid w:val="00F047EB"/>
    <w:rsid w:val="00F047F2"/>
    <w:rsid w:val="00F04874"/>
    <w:rsid w:val="00F04894"/>
    <w:rsid w:val="00F0489C"/>
    <w:rsid w:val="00F048B0"/>
    <w:rsid w:val="00F04912"/>
    <w:rsid w:val="00F04996"/>
    <w:rsid w:val="00F0499C"/>
    <w:rsid w:val="00F04A96"/>
    <w:rsid w:val="00F04B3B"/>
    <w:rsid w:val="00F04B8D"/>
    <w:rsid w:val="00F04BF8"/>
    <w:rsid w:val="00F04C77"/>
    <w:rsid w:val="00F04CAD"/>
    <w:rsid w:val="00F04CB0"/>
    <w:rsid w:val="00F04CB7"/>
    <w:rsid w:val="00F04D15"/>
    <w:rsid w:val="00F04D17"/>
    <w:rsid w:val="00F04D1F"/>
    <w:rsid w:val="00F04D24"/>
    <w:rsid w:val="00F04D7A"/>
    <w:rsid w:val="00F04DB4"/>
    <w:rsid w:val="00F04E0E"/>
    <w:rsid w:val="00F04E12"/>
    <w:rsid w:val="00F04F25"/>
    <w:rsid w:val="00F04FA3"/>
    <w:rsid w:val="00F05017"/>
    <w:rsid w:val="00F05035"/>
    <w:rsid w:val="00F05102"/>
    <w:rsid w:val="00F05116"/>
    <w:rsid w:val="00F05146"/>
    <w:rsid w:val="00F0520C"/>
    <w:rsid w:val="00F052D2"/>
    <w:rsid w:val="00F05321"/>
    <w:rsid w:val="00F05352"/>
    <w:rsid w:val="00F05387"/>
    <w:rsid w:val="00F053C6"/>
    <w:rsid w:val="00F053E5"/>
    <w:rsid w:val="00F05445"/>
    <w:rsid w:val="00F0554F"/>
    <w:rsid w:val="00F0557B"/>
    <w:rsid w:val="00F055BF"/>
    <w:rsid w:val="00F056C8"/>
    <w:rsid w:val="00F0572C"/>
    <w:rsid w:val="00F05885"/>
    <w:rsid w:val="00F058CA"/>
    <w:rsid w:val="00F058D4"/>
    <w:rsid w:val="00F058E8"/>
    <w:rsid w:val="00F0592F"/>
    <w:rsid w:val="00F05AC0"/>
    <w:rsid w:val="00F05AD3"/>
    <w:rsid w:val="00F05AED"/>
    <w:rsid w:val="00F05C28"/>
    <w:rsid w:val="00F05C42"/>
    <w:rsid w:val="00F05CDF"/>
    <w:rsid w:val="00F05E2B"/>
    <w:rsid w:val="00F05E3B"/>
    <w:rsid w:val="00F05F5A"/>
    <w:rsid w:val="00F05F60"/>
    <w:rsid w:val="00F05F7A"/>
    <w:rsid w:val="00F05F9C"/>
    <w:rsid w:val="00F06089"/>
    <w:rsid w:val="00F06152"/>
    <w:rsid w:val="00F06167"/>
    <w:rsid w:val="00F061C9"/>
    <w:rsid w:val="00F061E3"/>
    <w:rsid w:val="00F062A0"/>
    <w:rsid w:val="00F062A4"/>
    <w:rsid w:val="00F062FD"/>
    <w:rsid w:val="00F06397"/>
    <w:rsid w:val="00F063AA"/>
    <w:rsid w:val="00F063C3"/>
    <w:rsid w:val="00F0640F"/>
    <w:rsid w:val="00F0643A"/>
    <w:rsid w:val="00F06459"/>
    <w:rsid w:val="00F06511"/>
    <w:rsid w:val="00F0651B"/>
    <w:rsid w:val="00F06554"/>
    <w:rsid w:val="00F06577"/>
    <w:rsid w:val="00F06589"/>
    <w:rsid w:val="00F065A2"/>
    <w:rsid w:val="00F065BE"/>
    <w:rsid w:val="00F0668E"/>
    <w:rsid w:val="00F0669E"/>
    <w:rsid w:val="00F06711"/>
    <w:rsid w:val="00F06784"/>
    <w:rsid w:val="00F06795"/>
    <w:rsid w:val="00F06819"/>
    <w:rsid w:val="00F0695B"/>
    <w:rsid w:val="00F06978"/>
    <w:rsid w:val="00F0698D"/>
    <w:rsid w:val="00F06AE3"/>
    <w:rsid w:val="00F06B06"/>
    <w:rsid w:val="00F06B1F"/>
    <w:rsid w:val="00F06B45"/>
    <w:rsid w:val="00F06BC0"/>
    <w:rsid w:val="00F06BF5"/>
    <w:rsid w:val="00F06C6A"/>
    <w:rsid w:val="00F06C98"/>
    <w:rsid w:val="00F06CE3"/>
    <w:rsid w:val="00F06D15"/>
    <w:rsid w:val="00F06D2B"/>
    <w:rsid w:val="00F06D2C"/>
    <w:rsid w:val="00F06D37"/>
    <w:rsid w:val="00F06D4E"/>
    <w:rsid w:val="00F06DB4"/>
    <w:rsid w:val="00F06EDF"/>
    <w:rsid w:val="00F07192"/>
    <w:rsid w:val="00F0719A"/>
    <w:rsid w:val="00F071D5"/>
    <w:rsid w:val="00F071E1"/>
    <w:rsid w:val="00F071FE"/>
    <w:rsid w:val="00F07234"/>
    <w:rsid w:val="00F07269"/>
    <w:rsid w:val="00F072A2"/>
    <w:rsid w:val="00F072AD"/>
    <w:rsid w:val="00F072B6"/>
    <w:rsid w:val="00F072EF"/>
    <w:rsid w:val="00F07337"/>
    <w:rsid w:val="00F073A5"/>
    <w:rsid w:val="00F073FC"/>
    <w:rsid w:val="00F07423"/>
    <w:rsid w:val="00F0742C"/>
    <w:rsid w:val="00F0754B"/>
    <w:rsid w:val="00F07612"/>
    <w:rsid w:val="00F0764E"/>
    <w:rsid w:val="00F07655"/>
    <w:rsid w:val="00F07659"/>
    <w:rsid w:val="00F07761"/>
    <w:rsid w:val="00F07854"/>
    <w:rsid w:val="00F0790E"/>
    <w:rsid w:val="00F079B8"/>
    <w:rsid w:val="00F07A2B"/>
    <w:rsid w:val="00F07ACD"/>
    <w:rsid w:val="00F07B73"/>
    <w:rsid w:val="00F07C7B"/>
    <w:rsid w:val="00F07C82"/>
    <w:rsid w:val="00F07C90"/>
    <w:rsid w:val="00F07CA8"/>
    <w:rsid w:val="00F07D15"/>
    <w:rsid w:val="00F07DA1"/>
    <w:rsid w:val="00F07DD6"/>
    <w:rsid w:val="00F07E56"/>
    <w:rsid w:val="00F07F36"/>
    <w:rsid w:val="00F07F3B"/>
    <w:rsid w:val="00F07F77"/>
    <w:rsid w:val="00F07FB6"/>
    <w:rsid w:val="00F07FFE"/>
    <w:rsid w:val="00F10063"/>
    <w:rsid w:val="00F100FA"/>
    <w:rsid w:val="00F100FF"/>
    <w:rsid w:val="00F1016D"/>
    <w:rsid w:val="00F1023D"/>
    <w:rsid w:val="00F10287"/>
    <w:rsid w:val="00F10302"/>
    <w:rsid w:val="00F1034D"/>
    <w:rsid w:val="00F103D9"/>
    <w:rsid w:val="00F10425"/>
    <w:rsid w:val="00F104B2"/>
    <w:rsid w:val="00F10574"/>
    <w:rsid w:val="00F10590"/>
    <w:rsid w:val="00F105F6"/>
    <w:rsid w:val="00F10619"/>
    <w:rsid w:val="00F10663"/>
    <w:rsid w:val="00F10682"/>
    <w:rsid w:val="00F10745"/>
    <w:rsid w:val="00F1075E"/>
    <w:rsid w:val="00F107B4"/>
    <w:rsid w:val="00F107E3"/>
    <w:rsid w:val="00F107F5"/>
    <w:rsid w:val="00F1084C"/>
    <w:rsid w:val="00F10859"/>
    <w:rsid w:val="00F1086B"/>
    <w:rsid w:val="00F1088A"/>
    <w:rsid w:val="00F109AC"/>
    <w:rsid w:val="00F109DC"/>
    <w:rsid w:val="00F109F8"/>
    <w:rsid w:val="00F10A3B"/>
    <w:rsid w:val="00F10A42"/>
    <w:rsid w:val="00F10A4B"/>
    <w:rsid w:val="00F10B0D"/>
    <w:rsid w:val="00F10B1A"/>
    <w:rsid w:val="00F10B77"/>
    <w:rsid w:val="00F10C68"/>
    <w:rsid w:val="00F10C70"/>
    <w:rsid w:val="00F10C8A"/>
    <w:rsid w:val="00F10CB3"/>
    <w:rsid w:val="00F10CDE"/>
    <w:rsid w:val="00F10D0A"/>
    <w:rsid w:val="00F10D2E"/>
    <w:rsid w:val="00F10D50"/>
    <w:rsid w:val="00F10D88"/>
    <w:rsid w:val="00F10DAF"/>
    <w:rsid w:val="00F10E52"/>
    <w:rsid w:val="00F10E69"/>
    <w:rsid w:val="00F10EBE"/>
    <w:rsid w:val="00F10EC4"/>
    <w:rsid w:val="00F10EFA"/>
    <w:rsid w:val="00F10F09"/>
    <w:rsid w:val="00F10F26"/>
    <w:rsid w:val="00F10F70"/>
    <w:rsid w:val="00F10F77"/>
    <w:rsid w:val="00F11064"/>
    <w:rsid w:val="00F1109D"/>
    <w:rsid w:val="00F110C5"/>
    <w:rsid w:val="00F11215"/>
    <w:rsid w:val="00F1129E"/>
    <w:rsid w:val="00F112CE"/>
    <w:rsid w:val="00F1130A"/>
    <w:rsid w:val="00F1137D"/>
    <w:rsid w:val="00F113E1"/>
    <w:rsid w:val="00F113E5"/>
    <w:rsid w:val="00F11472"/>
    <w:rsid w:val="00F114AD"/>
    <w:rsid w:val="00F1150C"/>
    <w:rsid w:val="00F11560"/>
    <w:rsid w:val="00F115CC"/>
    <w:rsid w:val="00F115DC"/>
    <w:rsid w:val="00F11623"/>
    <w:rsid w:val="00F11629"/>
    <w:rsid w:val="00F11663"/>
    <w:rsid w:val="00F1167E"/>
    <w:rsid w:val="00F116D4"/>
    <w:rsid w:val="00F117A7"/>
    <w:rsid w:val="00F117CB"/>
    <w:rsid w:val="00F117F4"/>
    <w:rsid w:val="00F1187D"/>
    <w:rsid w:val="00F11885"/>
    <w:rsid w:val="00F11889"/>
    <w:rsid w:val="00F1188A"/>
    <w:rsid w:val="00F118A3"/>
    <w:rsid w:val="00F11956"/>
    <w:rsid w:val="00F11979"/>
    <w:rsid w:val="00F11A0D"/>
    <w:rsid w:val="00F11A6A"/>
    <w:rsid w:val="00F11ADA"/>
    <w:rsid w:val="00F11B32"/>
    <w:rsid w:val="00F11B69"/>
    <w:rsid w:val="00F11C61"/>
    <w:rsid w:val="00F11E21"/>
    <w:rsid w:val="00F11E2E"/>
    <w:rsid w:val="00F11E97"/>
    <w:rsid w:val="00F11EA0"/>
    <w:rsid w:val="00F11F35"/>
    <w:rsid w:val="00F11F3C"/>
    <w:rsid w:val="00F11F8A"/>
    <w:rsid w:val="00F11FB5"/>
    <w:rsid w:val="00F12014"/>
    <w:rsid w:val="00F12025"/>
    <w:rsid w:val="00F120A3"/>
    <w:rsid w:val="00F1215B"/>
    <w:rsid w:val="00F122D1"/>
    <w:rsid w:val="00F122E1"/>
    <w:rsid w:val="00F122F4"/>
    <w:rsid w:val="00F12308"/>
    <w:rsid w:val="00F12320"/>
    <w:rsid w:val="00F12411"/>
    <w:rsid w:val="00F12478"/>
    <w:rsid w:val="00F124F7"/>
    <w:rsid w:val="00F1259C"/>
    <w:rsid w:val="00F125F2"/>
    <w:rsid w:val="00F12612"/>
    <w:rsid w:val="00F12627"/>
    <w:rsid w:val="00F126DC"/>
    <w:rsid w:val="00F127D7"/>
    <w:rsid w:val="00F1283B"/>
    <w:rsid w:val="00F12864"/>
    <w:rsid w:val="00F1291D"/>
    <w:rsid w:val="00F12982"/>
    <w:rsid w:val="00F1298D"/>
    <w:rsid w:val="00F129C9"/>
    <w:rsid w:val="00F12A12"/>
    <w:rsid w:val="00F12ADF"/>
    <w:rsid w:val="00F12B33"/>
    <w:rsid w:val="00F12C56"/>
    <w:rsid w:val="00F12C86"/>
    <w:rsid w:val="00F12CD7"/>
    <w:rsid w:val="00F12D21"/>
    <w:rsid w:val="00F12D2C"/>
    <w:rsid w:val="00F12D64"/>
    <w:rsid w:val="00F12D8F"/>
    <w:rsid w:val="00F12DBB"/>
    <w:rsid w:val="00F12DDF"/>
    <w:rsid w:val="00F12E33"/>
    <w:rsid w:val="00F12E69"/>
    <w:rsid w:val="00F12E6F"/>
    <w:rsid w:val="00F12EAC"/>
    <w:rsid w:val="00F12EC3"/>
    <w:rsid w:val="00F12EFD"/>
    <w:rsid w:val="00F12F0D"/>
    <w:rsid w:val="00F12F54"/>
    <w:rsid w:val="00F12F80"/>
    <w:rsid w:val="00F12FAA"/>
    <w:rsid w:val="00F12FBE"/>
    <w:rsid w:val="00F13038"/>
    <w:rsid w:val="00F1305A"/>
    <w:rsid w:val="00F13065"/>
    <w:rsid w:val="00F130E7"/>
    <w:rsid w:val="00F130E9"/>
    <w:rsid w:val="00F13113"/>
    <w:rsid w:val="00F1314E"/>
    <w:rsid w:val="00F13257"/>
    <w:rsid w:val="00F132A1"/>
    <w:rsid w:val="00F132E7"/>
    <w:rsid w:val="00F132F8"/>
    <w:rsid w:val="00F13327"/>
    <w:rsid w:val="00F1335F"/>
    <w:rsid w:val="00F133D2"/>
    <w:rsid w:val="00F133F5"/>
    <w:rsid w:val="00F13442"/>
    <w:rsid w:val="00F1345F"/>
    <w:rsid w:val="00F13467"/>
    <w:rsid w:val="00F1346C"/>
    <w:rsid w:val="00F1347E"/>
    <w:rsid w:val="00F134C3"/>
    <w:rsid w:val="00F134E0"/>
    <w:rsid w:val="00F13500"/>
    <w:rsid w:val="00F13565"/>
    <w:rsid w:val="00F1357F"/>
    <w:rsid w:val="00F135A8"/>
    <w:rsid w:val="00F13634"/>
    <w:rsid w:val="00F1366B"/>
    <w:rsid w:val="00F136E8"/>
    <w:rsid w:val="00F13761"/>
    <w:rsid w:val="00F137A6"/>
    <w:rsid w:val="00F13824"/>
    <w:rsid w:val="00F13827"/>
    <w:rsid w:val="00F138BC"/>
    <w:rsid w:val="00F138C1"/>
    <w:rsid w:val="00F1394E"/>
    <w:rsid w:val="00F1397A"/>
    <w:rsid w:val="00F139EC"/>
    <w:rsid w:val="00F13A02"/>
    <w:rsid w:val="00F13A5D"/>
    <w:rsid w:val="00F13A99"/>
    <w:rsid w:val="00F13AE0"/>
    <w:rsid w:val="00F13AE2"/>
    <w:rsid w:val="00F13BCB"/>
    <w:rsid w:val="00F13BD8"/>
    <w:rsid w:val="00F13C0D"/>
    <w:rsid w:val="00F13C16"/>
    <w:rsid w:val="00F13C38"/>
    <w:rsid w:val="00F13C85"/>
    <w:rsid w:val="00F13CF1"/>
    <w:rsid w:val="00F13D14"/>
    <w:rsid w:val="00F13D86"/>
    <w:rsid w:val="00F13E03"/>
    <w:rsid w:val="00F13E68"/>
    <w:rsid w:val="00F13E80"/>
    <w:rsid w:val="00F13E81"/>
    <w:rsid w:val="00F13EAB"/>
    <w:rsid w:val="00F13ED9"/>
    <w:rsid w:val="00F13EDB"/>
    <w:rsid w:val="00F13F19"/>
    <w:rsid w:val="00F13FAF"/>
    <w:rsid w:val="00F13FD1"/>
    <w:rsid w:val="00F13FF2"/>
    <w:rsid w:val="00F1401B"/>
    <w:rsid w:val="00F1409D"/>
    <w:rsid w:val="00F140A1"/>
    <w:rsid w:val="00F140FA"/>
    <w:rsid w:val="00F1417C"/>
    <w:rsid w:val="00F141D6"/>
    <w:rsid w:val="00F142E5"/>
    <w:rsid w:val="00F14373"/>
    <w:rsid w:val="00F14463"/>
    <w:rsid w:val="00F14473"/>
    <w:rsid w:val="00F144C7"/>
    <w:rsid w:val="00F144F3"/>
    <w:rsid w:val="00F14538"/>
    <w:rsid w:val="00F1454A"/>
    <w:rsid w:val="00F145C7"/>
    <w:rsid w:val="00F14620"/>
    <w:rsid w:val="00F1466C"/>
    <w:rsid w:val="00F146DC"/>
    <w:rsid w:val="00F146E0"/>
    <w:rsid w:val="00F146FE"/>
    <w:rsid w:val="00F1474F"/>
    <w:rsid w:val="00F1479A"/>
    <w:rsid w:val="00F147EA"/>
    <w:rsid w:val="00F14833"/>
    <w:rsid w:val="00F1483E"/>
    <w:rsid w:val="00F148A3"/>
    <w:rsid w:val="00F148C5"/>
    <w:rsid w:val="00F14942"/>
    <w:rsid w:val="00F14958"/>
    <w:rsid w:val="00F149FB"/>
    <w:rsid w:val="00F14A26"/>
    <w:rsid w:val="00F14A2B"/>
    <w:rsid w:val="00F14A63"/>
    <w:rsid w:val="00F14B29"/>
    <w:rsid w:val="00F14B38"/>
    <w:rsid w:val="00F14BAE"/>
    <w:rsid w:val="00F14BD8"/>
    <w:rsid w:val="00F14C36"/>
    <w:rsid w:val="00F14C56"/>
    <w:rsid w:val="00F14C64"/>
    <w:rsid w:val="00F14D8B"/>
    <w:rsid w:val="00F14D8F"/>
    <w:rsid w:val="00F14DCD"/>
    <w:rsid w:val="00F14DCF"/>
    <w:rsid w:val="00F14DDC"/>
    <w:rsid w:val="00F14DFA"/>
    <w:rsid w:val="00F14E1E"/>
    <w:rsid w:val="00F14E63"/>
    <w:rsid w:val="00F14E87"/>
    <w:rsid w:val="00F14F2C"/>
    <w:rsid w:val="00F14F2D"/>
    <w:rsid w:val="00F15007"/>
    <w:rsid w:val="00F15108"/>
    <w:rsid w:val="00F151EE"/>
    <w:rsid w:val="00F151F1"/>
    <w:rsid w:val="00F15218"/>
    <w:rsid w:val="00F15259"/>
    <w:rsid w:val="00F1528C"/>
    <w:rsid w:val="00F152BB"/>
    <w:rsid w:val="00F152DC"/>
    <w:rsid w:val="00F1530C"/>
    <w:rsid w:val="00F1531E"/>
    <w:rsid w:val="00F15334"/>
    <w:rsid w:val="00F15377"/>
    <w:rsid w:val="00F1539A"/>
    <w:rsid w:val="00F153A1"/>
    <w:rsid w:val="00F153C0"/>
    <w:rsid w:val="00F153F1"/>
    <w:rsid w:val="00F15419"/>
    <w:rsid w:val="00F1544C"/>
    <w:rsid w:val="00F1546E"/>
    <w:rsid w:val="00F15487"/>
    <w:rsid w:val="00F154F0"/>
    <w:rsid w:val="00F15590"/>
    <w:rsid w:val="00F1560F"/>
    <w:rsid w:val="00F15691"/>
    <w:rsid w:val="00F156AF"/>
    <w:rsid w:val="00F156C1"/>
    <w:rsid w:val="00F157E7"/>
    <w:rsid w:val="00F15891"/>
    <w:rsid w:val="00F158E2"/>
    <w:rsid w:val="00F158F9"/>
    <w:rsid w:val="00F15929"/>
    <w:rsid w:val="00F15977"/>
    <w:rsid w:val="00F15A1C"/>
    <w:rsid w:val="00F15C47"/>
    <w:rsid w:val="00F15CAA"/>
    <w:rsid w:val="00F15DAE"/>
    <w:rsid w:val="00F15E06"/>
    <w:rsid w:val="00F15E3E"/>
    <w:rsid w:val="00F15E98"/>
    <w:rsid w:val="00F15EAB"/>
    <w:rsid w:val="00F15F38"/>
    <w:rsid w:val="00F15F87"/>
    <w:rsid w:val="00F15FE5"/>
    <w:rsid w:val="00F15FE9"/>
    <w:rsid w:val="00F16075"/>
    <w:rsid w:val="00F1618E"/>
    <w:rsid w:val="00F1619A"/>
    <w:rsid w:val="00F161D7"/>
    <w:rsid w:val="00F161FC"/>
    <w:rsid w:val="00F1624B"/>
    <w:rsid w:val="00F16263"/>
    <w:rsid w:val="00F1629F"/>
    <w:rsid w:val="00F162A5"/>
    <w:rsid w:val="00F16307"/>
    <w:rsid w:val="00F16336"/>
    <w:rsid w:val="00F1640D"/>
    <w:rsid w:val="00F16481"/>
    <w:rsid w:val="00F16482"/>
    <w:rsid w:val="00F164E5"/>
    <w:rsid w:val="00F1650A"/>
    <w:rsid w:val="00F1652A"/>
    <w:rsid w:val="00F16633"/>
    <w:rsid w:val="00F1665F"/>
    <w:rsid w:val="00F1666F"/>
    <w:rsid w:val="00F16684"/>
    <w:rsid w:val="00F167D8"/>
    <w:rsid w:val="00F16857"/>
    <w:rsid w:val="00F16864"/>
    <w:rsid w:val="00F16910"/>
    <w:rsid w:val="00F1695A"/>
    <w:rsid w:val="00F1698A"/>
    <w:rsid w:val="00F169BA"/>
    <w:rsid w:val="00F16A00"/>
    <w:rsid w:val="00F16A7E"/>
    <w:rsid w:val="00F16AEC"/>
    <w:rsid w:val="00F16B77"/>
    <w:rsid w:val="00F16B7E"/>
    <w:rsid w:val="00F16C40"/>
    <w:rsid w:val="00F16C8B"/>
    <w:rsid w:val="00F16CDD"/>
    <w:rsid w:val="00F16D21"/>
    <w:rsid w:val="00F16D57"/>
    <w:rsid w:val="00F16D71"/>
    <w:rsid w:val="00F16D78"/>
    <w:rsid w:val="00F16DE6"/>
    <w:rsid w:val="00F16E36"/>
    <w:rsid w:val="00F16E70"/>
    <w:rsid w:val="00F16EA8"/>
    <w:rsid w:val="00F16EF2"/>
    <w:rsid w:val="00F16F5B"/>
    <w:rsid w:val="00F16F85"/>
    <w:rsid w:val="00F16F99"/>
    <w:rsid w:val="00F17081"/>
    <w:rsid w:val="00F1708B"/>
    <w:rsid w:val="00F170D2"/>
    <w:rsid w:val="00F17189"/>
    <w:rsid w:val="00F1719E"/>
    <w:rsid w:val="00F171CF"/>
    <w:rsid w:val="00F171DB"/>
    <w:rsid w:val="00F172E0"/>
    <w:rsid w:val="00F17367"/>
    <w:rsid w:val="00F173C5"/>
    <w:rsid w:val="00F173D6"/>
    <w:rsid w:val="00F1740E"/>
    <w:rsid w:val="00F17423"/>
    <w:rsid w:val="00F174C3"/>
    <w:rsid w:val="00F1750B"/>
    <w:rsid w:val="00F17570"/>
    <w:rsid w:val="00F175BC"/>
    <w:rsid w:val="00F176EC"/>
    <w:rsid w:val="00F177B7"/>
    <w:rsid w:val="00F177BC"/>
    <w:rsid w:val="00F177CF"/>
    <w:rsid w:val="00F177D2"/>
    <w:rsid w:val="00F17826"/>
    <w:rsid w:val="00F17864"/>
    <w:rsid w:val="00F17872"/>
    <w:rsid w:val="00F178CC"/>
    <w:rsid w:val="00F1793D"/>
    <w:rsid w:val="00F17955"/>
    <w:rsid w:val="00F17964"/>
    <w:rsid w:val="00F17994"/>
    <w:rsid w:val="00F179F0"/>
    <w:rsid w:val="00F17A1F"/>
    <w:rsid w:val="00F17A51"/>
    <w:rsid w:val="00F17A55"/>
    <w:rsid w:val="00F17AA6"/>
    <w:rsid w:val="00F17B61"/>
    <w:rsid w:val="00F17B7D"/>
    <w:rsid w:val="00F17BCC"/>
    <w:rsid w:val="00F17CF7"/>
    <w:rsid w:val="00F17E8B"/>
    <w:rsid w:val="00F17FC9"/>
    <w:rsid w:val="00F17FCE"/>
    <w:rsid w:val="00F20040"/>
    <w:rsid w:val="00F20073"/>
    <w:rsid w:val="00F20178"/>
    <w:rsid w:val="00F20191"/>
    <w:rsid w:val="00F20246"/>
    <w:rsid w:val="00F2027E"/>
    <w:rsid w:val="00F20365"/>
    <w:rsid w:val="00F203E0"/>
    <w:rsid w:val="00F203E7"/>
    <w:rsid w:val="00F20404"/>
    <w:rsid w:val="00F20469"/>
    <w:rsid w:val="00F2050B"/>
    <w:rsid w:val="00F2054E"/>
    <w:rsid w:val="00F20570"/>
    <w:rsid w:val="00F205F8"/>
    <w:rsid w:val="00F20639"/>
    <w:rsid w:val="00F206D3"/>
    <w:rsid w:val="00F206D4"/>
    <w:rsid w:val="00F20788"/>
    <w:rsid w:val="00F2080D"/>
    <w:rsid w:val="00F2083F"/>
    <w:rsid w:val="00F20898"/>
    <w:rsid w:val="00F208A5"/>
    <w:rsid w:val="00F208A9"/>
    <w:rsid w:val="00F208C2"/>
    <w:rsid w:val="00F20963"/>
    <w:rsid w:val="00F2098D"/>
    <w:rsid w:val="00F209E0"/>
    <w:rsid w:val="00F20A2C"/>
    <w:rsid w:val="00F20AD2"/>
    <w:rsid w:val="00F20BD7"/>
    <w:rsid w:val="00F20C43"/>
    <w:rsid w:val="00F20C64"/>
    <w:rsid w:val="00F20CC0"/>
    <w:rsid w:val="00F20CC3"/>
    <w:rsid w:val="00F20CEC"/>
    <w:rsid w:val="00F20CFD"/>
    <w:rsid w:val="00F20DA8"/>
    <w:rsid w:val="00F20DDD"/>
    <w:rsid w:val="00F20E8D"/>
    <w:rsid w:val="00F20EF6"/>
    <w:rsid w:val="00F20F06"/>
    <w:rsid w:val="00F20F5C"/>
    <w:rsid w:val="00F20F64"/>
    <w:rsid w:val="00F20FA1"/>
    <w:rsid w:val="00F20FFF"/>
    <w:rsid w:val="00F21048"/>
    <w:rsid w:val="00F2104D"/>
    <w:rsid w:val="00F2104F"/>
    <w:rsid w:val="00F21060"/>
    <w:rsid w:val="00F21062"/>
    <w:rsid w:val="00F2108F"/>
    <w:rsid w:val="00F21116"/>
    <w:rsid w:val="00F21178"/>
    <w:rsid w:val="00F21253"/>
    <w:rsid w:val="00F21299"/>
    <w:rsid w:val="00F212B4"/>
    <w:rsid w:val="00F213B1"/>
    <w:rsid w:val="00F21494"/>
    <w:rsid w:val="00F214F3"/>
    <w:rsid w:val="00F2157D"/>
    <w:rsid w:val="00F215B3"/>
    <w:rsid w:val="00F215FD"/>
    <w:rsid w:val="00F21651"/>
    <w:rsid w:val="00F216FF"/>
    <w:rsid w:val="00F21718"/>
    <w:rsid w:val="00F217E0"/>
    <w:rsid w:val="00F21809"/>
    <w:rsid w:val="00F21876"/>
    <w:rsid w:val="00F218D4"/>
    <w:rsid w:val="00F2190E"/>
    <w:rsid w:val="00F2195A"/>
    <w:rsid w:val="00F219DC"/>
    <w:rsid w:val="00F21A2C"/>
    <w:rsid w:val="00F21AF6"/>
    <w:rsid w:val="00F21B82"/>
    <w:rsid w:val="00F21B8D"/>
    <w:rsid w:val="00F21C2A"/>
    <w:rsid w:val="00F21C67"/>
    <w:rsid w:val="00F21CAE"/>
    <w:rsid w:val="00F21CD8"/>
    <w:rsid w:val="00F21CEE"/>
    <w:rsid w:val="00F21D13"/>
    <w:rsid w:val="00F21D1A"/>
    <w:rsid w:val="00F21D31"/>
    <w:rsid w:val="00F21D3D"/>
    <w:rsid w:val="00F21D74"/>
    <w:rsid w:val="00F21DAD"/>
    <w:rsid w:val="00F21DC0"/>
    <w:rsid w:val="00F21DF4"/>
    <w:rsid w:val="00F21EFD"/>
    <w:rsid w:val="00F21F9A"/>
    <w:rsid w:val="00F21FDE"/>
    <w:rsid w:val="00F22081"/>
    <w:rsid w:val="00F220AE"/>
    <w:rsid w:val="00F22163"/>
    <w:rsid w:val="00F2217D"/>
    <w:rsid w:val="00F221B2"/>
    <w:rsid w:val="00F221C3"/>
    <w:rsid w:val="00F221DC"/>
    <w:rsid w:val="00F2226D"/>
    <w:rsid w:val="00F22287"/>
    <w:rsid w:val="00F222B6"/>
    <w:rsid w:val="00F222CB"/>
    <w:rsid w:val="00F222E0"/>
    <w:rsid w:val="00F222F5"/>
    <w:rsid w:val="00F223FA"/>
    <w:rsid w:val="00F22405"/>
    <w:rsid w:val="00F2247E"/>
    <w:rsid w:val="00F224E2"/>
    <w:rsid w:val="00F224F7"/>
    <w:rsid w:val="00F224FF"/>
    <w:rsid w:val="00F22516"/>
    <w:rsid w:val="00F2253A"/>
    <w:rsid w:val="00F22572"/>
    <w:rsid w:val="00F225AA"/>
    <w:rsid w:val="00F22682"/>
    <w:rsid w:val="00F226A2"/>
    <w:rsid w:val="00F226AB"/>
    <w:rsid w:val="00F226E6"/>
    <w:rsid w:val="00F22781"/>
    <w:rsid w:val="00F227F4"/>
    <w:rsid w:val="00F22825"/>
    <w:rsid w:val="00F2292C"/>
    <w:rsid w:val="00F2295C"/>
    <w:rsid w:val="00F22980"/>
    <w:rsid w:val="00F229D4"/>
    <w:rsid w:val="00F22ABF"/>
    <w:rsid w:val="00F22B87"/>
    <w:rsid w:val="00F22BEB"/>
    <w:rsid w:val="00F22C3E"/>
    <w:rsid w:val="00F22C56"/>
    <w:rsid w:val="00F22C95"/>
    <w:rsid w:val="00F22CE0"/>
    <w:rsid w:val="00F22D14"/>
    <w:rsid w:val="00F22D26"/>
    <w:rsid w:val="00F22D33"/>
    <w:rsid w:val="00F22D41"/>
    <w:rsid w:val="00F22D50"/>
    <w:rsid w:val="00F22E69"/>
    <w:rsid w:val="00F22EE0"/>
    <w:rsid w:val="00F22F0B"/>
    <w:rsid w:val="00F22F0C"/>
    <w:rsid w:val="00F23022"/>
    <w:rsid w:val="00F23034"/>
    <w:rsid w:val="00F2305B"/>
    <w:rsid w:val="00F2305E"/>
    <w:rsid w:val="00F2307E"/>
    <w:rsid w:val="00F23090"/>
    <w:rsid w:val="00F23119"/>
    <w:rsid w:val="00F23298"/>
    <w:rsid w:val="00F232E4"/>
    <w:rsid w:val="00F232E9"/>
    <w:rsid w:val="00F23391"/>
    <w:rsid w:val="00F2339B"/>
    <w:rsid w:val="00F234B9"/>
    <w:rsid w:val="00F23510"/>
    <w:rsid w:val="00F23620"/>
    <w:rsid w:val="00F2363B"/>
    <w:rsid w:val="00F23667"/>
    <w:rsid w:val="00F2368B"/>
    <w:rsid w:val="00F236AF"/>
    <w:rsid w:val="00F236B4"/>
    <w:rsid w:val="00F23714"/>
    <w:rsid w:val="00F23779"/>
    <w:rsid w:val="00F2379E"/>
    <w:rsid w:val="00F237AA"/>
    <w:rsid w:val="00F237AC"/>
    <w:rsid w:val="00F237EF"/>
    <w:rsid w:val="00F23825"/>
    <w:rsid w:val="00F23862"/>
    <w:rsid w:val="00F238A3"/>
    <w:rsid w:val="00F2392F"/>
    <w:rsid w:val="00F2395F"/>
    <w:rsid w:val="00F2396D"/>
    <w:rsid w:val="00F23ABC"/>
    <w:rsid w:val="00F23B07"/>
    <w:rsid w:val="00F23B56"/>
    <w:rsid w:val="00F23B93"/>
    <w:rsid w:val="00F23BB8"/>
    <w:rsid w:val="00F23BFA"/>
    <w:rsid w:val="00F23C39"/>
    <w:rsid w:val="00F23C53"/>
    <w:rsid w:val="00F23C65"/>
    <w:rsid w:val="00F23CC2"/>
    <w:rsid w:val="00F23CE6"/>
    <w:rsid w:val="00F23DCA"/>
    <w:rsid w:val="00F23E69"/>
    <w:rsid w:val="00F23E82"/>
    <w:rsid w:val="00F23EAD"/>
    <w:rsid w:val="00F23EB7"/>
    <w:rsid w:val="00F23EE8"/>
    <w:rsid w:val="00F23F01"/>
    <w:rsid w:val="00F23F5B"/>
    <w:rsid w:val="00F23F5F"/>
    <w:rsid w:val="00F23F68"/>
    <w:rsid w:val="00F23F76"/>
    <w:rsid w:val="00F23F7E"/>
    <w:rsid w:val="00F23FF0"/>
    <w:rsid w:val="00F2401D"/>
    <w:rsid w:val="00F2404A"/>
    <w:rsid w:val="00F240CA"/>
    <w:rsid w:val="00F24128"/>
    <w:rsid w:val="00F24250"/>
    <w:rsid w:val="00F242EA"/>
    <w:rsid w:val="00F242FC"/>
    <w:rsid w:val="00F24370"/>
    <w:rsid w:val="00F24434"/>
    <w:rsid w:val="00F244B2"/>
    <w:rsid w:val="00F2458C"/>
    <w:rsid w:val="00F245DD"/>
    <w:rsid w:val="00F2460A"/>
    <w:rsid w:val="00F2460C"/>
    <w:rsid w:val="00F24664"/>
    <w:rsid w:val="00F2469F"/>
    <w:rsid w:val="00F246D5"/>
    <w:rsid w:val="00F246E6"/>
    <w:rsid w:val="00F2473C"/>
    <w:rsid w:val="00F2477F"/>
    <w:rsid w:val="00F24788"/>
    <w:rsid w:val="00F24791"/>
    <w:rsid w:val="00F2479D"/>
    <w:rsid w:val="00F24849"/>
    <w:rsid w:val="00F249B5"/>
    <w:rsid w:val="00F249D7"/>
    <w:rsid w:val="00F24A08"/>
    <w:rsid w:val="00F24A30"/>
    <w:rsid w:val="00F24A9F"/>
    <w:rsid w:val="00F24AC2"/>
    <w:rsid w:val="00F24AE8"/>
    <w:rsid w:val="00F24AF4"/>
    <w:rsid w:val="00F24BD6"/>
    <w:rsid w:val="00F24C5D"/>
    <w:rsid w:val="00F24C7F"/>
    <w:rsid w:val="00F24D62"/>
    <w:rsid w:val="00F24DA4"/>
    <w:rsid w:val="00F24DA6"/>
    <w:rsid w:val="00F24DE1"/>
    <w:rsid w:val="00F24DEB"/>
    <w:rsid w:val="00F24E1F"/>
    <w:rsid w:val="00F24E39"/>
    <w:rsid w:val="00F24E4B"/>
    <w:rsid w:val="00F24E7F"/>
    <w:rsid w:val="00F24EC6"/>
    <w:rsid w:val="00F25036"/>
    <w:rsid w:val="00F25058"/>
    <w:rsid w:val="00F250BE"/>
    <w:rsid w:val="00F25147"/>
    <w:rsid w:val="00F2514D"/>
    <w:rsid w:val="00F2517D"/>
    <w:rsid w:val="00F25185"/>
    <w:rsid w:val="00F25295"/>
    <w:rsid w:val="00F25351"/>
    <w:rsid w:val="00F253CA"/>
    <w:rsid w:val="00F253CB"/>
    <w:rsid w:val="00F25413"/>
    <w:rsid w:val="00F2544A"/>
    <w:rsid w:val="00F25465"/>
    <w:rsid w:val="00F25467"/>
    <w:rsid w:val="00F254A4"/>
    <w:rsid w:val="00F254F3"/>
    <w:rsid w:val="00F2563C"/>
    <w:rsid w:val="00F25664"/>
    <w:rsid w:val="00F256B9"/>
    <w:rsid w:val="00F2570A"/>
    <w:rsid w:val="00F25789"/>
    <w:rsid w:val="00F257C6"/>
    <w:rsid w:val="00F257F1"/>
    <w:rsid w:val="00F25843"/>
    <w:rsid w:val="00F2588E"/>
    <w:rsid w:val="00F2592E"/>
    <w:rsid w:val="00F25934"/>
    <w:rsid w:val="00F2595D"/>
    <w:rsid w:val="00F2596D"/>
    <w:rsid w:val="00F259B6"/>
    <w:rsid w:val="00F259F2"/>
    <w:rsid w:val="00F25A31"/>
    <w:rsid w:val="00F25A6D"/>
    <w:rsid w:val="00F25AA3"/>
    <w:rsid w:val="00F25AB3"/>
    <w:rsid w:val="00F25ACE"/>
    <w:rsid w:val="00F25B54"/>
    <w:rsid w:val="00F25BA7"/>
    <w:rsid w:val="00F25BCC"/>
    <w:rsid w:val="00F25C62"/>
    <w:rsid w:val="00F25D1E"/>
    <w:rsid w:val="00F25D90"/>
    <w:rsid w:val="00F25DF5"/>
    <w:rsid w:val="00F25E07"/>
    <w:rsid w:val="00F25E0B"/>
    <w:rsid w:val="00F25E4E"/>
    <w:rsid w:val="00F25E5A"/>
    <w:rsid w:val="00F25E66"/>
    <w:rsid w:val="00F25E78"/>
    <w:rsid w:val="00F25EA0"/>
    <w:rsid w:val="00F25EC3"/>
    <w:rsid w:val="00F25EF4"/>
    <w:rsid w:val="00F25F62"/>
    <w:rsid w:val="00F25F7A"/>
    <w:rsid w:val="00F26017"/>
    <w:rsid w:val="00F26039"/>
    <w:rsid w:val="00F2607A"/>
    <w:rsid w:val="00F26086"/>
    <w:rsid w:val="00F2608F"/>
    <w:rsid w:val="00F26120"/>
    <w:rsid w:val="00F26149"/>
    <w:rsid w:val="00F26150"/>
    <w:rsid w:val="00F2615B"/>
    <w:rsid w:val="00F26161"/>
    <w:rsid w:val="00F261B8"/>
    <w:rsid w:val="00F26242"/>
    <w:rsid w:val="00F262A4"/>
    <w:rsid w:val="00F2632B"/>
    <w:rsid w:val="00F26359"/>
    <w:rsid w:val="00F26364"/>
    <w:rsid w:val="00F263C5"/>
    <w:rsid w:val="00F263F7"/>
    <w:rsid w:val="00F26430"/>
    <w:rsid w:val="00F26432"/>
    <w:rsid w:val="00F26462"/>
    <w:rsid w:val="00F264FF"/>
    <w:rsid w:val="00F26503"/>
    <w:rsid w:val="00F26568"/>
    <w:rsid w:val="00F26581"/>
    <w:rsid w:val="00F265AD"/>
    <w:rsid w:val="00F2662F"/>
    <w:rsid w:val="00F2666D"/>
    <w:rsid w:val="00F26727"/>
    <w:rsid w:val="00F26732"/>
    <w:rsid w:val="00F2675F"/>
    <w:rsid w:val="00F267A8"/>
    <w:rsid w:val="00F26814"/>
    <w:rsid w:val="00F268B8"/>
    <w:rsid w:val="00F2690C"/>
    <w:rsid w:val="00F26967"/>
    <w:rsid w:val="00F269AF"/>
    <w:rsid w:val="00F26A5C"/>
    <w:rsid w:val="00F26C94"/>
    <w:rsid w:val="00F26DB2"/>
    <w:rsid w:val="00F26DB6"/>
    <w:rsid w:val="00F26E83"/>
    <w:rsid w:val="00F26ECE"/>
    <w:rsid w:val="00F26EE8"/>
    <w:rsid w:val="00F26F1B"/>
    <w:rsid w:val="00F26FBE"/>
    <w:rsid w:val="00F26FCB"/>
    <w:rsid w:val="00F27014"/>
    <w:rsid w:val="00F27024"/>
    <w:rsid w:val="00F2704A"/>
    <w:rsid w:val="00F27090"/>
    <w:rsid w:val="00F2712A"/>
    <w:rsid w:val="00F27138"/>
    <w:rsid w:val="00F27143"/>
    <w:rsid w:val="00F27166"/>
    <w:rsid w:val="00F27183"/>
    <w:rsid w:val="00F27184"/>
    <w:rsid w:val="00F271B2"/>
    <w:rsid w:val="00F27246"/>
    <w:rsid w:val="00F272AE"/>
    <w:rsid w:val="00F272C5"/>
    <w:rsid w:val="00F27305"/>
    <w:rsid w:val="00F273E0"/>
    <w:rsid w:val="00F27488"/>
    <w:rsid w:val="00F2748F"/>
    <w:rsid w:val="00F274C5"/>
    <w:rsid w:val="00F27595"/>
    <w:rsid w:val="00F275AE"/>
    <w:rsid w:val="00F27633"/>
    <w:rsid w:val="00F2767E"/>
    <w:rsid w:val="00F27686"/>
    <w:rsid w:val="00F276AD"/>
    <w:rsid w:val="00F276DA"/>
    <w:rsid w:val="00F277F9"/>
    <w:rsid w:val="00F27801"/>
    <w:rsid w:val="00F27858"/>
    <w:rsid w:val="00F278F3"/>
    <w:rsid w:val="00F27907"/>
    <w:rsid w:val="00F2797E"/>
    <w:rsid w:val="00F279B1"/>
    <w:rsid w:val="00F27A87"/>
    <w:rsid w:val="00F27AC3"/>
    <w:rsid w:val="00F27B72"/>
    <w:rsid w:val="00F27C1C"/>
    <w:rsid w:val="00F27C52"/>
    <w:rsid w:val="00F27CBF"/>
    <w:rsid w:val="00F27D6A"/>
    <w:rsid w:val="00F27DD4"/>
    <w:rsid w:val="00F27DD5"/>
    <w:rsid w:val="00F27DF3"/>
    <w:rsid w:val="00F27E00"/>
    <w:rsid w:val="00F27E17"/>
    <w:rsid w:val="00F27E6A"/>
    <w:rsid w:val="00F27E9E"/>
    <w:rsid w:val="00F27F54"/>
    <w:rsid w:val="00F27F85"/>
    <w:rsid w:val="00F27FAE"/>
    <w:rsid w:val="00F30077"/>
    <w:rsid w:val="00F30080"/>
    <w:rsid w:val="00F300D0"/>
    <w:rsid w:val="00F3016A"/>
    <w:rsid w:val="00F301BB"/>
    <w:rsid w:val="00F30270"/>
    <w:rsid w:val="00F30271"/>
    <w:rsid w:val="00F30338"/>
    <w:rsid w:val="00F3037C"/>
    <w:rsid w:val="00F3038A"/>
    <w:rsid w:val="00F30391"/>
    <w:rsid w:val="00F303E6"/>
    <w:rsid w:val="00F3043C"/>
    <w:rsid w:val="00F30488"/>
    <w:rsid w:val="00F3052E"/>
    <w:rsid w:val="00F3059E"/>
    <w:rsid w:val="00F305EA"/>
    <w:rsid w:val="00F3066E"/>
    <w:rsid w:val="00F306B9"/>
    <w:rsid w:val="00F30750"/>
    <w:rsid w:val="00F307C0"/>
    <w:rsid w:val="00F3091B"/>
    <w:rsid w:val="00F30969"/>
    <w:rsid w:val="00F3096F"/>
    <w:rsid w:val="00F30ACB"/>
    <w:rsid w:val="00F30B2D"/>
    <w:rsid w:val="00F30B4C"/>
    <w:rsid w:val="00F30BCF"/>
    <w:rsid w:val="00F30BFE"/>
    <w:rsid w:val="00F30C5C"/>
    <w:rsid w:val="00F30D5F"/>
    <w:rsid w:val="00F30D67"/>
    <w:rsid w:val="00F30D98"/>
    <w:rsid w:val="00F30DA2"/>
    <w:rsid w:val="00F30DBE"/>
    <w:rsid w:val="00F30E43"/>
    <w:rsid w:val="00F30E4F"/>
    <w:rsid w:val="00F31012"/>
    <w:rsid w:val="00F31013"/>
    <w:rsid w:val="00F310CF"/>
    <w:rsid w:val="00F31160"/>
    <w:rsid w:val="00F311AE"/>
    <w:rsid w:val="00F31229"/>
    <w:rsid w:val="00F3123E"/>
    <w:rsid w:val="00F31272"/>
    <w:rsid w:val="00F31273"/>
    <w:rsid w:val="00F31304"/>
    <w:rsid w:val="00F3131A"/>
    <w:rsid w:val="00F31357"/>
    <w:rsid w:val="00F3138D"/>
    <w:rsid w:val="00F313DD"/>
    <w:rsid w:val="00F31410"/>
    <w:rsid w:val="00F3142F"/>
    <w:rsid w:val="00F31440"/>
    <w:rsid w:val="00F3146C"/>
    <w:rsid w:val="00F31475"/>
    <w:rsid w:val="00F314F4"/>
    <w:rsid w:val="00F3154D"/>
    <w:rsid w:val="00F315F2"/>
    <w:rsid w:val="00F315FB"/>
    <w:rsid w:val="00F316B1"/>
    <w:rsid w:val="00F317BB"/>
    <w:rsid w:val="00F31849"/>
    <w:rsid w:val="00F3189E"/>
    <w:rsid w:val="00F318F5"/>
    <w:rsid w:val="00F3191F"/>
    <w:rsid w:val="00F31922"/>
    <w:rsid w:val="00F3192E"/>
    <w:rsid w:val="00F31A17"/>
    <w:rsid w:val="00F31A2E"/>
    <w:rsid w:val="00F31A4A"/>
    <w:rsid w:val="00F31A86"/>
    <w:rsid w:val="00F31B3A"/>
    <w:rsid w:val="00F31BF9"/>
    <w:rsid w:val="00F31C45"/>
    <w:rsid w:val="00F31C47"/>
    <w:rsid w:val="00F31D45"/>
    <w:rsid w:val="00F31DD2"/>
    <w:rsid w:val="00F31DD4"/>
    <w:rsid w:val="00F31DF1"/>
    <w:rsid w:val="00F31E08"/>
    <w:rsid w:val="00F31E0A"/>
    <w:rsid w:val="00F31E36"/>
    <w:rsid w:val="00F31E40"/>
    <w:rsid w:val="00F31EE8"/>
    <w:rsid w:val="00F31F46"/>
    <w:rsid w:val="00F3200C"/>
    <w:rsid w:val="00F32013"/>
    <w:rsid w:val="00F320BC"/>
    <w:rsid w:val="00F320C2"/>
    <w:rsid w:val="00F32165"/>
    <w:rsid w:val="00F3218E"/>
    <w:rsid w:val="00F321DE"/>
    <w:rsid w:val="00F322A8"/>
    <w:rsid w:val="00F32428"/>
    <w:rsid w:val="00F324CB"/>
    <w:rsid w:val="00F32501"/>
    <w:rsid w:val="00F32506"/>
    <w:rsid w:val="00F32513"/>
    <w:rsid w:val="00F3251B"/>
    <w:rsid w:val="00F3253E"/>
    <w:rsid w:val="00F3258A"/>
    <w:rsid w:val="00F325CA"/>
    <w:rsid w:val="00F325ED"/>
    <w:rsid w:val="00F32609"/>
    <w:rsid w:val="00F32696"/>
    <w:rsid w:val="00F32697"/>
    <w:rsid w:val="00F32774"/>
    <w:rsid w:val="00F327F1"/>
    <w:rsid w:val="00F32847"/>
    <w:rsid w:val="00F328CA"/>
    <w:rsid w:val="00F32A00"/>
    <w:rsid w:val="00F32A42"/>
    <w:rsid w:val="00F32A6C"/>
    <w:rsid w:val="00F32A72"/>
    <w:rsid w:val="00F32AA5"/>
    <w:rsid w:val="00F32AC0"/>
    <w:rsid w:val="00F32AEC"/>
    <w:rsid w:val="00F32C16"/>
    <w:rsid w:val="00F32C63"/>
    <w:rsid w:val="00F32CB9"/>
    <w:rsid w:val="00F32CDD"/>
    <w:rsid w:val="00F32CE5"/>
    <w:rsid w:val="00F32D06"/>
    <w:rsid w:val="00F32D2C"/>
    <w:rsid w:val="00F32DC8"/>
    <w:rsid w:val="00F32E85"/>
    <w:rsid w:val="00F32F13"/>
    <w:rsid w:val="00F32F14"/>
    <w:rsid w:val="00F32F5C"/>
    <w:rsid w:val="00F32F88"/>
    <w:rsid w:val="00F33021"/>
    <w:rsid w:val="00F33029"/>
    <w:rsid w:val="00F3302A"/>
    <w:rsid w:val="00F3306B"/>
    <w:rsid w:val="00F33072"/>
    <w:rsid w:val="00F3311F"/>
    <w:rsid w:val="00F331B6"/>
    <w:rsid w:val="00F33201"/>
    <w:rsid w:val="00F33221"/>
    <w:rsid w:val="00F33255"/>
    <w:rsid w:val="00F33281"/>
    <w:rsid w:val="00F333AE"/>
    <w:rsid w:val="00F333E2"/>
    <w:rsid w:val="00F334A3"/>
    <w:rsid w:val="00F3355D"/>
    <w:rsid w:val="00F3357A"/>
    <w:rsid w:val="00F3357F"/>
    <w:rsid w:val="00F3359F"/>
    <w:rsid w:val="00F3371E"/>
    <w:rsid w:val="00F33767"/>
    <w:rsid w:val="00F3377D"/>
    <w:rsid w:val="00F337E3"/>
    <w:rsid w:val="00F337F4"/>
    <w:rsid w:val="00F3380A"/>
    <w:rsid w:val="00F3381B"/>
    <w:rsid w:val="00F33847"/>
    <w:rsid w:val="00F33893"/>
    <w:rsid w:val="00F338B1"/>
    <w:rsid w:val="00F338EA"/>
    <w:rsid w:val="00F338FA"/>
    <w:rsid w:val="00F3392F"/>
    <w:rsid w:val="00F33951"/>
    <w:rsid w:val="00F33A4A"/>
    <w:rsid w:val="00F33A60"/>
    <w:rsid w:val="00F33A89"/>
    <w:rsid w:val="00F33A8A"/>
    <w:rsid w:val="00F33AF7"/>
    <w:rsid w:val="00F33B0A"/>
    <w:rsid w:val="00F33B41"/>
    <w:rsid w:val="00F33B46"/>
    <w:rsid w:val="00F33B72"/>
    <w:rsid w:val="00F33C53"/>
    <w:rsid w:val="00F33D12"/>
    <w:rsid w:val="00F33D3E"/>
    <w:rsid w:val="00F33D98"/>
    <w:rsid w:val="00F33E4F"/>
    <w:rsid w:val="00F33E69"/>
    <w:rsid w:val="00F33E70"/>
    <w:rsid w:val="00F33E9E"/>
    <w:rsid w:val="00F33EB2"/>
    <w:rsid w:val="00F33F2C"/>
    <w:rsid w:val="00F33FA4"/>
    <w:rsid w:val="00F33FE0"/>
    <w:rsid w:val="00F33FE8"/>
    <w:rsid w:val="00F3403E"/>
    <w:rsid w:val="00F3413C"/>
    <w:rsid w:val="00F341BC"/>
    <w:rsid w:val="00F342A8"/>
    <w:rsid w:val="00F342FE"/>
    <w:rsid w:val="00F34404"/>
    <w:rsid w:val="00F3442F"/>
    <w:rsid w:val="00F34461"/>
    <w:rsid w:val="00F3448B"/>
    <w:rsid w:val="00F344FB"/>
    <w:rsid w:val="00F34504"/>
    <w:rsid w:val="00F3453A"/>
    <w:rsid w:val="00F3463A"/>
    <w:rsid w:val="00F346CE"/>
    <w:rsid w:val="00F346FD"/>
    <w:rsid w:val="00F34738"/>
    <w:rsid w:val="00F3478D"/>
    <w:rsid w:val="00F347A2"/>
    <w:rsid w:val="00F347A4"/>
    <w:rsid w:val="00F348A8"/>
    <w:rsid w:val="00F348D9"/>
    <w:rsid w:val="00F348F3"/>
    <w:rsid w:val="00F3494A"/>
    <w:rsid w:val="00F34976"/>
    <w:rsid w:val="00F349C0"/>
    <w:rsid w:val="00F34A62"/>
    <w:rsid w:val="00F34A69"/>
    <w:rsid w:val="00F34AE0"/>
    <w:rsid w:val="00F34B6D"/>
    <w:rsid w:val="00F34B75"/>
    <w:rsid w:val="00F34BAE"/>
    <w:rsid w:val="00F34BD4"/>
    <w:rsid w:val="00F34C0E"/>
    <w:rsid w:val="00F34C33"/>
    <w:rsid w:val="00F34C6D"/>
    <w:rsid w:val="00F34CBC"/>
    <w:rsid w:val="00F34D28"/>
    <w:rsid w:val="00F34DD4"/>
    <w:rsid w:val="00F34E4F"/>
    <w:rsid w:val="00F34E6F"/>
    <w:rsid w:val="00F34EA2"/>
    <w:rsid w:val="00F34F05"/>
    <w:rsid w:val="00F34FD3"/>
    <w:rsid w:val="00F34FEE"/>
    <w:rsid w:val="00F350E2"/>
    <w:rsid w:val="00F3524C"/>
    <w:rsid w:val="00F35252"/>
    <w:rsid w:val="00F3528B"/>
    <w:rsid w:val="00F352FE"/>
    <w:rsid w:val="00F35300"/>
    <w:rsid w:val="00F3530E"/>
    <w:rsid w:val="00F35349"/>
    <w:rsid w:val="00F3536D"/>
    <w:rsid w:val="00F3542C"/>
    <w:rsid w:val="00F35441"/>
    <w:rsid w:val="00F3545F"/>
    <w:rsid w:val="00F354A6"/>
    <w:rsid w:val="00F35503"/>
    <w:rsid w:val="00F3558C"/>
    <w:rsid w:val="00F355FA"/>
    <w:rsid w:val="00F35638"/>
    <w:rsid w:val="00F35645"/>
    <w:rsid w:val="00F3564B"/>
    <w:rsid w:val="00F35654"/>
    <w:rsid w:val="00F356BC"/>
    <w:rsid w:val="00F356E1"/>
    <w:rsid w:val="00F356FB"/>
    <w:rsid w:val="00F357CF"/>
    <w:rsid w:val="00F357FF"/>
    <w:rsid w:val="00F35876"/>
    <w:rsid w:val="00F3589A"/>
    <w:rsid w:val="00F359B8"/>
    <w:rsid w:val="00F35A41"/>
    <w:rsid w:val="00F35A73"/>
    <w:rsid w:val="00F35AAC"/>
    <w:rsid w:val="00F35AB3"/>
    <w:rsid w:val="00F35BCF"/>
    <w:rsid w:val="00F35C81"/>
    <w:rsid w:val="00F35CA5"/>
    <w:rsid w:val="00F35CE7"/>
    <w:rsid w:val="00F35CFD"/>
    <w:rsid w:val="00F35D40"/>
    <w:rsid w:val="00F35D47"/>
    <w:rsid w:val="00F35D93"/>
    <w:rsid w:val="00F35EDC"/>
    <w:rsid w:val="00F35F88"/>
    <w:rsid w:val="00F35FBB"/>
    <w:rsid w:val="00F35FF9"/>
    <w:rsid w:val="00F36085"/>
    <w:rsid w:val="00F3608E"/>
    <w:rsid w:val="00F3618F"/>
    <w:rsid w:val="00F361ED"/>
    <w:rsid w:val="00F36249"/>
    <w:rsid w:val="00F36258"/>
    <w:rsid w:val="00F36289"/>
    <w:rsid w:val="00F362B6"/>
    <w:rsid w:val="00F36446"/>
    <w:rsid w:val="00F364CB"/>
    <w:rsid w:val="00F365D1"/>
    <w:rsid w:val="00F3661F"/>
    <w:rsid w:val="00F36664"/>
    <w:rsid w:val="00F366F5"/>
    <w:rsid w:val="00F3670B"/>
    <w:rsid w:val="00F36717"/>
    <w:rsid w:val="00F36780"/>
    <w:rsid w:val="00F36789"/>
    <w:rsid w:val="00F367A0"/>
    <w:rsid w:val="00F368B3"/>
    <w:rsid w:val="00F368D2"/>
    <w:rsid w:val="00F36903"/>
    <w:rsid w:val="00F36911"/>
    <w:rsid w:val="00F369C0"/>
    <w:rsid w:val="00F369C9"/>
    <w:rsid w:val="00F36A4F"/>
    <w:rsid w:val="00F36AB8"/>
    <w:rsid w:val="00F36B32"/>
    <w:rsid w:val="00F36B37"/>
    <w:rsid w:val="00F36BBF"/>
    <w:rsid w:val="00F36BE7"/>
    <w:rsid w:val="00F36CDE"/>
    <w:rsid w:val="00F36CDF"/>
    <w:rsid w:val="00F36CEB"/>
    <w:rsid w:val="00F36CF4"/>
    <w:rsid w:val="00F36D1E"/>
    <w:rsid w:val="00F36D48"/>
    <w:rsid w:val="00F36E42"/>
    <w:rsid w:val="00F36F67"/>
    <w:rsid w:val="00F36FC7"/>
    <w:rsid w:val="00F36FFD"/>
    <w:rsid w:val="00F3700A"/>
    <w:rsid w:val="00F370D4"/>
    <w:rsid w:val="00F370E4"/>
    <w:rsid w:val="00F37107"/>
    <w:rsid w:val="00F3713C"/>
    <w:rsid w:val="00F37143"/>
    <w:rsid w:val="00F37190"/>
    <w:rsid w:val="00F372C8"/>
    <w:rsid w:val="00F372D9"/>
    <w:rsid w:val="00F3732B"/>
    <w:rsid w:val="00F3735C"/>
    <w:rsid w:val="00F3735F"/>
    <w:rsid w:val="00F373C4"/>
    <w:rsid w:val="00F374AD"/>
    <w:rsid w:val="00F37621"/>
    <w:rsid w:val="00F37687"/>
    <w:rsid w:val="00F37694"/>
    <w:rsid w:val="00F376CF"/>
    <w:rsid w:val="00F376E8"/>
    <w:rsid w:val="00F37701"/>
    <w:rsid w:val="00F3776D"/>
    <w:rsid w:val="00F37852"/>
    <w:rsid w:val="00F37881"/>
    <w:rsid w:val="00F37891"/>
    <w:rsid w:val="00F37901"/>
    <w:rsid w:val="00F3799B"/>
    <w:rsid w:val="00F379EF"/>
    <w:rsid w:val="00F37A06"/>
    <w:rsid w:val="00F37A42"/>
    <w:rsid w:val="00F37ADF"/>
    <w:rsid w:val="00F37AE2"/>
    <w:rsid w:val="00F37AF3"/>
    <w:rsid w:val="00F37B0E"/>
    <w:rsid w:val="00F37B63"/>
    <w:rsid w:val="00F37B67"/>
    <w:rsid w:val="00F37C0C"/>
    <w:rsid w:val="00F37DB4"/>
    <w:rsid w:val="00F37DE7"/>
    <w:rsid w:val="00F37E10"/>
    <w:rsid w:val="00F37E1D"/>
    <w:rsid w:val="00F37E84"/>
    <w:rsid w:val="00F37E96"/>
    <w:rsid w:val="00F37EEC"/>
    <w:rsid w:val="00F37FA2"/>
    <w:rsid w:val="00F37FDF"/>
    <w:rsid w:val="00F37FE0"/>
    <w:rsid w:val="00F40024"/>
    <w:rsid w:val="00F40079"/>
    <w:rsid w:val="00F40112"/>
    <w:rsid w:val="00F40136"/>
    <w:rsid w:val="00F40155"/>
    <w:rsid w:val="00F401E7"/>
    <w:rsid w:val="00F401EE"/>
    <w:rsid w:val="00F401F7"/>
    <w:rsid w:val="00F40273"/>
    <w:rsid w:val="00F40292"/>
    <w:rsid w:val="00F402EA"/>
    <w:rsid w:val="00F40311"/>
    <w:rsid w:val="00F403BE"/>
    <w:rsid w:val="00F403CA"/>
    <w:rsid w:val="00F403F8"/>
    <w:rsid w:val="00F40461"/>
    <w:rsid w:val="00F40464"/>
    <w:rsid w:val="00F404FB"/>
    <w:rsid w:val="00F40523"/>
    <w:rsid w:val="00F405DA"/>
    <w:rsid w:val="00F40602"/>
    <w:rsid w:val="00F4065C"/>
    <w:rsid w:val="00F406BC"/>
    <w:rsid w:val="00F406C5"/>
    <w:rsid w:val="00F40713"/>
    <w:rsid w:val="00F4077D"/>
    <w:rsid w:val="00F40798"/>
    <w:rsid w:val="00F4079A"/>
    <w:rsid w:val="00F4084C"/>
    <w:rsid w:val="00F408DC"/>
    <w:rsid w:val="00F4091A"/>
    <w:rsid w:val="00F4095B"/>
    <w:rsid w:val="00F4097A"/>
    <w:rsid w:val="00F40985"/>
    <w:rsid w:val="00F40997"/>
    <w:rsid w:val="00F409D8"/>
    <w:rsid w:val="00F40A1B"/>
    <w:rsid w:val="00F40A98"/>
    <w:rsid w:val="00F40AA5"/>
    <w:rsid w:val="00F40ABF"/>
    <w:rsid w:val="00F40ADD"/>
    <w:rsid w:val="00F40AE9"/>
    <w:rsid w:val="00F40B1F"/>
    <w:rsid w:val="00F40B8B"/>
    <w:rsid w:val="00F40BC8"/>
    <w:rsid w:val="00F40C55"/>
    <w:rsid w:val="00F40CD6"/>
    <w:rsid w:val="00F40D89"/>
    <w:rsid w:val="00F40D8C"/>
    <w:rsid w:val="00F40E43"/>
    <w:rsid w:val="00F40E7C"/>
    <w:rsid w:val="00F40E96"/>
    <w:rsid w:val="00F40EA8"/>
    <w:rsid w:val="00F40EAF"/>
    <w:rsid w:val="00F40F62"/>
    <w:rsid w:val="00F4106F"/>
    <w:rsid w:val="00F410A2"/>
    <w:rsid w:val="00F410B8"/>
    <w:rsid w:val="00F410DC"/>
    <w:rsid w:val="00F41121"/>
    <w:rsid w:val="00F4114A"/>
    <w:rsid w:val="00F41168"/>
    <w:rsid w:val="00F41194"/>
    <w:rsid w:val="00F4119A"/>
    <w:rsid w:val="00F4119B"/>
    <w:rsid w:val="00F41288"/>
    <w:rsid w:val="00F412AE"/>
    <w:rsid w:val="00F4131F"/>
    <w:rsid w:val="00F41527"/>
    <w:rsid w:val="00F41528"/>
    <w:rsid w:val="00F415D3"/>
    <w:rsid w:val="00F41703"/>
    <w:rsid w:val="00F41720"/>
    <w:rsid w:val="00F41733"/>
    <w:rsid w:val="00F417A8"/>
    <w:rsid w:val="00F417A9"/>
    <w:rsid w:val="00F417CA"/>
    <w:rsid w:val="00F417F4"/>
    <w:rsid w:val="00F418C2"/>
    <w:rsid w:val="00F41982"/>
    <w:rsid w:val="00F41A15"/>
    <w:rsid w:val="00F41AE8"/>
    <w:rsid w:val="00F41AEF"/>
    <w:rsid w:val="00F41B79"/>
    <w:rsid w:val="00F41C1C"/>
    <w:rsid w:val="00F41C36"/>
    <w:rsid w:val="00F41C9E"/>
    <w:rsid w:val="00F41CB3"/>
    <w:rsid w:val="00F41CBE"/>
    <w:rsid w:val="00F41D26"/>
    <w:rsid w:val="00F41D46"/>
    <w:rsid w:val="00F41D81"/>
    <w:rsid w:val="00F41D8E"/>
    <w:rsid w:val="00F41DDC"/>
    <w:rsid w:val="00F41DE7"/>
    <w:rsid w:val="00F41E04"/>
    <w:rsid w:val="00F41E0B"/>
    <w:rsid w:val="00F41E44"/>
    <w:rsid w:val="00F41E60"/>
    <w:rsid w:val="00F41EAA"/>
    <w:rsid w:val="00F41EC1"/>
    <w:rsid w:val="00F41F18"/>
    <w:rsid w:val="00F41F7B"/>
    <w:rsid w:val="00F41F98"/>
    <w:rsid w:val="00F42004"/>
    <w:rsid w:val="00F42018"/>
    <w:rsid w:val="00F4206E"/>
    <w:rsid w:val="00F420A7"/>
    <w:rsid w:val="00F420AC"/>
    <w:rsid w:val="00F420CB"/>
    <w:rsid w:val="00F420E6"/>
    <w:rsid w:val="00F4211F"/>
    <w:rsid w:val="00F42147"/>
    <w:rsid w:val="00F42188"/>
    <w:rsid w:val="00F421CB"/>
    <w:rsid w:val="00F421E1"/>
    <w:rsid w:val="00F42255"/>
    <w:rsid w:val="00F4226C"/>
    <w:rsid w:val="00F42277"/>
    <w:rsid w:val="00F422B6"/>
    <w:rsid w:val="00F42308"/>
    <w:rsid w:val="00F42321"/>
    <w:rsid w:val="00F42396"/>
    <w:rsid w:val="00F4243F"/>
    <w:rsid w:val="00F42468"/>
    <w:rsid w:val="00F424AB"/>
    <w:rsid w:val="00F424D7"/>
    <w:rsid w:val="00F424F3"/>
    <w:rsid w:val="00F42546"/>
    <w:rsid w:val="00F4260D"/>
    <w:rsid w:val="00F42620"/>
    <w:rsid w:val="00F42646"/>
    <w:rsid w:val="00F42667"/>
    <w:rsid w:val="00F42669"/>
    <w:rsid w:val="00F42739"/>
    <w:rsid w:val="00F427D8"/>
    <w:rsid w:val="00F4280B"/>
    <w:rsid w:val="00F4280F"/>
    <w:rsid w:val="00F42881"/>
    <w:rsid w:val="00F4288C"/>
    <w:rsid w:val="00F428D2"/>
    <w:rsid w:val="00F4291A"/>
    <w:rsid w:val="00F42956"/>
    <w:rsid w:val="00F42998"/>
    <w:rsid w:val="00F429EB"/>
    <w:rsid w:val="00F42A13"/>
    <w:rsid w:val="00F42A31"/>
    <w:rsid w:val="00F42A3E"/>
    <w:rsid w:val="00F42B17"/>
    <w:rsid w:val="00F42B5F"/>
    <w:rsid w:val="00F42B62"/>
    <w:rsid w:val="00F42B7C"/>
    <w:rsid w:val="00F42BB9"/>
    <w:rsid w:val="00F42BDF"/>
    <w:rsid w:val="00F42BE9"/>
    <w:rsid w:val="00F42C04"/>
    <w:rsid w:val="00F42C24"/>
    <w:rsid w:val="00F42C51"/>
    <w:rsid w:val="00F42C7B"/>
    <w:rsid w:val="00F42D01"/>
    <w:rsid w:val="00F42D68"/>
    <w:rsid w:val="00F42D7D"/>
    <w:rsid w:val="00F42E21"/>
    <w:rsid w:val="00F42ED8"/>
    <w:rsid w:val="00F42EDD"/>
    <w:rsid w:val="00F42F48"/>
    <w:rsid w:val="00F42F5A"/>
    <w:rsid w:val="00F42F91"/>
    <w:rsid w:val="00F42FB6"/>
    <w:rsid w:val="00F430A2"/>
    <w:rsid w:val="00F4310A"/>
    <w:rsid w:val="00F43184"/>
    <w:rsid w:val="00F43196"/>
    <w:rsid w:val="00F431B4"/>
    <w:rsid w:val="00F43221"/>
    <w:rsid w:val="00F43303"/>
    <w:rsid w:val="00F43331"/>
    <w:rsid w:val="00F43344"/>
    <w:rsid w:val="00F43374"/>
    <w:rsid w:val="00F4345D"/>
    <w:rsid w:val="00F43493"/>
    <w:rsid w:val="00F434CA"/>
    <w:rsid w:val="00F434CB"/>
    <w:rsid w:val="00F43542"/>
    <w:rsid w:val="00F43583"/>
    <w:rsid w:val="00F43591"/>
    <w:rsid w:val="00F435AC"/>
    <w:rsid w:val="00F435EC"/>
    <w:rsid w:val="00F43647"/>
    <w:rsid w:val="00F43682"/>
    <w:rsid w:val="00F436C1"/>
    <w:rsid w:val="00F436FF"/>
    <w:rsid w:val="00F4379E"/>
    <w:rsid w:val="00F4381D"/>
    <w:rsid w:val="00F43898"/>
    <w:rsid w:val="00F43918"/>
    <w:rsid w:val="00F43984"/>
    <w:rsid w:val="00F43994"/>
    <w:rsid w:val="00F43A1F"/>
    <w:rsid w:val="00F43A41"/>
    <w:rsid w:val="00F43A55"/>
    <w:rsid w:val="00F43A72"/>
    <w:rsid w:val="00F43AD3"/>
    <w:rsid w:val="00F43B8A"/>
    <w:rsid w:val="00F43B93"/>
    <w:rsid w:val="00F43BAF"/>
    <w:rsid w:val="00F43BD6"/>
    <w:rsid w:val="00F43C05"/>
    <w:rsid w:val="00F43D3A"/>
    <w:rsid w:val="00F43DC1"/>
    <w:rsid w:val="00F43E40"/>
    <w:rsid w:val="00F43E56"/>
    <w:rsid w:val="00F43EB9"/>
    <w:rsid w:val="00F43ED7"/>
    <w:rsid w:val="00F43F5E"/>
    <w:rsid w:val="00F43FB4"/>
    <w:rsid w:val="00F4400B"/>
    <w:rsid w:val="00F44014"/>
    <w:rsid w:val="00F4402A"/>
    <w:rsid w:val="00F4408D"/>
    <w:rsid w:val="00F44117"/>
    <w:rsid w:val="00F44198"/>
    <w:rsid w:val="00F441F0"/>
    <w:rsid w:val="00F44229"/>
    <w:rsid w:val="00F4425D"/>
    <w:rsid w:val="00F442E6"/>
    <w:rsid w:val="00F4431D"/>
    <w:rsid w:val="00F44400"/>
    <w:rsid w:val="00F44410"/>
    <w:rsid w:val="00F4441A"/>
    <w:rsid w:val="00F444E3"/>
    <w:rsid w:val="00F4465A"/>
    <w:rsid w:val="00F44722"/>
    <w:rsid w:val="00F4472D"/>
    <w:rsid w:val="00F4478E"/>
    <w:rsid w:val="00F4479A"/>
    <w:rsid w:val="00F447ED"/>
    <w:rsid w:val="00F44861"/>
    <w:rsid w:val="00F44871"/>
    <w:rsid w:val="00F44882"/>
    <w:rsid w:val="00F4489B"/>
    <w:rsid w:val="00F4498C"/>
    <w:rsid w:val="00F449BB"/>
    <w:rsid w:val="00F449EC"/>
    <w:rsid w:val="00F44ACA"/>
    <w:rsid w:val="00F44AD1"/>
    <w:rsid w:val="00F44B65"/>
    <w:rsid w:val="00F44C5A"/>
    <w:rsid w:val="00F44C7D"/>
    <w:rsid w:val="00F44D3B"/>
    <w:rsid w:val="00F44D4B"/>
    <w:rsid w:val="00F44E47"/>
    <w:rsid w:val="00F44E7F"/>
    <w:rsid w:val="00F44E9D"/>
    <w:rsid w:val="00F44EE8"/>
    <w:rsid w:val="00F44F03"/>
    <w:rsid w:val="00F44FB0"/>
    <w:rsid w:val="00F45031"/>
    <w:rsid w:val="00F45071"/>
    <w:rsid w:val="00F45076"/>
    <w:rsid w:val="00F450FA"/>
    <w:rsid w:val="00F4511B"/>
    <w:rsid w:val="00F45199"/>
    <w:rsid w:val="00F45230"/>
    <w:rsid w:val="00F4528A"/>
    <w:rsid w:val="00F452BF"/>
    <w:rsid w:val="00F452D1"/>
    <w:rsid w:val="00F452DA"/>
    <w:rsid w:val="00F4531C"/>
    <w:rsid w:val="00F45374"/>
    <w:rsid w:val="00F45495"/>
    <w:rsid w:val="00F4549B"/>
    <w:rsid w:val="00F454D4"/>
    <w:rsid w:val="00F45532"/>
    <w:rsid w:val="00F455B7"/>
    <w:rsid w:val="00F455BE"/>
    <w:rsid w:val="00F456BA"/>
    <w:rsid w:val="00F456BC"/>
    <w:rsid w:val="00F456D9"/>
    <w:rsid w:val="00F45722"/>
    <w:rsid w:val="00F45749"/>
    <w:rsid w:val="00F4577C"/>
    <w:rsid w:val="00F457AE"/>
    <w:rsid w:val="00F457E2"/>
    <w:rsid w:val="00F457EF"/>
    <w:rsid w:val="00F4589F"/>
    <w:rsid w:val="00F458F9"/>
    <w:rsid w:val="00F4590B"/>
    <w:rsid w:val="00F45987"/>
    <w:rsid w:val="00F459D2"/>
    <w:rsid w:val="00F45A87"/>
    <w:rsid w:val="00F45AE0"/>
    <w:rsid w:val="00F45B1E"/>
    <w:rsid w:val="00F45D5B"/>
    <w:rsid w:val="00F45D6D"/>
    <w:rsid w:val="00F45D95"/>
    <w:rsid w:val="00F45D99"/>
    <w:rsid w:val="00F45DA4"/>
    <w:rsid w:val="00F45E88"/>
    <w:rsid w:val="00F45EE4"/>
    <w:rsid w:val="00F45F1F"/>
    <w:rsid w:val="00F45F26"/>
    <w:rsid w:val="00F45F8E"/>
    <w:rsid w:val="00F45F9C"/>
    <w:rsid w:val="00F460AD"/>
    <w:rsid w:val="00F460C0"/>
    <w:rsid w:val="00F46131"/>
    <w:rsid w:val="00F461E4"/>
    <w:rsid w:val="00F461EE"/>
    <w:rsid w:val="00F46206"/>
    <w:rsid w:val="00F4620F"/>
    <w:rsid w:val="00F46215"/>
    <w:rsid w:val="00F462BD"/>
    <w:rsid w:val="00F46312"/>
    <w:rsid w:val="00F463FF"/>
    <w:rsid w:val="00F46497"/>
    <w:rsid w:val="00F464A8"/>
    <w:rsid w:val="00F464F0"/>
    <w:rsid w:val="00F465A3"/>
    <w:rsid w:val="00F465B5"/>
    <w:rsid w:val="00F466AC"/>
    <w:rsid w:val="00F46792"/>
    <w:rsid w:val="00F467AC"/>
    <w:rsid w:val="00F467C0"/>
    <w:rsid w:val="00F467ED"/>
    <w:rsid w:val="00F46872"/>
    <w:rsid w:val="00F46874"/>
    <w:rsid w:val="00F46936"/>
    <w:rsid w:val="00F4695F"/>
    <w:rsid w:val="00F46986"/>
    <w:rsid w:val="00F46A73"/>
    <w:rsid w:val="00F46AC2"/>
    <w:rsid w:val="00F46AD2"/>
    <w:rsid w:val="00F46AD5"/>
    <w:rsid w:val="00F46B05"/>
    <w:rsid w:val="00F46CA5"/>
    <w:rsid w:val="00F46D65"/>
    <w:rsid w:val="00F46DC4"/>
    <w:rsid w:val="00F46DE2"/>
    <w:rsid w:val="00F46E7A"/>
    <w:rsid w:val="00F46E9A"/>
    <w:rsid w:val="00F46F33"/>
    <w:rsid w:val="00F46F62"/>
    <w:rsid w:val="00F46F77"/>
    <w:rsid w:val="00F46F7D"/>
    <w:rsid w:val="00F46F84"/>
    <w:rsid w:val="00F46F93"/>
    <w:rsid w:val="00F46FB7"/>
    <w:rsid w:val="00F47019"/>
    <w:rsid w:val="00F47046"/>
    <w:rsid w:val="00F4704B"/>
    <w:rsid w:val="00F47150"/>
    <w:rsid w:val="00F471CF"/>
    <w:rsid w:val="00F471D7"/>
    <w:rsid w:val="00F471EF"/>
    <w:rsid w:val="00F4722D"/>
    <w:rsid w:val="00F47248"/>
    <w:rsid w:val="00F47281"/>
    <w:rsid w:val="00F47301"/>
    <w:rsid w:val="00F47377"/>
    <w:rsid w:val="00F4742B"/>
    <w:rsid w:val="00F47436"/>
    <w:rsid w:val="00F47457"/>
    <w:rsid w:val="00F47477"/>
    <w:rsid w:val="00F47485"/>
    <w:rsid w:val="00F474CD"/>
    <w:rsid w:val="00F4754F"/>
    <w:rsid w:val="00F47596"/>
    <w:rsid w:val="00F4759D"/>
    <w:rsid w:val="00F47670"/>
    <w:rsid w:val="00F4771E"/>
    <w:rsid w:val="00F47806"/>
    <w:rsid w:val="00F4786A"/>
    <w:rsid w:val="00F478A1"/>
    <w:rsid w:val="00F47A1A"/>
    <w:rsid w:val="00F47A25"/>
    <w:rsid w:val="00F47A60"/>
    <w:rsid w:val="00F47A7F"/>
    <w:rsid w:val="00F47ADF"/>
    <w:rsid w:val="00F47B27"/>
    <w:rsid w:val="00F47B8A"/>
    <w:rsid w:val="00F47BEB"/>
    <w:rsid w:val="00F47CE2"/>
    <w:rsid w:val="00F47CED"/>
    <w:rsid w:val="00F47DE9"/>
    <w:rsid w:val="00F47E22"/>
    <w:rsid w:val="00F47ECA"/>
    <w:rsid w:val="00F47EF0"/>
    <w:rsid w:val="00F47F97"/>
    <w:rsid w:val="00F50002"/>
    <w:rsid w:val="00F50011"/>
    <w:rsid w:val="00F50063"/>
    <w:rsid w:val="00F50077"/>
    <w:rsid w:val="00F50141"/>
    <w:rsid w:val="00F50196"/>
    <w:rsid w:val="00F501A2"/>
    <w:rsid w:val="00F50220"/>
    <w:rsid w:val="00F50346"/>
    <w:rsid w:val="00F5035C"/>
    <w:rsid w:val="00F50364"/>
    <w:rsid w:val="00F5039F"/>
    <w:rsid w:val="00F503B3"/>
    <w:rsid w:val="00F503BE"/>
    <w:rsid w:val="00F5048F"/>
    <w:rsid w:val="00F504B0"/>
    <w:rsid w:val="00F504F4"/>
    <w:rsid w:val="00F50529"/>
    <w:rsid w:val="00F50559"/>
    <w:rsid w:val="00F50664"/>
    <w:rsid w:val="00F507A5"/>
    <w:rsid w:val="00F507EF"/>
    <w:rsid w:val="00F5090D"/>
    <w:rsid w:val="00F509DF"/>
    <w:rsid w:val="00F509E9"/>
    <w:rsid w:val="00F50A25"/>
    <w:rsid w:val="00F50A57"/>
    <w:rsid w:val="00F50AB8"/>
    <w:rsid w:val="00F50B11"/>
    <w:rsid w:val="00F50B3D"/>
    <w:rsid w:val="00F50B59"/>
    <w:rsid w:val="00F50B6C"/>
    <w:rsid w:val="00F50C5D"/>
    <w:rsid w:val="00F50E08"/>
    <w:rsid w:val="00F50E0A"/>
    <w:rsid w:val="00F50E29"/>
    <w:rsid w:val="00F50EAD"/>
    <w:rsid w:val="00F50EE7"/>
    <w:rsid w:val="00F50EEA"/>
    <w:rsid w:val="00F50F36"/>
    <w:rsid w:val="00F50F62"/>
    <w:rsid w:val="00F50F6A"/>
    <w:rsid w:val="00F50F6C"/>
    <w:rsid w:val="00F50FDE"/>
    <w:rsid w:val="00F5101A"/>
    <w:rsid w:val="00F5105E"/>
    <w:rsid w:val="00F51100"/>
    <w:rsid w:val="00F5115D"/>
    <w:rsid w:val="00F51178"/>
    <w:rsid w:val="00F5117B"/>
    <w:rsid w:val="00F511B1"/>
    <w:rsid w:val="00F511CC"/>
    <w:rsid w:val="00F511DA"/>
    <w:rsid w:val="00F51233"/>
    <w:rsid w:val="00F512BB"/>
    <w:rsid w:val="00F512E9"/>
    <w:rsid w:val="00F512F8"/>
    <w:rsid w:val="00F51344"/>
    <w:rsid w:val="00F5135A"/>
    <w:rsid w:val="00F51383"/>
    <w:rsid w:val="00F5139E"/>
    <w:rsid w:val="00F51401"/>
    <w:rsid w:val="00F51441"/>
    <w:rsid w:val="00F5148A"/>
    <w:rsid w:val="00F51503"/>
    <w:rsid w:val="00F51578"/>
    <w:rsid w:val="00F51622"/>
    <w:rsid w:val="00F516BE"/>
    <w:rsid w:val="00F516C1"/>
    <w:rsid w:val="00F516D9"/>
    <w:rsid w:val="00F516DB"/>
    <w:rsid w:val="00F51726"/>
    <w:rsid w:val="00F51729"/>
    <w:rsid w:val="00F51733"/>
    <w:rsid w:val="00F5174E"/>
    <w:rsid w:val="00F51764"/>
    <w:rsid w:val="00F51775"/>
    <w:rsid w:val="00F517D1"/>
    <w:rsid w:val="00F517E0"/>
    <w:rsid w:val="00F51A0A"/>
    <w:rsid w:val="00F51A1A"/>
    <w:rsid w:val="00F51A86"/>
    <w:rsid w:val="00F51B1E"/>
    <w:rsid w:val="00F51B2B"/>
    <w:rsid w:val="00F51C1A"/>
    <w:rsid w:val="00F51CAF"/>
    <w:rsid w:val="00F51D59"/>
    <w:rsid w:val="00F51D5C"/>
    <w:rsid w:val="00F51D91"/>
    <w:rsid w:val="00F51E67"/>
    <w:rsid w:val="00F51E6D"/>
    <w:rsid w:val="00F51F37"/>
    <w:rsid w:val="00F51F39"/>
    <w:rsid w:val="00F51F4F"/>
    <w:rsid w:val="00F51FB8"/>
    <w:rsid w:val="00F51FC5"/>
    <w:rsid w:val="00F51FF2"/>
    <w:rsid w:val="00F52076"/>
    <w:rsid w:val="00F520B1"/>
    <w:rsid w:val="00F520E2"/>
    <w:rsid w:val="00F520E4"/>
    <w:rsid w:val="00F5214B"/>
    <w:rsid w:val="00F52176"/>
    <w:rsid w:val="00F5219F"/>
    <w:rsid w:val="00F5222F"/>
    <w:rsid w:val="00F5237A"/>
    <w:rsid w:val="00F52404"/>
    <w:rsid w:val="00F525B6"/>
    <w:rsid w:val="00F525CE"/>
    <w:rsid w:val="00F525F4"/>
    <w:rsid w:val="00F52605"/>
    <w:rsid w:val="00F5267D"/>
    <w:rsid w:val="00F526B8"/>
    <w:rsid w:val="00F526D8"/>
    <w:rsid w:val="00F526F1"/>
    <w:rsid w:val="00F526F5"/>
    <w:rsid w:val="00F52705"/>
    <w:rsid w:val="00F5271D"/>
    <w:rsid w:val="00F52751"/>
    <w:rsid w:val="00F5276D"/>
    <w:rsid w:val="00F52873"/>
    <w:rsid w:val="00F52874"/>
    <w:rsid w:val="00F52912"/>
    <w:rsid w:val="00F529C6"/>
    <w:rsid w:val="00F529D8"/>
    <w:rsid w:val="00F529E4"/>
    <w:rsid w:val="00F529E5"/>
    <w:rsid w:val="00F52A0E"/>
    <w:rsid w:val="00F52A5C"/>
    <w:rsid w:val="00F52ADD"/>
    <w:rsid w:val="00F52B34"/>
    <w:rsid w:val="00F52B59"/>
    <w:rsid w:val="00F52B72"/>
    <w:rsid w:val="00F52C24"/>
    <w:rsid w:val="00F52C5E"/>
    <w:rsid w:val="00F52C62"/>
    <w:rsid w:val="00F52CBB"/>
    <w:rsid w:val="00F52CDC"/>
    <w:rsid w:val="00F52CF5"/>
    <w:rsid w:val="00F52CF6"/>
    <w:rsid w:val="00F52CFA"/>
    <w:rsid w:val="00F52DBD"/>
    <w:rsid w:val="00F52E2A"/>
    <w:rsid w:val="00F52E2C"/>
    <w:rsid w:val="00F52ED9"/>
    <w:rsid w:val="00F53066"/>
    <w:rsid w:val="00F53092"/>
    <w:rsid w:val="00F530DA"/>
    <w:rsid w:val="00F530EE"/>
    <w:rsid w:val="00F53103"/>
    <w:rsid w:val="00F53104"/>
    <w:rsid w:val="00F5313E"/>
    <w:rsid w:val="00F53179"/>
    <w:rsid w:val="00F53183"/>
    <w:rsid w:val="00F531CF"/>
    <w:rsid w:val="00F531D0"/>
    <w:rsid w:val="00F531EC"/>
    <w:rsid w:val="00F53218"/>
    <w:rsid w:val="00F5325D"/>
    <w:rsid w:val="00F53334"/>
    <w:rsid w:val="00F53370"/>
    <w:rsid w:val="00F533A2"/>
    <w:rsid w:val="00F533A7"/>
    <w:rsid w:val="00F533F2"/>
    <w:rsid w:val="00F5347B"/>
    <w:rsid w:val="00F534C2"/>
    <w:rsid w:val="00F53519"/>
    <w:rsid w:val="00F5352D"/>
    <w:rsid w:val="00F53574"/>
    <w:rsid w:val="00F53599"/>
    <w:rsid w:val="00F53665"/>
    <w:rsid w:val="00F536AE"/>
    <w:rsid w:val="00F536D4"/>
    <w:rsid w:val="00F53702"/>
    <w:rsid w:val="00F53719"/>
    <w:rsid w:val="00F53761"/>
    <w:rsid w:val="00F537EC"/>
    <w:rsid w:val="00F537FC"/>
    <w:rsid w:val="00F53860"/>
    <w:rsid w:val="00F5399B"/>
    <w:rsid w:val="00F53AFC"/>
    <w:rsid w:val="00F53B11"/>
    <w:rsid w:val="00F53B93"/>
    <w:rsid w:val="00F53D3E"/>
    <w:rsid w:val="00F53D53"/>
    <w:rsid w:val="00F53DDE"/>
    <w:rsid w:val="00F53F12"/>
    <w:rsid w:val="00F53F33"/>
    <w:rsid w:val="00F53F47"/>
    <w:rsid w:val="00F53FF5"/>
    <w:rsid w:val="00F54033"/>
    <w:rsid w:val="00F5403C"/>
    <w:rsid w:val="00F5403F"/>
    <w:rsid w:val="00F540C5"/>
    <w:rsid w:val="00F5414F"/>
    <w:rsid w:val="00F54164"/>
    <w:rsid w:val="00F54298"/>
    <w:rsid w:val="00F542C9"/>
    <w:rsid w:val="00F542FA"/>
    <w:rsid w:val="00F54330"/>
    <w:rsid w:val="00F5437D"/>
    <w:rsid w:val="00F54383"/>
    <w:rsid w:val="00F54462"/>
    <w:rsid w:val="00F544C1"/>
    <w:rsid w:val="00F54506"/>
    <w:rsid w:val="00F5452C"/>
    <w:rsid w:val="00F54575"/>
    <w:rsid w:val="00F545F2"/>
    <w:rsid w:val="00F546B3"/>
    <w:rsid w:val="00F546B9"/>
    <w:rsid w:val="00F546CB"/>
    <w:rsid w:val="00F546DA"/>
    <w:rsid w:val="00F546FB"/>
    <w:rsid w:val="00F547C3"/>
    <w:rsid w:val="00F5487A"/>
    <w:rsid w:val="00F54931"/>
    <w:rsid w:val="00F5493B"/>
    <w:rsid w:val="00F54A64"/>
    <w:rsid w:val="00F54ABE"/>
    <w:rsid w:val="00F54AD0"/>
    <w:rsid w:val="00F54B30"/>
    <w:rsid w:val="00F54B41"/>
    <w:rsid w:val="00F54B7D"/>
    <w:rsid w:val="00F54B90"/>
    <w:rsid w:val="00F54C68"/>
    <w:rsid w:val="00F54C73"/>
    <w:rsid w:val="00F54C84"/>
    <w:rsid w:val="00F54D56"/>
    <w:rsid w:val="00F54D7B"/>
    <w:rsid w:val="00F54E71"/>
    <w:rsid w:val="00F54EA0"/>
    <w:rsid w:val="00F54ED2"/>
    <w:rsid w:val="00F54F16"/>
    <w:rsid w:val="00F54F25"/>
    <w:rsid w:val="00F54F5A"/>
    <w:rsid w:val="00F54F66"/>
    <w:rsid w:val="00F54F7F"/>
    <w:rsid w:val="00F54F86"/>
    <w:rsid w:val="00F54FC9"/>
    <w:rsid w:val="00F550A5"/>
    <w:rsid w:val="00F550B6"/>
    <w:rsid w:val="00F550F2"/>
    <w:rsid w:val="00F550FD"/>
    <w:rsid w:val="00F5519B"/>
    <w:rsid w:val="00F551C2"/>
    <w:rsid w:val="00F5526C"/>
    <w:rsid w:val="00F55297"/>
    <w:rsid w:val="00F5529E"/>
    <w:rsid w:val="00F552F1"/>
    <w:rsid w:val="00F553C1"/>
    <w:rsid w:val="00F553E9"/>
    <w:rsid w:val="00F55480"/>
    <w:rsid w:val="00F55598"/>
    <w:rsid w:val="00F555A6"/>
    <w:rsid w:val="00F555F8"/>
    <w:rsid w:val="00F555FF"/>
    <w:rsid w:val="00F557D3"/>
    <w:rsid w:val="00F557DB"/>
    <w:rsid w:val="00F557E9"/>
    <w:rsid w:val="00F55846"/>
    <w:rsid w:val="00F558AB"/>
    <w:rsid w:val="00F558B2"/>
    <w:rsid w:val="00F5593A"/>
    <w:rsid w:val="00F55962"/>
    <w:rsid w:val="00F559AA"/>
    <w:rsid w:val="00F559C7"/>
    <w:rsid w:val="00F55A18"/>
    <w:rsid w:val="00F55A21"/>
    <w:rsid w:val="00F55A4B"/>
    <w:rsid w:val="00F55A4F"/>
    <w:rsid w:val="00F55A93"/>
    <w:rsid w:val="00F55B11"/>
    <w:rsid w:val="00F55BC9"/>
    <w:rsid w:val="00F55BF7"/>
    <w:rsid w:val="00F55C0A"/>
    <w:rsid w:val="00F55C42"/>
    <w:rsid w:val="00F55C48"/>
    <w:rsid w:val="00F55D68"/>
    <w:rsid w:val="00F55E28"/>
    <w:rsid w:val="00F55EB5"/>
    <w:rsid w:val="00F55EFA"/>
    <w:rsid w:val="00F55F0F"/>
    <w:rsid w:val="00F55F61"/>
    <w:rsid w:val="00F55F7B"/>
    <w:rsid w:val="00F55FB8"/>
    <w:rsid w:val="00F55FD3"/>
    <w:rsid w:val="00F55FEE"/>
    <w:rsid w:val="00F56024"/>
    <w:rsid w:val="00F5605F"/>
    <w:rsid w:val="00F56091"/>
    <w:rsid w:val="00F5609C"/>
    <w:rsid w:val="00F560B0"/>
    <w:rsid w:val="00F560F2"/>
    <w:rsid w:val="00F561D8"/>
    <w:rsid w:val="00F561E2"/>
    <w:rsid w:val="00F56204"/>
    <w:rsid w:val="00F5620A"/>
    <w:rsid w:val="00F56248"/>
    <w:rsid w:val="00F5627C"/>
    <w:rsid w:val="00F56333"/>
    <w:rsid w:val="00F56361"/>
    <w:rsid w:val="00F563D9"/>
    <w:rsid w:val="00F5641C"/>
    <w:rsid w:val="00F56437"/>
    <w:rsid w:val="00F56449"/>
    <w:rsid w:val="00F56474"/>
    <w:rsid w:val="00F564A6"/>
    <w:rsid w:val="00F564DD"/>
    <w:rsid w:val="00F56536"/>
    <w:rsid w:val="00F56569"/>
    <w:rsid w:val="00F56674"/>
    <w:rsid w:val="00F56739"/>
    <w:rsid w:val="00F5673C"/>
    <w:rsid w:val="00F5674A"/>
    <w:rsid w:val="00F56769"/>
    <w:rsid w:val="00F567A4"/>
    <w:rsid w:val="00F567DE"/>
    <w:rsid w:val="00F56815"/>
    <w:rsid w:val="00F56846"/>
    <w:rsid w:val="00F56866"/>
    <w:rsid w:val="00F568CB"/>
    <w:rsid w:val="00F568FD"/>
    <w:rsid w:val="00F569B6"/>
    <w:rsid w:val="00F569BD"/>
    <w:rsid w:val="00F569F8"/>
    <w:rsid w:val="00F56A55"/>
    <w:rsid w:val="00F56B98"/>
    <w:rsid w:val="00F56C58"/>
    <w:rsid w:val="00F56C65"/>
    <w:rsid w:val="00F56CCD"/>
    <w:rsid w:val="00F56CF7"/>
    <w:rsid w:val="00F56D30"/>
    <w:rsid w:val="00F56DB4"/>
    <w:rsid w:val="00F56E59"/>
    <w:rsid w:val="00F56E75"/>
    <w:rsid w:val="00F56EC4"/>
    <w:rsid w:val="00F56ED0"/>
    <w:rsid w:val="00F56F52"/>
    <w:rsid w:val="00F57010"/>
    <w:rsid w:val="00F57105"/>
    <w:rsid w:val="00F57146"/>
    <w:rsid w:val="00F57173"/>
    <w:rsid w:val="00F571D0"/>
    <w:rsid w:val="00F571F5"/>
    <w:rsid w:val="00F57262"/>
    <w:rsid w:val="00F5728B"/>
    <w:rsid w:val="00F5729D"/>
    <w:rsid w:val="00F57305"/>
    <w:rsid w:val="00F57311"/>
    <w:rsid w:val="00F573AB"/>
    <w:rsid w:val="00F5754D"/>
    <w:rsid w:val="00F575FD"/>
    <w:rsid w:val="00F5762E"/>
    <w:rsid w:val="00F57665"/>
    <w:rsid w:val="00F5766A"/>
    <w:rsid w:val="00F57695"/>
    <w:rsid w:val="00F57698"/>
    <w:rsid w:val="00F576AC"/>
    <w:rsid w:val="00F576D3"/>
    <w:rsid w:val="00F5783B"/>
    <w:rsid w:val="00F57852"/>
    <w:rsid w:val="00F578A6"/>
    <w:rsid w:val="00F578A9"/>
    <w:rsid w:val="00F578F1"/>
    <w:rsid w:val="00F578F6"/>
    <w:rsid w:val="00F5790C"/>
    <w:rsid w:val="00F57991"/>
    <w:rsid w:val="00F579A0"/>
    <w:rsid w:val="00F579B5"/>
    <w:rsid w:val="00F57A16"/>
    <w:rsid w:val="00F57A62"/>
    <w:rsid w:val="00F57B51"/>
    <w:rsid w:val="00F57B52"/>
    <w:rsid w:val="00F57B96"/>
    <w:rsid w:val="00F57BE4"/>
    <w:rsid w:val="00F57CAB"/>
    <w:rsid w:val="00F57CF2"/>
    <w:rsid w:val="00F57D7C"/>
    <w:rsid w:val="00F57F2C"/>
    <w:rsid w:val="00F57F58"/>
    <w:rsid w:val="00F57F6C"/>
    <w:rsid w:val="00F57FEA"/>
    <w:rsid w:val="00F6000C"/>
    <w:rsid w:val="00F60010"/>
    <w:rsid w:val="00F60050"/>
    <w:rsid w:val="00F60051"/>
    <w:rsid w:val="00F60068"/>
    <w:rsid w:val="00F60082"/>
    <w:rsid w:val="00F60089"/>
    <w:rsid w:val="00F60116"/>
    <w:rsid w:val="00F601AC"/>
    <w:rsid w:val="00F601F7"/>
    <w:rsid w:val="00F6024B"/>
    <w:rsid w:val="00F6027B"/>
    <w:rsid w:val="00F602F1"/>
    <w:rsid w:val="00F60324"/>
    <w:rsid w:val="00F6035D"/>
    <w:rsid w:val="00F60407"/>
    <w:rsid w:val="00F60463"/>
    <w:rsid w:val="00F60465"/>
    <w:rsid w:val="00F604E9"/>
    <w:rsid w:val="00F60541"/>
    <w:rsid w:val="00F605E1"/>
    <w:rsid w:val="00F60669"/>
    <w:rsid w:val="00F6068D"/>
    <w:rsid w:val="00F606CB"/>
    <w:rsid w:val="00F606E9"/>
    <w:rsid w:val="00F60728"/>
    <w:rsid w:val="00F6072B"/>
    <w:rsid w:val="00F6076F"/>
    <w:rsid w:val="00F60776"/>
    <w:rsid w:val="00F60830"/>
    <w:rsid w:val="00F60848"/>
    <w:rsid w:val="00F60899"/>
    <w:rsid w:val="00F608D9"/>
    <w:rsid w:val="00F6095C"/>
    <w:rsid w:val="00F6096E"/>
    <w:rsid w:val="00F609BC"/>
    <w:rsid w:val="00F60A0A"/>
    <w:rsid w:val="00F60A64"/>
    <w:rsid w:val="00F60A88"/>
    <w:rsid w:val="00F60BDD"/>
    <w:rsid w:val="00F60BDF"/>
    <w:rsid w:val="00F60BE6"/>
    <w:rsid w:val="00F60C65"/>
    <w:rsid w:val="00F60C9B"/>
    <w:rsid w:val="00F60CB5"/>
    <w:rsid w:val="00F60CE4"/>
    <w:rsid w:val="00F60D20"/>
    <w:rsid w:val="00F60D49"/>
    <w:rsid w:val="00F60D95"/>
    <w:rsid w:val="00F60D9E"/>
    <w:rsid w:val="00F60DBD"/>
    <w:rsid w:val="00F60DE0"/>
    <w:rsid w:val="00F60DE4"/>
    <w:rsid w:val="00F60E72"/>
    <w:rsid w:val="00F60F1B"/>
    <w:rsid w:val="00F60F5B"/>
    <w:rsid w:val="00F61023"/>
    <w:rsid w:val="00F61069"/>
    <w:rsid w:val="00F6108B"/>
    <w:rsid w:val="00F61092"/>
    <w:rsid w:val="00F61142"/>
    <w:rsid w:val="00F6115B"/>
    <w:rsid w:val="00F61182"/>
    <w:rsid w:val="00F611D5"/>
    <w:rsid w:val="00F61268"/>
    <w:rsid w:val="00F61364"/>
    <w:rsid w:val="00F6136B"/>
    <w:rsid w:val="00F613AD"/>
    <w:rsid w:val="00F61449"/>
    <w:rsid w:val="00F614B4"/>
    <w:rsid w:val="00F614EE"/>
    <w:rsid w:val="00F614F6"/>
    <w:rsid w:val="00F61538"/>
    <w:rsid w:val="00F61628"/>
    <w:rsid w:val="00F6183A"/>
    <w:rsid w:val="00F6189F"/>
    <w:rsid w:val="00F6190E"/>
    <w:rsid w:val="00F61918"/>
    <w:rsid w:val="00F61A28"/>
    <w:rsid w:val="00F61AC4"/>
    <w:rsid w:val="00F61B47"/>
    <w:rsid w:val="00F61C3D"/>
    <w:rsid w:val="00F61C7E"/>
    <w:rsid w:val="00F61CB1"/>
    <w:rsid w:val="00F61D02"/>
    <w:rsid w:val="00F61D32"/>
    <w:rsid w:val="00F61D84"/>
    <w:rsid w:val="00F61E10"/>
    <w:rsid w:val="00F61E19"/>
    <w:rsid w:val="00F61E4C"/>
    <w:rsid w:val="00F61E6D"/>
    <w:rsid w:val="00F61E96"/>
    <w:rsid w:val="00F61EBF"/>
    <w:rsid w:val="00F61F82"/>
    <w:rsid w:val="00F61F8E"/>
    <w:rsid w:val="00F61F8F"/>
    <w:rsid w:val="00F61FC4"/>
    <w:rsid w:val="00F62070"/>
    <w:rsid w:val="00F6207A"/>
    <w:rsid w:val="00F6209D"/>
    <w:rsid w:val="00F62124"/>
    <w:rsid w:val="00F62193"/>
    <w:rsid w:val="00F621BF"/>
    <w:rsid w:val="00F6224E"/>
    <w:rsid w:val="00F622E5"/>
    <w:rsid w:val="00F624AE"/>
    <w:rsid w:val="00F62523"/>
    <w:rsid w:val="00F62540"/>
    <w:rsid w:val="00F6254E"/>
    <w:rsid w:val="00F625FD"/>
    <w:rsid w:val="00F6262E"/>
    <w:rsid w:val="00F62727"/>
    <w:rsid w:val="00F6274F"/>
    <w:rsid w:val="00F62754"/>
    <w:rsid w:val="00F627AB"/>
    <w:rsid w:val="00F627CA"/>
    <w:rsid w:val="00F627EC"/>
    <w:rsid w:val="00F6285E"/>
    <w:rsid w:val="00F6288B"/>
    <w:rsid w:val="00F628ED"/>
    <w:rsid w:val="00F62961"/>
    <w:rsid w:val="00F62A5B"/>
    <w:rsid w:val="00F62B88"/>
    <w:rsid w:val="00F62BBD"/>
    <w:rsid w:val="00F62BDC"/>
    <w:rsid w:val="00F62C14"/>
    <w:rsid w:val="00F62CA8"/>
    <w:rsid w:val="00F62E39"/>
    <w:rsid w:val="00F62E55"/>
    <w:rsid w:val="00F62ED3"/>
    <w:rsid w:val="00F62EDE"/>
    <w:rsid w:val="00F62F7C"/>
    <w:rsid w:val="00F63060"/>
    <w:rsid w:val="00F630B4"/>
    <w:rsid w:val="00F6314D"/>
    <w:rsid w:val="00F631A5"/>
    <w:rsid w:val="00F63218"/>
    <w:rsid w:val="00F63295"/>
    <w:rsid w:val="00F63323"/>
    <w:rsid w:val="00F63327"/>
    <w:rsid w:val="00F633F4"/>
    <w:rsid w:val="00F6341E"/>
    <w:rsid w:val="00F6348D"/>
    <w:rsid w:val="00F634A6"/>
    <w:rsid w:val="00F634D0"/>
    <w:rsid w:val="00F634E7"/>
    <w:rsid w:val="00F634FC"/>
    <w:rsid w:val="00F635AD"/>
    <w:rsid w:val="00F635CA"/>
    <w:rsid w:val="00F635CB"/>
    <w:rsid w:val="00F635D6"/>
    <w:rsid w:val="00F63617"/>
    <w:rsid w:val="00F63646"/>
    <w:rsid w:val="00F6365F"/>
    <w:rsid w:val="00F636AF"/>
    <w:rsid w:val="00F636C8"/>
    <w:rsid w:val="00F638B8"/>
    <w:rsid w:val="00F638BF"/>
    <w:rsid w:val="00F63913"/>
    <w:rsid w:val="00F63A6B"/>
    <w:rsid w:val="00F63A6D"/>
    <w:rsid w:val="00F63A8C"/>
    <w:rsid w:val="00F63A98"/>
    <w:rsid w:val="00F63AB1"/>
    <w:rsid w:val="00F63ABC"/>
    <w:rsid w:val="00F63BBA"/>
    <w:rsid w:val="00F63BF2"/>
    <w:rsid w:val="00F63C77"/>
    <w:rsid w:val="00F63CA7"/>
    <w:rsid w:val="00F63CBB"/>
    <w:rsid w:val="00F63CC5"/>
    <w:rsid w:val="00F63D28"/>
    <w:rsid w:val="00F63D84"/>
    <w:rsid w:val="00F63DD7"/>
    <w:rsid w:val="00F63E67"/>
    <w:rsid w:val="00F63E88"/>
    <w:rsid w:val="00F63EBC"/>
    <w:rsid w:val="00F63F33"/>
    <w:rsid w:val="00F63F3B"/>
    <w:rsid w:val="00F63F77"/>
    <w:rsid w:val="00F6402C"/>
    <w:rsid w:val="00F64041"/>
    <w:rsid w:val="00F640BE"/>
    <w:rsid w:val="00F640F5"/>
    <w:rsid w:val="00F640FE"/>
    <w:rsid w:val="00F6417E"/>
    <w:rsid w:val="00F641A1"/>
    <w:rsid w:val="00F642CC"/>
    <w:rsid w:val="00F6431A"/>
    <w:rsid w:val="00F64390"/>
    <w:rsid w:val="00F6442F"/>
    <w:rsid w:val="00F644FD"/>
    <w:rsid w:val="00F64545"/>
    <w:rsid w:val="00F645F6"/>
    <w:rsid w:val="00F64611"/>
    <w:rsid w:val="00F64655"/>
    <w:rsid w:val="00F64686"/>
    <w:rsid w:val="00F646E8"/>
    <w:rsid w:val="00F646F9"/>
    <w:rsid w:val="00F646FB"/>
    <w:rsid w:val="00F6478A"/>
    <w:rsid w:val="00F647DC"/>
    <w:rsid w:val="00F6487A"/>
    <w:rsid w:val="00F64910"/>
    <w:rsid w:val="00F649D0"/>
    <w:rsid w:val="00F649D1"/>
    <w:rsid w:val="00F64A32"/>
    <w:rsid w:val="00F64A42"/>
    <w:rsid w:val="00F64A4F"/>
    <w:rsid w:val="00F64A56"/>
    <w:rsid w:val="00F64A99"/>
    <w:rsid w:val="00F64B4A"/>
    <w:rsid w:val="00F64C04"/>
    <w:rsid w:val="00F64C1B"/>
    <w:rsid w:val="00F64C31"/>
    <w:rsid w:val="00F64C50"/>
    <w:rsid w:val="00F64D5E"/>
    <w:rsid w:val="00F64DD9"/>
    <w:rsid w:val="00F64E09"/>
    <w:rsid w:val="00F64E36"/>
    <w:rsid w:val="00F64E86"/>
    <w:rsid w:val="00F64F09"/>
    <w:rsid w:val="00F64F51"/>
    <w:rsid w:val="00F6500D"/>
    <w:rsid w:val="00F6502B"/>
    <w:rsid w:val="00F6509C"/>
    <w:rsid w:val="00F65160"/>
    <w:rsid w:val="00F6517C"/>
    <w:rsid w:val="00F65287"/>
    <w:rsid w:val="00F65289"/>
    <w:rsid w:val="00F652D4"/>
    <w:rsid w:val="00F65348"/>
    <w:rsid w:val="00F6538E"/>
    <w:rsid w:val="00F653C7"/>
    <w:rsid w:val="00F65409"/>
    <w:rsid w:val="00F6543D"/>
    <w:rsid w:val="00F65450"/>
    <w:rsid w:val="00F654CC"/>
    <w:rsid w:val="00F65640"/>
    <w:rsid w:val="00F65670"/>
    <w:rsid w:val="00F65721"/>
    <w:rsid w:val="00F65766"/>
    <w:rsid w:val="00F657F6"/>
    <w:rsid w:val="00F65801"/>
    <w:rsid w:val="00F65814"/>
    <w:rsid w:val="00F6593C"/>
    <w:rsid w:val="00F6593E"/>
    <w:rsid w:val="00F65964"/>
    <w:rsid w:val="00F65970"/>
    <w:rsid w:val="00F65977"/>
    <w:rsid w:val="00F659A1"/>
    <w:rsid w:val="00F659EE"/>
    <w:rsid w:val="00F65B16"/>
    <w:rsid w:val="00F65B35"/>
    <w:rsid w:val="00F65B93"/>
    <w:rsid w:val="00F65B97"/>
    <w:rsid w:val="00F65C03"/>
    <w:rsid w:val="00F65C24"/>
    <w:rsid w:val="00F65CCA"/>
    <w:rsid w:val="00F65CCF"/>
    <w:rsid w:val="00F65D3B"/>
    <w:rsid w:val="00F65D5B"/>
    <w:rsid w:val="00F65D8E"/>
    <w:rsid w:val="00F65DAB"/>
    <w:rsid w:val="00F65DDD"/>
    <w:rsid w:val="00F65E65"/>
    <w:rsid w:val="00F65E76"/>
    <w:rsid w:val="00F65EC5"/>
    <w:rsid w:val="00F65F08"/>
    <w:rsid w:val="00F65F0C"/>
    <w:rsid w:val="00F65F5A"/>
    <w:rsid w:val="00F65F85"/>
    <w:rsid w:val="00F65FF1"/>
    <w:rsid w:val="00F66081"/>
    <w:rsid w:val="00F660DC"/>
    <w:rsid w:val="00F6612D"/>
    <w:rsid w:val="00F661DF"/>
    <w:rsid w:val="00F66246"/>
    <w:rsid w:val="00F6626A"/>
    <w:rsid w:val="00F6626B"/>
    <w:rsid w:val="00F662A0"/>
    <w:rsid w:val="00F6635E"/>
    <w:rsid w:val="00F66370"/>
    <w:rsid w:val="00F663A6"/>
    <w:rsid w:val="00F66419"/>
    <w:rsid w:val="00F66433"/>
    <w:rsid w:val="00F664CD"/>
    <w:rsid w:val="00F6653E"/>
    <w:rsid w:val="00F665A5"/>
    <w:rsid w:val="00F6662E"/>
    <w:rsid w:val="00F6677E"/>
    <w:rsid w:val="00F6680A"/>
    <w:rsid w:val="00F6682E"/>
    <w:rsid w:val="00F6685F"/>
    <w:rsid w:val="00F668E7"/>
    <w:rsid w:val="00F668E8"/>
    <w:rsid w:val="00F66956"/>
    <w:rsid w:val="00F6695E"/>
    <w:rsid w:val="00F6695F"/>
    <w:rsid w:val="00F66979"/>
    <w:rsid w:val="00F66988"/>
    <w:rsid w:val="00F66A2E"/>
    <w:rsid w:val="00F66A63"/>
    <w:rsid w:val="00F66A7E"/>
    <w:rsid w:val="00F66AA3"/>
    <w:rsid w:val="00F66AB2"/>
    <w:rsid w:val="00F66B15"/>
    <w:rsid w:val="00F66B50"/>
    <w:rsid w:val="00F66B9F"/>
    <w:rsid w:val="00F66BC0"/>
    <w:rsid w:val="00F66C70"/>
    <w:rsid w:val="00F66CAD"/>
    <w:rsid w:val="00F66D03"/>
    <w:rsid w:val="00F66D49"/>
    <w:rsid w:val="00F66D57"/>
    <w:rsid w:val="00F66DA2"/>
    <w:rsid w:val="00F66E47"/>
    <w:rsid w:val="00F66E6C"/>
    <w:rsid w:val="00F66EB0"/>
    <w:rsid w:val="00F66F24"/>
    <w:rsid w:val="00F66F69"/>
    <w:rsid w:val="00F66F8E"/>
    <w:rsid w:val="00F66FB6"/>
    <w:rsid w:val="00F66FCA"/>
    <w:rsid w:val="00F66FE7"/>
    <w:rsid w:val="00F6700A"/>
    <w:rsid w:val="00F67075"/>
    <w:rsid w:val="00F6711C"/>
    <w:rsid w:val="00F67139"/>
    <w:rsid w:val="00F6713C"/>
    <w:rsid w:val="00F67144"/>
    <w:rsid w:val="00F671F9"/>
    <w:rsid w:val="00F67275"/>
    <w:rsid w:val="00F6728A"/>
    <w:rsid w:val="00F6728D"/>
    <w:rsid w:val="00F672DC"/>
    <w:rsid w:val="00F673AF"/>
    <w:rsid w:val="00F673C7"/>
    <w:rsid w:val="00F67463"/>
    <w:rsid w:val="00F67490"/>
    <w:rsid w:val="00F674F8"/>
    <w:rsid w:val="00F67507"/>
    <w:rsid w:val="00F675FD"/>
    <w:rsid w:val="00F6760F"/>
    <w:rsid w:val="00F6764E"/>
    <w:rsid w:val="00F67689"/>
    <w:rsid w:val="00F676F4"/>
    <w:rsid w:val="00F67732"/>
    <w:rsid w:val="00F6778D"/>
    <w:rsid w:val="00F6779E"/>
    <w:rsid w:val="00F677F3"/>
    <w:rsid w:val="00F677F6"/>
    <w:rsid w:val="00F67806"/>
    <w:rsid w:val="00F67870"/>
    <w:rsid w:val="00F6792D"/>
    <w:rsid w:val="00F67950"/>
    <w:rsid w:val="00F6796E"/>
    <w:rsid w:val="00F6798E"/>
    <w:rsid w:val="00F67A06"/>
    <w:rsid w:val="00F67A17"/>
    <w:rsid w:val="00F67A4E"/>
    <w:rsid w:val="00F67D16"/>
    <w:rsid w:val="00F67D2F"/>
    <w:rsid w:val="00F67E3B"/>
    <w:rsid w:val="00F67E8F"/>
    <w:rsid w:val="00F67EC4"/>
    <w:rsid w:val="00F67EDF"/>
    <w:rsid w:val="00F67EFD"/>
    <w:rsid w:val="00F67F01"/>
    <w:rsid w:val="00F67F1C"/>
    <w:rsid w:val="00F67FCD"/>
    <w:rsid w:val="00F67FF0"/>
    <w:rsid w:val="00F7000C"/>
    <w:rsid w:val="00F700C2"/>
    <w:rsid w:val="00F700EF"/>
    <w:rsid w:val="00F701B8"/>
    <w:rsid w:val="00F7020E"/>
    <w:rsid w:val="00F70238"/>
    <w:rsid w:val="00F7028B"/>
    <w:rsid w:val="00F702B6"/>
    <w:rsid w:val="00F702CB"/>
    <w:rsid w:val="00F70347"/>
    <w:rsid w:val="00F7034B"/>
    <w:rsid w:val="00F703BD"/>
    <w:rsid w:val="00F70411"/>
    <w:rsid w:val="00F7049D"/>
    <w:rsid w:val="00F704D9"/>
    <w:rsid w:val="00F704EF"/>
    <w:rsid w:val="00F70510"/>
    <w:rsid w:val="00F70543"/>
    <w:rsid w:val="00F70613"/>
    <w:rsid w:val="00F70691"/>
    <w:rsid w:val="00F706EE"/>
    <w:rsid w:val="00F706FA"/>
    <w:rsid w:val="00F70738"/>
    <w:rsid w:val="00F70754"/>
    <w:rsid w:val="00F70794"/>
    <w:rsid w:val="00F707CC"/>
    <w:rsid w:val="00F707DC"/>
    <w:rsid w:val="00F7081C"/>
    <w:rsid w:val="00F7085B"/>
    <w:rsid w:val="00F70877"/>
    <w:rsid w:val="00F708CE"/>
    <w:rsid w:val="00F708F7"/>
    <w:rsid w:val="00F708FD"/>
    <w:rsid w:val="00F70902"/>
    <w:rsid w:val="00F709F1"/>
    <w:rsid w:val="00F70A94"/>
    <w:rsid w:val="00F70ABA"/>
    <w:rsid w:val="00F70AC1"/>
    <w:rsid w:val="00F70ACE"/>
    <w:rsid w:val="00F70B10"/>
    <w:rsid w:val="00F70B39"/>
    <w:rsid w:val="00F70B65"/>
    <w:rsid w:val="00F70B8F"/>
    <w:rsid w:val="00F70BED"/>
    <w:rsid w:val="00F70C23"/>
    <w:rsid w:val="00F70C73"/>
    <w:rsid w:val="00F70CC1"/>
    <w:rsid w:val="00F70CCC"/>
    <w:rsid w:val="00F70D01"/>
    <w:rsid w:val="00F70D60"/>
    <w:rsid w:val="00F70E78"/>
    <w:rsid w:val="00F70EB8"/>
    <w:rsid w:val="00F70FB3"/>
    <w:rsid w:val="00F70FBF"/>
    <w:rsid w:val="00F70FCC"/>
    <w:rsid w:val="00F70FEE"/>
    <w:rsid w:val="00F7102C"/>
    <w:rsid w:val="00F71038"/>
    <w:rsid w:val="00F7104F"/>
    <w:rsid w:val="00F71083"/>
    <w:rsid w:val="00F710B1"/>
    <w:rsid w:val="00F71113"/>
    <w:rsid w:val="00F7113C"/>
    <w:rsid w:val="00F711E2"/>
    <w:rsid w:val="00F71211"/>
    <w:rsid w:val="00F71253"/>
    <w:rsid w:val="00F7132B"/>
    <w:rsid w:val="00F71357"/>
    <w:rsid w:val="00F71391"/>
    <w:rsid w:val="00F713C5"/>
    <w:rsid w:val="00F7141F"/>
    <w:rsid w:val="00F71460"/>
    <w:rsid w:val="00F71500"/>
    <w:rsid w:val="00F71535"/>
    <w:rsid w:val="00F715EB"/>
    <w:rsid w:val="00F71618"/>
    <w:rsid w:val="00F71621"/>
    <w:rsid w:val="00F71646"/>
    <w:rsid w:val="00F71686"/>
    <w:rsid w:val="00F716A6"/>
    <w:rsid w:val="00F716C3"/>
    <w:rsid w:val="00F716E4"/>
    <w:rsid w:val="00F71724"/>
    <w:rsid w:val="00F7172C"/>
    <w:rsid w:val="00F71790"/>
    <w:rsid w:val="00F717CA"/>
    <w:rsid w:val="00F717D0"/>
    <w:rsid w:val="00F717D4"/>
    <w:rsid w:val="00F71802"/>
    <w:rsid w:val="00F71818"/>
    <w:rsid w:val="00F71835"/>
    <w:rsid w:val="00F719D2"/>
    <w:rsid w:val="00F71A0E"/>
    <w:rsid w:val="00F71A27"/>
    <w:rsid w:val="00F71A4F"/>
    <w:rsid w:val="00F71AA5"/>
    <w:rsid w:val="00F71AD9"/>
    <w:rsid w:val="00F71B18"/>
    <w:rsid w:val="00F71B4D"/>
    <w:rsid w:val="00F71BD4"/>
    <w:rsid w:val="00F71BE0"/>
    <w:rsid w:val="00F71C14"/>
    <w:rsid w:val="00F71C2E"/>
    <w:rsid w:val="00F71C53"/>
    <w:rsid w:val="00F71D6C"/>
    <w:rsid w:val="00F71D79"/>
    <w:rsid w:val="00F71DA2"/>
    <w:rsid w:val="00F71E8E"/>
    <w:rsid w:val="00F71EAA"/>
    <w:rsid w:val="00F71EC4"/>
    <w:rsid w:val="00F71FDC"/>
    <w:rsid w:val="00F72015"/>
    <w:rsid w:val="00F720B7"/>
    <w:rsid w:val="00F72126"/>
    <w:rsid w:val="00F72149"/>
    <w:rsid w:val="00F72196"/>
    <w:rsid w:val="00F7224F"/>
    <w:rsid w:val="00F7227C"/>
    <w:rsid w:val="00F72290"/>
    <w:rsid w:val="00F722A9"/>
    <w:rsid w:val="00F722DD"/>
    <w:rsid w:val="00F72308"/>
    <w:rsid w:val="00F72348"/>
    <w:rsid w:val="00F7234D"/>
    <w:rsid w:val="00F72413"/>
    <w:rsid w:val="00F7255A"/>
    <w:rsid w:val="00F72638"/>
    <w:rsid w:val="00F7266F"/>
    <w:rsid w:val="00F726E0"/>
    <w:rsid w:val="00F72765"/>
    <w:rsid w:val="00F727EA"/>
    <w:rsid w:val="00F72805"/>
    <w:rsid w:val="00F7287A"/>
    <w:rsid w:val="00F7289A"/>
    <w:rsid w:val="00F728BA"/>
    <w:rsid w:val="00F728BC"/>
    <w:rsid w:val="00F72904"/>
    <w:rsid w:val="00F7293A"/>
    <w:rsid w:val="00F72961"/>
    <w:rsid w:val="00F729C9"/>
    <w:rsid w:val="00F72AAD"/>
    <w:rsid w:val="00F72BC1"/>
    <w:rsid w:val="00F72BFA"/>
    <w:rsid w:val="00F72C38"/>
    <w:rsid w:val="00F72D62"/>
    <w:rsid w:val="00F72D93"/>
    <w:rsid w:val="00F72E79"/>
    <w:rsid w:val="00F72EE7"/>
    <w:rsid w:val="00F72F1F"/>
    <w:rsid w:val="00F72F22"/>
    <w:rsid w:val="00F72F4D"/>
    <w:rsid w:val="00F72F62"/>
    <w:rsid w:val="00F72F94"/>
    <w:rsid w:val="00F72F96"/>
    <w:rsid w:val="00F72FAE"/>
    <w:rsid w:val="00F72FE1"/>
    <w:rsid w:val="00F7301F"/>
    <w:rsid w:val="00F73039"/>
    <w:rsid w:val="00F7306E"/>
    <w:rsid w:val="00F73084"/>
    <w:rsid w:val="00F730D4"/>
    <w:rsid w:val="00F7313E"/>
    <w:rsid w:val="00F73194"/>
    <w:rsid w:val="00F731C7"/>
    <w:rsid w:val="00F731CA"/>
    <w:rsid w:val="00F731CB"/>
    <w:rsid w:val="00F732C3"/>
    <w:rsid w:val="00F732F5"/>
    <w:rsid w:val="00F73328"/>
    <w:rsid w:val="00F7333D"/>
    <w:rsid w:val="00F73351"/>
    <w:rsid w:val="00F733B6"/>
    <w:rsid w:val="00F7340D"/>
    <w:rsid w:val="00F734BB"/>
    <w:rsid w:val="00F734E0"/>
    <w:rsid w:val="00F73516"/>
    <w:rsid w:val="00F73530"/>
    <w:rsid w:val="00F7353C"/>
    <w:rsid w:val="00F735BF"/>
    <w:rsid w:val="00F735DB"/>
    <w:rsid w:val="00F73628"/>
    <w:rsid w:val="00F736D5"/>
    <w:rsid w:val="00F736DD"/>
    <w:rsid w:val="00F73747"/>
    <w:rsid w:val="00F7376B"/>
    <w:rsid w:val="00F737FA"/>
    <w:rsid w:val="00F7386F"/>
    <w:rsid w:val="00F73873"/>
    <w:rsid w:val="00F738A5"/>
    <w:rsid w:val="00F738C7"/>
    <w:rsid w:val="00F7396B"/>
    <w:rsid w:val="00F73992"/>
    <w:rsid w:val="00F7399C"/>
    <w:rsid w:val="00F739B6"/>
    <w:rsid w:val="00F739D1"/>
    <w:rsid w:val="00F739E4"/>
    <w:rsid w:val="00F73AEF"/>
    <w:rsid w:val="00F73B79"/>
    <w:rsid w:val="00F73C6E"/>
    <w:rsid w:val="00F73D56"/>
    <w:rsid w:val="00F73DC4"/>
    <w:rsid w:val="00F73E32"/>
    <w:rsid w:val="00F73ED1"/>
    <w:rsid w:val="00F7400C"/>
    <w:rsid w:val="00F7404D"/>
    <w:rsid w:val="00F7416F"/>
    <w:rsid w:val="00F741D4"/>
    <w:rsid w:val="00F7422C"/>
    <w:rsid w:val="00F74241"/>
    <w:rsid w:val="00F742D7"/>
    <w:rsid w:val="00F742DD"/>
    <w:rsid w:val="00F742F2"/>
    <w:rsid w:val="00F74385"/>
    <w:rsid w:val="00F74483"/>
    <w:rsid w:val="00F744B9"/>
    <w:rsid w:val="00F744EC"/>
    <w:rsid w:val="00F7457F"/>
    <w:rsid w:val="00F74648"/>
    <w:rsid w:val="00F74668"/>
    <w:rsid w:val="00F747EF"/>
    <w:rsid w:val="00F74831"/>
    <w:rsid w:val="00F7489C"/>
    <w:rsid w:val="00F748A8"/>
    <w:rsid w:val="00F7496A"/>
    <w:rsid w:val="00F749A2"/>
    <w:rsid w:val="00F749F2"/>
    <w:rsid w:val="00F74A27"/>
    <w:rsid w:val="00F74A5F"/>
    <w:rsid w:val="00F74A6A"/>
    <w:rsid w:val="00F74A83"/>
    <w:rsid w:val="00F74AD4"/>
    <w:rsid w:val="00F74B38"/>
    <w:rsid w:val="00F74B57"/>
    <w:rsid w:val="00F74CF2"/>
    <w:rsid w:val="00F74D49"/>
    <w:rsid w:val="00F74D70"/>
    <w:rsid w:val="00F74E1C"/>
    <w:rsid w:val="00F74F03"/>
    <w:rsid w:val="00F74F86"/>
    <w:rsid w:val="00F74F97"/>
    <w:rsid w:val="00F750F6"/>
    <w:rsid w:val="00F7513A"/>
    <w:rsid w:val="00F751F8"/>
    <w:rsid w:val="00F75217"/>
    <w:rsid w:val="00F7530B"/>
    <w:rsid w:val="00F7542D"/>
    <w:rsid w:val="00F754C1"/>
    <w:rsid w:val="00F7552E"/>
    <w:rsid w:val="00F755A4"/>
    <w:rsid w:val="00F7562A"/>
    <w:rsid w:val="00F7563D"/>
    <w:rsid w:val="00F75641"/>
    <w:rsid w:val="00F7567F"/>
    <w:rsid w:val="00F7569F"/>
    <w:rsid w:val="00F7579B"/>
    <w:rsid w:val="00F757C7"/>
    <w:rsid w:val="00F757CC"/>
    <w:rsid w:val="00F75837"/>
    <w:rsid w:val="00F75965"/>
    <w:rsid w:val="00F75A29"/>
    <w:rsid w:val="00F75A38"/>
    <w:rsid w:val="00F75A8F"/>
    <w:rsid w:val="00F75A91"/>
    <w:rsid w:val="00F75B08"/>
    <w:rsid w:val="00F75B45"/>
    <w:rsid w:val="00F75BC9"/>
    <w:rsid w:val="00F75BEC"/>
    <w:rsid w:val="00F75C2B"/>
    <w:rsid w:val="00F75C88"/>
    <w:rsid w:val="00F75CBF"/>
    <w:rsid w:val="00F75D31"/>
    <w:rsid w:val="00F75DD3"/>
    <w:rsid w:val="00F75DDE"/>
    <w:rsid w:val="00F75DF2"/>
    <w:rsid w:val="00F75DF8"/>
    <w:rsid w:val="00F75E39"/>
    <w:rsid w:val="00F75E88"/>
    <w:rsid w:val="00F75EAE"/>
    <w:rsid w:val="00F75EE5"/>
    <w:rsid w:val="00F75F0B"/>
    <w:rsid w:val="00F75F14"/>
    <w:rsid w:val="00F75F18"/>
    <w:rsid w:val="00F75F37"/>
    <w:rsid w:val="00F75F81"/>
    <w:rsid w:val="00F75F9F"/>
    <w:rsid w:val="00F76044"/>
    <w:rsid w:val="00F76161"/>
    <w:rsid w:val="00F761CD"/>
    <w:rsid w:val="00F76207"/>
    <w:rsid w:val="00F762BB"/>
    <w:rsid w:val="00F76348"/>
    <w:rsid w:val="00F7640F"/>
    <w:rsid w:val="00F76498"/>
    <w:rsid w:val="00F76510"/>
    <w:rsid w:val="00F765E0"/>
    <w:rsid w:val="00F765EC"/>
    <w:rsid w:val="00F765F1"/>
    <w:rsid w:val="00F76617"/>
    <w:rsid w:val="00F76618"/>
    <w:rsid w:val="00F76646"/>
    <w:rsid w:val="00F76702"/>
    <w:rsid w:val="00F76712"/>
    <w:rsid w:val="00F767CA"/>
    <w:rsid w:val="00F7681B"/>
    <w:rsid w:val="00F76858"/>
    <w:rsid w:val="00F76862"/>
    <w:rsid w:val="00F768D0"/>
    <w:rsid w:val="00F7690C"/>
    <w:rsid w:val="00F769D4"/>
    <w:rsid w:val="00F76A17"/>
    <w:rsid w:val="00F76A93"/>
    <w:rsid w:val="00F76A9D"/>
    <w:rsid w:val="00F76AB7"/>
    <w:rsid w:val="00F76AD0"/>
    <w:rsid w:val="00F76AD5"/>
    <w:rsid w:val="00F76B5E"/>
    <w:rsid w:val="00F76B7B"/>
    <w:rsid w:val="00F76B81"/>
    <w:rsid w:val="00F76C2B"/>
    <w:rsid w:val="00F76C9F"/>
    <w:rsid w:val="00F76D15"/>
    <w:rsid w:val="00F76D37"/>
    <w:rsid w:val="00F76E7C"/>
    <w:rsid w:val="00F76EEB"/>
    <w:rsid w:val="00F77004"/>
    <w:rsid w:val="00F7701A"/>
    <w:rsid w:val="00F77072"/>
    <w:rsid w:val="00F770AA"/>
    <w:rsid w:val="00F770C0"/>
    <w:rsid w:val="00F77131"/>
    <w:rsid w:val="00F77155"/>
    <w:rsid w:val="00F77177"/>
    <w:rsid w:val="00F771B0"/>
    <w:rsid w:val="00F771B4"/>
    <w:rsid w:val="00F771BE"/>
    <w:rsid w:val="00F7721E"/>
    <w:rsid w:val="00F7725E"/>
    <w:rsid w:val="00F772B5"/>
    <w:rsid w:val="00F772E4"/>
    <w:rsid w:val="00F772EC"/>
    <w:rsid w:val="00F77303"/>
    <w:rsid w:val="00F77329"/>
    <w:rsid w:val="00F77372"/>
    <w:rsid w:val="00F773B0"/>
    <w:rsid w:val="00F773B3"/>
    <w:rsid w:val="00F7741B"/>
    <w:rsid w:val="00F77433"/>
    <w:rsid w:val="00F77471"/>
    <w:rsid w:val="00F77504"/>
    <w:rsid w:val="00F77526"/>
    <w:rsid w:val="00F77545"/>
    <w:rsid w:val="00F77590"/>
    <w:rsid w:val="00F775B8"/>
    <w:rsid w:val="00F775B9"/>
    <w:rsid w:val="00F77612"/>
    <w:rsid w:val="00F7770B"/>
    <w:rsid w:val="00F77878"/>
    <w:rsid w:val="00F778FF"/>
    <w:rsid w:val="00F77901"/>
    <w:rsid w:val="00F77928"/>
    <w:rsid w:val="00F779A0"/>
    <w:rsid w:val="00F779B9"/>
    <w:rsid w:val="00F779BC"/>
    <w:rsid w:val="00F77A53"/>
    <w:rsid w:val="00F77A57"/>
    <w:rsid w:val="00F77A6C"/>
    <w:rsid w:val="00F77A70"/>
    <w:rsid w:val="00F77B52"/>
    <w:rsid w:val="00F77B6A"/>
    <w:rsid w:val="00F77BFC"/>
    <w:rsid w:val="00F77BFD"/>
    <w:rsid w:val="00F77C02"/>
    <w:rsid w:val="00F77C14"/>
    <w:rsid w:val="00F77CC6"/>
    <w:rsid w:val="00F77D01"/>
    <w:rsid w:val="00F77D11"/>
    <w:rsid w:val="00F77D7D"/>
    <w:rsid w:val="00F77DD0"/>
    <w:rsid w:val="00F77E20"/>
    <w:rsid w:val="00F77EB2"/>
    <w:rsid w:val="00F77ED2"/>
    <w:rsid w:val="00F77ED5"/>
    <w:rsid w:val="00F77F19"/>
    <w:rsid w:val="00F77F21"/>
    <w:rsid w:val="00F77F5A"/>
    <w:rsid w:val="00F77F81"/>
    <w:rsid w:val="00F77FA2"/>
    <w:rsid w:val="00F77FCA"/>
    <w:rsid w:val="00F8000A"/>
    <w:rsid w:val="00F80051"/>
    <w:rsid w:val="00F8006A"/>
    <w:rsid w:val="00F800CC"/>
    <w:rsid w:val="00F800D6"/>
    <w:rsid w:val="00F80101"/>
    <w:rsid w:val="00F80125"/>
    <w:rsid w:val="00F8014B"/>
    <w:rsid w:val="00F801BE"/>
    <w:rsid w:val="00F801C2"/>
    <w:rsid w:val="00F801D4"/>
    <w:rsid w:val="00F801F1"/>
    <w:rsid w:val="00F801F6"/>
    <w:rsid w:val="00F80248"/>
    <w:rsid w:val="00F8027A"/>
    <w:rsid w:val="00F80300"/>
    <w:rsid w:val="00F8030F"/>
    <w:rsid w:val="00F80399"/>
    <w:rsid w:val="00F803B9"/>
    <w:rsid w:val="00F803D3"/>
    <w:rsid w:val="00F80421"/>
    <w:rsid w:val="00F80437"/>
    <w:rsid w:val="00F8046C"/>
    <w:rsid w:val="00F80476"/>
    <w:rsid w:val="00F80495"/>
    <w:rsid w:val="00F8054B"/>
    <w:rsid w:val="00F80575"/>
    <w:rsid w:val="00F80578"/>
    <w:rsid w:val="00F805E1"/>
    <w:rsid w:val="00F806E9"/>
    <w:rsid w:val="00F80803"/>
    <w:rsid w:val="00F80870"/>
    <w:rsid w:val="00F80883"/>
    <w:rsid w:val="00F808DF"/>
    <w:rsid w:val="00F808E0"/>
    <w:rsid w:val="00F808E9"/>
    <w:rsid w:val="00F80908"/>
    <w:rsid w:val="00F80924"/>
    <w:rsid w:val="00F809C3"/>
    <w:rsid w:val="00F809E7"/>
    <w:rsid w:val="00F809F3"/>
    <w:rsid w:val="00F80A1E"/>
    <w:rsid w:val="00F80A20"/>
    <w:rsid w:val="00F80A30"/>
    <w:rsid w:val="00F80A53"/>
    <w:rsid w:val="00F80B08"/>
    <w:rsid w:val="00F80B44"/>
    <w:rsid w:val="00F80C7B"/>
    <w:rsid w:val="00F80CA2"/>
    <w:rsid w:val="00F80CDC"/>
    <w:rsid w:val="00F80D2D"/>
    <w:rsid w:val="00F80D4A"/>
    <w:rsid w:val="00F80DB7"/>
    <w:rsid w:val="00F80EFC"/>
    <w:rsid w:val="00F80F0B"/>
    <w:rsid w:val="00F80F31"/>
    <w:rsid w:val="00F80F41"/>
    <w:rsid w:val="00F80F65"/>
    <w:rsid w:val="00F80FA2"/>
    <w:rsid w:val="00F80FEB"/>
    <w:rsid w:val="00F81073"/>
    <w:rsid w:val="00F810A5"/>
    <w:rsid w:val="00F81122"/>
    <w:rsid w:val="00F8120F"/>
    <w:rsid w:val="00F81212"/>
    <w:rsid w:val="00F812EA"/>
    <w:rsid w:val="00F81334"/>
    <w:rsid w:val="00F81340"/>
    <w:rsid w:val="00F81372"/>
    <w:rsid w:val="00F81424"/>
    <w:rsid w:val="00F81442"/>
    <w:rsid w:val="00F8147B"/>
    <w:rsid w:val="00F8149D"/>
    <w:rsid w:val="00F814E0"/>
    <w:rsid w:val="00F814F9"/>
    <w:rsid w:val="00F8152C"/>
    <w:rsid w:val="00F8164A"/>
    <w:rsid w:val="00F816F3"/>
    <w:rsid w:val="00F8171F"/>
    <w:rsid w:val="00F8175E"/>
    <w:rsid w:val="00F8184C"/>
    <w:rsid w:val="00F81957"/>
    <w:rsid w:val="00F819C4"/>
    <w:rsid w:val="00F819E9"/>
    <w:rsid w:val="00F81A2C"/>
    <w:rsid w:val="00F81A2E"/>
    <w:rsid w:val="00F81A39"/>
    <w:rsid w:val="00F81A52"/>
    <w:rsid w:val="00F81A53"/>
    <w:rsid w:val="00F81A69"/>
    <w:rsid w:val="00F81A7D"/>
    <w:rsid w:val="00F81AA5"/>
    <w:rsid w:val="00F81AEF"/>
    <w:rsid w:val="00F81B15"/>
    <w:rsid w:val="00F81B30"/>
    <w:rsid w:val="00F81B3E"/>
    <w:rsid w:val="00F81B4C"/>
    <w:rsid w:val="00F81B5D"/>
    <w:rsid w:val="00F81BD1"/>
    <w:rsid w:val="00F81C24"/>
    <w:rsid w:val="00F81CE3"/>
    <w:rsid w:val="00F81D5B"/>
    <w:rsid w:val="00F81EA7"/>
    <w:rsid w:val="00F81ED0"/>
    <w:rsid w:val="00F81F22"/>
    <w:rsid w:val="00F81F35"/>
    <w:rsid w:val="00F81F40"/>
    <w:rsid w:val="00F81F5C"/>
    <w:rsid w:val="00F81FC1"/>
    <w:rsid w:val="00F81FCE"/>
    <w:rsid w:val="00F81FD5"/>
    <w:rsid w:val="00F81FE2"/>
    <w:rsid w:val="00F82056"/>
    <w:rsid w:val="00F820BA"/>
    <w:rsid w:val="00F82112"/>
    <w:rsid w:val="00F82130"/>
    <w:rsid w:val="00F82133"/>
    <w:rsid w:val="00F82134"/>
    <w:rsid w:val="00F82143"/>
    <w:rsid w:val="00F82159"/>
    <w:rsid w:val="00F82198"/>
    <w:rsid w:val="00F821D8"/>
    <w:rsid w:val="00F8221C"/>
    <w:rsid w:val="00F82261"/>
    <w:rsid w:val="00F82269"/>
    <w:rsid w:val="00F82319"/>
    <w:rsid w:val="00F82326"/>
    <w:rsid w:val="00F82347"/>
    <w:rsid w:val="00F82360"/>
    <w:rsid w:val="00F82395"/>
    <w:rsid w:val="00F82417"/>
    <w:rsid w:val="00F8241E"/>
    <w:rsid w:val="00F82495"/>
    <w:rsid w:val="00F824C4"/>
    <w:rsid w:val="00F824F8"/>
    <w:rsid w:val="00F82548"/>
    <w:rsid w:val="00F8256C"/>
    <w:rsid w:val="00F826AF"/>
    <w:rsid w:val="00F826B1"/>
    <w:rsid w:val="00F82756"/>
    <w:rsid w:val="00F82761"/>
    <w:rsid w:val="00F827F4"/>
    <w:rsid w:val="00F8285B"/>
    <w:rsid w:val="00F82875"/>
    <w:rsid w:val="00F82882"/>
    <w:rsid w:val="00F828FE"/>
    <w:rsid w:val="00F8294D"/>
    <w:rsid w:val="00F8297E"/>
    <w:rsid w:val="00F82993"/>
    <w:rsid w:val="00F82994"/>
    <w:rsid w:val="00F829F4"/>
    <w:rsid w:val="00F82A82"/>
    <w:rsid w:val="00F82AA0"/>
    <w:rsid w:val="00F82AA4"/>
    <w:rsid w:val="00F82AD9"/>
    <w:rsid w:val="00F82B17"/>
    <w:rsid w:val="00F82B43"/>
    <w:rsid w:val="00F82B59"/>
    <w:rsid w:val="00F82BF9"/>
    <w:rsid w:val="00F82C2C"/>
    <w:rsid w:val="00F82C90"/>
    <w:rsid w:val="00F82C91"/>
    <w:rsid w:val="00F82CB3"/>
    <w:rsid w:val="00F82CB7"/>
    <w:rsid w:val="00F82CC4"/>
    <w:rsid w:val="00F82CFD"/>
    <w:rsid w:val="00F82D2C"/>
    <w:rsid w:val="00F82D46"/>
    <w:rsid w:val="00F82D7E"/>
    <w:rsid w:val="00F82E0C"/>
    <w:rsid w:val="00F82E9A"/>
    <w:rsid w:val="00F82EE6"/>
    <w:rsid w:val="00F82F05"/>
    <w:rsid w:val="00F82F23"/>
    <w:rsid w:val="00F82F5E"/>
    <w:rsid w:val="00F830BB"/>
    <w:rsid w:val="00F830D9"/>
    <w:rsid w:val="00F8314E"/>
    <w:rsid w:val="00F8315E"/>
    <w:rsid w:val="00F831AF"/>
    <w:rsid w:val="00F831B6"/>
    <w:rsid w:val="00F831DE"/>
    <w:rsid w:val="00F831EB"/>
    <w:rsid w:val="00F832D2"/>
    <w:rsid w:val="00F8352A"/>
    <w:rsid w:val="00F83533"/>
    <w:rsid w:val="00F8353A"/>
    <w:rsid w:val="00F83567"/>
    <w:rsid w:val="00F83578"/>
    <w:rsid w:val="00F835F0"/>
    <w:rsid w:val="00F835F4"/>
    <w:rsid w:val="00F836AC"/>
    <w:rsid w:val="00F836B5"/>
    <w:rsid w:val="00F8371B"/>
    <w:rsid w:val="00F83743"/>
    <w:rsid w:val="00F8374C"/>
    <w:rsid w:val="00F83769"/>
    <w:rsid w:val="00F83838"/>
    <w:rsid w:val="00F83858"/>
    <w:rsid w:val="00F8386D"/>
    <w:rsid w:val="00F83941"/>
    <w:rsid w:val="00F8395C"/>
    <w:rsid w:val="00F83992"/>
    <w:rsid w:val="00F83998"/>
    <w:rsid w:val="00F839E4"/>
    <w:rsid w:val="00F83A18"/>
    <w:rsid w:val="00F83ACC"/>
    <w:rsid w:val="00F83B0C"/>
    <w:rsid w:val="00F83B5F"/>
    <w:rsid w:val="00F83C06"/>
    <w:rsid w:val="00F83C63"/>
    <w:rsid w:val="00F83C8C"/>
    <w:rsid w:val="00F83CA0"/>
    <w:rsid w:val="00F83CB1"/>
    <w:rsid w:val="00F83DF0"/>
    <w:rsid w:val="00F83E8A"/>
    <w:rsid w:val="00F83EAE"/>
    <w:rsid w:val="00F83F93"/>
    <w:rsid w:val="00F83FCE"/>
    <w:rsid w:val="00F84023"/>
    <w:rsid w:val="00F8402F"/>
    <w:rsid w:val="00F8404D"/>
    <w:rsid w:val="00F84074"/>
    <w:rsid w:val="00F8407E"/>
    <w:rsid w:val="00F841BC"/>
    <w:rsid w:val="00F842CE"/>
    <w:rsid w:val="00F842D0"/>
    <w:rsid w:val="00F842E9"/>
    <w:rsid w:val="00F84307"/>
    <w:rsid w:val="00F84339"/>
    <w:rsid w:val="00F8435C"/>
    <w:rsid w:val="00F843A1"/>
    <w:rsid w:val="00F84405"/>
    <w:rsid w:val="00F84419"/>
    <w:rsid w:val="00F844A3"/>
    <w:rsid w:val="00F84576"/>
    <w:rsid w:val="00F8458C"/>
    <w:rsid w:val="00F845EE"/>
    <w:rsid w:val="00F84674"/>
    <w:rsid w:val="00F846E5"/>
    <w:rsid w:val="00F846EB"/>
    <w:rsid w:val="00F8475F"/>
    <w:rsid w:val="00F84761"/>
    <w:rsid w:val="00F84798"/>
    <w:rsid w:val="00F847C7"/>
    <w:rsid w:val="00F847D8"/>
    <w:rsid w:val="00F84806"/>
    <w:rsid w:val="00F8488D"/>
    <w:rsid w:val="00F84927"/>
    <w:rsid w:val="00F84950"/>
    <w:rsid w:val="00F84979"/>
    <w:rsid w:val="00F8497E"/>
    <w:rsid w:val="00F849BA"/>
    <w:rsid w:val="00F84A5C"/>
    <w:rsid w:val="00F84AD8"/>
    <w:rsid w:val="00F84AE5"/>
    <w:rsid w:val="00F84B10"/>
    <w:rsid w:val="00F84B45"/>
    <w:rsid w:val="00F84C0E"/>
    <w:rsid w:val="00F84C1C"/>
    <w:rsid w:val="00F84C5B"/>
    <w:rsid w:val="00F84C8C"/>
    <w:rsid w:val="00F84D05"/>
    <w:rsid w:val="00F84DD6"/>
    <w:rsid w:val="00F84E67"/>
    <w:rsid w:val="00F84EB2"/>
    <w:rsid w:val="00F84F40"/>
    <w:rsid w:val="00F84F6B"/>
    <w:rsid w:val="00F85062"/>
    <w:rsid w:val="00F85068"/>
    <w:rsid w:val="00F850A1"/>
    <w:rsid w:val="00F850DE"/>
    <w:rsid w:val="00F850E4"/>
    <w:rsid w:val="00F850F0"/>
    <w:rsid w:val="00F85117"/>
    <w:rsid w:val="00F85150"/>
    <w:rsid w:val="00F851AC"/>
    <w:rsid w:val="00F85228"/>
    <w:rsid w:val="00F8527A"/>
    <w:rsid w:val="00F853B7"/>
    <w:rsid w:val="00F8545B"/>
    <w:rsid w:val="00F855D8"/>
    <w:rsid w:val="00F85654"/>
    <w:rsid w:val="00F856E5"/>
    <w:rsid w:val="00F8578C"/>
    <w:rsid w:val="00F857B5"/>
    <w:rsid w:val="00F85874"/>
    <w:rsid w:val="00F858DA"/>
    <w:rsid w:val="00F85959"/>
    <w:rsid w:val="00F8595D"/>
    <w:rsid w:val="00F85982"/>
    <w:rsid w:val="00F85A17"/>
    <w:rsid w:val="00F85ADC"/>
    <w:rsid w:val="00F85AF6"/>
    <w:rsid w:val="00F85BB0"/>
    <w:rsid w:val="00F85BBB"/>
    <w:rsid w:val="00F85C17"/>
    <w:rsid w:val="00F85C52"/>
    <w:rsid w:val="00F85C81"/>
    <w:rsid w:val="00F85CC5"/>
    <w:rsid w:val="00F85D63"/>
    <w:rsid w:val="00F85E05"/>
    <w:rsid w:val="00F85E73"/>
    <w:rsid w:val="00F85E7D"/>
    <w:rsid w:val="00F85E87"/>
    <w:rsid w:val="00F85EE9"/>
    <w:rsid w:val="00F85EF2"/>
    <w:rsid w:val="00F85F52"/>
    <w:rsid w:val="00F85FA8"/>
    <w:rsid w:val="00F85FBA"/>
    <w:rsid w:val="00F86040"/>
    <w:rsid w:val="00F8607C"/>
    <w:rsid w:val="00F860D7"/>
    <w:rsid w:val="00F86162"/>
    <w:rsid w:val="00F861BE"/>
    <w:rsid w:val="00F861DF"/>
    <w:rsid w:val="00F862A7"/>
    <w:rsid w:val="00F862C0"/>
    <w:rsid w:val="00F8637D"/>
    <w:rsid w:val="00F86396"/>
    <w:rsid w:val="00F86414"/>
    <w:rsid w:val="00F86441"/>
    <w:rsid w:val="00F8657C"/>
    <w:rsid w:val="00F86586"/>
    <w:rsid w:val="00F86610"/>
    <w:rsid w:val="00F866B2"/>
    <w:rsid w:val="00F866EB"/>
    <w:rsid w:val="00F866FC"/>
    <w:rsid w:val="00F86715"/>
    <w:rsid w:val="00F86756"/>
    <w:rsid w:val="00F86795"/>
    <w:rsid w:val="00F867EF"/>
    <w:rsid w:val="00F86894"/>
    <w:rsid w:val="00F868C1"/>
    <w:rsid w:val="00F868F0"/>
    <w:rsid w:val="00F86932"/>
    <w:rsid w:val="00F86953"/>
    <w:rsid w:val="00F8699D"/>
    <w:rsid w:val="00F869BB"/>
    <w:rsid w:val="00F869C2"/>
    <w:rsid w:val="00F869C3"/>
    <w:rsid w:val="00F86A54"/>
    <w:rsid w:val="00F86A5B"/>
    <w:rsid w:val="00F86A5E"/>
    <w:rsid w:val="00F86B18"/>
    <w:rsid w:val="00F86B5A"/>
    <w:rsid w:val="00F86B61"/>
    <w:rsid w:val="00F86BBB"/>
    <w:rsid w:val="00F86C03"/>
    <w:rsid w:val="00F86C32"/>
    <w:rsid w:val="00F86D58"/>
    <w:rsid w:val="00F86D86"/>
    <w:rsid w:val="00F86D9F"/>
    <w:rsid w:val="00F86DE9"/>
    <w:rsid w:val="00F86EBF"/>
    <w:rsid w:val="00F86EE5"/>
    <w:rsid w:val="00F8704A"/>
    <w:rsid w:val="00F870B5"/>
    <w:rsid w:val="00F870C8"/>
    <w:rsid w:val="00F870E9"/>
    <w:rsid w:val="00F87239"/>
    <w:rsid w:val="00F872D0"/>
    <w:rsid w:val="00F87328"/>
    <w:rsid w:val="00F873C4"/>
    <w:rsid w:val="00F87400"/>
    <w:rsid w:val="00F87468"/>
    <w:rsid w:val="00F874C9"/>
    <w:rsid w:val="00F875AC"/>
    <w:rsid w:val="00F875DD"/>
    <w:rsid w:val="00F8769D"/>
    <w:rsid w:val="00F876C9"/>
    <w:rsid w:val="00F87791"/>
    <w:rsid w:val="00F8779A"/>
    <w:rsid w:val="00F877BA"/>
    <w:rsid w:val="00F8789A"/>
    <w:rsid w:val="00F87964"/>
    <w:rsid w:val="00F8799D"/>
    <w:rsid w:val="00F879F4"/>
    <w:rsid w:val="00F87A62"/>
    <w:rsid w:val="00F87A79"/>
    <w:rsid w:val="00F87A7A"/>
    <w:rsid w:val="00F87ABA"/>
    <w:rsid w:val="00F87ABB"/>
    <w:rsid w:val="00F87AD8"/>
    <w:rsid w:val="00F87B03"/>
    <w:rsid w:val="00F87B25"/>
    <w:rsid w:val="00F87B2D"/>
    <w:rsid w:val="00F87B3F"/>
    <w:rsid w:val="00F87B7F"/>
    <w:rsid w:val="00F87C18"/>
    <w:rsid w:val="00F87C66"/>
    <w:rsid w:val="00F87C94"/>
    <w:rsid w:val="00F87CAA"/>
    <w:rsid w:val="00F87CC2"/>
    <w:rsid w:val="00F87DB8"/>
    <w:rsid w:val="00F87E92"/>
    <w:rsid w:val="00F87F31"/>
    <w:rsid w:val="00F87F67"/>
    <w:rsid w:val="00F87F91"/>
    <w:rsid w:val="00F87FC9"/>
    <w:rsid w:val="00F90048"/>
    <w:rsid w:val="00F90064"/>
    <w:rsid w:val="00F900AB"/>
    <w:rsid w:val="00F9017B"/>
    <w:rsid w:val="00F90218"/>
    <w:rsid w:val="00F902A5"/>
    <w:rsid w:val="00F902D9"/>
    <w:rsid w:val="00F902ED"/>
    <w:rsid w:val="00F90314"/>
    <w:rsid w:val="00F9035B"/>
    <w:rsid w:val="00F90365"/>
    <w:rsid w:val="00F90398"/>
    <w:rsid w:val="00F903E8"/>
    <w:rsid w:val="00F9040F"/>
    <w:rsid w:val="00F904F5"/>
    <w:rsid w:val="00F90500"/>
    <w:rsid w:val="00F905BB"/>
    <w:rsid w:val="00F90670"/>
    <w:rsid w:val="00F9067D"/>
    <w:rsid w:val="00F906D6"/>
    <w:rsid w:val="00F906EA"/>
    <w:rsid w:val="00F9077B"/>
    <w:rsid w:val="00F90786"/>
    <w:rsid w:val="00F907DA"/>
    <w:rsid w:val="00F908BA"/>
    <w:rsid w:val="00F908E8"/>
    <w:rsid w:val="00F9090A"/>
    <w:rsid w:val="00F909E1"/>
    <w:rsid w:val="00F90B4B"/>
    <w:rsid w:val="00F90B5E"/>
    <w:rsid w:val="00F90B77"/>
    <w:rsid w:val="00F90B86"/>
    <w:rsid w:val="00F90BEA"/>
    <w:rsid w:val="00F90C72"/>
    <w:rsid w:val="00F90D00"/>
    <w:rsid w:val="00F90D33"/>
    <w:rsid w:val="00F90D56"/>
    <w:rsid w:val="00F90D70"/>
    <w:rsid w:val="00F90D7F"/>
    <w:rsid w:val="00F90D97"/>
    <w:rsid w:val="00F90D9E"/>
    <w:rsid w:val="00F90DAD"/>
    <w:rsid w:val="00F90DCF"/>
    <w:rsid w:val="00F90DDF"/>
    <w:rsid w:val="00F90E92"/>
    <w:rsid w:val="00F90E95"/>
    <w:rsid w:val="00F90EC4"/>
    <w:rsid w:val="00F90EDC"/>
    <w:rsid w:val="00F90EE7"/>
    <w:rsid w:val="00F90F19"/>
    <w:rsid w:val="00F90F6C"/>
    <w:rsid w:val="00F90F9C"/>
    <w:rsid w:val="00F90FC2"/>
    <w:rsid w:val="00F910C2"/>
    <w:rsid w:val="00F910C4"/>
    <w:rsid w:val="00F910C5"/>
    <w:rsid w:val="00F910DD"/>
    <w:rsid w:val="00F91100"/>
    <w:rsid w:val="00F91106"/>
    <w:rsid w:val="00F911C4"/>
    <w:rsid w:val="00F911E1"/>
    <w:rsid w:val="00F911F1"/>
    <w:rsid w:val="00F911FF"/>
    <w:rsid w:val="00F912A0"/>
    <w:rsid w:val="00F912AC"/>
    <w:rsid w:val="00F912B7"/>
    <w:rsid w:val="00F912F6"/>
    <w:rsid w:val="00F9132A"/>
    <w:rsid w:val="00F9142B"/>
    <w:rsid w:val="00F9142D"/>
    <w:rsid w:val="00F9144B"/>
    <w:rsid w:val="00F9146A"/>
    <w:rsid w:val="00F91523"/>
    <w:rsid w:val="00F91549"/>
    <w:rsid w:val="00F9154B"/>
    <w:rsid w:val="00F9157D"/>
    <w:rsid w:val="00F91624"/>
    <w:rsid w:val="00F91719"/>
    <w:rsid w:val="00F91777"/>
    <w:rsid w:val="00F917E8"/>
    <w:rsid w:val="00F918B6"/>
    <w:rsid w:val="00F9196A"/>
    <w:rsid w:val="00F91987"/>
    <w:rsid w:val="00F91988"/>
    <w:rsid w:val="00F919B6"/>
    <w:rsid w:val="00F91A0A"/>
    <w:rsid w:val="00F91A69"/>
    <w:rsid w:val="00F91AAC"/>
    <w:rsid w:val="00F91B11"/>
    <w:rsid w:val="00F91B1F"/>
    <w:rsid w:val="00F91B4D"/>
    <w:rsid w:val="00F91B86"/>
    <w:rsid w:val="00F91C05"/>
    <w:rsid w:val="00F91C36"/>
    <w:rsid w:val="00F91C74"/>
    <w:rsid w:val="00F91CAB"/>
    <w:rsid w:val="00F91CBB"/>
    <w:rsid w:val="00F91CD9"/>
    <w:rsid w:val="00F91D31"/>
    <w:rsid w:val="00F91D53"/>
    <w:rsid w:val="00F91D5F"/>
    <w:rsid w:val="00F91D93"/>
    <w:rsid w:val="00F91F29"/>
    <w:rsid w:val="00F91F32"/>
    <w:rsid w:val="00F91F8D"/>
    <w:rsid w:val="00F92032"/>
    <w:rsid w:val="00F920B1"/>
    <w:rsid w:val="00F920CC"/>
    <w:rsid w:val="00F920DF"/>
    <w:rsid w:val="00F92102"/>
    <w:rsid w:val="00F9210D"/>
    <w:rsid w:val="00F92122"/>
    <w:rsid w:val="00F92178"/>
    <w:rsid w:val="00F921DC"/>
    <w:rsid w:val="00F92279"/>
    <w:rsid w:val="00F92286"/>
    <w:rsid w:val="00F9228D"/>
    <w:rsid w:val="00F922C1"/>
    <w:rsid w:val="00F922E3"/>
    <w:rsid w:val="00F9236B"/>
    <w:rsid w:val="00F923D1"/>
    <w:rsid w:val="00F923F8"/>
    <w:rsid w:val="00F9242A"/>
    <w:rsid w:val="00F924D7"/>
    <w:rsid w:val="00F924E5"/>
    <w:rsid w:val="00F9256A"/>
    <w:rsid w:val="00F92599"/>
    <w:rsid w:val="00F925B8"/>
    <w:rsid w:val="00F925CB"/>
    <w:rsid w:val="00F925FC"/>
    <w:rsid w:val="00F926D4"/>
    <w:rsid w:val="00F926D7"/>
    <w:rsid w:val="00F9275F"/>
    <w:rsid w:val="00F92785"/>
    <w:rsid w:val="00F927A0"/>
    <w:rsid w:val="00F92838"/>
    <w:rsid w:val="00F9283B"/>
    <w:rsid w:val="00F92880"/>
    <w:rsid w:val="00F92914"/>
    <w:rsid w:val="00F9292F"/>
    <w:rsid w:val="00F9293C"/>
    <w:rsid w:val="00F929A2"/>
    <w:rsid w:val="00F92ABC"/>
    <w:rsid w:val="00F92ADA"/>
    <w:rsid w:val="00F92B9D"/>
    <w:rsid w:val="00F92BC6"/>
    <w:rsid w:val="00F92C7F"/>
    <w:rsid w:val="00F92D38"/>
    <w:rsid w:val="00F92D81"/>
    <w:rsid w:val="00F92DDB"/>
    <w:rsid w:val="00F92E73"/>
    <w:rsid w:val="00F92E78"/>
    <w:rsid w:val="00F92E85"/>
    <w:rsid w:val="00F92EDD"/>
    <w:rsid w:val="00F92EF7"/>
    <w:rsid w:val="00F92F37"/>
    <w:rsid w:val="00F92F45"/>
    <w:rsid w:val="00F92F75"/>
    <w:rsid w:val="00F92FF6"/>
    <w:rsid w:val="00F93040"/>
    <w:rsid w:val="00F9305D"/>
    <w:rsid w:val="00F9313B"/>
    <w:rsid w:val="00F9320E"/>
    <w:rsid w:val="00F9321E"/>
    <w:rsid w:val="00F932BE"/>
    <w:rsid w:val="00F93379"/>
    <w:rsid w:val="00F933CD"/>
    <w:rsid w:val="00F933F4"/>
    <w:rsid w:val="00F934BE"/>
    <w:rsid w:val="00F934D4"/>
    <w:rsid w:val="00F934E1"/>
    <w:rsid w:val="00F9371A"/>
    <w:rsid w:val="00F93737"/>
    <w:rsid w:val="00F93740"/>
    <w:rsid w:val="00F93747"/>
    <w:rsid w:val="00F93864"/>
    <w:rsid w:val="00F938E2"/>
    <w:rsid w:val="00F9393B"/>
    <w:rsid w:val="00F939A0"/>
    <w:rsid w:val="00F939A2"/>
    <w:rsid w:val="00F939D5"/>
    <w:rsid w:val="00F939FB"/>
    <w:rsid w:val="00F93A96"/>
    <w:rsid w:val="00F93AB4"/>
    <w:rsid w:val="00F93ADC"/>
    <w:rsid w:val="00F93B7F"/>
    <w:rsid w:val="00F93BB0"/>
    <w:rsid w:val="00F93BD1"/>
    <w:rsid w:val="00F93C33"/>
    <w:rsid w:val="00F93C86"/>
    <w:rsid w:val="00F93D5E"/>
    <w:rsid w:val="00F93DA9"/>
    <w:rsid w:val="00F93E2C"/>
    <w:rsid w:val="00F93E63"/>
    <w:rsid w:val="00F93E68"/>
    <w:rsid w:val="00F93EAD"/>
    <w:rsid w:val="00F93EFA"/>
    <w:rsid w:val="00F93F32"/>
    <w:rsid w:val="00F93F3B"/>
    <w:rsid w:val="00F93FC1"/>
    <w:rsid w:val="00F940F4"/>
    <w:rsid w:val="00F940FF"/>
    <w:rsid w:val="00F9430B"/>
    <w:rsid w:val="00F94318"/>
    <w:rsid w:val="00F943EC"/>
    <w:rsid w:val="00F94586"/>
    <w:rsid w:val="00F9460A"/>
    <w:rsid w:val="00F946A3"/>
    <w:rsid w:val="00F946F9"/>
    <w:rsid w:val="00F9475A"/>
    <w:rsid w:val="00F9479F"/>
    <w:rsid w:val="00F947CC"/>
    <w:rsid w:val="00F948B9"/>
    <w:rsid w:val="00F9491A"/>
    <w:rsid w:val="00F9491B"/>
    <w:rsid w:val="00F94926"/>
    <w:rsid w:val="00F94984"/>
    <w:rsid w:val="00F949D2"/>
    <w:rsid w:val="00F94A42"/>
    <w:rsid w:val="00F94A5A"/>
    <w:rsid w:val="00F94B00"/>
    <w:rsid w:val="00F94B25"/>
    <w:rsid w:val="00F94B2B"/>
    <w:rsid w:val="00F94B41"/>
    <w:rsid w:val="00F94B6F"/>
    <w:rsid w:val="00F94B8E"/>
    <w:rsid w:val="00F94B91"/>
    <w:rsid w:val="00F94BA2"/>
    <w:rsid w:val="00F94BEF"/>
    <w:rsid w:val="00F94D52"/>
    <w:rsid w:val="00F94D7B"/>
    <w:rsid w:val="00F94DD3"/>
    <w:rsid w:val="00F94E61"/>
    <w:rsid w:val="00F95001"/>
    <w:rsid w:val="00F95009"/>
    <w:rsid w:val="00F95011"/>
    <w:rsid w:val="00F9504C"/>
    <w:rsid w:val="00F95081"/>
    <w:rsid w:val="00F950FD"/>
    <w:rsid w:val="00F9512B"/>
    <w:rsid w:val="00F95195"/>
    <w:rsid w:val="00F9519F"/>
    <w:rsid w:val="00F952C2"/>
    <w:rsid w:val="00F952D2"/>
    <w:rsid w:val="00F95386"/>
    <w:rsid w:val="00F9539D"/>
    <w:rsid w:val="00F95429"/>
    <w:rsid w:val="00F95460"/>
    <w:rsid w:val="00F954A9"/>
    <w:rsid w:val="00F954EA"/>
    <w:rsid w:val="00F95508"/>
    <w:rsid w:val="00F9552E"/>
    <w:rsid w:val="00F95629"/>
    <w:rsid w:val="00F95674"/>
    <w:rsid w:val="00F956E5"/>
    <w:rsid w:val="00F9576E"/>
    <w:rsid w:val="00F95772"/>
    <w:rsid w:val="00F95824"/>
    <w:rsid w:val="00F958B1"/>
    <w:rsid w:val="00F95920"/>
    <w:rsid w:val="00F959F3"/>
    <w:rsid w:val="00F95A00"/>
    <w:rsid w:val="00F95A37"/>
    <w:rsid w:val="00F95AB6"/>
    <w:rsid w:val="00F95AD4"/>
    <w:rsid w:val="00F95AD6"/>
    <w:rsid w:val="00F95B01"/>
    <w:rsid w:val="00F95B51"/>
    <w:rsid w:val="00F95BB6"/>
    <w:rsid w:val="00F95C24"/>
    <w:rsid w:val="00F95C63"/>
    <w:rsid w:val="00F95C80"/>
    <w:rsid w:val="00F95C95"/>
    <w:rsid w:val="00F95D5E"/>
    <w:rsid w:val="00F95DC9"/>
    <w:rsid w:val="00F95E38"/>
    <w:rsid w:val="00F95E6C"/>
    <w:rsid w:val="00F95E76"/>
    <w:rsid w:val="00F95EAF"/>
    <w:rsid w:val="00F95ED2"/>
    <w:rsid w:val="00F9602E"/>
    <w:rsid w:val="00F96053"/>
    <w:rsid w:val="00F96157"/>
    <w:rsid w:val="00F96159"/>
    <w:rsid w:val="00F961A9"/>
    <w:rsid w:val="00F96201"/>
    <w:rsid w:val="00F962B7"/>
    <w:rsid w:val="00F962D8"/>
    <w:rsid w:val="00F96303"/>
    <w:rsid w:val="00F963F4"/>
    <w:rsid w:val="00F96400"/>
    <w:rsid w:val="00F96419"/>
    <w:rsid w:val="00F9648A"/>
    <w:rsid w:val="00F965C1"/>
    <w:rsid w:val="00F96620"/>
    <w:rsid w:val="00F96675"/>
    <w:rsid w:val="00F966EF"/>
    <w:rsid w:val="00F967BC"/>
    <w:rsid w:val="00F967E7"/>
    <w:rsid w:val="00F96927"/>
    <w:rsid w:val="00F969F3"/>
    <w:rsid w:val="00F96A5B"/>
    <w:rsid w:val="00F96A72"/>
    <w:rsid w:val="00F96AEF"/>
    <w:rsid w:val="00F96B0E"/>
    <w:rsid w:val="00F96B56"/>
    <w:rsid w:val="00F96B63"/>
    <w:rsid w:val="00F96B82"/>
    <w:rsid w:val="00F96B94"/>
    <w:rsid w:val="00F96C4B"/>
    <w:rsid w:val="00F96CE9"/>
    <w:rsid w:val="00F96D89"/>
    <w:rsid w:val="00F96DC0"/>
    <w:rsid w:val="00F96E0C"/>
    <w:rsid w:val="00F96E24"/>
    <w:rsid w:val="00F96EE7"/>
    <w:rsid w:val="00F96F47"/>
    <w:rsid w:val="00F96F75"/>
    <w:rsid w:val="00F96F95"/>
    <w:rsid w:val="00F97051"/>
    <w:rsid w:val="00F970E7"/>
    <w:rsid w:val="00F970EC"/>
    <w:rsid w:val="00F970F8"/>
    <w:rsid w:val="00F9718E"/>
    <w:rsid w:val="00F9724D"/>
    <w:rsid w:val="00F972AF"/>
    <w:rsid w:val="00F972CA"/>
    <w:rsid w:val="00F9737F"/>
    <w:rsid w:val="00F97399"/>
    <w:rsid w:val="00F973AD"/>
    <w:rsid w:val="00F973C7"/>
    <w:rsid w:val="00F973D3"/>
    <w:rsid w:val="00F973F5"/>
    <w:rsid w:val="00F97406"/>
    <w:rsid w:val="00F9741C"/>
    <w:rsid w:val="00F974A6"/>
    <w:rsid w:val="00F974B9"/>
    <w:rsid w:val="00F9751E"/>
    <w:rsid w:val="00F97534"/>
    <w:rsid w:val="00F97552"/>
    <w:rsid w:val="00F975CC"/>
    <w:rsid w:val="00F975F1"/>
    <w:rsid w:val="00F9768C"/>
    <w:rsid w:val="00F97691"/>
    <w:rsid w:val="00F976E4"/>
    <w:rsid w:val="00F97708"/>
    <w:rsid w:val="00F9770A"/>
    <w:rsid w:val="00F9774D"/>
    <w:rsid w:val="00F977D6"/>
    <w:rsid w:val="00F9784F"/>
    <w:rsid w:val="00F978BC"/>
    <w:rsid w:val="00F978E4"/>
    <w:rsid w:val="00F978FE"/>
    <w:rsid w:val="00F97952"/>
    <w:rsid w:val="00F979AA"/>
    <w:rsid w:val="00F979BE"/>
    <w:rsid w:val="00F97A45"/>
    <w:rsid w:val="00F97A7F"/>
    <w:rsid w:val="00F97AC6"/>
    <w:rsid w:val="00F97B33"/>
    <w:rsid w:val="00F97BD2"/>
    <w:rsid w:val="00F97CBC"/>
    <w:rsid w:val="00F97CBF"/>
    <w:rsid w:val="00F97D07"/>
    <w:rsid w:val="00F97D61"/>
    <w:rsid w:val="00F97DC9"/>
    <w:rsid w:val="00F97E58"/>
    <w:rsid w:val="00F97E96"/>
    <w:rsid w:val="00F97F6B"/>
    <w:rsid w:val="00FA0050"/>
    <w:rsid w:val="00FA0080"/>
    <w:rsid w:val="00FA01C7"/>
    <w:rsid w:val="00FA01F6"/>
    <w:rsid w:val="00FA0228"/>
    <w:rsid w:val="00FA025B"/>
    <w:rsid w:val="00FA02B7"/>
    <w:rsid w:val="00FA02D9"/>
    <w:rsid w:val="00FA02FE"/>
    <w:rsid w:val="00FA0312"/>
    <w:rsid w:val="00FA03AC"/>
    <w:rsid w:val="00FA03BD"/>
    <w:rsid w:val="00FA0464"/>
    <w:rsid w:val="00FA047A"/>
    <w:rsid w:val="00FA0498"/>
    <w:rsid w:val="00FA04AF"/>
    <w:rsid w:val="00FA04EC"/>
    <w:rsid w:val="00FA052E"/>
    <w:rsid w:val="00FA0574"/>
    <w:rsid w:val="00FA058C"/>
    <w:rsid w:val="00FA05C0"/>
    <w:rsid w:val="00FA05FC"/>
    <w:rsid w:val="00FA061A"/>
    <w:rsid w:val="00FA0631"/>
    <w:rsid w:val="00FA066C"/>
    <w:rsid w:val="00FA06E3"/>
    <w:rsid w:val="00FA072B"/>
    <w:rsid w:val="00FA0745"/>
    <w:rsid w:val="00FA07A9"/>
    <w:rsid w:val="00FA07DE"/>
    <w:rsid w:val="00FA080E"/>
    <w:rsid w:val="00FA081C"/>
    <w:rsid w:val="00FA08EE"/>
    <w:rsid w:val="00FA090F"/>
    <w:rsid w:val="00FA093A"/>
    <w:rsid w:val="00FA098A"/>
    <w:rsid w:val="00FA09B2"/>
    <w:rsid w:val="00FA09FA"/>
    <w:rsid w:val="00FA0A21"/>
    <w:rsid w:val="00FA0A2B"/>
    <w:rsid w:val="00FA0A9F"/>
    <w:rsid w:val="00FA0B31"/>
    <w:rsid w:val="00FA0B32"/>
    <w:rsid w:val="00FA0BAC"/>
    <w:rsid w:val="00FA0D6D"/>
    <w:rsid w:val="00FA0DAC"/>
    <w:rsid w:val="00FA0DF0"/>
    <w:rsid w:val="00FA0DF5"/>
    <w:rsid w:val="00FA0E4A"/>
    <w:rsid w:val="00FA0E7D"/>
    <w:rsid w:val="00FA0EA2"/>
    <w:rsid w:val="00FA0ED8"/>
    <w:rsid w:val="00FA0EF1"/>
    <w:rsid w:val="00FA0F0B"/>
    <w:rsid w:val="00FA0F40"/>
    <w:rsid w:val="00FA0FA8"/>
    <w:rsid w:val="00FA1041"/>
    <w:rsid w:val="00FA1059"/>
    <w:rsid w:val="00FA1172"/>
    <w:rsid w:val="00FA1245"/>
    <w:rsid w:val="00FA125F"/>
    <w:rsid w:val="00FA126A"/>
    <w:rsid w:val="00FA12D0"/>
    <w:rsid w:val="00FA133C"/>
    <w:rsid w:val="00FA13C6"/>
    <w:rsid w:val="00FA13D5"/>
    <w:rsid w:val="00FA13ED"/>
    <w:rsid w:val="00FA13FA"/>
    <w:rsid w:val="00FA1400"/>
    <w:rsid w:val="00FA1496"/>
    <w:rsid w:val="00FA1503"/>
    <w:rsid w:val="00FA1529"/>
    <w:rsid w:val="00FA157C"/>
    <w:rsid w:val="00FA15CC"/>
    <w:rsid w:val="00FA15E3"/>
    <w:rsid w:val="00FA15E7"/>
    <w:rsid w:val="00FA168A"/>
    <w:rsid w:val="00FA182C"/>
    <w:rsid w:val="00FA183A"/>
    <w:rsid w:val="00FA1921"/>
    <w:rsid w:val="00FA1970"/>
    <w:rsid w:val="00FA19C4"/>
    <w:rsid w:val="00FA1A0B"/>
    <w:rsid w:val="00FA1A1B"/>
    <w:rsid w:val="00FA1A4C"/>
    <w:rsid w:val="00FA1A51"/>
    <w:rsid w:val="00FA1ABB"/>
    <w:rsid w:val="00FA1B10"/>
    <w:rsid w:val="00FA1B51"/>
    <w:rsid w:val="00FA1C29"/>
    <w:rsid w:val="00FA1D84"/>
    <w:rsid w:val="00FA1E2B"/>
    <w:rsid w:val="00FA1E66"/>
    <w:rsid w:val="00FA1E77"/>
    <w:rsid w:val="00FA1EEA"/>
    <w:rsid w:val="00FA207E"/>
    <w:rsid w:val="00FA2091"/>
    <w:rsid w:val="00FA20D2"/>
    <w:rsid w:val="00FA20DF"/>
    <w:rsid w:val="00FA2143"/>
    <w:rsid w:val="00FA2190"/>
    <w:rsid w:val="00FA21AB"/>
    <w:rsid w:val="00FA228C"/>
    <w:rsid w:val="00FA229B"/>
    <w:rsid w:val="00FA22B8"/>
    <w:rsid w:val="00FA233F"/>
    <w:rsid w:val="00FA2368"/>
    <w:rsid w:val="00FA23F6"/>
    <w:rsid w:val="00FA2457"/>
    <w:rsid w:val="00FA2473"/>
    <w:rsid w:val="00FA247B"/>
    <w:rsid w:val="00FA24A4"/>
    <w:rsid w:val="00FA24A9"/>
    <w:rsid w:val="00FA253A"/>
    <w:rsid w:val="00FA25AB"/>
    <w:rsid w:val="00FA25EA"/>
    <w:rsid w:val="00FA2636"/>
    <w:rsid w:val="00FA269D"/>
    <w:rsid w:val="00FA26A1"/>
    <w:rsid w:val="00FA26AC"/>
    <w:rsid w:val="00FA26EB"/>
    <w:rsid w:val="00FA2773"/>
    <w:rsid w:val="00FA2800"/>
    <w:rsid w:val="00FA281A"/>
    <w:rsid w:val="00FA282D"/>
    <w:rsid w:val="00FA283C"/>
    <w:rsid w:val="00FA28D8"/>
    <w:rsid w:val="00FA291C"/>
    <w:rsid w:val="00FA2951"/>
    <w:rsid w:val="00FA29F5"/>
    <w:rsid w:val="00FA2A28"/>
    <w:rsid w:val="00FA2A98"/>
    <w:rsid w:val="00FA2AC8"/>
    <w:rsid w:val="00FA2AFF"/>
    <w:rsid w:val="00FA2B11"/>
    <w:rsid w:val="00FA2B55"/>
    <w:rsid w:val="00FA2B68"/>
    <w:rsid w:val="00FA2B69"/>
    <w:rsid w:val="00FA2C51"/>
    <w:rsid w:val="00FA2C54"/>
    <w:rsid w:val="00FA2D49"/>
    <w:rsid w:val="00FA2D7D"/>
    <w:rsid w:val="00FA2D9B"/>
    <w:rsid w:val="00FA2E60"/>
    <w:rsid w:val="00FA3003"/>
    <w:rsid w:val="00FA300B"/>
    <w:rsid w:val="00FA302F"/>
    <w:rsid w:val="00FA3078"/>
    <w:rsid w:val="00FA30AE"/>
    <w:rsid w:val="00FA314A"/>
    <w:rsid w:val="00FA3214"/>
    <w:rsid w:val="00FA32E8"/>
    <w:rsid w:val="00FA3342"/>
    <w:rsid w:val="00FA334D"/>
    <w:rsid w:val="00FA3382"/>
    <w:rsid w:val="00FA33AB"/>
    <w:rsid w:val="00FA33E6"/>
    <w:rsid w:val="00FA33FB"/>
    <w:rsid w:val="00FA3465"/>
    <w:rsid w:val="00FA347F"/>
    <w:rsid w:val="00FA34AC"/>
    <w:rsid w:val="00FA34E4"/>
    <w:rsid w:val="00FA353F"/>
    <w:rsid w:val="00FA355F"/>
    <w:rsid w:val="00FA35A6"/>
    <w:rsid w:val="00FA361F"/>
    <w:rsid w:val="00FA3630"/>
    <w:rsid w:val="00FA3671"/>
    <w:rsid w:val="00FA369F"/>
    <w:rsid w:val="00FA36EF"/>
    <w:rsid w:val="00FA3702"/>
    <w:rsid w:val="00FA3795"/>
    <w:rsid w:val="00FA3852"/>
    <w:rsid w:val="00FA386A"/>
    <w:rsid w:val="00FA387D"/>
    <w:rsid w:val="00FA3896"/>
    <w:rsid w:val="00FA3908"/>
    <w:rsid w:val="00FA390F"/>
    <w:rsid w:val="00FA392C"/>
    <w:rsid w:val="00FA3991"/>
    <w:rsid w:val="00FA3995"/>
    <w:rsid w:val="00FA3B36"/>
    <w:rsid w:val="00FA3B98"/>
    <w:rsid w:val="00FA3BCE"/>
    <w:rsid w:val="00FA3C9F"/>
    <w:rsid w:val="00FA3CDE"/>
    <w:rsid w:val="00FA3D2E"/>
    <w:rsid w:val="00FA3D85"/>
    <w:rsid w:val="00FA3E3E"/>
    <w:rsid w:val="00FA3E6C"/>
    <w:rsid w:val="00FA3E72"/>
    <w:rsid w:val="00FA3F5B"/>
    <w:rsid w:val="00FA3FCF"/>
    <w:rsid w:val="00FA4016"/>
    <w:rsid w:val="00FA405E"/>
    <w:rsid w:val="00FA407B"/>
    <w:rsid w:val="00FA408E"/>
    <w:rsid w:val="00FA4099"/>
    <w:rsid w:val="00FA4118"/>
    <w:rsid w:val="00FA41D1"/>
    <w:rsid w:val="00FA4230"/>
    <w:rsid w:val="00FA4324"/>
    <w:rsid w:val="00FA442C"/>
    <w:rsid w:val="00FA44B7"/>
    <w:rsid w:val="00FA44DA"/>
    <w:rsid w:val="00FA44E0"/>
    <w:rsid w:val="00FA4589"/>
    <w:rsid w:val="00FA4616"/>
    <w:rsid w:val="00FA4632"/>
    <w:rsid w:val="00FA46B2"/>
    <w:rsid w:val="00FA46C9"/>
    <w:rsid w:val="00FA46CA"/>
    <w:rsid w:val="00FA46CF"/>
    <w:rsid w:val="00FA46D8"/>
    <w:rsid w:val="00FA4712"/>
    <w:rsid w:val="00FA4812"/>
    <w:rsid w:val="00FA482D"/>
    <w:rsid w:val="00FA488C"/>
    <w:rsid w:val="00FA48B9"/>
    <w:rsid w:val="00FA4911"/>
    <w:rsid w:val="00FA4928"/>
    <w:rsid w:val="00FA4944"/>
    <w:rsid w:val="00FA49A5"/>
    <w:rsid w:val="00FA49FD"/>
    <w:rsid w:val="00FA4A28"/>
    <w:rsid w:val="00FA4AA2"/>
    <w:rsid w:val="00FA4ABC"/>
    <w:rsid w:val="00FA4B45"/>
    <w:rsid w:val="00FA4C49"/>
    <w:rsid w:val="00FA4D57"/>
    <w:rsid w:val="00FA4DB8"/>
    <w:rsid w:val="00FA4DD3"/>
    <w:rsid w:val="00FA4DEC"/>
    <w:rsid w:val="00FA4DFC"/>
    <w:rsid w:val="00FA4E32"/>
    <w:rsid w:val="00FA4E49"/>
    <w:rsid w:val="00FA4E4C"/>
    <w:rsid w:val="00FA4E4F"/>
    <w:rsid w:val="00FA4E58"/>
    <w:rsid w:val="00FA4E5A"/>
    <w:rsid w:val="00FA4E71"/>
    <w:rsid w:val="00FA4E89"/>
    <w:rsid w:val="00FA4E8F"/>
    <w:rsid w:val="00FA4EB8"/>
    <w:rsid w:val="00FA5072"/>
    <w:rsid w:val="00FA50B0"/>
    <w:rsid w:val="00FA50E2"/>
    <w:rsid w:val="00FA5123"/>
    <w:rsid w:val="00FA5197"/>
    <w:rsid w:val="00FA528E"/>
    <w:rsid w:val="00FA52C9"/>
    <w:rsid w:val="00FA536E"/>
    <w:rsid w:val="00FA5441"/>
    <w:rsid w:val="00FA551C"/>
    <w:rsid w:val="00FA5573"/>
    <w:rsid w:val="00FA5579"/>
    <w:rsid w:val="00FA55D1"/>
    <w:rsid w:val="00FA55D9"/>
    <w:rsid w:val="00FA5652"/>
    <w:rsid w:val="00FA5736"/>
    <w:rsid w:val="00FA5801"/>
    <w:rsid w:val="00FA581E"/>
    <w:rsid w:val="00FA5831"/>
    <w:rsid w:val="00FA58AF"/>
    <w:rsid w:val="00FA58C1"/>
    <w:rsid w:val="00FA59BE"/>
    <w:rsid w:val="00FA59F4"/>
    <w:rsid w:val="00FA59FF"/>
    <w:rsid w:val="00FA5A00"/>
    <w:rsid w:val="00FA5A11"/>
    <w:rsid w:val="00FA5A17"/>
    <w:rsid w:val="00FA5BDA"/>
    <w:rsid w:val="00FA5D0F"/>
    <w:rsid w:val="00FA5D94"/>
    <w:rsid w:val="00FA5E6A"/>
    <w:rsid w:val="00FA5F35"/>
    <w:rsid w:val="00FA5F4D"/>
    <w:rsid w:val="00FA5F5D"/>
    <w:rsid w:val="00FA5F5F"/>
    <w:rsid w:val="00FA5F93"/>
    <w:rsid w:val="00FA600E"/>
    <w:rsid w:val="00FA6064"/>
    <w:rsid w:val="00FA6090"/>
    <w:rsid w:val="00FA60DE"/>
    <w:rsid w:val="00FA614D"/>
    <w:rsid w:val="00FA6156"/>
    <w:rsid w:val="00FA61D2"/>
    <w:rsid w:val="00FA6219"/>
    <w:rsid w:val="00FA621C"/>
    <w:rsid w:val="00FA62D7"/>
    <w:rsid w:val="00FA636B"/>
    <w:rsid w:val="00FA6441"/>
    <w:rsid w:val="00FA647C"/>
    <w:rsid w:val="00FA64A5"/>
    <w:rsid w:val="00FA6550"/>
    <w:rsid w:val="00FA65F9"/>
    <w:rsid w:val="00FA6608"/>
    <w:rsid w:val="00FA6613"/>
    <w:rsid w:val="00FA668F"/>
    <w:rsid w:val="00FA66A5"/>
    <w:rsid w:val="00FA66CE"/>
    <w:rsid w:val="00FA680D"/>
    <w:rsid w:val="00FA682F"/>
    <w:rsid w:val="00FA6833"/>
    <w:rsid w:val="00FA68BF"/>
    <w:rsid w:val="00FA68E2"/>
    <w:rsid w:val="00FA697C"/>
    <w:rsid w:val="00FA69DC"/>
    <w:rsid w:val="00FA6AFE"/>
    <w:rsid w:val="00FA6B16"/>
    <w:rsid w:val="00FA6BED"/>
    <w:rsid w:val="00FA6C52"/>
    <w:rsid w:val="00FA6D39"/>
    <w:rsid w:val="00FA6D67"/>
    <w:rsid w:val="00FA6E13"/>
    <w:rsid w:val="00FA6E8F"/>
    <w:rsid w:val="00FA71DE"/>
    <w:rsid w:val="00FA7218"/>
    <w:rsid w:val="00FA7253"/>
    <w:rsid w:val="00FA7312"/>
    <w:rsid w:val="00FA7322"/>
    <w:rsid w:val="00FA7411"/>
    <w:rsid w:val="00FA7454"/>
    <w:rsid w:val="00FA74BB"/>
    <w:rsid w:val="00FA74C4"/>
    <w:rsid w:val="00FA74E4"/>
    <w:rsid w:val="00FA7527"/>
    <w:rsid w:val="00FA7666"/>
    <w:rsid w:val="00FA7691"/>
    <w:rsid w:val="00FA769D"/>
    <w:rsid w:val="00FA76C2"/>
    <w:rsid w:val="00FA76C5"/>
    <w:rsid w:val="00FA7810"/>
    <w:rsid w:val="00FA7821"/>
    <w:rsid w:val="00FA7836"/>
    <w:rsid w:val="00FA78C5"/>
    <w:rsid w:val="00FA78C7"/>
    <w:rsid w:val="00FA78E6"/>
    <w:rsid w:val="00FA78F7"/>
    <w:rsid w:val="00FA7902"/>
    <w:rsid w:val="00FA7A41"/>
    <w:rsid w:val="00FA7A53"/>
    <w:rsid w:val="00FA7AB0"/>
    <w:rsid w:val="00FA7B04"/>
    <w:rsid w:val="00FA7B3A"/>
    <w:rsid w:val="00FA7B59"/>
    <w:rsid w:val="00FA7B74"/>
    <w:rsid w:val="00FA7BB6"/>
    <w:rsid w:val="00FA7C0C"/>
    <w:rsid w:val="00FA7C72"/>
    <w:rsid w:val="00FA7C8F"/>
    <w:rsid w:val="00FA7CC1"/>
    <w:rsid w:val="00FA7D0F"/>
    <w:rsid w:val="00FA7D3E"/>
    <w:rsid w:val="00FA7D52"/>
    <w:rsid w:val="00FA7DBD"/>
    <w:rsid w:val="00FA7DF0"/>
    <w:rsid w:val="00FA7DF4"/>
    <w:rsid w:val="00FA7E70"/>
    <w:rsid w:val="00FA7ED8"/>
    <w:rsid w:val="00FA7F02"/>
    <w:rsid w:val="00FA7F7B"/>
    <w:rsid w:val="00FA7FB5"/>
    <w:rsid w:val="00FA7FC2"/>
    <w:rsid w:val="00FA7FDA"/>
    <w:rsid w:val="00FA7FFC"/>
    <w:rsid w:val="00FB0004"/>
    <w:rsid w:val="00FB0041"/>
    <w:rsid w:val="00FB014B"/>
    <w:rsid w:val="00FB01BE"/>
    <w:rsid w:val="00FB02A7"/>
    <w:rsid w:val="00FB02AD"/>
    <w:rsid w:val="00FB02C8"/>
    <w:rsid w:val="00FB02DA"/>
    <w:rsid w:val="00FB0365"/>
    <w:rsid w:val="00FB03EC"/>
    <w:rsid w:val="00FB0419"/>
    <w:rsid w:val="00FB04BB"/>
    <w:rsid w:val="00FB0539"/>
    <w:rsid w:val="00FB0542"/>
    <w:rsid w:val="00FB0548"/>
    <w:rsid w:val="00FB0587"/>
    <w:rsid w:val="00FB0618"/>
    <w:rsid w:val="00FB0633"/>
    <w:rsid w:val="00FB067C"/>
    <w:rsid w:val="00FB0700"/>
    <w:rsid w:val="00FB0712"/>
    <w:rsid w:val="00FB0715"/>
    <w:rsid w:val="00FB0775"/>
    <w:rsid w:val="00FB07D9"/>
    <w:rsid w:val="00FB07E2"/>
    <w:rsid w:val="00FB07E3"/>
    <w:rsid w:val="00FB07E9"/>
    <w:rsid w:val="00FB07F3"/>
    <w:rsid w:val="00FB07F9"/>
    <w:rsid w:val="00FB081F"/>
    <w:rsid w:val="00FB08CA"/>
    <w:rsid w:val="00FB091C"/>
    <w:rsid w:val="00FB099F"/>
    <w:rsid w:val="00FB0A25"/>
    <w:rsid w:val="00FB0A28"/>
    <w:rsid w:val="00FB0A98"/>
    <w:rsid w:val="00FB0B0C"/>
    <w:rsid w:val="00FB0B81"/>
    <w:rsid w:val="00FB0BA9"/>
    <w:rsid w:val="00FB0BC6"/>
    <w:rsid w:val="00FB0BEF"/>
    <w:rsid w:val="00FB0C09"/>
    <w:rsid w:val="00FB0C15"/>
    <w:rsid w:val="00FB0C23"/>
    <w:rsid w:val="00FB0C83"/>
    <w:rsid w:val="00FB0CB1"/>
    <w:rsid w:val="00FB0D0E"/>
    <w:rsid w:val="00FB0D2D"/>
    <w:rsid w:val="00FB0D99"/>
    <w:rsid w:val="00FB0DFD"/>
    <w:rsid w:val="00FB0E3C"/>
    <w:rsid w:val="00FB0EB9"/>
    <w:rsid w:val="00FB0EDC"/>
    <w:rsid w:val="00FB0F8C"/>
    <w:rsid w:val="00FB0FBE"/>
    <w:rsid w:val="00FB1047"/>
    <w:rsid w:val="00FB104E"/>
    <w:rsid w:val="00FB10A9"/>
    <w:rsid w:val="00FB10E6"/>
    <w:rsid w:val="00FB1148"/>
    <w:rsid w:val="00FB1270"/>
    <w:rsid w:val="00FB1297"/>
    <w:rsid w:val="00FB13D0"/>
    <w:rsid w:val="00FB140C"/>
    <w:rsid w:val="00FB1452"/>
    <w:rsid w:val="00FB1457"/>
    <w:rsid w:val="00FB14B9"/>
    <w:rsid w:val="00FB14CE"/>
    <w:rsid w:val="00FB150D"/>
    <w:rsid w:val="00FB1581"/>
    <w:rsid w:val="00FB166C"/>
    <w:rsid w:val="00FB169F"/>
    <w:rsid w:val="00FB16AD"/>
    <w:rsid w:val="00FB16C5"/>
    <w:rsid w:val="00FB16FD"/>
    <w:rsid w:val="00FB1700"/>
    <w:rsid w:val="00FB17BB"/>
    <w:rsid w:val="00FB1809"/>
    <w:rsid w:val="00FB1829"/>
    <w:rsid w:val="00FB186B"/>
    <w:rsid w:val="00FB18C8"/>
    <w:rsid w:val="00FB192F"/>
    <w:rsid w:val="00FB193C"/>
    <w:rsid w:val="00FB1946"/>
    <w:rsid w:val="00FB1956"/>
    <w:rsid w:val="00FB19A9"/>
    <w:rsid w:val="00FB19AF"/>
    <w:rsid w:val="00FB19C6"/>
    <w:rsid w:val="00FB19C8"/>
    <w:rsid w:val="00FB19CE"/>
    <w:rsid w:val="00FB1A00"/>
    <w:rsid w:val="00FB1A4B"/>
    <w:rsid w:val="00FB1A6F"/>
    <w:rsid w:val="00FB1B17"/>
    <w:rsid w:val="00FB1BAF"/>
    <w:rsid w:val="00FB1BEF"/>
    <w:rsid w:val="00FB1C01"/>
    <w:rsid w:val="00FB1C12"/>
    <w:rsid w:val="00FB1C7D"/>
    <w:rsid w:val="00FB1DB1"/>
    <w:rsid w:val="00FB1E91"/>
    <w:rsid w:val="00FB1F8F"/>
    <w:rsid w:val="00FB1FA8"/>
    <w:rsid w:val="00FB1FCA"/>
    <w:rsid w:val="00FB203E"/>
    <w:rsid w:val="00FB20EE"/>
    <w:rsid w:val="00FB20FE"/>
    <w:rsid w:val="00FB2155"/>
    <w:rsid w:val="00FB2180"/>
    <w:rsid w:val="00FB21DD"/>
    <w:rsid w:val="00FB2202"/>
    <w:rsid w:val="00FB2223"/>
    <w:rsid w:val="00FB224F"/>
    <w:rsid w:val="00FB22F8"/>
    <w:rsid w:val="00FB23A0"/>
    <w:rsid w:val="00FB2461"/>
    <w:rsid w:val="00FB24B9"/>
    <w:rsid w:val="00FB25F6"/>
    <w:rsid w:val="00FB26D5"/>
    <w:rsid w:val="00FB26D9"/>
    <w:rsid w:val="00FB26E7"/>
    <w:rsid w:val="00FB2708"/>
    <w:rsid w:val="00FB2746"/>
    <w:rsid w:val="00FB27B0"/>
    <w:rsid w:val="00FB27E5"/>
    <w:rsid w:val="00FB2869"/>
    <w:rsid w:val="00FB28BC"/>
    <w:rsid w:val="00FB28CA"/>
    <w:rsid w:val="00FB295E"/>
    <w:rsid w:val="00FB295F"/>
    <w:rsid w:val="00FB2AAC"/>
    <w:rsid w:val="00FB2B25"/>
    <w:rsid w:val="00FB2B48"/>
    <w:rsid w:val="00FB2B54"/>
    <w:rsid w:val="00FB2B5A"/>
    <w:rsid w:val="00FB2B70"/>
    <w:rsid w:val="00FB2B74"/>
    <w:rsid w:val="00FB2BF0"/>
    <w:rsid w:val="00FB2C2A"/>
    <w:rsid w:val="00FB2C48"/>
    <w:rsid w:val="00FB2C4E"/>
    <w:rsid w:val="00FB2D49"/>
    <w:rsid w:val="00FB2E40"/>
    <w:rsid w:val="00FB2E6B"/>
    <w:rsid w:val="00FB2ECA"/>
    <w:rsid w:val="00FB2F29"/>
    <w:rsid w:val="00FB2F99"/>
    <w:rsid w:val="00FB2FFB"/>
    <w:rsid w:val="00FB3042"/>
    <w:rsid w:val="00FB3063"/>
    <w:rsid w:val="00FB30B8"/>
    <w:rsid w:val="00FB315D"/>
    <w:rsid w:val="00FB315F"/>
    <w:rsid w:val="00FB31A8"/>
    <w:rsid w:val="00FB3203"/>
    <w:rsid w:val="00FB32A6"/>
    <w:rsid w:val="00FB32B9"/>
    <w:rsid w:val="00FB32C1"/>
    <w:rsid w:val="00FB3347"/>
    <w:rsid w:val="00FB337F"/>
    <w:rsid w:val="00FB33B8"/>
    <w:rsid w:val="00FB3470"/>
    <w:rsid w:val="00FB34C6"/>
    <w:rsid w:val="00FB34EC"/>
    <w:rsid w:val="00FB353C"/>
    <w:rsid w:val="00FB3599"/>
    <w:rsid w:val="00FB3618"/>
    <w:rsid w:val="00FB3637"/>
    <w:rsid w:val="00FB36D4"/>
    <w:rsid w:val="00FB3703"/>
    <w:rsid w:val="00FB3752"/>
    <w:rsid w:val="00FB37AA"/>
    <w:rsid w:val="00FB390F"/>
    <w:rsid w:val="00FB3A7E"/>
    <w:rsid w:val="00FB3A8D"/>
    <w:rsid w:val="00FB3A9C"/>
    <w:rsid w:val="00FB3ABD"/>
    <w:rsid w:val="00FB3ADA"/>
    <w:rsid w:val="00FB3B1B"/>
    <w:rsid w:val="00FB3B2E"/>
    <w:rsid w:val="00FB3B94"/>
    <w:rsid w:val="00FB3B95"/>
    <w:rsid w:val="00FB3BB0"/>
    <w:rsid w:val="00FB3BCC"/>
    <w:rsid w:val="00FB3C0A"/>
    <w:rsid w:val="00FB3CAC"/>
    <w:rsid w:val="00FB3CC5"/>
    <w:rsid w:val="00FB3CDF"/>
    <w:rsid w:val="00FB3D00"/>
    <w:rsid w:val="00FB3D34"/>
    <w:rsid w:val="00FB3D6D"/>
    <w:rsid w:val="00FB3D75"/>
    <w:rsid w:val="00FB3D92"/>
    <w:rsid w:val="00FB3DAE"/>
    <w:rsid w:val="00FB3DF0"/>
    <w:rsid w:val="00FB3E27"/>
    <w:rsid w:val="00FB3E2F"/>
    <w:rsid w:val="00FB3E36"/>
    <w:rsid w:val="00FB3E64"/>
    <w:rsid w:val="00FB3E6D"/>
    <w:rsid w:val="00FB3F10"/>
    <w:rsid w:val="00FB3F8A"/>
    <w:rsid w:val="00FB3F8C"/>
    <w:rsid w:val="00FB3FB4"/>
    <w:rsid w:val="00FB400D"/>
    <w:rsid w:val="00FB4013"/>
    <w:rsid w:val="00FB402D"/>
    <w:rsid w:val="00FB4045"/>
    <w:rsid w:val="00FB419E"/>
    <w:rsid w:val="00FB42AE"/>
    <w:rsid w:val="00FB432A"/>
    <w:rsid w:val="00FB4396"/>
    <w:rsid w:val="00FB4405"/>
    <w:rsid w:val="00FB4418"/>
    <w:rsid w:val="00FB4433"/>
    <w:rsid w:val="00FB4455"/>
    <w:rsid w:val="00FB4470"/>
    <w:rsid w:val="00FB4492"/>
    <w:rsid w:val="00FB4534"/>
    <w:rsid w:val="00FB456D"/>
    <w:rsid w:val="00FB4574"/>
    <w:rsid w:val="00FB4591"/>
    <w:rsid w:val="00FB45D8"/>
    <w:rsid w:val="00FB467C"/>
    <w:rsid w:val="00FB468D"/>
    <w:rsid w:val="00FB471C"/>
    <w:rsid w:val="00FB4720"/>
    <w:rsid w:val="00FB476F"/>
    <w:rsid w:val="00FB4841"/>
    <w:rsid w:val="00FB4858"/>
    <w:rsid w:val="00FB4880"/>
    <w:rsid w:val="00FB48C5"/>
    <w:rsid w:val="00FB48D8"/>
    <w:rsid w:val="00FB4906"/>
    <w:rsid w:val="00FB491C"/>
    <w:rsid w:val="00FB491D"/>
    <w:rsid w:val="00FB4930"/>
    <w:rsid w:val="00FB4945"/>
    <w:rsid w:val="00FB4950"/>
    <w:rsid w:val="00FB4994"/>
    <w:rsid w:val="00FB49EB"/>
    <w:rsid w:val="00FB4A14"/>
    <w:rsid w:val="00FB4A77"/>
    <w:rsid w:val="00FB4A8A"/>
    <w:rsid w:val="00FB4A9E"/>
    <w:rsid w:val="00FB4B14"/>
    <w:rsid w:val="00FB4B17"/>
    <w:rsid w:val="00FB4B92"/>
    <w:rsid w:val="00FB4BAE"/>
    <w:rsid w:val="00FB4BF2"/>
    <w:rsid w:val="00FB4CAD"/>
    <w:rsid w:val="00FB4D18"/>
    <w:rsid w:val="00FB4D20"/>
    <w:rsid w:val="00FB4DA1"/>
    <w:rsid w:val="00FB4DC7"/>
    <w:rsid w:val="00FB4E02"/>
    <w:rsid w:val="00FB4E84"/>
    <w:rsid w:val="00FB4EA1"/>
    <w:rsid w:val="00FB4EAB"/>
    <w:rsid w:val="00FB4EB2"/>
    <w:rsid w:val="00FB4EBB"/>
    <w:rsid w:val="00FB504B"/>
    <w:rsid w:val="00FB5091"/>
    <w:rsid w:val="00FB5094"/>
    <w:rsid w:val="00FB509B"/>
    <w:rsid w:val="00FB50A8"/>
    <w:rsid w:val="00FB50A9"/>
    <w:rsid w:val="00FB50F0"/>
    <w:rsid w:val="00FB5110"/>
    <w:rsid w:val="00FB5134"/>
    <w:rsid w:val="00FB51AF"/>
    <w:rsid w:val="00FB51BC"/>
    <w:rsid w:val="00FB521A"/>
    <w:rsid w:val="00FB52C0"/>
    <w:rsid w:val="00FB52F7"/>
    <w:rsid w:val="00FB5376"/>
    <w:rsid w:val="00FB537E"/>
    <w:rsid w:val="00FB537F"/>
    <w:rsid w:val="00FB5381"/>
    <w:rsid w:val="00FB53A8"/>
    <w:rsid w:val="00FB53C7"/>
    <w:rsid w:val="00FB542A"/>
    <w:rsid w:val="00FB542C"/>
    <w:rsid w:val="00FB546B"/>
    <w:rsid w:val="00FB54AE"/>
    <w:rsid w:val="00FB54BA"/>
    <w:rsid w:val="00FB54EF"/>
    <w:rsid w:val="00FB558E"/>
    <w:rsid w:val="00FB5651"/>
    <w:rsid w:val="00FB5664"/>
    <w:rsid w:val="00FB56B1"/>
    <w:rsid w:val="00FB56DF"/>
    <w:rsid w:val="00FB56E5"/>
    <w:rsid w:val="00FB570E"/>
    <w:rsid w:val="00FB5771"/>
    <w:rsid w:val="00FB57BA"/>
    <w:rsid w:val="00FB57FF"/>
    <w:rsid w:val="00FB5827"/>
    <w:rsid w:val="00FB58EE"/>
    <w:rsid w:val="00FB58F5"/>
    <w:rsid w:val="00FB5957"/>
    <w:rsid w:val="00FB59B4"/>
    <w:rsid w:val="00FB59C2"/>
    <w:rsid w:val="00FB59E9"/>
    <w:rsid w:val="00FB5BBF"/>
    <w:rsid w:val="00FB5BD1"/>
    <w:rsid w:val="00FB5CED"/>
    <w:rsid w:val="00FB5D47"/>
    <w:rsid w:val="00FB5D80"/>
    <w:rsid w:val="00FB5D9E"/>
    <w:rsid w:val="00FB5DBD"/>
    <w:rsid w:val="00FB5E33"/>
    <w:rsid w:val="00FB5E41"/>
    <w:rsid w:val="00FB5E4F"/>
    <w:rsid w:val="00FB5EC5"/>
    <w:rsid w:val="00FB5EFA"/>
    <w:rsid w:val="00FB5F2F"/>
    <w:rsid w:val="00FB5FFB"/>
    <w:rsid w:val="00FB6031"/>
    <w:rsid w:val="00FB6046"/>
    <w:rsid w:val="00FB6051"/>
    <w:rsid w:val="00FB60BD"/>
    <w:rsid w:val="00FB6139"/>
    <w:rsid w:val="00FB6157"/>
    <w:rsid w:val="00FB6186"/>
    <w:rsid w:val="00FB61A8"/>
    <w:rsid w:val="00FB61B6"/>
    <w:rsid w:val="00FB6226"/>
    <w:rsid w:val="00FB627B"/>
    <w:rsid w:val="00FB62AA"/>
    <w:rsid w:val="00FB62B3"/>
    <w:rsid w:val="00FB6300"/>
    <w:rsid w:val="00FB6318"/>
    <w:rsid w:val="00FB637E"/>
    <w:rsid w:val="00FB63AC"/>
    <w:rsid w:val="00FB6417"/>
    <w:rsid w:val="00FB644D"/>
    <w:rsid w:val="00FB645A"/>
    <w:rsid w:val="00FB64AA"/>
    <w:rsid w:val="00FB64AE"/>
    <w:rsid w:val="00FB6545"/>
    <w:rsid w:val="00FB65EF"/>
    <w:rsid w:val="00FB6659"/>
    <w:rsid w:val="00FB6766"/>
    <w:rsid w:val="00FB67B8"/>
    <w:rsid w:val="00FB6832"/>
    <w:rsid w:val="00FB6842"/>
    <w:rsid w:val="00FB687B"/>
    <w:rsid w:val="00FB6889"/>
    <w:rsid w:val="00FB6896"/>
    <w:rsid w:val="00FB6898"/>
    <w:rsid w:val="00FB6907"/>
    <w:rsid w:val="00FB69AC"/>
    <w:rsid w:val="00FB69F5"/>
    <w:rsid w:val="00FB6BD6"/>
    <w:rsid w:val="00FB6C1D"/>
    <w:rsid w:val="00FB6CFC"/>
    <w:rsid w:val="00FB6D93"/>
    <w:rsid w:val="00FB6DFF"/>
    <w:rsid w:val="00FB6E51"/>
    <w:rsid w:val="00FB6E5E"/>
    <w:rsid w:val="00FB6EB6"/>
    <w:rsid w:val="00FB6EE3"/>
    <w:rsid w:val="00FB6F2C"/>
    <w:rsid w:val="00FB6F53"/>
    <w:rsid w:val="00FB6F82"/>
    <w:rsid w:val="00FB6F9C"/>
    <w:rsid w:val="00FB701D"/>
    <w:rsid w:val="00FB701E"/>
    <w:rsid w:val="00FB7065"/>
    <w:rsid w:val="00FB7085"/>
    <w:rsid w:val="00FB715F"/>
    <w:rsid w:val="00FB7243"/>
    <w:rsid w:val="00FB7263"/>
    <w:rsid w:val="00FB730F"/>
    <w:rsid w:val="00FB7426"/>
    <w:rsid w:val="00FB7457"/>
    <w:rsid w:val="00FB74E4"/>
    <w:rsid w:val="00FB74F1"/>
    <w:rsid w:val="00FB754C"/>
    <w:rsid w:val="00FB763E"/>
    <w:rsid w:val="00FB7682"/>
    <w:rsid w:val="00FB76DD"/>
    <w:rsid w:val="00FB76EF"/>
    <w:rsid w:val="00FB76F2"/>
    <w:rsid w:val="00FB778D"/>
    <w:rsid w:val="00FB77F5"/>
    <w:rsid w:val="00FB781F"/>
    <w:rsid w:val="00FB7876"/>
    <w:rsid w:val="00FB7A01"/>
    <w:rsid w:val="00FB7A36"/>
    <w:rsid w:val="00FB7A90"/>
    <w:rsid w:val="00FB7AB9"/>
    <w:rsid w:val="00FB7AF1"/>
    <w:rsid w:val="00FB7B3E"/>
    <w:rsid w:val="00FB7BDF"/>
    <w:rsid w:val="00FB7D89"/>
    <w:rsid w:val="00FB7E62"/>
    <w:rsid w:val="00FB7F03"/>
    <w:rsid w:val="00FB7F69"/>
    <w:rsid w:val="00FB7FAB"/>
    <w:rsid w:val="00FC0092"/>
    <w:rsid w:val="00FC00B9"/>
    <w:rsid w:val="00FC00D4"/>
    <w:rsid w:val="00FC00DF"/>
    <w:rsid w:val="00FC01C8"/>
    <w:rsid w:val="00FC02AE"/>
    <w:rsid w:val="00FC02C3"/>
    <w:rsid w:val="00FC02D6"/>
    <w:rsid w:val="00FC043F"/>
    <w:rsid w:val="00FC0549"/>
    <w:rsid w:val="00FC0658"/>
    <w:rsid w:val="00FC0659"/>
    <w:rsid w:val="00FC069E"/>
    <w:rsid w:val="00FC06E9"/>
    <w:rsid w:val="00FC0725"/>
    <w:rsid w:val="00FC07DA"/>
    <w:rsid w:val="00FC0802"/>
    <w:rsid w:val="00FC0855"/>
    <w:rsid w:val="00FC08AF"/>
    <w:rsid w:val="00FC08C4"/>
    <w:rsid w:val="00FC0934"/>
    <w:rsid w:val="00FC093D"/>
    <w:rsid w:val="00FC09D8"/>
    <w:rsid w:val="00FC09F0"/>
    <w:rsid w:val="00FC0A12"/>
    <w:rsid w:val="00FC0A17"/>
    <w:rsid w:val="00FC0A45"/>
    <w:rsid w:val="00FC0A65"/>
    <w:rsid w:val="00FC0A68"/>
    <w:rsid w:val="00FC0B22"/>
    <w:rsid w:val="00FC0B4D"/>
    <w:rsid w:val="00FC0BE5"/>
    <w:rsid w:val="00FC0BF1"/>
    <w:rsid w:val="00FC0C15"/>
    <w:rsid w:val="00FC0C38"/>
    <w:rsid w:val="00FC0C59"/>
    <w:rsid w:val="00FC0C6C"/>
    <w:rsid w:val="00FC0C7B"/>
    <w:rsid w:val="00FC0DE8"/>
    <w:rsid w:val="00FC0EE0"/>
    <w:rsid w:val="00FC0F08"/>
    <w:rsid w:val="00FC0F17"/>
    <w:rsid w:val="00FC0F44"/>
    <w:rsid w:val="00FC0F57"/>
    <w:rsid w:val="00FC0F61"/>
    <w:rsid w:val="00FC0FA6"/>
    <w:rsid w:val="00FC108B"/>
    <w:rsid w:val="00FC113D"/>
    <w:rsid w:val="00FC1187"/>
    <w:rsid w:val="00FC119C"/>
    <w:rsid w:val="00FC120B"/>
    <w:rsid w:val="00FC127D"/>
    <w:rsid w:val="00FC1293"/>
    <w:rsid w:val="00FC12A4"/>
    <w:rsid w:val="00FC12A8"/>
    <w:rsid w:val="00FC139A"/>
    <w:rsid w:val="00FC13DE"/>
    <w:rsid w:val="00FC13EB"/>
    <w:rsid w:val="00FC14A0"/>
    <w:rsid w:val="00FC14A5"/>
    <w:rsid w:val="00FC14B2"/>
    <w:rsid w:val="00FC1525"/>
    <w:rsid w:val="00FC1598"/>
    <w:rsid w:val="00FC15B8"/>
    <w:rsid w:val="00FC1606"/>
    <w:rsid w:val="00FC164C"/>
    <w:rsid w:val="00FC165B"/>
    <w:rsid w:val="00FC16B4"/>
    <w:rsid w:val="00FC16B6"/>
    <w:rsid w:val="00FC16E9"/>
    <w:rsid w:val="00FC1786"/>
    <w:rsid w:val="00FC1794"/>
    <w:rsid w:val="00FC1926"/>
    <w:rsid w:val="00FC19CB"/>
    <w:rsid w:val="00FC19D9"/>
    <w:rsid w:val="00FC1A1D"/>
    <w:rsid w:val="00FC1A4B"/>
    <w:rsid w:val="00FC1A9E"/>
    <w:rsid w:val="00FC1AB2"/>
    <w:rsid w:val="00FC1B6F"/>
    <w:rsid w:val="00FC1B77"/>
    <w:rsid w:val="00FC1B86"/>
    <w:rsid w:val="00FC1B8F"/>
    <w:rsid w:val="00FC1C59"/>
    <w:rsid w:val="00FC1C5B"/>
    <w:rsid w:val="00FC1CCD"/>
    <w:rsid w:val="00FC1D6B"/>
    <w:rsid w:val="00FC1E1A"/>
    <w:rsid w:val="00FC1E4D"/>
    <w:rsid w:val="00FC1EC3"/>
    <w:rsid w:val="00FC1EFB"/>
    <w:rsid w:val="00FC1F00"/>
    <w:rsid w:val="00FC1F3F"/>
    <w:rsid w:val="00FC1FDF"/>
    <w:rsid w:val="00FC2032"/>
    <w:rsid w:val="00FC209B"/>
    <w:rsid w:val="00FC20F1"/>
    <w:rsid w:val="00FC213F"/>
    <w:rsid w:val="00FC2214"/>
    <w:rsid w:val="00FC2276"/>
    <w:rsid w:val="00FC227A"/>
    <w:rsid w:val="00FC22A3"/>
    <w:rsid w:val="00FC22F9"/>
    <w:rsid w:val="00FC235B"/>
    <w:rsid w:val="00FC2369"/>
    <w:rsid w:val="00FC23A9"/>
    <w:rsid w:val="00FC23F5"/>
    <w:rsid w:val="00FC23F7"/>
    <w:rsid w:val="00FC245A"/>
    <w:rsid w:val="00FC2487"/>
    <w:rsid w:val="00FC24FE"/>
    <w:rsid w:val="00FC2585"/>
    <w:rsid w:val="00FC25E6"/>
    <w:rsid w:val="00FC25F4"/>
    <w:rsid w:val="00FC261A"/>
    <w:rsid w:val="00FC276F"/>
    <w:rsid w:val="00FC278B"/>
    <w:rsid w:val="00FC27A8"/>
    <w:rsid w:val="00FC282B"/>
    <w:rsid w:val="00FC2846"/>
    <w:rsid w:val="00FC2873"/>
    <w:rsid w:val="00FC28CC"/>
    <w:rsid w:val="00FC2912"/>
    <w:rsid w:val="00FC293A"/>
    <w:rsid w:val="00FC29D6"/>
    <w:rsid w:val="00FC29DE"/>
    <w:rsid w:val="00FC2A08"/>
    <w:rsid w:val="00FC2A16"/>
    <w:rsid w:val="00FC2A19"/>
    <w:rsid w:val="00FC2A40"/>
    <w:rsid w:val="00FC2A4D"/>
    <w:rsid w:val="00FC2A8C"/>
    <w:rsid w:val="00FC2A91"/>
    <w:rsid w:val="00FC2AA1"/>
    <w:rsid w:val="00FC2DB8"/>
    <w:rsid w:val="00FC2E48"/>
    <w:rsid w:val="00FC2E90"/>
    <w:rsid w:val="00FC2ECE"/>
    <w:rsid w:val="00FC2F5D"/>
    <w:rsid w:val="00FC2F65"/>
    <w:rsid w:val="00FC2FC4"/>
    <w:rsid w:val="00FC2FF8"/>
    <w:rsid w:val="00FC301A"/>
    <w:rsid w:val="00FC3049"/>
    <w:rsid w:val="00FC3065"/>
    <w:rsid w:val="00FC30C7"/>
    <w:rsid w:val="00FC30F5"/>
    <w:rsid w:val="00FC3129"/>
    <w:rsid w:val="00FC31D6"/>
    <w:rsid w:val="00FC323C"/>
    <w:rsid w:val="00FC324F"/>
    <w:rsid w:val="00FC328D"/>
    <w:rsid w:val="00FC32A7"/>
    <w:rsid w:val="00FC32C5"/>
    <w:rsid w:val="00FC338E"/>
    <w:rsid w:val="00FC33AC"/>
    <w:rsid w:val="00FC33E2"/>
    <w:rsid w:val="00FC34A7"/>
    <w:rsid w:val="00FC34A9"/>
    <w:rsid w:val="00FC34CE"/>
    <w:rsid w:val="00FC3502"/>
    <w:rsid w:val="00FC350A"/>
    <w:rsid w:val="00FC3551"/>
    <w:rsid w:val="00FC35C3"/>
    <w:rsid w:val="00FC35DE"/>
    <w:rsid w:val="00FC3608"/>
    <w:rsid w:val="00FC360B"/>
    <w:rsid w:val="00FC3668"/>
    <w:rsid w:val="00FC3680"/>
    <w:rsid w:val="00FC3692"/>
    <w:rsid w:val="00FC36F7"/>
    <w:rsid w:val="00FC371C"/>
    <w:rsid w:val="00FC384D"/>
    <w:rsid w:val="00FC389E"/>
    <w:rsid w:val="00FC38A9"/>
    <w:rsid w:val="00FC38E7"/>
    <w:rsid w:val="00FC399C"/>
    <w:rsid w:val="00FC39AE"/>
    <w:rsid w:val="00FC39D0"/>
    <w:rsid w:val="00FC3A04"/>
    <w:rsid w:val="00FC3A2C"/>
    <w:rsid w:val="00FC3AB1"/>
    <w:rsid w:val="00FC3AEF"/>
    <w:rsid w:val="00FC3B67"/>
    <w:rsid w:val="00FC3B68"/>
    <w:rsid w:val="00FC3B7E"/>
    <w:rsid w:val="00FC3BB8"/>
    <w:rsid w:val="00FC3BBE"/>
    <w:rsid w:val="00FC3BEA"/>
    <w:rsid w:val="00FC3C3B"/>
    <w:rsid w:val="00FC3C59"/>
    <w:rsid w:val="00FC3CA9"/>
    <w:rsid w:val="00FC3D01"/>
    <w:rsid w:val="00FC3D15"/>
    <w:rsid w:val="00FC3D1D"/>
    <w:rsid w:val="00FC3D2D"/>
    <w:rsid w:val="00FC3DEA"/>
    <w:rsid w:val="00FC3E0D"/>
    <w:rsid w:val="00FC3E63"/>
    <w:rsid w:val="00FC3E83"/>
    <w:rsid w:val="00FC3F48"/>
    <w:rsid w:val="00FC3F64"/>
    <w:rsid w:val="00FC3F73"/>
    <w:rsid w:val="00FC3F9B"/>
    <w:rsid w:val="00FC4044"/>
    <w:rsid w:val="00FC408E"/>
    <w:rsid w:val="00FC408F"/>
    <w:rsid w:val="00FC4123"/>
    <w:rsid w:val="00FC4142"/>
    <w:rsid w:val="00FC41D9"/>
    <w:rsid w:val="00FC41ED"/>
    <w:rsid w:val="00FC4284"/>
    <w:rsid w:val="00FC433F"/>
    <w:rsid w:val="00FC4383"/>
    <w:rsid w:val="00FC43B5"/>
    <w:rsid w:val="00FC43FD"/>
    <w:rsid w:val="00FC442A"/>
    <w:rsid w:val="00FC446D"/>
    <w:rsid w:val="00FC44BC"/>
    <w:rsid w:val="00FC4570"/>
    <w:rsid w:val="00FC460F"/>
    <w:rsid w:val="00FC4659"/>
    <w:rsid w:val="00FC46A7"/>
    <w:rsid w:val="00FC46F2"/>
    <w:rsid w:val="00FC4797"/>
    <w:rsid w:val="00FC47A6"/>
    <w:rsid w:val="00FC481E"/>
    <w:rsid w:val="00FC4965"/>
    <w:rsid w:val="00FC497F"/>
    <w:rsid w:val="00FC49DE"/>
    <w:rsid w:val="00FC4A12"/>
    <w:rsid w:val="00FC4A52"/>
    <w:rsid w:val="00FC4B1A"/>
    <w:rsid w:val="00FC4B57"/>
    <w:rsid w:val="00FC4B71"/>
    <w:rsid w:val="00FC4B74"/>
    <w:rsid w:val="00FC4B87"/>
    <w:rsid w:val="00FC4B94"/>
    <w:rsid w:val="00FC4BA8"/>
    <w:rsid w:val="00FC4BBC"/>
    <w:rsid w:val="00FC4BC0"/>
    <w:rsid w:val="00FC4C0F"/>
    <w:rsid w:val="00FC4C53"/>
    <w:rsid w:val="00FC4C5F"/>
    <w:rsid w:val="00FC4CC2"/>
    <w:rsid w:val="00FC4D19"/>
    <w:rsid w:val="00FC4D24"/>
    <w:rsid w:val="00FC4D67"/>
    <w:rsid w:val="00FC4E47"/>
    <w:rsid w:val="00FC4E9B"/>
    <w:rsid w:val="00FC4EC8"/>
    <w:rsid w:val="00FC4F13"/>
    <w:rsid w:val="00FC4F1A"/>
    <w:rsid w:val="00FC4F27"/>
    <w:rsid w:val="00FC4F61"/>
    <w:rsid w:val="00FC505D"/>
    <w:rsid w:val="00FC5103"/>
    <w:rsid w:val="00FC51C6"/>
    <w:rsid w:val="00FC5229"/>
    <w:rsid w:val="00FC522E"/>
    <w:rsid w:val="00FC5296"/>
    <w:rsid w:val="00FC52C0"/>
    <w:rsid w:val="00FC5322"/>
    <w:rsid w:val="00FC53E2"/>
    <w:rsid w:val="00FC540F"/>
    <w:rsid w:val="00FC545F"/>
    <w:rsid w:val="00FC548A"/>
    <w:rsid w:val="00FC54E4"/>
    <w:rsid w:val="00FC5576"/>
    <w:rsid w:val="00FC5588"/>
    <w:rsid w:val="00FC55B2"/>
    <w:rsid w:val="00FC55F8"/>
    <w:rsid w:val="00FC561C"/>
    <w:rsid w:val="00FC5660"/>
    <w:rsid w:val="00FC5701"/>
    <w:rsid w:val="00FC5702"/>
    <w:rsid w:val="00FC573E"/>
    <w:rsid w:val="00FC575F"/>
    <w:rsid w:val="00FC57DC"/>
    <w:rsid w:val="00FC585F"/>
    <w:rsid w:val="00FC58C9"/>
    <w:rsid w:val="00FC58FB"/>
    <w:rsid w:val="00FC5933"/>
    <w:rsid w:val="00FC59F6"/>
    <w:rsid w:val="00FC5A16"/>
    <w:rsid w:val="00FC5A8A"/>
    <w:rsid w:val="00FC5AC6"/>
    <w:rsid w:val="00FC5BC4"/>
    <w:rsid w:val="00FC5C3C"/>
    <w:rsid w:val="00FC5D22"/>
    <w:rsid w:val="00FC5DFC"/>
    <w:rsid w:val="00FC5E24"/>
    <w:rsid w:val="00FC5EBD"/>
    <w:rsid w:val="00FC5ED0"/>
    <w:rsid w:val="00FC5EDB"/>
    <w:rsid w:val="00FC5F15"/>
    <w:rsid w:val="00FC5F27"/>
    <w:rsid w:val="00FC5F92"/>
    <w:rsid w:val="00FC5FCC"/>
    <w:rsid w:val="00FC5FCD"/>
    <w:rsid w:val="00FC6003"/>
    <w:rsid w:val="00FC6049"/>
    <w:rsid w:val="00FC605B"/>
    <w:rsid w:val="00FC6083"/>
    <w:rsid w:val="00FC60AB"/>
    <w:rsid w:val="00FC60C3"/>
    <w:rsid w:val="00FC6110"/>
    <w:rsid w:val="00FC61AC"/>
    <w:rsid w:val="00FC61FA"/>
    <w:rsid w:val="00FC62C6"/>
    <w:rsid w:val="00FC62C9"/>
    <w:rsid w:val="00FC6306"/>
    <w:rsid w:val="00FC63F8"/>
    <w:rsid w:val="00FC6420"/>
    <w:rsid w:val="00FC646C"/>
    <w:rsid w:val="00FC64BC"/>
    <w:rsid w:val="00FC6502"/>
    <w:rsid w:val="00FC6517"/>
    <w:rsid w:val="00FC65A4"/>
    <w:rsid w:val="00FC65C8"/>
    <w:rsid w:val="00FC66D5"/>
    <w:rsid w:val="00FC6734"/>
    <w:rsid w:val="00FC6750"/>
    <w:rsid w:val="00FC676B"/>
    <w:rsid w:val="00FC67FD"/>
    <w:rsid w:val="00FC6803"/>
    <w:rsid w:val="00FC6823"/>
    <w:rsid w:val="00FC69AE"/>
    <w:rsid w:val="00FC69DD"/>
    <w:rsid w:val="00FC69E4"/>
    <w:rsid w:val="00FC6A83"/>
    <w:rsid w:val="00FC6ADA"/>
    <w:rsid w:val="00FC6B0F"/>
    <w:rsid w:val="00FC6B1F"/>
    <w:rsid w:val="00FC6BF4"/>
    <w:rsid w:val="00FC6D97"/>
    <w:rsid w:val="00FC6D99"/>
    <w:rsid w:val="00FC6D9D"/>
    <w:rsid w:val="00FC6DBE"/>
    <w:rsid w:val="00FC6DFF"/>
    <w:rsid w:val="00FC6E5D"/>
    <w:rsid w:val="00FC6E88"/>
    <w:rsid w:val="00FC6E8E"/>
    <w:rsid w:val="00FC6EB2"/>
    <w:rsid w:val="00FC6ED0"/>
    <w:rsid w:val="00FC6F48"/>
    <w:rsid w:val="00FC6F4C"/>
    <w:rsid w:val="00FC6FBF"/>
    <w:rsid w:val="00FC6FDD"/>
    <w:rsid w:val="00FC70C6"/>
    <w:rsid w:val="00FC70CC"/>
    <w:rsid w:val="00FC713B"/>
    <w:rsid w:val="00FC72A1"/>
    <w:rsid w:val="00FC7339"/>
    <w:rsid w:val="00FC73AB"/>
    <w:rsid w:val="00FC7532"/>
    <w:rsid w:val="00FC7557"/>
    <w:rsid w:val="00FC7559"/>
    <w:rsid w:val="00FC7578"/>
    <w:rsid w:val="00FC75C6"/>
    <w:rsid w:val="00FC75C9"/>
    <w:rsid w:val="00FC75F2"/>
    <w:rsid w:val="00FC76BA"/>
    <w:rsid w:val="00FC771F"/>
    <w:rsid w:val="00FC7732"/>
    <w:rsid w:val="00FC7747"/>
    <w:rsid w:val="00FC7765"/>
    <w:rsid w:val="00FC7781"/>
    <w:rsid w:val="00FC7798"/>
    <w:rsid w:val="00FC7808"/>
    <w:rsid w:val="00FC7837"/>
    <w:rsid w:val="00FC7841"/>
    <w:rsid w:val="00FC785D"/>
    <w:rsid w:val="00FC78A1"/>
    <w:rsid w:val="00FC78BB"/>
    <w:rsid w:val="00FC7922"/>
    <w:rsid w:val="00FC7987"/>
    <w:rsid w:val="00FC7A4D"/>
    <w:rsid w:val="00FC7AFD"/>
    <w:rsid w:val="00FC7B03"/>
    <w:rsid w:val="00FC7B44"/>
    <w:rsid w:val="00FC7B6A"/>
    <w:rsid w:val="00FC7B87"/>
    <w:rsid w:val="00FC7C2B"/>
    <w:rsid w:val="00FC7C40"/>
    <w:rsid w:val="00FC7CB0"/>
    <w:rsid w:val="00FC7CE6"/>
    <w:rsid w:val="00FC7D3B"/>
    <w:rsid w:val="00FC7D55"/>
    <w:rsid w:val="00FC7D7D"/>
    <w:rsid w:val="00FC7DFB"/>
    <w:rsid w:val="00FC7E03"/>
    <w:rsid w:val="00FC7E1A"/>
    <w:rsid w:val="00FC7E27"/>
    <w:rsid w:val="00FC7E8D"/>
    <w:rsid w:val="00FC7E90"/>
    <w:rsid w:val="00FC7EF8"/>
    <w:rsid w:val="00FC7F25"/>
    <w:rsid w:val="00FC7F3E"/>
    <w:rsid w:val="00FC7F6E"/>
    <w:rsid w:val="00FC7FFE"/>
    <w:rsid w:val="00FD0026"/>
    <w:rsid w:val="00FD0028"/>
    <w:rsid w:val="00FD007F"/>
    <w:rsid w:val="00FD0092"/>
    <w:rsid w:val="00FD015F"/>
    <w:rsid w:val="00FD01B9"/>
    <w:rsid w:val="00FD0214"/>
    <w:rsid w:val="00FD0269"/>
    <w:rsid w:val="00FD0297"/>
    <w:rsid w:val="00FD02B3"/>
    <w:rsid w:val="00FD0314"/>
    <w:rsid w:val="00FD0335"/>
    <w:rsid w:val="00FD03AC"/>
    <w:rsid w:val="00FD03BB"/>
    <w:rsid w:val="00FD0439"/>
    <w:rsid w:val="00FD04A2"/>
    <w:rsid w:val="00FD053B"/>
    <w:rsid w:val="00FD05B3"/>
    <w:rsid w:val="00FD061C"/>
    <w:rsid w:val="00FD0642"/>
    <w:rsid w:val="00FD067D"/>
    <w:rsid w:val="00FD0703"/>
    <w:rsid w:val="00FD0750"/>
    <w:rsid w:val="00FD0766"/>
    <w:rsid w:val="00FD0773"/>
    <w:rsid w:val="00FD07AD"/>
    <w:rsid w:val="00FD0805"/>
    <w:rsid w:val="00FD081F"/>
    <w:rsid w:val="00FD08C3"/>
    <w:rsid w:val="00FD0907"/>
    <w:rsid w:val="00FD098F"/>
    <w:rsid w:val="00FD09A1"/>
    <w:rsid w:val="00FD09DC"/>
    <w:rsid w:val="00FD0A4F"/>
    <w:rsid w:val="00FD0AAC"/>
    <w:rsid w:val="00FD0B26"/>
    <w:rsid w:val="00FD0B67"/>
    <w:rsid w:val="00FD0B9B"/>
    <w:rsid w:val="00FD0C6C"/>
    <w:rsid w:val="00FD0CAF"/>
    <w:rsid w:val="00FD0D10"/>
    <w:rsid w:val="00FD0D1D"/>
    <w:rsid w:val="00FD0D29"/>
    <w:rsid w:val="00FD0D31"/>
    <w:rsid w:val="00FD0D7E"/>
    <w:rsid w:val="00FD0D8A"/>
    <w:rsid w:val="00FD0DF3"/>
    <w:rsid w:val="00FD0E83"/>
    <w:rsid w:val="00FD0EC5"/>
    <w:rsid w:val="00FD0FA3"/>
    <w:rsid w:val="00FD0FA9"/>
    <w:rsid w:val="00FD1043"/>
    <w:rsid w:val="00FD1078"/>
    <w:rsid w:val="00FD109F"/>
    <w:rsid w:val="00FD10C6"/>
    <w:rsid w:val="00FD1165"/>
    <w:rsid w:val="00FD1180"/>
    <w:rsid w:val="00FD11C3"/>
    <w:rsid w:val="00FD1217"/>
    <w:rsid w:val="00FD12DF"/>
    <w:rsid w:val="00FD1316"/>
    <w:rsid w:val="00FD132F"/>
    <w:rsid w:val="00FD13AA"/>
    <w:rsid w:val="00FD13C7"/>
    <w:rsid w:val="00FD13DE"/>
    <w:rsid w:val="00FD1464"/>
    <w:rsid w:val="00FD1500"/>
    <w:rsid w:val="00FD152E"/>
    <w:rsid w:val="00FD15FE"/>
    <w:rsid w:val="00FD1643"/>
    <w:rsid w:val="00FD16A5"/>
    <w:rsid w:val="00FD16A8"/>
    <w:rsid w:val="00FD1786"/>
    <w:rsid w:val="00FD17B2"/>
    <w:rsid w:val="00FD1833"/>
    <w:rsid w:val="00FD18C1"/>
    <w:rsid w:val="00FD190C"/>
    <w:rsid w:val="00FD19EC"/>
    <w:rsid w:val="00FD1A08"/>
    <w:rsid w:val="00FD1A6D"/>
    <w:rsid w:val="00FD1ACD"/>
    <w:rsid w:val="00FD1AF5"/>
    <w:rsid w:val="00FD1AFB"/>
    <w:rsid w:val="00FD1B2D"/>
    <w:rsid w:val="00FD1B44"/>
    <w:rsid w:val="00FD1B76"/>
    <w:rsid w:val="00FD1BEA"/>
    <w:rsid w:val="00FD1BEE"/>
    <w:rsid w:val="00FD1C05"/>
    <w:rsid w:val="00FD1C3D"/>
    <w:rsid w:val="00FD1CCA"/>
    <w:rsid w:val="00FD1CFB"/>
    <w:rsid w:val="00FD1D24"/>
    <w:rsid w:val="00FD1DBA"/>
    <w:rsid w:val="00FD1E09"/>
    <w:rsid w:val="00FD1E0E"/>
    <w:rsid w:val="00FD1E34"/>
    <w:rsid w:val="00FD1E88"/>
    <w:rsid w:val="00FD1ED7"/>
    <w:rsid w:val="00FD1EFE"/>
    <w:rsid w:val="00FD1F33"/>
    <w:rsid w:val="00FD1FAF"/>
    <w:rsid w:val="00FD1FC1"/>
    <w:rsid w:val="00FD1FE9"/>
    <w:rsid w:val="00FD2015"/>
    <w:rsid w:val="00FD21B2"/>
    <w:rsid w:val="00FD220C"/>
    <w:rsid w:val="00FD223D"/>
    <w:rsid w:val="00FD2255"/>
    <w:rsid w:val="00FD2289"/>
    <w:rsid w:val="00FD22FC"/>
    <w:rsid w:val="00FD2454"/>
    <w:rsid w:val="00FD2470"/>
    <w:rsid w:val="00FD247B"/>
    <w:rsid w:val="00FD2492"/>
    <w:rsid w:val="00FD2556"/>
    <w:rsid w:val="00FD256E"/>
    <w:rsid w:val="00FD25BD"/>
    <w:rsid w:val="00FD2614"/>
    <w:rsid w:val="00FD2648"/>
    <w:rsid w:val="00FD2668"/>
    <w:rsid w:val="00FD2719"/>
    <w:rsid w:val="00FD275F"/>
    <w:rsid w:val="00FD2885"/>
    <w:rsid w:val="00FD28B8"/>
    <w:rsid w:val="00FD292C"/>
    <w:rsid w:val="00FD2976"/>
    <w:rsid w:val="00FD29D1"/>
    <w:rsid w:val="00FD29DB"/>
    <w:rsid w:val="00FD2A5F"/>
    <w:rsid w:val="00FD2AE7"/>
    <w:rsid w:val="00FD2B0B"/>
    <w:rsid w:val="00FD2BDA"/>
    <w:rsid w:val="00FD2C4D"/>
    <w:rsid w:val="00FD2C95"/>
    <w:rsid w:val="00FD2CB0"/>
    <w:rsid w:val="00FD2D96"/>
    <w:rsid w:val="00FD2DAC"/>
    <w:rsid w:val="00FD2E3B"/>
    <w:rsid w:val="00FD2E81"/>
    <w:rsid w:val="00FD2EB5"/>
    <w:rsid w:val="00FD2EC7"/>
    <w:rsid w:val="00FD2FBB"/>
    <w:rsid w:val="00FD2FDF"/>
    <w:rsid w:val="00FD3068"/>
    <w:rsid w:val="00FD30A3"/>
    <w:rsid w:val="00FD30B7"/>
    <w:rsid w:val="00FD30CA"/>
    <w:rsid w:val="00FD311D"/>
    <w:rsid w:val="00FD316E"/>
    <w:rsid w:val="00FD3204"/>
    <w:rsid w:val="00FD3238"/>
    <w:rsid w:val="00FD324B"/>
    <w:rsid w:val="00FD32AC"/>
    <w:rsid w:val="00FD32B6"/>
    <w:rsid w:val="00FD32C1"/>
    <w:rsid w:val="00FD3350"/>
    <w:rsid w:val="00FD3408"/>
    <w:rsid w:val="00FD34FB"/>
    <w:rsid w:val="00FD361C"/>
    <w:rsid w:val="00FD3696"/>
    <w:rsid w:val="00FD3714"/>
    <w:rsid w:val="00FD37B0"/>
    <w:rsid w:val="00FD37EF"/>
    <w:rsid w:val="00FD38FA"/>
    <w:rsid w:val="00FD3936"/>
    <w:rsid w:val="00FD3962"/>
    <w:rsid w:val="00FD3981"/>
    <w:rsid w:val="00FD3985"/>
    <w:rsid w:val="00FD39D2"/>
    <w:rsid w:val="00FD39F5"/>
    <w:rsid w:val="00FD3A16"/>
    <w:rsid w:val="00FD3AFB"/>
    <w:rsid w:val="00FD3B23"/>
    <w:rsid w:val="00FD3B55"/>
    <w:rsid w:val="00FD3B7B"/>
    <w:rsid w:val="00FD3BBD"/>
    <w:rsid w:val="00FD3CAA"/>
    <w:rsid w:val="00FD3CAB"/>
    <w:rsid w:val="00FD3CB6"/>
    <w:rsid w:val="00FD3CB8"/>
    <w:rsid w:val="00FD3E64"/>
    <w:rsid w:val="00FD3EB2"/>
    <w:rsid w:val="00FD3ED5"/>
    <w:rsid w:val="00FD3EE9"/>
    <w:rsid w:val="00FD3EEC"/>
    <w:rsid w:val="00FD3F54"/>
    <w:rsid w:val="00FD406F"/>
    <w:rsid w:val="00FD4090"/>
    <w:rsid w:val="00FD40B3"/>
    <w:rsid w:val="00FD4146"/>
    <w:rsid w:val="00FD414E"/>
    <w:rsid w:val="00FD415C"/>
    <w:rsid w:val="00FD415E"/>
    <w:rsid w:val="00FD4192"/>
    <w:rsid w:val="00FD422C"/>
    <w:rsid w:val="00FD4252"/>
    <w:rsid w:val="00FD4274"/>
    <w:rsid w:val="00FD42C7"/>
    <w:rsid w:val="00FD42DD"/>
    <w:rsid w:val="00FD42FB"/>
    <w:rsid w:val="00FD43AC"/>
    <w:rsid w:val="00FD441C"/>
    <w:rsid w:val="00FD4488"/>
    <w:rsid w:val="00FD4501"/>
    <w:rsid w:val="00FD4535"/>
    <w:rsid w:val="00FD4589"/>
    <w:rsid w:val="00FD46B1"/>
    <w:rsid w:val="00FD472C"/>
    <w:rsid w:val="00FD4762"/>
    <w:rsid w:val="00FD47DB"/>
    <w:rsid w:val="00FD480F"/>
    <w:rsid w:val="00FD4848"/>
    <w:rsid w:val="00FD487D"/>
    <w:rsid w:val="00FD48D5"/>
    <w:rsid w:val="00FD48D9"/>
    <w:rsid w:val="00FD4905"/>
    <w:rsid w:val="00FD4990"/>
    <w:rsid w:val="00FD4A1D"/>
    <w:rsid w:val="00FD4A4D"/>
    <w:rsid w:val="00FD4A6D"/>
    <w:rsid w:val="00FD4A99"/>
    <w:rsid w:val="00FD4AE5"/>
    <w:rsid w:val="00FD4B18"/>
    <w:rsid w:val="00FD4B99"/>
    <w:rsid w:val="00FD4BBD"/>
    <w:rsid w:val="00FD4BCC"/>
    <w:rsid w:val="00FD4D89"/>
    <w:rsid w:val="00FD4E41"/>
    <w:rsid w:val="00FD4E90"/>
    <w:rsid w:val="00FD4EA3"/>
    <w:rsid w:val="00FD4EF4"/>
    <w:rsid w:val="00FD4F22"/>
    <w:rsid w:val="00FD4F25"/>
    <w:rsid w:val="00FD4F39"/>
    <w:rsid w:val="00FD4F5B"/>
    <w:rsid w:val="00FD4F6F"/>
    <w:rsid w:val="00FD4F75"/>
    <w:rsid w:val="00FD4FE6"/>
    <w:rsid w:val="00FD508C"/>
    <w:rsid w:val="00FD50DA"/>
    <w:rsid w:val="00FD50F9"/>
    <w:rsid w:val="00FD50FE"/>
    <w:rsid w:val="00FD5169"/>
    <w:rsid w:val="00FD526F"/>
    <w:rsid w:val="00FD543E"/>
    <w:rsid w:val="00FD5457"/>
    <w:rsid w:val="00FD5463"/>
    <w:rsid w:val="00FD549B"/>
    <w:rsid w:val="00FD54DC"/>
    <w:rsid w:val="00FD56AF"/>
    <w:rsid w:val="00FD56E2"/>
    <w:rsid w:val="00FD5734"/>
    <w:rsid w:val="00FD57A4"/>
    <w:rsid w:val="00FD57B6"/>
    <w:rsid w:val="00FD5810"/>
    <w:rsid w:val="00FD5828"/>
    <w:rsid w:val="00FD587D"/>
    <w:rsid w:val="00FD58C6"/>
    <w:rsid w:val="00FD590D"/>
    <w:rsid w:val="00FD594E"/>
    <w:rsid w:val="00FD5A33"/>
    <w:rsid w:val="00FD5B22"/>
    <w:rsid w:val="00FD5BEA"/>
    <w:rsid w:val="00FD5CA0"/>
    <w:rsid w:val="00FD5D04"/>
    <w:rsid w:val="00FD5D08"/>
    <w:rsid w:val="00FD5E04"/>
    <w:rsid w:val="00FD5E3B"/>
    <w:rsid w:val="00FD5E5F"/>
    <w:rsid w:val="00FD5F3C"/>
    <w:rsid w:val="00FD5FA0"/>
    <w:rsid w:val="00FD6079"/>
    <w:rsid w:val="00FD6093"/>
    <w:rsid w:val="00FD60FF"/>
    <w:rsid w:val="00FD6122"/>
    <w:rsid w:val="00FD623E"/>
    <w:rsid w:val="00FD6376"/>
    <w:rsid w:val="00FD6383"/>
    <w:rsid w:val="00FD642F"/>
    <w:rsid w:val="00FD6486"/>
    <w:rsid w:val="00FD64E0"/>
    <w:rsid w:val="00FD64F7"/>
    <w:rsid w:val="00FD6527"/>
    <w:rsid w:val="00FD65A1"/>
    <w:rsid w:val="00FD65AE"/>
    <w:rsid w:val="00FD65F3"/>
    <w:rsid w:val="00FD6617"/>
    <w:rsid w:val="00FD6645"/>
    <w:rsid w:val="00FD66AA"/>
    <w:rsid w:val="00FD6761"/>
    <w:rsid w:val="00FD678A"/>
    <w:rsid w:val="00FD67FA"/>
    <w:rsid w:val="00FD6819"/>
    <w:rsid w:val="00FD6855"/>
    <w:rsid w:val="00FD68CC"/>
    <w:rsid w:val="00FD68F5"/>
    <w:rsid w:val="00FD6923"/>
    <w:rsid w:val="00FD6940"/>
    <w:rsid w:val="00FD6A3E"/>
    <w:rsid w:val="00FD6A97"/>
    <w:rsid w:val="00FD6AA4"/>
    <w:rsid w:val="00FD6AB1"/>
    <w:rsid w:val="00FD6B2A"/>
    <w:rsid w:val="00FD6BB4"/>
    <w:rsid w:val="00FD6C85"/>
    <w:rsid w:val="00FD6C8C"/>
    <w:rsid w:val="00FD6D94"/>
    <w:rsid w:val="00FD6DAC"/>
    <w:rsid w:val="00FD6DAF"/>
    <w:rsid w:val="00FD6DBA"/>
    <w:rsid w:val="00FD6E80"/>
    <w:rsid w:val="00FD6EC8"/>
    <w:rsid w:val="00FD6EE2"/>
    <w:rsid w:val="00FD6F74"/>
    <w:rsid w:val="00FD6F75"/>
    <w:rsid w:val="00FD7090"/>
    <w:rsid w:val="00FD70C8"/>
    <w:rsid w:val="00FD71B1"/>
    <w:rsid w:val="00FD722C"/>
    <w:rsid w:val="00FD73A8"/>
    <w:rsid w:val="00FD745D"/>
    <w:rsid w:val="00FD7482"/>
    <w:rsid w:val="00FD74D7"/>
    <w:rsid w:val="00FD74E9"/>
    <w:rsid w:val="00FD74F0"/>
    <w:rsid w:val="00FD7559"/>
    <w:rsid w:val="00FD7588"/>
    <w:rsid w:val="00FD75E7"/>
    <w:rsid w:val="00FD766C"/>
    <w:rsid w:val="00FD767A"/>
    <w:rsid w:val="00FD7683"/>
    <w:rsid w:val="00FD772C"/>
    <w:rsid w:val="00FD77CB"/>
    <w:rsid w:val="00FD77E7"/>
    <w:rsid w:val="00FD780F"/>
    <w:rsid w:val="00FD78A1"/>
    <w:rsid w:val="00FD78E1"/>
    <w:rsid w:val="00FD7951"/>
    <w:rsid w:val="00FD796D"/>
    <w:rsid w:val="00FD797D"/>
    <w:rsid w:val="00FD7983"/>
    <w:rsid w:val="00FD79A2"/>
    <w:rsid w:val="00FD7A07"/>
    <w:rsid w:val="00FD7A13"/>
    <w:rsid w:val="00FD7A5C"/>
    <w:rsid w:val="00FD7A77"/>
    <w:rsid w:val="00FD7ABD"/>
    <w:rsid w:val="00FD7B16"/>
    <w:rsid w:val="00FD7B6F"/>
    <w:rsid w:val="00FD7BB8"/>
    <w:rsid w:val="00FD7D64"/>
    <w:rsid w:val="00FD7DC5"/>
    <w:rsid w:val="00FD7DEF"/>
    <w:rsid w:val="00FD7DF9"/>
    <w:rsid w:val="00FD7E0B"/>
    <w:rsid w:val="00FD7E40"/>
    <w:rsid w:val="00FD7E42"/>
    <w:rsid w:val="00FD7E4D"/>
    <w:rsid w:val="00FD7EB8"/>
    <w:rsid w:val="00FD7EBB"/>
    <w:rsid w:val="00FD7EC0"/>
    <w:rsid w:val="00FD7EFC"/>
    <w:rsid w:val="00FD7F24"/>
    <w:rsid w:val="00FD7F41"/>
    <w:rsid w:val="00FD7F97"/>
    <w:rsid w:val="00FD7FA1"/>
    <w:rsid w:val="00FD7FB0"/>
    <w:rsid w:val="00FD7FCE"/>
    <w:rsid w:val="00FE007A"/>
    <w:rsid w:val="00FE0084"/>
    <w:rsid w:val="00FE00DD"/>
    <w:rsid w:val="00FE01D8"/>
    <w:rsid w:val="00FE01E3"/>
    <w:rsid w:val="00FE02E2"/>
    <w:rsid w:val="00FE02F7"/>
    <w:rsid w:val="00FE0369"/>
    <w:rsid w:val="00FE039C"/>
    <w:rsid w:val="00FE03D5"/>
    <w:rsid w:val="00FE03E3"/>
    <w:rsid w:val="00FE03E4"/>
    <w:rsid w:val="00FE0506"/>
    <w:rsid w:val="00FE0654"/>
    <w:rsid w:val="00FE067F"/>
    <w:rsid w:val="00FE0718"/>
    <w:rsid w:val="00FE0725"/>
    <w:rsid w:val="00FE0766"/>
    <w:rsid w:val="00FE078B"/>
    <w:rsid w:val="00FE07B9"/>
    <w:rsid w:val="00FE07CB"/>
    <w:rsid w:val="00FE081F"/>
    <w:rsid w:val="00FE0843"/>
    <w:rsid w:val="00FE0930"/>
    <w:rsid w:val="00FE097A"/>
    <w:rsid w:val="00FE0A5B"/>
    <w:rsid w:val="00FE0A6E"/>
    <w:rsid w:val="00FE0A90"/>
    <w:rsid w:val="00FE0AB5"/>
    <w:rsid w:val="00FE0AC4"/>
    <w:rsid w:val="00FE0AC8"/>
    <w:rsid w:val="00FE0ADF"/>
    <w:rsid w:val="00FE0B8C"/>
    <w:rsid w:val="00FE0B9F"/>
    <w:rsid w:val="00FE0BC9"/>
    <w:rsid w:val="00FE0CAF"/>
    <w:rsid w:val="00FE0D7F"/>
    <w:rsid w:val="00FE0E13"/>
    <w:rsid w:val="00FE0E5F"/>
    <w:rsid w:val="00FE0E67"/>
    <w:rsid w:val="00FE0F1B"/>
    <w:rsid w:val="00FE0FD1"/>
    <w:rsid w:val="00FE1045"/>
    <w:rsid w:val="00FE1082"/>
    <w:rsid w:val="00FE1093"/>
    <w:rsid w:val="00FE10AD"/>
    <w:rsid w:val="00FE10C6"/>
    <w:rsid w:val="00FE10DA"/>
    <w:rsid w:val="00FE1140"/>
    <w:rsid w:val="00FE11DD"/>
    <w:rsid w:val="00FE125B"/>
    <w:rsid w:val="00FE127D"/>
    <w:rsid w:val="00FE1360"/>
    <w:rsid w:val="00FE13D0"/>
    <w:rsid w:val="00FE1402"/>
    <w:rsid w:val="00FE1435"/>
    <w:rsid w:val="00FE14EE"/>
    <w:rsid w:val="00FE15B5"/>
    <w:rsid w:val="00FE15EE"/>
    <w:rsid w:val="00FE160C"/>
    <w:rsid w:val="00FE166A"/>
    <w:rsid w:val="00FE16BF"/>
    <w:rsid w:val="00FE16EA"/>
    <w:rsid w:val="00FE175B"/>
    <w:rsid w:val="00FE17DB"/>
    <w:rsid w:val="00FE18EC"/>
    <w:rsid w:val="00FE194D"/>
    <w:rsid w:val="00FE194F"/>
    <w:rsid w:val="00FE195D"/>
    <w:rsid w:val="00FE196D"/>
    <w:rsid w:val="00FE1995"/>
    <w:rsid w:val="00FE1A80"/>
    <w:rsid w:val="00FE1A84"/>
    <w:rsid w:val="00FE1AC9"/>
    <w:rsid w:val="00FE1AF5"/>
    <w:rsid w:val="00FE1B13"/>
    <w:rsid w:val="00FE1B42"/>
    <w:rsid w:val="00FE1B82"/>
    <w:rsid w:val="00FE1B8D"/>
    <w:rsid w:val="00FE1BBC"/>
    <w:rsid w:val="00FE1BE1"/>
    <w:rsid w:val="00FE1BE6"/>
    <w:rsid w:val="00FE1C10"/>
    <w:rsid w:val="00FE1C1E"/>
    <w:rsid w:val="00FE1C2B"/>
    <w:rsid w:val="00FE1E12"/>
    <w:rsid w:val="00FE1E30"/>
    <w:rsid w:val="00FE1EC2"/>
    <w:rsid w:val="00FE1EF4"/>
    <w:rsid w:val="00FE1EF6"/>
    <w:rsid w:val="00FE1F6D"/>
    <w:rsid w:val="00FE203F"/>
    <w:rsid w:val="00FE2127"/>
    <w:rsid w:val="00FE213A"/>
    <w:rsid w:val="00FE2151"/>
    <w:rsid w:val="00FE227B"/>
    <w:rsid w:val="00FE2306"/>
    <w:rsid w:val="00FE2356"/>
    <w:rsid w:val="00FE2371"/>
    <w:rsid w:val="00FE23A9"/>
    <w:rsid w:val="00FE2441"/>
    <w:rsid w:val="00FE249F"/>
    <w:rsid w:val="00FE24F7"/>
    <w:rsid w:val="00FE2508"/>
    <w:rsid w:val="00FE2521"/>
    <w:rsid w:val="00FE253F"/>
    <w:rsid w:val="00FE2541"/>
    <w:rsid w:val="00FE2592"/>
    <w:rsid w:val="00FE25A0"/>
    <w:rsid w:val="00FE261E"/>
    <w:rsid w:val="00FE26DC"/>
    <w:rsid w:val="00FE2732"/>
    <w:rsid w:val="00FE27C8"/>
    <w:rsid w:val="00FE287A"/>
    <w:rsid w:val="00FE28B5"/>
    <w:rsid w:val="00FE28B9"/>
    <w:rsid w:val="00FE28C8"/>
    <w:rsid w:val="00FE2959"/>
    <w:rsid w:val="00FE29B6"/>
    <w:rsid w:val="00FE29BF"/>
    <w:rsid w:val="00FE29D3"/>
    <w:rsid w:val="00FE2B0A"/>
    <w:rsid w:val="00FE2B5A"/>
    <w:rsid w:val="00FE2BF2"/>
    <w:rsid w:val="00FE2C68"/>
    <w:rsid w:val="00FE2D40"/>
    <w:rsid w:val="00FE2D5A"/>
    <w:rsid w:val="00FE2DB5"/>
    <w:rsid w:val="00FE2E02"/>
    <w:rsid w:val="00FE2ED8"/>
    <w:rsid w:val="00FE2EE7"/>
    <w:rsid w:val="00FE2EF6"/>
    <w:rsid w:val="00FE2F2E"/>
    <w:rsid w:val="00FE2F38"/>
    <w:rsid w:val="00FE3059"/>
    <w:rsid w:val="00FE307B"/>
    <w:rsid w:val="00FE312B"/>
    <w:rsid w:val="00FE31A1"/>
    <w:rsid w:val="00FE3261"/>
    <w:rsid w:val="00FE32EB"/>
    <w:rsid w:val="00FE3394"/>
    <w:rsid w:val="00FE339D"/>
    <w:rsid w:val="00FE339E"/>
    <w:rsid w:val="00FE341D"/>
    <w:rsid w:val="00FE3446"/>
    <w:rsid w:val="00FE348E"/>
    <w:rsid w:val="00FE3508"/>
    <w:rsid w:val="00FE3516"/>
    <w:rsid w:val="00FE3594"/>
    <w:rsid w:val="00FE35FF"/>
    <w:rsid w:val="00FE3600"/>
    <w:rsid w:val="00FE3619"/>
    <w:rsid w:val="00FE361E"/>
    <w:rsid w:val="00FE3755"/>
    <w:rsid w:val="00FE3768"/>
    <w:rsid w:val="00FE3777"/>
    <w:rsid w:val="00FE3815"/>
    <w:rsid w:val="00FE3825"/>
    <w:rsid w:val="00FE3833"/>
    <w:rsid w:val="00FE38A3"/>
    <w:rsid w:val="00FE38AE"/>
    <w:rsid w:val="00FE38CC"/>
    <w:rsid w:val="00FE38F5"/>
    <w:rsid w:val="00FE3908"/>
    <w:rsid w:val="00FE391A"/>
    <w:rsid w:val="00FE394F"/>
    <w:rsid w:val="00FE39DA"/>
    <w:rsid w:val="00FE39E5"/>
    <w:rsid w:val="00FE39EA"/>
    <w:rsid w:val="00FE3A25"/>
    <w:rsid w:val="00FE3A46"/>
    <w:rsid w:val="00FE3A51"/>
    <w:rsid w:val="00FE3A6E"/>
    <w:rsid w:val="00FE3AD2"/>
    <w:rsid w:val="00FE3AF1"/>
    <w:rsid w:val="00FE3B09"/>
    <w:rsid w:val="00FE3B0F"/>
    <w:rsid w:val="00FE3B43"/>
    <w:rsid w:val="00FE3B5B"/>
    <w:rsid w:val="00FE3B86"/>
    <w:rsid w:val="00FE3B8C"/>
    <w:rsid w:val="00FE3BF2"/>
    <w:rsid w:val="00FE3C57"/>
    <w:rsid w:val="00FE3CA3"/>
    <w:rsid w:val="00FE3CA5"/>
    <w:rsid w:val="00FE3D4E"/>
    <w:rsid w:val="00FE3DB2"/>
    <w:rsid w:val="00FE3DC4"/>
    <w:rsid w:val="00FE3E8F"/>
    <w:rsid w:val="00FE3EA5"/>
    <w:rsid w:val="00FE3EC6"/>
    <w:rsid w:val="00FE3FCB"/>
    <w:rsid w:val="00FE4014"/>
    <w:rsid w:val="00FE4059"/>
    <w:rsid w:val="00FE4073"/>
    <w:rsid w:val="00FE408F"/>
    <w:rsid w:val="00FE40FE"/>
    <w:rsid w:val="00FE4186"/>
    <w:rsid w:val="00FE4194"/>
    <w:rsid w:val="00FE41A2"/>
    <w:rsid w:val="00FE41C3"/>
    <w:rsid w:val="00FE41EB"/>
    <w:rsid w:val="00FE41EF"/>
    <w:rsid w:val="00FE4258"/>
    <w:rsid w:val="00FE42B5"/>
    <w:rsid w:val="00FE42D0"/>
    <w:rsid w:val="00FE430D"/>
    <w:rsid w:val="00FE437E"/>
    <w:rsid w:val="00FE4382"/>
    <w:rsid w:val="00FE4394"/>
    <w:rsid w:val="00FE442E"/>
    <w:rsid w:val="00FE44E4"/>
    <w:rsid w:val="00FE4681"/>
    <w:rsid w:val="00FE46C6"/>
    <w:rsid w:val="00FE47AF"/>
    <w:rsid w:val="00FE47B4"/>
    <w:rsid w:val="00FE4810"/>
    <w:rsid w:val="00FE4829"/>
    <w:rsid w:val="00FE487C"/>
    <w:rsid w:val="00FE489C"/>
    <w:rsid w:val="00FE4967"/>
    <w:rsid w:val="00FE498A"/>
    <w:rsid w:val="00FE49D3"/>
    <w:rsid w:val="00FE4A20"/>
    <w:rsid w:val="00FE4A49"/>
    <w:rsid w:val="00FE4A53"/>
    <w:rsid w:val="00FE4A67"/>
    <w:rsid w:val="00FE4A8C"/>
    <w:rsid w:val="00FE4B0E"/>
    <w:rsid w:val="00FE4B9C"/>
    <w:rsid w:val="00FE4BA2"/>
    <w:rsid w:val="00FE4C33"/>
    <w:rsid w:val="00FE4C70"/>
    <w:rsid w:val="00FE4C8C"/>
    <w:rsid w:val="00FE4CC5"/>
    <w:rsid w:val="00FE4CFF"/>
    <w:rsid w:val="00FE4D8D"/>
    <w:rsid w:val="00FE4DA0"/>
    <w:rsid w:val="00FE4E39"/>
    <w:rsid w:val="00FE4E83"/>
    <w:rsid w:val="00FE4F3B"/>
    <w:rsid w:val="00FE4F85"/>
    <w:rsid w:val="00FE4FF3"/>
    <w:rsid w:val="00FE5049"/>
    <w:rsid w:val="00FE50AF"/>
    <w:rsid w:val="00FE514E"/>
    <w:rsid w:val="00FE515D"/>
    <w:rsid w:val="00FE516B"/>
    <w:rsid w:val="00FE51A8"/>
    <w:rsid w:val="00FE5216"/>
    <w:rsid w:val="00FE5237"/>
    <w:rsid w:val="00FE523E"/>
    <w:rsid w:val="00FE52AA"/>
    <w:rsid w:val="00FE532D"/>
    <w:rsid w:val="00FE5355"/>
    <w:rsid w:val="00FE5460"/>
    <w:rsid w:val="00FE5484"/>
    <w:rsid w:val="00FE54B2"/>
    <w:rsid w:val="00FE559D"/>
    <w:rsid w:val="00FE55D8"/>
    <w:rsid w:val="00FE55FD"/>
    <w:rsid w:val="00FE5648"/>
    <w:rsid w:val="00FE564E"/>
    <w:rsid w:val="00FE56CA"/>
    <w:rsid w:val="00FE56CB"/>
    <w:rsid w:val="00FE5704"/>
    <w:rsid w:val="00FE574E"/>
    <w:rsid w:val="00FE577D"/>
    <w:rsid w:val="00FE57D7"/>
    <w:rsid w:val="00FE5871"/>
    <w:rsid w:val="00FE5893"/>
    <w:rsid w:val="00FE5900"/>
    <w:rsid w:val="00FE5969"/>
    <w:rsid w:val="00FE5A17"/>
    <w:rsid w:val="00FE5A35"/>
    <w:rsid w:val="00FE5A6C"/>
    <w:rsid w:val="00FE5AAA"/>
    <w:rsid w:val="00FE5B1F"/>
    <w:rsid w:val="00FE5B41"/>
    <w:rsid w:val="00FE5C49"/>
    <w:rsid w:val="00FE5C7E"/>
    <w:rsid w:val="00FE5CC5"/>
    <w:rsid w:val="00FE5D2F"/>
    <w:rsid w:val="00FE5DCE"/>
    <w:rsid w:val="00FE5DD5"/>
    <w:rsid w:val="00FE5E20"/>
    <w:rsid w:val="00FE5F0A"/>
    <w:rsid w:val="00FE60B8"/>
    <w:rsid w:val="00FE60CB"/>
    <w:rsid w:val="00FE60D9"/>
    <w:rsid w:val="00FE60EB"/>
    <w:rsid w:val="00FE61B4"/>
    <w:rsid w:val="00FE61BD"/>
    <w:rsid w:val="00FE61C2"/>
    <w:rsid w:val="00FE628F"/>
    <w:rsid w:val="00FE6351"/>
    <w:rsid w:val="00FE63C1"/>
    <w:rsid w:val="00FE649B"/>
    <w:rsid w:val="00FE6585"/>
    <w:rsid w:val="00FE65AB"/>
    <w:rsid w:val="00FE65C9"/>
    <w:rsid w:val="00FE6777"/>
    <w:rsid w:val="00FE67EC"/>
    <w:rsid w:val="00FE681D"/>
    <w:rsid w:val="00FE6861"/>
    <w:rsid w:val="00FE6896"/>
    <w:rsid w:val="00FE68CF"/>
    <w:rsid w:val="00FE690F"/>
    <w:rsid w:val="00FE6968"/>
    <w:rsid w:val="00FE69BF"/>
    <w:rsid w:val="00FE69DE"/>
    <w:rsid w:val="00FE69DF"/>
    <w:rsid w:val="00FE6AC0"/>
    <w:rsid w:val="00FE6ACD"/>
    <w:rsid w:val="00FE6BE6"/>
    <w:rsid w:val="00FE6C27"/>
    <w:rsid w:val="00FE6CFC"/>
    <w:rsid w:val="00FE6D2E"/>
    <w:rsid w:val="00FE6D80"/>
    <w:rsid w:val="00FE6D8D"/>
    <w:rsid w:val="00FE6E00"/>
    <w:rsid w:val="00FE6E73"/>
    <w:rsid w:val="00FE6F0B"/>
    <w:rsid w:val="00FE6F12"/>
    <w:rsid w:val="00FE6F21"/>
    <w:rsid w:val="00FE6F95"/>
    <w:rsid w:val="00FE6FFB"/>
    <w:rsid w:val="00FE705F"/>
    <w:rsid w:val="00FE7102"/>
    <w:rsid w:val="00FE7111"/>
    <w:rsid w:val="00FE7146"/>
    <w:rsid w:val="00FE725F"/>
    <w:rsid w:val="00FE7270"/>
    <w:rsid w:val="00FE72C1"/>
    <w:rsid w:val="00FE7303"/>
    <w:rsid w:val="00FE7322"/>
    <w:rsid w:val="00FE746C"/>
    <w:rsid w:val="00FE74A3"/>
    <w:rsid w:val="00FE74D4"/>
    <w:rsid w:val="00FE74FA"/>
    <w:rsid w:val="00FE7535"/>
    <w:rsid w:val="00FE7599"/>
    <w:rsid w:val="00FE76B0"/>
    <w:rsid w:val="00FE771E"/>
    <w:rsid w:val="00FE779D"/>
    <w:rsid w:val="00FE77D3"/>
    <w:rsid w:val="00FE785F"/>
    <w:rsid w:val="00FE7891"/>
    <w:rsid w:val="00FE78AF"/>
    <w:rsid w:val="00FE7962"/>
    <w:rsid w:val="00FE796B"/>
    <w:rsid w:val="00FE79A8"/>
    <w:rsid w:val="00FE79C9"/>
    <w:rsid w:val="00FE79E9"/>
    <w:rsid w:val="00FE7A25"/>
    <w:rsid w:val="00FE7B1D"/>
    <w:rsid w:val="00FE7B2E"/>
    <w:rsid w:val="00FE7B4C"/>
    <w:rsid w:val="00FE7BEF"/>
    <w:rsid w:val="00FE7C2B"/>
    <w:rsid w:val="00FE7D36"/>
    <w:rsid w:val="00FE7D72"/>
    <w:rsid w:val="00FE7D9E"/>
    <w:rsid w:val="00FE7DB7"/>
    <w:rsid w:val="00FE7DCA"/>
    <w:rsid w:val="00FE7E6F"/>
    <w:rsid w:val="00FE7EE2"/>
    <w:rsid w:val="00FE7F2C"/>
    <w:rsid w:val="00FE7F57"/>
    <w:rsid w:val="00FE7FC0"/>
    <w:rsid w:val="00FF00A2"/>
    <w:rsid w:val="00FF00CE"/>
    <w:rsid w:val="00FF0203"/>
    <w:rsid w:val="00FF020E"/>
    <w:rsid w:val="00FF02CE"/>
    <w:rsid w:val="00FF02EF"/>
    <w:rsid w:val="00FF031E"/>
    <w:rsid w:val="00FF0320"/>
    <w:rsid w:val="00FF035C"/>
    <w:rsid w:val="00FF0480"/>
    <w:rsid w:val="00FF0486"/>
    <w:rsid w:val="00FF04D2"/>
    <w:rsid w:val="00FF05CA"/>
    <w:rsid w:val="00FF0607"/>
    <w:rsid w:val="00FF0685"/>
    <w:rsid w:val="00FF0697"/>
    <w:rsid w:val="00FF06D6"/>
    <w:rsid w:val="00FF06DC"/>
    <w:rsid w:val="00FF0714"/>
    <w:rsid w:val="00FF0814"/>
    <w:rsid w:val="00FF0826"/>
    <w:rsid w:val="00FF0902"/>
    <w:rsid w:val="00FF0972"/>
    <w:rsid w:val="00FF09A6"/>
    <w:rsid w:val="00FF09B0"/>
    <w:rsid w:val="00FF0A2C"/>
    <w:rsid w:val="00FF0A74"/>
    <w:rsid w:val="00FF0B0B"/>
    <w:rsid w:val="00FF0B4C"/>
    <w:rsid w:val="00FF0B54"/>
    <w:rsid w:val="00FF0C05"/>
    <w:rsid w:val="00FF0D2F"/>
    <w:rsid w:val="00FF0D55"/>
    <w:rsid w:val="00FF0D60"/>
    <w:rsid w:val="00FF0D85"/>
    <w:rsid w:val="00FF0DD1"/>
    <w:rsid w:val="00FF0FC2"/>
    <w:rsid w:val="00FF0FF2"/>
    <w:rsid w:val="00FF1046"/>
    <w:rsid w:val="00FF1099"/>
    <w:rsid w:val="00FF10FE"/>
    <w:rsid w:val="00FF1226"/>
    <w:rsid w:val="00FF1229"/>
    <w:rsid w:val="00FF1260"/>
    <w:rsid w:val="00FF1325"/>
    <w:rsid w:val="00FF1351"/>
    <w:rsid w:val="00FF136C"/>
    <w:rsid w:val="00FF1436"/>
    <w:rsid w:val="00FF1458"/>
    <w:rsid w:val="00FF14C2"/>
    <w:rsid w:val="00FF14C4"/>
    <w:rsid w:val="00FF14F3"/>
    <w:rsid w:val="00FF1502"/>
    <w:rsid w:val="00FF15B6"/>
    <w:rsid w:val="00FF15E1"/>
    <w:rsid w:val="00FF1629"/>
    <w:rsid w:val="00FF1670"/>
    <w:rsid w:val="00FF169E"/>
    <w:rsid w:val="00FF16FB"/>
    <w:rsid w:val="00FF17E0"/>
    <w:rsid w:val="00FF1802"/>
    <w:rsid w:val="00FF1867"/>
    <w:rsid w:val="00FF191D"/>
    <w:rsid w:val="00FF1963"/>
    <w:rsid w:val="00FF1A2E"/>
    <w:rsid w:val="00FF1A59"/>
    <w:rsid w:val="00FF1A70"/>
    <w:rsid w:val="00FF1A71"/>
    <w:rsid w:val="00FF1AAF"/>
    <w:rsid w:val="00FF1AB6"/>
    <w:rsid w:val="00FF1B0B"/>
    <w:rsid w:val="00FF1B0D"/>
    <w:rsid w:val="00FF1B1B"/>
    <w:rsid w:val="00FF1B49"/>
    <w:rsid w:val="00FF1C3C"/>
    <w:rsid w:val="00FF1C96"/>
    <w:rsid w:val="00FF1CDC"/>
    <w:rsid w:val="00FF1D49"/>
    <w:rsid w:val="00FF1DCA"/>
    <w:rsid w:val="00FF1DDB"/>
    <w:rsid w:val="00FF1EC0"/>
    <w:rsid w:val="00FF1EFA"/>
    <w:rsid w:val="00FF1F0E"/>
    <w:rsid w:val="00FF1F10"/>
    <w:rsid w:val="00FF1F13"/>
    <w:rsid w:val="00FF1F19"/>
    <w:rsid w:val="00FF1FB4"/>
    <w:rsid w:val="00FF20F7"/>
    <w:rsid w:val="00FF2113"/>
    <w:rsid w:val="00FF2136"/>
    <w:rsid w:val="00FF2138"/>
    <w:rsid w:val="00FF2183"/>
    <w:rsid w:val="00FF21E7"/>
    <w:rsid w:val="00FF21EE"/>
    <w:rsid w:val="00FF220D"/>
    <w:rsid w:val="00FF2277"/>
    <w:rsid w:val="00FF22A7"/>
    <w:rsid w:val="00FF23D2"/>
    <w:rsid w:val="00FF2472"/>
    <w:rsid w:val="00FF24D0"/>
    <w:rsid w:val="00FF24E8"/>
    <w:rsid w:val="00FF254B"/>
    <w:rsid w:val="00FF260A"/>
    <w:rsid w:val="00FF2613"/>
    <w:rsid w:val="00FF2614"/>
    <w:rsid w:val="00FF2630"/>
    <w:rsid w:val="00FF265D"/>
    <w:rsid w:val="00FF2664"/>
    <w:rsid w:val="00FF2683"/>
    <w:rsid w:val="00FF26CF"/>
    <w:rsid w:val="00FF26E2"/>
    <w:rsid w:val="00FF2792"/>
    <w:rsid w:val="00FF27FD"/>
    <w:rsid w:val="00FF281E"/>
    <w:rsid w:val="00FF2834"/>
    <w:rsid w:val="00FF2853"/>
    <w:rsid w:val="00FF288C"/>
    <w:rsid w:val="00FF28A3"/>
    <w:rsid w:val="00FF2959"/>
    <w:rsid w:val="00FF2A3B"/>
    <w:rsid w:val="00FF2AFF"/>
    <w:rsid w:val="00FF2B09"/>
    <w:rsid w:val="00FF2BA9"/>
    <w:rsid w:val="00FF2C17"/>
    <w:rsid w:val="00FF2C25"/>
    <w:rsid w:val="00FF2C6F"/>
    <w:rsid w:val="00FF2C90"/>
    <w:rsid w:val="00FF2D24"/>
    <w:rsid w:val="00FF2D8E"/>
    <w:rsid w:val="00FF2DF2"/>
    <w:rsid w:val="00FF2DF3"/>
    <w:rsid w:val="00FF2E1C"/>
    <w:rsid w:val="00FF2E62"/>
    <w:rsid w:val="00FF2E76"/>
    <w:rsid w:val="00FF2ED7"/>
    <w:rsid w:val="00FF2EF2"/>
    <w:rsid w:val="00FF2F35"/>
    <w:rsid w:val="00FF2F89"/>
    <w:rsid w:val="00FF2F8F"/>
    <w:rsid w:val="00FF2F9B"/>
    <w:rsid w:val="00FF2FBC"/>
    <w:rsid w:val="00FF3035"/>
    <w:rsid w:val="00FF303D"/>
    <w:rsid w:val="00FF305A"/>
    <w:rsid w:val="00FF30A8"/>
    <w:rsid w:val="00FF316D"/>
    <w:rsid w:val="00FF3185"/>
    <w:rsid w:val="00FF31DD"/>
    <w:rsid w:val="00FF3210"/>
    <w:rsid w:val="00FF32D8"/>
    <w:rsid w:val="00FF3333"/>
    <w:rsid w:val="00FF3346"/>
    <w:rsid w:val="00FF337D"/>
    <w:rsid w:val="00FF33C9"/>
    <w:rsid w:val="00FF33E8"/>
    <w:rsid w:val="00FF3417"/>
    <w:rsid w:val="00FF3449"/>
    <w:rsid w:val="00FF345E"/>
    <w:rsid w:val="00FF34FD"/>
    <w:rsid w:val="00FF359A"/>
    <w:rsid w:val="00FF360A"/>
    <w:rsid w:val="00FF3681"/>
    <w:rsid w:val="00FF36D0"/>
    <w:rsid w:val="00FF3758"/>
    <w:rsid w:val="00FF37B3"/>
    <w:rsid w:val="00FF37F7"/>
    <w:rsid w:val="00FF3860"/>
    <w:rsid w:val="00FF3865"/>
    <w:rsid w:val="00FF389E"/>
    <w:rsid w:val="00FF38B9"/>
    <w:rsid w:val="00FF38D1"/>
    <w:rsid w:val="00FF38F0"/>
    <w:rsid w:val="00FF390A"/>
    <w:rsid w:val="00FF3940"/>
    <w:rsid w:val="00FF395E"/>
    <w:rsid w:val="00FF39B4"/>
    <w:rsid w:val="00FF39CE"/>
    <w:rsid w:val="00FF39D8"/>
    <w:rsid w:val="00FF3A41"/>
    <w:rsid w:val="00FF3A6D"/>
    <w:rsid w:val="00FF3A87"/>
    <w:rsid w:val="00FF3AA2"/>
    <w:rsid w:val="00FF3BBA"/>
    <w:rsid w:val="00FF3C8B"/>
    <w:rsid w:val="00FF3CA9"/>
    <w:rsid w:val="00FF3CD8"/>
    <w:rsid w:val="00FF3D15"/>
    <w:rsid w:val="00FF3D48"/>
    <w:rsid w:val="00FF3D6D"/>
    <w:rsid w:val="00FF3D7C"/>
    <w:rsid w:val="00FF3D88"/>
    <w:rsid w:val="00FF3DA0"/>
    <w:rsid w:val="00FF3DC8"/>
    <w:rsid w:val="00FF3E21"/>
    <w:rsid w:val="00FF3E22"/>
    <w:rsid w:val="00FF3E45"/>
    <w:rsid w:val="00FF3E52"/>
    <w:rsid w:val="00FF3F63"/>
    <w:rsid w:val="00FF3FAA"/>
    <w:rsid w:val="00FF3FB8"/>
    <w:rsid w:val="00FF3FD4"/>
    <w:rsid w:val="00FF3FD6"/>
    <w:rsid w:val="00FF401F"/>
    <w:rsid w:val="00FF4064"/>
    <w:rsid w:val="00FF40A8"/>
    <w:rsid w:val="00FF40CC"/>
    <w:rsid w:val="00FF4146"/>
    <w:rsid w:val="00FF416F"/>
    <w:rsid w:val="00FF4181"/>
    <w:rsid w:val="00FF41F5"/>
    <w:rsid w:val="00FF41FF"/>
    <w:rsid w:val="00FF4207"/>
    <w:rsid w:val="00FF4243"/>
    <w:rsid w:val="00FF4298"/>
    <w:rsid w:val="00FF42B6"/>
    <w:rsid w:val="00FF42F8"/>
    <w:rsid w:val="00FF43BD"/>
    <w:rsid w:val="00FF43D4"/>
    <w:rsid w:val="00FF43F7"/>
    <w:rsid w:val="00FF44A4"/>
    <w:rsid w:val="00FF44F2"/>
    <w:rsid w:val="00FF451E"/>
    <w:rsid w:val="00FF458A"/>
    <w:rsid w:val="00FF45E7"/>
    <w:rsid w:val="00FF464C"/>
    <w:rsid w:val="00FF4651"/>
    <w:rsid w:val="00FF46DB"/>
    <w:rsid w:val="00FF4844"/>
    <w:rsid w:val="00FF4878"/>
    <w:rsid w:val="00FF48B0"/>
    <w:rsid w:val="00FF497E"/>
    <w:rsid w:val="00FF49BA"/>
    <w:rsid w:val="00FF49E3"/>
    <w:rsid w:val="00FF4A59"/>
    <w:rsid w:val="00FF4AA8"/>
    <w:rsid w:val="00FF4ACB"/>
    <w:rsid w:val="00FF4AD4"/>
    <w:rsid w:val="00FF4B28"/>
    <w:rsid w:val="00FF4BAF"/>
    <w:rsid w:val="00FF4C2E"/>
    <w:rsid w:val="00FF4C9A"/>
    <w:rsid w:val="00FF4CBE"/>
    <w:rsid w:val="00FF4CDC"/>
    <w:rsid w:val="00FF4CF2"/>
    <w:rsid w:val="00FF4D33"/>
    <w:rsid w:val="00FF4E3A"/>
    <w:rsid w:val="00FF4E4B"/>
    <w:rsid w:val="00FF4E88"/>
    <w:rsid w:val="00FF4EEF"/>
    <w:rsid w:val="00FF4EF3"/>
    <w:rsid w:val="00FF4F3C"/>
    <w:rsid w:val="00FF4FA0"/>
    <w:rsid w:val="00FF4FD7"/>
    <w:rsid w:val="00FF4FF3"/>
    <w:rsid w:val="00FF508C"/>
    <w:rsid w:val="00FF50D4"/>
    <w:rsid w:val="00FF5122"/>
    <w:rsid w:val="00FF513B"/>
    <w:rsid w:val="00FF5176"/>
    <w:rsid w:val="00FF517F"/>
    <w:rsid w:val="00FF519B"/>
    <w:rsid w:val="00FF51C1"/>
    <w:rsid w:val="00FF51D5"/>
    <w:rsid w:val="00FF524E"/>
    <w:rsid w:val="00FF52AE"/>
    <w:rsid w:val="00FF52AF"/>
    <w:rsid w:val="00FF5315"/>
    <w:rsid w:val="00FF535B"/>
    <w:rsid w:val="00FF536A"/>
    <w:rsid w:val="00FF53BC"/>
    <w:rsid w:val="00FF5460"/>
    <w:rsid w:val="00FF5498"/>
    <w:rsid w:val="00FF54C8"/>
    <w:rsid w:val="00FF54E2"/>
    <w:rsid w:val="00FF5589"/>
    <w:rsid w:val="00FF55A3"/>
    <w:rsid w:val="00FF560E"/>
    <w:rsid w:val="00FF5639"/>
    <w:rsid w:val="00FF56E9"/>
    <w:rsid w:val="00FF5739"/>
    <w:rsid w:val="00FF57C2"/>
    <w:rsid w:val="00FF57EA"/>
    <w:rsid w:val="00FF5814"/>
    <w:rsid w:val="00FF582C"/>
    <w:rsid w:val="00FF583B"/>
    <w:rsid w:val="00FF590A"/>
    <w:rsid w:val="00FF59BA"/>
    <w:rsid w:val="00FF59CF"/>
    <w:rsid w:val="00FF59F3"/>
    <w:rsid w:val="00FF5A01"/>
    <w:rsid w:val="00FF5AAF"/>
    <w:rsid w:val="00FF5AE5"/>
    <w:rsid w:val="00FF5B2F"/>
    <w:rsid w:val="00FF5C53"/>
    <w:rsid w:val="00FF5C58"/>
    <w:rsid w:val="00FF5C66"/>
    <w:rsid w:val="00FF5D03"/>
    <w:rsid w:val="00FF5D8A"/>
    <w:rsid w:val="00FF5DD5"/>
    <w:rsid w:val="00FF5F2F"/>
    <w:rsid w:val="00FF5F84"/>
    <w:rsid w:val="00FF5F93"/>
    <w:rsid w:val="00FF6023"/>
    <w:rsid w:val="00FF6056"/>
    <w:rsid w:val="00FF60A0"/>
    <w:rsid w:val="00FF60AC"/>
    <w:rsid w:val="00FF6111"/>
    <w:rsid w:val="00FF6129"/>
    <w:rsid w:val="00FF61C9"/>
    <w:rsid w:val="00FF625A"/>
    <w:rsid w:val="00FF6357"/>
    <w:rsid w:val="00FF636C"/>
    <w:rsid w:val="00FF63DE"/>
    <w:rsid w:val="00FF63E7"/>
    <w:rsid w:val="00FF641B"/>
    <w:rsid w:val="00FF643E"/>
    <w:rsid w:val="00FF6473"/>
    <w:rsid w:val="00FF6495"/>
    <w:rsid w:val="00FF64C5"/>
    <w:rsid w:val="00FF64FA"/>
    <w:rsid w:val="00FF650B"/>
    <w:rsid w:val="00FF655A"/>
    <w:rsid w:val="00FF65C8"/>
    <w:rsid w:val="00FF65CA"/>
    <w:rsid w:val="00FF65F4"/>
    <w:rsid w:val="00FF663C"/>
    <w:rsid w:val="00FF664A"/>
    <w:rsid w:val="00FF66A5"/>
    <w:rsid w:val="00FF66C3"/>
    <w:rsid w:val="00FF66F6"/>
    <w:rsid w:val="00FF6746"/>
    <w:rsid w:val="00FF681A"/>
    <w:rsid w:val="00FF687B"/>
    <w:rsid w:val="00FF6888"/>
    <w:rsid w:val="00FF6966"/>
    <w:rsid w:val="00FF6980"/>
    <w:rsid w:val="00FF69AF"/>
    <w:rsid w:val="00FF69E9"/>
    <w:rsid w:val="00FF69F8"/>
    <w:rsid w:val="00FF6A67"/>
    <w:rsid w:val="00FF6AD1"/>
    <w:rsid w:val="00FF6AF1"/>
    <w:rsid w:val="00FF6B23"/>
    <w:rsid w:val="00FF6B48"/>
    <w:rsid w:val="00FF6B91"/>
    <w:rsid w:val="00FF6BA1"/>
    <w:rsid w:val="00FF6BAB"/>
    <w:rsid w:val="00FF6BBE"/>
    <w:rsid w:val="00FF6BEC"/>
    <w:rsid w:val="00FF6C4A"/>
    <w:rsid w:val="00FF6CAA"/>
    <w:rsid w:val="00FF6CFE"/>
    <w:rsid w:val="00FF6D14"/>
    <w:rsid w:val="00FF6D35"/>
    <w:rsid w:val="00FF6D9B"/>
    <w:rsid w:val="00FF6D9F"/>
    <w:rsid w:val="00FF6E4F"/>
    <w:rsid w:val="00FF6F09"/>
    <w:rsid w:val="00FF6F13"/>
    <w:rsid w:val="00FF6FC9"/>
    <w:rsid w:val="00FF70AF"/>
    <w:rsid w:val="00FF71CD"/>
    <w:rsid w:val="00FF71EB"/>
    <w:rsid w:val="00FF721B"/>
    <w:rsid w:val="00FF7287"/>
    <w:rsid w:val="00FF72CD"/>
    <w:rsid w:val="00FF7365"/>
    <w:rsid w:val="00FF747F"/>
    <w:rsid w:val="00FF7529"/>
    <w:rsid w:val="00FF7586"/>
    <w:rsid w:val="00FF7645"/>
    <w:rsid w:val="00FF7657"/>
    <w:rsid w:val="00FF768E"/>
    <w:rsid w:val="00FF76F7"/>
    <w:rsid w:val="00FF773F"/>
    <w:rsid w:val="00FF7757"/>
    <w:rsid w:val="00FF7769"/>
    <w:rsid w:val="00FF77C3"/>
    <w:rsid w:val="00FF77DE"/>
    <w:rsid w:val="00FF7832"/>
    <w:rsid w:val="00FF78A3"/>
    <w:rsid w:val="00FF78C0"/>
    <w:rsid w:val="00FF78C8"/>
    <w:rsid w:val="00FF78E5"/>
    <w:rsid w:val="00FF7923"/>
    <w:rsid w:val="00FF7A57"/>
    <w:rsid w:val="00FF7AB1"/>
    <w:rsid w:val="00FF7AF2"/>
    <w:rsid w:val="00FF7B23"/>
    <w:rsid w:val="00FF7B79"/>
    <w:rsid w:val="00FF7B93"/>
    <w:rsid w:val="00FF7B94"/>
    <w:rsid w:val="00FF7B98"/>
    <w:rsid w:val="00FF7BE0"/>
    <w:rsid w:val="00FF7C3B"/>
    <w:rsid w:val="00FF7C67"/>
    <w:rsid w:val="00FF7CB2"/>
    <w:rsid w:val="00FF7CBB"/>
    <w:rsid w:val="00FF7CF0"/>
    <w:rsid w:val="00FF7D0E"/>
    <w:rsid w:val="00FF7D18"/>
    <w:rsid w:val="00FF7D1A"/>
    <w:rsid w:val="00FF7D38"/>
    <w:rsid w:val="00FF7EAA"/>
    <w:rsid w:val="00FF7EB8"/>
    <w:rsid w:val="00FF7ED8"/>
    <w:rsid w:val="00FF7F3B"/>
    <w:rsid w:val="00FF7FAD"/>
    <w:rsid w:val="01166DA7"/>
    <w:rsid w:val="0207D5B9"/>
    <w:rsid w:val="023D0F73"/>
    <w:rsid w:val="04E02BCE"/>
    <w:rsid w:val="058903B5"/>
    <w:rsid w:val="05EB5500"/>
    <w:rsid w:val="06553653"/>
    <w:rsid w:val="06886D3B"/>
    <w:rsid w:val="07A0C768"/>
    <w:rsid w:val="07A7E312"/>
    <w:rsid w:val="07D925AA"/>
    <w:rsid w:val="07E172A9"/>
    <w:rsid w:val="07E5E718"/>
    <w:rsid w:val="09C3B431"/>
    <w:rsid w:val="09EF8AAE"/>
    <w:rsid w:val="0B6F92F6"/>
    <w:rsid w:val="0B98D91A"/>
    <w:rsid w:val="0DDE6D78"/>
    <w:rsid w:val="0F980568"/>
    <w:rsid w:val="1125DB5A"/>
    <w:rsid w:val="11E95E95"/>
    <w:rsid w:val="1225BF86"/>
    <w:rsid w:val="123B6F63"/>
    <w:rsid w:val="137010DC"/>
    <w:rsid w:val="13AD258E"/>
    <w:rsid w:val="14E7AB1C"/>
    <w:rsid w:val="16E05EA5"/>
    <w:rsid w:val="1701849D"/>
    <w:rsid w:val="1723032E"/>
    <w:rsid w:val="17271B34"/>
    <w:rsid w:val="17BEAB71"/>
    <w:rsid w:val="1835F27A"/>
    <w:rsid w:val="183C6F4F"/>
    <w:rsid w:val="18E41388"/>
    <w:rsid w:val="18F26593"/>
    <w:rsid w:val="19DB39DF"/>
    <w:rsid w:val="1A5CF5EB"/>
    <w:rsid w:val="1B1B80F5"/>
    <w:rsid w:val="1B234F1A"/>
    <w:rsid w:val="1BA983F6"/>
    <w:rsid w:val="1C64C07E"/>
    <w:rsid w:val="1DAB7069"/>
    <w:rsid w:val="1E2226A7"/>
    <w:rsid w:val="1E237A3C"/>
    <w:rsid w:val="1FF26D85"/>
    <w:rsid w:val="21D66D00"/>
    <w:rsid w:val="226C9AC1"/>
    <w:rsid w:val="232E9B22"/>
    <w:rsid w:val="24D29953"/>
    <w:rsid w:val="252397D5"/>
    <w:rsid w:val="26908AED"/>
    <w:rsid w:val="26D98559"/>
    <w:rsid w:val="26DA6F0C"/>
    <w:rsid w:val="26EE504C"/>
    <w:rsid w:val="272840F7"/>
    <w:rsid w:val="2784F12A"/>
    <w:rsid w:val="27F59E76"/>
    <w:rsid w:val="28268737"/>
    <w:rsid w:val="29114571"/>
    <w:rsid w:val="29BAFFC1"/>
    <w:rsid w:val="29E578B2"/>
    <w:rsid w:val="2A8781FF"/>
    <w:rsid w:val="2B2EBC4D"/>
    <w:rsid w:val="2CB7E3EC"/>
    <w:rsid w:val="2DD4B378"/>
    <w:rsid w:val="2E1032E4"/>
    <w:rsid w:val="2FF8FF50"/>
    <w:rsid w:val="301980C7"/>
    <w:rsid w:val="307AED68"/>
    <w:rsid w:val="30DCBE7C"/>
    <w:rsid w:val="318FA29A"/>
    <w:rsid w:val="31923783"/>
    <w:rsid w:val="31C73EB5"/>
    <w:rsid w:val="3249184F"/>
    <w:rsid w:val="327AA756"/>
    <w:rsid w:val="3327A95B"/>
    <w:rsid w:val="33446E67"/>
    <w:rsid w:val="33D26D03"/>
    <w:rsid w:val="3527C2C2"/>
    <w:rsid w:val="3711AF50"/>
    <w:rsid w:val="379F4E71"/>
    <w:rsid w:val="37CAEACA"/>
    <w:rsid w:val="38DB43B9"/>
    <w:rsid w:val="39C8C479"/>
    <w:rsid w:val="39F84240"/>
    <w:rsid w:val="3C8B94A7"/>
    <w:rsid w:val="3DFDF0B6"/>
    <w:rsid w:val="3E07AB5D"/>
    <w:rsid w:val="41037AD6"/>
    <w:rsid w:val="413A4D1C"/>
    <w:rsid w:val="413F5C21"/>
    <w:rsid w:val="414EF976"/>
    <w:rsid w:val="42173E35"/>
    <w:rsid w:val="42324AE0"/>
    <w:rsid w:val="42529461"/>
    <w:rsid w:val="4265FE48"/>
    <w:rsid w:val="427BB991"/>
    <w:rsid w:val="4297D442"/>
    <w:rsid w:val="4301CA17"/>
    <w:rsid w:val="434222D5"/>
    <w:rsid w:val="4418F027"/>
    <w:rsid w:val="471183CD"/>
    <w:rsid w:val="4857459C"/>
    <w:rsid w:val="4881E8BB"/>
    <w:rsid w:val="489FAB70"/>
    <w:rsid w:val="4AEA6F54"/>
    <w:rsid w:val="4B1AA3B0"/>
    <w:rsid w:val="4B4D9102"/>
    <w:rsid w:val="4C720CFE"/>
    <w:rsid w:val="4D3EA8C7"/>
    <w:rsid w:val="4D7D5B83"/>
    <w:rsid w:val="4F2CAF5B"/>
    <w:rsid w:val="4FF000CF"/>
    <w:rsid w:val="50622ACC"/>
    <w:rsid w:val="509B803E"/>
    <w:rsid w:val="516EA53B"/>
    <w:rsid w:val="5232D387"/>
    <w:rsid w:val="525FB294"/>
    <w:rsid w:val="52B60037"/>
    <w:rsid w:val="532F03AB"/>
    <w:rsid w:val="533FEB65"/>
    <w:rsid w:val="54C16D08"/>
    <w:rsid w:val="55E35926"/>
    <w:rsid w:val="5604D770"/>
    <w:rsid w:val="56453722"/>
    <w:rsid w:val="5656447D"/>
    <w:rsid w:val="570B7855"/>
    <w:rsid w:val="5821E5FC"/>
    <w:rsid w:val="5898B9A9"/>
    <w:rsid w:val="59CDB7E3"/>
    <w:rsid w:val="5A0795A6"/>
    <w:rsid w:val="5A09367F"/>
    <w:rsid w:val="5A8EEFB1"/>
    <w:rsid w:val="5C046B2A"/>
    <w:rsid w:val="5CC0F3D0"/>
    <w:rsid w:val="5D0211CA"/>
    <w:rsid w:val="5D1BEEC5"/>
    <w:rsid w:val="5FCEAF54"/>
    <w:rsid w:val="60DDC5D9"/>
    <w:rsid w:val="61531721"/>
    <w:rsid w:val="6196C30B"/>
    <w:rsid w:val="62156833"/>
    <w:rsid w:val="6259A17D"/>
    <w:rsid w:val="62C0BC6B"/>
    <w:rsid w:val="6350962A"/>
    <w:rsid w:val="635F94F8"/>
    <w:rsid w:val="65336E90"/>
    <w:rsid w:val="6541FD9B"/>
    <w:rsid w:val="65428B59"/>
    <w:rsid w:val="659F383C"/>
    <w:rsid w:val="660B05A8"/>
    <w:rsid w:val="664B1BD9"/>
    <w:rsid w:val="684046D3"/>
    <w:rsid w:val="684F03E0"/>
    <w:rsid w:val="69E24540"/>
    <w:rsid w:val="6A1BA82E"/>
    <w:rsid w:val="6C2A67E3"/>
    <w:rsid w:val="6C2FEF79"/>
    <w:rsid w:val="6C8493F7"/>
    <w:rsid w:val="6CB04719"/>
    <w:rsid w:val="6D46BBBF"/>
    <w:rsid w:val="6E898DB8"/>
    <w:rsid w:val="7006D9E5"/>
    <w:rsid w:val="70548E8D"/>
    <w:rsid w:val="71E03952"/>
    <w:rsid w:val="745DB9A1"/>
    <w:rsid w:val="74E67BF1"/>
    <w:rsid w:val="75271196"/>
    <w:rsid w:val="76A7B0B2"/>
    <w:rsid w:val="77363744"/>
    <w:rsid w:val="77F05B29"/>
    <w:rsid w:val="77FE7A3B"/>
    <w:rsid w:val="783375C6"/>
    <w:rsid w:val="7B048D37"/>
    <w:rsid w:val="7B1DA8EE"/>
    <w:rsid w:val="7C059CB3"/>
    <w:rsid w:val="7CF327BC"/>
    <w:rsid w:val="7E67F93E"/>
    <w:rsid w:val="7E9760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B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4E"/>
    <w:pPr>
      <w:tabs>
        <w:tab w:val="left" w:pos="1650"/>
      </w:tabs>
      <w:spacing w:before="200" w:after="20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numPr>
        <w:numId w:val="92"/>
      </w:num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446C8E"/>
    <w:pPr>
      <w:numPr>
        <w:ilvl w:val="1"/>
        <w:numId w:val="92"/>
      </w:numPr>
      <w:spacing w:before="360" w:line="460" w:lineRule="exact"/>
      <w:jc w:val="both"/>
      <w:outlineLvl w:val="1"/>
    </w:pPr>
    <w:rPr>
      <w:bCs w:val="0"/>
      <w:iCs/>
      <w:color w:val="2C384A"/>
      <w:sz w:val="36"/>
      <w:szCs w:val="28"/>
    </w:rPr>
  </w:style>
  <w:style w:type="paragraph" w:styleId="Heading3">
    <w:name w:val="heading 3"/>
    <w:basedOn w:val="HeadingBase"/>
    <w:next w:val="Normal"/>
    <w:link w:val="Heading3Char"/>
    <w:qFormat/>
    <w:rsid w:val="00D05F64"/>
    <w:pPr>
      <w:numPr>
        <w:ilvl w:val="2"/>
        <w:numId w:val="92"/>
      </w:numPr>
      <w:spacing w:before="360" w:line="460" w:lineRule="exact"/>
      <w:jc w:val="both"/>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6377B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0"/>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F0035C"/>
    <w:pPr>
      <w:keepNext/>
      <w:spacing w:beforeLines="40" w:before="96" w:afterLines="40" w:after="96"/>
    </w:pPr>
    <w:rPr>
      <w:b/>
      <w:bCs/>
      <w:color w:val="2C384A" w:themeColor="accent1"/>
      <w:sz w:val="20"/>
      <w:u w:val="single"/>
    </w:rPr>
  </w:style>
  <w:style w:type="paragraph" w:customStyle="1" w:styleId="BoxText">
    <w:name w:val="Box Text"/>
    <w:basedOn w:val="Normal"/>
    <w:link w:val="BoxTextChar"/>
    <w:rsid w:val="00B13F7B"/>
    <w:pPr>
      <w:keepNext/>
      <w:spacing w:beforeLines="40" w:before="96" w:afterLines="40" w:after="96"/>
    </w:pPr>
    <w:rPr>
      <w:b/>
      <w:color w:val="2C384A" w:themeColor="accent1"/>
      <w:sz w:val="20"/>
    </w:rPr>
  </w:style>
  <w:style w:type="paragraph" w:customStyle="1" w:styleId="Bullet">
    <w:name w:val="Bullet"/>
    <w:aliases w:val="b,b + line,b1,Body,Bullet + line,level 1,BodyNum,CG-Bullet"/>
    <w:basedOn w:val="Normal"/>
    <w:link w:val="BulletChar"/>
    <w:qFormat/>
    <w:rsid w:val="00A51490"/>
    <w:pPr>
      <w:numPr>
        <w:numId w:val="39"/>
      </w:numPr>
      <w:tabs>
        <w:tab w:val="left" w:pos="720"/>
      </w:tabs>
    </w:pPr>
  </w:style>
  <w:style w:type="paragraph" w:customStyle="1" w:styleId="ChartandTableFootnoteAlpha">
    <w:name w:val="Chart and Table Footnote Alpha"/>
    <w:rsid w:val="008043EA"/>
    <w:p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ChartGraphic"/>
    <w:next w:val="ChartGraphic"/>
    <w:qFormat/>
    <w:rsid w:val="00991CD2"/>
    <w:pPr>
      <w:spacing w:before="300"/>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43"/>
      </w:numPr>
      <w:spacing w:before="0"/>
    </w:pPr>
  </w:style>
  <w:style w:type="paragraph" w:customStyle="1" w:styleId="DoubleDot">
    <w:name w:val="Double Dot"/>
    <w:basedOn w:val="Normal"/>
    <w:link w:val="DoubleDotChar"/>
    <w:qFormat/>
    <w:rsid w:val="00001FC4"/>
    <w:pPr>
      <w:numPr>
        <w:ilvl w:val="2"/>
        <w:numId w:val="108"/>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numPr>
        <w:numId w:val="45"/>
      </w:numPr>
      <w:tabs>
        <w:tab w:val="num" w:pos="851"/>
        <w:tab w:val="num" w:pos="1891"/>
      </w:tabs>
      <w:spacing w:before="0"/>
    </w:pPr>
  </w:style>
  <w:style w:type="paragraph" w:customStyle="1" w:styleId="OneLevelNumberedParagraph">
    <w:name w:val="One Level Numbered Paragraph"/>
    <w:basedOn w:val="Normal"/>
    <w:rsid w:val="008043EA"/>
    <w:pPr>
      <w:numPr>
        <w:numId w:val="3"/>
      </w:numPr>
      <w:tabs>
        <w:tab w:val="num" w:pos="360"/>
      </w:tabs>
      <w:spacing w:before="0"/>
    </w:pPr>
  </w:style>
  <w:style w:type="paragraph" w:customStyle="1" w:styleId="OutlineNumbered2">
    <w:name w:val="Outline Numbered 2"/>
    <w:basedOn w:val="Normal"/>
    <w:link w:val="OutlineNumbered2Char"/>
    <w:rsid w:val="008043EA"/>
    <w:pPr>
      <w:numPr>
        <w:ilvl w:val="1"/>
        <w:numId w:val="45"/>
      </w:numPr>
      <w:tabs>
        <w:tab w:val="num" w:pos="1134"/>
      </w:tabs>
      <w:spacing w:before="0"/>
    </w:pPr>
  </w:style>
  <w:style w:type="paragraph" w:customStyle="1" w:styleId="OutlineNumbered3">
    <w:name w:val="Outline Numbered 3"/>
    <w:basedOn w:val="Normal"/>
    <w:rsid w:val="008043EA"/>
    <w:pPr>
      <w:numPr>
        <w:ilvl w:val="2"/>
        <w:numId w:val="45"/>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3"/>
      </w:numPr>
    </w:pPr>
  </w:style>
  <w:style w:type="numbering" w:customStyle="1" w:styleId="OneLevelList">
    <w:name w:val="OneLevelList"/>
    <w:uiPriority w:val="99"/>
    <w:rsid w:val="008043EA"/>
    <w:pPr>
      <w:numPr>
        <w:numId w:val="8"/>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5"/>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numId w:val="5"/>
      </w:numPr>
    </w:pPr>
  </w:style>
  <w:style w:type="paragraph" w:customStyle="1" w:styleId="Heading3Numbered">
    <w:name w:val="Heading 3 Numbered"/>
    <w:basedOn w:val="Heading3"/>
    <w:rsid w:val="008043EA"/>
    <w:pPr>
      <w:numPr>
        <w:numId w:val="5"/>
      </w:numPr>
    </w:pPr>
    <w:rPr>
      <w:bCs/>
      <w:iCs/>
      <w:szCs w:val="28"/>
    </w:r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normal,SUPERS"/>
    <w:basedOn w:val="DefaultParagraphFont"/>
    <w:uiPriority w:val="99"/>
    <w:qFormat/>
    <w:rsid w:val="00EE323D"/>
    <w:rPr>
      <w:sz w:val="18"/>
      <w:vertAlign w:val="superscript"/>
    </w:rPr>
  </w:style>
  <w:style w:type="paragraph" w:styleId="FootnoteText">
    <w:name w:val="footnote text"/>
    <w:aliases w:val="Footnote text,ACMA Footnote Text,footnote text,Footnote Text Char Char,Footnote Text Char1 Char Char,Footnote Text Char Char Char Char,Footnote Text Char1 Char Char Char Char,Footnote Text Char Char Char Char Char Char,ALTS FOOTNOTE,f,fn,A"/>
    <w:basedOn w:val="Normal"/>
    <w:link w:val="FootnoteTextChar"/>
    <w:uiPriority w:val="99"/>
    <w:qFormat/>
    <w:rsid w:val="008043EA"/>
    <w:pPr>
      <w:spacing w:before="0" w:after="0"/>
      <w:ind w:left="397" w:hanging="397"/>
    </w:pPr>
    <w:rPr>
      <w:sz w:val="20"/>
    </w:rPr>
  </w:style>
  <w:style w:type="character" w:customStyle="1" w:styleId="FootnoteTextChar">
    <w:name w:val="Footnote Text Char"/>
    <w:aliases w:val="Footnote text Char,ACMA Footnote Text Char,footnote text Char,Footnote Text Char Char Char,Footnote Text Char1 Char Char Char,Footnote Text Char Char Char Char Char,Footnote Text Char1 Char Char Char Char Char,ALTS FOOTNOTE Char"/>
    <w:basedOn w:val="DefaultParagraphFont"/>
    <w:link w:val="FootnoteText"/>
    <w:uiPriority w:val="99"/>
    <w:qFormat/>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CV text Char,Dot pt Char,F5 List Paragraph Char,L Char,List Paragraph1 Char,List Paragraph11 Char,Number Char,Recommendation Char,b + line Char,b + line Char Char,b Char,b Char Char,b1 Char,level 1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b/>
      <w:color w:val="2C384A" w:themeColor="accent1"/>
      <w:sz w:val="20"/>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styleId="ListParagraph">
    <w:name w:val="List Paragraph"/>
    <w:basedOn w:val="Normal"/>
    <w:link w:val="ListParagraphChar"/>
    <w:uiPriority w:val="34"/>
    <w:qFormat/>
    <w:rsid w:val="00A8465A"/>
    <w:pPr>
      <w:spacing w:before="0" w:after="160" w:line="259" w:lineRule="auto"/>
      <w:ind w:left="720"/>
      <w:contextualSpacing/>
    </w:pPr>
    <w:rPr>
      <w:rFonts w:asciiTheme="minorHAnsi" w:eastAsiaTheme="minorHAnsi" w:hAnsiTheme="minorHAnsi" w:cstheme="minorBidi"/>
      <w:szCs w:val="22"/>
      <w:lang w:eastAsia="en-US"/>
    </w:rPr>
  </w:style>
  <w:style w:type="character" w:styleId="CommentReference">
    <w:name w:val="annotation reference"/>
    <w:basedOn w:val="DefaultParagraphFont"/>
    <w:uiPriority w:val="99"/>
    <w:semiHidden/>
    <w:unhideWhenUsed/>
    <w:rsid w:val="002C39F9"/>
    <w:rPr>
      <w:sz w:val="16"/>
      <w:szCs w:val="16"/>
    </w:rPr>
  </w:style>
  <w:style w:type="paragraph" w:styleId="CommentText">
    <w:name w:val="annotation text"/>
    <w:basedOn w:val="Normal"/>
    <w:link w:val="CommentTextChar"/>
    <w:uiPriority w:val="99"/>
    <w:unhideWhenUsed/>
    <w:rsid w:val="002C39F9"/>
    <w:pPr>
      <w:spacing w:before="0"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2C39F9"/>
    <w:rPr>
      <w:sz w:val="20"/>
      <w:szCs w:val="20"/>
    </w:rPr>
  </w:style>
  <w:style w:type="paragraph" w:styleId="CommentSubject">
    <w:name w:val="annotation subject"/>
    <w:basedOn w:val="CommentText"/>
    <w:next w:val="CommentText"/>
    <w:link w:val="CommentSubjectChar"/>
    <w:uiPriority w:val="99"/>
    <w:semiHidden/>
    <w:unhideWhenUsed/>
    <w:rsid w:val="0028089C"/>
    <w:rPr>
      <w:b/>
      <w:bCs/>
    </w:rPr>
  </w:style>
  <w:style w:type="character" w:customStyle="1" w:styleId="CommentSubjectChar">
    <w:name w:val="Comment Subject Char"/>
    <w:basedOn w:val="CommentTextChar"/>
    <w:link w:val="CommentSubject"/>
    <w:uiPriority w:val="99"/>
    <w:semiHidden/>
    <w:rsid w:val="0028089C"/>
    <w:rPr>
      <w:b/>
      <w:bCs/>
      <w:sz w:val="20"/>
      <w:szCs w:val="20"/>
    </w:rPr>
  </w:style>
  <w:style w:type="paragraph" w:styleId="Revision">
    <w:name w:val="Revision"/>
    <w:hidden/>
    <w:uiPriority w:val="99"/>
    <w:semiHidden/>
    <w:rsid w:val="004C6DE8"/>
    <w:pPr>
      <w:spacing w:after="0" w:line="240" w:lineRule="auto"/>
    </w:pPr>
    <w:rPr>
      <w:rFonts w:ascii="Calibri Light" w:eastAsia="Times New Roman" w:hAnsi="Calibri Light" w:cs="Times New Roman"/>
      <w:szCs w:val="20"/>
      <w:lang w:eastAsia="en-AU"/>
    </w:rPr>
  </w:style>
  <w:style w:type="character" w:customStyle="1" w:styleId="ListParagraphChar">
    <w:name w:val="List Paragraph Char"/>
    <w:basedOn w:val="DefaultParagraphFont"/>
    <w:link w:val="ListParagraph"/>
    <w:uiPriority w:val="34"/>
    <w:rsid w:val="002D27A3"/>
  </w:style>
  <w:style w:type="character" w:styleId="Mention">
    <w:name w:val="Mention"/>
    <w:basedOn w:val="DefaultParagraphFont"/>
    <w:uiPriority w:val="99"/>
    <w:unhideWhenUsed/>
    <w:rsid w:val="00EE52D9"/>
    <w:rPr>
      <w:color w:val="2B579A"/>
      <w:shd w:val="clear" w:color="auto" w:fill="E1DFDD"/>
    </w:rPr>
  </w:style>
  <w:style w:type="character" w:customStyle="1" w:styleId="ui-provider">
    <w:name w:val="ui-provider"/>
    <w:basedOn w:val="DefaultParagraphFont"/>
    <w:rsid w:val="007A1AF9"/>
  </w:style>
  <w:style w:type="character" w:customStyle="1" w:styleId="OutlineNumbered1Char">
    <w:name w:val="Outline Numbered 1 Char"/>
    <w:basedOn w:val="DefaultParagraphFont"/>
    <w:link w:val="OutlineNumbered1"/>
    <w:locked/>
    <w:rsid w:val="006B164C"/>
    <w:rPr>
      <w:rFonts w:ascii="Calibri Light" w:eastAsia="Times New Roman" w:hAnsi="Calibri Light" w:cs="Times New Roman"/>
      <w:szCs w:val="20"/>
      <w:lang w:eastAsia="en-AU"/>
    </w:rPr>
  </w:style>
  <w:style w:type="character" w:customStyle="1" w:styleId="OutlineNumbered2Char">
    <w:name w:val="Outline Numbered 2 Char"/>
    <w:basedOn w:val="ListParagraphChar"/>
    <w:link w:val="OutlineNumbered2"/>
    <w:rsid w:val="00851E75"/>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990233"/>
    <w:rPr>
      <w:color w:val="844D9E" w:themeColor="followedHyperlink"/>
      <w:u w:val="single"/>
    </w:rPr>
  </w:style>
  <w:style w:type="paragraph" w:customStyle="1" w:styleId="legclearfix">
    <w:name w:val="legclearfix"/>
    <w:basedOn w:val="Normal"/>
    <w:rsid w:val="0060245C"/>
    <w:pPr>
      <w:spacing w:before="100" w:beforeAutospacing="1" w:after="100" w:afterAutospacing="1"/>
    </w:pPr>
    <w:rPr>
      <w:rFonts w:ascii="Times New Roman" w:hAnsi="Times New Roman"/>
      <w:sz w:val="24"/>
      <w:szCs w:val="24"/>
    </w:rPr>
  </w:style>
  <w:style w:type="character" w:customStyle="1" w:styleId="legds">
    <w:name w:val="legds"/>
    <w:basedOn w:val="DefaultParagraphFont"/>
    <w:rsid w:val="0060245C"/>
  </w:style>
  <w:style w:type="table" w:styleId="PlainTable1">
    <w:name w:val="Plain Table 1"/>
    <w:basedOn w:val="TableNormal"/>
    <w:uiPriority w:val="41"/>
    <w:rsid w:val="004946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ai">
    <w:name w:val="Outline List 1"/>
    <w:basedOn w:val="NoList"/>
    <w:uiPriority w:val="99"/>
    <w:semiHidden/>
    <w:unhideWhenUsed/>
    <w:rsid w:val="00AF20F5"/>
    <w:pPr>
      <w:numPr>
        <w:numId w:val="61"/>
      </w:numPr>
    </w:pPr>
  </w:style>
  <w:style w:type="table" w:customStyle="1" w:styleId="TableGrid3">
    <w:name w:val="Table Grid3"/>
    <w:basedOn w:val="TableNormal"/>
    <w:next w:val="TableGrid"/>
    <w:uiPriority w:val="59"/>
    <w:rsid w:val="00AF3982"/>
    <w:pPr>
      <w:spacing w:before="60" w:after="60" w:line="240" w:lineRule="auto"/>
    </w:pPr>
    <w:rPr>
      <w:rFonts w:ascii="Arial" w:eastAsia="Arial" w:hAnsi="Arial"/>
      <w:color w:val="000000"/>
    </w:rPr>
    <w:tblPr>
      <w:tblStyleRowBandSize w:val="1"/>
      <w:tblStyleColBandSize w:val="1"/>
      <w:tblBorders>
        <w:bottom w:val="single" w:sz="4" w:space="0" w:color="FFFFFF"/>
        <w:insideH w:val="single" w:sz="4" w:space="0" w:color="FFFFFF"/>
        <w:insideV w:val="single" w:sz="4" w:space="0" w:color="FFFFFF"/>
      </w:tblBorders>
      <w:tblCellMar>
        <w:top w:w="28" w:type="dxa"/>
        <w:bottom w:w="28" w:type="dxa"/>
      </w:tblCellMar>
    </w:tblPr>
    <w:tcPr>
      <w:shd w:val="clear" w:color="auto" w:fill="EAECEE"/>
    </w:tcPr>
    <w:tblStylePr w:type="firstRow">
      <w:rPr>
        <w:b w:val="0"/>
        <w:color w:val="FFFFFF"/>
      </w:rPr>
      <w:tblPr/>
      <w:trPr>
        <w:cantSplit/>
        <w:tblHeader/>
      </w:trPr>
      <w:tcPr>
        <w:shd w:val="clear" w:color="auto" w:fill="012169"/>
      </w:tcPr>
    </w:tblStylePr>
    <w:tblStylePr w:type="lastRow">
      <w:rPr>
        <w:b/>
      </w:rPr>
      <w:tblPr/>
      <w:tcPr>
        <w:shd w:val="clear" w:color="auto" w:fill="EAECEE"/>
      </w:tcPr>
    </w:tblStylePr>
    <w:tblStylePr w:type="firstCol">
      <w:rPr>
        <w:b/>
        <w:color w:val="auto"/>
      </w:rPr>
    </w:tblStylePr>
    <w:tblStylePr w:type="lastCol">
      <w:pPr>
        <w:jc w:val="right"/>
      </w:pPr>
      <w:rPr>
        <w:b/>
      </w:rPr>
    </w:tblStylePr>
    <w:tblStylePr w:type="band1Horz">
      <w:tblPr/>
      <w:tcPr>
        <w:shd w:val="clear" w:color="auto" w:fill="EAECEE"/>
      </w:tcPr>
    </w:tblStylePr>
    <w:tblStylePr w:type="band2Horz">
      <w:tblPr/>
      <w:tcPr>
        <w:shd w:val="clear" w:color="auto" w:fill="C1C8CE"/>
      </w:tcPr>
    </w:tblStylePr>
  </w:style>
  <w:style w:type="paragraph" w:styleId="BodyText">
    <w:name w:val="Body Text"/>
    <w:link w:val="BodyTextChar"/>
    <w:qFormat/>
    <w:rsid w:val="00A33D9C"/>
    <w:pPr>
      <w:spacing w:after="120" w:line="276" w:lineRule="auto"/>
      <w:jc w:val="both"/>
    </w:pPr>
    <w:rPr>
      <w:rFonts w:eastAsiaTheme="minorEastAsia"/>
      <w:lang w:eastAsia="en-AU"/>
    </w:rPr>
  </w:style>
  <w:style w:type="character" w:customStyle="1" w:styleId="BodyTextChar">
    <w:name w:val="Body Text Char"/>
    <w:basedOn w:val="DefaultParagraphFont"/>
    <w:link w:val="BodyText"/>
    <w:rsid w:val="00A33D9C"/>
    <w:rPr>
      <w:rFonts w:eastAsiaTheme="minorEastAsia"/>
      <w:lang w:eastAsia="en-AU"/>
    </w:rPr>
  </w:style>
  <w:style w:type="paragraph" w:styleId="Date">
    <w:name w:val="Date"/>
    <w:basedOn w:val="Title"/>
    <w:next w:val="BodyText"/>
    <w:link w:val="DateChar"/>
    <w:uiPriority w:val="99"/>
    <w:semiHidden/>
    <w:rsid w:val="00A978A1"/>
    <w:pPr>
      <w:spacing w:after="0"/>
      <w:jc w:val="center"/>
    </w:pPr>
    <w:rPr>
      <w:rFonts w:ascii="Calibri" w:hAnsi="Calibri"/>
      <w:caps/>
      <w:color w:val="auto"/>
      <w:sz w:val="28"/>
      <w:szCs w:val="36"/>
    </w:rPr>
  </w:style>
  <w:style w:type="character" w:customStyle="1" w:styleId="DateChar">
    <w:name w:val="Date Char"/>
    <w:basedOn w:val="DefaultParagraphFont"/>
    <w:link w:val="Date"/>
    <w:uiPriority w:val="99"/>
    <w:semiHidden/>
    <w:rsid w:val="00A978A1"/>
    <w:rPr>
      <w:rFonts w:ascii="Calibri" w:eastAsiaTheme="majorEastAsia" w:hAnsi="Calibri" w:cstheme="majorBidi"/>
      <w:b/>
      <w:caps/>
      <w:spacing w:val="5"/>
      <w:kern w:val="28"/>
      <w:sz w:val="28"/>
      <w:szCs w:val="36"/>
      <w:lang w:eastAsia="en-AU"/>
    </w:rPr>
  </w:style>
  <w:style w:type="table" w:styleId="ListTable3-Accent6">
    <w:name w:val="List Table 3 Accent 6"/>
    <w:basedOn w:val="TableNormal"/>
    <w:uiPriority w:val="48"/>
    <w:rsid w:val="00317EC1"/>
    <w:pPr>
      <w:spacing w:after="0" w:line="240" w:lineRule="auto"/>
    </w:pPr>
    <w:tblPr>
      <w:tblStyleRowBandSize w:val="1"/>
      <w:tblStyleColBandSize w:val="1"/>
      <w:tblBorders>
        <w:top w:val="single" w:sz="4" w:space="0" w:color="F0AE81" w:themeColor="accent6"/>
        <w:left w:val="single" w:sz="4" w:space="0" w:color="F0AE81" w:themeColor="accent6"/>
        <w:bottom w:val="single" w:sz="4" w:space="0" w:color="F0AE81" w:themeColor="accent6"/>
        <w:right w:val="single" w:sz="4" w:space="0" w:color="F0AE81" w:themeColor="accent6"/>
      </w:tblBorders>
    </w:tblPr>
    <w:tblStylePr w:type="firstRow">
      <w:rPr>
        <w:b/>
        <w:bCs/>
        <w:color w:val="FFFFFF" w:themeColor="background1"/>
      </w:rPr>
      <w:tblPr/>
      <w:tcPr>
        <w:shd w:val="clear" w:color="auto" w:fill="F0AE81" w:themeFill="accent6"/>
      </w:tcPr>
    </w:tblStylePr>
    <w:tblStylePr w:type="lastRow">
      <w:rPr>
        <w:b/>
        <w:bCs/>
      </w:rPr>
      <w:tblPr/>
      <w:tcPr>
        <w:tcBorders>
          <w:top w:val="double" w:sz="4" w:space="0" w:color="F0AE8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E81" w:themeColor="accent6"/>
          <w:right w:val="single" w:sz="4" w:space="0" w:color="F0AE81" w:themeColor="accent6"/>
        </w:tcBorders>
      </w:tcPr>
    </w:tblStylePr>
    <w:tblStylePr w:type="band1Horz">
      <w:tblPr/>
      <w:tcPr>
        <w:tcBorders>
          <w:top w:val="single" w:sz="4" w:space="0" w:color="F0AE81" w:themeColor="accent6"/>
          <w:bottom w:val="single" w:sz="4" w:space="0" w:color="F0AE8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E81" w:themeColor="accent6"/>
          <w:left w:val="nil"/>
        </w:tcBorders>
      </w:tcPr>
    </w:tblStylePr>
    <w:tblStylePr w:type="swCell">
      <w:tblPr/>
      <w:tcPr>
        <w:tcBorders>
          <w:top w:val="double" w:sz="4" w:space="0" w:color="F0AE81" w:themeColor="accent6"/>
          <w:right w:val="nil"/>
        </w:tcBorders>
      </w:tcPr>
    </w:tblStylePr>
  </w:style>
  <w:style w:type="paragraph" w:customStyle="1" w:styleId="pf0">
    <w:name w:val="pf0"/>
    <w:basedOn w:val="Normal"/>
    <w:rsid w:val="00463AF9"/>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AF9"/>
    <w:rPr>
      <w:rFonts w:ascii="Segoe UI" w:hAnsi="Segoe UI" w:cs="Segoe UI" w:hint="default"/>
      <w:sz w:val="18"/>
      <w:szCs w:val="18"/>
    </w:rPr>
  </w:style>
  <w:style w:type="paragraph" w:styleId="NormalWeb">
    <w:name w:val="Normal (Web)"/>
    <w:basedOn w:val="Normal"/>
    <w:link w:val="NormalWebChar"/>
    <w:uiPriority w:val="99"/>
    <w:unhideWhenUsed/>
    <w:rsid w:val="00572E6A"/>
    <w:pPr>
      <w:spacing w:before="100" w:beforeAutospacing="1" w:after="100" w:afterAutospacing="1"/>
    </w:pPr>
    <w:rPr>
      <w:rFonts w:ascii="Times New Roman" w:hAnsi="Times New Roman"/>
      <w:sz w:val="24"/>
      <w:szCs w:val="24"/>
    </w:rPr>
  </w:style>
  <w:style w:type="character" w:customStyle="1" w:styleId="cf11">
    <w:name w:val="cf11"/>
    <w:basedOn w:val="DefaultParagraphFont"/>
    <w:rsid w:val="005546E5"/>
    <w:rPr>
      <w:rFonts w:ascii="Segoe UI" w:hAnsi="Segoe UI" w:cs="Segoe UI" w:hint="default"/>
      <w:sz w:val="18"/>
      <w:szCs w:val="18"/>
    </w:rPr>
  </w:style>
  <w:style w:type="paragraph" w:customStyle="1" w:styleId="HHText">
    <w:name w:val="HH Text"/>
    <w:basedOn w:val="Normal"/>
    <w:qFormat/>
    <w:rsid w:val="006048D5"/>
    <w:pPr>
      <w:keepLines/>
      <w:jc w:val="both"/>
    </w:pPr>
    <w:rPr>
      <w:color w:val="000000" w:themeColor="text1"/>
    </w:rPr>
  </w:style>
  <w:style w:type="paragraph" w:styleId="TOC4">
    <w:name w:val="toc 4"/>
    <w:basedOn w:val="Normal"/>
    <w:next w:val="Normal"/>
    <w:autoRedefine/>
    <w:uiPriority w:val="39"/>
    <w:unhideWhenUsed/>
    <w:rsid w:val="008968AE"/>
    <w:pPr>
      <w:spacing w:before="0"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8968AE"/>
    <w:pPr>
      <w:spacing w:before="0"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8968AE"/>
    <w:pPr>
      <w:spacing w:before="0"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8968AE"/>
    <w:pPr>
      <w:spacing w:before="0"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8968AE"/>
    <w:pPr>
      <w:spacing w:before="0"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8968AE"/>
    <w:pPr>
      <w:spacing w:before="0" w:after="100" w:line="259" w:lineRule="auto"/>
      <w:ind w:left="1760"/>
    </w:pPr>
    <w:rPr>
      <w:rFonts w:asciiTheme="minorHAnsi" w:eastAsiaTheme="minorEastAsia" w:hAnsiTheme="minorHAnsi" w:cstheme="minorBidi"/>
      <w:szCs w:val="22"/>
    </w:rPr>
  </w:style>
  <w:style w:type="paragraph" w:customStyle="1" w:styleId="Consultationquestions">
    <w:name w:val="Consultation questions"/>
    <w:basedOn w:val="ListParagraph"/>
    <w:link w:val="ConsultationquestionsChar"/>
    <w:qFormat/>
    <w:rsid w:val="001D123F"/>
    <w:pPr>
      <w:numPr>
        <w:numId w:val="71"/>
      </w:numPr>
      <w:tabs>
        <w:tab w:val="clear" w:pos="1650"/>
      </w:tabs>
      <w:spacing w:beforeLines="40" w:before="96" w:afterLines="40" w:after="96"/>
    </w:pPr>
    <w:rPr>
      <w:bCs/>
      <w:color w:val="2C384A" w:themeColor="accent1"/>
      <w:sz w:val="20"/>
    </w:rPr>
  </w:style>
  <w:style w:type="character" w:customStyle="1" w:styleId="ConsultationquestionsChar">
    <w:name w:val="Consultation questions Char"/>
    <w:basedOn w:val="ListParagraphChar"/>
    <w:link w:val="Consultationquestions"/>
    <w:rsid w:val="008968AE"/>
    <w:rPr>
      <w:bCs/>
      <w:color w:val="2C384A" w:themeColor="accent1"/>
      <w:sz w:val="20"/>
    </w:rPr>
  </w:style>
  <w:style w:type="character" w:customStyle="1" w:styleId="NormalWebChar">
    <w:name w:val="Normal (Web) Char"/>
    <w:basedOn w:val="DefaultParagraphFont"/>
    <w:link w:val="NormalWeb"/>
    <w:uiPriority w:val="99"/>
    <w:rsid w:val="00CB2AB0"/>
    <w:rPr>
      <w:rFonts w:ascii="Times New Roman" w:eastAsia="Times New Roman" w:hAnsi="Times New Roman" w:cs="Times New Roman"/>
      <w:sz w:val="24"/>
      <w:szCs w:val="24"/>
      <w:lang w:eastAsia="en-AU"/>
    </w:rPr>
  </w:style>
  <w:style w:type="paragraph" w:styleId="Caption">
    <w:name w:val="caption"/>
    <w:basedOn w:val="Normal"/>
    <w:next w:val="Normal"/>
    <w:uiPriority w:val="35"/>
    <w:unhideWhenUsed/>
    <w:qFormat/>
    <w:rsid w:val="00EE47F6"/>
    <w:pPr>
      <w:spacing w:before="0"/>
    </w:pPr>
    <w:rPr>
      <w:i/>
      <w:iCs/>
      <w:color w:val="5F5F5F" w:themeColor="text2"/>
      <w:sz w:val="18"/>
      <w:szCs w:val="18"/>
    </w:rPr>
  </w:style>
  <w:style w:type="paragraph" w:customStyle="1" w:styleId="paragraph">
    <w:name w:val="paragraph"/>
    <w:basedOn w:val="Normal"/>
    <w:rsid w:val="007F7E92"/>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7F7E92"/>
  </w:style>
  <w:style w:type="character" w:customStyle="1" w:styleId="eop">
    <w:name w:val="eop"/>
    <w:basedOn w:val="DefaultParagraphFont"/>
    <w:rsid w:val="007F7E92"/>
  </w:style>
  <w:style w:type="paragraph" w:customStyle="1" w:styleId="letternumbering">
    <w:name w:val="letter numbering"/>
    <w:basedOn w:val="ListParagraph"/>
    <w:link w:val="letternumberingChar"/>
    <w:qFormat/>
    <w:rsid w:val="00997396"/>
    <w:pPr>
      <w:numPr>
        <w:numId w:val="111"/>
      </w:numPr>
      <w:spacing w:before="120" w:after="0" w:line="240" w:lineRule="auto"/>
      <w:ind w:left="357" w:hanging="357"/>
      <w:contextualSpacing w:val="0"/>
    </w:pPr>
    <w:rPr>
      <w:rFonts w:ascii="Calibri Light" w:hAnsi="Calibri Light" w:cs="Calibri Light"/>
    </w:rPr>
  </w:style>
  <w:style w:type="character" w:customStyle="1" w:styleId="letternumberingChar">
    <w:name w:val="letter numbering Char"/>
    <w:basedOn w:val="ListParagraphChar"/>
    <w:link w:val="letternumbering"/>
    <w:rsid w:val="00997396"/>
    <w:rPr>
      <w:rFonts w:ascii="Calibri Light" w:hAnsi="Calibri Light" w:cs="Calibri Light"/>
    </w:rPr>
  </w:style>
  <w:style w:type="table" w:styleId="GridTable5Dark-Accent1">
    <w:name w:val="Grid Table 5 Dark Accent 1"/>
    <w:basedOn w:val="TableNormal"/>
    <w:uiPriority w:val="50"/>
    <w:rsid w:val="005C4D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5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84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84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84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84A" w:themeFill="accent1"/>
      </w:tcPr>
    </w:tblStylePr>
    <w:tblStylePr w:type="band1Vert">
      <w:tblPr/>
      <w:tcPr>
        <w:shd w:val="clear" w:color="auto" w:fill="9CACC4" w:themeFill="accent1" w:themeFillTint="66"/>
      </w:tcPr>
    </w:tblStylePr>
    <w:tblStylePr w:type="band1Horz">
      <w:tblPr/>
      <w:tcPr>
        <w:shd w:val="clear" w:color="auto" w:fill="9CACC4" w:themeFill="accent1" w:themeFillTint="66"/>
      </w:tcPr>
    </w:tblStylePr>
  </w:style>
  <w:style w:type="table" w:styleId="GridTable4-Accent1">
    <w:name w:val="Grid Table 4 Accent 1"/>
    <w:basedOn w:val="TableNormal"/>
    <w:uiPriority w:val="49"/>
    <w:rsid w:val="005C4D9F"/>
    <w:pPr>
      <w:spacing w:after="0" w:line="240" w:lineRule="auto"/>
    </w:p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insideV w:val="nil"/>
        </w:tcBorders>
        <w:shd w:val="clear" w:color="auto" w:fill="2C384A" w:themeFill="accent1"/>
      </w:tcPr>
    </w:tblStylePr>
    <w:tblStylePr w:type="lastRow">
      <w:rPr>
        <w:b/>
        <w:bCs/>
      </w:rPr>
      <w:tblPr/>
      <w:tcPr>
        <w:tcBorders>
          <w:top w:val="double" w:sz="4" w:space="0" w:color="2C384A" w:themeColor="accent1"/>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GridTable4">
    <w:name w:val="Grid Table 4"/>
    <w:basedOn w:val="TableNormal"/>
    <w:uiPriority w:val="49"/>
    <w:rsid w:val="006727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933807"/>
    <w:pPr>
      <w:spacing w:after="0" w:line="240" w:lineRule="auto"/>
    </w:pPr>
    <w:tblPr>
      <w:tblStyleRowBandSize w:val="1"/>
      <w:tblStyleColBandSize w:val="1"/>
      <w:tblBorders>
        <w:top w:val="single" w:sz="4" w:space="0" w:color="8CB59F" w:themeColor="accent2" w:themeTint="99"/>
        <w:left w:val="single" w:sz="4" w:space="0" w:color="8CB59F" w:themeColor="accent2" w:themeTint="99"/>
        <w:bottom w:val="single" w:sz="4" w:space="0" w:color="8CB59F" w:themeColor="accent2" w:themeTint="99"/>
        <w:right w:val="single" w:sz="4" w:space="0" w:color="8CB59F" w:themeColor="accent2" w:themeTint="99"/>
        <w:insideH w:val="single" w:sz="4" w:space="0" w:color="8CB59F" w:themeColor="accent2" w:themeTint="99"/>
        <w:insideV w:val="single" w:sz="4" w:space="0" w:color="8CB59F" w:themeColor="accent2" w:themeTint="99"/>
      </w:tblBorders>
    </w:tblPr>
    <w:tblStylePr w:type="firstRow">
      <w:rPr>
        <w:b/>
        <w:bCs/>
        <w:color w:val="FFFFFF" w:themeColor="background1"/>
      </w:rPr>
      <w:tblPr/>
      <w:tcPr>
        <w:tcBorders>
          <w:top w:val="single" w:sz="4" w:space="0" w:color="4D7861" w:themeColor="accent2"/>
          <w:left w:val="single" w:sz="4" w:space="0" w:color="4D7861" w:themeColor="accent2"/>
          <w:bottom w:val="single" w:sz="4" w:space="0" w:color="4D7861" w:themeColor="accent2"/>
          <w:right w:val="single" w:sz="4" w:space="0" w:color="4D7861" w:themeColor="accent2"/>
          <w:insideH w:val="nil"/>
          <w:insideV w:val="nil"/>
        </w:tcBorders>
        <w:shd w:val="clear" w:color="auto" w:fill="4D7861" w:themeFill="accent2"/>
      </w:tcPr>
    </w:tblStylePr>
    <w:tblStylePr w:type="lastRow">
      <w:rPr>
        <w:b/>
        <w:bCs/>
      </w:rPr>
      <w:tblPr/>
      <w:tcPr>
        <w:tcBorders>
          <w:top w:val="double" w:sz="4" w:space="0" w:color="4D7861" w:themeColor="accent2"/>
        </w:tcBorders>
      </w:tcPr>
    </w:tblStylePr>
    <w:tblStylePr w:type="firstCol">
      <w:rPr>
        <w:b/>
        <w:bCs/>
      </w:rPr>
    </w:tblStylePr>
    <w:tblStylePr w:type="lastCol">
      <w:rPr>
        <w:b/>
        <w:bCs/>
      </w:rPr>
    </w:tblStylePr>
    <w:tblStylePr w:type="band1Vert">
      <w:tblPr/>
      <w:tcPr>
        <w:shd w:val="clear" w:color="auto" w:fill="D8E6DF" w:themeFill="accent2" w:themeFillTint="33"/>
      </w:tcPr>
    </w:tblStylePr>
    <w:tblStylePr w:type="band1Horz">
      <w:tblPr/>
      <w:tcPr>
        <w:shd w:val="clear" w:color="auto" w:fill="D8E6DF" w:themeFill="accent2" w:themeFillTint="33"/>
      </w:tcPr>
    </w:tblStylePr>
  </w:style>
  <w:style w:type="table" w:customStyle="1" w:styleId="TableGrid1">
    <w:name w:val="Table Grid1"/>
    <w:basedOn w:val="TableNormal"/>
    <w:next w:val="TableGrid"/>
    <w:uiPriority w:val="39"/>
    <w:rsid w:val="0003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9A5844"/>
    <w:pPr>
      <w:spacing w:after="0" w:line="240" w:lineRule="auto"/>
    </w:pPr>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0FC" w:themeFill="accent5" w:themeFillTint="33"/>
      </w:tcPr>
    </w:tblStylePr>
    <w:tblStylePr w:type="band1Horz">
      <w:tblPr/>
      <w:tcPr>
        <w:shd w:val="clear" w:color="auto" w:fill="E8F0FC" w:themeFill="accent5" w:themeFillTint="33"/>
      </w:tcPr>
    </w:tblStylePr>
    <w:tblStylePr w:type="neCell">
      <w:tblPr/>
      <w:tcPr>
        <w:tcBorders>
          <w:bottom w:val="single" w:sz="4" w:space="0" w:color="BCD2F6" w:themeColor="accent5" w:themeTint="99"/>
        </w:tcBorders>
      </w:tcPr>
    </w:tblStylePr>
    <w:tblStylePr w:type="nwCell">
      <w:tblPr/>
      <w:tcPr>
        <w:tcBorders>
          <w:bottom w:val="single" w:sz="4" w:space="0" w:color="BCD2F6" w:themeColor="accent5" w:themeTint="99"/>
        </w:tcBorders>
      </w:tcPr>
    </w:tblStylePr>
    <w:tblStylePr w:type="seCell">
      <w:tblPr/>
      <w:tcPr>
        <w:tcBorders>
          <w:top w:val="single" w:sz="4" w:space="0" w:color="BCD2F6" w:themeColor="accent5" w:themeTint="99"/>
        </w:tcBorders>
      </w:tcPr>
    </w:tblStylePr>
    <w:tblStylePr w:type="swCell">
      <w:tblPr/>
      <w:tcPr>
        <w:tcBorders>
          <w:top w:val="single" w:sz="4" w:space="0" w:color="BCD2F6" w:themeColor="accent5" w:themeTint="99"/>
        </w:tcBorders>
      </w:tcPr>
    </w:tblStylePr>
  </w:style>
  <w:style w:type="table" w:styleId="GridTable4-Accent3">
    <w:name w:val="Grid Table 4 Accent 3"/>
    <w:basedOn w:val="TableNormal"/>
    <w:uiPriority w:val="49"/>
    <w:rsid w:val="00C715CB"/>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insideV w:val="nil"/>
        </w:tcBorders>
        <w:shd w:val="clear" w:color="auto" w:fill="5D779D" w:themeFill="accent3"/>
      </w:tcPr>
    </w:tblStylePr>
    <w:tblStylePr w:type="lastRow">
      <w:rPr>
        <w:b/>
        <w:bCs/>
      </w:rPr>
      <w:tblPr/>
      <w:tcPr>
        <w:tcBorders>
          <w:top w:val="double" w:sz="4" w:space="0" w:color="5D779D" w:themeColor="accent3"/>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4030">
      <w:bodyDiv w:val="1"/>
      <w:marLeft w:val="0"/>
      <w:marRight w:val="0"/>
      <w:marTop w:val="0"/>
      <w:marBottom w:val="0"/>
      <w:divBdr>
        <w:top w:val="none" w:sz="0" w:space="0" w:color="auto"/>
        <w:left w:val="none" w:sz="0" w:space="0" w:color="auto"/>
        <w:bottom w:val="none" w:sz="0" w:space="0" w:color="auto"/>
        <w:right w:val="none" w:sz="0" w:space="0" w:color="auto"/>
      </w:divBdr>
    </w:div>
    <w:div w:id="45566673">
      <w:bodyDiv w:val="1"/>
      <w:marLeft w:val="0"/>
      <w:marRight w:val="0"/>
      <w:marTop w:val="0"/>
      <w:marBottom w:val="0"/>
      <w:divBdr>
        <w:top w:val="none" w:sz="0" w:space="0" w:color="auto"/>
        <w:left w:val="none" w:sz="0" w:space="0" w:color="auto"/>
        <w:bottom w:val="none" w:sz="0" w:space="0" w:color="auto"/>
        <w:right w:val="none" w:sz="0" w:space="0" w:color="auto"/>
      </w:divBdr>
    </w:div>
    <w:div w:id="110902930">
      <w:bodyDiv w:val="1"/>
      <w:marLeft w:val="0"/>
      <w:marRight w:val="0"/>
      <w:marTop w:val="0"/>
      <w:marBottom w:val="0"/>
      <w:divBdr>
        <w:top w:val="none" w:sz="0" w:space="0" w:color="auto"/>
        <w:left w:val="none" w:sz="0" w:space="0" w:color="auto"/>
        <w:bottom w:val="none" w:sz="0" w:space="0" w:color="auto"/>
        <w:right w:val="none" w:sz="0" w:space="0" w:color="auto"/>
      </w:divBdr>
    </w:div>
    <w:div w:id="135612908">
      <w:bodyDiv w:val="1"/>
      <w:marLeft w:val="0"/>
      <w:marRight w:val="0"/>
      <w:marTop w:val="0"/>
      <w:marBottom w:val="0"/>
      <w:divBdr>
        <w:top w:val="none" w:sz="0" w:space="0" w:color="auto"/>
        <w:left w:val="none" w:sz="0" w:space="0" w:color="auto"/>
        <w:bottom w:val="none" w:sz="0" w:space="0" w:color="auto"/>
        <w:right w:val="none" w:sz="0" w:space="0" w:color="auto"/>
      </w:divBdr>
    </w:div>
    <w:div w:id="136529759">
      <w:bodyDiv w:val="1"/>
      <w:marLeft w:val="0"/>
      <w:marRight w:val="0"/>
      <w:marTop w:val="0"/>
      <w:marBottom w:val="0"/>
      <w:divBdr>
        <w:top w:val="none" w:sz="0" w:space="0" w:color="auto"/>
        <w:left w:val="none" w:sz="0" w:space="0" w:color="auto"/>
        <w:bottom w:val="none" w:sz="0" w:space="0" w:color="auto"/>
        <w:right w:val="none" w:sz="0" w:space="0" w:color="auto"/>
      </w:divBdr>
    </w:div>
    <w:div w:id="177694811">
      <w:bodyDiv w:val="1"/>
      <w:marLeft w:val="0"/>
      <w:marRight w:val="0"/>
      <w:marTop w:val="0"/>
      <w:marBottom w:val="0"/>
      <w:divBdr>
        <w:top w:val="none" w:sz="0" w:space="0" w:color="auto"/>
        <w:left w:val="none" w:sz="0" w:space="0" w:color="auto"/>
        <w:bottom w:val="none" w:sz="0" w:space="0" w:color="auto"/>
        <w:right w:val="none" w:sz="0" w:space="0" w:color="auto"/>
      </w:divBdr>
    </w:div>
    <w:div w:id="233777898">
      <w:bodyDiv w:val="1"/>
      <w:marLeft w:val="0"/>
      <w:marRight w:val="0"/>
      <w:marTop w:val="0"/>
      <w:marBottom w:val="0"/>
      <w:divBdr>
        <w:top w:val="none" w:sz="0" w:space="0" w:color="auto"/>
        <w:left w:val="none" w:sz="0" w:space="0" w:color="auto"/>
        <w:bottom w:val="none" w:sz="0" w:space="0" w:color="auto"/>
        <w:right w:val="none" w:sz="0" w:space="0" w:color="auto"/>
      </w:divBdr>
      <w:divsChild>
        <w:div w:id="78600773">
          <w:marLeft w:val="0"/>
          <w:marRight w:val="0"/>
          <w:marTop w:val="0"/>
          <w:marBottom w:val="0"/>
          <w:divBdr>
            <w:top w:val="none" w:sz="0" w:space="0" w:color="auto"/>
            <w:left w:val="none" w:sz="0" w:space="0" w:color="auto"/>
            <w:bottom w:val="none" w:sz="0" w:space="0" w:color="auto"/>
            <w:right w:val="none" w:sz="0" w:space="0" w:color="auto"/>
          </w:divBdr>
        </w:div>
        <w:div w:id="445584372">
          <w:marLeft w:val="0"/>
          <w:marRight w:val="0"/>
          <w:marTop w:val="0"/>
          <w:marBottom w:val="0"/>
          <w:divBdr>
            <w:top w:val="none" w:sz="0" w:space="0" w:color="auto"/>
            <w:left w:val="none" w:sz="0" w:space="0" w:color="auto"/>
            <w:bottom w:val="none" w:sz="0" w:space="0" w:color="auto"/>
            <w:right w:val="none" w:sz="0" w:space="0" w:color="auto"/>
          </w:divBdr>
        </w:div>
        <w:div w:id="759252242">
          <w:marLeft w:val="0"/>
          <w:marRight w:val="0"/>
          <w:marTop w:val="0"/>
          <w:marBottom w:val="0"/>
          <w:divBdr>
            <w:top w:val="none" w:sz="0" w:space="0" w:color="auto"/>
            <w:left w:val="none" w:sz="0" w:space="0" w:color="auto"/>
            <w:bottom w:val="none" w:sz="0" w:space="0" w:color="auto"/>
            <w:right w:val="none" w:sz="0" w:space="0" w:color="auto"/>
          </w:divBdr>
        </w:div>
        <w:div w:id="1615864127">
          <w:marLeft w:val="0"/>
          <w:marRight w:val="0"/>
          <w:marTop w:val="0"/>
          <w:marBottom w:val="0"/>
          <w:divBdr>
            <w:top w:val="none" w:sz="0" w:space="0" w:color="auto"/>
            <w:left w:val="none" w:sz="0" w:space="0" w:color="auto"/>
            <w:bottom w:val="none" w:sz="0" w:space="0" w:color="auto"/>
            <w:right w:val="none" w:sz="0" w:space="0" w:color="auto"/>
          </w:divBdr>
        </w:div>
        <w:div w:id="1835759967">
          <w:marLeft w:val="0"/>
          <w:marRight w:val="0"/>
          <w:marTop w:val="0"/>
          <w:marBottom w:val="0"/>
          <w:divBdr>
            <w:top w:val="none" w:sz="0" w:space="0" w:color="auto"/>
            <w:left w:val="none" w:sz="0" w:space="0" w:color="auto"/>
            <w:bottom w:val="none" w:sz="0" w:space="0" w:color="auto"/>
            <w:right w:val="none" w:sz="0" w:space="0" w:color="auto"/>
          </w:divBdr>
        </w:div>
      </w:divsChild>
    </w:div>
    <w:div w:id="262417326">
      <w:bodyDiv w:val="1"/>
      <w:marLeft w:val="0"/>
      <w:marRight w:val="0"/>
      <w:marTop w:val="0"/>
      <w:marBottom w:val="0"/>
      <w:divBdr>
        <w:top w:val="none" w:sz="0" w:space="0" w:color="auto"/>
        <w:left w:val="none" w:sz="0" w:space="0" w:color="auto"/>
        <w:bottom w:val="none" w:sz="0" w:space="0" w:color="auto"/>
        <w:right w:val="none" w:sz="0" w:space="0" w:color="auto"/>
      </w:divBdr>
    </w:div>
    <w:div w:id="387728378">
      <w:bodyDiv w:val="1"/>
      <w:marLeft w:val="0"/>
      <w:marRight w:val="0"/>
      <w:marTop w:val="0"/>
      <w:marBottom w:val="0"/>
      <w:divBdr>
        <w:top w:val="none" w:sz="0" w:space="0" w:color="auto"/>
        <w:left w:val="none" w:sz="0" w:space="0" w:color="auto"/>
        <w:bottom w:val="none" w:sz="0" w:space="0" w:color="auto"/>
        <w:right w:val="none" w:sz="0" w:space="0" w:color="auto"/>
      </w:divBdr>
    </w:div>
    <w:div w:id="487402666">
      <w:bodyDiv w:val="1"/>
      <w:marLeft w:val="0"/>
      <w:marRight w:val="0"/>
      <w:marTop w:val="0"/>
      <w:marBottom w:val="0"/>
      <w:divBdr>
        <w:top w:val="none" w:sz="0" w:space="0" w:color="auto"/>
        <w:left w:val="none" w:sz="0" w:space="0" w:color="auto"/>
        <w:bottom w:val="none" w:sz="0" w:space="0" w:color="auto"/>
        <w:right w:val="none" w:sz="0" w:space="0" w:color="auto"/>
      </w:divBdr>
    </w:div>
    <w:div w:id="532695855">
      <w:bodyDiv w:val="1"/>
      <w:marLeft w:val="0"/>
      <w:marRight w:val="0"/>
      <w:marTop w:val="0"/>
      <w:marBottom w:val="0"/>
      <w:divBdr>
        <w:top w:val="none" w:sz="0" w:space="0" w:color="auto"/>
        <w:left w:val="none" w:sz="0" w:space="0" w:color="auto"/>
        <w:bottom w:val="none" w:sz="0" w:space="0" w:color="auto"/>
        <w:right w:val="none" w:sz="0" w:space="0" w:color="auto"/>
      </w:divBdr>
    </w:div>
    <w:div w:id="537010865">
      <w:bodyDiv w:val="1"/>
      <w:marLeft w:val="0"/>
      <w:marRight w:val="0"/>
      <w:marTop w:val="0"/>
      <w:marBottom w:val="0"/>
      <w:divBdr>
        <w:top w:val="none" w:sz="0" w:space="0" w:color="auto"/>
        <w:left w:val="none" w:sz="0" w:space="0" w:color="auto"/>
        <w:bottom w:val="none" w:sz="0" w:space="0" w:color="auto"/>
        <w:right w:val="none" w:sz="0" w:space="0" w:color="auto"/>
      </w:divBdr>
      <w:divsChild>
        <w:div w:id="1631549336">
          <w:marLeft w:val="547"/>
          <w:marRight w:val="0"/>
          <w:marTop w:val="0"/>
          <w:marBottom w:val="0"/>
          <w:divBdr>
            <w:top w:val="none" w:sz="0" w:space="0" w:color="auto"/>
            <w:left w:val="none" w:sz="0" w:space="0" w:color="auto"/>
            <w:bottom w:val="none" w:sz="0" w:space="0" w:color="auto"/>
            <w:right w:val="none" w:sz="0" w:space="0" w:color="auto"/>
          </w:divBdr>
        </w:div>
      </w:divsChild>
    </w:div>
    <w:div w:id="548539142">
      <w:bodyDiv w:val="1"/>
      <w:marLeft w:val="0"/>
      <w:marRight w:val="0"/>
      <w:marTop w:val="0"/>
      <w:marBottom w:val="0"/>
      <w:divBdr>
        <w:top w:val="none" w:sz="0" w:space="0" w:color="auto"/>
        <w:left w:val="none" w:sz="0" w:space="0" w:color="auto"/>
        <w:bottom w:val="none" w:sz="0" w:space="0" w:color="auto"/>
        <w:right w:val="none" w:sz="0" w:space="0" w:color="auto"/>
      </w:divBdr>
    </w:div>
    <w:div w:id="551157761">
      <w:bodyDiv w:val="1"/>
      <w:marLeft w:val="0"/>
      <w:marRight w:val="0"/>
      <w:marTop w:val="0"/>
      <w:marBottom w:val="0"/>
      <w:divBdr>
        <w:top w:val="none" w:sz="0" w:space="0" w:color="auto"/>
        <w:left w:val="none" w:sz="0" w:space="0" w:color="auto"/>
        <w:bottom w:val="none" w:sz="0" w:space="0" w:color="auto"/>
        <w:right w:val="none" w:sz="0" w:space="0" w:color="auto"/>
      </w:divBdr>
    </w:div>
    <w:div w:id="579025903">
      <w:bodyDiv w:val="1"/>
      <w:marLeft w:val="0"/>
      <w:marRight w:val="0"/>
      <w:marTop w:val="0"/>
      <w:marBottom w:val="0"/>
      <w:divBdr>
        <w:top w:val="none" w:sz="0" w:space="0" w:color="auto"/>
        <w:left w:val="none" w:sz="0" w:space="0" w:color="auto"/>
        <w:bottom w:val="none" w:sz="0" w:space="0" w:color="auto"/>
        <w:right w:val="none" w:sz="0" w:space="0" w:color="auto"/>
      </w:divBdr>
    </w:div>
    <w:div w:id="597761936">
      <w:bodyDiv w:val="1"/>
      <w:marLeft w:val="0"/>
      <w:marRight w:val="0"/>
      <w:marTop w:val="0"/>
      <w:marBottom w:val="0"/>
      <w:divBdr>
        <w:top w:val="none" w:sz="0" w:space="0" w:color="auto"/>
        <w:left w:val="none" w:sz="0" w:space="0" w:color="auto"/>
        <w:bottom w:val="none" w:sz="0" w:space="0" w:color="auto"/>
        <w:right w:val="none" w:sz="0" w:space="0" w:color="auto"/>
      </w:divBdr>
    </w:div>
    <w:div w:id="625813057">
      <w:bodyDiv w:val="1"/>
      <w:marLeft w:val="0"/>
      <w:marRight w:val="0"/>
      <w:marTop w:val="0"/>
      <w:marBottom w:val="0"/>
      <w:divBdr>
        <w:top w:val="none" w:sz="0" w:space="0" w:color="auto"/>
        <w:left w:val="none" w:sz="0" w:space="0" w:color="auto"/>
        <w:bottom w:val="none" w:sz="0" w:space="0" w:color="auto"/>
        <w:right w:val="none" w:sz="0" w:space="0" w:color="auto"/>
      </w:divBdr>
    </w:div>
    <w:div w:id="744649891">
      <w:bodyDiv w:val="1"/>
      <w:marLeft w:val="0"/>
      <w:marRight w:val="0"/>
      <w:marTop w:val="0"/>
      <w:marBottom w:val="0"/>
      <w:divBdr>
        <w:top w:val="none" w:sz="0" w:space="0" w:color="auto"/>
        <w:left w:val="none" w:sz="0" w:space="0" w:color="auto"/>
        <w:bottom w:val="none" w:sz="0" w:space="0" w:color="auto"/>
        <w:right w:val="none" w:sz="0" w:space="0" w:color="auto"/>
      </w:divBdr>
    </w:div>
    <w:div w:id="748886192">
      <w:bodyDiv w:val="1"/>
      <w:marLeft w:val="0"/>
      <w:marRight w:val="0"/>
      <w:marTop w:val="0"/>
      <w:marBottom w:val="0"/>
      <w:divBdr>
        <w:top w:val="none" w:sz="0" w:space="0" w:color="auto"/>
        <w:left w:val="none" w:sz="0" w:space="0" w:color="auto"/>
        <w:bottom w:val="none" w:sz="0" w:space="0" w:color="auto"/>
        <w:right w:val="none" w:sz="0" w:space="0" w:color="auto"/>
      </w:divBdr>
    </w:div>
    <w:div w:id="788470163">
      <w:bodyDiv w:val="1"/>
      <w:marLeft w:val="0"/>
      <w:marRight w:val="0"/>
      <w:marTop w:val="0"/>
      <w:marBottom w:val="0"/>
      <w:divBdr>
        <w:top w:val="none" w:sz="0" w:space="0" w:color="auto"/>
        <w:left w:val="none" w:sz="0" w:space="0" w:color="auto"/>
        <w:bottom w:val="none" w:sz="0" w:space="0" w:color="auto"/>
        <w:right w:val="none" w:sz="0" w:space="0" w:color="auto"/>
      </w:divBdr>
    </w:div>
    <w:div w:id="801659563">
      <w:bodyDiv w:val="1"/>
      <w:marLeft w:val="0"/>
      <w:marRight w:val="0"/>
      <w:marTop w:val="0"/>
      <w:marBottom w:val="0"/>
      <w:divBdr>
        <w:top w:val="none" w:sz="0" w:space="0" w:color="auto"/>
        <w:left w:val="none" w:sz="0" w:space="0" w:color="auto"/>
        <w:bottom w:val="none" w:sz="0" w:space="0" w:color="auto"/>
        <w:right w:val="none" w:sz="0" w:space="0" w:color="auto"/>
      </w:divBdr>
    </w:div>
    <w:div w:id="808864467">
      <w:bodyDiv w:val="1"/>
      <w:marLeft w:val="0"/>
      <w:marRight w:val="0"/>
      <w:marTop w:val="0"/>
      <w:marBottom w:val="0"/>
      <w:divBdr>
        <w:top w:val="none" w:sz="0" w:space="0" w:color="auto"/>
        <w:left w:val="none" w:sz="0" w:space="0" w:color="auto"/>
        <w:bottom w:val="none" w:sz="0" w:space="0" w:color="auto"/>
        <w:right w:val="none" w:sz="0" w:space="0" w:color="auto"/>
      </w:divBdr>
    </w:div>
    <w:div w:id="838155927">
      <w:bodyDiv w:val="1"/>
      <w:marLeft w:val="0"/>
      <w:marRight w:val="0"/>
      <w:marTop w:val="0"/>
      <w:marBottom w:val="0"/>
      <w:divBdr>
        <w:top w:val="none" w:sz="0" w:space="0" w:color="auto"/>
        <w:left w:val="none" w:sz="0" w:space="0" w:color="auto"/>
        <w:bottom w:val="none" w:sz="0" w:space="0" w:color="auto"/>
        <w:right w:val="none" w:sz="0" w:space="0" w:color="auto"/>
      </w:divBdr>
    </w:div>
    <w:div w:id="854004894">
      <w:bodyDiv w:val="1"/>
      <w:marLeft w:val="0"/>
      <w:marRight w:val="0"/>
      <w:marTop w:val="0"/>
      <w:marBottom w:val="0"/>
      <w:divBdr>
        <w:top w:val="none" w:sz="0" w:space="0" w:color="auto"/>
        <w:left w:val="none" w:sz="0" w:space="0" w:color="auto"/>
        <w:bottom w:val="none" w:sz="0" w:space="0" w:color="auto"/>
        <w:right w:val="none" w:sz="0" w:space="0" w:color="auto"/>
      </w:divBdr>
    </w:div>
    <w:div w:id="863832545">
      <w:bodyDiv w:val="1"/>
      <w:marLeft w:val="0"/>
      <w:marRight w:val="0"/>
      <w:marTop w:val="0"/>
      <w:marBottom w:val="0"/>
      <w:divBdr>
        <w:top w:val="none" w:sz="0" w:space="0" w:color="auto"/>
        <w:left w:val="none" w:sz="0" w:space="0" w:color="auto"/>
        <w:bottom w:val="none" w:sz="0" w:space="0" w:color="auto"/>
        <w:right w:val="none" w:sz="0" w:space="0" w:color="auto"/>
      </w:divBdr>
      <w:divsChild>
        <w:div w:id="1431006015">
          <w:marLeft w:val="0"/>
          <w:marRight w:val="0"/>
          <w:marTop w:val="0"/>
          <w:marBottom w:val="0"/>
          <w:divBdr>
            <w:top w:val="none" w:sz="0" w:space="0" w:color="auto"/>
            <w:left w:val="none" w:sz="0" w:space="0" w:color="auto"/>
            <w:bottom w:val="none" w:sz="0" w:space="0" w:color="auto"/>
            <w:right w:val="none" w:sz="0" w:space="0" w:color="auto"/>
          </w:divBdr>
        </w:div>
        <w:div w:id="1826818670">
          <w:marLeft w:val="0"/>
          <w:marRight w:val="0"/>
          <w:marTop w:val="0"/>
          <w:marBottom w:val="0"/>
          <w:divBdr>
            <w:top w:val="none" w:sz="0" w:space="0" w:color="auto"/>
            <w:left w:val="none" w:sz="0" w:space="0" w:color="auto"/>
            <w:bottom w:val="none" w:sz="0" w:space="0" w:color="auto"/>
            <w:right w:val="none" w:sz="0" w:space="0" w:color="auto"/>
          </w:divBdr>
        </w:div>
      </w:divsChild>
    </w:div>
    <w:div w:id="891502306">
      <w:bodyDiv w:val="1"/>
      <w:marLeft w:val="0"/>
      <w:marRight w:val="0"/>
      <w:marTop w:val="0"/>
      <w:marBottom w:val="0"/>
      <w:divBdr>
        <w:top w:val="none" w:sz="0" w:space="0" w:color="auto"/>
        <w:left w:val="none" w:sz="0" w:space="0" w:color="auto"/>
        <w:bottom w:val="none" w:sz="0" w:space="0" w:color="auto"/>
        <w:right w:val="none" w:sz="0" w:space="0" w:color="auto"/>
      </w:divBdr>
    </w:div>
    <w:div w:id="908349061">
      <w:bodyDiv w:val="1"/>
      <w:marLeft w:val="0"/>
      <w:marRight w:val="0"/>
      <w:marTop w:val="0"/>
      <w:marBottom w:val="0"/>
      <w:divBdr>
        <w:top w:val="none" w:sz="0" w:space="0" w:color="auto"/>
        <w:left w:val="none" w:sz="0" w:space="0" w:color="auto"/>
        <w:bottom w:val="none" w:sz="0" w:space="0" w:color="auto"/>
        <w:right w:val="none" w:sz="0" w:space="0" w:color="auto"/>
      </w:divBdr>
    </w:div>
    <w:div w:id="939529560">
      <w:bodyDiv w:val="1"/>
      <w:marLeft w:val="0"/>
      <w:marRight w:val="0"/>
      <w:marTop w:val="0"/>
      <w:marBottom w:val="0"/>
      <w:divBdr>
        <w:top w:val="none" w:sz="0" w:space="0" w:color="auto"/>
        <w:left w:val="none" w:sz="0" w:space="0" w:color="auto"/>
        <w:bottom w:val="none" w:sz="0" w:space="0" w:color="auto"/>
        <w:right w:val="none" w:sz="0" w:space="0" w:color="auto"/>
      </w:divBdr>
    </w:div>
    <w:div w:id="1004626910">
      <w:bodyDiv w:val="1"/>
      <w:marLeft w:val="0"/>
      <w:marRight w:val="0"/>
      <w:marTop w:val="0"/>
      <w:marBottom w:val="0"/>
      <w:divBdr>
        <w:top w:val="none" w:sz="0" w:space="0" w:color="auto"/>
        <w:left w:val="none" w:sz="0" w:space="0" w:color="auto"/>
        <w:bottom w:val="none" w:sz="0" w:space="0" w:color="auto"/>
        <w:right w:val="none" w:sz="0" w:space="0" w:color="auto"/>
      </w:divBdr>
    </w:div>
    <w:div w:id="1007440291">
      <w:bodyDiv w:val="1"/>
      <w:marLeft w:val="0"/>
      <w:marRight w:val="0"/>
      <w:marTop w:val="0"/>
      <w:marBottom w:val="0"/>
      <w:divBdr>
        <w:top w:val="none" w:sz="0" w:space="0" w:color="auto"/>
        <w:left w:val="none" w:sz="0" w:space="0" w:color="auto"/>
        <w:bottom w:val="none" w:sz="0" w:space="0" w:color="auto"/>
        <w:right w:val="none" w:sz="0" w:space="0" w:color="auto"/>
      </w:divBdr>
    </w:div>
    <w:div w:id="1008408051">
      <w:bodyDiv w:val="1"/>
      <w:marLeft w:val="0"/>
      <w:marRight w:val="0"/>
      <w:marTop w:val="0"/>
      <w:marBottom w:val="0"/>
      <w:divBdr>
        <w:top w:val="none" w:sz="0" w:space="0" w:color="auto"/>
        <w:left w:val="none" w:sz="0" w:space="0" w:color="auto"/>
        <w:bottom w:val="none" w:sz="0" w:space="0" w:color="auto"/>
        <w:right w:val="none" w:sz="0" w:space="0" w:color="auto"/>
      </w:divBdr>
    </w:div>
    <w:div w:id="1009451804">
      <w:bodyDiv w:val="1"/>
      <w:marLeft w:val="0"/>
      <w:marRight w:val="0"/>
      <w:marTop w:val="0"/>
      <w:marBottom w:val="0"/>
      <w:divBdr>
        <w:top w:val="none" w:sz="0" w:space="0" w:color="auto"/>
        <w:left w:val="none" w:sz="0" w:space="0" w:color="auto"/>
        <w:bottom w:val="none" w:sz="0" w:space="0" w:color="auto"/>
        <w:right w:val="none" w:sz="0" w:space="0" w:color="auto"/>
      </w:divBdr>
    </w:div>
    <w:div w:id="1027097549">
      <w:bodyDiv w:val="1"/>
      <w:marLeft w:val="0"/>
      <w:marRight w:val="0"/>
      <w:marTop w:val="0"/>
      <w:marBottom w:val="0"/>
      <w:divBdr>
        <w:top w:val="none" w:sz="0" w:space="0" w:color="auto"/>
        <w:left w:val="none" w:sz="0" w:space="0" w:color="auto"/>
        <w:bottom w:val="none" w:sz="0" w:space="0" w:color="auto"/>
        <w:right w:val="none" w:sz="0" w:space="0" w:color="auto"/>
      </w:divBdr>
    </w:div>
    <w:div w:id="1047951587">
      <w:bodyDiv w:val="1"/>
      <w:marLeft w:val="0"/>
      <w:marRight w:val="0"/>
      <w:marTop w:val="0"/>
      <w:marBottom w:val="0"/>
      <w:divBdr>
        <w:top w:val="none" w:sz="0" w:space="0" w:color="auto"/>
        <w:left w:val="none" w:sz="0" w:space="0" w:color="auto"/>
        <w:bottom w:val="none" w:sz="0" w:space="0" w:color="auto"/>
        <w:right w:val="none" w:sz="0" w:space="0" w:color="auto"/>
      </w:divBdr>
    </w:div>
    <w:div w:id="1110781417">
      <w:bodyDiv w:val="1"/>
      <w:marLeft w:val="0"/>
      <w:marRight w:val="0"/>
      <w:marTop w:val="0"/>
      <w:marBottom w:val="0"/>
      <w:divBdr>
        <w:top w:val="none" w:sz="0" w:space="0" w:color="auto"/>
        <w:left w:val="none" w:sz="0" w:space="0" w:color="auto"/>
        <w:bottom w:val="none" w:sz="0" w:space="0" w:color="auto"/>
        <w:right w:val="none" w:sz="0" w:space="0" w:color="auto"/>
      </w:divBdr>
    </w:div>
    <w:div w:id="1186140046">
      <w:bodyDiv w:val="1"/>
      <w:marLeft w:val="0"/>
      <w:marRight w:val="0"/>
      <w:marTop w:val="0"/>
      <w:marBottom w:val="0"/>
      <w:divBdr>
        <w:top w:val="none" w:sz="0" w:space="0" w:color="auto"/>
        <w:left w:val="none" w:sz="0" w:space="0" w:color="auto"/>
        <w:bottom w:val="none" w:sz="0" w:space="0" w:color="auto"/>
        <w:right w:val="none" w:sz="0" w:space="0" w:color="auto"/>
      </w:divBdr>
    </w:div>
    <w:div w:id="1238784710">
      <w:bodyDiv w:val="1"/>
      <w:marLeft w:val="0"/>
      <w:marRight w:val="0"/>
      <w:marTop w:val="0"/>
      <w:marBottom w:val="0"/>
      <w:divBdr>
        <w:top w:val="none" w:sz="0" w:space="0" w:color="auto"/>
        <w:left w:val="none" w:sz="0" w:space="0" w:color="auto"/>
        <w:bottom w:val="none" w:sz="0" w:space="0" w:color="auto"/>
        <w:right w:val="none" w:sz="0" w:space="0" w:color="auto"/>
      </w:divBdr>
    </w:div>
    <w:div w:id="1256204576">
      <w:bodyDiv w:val="1"/>
      <w:marLeft w:val="0"/>
      <w:marRight w:val="0"/>
      <w:marTop w:val="0"/>
      <w:marBottom w:val="0"/>
      <w:divBdr>
        <w:top w:val="none" w:sz="0" w:space="0" w:color="auto"/>
        <w:left w:val="none" w:sz="0" w:space="0" w:color="auto"/>
        <w:bottom w:val="none" w:sz="0" w:space="0" w:color="auto"/>
        <w:right w:val="none" w:sz="0" w:space="0" w:color="auto"/>
      </w:divBdr>
    </w:div>
    <w:div w:id="1269392869">
      <w:bodyDiv w:val="1"/>
      <w:marLeft w:val="0"/>
      <w:marRight w:val="0"/>
      <w:marTop w:val="0"/>
      <w:marBottom w:val="0"/>
      <w:divBdr>
        <w:top w:val="none" w:sz="0" w:space="0" w:color="auto"/>
        <w:left w:val="none" w:sz="0" w:space="0" w:color="auto"/>
        <w:bottom w:val="none" w:sz="0" w:space="0" w:color="auto"/>
        <w:right w:val="none" w:sz="0" w:space="0" w:color="auto"/>
      </w:divBdr>
    </w:div>
    <w:div w:id="1302617993">
      <w:bodyDiv w:val="1"/>
      <w:marLeft w:val="0"/>
      <w:marRight w:val="0"/>
      <w:marTop w:val="0"/>
      <w:marBottom w:val="0"/>
      <w:divBdr>
        <w:top w:val="none" w:sz="0" w:space="0" w:color="auto"/>
        <w:left w:val="none" w:sz="0" w:space="0" w:color="auto"/>
        <w:bottom w:val="none" w:sz="0" w:space="0" w:color="auto"/>
        <w:right w:val="none" w:sz="0" w:space="0" w:color="auto"/>
      </w:divBdr>
    </w:div>
    <w:div w:id="1302660057">
      <w:bodyDiv w:val="1"/>
      <w:marLeft w:val="0"/>
      <w:marRight w:val="0"/>
      <w:marTop w:val="0"/>
      <w:marBottom w:val="0"/>
      <w:divBdr>
        <w:top w:val="none" w:sz="0" w:space="0" w:color="auto"/>
        <w:left w:val="none" w:sz="0" w:space="0" w:color="auto"/>
        <w:bottom w:val="none" w:sz="0" w:space="0" w:color="auto"/>
        <w:right w:val="none" w:sz="0" w:space="0" w:color="auto"/>
      </w:divBdr>
    </w:div>
    <w:div w:id="1337223206">
      <w:bodyDiv w:val="1"/>
      <w:marLeft w:val="0"/>
      <w:marRight w:val="0"/>
      <w:marTop w:val="0"/>
      <w:marBottom w:val="0"/>
      <w:divBdr>
        <w:top w:val="none" w:sz="0" w:space="0" w:color="auto"/>
        <w:left w:val="none" w:sz="0" w:space="0" w:color="auto"/>
        <w:bottom w:val="none" w:sz="0" w:space="0" w:color="auto"/>
        <w:right w:val="none" w:sz="0" w:space="0" w:color="auto"/>
      </w:divBdr>
    </w:div>
    <w:div w:id="1341395283">
      <w:bodyDiv w:val="1"/>
      <w:marLeft w:val="0"/>
      <w:marRight w:val="0"/>
      <w:marTop w:val="0"/>
      <w:marBottom w:val="0"/>
      <w:divBdr>
        <w:top w:val="none" w:sz="0" w:space="0" w:color="auto"/>
        <w:left w:val="none" w:sz="0" w:space="0" w:color="auto"/>
        <w:bottom w:val="none" w:sz="0" w:space="0" w:color="auto"/>
        <w:right w:val="none" w:sz="0" w:space="0" w:color="auto"/>
      </w:divBdr>
    </w:div>
    <w:div w:id="1388604739">
      <w:bodyDiv w:val="1"/>
      <w:marLeft w:val="0"/>
      <w:marRight w:val="0"/>
      <w:marTop w:val="0"/>
      <w:marBottom w:val="0"/>
      <w:divBdr>
        <w:top w:val="none" w:sz="0" w:space="0" w:color="auto"/>
        <w:left w:val="none" w:sz="0" w:space="0" w:color="auto"/>
        <w:bottom w:val="none" w:sz="0" w:space="0" w:color="auto"/>
        <w:right w:val="none" w:sz="0" w:space="0" w:color="auto"/>
      </w:divBdr>
    </w:div>
    <w:div w:id="1392389018">
      <w:bodyDiv w:val="1"/>
      <w:marLeft w:val="0"/>
      <w:marRight w:val="0"/>
      <w:marTop w:val="0"/>
      <w:marBottom w:val="0"/>
      <w:divBdr>
        <w:top w:val="none" w:sz="0" w:space="0" w:color="auto"/>
        <w:left w:val="none" w:sz="0" w:space="0" w:color="auto"/>
        <w:bottom w:val="none" w:sz="0" w:space="0" w:color="auto"/>
        <w:right w:val="none" w:sz="0" w:space="0" w:color="auto"/>
      </w:divBdr>
    </w:div>
    <w:div w:id="1447115614">
      <w:bodyDiv w:val="1"/>
      <w:marLeft w:val="0"/>
      <w:marRight w:val="0"/>
      <w:marTop w:val="0"/>
      <w:marBottom w:val="0"/>
      <w:divBdr>
        <w:top w:val="none" w:sz="0" w:space="0" w:color="auto"/>
        <w:left w:val="none" w:sz="0" w:space="0" w:color="auto"/>
        <w:bottom w:val="none" w:sz="0" w:space="0" w:color="auto"/>
        <w:right w:val="none" w:sz="0" w:space="0" w:color="auto"/>
      </w:divBdr>
    </w:div>
    <w:div w:id="1480464012">
      <w:bodyDiv w:val="1"/>
      <w:marLeft w:val="0"/>
      <w:marRight w:val="0"/>
      <w:marTop w:val="0"/>
      <w:marBottom w:val="0"/>
      <w:divBdr>
        <w:top w:val="none" w:sz="0" w:space="0" w:color="auto"/>
        <w:left w:val="none" w:sz="0" w:space="0" w:color="auto"/>
        <w:bottom w:val="none" w:sz="0" w:space="0" w:color="auto"/>
        <w:right w:val="none" w:sz="0" w:space="0" w:color="auto"/>
      </w:divBdr>
    </w:div>
    <w:div w:id="1495561932">
      <w:bodyDiv w:val="1"/>
      <w:marLeft w:val="0"/>
      <w:marRight w:val="0"/>
      <w:marTop w:val="0"/>
      <w:marBottom w:val="0"/>
      <w:divBdr>
        <w:top w:val="none" w:sz="0" w:space="0" w:color="auto"/>
        <w:left w:val="none" w:sz="0" w:space="0" w:color="auto"/>
        <w:bottom w:val="none" w:sz="0" w:space="0" w:color="auto"/>
        <w:right w:val="none" w:sz="0" w:space="0" w:color="auto"/>
      </w:divBdr>
    </w:div>
    <w:div w:id="1569263330">
      <w:bodyDiv w:val="1"/>
      <w:marLeft w:val="0"/>
      <w:marRight w:val="0"/>
      <w:marTop w:val="0"/>
      <w:marBottom w:val="0"/>
      <w:divBdr>
        <w:top w:val="none" w:sz="0" w:space="0" w:color="auto"/>
        <w:left w:val="none" w:sz="0" w:space="0" w:color="auto"/>
        <w:bottom w:val="none" w:sz="0" w:space="0" w:color="auto"/>
        <w:right w:val="none" w:sz="0" w:space="0" w:color="auto"/>
      </w:divBdr>
    </w:div>
    <w:div w:id="1632440463">
      <w:bodyDiv w:val="1"/>
      <w:marLeft w:val="0"/>
      <w:marRight w:val="0"/>
      <w:marTop w:val="0"/>
      <w:marBottom w:val="0"/>
      <w:divBdr>
        <w:top w:val="none" w:sz="0" w:space="0" w:color="auto"/>
        <w:left w:val="none" w:sz="0" w:space="0" w:color="auto"/>
        <w:bottom w:val="none" w:sz="0" w:space="0" w:color="auto"/>
        <w:right w:val="none" w:sz="0" w:space="0" w:color="auto"/>
      </w:divBdr>
    </w:div>
    <w:div w:id="1651863804">
      <w:bodyDiv w:val="1"/>
      <w:marLeft w:val="0"/>
      <w:marRight w:val="0"/>
      <w:marTop w:val="0"/>
      <w:marBottom w:val="0"/>
      <w:divBdr>
        <w:top w:val="none" w:sz="0" w:space="0" w:color="auto"/>
        <w:left w:val="none" w:sz="0" w:space="0" w:color="auto"/>
        <w:bottom w:val="none" w:sz="0" w:space="0" w:color="auto"/>
        <w:right w:val="none" w:sz="0" w:space="0" w:color="auto"/>
      </w:divBdr>
    </w:div>
    <w:div w:id="1665207702">
      <w:bodyDiv w:val="1"/>
      <w:marLeft w:val="0"/>
      <w:marRight w:val="0"/>
      <w:marTop w:val="0"/>
      <w:marBottom w:val="0"/>
      <w:divBdr>
        <w:top w:val="none" w:sz="0" w:space="0" w:color="auto"/>
        <w:left w:val="none" w:sz="0" w:space="0" w:color="auto"/>
        <w:bottom w:val="none" w:sz="0" w:space="0" w:color="auto"/>
        <w:right w:val="none" w:sz="0" w:space="0" w:color="auto"/>
      </w:divBdr>
    </w:div>
    <w:div w:id="1671448840">
      <w:bodyDiv w:val="1"/>
      <w:marLeft w:val="0"/>
      <w:marRight w:val="0"/>
      <w:marTop w:val="0"/>
      <w:marBottom w:val="0"/>
      <w:divBdr>
        <w:top w:val="none" w:sz="0" w:space="0" w:color="auto"/>
        <w:left w:val="none" w:sz="0" w:space="0" w:color="auto"/>
        <w:bottom w:val="none" w:sz="0" w:space="0" w:color="auto"/>
        <w:right w:val="none" w:sz="0" w:space="0" w:color="auto"/>
      </w:divBdr>
    </w:div>
    <w:div w:id="1676762359">
      <w:bodyDiv w:val="1"/>
      <w:marLeft w:val="0"/>
      <w:marRight w:val="0"/>
      <w:marTop w:val="0"/>
      <w:marBottom w:val="0"/>
      <w:divBdr>
        <w:top w:val="none" w:sz="0" w:space="0" w:color="auto"/>
        <w:left w:val="none" w:sz="0" w:space="0" w:color="auto"/>
        <w:bottom w:val="none" w:sz="0" w:space="0" w:color="auto"/>
        <w:right w:val="none" w:sz="0" w:space="0" w:color="auto"/>
      </w:divBdr>
    </w:div>
    <w:div w:id="1678770642">
      <w:bodyDiv w:val="1"/>
      <w:marLeft w:val="0"/>
      <w:marRight w:val="0"/>
      <w:marTop w:val="0"/>
      <w:marBottom w:val="0"/>
      <w:divBdr>
        <w:top w:val="none" w:sz="0" w:space="0" w:color="auto"/>
        <w:left w:val="none" w:sz="0" w:space="0" w:color="auto"/>
        <w:bottom w:val="none" w:sz="0" w:space="0" w:color="auto"/>
        <w:right w:val="none" w:sz="0" w:space="0" w:color="auto"/>
      </w:divBdr>
    </w:div>
    <w:div w:id="1711489555">
      <w:bodyDiv w:val="1"/>
      <w:marLeft w:val="0"/>
      <w:marRight w:val="0"/>
      <w:marTop w:val="0"/>
      <w:marBottom w:val="0"/>
      <w:divBdr>
        <w:top w:val="none" w:sz="0" w:space="0" w:color="auto"/>
        <w:left w:val="none" w:sz="0" w:space="0" w:color="auto"/>
        <w:bottom w:val="none" w:sz="0" w:space="0" w:color="auto"/>
        <w:right w:val="none" w:sz="0" w:space="0" w:color="auto"/>
      </w:divBdr>
    </w:div>
    <w:div w:id="1738674640">
      <w:bodyDiv w:val="1"/>
      <w:marLeft w:val="0"/>
      <w:marRight w:val="0"/>
      <w:marTop w:val="0"/>
      <w:marBottom w:val="0"/>
      <w:divBdr>
        <w:top w:val="none" w:sz="0" w:space="0" w:color="auto"/>
        <w:left w:val="none" w:sz="0" w:space="0" w:color="auto"/>
        <w:bottom w:val="none" w:sz="0" w:space="0" w:color="auto"/>
        <w:right w:val="none" w:sz="0" w:space="0" w:color="auto"/>
      </w:divBdr>
    </w:div>
    <w:div w:id="1742366281">
      <w:bodyDiv w:val="1"/>
      <w:marLeft w:val="0"/>
      <w:marRight w:val="0"/>
      <w:marTop w:val="0"/>
      <w:marBottom w:val="0"/>
      <w:divBdr>
        <w:top w:val="none" w:sz="0" w:space="0" w:color="auto"/>
        <w:left w:val="none" w:sz="0" w:space="0" w:color="auto"/>
        <w:bottom w:val="none" w:sz="0" w:space="0" w:color="auto"/>
        <w:right w:val="none" w:sz="0" w:space="0" w:color="auto"/>
      </w:divBdr>
    </w:div>
    <w:div w:id="1743020077">
      <w:bodyDiv w:val="1"/>
      <w:marLeft w:val="0"/>
      <w:marRight w:val="0"/>
      <w:marTop w:val="0"/>
      <w:marBottom w:val="0"/>
      <w:divBdr>
        <w:top w:val="none" w:sz="0" w:space="0" w:color="auto"/>
        <w:left w:val="none" w:sz="0" w:space="0" w:color="auto"/>
        <w:bottom w:val="none" w:sz="0" w:space="0" w:color="auto"/>
        <w:right w:val="none" w:sz="0" w:space="0" w:color="auto"/>
      </w:divBdr>
    </w:div>
    <w:div w:id="1755348515">
      <w:bodyDiv w:val="1"/>
      <w:marLeft w:val="0"/>
      <w:marRight w:val="0"/>
      <w:marTop w:val="0"/>
      <w:marBottom w:val="0"/>
      <w:divBdr>
        <w:top w:val="none" w:sz="0" w:space="0" w:color="auto"/>
        <w:left w:val="none" w:sz="0" w:space="0" w:color="auto"/>
        <w:bottom w:val="none" w:sz="0" w:space="0" w:color="auto"/>
        <w:right w:val="none" w:sz="0" w:space="0" w:color="auto"/>
      </w:divBdr>
    </w:div>
    <w:div w:id="1818692514">
      <w:bodyDiv w:val="1"/>
      <w:marLeft w:val="0"/>
      <w:marRight w:val="0"/>
      <w:marTop w:val="0"/>
      <w:marBottom w:val="0"/>
      <w:divBdr>
        <w:top w:val="none" w:sz="0" w:space="0" w:color="auto"/>
        <w:left w:val="none" w:sz="0" w:space="0" w:color="auto"/>
        <w:bottom w:val="none" w:sz="0" w:space="0" w:color="auto"/>
        <w:right w:val="none" w:sz="0" w:space="0" w:color="auto"/>
      </w:divBdr>
    </w:div>
    <w:div w:id="1829175940">
      <w:bodyDiv w:val="1"/>
      <w:marLeft w:val="0"/>
      <w:marRight w:val="0"/>
      <w:marTop w:val="0"/>
      <w:marBottom w:val="0"/>
      <w:divBdr>
        <w:top w:val="none" w:sz="0" w:space="0" w:color="auto"/>
        <w:left w:val="none" w:sz="0" w:space="0" w:color="auto"/>
        <w:bottom w:val="none" w:sz="0" w:space="0" w:color="auto"/>
        <w:right w:val="none" w:sz="0" w:space="0" w:color="auto"/>
      </w:divBdr>
    </w:div>
    <w:div w:id="1861235505">
      <w:bodyDiv w:val="1"/>
      <w:marLeft w:val="0"/>
      <w:marRight w:val="0"/>
      <w:marTop w:val="0"/>
      <w:marBottom w:val="0"/>
      <w:divBdr>
        <w:top w:val="none" w:sz="0" w:space="0" w:color="auto"/>
        <w:left w:val="none" w:sz="0" w:space="0" w:color="auto"/>
        <w:bottom w:val="none" w:sz="0" w:space="0" w:color="auto"/>
        <w:right w:val="none" w:sz="0" w:space="0" w:color="auto"/>
      </w:divBdr>
    </w:div>
    <w:div w:id="1886600192">
      <w:bodyDiv w:val="1"/>
      <w:marLeft w:val="0"/>
      <w:marRight w:val="0"/>
      <w:marTop w:val="0"/>
      <w:marBottom w:val="0"/>
      <w:divBdr>
        <w:top w:val="none" w:sz="0" w:space="0" w:color="auto"/>
        <w:left w:val="none" w:sz="0" w:space="0" w:color="auto"/>
        <w:bottom w:val="none" w:sz="0" w:space="0" w:color="auto"/>
        <w:right w:val="none" w:sz="0" w:space="0" w:color="auto"/>
      </w:divBdr>
    </w:div>
    <w:div w:id="1892646478">
      <w:bodyDiv w:val="1"/>
      <w:marLeft w:val="0"/>
      <w:marRight w:val="0"/>
      <w:marTop w:val="0"/>
      <w:marBottom w:val="0"/>
      <w:divBdr>
        <w:top w:val="none" w:sz="0" w:space="0" w:color="auto"/>
        <w:left w:val="none" w:sz="0" w:space="0" w:color="auto"/>
        <w:bottom w:val="none" w:sz="0" w:space="0" w:color="auto"/>
        <w:right w:val="none" w:sz="0" w:space="0" w:color="auto"/>
      </w:divBdr>
    </w:div>
    <w:div w:id="1949653115">
      <w:bodyDiv w:val="1"/>
      <w:marLeft w:val="0"/>
      <w:marRight w:val="0"/>
      <w:marTop w:val="0"/>
      <w:marBottom w:val="0"/>
      <w:divBdr>
        <w:top w:val="none" w:sz="0" w:space="0" w:color="auto"/>
        <w:left w:val="none" w:sz="0" w:space="0" w:color="auto"/>
        <w:bottom w:val="none" w:sz="0" w:space="0" w:color="auto"/>
        <w:right w:val="none" w:sz="0" w:space="0" w:color="auto"/>
      </w:divBdr>
    </w:div>
    <w:div w:id="1965231153">
      <w:bodyDiv w:val="1"/>
      <w:marLeft w:val="0"/>
      <w:marRight w:val="0"/>
      <w:marTop w:val="0"/>
      <w:marBottom w:val="0"/>
      <w:divBdr>
        <w:top w:val="none" w:sz="0" w:space="0" w:color="auto"/>
        <w:left w:val="none" w:sz="0" w:space="0" w:color="auto"/>
        <w:bottom w:val="none" w:sz="0" w:space="0" w:color="auto"/>
        <w:right w:val="none" w:sz="0" w:space="0" w:color="auto"/>
      </w:divBdr>
    </w:div>
    <w:div w:id="2009941504">
      <w:bodyDiv w:val="1"/>
      <w:marLeft w:val="0"/>
      <w:marRight w:val="0"/>
      <w:marTop w:val="0"/>
      <w:marBottom w:val="0"/>
      <w:divBdr>
        <w:top w:val="none" w:sz="0" w:space="0" w:color="auto"/>
        <w:left w:val="none" w:sz="0" w:space="0" w:color="auto"/>
        <w:bottom w:val="none" w:sz="0" w:space="0" w:color="auto"/>
        <w:right w:val="none" w:sz="0" w:space="0" w:color="auto"/>
      </w:divBdr>
    </w:div>
    <w:div w:id="2065715490">
      <w:bodyDiv w:val="1"/>
      <w:marLeft w:val="0"/>
      <w:marRight w:val="0"/>
      <w:marTop w:val="0"/>
      <w:marBottom w:val="0"/>
      <w:divBdr>
        <w:top w:val="none" w:sz="0" w:space="0" w:color="auto"/>
        <w:left w:val="none" w:sz="0" w:space="0" w:color="auto"/>
        <w:bottom w:val="none" w:sz="0" w:space="0" w:color="auto"/>
        <w:right w:val="none" w:sz="0" w:space="0" w:color="auto"/>
      </w:divBdr>
    </w:div>
    <w:div w:id="2082365910">
      <w:bodyDiv w:val="1"/>
      <w:marLeft w:val="0"/>
      <w:marRight w:val="0"/>
      <w:marTop w:val="0"/>
      <w:marBottom w:val="0"/>
      <w:divBdr>
        <w:top w:val="none" w:sz="0" w:space="0" w:color="auto"/>
        <w:left w:val="none" w:sz="0" w:space="0" w:color="auto"/>
        <w:bottom w:val="none" w:sz="0" w:space="0" w:color="auto"/>
        <w:right w:val="none" w:sz="0" w:space="0" w:color="auto"/>
      </w:divBdr>
    </w:div>
    <w:div w:id="2095055586">
      <w:bodyDiv w:val="1"/>
      <w:marLeft w:val="0"/>
      <w:marRight w:val="0"/>
      <w:marTop w:val="0"/>
      <w:marBottom w:val="0"/>
      <w:divBdr>
        <w:top w:val="none" w:sz="0" w:space="0" w:color="auto"/>
        <w:left w:val="none" w:sz="0" w:space="0" w:color="auto"/>
        <w:bottom w:val="none" w:sz="0" w:space="0" w:color="auto"/>
        <w:right w:val="none" w:sz="0" w:space="0" w:color="auto"/>
      </w:divBdr>
      <w:divsChild>
        <w:div w:id="54397415">
          <w:marLeft w:val="0"/>
          <w:marRight w:val="0"/>
          <w:marTop w:val="0"/>
          <w:marBottom w:val="0"/>
          <w:divBdr>
            <w:top w:val="none" w:sz="0" w:space="0" w:color="auto"/>
            <w:left w:val="none" w:sz="0" w:space="0" w:color="auto"/>
            <w:bottom w:val="none" w:sz="0" w:space="0" w:color="auto"/>
            <w:right w:val="none" w:sz="0" w:space="0" w:color="auto"/>
          </w:divBdr>
        </w:div>
      </w:divsChild>
    </w:div>
    <w:div w:id="2112771230">
      <w:bodyDiv w:val="1"/>
      <w:marLeft w:val="0"/>
      <w:marRight w:val="0"/>
      <w:marTop w:val="0"/>
      <w:marBottom w:val="0"/>
      <w:divBdr>
        <w:top w:val="none" w:sz="0" w:space="0" w:color="auto"/>
        <w:left w:val="none" w:sz="0" w:space="0" w:color="auto"/>
        <w:bottom w:val="none" w:sz="0" w:space="0" w:color="auto"/>
        <w:right w:val="none" w:sz="0" w:space="0" w:color="auto"/>
      </w:divBdr>
    </w:div>
    <w:div w:id="212330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mc.gov.au/government/commonwealth-coat-arms" TargetMode="External"/><Relationship Id="rId18" Type="http://schemas.openxmlformats.org/officeDocument/2006/relationships/footer" Target="footer2.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5" Type="http://schemas.openxmlformats.org/officeDocument/2006/relationships/diagramColors" Target="diagrams/colors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diagramQuickStyle" Target="diagrams/quickStyle1.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diagramLayout" Target="diagrams/layout1.xml"/><Relationship Id="rId28" Type="http://schemas.openxmlformats.org/officeDocument/2006/relationships/header" Target="header4.xml"/><Relationship Id="rId10" Type="http://schemas.openxmlformats.org/officeDocument/2006/relationships/hyperlink" Target="http://creativecommons.org/licenses/by/3.0/au/legalcode" TargetMode="External"/><Relationship Id="rId19" Type="http://schemas.openxmlformats.org/officeDocument/2006/relationships/hyperlink" Target="mailto:paymentslicensingconsultation@treasury.gov.au"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diagramData" Target="diagrams/data1.xm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3" Type="http://schemas.openxmlformats.org/officeDocument/2006/relationships/hyperlink" Target="https://www.rba.gov.au/media-releases/2006/pdf/mr-06-02-purchased-payment-facilities-dec-2.pdf" TargetMode="External"/><Relationship Id="rId18" Type="http://schemas.openxmlformats.org/officeDocument/2006/relationships/hyperlink" Target="https://www.rba.gov.au/payments-and-infrastructure/financial-market-infrastructure/high-value-payments/" TargetMode="External"/><Relationship Id="rId26" Type="http://schemas.openxmlformats.org/officeDocument/2006/relationships/hyperlink" Target="https://download.asic.gov.au/media/45vakseo/rg166-published-07-september-2023.pdf" TargetMode="External"/><Relationship Id="rId3" Type="http://schemas.openxmlformats.org/officeDocument/2006/relationships/hyperlink" Target="https://www.eba.europa.eu/sites/default/documents/files/document_library/Publications/Opinions/2022/Opinion%20od%20PSD2%20review%20%28EBA-Op-2022-06%29/1036016/EBA%27s%20response%20to%20the%20Call%20for%20advice%20on%20the%20review%20of%20PSD2.pdf" TargetMode="External"/><Relationship Id="rId21" Type="http://schemas.openxmlformats.org/officeDocument/2006/relationships/hyperlink" Target="https://asic.gov.au/for-finance-professionals/credit-licensees/your-ongoing-credit-licence-obligations/complying-with-your-obligations-if-both-credit-licensee-and-afs-licensee/" TargetMode="External"/><Relationship Id="rId34" Type="http://schemas.openxmlformats.org/officeDocument/2006/relationships/hyperlink" Target="https://www.mas.gov.sg/-/media/mas/regulations-and-financial-stability/regulatory-and-supervisory-framework/risk-management/outsourcing-guidelines_jul-2016-revised-on-5-oct-2018.pdf" TargetMode="External"/><Relationship Id="rId7" Type="http://schemas.openxmlformats.org/officeDocument/2006/relationships/hyperlink" Target="https://treasury.gov.au/sites/default/files/2023-10/c2023-427004-proposal-paper-finalised.pdf" TargetMode="External"/><Relationship Id="rId12" Type="http://schemas.openxmlformats.org/officeDocument/2006/relationships/hyperlink" Target="https://parlinfo.aph.gov.au/parlInfo/download/legislation/ems/r1256_ems_a047a21a-82ac-4678-807d-cb7a5e65b53c/upload_pdf/42243rem.pdf;fileType=application%2Fpdf" TargetMode="External"/><Relationship Id="rId17" Type="http://schemas.openxmlformats.org/officeDocument/2006/relationships/hyperlink" Target="https://laws-lois.justice.gc.ca/eng/acts/R-7.36/page-1.html" TargetMode="External"/><Relationship Id="rId25" Type="http://schemas.openxmlformats.org/officeDocument/2006/relationships/hyperlink" Target="https://download.asic.gov.au/media/45vakseo/rg166-published-07-september-2023.pdf" TargetMode="External"/><Relationship Id="rId33" Type="http://schemas.openxmlformats.org/officeDocument/2006/relationships/hyperlink" Target="https://www.rba.gov.au/media-releases/2004/pdf/mr-04-04-exemption-section-25.pdf" TargetMode="External"/><Relationship Id="rId2" Type="http://schemas.openxmlformats.org/officeDocument/2006/relationships/hyperlink" Target="https://www.handbook.fca.org.uk/handbook/PERG/3A/3.html" TargetMode="External"/><Relationship Id="rId16" Type="http://schemas.openxmlformats.org/officeDocument/2006/relationships/hyperlink" Target="https://www.rba.gov.au/payments-and-infrastructure/payments-system-regulation/regulations.html" TargetMode="External"/><Relationship Id="rId20" Type="http://schemas.openxmlformats.org/officeDocument/2006/relationships/hyperlink" Target="https://www.austpayroll.com.au/asic-statement-payroll-service-providers/" TargetMode="External"/><Relationship Id="rId29" Type="http://schemas.openxmlformats.org/officeDocument/2006/relationships/hyperlink" Target="https://asic.gov.au/regulatory-resources/financial-services/complying-with-the-asic-client-money-reporting-rules-2017/" TargetMode="External"/><Relationship Id="rId1" Type="http://schemas.openxmlformats.org/officeDocument/2006/relationships/hyperlink" Target="https://treasury.gov.au/consultation/c2023-403207" TargetMode="External"/><Relationship Id="rId6" Type="http://schemas.openxmlformats.org/officeDocument/2006/relationships/hyperlink" Target="https://treasury.gov.au/sites/default/files/2023-10/c2023-427004-proposal-paper-finalised.pdf" TargetMode="External"/><Relationship Id="rId11" Type="http://schemas.openxmlformats.org/officeDocument/2006/relationships/hyperlink" Target="https://asic.gov.au/regulatory-resources/find-a-document/regulatory-guides/rg-121-doing-financial-services-business-in-australia/" TargetMode="External"/><Relationship Id="rId24" Type="http://schemas.openxmlformats.org/officeDocument/2006/relationships/hyperlink" Target="https://download.asic.gov.au/media/45vakseo/rg166-published-07-september-2023.pdf" TargetMode="External"/><Relationship Id="rId32" Type="http://schemas.openxmlformats.org/officeDocument/2006/relationships/hyperlink" Target="https://treasury.gov.au/consultation/c2023-464732" TargetMode="External"/><Relationship Id="rId5" Type="http://schemas.openxmlformats.org/officeDocument/2006/relationships/hyperlink" Target="https://treasury.gov.au/sites/default/files/2023-10/c2023-427004-proposal-paper-finalised.pdf" TargetMode="External"/><Relationship Id="rId15" Type="http://schemas.openxmlformats.org/officeDocument/2006/relationships/hyperlink" Target="https://www.handbook.fca.org.uk/handbook/PERG/15/5.html" TargetMode="External"/><Relationship Id="rId23" Type="http://schemas.openxmlformats.org/officeDocument/2006/relationships/hyperlink" Target="https://download.asic.gov.au/media/rszd4pzx/rg121-published-30-july-2013-20220328.pdf" TargetMode="External"/><Relationship Id="rId28" Type="http://schemas.openxmlformats.org/officeDocument/2006/relationships/hyperlink" Target="https://ministers.treasury.gov.au/ministers/bill-shorten-2010/media-releases/shorter-product-disclosure-statements" TargetMode="External"/><Relationship Id="rId10" Type="http://schemas.openxmlformats.org/officeDocument/2006/relationships/hyperlink" Target="https://www.bankofcanada.ca/wp-content/uploads/2021/08/retail-payments-advisory-committee-registration-scope.pdf" TargetMode="External"/><Relationship Id="rId19" Type="http://schemas.openxmlformats.org/officeDocument/2006/relationships/hyperlink" Target="https://www.mas.gov.sg/-/media/mas/regulations-and-financial-stability/regulatory-and-supervisory-framework/risk-management/outsourcing-guidelines_jul-2016-revised-on-5-oct-2018.pdf" TargetMode="External"/><Relationship Id="rId31" Type="http://schemas.openxmlformats.org/officeDocument/2006/relationships/hyperlink" Target="https://treasury.gov.au/consultation/c2023-436961" TargetMode="External"/><Relationship Id="rId4" Type="http://schemas.openxmlformats.org/officeDocument/2006/relationships/hyperlink" Target="https://treasury.gov.au/sites/default/files/2023-06/c2023-403206-cpaper.pdf" TargetMode="External"/><Relationship Id="rId9" Type="http://schemas.openxmlformats.org/officeDocument/2006/relationships/hyperlink" Target="https://www.makarim.com/storage/uploads/4a9fef99-63cc-4e0f-9ceb-33ca5360d8b3/Aug-2021---Issue-1---Payment-Services-Providers.pdf" TargetMode="External"/><Relationship Id="rId14" Type="http://schemas.openxmlformats.org/officeDocument/2006/relationships/hyperlink" Target="https://www.mas.gov.sg/-/media/mas-media-library/regulation/faqs/pd/faqs-on-payment-services-act-2019/payment-services-act-faq--7-march-2022.pdf" TargetMode="External"/><Relationship Id="rId22" Type="http://schemas.openxmlformats.org/officeDocument/2006/relationships/hyperlink" Target="https://treasury.gov.au/sites/default/files/2023-10/c2023-427004-proposal-paper-finalised.pdf" TargetMode="External"/><Relationship Id="rId27" Type="http://schemas.openxmlformats.org/officeDocument/2006/relationships/hyperlink" Target="https://download.asic.gov.au/media/dlpccdof/rg274-published-11-december-2020-20220628.pdf" TargetMode="External"/><Relationship Id="rId30" Type="http://schemas.openxmlformats.org/officeDocument/2006/relationships/hyperlink" Target="https://www.apra.gov.au/news-and-publications/apra-consults-on-minimum-capital-requirements-for-ppf-providers" TargetMode="External"/><Relationship Id="rId8" Type="http://schemas.openxmlformats.org/officeDocument/2006/relationships/hyperlink" Target="https://treasury.gov.au/sites/default/files/2023-10/c2023-427004-proposal-paper-finalised.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1C600D-9BEC-466E-9989-7B396B8E61BF}"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AU"/>
        </a:p>
      </dgm:t>
    </dgm:pt>
    <dgm:pt modelId="{B8EC09C0-BB16-419C-BC49-DA055B81362D}">
      <dgm:prSet phldrT="[Text]" custT="1"/>
      <dgm:spPr>
        <a:solidFill>
          <a:schemeClr val="accent2">
            <a:lumMod val="60000"/>
            <a:lumOff val="40000"/>
          </a:schemeClr>
        </a:solidFill>
      </dgm:spPr>
      <dgm:t>
        <a:bodyPr/>
        <a:lstStyle/>
        <a:p>
          <a:pPr algn="ctr"/>
          <a:r>
            <a:rPr lang="en-AU" sz="1100" b="1"/>
            <a:t>Key components of the AFSL framework</a:t>
          </a:r>
        </a:p>
      </dgm:t>
    </dgm:pt>
    <dgm:pt modelId="{8D0C63D7-5893-43E4-B391-240D9A45F3D8}" type="parTrans" cxnId="{DEE18203-05F8-48CB-9ED3-9F971465D966}">
      <dgm:prSet/>
      <dgm:spPr/>
      <dgm:t>
        <a:bodyPr/>
        <a:lstStyle/>
        <a:p>
          <a:pPr algn="ctr"/>
          <a:endParaRPr lang="en-AU"/>
        </a:p>
      </dgm:t>
    </dgm:pt>
    <dgm:pt modelId="{B652B574-4202-48F4-8D20-43B383493532}" type="sibTrans" cxnId="{DEE18203-05F8-48CB-9ED3-9F971465D966}">
      <dgm:prSet/>
      <dgm:spPr/>
      <dgm:t>
        <a:bodyPr/>
        <a:lstStyle/>
        <a:p>
          <a:pPr algn="ctr"/>
          <a:endParaRPr lang="en-AU"/>
        </a:p>
      </dgm:t>
    </dgm:pt>
    <dgm:pt modelId="{06E38C14-0A0B-4696-B268-C1F07E1BB654}">
      <dgm:prSet phldrT="[Text]"/>
      <dgm:spPr/>
      <dgm:t>
        <a:bodyPr/>
        <a:lstStyle/>
        <a:p>
          <a:pPr algn="ctr"/>
          <a:r>
            <a:rPr lang="en-AU"/>
            <a:t>Fit and proper person tests</a:t>
          </a:r>
        </a:p>
      </dgm:t>
    </dgm:pt>
    <dgm:pt modelId="{E4BE25C8-2245-4EDD-A42F-CDC7DACBF33A}" type="parTrans" cxnId="{56395F61-D814-40F2-8A00-3C7652D3D314}">
      <dgm:prSet/>
      <dgm:spPr/>
      <dgm:t>
        <a:bodyPr/>
        <a:lstStyle/>
        <a:p>
          <a:pPr algn="ctr"/>
          <a:endParaRPr lang="en-AU"/>
        </a:p>
      </dgm:t>
    </dgm:pt>
    <dgm:pt modelId="{BE89E6D9-948D-4B70-B85E-A83F45F6B62E}" type="sibTrans" cxnId="{56395F61-D814-40F2-8A00-3C7652D3D314}">
      <dgm:prSet/>
      <dgm:spPr/>
      <dgm:t>
        <a:bodyPr/>
        <a:lstStyle/>
        <a:p>
          <a:pPr algn="ctr"/>
          <a:endParaRPr lang="en-AU"/>
        </a:p>
      </dgm:t>
    </dgm:pt>
    <dgm:pt modelId="{805A5428-B88A-4D2D-926D-F34367AFE16D}">
      <dgm:prSet phldrT="[Text]"/>
      <dgm:spPr/>
      <dgm:t>
        <a:bodyPr/>
        <a:lstStyle/>
        <a:p>
          <a:pPr algn="ctr"/>
          <a:r>
            <a:rPr lang="en-AU"/>
            <a:t>General obligations e.g. financial, technological and human resources</a:t>
          </a:r>
        </a:p>
      </dgm:t>
    </dgm:pt>
    <dgm:pt modelId="{0DC1AFDC-238B-47A3-83CE-16B6E6A21784}" type="parTrans" cxnId="{6D68DE91-BDF8-43EC-95D1-E53275EC4430}">
      <dgm:prSet/>
      <dgm:spPr/>
      <dgm:t>
        <a:bodyPr/>
        <a:lstStyle/>
        <a:p>
          <a:pPr algn="ctr"/>
          <a:endParaRPr lang="en-AU"/>
        </a:p>
      </dgm:t>
    </dgm:pt>
    <dgm:pt modelId="{729BB1D0-2BEF-4F08-8892-6D4BDB01724A}" type="sibTrans" cxnId="{6D68DE91-BDF8-43EC-95D1-E53275EC4430}">
      <dgm:prSet/>
      <dgm:spPr/>
      <dgm:t>
        <a:bodyPr/>
        <a:lstStyle/>
        <a:p>
          <a:pPr algn="ctr"/>
          <a:endParaRPr lang="en-AU"/>
        </a:p>
      </dgm:t>
    </dgm:pt>
    <dgm:pt modelId="{2E0AD328-7A3F-4E1C-935F-F0080F72F726}">
      <dgm:prSet phldrT="[Text]"/>
      <dgm:spPr/>
      <dgm:t>
        <a:bodyPr/>
        <a:lstStyle/>
        <a:p>
          <a:pPr algn="ctr"/>
          <a:r>
            <a:rPr lang="en-AU"/>
            <a:t>Protections for retail clients e.g. disclosure, dispute resolution</a:t>
          </a:r>
        </a:p>
      </dgm:t>
    </dgm:pt>
    <dgm:pt modelId="{0A2A7876-75C5-49A8-922B-A8016413F507}" type="parTrans" cxnId="{908E0175-869C-4D53-A8A3-91553CBD99B2}">
      <dgm:prSet/>
      <dgm:spPr/>
      <dgm:t>
        <a:bodyPr/>
        <a:lstStyle/>
        <a:p>
          <a:pPr algn="ctr"/>
          <a:endParaRPr lang="en-AU"/>
        </a:p>
      </dgm:t>
    </dgm:pt>
    <dgm:pt modelId="{CF2E50EF-7A81-4B18-9E73-A631A58C7077}" type="sibTrans" cxnId="{908E0175-869C-4D53-A8A3-91553CBD99B2}">
      <dgm:prSet/>
      <dgm:spPr/>
      <dgm:t>
        <a:bodyPr/>
        <a:lstStyle/>
        <a:p>
          <a:pPr algn="ctr"/>
          <a:endParaRPr lang="en-AU"/>
        </a:p>
      </dgm:t>
    </dgm:pt>
    <dgm:pt modelId="{6E36997A-A244-40D5-8F65-6C33921D53C8}">
      <dgm:prSet phldrT="[Text]"/>
      <dgm:spPr/>
      <dgm:t>
        <a:bodyPr/>
        <a:lstStyle/>
        <a:p>
          <a:pPr algn="ctr"/>
          <a:r>
            <a:rPr lang="en-AU"/>
            <a:t>Reporting obligations</a:t>
          </a:r>
        </a:p>
      </dgm:t>
    </dgm:pt>
    <dgm:pt modelId="{54269377-1130-4579-AD1C-4E0590D644F6}" type="parTrans" cxnId="{B956FC9B-1382-4A6F-A2B3-F042DFBC32A2}">
      <dgm:prSet/>
      <dgm:spPr/>
      <dgm:t>
        <a:bodyPr/>
        <a:lstStyle/>
        <a:p>
          <a:pPr algn="ctr"/>
          <a:endParaRPr lang="en-AU"/>
        </a:p>
      </dgm:t>
    </dgm:pt>
    <dgm:pt modelId="{8BA0226F-D0CD-49A9-ACF2-0ADFE6364AB1}" type="sibTrans" cxnId="{B956FC9B-1382-4A6F-A2B3-F042DFBC32A2}">
      <dgm:prSet/>
      <dgm:spPr/>
      <dgm:t>
        <a:bodyPr/>
        <a:lstStyle/>
        <a:p>
          <a:pPr algn="ctr"/>
          <a:endParaRPr lang="en-AU"/>
        </a:p>
      </dgm:t>
    </dgm:pt>
    <dgm:pt modelId="{C1D2DD16-D9A0-4594-A470-A2D676556309}">
      <dgm:prSet phldrT="[Text]"/>
      <dgm:spPr/>
      <dgm:t>
        <a:bodyPr/>
        <a:lstStyle/>
        <a:p>
          <a:pPr algn="ctr"/>
          <a:r>
            <a:rPr lang="en-AU"/>
            <a:t>Special rules for APRA-regulated bodies</a:t>
          </a:r>
        </a:p>
      </dgm:t>
    </dgm:pt>
    <dgm:pt modelId="{6DA218AF-FA25-4675-8181-762FDDAF667C}" type="parTrans" cxnId="{75C1872E-D6F6-4071-ADE8-F31D60A82122}">
      <dgm:prSet/>
      <dgm:spPr/>
      <dgm:t>
        <a:bodyPr/>
        <a:lstStyle/>
        <a:p>
          <a:pPr algn="ctr"/>
          <a:endParaRPr lang="en-AU"/>
        </a:p>
      </dgm:t>
    </dgm:pt>
    <dgm:pt modelId="{3AAE9E33-C32D-4A3E-BA83-7CF1BED4A7EC}" type="sibTrans" cxnId="{75C1872E-D6F6-4071-ADE8-F31D60A82122}">
      <dgm:prSet/>
      <dgm:spPr/>
      <dgm:t>
        <a:bodyPr/>
        <a:lstStyle/>
        <a:p>
          <a:pPr algn="ctr"/>
          <a:endParaRPr lang="en-AU"/>
        </a:p>
      </dgm:t>
    </dgm:pt>
    <dgm:pt modelId="{B0D1DC0A-2E40-4EB7-AA10-0C21161F846E}">
      <dgm:prSet phldrT="[Text]"/>
      <dgm:spPr/>
      <dgm:t>
        <a:bodyPr/>
        <a:lstStyle/>
        <a:p>
          <a:pPr algn="ctr"/>
          <a:r>
            <a:rPr lang="en-AU"/>
            <a:t>Client money obligations</a:t>
          </a:r>
        </a:p>
      </dgm:t>
    </dgm:pt>
    <dgm:pt modelId="{5AE3CBBD-169F-4666-AF47-9CB663C400CD}" type="parTrans" cxnId="{2AC5B44A-6111-4B98-8728-9703D5E22ABA}">
      <dgm:prSet/>
      <dgm:spPr/>
      <dgm:t>
        <a:bodyPr/>
        <a:lstStyle/>
        <a:p>
          <a:pPr algn="ctr"/>
          <a:endParaRPr lang="en-AU"/>
        </a:p>
      </dgm:t>
    </dgm:pt>
    <dgm:pt modelId="{E6FBAD05-66D3-4B26-BC6E-76C5571D7CC2}" type="sibTrans" cxnId="{2AC5B44A-6111-4B98-8728-9703D5E22ABA}">
      <dgm:prSet/>
      <dgm:spPr/>
      <dgm:t>
        <a:bodyPr/>
        <a:lstStyle/>
        <a:p>
          <a:pPr algn="ctr"/>
          <a:endParaRPr lang="en-AU"/>
        </a:p>
      </dgm:t>
    </dgm:pt>
    <dgm:pt modelId="{C6A8D336-CD57-45D3-9228-4FE515CEA034}" type="pres">
      <dgm:prSet presAssocID="{1A1C600D-9BEC-466E-9989-7B396B8E61BF}" presName="Name0" presStyleCnt="0">
        <dgm:presLayoutVars>
          <dgm:chMax val="1"/>
          <dgm:chPref val="1"/>
          <dgm:dir/>
          <dgm:animOne val="branch"/>
          <dgm:animLvl val="lvl"/>
        </dgm:presLayoutVars>
      </dgm:prSet>
      <dgm:spPr/>
    </dgm:pt>
    <dgm:pt modelId="{D645D651-CBB7-444A-BB85-92F8D99AB391}" type="pres">
      <dgm:prSet presAssocID="{B8EC09C0-BB16-419C-BC49-DA055B81362D}" presName="Parent" presStyleLbl="node0" presStyleIdx="0" presStyleCnt="1">
        <dgm:presLayoutVars>
          <dgm:chMax val="6"/>
          <dgm:chPref val="6"/>
        </dgm:presLayoutVars>
      </dgm:prSet>
      <dgm:spPr/>
    </dgm:pt>
    <dgm:pt modelId="{82673CEB-1817-47BD-8DFA-454B12090377}" type="pres">
      <dgm:prSet presAssocID="{06E38C14-0A0B-4696-B268-C1F07E1BB654}" presName="Accent1" presStyleCnt="0"/>
      <dgm:spPr/>
    </dgm:pt>
    <dgm:pt modelId="{5C15D707-8C31-46C3-A05F-C126E5A9C6DC}" type="pres">
      <dgm:prSet presAssocID="{06E38C14-0A0B-4696-B268-C1F07E1BB654}" presName="Accent" presStyleLbl="bgShp" presStyleIdx="0" presStyleCnt="6"/>
      <dgm:spPr/>
    </dgm:pt>
    <dgm:pt modelId="{AF401FDF-7E49-47D4-B679-B9FD98DB3D16}" type="pres">
      <dgm:prSet presAssocID="{06E38C14-0A0B-4696-B268-C1F07E1BB654}" presName="Child1" presStyleLbl="node1" presStyleIdx="0" presStyleCnt="6">
        <dgm:presLayoutVars>
          <dgm:chMax val="0"/>
          <dgm:chPref val="0"/>
          <dgm:bulletEnabled val="1"/>
        </dgm:presLayoutVars>
      </dgm:prSet>
      <dgm:spPr/>
    </dgm:pt>
    <dgm:pt modelId="{5B284F75-2A55-448E-8BF6-7D9DD1F42F0E}" type="pres">
      <dgm:prSet presAssocID="{805A5428-B88A-4D2D-926D-F34367AFE16D}" presName="Accent2" presStyleCnt="0"/>
      <dgm:spPr/>
    </dgm:pt>
    <dgm:pt modelId="{64946C9C-97BA-446A-8849-559FDD8DB102}" type="pres">
      <dgm:prSet presAssocID="{805A5428-B88A-4D2D-926D-F34367AFE16D}" presName="Accent" presStyleLbl="bgShp" presStyleIdx="1" presStyleCnt="6"/>
      <dgm:spPr>
        <a:solidFill>
          <a:schemeClr val="bg1"/>
        </a:solidFill>
      </dgm:spPr>
    </dgm:pt>
    <dgm:pt modelId="{DE99EBA5-3040-4998-AB29-343F2BEF7A94}" type="pres">
      <dgm:prSet presAssocID="{805A5428-B88A-4D2D-926D-F34367AFE16D}" presName="Child2" presStyleLbl="node1" presStyleIdx="1" presStyleCnt="6">
        <dgm:presLayoutVars>
          <dgm:chMax val="0"/>
          <dgm:chPref val="0"/>
          <dgm:bulletEnabled val="1"/>
        </dgm:presLayoutVars>
      </dgm:prSet>
      <dgm:spPr/>
    </dgm:pt>
    <dgm:pt modelId="{17215A88-A46E-498D-9437-6F5EDAE7ED5A}" type="pres">
      <dgm:prSet presAssocID="{2E0AD328-7A3F-4E1C-935F-F0080F72F726}" presName="Accent3" presStyleCnt="0"/>
      <dgm:spPr/>
    </dgm:pt>
    <dgm:pt modelId="{EE3EDC27-78BD-4093-839B-105E59C66CE5}" type="pres">
      <dgm:prSet presAssocID="{2E0AD328-7A3F-4E1C-935F-F0080F72F726}" presName="Accent" presStyleLbl="bgShp" presStyleIdx="2" presStyleCnt="6"/>
      <dgm:spPr>
        <a:solidFill>
          <a:schemeClr val="bg1"/>
        </a:solidFill>
      </dgm:spPr>
    </dgm:pt>
    <dgm:pt modelId="{11399F8F-1EF9-47A0-A4F3-CB733127FC02}" type="pres">
      <dgm:prSet presAssocID="{2E0AD328-7A3F-4E1C-935F-F0080F72F726}" presName="Child3" presStyleLbl="node1" presStyleIdx="2" presStyleCnt="6">
        <dgm:presLayoutVars>
          <dgm:chMax val="0"/>
          <dgm:chPref val="0"/>
          <dgm:bulletEnabled val="1"/>
        </dgm:presLayoutVars>
      </dgm:prSet>
      <dgm:spPr/>
    </dgm:pt>
    <dgm:pt modelId="{2E544879-3E13-4BFE-A8F0-A278A4E85819}" type="pres">
      <dgm:prSet presAssocID="{6E36997A-A244-40D5-8F65-6C33921D53C8}" presName="Accent4" presStyleCnt="0"/>
      <dgm:spPr/>
    </dgm:pt>
    <dgm:pt modelId="{71469DAD-EAB7-4613-A5BA-3152A0E3D294}" type="pres">
      <dgm:prSet presAssocID="{6E36997A-A244-40D5-8F65-6C33921D53C8}" presName="Accent" presStyleLbl="bgShp" presStyleIdx="3" presStyleCnt="6"/>
      <dgm:spPr>
        <a:solidFill>
          <a:schemeClr val="bg1"/>
        </a:solidFill>
      </dgm:spPr>
    </dgm:pt>
    <dgm:pt modelId="{C5836682-B969-43A7-AF41-692F907E8CB8}" type="pres">
      <dgm:prSet presAssocID="{6E36997A-A244-40D5-8F65-6C33921D53C8}" presName="Child4" presStyleLbl="node1" presStyleIdx="3" presStyleCnt="6">
        <dgm:presLayoutVars>
          <dgm:chMax val="0"/>
          <dgm:chPref val="0"/>
          <dgm:bulletEnabled val="1"/>
        </dgm:presLayoutVars>
      </dgm:prSet>
      <dgm:spPr/>
    </dgm:pt>
    <dgm:pt modelId="{1A2800F6-D966-42B2-8DFC-649849F4839B}" type="pres">
      <dgm:prSet presAssocID="{C1D2DD16-D9A0-4594-A470-A2D676556309}" presName="Accent5" presStyleCnt="0"/>
      <dgm:spPr/>
    </dgm:pt>
    <dgm:pt modelId="{98175855-D95D-4826-AB5D-A40E26BC7CFB}" type="pres">
      <dgm:prSet presAssocID="{C1D2DD16-D9A0-4594-A470-A2D676556309}" presName="Accent" presStyleLbl="bgShp" presStyleIdx="4" presStyleCnt="6"/>
      <dgm:spPr>
        <a:solidFill>
          <a:schemeClr val="bg1"/>
        </a:solidFill>
      </dgm:spPr>
    </dgm:pt>
    <dgm:pt modelId="{71364D82-96ED-4DD2-B399-20AAE716EEEF}" type="pres">
      <dgm:prSet presAssocID="{C1D2DD16-D9A0-4594-A470-A2D676556309}" presName="Child5" presStyleLbl="node1" presStyleIdx="4" presStyleCnt="6">
        <dgm:presLayoutVars>
          <dgm:chMax val="0"/>
          <dgm:chPref val="0"/>
          <dgm:bulletEnabled val="1"/>
        </dgm:presLayoutVars>
      </dgm:prSet>
      <dgm:spPr/>
    </dgm:pt>
    <dgm:pt modelId="{00DE40B8-B63D-42F2-B6C6-7EE90A98D029}" type="pres">
      <dgm:prSet presAssocID="{B0D1DC0A-2E40-4EB7-AA10-0C21161F846E}" presName="Accent6" presStyleCnt="0"/>
      <dgm:spPr/>
    </dgm:pt>
    <dgm:pt modelId="{577169EF-1552-4145-A022-3AB67D1EA3DB}" type="pres">
      <dgm:prSet presAssocID="{B0D1DC0A-2E40-4EB7-AA10-0C21161F846E}" presName="Accent" presStyleLbl="bgShp" presStyleIdx="5" presStyleCnt="6"/>
      <dgm:spPr>
        <a:solidFill>
          <a:schemeClr val="bg1"/>
        </a:solidFill>
      </dgm:spPr>
    </dgm:pt>
    <dgm:pt modelId="{618FC87C-0D7D-491A-A30E-4055DE0BC1BA}" type="pres">
      <dgm:prSet presAssocID="{B0D1DC0A-2E40-4EB7-AA10-0C21161F846E}" presName="Child6" presStyleLbl="node1" presStyleIdx="5" presStyleCnt="6">
        <dgm:presLayoutVars>
          <dgm:chMax val="0"/>
          <dgm:chPref val="0"/>
          <dgm:bulletEnabled val="1"/>
        </dgm:presLayoutVars>
      </dgm:prSet>
      <dgm:spPr/>
    </dgm:pt>
  </dgm:ptLst>
  <dgm:cxnLst>
    <dgm:cxn modelId="{DEE18203-05F8-48CB-9ED3-9F971465D966}" srcId="{1A1C600D-9BEC-466E-9989-7B396B8E61BF}" destId="{B8EC09C0-BB16-419C-BC49-DA055B81362D}" srcOrd="0" destOrd="0" parTransId="{8D0C63D7-5893-43E4-B391-240D9A45F3D8}" sibTransId="{B652B574-4202-48F4-8D20-43B383493532}"/>
    <dgm:cxn modelId="{FD5C2B0E-6FE6-41EC-8633-21D90BAC5023}" type="presOf" srcId="{805A5428-B88A-4D2D-926D-F34367AFE16D}" destId="{DE99EBA5-3040-4998-AB29-343F2BEF7A94}" srcOrd="0" destOrd="0" presId="urn:microsoft.com/office/officeart/2011/layout/HexagonRadial"/>
    <dgm:cxn modelId="{75C1872E-D6F6-4071-ADE8-F31D60A82122}" srcId="{B8EC09C0-BB16-419C-BC49-DA055B81362D}" destId="{C1D2DD16-D9A0-4594-A470-A2D676556309}" srcOrd="4" destOrd="0" parTransId="{6DA218AF-FA25-4675-8181-762FDDAF667C}" sibTransId="{3AAE9E33-C32D-4A3E-BA83-7CF1BED4A7EC}"/>
    <dgm:cxn modelId="{9197323E-12A0-4A84-BEC7-76E732A6E018}" type="presOf" srcId="{2E0AD328-7A3F-4E1C-935F-F0080F72F726}" destId="{11399F8F-1EF9-47A0-A4F3-CB733127FC02}" srcOrd="0" destOrd="0" presId="urn:microsoft.com/office/officeart/2011/layout/HexagonRadial"/>
    <dgm:cxn modelId="{56395F61-D814-40F2-8A00-3C7652D3D314}" srcId="{B8EC09C0-BB16-419C-BC49-DA055B81362D}" destId="{06E38C14-0A0B-4696-B268-C1F07E1BB654}" srcOrd="0" destOrd="0" parTransId="{E4BE25C8-2245-4EDD-A42F-CDC7DACBF33A}" sibTransId="{BE89E6D9-948D-4B70-B85E-A83F45F6B62E}"/>
    <dgm:cxn modelId="{2AC5B44A-6111-4B98-8728-9703D5E22ABA}" srcId="{B8EC09C0-BB16-419C-BC49-DA055B81362D}" destId="{B0D1DC0A-2E40-4EB7-AA10-0C21161F846E}" srcOrd="5" destOrd="0" parTransId="{5AE3CBBD-169F-4666-AF47-9CB663C400CD}" sibTransId="{E6FBAD05-66D3-4B26-BC6E-76C5571D7CC2}"/>
    <dgm:cxn modelId="{8E5B5D73-D24E-484A-BFA7-FEFD7A8D09BD}" type="presOf" srcId="{6E36997A-A244-40D5-8F65-6C33921D53C8}" destId="{C5836682-B969-43A7-AF41-692F907E8CB8}" srcOrd="0" destOrd="0" presId="urn:microsoft.com/office/officeart/2011/layout/HexagonRadial"/>
    <dgm:cxn modelId="{908E0175-869C-4D53-A8A3-91553CBD99B2}" srcId="{B8EC09C0-BB16-419C-BC49-DA055B81362D}" destId="{2E0AD328-7A3F-4E1C-935F-F0080F72F726}" srcOrd="2" destOrd="0" parTransId="{0A2A7876-75C5-49A8-922B-A8016413F507}" sibTransId="{CF2E50EF-7A81-4B18-9E73-A631A58C7077}"/>
    <dgm:cxn modelId="{E1195785-552C-423A-BB75-0D110E2D04ED}" type="presOf" srcId="{B0D1DC0A-2E40-4EB7-AA10-0C21161F846E}" destId="{618FC87C-0D7D-491A-A30E-4055DE0BC1BA}" srcOrd="0" destOrd="0" presId="urn:microsoft.com/office/officeart/2011/layout/HexagonRadial"/>
    <dgm:cxn modelId="{6D68DE91-BDF8-43EC-95D1-E53275EC4430}" srcId="{B8EC09C0-BB16-419C-BC49-DA055B81362D}" destId="{805A5428-B88A-4D2D-926D-F34367AFE16D}" srcOrd="1" destOrd="0" parTransId="{0DC1AFDC-238B-47A3-83CE-16B6E6A21784}" sibTransId="{729BB1D0-2BEF-4F08-8892-6D4BDB01724A}"/>
    <dgm:cxn modelId="{B956FC9B-1382-4A6F-A2B3-F042DFBC32A2}" srcId="{B8EC09C0-BB16-419C-BC49-DA055B81362D}" destId="{6E36997A-A244-40D5-8F65-6C33921D53C8}" srcOrd="3" destOrd="0" parTransId="{54269377-1130-4579-AD1C-4E0590D644F6}" sibTransId="{8BA0226F-D0CD-49A9-ACF2-0ADFE6364AB1}"/>
    <dgm:cxn modelId="{387538B0-BED9-4F7B-A085-1D06EFCBD9A8}" type="presOf" srcId="{B8EC09C0-BB16-419C-BC49-DA055B81362D}" destId="{D645D651-CBB7-444A-BB85-92F8D99AB391}" srcOrd="0" destOrd="0" presId="urn:microsoft.com/office/officeart/2011/layout/HexagonRadial"/>
    <dgm:cxn modelId="{538798B3-FAFC-4C11-BF27-B325943F8580}" type="presOf" srcId="{C1D2DD16-D9A0-4594-A470-A2D676556309}" destId="{71364D82-96ED-4DD2-B399-20AAE716EEEF}" srcOrd="0" destOrd="0" presId="urn:microsoft.com/office/officeart/2011/layout/HexagonRadial"/>
    <dgm:cxn modelId="{1027FFE3-1B6D-4195-8602-C1247FB52C89}" type="presOf" srcId="{1A1C600D-9BEC-466E-9989-7B396B8E61BF}" destId="{C6A8D336-CD57-45D3-9228-4FE515CEA034}" srcOrd="0" destOrd="0" presId="urn:microsoft.com/office/officeart/2011/layout/HexagonRadial"/>
    <dgm:cxn modelId="{1AF9B0EE-3AAA-4F69-831B-4534B9E33362}" type="presOf" srcId="{06E38C14-0A0B-4696-B268-C1F07E1BB654}" destId="{AF401FDF-7E49-47D4-B679-B9FD98DB3D16}" srcOrd="0" destOrd="0" presId="urn:microsoft.com/office/officeart/2011/layout/HexagonRadial"/>
    <dgm:cxn modelId="{543528DF-7B17-4299-AC80-4532A2DD4990}" type="presParOf" srcId="{C6A8D336-CD57-45D3-9228-4FE515CEA034}" destId="{D645D651-CBB7-444A-BB85-92F8D99AB391}" srcOrd="0" destOrd="0" presId="urn:microsoft.com/office/officeart/2011/layout/HexagonRadial"/>
    <dgm:cxn modelId="{A50FD379-4088-47D1-BF45-05E61F0E9C1F}" type="presParOf" srcId="{C6A8D336-CD57-45D3-9228-4FE515CEA034}" destId="{82673CEB-1817-47BD-8DFA-454B12090377}" srcOrd="1" destOrd="0" presId="urn:microsoft.com/office/officeart/2011/layout/HexagonRadial"/>
    <dgm:cxn modelId="{6E61EC4C-0D83-4F33-BC2E-87C419EC353E}" type="presParOf" srcId="{82673CEB-1817-47BD-8DFA-454B12090377}" destId="{5C15D707-8C31-46C3-A05F-C126E5A9C6DC}" srcOrd="0" destOrd="0" presId="urn:microsoft.com/office/officeart/2011/layout/HexagonRadial"/>
    <dgm:cxn modelId="{97AD3C29-A895-46B7-BBA0-968B8DD84D8A}" type="presParOf" srcId="{C6A8D336-CD57-45D3-9228-4FE515CEA034}" destId="{AF401FDF-7E49-47D4-B679-B9FD98DB3D16}" srcOrd="2" destOrd="0" presId="urn:microsoft.com/office/officeart/2011/layout/HexagonRadial"/>
    <dgm:cxn modelId="{52049CF3-BA08-4C7B-8D11-ECAC5F50F430}" type="presParOf" srcId="{C6A8D336-CD57-45D3-9228-4FE515CEA034}" destId="{5B284F75-2A55-448E-8BF6-7D9DD1F42F0E}" srcOrd="3" destOrd="0" presId="urn:microsoft.com/office/officeart/2011/layout/HexagonRadial"/>
    <dgm:cxn modelId="{5A04D995-F767-4AD4-85D7-C4A5E742EEBC}" type="presParOf" srcId="{5B284F75-2A55-448E-8BF6-7D9DD1F42F0E}" destId="{64946C9C-97BA-446A-8849-559FDD8DB102}" srcOrd="0" destOrd="0" presId="urn:microsoft.com/office/officeart/2011/layout/HexagonRadial"/>
    <dgm:cxn modelId="{3E2A930F-879B-4A17-955C-E268BDFACD43}" type="presParOf" srcId="{C6A8D336-CD57-45D3-9228-4FE515CEA034}" destId="{DE99EBA5-3040-4998-AB29-343F2BEF7A94}" srcOrd="4" destOrd="0" presId="urn:microsoft.com/office/officeart/2011/layout/HexagonRadial"/>
    <dgm:cxn modelId="{9B99A9AF-AEB0-4D20-BF5E-6A0CB01CC78F}" type="presParOf" srcId="{C6A8D336-CD57-45D3-9228-4FE515CEA034}" destId="{17215A88-A46E-498D-9437-6F5EDAE7ED5A}" srcOrd="5" destOrd="0" presId="urn:microsoft.com/office/officeart/2011/layout/HexagonRadial"/>
    <dgm:cxn modelId="{ABACFF46-01A4-4F3B-A428-E59FEFABAB47}" type="presParOf" srcId="{17215A88-A46E-498D-9437-6F5EDAE7ED5A}" destId="{EE3EDC27-78BD-4093-839B-105E59C66CE5}" srcOrd="0" destOrd="0" presId="urn:microsoft.com/office/officeart/2011/layout/HexagonRadial"/>
    <dgm:cxn modelId="{BFC849C0-DEC1-4003-B317-B118DD91F895}" type="presParOf" srcId="{C6A8D336-CD57-45D3-9228-4FE515CEA034}" destId="{11399F8F-1EF9-47A0-A4F3-CB733127FC02}" srcOrd="6" destOrd="0" presId="urn:microsoft.com/office/officeart/2011/layout/HexagonRadial"/>
    <dgm:cxn modelId="{FE3FDF31-A3E5-4B7F-A73A-51A51DD44128}" type="presParOf" srcId="{C6A8D336-CD57-45D3-9228-4FE515CEA034}" destId="{2E544879-3E13-4BFE-A8F0-A278A4E85819}" srcOrd="7" destOrd="0" presId="urn:microsoft.com/office/officeart/2011/layout/HexagonRadial"/>
    <dgm:cxn modelId="{A3447653-A93C-4176-8B3C-0A4A9E55865F}" type="presParOf" srcId="{2E544879-3E13-4BFE-A8F0-A278A4E85819}" destId="{71469DAD-EAB7-4613-A5BA-3152A0E3D294}" srcOrd="0" destOrd="0" presId="urn:microsoft.com/office/officeart/2011/layout/HexagonRadial"/>
    <dgm:cxn modelId="{1332A2D8-1143-4BA9-8BEF-7F07F84C46D7}" type="presParOf" srcId="{C6A8D336-CD57-45D3-9228-4FE515CEA034}" destId="{C5836682-B969-43A7-AF41-692F907E8CB8}" srcOrd="8" destOrd="0" presId="urn:microsoft.com/office/officeart/2011/layout/HexagonRadial"/>
    <dgm:cxn modelId="{92FDEBD6-5F33-471B-8E1E-7C66A51E2EEA}" type="presParOf" srcId="{C6A8D336-CD57-45D3-9228-4FE515CEA034}" destId="{1A2800F6-D966-42B2-8DFC-649849F4839B}" srcOrd="9" destOrd="0" presId="urn:microsoft.com/office/officeart/2011/layout/HexagonRadial"/>
    <dgm:cxn modelId="{91C1EB0F-669D-4EDC-B035-6008F535BA9A}" type="presParOf" srcId="{1A2800F6-D966-42B2-8DFC-649849F4839B}" destId="{98175855-D95D-4826-AB5D-A40E26BC7CFB}" srcOrd="0" destOrd="0" presId="urn:microsoft.com/office/officeart/2011/layout/HexagonRadial"/>
    <dgm:cxn modelId="{4E310A8E-B6D0-4B5A-95CE-0DB9AAB30139}" type="presParOf" srcId="{C6A8D336-CD57-45D3-9228-4FE515CEA034}" destId="{71364D82-96ED-4DD2-B399-20AAE716EEEF}" srcOrd="10" destOrd="0" presId="urn:microsoft.com/office/officeart/2011/layout/HexagonRadial"/>
    <dgm:cxn modelId="{DE880408-2BB2-47CD-B9FD-54B884E517F2}" type="presParOf" srcId="{C6A8D336-CD57-45D3-9228-4FE515CEA034}" destId="{00DE40B8-B63D-42F2-B6C6-7EE90A98D029}" srcOrd="11" destOrd="0" presId="urn:microsoft.com/office/officeart/2011/layout/HexagonRadial"/>
    <dgm:cxn modelId="{95816444-134A-4D8F-96BD-C28FA2059CDF}" type="presParOf" srcId="{00DE40B8-B63D-42F2-B6C6-7EE90A98D029}" destId="{577169EF-1552-4145-A022-3AB67D1EA3DB}" srcOrd="0" destOrd="0" presId="urn:microsoft.com/office/officeart/2011/layout/HexagonRadial"/>
    <dgm:cxn modelId="{C9493B39-9C47-4492-B7AE-463222730FFB}" type="presParOf" srcId="{C6A8D336-CD57-45D3-9228-4FE515CEA034}" destId="{618FC87C-0D7D-491A-A30E-4055DE0BC1BA}" srcOrd="12" destOrd="0" presId="urn:microsoft.com/office/officeart/2011/layout/HexagonRadial"/>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45D651-CBB7-444A-BB85-92F8D99AB391}">
      <dsp:nvSpPr>
        <dsp:cNvPr id="0" name=""/>
        <dsp:cNvSpPr/>
      </dsp:nvSpPr>
      <dsp:spPr>
        <a:xfrm>
          <a:off x="2157289" y="1281343"/>
          <a:ext cx="1628642" cy="1408841"/>
        </a:xfrm>
        <a:prstGeom prst="hexagon">
          <a:avLst>
            <a:gd name="adj" fmla="val 28570"/>
            <a:gd name="vf" fmla="val 115470"/>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b="1" kern="1200"/>
            <a:t>Key components of the AFSL framework</a:t>
          </a:r>
        </a:p>
      </dsp:txBody>
      <dsp:txXfrm>
        <a:off x="2427178" y="1514808"/>
        <a:ext cx="1088864" cy="941911"/>
      </dsp:txXfrm>
    </dsp:sp>
    <dsp:sp modelId="{64946C9C-97BA-446A-8849-559FDD8DB102}">
      <dsp:nvSpPr>
        <dsp:cNvPr id="0" name=""/>
        <dsp:cNvSpPr/>
      </dsp:nvSpPr>
      <dsp:spPr>
        <a:xfrm>
          <a:off x="3177132" y="607307"/>
          <a:ext cx="614482" cy="529457"/>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AF401FDF-7E49-47D4-B679-B9FD98DB3D16}">
      <dsp:nvSpPr>
        <dsp:cNvPr id="0" name=""/>
        <dsp:cNvSpPr/>
      </dsp:nvSpPr>
      <dsp:spPr>
        <a:xfrm>
          <a:off x="2307310" y="0"/>
          <a:ext cx="1334661" cy="1154638"/>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Fit and proper person tests</a:t>
          </a:r>
        </a:p>
      </dsp:txBody>
      <dsp:txXfrm>
        <a:off x="2528492" y="191348"/>
        <a:ext cx="892297" cy="771942"/>
      </dsp:txXfrm>
    </dsp:sp>
    <dsp:sp modelId="{EE3EDC27-78BD-4093-839B-105E59C66CE5}">
      <dsp:nvSpPr>
        <dsp:cNvPr id="0" name=""/>
        <dsp:cNvSpPr/>
      </dsp:nvSpPr>
      <dsp:spPr>
        <a:xfrm>
          <a:off x="3894280" y="1597111"/>
          <a:ext cx="614482" cy="529457"/>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DE99EBA5-3040-4998-AB29-343F2BEF7A94}">
      <dsp:nvSpPr>
        <dsp:cNvPr id="0" name=""/>
        <dsp:cNvSpPr/>
      </dsp:nvSpPr>
      <dsp:spPr>
        <a:xfrm>
          <a:off x="3531349" y="710180"/>
          <a:ext cx="1334661" cy="1154638"/>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General obligations e.g. financial, technological and human resources</a:t>
          </a:r>
        </a:p>
      </dsp:txBody>
      <dsp:txXfrm>
        <a:off x="3752531" y="901528"/>
        <a:ext cx="892297" cy="771942"/>
      </dsp:txXfrm>
    </dsp:sp>
    <dsp:sp modelId="{71469DAD-EAB7-4613-A5BA-3152A0E3D294}">
      <dsp:nvSpPr>
        <dsp:cNvPr id="0" name=""/>
        <dsp:cNvSpPr/>
      </dsp:nvSpPr>
      <dsp:spPr>
        <a:xfrm>
          <a:off x="3396103" y="2714413"/>
          <a:ext cx="614482" cy="529457"/>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11399F8F-1EF9-47A0-A4F3-CB733127FC02}">
      <dsp:nvSpPr>
        <dsp:cNvPr id="0" name=""/>
        <dsp:cNvSpPr/>
      </dsp:nvSpPr>
      <dsp:spPr>
        <a:xfrm>
          <a:off x="3531349" y="2106311"/>
          <a:ext cx="1334661" cy="1154638"/>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Protections for retail clients e.g. disclosure, dispute resolution</a:t>
          </a:r>
        </a:p>
      </dsp:txBody>
      <dsp:txXfrm>
        <a:off x="3752531" y="2297659"/>
        <a:ext cx="892297" cy="771942"/>
      </dsp:txXfrm>
    </dsp:sp>
    <dsp:sp modelId="{98175855-D95D-4826-AB5D-A40E26BC7CFB}">
      <dsp:nvSpPr>
        <dsp:cNvPr id="0" name=""/>
        <dsp:cNvSpPr/>
      </dsp:nvSpPr>
      <dsp:spPr>
        <a:xfrm>
          <a:off x="2160319" y="2830393"/>
          <a:ext cx="614482" cy="529457"/>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C5836682-B969-43A7-AF41-692F907E8CB8}">
      <dsp:nvSpPr>
        <dsp:cNvPr id="0" name=""/>
        <dsp:cNvSpPr/>
      </dsp:nvSpPr>
      <dsp:spPr>
        <a:xfrm>
          <a:off x="2307310" y="2817286"/>
          <a:ext cx="1334661" cy="1154638"/>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Reporting obligations</a:t>
          </a:r>
        </a:p>
      </dsp:txBody>
      <dsp:txXfrm>
        <a:off x="2528492" y="3008634"/>
        <a:ext cx="892297" cy="771942"/>
      </dsp:txXfrm>
    </dsp:sp>
    <dsp:sp modelId="{577169EF-1552-4145-A022-3AB67D1EA3DB}">
      <dsp:nvSpPr>
        <dsp:cNvPr id="0" name=""/>
        <dsp:cNvSpPr/>
      </dsp:nvSpPr>
      <dsp:spPr>
        <a:xfrm>
          <a:off x="1431427" y="1840987"/>
          <a:ext cx="614482" cy="529457"/>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71364D82-96ED-4DD2-B399-20AAE716EEEF}">
      <dsp:nvSpPr>
        <dsp:cNvPr id="0" name=""/>
        <dsp:cNvSpPr/>
      </dsp:nvSpPr>
      <dsp:spPr>
        <a:xfrm>
          <a:off x="1077588" y="2107106"/>
          <a:ext cx="1334661" cy="1154638"/>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Special rules for APRA-regulated bodies</a:t>
          </a:r>
        </a:p>
      </dsp:txBody>
      <dsp:txXfrm>
        <a:off x="1298770" y="2298454"/>
        <a:ext cx="892297" cy="771942"/>
      </dsp:txXfrm>
    </dsp:sp>
    <dsp:sp modelId="{618FC87C-0D7D-491A-A30E-4055DE0BC1BA}">
      <dsp:nvSpPr>
        <dsp:cNvPr id="0" name=""/>
        <dsp:cNvSpPr/>
      </dsp:nvSpPr>
      <dsp:spPr>
        <a:xfrm>
          <a:off x="1077588" y="708591"/>
          <a:ext cx="1334661" cy="1154638"/>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Client money obligations</a:t>
          </a:r>
        </a:p>
      </dsp:txBody>
      <dsp:txXfrm>
        <a:off x="1298770" y="899939"/>
        <a:ext cx="892297" cy="771942"/>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E32C8B7A343529FBA8CF030931B02"/>
        <w:category>
          <w:name w:val="General"/>
          <w:gallery w:val="placeholder"/>
        </w:category>
        <w:types>
          <w:type w:val="bbPlcHdr"/>
        </w:types>
        <w:behaviors>
          <w:behavior w:val="content"/>
        </w:behaviors>
        <w:guid w:val="{12182430-3F8D-4DC5-9E88-0BA732AD6C00}"/>
      </w:docPartPr>
      <w:docPartBody>
        <w:p w:rsidR="00C36A60" w:rsidRDefault="00C36A60">
          <w:pPr>
            <w:pStyle w:val="EF2E32C8B7A343529FBA8CF030931B02"/>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B2"/>
    <w:rsid w:val="000273DC"/>
    <w:rsid w:val="00043119"/>
    <w:rsid w:val="000C0CCF"/>
    <w:rsid w:val="00133B35"/>
    <w:rsid w:val="00137A84"/>
    <w:rsid w:val="00182566"/>
    <w:rsid w:val="002260C6"/>
    <w:rsid w:val="002549DE"/>
    <w:rsid w:val="00256DD5"/>
    <w:rsid w:val="002916E1"/>
    <w:rsid w:val="003031B5"/>
    <w:rsid w:val="00306951"/>
    <w:rsid w:val="00324499"/>
    <w:rsid w:val="00345157"/>
    <w:rsid w:val="00356876"/>
    <w:rsid w:val="00384493"/>
    <w:rsid w:val="003A7B82"/>
    <w:rsid w:val="00440A0B"/>
    <w:rsid w:val="004573EC"/>
    <w:rsid w:val="00481661"/>
    <w:rsid w:val="0049258E"/>
    <w:rsid w:val="00507FD1"/>
    <w:rsid w:val="00510C73"/>
    <w:rsid w:val="005E62D5"/>
    <w:rsid w:val="0060164C"/>
    <w:rsid w:val="00603C05"/>
    <w:rsid w:val="00626F6C"/>
    <w:rsid w:val="006848A5"/>
    <w:rsid w:val="00696FFA"/>
    <w:rsid w:val="006B1A67"/>
    <w:rsid w:val="00710935"/>
    <w:rsid w:val="00715865"/>
    <w:rsid w:val="00786F91"/>
    <w:rsid w:val="007D1DAF"/>
    <w:rsid w:val="00832354"/>
    <w:rsid w:val="00835A30"/>
    <w:rsid w:val="0084171A"/>
    <w:rsid w:val="00856758"/>
    <w:rsid w:val="008A1426"/>
    <w:rsid w:val="008C245E"/>
    <w:rsid w:val="008C474A"/>
    <w:rsid w:val="008C6A7F"/>
    <w:rsid w:val="008F00A7"/>
    <w:rsid w:val="009429E5"/>
    <w:rsid w:val="009B29D4"/>
    <w:rsid w:val="00A22BB6"/>
    <w:rsid w:val="00A27864"/>
    <w:rsid w:val="00A45BCB"/>
    <w:rsid w:val="00A75B60"/>
    <w:rsid w:val="00A96EE8"/>
    <w:rsid w:val="00AC4A10"/>
    <w:rsid w:val="00B4651C"/>
    <w:rsid w:val="00B47DD6"/>
    <w:rsid w:val="00B518FC"/>
    <w:rsid w:val="00B64B33"/>
    <w:rsid w:val="00B831C1"/>
    <w:rsid w:val="00BF21A7"/>
    <w:rsid w:val="00C061B0"/>
    <w:rsid w:val="00C27CD9"/>
    <w:rsid w:val="00C36A60"/>
    <w:rsid w:val="00C37041"/>
    <w:rsid w:val="00C42F41"/>
    <w:rsid w:val="00C46A15"/>
    <w:rsid w:val="00CD3DD1"/>
    <w:rsid w:val="00D66CCC"/>
    <w:rsid w:val="00D843DE"/>
    <w:rsid w:val="00E5109E"/>
    <w:rsid w:val="00E62086"/>
    <w:rsid w:val="00E64666"/>
    <w:rsid w:val="00ED55B2"/>
    <w:rsid w:val="00F10183"/>
    <w:rsid w:val="00F3201A"/>
    <w:rsid w:val="00F553D0"/>
    <w:rsid w:val="00F96213"/>
    <w:rsid w:val="00FD3936"/>
    <w:rsid w:val="00FE5B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BCC0F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2E32C8B7A343529FBA8CF030931B02">
    <w:name w:val="EF2E32C8B7A343529FBA8CF030931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E1284-88BE-4B63-A35B-9C2FE116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29310</Words>
  <Characters>165608</Characters>
  <Application>Microsoft Office Word</Application>
  <DocSecurity>2</DocSecurity>
  <Lines>2714</Lines>
  <Paragraphs>1257</Paragraphs>
  <ScaleCrop>false</ScaleCrop>
  <HeadingPairs>
    <vt:vector size="2" baseType="variant">
      <vt:variant>
        <vt:lpstr>Title</vt:lpstr>
      </vt:variant>
      <vt:variant>
        <vt:i4>1</vt:i4>
      </vt:variant>
    </vt:vector>
  </HeadingPairs>
  <TitlesOfParts>
    <vt:vector size="1" baseType="lpstr">
      <vt:lpstr>Payments System Modernisation: Regulation of payment service providers – consultation paper</vt:lpstr>
    </vt:vector>
  </TitlesOfParts>
  <Company/>
  <LinksUpToDate>false</LinksUpToDate>
  <CharactersWithSpaces>193661</CharactersWithSpaces>
  <SharedDoc>false</SharedDoc>
  <HLinks>
    <vt:vector size="564" baseType="variant">
      <vt:variant>
        <vt:i4>589938</vt:i4>
      </vt:variant>
      <vt:variant>
        <vt:i4>336</vt:i4>
      </vt:variant>
      <vt:variant>
        <vt:i4>0</vt:i4>
      </vt:variant>
      <vt:variant>
        <vt:i4>5</vt:i4>
      </vt:variant>
      <vt:variant>
        <vt:lpwstr>mailto:paymentslicensingconsultation@treasury.gov.au</vt:lpwstr>
      </vt:variant>
      <vt:variant>
        <vt:lpwstr/>
      </vt:variant>
      <vt:variant>
        <vt:i4>1769521</vt:i4>
      </vt:variant>
      <vt:variant>
        <vt:i4>329</vt:i4>
      </vt:variant>
      <vt:variant>
        <vt:i4>0</vt:i4>
      </vt:variant>
      <vt:variant>
        <vt:i4>5</vt:i4>
      </vt:variant>
      <vt:variant>
        <vt:lpwstr/>
      </vt:variant>
      <vt:variant>
        <vt:lpwstr>_Toc152847669</vt:lpwstr>
      </vt:variant>
      <vt:variant>
        <vt:i4>1769521</vt:i4>
      </vt:variant>
      <vt:variant>
        <vt:i4>323</vt:i4>
      </vt:variant>
      <vt:variant>
        <vt:i4>0</vt:i4>
      </vt:variant>
      <vt:variant>
        <vt:i4>5</vt:i4>
      </vt:variant>
      <vt:variant>
        <vt:lpwstr/>
      </vt:variant>
      <vt:variant>
        <vt:lpwstr>_Toc152847668</vt:lpwstr>
      </vt:variant>
      <vt:variant>
        <vt:i4>1769521</vt:i4>
      </vt:variant>
      <vt:variant>
        <vt:i4>317</vt:i4>
      </vt:variant>
      <vt:variant>
        <vt:i4>0</vt:i4>
      </vt:variant>
      <vt:variant>
        <vt:i4>5</vt:i4>
      </vt:variant>
      <vt:variant>
        <vt:lpwstr/>
      </vt:variant>
      <vt:variant>
        <vt:lpwstr>_Toc152847667</vt:lpwstr>
      </vt:variant>
      <vt:variant>
        <vt:i4>1769521</vt:i4>
      </vt:variant>
      <vt:variant>
        <vt:i4>311</vt:i4>
      </vt:variant>
      <vt:variant>
        <vt:i4>0</vt:i4>
      </vt:variant>
      <vt:variant>
        <vt:i4>5</vt:i4>
      </vt:variant>
      <vt:variant>
        <vt:lpwstr/>
      </vt:variant>
      <vt:variant>
        <vt:lpwstr>_Toc152847666</vt:lpwstr>
      </vt:variant>
      <vt:variant>
        <vt:i4>1769521</vt:i4>
      </vt:variant>
      <vt:variant>
        <vt:i4>305</vt:i4>
      </vt:variant>
      <vt:variant>
        <vt:i4>0</vt:i4>
      </vt:variant>
      <vt:variant>
        <vt:i4>5</vt:i4>
      </vt:variant>
      <vt:variant>
        <vt:lpwstr/>
      </vt:variant>
      <vt:variant>
        <vt:lpwstr>_Toc152847665</vt:lpwstr>
      </vt:variant>
      <vt:variant>
        <vt:i4>1769521</vt:i4>
      </vt:variant>
      <vt:variant>
        <vt:i4>299</vt:i4>
      </vt:variant>
      <vt:variant>
        <vt:i4>0</vt:i4>
      </vt:variant>
      <vt:variant>
        <vt:i4>5</vt:i4>
      </vt:variant>
      <vt:variant>
        <vt:lpwstr/>
      </vt:variant>
      <vt:variant>
        <vt:lpwstr>_Toc152847664</vt:lpwstr>
      </vt:variant>
      <vt:variant>
        <vt:i4>1769521</vt:i4>
      </vt:variant>
      <vt:variant>
        <vt:i4>293</vt:i4>
      </vt:variant>
      <vt:variant>
        <vt:i4>0</vt:i4>
      </vt:variant>
      <vt:variant>
        <vt:i4>5</vt:i4>
      </vt:variant>
      <vt:variant>
        <vt:lpwstr/>
      </vt:variant>
      <vt:variant>
        <vt:lpwstr>_Toc152847663</vt:lpwstr>
      </vt:variant>
      <vt:variant>
        <vt:i4>1769521</vt:i4>
      </vt:variant>
      <vt:variant>
        <vt:i4>287</vt:i4>
      </vt:variant>
      <vt:variant>
        <vt:i4>0</vt:i4>
      </vt:variant>
      <vt:variant>
        <vt:i4>5</vt:i4>
      </vt:variant>
      <vt:variant>
        <vt:lpwstr/>
      </vt:variant>
      <vt:variant>
        <vt:lpwstr>_Toc152847662</vt:lpwstr>
      </vt:variant>
      <vt:variant>
        <vt:i4>1769521</vt:i4>
      </vt:variant>
      <vt:variant>
        <vt:i4>281</vt:i4>
      </vt:variant>
      <vt:variant>
        <vt:i4>0</vt:i4>
      </vt:variant>
      <vt:variant>
        <vt:i4>5</vt:i4>
      </vt:variant>
      <vt:variant>
        <vt:lpwstr/>
      </vt:variant>
      <vt:variant>
        <vt:lpwstr>_Toc152847661</vt:lpwstr>
      </vt:variant>
      <vt:variant>
        <vt:i4>1769521</vt:i4>
      </vt:variant>
      <vt:variant>
        <vt:i4>275</vt:i4>
      </vt:variant>
      <vt:variant>
        <vt:i4>0</vt:i4>
      </vt:variant>
      <vt:variant>
        <vt:i4>5</vt:i4>
      </vt:variant>
      <vt:variant>
        <vt:lpwstr/>
      </vt:variant>
      <vt:variant>
        <vt:lpwstr>_Toc152847660</vt:lpwstr>
      </vt:variant>
      <vt:variant>
        <vt:i4>1572913</vt:i4>
      </vt:variant>
      <vt:variant>
        <vt:i4>269</vt:i4>
      </vt:variant>
      <vt:variant>
        <vt:i4>0</vt:i4>
      </vt:variant>
      <vt:variant>
        <vt:i4>5</vt:i4>
      </vt:variant>
      <vt:variant>
        <vt:lpwstr/>
      </vt:variant>
      <vt:variant>
        <vt:lpwstr>_Toc152847659</vt:lpwstr>
      </vt:variant>
      <vt:variant>
        <vt:i4>1572913</vt:i4>
      </vt:variant>
      <vt:variant>
        <vt:i4>263</vt:i4>
      </vt:variant>
      <vt:variant>
        <vt:i4>0</vt:i4>
      </vt:variant>
      <vt:variant>
        <vt:i4>5</vt:i4>
      </vt:variant>
      <vt:variant>
        <vt:lpwstr/>
      </vt:variant>
      <vt:variant>
        <vt:lpwstr>_Toc152847658</vt:lpwstr>
      </vt:variant>
      <vt:variant>
        <vt:i4>1572913</vt:i4>
      </vt:variant>
      <vt:variant>
        <vt:i4>257</vt:i4>
      </vt:variant>
      <vt:variant>
        <vt:i4>0</vt:i4>
      </vt:variant>
      <vt:variant>
        <vt:i4>5</vt:i4>
      </vt:variant>
      <vt:variant>
        <vt:lpwstr/>
      </vt:variant>
      <vt:variant>
        <vt:lpwstr>_Toc152847657</vt:lpwstr>
      </vt:variant>
      <vt:variant>
        <vt:i4>1572913</vt:i4>
      </vt:variant>
      <vt:variant>
        <vt:i4>251</vt:i4>
      </vt:variant>
      <vt:variant>
        <vt:i4>0</vt:i4>
      </vt:variant>
      <vt:variant>
        <vt:i4>5</vt:i4>
      </vt:variant>
      <vt:variant>
        <vt:lpwstr/>
      </vt:variant>
      <vt:variant>
        <vt:lpwstr>_Toc152847656</vt:lpwstr>
      </vt:variant>
      <vt:variant>
        <vt:i4>1572913</vt:i4>
      </vt:variant>
      <vt:variant>
        <vt:i4>245</vt:i4>
      </vt:variant>
      <vt:variant>
        <vt:i4>0</vt:i4>
      </vt:variant>
      <vt:variant>
        <vt:i4>5</vt:i4>
      </vt:variant>
      <vt:variant>
        <vt:lpwstr/>
      </vt:variant>
      <vt:variant>
        <vt:lpwstr>_Toc152847655</vt:lpwstr>
      </vt:variant>
      <vt:variant>
        <vt:i4>1572913</vt:i4>
      </vt:variant>
      <vt:variant>
        <vt:i4>239</vt:i4>
      </vt:variant>
      <vt:variant>
        <vt:i4>0</vt:i4>
      </vt:variant>
      <vt:variant>
        <vt:i4>5</vt:i4>
      </vt:variant>
      <vt:variant>
        <vt:lpwstr/>
      </vt:variant>
      <vt:variant>
        <vt:lpwstr>_Toc152847654</vt:lpwstr>
      </vt:variant>
      <vt:variant>
        <vt:i4>1572913</vt:i4>
      </vt:variant>
      <vt:variant>
        <vt:i4>233</vt:i4>
      </vt:variant>
      <vt:variant>
        <vt:i4>0</vt:i4>
      </vt:variant>
      <vt:variant>
        <vt:i4>5</vt:i4>
      </vt:variant>
      <vt:variant>
        <vt:lpwstr/>
      </vt:variant>
      <vt:variant>
        <vt:lpwstr>_Toc152847653</vt:lpwstr>
      </vt:variant>
      <vt:variant>
        <vt:i4>1572913</vt:i4>
      </vt:variant>
      <vt:variant>
        <vt:i4>227</vt:i4>
      </vt:variant>
      <vt:variant>
        <vt:i4>0</vt:i4>
      </vt:variant>
      <vt:variant>
        <vt:i4>5</vt:i4>
      </vt:variant>
      <vt:variant>
        <vt:lpwstr/>
      </vt:variant>
      <vt:variant>
        <vt:lpwstr>_Toc152847652</vt:lpwstr>
      </vt:variant>
      <vt:variant>
        <vt:i4>1572913</vt:i4>
      </vt:variant>
      <vt:variant>
        <vt:i4>221</vt:i4>
      </vt:variant>
      <vt:variant>
        <vt:i4>0</vt:i4>
      </vt:variant>
      <vt:variant>
        <vt:i4>5</vt:i4>
      </vt:variant>
      <vt:variant>
        <vt:lpwstr/>
      </vt:variant>
      <vt:variant>
        <vt:lpwstr>_Toc152847651</vt:lpwstr>
      </vt:variant>
      <vt:variant>
        <vt:i4>1572913</vt:i4>
      </vt:variant>
      <vt:variant>
        <vt:i4>215</vt:i4>
      </vt:variant>
      <vt:variant>
        <vt:i4>0</vt:i4>
      </vt:variant>
      <vt:variant>
        <vt:i4>5</vt:i4>
      </vt:variant>
      <vt:variant>
        <vt:lpwstr/>
      </vt:variant>
      <vt:variant>
        <vt:lpwstr>_Toc152847650</vt:lpwstr>
      </vt:variant>
      <vt:variant>
        <vt:i4>1638449</vt:i4>
      </vt:variant>
      <vt:variant>
        <vt:i4>209</vt:i4>
      </vt:variant>
      <vt:variant>
        <vt:i4>0</vt:i4>
      </vt:variant>
      <vt:variant>
        <vt:i4>5</vt:i4>
      </vt:variant>
      <vt:variant>
        <vt:lpwstr/>
      </vt:variant>
      <vt:variant>
        <vt:lpwstr>_Toc152847649</vt:lpwstr>
      </vt:variant>
      <vt:variant>
        <vt:i4>1638449</vt:i4>
      </vt:variant>
      <vt:variant>
        <vt:i4>203</vt:i4>
      </vt:variant>
      <vt:variant>
        <vt:i4>0</vt:i4>
      </vt:variant>
      <vt:variant>
        <vt:i4>5</vt:i4>
      </vt:variant>
      <vt:variant>
        <vt:lpwstr/>
      </vt:variant>
      <vt:variant>
        <vt:lpwstr>_Toc152847648</vt:lpwstr>
      </vt:variant>
      <vt:variant>
        <vt:i4>1638449</vt:i4>
      </vt:variant>
      <vt:variant>
        <vt:i4>197</vt:i4>
      </vt:variant>
      <vt:variant>
        <vt:i4>0</vt:i4>
      </vt:variant>
      <vt:variant>
        <vt:i4>5</vt:i4>
      </vt:variant>
      <vt:variant>
        <vt:lpwstr/>
      </vt:variant>
      <vt:variant>
        <vt:lpwstr>_Toc152847647</vt:lpwstr>
      </vt:variant>
      <vt:variant>
        <vt:i4>1638449</vt:i4>
      </vt:variant>
      <vt:variant>
        <vt:i4>191</vt:i4>
      </vt:variant>
      <vt:variant>
        <vt:i4>0</vt:i4>
      </vt:variant>
      <vt:variant>
        <vt:i4>5</vt:i4>
      </vt:variant>
      <vt:variant>
        <vt:lpwstr/>
      </vt:variant>
      <vt:variant>
        <vt:lpwstr>_Toc152847646</vt:lpwstr>
      </vt:variant>
      <vt:variant>
        <vt:i4>1638449</vt:i4>
      </vt:variant>
      <vt:variant>
        <vt:i4>185</vt:i4>
      </vt:variant>
      <vt:variant>
        <vt:i4>0</vt:i4>
      </vt:variant>
      <vt:variant>
        <vt:i4>5</vt:i4>
      </vt:variant>
      <vt:variant>
        <vt:lpwstr/>
      </vt:variant>
      <vt:variant>
        <vt:lpwstr>_Toc152847645</vt:lpwstr>
      </vt:variant>
      <vt:variant>
        <vt:i4>1638449</vt:i4>
      </vt:variant>
      <vt:variant>
        <vt:i4>179</vt:i4>
      </vt:variant>
      <vt:variant>
        <vt:i4>0</vt:i4>
      </vt:variant>
      <vt:variant>
        <vt:i4>5</vt:i4>
      </vt:variant>
      <vt:variant>
        <vt:lpwstr/>
      </vt:variant>
      <vt:variant>
        <vt:lpwstr>_Toc152847644</vt:lpwstr>
      </vt:variant>
      <vt:variant>
        <vt:i4>1638449</vt:i4>
      </vt:variant>
      <vt:variant>
        <vt:i4>173</vt:i4>
      </vt:variant>
      <vt:variant>
        <vt:i4>0</vt:i4>
      </vt:variant>
      <vt:variant>
        <vt:i4>5</vt:i4>
      </vt:variant>
      <vt:variant>
        <vt:lpwstr/>
      </vt:variant>
      <vt:variant>
        <vt:lpwstr>_Toc152847643</vt:lpwstr>
      </vt:variant>
      <vt:variant>
        <vt:i4>1638449</vt:i4>
      </vt:variant>
      <vt:variant>
        <vt:i4>167</vt:i4>
      </vt:variant>
      <vt:variant>
        <vt:i4>0</vt:i4>
      </vt:variant>
      <vt:variant>
        <vt:i4>5</vt:i4>
      </vt:variant>
      <vt:variant>
        <vt:lpwstr/>
      </vt:variant>
      <vt:variant>
        <vt:lpwstr>_Toc152847642</vt:lpwstr>
      </vt:variant>
      <vt:variant>
        <vt:i4>1638449</vt:i4>
      </vt:variant>
      <vt:variant>
        <vt:i4>161</vt:i4>
      </vt:variant>
      <vt:variant>
        <vt:i4>0</vt:i4>
      </vt:variant>
      <vt:variant>
        <vt:i4>5</vt:i4>
      </vt:variant>
      <vt:variant>
        <vt:lpwstr/>
      </vt:variant>
      <vt:variant>
        <vt:lpwstr>_Toc152847641</vt:lpwstr>
      </vt:variant>
      <vt:variant>
        <vt:i4>1638449</vt:i4>
      </vt:variant>
      <vt:variant>
        <vt:i4>155</vt:i4>
      </vt:variant>
      <vt:variant>
        <vt:i4>0</vt:i4>
      </vt:variant>
      <vt:variant>
        <vt:i4>5</vt:i4>
      </vt:variant>
      <vt:variant>
        <vt:lpwstr/>
      </vt:variant>
      <vt:variant>
        <vt:lpwstr>_Toc152847640</vt:lpwstr>
      </vt:variant>
      <vt:variant>
        <vt:i4>1966129</vt:i4>
      </vt:variant>
      <vt:variant>
        <vt:i4>149</vt:i4>
      </vt:variant>
      <vt:variant>
        <vt:i4>0</vt:i4>
      </vt:variant>
      <vt:variant>
        <vt:i4>5</vt:i4>
      </vt:variant>
      <vt:variant>
        <vt:lpwstr/>
      </vt:variant>
      <vt:variant>
        <vt:lpwstr>_Toc152847639</vt:lpwstr>
      </vt:variant>
      <vt:variant>
        <vt:i4>1966129</vt:i4>
      </vt:variant>
      <vt:variant>
        <vt:i4>143</vt:i4>
      </vt:variant>
      <vt:variant>
        <vt:i4>0</vt:i4>
      </vt:variant>
      <vt:variant>
        <vt:i4>5</vt:i4>
      </vt:variant>
      <vt:variant>
        <vt:lpwstr/>
      </vt:variant>
      <vt:variant>
        <vt:lpwstr>_Toc152847638</vt:lpwstr>
      </vt:variant>
      <vt:variant>
        <vt:i4>1966129</vt:i4>
      </vt:variant>
      <vt:variant>
        <vt:i4>137</vt:i4>
      </vt:variant>
      <vt:variant>
        <vt:i4>0</vt:i4>
      </vt:variant>
      <vt:variant>
        <vt:i4>5</vt:i4>
      </vt:variant>
      <vt:variant>
        <vt:lpwstr/>
      </vt:variant>
      <vt:variant>
        <vt:lpwstr>_Toc152847637</vt:lpwstr>
      </vt:variant>
      <vt:variant>
        <vt:i4>1966129</vt:i4>
      </vt:variant>
      <vt:variant>
        <vt:i4>131</vt:i4>
      </vt:variant>
      <vt:variant>
        <vt:i4>0</vt:i4>
      </vt:variant>
      <vt:variant>
        <vt:i4>5</vt:i4>
      </vt:variant>
      <vt:variant>
        <vt:lpwstr/>
      </vt:variant>
      <vt:variant>
        <vt:lpwstr>_Toc152847636</vt:lpwstr>
      </vt:variant>
      <vt:variant>
        <vt:i4>1966129</vt:i4>
      </vt:variant>
      <vt:variant>
        <vt:i4>125</vt:i4>
      </vt:variant>
      <vt:variant>
        <vt:i4>0</vt:i4>
      </vt:variant>
      <vt:variant>
        <vt:i4>5</vt:i4>
      </vt:variant>
      <vt:variant>
        <vt:lpwstr/>
      </vt:variant>
      <vt:variant>
        <vt:lpwstr>_Toc152847635</vt:lpwstr>
      </vt:variant>
      <vt:variant>
        <vt:i4>1966129</vt:i4>
      </vt:variant>
      <vt:variant>
        <vt:i4>119</vt:i4>
      </vt:variant>
      <vt:variant>
        <vt:i4>0</vt:i4>
      </vt:variant>
      <vt:variant>
        <vt:i4>5</vt:i4>
      </vt:variant>
      <vt:variant>
        <vt:lpwstr/>
      </vt:variant>
      <vt:variant>
        <vt:lpwstr>_Toc152847634</vt:lpwstr>
      </vt:variant>
      <vt:variant>
        <vt:i4>1966129</vt:i4>
      </vt:variant>
      <vt:variant>
        <vt:i4>113</vt:i4>
      </vt:variant>
      <vt:variant>
        <vt:i4>0</vt:i4>
      </vt:variant>
      <vt:variant>
        <vt:i4>5</vt:i4>
      </vt:variant>
      <vt:variant>
        <vt:lpwstr/>
      </vt:variant>
      <vt:variant>
        <vt:lpwstr>_Toc152847633</vt:lpwstr>
      </vt:variant>
      <vt:variant>
        <vt:i4>1966129</vt:i4>
      </vt:variant>
      <vt:variant>
        <vt:i4>107</vt:i4>
      </vt:variant>
      <vt:variant>
        <vt:i4>0</vt:i4>
      </vt:variant>
      <vt:variant>
        <vt:i4>5</vt:i4>
      </vt:variant>
      <vt:variant>
        <vt:lpwstr/>
      </vt:variant>
      <vt:variant>
        <vt:lpwstr>_Toc152847632</vt:lpwstr>
      </vt:variant>
      <vt:variant>
        <vt:i4>1966129</vt:i4>
      </vt:variant>
      <vt:variant>
        <vt:i4>101</vt:i4>
      </vt:variant>
      <vt:variant>
        <vt:i4>0</vt:i4>
      </vt:variant>
      <vt:variant>
        <vt:i4>5</vt:i4>
      </vt:variant>
      <vt:variant>
        <vt:lpwstr/>
      </vt:variant>
      <vt:variant>
        <vt:lpwstr>_Toc152847631</vt:lpwstr>
      </vt:variant>
      <vt:variant>
        <vt:i4>1966129</vt:i4>
      </vt:variant>
      <vt:variant>
        <vt:i4>95</vt:i4>
      </vt:variant>
      <vt:variant>
        <vt:i4>0</vt:i4>
      </vt:variant>
      <vt:variant>
        <vt:i4>5</vt:i4>
      </vt:variant>
      <vt:variant>
        <vt:lpwstr/>
      </vt:variant>
      <vt:variant>
        <vt:lpwstr>_Toc152847630</vt:lpwstr>
      </vt:variant>
      <vt:variant>
        <vt:i4>2031665</vt:i4>
      </vt:variant>
      <vt:variant>
        <vt:i4>89</vt:i4>
      </vt:variant>
      <vt:variant>
        <vt:i4>0</vt:i4>
      </vt:variant>
      <vt:variant>
        <vt:i4>5</vt:i4>
      </vt:variant>
      <vt:variant>
        <vt:lpwstr/>
      </vt:variant>
      <vt:variant>
        <vt:lpwstr>_Toc152847629</vt:lpwstr>
      </vt:variant>
      <vt:variant>
        <vt:i4>2031665</vt:i4>
      </vt:variant>
      <vt:variant>
        <vt:i4>83</vt:i4>
      </vt:variant>
      <vt:variant>
        <vt:i4>0</vt:i4>
      </vt:variant>
      <vt:variant>
        <vt:i4>5</vt:i4>
      </vt:variant>
      <vt:variant>
        <vt:lpwstr/>
      </vt:variant>
      <vt:variant>
        <vt:lpwstr>_Toc152847628</vt:lpwstr>
      </vt:variant>
      <vt:variant>
        <vt:i4>2031665</vt:i4>
      </vt:variant>
      <vt:variant>
        <vt:i4>77</vt:i4>
      </vt:variant>
      <vt:variant>
        <vt:i4>0</vt:i4>
      </vt:variant>
      <vt:variant>
        <vt:i4>5</vt:i4>
      </vt:variant>
      <vt:variant>
        <vt:lpwstr/>
      </vt:variant>
      <vt:variant>
        <vt:lpwstr>_Toc152847627</vt:lpwstr>
      </vt:variant>
      <vt:variant>
        <vt:i4>2031665</vt:i4>
      </vt:variant>
      <vt:variant>
        <vt:i4>71</vt:i4>
      </vt:variant>
      <vt:variant>
        <vt:i4>0</vt:i4>
      </vt:variant>
      <vt:variant>
        <vt:i4>5</vt:i4>
      </vt:variant>
      <vt:variant>
        <vt:lpwstr/>
      </vt:variant>
      <vt:variant>
        <vt:lpwstr>_Toc152847626</vt:lpwstr>
      </vt:variant>
      <vt:variant>
        <vt:i4>2031665</vt:i4>
      </vt:variant>
      <vt:variant>
        <vt:i4>65</vt:i4>
      </vt:variant>
      <vt:variant>
        <vt:i4>0</vt:i4>
      </vt:variant>
      <vt:variant>
        <vt:i4>5</vt:i4>
      </vt:variant>
      <vt:variant>
        <vt:lpwstr/>
      </vt:variant>
      <vt:variant>
        <vt:lpwstr>_Toc152847625</vt:lpwstr>
      </vt:variant>
      <vt:variant>
        <vt:i4>2031665</vt:i4>
      </vt:variant>
      <vt:variant>
        <vt:i4>59</vt:i4>
      </vt:variant>
      <vt:variant>
        <vt:i4>0</vt:i4>
      </vt:variant>
      <vt:variant>
        <vt:i4>5</vt:i4>
      </vt:variant>
      <vt:variant>
        <vt:lpwstr/>
      </vt:variant>
      <vt:variant>
        <vt:lpwstr>_Toc152847624</vt:lpwstr>
      </vt:variant>
      <vt:variant>
        <vt:i4>2031665</vt:i4>
      </vt:variant>
      <vt:variant>
        <vt:i4>53</vt:i4>
      </vt:variant>
      <vt:variant>
        <vt:i4>0</vt:i4>
      </vt:variant>
      <vt:variant>
        <vt:i4>5</vt:i4>
      </vt:variant>
      <vt:variant>
        <vt:lpwstr/>
      </vt:variant>
      <vt:variant>
        <vt:lpwstr>_Toc152847623</vt:lpwstr>
      </vt:variant>
      <vt:variant>
        <vt:i4>2031665</vt:i4>
      </vt:variant>
      <vt:variant>
        <vt:i4>47</vt:i4>
      </vt:variant>
      <vt:variant>
        <vt:i4>0</vt:i4>
      </vt:variant>
      <vt:variant>
        <vt:i4>5</vt:i4>
      </vt:variant>
      <vt:variant>
        <vt:lpwstr/>
      </vt:variant>
      <vt:variant>
        <vt:lpwstr>_Toc152847622</vt:lpwstr>
      </vt:variant>
      <vt:variant>
        <vt:i4>2031665</vt:i4>
      </vt:variant>
      <vt:variant>
        <vt:i4>41</vt:i4>
      </vt:variant>
      <vt:variant>
        <vt:i4>0</vt:i4>
      </vt:variant>
      <vt:variant>
        <vt:i4>5</vt:i4>
      </vt:variant>
      <vt:variant>
        <vt:lpwstr/>
      </vt:variant>
      <vt:variant>
        <vt:lpwstr>_Toc152847621</vt:lpwstr>
      </vt:variant>
      <vt:variant>
        <vt:i4>2031665</vt:i4>
      </vt:variant>
      <vt:variant>
        <vt:i4>35</vt:i4>
      </vt:variant>
      <vt:variant>
        <vt:i4>0</vt:i4>
      </vt:variant>
      <vt:variant>
        <vt:i4>5</vt:i4>
      </vt:variant>
      <vt:variant>
        <vt:lpwstr/>
      </vt:variant>
      <vt:variant>
        <vt:lpwstr>_Toc152847620</vt:lpwstr>
      </vt:variant>
      <vt:variant>
        <vt:i4>1835057</vt:i4>
      </vt:variant>
      <vt:variant>
        <vt:i4>29</vt:i4>
      </vt:variant>
      <vt:variant>
        <vt:i4>0</vt:i4>
      </vt:variant>
      <vt:variant>
        <vt:i4>5</vt:i4>
      </vt:variant>
      <vt:variant>
        <vt:lpwstr/>
      </vt:variant>
      <vt:variant>
        <vt:lpwstr>_Toc152847619</vt:lpwstr>
      </vt:variant>
      <vt:variant>
        <vt:i4>1835057</vt:i4>
      </vt:variant>
      <vt:variant>
        <vt:i4>23</vt:i4>
      </vt:variant>
      <vt:variant>
        <vt:i4>0</vt:i4>
      </vt:variant>
      <vt:variant>
        <vt:i4>5</vt:i4>
      </vt:variant>
      <vt:variant>
        <vt:lpwstr/>
      </vt:variant>
      <vt:variant>
        <vt:lpwstr>_Toc152847618</vt:lpwstr>
      </vt:variant>
      <vt:variant>
        <vt:i4>1835057</vt:i4>
      </vt:variant>
      <vt:variant>
        <vt:i4>17</vt:i4>
      </vt:variant>
      <vt:variant>
        <vt:i4>0</vt:i4>
      </vt:variant>
      <vt:variant>
        <vt:i4>5</vt:i4>
      </vt:variant>
      <vt:variant>
        <vt:lpwstr/>
      </vt:variant>
      <vt:variant>
        <vt:lpwstr>_Toc152847617</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1310777</vt:i4>
      </vt:variant>
      <vt:variant>
        <vt:i4>111</vt:i4>
      </vt:variant>
      <vt:variant>
        <vt:i4>0</vt:i4>
      </vt:variant>
      <vt:variant>
        <vt:i4>5</vt:i4>
      </vt:variant>
      <vt:variant>
        <vt:lpwstr>https://www.mas.gov.sg/-/media/mas/regulations-and-financial-stability/regulatory-and-supervisory-framework/risk-management/outsourcing-guidelines_jul-2016-revised-on-5-oct-2018.pdf</vt:lpwstr>
      </vt:variant>
      <vt:variant>
        <vt:lpwstr/>
      </vt:variant>
      <vt:variant>
        <vt:i4>4521992</vt:i4>
      </vt:variant>
      <vt:variant>
        <vt:i4>108</vt:i4>
      </vt:variant>
      <vt:variant>
        <vt:i4>0</vt:i4>
      </vt:variant>
      <vt:variant>
        <vt:i4>5</vt:i4>
      </vt:variant>
      <vt:variant>
        <vt:lpwstr>https://www.rba.gov.au/media-releases/2004/pdf/mr-04-04-exemption-section-25.pdf</vt:lpwstr>
      </vt:variant>
      <vt:variant>
        <vt:lpwstr/>
      </vt:variant>
      <vt:variant>
        <vt:i4>1310814</vt:i4>
      </vt:variant>
      <vt:variant>
        <vt:i4>105</vt:i4>
      </vt:variant>
      <vt:variant>
        <vt:i4>0</vt:i4>
      </vt:variant>
      <vt:variant>
        <vt:i4>5</vt:i4>
      </vt:variant>
      <vt:variant>
        <vt:lpwstr>https://treasury.gov.au/consultation/c2023-464732</vt:lpwstr>
      </vt:variant>
      <vt:variant>
        <vt:lpwstr/>
      </vt:variant>
      <vt:variant>
        <vt:i4>1245269</vt:i4>
      </vt:variant>
      <vt:variant>
        <vt:i4>102</vt:i4>
      </vt:variant>
      <vt:variant>
        <vt:i4>0</vt:i4>
      </vt:variant>
      <vt:variant>
        <vt:i4>5</vt:i4>
      </vt:variant>
      <vt:variant>
        <vt:lpwstr>https://treasury.gov.au/consultation/c2023-436961</vt:lpwstr>
      </vt:variant>
      <vt:variant>
        <vt:lpwstr/>
      </vt:variant>
      <vt:variant>
        <vt:i4>5177420</vt:i4>
      </vt:variant>
      <vt:variant>
        <vt:i4>96</vt:i4>
      </vt:variant>
      <vt:variant>
        <vt:i4>0</vt:i4>
      </vt:variant>
      <vt:variant>
        <vt:i4>5</vt:i4>
      </vt:variant>
      <vt:variant>
        <vt:lpwstr>https://www.apra.gov.au/news-and-publications/apra-consults-on-minimum-capital-requirements-for-ppf-providers</vt:lpwstr>
      </vt:variant>
      <vt:variant>
        <vt:lpwstr/>
      </vt:variant>
      <vt:variant>
        <vt:i4>3407976</vt:i4>
      </vt:variant>
      <vt:variant>
        <vt:i4>93</vt:i4>
      </vt:variant>
      <vt:variant>
        <vt:i4>0</vt:i4>
      </vt:variant>
      <vt:variant>
        <vt:i4>5</vt:i4>
      </vt:variant>
      <vt:variant>
        <vt:lpwstr>https://asic.gov.au/regulatory-resources/financial-services/complying-with-the-asic-client-money-reporting-rules-2017/</vt:lpwstr>
      </vt:variant>
      <vt:variant>
        <vt:lpwstr/>
      </vt:variant>
      <vt:variant>
        <vt:i4>8192127</vt:i4>
      </vt:variant>
      <vt:variant>
        <vt:i4>90</vt:i4>
      </vt:variant>
      <vt:variant>
        <vt:i4>0</vt:i4>
      </vt:variant>
      <vt:variant>
        <vt:i4>5</vt:i4>
      </vt:variant>
      <vt:variant>
        <vt:lpwstr>https://ministers.treasury.gov.au/ministers/bill-shorten-2010/media-releases/shorter-product-disclosure-statements</vt:lpwstr>
      </vt:variant>
      <vt:variant>
        <vt:lpwstr/>
      </vt:variant>
      <vt:variant>
        <vt:i4>5374031</vt:i4>
      </vt:variant>
      <vt:variant>
        <vt:i4>87</vt:i4>
      </vt:variant>
      <vt:variant>
        <vt:i4>0</vt:i4>
      </vt:variant>
      <vt:variant>
        <vt:i4>5</vt:i4>
      </vt:variant>
      <vt:variant>
        <vt:lpwstr>https://download.asic.gov.au/media/dlpccdof/rg274-published-11-december-2020-20220628.pdf</vt:lpwstr>
      </vt:variant>
      <vt:variant>
        <vt:lpwstr/>
      </vt:variant>
      <vt:variant>
        <vt:i4>5111827</vt:i4>
      </vt:variant>
      <vt:variant>
        <vt:i4>84</vt:i4>
      </vt:variant>
      <vt:variant>
        <vt:i4>0</vt:i4>
      </vt:variant>
      <vt:variant>
        <vt:i4>5</vt:i4>
      </vt:variant>
      <vt:variant>
        <vt:lpwstr>https://download.asic.gov.au/media/niddj53n/rg126-published-06-july-2022.pdf</vt:lpwstr>
      </vt:variant>
      <vt:variant>
        <vt:lpwstr/>
      </vt:variant>
      <vt:variant>
        <vt:i4>5701644</vt:i4>
      </vt:variant>
      <vt:variant>
        <vt:i4>81</vt:i4>
      </vt:variant>
      <vt:variant>
        <vt:i4>0</vt:i4>
      </vt:variant>
      <vt:variant>
        <vt:i4>5</vt:i4>
      </vt:variant>
      <vt:variant>
        <vt:lpwstr>https://download.asic.gov.au/media/45vakseo/rg166-published-07-september-2023.pdf</vt:lpwstr>
      </vt:variant>
      <vt:variant>
        <vt:lpwstr/>
      </vt:variant>
      <vt:variant>
        <vt:i4>5701644</vt:i4>
      </vt:variant>
      <vt:variant>
        <vt:i4>78</vt:i4>
      </vt:variant>
      <vt:variant>
        <vt:i4>0</vt:i4>
      </vt:variant>
      <vt:variant>
        <vt:i4>5</vt:i4>
      </vt:variant>
      <vt:variant>
        <vt:lpwstr>https://download.asic.gov.au/media/45vakseo/rg166-published-07-september-2023.pdf</vt:lpwstr>
      </vt:variant>
      <vt:variant>
        <vt:lpwstr/>
      </vt:variant>
      <vt:variant>
        <vt:i4>5701644</vt:i4>
      </vt:variant>
      <vt:variant>
        <vt:i4>75</vt:i4>
      </vt:variant>
      <vt:variant>
        <vt:i4>0</vt:i4>
      </vt:variant>
      <vt:variant>
        <vt:i4>5</vt:i4>
      </vt:variant>
      <vt:variant>
        <vt:lpwstr>https://download.asic.gov.au/media/45vakseo/rg166-published-07-september-2023.pdf</vt:lpwstr>
      </vt:variant>
      <vt:variant>
        <vt:lpwstr/>
      </vt:variant>
      <vt:variant>
        <vt:i4>131139</vt:i4>
      </vt:variant>
      <vt:variant>
        <vt:i4>72</vt:i4>
      </vt:variant>
      <vt:variant>
        <vt:i4>0</vt:i4>
      </vt:variant>
      <vt:variant>
        <vt:i4>5</vt:i4>
      </vt:variant>
      <vt:variant>
        <vt:lpwstr>https://download.asic.gov.au/media/rszd4pzx/rg121-published-30-july-2013-20220328.pdf</vt:lpwstr>
      </vt:variant>
      <vt:variant>
        <vt:lpwstr/>
      </vt:variant>
      <vt:variant>
        <vt:i4>4915275</vt:i4>
      </vt:variant>
      <vt:variant>
        <vt:i4>69</vt:i4>
      </vt:variant>
      <vt:variant>
        <vt:i4>0</vt:i4>
      </vt:variant>
      <vt:variant>
        <vt:i4>5</vt:i4>
      </vt:variant>
      <vt:variant>
        <vt:lpwstr>https://treasury.gov.au/sites/default/files/2023-10/c2023-427004-proposal-paper-finalised.pdf</vt:lpwstr>
      </vt:variant>
      <vt:variant>
        <vt:lpwstr/>
      </vt:variant>
      <vt:variant>
        <vt:i4>1114206</vt:i4>
      </vt:variant>
      <vt:variant>
        <vt:i4>66</vt:i4>
      </vt:variant>
      <vt:variant>
        <vt:i4>0</vt:i4>
      </vt:variant>
      <vt:variant>
        <vt:i4>5</vt:i4>
      </vt:variant>
      <vt:variant>
        <vt:lpwstr>https://asic.gov.au/for-finance-professionals/credit-licensees/your-ongoing-credit-licence-obligations/complying-with-your-obligations-if-both-credit-licensee-and-afs-licensee/</vt:lpwstr>
      </vt:variant>
      <vt:variant>
        <vt:lpwstr/>
      </vt:variant>
      <vt:variant>
        <vt:i4>1376265</vt:i4>
      </vt:variant>
      <vt:variant>
        <vt:i4>63</vt:i4>
      </vt:variant>
      <vt:variant>
        <vt:i4>0</vt:i4>
      </vt:variant>
      <vt:variant>
        <vt:i4>5</vt:i4>
      </vt:variant>
      <vt:variant>
        <vt:lpwstr>https://www.austpayroll.com.au/asic-statement-payroll-service-providers/</vt:lpwstr>
      </vt:variant>
      <vt:variant>
        <vt:lpwstr/>
      </vt:variant>
      <vt:variant>
        <vt:i4>1310777</vt:i4>
      </vt:variant>
      <vt:variant>
        <vt:i4>60</vt:i4>
      </vt:variant>
      <vt:variant>
        <vt:i4>0</vt:i4>
      </vt:variant>
      <vt:variant>
        <vt:i4>5</vt:i4>
      </vt:variant>
      <vt:variant>
        <vt:lpwstr>https://www.mas.gov.sg/-/media/mas/regulations-and-financial-stability/regulatory-and-supervisory-framework/risk-management/outsourcing-guidelines_jul-2016-revised-on-5-oct-2018.pdf</vt:lpwstr>
      </vt:variant>
      <vt:variant>
        <vt:lpwstr/>
      </vt:variant>
      <vt:variant>
        <vt:i4>7864359</vt:i4>
      </vt:variant>
      <vt:variant>
        <vt:i4>57</vt:i4>
      </vt:variant>
      <vt:variant>
        <vt:i4>0</vt:i4>
      </vt:variant>
      <vt:variant>
        <vt:i4>5</vt:i4>
      </vt:variant>
      <vt:variant>
        <vt:lpwstr>https://www.rba.gov.au/payments-and-infrastructure/financial-market-infrastructure/high-value-payments/</vt:lpwstr>
      </vt:variant>
      <vt:variant>
        <vt:lpwstr/>
      </vt:variant>
      <vt:variant>
        <vt:i4>7536698</vt:i4>
      </vt:variant>
      <vt:variant>
        <vt:i4>54</vt:i4>
      </vt:variant>
      <vt:variant>
        <vt:i4>0</vt:i4>
      </vt:variant>
      <vt:variant>
        <vt:i4>5</vt:i4>
      </vt:variant>
      <vt:variant>
        <vt:lpwstr>https://laws-lois.justice.gc.ca/eng/acts/R-7.36/page-1.html</vt:lpwstr>
      </vt:variant>
      <vt:variant>
        <vt:lpwstr/>
      </vt:variant>
      <vt:variant>
        <vt:i4>7340133</vt:i4>
      </vt:variant>
      <vt:variant>
        <vt:i4>51</vt:i4>
      </vt:variant>
      <vt:variant>
        <vt:i4>0</vt:i4>
      </vt:variant>
      <vt:variant>
        <vt:i4>5</vt:i4>
      </vt:variant>
      <vt:variant>
        <vt:lpwstr>https://www.rba.gov.au/payments-and-infrastructure/payments-system-regulation/regulations.html</vt:lpwstr>
      </vt:variant>
      <vt:variant>
        <vt:lpwstr/>
      </vt:variant>
      <vt:variant>
        <vt:i4>3473533</vt:i4>
      </vt:variant>
      <vt:variant>
        <vt:i4>48</vt:i4>
      </vt:variant>
      <vt:variant>
        <vt:i4>0</vt:i4>
      </vt:variant>
      <vt:variant>
        <vt:i4>5</vt:i4>
      </vt:variant>
      <vt:variant>
        <vt:lpwstr>https://www.handbook.fca.org.uk/handbook/PERG/15/5.html</vt:lpwstr>
      </vt:variant>
      <vt:variant>
        <vt:lpwstr/>
      </vt:variant>
      <vt:variant>
        <vt:i4>5505029</vt:i4>
      </vt:variant>
      <vt:variant>
        <vt:i4>45</vt:i4>
      </vt:variant>
      <vt:variant>
        <vt:i4>0</vt:i4>
      </vt:variant>
      <vt:variant>
        <vt:i4>5</vt:i4>
      </vt:variant>
      <vt:variant>
        <vt:lpwstr>https://www.mas.gov.sg/-/media/mas-media-library/regulation/faqs/pd/faqs-on-payment-services-act-2019/payment-services-act-faq--7-march-2022.pdf</vt:lpwstr>
      </vt:variant>
      <vt:variant>
        <vt:lpwstr/>
      </vt:variant>
      <vt:variant>
        <vt:i4>4063268</vt:i4>
      </vt:variant>
      <vt:variant>
        <vt:i4>42</vt:i4>
      </vt:variant>
      <vt:variant>
        <vt:i4>0</vt:i4>
      </vt:variant>
      <vt:variant>
        <vt:i4>5</vt:i4>
      </vt:variant>
      <vt:variant>
        <vt:lpwstr>https://www.rba.gov.au/media-releases/2006/pdf/mr-06-02-purchased-payment-facilities-dec-2.pdf</vt:lpwstr>
      </vt:variant>
      <vt:variant>
        <vt:lpwstr/>
      </vt:variant>
      <vt:variant>
        <vt:i4>1245283</vt:i4>
      </vt:variant>
      <vt:variant>
        <vt:i4>39</vt:i4>
      </vt:variant>
      <vt:variant>
        <vt:i4>0</vt:i4>
      </vt:variant>
      <vt:variant>
        <vt:i4>5</vt:i4>
      </vt:variant>
      <vt:variant>
        <vt:lpwstr>https://parlinfo.aph.gov.au/parlInfo/download/legislation/ems/r1256_ems_a047a21a-82ac-4678-807d-cb7a5e65b53c/upload_pdf/42243rem.pdf;fileType=application%2Fpdf</vt:lpwstr>
      </vt:variant>
      <vt:variant>
        <vt:lpwstr/>
      </vt:variant>
      <vt:variant>
        <vt:i4>262239</vt:i4>
      </vt:variant>
      <vt:variant>
        <vt:i4>36</vt:i4>
      </vt:variant>
      <vt:variant>
        <vt:i4>0</vt:i4>
      </vt:variant>
      <vt:variant>
        <vt:i4>5</vt:i4>
      </vt:variant>
      <vt:variant>
        <vt:lpwstr>https://asic.gov.au/regulatory-resources/find-a-document/regulatory-guides/rg-121-doing-financial-services-business-in-australia/</vt:lpwstr>
      </vt:variant>
      <vt:variant>
        <vt:lpwstr/>
      </vt:variant>
      <vt:variant>
        <vt:i4>6160388</vt:i4>
      </vt:variant>
      <vt:variant>
        <vt:i4>33</vt:i4>
      </vt:variant>
      <vt:variant>
        <vt:i4>0</vt:i4>
      </vt:variant>
      <vt:variant>
        <vt:i4>5</vt:i4>
      </vt:variant>
      <vt:variant>
        <vt:lpwstr>https://www.bankofcanada.ca/wp-content/uploads/2021/08/retail-payments-advisory-committee-registration-scope.pdf</vt:lpwstr>
      </vt:variant>
      <vt:variant>
        <vt:lpwstr/>
      </vt:variant>
      <vt:variant>
        <vt:i4>4849741</vt:i4>
      </vt:variant>
      <vt:variant>
        <vt:i4>30</vt:i4>
      </vt:variant>
      <vt:variant>
        <vt:i4>0</vt:i4>
      </vt:variant>
      <vt:variant>
        <vt:i4>5</vt:i4>
      </vt:variant>
      <vt:variant>
        <vt:lpwstr>https://www.makarim.com/storage/uploads/4a9fef99-63cc-4e0f-9ceb-33ca5360d8b3/Aug-2021---Issue-1---Payment-Services-Providers.pdf</vt:lpwstr>
      </vt:variant>
      <vt:variant>
        <vt:lpwstr/>
      </vt:variant>
      <vt:variant>
        <vt:i4>4915275</vt:i4>
      </vt:variant>
      <vt:variant>
        <vt:i4>24</vt:i4>
      </vt:variant>
      <vt:variant>
        <vt:i4>0</vt:i4>
      </vt:variant>
      <vt:variant>
        <vt:i4>5</vt:i4>
      </vt:variant>
      <vt:variant>
        <vt:lpwstr>https://treasury.gov.au/sites/default/files/2023-10/c2023-427004-proposal-paper-finalised.pdf</vt:lpwstr>
      </vt:variant>
      <vt:variant>
        <vt:lpwstr/>
      </vt:variant>
      <vt:variant>
        <vt:i4>4915275</vt:i4>
      </vt:variant>
      <vt:variant>
        <vt:i4>18</vt:i4>
      </vt:variant>
      <vt:variant>
        <vt:i4>0</vt:i4>
      </vt:variant>
      <vt:variant>
        <vt:i4>5</vt:i4>
      </vt:variant>
      <vt:variant>
        <vt:lpwstr>https://treasury.gov.au/sites/default/files/2023-10/c2023-427004-proposal-paper-finalised.pdf</vt:lpwstr>
      </vt:variant>
      <vt:variant>
        <vt:lpwstr/>
      </vt:variant>
      <vt:variant>
        <vt:i4>4915275</vt:i4>
      </vt:variant>
      <vt:variant>
        <vt:i4>15</vt:i4>
      </vt:variant>
      <vt:variant>
        <vt:i4>0</vt:i4>
      </vt:variant>
      <vt:variant>
        <vt:i4>5</vt:i4>
      </vt:variant>
      <vt:variant>
        <vt:lpwstr>https://treasury.gov.au/sites/default/files/2023-10/c2023-427004-proposal-paper-finalised.pdf</vt:lpwstr>
      </vt:variant>
      <vt:variant>
        <vt:lpwstr/>
      </vt:variant>
      <vt:variant>
        <vt:i4>4915275</vt:i4>
      </vt:variant>
      <vt:variant>
        <vt:i4>12</vt:i4>
      </vt:variant>
      <vt:variant>
        <vt:i4>0</vt:i4>
      </vt:variant>
      <vt:variant>
        <vt:i4>5</vt:i4>
      </vt:variant>
      <vt:variant>
        <vt:lpwstr>https://treasury.gov.au/sites/default/files/2023-10/c2023-427004-proposal-paper-finalised.pdf</vt:lpwstr>
      </vt:variant>
      <vt:variant>
        <vt:lpwstr/>
      </vt:variant>
      <vt:variant>
        <vt:i4>4063271</vt:i4>
      </vt:variant>
      <vt:variant>
        <vt:i4>9</vt:i4>
      </vt:variant>
      <vt:variant>
        <vt:i4>0</vt:i4>
      </vt:variant>
      <vt:variant>
        <vt:i4>5</vt:i4>
      </vt:variant>
      <vt:variant>
        <vt:lpwstr>https://treasury.gov.au/sites/default/files/2023-06/c2023-403206-cpaper.pdf</vt:lpwstr>
      </vt:variant>
      <vt:variant>
        <vt:lpwstr/>
      </vt:variant>
      <vt:variant>
        <vt:i4>720958</vt:i4>
      </vt:variant>
      <vt:variant>
        <vt:i4>6</vt:i4>
      </vt:variant>
      <vt:variant>
        <vt:i4>0</vt:i4>
      </vt:variant>
      <vt:variant>
        <vt:i4>5</vt:i4>
      </vt:variant>
      <vt:variant>
        <vt:lpwstr>https://www.eba.europa.eu/sites/default/documents/files/document_library/Publications/Opinions/2022/Opinion od PSD2 review %28EBA-Op-2022-06%29/1036016/EBA%27s response to the Call for advice on the review of PSD2.pdf</vt:lpwstr>
      </vt:variant>
      <vt:variant>
        <vt:lpwstr/>
      </vt:variant>
      <vt:variant>
        <vt:i4>6750335</vt:i4>
      </vt:variant>
      <vt:variant>
        <vt:i4>3</vt:i4>
      </vt:variant>
      <vt:variant>
        <vt:i4>0</vt:i4>
      </vt:variant>
      <vt:variant>
        <vt:i4>5</vt:i4>
      </vt:variant>
      <vt:variant>
        <vt:lpwstr>https://www.handbook.fca.org.uk/handbook/PERG/3A/3.html</vt:lpwstr>
      </vt:variant>
      <vt:variant>
        <vt:lpwstr/>
      </vt:variant>
      <vt:variant>
        <vt:i4>1048669</vt:i4>
      </vt:variant>
      <vt:variant>
        <vt:i4>0</vt:i4>
      </vt:variant>
      <vt:variant>
        <vt:i4>0</vt:i4>
      </vt:variant>
      <vt:variant>
        <vt:i4>5</vt:i4>
      </vt:variant>
      <vt:variant>
        <vt:lpwstr>https://treasury.gov.au/consultation/c2023-403207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Payments System Modernisation: Regulation of payment service providers – consultation paper</dc:title>
  <dc:subject/>
  <dc:creator/>
  <cp:keywords/>
  <dc:description/>
  <cp:lastModifiedBy/>
  <cp:revision>1</cp:revision>
  <dcterms:created xsi:type="dcterms:W3CDTF">2023-12-07T03:52:00Z</dcterms:created>
  <dcterms:modified xsi:type="dcterms:W3CDTF">2023-12-07T03:55:00Z</dcterms:modified>
  <cp:category/>
</cp:coreProperties>
</file>