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4986" w14:textId="7122A6D2" w:rsidR="00FB116A" w:rsidRPr="00327A97" w:rsidRDefault="00FB116A" w:rsidP="00FB116A">
      <w:pPr>
        <w:spacing w:after="0"/>
        <w:jc w:val="center"/>
        <w:rPr>
          <w:rFonts w:cstheme="minorHAnsi"/>
          <w:b/>
          <w:sz w:val="28"/>
          <w:szCs w:val="28"/>
        </w:rPr>
      </w:pPr>
      <w:r>
        <w:rPr>
          <w:rFonts w:cstheme="minorHAnsi"/>
          <w:b/>
          <w:sz w:val="28"/>
          <w:szCs w:val="28"/>
        </w:rPr>
        <w:t>Treasury Audit</w:t>
      </w:r>
      <w:r w:rsidR="007F6679">
        <w:rPr>
          <w:rFonts w:cstheme="minorHAnsi"/>
          <w:b/>
          <w:sz w:val="28"/>
          <w:szCs w:val="28"/>
        </w:rPr>
        <w:t xml:space="preserve"> and Risk</w:t>
      </w:r>
      <w:r>
        <w:rPr>
          <w:rFonts w:cstheme="minorHAnsi"/>
          <w:b/>
          <w:sz w:val="28"/>
          <w:szCs w:val="28"/>
        </w:rPr>
        <w:t xml:space="preserve"> Committee Charter</w:t>
      </w:r>
    </w:p>
    <w:tbl>
      <w:tblPr>
        <w:tblW w:w="10206"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977"/>
        <w:gridCol w:w="7229"/>
      </w:tblGrid>
      <w:tr w:rsidR="00FB116A" w:rsidRPr="00B53B41" w14:paraId="2710CE1A" w14:textId="77777777" w:rsidTr="004A3F8B">
        <w:tc>
          <w:tcPr>
            <w:tcW w:w="2977" w:type="dxa"/>
            <w:shd w:val="clear" w:color="auto" w:fill="F2F2F2"/>
          </w:tcPr>
          <w:p w14:paraId="47DB31B5" w14:textId="77777777" w:rsidR="00FB116A" w:rsidRPr="00B53B41" w:rsidRDefault="00FB116A" w:rsidP="00B53B41">
            <w:pPr>
              <w:spacing w:before="40" w:after="40" w:line="240" w:lineRule="auto"/>
              <w:rPr>
                <w:rFonts w:eastAsia="Times New Roman" w:cstheme="minorHAnsi"/>
                <w:b/>
                <w:lang w:eastAsia="en-AU"/>
              </w:rPr>
            </w:pPr>
            <w:r w:rsidRPr="00B53B41">
              <w:rPr>
                <w:rFonts w:eastAsia="Times New Roman" w:cstheme="minorHAnsi"/>
                <w:b/>
                <w:lang w:eastAsia="en-AU"/>
              </w:rPr>
              <w:t>External Chair</w:t>
            </w:r>
          </w:p>
        </w:tc>
        <w:tc>
          <w:tcPr>
            <w:tcW w:w="7229" w:type="dxa"/>
          </w:tcPr>
          <w:p w14:paraId="3F0ED461" w14:textId="77777777" w:rsidR="00FB116A" w:rsidRPr="00B53B41" w:rsidRDefault="00FB116A" w:rsidP="00B53B41">
            <w:pPr>
              <w:spacing w:before="40" w:after="40" w:line="240" w:lineRule="auto"/>
              <w:rPr>
                <w:rFonts w:eastAsia="Times New Roman" w:cstheme="minorHAnsi"/>
                <w:lang w:eastAsia="en-AU"/>
              </w:rPr>
            </w:pPr>
            <w:r w:rsidRPr="00B53B41">
              <w:rPr>
                <w:rFonts w:eastAsia="Times New Roman" w:cstheme="minorHAnsi"/>
                <w:lang w:eastAsia="en-AU"/>
              </w:rPr>
              <w:t xml:space="preserve">As appointed by the Secretary </w:t>
            </w:r>
          </w:p>
          <w:p w14:paraId="36F66F18" w14:textId="77777777" w:rsidR="00FB116A" w:rsidRPr="00B53B41" w:rsidRDefault="00FB116A" w:rsidP="00B53B41">
            <w:pPr>
              <w:spacing w:before="40" w:after="40" w:line="240" w:lineRule="auto"/>
              <w:rPr>
                <w:rFonts w:eastAsia="Times New Roman" w:cstheme="minorHAnsi"/>
                <w:lang w:eastAsia="en-AU"/>
              </w:rPr>
            </w:pPr>
            <w:r w:rsidRPr="00B53B41">
              <w:rPr>
                <w:rFonts w:eastAsia="Times New Roman" w:cstheme="minorHAnsi"/>
                <w:lang w:eastAsia="en-AU"/>
              </w:rPr>
              <w:t>Current: Don Cross</w:t>
            </w:r>
          </w:p>
        </w:tc>
      </w:tr>
      <w:tr w:rsidR="00FB116A" w:rsidRPr="00B53B41" w14:paraId="038314D3" w14:textId="77777777" w:rsidTr="004A3F8B">
        <w:tc>
          <w:tcPr>
            <w:tcW w:w="2977" w:type="dxa"/>
            <w:shd w:val="clear" w:color="auto" w:fill="F2F2F2"/>
          </w:tcPr>
          <w:p w14:paraId="19820983" w14:textId="77777777" w:rsidR="00FB116A" w:rsidRPr="00B53B41" w:rsidRDefault="00FB116A" w:rsidP="00B53B41">
            <w:pPr>
              <w:spacing w:before="40" w:after="40" w:line="240" w:lineRule="auto"/>
              <w:rPr>
                <w:rFonts w:eastAsia="Times New Roman" w:cstheme="minorHAnsi"/>
                <w:b/>
                <w:lang w:eastAsia="en-AU"/>
              </w:rPr>
            </w:pPr>
            <w:r w:rsidRPr="00B53B41">
              <w:rPr>
                <w:rFonts w:eastAsia="Times New Roman" w:cstheme="minorHAnsi"/>
                <w:b/>
                <w:lang w:eastAsia="en-AU"/>
              </w:rPr>
              <w:t>Terms of Reference Updated</w:t>
            </w:r>
          </w:p>
        </w:tc>
        <w:tc>
          <w:tcPr>
            <w:tcW w:w="7229" w:type="dxa"/>
          </w:tcPr>
          <w:p w14:paraId="2CB3A9BA" w14:textId="5E34A531" w:rsidR="00FB116A" w:rsidRPr="00B53B41" w:rsidRDefault="00590209" w:rsidP="00B53B41">
            <w:pPr>
              <w:spacing w:before="40" w:after="40" w:line="240" w:lineRule="auto"/>
              <w:rPr>
                <w:rFonts w:eastAsia="Times New Roman" w:cstheme="minorHAnsi"/>
                <w:lang w:eastAsia="en-AU"/>
              </w:rPr>
            </w:pPr>
            <w:r>
              <w:rPr>
                <w:rFonts w:eastAsia="Times New Roman" w:cstheme="minorHAnsi"/>
                <w:lang w:eastAsia="en-AU"/>
              </w:rPr>
              <w:t xml:space="preserve">06 </w:t>
            </w:r>
            <w:r w:rsidR="00904B13">
              <w:rPr>
                <w:rFonts w:eastAsia="Times New Roman" w:cstheme="minorHAnsi"/>
                <w:lang w:eastAsia="en-AU"/>
              </w:rPr>
              <w:t>November 202</w:t>
            </w:r>
            <w:r>
              <w:rPr>
                <w:rFonts w:eastAsia="Times New Roman" w:cstheme="minorHAnsi"/>
                <w:lang w:eastAsia="en-AU"/>
              </w:rPr>
              <w:t>3</w:t>
            </w:r>
            <w:r w:rsidR="00904B13">
              <w:rPr>
                <w:rFonts w:eastAsia="Times New Roman" w:cstheme="minorHAnsi"/>
                <w:lang w:eastAsia="en-AU"/>
              </w:rPr>
              <w:t xml:space="preserve"> </w:t>
            </w:r>
          </w:p>
        </w:tc>
      </w:tr>
      <w:tr w:rsidR="00FB116A" w:rsidRPr="00B53B41" w14:paraId="2DE1C1B3" w14:textId="77777777" w:rsidTr="004A3F8B">
        <w:tc>
          <w:tcPr>
            <w:tcW w:w="2977" w:type="dxa"/>
            <w:shd w:val="clear" w:color="auto" w:fill="F2F2F2"/>
          </w:tcPr>
          <w:p w14:paraId="56C2845E" w14:textId="77777777" w:rsidR="00FB116A" w:rsidRPr="00B53B41" w:rsidRDefault="00FB116A" w:rsidP="00B53B41">
            <w:pPr>
              <w:spacing w:before="40" w:after="40" w:line="240" w:lineRule="auto"/>
              <w:rPr>
                <w:rFonts w:eastAsia="Times New Roman" w:cstheme="minorHAnsi"/>
                <w:b/>
                <w:lang w:eastAsia="en-AU"/>
              </w:rPr>
            </w:pPr>
            <w:r w:rsidRPr="00B53B41">
              <w:rPr>
                <w:rFonts w:eastAsia="Times New Roman" w:cstheme="minorHAnsi"/>
                <w:b/>
                <w:lang w:eastAsia="en-AU"/>
              </w:rPr>
              <w:t>Secretariat</w:t>
            </w:r>
          </w:p>
        </w:tc>
        <w:tc>
          <w:tcPr>
            <w:tcW w:w="7229" w:type="dxa"/>
          </w:tcPr>
          <w:p w14:paraId="7F5D004F" w14:textId="1D74AC0F" w:rsidR="00FB116A" w:rsidRPr="00B53B41" w:rsidRDefault="00FB116A" w:rsidP="00B53B41">
            <w:pPr>
              <w:spacing w:before="40" w:after="40" w:line="240" w:lineRule="auto"/>
              <w:rPr>
                <w:rFonts w:eastAsia="Times New Roman" w:cstheme="minorHAnsi"/>
                <w:lang w:eastAsia="en-AU"/>
              </w:rPr>
            </w:pPr>
            <w:r w:rsidRPr="00B53B41">
              <w:rPr>
                <w:rFonts w:eastAsia="Times New Roman" w:cstheme="minorHAnsi"/>
                <w:lang w:eastAsia="en-AU"/>
              </w:rPr>
              <w:t xml:space="preserve">Strategic Secretariat, </w:t>
            </w:r>
            <w:r w:rsidR="00590209">
              <w:rPr>
                <w:rFonts w:eastAsia="Times New Roman" w:cstheme="minorHAnsi"/>
                <w:lang w:eastAsia="en-AU"/>
              </w:rPr>
              <w:t>Governance</w:t>
            </w:r>
            <w:r w:rsidR="00590209" w:rsidRPr="00B53B41">
              <w:rPr>
                <w:rFonts w:eastAsia="Times New Roman" w:cstheme="minorHAnsi"/>
                <w:lang w:eastAsia="en-AU"/>
              </w:rPr>
              <w:t xml:space="preserve"> </w:t>
            </w:r>
            <w:r w:rsidRPr="00B53B41">
              <w:rPr>
                <w:rFonts w:eastAsia="Times New Roman" w:cstheme="minorHAnsi"/>
                <w:lang w:eastAsia="en-AU"/>
              </w:rPr>
              <w:t>Branch</w:t>
            </w:r>
          </w:p>
        </w:tc>
      </w:tr>
      <w:tr w:rsidR="00FB116A" w:rsidRPr="00B53B41" w14:paraId="7A833CBA" w14:textId="77777777" w:rsidTr="004A3F8B">
        <w:tc>
          <w:tcPr>
            <w:tcW w:w="2977" w:type="dxa"/>
            <w:shd w:val="clear" w:color="auto" w:fill="F2F2F2"/>
          </w:tcPr>
          <w:p w14:paraId="48D0B230" w14:textId="77777777" w:rsidR="00FB116A" w:rsidRPr="00B53B41" w:rsidRDefault="00FB116A" w:rsidP="00B53B41">
            <w:pPr>
              <w:spacing w:before="40" w:after="40" w:line="240" w:lineRule="auto"/>
              <w:rPr>
                <w:rFonts w:eastAsia="Times New Roman" w:cstheme="minorHAnsi"/>
                <w:b/>
                <w:highlight w:val="yellow"/>
                <w:lang w:eastAsia="en-AU"/>
              </w:rPr>
            </w:pPr>
            <w:r w:rsidRPr="00B53B41">
              <w:rPr>
                <w:rFonts w:eastAsia="Times New Roman" w:cstheme="minorHAnsi"/>
                <w:b/>
                <w:lang w:eastAsia="en-AU"/>
              </w:rPr>
              <w:t>Reporting Line</w:t>
            </w:r>
          </w:p>
        </w:tc>
        <w:tc>
          <w:tcPr>
            <w:tcW w:w="7229" w:type="dxa"/>
          </w:tcPr>
          <w:p w14:paraId="0950C431" w14:textId="5B59EE79" w:rsidR="00FB116A" w:rsidRPr="00B53B41" w:rsidRDefault="00FB116A" w:rsidP="00B53B41">
            <w:pPr>
              <w:spacing w:before="40" w:after="40" w:line="240" w:lineRule="auto"/>
              <w:rPr>
                <w:rFonts w:eastAsia="Times New Roman" w:cstheme="minorHAnsi"/>
                <w:lang w:eastAsia="en-AU"/>
              </w:rPr>
            </w:pPr>
            <w:r w:rsidRPr="00B53B41">
              <w:rPr>
                <w:rFonts w:eastAsia="Times New Roman" w:cstheme="minorHAnsi"/>
                <w:lang w:eastAsia="en-AU"/>
              </w:rPr>
              <w:t xml:space="preserve">The Audit </w:t>
            </w:r>
            <w:r w:rsidR="007F6679">
              <w:rPr>
                <w:rFonts w:eastAsia="Times New Roman" w:cstheme="minorHAnsi"/>
                <w:lang w:eastAsia="en-AU"/>
              </w:rPr>
              <w:t xml:space="preserve">and Risk </w:t>
            </w:r>
            <w:r w:rsidRPr="00B53B41">
              <w:rPr>
                <w:rFonts w:eastAsia="Times New Roman" w:cstheme="minorHAnsi"/>
                <w:lang w:eastAsia="en-AU"/>
              </w:rPr>
              <w:t xml:space="preserve">Committee reports directly to the Secretary </w:t>
            </w:r>
          </w:p>
        </w:tc>
      </w:tr>
      <w:tr w:rsidR="00FB116A" w:rsidRPr="00B53B41" w14:paraId="4F8F4918" w14:textId="77777777" w:rsidTr="004A3F8B">
        <w:tc>
          <w:tcPr>
            <w:tcW w:w="2977" w:type="dxa"/>
            <w:shd w:val="clear" w:color="auto" w:fill="F2F2F2"/>
          </w:tcPr>
          <w:p w14:paraId="17BD9CDD" w14:textId="77777777" w:rsidR="00FB116A" w:rsidRPr="00B53B41" w:rsidRDefault="00FB116A" w:rsidP="00B53B41">
            <w:pPr>
              <w:spacing w:before="40" w:after="40" w:line="240" w:lineRule="auto"/>
              <w:rPr>
                <w:rFonts w:eastAsia="Times New Roman" w:cstheme="minorHAnsi"/>
                <w:b/>
                <w:lang w:eastAsia="en-AU"/>
              </w:rPr>
            </w:pPr>
            <w:r w:rsidRPr="00B53B41">
              <w:rPr>
                <w:rFonts w:eastAsia="Times New Roman" w:cstheme="minorHAnsi"/>
                <w:b/>
                <w:lang w:eastAsia="en-AU"/>
              </w:rPr>
              <w:t>Meeting Frequency</w:t>
            </w:r>
          </w:p>
        </w:tc>
        <w:tc>
          <w:tcPr>
            <w:tcW w:w="7229" w:type="dxa"/>
          </w:tcPr>
          <w:p w14:paraId="60379656" w14:textId="77777777" w:rsidR="00FB116A" w:rsidRPr="00B53B41" w:rsidRDefault="00FB116A" w:rsidP="00B53B41">
            <w:pPr>
              <w:spacing w:before="40" w:after="40" w:line="240" w:lineRule="auto"/>
              <w:rPr>
                <w:rFonts w:eastAsia="Times New Roman" w:cstheme="minorHAnsi"/>
                <w:lang w:eastAsia="en-AU"/>
              </w:rPr>
            </w:pPr>
            <w:r w:rsidRPr="00B53B41">
              <w:rPr>
                <w:rFonts w:eastAsia="Times New Roman" w:cstheme="minorHAnsi"/>
                <w:lang w:eastAsia="en-AU"/>
              </w:rPr>
              <w:t>The Committee will convene at least four times per year</w:t>
            </w:r>
          </w:p>
        </w:tc>
      </w:tr>
    </w:tbl>
    <w:p w14:paraId="715E5C7A" w14:textId="62D07124" w:rsidR="00F14943" w:rsidRPr="00B53B41" w:rsidRDefault="00F14943" w:rsidP="00B53B41">
      <w:pPr>
        <w:spacing w:after="0" w:line="240" w:lineRule="auto"/>
      </w:pPr>
    </w:p>
    <w:tbl>
      <w:tblPr>
        <w:tblStyle w:val="TableGrid"/>
        <w:tblW w:w="10206"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06"/>
      </w:tblGrid>
      <w:tr w:rsidR="00FB116A" w:rsidRPr="00B53B41" w14:paraId="1B6C34F7" w14:textId="77777777" w:rsidTr="004A3F8B">
        <w:tc>
          <w:tcPr>
            <w:tcW w:w="10206" w:type="dxa"/>
            <w:shd w:val="clear" w:color="auto" w:fill="E7E6E6" w:themeFill="background2"/>
          </w:tcPr>
          <w:p w14:paraId="22B1D605" w14:textId="07E4D31E" w:rsidR="00FB116A" w:rsidRPr="00B53B41" w:rsidRDefault="00FB116A" w:rsidP="00B53B41">
            <w:pPr>
              <w:spacing w:after="0" w:line="240" w:lineRule="auto"/>
              <w:rPr>
                <w:b/>
                <w:bCs/>
              </w:rPr>
            </w:pPr>
            <w:r w:rsidRPr="00B53B41">
              <w:rPr>
                <w:b/>
                <w:bCs/>
              </w:rPr>
              <w:t>Purpose</w:t>
            </w:r>
          </w:p>
        </w:tc>
      </w:tr>
      <w:tr w:rsidR="00FB116A" w:rsidRPr="00B53B41" w14:paraId="179AE468" w14:textId="77777777" w:rsidTr="004A3F8B">
        <w:tc>
          <w:tcPr>
            <w:tcW w:w="10206" w:type="dxa"/>
          </w:tcPr>
          <w:p w14:paraId="153AD92D" w14:textId="0395D06E" w:rsidR="00FB116A" w:rsidRPr="00B53B41" w:rsidRDefault="00FB116A" w:rsidP="00ED58D6">
            <w:pPr>
              <w:pStyle w:val="Body"/>
              <w:spacing w:before="0" w:line="240" w:lineRule="auto"/>
              <w:jc w:val="left"/>
              <w:rPr>
                <w:rFonts w:asciiTheme="minorHAnsi" w:hAnsiTheme="minorHAnsi"/>
                <w:sz w:val="22"/>
                <w:szCs w:val="22"/>
              </w:rPr>
            </w:pPr>
            <w:r w:rsidRPr="00B53B41">
              <w:rPr>
                <w:rFonts w:asciiTheme="minorHAnsi" w:hAnsiTheme="minorHAnsi"/>
                <w:sz w:val="22"/>
                <w:szCs w:val="22"/>
              </w:rPr>
              <w:t xml:space="preserve">The Secretary </w:t>
            </w:r>
            <w:r w:rsidR="001C04CA">
              <w:rPr>
                <w:rFonts w:asciiTheme="minorHAnsi" w:hAnsiTheme="minorHAnsi"/>
                <w:sz w:val="22"/>
                <w:szCs w:val="22"/>
              </w:rPr>
              <w:t>t</w:t>
            </w:r>
            <w:r w:rsidRPr="00B53B41">
              <w:rPr>
                <w:rFonts w:asciiTheme="minorHAnsi" w:hAnsiTheme="minorHAnsi"/>
                <w:sz w:val="22"/>
                <w:szCs w:val="22"/>
              </w:rPr>
              <w:t xml:space="preserve">o the Treasury </w:t>
            </w:r>
            <w:r w:rsidR="001C04CA">
              <w:rPr>
                <w:rFonts w:asciiTheme="minorHAnsi" w:hAnsiTheme="minorHAnsi"/>
                <w:sz w:val="22"/>
                <w:szCs w:val="22"/>
              </w:rPr>
              <w:t xml:space="preserve">(the Secretary) </w:t>
            </w:r>
            <w:r w:rsidRPr="00B53B41">
              <w:rPr>
                <w:rFonts w:asciiTheme="minorHAnsi" w:hAnsiTheme="minorHAnsi"/>
                <w:sz w:val="22"/>
                <w:szCs w:val="22"/>
              </w:rPr>
              <w:t xml:space="preserve">has established the Audit </w:t>
            </w:r>
            <w:r w:rsidR="007F6679">
              <w:rPr>
                <w:rFonts w:asciiTheme="minorHAnsi" w:hAnsiTheme="minorHAnsi"/>
                <w:sz w:val="22"/>
                <w:szCs w:val="22"/>
              </w:rPr>
              <w:t xml:space="preserve">and Risk </w:t>
            </w:r>
            <w:r w:rsidRPr="00B53B41">
              <w:rPr>
                <w:rFonts w:asciiTheme="minorHAnsi" w:hAnsiTheme="minorHAnsi"/>
                <w:sz w:val="22"/>
                <w:szCs w:val="22"/>
              </w:rPr>
              <w:t xml:space="preserve">Committee </w:t>
            </w:r>
            <w:r w:rsidR="001C04CA">
              <w:rPr>
                <w:rFonts w:asciiTheme="minorHAnsi" w:hAnsiTheme="minorHAnsi"/>
                <w:sz w:val="22"/>
                <w:szCs w:val="22"/>
              </w:rPr>
              <w:t xml:space="preserve">(the Committee) </w:t>
            </w:r>
            <w:r w:rsidRPr="00B53B41">
              <w:rPr>
                <w:rFonts w:asciiTheme="minorHAnsi" w:hAnsiTheme="minorHAnsi"/>
                <w:sz w:val="22"/>
                <w:szCs w:val="22"/>
              </w:rPr>
              <w:t xml:space="preserve">pursuant to Subsection 45(1) of the </w:t>
            </w:r>
            <w:r w:rsidRPr="00B53B41">
              <w:rPr>
                <w:rFonts w:asciiTheme="minorHAnsi" w:hAnsiTheme="minorHAnsi"/>
                <w:i/>
                <w:sz w:val="22"/>
                <w:szCs w:val="22"/>
              </w:rPr>
              <w:t>Public Governance, Performance and Accountability Act 2013</w:t>
            </w:r>
            <w:r w:rsidRPr="00B53B41">
              <w:rPr>
                <w:rFonts w:asciiTheme="minorHAnsi" w:hAnsiTheme="minorHAnsi"/>
                <w:sz w:val="22"/>
                <w:szCs w:val="22"/>
              </w:rPr>
              <w:t xml:space="preserve"> (PGPA Act) and in accordance with Section 17 of the </w:t>
            </w:r>
            <w:r w:rsidRPr="00B53B41">
              <w:rPr>
                <w:rFonts w:asciiTheme="minorHAnsi" w:hAnsiTheme="minorHAnsi"/>
                <w:i/>
                <w:sz w:val="22"/>
                <w:szCs w:val="22"/>
              </w:rPr>
              <w:t>Public Governance, Performance and Accountability Rule 2014</w:t>
            </w:r>
            <w:r w:rsidRPr="00B53B41">
              <w:rPr>
                <w:rFonts w:asciiTheme="minorHAnsi" w:hAnsiTheme="minorHAnsi"/>
                <w:sz w:val="22"/>
                <w:szCs w:val="22"/>
              </w:rPr>
              <w:t xml:space="preserve"> (PGPA Rule).</w:t>
            </w:r>
          </w:p>
          <w:p w14:paraId="0DAA458E" w14:textId="77777777" w:rsidR="00FB116A" w:rsidRPr="00B53B41" w:rsidRDefault="00FB116A" w:rsidP="00ED58D6">
            <w:pPr>
              <w:pStyle w:val="Body"/>
              <w:spacing w:before="0" w:line="240" w:lineRule="auto"/>
              <w:jc w:val="left"/>
              <w:rPr>
                <w:rFonts w:asciiTheme="minorHAnsi" w:hAnsiTheme="minorHAnsi"/>
                <w:sz w:val="22"/>
                <w:szCs w:val="22"/>
              </w:rPr>
            </w:pPr>
          </w:p>
          <w:p w14:paraId="09A81104" w14:textId="77777777" w:rsidR="00FB116A" w:rsidRDefault="00FB116A" w:rsidP="00ED58D6">
            <w:pPr>
              <w:spacing w:after="0" w:line="240" w:lineRule="auto"/>
            </w:pPr>
            <w:r w:rsidRPr="00B53B41">
              <w:t>The Committee is directly accountable to the Secretary for the performance of its functions. The Committee has no managerial responsibilities and does not make decisions in relation to Treasury’s processes and functions.</w:t>
            </w:r>
          </w:p>
          <w:p w14:paraId="2138B595" w14:textId="4FFF2129" w:rsidR="00ED58D6" w:rsidRPr="00B53B41" w:rsidRDefault="00ED58D6" w:rsidP="00ED58D6">
            <w:pPr>
              <w:spacing w:after="0" w:line="240" w:lineRule="auto"/>
            </w:pPr>
          </w:p>
        </w:tc>
      </w:tr>
    </w:tbl>
    <w:p w14:paraId="71916072" w14:textId="6B308B94" w:rsidR="00FB116A" w:rsidRPr="00B53B41" w:rsidRDefault="00FB116A" w:rsidP="00B53B41">
      <w:pPr>
        <w:spacing w:after="0" w:line="240" w:lineRule="auto"/>
      </w:pPr>
    </w:p>
    <w:tbl>
      <w:tblPr>
        <w:tblStyle w:val="TableGrid"/>
        <w:tblW w:w="10206"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06"/>
      </w:tblGrid>
      <w:tr w:rsidR="00FB116A" w:rsidRPr="00B53B41" w14:paraId="3CA01594" w14:textId="77777777" w:rsidTr="004A3F8B">
        <w:tc>
          <w:tcPr>
            <w:tcW w:w="10206" w:type="dxa"/>
            <w:shd w:val="clear" w:color="auto" w:fill="E7E6E6" w:themeFill="background2"/>
          </w:tcPr>
          <w:p w14:paraId="6595BDD2" w14:textId="6E56FDE5" w:rsidR="00FB116A" w:rsidRPr="00B53B41" w:rsidRDefault="00FB116A" w:rsidP="00B53B41">
            <w:pPr>
              <w:spacing w:after="0" w:line="240" w:lineRule="auto"/>
            </w:pPr>
            <w:r w:rsidRPr="00B53B41">
              <w:rPr>
                <w:rFonts w:eastAsia="Times New Roman" w:cstheme="minorHAnsi"/>
                <w:b/>
                <w:lang w:eastAsia="en-AU"/>
              </w:rPr>
              <w:t>Key Activities and Deliverables</w:t>
            </w:r>
          </w:p>
        </w:tc>
      </w:tr>
      <w:tr w:rsidR="00FB116A" w:rsidRPr="00B53B41" w14:paraId="1D8F1A31" w14:textId="77777777" w:rsidTr="004A3F8B">
        <w:tc>
          <w:tcPr>
            <w:tcW w:w="10206" w:type="dxa"/>
          </w:tcPr>
          <w:p w14:paraId="2091DA17" w14:textId="5410EC1B" w:rsidR="00FB116A" w:rsidRPr="00D3734C" w:rsidRDefault="00FB116A" w:rsidP="00B53B41">
            <w:pPr>
              <w:spacing w:after="0" w:line="240" w:lineRule="auto"/>
            </w:pPr>
            <w:r w:rsidRPr="00D3734C">
              <w:t xml:space="preserve">Consistent with Subsection 17(2) of the PGPA Rule, the role of the Committee is to </w:t>
            </w:r>
            <w:bookmarkStart w:id="0" w:name="_Hlk87270719"/>
            <w:r w:rsidRPr="00D3734C">
              <w:t>provide independent advice to the Secretary on the appropriateness of the department</w:t>
            </w:r>
            <w:r w:rsidR="008757E3">
              <w:t>’</w:t>
            </w:r>
            <w:r w:rsidRPr="00D3734C">
              <w:t>s financial reporting, performance reporting, system of risk oversight and management, and the system of internal control.</w:t>
            </w:r>
            <w:bookmarkEnd w:id="0"/>
          </w:p>
          <w:p w14:paraId="16685536" w14:textId="77777777" w:rsidR="00FB116A" w:rsidRPr="00B53B41" w:rsidRDefault="00FB116A" w:rsidP="00B53B41">
            <w:pPr>
              <w:spacing w:after="0" w:line="240" w:lineRule="auto"/>
              <w:rPr>
                <w:rFonts w:eastAsia="Times New Roman" w:cstheme="minorHAnsi"/>
                <w:lang w:eastAsia="en-AU"/>
              </w:rPr>
            </w:pPr>
          </w:p>
          <w:p w14:paraId="3B99BC94" w14:textId="791968D6" w:rsidR="00FB116A" w:rsidRPr="00B53B41" w:rsidRDefault="00FB116A" w:rsidP="00ED58D6">
            <w:pPr>
              <w:spacing w:after="0" w:line="240" w:lineRule="auto"/>
              <w:rPr>
                <w:rFonts w:eastAsia="Times New Roman" w:cstheme="minorHAnsi"/>
                <w:b/>
                <w:lang w:val="en-GB" w:eastAsia="en-AU"/>
              </w:rPr>
            </w:pPr>
            <w:bookmarkStart w:id="1" w:name="_Hlk68597786"/>
            <w:r w:rsidRPr="00B53B41">
              <w:rPr>
                <w:rFonts w:eastAsia="Times New Roman" w:cstheme="minorHAnsi"/>
                <w:b/>
                <w:lang w:val="en-GB" w:eastAsia="en-AU"/>
              </w:rPr>
              <w:t>Financial Reporting [PGPA Rule 17(2)(a)]</w:t>
            </w:r>
            <w:bookmarkEnd w:id="1"/>
          </w:p>
          <w:p w14:paraId="13E449F1" w14:textId="7ED6FD3E" w:rsidR="00FB116A" w:rsidRDefault="00FB116A" w:rsidP="00ED58D6">
            <w:pPr>
              <w:spacing w:after="0" w:line="240" w:lineRule="auto"/>
              <w:rPr>
                <w:rFonts w:eastAsia="Times New Roman" w:cstheme="minorHAnsi"/>
                <w:lang w:eastAsia="en-AU"/>
              </w:rPr>
            </w:pPr>
            <w:r w:rsidRPr="00D3734C">
              <w:rPr>
                <w:rFonts w:eastAsia="Times New Roman" w:cstheme="minorHAnsi"/>
                <w:lang w:eastAsia="en-AU"/>
              </w:rPr>
              <w:t>The Committee will review the financial statements and provide independent advice to the Secretary on its view of the appropriateness of the department</w:t>
            </w:r>
            <w:r w:rsidR="004005E2">
              <w:rPr>
                <w:rFonts w:eastAsia="Times New Roman" w:cstheme="minorHAnsi"/>
                <w:lang w:eastAsia="en-AU"/>
              </w:rPr>
              <w:t>’</w:t>
            </w:r>
            <w:r w:rsidRPr="00D3734C">
              <w:rPr>
                <w:rFonts w:eastAsia="Times New Roman" w:cstheme="minorHAnsi"/>
                <w:lang w:eastAsia="en-AU"/>
              </w:rPr>
              <w:t>s:</w:t>
            </w:r>
          </w:p>
          <w:p w14:paraId="3798D907" w14:textId="77777777" w:rsidR="00ED58D6" w:rsidRPr="00D3734C" w:rsidRDefault="00ED58D6" w:rsidP="00ED58D6">
            <w:pPr>
              <w:spacing w:after="0" w:line="240" w:lineRule="auto"/>
              <w:rPr>
                <w:rFonts w:eastAsia="Times New Roman" w:cstheme="minorHAnsi"/>
                <w:lang w:eastAsia="en-AU"/>
              </w:rPr>
            </w:pPr>
          </w:p>
          <w:p w14:paraId="1E408B79" w14:textId="29227E0C" w:rsidR="00FB116A" w:rsidRPr="00DE2D0B" w:rsidRDefault="00FB116A" w:rsidP="00DE2D0B">
            <w:pPr>
              <w:pStyle w:val="Bullet"/>
              <w:numPr>
                <w:ilvl w:val="0"/>
                <w:numId w:val="3"/>
              </w:numPr>
              <w:spacing w:before="0" w:after="0"/>
              <w:rPr>
                <w:rFonts w:asciiTheme="minorHAnsi" w:hAnsiTheme="minorHAnsi" w:cstheme="minorHAnsi"/>
              </w:rPr>
            </w:pPr>
            <w:r w:rsidRPr="00D3734C">
              <w:rPr>
                <w:rFonts w:asciiTheme="minorHAnsi" w:hAnsiTheme="minorHAnsi" w:cstheme="minorHAnsi"/>
              </w:rPr>
              <w:t>annual financial statements</w:t>
            </w:r>
            <w:r w:rsidR="004700AA">
              <w:rPr>
                <w:rFonts w:asciiTheme="minorHAnsi" w:hAnsiTheme="minorHAnsi" w:cstheme="minorHAnsi"/>
              </w:rPr>
              <w:t xml:space="preserve"> and additional information required by </w:t>
            </w:r>
            <w:r w:rsidR="004700AA" w:rsidRPr="00B53B41">
              <w:rPr>
                <w:rFonts w:asciiTheme="minorHAnsi" w:hAnsiTheme="minorHAnsi" w:cstheme="minorHAnsi"/>
              </w:rPr>
              <w:t>the Department of Finance to prepare the Australian Government’s consolidated financial statements, including the supplementary reporting package</w:t>
            </w:r>
            <w:r w:rsidRPr="00D3734C">
              <w:rPr>
                <w:rFonts w:asciiTheme="minorHAnsi" w:hAnsiTheme="minorHAnsi" w:cstheme="minorHAnsi"/>
              </w:rPr>
              <w:t>, specifically that</w:t>
            </w:r>
            <w:r w:rsidR="004700AA">
              <w:rPr>
                <w:rFonts w:asciiTheme="minorHAnsi" w:hAnsiTheme="minorHAnsi" w:cstheme="minorHAnsi"/>
              </w:rPr>
              <w:t xml:space="preserve"> </w:t>
            </w:r>
            <w:r w:rsidR="004700AA" w:rsidRPr="00DE2D0B">
              <w:rPr>
                <w:rFonts w:asciiTheme="minorHAnsi" w:hAnsiTheme="minorHAnsi" w:cstheme="minorHAnsi"/>
              </w:rPr>
              <w:t>they</w:t>
            </w:r>
            <w:r w:rsidRPr="00DE2D0B">
              <w:rPr>
                <w:rFonts w:asciiTheme="minorHAnsi" w:hAnsiTheme="minorHAnsi" w:cstheme="minorHAnsi"/>
              </w:rPr>
              <w:t xml:space="preserve"> comply with the PGPA Act, PGPA Rules, Accounting Standards and supporting </w:t>
            </w:r>
            <w:proofErr w:type="gramStart"/>
            <w:r w:rsidRPr="00DE2D0B">
              <w:rPr>
                <w:rFonts w:asciiTheme="minorHAnsi" w:hAnsiTheme="minorHAnsi" w:cstheme="minorHAnsi"/>
              </w:rPr>
              <w:t>guidance;</w:t>
            </w:r>
            <w:proofErr w:type="gramEnd"/>
          </w:p>
          <w:p w14:paraId="1655A72F" w14:textId="6FEBC277" w:rsidR="00FB116A" w:rsidRPr="00B53B41" w:rsidRDefault="00FB116A" w:rsidP="00ED58D6">
            <w:pPr>
              <w:pStyle w:val="Bullet"/>
              <w:numPr>
                <w:ilvl w:val="0"/>
                <w:numId w:val="3"/>
              </w:numPr>
              <w:spacing w:before="0" w:after="0"/>
              <w:rPr>
                <w:rFonts w:asciiTheme="minorHAnsi" w:hAnsiTheme="minorHAnsi" w:cstheme="minorHAnsi"/>
              </w:rPr>
            </w:pPr>
            <w:r w:rsidRPr="00B53B41">
              <w:rPr>
                <w:rFonts w:asciiTheme="minorHAnsi" w:hAnsiTheme="minorHAnsi" w:cstheme="minorHAnsi"/>
              </w:rPr>
              <w:t xml:space="preserve">action in response to any issues raised by the external auditor, including financial statements adjustments or revised </w:t>
            </w:r>
            <w:proofErr w:type="gramStart"/>
            <w:r w:rsidRPr="00B53B41">
              <w:rPr>
                <w:rFonts w:asciiTheme="minorHAnsi" w:hAnsiTheme="minorHAnsi" w:cstheme="minorHAnsi"/>
              </w:rPr>
              <w:t>disclosures;</w:t>
            </w:r>
            <w:proofErr w:type="gramEnd"/>
            <w:r w:rsidRPr="00B53B41">
              <w:rPr>
                <w:rFonts w:asciiTheme="minorHAnsi" w:hAnsiTheme="minorHAnsi" w:cstheme="minorHAnsi"/>
              </w:rPr>
              <w:t xml:space="preserve"> </w:t>
            </w:r>
          </w:p>
          <w:p w14:paraId="6F932222" w14:textId="4290379B" w:rsidR="00526A34" w:rsidRDefault="00FB116A" w:rsidP="00ED58D6">
            <w:pPr>
              <w:pStyle w:val="Bullet"/>
              <w:numPr>
                <w:ilvl w:val="0"/>
                <w:numId w:val="3"/>
              </w:numPr>
              <w:spacing w:before="0" w:after="0"/>
              <w:rPr>
                <w:rFonts w:asciiTheme="minorHAnsi" w:hAnsiTheme="minorHAnsi" w:cstheme="minorHAnsi"/>
              </w:rPr>
            </w:pPr>
            <w:r w:rsidRPr="00B53B41">
              <w:rPr>
                <w:rFonts w:asciiTheme="minorHAnsi" w:hAnsiTheme="minorHAnsi" w:cstheme="minorHAnsi"/>
              </w:rPr>
              <w:t>processes to ensure that financial information included in the Treasury’s Annual Report is consistent with the signed financial statements</w:t>
            </w:r>
            <w:r w:rsidR="004700AA">
              <w:rPr>
                <w:rFonts w:asciiTheme="minorHAnsi" w:hAnsiTheme="minorHAnsi" w:cstheme="minorHAnsi"/>
              </w:rPr>
              <w:t xml:space="preserve">; and </w:t>
            </w:r>
          </w:p>
          <w:p w14:paraId="16645B05" w14:textId="001E94D0" w:rsidR="004700AA" w:rsidRDefault="004700AA" w:rsidP="00ED58D6">
            <w:pPr>
              <w:pStyle w:val="Bullet"/>
              <w:numPr>
                <w:ilvl w:val="0"/>
                <w:numId w:val="3"/>
              </w:numPr>
              <w:spacing w:before="0" w:after="0"/>
              <w:rPr>
                <w:rFonts w:asciiTheme="minorHAnsi" w:hAnsiTheme="minorHAnsi" w:cstheme="minorHAnsi"/>
              </w:rPr>
            </w:pPr>
            <w:r>
              <w:rPr>
                <w:rFonts w:asciiTheme="minorHAnsi" w:hAnsiTheme="minorHAnsi" w:cstheme="minorHAnsi"/>
              </w:rPr>
              <w:t xml:space="preserve">financial </w:t>
            </w:r>
            <w:proofErr w:type="gramStart"/>
            <w:r>
              <w:rPr>
                <w:rFonts w:asciiTheme="minorHAnsi" w:hAnsiTheme="minorHAnsi" w:cstheme="minorHAnsi"/>
              </w:rPr>
              <w:t>reporting as a whole, with</w:t>
            </w:r>
            <w:proofErr w:type="gramEnd"/>
            <w:r>
              <w:rPr>
                <w:rFonts w:asciiTheme="minorHAnsi" w:hAnsiTheme="minorHAnsi" w:cstheme="minorHAnsi"/>
              </w:rPr>
              <w:t xml:space="preserve"> reference to any specific areas of concern or suggestions for improvement.</w:t>
            </w:r>
          </w:p>
          <w:p w14:paraId="571F2930" w14:textId="77777777" w:rsidR="00ED58D6" w:rsidRDefault="00ED58D6" w:rsidP="00ED58D6">
            <w:pPr>
              <w:spacing w:after="0" w:line="240" w:lineRule="auto"/>
              <w:rPr>
                <w:rFonts w:eastAsia="Times New Roman" w:cstheme="minorHAnsi"/>
                <w:b/>
                <w:lang w:val="en-GB" w:eastAsia="en-AU"/>
              </w:rPr>
            </w:pPr>
          </w:p>
          <w:p w14:paraId="3EC22FBF" w14:textId="617BFD8A" w:rsidR="00FB116A" w:rsidRPr="00B53B41" w:rsidRDefault="00FB116A" w:rsidP="00ED58D6">
            <w:pPr>
              <w:spacing w:after="0" w:line="240" w:lineRule="auto"/>
              <w:rPr>
                <w:rFonts w:eastAsia="Times New Roman" w:cstheme="minorHAnsi"/>
                <w:b/>
                <w:lang w:val="en-GB" w:eastAsia="en-AU"/>
              </w:rPr>
            </w:pPr>
            <w:r w:rsidRPr="00B53B41">
              <w:rPr>
                <w:rFonts w:eastAsia="Times New Roman" w:cstheme="minorHAnsi"/>
                <w:b/>
                <w:lang w:val="en-GB" w:eastAsia="en-AU"/>
              </w:rPr>
              <w:t>Performance Reporting [PGPA Rule 17(2)(b)]</w:t>
            </w:r>
          </w:p>
          <w:p w14:paraId="3AAE94C5" w14:textId="262DC874" w:rsidR="00FB116A" w:rsidRDefault="00FB116A" w:rsidP="00ED58D6">
            <w:pPr>
              <w:spacing w:after="0" w:line="240" w:lineRule="auto"/>
              <w:rPr>
                <w:rFonts w:eastAsia="Times New Roman" w:cstheme="minorHAnsi"/>
                <w:lang w:eastAsia="en-AU"/>
              </w:rPr>
            </w:pPr>
            <w:r w:rsidRPr="00B53B41">
              <w:rPr>
                <w:rFonts w:eastAsia="Times New Roman" w:cstheme="minorHAnsi"/>
                <w:lang w:eastAsia="en-AU"/>
              </w:rPr>
              <w:t xml:space="preserve">The Committee will review the performance information, </w:t>
            </w:r>
            <w:proofErr w:type="gramStart"/>
            <w:r w:rsidRPr="00B53B41">
              <w:rPr>
                <w:rFonts w:eastAsia="Times New Roman" w:cstheme="minorHAnsi"/>
                <w:lang w:eastAsia="en-AU"/>
              </w:rPr>
              <w:t>systems</w:t>
            </w:r>
            <w:proofErr w:type="gramEnd"/>
            <w:r w:rsidRPr="00B53B41">
              <w:rPr>
                <w:rFonts w:eastAsia="Times New Roman" w:cstheme="minorHAnsi"/>
                <w:lang w:eastAsia="en-AU"/>
              </w:rPr>
              <w:t xml:space="preserve"> and framework, and provide independent advice to the Secretary on its view of the appropriateness of the department</w:t>
            </w:r>
            <w:r w:rsidR="004005E2">
              <w:rPr>
                <w:rFonts w:eastAsia="Times New Roman" w:cstheme="minorHAnsi"/>
                <w:lang w:eastAsia="en-AU"/>
              </w:rPr>
              <w:t>’</w:t>
            </w:r>
            <w:r w:rsidRPr="00B53B41">
              <w:rPr>
                <w:rFonts w:eastAsia="Times New Roman" w:cstheme="minorHAnsi"/>
                <w:lang w:eastAsia="en-AU"/>
              </w:rPr>
              <w:t>s:</w:t>
            </w:r>
          </w:p>
          <w:p w14:paraId="3BBB52F7" w14:textId="77777777" w:rsidR="00ED58D6" w:rsidRPr="00B53B41" w:rsidRDefault="00ED58D6" w:rsidP="00ED58D6">
            <w:pPr>
              <w:spacing w:after="0" w:line="240" w:lineRule="auto"/>
              <w:rPr>
                <w:rFonts w:eastAsia="Times New Roman" w:cstheme="minorHAnsi"/>
                <w:lang w:eastAsia="en-AU"/>
              </w:rPr>
            </w:pPr>
          </w:p>
          <w:p w14:paraId="568E0FFF" w14:textId="77777777" w:rsidR="00FB116A" w:rsidRPr="00B53B41" w:rsidRDefault="00FB116A" w:rsidP="00ED58D6">
            <w:pPr>
              <w:pStyle w:val="Bullet"/>
              <w:numPr>
                <w:ilvl w:val="0"/>
                <w:numId w:val="3"/>
              </w:numPr>
              <w:spacing w:before="0" w:after="0"/>
              <w:rPr>
                <w:rFonts w:asciiTheme="minorHAnsi" w:hAnsiTheme="minorHAnsi" w:cstheme="minorHAnsi"/>
              </w:rPr>
            </w:pPr>
            <w:r w:rsidRPr="00B53B41">
              <w:rPr>
                <w:rFonts w:asciiTheme="minorHAnsi" w:hAnsiTheme="minorHAnsi" w:cstheme="minorHAnsi"/>
              </w:rPr>
              <w:t xml:space="preserve">systems and procedures for assessing, </w:t>
            </w:r>
            <w:proofErr w:type="gramStart"/>
            <w:r w:rsidRPr="00B53B41">
              <w:rPr>
                <w:rFonts w:asciiTheme="minorHAnsi" w:hAnsiTheme="minorHAnsi" w:cstheme="minorHAnsi"/>
              </w:rPr>
              <w:t>monitoring</w:t>
            </w:r>
            <w:proofErr w:type="gramEnd"/>
            <w:r w:rsidRPr="00B53B41">
              <w:rPr>
                <w:rFonts w:asciiTheme="minorHAnsi" w:hAnsiTheme="minorHAnsi" w:cstheme="minorHAnsi"/>
              </w:rPr>
              <w:t xml:space="preserve"> and reporting the achievement of the Treasury’s performance, and determine that: </w:t>
            </w:r>
          </w:p>
          <w:p w14:paraId="23089FF3" w14:textId="1465E51F" w:rsidR="00FB116A" w:rsidRPr="004700AA" w:rsidRDefault="00FB116A" w:rsidP="004700AA">
            <w:pPr>
              <w:pStyle w:val="Dash"/>
              <w:numPr>
                <w:ilvl w:val="1"/>
                <w:numId w:val="2"/>
              </w:numPr>
              <w:spacing w:before="0" w:after="0"/>
              <w:rPr>
                <w:rFonts w:asciiTheme="minorHAnsi" w:hAnsiTheme="minorHAnsi" w:cstheme="minorHAnsi"/>
              </w:rPr>
            </w:pPr>
            <w:r w:rsidRPr="00B53B41">
              <w:rPr>
                <w:rFonts w:asciiTheme="minorHAnsi" w:hAnsiTheme="minorHAnsi" w:cstheme="minorHAnsi"/>
              </w:rPr>
              <w:t xml:space="preserve">the Portfolio Budget Statements and Corporate Plan contain appropriate details of how the Treasury will achieve its purposes and measure and assess its </w:t>
            </w:r>
            <w:proofErr w:type="gramStart"/>
            <w:r w:rsidRPr="00B53B41">
              <w:rPr>
                <w:rFonts w:asciiTheme="minorHAnsi" w:hAnsiTheme="minorHAnsi" w:cstheme="minorHAnsi"/>
              </w:rPr>
              <w:t>performance;</w:t>
            </w:r>
            <w:proofErr w:type="gramEnd"/>
            <w:r w:rsidRPr="00B53B41">
              <w:rPr>
                <w:rFonts w:asciiTheme="minorHAnsi" w:hAnsiTheme="minorHAnsi" w:cstheme="minorHAnsi"/>
              </w:rPr>
              <w:t xml:space="preserve"> </w:t>
            </w:r>
          </w:p>
          <w:p w14:paraId="1CECFFDA" w14:textId="2569C1E9" w:rsidR="00FB116A" w:rsidRPr="00B53B41" w:rsidRDefault="00FB116A" w:rsidP="00ED58D6">
            <w:pPr>
              <w:pStyle w:val="Dash"/>
              <w:numPr>
                <w:ilvl w:val="1"/>
                <w:numId w:val="2"/>
              </w:numPr>
              <w:spacing w:before="0" w:after="0"/>
              <w:rPr>
                <w:rFonts w:asciiTheme="minorHAnsi" w:hAnsiTheme="minorHAnsi" w:cstheme="minorHAnsi"/>
              </w:rPr>
            </w:pPr>
            <w:r w:rsidRPr="00B53B41">
              <w:rPr>
                <w:rFonts w:asciiTheme="minorHAnsi" w:hAnsiTheme="minorHAnsi" w:cstheme="minorHAnsi"/>
              </w:rPr>
              <w:lastRenderedPageBreak/>
              <w:t xml:space="preserve">the approach to measuring performance covers the whole performance reporting lifecycle and is appropriate and in accordance with the Commonwealth performance framework </w:t>
            </w:r>
            <w:proofErr w:type="gramStart"/>
            <w:r w:rsidRPr="00B53B41">
              <w:rPr>
                <w:rFonts w:asciiTheme="minorHAnsi" w:hAnsiTheme="minorHAnsi" w:cstheme="minorHAnsi"/>
              </w:rPr>
              <w:t>guidance</w:t>
            </w:r>
            <w:r w:rsidR="00B00376">
              <w:rPr>
                <w:rFonts w:asciiTheme="minorHAnsi" w:hAnsiTheme="minorHAnsi" w:cstheme="minorHAnsi"/>
              </w:rPr>
              <w:t>;</w:t>
            </w:r>
            <w:proofErr w:type="gramEnd"/>
            <w:r w:rsidR="00B00376">
              <w:rPr>
                <w:rFonts w:asciiTheme="minorHAnsi" w:hAnsiTheme="minorHAnsi" w:cstheme="minorHAnsi"/>
              </w:rPr>
              <w:t xml:space="preserve"> </w:t>
            </w:r>
          </w:p>
          <w:p w14:paraId="3E0DC3E9" w14:textId="55564738" w:rsidR="00901B79" w:rsidRDefault="00FB116A" w:rsidP="00B00376">
            <w:pPr>
              <w:pStyle w:val="Dash"/>
              <w:numPr>
                <w:ilvl w:val="1"/>
                <w:numId w:val="2"/>
              </w:numPr>
              <w:spacing w:before="0" w:after="0"/>
              <w:rPr>
                <w:rFonts w:asciiTheme="minorHAnsi" w:hAnsiTheme="minorHAnsi" w:cstheme="minorHAnsi"/>
              </w:rPr>
            </w:pPr>
            <w:r w:rsidRPr="00B53B41">
              <w:rPr>
                <w:rFonts w:asciiTheme="minorHAnsi" w:hAnsiTheme="minorHAnsi" w:cstheme="minorHAnsi"/>
              </w:rPr>
              <w:t xml:space="preserve">appropriate records are maintained to enable the preparation of the </w:t>
            </w:r>
            <w:r w:rsidR="00B00376">
              <w:rPr>
                <w:rFonts w:asciiTheme="minorHAnsi" w:hAnsiTheme="minorHAnsi" w:cstheme="minorHAnsi"/>
              </w:rPr>
              <w:t>A</w:t>
            </w:r>
            <w:r w:rsidRPr="00B53B41">
              <w:rPr>
                <w:rFonts w:asciiTheme="minorHAnsi" w:hAnsiTheme="minorHAnsi" w:cstheme="minorHAnsi"/>
              </w:rPr>
              <w:t xml:space="preserve">nnual </w:t>
            </w:r>
            <w:r w:rsidR="00B00376">
              <w:rPr>
                <w:rFonts w:asciiTheme="minorHAnsi" w:hAnsiTheme="minorHAnsi" w:cstheme="minorHAnsi"/>
              </w:rPr>
              <w:t>P</w:t>
            </w:r>
            <w:r w:rsidRPr="00B53B41">
              <w:rPr>
                <w:rFonts w:asciiTheme="minorHAnsi" w:hAnsiTheme="minorHAnsi" w:cstheme="minorHAnsi"/>
              </w:rPr>
              <w:t xml:space="preserve">erformance </w:t>
            </w:r>
            <w:r w:rsidR="00B00376">
              <w:rPr>
                <w:rFonts w:asciiTheme="minorHAnsi" w:hAnsiTheme="minorHAnsi" w:cstheme="minorHAnsi"/>
              </w:rPr>
              <w:t>S</w:t>
            </w:r>
            <w:r w:rsidRPr="00B53B41">
              <w:rPr>
                <w:rFonts w:asciiTheme="minorHAnsi" w:hAnsiTheme="minorHAnsi" w:cstheme="minorHAnsi"/>
              </w:rPr>
              <w:t>tatements and systems and processes are in place for inclusion of the statements in the annual report</w:t>
            </w:r>
            <w:r w:rsidR="00635441">
              <w:rPr>
                <w:rFonts w:asciiTheme="minorHAnsi" w:hAnsiTheme="minorHAnsi" w:cstheme="minorHAnsi"/>
              </w:rPr>
              <w:t>;</w:t>
            </w:r>
            <w:r w:rsidR="00901B79">
              <w:rPr>
                <w:rFonts w:asciiTheme="minorHAnsi" w:hAnsiTheme="minorHAnsi" w:cstheme="minorHAnsi"/>
              </w:rPr>
              <w:t xml:space="preserve"> and</w:t>
            </w:r>
          </w:p>
          <w:p w14:paraId="4B20081D" w14:textId="6540D917" w:rsidR="00FB116A" w:rsidRDefault="00901B79" w:rsidP="00B00376">
            <w:pPr>
              <w:pStyle w:val="Dash"/>
              <w:numPr>
                <w:ilvl w:val="1"/>
                <w:numId w:val="2"/>
              </w:numPr>
              <w:spacing w:before="0" w:after="0"/>
              <w:rPr>
                <w:rFonts w:asciiTheme="minorHAnsi" w:hAnsiTheme="minorHAnsi" w:cstheme="minorHAnsi"/>
              </w:rPr>
            </w:pPr>
            <w:r w:rsidRPr="00901B79">
              <w:rPr>
                <w:rFonts w:asciiTheme="minorHAnsi" w:hAnsiTheme="minorHAnsi" w:cstheme="minorHAnsi"/>
              </w:rPr>
              <w:t>action being taken in response to any issues raised by the external auditor is appropriate</w:t>
            </w:r>
            <w:r>
              <w:rPr>
                <w:rFonts w:asciiTheme="minorHAnsi" w:hAnsiTheme="minorHAnsi" w:cstheme="minorHAnsi"/>
              </w:rPr>
              <w:t>.</w:t>
            </w:r>
          </w:p>
          <w:p w14:paraId="47235CC7" w14:textId="2964F230" w:rsidR="00B00376" w:rsidRDefault="00B00376" w:rsidP="00B00376">
            <w:pPr>
              <w:pStyle w:val="Bullet"/>
              <w:numPr>
                <w:ilvl w:val="0"/>
                <w:numId w:val="3"/>
              </w:numPr>
              <w:spacing w:before="0" w:after="0"/>
              <w:rPr>
                <w:rFonts w:asciiTheme="minorHAnsi" w:hAnsiTheme="minorHAnsi" w:cstheme="minorHAnsi"/>
              </w:rPr>
            </w:pPr>
            <w:r>
              <w:rPr>
                <w:rFonts w:asciiTheme="minorHAnsi" w:hAnsiTheme="minorHAnsi" w:cstheme="minorHAnsi"/>
              </w:rPr>
              <w:t xml:space="preserve">Annual Performance Statements and performance </w:t>
            </w:r>
            <w:proofErr w:type="gramStart"/>
            <w:r>
              <w:rPr>
                <w:rFonts w:asciiTheme="minorHAnsi" w:hAnsiTheme="minorHAnsi" w:cstheme="minorHAnsi"/>
              </w:rPr>
              <w:t>reporting as a whole, with</w:t>
            </w:r>
            <w:proofErr w:type="gramEnd"/>
            <w:r>
              <w:rPr>
                <w:rFonts w:asciiTheme="minorHAnsi" w:hAnsiTheme="minorHAnsi" w:cstheme="minorHAnsi"/>
              </w:rPr>
              <w:t xml:space="preserve"> reference to any specific areas of concern or suggestions for improvement.</w:t>
            </w:r>
          </w:p>
          <w:p w14:paraId="246E0BC0" w14:textId="77777777" w:rsidR="00ED58D6" w:rsidRDefault="00ED58D6" w:rsidP="00ED58D6">
            <w:pPr>
              <w:spacing w:after="0" w:line="240" w:lineRule="auto"/>
              <w:rPr>
                <w:rFonts w:eastAsia="Times New Roman" w:cstheme="minorHAnsi"/>
                <w:b/>
                <w:lang w:val="en-GB" w:eastAsia="en-AU"/>
              </w:rPr>
            </w:pPr>
          </w:p>
          <w:p w14:paraId="26E42A09" w14:textId="413835A0" w:rsidR="00FB116A" w:rsidRPr="00B53B41" w:rsidRDefault="00FB116A" w:rsidP="00ED58D6">
            <w:pPr>
              <w:spacing w:after="0" w:line="240" w:lineRule="auto"/>
              <w:rPr>
                <w:rFonts w:eastAsia="Times New Roman" w:cstheme="minorHAnsi"/>
                <w:b/>
                <w:lang w:val="en-GB" w:eastAsia="en-AU"/>
              </w:rPr>
            </w:pPr>
            <w:r w:rsidRPr="00B53B41">
              <w:rPr>
                <w:rFonts w:eastAsia="Times New Roman" w:cstheme="minorHAnsi"/>
                <w:b/>
                <w:lang w:val="en-GB" w:eastAsia="en-AU"/>
              </w:rPr>
              <w:t>System of Risk Oversight and Management [PGPA Rule 17(2)(c)]</w:t>
            </w:r>
          </w:p>
          <w:p w14:paraId="1A2D6B85" w14:textId="10DE2457" w:rsidR="00FB116A" w:rsidRDefault="00FB116A" w:rsidP="00ED58D6">
            <w:pPr>
              <w:spacing w:after="0" w:line="240" w:lineRule="auto"/>
              <w:rPr>
                <w:rFonts w:eastAsia="Times New Roman" w:cstheme="minorHAnsi"/>
                <w:lang w:val="en-US" w:eastAsia="en-AU"/>
              </w:rPr>
            </w:pPr>
            <w:r w:rsidRPr="00B53B41">
              <w:rPr>
                <w:rFonts w:eastAsia="Times New Roman" w:cstheme="minorHAnsi"/>
                <w:lang w:val="en-US" w:eastAsia="en-AU"/>
              </w:rPr>
              <w:t>The Committee will review the system of risk oversight and management and provide independent advice to the Secretary on</w:t>
            </w:r>
            <w:r w:rsidR="0079300D">
              <w:rPr>
                <w:rFonts w:eastAsia="Times New Roman" w:cstheme="minorHAnsi"/>
                <w:lang w:val="en-US" w:eastAsia="en-AU"/>
              </w:rPr>
              <w:t xml:space="preserve"> its view</w:t>
            </w:r>
            <w:r w:rsidRPr="00B53B41">
              <w:rPr>
                <w:rFonts w:eastAsia="Times New Roman" w:cstheme="minorHAnsi"/>
                <w:lang w:val="en-US" w:eastAsia="en-AU"/>
              </w:rPr>
              <w:t xml:space="preserve"> </w:t>
            </w:r>
            <w:r w:rsidR="00627B0E">
              <w:rPr>
                <w:rFonts w:eastAsia="Times New Roman" w:cstheme="minorHAnsi"/>
                <w:lang w:val="en-US" w:eastAsia="en-AU"/>
              </w:rPr>
              <w:t xml:space="preserve">of </w:t>
            </w:r>
            <w:r w:rsidRPr="00B53B41">
              <w:rPr>
                <w:rFonts w:eastAsia="Times New Roman" w:cstheme="minorHAnsi"/>
                <w:lang w:val="en-US" w:eastAsia="en-AU"/>
              </w:rPr>
              <w:t>the appropriateness of the department</w:t>
            </w:r>
            <w:r w:rsidR="004005E2">
              <w:rPr>
                <w:rFonts w:eastAsia="Times New Roman" w:cstheme="minorHAnsi"/>
                <w:lang w:val="en-US" w:eastAsia="en-AU"/>
              </w:rPr>
              <w:t>’</w:t>
            </w:r>
            <w:r w:rsidRPr="00B53B41">
              <w:rPr>
                <w:rFonts w:eastAsia="Times New Roman" w:cstheme="minorHAnsi"/>
                <w:lang w:val="en-US" w:eastAsia="en-AU"/>
              </w:rPr>
              <w:t>s:</w:t>
            </w:r>
          </w:p>
          <w:p w14:paraId="40F6715E" w14:textId="77777777" w:rsidR="00ED58D6" w:rsidRPr="00B53B41" w:rsidRDefault="00ED58D6" w:rsidP="00ED58D6">
            <w:pPr>
              <w:spacing w:after="0" w:line="240" w:lineRule="auto"/>
              <w:rPr>
                <w:rFonts w:eastAsia="Times New Roman" w:cstheme="minorHAnsi"/>
                <w:lang w:val="en-US" w:eastAsia="en-AU"/>
              </w:rPr>
            </w:pPr>
          </w:p>
          <w:p w14:paraId="5B829565" w14:textId="77777777" w:rsidR="00FB116A" w:rsidRPr="00B53B41" w:rsidRDefault="00FB116A" w:rsidP="00ED58D6">
            <w:pPr>
              <w:pStyle w:val="Bullet"/>
              <w:numPr>
                <w:ilvl w:val="0"/>
                <w:numId w:val="3"/>
              </w:numPr>
              <w:spacing w:before="0" w:after="0"/>
              <w:rPr>
                <w:rFonts w:asciiTheme="minorHAnsi" w:hAnsiTheme="minorHAnsi" w:cstheme="minorHAnsi"/>
              </w:rPr>
            </w:pPr>
            <w:r w:rsidRPr="00B53B41">
              <w:rPr>
                <w:rFonts w:asciiTheme="minorHAnsi" w:hAnsiTheme="minorHAnsi" w:cstheme="minorHAnsi"/>
              </w:rPr>
              <w:t xml:space="preserve">enterprise risk management policy framework and the necessary internal controls for the identification and management of the Treasury’s key risks, including emerging risks and risks associated with significant projects and program implementation activities, in accordance with the Commonwealth Risk Management </w:t>
            </w:r>
            <w:proofErr w:type="gramStart"/>
            <w:r w:rsidRPr="00B53B41">
              <w:rPr>
                <w:rFonts w:asciiTheme="minorHAnsi" w:hAnsiTheme="minorHAnsi" w:cstheme="minorHAnsi"/>
              </w:rPr>
              <w:t>Policy;</w:t>
            </w:r>
            <w:proofErr w:type="gramEnd"/>
          </w:p>
          <w:p w14:paraId="3BAA39DB" w14:textId="77777777" w:rsidR="00FB116A" w:rsidRPr="00B53B41" w:rsidRDefault="00FB116A" w:rsidP="00ED58D6">
            <w:pPr>
              <w:pStyle w:val="Bullet"/>
              <w:numPr>
                <w:ilvl w:val="0"/>
                <w:numId w:val="3"/>
              </w:numPr>
              <w:spacing w:before="0" w:after="0"/>
              <w:rPr>
                <w:rFonts w:asciiTheme="minorHAnsi" w:hAnsiTheme="minorHAnsi" w:cstheme="minorHAnsi"/>
              </w:rPr>
            </w:pPr>
            <w:r w:rsidRPr="00B53B41">
              <w:rPr>
                <w:rFonts w:asciiTheme="minorHAnsi" w:hAnsiTheme="minorHAnsi" w:cstheme="minorHAnsi"/>
              </w:rPr>
              <w:t xml:space="preserve">risk management capability and whether key roles, responsibilities and authorities relating to risk management are clearly articulated and adhered </w:t>
            </w:r>
            <w:proofErr w:type="gramStart"/>
            <w:r w:rsidRPr="00B53B41">
              <w:rPr>
                <w:rFonts w:asciiTheme="minorHAnsi" w:hAnsiTheme="minorHAnsi" w:cstheme="minorHAnsi"/>
              </w:rPr>
              <w:t>to;</w:t>
            </w:r>
            <w:proofErr w:type="gramEnd"/>
          </w:p>
          <w:p w14:paraId="6651DB3A" w14:textId="77777777" w:rsidR="008757E3" w:rsidRDefault="00FB116A" w:rsidP="00ED58D6">
            <w:pPr>
              <w:pStyle w:val="Bullet"/>
              <w:numPr>
                <w:ilvl w:val="0"/>
                <w:numId w:val="3"/>
              </w:numPr>
              <w:spacing w:before="0" w:after="0"/>
              <w:rPr>
                <w:rFonts w:asciiTheme="minorHAnsi" w:hAnsiTheme="minorHAnsi" w:cstheme="minorHAnsi"/>
              </w:rPr>
            </w:pPr>
            <w:r w:rsidRPr="00B53B41">
              <w:rPr>
                <w:rFonts w:asciiTheme="minorHAnsi" w:hAnsiTheme="minorHAnsi" w:cstheme="minorHAnsi"/>
              </w:rPr>
              <w:t xml:space="preserve">approach for reporting on the management of risks to support the Secretary’s role in oversight of risk </w:t>
            </w:r>
            <w:proofErr w:type="gramStart"/>
            <w:r w:rsidRPr="00B53B41">
              <w:rPr>
                <w:rFonts w:asciiTheme="minorHAnsi" w:hAnsiTheme="minorHAnsi" w:cstheme="minorHAnsi"/>
              </w:rPr>
              <w:t>management;</w:t>
            </w:r>
            <w:proofErr w:type="gramEnd"/>
            <w:r w:rsidRPr="00B53B41">
              <w:rPr>
                <w:rFonts w:asciiTheme="minorHAnsi" w:hAnsiTheme="minorHAnsi" w:cstheme="minorHAnsi"/>
              </w:rPr>
              <w:t xml:space="preserve"> </w:t>
            </w:r>
          </w:p>
          <w:p w14:paraId="0C7A4B32" w14:textId="03D53235" w:rsidR="00FB116A" w:rsidRPr="008757E3" w:rsidRDefault="008757E3" w:rsidP="008757E3">
            <w:pPr>
              <w:pStyle w:val="Bullet"/>
              <w:numPr>
                <w:ilvl w:val="0"/>
                <w:numId w:val="3"/>
              </w:numPr>
              <w:spacing w:before="0" w:after="0"/>
              <w:rPr>
                <w:rFonts w:asciiTheme="minorHAnsi" w:hAnsiTheme="minorHAnsi" w:cstheme="minorHAnsi"/>
              </w:rPr>
            </w:pPr>
            <w:r w:rsidRPr="00B53B41">
              <w:rPr>
                <w:rFonts w:asciiTheme="minorHAnsi" w:hAnsiTheme="minorHAnsi" w:cstheme="minorHAnsi"/>
              </w:rPr>
              <w:t xml:space="preserve">processes for developing and implementing the Treasury’s fraud </w:t>
            </w:r>
            <w:r w:rsidR="0079300D">
              <w:rPr>
                <w:rFonts w:asciiTheme="minorHAnsi" w:hAnsiTheme="minorHAnsi" w:cstheme="minorHAnsi"/>
              </w:rPr>
              <w:t xml:space="preserve">and corruption </w:t>
            </w:r>
            <w:r w:rsidRPr="00B53B41">
              <w:rPr>
                <w:rFonts w:asciiTheme="minorHAnsi" w:hAnsiTheme="minorHAnsi" w:cstheme="minorHAnsi"/>
              </w:rPr>
              <w:t>control arrangements, including detecting, capturing and responding to fraud</w:t>
            </w:r>
            <w:r w:rsidR="0079300D">
              <w:rPr>
                <w:rFonts w:asciiTheme="minorHAnsi" w:hAnsiTheme="minorHAnsi" w:cstheme="minorHAnsi"/>
              </w:rPr>
              <w:t xml:space="preserve"> and corruption</w:t>
            </w:r>
            <w:r w:rsidRPr="00B53B41">
              <w:rPr>
                <w:rFonts w:asciiTheme="minorHAnsi" w:hAnsiTheme="minorHAnsi" w:cstheme="minorHAnsi"/>
              </w:rPr>
              <w:t xml:space="preserve"> risk, in accordance with the Commonwealth Fraud Control </w:t>
            </w:r>
            <w:proofErr w:type="gramStart"/>
            <w:r w:rsidRPr="00B53B41">
              <w:rPr>
                <w:rFonts w:asciiTheme="minorHAnsi" w:hAnsiTheme="minorHAnsi" w:cstheme="minorHAnsi"/>
              </w:rPr>
              <w:t>Framework;</w:t>
            </w:r>
            <w:proofErr w:type="gramEnd"/>
            <w:r w:rsidRPr="00B53B41">
              <w:rPr>
                <w:rFonts w:asciiTheme="minorHAnsi" w:hAnsiTheme="minorHAnsi" w:cstheme="minorHAnsi"/>
              </w:rPr>
              <w:t xml:space="preserve"> </w:t>
            </w:r>
          </w:p>
          <w:p w14:paraId="4AA37F53" w14:textId="15722D82" w:rsidR="00FB116A" w:rsidRDefault="00FB116A" w:rsidP="00ED58D6">
            <w:pPr>
              <w:pStyle w:val="Bullet"/>
              <w:numPr>
                <w:ilvl w:val="0"/>
                <w:numId w:val="3"/>
              </w:numPr>
              <w:spacing w:before="0" w:after="0"/>
              <w:rPr>
                <w:rFonts w:asciiTheme="minorHAnsi" w:hAnsiTheme="minorHAnsi" w:cstheme="minorHAnsi"/>
              </w:rPr>
            </w:pPr>
            <w:r w:rsidRPr="00B53B41">
              <w:rPr>
                <w:rFonts w:asciiTheme="minorHAnsi" w:hAnsiTheme="minorHAnsi" w:cstheme="minorHAnsi"/>
              </w:rPr>
              <w:t>approach to business continuity and disaster recovery management, including its ongoing maintenance and periodic testing</w:t>
            </w:r>
            <w:r w:rsidR="00B00376">
              <w:rPr>
                <w:rFonts w:asciiTheme="minorHAnsi" w:hAnsiTheme="minorHAnsi" w:cstheme="minorHAnsi"/>
              </w:rPr>
              <w:t>; and</w:t>
            </w:r>
          </w:p>
          <w:p w14:paraId="27D77F85" w14:textId="6D9E0D12" w:rsidR="00B00376" w:rsidRDefault="00B00376" w:rsidP="00B00376">
            <w:pPr>
              <w:pStyle w:val="Bullet"/>
              <w:numPr>
                <w:ilvl w:val="0"/>
                <w:numId w:val="3"/>
              </w:numPr>
              <w:spacing w:before="0" w:after="0"/>
              <w:rPr>
                <w:rFonts w:asciiTheme="minorHAnsi" w:hAnsiTheme="minorHAnsi" w:cstheme="minorHAnsi"/>
              </w:rPr>
            </w:pPr>
            <w:r>
              <w:rPr>
                <w:rFonts w:asciiTheme="minorHAnsi" w:hAnsiTheme="minorHAnsi" w:cstheme="minorHAnsi"/>
              </w:rPr>
              <w:t xml:space="preserve">systems for risk oversight and risk </w:t>
            </w:r>
            <w:proofErr w:type="gramStart"/>
            <w:r>
              <w:rPr>
                <w:rFonts w:asciiTheme="minorHAnsi" w:hAnsiTheme="minorHAnsi" w:cstheme="minorHAnsi"/>
              </w:rPr>
              <w:t>management as a whole, with</w:t>
            </w:r>
            <w:proofErr w:type="gramEnd"/>
            <w:r>
              <w:rPr>
                <w:rFonts w:asciiTheme="minorHAnsi" w:hAnsiTheme="minorHAnsi" w:cstheme="minorHAnsi"/>
              </w:rPr>
              <w:t xml:space="preserve"> reference to the </w:t>
            </w:r>
            <w:r w:rsidRPr="00B53B41">
              <w:rPr>
                <w:rFonts w:asciiTheme="minorHAnsi" w:hAnsiTheme="minorHAnsi" w:cstheme="minorHAnsi"/>
              </w:rPr>
              <w:t>Commonwealth Risk Management Policy</w:t>
            </w:r>
            <w:r>
              <w:rPr>
                <w:rFonts w:asciiTheme="minorHAnsi" w:hAnsiTheme="minorHAnsi" w:cstheme="minorHAnsi"/>
              </w:rPr>
              <w:t xml:space="preserve"> </w:t>
            </w:r>
            <w:r w:rsidR="00901B79">
              <w:rPr>
                <w:rFonts w:asciiTheme="minorHAnsi" w:hAnsiTheme="minorHAnsi" w:cstheme="minorHAnsi"/>
              </w:rPr>
              <w:t xml:space="preserve">and </w:t>
            </w:r>
            <w:r>
              <w:rPr>
                <w:rFonts w:asciiTheme="minorHAnsi" w:hAnsiTheme="minorHAnsi" w:cstheme="minorHAnsi"/>
              </w:rPr>
              <w:t>any specific areas of concern or suggestions for improvement.</w:t>
            </w:r>
          </w:p>
          <w:p w14:paraId="31317D42" w14:textId="77777777" w:rsidR="00ED58D6" w:rsidRDefault="00ED58D6" w:rsidP="00ED58D6">
            <w:pPr>
              <w:spacing w:after="0" w:line="240" w:lineRule="auto"/>
              <w:rPr>
                <w:rFonts w:eastAsia="Times New Roman" w:cstheme="minorHAnsi"/>
                <w:b/>
                <w:lang w:val="en-GB" w:eastAsia="en-AU"/>
              </w:rPr>
            </w:pPr>
          </w:p>
          <w:p w14:paraId="7D587BE6" w14:textId="2CC58950" w:rsidR="00FB116A" w:rsidRPr="00B53B41" w:rsidRDefault="00FB116A" w:rsidP="00ED58D6">
            <w:pPr>
              <w:spacing w:after="0" w:line="240" w:lineRule="auto"/>
              <w:rPr>
                <w:rFonts w:eastAsia="Times New Roman" w:cstheme="minorHAnsi"/>
                <w:b/>
                <w:lang w:val="en-GB" w:eastAsia="en-AU"/>
              </w:rPr>
            </w:pPr>
            <w:r w:rsidRPr="00B53B41">
              <w:rPr>
                <w:rFonts w:eastAsia="Times New Roman" w:cstheme="minorHAnsi"/>
                <w:b/>
                <w:lang w:val="en-GB" w:eastAsia="en-AU"/>
              </w:rPr>
              <w:t>System of Internal Control [PGPA Rule 17(2)(d)]</w:t>
            </w:r>
          </w:p>
          <w:p w14:paraId="46962436" w14:textId="35C9EAB7" w:rsidR="00FB116A" w:rsidRDefault="00FB116A" w:rsidP="00ED58D6">
            <w:pPr>
              <w:spacing w:after="0" w:line="240" w:lineRule="auto"/>
              <w:rPr>
                <w:rFonts w:eastAsia="Times New Roman" w:cstheme="minorHAnsi"/>
                <w:lang w:eastAsia="en-AU"/>
              </w:rPr>
            </w:pPr>
            <w:r w:rsidRPr="00B53B41">
              <w:rPr>
                <w:rFonts w:eastAsia="Times New Roman" w:cstheme="minorHAnsi"/>
                <w:lang w:eastAsia="en-AU"/>
              </w:rPr>
              <w:t xml:space="preserve">The Committee will review the internal control framework and provide independent advice to the Secretary on </w:t>
            </w:r>
            <w:r w:rsidR="0079300D">
              <w:rPr>
                <w:rFonts w:eastAsia="Times New Roman" w:cstheme="minorHAnsi"/>
                <w:lang w:eastAsia="en-AU"/>
              </w:rPr>
              <w:t xml:space="preserve">its view </w:t>
            </w:r>
            <w:r w:rsidR="00627B0E">
              <w:rPr>
                <w:rFonts w:eastAsia="Times New Roman" w:cstheme="minorHAnsi"/>
                <w:lang w:eastAsia="en-AU"/>
              </w:rPr>
              <w:t xml:space="preserve">of </w:t>
            </w:r>
            <w:r w:rsidRPr="00B53B41">
              <w:rPr>
                <w:rFonts w:eastAsia="Times New Roman" w:cstheme="minorHAnsi"/>
                <w:lang w:eastAsia="en-AU"/>
              </w:rPr>
              <w:t>the appropriateness of the department</w:t>
            </w:r>
            <w:r w:rsidR="00D3329B">
              <w:rPr>
                <w:rFonts w:eastAsia="Times New Roman" w:cstheme="minorHAnsi"/>
                <w:lang w:eastAsia="en-AU"/>
              </w:rPr>
              <w:t>’</w:t>
            </w:r>
            <w:r w:rsidRPr="00B53B41">
              <w:rPr>
                <w:rFonts w:eastAsia="Times New Roman" w:cstheme="minorHAnsi"/>
                <w:lang w:eastAsia="en-AU"/>
              </w:rPr>
              <w:t>s:</w:t>
            </w:r>
          </w:p>
          <w:p w14:paraId="3732F2A2" w14:textId="77777777" w:rsidR="00ED58D6" w:rsidRPr="00B53B41" w:rsidRDefault="00ED58D6" w:rsidP="00ED58D6">
            <w:pPr>
              <w:spacing w:after="0" w:line="240" w:lineRule="auto"/>
              <w:rPr>
                <w:rFonts w:eastAsia="Times New Roman" w:cstheme="minorHAnsi"/>
                <w:lang w:eastAsia="en-AU"/>
              </w:rPr>
            </w:pPr>
          </w:p>
          <w:p w14:paraId="08F7F6A0" w14:textId="44FED677" w:rsidR="00FB116A" w:rsidRDefault="00FB116A" w:rsidP="00ED58D6">
            <w:pPr>
              <w:pStyle w:val="Bullet"/>
              <w:numPr>
                <w:ilvl w:val="0"/>
                <w:numId w:val="3"/>
              </w:numPr>
              <w:spacing w:before="0" w:after="0"/>
              <w:rPr>
                <w:rFonts w:asciiTheme="minorHAnsi" w:hAnsiTheme="minorHAnsi" w:cstheme="minorHAnsi"/>
              </w:rPr>
            </w:pPr>
            <w:r w:rsidRPr="00B53B41">
              <w:rPr>
                <w:rFonts w:asciiTheme="minorHAnsi" w:hAnsiTheme="minorHAnsi" w:cstheme="minorHAnsi"/>
              </w:rPr>
              <w:t xml:space="preserve">approach to maintaining an effective internal control </w:t>
            </w:r>
            <w:proofErr w:type="gramStart"/>
            <w:r w:rsidRPr="00B53B41">
              <w:rPr>
                <w:rFonts w:asciiTheme="minorHAnsi" w:hAnsiTheme="minorHAnsi" w:cstheme="minorHAnsi"/>
              </w:rPr>
              <w:t>framework;</w:t>
            </w:r>
            <w:proofErr w:type="gramEnd"/>
            <w:r w:rsidRPr="00B53B41">
              <w:rPr>
                <w:rFonts w:asciiTheme="minorHAnsi" w:hAnsiTheme="minorHAnsi" w:cstheme="minorHAnsi"/>
              </w:rPr>
              <w:t xml:space="preserve">  </w:t>
            </w:r>
          </w:p>
          <w:p w14:paraId="7F766559" w14:textId="072AC85E" w:rsidR="00F37869" w:rsidRPr="00B53B41" w:rsidRDefault="00F37869" w:rsidP="00ED58D6">
            <w:pPr>
              <w:pStyle w:val="Bullet"/>
              <w:numPr>
                <w:ilvl w:val="0"/>
                <w:numId w:val="3"/>
              </w:numPr>
              <w:spacing w:before="0" w:after="0"/>
              <w:rPr>
                <w:rFonts w:asciiTheme="minorHAnsi" w:hAnsiTheme="minorHAnsi" w:cstheme="minorHAnsi"/>
              </w:rPr>
            </w:pPr>
            <w:r w:rsidRPr="00F37869">
              <w:rPr>
                <w:rFonts w:asciiTheme="minorHAnsi" w:hAnsiTheme="minorHAnsi" w:cstheme="minorHAnsi"/>
              </w:rPr>
              <w:t xml:space="preserve">processes for ensuring relevant policies and procedures - such as accountable authority instructions, delegations and other key policies - are reviewed regularly and kept up to </w:t>
            </w:r>
            <w:proofErr w:type="gramStart"/>
            <w:r w:rsidRPr="00F37869">
              <w:rPr>
                <w:rFonts w:asciiTheme="minorHAnsi" w:hAnsiTheme="minorHAnsi" w:cstheme="minorHAnsi"/>
              </w:rPr>
              <w:t>date;</w:t>
            </w:r>
            <w:proofErr w:type="gramEnd"/>
          </w:p>
          <w:p w14:paraId="2BBD04C9" w14:textId="438872C5" w:rsidR="00FB116A" w:rsidRPr="00B53B41" w:rsidRDefault="00FB116A" w:rsidP="00ED58D6">
            <w:pPr>
              <w:pStyle w:val="Bullet"/>
              <w:numPr>
                <w:ilvl w:val="0"/>
                <w:numId w:val="3"/>
              </w:numPr>
              <w:spacing w:before="0" w:after="0"/>
              <w:rPr>
                <w:rFonts w:asciiTheme="minorHAnsi" w:hAnsiTheme="minorHAnsi" w:cstheme="minorHAnsi"/>
              </w:rPr>
            </w:pPr>
            <w:r w:rsidRPr="00B53B41">
              <w:rPr>
                <w:rFonts w:asciiTheme="minorHAnsi" w:hAnsiTheme="minorHAnsi" w:cstheme="minorHAnsi"/>
              </w:rPr>
              <w:t xml:space="preserve">approach to implementing controls and systems to ensure compliance with, as well as monitoring compliance performance in relation to, significant and enabling legislation, regulations and Government policies, such as the </w:t>
            </w:r>
            <w:r w:rsidRPr="001C2B32">
              <w:rPr>
                <w:rFonts w:asciiTheme="minorHAnsi" w:hAnsiTheme="minorHAnsi" w:cstheme="minorHAnsi"/>
                <w:i/>
                <w:iCs/>
              </w:rPr>
              <w:t>Work Health and Safety Act 2011</w:t>
            </w:r>
            <w:r w:rsidRPr="00B53B41">
              <w:rPr>
                <w:rFonts w:asciiTheme="minorHAnsi" w:hAnsiTheme="minorHAnsi" w:cstheme="minorHAnsi"/>
              </w:rPr>
              <w:t xml:space="preserve">, </w:t>
            </w:r>
            <w:r w:rsidRPr="001C2B32">
              <w:rPr>
                <w:rFonts w:asciiTheme="minorHAnsi" w:hAnsiTheme="minorHAnsi" w:cstheme="minorHAnsi"/>
                <w:i/>
                <w:iCs/>
              </w:rPr>
              <w:t>Privacy Act 1988</w:t>
            </w:r>
            <w:r w:rsidRPr="00B53B41">
              <w:rPr>
                <w:rFonts w:asciiTheme="minorHAnsi" w:hAnsiTheme="minorHAnsi" w:cstheme="minorHAnsi"/>
              </w:rPr>
              <w:t xml:space="preserve">, </w:t>
            </w:r>
            <w:r w:rsidRPr="001C2B32">
              <w:rPr>
                <w:rFonts w:asciiTheme="minorHAnsi" w:hAnsiTheme="minorHAnsi" w:cstheme="minorHAnsi"/>
                <w:i/>
                <w:iCs/>
              </w:rPr>
              <w:t>Freedom of Information Act 1982</w:t>
            </w:r>
            <w:r w:rsidRPr="00B53B41">
              <w:rPr>
                <w:rFonts w:asciiTheme="minorHAnsi" w:hAnsiTheme="minorHAnsi" w:cstheme="minorHAnsi"/>
              </w:rPr>
              <w:t xml:space="preserve">, Protective Security Policy Framework, the finance law </w:t>
            </w:r>
            <w:r w:rsidR="0009115F">
              <w:rPr>
                <w:rFonts w:asciiTheme="minorHAnsi" w:hAnsiTheme="minorHAnsi" w:cstheme="minorHAnsi"/>
              </w:rPr>
              <w:t xml:space="preserve">(including the PGPA Act) </w:t>
            </w:r>
            <w:r w:rsidRPr="00B53B41">
              <w:rPr>
                <w:rFonts w:asciiTheme="minorHAnsi" w:hAnsiTheme="minorHAnsi" w:cstheme="minorHAnsi"/>
              </w:rPr>
              <w:t xml:space="preserve">and Commonwealth Fraud Control </w:t>
            </w:r>
            <w:proofErr w:type="gramStart"/>
            <w:r w:rsidRPr="00B53B41">
              <w:rPr>
                <w:rFonts w:asciiTheme="minorHAnsi" w:hAnsiTheme="minorHAnsi" w:cstheme="minorHAnsi"/>
              </w:rPr>
              <w:t>Framework;</w:t>
            </w:r>
            <w:proofErr w:type="gramEnd"/>
          </w:p>
          <w:p w14:paraId="5C4F593E" w14:textId="13931BAC" w:rsidR="00526A34" w:rsidRDefault="00FB116A" w:rsidP="00ED58D6">
            <w:pPr>
              <w:pStyle w:val="Bullet"/>
              <w:numPr>
                <w:ilvl w:val="0"/>
                <w:numId w:val="3"/>
              </w:numPr>
              <w:spacing w:before="0" w:after="0"/>
              <w:rPr>
                <w:rFonts w:asciiTheme="minorHAnsi" w:hAnsiTheme="minorHAnsi" w:cstheme="minorHAnsi"/>
              </w:rPr>
            </w:pPr>
            <w:r w:rsidRPr="00B53B41">
              <w:rPr>
                <w:rFonts w:asciiTheme="minorHAnsi" w:hAnsiTheme="minorHAnsi" w:cstheme="minorHAnsi"/>
              </w:rPr>
              <w:t xml:space="preserve">consideration of legislative compliance risks within the internal control framework, fraud control framework and </w:t>
            </w:r>
            <w:proofErr w:type="gramStart"/>
            <w:r w:rsidRPr="00B53B41">
              <w:rPr>
                <w:rFonts w:asciiTheme="minorHAnsi" w:hAnsiTheme="minorHAnsi" w:cstheme="minorHAnsi"/>
              </w:rPr>
              <w:t>planning;</w:t>
            </w:r>
            <w:proofErr w:type="gramEnd"/>
            <w:r w:rsidRPr="00B53B41">
              <w:rPr>
                <w:rFonts w:asciiTheme="minorHAnsi" w:hAnsiTheme="minorHAnsi" w:cstheme="minorHAnsi"/>
              </w:rPr>
              <w:t xml:space="preserve"> </w:t>
            </w:r>
            <w:bookmarkStart w:id="2" w:name="tempbookmark"/>
            <w:bookmarkEnd w:id="2"/>
          </w:p>
          <w:p w14:paraId="63053CE2" w14:textId="47E01B1E" w:rsidR="00F37869" w:rsidRPr="00F37869" w:rsidRDefault="00F37869" w:rsidP="00F37869">
            <w:pPr>
              <w:pStyle w:val="Bullet"/>
              <w:numPr>
                <w:ilvl w:val="0"/>
                <w:numId w:val="3"/>
              </w:numPr>
              <w:spacing w:after="0"/>
              <w:rPr>
                <w:rFonts w:asciiTheme="minorHAnsi" w:hAnsiTheme="minorHAnsi" w:cstheme="minorHAnsi"/>
              </w:rPr>
            </w:pPr>
            <w:r w:rsidRPr="00F37869">
              <w:rPr>
                <w:rFonts w:asciiTheme="minorHAnsi" w:hAnsiTheme="minorHAnsi" w:cstheme="minorHAnsi"/>
              </w:rPr>
              <w:t xml:space="preserve">steps taken to embed a culture that promotes the proper use and management of public resources and is committed to ethical and lawful </w:t>
            </w:r>
            <w:proofErr w:type="gramStart"/>
            <w:r w:rsidRPr="00F37869">
              <w:rPr>
                <w:rFonts w:asciiTheme="minorHAnsi" w:hAnsiTheme="minorHAnsi" w:cstheme="minorHAnsi"/>
              </w:rPr>
              <w:t>conduct;</w:t>
            </w:r>
            <w:proofErr w:type="gramEnd"/>
          </w:p>
          <w:p w14:paraId="2EA01EEC" w14:textId="071056EA" w:rsidR="00F37869" w:rsidRPr="00B53B41" w:rsidRDefault="00F37869" w:rsidP="00F37869">
            <w:pPr>
              <w:pStyle w:val="Bullet"/>
              <w:numPr>
                <w:ilvl w:val="0"/>
                <w:numId w:val="3"/>
              </w:numPr>
              <w:spacing w:before="0" w:after="0"/>
              <w:rPr>
                <w:rFonts w:asciiTheme="minorHAnsi" w:hAnsiTheme="minorHAnsi" w:cstheme="minorHAnsi"/>
              </w:rPr>
            </w:pPr>
            <w:r w:rsidRPr="00F37869">
              <w:rPr>
                <w:rFonts w:asciiTheme="minorHAnsi" w:hAnsiTheme="minorHAnsi" w:cstheme="minorHAnsi"/>
              </w:rPr>
              <w:t xml:space="preserve">approach to maintaining an effective internal security system, including complying with the Protective Security Policy Framework, and ICT security </w:t>
            </w:r>
            <w:proofErr w:type="gramStart"/>
            <w:r w:rsidRPr="00F37869">
              <w:rPr>
                <w:rFonts w:asciiTheme="minorHAnsi" w:hAnsiTheme="minorHAnsi" w:cstheme="minorHAnsi"/>
              </w:rPr>
              <w:t>policy;</w:t>
            </w:r>
            <w:proofErr w:type="gramEnd"/>
          </w:p>
          <w:p w14:paraId="6DDDE4A5" w14:textId="77777777" w:rsidR="00D3329B" w:rsidRDefault="00FB116A" w:rsidP="00ED58D6">
            <w:pPr>
              <w:pStyle w:val="Bullet"/>
              <w:numPr>
                <w:ilvl w:val="0"/>
                <w:numId w:val="3"/>
              </w:numPr>
              <w:spacing w:before="0" w:after="0"/>
              <w:rPr>
                <w:rFonts w:asciiTheme="minorHAnsi" w:hAnsiTheme="minorHAnsi" w:cstheme="minorHAnsi"/>
              </w:rPr>
            </w:pPr>
            <w:r w:rsidRPr="00B53B41">
              <w:rPr>
                <w:rFonts w:asciiTheme="minorHAnsi" w:hAnsiTheme="minorHAnsi" w:cstheme="minorHAnsi"/>
              </w:rPr>
              <w:t xml:space="preserve">internal audit planning to ensure coverage and alignment with the Treasury’s key risks, reporting on major concerns identified in internal audit reports, and recommending action on significant matters raised, and dissemination of information on good </w:t>
            </w:r>
            <w:proofErr w:type="gramStart"/>
            <w:r w:rsidRPr="00B53B41">
              <w:rPr>
                <w:rFonts w:asciiTheme="minorHAnsi" w:hAnsiTheme="minorHAnsi" w:cstheme="minorHAnsi"/>
              </w:rPr>
              <w:t>practice</w:t>
            </w:r>
            <w:r w:rsidR="00D3329B">
              <w:rPr>
                <w:rFonts w:asciiTheme="minorHAnsi" w:hAnsiTheme="minorHAnsi" w:cstheme="minorHAnsi"/>
              </w:rPr>
              <w:t>;</w:t>
            </w:r>
            <w:proofErr w:type="gramEnd"/>
            <w:r w:rsidR="00D3329B">
              <w:rPr>
                <w:rFonts w:asciiTheme="minorHAnsi" w:hAnsiTheme="minorHAnsi" w:cstheme="minorHAnsi"/>
              </w:rPr>
              <w:t xml:space="preserve"> </w:t>
            </w:r>
          </w:p>
          <w:p w14:paraId="7744CC9A" w14:textId="7E6398AE" w:rsidR="00FB116A" w:rsidRDefault="00D3329B" w:rsidP="00ED58D6">
            <w:pPr>
              <w:pStyle w:val="Bullet"/>
              <w:numPr>
                <w:ilvl w:val="0"/>
                <w:numId w:val="3"/>
              </w:numPr>
              <w:spacing w:before="0" w:after="0"/>
              <w:rPr>
                <w:rFonts w:asciiTheme="minorHAnsi" w:hAnsiTheme="minorHAnsi" w:cstheme="minorHAnsi"/>
              </w:rPr>
            </w:pPr>
            <w:r>
              <w:rPr>
                <w:rFonts w:asciiTheme="minorHAnsi" w:hAnsiTheme="minorHAnsi" w:cstheme="minorHAnsi"/>
              </w:rPr>
              <w:lastRenderedPageBreak/>
              <w:t xml:space="preserve">processes for monitoring the implementation of external reports and recommendations of relevance to the department; </w:t>
            </w:r>
            <w:r w:rsidR="00F37869">
              <w:rPr>
                <w:rFonts w:asciiTheme="minorHAnsi" w:hAnsiTheme="minorHAnsi" w:cstheme="minorHAnsi"/>
              </w:rPr>
              <w:t>particularly those of Parliamentary Committees and the ANAO</w:t>
            </w:r>
            <w:r w:rsidR="00BB7B8B">
              <w:rPr>
                <w:rFonts w:asciiTheme="minorHAnsi" w:hAnsiTheme="minorHAnsi" w:cstheme="minorHAnsi"/>
              </w:rPr>
              <w:t>;</w:t>
            </w:r>
            <w:r w:rsidR="00F37869">
              <w:rPr>
                <w:rFonts w:asciiTheme="minorHAnsi" w:hAnsiTheme="minorHAnsi" w:cstheme="minorHAnsi"/>
              </w:rPr>
              <w:t xml:space="preserve"> </w:t>
            </w:r>
            <w:r w:rsidR="00635441">
              <w:rPr>
                <w:rFonts w:asciiTheme="minorHAnsi" w:hAnsiTheme="minorHAnsi" w:cstheme="minorHAnsi"/>
              </w:rPr>
              <w:t>and</w:t>
            </w:r>
          </w:p>
          <w:p w14:paraId="6468A502" w14:textId="7D53792C" w:rsidR="00ED58D6" w:rsidRPr="00AA4F90" w:rsidRDefault="00D3329B" w:rsidP="009675C7">
            <w:pPr>
              <w:pStyle w:val="Bullet"/>
              <w:numPr>
                <w:ilvl w:val="0"/>
                <w:numId w:val="3"/>
              </w:numPr>
              <w:spacing w:before="0" w:after="0"/>
              <w:rPr>
                <w:rFonts w:asciiTheme="minorHAnsi" w:hAnsiTheme="minorHAnsi" w:cstheme="minorHAnsi"/>
              </w:rPr>
            </w:pPr>
            <w:r>
              <w:rPr>
                <w:rFonts w:asciiTheme="minorHAnsi" w:hAnsiTheme="minorHAnsi" w:cstheme="minorHAnsi"/>
              </w:rPr>
              <w:t>systems for internal control, with reference to any specific areas of concern or suggestions for improvement.</w:t>
            </w:r>
          </w:p>
        </w:tc>
      </w:tr>
    </w:tbl>
    <w:p w14:paraId="119D3649" w14:textId="77777777" w:rsidR="009675C7" w:rsidRDefault="009675C7" w:rsidP="00623E13">
      <w:pPr>
        <w:spacing w:after="0" w:line="259" w:lineRule="auto"/>
      </w:pPr>
    </w:p>
    <w:tbl>
      <w:tblPr>
        <w:tblStyle w:val="TableGrid"/>
        <w:tblW w:w="10206"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06"/>
      </w:tblGrid>
      <w:tr w:rsidR="00526A34" w:rsidRPr="00B53B41" w14:paraId="25F075D1" w14:textId="77777777" w:rsidTr="004A3F8B">
        <w:tc>
          <w:tcPr>
            <w:tcW w:w="10206" w:type="dxa"/>
            <w:shd w:val="clear" w:color="auto" w:fill="E7E6E6" w:themeFill="background2"/>
          </w:tcPr>
          <w:p w14:paraId="1F0535DF" w14:textId="238A1AF9" w:rsidR="00526A34" w:rsidRPr="00B53B41" w:rsidRDefault="00526A34" w:rsidP="00B53B41">
            <w:pPr>
              <w:spacing w:after="0" w:line="240" w:lineRule="auto"/>
            </w:pPr>
            <w:r w:rsidRPr="00B53B41">
              <w:rPr>
                <w:rFonts w:eastAsia="Times New Roman" w:cstheme="minorHAnsi"/>
                <w:b/>
                <w:lang w:eastAsia="en-AU"/>
              </w:rPr>
              <w:t>Additional Responsibilities</w:t>
            </w:r>
          </w:p>
        </w:tc>
      </w:tr>
      <w:tr w:rsidR="00526A34" w:rsidRPr="00B53B41" w14:paraId="23491270" w14:textId="77777777" w:rsidTr="004A3F8B">
        <w:tc>
          <w:tcPr>
            <w:tcW w:w="10206" w:type="dxa"/>
          </w:tcPr>
          <w:p w14:paraId="4DFC93A8" w14:textId="77777777" w:rsidR="00526A34" w:rsidRPr="00B53B41" w:rsidRDefault="00526A34" w:rsidP="00AB70C1">
            <w:pPr>
              <w:pStyle w:val="Bullet"/>
              <w:numPr>
                <w:ilvl w:val="0"/>
                <w:numId w:val="0"/>
              </w:numPr>
              <w:ind w:left="22" w:hanging="22"/>
              <w:rPr>
                <w:rFonts w:asciiTheme="minorHAnsi" w:hAnsiTheme="minorHAnsi" w:cstheme="minorHAnsi"/>
                <w:lang w:val="en-US"/>
              </w:rPr>
            </w:pPr>
            <w:r w:rsidRPr="00B53B41">
              <w:rPr>
                <w:rFonts w:asciiTheme="minorHAnsi" w:hAnsiTheme="minorHAnsi" w:cstheme="minorHAnsi"/>
                <w:lang w:val="en-US"/>
              </w:rPr>
              <w:t>The Secretary requires the Committee to undertake the following additional functions beyond those prescribed by the PGPA Rule.</w:t>
            </w:r>
          </w:p>
          <w:p w14:paraId="12A0CB0D" w14:textId="77777777" w:rsidR="00AB70C1" w:rsidRPr="00B53B41" w:rsidRDefault="00AB70C1" w:rsidP="00AB70C1">
            <w:pPr>
              <w:pStyle w:val="Bullet"/>
              <w:numPr>
                <w:ilvl w:val="0"/>
                <w:numId w:val="0"/>
              </w:numPr>
              <w:rPr>
                <w:rFonts w:asciiTheme="minorHAnsi" w:hAnsiTheme="minorHAnsi" w:cstheme="minorHAnsi"/>
                <w:lang w:val="en-US"/>
              </w:rPr>
            </w:pPr>
          </w:p>
          <w:p w14:paraId="7DAD5633" w14:textId="68403989" w:rsidR="00526A34" w:rsidRPr="00B53B41" w:rsidRDefault="00526A34" w:rsidP="00AB70C1">
            <w:pPr>
              <w:pStyle w:val="Bullet"/>
              <w:numPr>
                <w:ilvl w:val="0"/>
                <w:numId w:val="0"/>
              </w:numPr>
              <w:rPr>
                <w:rFonts w:asciiTheme="minorHAnsi" w:hAnsiTheme="minorHAnsi" w:cstheme="minorHAnsi"/>
                <w:lang w:val="en-US"/>
              </w:rPr>
            </w:pPr>
            <w:r w:rsidRPr="00B53B41">
              <w:rPr>
                <w:rFonts w:asciiTheme="minorHAnsi" w:hAnsiTheme="minorHAnsi" w:cstheme="minorHAnsi"/>
                <w:b/>
                <w:lang w:val="en-US"/>
              </w:rPr>
              <w:t>Internal Audit</w:t>
            </w:r>
          </w:p>
          <w:p w14:paraId="7DD0CC8C" w14:textId="77777777" w:rsidR="00526A34" w:rsidRPr="00B53B41" w:rsidRDefault="00526A34" w:rsidP="00AB70C1">
            <w:pPr>
              <w:pStyle w:val="Bullet"/>
              <w:numPr>
                <w:ilvl w:val="0"/>
                <w:numId w:val="3"/>
              </w:numPr>
              <w:rPr>
                <w:rFonts w:asciiTheme="minorHAnsi" w:hAnsiTheme="minorHAnsi" w:cstheme="minorHAnsi"/>
              </w:rPr>
            </w:pPr>
            <w:r w:rsidRPr="00B53B41">
              <w:rPr>
                <w:rFonts w:asciiTheme="minorHAnsi" w:hAnsiTheme="minorHAnsi" w:cstheme="minorHAnsi"/>
              </w:rPr>
              <w:t>Monitor management’s implementation of internal audit recommendations and report the results to the Secretary.</w:t>
            </w:r>
          </w:p>
          <w:p w14:paraId="4E4417F6" w14:textId="77777777" w:rsidR="00526A34" w:rsidRPr="00B53B41" w:rsidRDefault="00526A34" w:rsidP="00AB70C1">
            <w:pPr>
              <w:pStyle w:val="Bullet"/>
              <w:numPr>
                <w:ilvl w:val="0"/>
                <w:numId w:val="3"/>
              </w:numPr>
              <w:rPr>
                <w:rFonts w:asciiTheme="minorHAnsi" w:hAnsiTheme="minorHAnsi" w:cstheme="minorHAnsi"/>
              </w:rPr>
            </w:pPr>
            <w:r w:rsidRPr="00B53B41">
              <w:rPr>
                <w:rFonts w:asciiTheme="minorHAnsi" w:hAnsiTheme="minorHAnsi" w:cstheme="minorHAnsi"/>
              </w:rPr>
              <w:t>Periodically review the performance of the internal auditor.</w:t>
            </w:r>
          </w:p>
          <w:p w14:paraId="25581102" w14:textId="625D6E70" w:rsidR="00526A34" w:rsidRPr="00B53B41" w:rsidRDefault="00526A34" w:rsidP="00AB70C1">
            <w:pPr>
              <w:pStyle w:val="Bullet"/>
              <w:numPr>
                <w:ilvl w:val="0"/>
                <w:numId w:val="3"/>
              </w:numPr>
              <w:rPr>
                <w:rFonts w:asciiTheme="minorHAnsi" w:hAnsiTheme="minorHAnsi" w:cstheme="minorHAnsi"/>
              </w:rPr>
            </w:pPr>
            <w:r w:rsidRPr="00B53B41">
              <w:rPr>
                <w:rFonts w:asciiTheme="minorHAnsi" w:hAnsiTheme="minorHAnsi" w:cstheme="minorHAnsi"/>
              </w:rPr>
              <w:t>Review report</w:t>
            </w:r>
            <w:r w:rsidR="00E350CB">
              <w:rPr>
                <w:rFonts w:asciiTheme="minorHAnsi" w:hAnsiTheme="minorHAnsi" w:cstheme="minorHAnsi"/>
              </w:rPr>
              <w:t>s</w:t>
            </w:r>
            <w:r w:rsidRPr="00B53B41">
              <w:rPr>
                <w:rFonts w:asciiTheme="minorHAnsi" w:hAnsiTheme="minorHAnsi" w:cstheme="minorHAnsi"/>
              </w:rPr>
              <w:t xml:space="preserve"> from the internal auditor on the overall state of the Treasury’s internal controls</w:t>
            </w:r>
            <w:r w:rsidR="00E350CB">
              <w:rPr>
                <w:rFonts w:asciiTheme="minorHAnsi" w:hAnsiTheme="minorHAnsi" w:cstheme="minorHAnsi"/>
              </w:rPr>
              <w:t xml:space="preserve"> on an annual basis</w:t>
            </w:r>
            <w:r w:rsidRPr="00B53B41">
              <w:rPr>
                <w:rFonts w:asciiTheme="minorHAnsi" w:hAnsiTheme="minorHAnsi" w:cstheme="minorHAnsi"/>
              </w:rPr>
              <w:t>.</w:t>
            </w:r>
          </w:p>
          <w:p w14:paraId="3E914EFF" w14:textId="77777777" w:rsidR="00526A34" w:rsidRPr="00B53B41" w:rsidRDefault="00526A34" w:rsidP="00AB70C1">
            <w:pPr>
              <w:pStyle w:val="Bullet"/>
              <w:numPr>
                <w:ilvl w:val="0"/>
                <w:numId w:val="3"/>
              </w:numPr>
              <w:rPr>
                <w:rFonts w:asciiTheme="minorHAnsi" w:hAnsiTheme="minorHAnsi" w:cstheme="minorHAnsi"/>
              </w:rPr>
            </w:pPr>
            <w:r w:rsidRPr="00B53B41">
              <w:rPr>
                <w:rFonts w:asciiTheme="minorHAnsi" w:hAnsiTheme="minorHAnsi" w:cstheme="minorHAnsi"/>
              </w:rPr>
              <w:t>Meet privately with the internal auditor at least once per year, if required.</w:t>
            </w:r>
          </w:p>
          <w:p w14:paraId="67905B3C" w14:textId="77777777" w:rsidR="00526A34" w:rsidRPr="00B53B41" w:rsidRDefault="00526A34" w:rsidP="00AB70C1">
            <w:pPr>
              <w:pStyle w:val="Bullet"/>
              <w:numPr>
                <w:ilvl w:val="0"/>
                <w:numId w:val="0"/>
              </w:numPr>
              <w:rPr>
                <w:rFonts w:asciiTheme="minorHAnsi" w:hAnsiTheme="minorHAnsi" w:cstheme="minorHAnsi"/>
                <w:b/>
                <w:lang w:val="en-US"/>
              </w:rPr>
            </w:pPr>
            <w:r w:rsidRPr="00B53B41">
              <w:rPr>
                <w:rFonts w:asciiTheme="minorHAnsi" w:hAnsiTheme="minorHAnsi" w:cstheme="minorHAnsi"/>
                <w:b/>
                <w:lang w:val="en-US"/>
              </w:rPr>
              <w:t>External Audit</w:t>
            </w:r>
          </w:p>
          <w:p w14:paraId="73F0299B" w14:textId="77777777" w:rsidR="00526A34" w:rsidRPr="00B53B41" w:rsidRDefault="00526A34" w:rsidP="00AB70C1">
            <w:pPr>
              <w:pStyle w:val="Bullet"/>
              <w:numPr>
                <w:ilvl w:val="0"/>
                <w:numId w:val="3"/>
              </w:numPr>
              <w:rPr>
                <w:rFonts w:asciiTheme="minorHAnsi" w:hAnsiTheme="minorHAnsi" w:cstheme="minorHAnsi"/>
              </w:rPr>
            </w:pPr>
            <w:r w:rsidRPr="00B53B41">
              <w:rPr>
                <w:rFonts w:asciiTheme="minorHAnsi" w:hAnsiTheme="minorHAnsi" w:cstheme="minorHAnsi"/>
              </w:rPr>
              <w:t>Monitor management’s responses to all external auditor financial statements management letters and performance audit reports, including the implementation of audit recommendations.</w:t>
            </w:r>
          </w:p>
          <w:p w14:paraId="68B063FA" w14:textId="77777777" w:rsidR="00526A34" w:rsidRDefault="00526A34" w:rsidP="00AB70C1">
            <w:pPr>
              <w:pStyle w:val="Bullet"/>
              <w:numPr>
                <w:ilvl w:val="0"/>
                <w:numId w:val="3"/>
              </w:numPr>
              <w:rPr>
                <w:rFonts w:asciiTheme="minorHAnsi" w:hAnsiTheme="minorHAnsi" w:cstheme="minorHAnsi"/>
              </w:rPr>
            </w:pPr>
            <w:r w:rsidRPr="00B53B41">
              <w:rPr>
                <w:rFonts w:asciiTheme="minorHAnsi" w:hAnsiTheme="minorHAnsi" w:cstheme="minorHAnsi"/>
              </w:rPr>
              <w:t>Meet privately with the external auditor at least once per year, if required.</w:t>
            </w:r>
          </w:p>
          <w:p w14:paraId="14E4A98C" w14:textId="37BCFFDC" w:rsidR="00ED58D6" w:rsidRPr="00B53B41" w:rsidRDefault="00ED58D6" w:rsidP="00ED58D6">
            <w:pPr>
              <w:pStyle w:val="Bullet"/>
              <w:numPr>
                <w:ilvl w:val="0"/>
                <w:numId w:val="0"/>
              </w:numPr>
              <w:ind w:left="720"/>
              <w:rPr>
                <w:rFonts w:asciiTheme="minorHAnsi" w:hAnsiTheme="minorHAnsi" w:cstheme="minorHAnsi"/>
              </w:rPr>
            </w:pPr>
          </w:p>
        </w:tc>
      </w:tr>
    </w:tbl>
    <w:p w14:paraId="458B082C" w14:textId="01C5649E" w:rsidR="00526A34" w:rsidRPr="00B53B41" w:rsidRDefault="00526A34" w:rsidP="00B53B41">
      <w:pPr>
        <w:spacing w:after="0" w:line="240" w:lineRule="auto"/>
      </w:pPr>
    </w:p>
    <w:tbl>
      <w:tblPr>
        <w:tblStyle w:val="TableGrid"/>
        <w:tblW w:w="10206"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06"/>
      </w:tblGrid>
      <w:tr w:rsidR="00526A34" w:rsidRPr="00B53B41" w14:paraId="550B08EA" w14:textId="77777777" w:rsidTr="004A3F8B">
        <w:tc>
          <w:tcPr>
            <w:tcW w:w="10206" w:type="dxa"/>
            <w:shd w:val="clear" w:color="auto" w:fill="E7E6E6" w:themeFill="background2"/>
          </w:tcPr>
          <w:p w14:paraId="18216ACD" w14:textId="77777777" w:rsidR="00526A34" w:rsidRPr="00B53B41" w:rsidRDefault="00526A34" w:rsidP="00B53B41">
            <w:pPr>
              <w:spacing w:after="0" w:line="240" w:lineRule="auto"/>
            </w:pPr>
            <w:r w:rsidRPr="00B53B41">
              <w:rPr>
                <w:rFonts w:eastAsia="Times New Roman" w:cstheme="minorHAnsi"/>
                <w:b/>
                <w:lang w:eastAsia="en-AU"/>
              </w:rPr>
              <w:t>Sub-Committees</w:t>
            </w:r>
          </w:p>
        </w:tc>
      </w:tr>
      <w:tr w:rsidR="00526A34" w:rsidRPr="00B53B41" w14:paraId="6D44357C" w14:textId="77777777" w:rsidTr="004A3F8B">
        <w:tc>
          <w:tcPr>
            <w:tcW w:w="10206" w:type="dxa"/>
          </w:tcPr>
          <w:p w14:paraId="2361CA6B" w14:textId="6486B67D" w:rsidR="00526A34" w:rsidRDefault="00526A34" w:rsidP="00ED58D6">
            <w:pPr>
              <w:widowControl w:val="0"/>
              <w:suppressAutoHyphens/>
              <w:autoSpaceDE w:val="0"/>
              <w:autoSpaceDN w:val="0"/>
              <w:adjustRightInd w:val="0"/>
              <w:spacing w:after="0" w:line="240" w:lineRule="auto"/>
              <w:textAlignment w:val="center"/>
            </w:pPr>
            <w:r w:rsidRPr="00E721E3">
              <w:rPr>
                <w:rFonts w:ascii="Calibri" w:eastAsia="MS Mincho" w:hAnsi="Calibri" w:cs="HelveticaNeue-Light"/>
                <w:color w:val="000000"/>
                <w:lang w:val="en-GB" w:eastAsia="ja-JP"/>
              </w:rPr>
              <w:t>The Committee may establish sub-committee</w:t>
            </w:r>
            <w:r w:rsidRPr="00B53B41">
              <w:rPr>
                <w:rFonts w:ascii="Calibri" w:eastAsia="MS Mincho" w:hAnsi="Calibri" w:cs="HelveticaNeue-Light"/>
                <w:color w:val="000000"/>
                <w:lang w:val="en-GB" w:eastAsia="ja-JP"/>
              </w:rPr>
              <w:t xml:space="preserve">s </w:t>
            </w:r>
            <w:r w:rsidRPr="00B53B41">
              <w:t xml:space="preserve">to support the performance of its functions. The establishment of such sub-committees does not change the Committee’s responsibilities under this Charter. </w:t>
            </w:r>
          </w:p>
          <w:p w14:paraId="1F13BCB1" w14:textId="77777777" w:rsidR="00ED58D6" w:rsidRPr="00B53B41" w:rsidRDefault="00ED58D6" w:rsidP="00ED58D6">
            <w:pPr>
              <w:widowControl w:val="0"/>
              <w:suppressAutoHyphens/>
              <w:autoSpaceDE w:val="0"/>
              <w:autoSpaceDN w:val="0"/>
              <w:adjustRightInd w:val="0"/>
              <w:spacing w:after="0" w:line="240" w:lineRule="auto"/>
              <w:textAlignment w:val="center"/>
            </w:pPr>
          </w:p>
          <w:p w14:paraId="0B0AA85A" w14:textId="77777777" w:rsidR="00526A34" w:rsidRDefault="00526A34" w:rsidP="00ED58D6">
            <w:pPr>
              <w:spacing w:after="0" w:line="240" w:lineRule="auto"/>
            </w:pPr>
            <w:r w:rsidRPr="00B53B41">
              <w:t>The responsibilities, membership and reporting arrangements for each sub-committee shall be documented and approved by the Committee.</w:t>
            </w:r>
          </w:p>
          <w:p w14:paraId="799F3F16" w14:textId="533A9FA0" w:rsidR="00ED58D6" w:rsidRPr="00B53B41" w:rsidRDefault="00ED58D6" w:rsidP="00ED58D6">
            <w:pPr>
              <w:spacing w:after="0" w:line="240" w:lineRule="auto"/>
            </w:pPr>
          </w:p>
        </w:tc>
      </w:tr>
    </w:tbl>
    <w:p w14:paraId="0CB1B2B4" w14:textId="12EEB999" w:rsidR="00526A34" w:rsidRPr="00B53B41" w:rsidRDefault="00526A34" w:rsidP="00B53B41">
      <w:pPr>
        <w:spacing w:after="0" w:line="240" w:lineRule="auto"/>
      </w:pPr>
    </w:p>
    <w:tbl>
      <w:tblPr>
        <w:tblStyle w:val="TableGrid"/>
        <w:tblW w:w="10206"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06"/>
      </w:tblGrid>
      <w:tr w:rsidR="00526A34" w:rsidRPr="00B53B41" w14:paraId="0FA773EC" w14:textId="77777777" w:rsidTr="004A3F8B">
        <w:tc>
          <w:tcPr>
            <w:tcW w:w="10206" w:type="dxa"/>
            <w:shd w:val="clear" w:color="auto" w:fill="E7E6E6" w:themeFill="background2"/>
          </w:tcPr>
          <w:p w14:paraId="4674F352" w14:textId="399E5088" w:rsidR="00526A34" w:rsidRPr="00B53B41" w:rsidRDefault="00526A34" w:rsidP="00B53B41">
            <w:pPr>
              <w:spacing w:after="0" w:line="240" w:lineRule="auto"/>
            </w:pPr>
            <w:r w:rsidRPr="00B53B41">
              <w:rPr>
                <w:rFonts w:eastAsia="Times New Roman" w:cstheme="minorHAnsi"/>
                <w:b/>
                <w:lang w:eastAsia="en-AU"/>
              </w:rPr>
              <w:t>Membership</w:t>
            </w:r>
          </w:p>
        </w:tc>
      </w:tr>
      <w:tr w:rsidR="00526A34" w:rsidRPr="00B53B41" w14:paraId="573A6CBA" w14:textId="77777777" w:rsidTr="004A3F8B">
        <w:tc>
          <w:tcPr>
            <w:tcW w:w="10206" w:type="dxa"/>
          </w:tcPr>
          <w:p w14:paraId="284D1973" w14:textId="62CC3954" w:rsidR="003156CD" w:rsidRDefault="00526A34" w:rsidP="00ED58D6">
            <w:pPr>
              <w:pStyle w:val="Body"/>
              <w:spacing w:before="0" w:line="240" w:lineRule="auto"/>
              <w:jc w:val="left"/>
              <w:rPr>
                <w:rFonts w:asciiTheme="minorHAnsi" w:hAnsiTheme="minorHAnsi"/>
                <w:sz w:val="22"/>
                <w:szCs w:val="22"/>
                <w:lang w:val="en-US"/>
              </w:rPr>
            </w:pPr>
            <w:r w:rsidRPr="00B53B41">
              <w:rPr>
                <w:rFonts w:asciiTheme="minorHAnsi" w:hAnsiTheme="minorHAnsi"/>
                <w:sz w:val="22"/>
                <w:szCs w:val="22"/>
                <w:lang w:val="en-AU"/>
              </w:rPr>
              <w:t xml:space="preserve">In accordance with </w:t>
            </w:r>
            <w:r w:rsidRPr="00B53B41">
              <w:rPr>
                <w:rFonts w:asciiTheme="minorHAnsi" w:hAnsiTheme="minorHAnsi"/>
                <w:sz w:val="22"/>
                <w:szCs w:val="22"/>
                <w:lang w:val="en-US"/>
              </w:rPr>
              <w:t xml:space="preserve">Subsection 17(3) and Subsection 17(4) of the PGPA Rule, membership of the Audit </w:t>
            </w:r>
            <w:r w:rsidR="007F6679">
              <w:rPr>
                <w:rFonts w:asciiTheme="minorHAnsi" w:hAnsiTheme="minorHAnsi"/>
                <w:sz w:val="22"/>
                <w:szCs w:val="22"/>
                <w:lang w:val="en-US"/>
              </w:rPr>
              <w:t xml:space="preserve">and Risk </w:t>
            </w:r>
            <w:r w:rsidRPr="00B53B41">
              <w:rPr>
                <w:rFonts w:asciiTheme="minorHAnsi" w:hAnsiTheme="minorHAnsi"/>
                <w:sz w:val="22"/>
                <w:szCs w:val="22"/>
                <w:lang w:val="en-US"/>
              </w:rPr>
              <w:t>Committee must consist of at least three persons who are not officials of the agency; and a majority of the members must be persons who are not officials of any Commonwealth entity.</w:t>
            </w:r>
            <w:r w:rsidR="00D47092">
              <w:rPr>
                <w:rFonts w:asciiTheme="minorHAnsi" w:hAnsiTheme="minorHAnsi"/>
                <w:sz w:val="22"/>
                <w:szCs w:val="22"/>
                <w:lang w:val="en-US"/>
              </w:rPr>
              <w:t xml:space="preserve"> </w:t>
            </w:r>
          </w:p>
          <w:p w14:paraId="24B032A5" w14:textId="77777777" w:rsidR="00ED58D6" w:rsidRDefault="00ED58D6" w:rsidP="00ED58D6">
            <w:pPr>
              <w:pStyle w:val="Body"/>
              <w:spacing w:before="0" w:line="240" w:lineRule="auto"/>
              <w:jc w:val="left"/>
              <w:rPr>
                <w:rFonts w:asciiTheme="minorHAnsi" w:hAnsiTheme="minorHAnsi"/>
                <w:sz w:val="22"/>
                <w:szCs w:val="22"/>
                <w:lang w:val="en-US"/>
              </w:rPr>
            </w:pPr>
          </w:p>
          <w:p w14:paraId="7A9C1FB7" w14:textId="59E3171E" w:rsidR="00526A34" w:rsidRDefault="00740AF4" w:rsidP="00ED58D6">
            <w:pPr>
              <w:pStyle w:val="Body"/>
              <w:spacing w:before="0" w:line="240" w:lineRule="auto"/>
              <w:jc w:val="left"/>
              <w:rPr>
                <w:rFonts w:asciiTheme="minorHAnsi" w:hAnsiTheme="minorHAnsi"/>
                <w:sz w:val="22"/>
                <w:szCs w:val="22"/>
                <w:lang w:val="en-AU"/>
              </w:rPr>
            </w:pPr>
            <w:r>
              <w:rPr>
                <w:rFonts w:asciiTheme="minorHAnsi" w:hAnsiTheme="minorHAnsi"/>
                <w:sz w:val="22"/>
                <w:szCs w:val="22"/>
                <w:lang w:val="en-US"/>
              </w:rPr>
              <w:t>Committee membership is comprised of an</w:t>
            </w:r>
            <w:r>
              <w:rPr>
                <w:rFonts w:asciiTheme="minorHAnsi" w:hAnsiTheme="minorHAnsi"/>
                <w:sz w:val="22"/>
                <w:szCs w:val="22"/>
                <w:lang w:val="en-AU"/>
              </w:rPr>
              <w:t xml:space="preserve"> external member as Chair and two additional external members.  Whilst not members of the Audit </w:t>
            </w:r>
            <w:r w:rsidR="007F6679">
              <w:rPr>
                <w:rFonts w:asciiTheme="minorHAnsi" w:hAnsiTheme="minorHAnsi"/>
                <w:sz w:val="22"/>
                <w:szCs w:val="22"/>
                <w:lang w:val="en-AU"/>
              </w:rPr>
              <w:t xml:space="preserve">and Risk </w:t>
            </w:r>
            <w:r>
              <w:rPr>
                <w:rFonts w:asciiTheme="minorHAnsi" w:hAnsiTheme="minorHAnsi"/>
                <w:sz w:val="22"/>
                <w:szCs w:val="22"/>
                <w:lang w:val="en-AU"/>
              </w:rPr>
              <w:t>Committee, the department will appoint two internal advisers to attend meetings.</w:t>
            </w:r>
          </w:p>
          <w:p w14:paraId="27A59A5A" w14:textId="77777777" w:rsidR="00ED58D6" w:rsidRPr="00B53B41" w:rsidRDefault="00ED58D6" w:rsidP="00ED58D6">
            <w:pPr>
              <w:pStyle w:val="Body"/>
              <w:spacing w:before="0" w:line="240" w:lineRule="auto"/>
              <w:jc w:val="left"/>
              <w:rPr>
                <w:rFonts w:asciiTheme="minorHAnsi" w:hAnsiTheme="minorHAnsi"/>
                <w:sz w:val="22"/>
                <w:szCs w:val="22"/>
                <w:lang w:val="en-US"/>
              </w:rPr>
            </w:pPr>
          </w:p>
          <w:p w14:paraId="5279A185" w14:textId="20476C4C" w:rsidR="00526A34" w:rsidRPr="00B53B41" w:rsidRDefault="00526A34" w:rsidP="00ED58D6">
            <w:pPr>
              <w:pStyle w:val="Body"/>
              <w:spacing w:before="0" w:line="240" w:lineRule="auto"/>
              <w:jc w:val="left"/>
              <w:rPr>
                <w:rFonts w:asciiTheme="minorHAnsi" w:hAnsiTheme="minorHAnsi"/>
                <w:sz w:val="22"/>
                <w:szCs w:val="22"/>
              </w:rPr>
            </w:pPr>
            <w:r w:rsidRPr="00B53B41">
              <w:rPr>
                <w:rFonts w:asciiTheme="minorHAnsi" w:hAnsiTheme="minorHAnsi"/>
                <w:sz w:val="22"/>
                <w:szCs w:val="22"/>
              </w:rPr>
              <w:t>Members of the Committee are expected to understand and observe the legal requirements of the PGPA Act and PGPA Rule. Members are also expected to:</w:t>
            </w:r>
          </w:p>
          <w:p w14:paraId="1F3656D7" w14:textId="77777777" w:rsidR="00526A34" w:rsidRPr="00B53B41" w:rsidRDefault="00526A34" w:rsidP="00590209">
            <w:pPr>
              <w:pStyle w:val="Bullet"/>
              <w:numPr>
                <w:ilvl w:val="0"/>
                <w:numId w:val="3"/>
              </w:numPr>
              <w:tabs>
                <w:tab w:val="num" w:pos="749"/>
              </w:tabs>
              <w:spacing w:before="0" w:after="0"/>
              <w:rPr>
                <w:rFonts w:asciiTheme="minorHAnsi" w:hAnsiTheme="minorHAnsi" w:cstheme="minorHAnsi"/>
              </w:rPr>
            </w:pPr>
            <w:r w:rsidRPr="00B53B41">
              <w:rPr>
                <w:rFonts w:asciiTheme="minorHAnsi" w:hAnsiTheme="minorHAnsi" w:cstheme="minorHAnsi"/>
              </w:rPr>
              <w:t xml:space="preserve">have a good understanding of the Treasury’s functions, objectives and operational </w:t>
            </w:r>
            <w:proofErr w:type="gramStart"/>
            <w:r w:rsidRPr="00B53B41">
              <w:rPr>
                <w:rFonts w:asciiTheme="minorHAnsi" w:hAnsiTheme="minorHAnsi" w:cstheme="minorHAnsi"/>
              </w:rPr>
              <w:t>context;</w:t>
            </w:r>
            <w:proofErr w:type="gramEnd"/>
          </w:p>
          <w:p w14:paraId="02AE42B0" w14:textId="77777777" w:rsidR="00526A34" w:rsidRPr="00B53B41" w:rsidRDefault="00526A34" w:rsidP="00590209">
            <w:pPr>
              <w:pStyle w:val="Bullet"/>
              <w:numPr>
                <w:ilvl w:val="0"/>
                <w:numId w:val="3"/>
              </w:numPr>
              <w:tabs>
                <w:tab w:val="num" w:pos="749"/>
              </w:tabs>
              <w:spacing w:before="0" w:after="0"/>
              <w:rPr>
                <w:rFonts w:asciiTheme="minorHAnsi" w:hAnsiTheme="minorHAnsi" w:cstheme="minorHAnsi"/>
              </w:rPr>
            </w:pPr>
            <w:r w:rsidRPr="00B53B41">
              <w:rPr>
                <w:rFonts w:asciiTheme="minorHAnsi" w:hAnsiTheme="minorHAnsi" w:cstheme="minorHAnsi"/>
              </w:rPr>
              <w:t xml:space="preserve">act in the best interests of the Treasury and the </w:t>
            </w:r>
            <w:proofErr w:type="gramStart"/>
            <w:r w:rsidRPr="00B53B41">
              <w:rPr>
                <w:rFonts w:asciiTheme="minorHAnsi" w:hAnsiTheme="minorHAnsi" w:cstheme="minorHAnsi"/>
              </w:rPr>
              <w:t>Commonwealth;</w:t>
            </w:r>
            <w:proofErr w:type="gramEnd"/>
          </w:p>
          <w:p w14:paraId="7240FF79" w14:textId="77777777" w:rsidR="00526A34" w:rsidRPr="00B53B41" w:rsidRDefault="00526A34" w:rsidP="00590209">
            <w:pPr>
              <w:pStyle w:val="Bullet"/>
              <w:numPr>
                <w:ilvl w:val="0"/>
                <w:numId w:val="3"/>
              </w:numPr>
              <w:tabs>
                <w:tab w:val="num" w:pos="749"/>
              </w:tabs>
              <w:spacing w:before="0" w:after="0"/>
              <w:rPr>
                <w:rFonts w:asciiTheme="minorHAnsi" w:hAnsiTheme="minorHAnsi" w:cstheme="minorHAnsi"/>
              </w:rPr>
            </w:pPr>
            <w:r w:rsidRPr="00B53B41">
              <w:rPr>
                <w:rFonts w:asciiTheme="minorHAnsi" w:hAnsiTheme="minorHAnsi" w:cstheme="minorHAnsi"/>
              </w:rPr>
              <w:t xml:space="preserve">form an independent and objective judgment regarding the advice related to its </w:t>
            </w:r>
            <w:proofErr w:type="gramStart"/>
            <w:r w:rsidRPr="00B53B41">
              <w:rPr>
                <w:rFonts w:asciiTheme="minorHAnsi" w:hAnsiTheme="minorHAnsi" w:cstheme="minorHAnsi"/>
              </w:rPr>
              <w:t>functions;</w:t>
            </w:r>
            <w:proofErr w:type="gramEnd"/>
            <w:r w:rsidRPr="00B53B41">
              <w:rPr>
                <w:rFonts w:asciiTheme="minorHAnsi" w:hAnsiTheme="minorHAnsi" w:cstheme="minorHAnsi"/>
              </w:rPr>
              <w:t xml:space="preserve"> </w:t>
            </w:r>
          </w:p>
          <w:p w14:paraId="4295C53D" w14:textId="77777777" w:rsidR="00526A34" w:rsidRPr="00B53B41" w:rsidRDefault="00526A34" w:rsidP="00590209">
            <w:pPr>
              <w:pStyle w:val="Bullet"/>
              <w:numPr>
                <w:ilvl w:val="0"/>
                <w:numId w:val="3"/>
              </w:numPr>
              <w:tabs>
                <w:tab w:val="num" w:pos="749"/>
              </w:tabs>
              <w:spacing w:before="0" w:after="0"/>
              <w:ind w:left="749" w:hanging="389"/>
              <w:rPr>
                <w:rFonts w:asciiTheme="minorHAnsi" w:hAnsiTheme="minorHAnsi" w:cstheme="minorHAnsi"/>
              </w:rPr>
            </w:pPr>
            <w:r w:rsidRPr="00B53B41">
              <w:rPr>
                <w:rFonts w:asciiTheme="minorHAnsi" w:hAnsiTheme="minorHAnsi" w:cstheme="minorHAnsi"/>
              </w:rPr>
              <w:t>express opinions constructively and openly, raise issues that relate to the Committee’s responsibilities and pursue independent lines of enquiry; and</w:t>
            </w:r>
          </w:p>
          <w:p w14:paraId="06BC7E85" w14:textId="77777777" w:rsidR="00526A34" w:rsidRPr="00B53B41" w:rsidRDefault="00526A34" w:rsidP="00590209">
            <w:pPr>
              <w:pStyle w:val="Bullet"/>
              <w:numPr>
                <w:ilvl w:val="0"/>
                <w:numId w:val="3"/>
              </w:numPr>
              <w:tabs>
                <w:tab w:val="num" w:pos="749"/>
              </w:tabs>
              <w:spacing w:before="0" w:after="0"/>
              <w:rPr>
                <w:rFonts w:asciiTheme="minorHAnsi" w:hAnsiTheme="minorHAnsi" w:cstheme="minorHAnsi"/>
              </w:rPr>
            </w:pPr>
            <w:r w:rsidRPr="00B53B41">
              <w:rPr>
                <w:rFonts w:asciiTheme="minorHAnsi" w:hAnsiTheme="minorHAnsi" w:cstheme="minorHAnsi"/>
              </w:rPr>
              <w:t>contribute the time required to meet their responsibilities.</w:t>
            </w:r>
          </w:p>
          <w:p w14:paraId="38BA034F" w14:textId="77777777" w:rsidR="00ED58D6" w:rsidRDefault="00ED58D6" w:rsidP="00ED58D6">
            <w:pPr>
              <w:pStyle w:val="ListParagraph"/>
              <w:spacing w:after="0" w:line="240" w:lineRule="auto"/>
              <w:ind w:left="22" w:hanging="22"/>
              <w:rPr>
                <w:rFonts w:eastAsia="Times New Roman" w:cstheme="minorHAnsi"/>
              </w:rPr>
            </w:pPr>
          </w:p>
          <w:p w14:paraId="130B260A" w14:textId="7A2D8C4C" w:rsidR="00ED58D6" w:rsidRDefault="00526A34" w:rsidP="00ED58D6">
            <w:pPr>
              <w:pStyle w:val="ListParagraph"/>
              <w:spacing w:after="0" w:line="240" w:lineRule="auto"/>
              <w:ind w:left="22" w:hanging="22"/>
              <w:rPr>
                <w:rFonts w:eastAsia="Times New Roman" w:cstheme="minorHAnsi"/>
              </w:rPr>
            </w:pPr>
            <w:r w:rsidRPr="00B53B41">
              <w:rPr>
                <w:rFonts w:eastAsia="Times New Roman" w:cstheme="minorHAnsi"/>
              </w:rPr>
              <w:t xml:space="preserve">The Secretary, Deputy Secretary </w:t>
            </w:r>
            <w:r w:rsidR="00590209">
              <w:rPr>
                <w:rFonts w:eastAsia="Times New Roman" w:cstheme="minorHAnsi"/>
              </w:rPr>
              <w:t>Small Business, Housing, Corporate and Law</w:t>
            </w:r>
            <w:r w:rsidRPr="00B53B41">
              <w:rPr>
                <w:rFonts w:eastAsia="Times New Roman" w:cstheme="minorHAnsi"/>
              </w:rPr>
              <w:t xml:space="preserve"> Group, Chief Operating Officer, Chief Financial Officer, Chief Information </w:t>
            </w:r>
            <w:r w:rsidR="004A3F8B" w:rsidRPr="00B53B41">
              <w:rPr>
                <w:rFonts w:eastAsia="Times New Roman" w:cstheme="minorHAnsi"/>
              </w:rPr>
              <w:t>Officer,</w:t>
            </w:r>
            <w:r w:rsidRPr="00B53B41">
              <w:rPr>
                <w:rFonts w:eastAsia="Times New Roman" w:cstheme="minorHAnsi"/>
              </w:rPr>
              <w:t xml:space="preserve"> or other management representatives may attend meetings </w:t>
            </w:r>
            <w:r w:rsidRPr="00B53B41">
              <w:rPr>
                <w:rFonts w:eastAsia="Times New Roman" w:cstheme="minorHAnsi"/>
              </w:rPr>
              <w:lastRenderedPageBreak/>
              <w:t>as observers, as determined by the Chair, but will not be members of the Committee. Representatives of the internal auditor and external auditor will be invited to attend meetings of the Committee as observers.</w:t>
            </w:r>
            <w:r w:rsidR="00ED58D6">
              <w:rPr>
                <w:rFonts w:eastAsia="Times New Roman" w:cstheme="minorHAnsi"/>
              </w:rPr>
              <w:t xml:space="preserve"> </w:t>
            </w:r>
            <w:r w:rsidRPr="00B53B41">
              <w:rPr>
                <w:rFonts w:eastAsia="Times New Roman" w:cstheme="minorHAnsi"/>
              </w:rPr>
              <w:t>Members will be appointed for an initial period not exceeding two years. Members may be re-appointed after</w:t>
            </w:r>
            <w:r w:rsidR="00B53B41" w:rsidRPr="00B53B41">
              <w:rPr>
                <w:rFonts w:eastAsia="Times New Roman" w:cstheme="minorHAnsi"/>
              </w:rPr>
              <w:t xml:space="preserve"> </w:t>
            </w:r>
            <w:r w:rsidRPr="00B53B41">
              <w:rPr>
                <w:rFonts w:eastAsia="Times New Roman" w:cstheme="minorHAnsi"/>
              </w:rPr>
              <w:t xml:space="preserve">a review of their performance, for further periods as specified by the Secretary. </w:t>
            </w:r>
          </w:p>
          <w:p w14:paraId="2616E420" w14:textId="26C3E8BB" w:rsidR="00883689" w:rsidRPr="00ED58D6" w:rsidRDefault="00883689" w:rsidP="00ED58D6">
            <w:pPr>
              <w:spacing w:after="0" w:line="240" w:lineRule="auto"/>
              <w:rPr>
                <w:rFonts w:eastAsia="Times New Roman" w:cstheme="minorHAnsi"/>
              </w:rPr>
            </w:pPr>
          </w:p>
        </w:tc>
      </w:tr>
      <w:tr w:rsidR="00B53B41" w14:paraId="4E1D84E2" w14:textId="77777777" w:rsidTr="004A3F8B">
        <w:tc>
          <w:tcPr>
            <w:tcW w:w="10206" w:type="dxa"/>
            <w:shd w:val="clear" w:color="auto" w:fill="E7E6E6" w:themeFill="background2"/>
          </w:tcPr>
          <w:p w14:paraId="12D9F1CA" w14:textId="77052B0E" w:rsidR="00B53B41" w:rsidRDefault="00B53B41" w:rsidP="00B53B41">
            <w:pPr>
              <w:spacing w:after="0" w:line="240" w:lineRule="auto"/>
            </w:pPr>
            <w:r w:rsidRPr="00D7314F">
              <w:rPr>
                <w:rFonts w:eastAsia="Times New Roman" w:cstheme="minorHAnsi"/>
                <w:b/>
                <w:bCs/>
                <w:lang w:eastAsia="en-AU"/>
              </w:rPr>
              <w:lastRenderedPageBreak/>
              <w:t>Conflicts of Interest</w:t>
            </w:r>
          </w:p>
        </w:tc>
      </w:tr>
      <w:tr w:rsidR="00B53B41" w14:paraId="0866B209" w14:textId="77777777" w:rsidTr="004A3F8B">
        <w:tc>
          <w:tcPr>
            <w:tcW w:w="10206" w:type="dxa"/>
          </w:tcPr>
          <w:p w14:paraId="3CD3A1F8" w14:textId="2F910791" w:rsidR="00B53B41" w:rsidRDefault="00B53B41" w:rsidP="00ED58D6">
            <w:pPr>
              <w:pStyle w:val="Body"/>
              <w:spacing w:before="0" w:line="240" w:lineRule="auto"/>
              <w:jc w:val="left"/>
              <w:rPr>
                <w:rFonts w:asciiTheme="minorHAnsi" w:hAnsiTheme="minorHAnsi"/>
                <w:sz w:val="22"/>
                <w:szCs w:val="22"/>
              </w:rPr>
            </w:pPr>
            <w:r w:rsidRPr="003A769D">
              <w:rPr>
                <w:rFonts w:asciiTheme="minorHAnsi" w:hAnsiTheme="minorHAnsi"/>
                <w:sz w:val="22"/>
                <w:szCs w:val="22"/>
              </w:rPr>
              <w:t>On</w:t>
            </w:r>
            <w:r>
              <w:rPr>
                <w:rFonts w:asciiTheme="minorHAnsi" w:hAnsiTheme="minorHAnsi"/>
                <w:sz w:val="22"/>
                <w:szCs w:val="22"/>
              </w:rPr>
              <w:t xml:space="preserve"> </w:t>
            </w:r>
            <w:r w:rsidRPr="00722C2D">
              <w:rPr>
                <w:rFonts w:asciiTheme="minorHAnsi" w:hAnsiTheme="minorHAnsi"/>
                <w:sz w:val="22"/>
                <w:szCs w:val="22"/>
              </w:rPr>
              <w:t>engagement and each year thereafter, members</w:t>
            </w:r>
            <w:r w:rsidRPr="003A769D">
              <w:rPr>
                <w:rFonts w:asciiTheme="minorHAnsi" w:hAnsiTheme="minorHAnsi"/>
                <w:sz w:val="22"/>
                <w:szCs w:val="22"/>
              </w:rPr>
              <w:t xml:space="preserve"> of the Committee and its sub-committee</w:t>
            </w:r>
            <w:r>
              <w:rPr>
                <w:rFonts w:asciiTheme="minorHAnsi" w:hAnsiTheme="minorHAnsi"/>
                <w:sz w:val="22"/>
                <w:szCs w:val="22"/>
              </w:rPr>
              <w:t xml:space="preserve">(s) </w:t>
            </w:r>
            <w:r w:rsidRPr="003A769D">
              <w:rPr>
                <w:rFonts w:asciiTheme="minorHAnsi" w:hAnsiTheme="minorHAnsi"/>
                <w:sz w:val="22"/>
                <w:szCs w:val="22"/>
              </w:rPr>
              <w:t xml:space="preserve">will provide written declarations to the Chair for provision to the Secretary declaring any potential or actual conflicts of interest they may have in relation to their responsibilities. External members should consider past employment, consultancy arrangements and related party issues in making these declarations and the Chair should be satisfied that there are sufficient processes in place to manage any real or perceived conflict. </w:t>
            </w:r>
          </w:p>
          <w:p w14:paraId="71E84B03" w14:textId="77777777" w:rsidR="00ED58D6" w:rsidRPr="003A769D" w:rsidRDefault="00ED58D6" w:rsidP="00ED58D6">
            <w:pPr>
              <w:pStyle w:val="Body"/>
              <w:spacing w:before="0" w:line="240" w:lineRule="auto"/>
              <w:jc w:val="left"/>
              <w:rPr>
                <w:rFonts w:asciiTheme="minorHAnsi" w:hAnsiTheme="minorHAnsi"/>
                <w:sz w:val="22"/>
                <w:szCs w:val="22"/>
              </w:rPr>
            </w:pPr>
          </w:p>
          <w:p w14:paraId="50EE8314" w14:textId="3BA96886" w:rsidR="00B53B41" w:rsidRDefault="00B53B41" w:rsidP="00ED58D6">
            <w:pPr>
              <w:spacing w:after="0" w:line="240" w:lineRule="auto"/>
            </w:pPr>
            <w:r w:rsidRPr="003A769D">
              <w:t>At the beginning of each Committee or sub-committee meeting, members are required to declare any potential or actual conflicts of interest that may apply to specific matters on the meeting agenda. Where</w:t>
            </w:r>
            <w:r>
              <w:t> </w:t>
            </w:r>
            <w:r w:rsidRPr="003A769D">
              <w:t xml:space="preserve">required by the Chair, the member will be excused from the meeting or from the </w:t>
            </w:r>
            <w:r>
              <w:t>C</w:t>
            </w:r>
            <w:r w:rsidRPr="003A769D">
              <w:t xml:space="preserve">ommittee’s consideration of the relevant agenda item(s). Details of potential or actual conflicts of interest declared by members of the Committee and its sub-committee(s) and action taken will be appropriately </w:t>
            </w:r>
            <w:r>
              <w:t>reflected in the minutes</w:t>
            </w:r>
            <w:r w:rsidRPr="003A769D">
              <w:t>.</w:t>
            </w:r>
          </w:p>
          <w:p w14:paraId="5D7FBC46" w14:textId="7792AC72" w:rsidR="00ED58D6" w:rsidRDefault="00ED58D6" w:rsidP="00ED58D6">
            <w:pPr>
              <w:spacing w:after="0" w:line="240" w:lineRule="auto"/>
            </w:pPr>
          </w:p>
        </w:tc>
      </w:tr>
    </w:tbl>
    <w:p w14:paraId="14A1B917" w14:textId="660F6375" w:rsidR="00B53B41" w:rsidRDefault="00B53B41" w:rsidP="00AB70C1">
      <w:pPr>
        <w:spacing w:after="0" w:line="240" w:lineRule="auto"/>
      </w:pPr>
    </w:p>
    <w:tbl>
      <w:tblPr>
        <w:tblStyle w:val="TableGrid"/>
        <w:tblW w:w="10206"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06"/>
      </w:tblGrid>
      <w:tr w:rsidR="00B53B41" w14:paraId="7893B9D0" w14:textId="77777777" w:rsidTr="004A3F8B">
        <w:tc>
          <w:tcPr>
            <w:tcW w:w="10206" w:type="dxa"/>
            <w:shd w:val="clear" w:color="auto" w:fill="E7E6E6" w:themeFill="background2"/>
          </w:tcPr>
          <w:p w14:paraId="4D816886" w14:textId="236FDFE7" w:rsidR="00B53B41" w:rsidRDefault="00B53B41" w:rsidP="00B53B41">
            <w:pPr>
              <w:spacing w:after="0" w:line="240" w:lineRule="auto"/>
            </w:pPr>
            <w:r>
              <w:rPr>
                <w:rFonts w:eastAsia="Times New Roman" w:cstheme="minorHAnsi"/>
                <w:b/>
                <w:lang w:eastAsia="en-AU"/>
              </w:rPr>
              <w:t>Administrative Arrangements</w:t>
            </w:r>
          </w:p>
        </w:tc>
      </w:tr>
      <w:tr w:rsidR="00B53B41" w14:paraId="49E43FA3" w14:textId="77777777" w:rsidTr="004A3F8B">
        <w:tc>
          <w:tcPr>
            <w:tcW w:w="10206" w:type="dxa"/>
          </w:tcPr>
          <w:p w14:paraId="1874EA04" w14:textId="77777777" w:rsidR="00B53B41" w:rsidRPr="003E2772" w:rsidRDefault="00B53B41" w:rsidP="00ED58D6">
            <w:pPr>
              <w:spacing w:after="0" w:line="240" w:lineRule="auto"/>
              <w:rPr>
                <w:rFonts w:eastAsia="Times New Roman" w:cstheme="minorHAnsi"/>
                <w:b/>
                <w:bCs/>
                <w:lang w:val="en-US"/>
              </w:rPr>
            </w:pPr>
            <w:r w:rsidRPr="003E2772">
              <w:rPr>
                <w:rFonts w:eastAsia="Times New Roman" w:cstheme="minorHAnsi"/>
                <w:b/>
                <w:bCs/>
                <w:lang w:val="en-US"/>
              </w:rPr>
              <w:t>Meetings</w:t>
            </w:r>
          </w:p>
          <w:p w14:paraId="58425226" w14:textId="5A782686" w:rsidR="00B53B41" w:rsidRPr="003E2772" w:rsidRDefault="00B53B41" w:rsidP="00ED58D6">
            <w:pPr>
              <w:spacing w:after="0" w:line="240" w:lineRule="auto"/>
              <w:rPr>
                <w:rFonts w:eastAsia="Times New Roman" w:cstheme="minorHAnsi"/>
                <w:bCs/>
                <w:lang w:val="en-GB"/>
              </w:rPr>
            </w:pPr>
            <w:r w:rsidRPr="003E2772">
              <w:rPr>
                <w:rFonts w:eastAsia="Times New Roman" w:cstheme="minorHAnsi"/>
                <w:bCs/>
                <w:lang w:val="en-GB"/>
              </w:rPr>
              <w:t xml:space="preserve">The Committee will </w:t>
            </w:r>
            <w:r w:rsidRPr="00803D93">
              <w:rPr>
                <w:rFonts w:eastAsia="Times New Roman" w:cstheme="minorHAnsi"/>
                <w:bCs/>
                <w:lang w:val="en-GB"/>
              </w:rPr>
              <w:t xml:space="preserve">convene </w:t>
            </w:r>
            <w:r w:rsidRPr="003E2772">
              <w:rPr>
                <w:rFonts w:eastAsia="Times New Roman" w:cstheme="minorHAnsi"/>
                <w:bCs/>
                <w:lang w:val="en-GB"/>
              </w:rPr>
              <w:t>at least four times per year. Meetings will be conducted on a face</w:t>
            </w:r>
            <w:r w:rsidRPr="003E2772">
              <w:rPr>
                <w:rFonts w:eastAsia="Times New Roman" w:cstheme="minorHAnsi"/>
                <w:bCs/>
                <w:lang w:val="en-GB"/>
              </w:rPr>
              <w:noBreakHyphen/>
              <w:t>to</w:t>
            </w:r>
            <w:r w:rsidRPr="003E2772">
              <w:rPr>
                <w:rFonts w:eastAsia="Times New Roman" w:cstheme="minorHAnsi"/>
                <w:bCs/>
                <w:lang w:val="en-GB"/>
              </w:rPr>
              <w:noBreakHyphen/>
              <w:t>face basis and / or by video or teleconference, as necessary. With the approval of the Chair, the Committee can also agree items out</w:t>
            </w:r>
            <w:r w:rsidRPr="003E2772">
              <w:rPr>
                <w:rFonts w:eastAsia="Times New Roman" w:cstheme="minorHAnsi"/>
                <w:bCs/>
                <w:lang w:val="en-GB"/>
              </w:rPr>
              <w:noBreakHyphen/>
              <w:t>of</w:t>
            </w:r>
            <w:r w:rsidRPr="003E2772">
              <w:rPr>
                <w:rFonts w:eastAsia="Times New Roman" w:cstheme="minorHAnsi"/>
                <w:bCs/>
                <w:lang w:val="en-GB"/>
              </w:rPr>
              <w:noBreakHyphen/>
              <w:t xml:space="preserve">session by email communication.  </w:t>
            </w:r>
          </w:p>
          <w:p w14:paraId="16E68A1A" w14:textId="77777777" w:rsidR="009509CE" w:rsidRDefault="009509CE" w:rsidP="00ED58D6">
            <w:pPr>
              <w:spacing w:after="0" w:line="240" w:lineRule="auto"/>
              <w:rPr>
                <w:rFonts w:eastAsia="Times New Roman" w:cstheme="minorHAnsi"/>
                <w:bCs/>
                <w:lang w:val="en-GB"/>
              </w:rPr>
            </w:pPr>
          </w:p>
          <w:p w14:paraId="03566C93" w14:textId="4E6ABF84" w:rsidR="00B53B41" w:rsidRPr="003E2772" w:rsidRDefault="00B53B41" w:rsidP="00ED58D6">
            <w:pPr>
              <w:spacing w:after="0" w:line="240" w:lineRule="auto"/>
              <w:rPr>
                <w:rFonts w:eastAsia="Times New Roman" w:cstheme="minorHAnsi"/>
                <w:bCs/>
                <w:lang w:val="en-GB"/>
              </w:rPr>
            </w:pPr>
            <w:r w:rsidRPr="003E2772">
              <w:rPr>
                <w:rFonts w:eastAsia="Times New Roman" w:cstheme="minorHAnsi"/>
                <w:bCs/>
                <w:lang w:val="en-GB"/>
              </w:rPr>
              <w:t>A quorum will consist of a majority of Committee members. The Chair is authorised to appoint an external member to act as Chair in the Chair’s absence.</w:t>
            </w:r>
          </w:p>
          <w:p w14:paraId="2590050B" w14:textId="68EAADD7" w:rsidR="00B53B41" w:rsidRPr="003E2772" w:rsidRDefault="00B53B41" w:rsidP="00ED58D6">
            <w:pPr>
              <w:spacing w:after="0" w:line="240" w:lineRule="auto"/>
              <w:rPr>
                <w:rFonts w:eastAsia="Times New Roman" w:cstheme="minorHAnsi"/>
                <w:bCs/>
                <w:lang w:val="en-GB"/>
              </w:rPr>
            </w:pPr>
            <w:r w:rsidRPr="003E2772">
              <w:rPr>
                <w:rFonts w:eastAsia="Times New Roman" w:cstheme="minorHAnsi"/>
                <w:bCs/>
                <w:lang w:val="en-GB"/>
              </w:rPr>
              <w:t>The Chair is required to call a meeting if asked to do so by the Secretary and decide if a meeting is required if requested by another member, the internal auditor</w:t>
            </w:r>
            <w:r w:rsidR="00AB70C1">
              <w:rPr>
                <w:rFonts w:eastAsia="Times New Roman" w:cstheme="minorHAnsi"/>
                <w:bCs/>
                <w:lang w:val="en-GB"/>
              </w:rPr>
              <w:t>,</w:t>
            </w:r>
            <w:r w:rsidRPr="003E2772">
              <w:rPr>
                <w:rFonts w:eastAsia="Times New Roman" w:cstheme="minorHAnsi"/>
                <w:bCs/>
                <w:lang w:val="en-GB"/>
              </w:rPr>
              <w:t xml:space="preserve"> or the external auditor.</w:t>
            </w:r>
          </w:p>
          <w:p w14:paraId="0F54D740" w14:textId="77777777" w:rsidR="009509CE" w:rsidRDefault="009509CE" w:rsidP="00ED58D6">
            <w:pPr>
              <w:spacing w:after="0" w:line="240" w:lineRule="auto"/>
              <w:rPr>
                <w:rFonts w:eastAsia="Times New Roman" w:cstheme="minorHAnsi"/>
                <w:b/>
              </w:rPr>
            </w:pPr>
          </w:p>
          <w:p w14:paraId="211E2EF8" w14:textId="254CD35A" w:rsidR="00B53B41" w:rsidRPr="00803D93" w:rsidRDefault="00B53B41" w:rsidP="00ED58D6">
            <w:pPr>
              <w:spacing w:after="0" w:line="240" w:lineRule="auto"/>
              <w:rPr>
                <w:rFonts w:eastAsia="Times New Roman" w:cstheme="minorHAnsi"/>
                <w:b/>
              </w:rPr>
            </w:pPr>
            <w:r w:rsidRPr="00803D93">
              <w:rPr>
                <w:rFonts w:eastAsia="Times New Roman" w:cstheme="minorHAnsi"/>
                <w:b/>
              </w:rPr>
              <w:t xml:space="preserve">Forward Work Plan </w:t>
            </w:r>
          </w:p>
          <w:p w14:paraId="1DFCADDF" w14:textId="7EFE6CB9" w:rsidR="00B53B41" w:rsidRPr="00803D93" w:rsidRDefault="00B53B41" w:rsidP="009509CE">
            <w:pPr>
              <w:spacing w:after="0" w:line="240" w:lineRule="auto"/>
              <w:rPr>
                <w:rFonts w:eastAsia="Times New Roman" w:cstheme="minorHAnsi"/>
              </w:rPr>
            </w:pPr>
            <w:r w:rsidRPr="00803D93">
              <w:rPr>
                <w:rFonts w:eastAsia="Times New Roman" w:cstheme="minorHAnsi"/>
              </w:rPr>
              <w:t>The Committee will develop an annual work plan</w:t>
            </w:r>
            <w:r w:rsidR="00AB70C1">
              <w:rPr>
                <w:rFonts w:eastAsia="Times New Roman" w:cstheme="minorHAnsi"/>
              </w:rPr>
              <w:t>,</w:t>
            </w:r>
            <w:r w:rsidRPr="00803D93">
              <w:rPr>
                <w:rFonts w:eastAsia="Times New Roman" w:cstheme="minorHAnsi"/>
              </w:rPr>
              <w:t xml:space="preserve"> detailing </w:t>
            </w:r>
            <w:r w:rsidR="00AB70C1" w:rsidRPr="00803D93">
              <w:rPr>
                <w:rFonts w:eastAsia="Times New Roman" w:cstheme="minorHAnsi"/>
              </w:rPr>
              <w:t>activities</w:t>
            </w:r>
            <w:r w:rsidRPr="00803D93">
              <w:rPr>
                <w:rFonts w:eastAsia="Times New Roman" w:cstheme="minorHAnsi"/>
              </w:rPr>
              <w:t xml:space="preserve"> to be undertaken </w:t>
            </w:r>
            <w:proofErr w:type="gramStart"/>
            <w:r w:rsidRPr="00803D93">
              <w:rPr>
                <w:rFonts w:eastAsia="Times New Roman" w:cstheme="minorHAnsi"/>
              </w:rPr>
              <w:t>in order to</w:t>
            </w:r>
            <w:proofErr w:type="gramEnd"/>
            <w:r w:rsidRPr="00803D93">
              <w:rPr>
                <w:rFonts w:eastAsia="Times New Roman" w:cstheme="minorHAnsi"/>
              </w:rPr>
              <w:t xml:space="preserve"> address the functions outlined in this Charter. The forward work plan will be used as the basis to drive and shape the agenda for upcoming meetings.</w:t>
            </w:r>
            <w:r w:rsidRPr="00803D93">
              <w:t xml:space="preserve"> </w:t>
            </w:r>
          </w:p>
          <w:p w14:paraId="2CCB5173" w14:textId="77777777" w:rsidR="00ED58D6" w:rsidRDefault="00ED58D6" w:rsidP="009509CE">
            <w:pPr>
              <w:spacing w:after="0" w:line="240" w:lineRule="auto"/>
              <w:rPr>
                <w:rFonts w:eastAsia="Times New Roman" w:cstheme="minorHAnsi"/>
              </w:rPr>
            </w:pPr>
          </w:p>
          <w:p w14:paraId="01A70C52" w14:textId="4CA68F11" w:rsidR="00B53B41" w:rsidRPr="00803D93" w:rsidRDefault="00B53B41" w:rsidP="009509CE">
            <w:pPr>
              <w:spacing w:after="0" w:line="240" w:lineRule="auto"/>
              <w:rPr>
                <w:rFonts w:eastAsia="Times New Roman" w:cstheme="minorHAnsi"/>
              </w:rPr>
            </w:pPr>
            <w:r w:rsidRPr="00803D93">
              <w:rPr>
                <w:rFonts w:eastAsia="Times New Roman" w:cstheme="minorHAnsi"/>
              </w:rPr>
              <w:t>Additional or emerging items will be added to the forward work plan if approved by the Chair.</w:t>
            </w:r>
          </w:p>
          <w:p w14:paraId="1E699E0F" w14:textId="77777777" w:rsidR="00ED58D6" w:rsidRDefault="00ED58D6" w:rsidP="00B53B41">
            <w:pPr>
              <w:spacing w:before="60" w:after="100" w:line="240" w:lineRule="auto"/>
              <w:rPr>
                <w:rFonts w:eastAsia="Times New Roman" w:cstheme="minorHAnsi"/>
                <w:b/>
              </w:rPr>
            </w:pPr>
          </w:p>
          <w:p w14:paraId="00906422" w14:textId="0F006D31" w:rsidR="00B53B41" w:rsidRPr="00803D93" w:rsidRDefault="00B53B41" w:rsidP="00ED58D6">
            <w:pPr>
              <w:spacing w:after="0" w:line="240" w:lineRule="auto"/>
              <w:rPr>
                <w:rFonts w:eastAsia="Times New Roman" w:cstheme="minorHAnsi"/>
                <w:b/>
              </w:rPr>
            </w:pPr>
            <w:r w:rsidRPr="00803D93">
              <w:rPr>
                <w:rFonts w:eastAsia="Times New Roman" w:cstheme="minorHAnsi"/>
                <w:b/>
              </w:rPr>
              <w:t>Secretariat Support</w:t>
            </w:r>
          </w:p>
          <w:p w14:paraId="3E5E24A0" w14:textId="1612A443" w:rsidR="00B53B41" w:rsidRDefault="00B53B41" w:rsidP="00ED58D6">
            <w:pPr>
              <w:spacing w:after="0" w:line="240" w:lineRule="auto"/>
              <w:rPr>
                <w:rFonts w:eastAsia="Times New Roman" w:cstheme="minorHAnsi"/>
                <w:bCs/>
              </w:rPr>
            </w:pPr>
            <w:r w:rsidRPr="00803D93">
              <w:rPr>
                <w:rFonts w:eastAsia="Times New Roman" w:cstheme="minorHAnsi"/>
                <w:bCs/>
              </w:rPr>
              <w:t xml:space="preserve">The Department will provide secretariat services to the Audit </w:t>
            </w:r>
            <w:r w:rsidR="007F6679">
              <w:rPr>
                <w:rFonts w:eastAsia="Times New Roman" w:cstheme="minorHAnsi"/>
                <w:bCs/>
              </w:rPr>
              <w:t xml:space="preserve">and Risk </w:t>
            </w:r>
            <w:r w:rsidRPr="00803D93">
              <w:rPr>
                <w:rFonts w:eastAsia="Times New Roman" w:cstheme="minorHAnsi"/>
                <w:bCs/>
              </w:rPr>
              <w:t>Committee. The Secretariat will ensure the Chair approves the agenda for each meeting; the agenda and supporting papers are circulated at least five business days before each meeting; and the minutes of each meeting are prepared and maintained. Minutes must be reviewed by the Chair and circulated in a timely manner to each member prior to being included in the papers for the next meeting.</w:t>
            </w:r>
          </w:p>
          <w:p w14:paraId="7EC6765B" w14:textId="77777777" w:rsidR="00ED58D6" w:rsidRPr="00803D93" w:rsidRDefault="00ED58D6" w:rsidP="00ED58D6">
            <w:pPr>
              <w:spacing w:after="0" w:line="240" w:lineRule="auto"/>
              <w:rPr>
                <w:rFonts w:eastAsia="Times New Roman" w:cstheme="minorHAnsi"/>
                <w:bCs/>
              </w:rPr>
            </w:pPr>
          </w:p>
          <w:p w14:paraId="3CAFDCE9" w14:textId="693095CE" w:rsidR="00B53B41" w:rsidRDefault="00B53B41" w:rsidP="00ED58D6">
            <w:pPr>
              <w:spacing w:after="0" w:line="240" w:lineRule="auto"/>
              <w:rPr>
                <w:rFonts w:eastAsia="Times New Roman" w:cstheme="minorHAnsi"/>
                <w:i/>
              </w:rPr>
            </w:pPr>
            <w:r w:rsidRPr="00803D93">
              <w:rPr>
                <w:rFonts w:eastAsia="Times New Roman" w:cstheme="minorHAnsi"/>
              </w:rPr>
              <w:t xml:space="preserve">The Secretariat will maintain records in accordance with the Department’s obligations under the </w:t>
            </w:r>
            <w:r w:rsidRPr="00803D93">
              <w:rPr>
                <w:rFonts w:eastAsia="Times New Roman" w:cstheme="minorHAnsi"/>
                <w:i/>
              </w:rPr>
              <w:t>Archive</w:t>
            </w:r>
            <w:r w:rsidR="00E350CB">
              <w:rPr>
                <w:rFonts w:eastAsia="Times New Roman" w:cstheme="minorHAnsi"/>
                <w:i/>
              </w:rPr>
              <w:t>s</w:t>
            </w:r>
            <w:r w:rsidRPr="00803D93">
              <w:rPr>
                <w:rFonts w:eastAsia="Times New Roman" w:cstheme="minorHAnsi"/>
                <w:i/>
              </w:rPr>
              <w:t xml:space="preserve"> Act 1983 </w:t>
            </w:r>
            <w:r w:rsidRPr="00803D93">
              <w:rPr>
                <w:rFonts w:eastAsia="Times New Roman" w:cstheme="minorHAnsi"/>
              </w:rPr>
              <w:t xml:space="preserve">and Section 37 of the </w:t>
            </w:r>
            <w:r w:rsidRPr="00803D93">
              <w:rPr>
                <w:rFonts w:eastAsia="Times New Roman" w:cstheme="minorHAnsi"/>
                <w:i/>
              </w:rPr>
              <w:t>Public Governance, Performance and Accountability Act 2013.</w:t>
            </w:r>
          </w:p>
          <w:p w14:paraId="1A15BC43" w14:textId="2C6F7E5B" w:rsidR="008757E3" w:rsidRDefault="008757E3" w:rsidP="00ED58D6">
            <w:pPr>
              <w:spacing w:after="0" w:line="240" w:lineRule="auto"/>
              <w:rPr>
                <w:rFonts w:eastAsia="Times New Roman" w:cstheme="minorHAnsi"/>
                <w:bCs/>
                <w:i/>
              </w:rPr>
            </w:pPr>
          </w:p>
          <w:p w14:paraId="4C4F4213" w14:textId="1C36AAD5" w:rsidR="008757E3" w:rsidRPr="009675C7" w:rsidRDefault="008757E3" w:rsidP="00ED58D6">
            <w:pPr>
              <w:spacing w:after="0" w:line="240" w:lineRule="auto"/>
              <w:rPr>
                <w:rFonts w:eastAsia="Times New Roman" w:cstheme="minorHAnsi"/>
                <w:b/>
                <w:iCs/>
              </w:rPr>
            </w:pPr>
            <w:r w:rsidRPr="009675C7">
              <w:rPr>
                <w:rFonts w:eastAsia="Times New Roman" w:cstheme="minorHAnsi"/>
                <w:b/>
                <w:iCs/>
              </w:rPr>
              <w:t>Induction</w:t>
            </w:r>
          </w:p>
          <w:p w14:paraId="78445F9D" w14:textId="31FAB2E4" w:rsidR="008757E3" w:rsidRPr="00D3329B" w:rsidRDefault="00D3329B" w:rsidP="00ED58D6">
            <w:pPr>
              <w:spacing w:after="0" w:line="240" w:lineRule="auto"/>
              <w:rPr>
                <w:rFonts w:eastAsia="Times New Roman" w:cstheme="minorHAnsi"/>
                <w:bCs/>
                <w:iCs/>
              </w:rPr>
            </w:pPr>
            <w:r>
              <w:rPr>
                <w:rFonts w:eastAsia="Times New Roman" w:cstheme="minorHAnsi"/>
                <w:bCs/>
                <w:iCs/>
              </w:rPr>
              <w:t xml:space="preserve">New members will be provided appropriate induction </w:t>
            </w:r>
            <w:r w:rsidR="00AA4F90">
              <w:rPr>
                <w:rFonts w:eastAsia="Times New Roman" w:cstheme="minorHAnsi"/>
                <w:bCs/>
                <w:iCs/>
              </w:rPr>
              <w:t>materials and briefings.</w:t>
            </w:r>
          </w:p>
          <w:p w14:paraId="00A77BF0" w14:textId="77777777" w:rsidR="00ED58D6" w:rsidRDefault="00ED58D6" w:rsidP="00ED58D6">
            <w:pPr>
              <w:spacing w:after="0" w:line="240" w:lineRule="auto"/>
              <w:rPr>
                <w:rFonts w:eastAsia="Times New Roman" w:cstheme="minorHAnsi"/>
                <w:b/>
                <w:bCs/>
              </w:rPr>
            </w:pPr>
          </w:p>
          <w:p w14:paraId="198C40FA" w14:textId="77777777" w:rsidR="00635441" w:rsidRDefault="00635441" w:rsidP="00ED58D6">
            <w:pPr>
              <w:spacing w:after="0" w:line="240" w:lineRule="auto"/>
              <w:rPr>
                <w:rFonts w:eastAsia="Times New Roman" w:cstheme="minorHAnsi"/>
                <w:b/>
                <w:bCs/>
              </w:rPr>
            </w:pPr>
          </w:p>
          <w:p w14:paraId="41BAAC83" w14:textId="69025538" w:rsidR="00B53B41" w:rsidRPr="00803D93" w:rsidRDefault="00B53B41" w:rsidP="00ED58D6">
            <w:pPr>
              <w:spacing w:after="0" w:line="240" w:lineRule="auto"/>
              <w:rPr>
                <w:rFonts w:eastAsia="Times New Roman" w:cstheme="minorHAnsi"/>
                <w:b/>
                <w:bCs/>
              </w:rPr>
            </w:pPr>
            <w:r w:rsidRPr="00803D93">
              <w:rPr>
                <w:rFonts w:eastAsia="Times New Roman" w:cstheme="minorHAnsi"/>
                <w:b/>
                <w:bCs/>
              </w:rPr>
              <w:lastRenderedPageBreak/>
              <w:t>Reporting</w:t>
            </w:r>
          </w:p>
          <w:p w14:paraId="3178FD93" w14:textId="344A47C2" w:rsidR="00B53B41" w:rsidRDefault="00B53B41" w:rsidP="00ED58D6">
            <w:pPr>
              <w:pStyle w:val="Body"/>
              <w:spacing w:before="0" w:line="240" w:lineRule="auto"/>
              <w:jc w:val="left"/>
              <w:rPr>
                <w:rFonts w:asciiTheme="minorHAnsi" w:hAnsiTheme="minorHAnsi"/>
                <w:sz w:val="22"/>
                <w:szCs w:val="22"/>
                <w:lang w:val="en-AU"/>
              </w:rPr>
            </w:pPr>
            <w:r w:rsidRPr="00803D93">
              <w:rPr>
                <w:rFonts w:asciiTheme="minorHAnsi" w:hAnsiTheme="minorHAnsi"/>
                <w:sz w:val="22"/>
                <w:szCs w:val="22"/>
                <w:lang w:val="en-AU"/>
              </w:rPr>
              <w:t>The Chair will report to the Secretary after each meeting. Any matter deemed of sufficient importance will be reported to the Secretary.</w:t>
            </w:r>
          </w:p>
          <w:p w14:paraId="20AF9F58" w14:textId="77777777" w:rsidR="00ED58D6" w:rsidRPr="00803D93" w:rsidRDefault="00ED58D6" w:rsidP="00ED58D6">
            <w:pPr>
              <w:pStyle w:val="Body"/>
              <w:spacing w:before="0" w:line="240" w:lineRule="auto"/>
              <w:jc w:val="left"/>
              <w:rPr>
                <w:rFonts w:asciiTheme="minorHAnsi" w:hAnsiTheme="minorHAnsi"/>
                <w:sz w:val="22"/>
                <w:szCs w:val="22"/>
                <w:lang w:val="en-AU"/>
              </w:rPr>
            </w:pPr>
          </w:p>
          <w:p w14:paraId="09A4BE08" w14:textId="3229A585" w:rsidR="00B53B41" w:rsidRDefault="00B53B41" w:rsidP="00ED58D6">
            <w:pPr>
              <w:pStyle w:val="Body"/>
              <w:spacing w:before="0" w:line="240" w:lineRule="auto"/>
              <w:jc w:val="left"/>
              <w:rPr>
                <w:rFonts w:asciiTheme="minorHAnsi" w:hAnsiTheme="minorHAnsi"/>
                <w:sz w:val="22"/>
                <w:szCs w:val="22"/>
              </w:rPr>
            </w:pPr>
            <w:r w:rsidRPr="00803D93">
              <w:rPr>
                <w:rFonts w:asciiTheme="minorHAnsi" w:hAnsiTheme="minorHAnsi"/>
                <w:sz w:val="22"/>
                <w:szCs w:val="22"/>
                <w:lang w:val="en-AU"/>
              </w:rPr>
              <w:t xml:space="preserve">The Committee will, as often as necessary, and at least once a year, report to the Secretary on its operation and activities against the responsibilities outlined in this Charter. </w:t>
            </w:r>
            <w:r w:rsidRPr="00803D93">
              <w:rPr>
                <w:rFonts w:asciiTheme="minorHAnsi" w:hAnsiTheme="minorHAnsi"/>
                <w:sz w:val="22"/>
                <w:szCs w:val="22"/>
              </w:rPr>
              <w:t xml:space="preserve">In providing its view to the </w:t>
            </w:r>
            <w:r w:rsidRPr="00803D93">
              <w:rPr>
                <w:rFonts w:asciiTheme="minorHAnsi" w:hAnsiTheme="minorHAnsi"/>
                <w:color w:val="auto"/>
                <w:sz w:val="22"/>
                <w:szCs w:val="22"/>
              </w:rPr>
              <w:t>Secretary, t</w:t>
            </w:r>
            <w:r w:rsidRPr="00803D93">
              <w:rPr>
                <w:rFonts w:asciiTheme="minorHAnsi" w:hAnsiTheme="minorHAnsi"/>
                <w:sz w:val="22"/>
                <w:szCs w:val="22"/>
              </w:rPr>
              <w:t>he Committee should also note any areas of concern, non</w:t>
            </w:r>
            <w:r w:rsidRPr="00803D93">
              <w:rPr>
                <w:rFonts w:asciiTheme="minorHAnsi" w:hAnsiTheme="minorHAnsi"/>
                <w:sz w:val="22"/>
                <w:szCs w:val="22"/>
              </w:rPr>
              <w:noBreakHyphen/>
              <w:t>remediation of significant recommendations, and / or suggestions for system or process improvement.</w:t>
            </w:r>
          </w:p>
          <w:p w14:paraId="02BFAA8C" w14:textId="77777777" w:rsidR="00ED58D6" w:rsidRDefault="00ED58D6" w:rsidP="00ED58D6">
            <w:pPr>
              <w:pStyle w:val="Body"/>
              <w:spacing w:before="0" w:line="240" w:lineRule="auto"/>
              <w:jc w:val="left"/>
              <w:rPr>
                <w:rFonts w:asciiTheme="minorHAnsi" w:hAnsiTheme="minorHAnsi"/>
                <w:sz w:val="22"/>
                <w:szCs w:val="22"/>
              </w:rPr>
            </w:pPr>
          </w:p>
          <w:p w14:paraId="101AF347" w14:textId="09F2C1D3" w:rsidR="00B53B41" w:rsidRPr="00B26C55" w:rsidRDefault="00B53B41" w:rsidP="00ED58D6">
            <w:pPr>
              <w:spacing w:after="0" w:line="240" w:lineRule="auto"/>
              <w:rPr>
                <w:rFonts w:eastAsia="Times New Roman" w:cstheme="minorHAnsi"/>
                <w:b/>
                <w:bCs/>
              </w:rPr>
            </w:pPr>
            <w:r w:rsidRPr="00B26C55">
              <w:rPr>
                <w:rFonts w:eastAsia="Times New Roman" w:cstheme="minorHAnsi"/>
                <w:b/>
                <w:bCs/>
              </w:rPr>
              <w:t>Disclosure and Use of Information</w:t>
            </w:r>
          </w:p>
          <w:p w14:paraId="2C2F2903" w14:textId="77777777" w:rsidR="00B53B41" w:rsidRDefault="00B53B41" w:rsidP="00ED58D6">
            <w:pPr>
              <w:spacing w:after="0" w:line="240" w:lineRule="auto"/>
            </w:pPr>
            <w:r w:rsidRPr="007853C4">
              <w:t>Committee members must not use or disclose information obtained by the Committee except in meeting the Committee’s responsibilities, or unless expressly agreed by the Secretary.</w:t>
            </w:r>
          </w:p>
          <w:p w14:paraId="564C584C" w14:textId="6927853B" w:rsidR="00ED58D6" w:rsidRDefault="00ED58D6" w:rsidP="00ED58D6">
            <w:pPr>
              <w:spacing w:after="0" w:line="240" w:lineRule="auto"/>
            </w:pPr>
          </w:p>
        </w:tc>
      </w:tr>
    </w:tbl>
    <w:p w14:paraId="776771B1" w14:textId="5E58DE37" w:rsidR="00B53B41" w:rsidRDefault="00B53B41" w:rsidP="00B53B41">
      <w:pPr>
        <w:spacing w:after="0" w:line="240" w:lineRule="auto"/>
      </w:pPr>
    </w:p>
    <w:tbl>
      <w:tblPr>
        <w:tblStyle w:val="TableGrid"/>
        <w:tblW w:w="10206"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06"/>
      </w:tblGrid>
      <w:tr w:rsidR="00B53B41" w14:paraId="5C24C9C9" w14:textId="77777777" w:rsidTr="004A3F8B">
        <w:tc>
          <w:tcPr>
            <w:tcW w:w="10206" w:type="dxa"/>
            <w:shd w:val="clear" w:color="auto" w:fill="E7E6E6" w:themeFill="background2"/>
          </w:tcPr>
          <w:p w14:paraId="37B2A9B1" w14:textId="0415A061" w:rsidR="00B53B41" w:rsidRDefault="00B53B41" w:rsidP="00B53B41">
            <w:pPr>
              <w:spacing w:after="0" w:line="240" w:lineRule="auto"/>
            </w:pPr>
            <w:r w:rsidRPr="00803D93">
              <w:rPr>
                <w:rFonts w:eastAsia="Times New Roman" w:cstheme="minorHAnsi"/>
                <w:b/>
                <w:lang w:eastAsia="en-AU"/>
              </w:rPr>
              <w:t>Committee Assessment</w:t>
            </w:r>
          </w:p>
        </w:tc>
      </w:tr>
      <w:tr w:rsidR="00B53B41" w14:paraId="53288F5C" w14:textId="77777777" w:rsidTr="004A3F8B">
        <w:tc>
          <w:tcPr>
            <w:tcW w:w="10206" w:type="dxa"/>
          </w:tcPr>
          <w:p w14:paraId="524F5850" w14:textId="52A8764F" w:rsidR="00B53B41" w:rsidRDefault="00B53B41" w:rsidP="00ED58D6">
            <w:pPr>
              <w:spacing w:after="0" w:line="240" w:lineRule="auto"/>
              <w:rPr>
                <w:rFonts w:ascii="Calibri" w:eastAsia="MS Mincho" w:hAnsi="Calibri" w:cs="HelveticaNeue-Light"/>
                <w:color w:val="000000"/>
                <w:lang w:val="en-GB" w:eastAsia="ja-JP"/>
              </w:rPr>
            </w:pPr>
            <w:r w:rsidRPr="00803D93">
              <w:t xml:space="preserve">The Chair will initiate a review of the performance of the Committee at least once every two years. The outcomes of this assessment will be reported to the Secretary. </w:t>
            </w:r>
            <w:r w:rsidRPr="00803D93">
              <w:rPr>
                <w:rFonts w:ascii="Calibri" w:eastAsia="MS Mincho" w:hAnsi="Calibri" w:cs="HelveticaNeue-Light"/>
                <w:color w:val="000000"/>
                <w:lang w:val="en-GB" w:eastAsia="ja-JP"/>
              </w:rPr>
              <w:t>The review will be conducted on a self</w:t>
            </w:r>
            <w:r w:rsidRPr="00803D93">
              <w:rPr>
                <w:rFonts w:ascii="Calibri" w:eastAsia="MS Mincho" w:hAnsi="Calibri" w:cs="HelveticaNeue-Light"/>
                <w:color w:val="000000"/>
                <w:lang w:val="en-GB" w:eastAsia="ja-JP"/>
              </w:rPr>
              <w:noBreakHyphen/>
              <w:t>assessment basis with appropriate input sought from Committee members, senior management, the internal auditor, external auditor, and any other relevant stakeholders, as determined by the Secretary or their delegate.</w:t>
            </w:r>
          </w:p>
          <w:p w14:paraId="0A5DFFBC" w14:textId="09756B8F" w:rsidR="00ED58D6" w:rsidRPr="00B53B41" w:rsidRDefault="00ED58D6" w:rsidP="008757E3">
            <w:pPr>
              <w:spacing w:after="0" w:line="240" w:lineRule="auto"/>
              <w:rPr>
                <w:rFonts w:ascii="Calibri" w:eastAsia="MS Mincho" w:hAnsi="Calibri" w:cs="HelveticaNeue-Light"/>
                <w:color w:val="000000"/>
                <w:lang w:val="en-GB" w:eastAsia="ja-JP"/>
              </w:rPr>
            </w:pPr>
          </w:p>
        </w:tc>
      </w:tr>
    </w:tbl>
    <w:p w14:paraId="1251D0B4" w14:textId="3BDA2143" w:rsidR="00B53B41" w:rsidRDefault="00B53B41" w:rsidP="009675C7">
      <w:pPr>
        <w:spacing w:after="0" w:line="240" w:lineRule="auto"/>
      </w:pPr>
    </w:p>
    <w:tbl>
      <w:tblPr>
        <w:tblStyle w:val="TableGrid"/>
        <w:tblW w:w="10206"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06"/>
      </w:tblGrid>
      <w:tr w:rsidR="008757E3" w14:paraId="29796890" w14:textId="77777777" w:rsidTr="00EC551A">
        <w:tc>
          <w:tcPr>
            <w:tcW w:w="10206" w:type="dxa"/>
            <w:shd w:val="clear" w:color="auto" w:fill="E7E6E6" w:themeFill="background2"/>
          </w:tcPr>
          <w:p w14:paraId="3F8697C6" w14:textId="1E76FEA3" w:rsidR="008757E3" w:rsidRDefault="008757E3" w:rsidP="00EC551A">
            <w:pPr>
              <w:spacing w:after="0" w:line="240" w:lineRule="auto"/>
            </w:pPr>
            <w:r>
              <w:rPr>
                <w:rFonts w:eastAsia="Times New Roman" w:cstheme="minorHAnsi"/>
                <w:b/>
                <w:lang w:eastAsia="en-AU"/>
              </w:rPr>
              <w:t>Review of this Charter</w:t>
            </w:r>
          </w:p>
        </w:tc>
      </w:tr>
      <w:tr w:rsidR="008757E3" w:rsidRPr="00B53B41" w14:paraId="1A3C65A8" w14:textId="77777777" w:rsidTr="00EC551A">
        <w:tc>
          <w:tcPr>
            <w:tcW w:w="10206" w:type="dxa"/>
          </w:tcPr>
          <w:p w14:paraId="4E859C89" w14:textId="77777777" w:rsidR="008757E3" w:rsidRDefault="008757E3" w:rsidP="00EC551A">
            <w:pPr>
              <w:spacing w:after="0" w:line="240" w:lineRule="auto"/>
            </w:pPr>
            <w:r w:rsidRPr="00803D93">
              <w:t>The Audit and Risk Committee will review the appropriateness of this Charter annually and recommend any substantive changes for consideration by the Secretary.</w:t>
            </w:r>
          </w:p>
          <w:p w14:paraId="76D310E7" w14:textId="77777777" w:rsidR="008757E3" w:rsidRPr="00B53B41" w:rsidRDefault="008757E3" w:rsidP="00EC551A">
            <w:pPr>
              <w:spacing w:after="0" w:line="240" w:lineRule="auto"/>
              <w:rPr>
                <w:rFonts w:ascii="Calibri" w:eastAsia="MS Mincho" w:hAnsi="Calibri" w:cs="HelveticaNeue-Light"/>
                <w:color w:val="000000"/>
                <w:lang w:val="en-GB" w:eastAsia="ja-JP"/>
              </w:rPr>
            </w:pPr>
          </w:p>
        </w:tc>
      </w:tr>
    </w:tbl>
    <w:p w14:paraId="3A3ADD95" w14:textId="77777777" w:rsidR="008757E3" w:rsidRPr="00B53B41" w:rsidRDefault="008757E3" w:rsidP="00B53B41">
      <w:pPr>
        <w:spacing w:line="240" w:lineRule="auto"/>
      </w:pPr>
    </w:p>
    <w:sectPr w:rsidR="008757E3" w:rsidRPr="00B53B4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6D4CF" w14:textId="77777777" w:rsidR="00981401" w:rsidRDefault="00981401" w:rsidP="00FB116A">
      <w:pPr>
        <w:spacing w:after="0" w:line="240" w:lineRule="auto"/>
      </w:pPr>
      <w:r>
        <w:separator/>
      </w:r>
    </w:p>
  </w:endnote>
  <w:endnote w:type="continuationSeparator" w:id="0">
    <w:p w14:paraId="212D2DDE" w14:textId="77777777" w:rsidR="00981401" w:rsidRDefault="00981401" w:rsidP="00FB116A">
      <w:pPr>
        <w:spacing w:after="0" w:line="240" w:lineRule="auto"/>
      </w:pPr>
      <w:r>
        <w:continuationSeparator/>
      </w:r>
    </w:p>
  </w:endnote>
  <w:endnote w:type="continuationNotice" w:id="1">
    <w:p w14:paraId="0AD786D9" w14:textId="77777777" w:rsidR="00C35C8F" w:rsidRDefault="00C35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igh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36EF" w14:textId="5E75D791" w:rsidR="00AB70C1" w:rsidRPr="00AB70C1" w:rsidRDefault="00AB70C1" w:rsidP="00AB70C1">
    <w:pPr>
      <w:pStyle w:val="Footer"/>
      <w:tabs>
        <w:tab w:val="clear" w:pos="4513"/>
        <w:tab w:val="clear" w:pos="9026"/>
        <w:tab w:val="left" w:pos="3630"/>
      </w:tabs>
      <w:jc w:val="right"/>
      <w:rPr>
        <w:sz w:val="18"/>
        <w:szCs w:val="18"/>
      </w:rPr>
    </w:pPr>
    <w:r w:rsidRPr="00AB70C1">
      <w:rPr>
        <w:sz w:val="18"/>
        <w:szCs w:val="18"/>
      </w:rPr>
      <w:t xml:space="preserve">Page </w:t>
    </w:r>
    <w:r w:rsidRPr="00AB70C1">
      <w:rPr>
        <w:b/>
        <w:bCs/>
        <w:sz w:val="18"/>
        <w:szCs w:val="18"/>
      </w:rPr>
      <w:fldChar w:fldCharType="begin"/>
    </w:r>
    <w:r w:rsidRPr="00AB70C1">
      <w:rPr>
        <w:b/>
        <w:bCs/>
        <w:sz w:val="18"/>
        <w:szCs w:val="18"/>
      </w:rPr>
      <w:instrText xml:space="preserve"> PAGE </w:instrText>
    </w:r>
    <w:r w:rsidRPr="00AB70C1">
      <w:rPr>
        <w:b/>
        <w:bCs/>
        <w:sz w:val="18"/>
        <w:szCs w:val="18"/>
      </w:rPr>
      <w:fldChar w:fldCharType="separate"/>
    </w:r>
    <w:r w:rsidRPr="00AB70C1">
      <w:rPr>
        <w:b/>
        <w:bCs/>
        <w:sz w:val="18"/>
        <w:szCs w:val="18"/>
      </w:rPr>
      <w:t>5</w:t>
    </w:r>
    <w:r w:rsidRPr="00AB70C1">
      <w:rPr>
        <w:b/>
        <w:bCs/>
        <w:sz w:val="18"/>
        <w:szCs w:val="18"/>
      </w:rPr>
      <w:fldChar w:fldCharType="end"/>
    </w:r>
    <w:r w:rsidRPr="00AB70C1">
      <w:rPr>
        <w:sz w:val="18"/>
        <w:szCs w:val="18"/>
      </w:rPr>
      <w:t xml:space="preserve"> of </w:t>
    </w:r>
    <w:r w:rsidRPr="00AB70C1">
      <w:rPr>
        <w:b/>
        <w:bCs/>
        <w:sz w:val="18"/>
        <w:szCs w:val="18"/>
      </w:rPr>
      <w:fldChar w:fldCharType="begin"/>
    </w:r>
    <w:r w:rsidRPr="00AB70C1">
      <w:rPr>
        <w:b/>
        <w:bCs/>
        <w:sz w:val="18"/>
        <w:szCs w:val="18"/>
      </w:rPr>
      <w:instrText xml:space="preserve"> NUMPAGES  </w:instrText>
    </w:r>
    <w:r w:rsidRPr="00AB70C1">
      <w:rPr>
        <w:b/>
        <w:bCs/>
        <w:sz w:val="18"/>
        <w:szCs w:val="18"/>
      </w:rPr>
      <w:fldChar w:fldCharType="separate"/>
    </w:r>
    <w:r w:rsidRPr="00AB70C1">
      <w:rPr>
        <w:b/>
        <w:bCs/>
        <w:sz w:val="18"/>
        <w:szCs w:val="18"/>
      </w:rPr>
      <w:t>5</w:t>
    </w:r>
    <w:r w:rsidRPr="00AB70C1">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672E1" w14:textId="77777777" w:rsidR="00981401" w:rsidRDefault="00981401" w:rsidP="00FB116A">
      <w:pPr>
        <w:spacing w:after="0" w:line="240" w:lineRule="auto"/>
      </w:pPr>
      <w:r>
        <w:separator/>
      </w:r>
    </w:p>
  </w:footnote>
  <w:footnote w:type="continuationSeparator" w:id="0">
    <w:p w14:paraId="489837B1" w14:textId="77777777" w:rsidR="00981401" w:rsidRDefault="00981401" w:rsidP="00FB116A">
      <w:pPr>
        <w:spacing w:after="0" w:line="240" w:lineRule="auto"/>
      </w:pPr>
      <w:r>
        <w:continuationSeparator/>
      </w:r>
    </w:p>
  </w:footnote>
  <w:footnote w:type="continuationNotice" w:id="1">
    <w:p w14:paraId="6C96B7A1" w14:textId="77777777" w:rsidR="00C35C8F" w:rsidRDefault="00C35C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07DF" w14:textId="0FDE94BA" w:rsidR="00FB116A" w:rsidRPr="004A3F8B" w:rsidRDefault="00FB116A" w:rsidP="00FB116A">
    <w:pPr>
      <w:pStyle w:val="Header"/>
      <w:jc w:val="right"/>
      <w:rPr>
        <w:iCs/>
        <w:sz w:val="18"/>
        <w:szCs w:val="18"/>
      </w:rPr>
    </w:pPr>
    <w:r w:rsidRPr="004A3F8B">
      <w:rPr>
        <w:iCs/>
        <w:sz w:val="18"/>
        <w:szCs w:val="18"/>
      </w:rPr>
      <w:t>Ref: EC20-000350</w:t>
    </w:r>
  </w:p>
  <w:p w14:paraId="458BB057" w14:textId="77777777" w:rsidR="00FB116A" w:rsidRPr="00AB70C1" w:rsidRDefault="00FB116A">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02FDC"/>
    <w:multiLevelType w:val="multilevel"/>
    <w:tmpl w:val="86EA3AA0"/>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AD93BD2"/>
    <w:multiLevelType w:val="hybridMultilevel"/>
    <w:tmpl w:val="6EA2A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31D47BB"/>
    <w:multiLevelType w:val="hybridMultilevel"/>
    <w:tmpl w:val="484E356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6A"/>
    <w:rsid w:val="00032217"/>
    <w:rsid w:val="0009115F"/>
    <w:rsid w:val="000A4D3C"/>
    <w:rsid w:val="001624DD"/>
    <w:rsid w:val="001A56D0"/>
    <w:rsid w:val="001C04CA"/>
    <w:rsid w:val="001C2B32"/>
    <w:rsid w:val="00310DC1"/>
    <w:rsid w:val="003156CD"/>
    <w:rsid w:val="00352FC2"/>
    <w:rsid w:val="00386C1D"/>
    <w:rsid w:val="00391CE0"/>
    <w:rsid w:val="004005E2"/>
    <w:rsid w:val="00434102"/>
    <w:rsid w:val="004700AA"/>
    <w:rsid w:val="00481E1B"/>
    <w:rsid w:val="004A3F8B"/>
    <w:rsid w:val="004A7BC6"/>
    <w:rsid w:val="004F3029"/>
    <w:rsid w:val="00501EB7"/>
    <w:rsid w:val="00513A3F"/>
    <w:rsid w:val="00526A34"/>
    <w:rsid w:val="00590209"/>
    <w:rsid w:val="0060564A"/>
    <w:rsid w:val="00623E13"/>
    <w:rsid w:val="00626020"/>
    <w:rsid w:val="00627B0E"/>
    <w:rsid w:val="00635441"/>
    <w:rsid w:val="0066392E"/>
    <w:rsid w:val="006A49AD"/>
    <w:rsid w:val="006C51C0"/>
    <w:rsid w:val="00740AF4"/>
    <w:rsid w:val="0079300D"/>
    <w:rsid w:val="007D0F2E"/>
    <w:rsid w:val="007F6679"/>
    <w:rsid w:val="008519AB"/>
    <w:rsid w:val="008757E3"/>
    <w:rsid w:val="00883689"/>
    <w:rsid w:val="008E48AD"/>
    <w:rsid w:val="008F2D91"/>
    <w:rsid w:val="00901B79"/>
    <w:rsid w:val="00904B13"/>
    <w:rsid w:val="00915912"/>
    <w:rsid w:val="009509CE"/>
    <w:rsid w:val="009675C7"/>
    <w:rsid w:val="00981401"/>
    <w:rsid w:val="00A45C1D"/>
    <w:rsid w:val="00A93F89"/>
    <w:rsid w:val="00AA4F90"/>
    <w:rsid w:val="00AB70C1"/>
    <w:rsid w:val="00AE2C75"/>
    <w:rsid w:val="00AE444C"/>
    <w:rsid w:val="00B00376"/>
    <w:rsid w:val="00B03CDD"/>
    <w:rsid w:val="00B1381E"/>
    <w:rsid w:val="00B53B41"/>
    <w:rsid w:val="00B9371C"/>
    <w:rsid w:val="00BB7B8B"/>
    <w:rsid w:val="00BC479C"/>
    <w:rsid w:val="00BE7CA4"/>
    <w:rsid w:val="00C16BD7"/>
    <w:rsid w:val="00C35C8F"/>
    <w:rsid w:val="00C416C0"/>
    <w:rsid w:val="00C463FD"/>
    <w:rsid w:val="00C94589"/>
    <w:rsid w:val="00D17BE5"/>
    <w:rsid w:val="00D32B1E"/>
    <w:rsid w:val="00D3329B"/>
    <w:rsid w:val="00D3734C"/>
    <w:rsid w:val="00D47092"/>
    <w:rsid w:val="00DE2D0B"/>
    <w:rsid w:val="00DE7237"/>
    <w:rsid w:val="00E02049"/>
    <w:rsid w:val="00E350CB"/>
    <w:rsid w:val="00EA5B2E"/>
    <w:rsid w:val="00ED58D6"/>
    <w:rsid w:val="00F00875"/>
    <w:rsid w:val="00F14943"/>
    <w:rsid w:val="00F354C5"/>
    <w:rsid w:val="00F37869"/>
    <w:rsid w:val="00F4277F"/>
    <w:rsid w:val="00F65FE5"/>
    <w:rsid w:val="00F92692"/>
    <w:rsid w:val="00FB11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77B0D"/>
  <w15:chartTrackingRefBased/>
  <w15:docId w15:val="{93EB82DB-4AEE-47FE-9360-C81EADBE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16A"/>
    <w:pPr>
      <w:spacing w:after="24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1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16A"/>
  </w:style>
  <w:style w:type="paragraph" w:styleId="Footer">
    <w:name w:val="footer"/>
    <w:basedOn w:val="Normal"/>
    <w:link w:val="FooterChar"/>
    <w:uiPriority w:val="99"/>
    <w:unhideWhenUsed/>
    <w:rsid w:val="00FB11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16A"/>
  </w:style>
  <w:style w:type="table" w:styleId="TableGrid">
    <w:name w:val="Table Grid"/>
    <w:basedOn w:val="TableNormal"/>
    <w:uiPriority w:val="39"/>
    <w:rsid w:val="00FB1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uiPriority w:val="99"/>
    <w:rsid w:val="00FB116A"/>
    <w:pPr>
      <w:widowControl w:val="0"/>
      <w:suppressAutoHyphens/>
      <w:autoSpaceDE w:val="0"/>
      <w:autoSpaceDN w:val="0"/>
      <w:adjustRightInd w:val="0"/>
      <w:spacing w:before="170" w:after="0" w:line="270" w:lineRule="atLeast"/>
      <w:jc w:val="both"/>
      <w:textAlignment w:val="center"/>
    </w:pPr>
    <w:rPr>
      <w:rFonts w:ascii="HelveticaNeue-Light" w:eastAsia="MS Mincho" w:hAnsi="HelveticaNeue-Light" w:cs="HelveticaNeue-Light"/>
      <w:color w:val="000000"/>
      <w:sz w:val="20"/>
      <w:szCs w:val="20"/>
      <w:lang w:val="en-GB" w:eastAsia="ja-JP"/>
    </w:rPr>
  </w:style>
  <w:style w:type="character" w:customStyle="1" w:styleId="BodyChar">
    <w:name w:val="Body Char"/>
    <w:basedOn w:val="DefaultParagraphFont"/>
    <w:link w:val="Body"/>
    <w:uiPriority w:val="99"/>
    <w:rsid w:val="00FB116A"/>
    <w:rPr>
      <w:rFonts w:ascii="HelveticaNeue-Light" w:eastAsia="MS Mincho" w:hAnsi="HelveticaNeue-Light" w:cs="HelveticaNeue-Light"/>
      <w:color w:val="000000"/>
      <w:sz w:val="20"/>
      <w:szCs w:val="20"/>
      <w:lang w:val="en-GB" w:eastAsia="ja-JP"/>
    </w:rPr>
  </w:style>
  <w:style w:type="paragraph" w:customStyle="1" w:styleId="Bullet">
    <w:name w:val="Bullet"/>
    <w:basedOn w:val="Normal"/>
    <w:link w:val="BulletChar"/>
    <w:rsid w:val="00FB116A"/>
    <w:pPr>
      <w:numPr>
        <w:numId w:val="1"/>
      </w:numPr>
      <w:spacing w:before="60" w:after="100" w:line="240" w:lineRule="auto"/>
      <w:contextualSpacing/>
    </w:pPr>
    <w:rPr>
      <w:rFonts w:ascii="Times New Roman" w:eastAsia="Times New Roman" w:hAnsi="Times New Roman" w:cs="Times New Roman"/>
      <w:lang w:eastAsia="en-AU"/>
    </w:rPr>
  </w:style>
  <w:style w:type="character" w:customStyle="1" w:styleId="BulletChar">
    <w:name w:val="Bullet Char"/>
    <w:basedOn w:val="DefaultParagraphFont"/>
    <w:link w:val="Bullet"/>
    <w:rsid w:val="00FB116A"/>
    <w:rPr>
      <w:rFonts w:ascii="Times New Roman" w:eastAsia="Times New Roman" w:hAnsi="Times New Roman" w:cs="Times New Roman"/>
      <w:lang w:eastAsia="en-AU"/>
    </w:rPr>
  </w:style>
  <w:style w:type="paragraph" w:customStyle="1" w:styleId="Dash">
    <w:name w:val="Dash"/>
    <w:basedOn w:val="Normal"/>
    <w:link w:val="DashChar"/>
    <w:rsid w:val="00FB116A"/>
    <w:pPr>
      <w:numPr>
        <w:ilvl w:val="1"/>
        <w:numId w:val="1"/>
      </w:numPr>
      <w:spacing w:before="60" w:after="100" w:line="240" w:lineRule="auto"/>
      <w:contextualSpacing/>
    </w:pPr>
    <w:rPr>
      <w:rFonts w:ascii="Times New Roman" w:eastAsia="Times New Roman" w:hAnsi="Times New Roman" w:cs="Times New Roman"/>
      <w:lang w:eastAsia="en-AU"/>
    </w:rPr>
  </w:style>
  <w:style w:type="character" w:customStyle="1" w:styleId="DashChar">
    <w:name w:val="Dash Char"/>
    <w:basedOn w:val="DefaultParagraphFont"/>
    <w:link w:val="Dash"/>
    <w:rsid w:val="00FB116A"/>
    <w:rPr>
      <w:rFonts w:ascii="Times New Roman" w:eastAsia="Times New Roman" w:hAnsi="Times New Roman" w:cs="Times New Roman"/>
      <w:lang w:eastAsia="en-AU"/>
    </w:rPr>
  </w:style>
  <w:style w:type="paragraph" w:customStyle="1" w:styleId="DoubleDot">
    <w:name w:val="Double Dot"/>
    <w:basedOn w:val="Normal"/>
    <w:rsid w:val="00FB116A"/>
    <w:pPr>
      <w:numPr>
        <w:ilvl w:val="2"/>
        <w:numId w:val="1"/>
      </w:numPr>
      <w:spacing w:before="60" w:after="100" w:line="240" w:lineRule="auto"/>
      <w:contextualSpacing/>
    </w:pPr>
    <w:rPr>
      <w:rFonts w:ascii="Times New Roman" w:eastAsia="Times New Roman" w:hAnsi="Times New Roman" w:cs="Times New Roman"/>
      <w:lang w:eastAsia="en-AU"/>
    </w:rPr>
  </w:style>
  <w:style w:type="paragraph" w:styleId="ListParagraph">
    <w:name w:val="List Paragraph"/>
    <w:basedOn w:val="Normal"/>
    <w:uiPriority w:val="34"/>
    <w:qFormat/>
    <w:rsid w:val="00526A34"/>
    <w:pPr>
      <w:ind w:left="720"/>
      <w:contextualSpacing/>
    </w:pPr>
  </w:style>
  <w:style w:type="paragraph" w:styleId="Revision">
    <w:name w:val="Revision"/>
    <w:hidden/>
    <w:uiPriority w:val="99"/>
    <w:semiHidden/>
    <w:rsid w:val="008757E3"/>
    <w:pPr>
      <w:spacing w:after="0" w:line="240" w:lineRule="auto"/>
    </w:pPr>
  </w:style>
  <w:style w:type="character" w:styleId="CommentReference">
    <w:name w:val="annotation reference"/>
    <w:basedOn w:val="DefaultParagraphFont"/>
    <w:uiPriority w:val="99"/>
    <w:semiHidden/>
    <w:unhideWhenUsed/>
    <w:rsid w:val="00AA4F90"/>
    <w:rPr>
      <w:sz w:val="16"/>
      <w:szCs w:val="16"/>
    </w:rPr>
  </w:style>
  <w:style w:type="paragraph" w:styleId="CommentText">
    <w:name w:val="annotation text"/>
    <w:basedOn w:val="Normal"/>
    <w:link w:val="CommentTextChar"/>
    <w:uiPriority w:val="99"/>
    <w:unhideWhenUsed/>
    <w:rsid w:val="00AA4F90"/>
    <w:pPr>
      <w:spacing w:line="240" w:lineRule="auto"/>
    </w:pPr>
    <w:rPr>
      <w:sz w:val="20"/>
      <w:szCs w:val="20"/>
    </w:rPr>
  </w:style>
  <w:style w:type="character" w:customStyle="1" w:styleId="CommentTextChar">
    <w:name w:val="Comment Text Char"/>
    <w:basedOn w:val="DefaultParagraphFont"/>
    <w:link w:val="CommentText"/>
    <w:uiPriority w:val="99"/>
    <w:rsid w:val="00AA4F90"/>
    <w:rPr>
      <w:sz w:val="20"/>
      <w:szCs w:val="20"/>
    </w:rPr>
  </w:style>
  <w:style w:type="paragraph" w:styleId="CommentSubject">
    <w:name w:val="annotation subject"/>
    <w:basedOn w:val="CommentText"/>
    <w:next w:val="CommentText"/>
    <w:link w:val="CommentSubjectChar"/>
    <w:uiPriority w:val="99"/>
    <w:semiHidden/>
    <w:unhideWhenUsed/>
    <w:rsid w:val="00AA4F90"/>
    <w:rPr>
      <w:b/>
      <w:bCs/>
    </w:rPr>
  </w:style>
  <w:style w:type="character" w:customStyle="1" w:styleId="CommentSubjectChar">
    <w:name w:val="Comment Subject Char"/>
    <w:basedOn w:val="CommentTextChar"/>
    <w:link w:val="CommentSubject"/>
    <w:uiPriority w:val="99"/>
    <w:semiHidden/>
    <w:rsid w:val="00AA4F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79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2000</Words>
  <Characters>11684</Characters>
  <Application>Microsoft Office Word</Application>
  <DocSecurity>0</DocSecurity>
  <Lines>233</Lines>
  <Paragraphs>114</Paragraphs>
  <ScaleCrop>false</ScaleCrop>
  <HeadingPairs>
    <vt:vector size="2" baseType="variant">
      <vt:variant>
        <vt:lpstr>Title</vt:lpstr>
      </vt:variant>
      <vt:variant>
        <vt:i4>1</vt:i4>
      </vt:variant>
    </vt:vector>
  </HeadingPairs>
  <TitlesOfParts>
    <vt:vector size="1" baseType="lpstr">
      <vt:lpstr>Treasury Audit and Risk Committee Charter</vt:lpstr>
    </vt:vector>
  </TitlesOfParts>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Audit and Risk Committee Charter</dc:title>
  <dc:subject/>
  <dc:creator>Treasury</dc:creator>
  <cp:keywords/>
  <dc:description/>
  <cp:lastModifiedBy>Hill, Christine</cp:lastModifiedBy>
  <cp:revision>3</cp:revision>
  <dcterms:created xsi:type="dcterms:W3CDTF">2024-02-04T22:41:00Z</dcterms:created>
  <dcterms:modified xsi:type="dcterms:W3CDTF">2024-02-04T22:42:00Z</dcterms:modified>
</cp:coreProperties>
</file>