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2087AE8E" w14:textId="77777777" w:rsidR="00A652B8" w:rsidRPr="006D0240" w:rsidRDefault="00A652B8" w:rsidP="008E6292">
          <w:r>
            <w:rPr>
              <w:noProof/>
              <w:lang w:eastAsia="zh-CN"/>
            </w:rPr>
            <w:drawing>
              <wp:anchor distT="0" distB="0" distL="114300" distR="114300" simplePos="0" relativeHeight="251655168" behindDoc="1" locked="0" layoutInCell="1" allowOverlap="1" wp14:anchorId="20FDFBDD" wp14:editId="0325090F">
                <wp:simplePos x="0" y="0"/>
                <wp:positionH relativeFrom="page">
                  <wp:align>right</wp:align>
                </wp:positionH>
                <wp:positionV relativeFrom="page">
                  <wp:align>bottom</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104035C9" w14:textId="789D5615" w:rsidR="00A652B8" w:rsidRPr="006D0240" w:rsidRDefault="00A652B8" w:rsidP="00151A07">
          <w:pPr>
            <w:pStyle w:val="Header"/>
            <w:spacing w:after="1320"/>
            <w:jc w:val="left"/>
          </w:pPr>
        </w:p>
        <w:p w14:paraId="0A5C1C57" w14:textId="165B9959" w:rsidR="00A652B8" w:rsidRPr="001D4EAA" w:rsidRDefault="00BC6B20" w:rsidP="001D4EAA">
          <w:pPr>
            <w:pStyle w:val="Title"/>
          </w:pPr>
          <w:r>
            <w:t xml:space="preserve">Annual Superannuation </w:t>
          </w:r>
          <w:r w:rsidR="000705F3">
            <w:t xml:space="preserve">Performance </w:t>
          </w:r>
          <w:r>
            <w:t>T</w:t>
          </w:r>
          <w:r w:rsidR="000705F3">
            <w:t xml:space="preserve">est </w:t>
          </w:r>
          <w:r>
            <w:t xml:space="preserve">- </w:t>
          </w:r>
          <w:r w:rsidR="000705F3">
            <w:t>design</w:t>
          </w:r>
          <w:r w:rsidR="000317ED">
            <w:t xml:space="preserve"> options</w:t>
          </w:r>
        </w:p>
        <w:p w14:paraId="0AB7F18D" w14:textId="77777777" w:rsidR="00A652B8" w:rsidRPr="001D4EAA" w:rsidRDefault="00A652B8" w:rsidP="00082FC2">
          <w:pPr>
            <w:pStyle w:val="Subtitle"/>
            <w:spacing w:after="240"/>
          </w:pPr>
          <w:r>
            <w:t>Consultation paper</w:t>
          </w:r>
        </w:p>
        <w:p w14:paraId="4DBA6DB0" w14:textId="23EF5CB6" w:rsidR="00A652B8" w:rsidRDefault="00F2204E" w:rsidP="001D4EAA">
          <w:pPr>
            <w:pStyle w:val="ReportDate"/>
            <w:rPr>
              <w:rFonts w:ascii="Rockwell" w:hAnsi="Rockwell"/>
              <w:sz w:val="24"/>
            </w:rPr>
          </w:pPr>
          <w:r>
            <w:rPr>
              <w:rStyle w:val="ReportDateChar"/>
            </w:rPr>
            <w:t xml:space="preserve">March </w:t>
          </w:r>
          <w:r w:rsidR="00F93D34">
            <w:rPr>
              <w:rStyle w:val="ReportDateChar"/>
            </w:rPr>
            <w:t>2024</w:t>
          </w:r>
        </w:p>
        <w:p w14:paraId="4D3BACD3" w14:textId="77777777" w:rsidR="00A652B8" w:rsidRDefault="00A652B8" w:rsidP="00775702">
          <w:pPr>
            <w:spacing w:after="1640"/>
          </w:pPr>
        </w:p>
        <w:p w14:paraId="0561FB50" w14:textId="77777777" w:rsidR="00A652B8" w:rsidRDefault="00A652B8" w:rsidP="00775702">
          <w:pPr>
            <w:spacing w:after="1640"/>
          </w:pPr>
        </w:p>
        <w:p w14:paraId="1AF2EBAE" w14:textId="77777777" w:rsidR="00A652B8" w:rsidRDefault="00A652B8">
          <w:pPr>
            <w:spacing w:before="0" w:after="160" w:line="259" w:lineRule="auto"/>
          </w:pPr>
          <w:r>
            <w:br w:type="page"/>
          </w:r>
        </w:p>
      </w:sdtContent>
    </w:sdt>
    <w:p w14:paraId="74482DDA" w14:textId="77777777" w:rsidR="000E0B74" w:rsidRDefault="000E0B74" w:rsidP="000E0B74">
      <w:pPr>
        <w:sectPr w:rsidR="000E0B74" w:rsidSect="00555D14">
          <w:footerReference w:type="even" r:id="rId8"/>
          <w:footerReference w:type="default" r:id="rId9"/>
          <w:headerReference w:type="first" r:id="rId10"/>
          <w:footerReference w:type="first" r:id="rId11"/>
          <w:pgSz w:w="11906" w:h="16838" w:code="9"/>
          <w:pgMar w:top="1843" w:right="1418" w:bottom="1418" w:left="1418" w:header="709" w:footer="709" w:gutter="0"/>
          <w:pgNumType w:fmt="lowerRoman" w:start="0"/>
          <w:cols w:space="720"/>
          <w:titlePg/>
          <w:docGrid w:linePitch="299"/>
        </w:sectPr>
      </w:pPr>
    </w:p>
    <w:p w14:paraId="68C2EBDD" w14:textId="4C94B32E" w:rsidR="000E0B74" w:rsidRDefault="000E0B74" w:rsidP="000E0B74">
      <w:pPr>
        <w:spacing w:before="240"/>
      </w:pPr>
      <w:r w:rsidRPr="00661BF0">
        <w:lastRenderedPageBreak/>
        <w:t xml:space="preserve">© Commonwealth of Australia </w:t>
      </w:r>
      <w:r w:rsidRPr="00930E05">
        <w:t>20</w:t>
      </w:r>
      <w:r w:rsidR="00EF2FBF" w:rsidRPr="00930E05">
        <w:t>2</w:t>
      </w:r>
      <w:r w:rsidR="007B13B7">
        <w:t>4</w:t>
      </w:r>
    </w:p>
    <w:p w14:paraId="18DF5BEC" w14:textId="4585CA69"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2"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3"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4BD63005" w14:textId="77777777" w:rsidR="000E0B74" w:rsidRDefault="000E0B74" w:rsidP="000E0B74">
      <w:pPr>
        <w:pStyle w:val="ChartGraphic"/>
        <w:jc w:val="left"/>
      </w:pPr>
      <w:r w:rsidRPr="00E56DFB">
        <w:rPr>
          <w:noProof/>
          <w:lang w:eastAsia="zh-CN"/>
        </w:rPr>
        <w:drawing>
          <wp:inline distT="0" distB="0" distL="0" distR="0" wp14:anchorId="7FC620AD" wp14:editId="6EE078BE">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2FD0E00"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5" w:history="1">
        <w:r w:rsidRPr="002F1BC2">
          <w:rPr>
            <w:rStyle w:val="Hyperlink"/>
          </w:rPr>
          <w:t>Creative Commons Attribution 3.0 Australia</w:t>
        </w:r>
      </w:hyperlink>
      <w:r w:rsidR="00474693">
        <w:t xml:space="preserve"> l</w:t>
      </w:r>
      <w:r w:rsidRPr="006627B4">
        <w:t>icence requires you to attribute the work (but not in any way that suggests that the Treasury endorse</w:t>
      </w:r>
      <w:r>
        <w:t>s you or your use of the work).</w:t>
      </w:r>
    </w:p>
    <w:p w14:paraId="710EFC33" w14:textId="77777777" w:rsidR="000E0B74" w:rsidRPr="0031276E" w:rsidRDefault="000E0B74" w:rsidP="0031276E">
      <w:pPr>
        <w:spacing w:before="240"/>
        <w:rPr>
          <w:b/>
        </w:rPr>
      </w:pPr>
      <w:r w:rsidRPr="0031276E">
        <w:rPr>
          <w:b/>
        </w:rPr>
        <w:t>Treasury material used ‘as supplied’</w:t>
      </w:r>
    </w:p>
    <w:p w14:paraId="66EE2770"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96BD7B7" w14:textId="4D3CE0E3" w:rsidR="000E0B74" w:rsidRPr="00A13A11" w:rsidRDefault="000E0B74" w:rsidP="000E0B74">
      <w:pPr>
        <w:ind w:firstLine="720"/>
      </w:pPr>
      <w:r w:rsidRPr="002F1BC2">
        <w:rPr>
          <w:i/>
        </w:rPr>
        <w:t xml:space="preserve">Source: The </w:t>
      </w:r>
      <w:r w:rsidRPr="002F1BC2">
        <w:rPr>
          <w:i/>
          <w:iCs/>
        </w:rPr>
        <w:t>Australian Government the Treasury</w:t>
      </w:r>
      <w:r w:rsidR="00930E05">
        <w:t>.</w:t>
      </w:r>
    </w:p>
    <w:p w14:paraId="193F7421" w14:textId="77777777" w:rsidR="000E0B74" w:rsidRPr="006627B4" w:rsidRDefault="000E0B74" w:rsidP="000E0B74">
      <w:pPr>
        <w:spacing w:before="240"/>
      </w:pPr>
      <w:r w:rsidRPr="00CC63CC">
        <w:rPr>
          <w:b/>
        </w:rPr>
        <w:t>Derivative</w:t>
      </w:r>
      <w:r w:rsidRPr="006627B4">
        <w:t xml:space="preserve"> </w:t>
      </w:r>
      <w:r w:rsidRPr="00CC63CC">
        <w:rPr>
          <w:b/>
        </w:rPr>
        <w:t>material</w:t>
      </w:r>
    </w:p>
    <w:p w14:paraId="3256D800"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48A952D0" w14:textId="04A83DDA" w:rsidR="000E0B74" w:rsidRPr="006627B4" w:rsidRDefault="000E0B74" w:rsidP="000E0B74">
      <w:pPr>
        <w:ind w:firstLine="720"/>
      </w:pPr>
      <w:r w:rsidRPr="002F1BC2">
        <w:rPr>
          <w:i/>
        </w:rPr>
        <w:t>Based on The Australian Government the Treasury data</w:t>
      </w:r>
      <w:r w:rsidR="00930E05">
        <w:t>.</w:t>
      </w:r>
    </w:p>
    <w:p w14:paraId="22DAD519" w14:textId="77777777" w:rsidR="000E0B74" w:rsidRPr="006627B4" w:rsidRDefault="000E0B74" w:rsidP="000E0B74">
      <w:pPr>
        <w:spacing w:before="240"/>
        <w:rPr>
          <w:b/>
        </w:rPr>
      </w:pPr>
      <w:r w:rsidRPr="006627B4">
        <w:rPr>
          <w:b/>
        </w:rPr>
        <w:t>Use of the Coat of Arms</w:t>
      </w:r>
    </w:p>
    <w:p w14:paraId="402DEA43"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6" w:history="1">
        <w:r w:rsidR="00474693" w:rsidRPr="00770ED6">
          <w:rPr>
            <w:rStyle w:val="Hyperlink"/>
          </w:rPr>
          <w:t>www.pmc.gov.au/government/commonwealth-coat-arms</w:t>
        </w:r>
      </w:hyperlink>
      <w:r w:rsidRPr="004A7BC2">
        <w:t>).</w:t>
      </w:r>
    </w:p>
    <w:p w14:paraId="3C80DF70" w14:textId="77777777" w:rsidR="000E0B74" w:rsidRPr="006627B4" w:rsidRDefault="000E0B74" w:rsidP="000E0B74">
      <w:pPr>
        <w:spacing w:before="240"/>
        <w:rPr>
          <w:b/>
        </w:rPr>
      </w:pPr>
      <w:r>
        <w:rPr>
          <w:b/>
        </w:rPr>
        <w:t>Other u</w:t>
      </w:r>
      <w:r w:rsidRPr="006627B4">
        <w:rPr>
          <w:b/>
        </w:rPr>
        <w:t>ses</w:t>
      </w:r>
    </w:p>
    <w:p w14:paraId="37089006" w14:textId="77777777" w:rsidR="000E0B74" w:rsidRPr="006627B4" w:rsidRDefault="000E0B74" w:rsidP="000E0B74">
      <w:r>
        <w:t>E</w:t>
      </w:r>
      <w:r w:rsidRPr="006627B4">
        <w:t>nquiries regarding this licence and any other use of this document are welcome at:</w:t>
      </w:r>
    </w:p>
    <w:p w14:paraId="5E8A02D4" w14:textId="77777777" w:rsidR="000E0B74" w:rsidRPr="002F1BC2" w:rsidRDefault="000E0B74" w:rsidP="000E0B74">
      <w:pPr>
        <w:ind w:left="720"/>
        <w:rPr>
          <w:rStyle w:val="Hyperlink"/>
        </w:rPr>
      </w:pPr>
      <w:r w:rsidRPr="006627B4">
        <w:t>Manager</w:t>
      </w:r>
      <w:r w:rsidR="009A668A">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7" w:history="1">
        <w:r w:rsidR="004A077D" w:rsidRPr="000951A5">
          <w:rPr>
            <w:rStyle w:val="Hyperlink"/>
          </w:rPr>
          <w:t>media@treasury.gov.au</w:t>
        </w:r>
      </w:hyperlink>
      <w:r w:rsidR="004A077D">
        <w:t xml:space="preserve"> </w:t>
      </w:r>
    </w:p>
    <w:p w14:paraId="6F9B783F" w14:textId="77777777" w:rsidR="000E0B74" w:rsidRDefault="000E0B74" w:rsidP="000E0B74">
      <w:pPr>
        <w:pStyle w:val="SingleParagraph"/>
        <w:sectPr w:rsidR="000E0B74" w:rsidSect="008043EA">
          <w:headerReference w:type="even" r:id="rId18"/>
          <w:headerReference w:type="default" r:id="rId19"/>
          <w:footerReference w:type="even" r:id="rId20"/>
          <w:pgSz w:w="11906" w:h="16838" w:code="9"/>
          <w:pgMar w:top="1843" w:right="1418" w:bottom="1418" w:left="1418" w:header="709" w:footer="709" w:gutter="0"/>
          <w:pgNumType w:fmt="lowerRoman"/>
          <w:cols w:space="708"/>
          <w:titlePg/>
          <w:docGrid w:linePitch="360"/>
        </w:sectPr>
      </w:pPr>
    </w:p>
    <w:p w14:paraId="48AEC5D2" w14:textId="34B482FD" w:rsidR="00E94B03" w:rsidRDefault="00257AEE">
      <w:pPr>
        <w:pStyle w:val="TOC1"/>
        <w:rPr>
          <w:rFonts w:asciiTheme="minorHAnsi" w:eastAsiaTheme="minorEastAsia" w:hAnsiTheme="minorHAnsi" w:cstheme="minorBidi"/>
          <w:b w:val="0"/>
          <w:color w:val="auto"/>
        </w:rPr>
      </w:pPr>
      <w:r>
        <w:rPr>
          <w:rFonts w:ascii="Calibri" w:hAnsi="Calibri" w:cs="Arial"/>
          <w:noProof w:val="0"/>
          <w:color w:val="2C384A" w:themeColor="accent1"/>
          <w:kern w:val="32"/>
          <w:sz w:val="44"/>
          <w:szCs w:val="36"/>
        </w:rPr>
        <w:fldChar w:fldCharType="begin"/>
      </w:r>
      <w:r>
        <w:instrText xml:space="preserve"> TOC \o "1-2" \h \z \t "Heading 3,3,Chart Main Heading,3,Table Main Heading,3,Heading 3 Numbered,3,Table Heading Continued,3" </w:instrText>
      </w:r>
      <w:r>
        <w:rPr>
          <w:rFonts w:ascii="Calibri" w:hAnsi="Calibri" w:cs="Arial"/>
          <w:noProof w:val="0"/>
          <w:color w:val="2C384A" w:themeColor="accent1"/>
          <w:kern w:val="32"/>
          <w:sz w:val="44"/>
          <w:szCs w:val="36"/>
        </w:rPr>
        <w:fldChar w:fldCharType="separate"/>
      </w:r>
      <w:hyperlink w:anchor="_Toc155955167" w:history="1">
        <w:r w:rsidR="00E94B03" w:rsidRPr="00DD0449">
          <w:rPr>
            <w:rStyle w:val="Hyperlink"/>
          </w:rPr>
          <w:t>Consultation Process</w:t>
        </w:r>
        <w:r w:rsidR="00E94B03">
          <w:rPr>
            <w:webHidden/>
          </w:rPr>
          <w:tab/>
        </w:r>
        <w:r w:rsidR="00E94B03">
          <w:rPr>
            <w:webHidden/>
          </w:rPr>
          <w:fldChar w:fldCharType="begin"/>
        </w:r>
        <w:r w:rsidR="00E94B03">
          <w:rPr>
            <w:webHidden/>
          </w:rPr>
          <w:instrText xml:space="preserve"> PAGEREF _Toc155955167 \h </w:instrText>
        </w:r>
        <w:r w:rsidR="00E94B03">
          <w:rPr>
            <w:webHidden/>
          </w:rPr>
        </w:r>
        <w:r w:rsidR="00E94B03">
          <w:rPr>
            <w:webHidden/>
          </w:rPr>
          <w:fldChar w:fldCharType="separate"/>
        </w:r>
        <w:r w:rsidR="000D1B3A">
          <w:rPr>
            <w:webHidden/>
          </w:rPr>
          <w:t>3</w:t>
        </w:r>
        <w:r w:rsidR="00E94B03">
          <w:rPr>
            <w:webHidden/>
          </w:rPr>
          <w:fldChar w:fldCharType="end"/>
        </w:r>
      </w:hyperlink>
    </w:p>
    <w:p w14:paraId="73E7D8DC" w14:textId="225DF608" w:rsidR="00E94B03" w:rsidRDefault="005E1008">
      <w:pPr>
        <w:pStyle w:val="TOC2"/>
        <w:rPr>
          <w:rFonts w:asciiTheme="minorHAnsi" w:eastAsiaTheme="minorEastAsia" w:hAnsiTheme="minorHAnsi" w:cstheme="minorBidi"/>
          <w:color w:val="auto"/>
          <w:szCs w:val="22"/>
        </w:rPr>
      </w:pPr>
      <w:hyperlink w:anchor="_Toc155955168" w:history="1">
        <w:r w:rsidR="00E94B03" w:rsidRPr="00DD0449">
          <w:rPr>
            <w:rStyle w:val="Hyperlink"/>
          </w:rPr>
          <w:t>Request for feedback and comments</w:t>
        </w:r>
        <w:r w:rsidR="00E94B03">
          <w:rPr>
            <w:webHidden/>
          </w:rPr>
          <w:tab/>
        </w:r>
        <w:r w:rsidR="00E94B03">
          <w:rPr>
            <w:webHidden/>
          </w:rPr>
          <w:fldChar w:fldCharType="begin"/>
        </w:r>
        <w:r w:rsidR="00E94B03">
          <w:rPr>
            <w:webHidden/>
          </w:rPr>
          <w:instrText xml:space="preserve"> PAGEREF _Toc155955168 \h </w:instrText>
        </w:r>
        <w:r w:rsidR="00E94B03">
          <w:rPr>
            <w:webHidden/>
          </w:rPr>
        </w:r>
        <w:r w:rsidR="00E94B03">
          <w:rPr>
            <w:webHidden/>
          </w:rPr>
          <w:fldChar w:fldCharType="separate"/>
        </w:r>
        <w:r w:rsidR="000D1B3A">
          <w:rPr>
            <w:webHidden/>
          </w:rPr>
          <w:t>3</w:t>
        </w:r>
        <w:r w:rsidR="00E94B03">
          <w:rPr>
            <w:webHidden/>
          </w:rPr>
          <w:fldChar w:fldCharType="end"/>
        </w:r>
      </w:hyperlink>
    </w:p>
    <w:p w14:paraId="20776C61" w14:textId="640C3122" w:rsidR="00E94B03" w:rsidRDefault="005E1008">
      <w:pPr>
        <w:pStyle w:val="TOC2"/>
        <w:rPr>
          <w:rFonts w:asciiTheme="minorHAnsi" w:eastAsiaTheme="minorEastAsia" w:hAnsiTheme="minorHAnsi" w:cstheme="minorBidi"/>
          <w:color w:val="auto"/>
          <w:szCs w:val="22"/>
        </w:rPr>
      </w:pPr>
      <w:hyperlink w:anchor="_Toc155955169" w:history="1">
        <w:r w:rsidR="00E94B03" w:rsidRPr="00DD0449">
          <w:rPr>
            <w:rStyle w:val="Hyperlink"/>
          </w:rPr>
          <w:t>Executive summary</w:t>
        </w:r>
        <w:r w:rsidR="00E94B03">
          <w:rPr>
            <w:webHidden/>
          </w:rPr>
          <w:tab/>
        </w:r>
        <w:r w:rsidR="00E94B03">
          <w:rPr>
            <w:webHidden/>
          </w:rPr>
          <w:fldChar w:fldCharType="begin"/>
        </w:r>
        <w:r w:rsidR="00E94B03">
          <w:rPr>
            <w:webHidden/>
          </w:rPr>
          <w:instrText xml:space="preserve"> PAGEREF _Toc155955169 \h </w:instrText>
        </w:r>
        <w:r w:rsidR="00E94B03">
          <w:rPr>
            <w:webHidden/>
          </w:rPr>
        </w:r>
        <w:r w:rsidR="00E94B03">
          <w:rPr>
            <w:webHidden/>
          </w:rPr>
          <w:fldChar w:fldCharType="separate"/>
        </w:r>
        <w:r w:rsidR="000D1B3A">
          <w:rPr>
            <w:webHidden/>
          </w:rPr>
          <w:t>4</w:t>
        </w:r>
        <w:r w:rsidR="00E94B03">
          <w:rPr>
            <w:webHidden/>
          </w:rPr>
          <w:fldChar w:fldCharType="end"/>
        </w:r>
      </w:hyperlink>
    </w:p>
    <w:p w14:paraId="208593D7" w14:textId="3A6F2801" w:rsidR="00E94B03" w:rsidRDefault="005E1008">
      <w:pPr>
        <w:pStyle w:val="TOC2"/>
        <w:rPr>
          <w:rFonts w:asciiTheme="minorHAnsi" w:eastAsiaTheme="minorEastAsia" w:hAnsiTheme="minorHAnsi" w:cstheme="minorBidi"/>
          <w:color w:val="auto"/>
          <w:szCs w:val="22"/>
        </w:rPr>
      </w:pPr>
      <w:hyperlink w:anchor="_Toc155955170" w:history="1">
        <w:r w:rsidR="00E94B03" w:rsidRPr="00DD0449">
          <w:rPr>
            <w:rStyle w:val="Hyperlink"/>
          </w:rPr>
          <w:t>Background</w:t>
        </w:r>
        <w:r w:rsidR="00E94B03">
          <w:rPr>
            <w:webHidden/>
          </w:rPr>
          <w:tab/>
        </w:r>
        <w:r w:rsidR="00E94B03">
          <w:rPr>
            <w:webHidden/>
          </w:rPr>
          <w:fldChar w:fldCharType="begin"/>
        </w:r>
        <w:r w:rsidR="00E94B03">
          <w:rPr>
            <w:webHidden/>
          </w:rPr>
          <w:instrText xml:space="preserve"> PAGEREF _Toc155955170 \h </w:instrText>
        </w:r>
        <w:r w:rsidR="00E94B03">
          <w:rPr>
            <w:webHidden/>
          </w:rPr>
        </w:r>
        <w:r w:rsidR="00E94B03">
          <w:rPr>
            <w:webHidden/>
          </w:rPr>
          <w:fldChar w:fldCharType="separate"/>
        </w:r>
        <w:r w:rsidR="000D1B3A">
          <w:rPr>
            <w:webHidden/>
          </w:rPr>
          <w:t>5</w:t>
        </w:r>
        <w:r w:rsidR="00E94B03">
          <w:rPr>
            <w:webHidden/>
          </w:rPr>
          <w:fldChar w:fldCharType="end"/>
        </w:r>
      </w:hyperlink>
    </w:p>
    <w:p w14:paraId="7BDA2BF9" w14:textId="24DB98BD" w:rsidR="00E94B03" w:rsidRDefault="005E1008">
      <w:pPr>
        <w:pStyle w:val="TOC2"/>
        <w:rPr>
          <w:rFonts w:asciiTheme="minorHAnsi" w:eastAsiaTheme="minorEastAsia" w:hAnsiTheme="minorHAnsi" w:cstheme="minorBidi"/>
          <w:color w:val="auto"/>
          <w:szCs w:val="22"/>
        </w:rPr>
      </w:pPr>
      <w:hyperlink w:anchor="_Toc155955172" w:history="1">
        <w:r w:rsidR="00E94B03" w:rsidRPr="00DD0449">
          <w:rPr>
            <w:rStyle w:val="Hyperlink"/>
          </w:rPr>
          <w:t>Options for Reform</w:t>
        </w:r>
        <w:r w:rsidR="00E94B03">
          <w:rPr>
            <w:webHidden/>
          </w:rPr>
          <w:tab/>
        </w:r>
        <w:r w:rsidR="00E94B03">
          <w:rPr>
            <w:webHidden/>
          </w:rPr>
          <w:fldChar w:fldCharType="begin"/>
        </w:r>
        <w:r w:rsidR="00E94B03">
          <w:rPr>
            <w:webHidden/>
          </w:rPr>
          <w:instrText xml:space="preserve"> PAGEREF _Toc155955172 \h </w:instrText>
        </w:r>
        <w:r w:rsidR="00E94B03">
          <w:rPr>
            <w:webHidden/>
          </w:rPr>
        </w:r>
        <w:r w:rsidR="00E94B03">
          <w:rPr>
            <w:webHidden/>
          </w:rPr>
          <w:fldChar w:fldCharType="separate"/>
        </w:r>
        <w:r w:rsidR="000D1B3A">
          <w:rPr>
            <w:webHidden/>
          </w:rPr>
          <w:t>10</w:t>
        </w:r>
        <w:r w:rsidR="00E94B03">
          <w:rPr>
            <w:webHidden/>
          </w:rPr>
          <w:fldChar w:fldCharType="end"/>
        </w:r>
      </w:hyperlink>
    </w:p>
    <w:p w14:paraId="7BD5F893" w14:textId="0BC9A4FD" w:rsidR="00E94B03" w:rsidRDefault="005E1008">
      <w:pPr>
        <w:pStyle w:val="TOC2"/>
        <w:rPr>
          <w:rFonts w:asciiTheme="minorHAnsi" w:eastAsiaTheme="minorEastAsia" w:hAnsiTheme="minorHAnsi" w:cstheme="minorBidi"/>
          <w:color w:val="auto"/>
          <w:szCs w:val="22"/>
        </w:rPr>
      </w:pPr>
      <w:hyperlink w:anchor="_Toc155955173" w:history="1">
        <w:r w:rsidR="00E94B03" w:rsidRPr="00DD0449">
          <w:rPr>
            <w:rStyle w:val="Hyperlink"/>
          </w:rPr>
          <w:t>Design options</w:t>
        </w:r>
        <w:r w:rsidR="00E94B03">
          <w:rPr>
            <w:webHidden/>
          </w:rPr>
          <w:tab/>
        </w:r>
        <w:r w:rsidR="00E94B03">
          <w:rPr>
            <w:webHidden/>
          </w:rPr>
          <w:fldChar w:fldCharType="begin"/>
        </w:r>
        <w:r w:rsidR="00E94B03">
          <w:rPr>
            <w:webHidden/>
          </w:rPr>
          <w:instrText xml:space="preserve"> PAGEREF _Toc155955173 \h </w:instrText>
        </w:r>
        <w:r w:rsidR="00E94B03">
          <w:rPr>
            <w:webHidden/>
          </w:rPr>
        </w:r>
        <w:r w:rsidR="00E94B03">
          <w:rPr>
            <w:webHidden/>
          </w:rPr>
          <w:fldChar w:fldCharType="separate"/>
        </w:r>
        <w:r w:rsidR="000D1B3A">
          <w:rPr>
            <w:webHidden/>
          </w:rPr>
          <w:t>11</w:t>
        </w:r>
        <w:r w:rsidR="00E94B03">
          <w:rPr>
            <w:webHidden/>
          </w:rPr>
          <w:fldChar w:fldCharType="end"/>
        </w:r>
      </w:hyperlink>
    </w:p>
    <w:p w14:paraId="5AAE08D3" w14:textId="7AED77BD" w:rsidR="00E94B03" w:rsidRDefault="005E1008">
      <w:pPr>
        <w:pStyle w:val="TOC3"/>
        <w:tabs>
          <w:tab w:val="left" w:pos="880"/>
        </w:tabs>
        <w:rPr>
          <w:rFonts w:asciiTheme="minorHAnsi" w:eastAsiaTheme="minorEastAsia" w:hAnsiTheme="minorHAnsi" w:cstheme="minorBidi"/>
          <w:szCs w:val="22"/>
        </w:rPr>
      </w:pPr>
      <w:hyperlink w:anchor="_Toc155955174" w:history="1">
        <w:r w:rsidR="00E94B03" w:rsidRPr="00DD0449">
          <w:rPr>
            <w:rStyle w:val="Hyperlink"/>
          </w:rPr>
          <w:t>1.</w:t>
        </w:r>
        <w:r w:rsidR="00DB642A">
          <w:rPr>
            <w:rFonts w:asciiTheme="minorHAnsi" w:eastAsiaTheme="minorEastAsia" w:hAnsiTheme="minorHAnsi" w:cstheme="minorBidi"/>
            <w:szCs w:val="22"/>
          </w:rPr>
          <w:t xml:space="preserve"> </w:t>
        </w:r>
        <w:r w:rsidR="00E94B03" w:rsidRPr="00DD0449">
          <w:rPr>
            <w:rStyle w:val="Hyperlink"/>
          </w:rPr>
          <w:t>Status quo – SAA Benchmark Portfolio</w:t>
        </w:r>
        <w:r w:rsidR="00E94B03">
          <w:rPr>
            <w:webHidden/>
          </w:rPr>
          <w:tab/>
        </w:r>
        <w:r w:rsidR="00E94B03">
          <w:rPr>
            <w:webHidden/>
          </w:rPr>
          <w:fldChar w:fldCharType="begin"/>
        </w:r>
        <w:r w:rsidR="00E94B03">
          <w:rPr>
            <w:webHidden/>
          </w:rPr>
          <w:instrText xml:space="preserve"> PAGEREF _Toc155955174 \h </w:instrText>
        </w:r>
        <w:r w:rsidR="00E94B03">
          <w:rPr>
            <w:webHidden/>
          </w:rPr>
        </w:r>
        <w:r w:rsidR="00E94B03">
          <w:rPr>
            <w:webHidden/>
          </w:rPr>
          <w:fldChar w:fldCharType="separate"/>
        </w:r>
        <w:r w:rsidR="000D1B3A">
          <w:rPr>
            <w:webHidden/>
          </w:rPr>
          <w:t>13</w:t>
        </w:r>
        <w:r w:rsidR="00E94B03">
          <w:rPr>
            <w:webHidden/>
          </w:rPr>
          <w:fldChar w:fldCharType="end"/>
        </w:r>
      </w:hyperlink>
    </w:p>
    <w:p w14:paraId="6195765E" w14:textId="372C05BE" w:rsidR="00E94B03" w:rsidRDefault="005E1008">
      <w:pPr>
        <w:pStyle w:val="TOC3"/>
        <w:rPr>
          <w:rFonts w:asciiTheme="minorHAnsi" w:eastAsiaTheme="minorEastAsia" w:hAnsiTheme="minorHAnsi" w:cstheme="minorBidi"/>
          <w:szCs w:val="22"/>
        </w:rPr>
      </w:pPr>
      <w:hyperlink w:anchor="_Toc155955175" w:history="1">
        <w:r w:rsidR="00E94B03" w:rsidRPr="00DD0449">
          <w:rPr>
            <w:rStyle w:val="Hyperlink"/>
          </w:rPr>
          <w:t>2. Alternative single-metric test</w:t>
        </w:r>
        <w:r w:rsidR="00E94B03">
          <w:rPr>
            <w:webHidden/>
          </w:rPr>
          <w:tab/>
        </w:r>
        <w:r w:rsidR="00E94B03">
          <w:rPr>
            <w:webHidden/>
          </w:rPr>
          <w:fldChar w:fldCharType="begin"/>
        </w:r>
        <w:r w:rsidR="00E94B03">
          <w:rPr>
            <w:webHidden/>
          </w:rPr>
          <w:instrText xml:space="preserve"> PAGEREF _Toc155955175 \h </w:instrText>
        </w:r>
        <w:r w:rsidR="00E94B03">
          <w:rPr>
            <w:webHidden/>
          </w:rPr>
        </w:r>
        <w:r w:rsidR="00E94B03">
          <w:rPr>
            <w:webHidden/>
          </w:rPr>
          <w:fldChar w:fldCharType="separate"/>
        </w:r>
        <w:r w:rsidR="000D1B3A">
          <w:rPr>
            <w:webHidden/>
          </w:rPr>
          <w:t>17</w:t>
        </w:r>
        <w:r w:rsidR="00E94B03">
          <w:rPr>
            <w:webHidden/>
          </w:rPr>
          <w:fldChar w:fldCharType="end"/>
        </w:r>
      </w:hyperlink>
    </w:p>
    <w:p w14:paraId="24600945" w14:textId="27B79CCC" w:rsidR="00E94B03" w:rsidRDefault="005E1008">
      <w:pPr>
        <w:pStyle w:val="TOC3"/>
        <w:rPr>
          <w:rFonts w:asciiTheme="minorHAnsi" w:eastAsiaTheme="minorEastAsia" w:hAnsiTheme="minorHAnsi" w:cstheme="minorBidi"/>
          <w:szCs w:val="22"/>
        </w:rPr>
      </w:pPr>
      <w:hyperlink w:anchor="_Toc155955178" w:history="1">
        <w:r w:rsidR="00E94B03" w:rsidRPr="00DD0449">
          <w:rPr>
            <w:rStyle w:val="Hyperlink"/>
          </w:rPr>
          <w:t>3. Multi-metric test</w:t>
        </w:r>
        <w:r w:rsidR="00E94B03">
          <w:rPr>
            <w:webHidden/>
          </w:rPr>
          <w:tab/>
        </w:r>
        <w:r w:rsidR="00E94B03">
          <w:rPr>
            <w:webHidden/>
          </w:rPr>
          <w:fldChar w:fldCharType="begin"/>
        </w:r>
        <w:r w:rsidR="00E94B03">
          <w:rPr>
            <w:webHidden/>
          </w:rPr>
          <w:instrText xml:space="preserve"> PAGEREF _Toc155955178 \h </w:instrText>
        </w:r>
        <w:r w:rsidR="00E94B03">
          <w:rPr>
            <w:webHidden/>
          </w:rPr>
        </w:r>
        <w:r w:rsidR="00E94B03">
          <w:rPr>
            <w:webHidden/>
          </w:rPr>
          <w:fldChar w:fldCharType="separate"/>
        </w:r>
        <w:r w:rsidR="000D1B3A">
          <w:rPr>
            <w:webHidden/>
          </w:rPr>
          <w:t>24</w:t>
        </w:r>
        <w:r w:rsidR="00E94B03">
          <w:rPr>
            <w:webHidden/>
          </w:rPr>
          <w:fldChar w:fldCharType="end"/>
        </w:r>
      </w:hyperlink>
    </w:p>
    <w:p w14:paraId="0FCB2256" w14:textId="0BF2652E" w:rsidR="00E94B03" w:rsidRDefault="005E1008">
      <w:pPr>
        <w:pStyle w:val="TOC3"/>
        <w:rPr>
          <w:rFonts w:asciiTheme="minorHAnsi" w:eastAsiaTheme="minorEastAsia" w:hAnsiTheme="minorHAnsi" w:cstheme="minorBidi"/>
          <w:szCs w:val="22"/>
        </w:rPr>
      </w:pPr>
      <w:hyperlink w:anchor="_Toc155955180" w:history="1">
        <w:r w:rsidR="00E94B03" w:rsidRPr="00DD0449">
          <w:rPr>
            <w:rStyle w:val="Hyperlink"/>
          </w:rPr>
          <w:t>4. Alternative frameworks</w:t>
        </w:r>
        <w:r w:rsidR="00E94B03">
          <w:rPr>
            <w:webHidden/>
          </w:rPr>
          <w:tab/>
        </w:r>
        <w:r w:rsidR="00E94B03">
          <w:rPr>
            <w:webHidden/>
          </w:rPr>
          <w:fldChar w:fldCharType="begin"/>
        </w:r>
        <w:r w:rsidR="00E94B03">
          <w:rPr>
            <w:webHidden/>
          </w:rPr>
          <w:instrText xml:space="preserve"> PAGEREF _Toc155955180 \h </w:instrText>
        </w:r>
        <w:r w:rsidR="00E94B03">
          <w:rPr>
            <w:webHidden/>
          </w:rPr>
        </w:r>
        <w:r w:rsidR="00E94B03">
          <w:rPr>
            <w:webHidden/>
          </w:rPr>
          <w:fldChar w:fldCharType="separate"/>
        </w:r>
        <w:r w:rsidR="000D1B3A">
          <w:rPr>
            <w:webHidden/>
          </w:rPr>
          <w:t>31</w:t>
        </w:r>
        <w:r w:rsidR="00E94B03">
          <w:rPr>
            <w:webHidden/>
          </w:rPr>
          <w:fldChar w:fldCharType="end"/>
        </w:r>
      </w:hyperlink>
    </w:p>
    <w:p w14:paraId="7EF101A6" w14:textId="0985150C" w:rsidR="00E94B03" w:rsidRDefault="005E1008">
      <w:pPr>
        <w:pStyle w:val="TOC2"/>
        <w:rPr>
          <w:rFonts w:asciiTheme="minorHAnsi" w:eastAsiaTheme="minorEastAsia" w:hAnsiTheme="minorHAnsi" w:cstheme="minorBidi"/>
          <w:color w:val="auto"/>
          <w:szCs w:val="22"/>
        </w:rPr>
      </w:pPr>
      <w:hyperlink w:anchor="_Toc155955181" w:history="1">
        <w:r w:rsidR="00E94B03" w:rsidRPr="00DD0449">
          <w:rPr>
            <w:rStyle w:val="Hyperlink"/>
          </w:rPr>
          <w:t>Broader considerations for reform</w:t>
        </w:r>
        <w:r w:rsidR="00E94B03">
          <w:rPr>
            <w:webHidden/>
          </w:rPr>
          <w:tab/>
        </w:r>
        <w:r w:rsidR="00E94B03">
          <w:rPr>
            <w:webHidden/>
          </w:rPr>
          <w:fldChar w:fldCharType="begin"/>
        </w:r>
        <w:r w:rsidR="00E94B03">
          <w:rPr>
            <w:webHidden/>
          </w:rPr>
          <w:instrText xml:space="preserve"> PAGEREF _Toc155955181 \h </w:instrText>
        </w:r>
        <w:r w:rsidR="00E94B03">
          <w:rPr>
            <w:webHidden/>
          </w:rPr>
        </w:r>
        <w:r w:rsidR="00E94B03">
          <w:rPr>
            <w:webHidden/>
          </w:rPr>
          <w:fldChar w:fldCharType="separate"/>
        </w:r>
        <w:r w:rsidR="000D1B3A">
          <w:rPr>
            <w:webHidden/>
          </w:rPr>
          <w:t>32</w:t>
        </w:r>
        <w:r w:rsidR="00E94B03">
          <w:rPr>
            <w:webHidden/>
          </w:rPr>
          <w:fldChar w:fldCharType="end"/>
        </w:r>
      </w:hyperlink>
    </w:p>
    <w:p w14:paraId="7ED93749" w14:textId="79C29500" w:rsidR="00E94B03" w:rsidRDefault="005E1008">
      <w:pPr>
        <w:pStyle w:val="TOC3"/>
        <w:rPr>
          <w:rFonts w:asciiTheme="minorHAnsi" w:eastAsiaTheme="minorEastAsia" w:hAnsiTheme="minorHAnsi" w:cstheme="minorBidi"/>
          <w:szCs w:val="22"/>
        </w:rPr>
      </w:pPr>
      <w:hyperlink w:anchor="_Toc155955182" w:history="1">
        <w:r w:rsidR="00E94B03" w:rsidRPr="00DD0449">
          <w:rPr>
            <w:rStyle w:val="Hyperlink"/>
          </w:rPr>
          <w:t>Scope of the test</w:t>
        </w:r>
        <w:r w:rsidR="00E94B03">
          <w:rPr>
            <w:webHidden/>
          </w:rPr>
          <w:tab/>
        </w:r>
        <w:r w:rsidR="00E94B03">
          <w:rPr>
            <w:webHidden/>
          </w:rPr>
          <w:fldChar w:fldCharType="begin"/>
        </w:r>
        <w:r w:rsidR="00E94B03">
          <w:rPr>
            <w:webHidden/>
          </w:rPr>
          <w:instrText xml:space="preserve"> PAGEREF _Toc155955182 \h </w:instrText>
        </w:r>
        <w:r w:rsidR="00E94B03">
          <w:rPr>
            <w:webHidden/>
          </w:rPr>
        </w:r>
        <w:r w:rsidR="00E94B03">
          <w:rPr>
            <w:webHidden/>
          </w:rPr>
          <w:fldChar w:fldCharType="separate"/>
        </w:r>
        <w:r w:rsidR="000D1B3A">
          <w:rPr>
            <w:webHidden/>
          </w:rPr>
          <w:t>32</w:t>
        </w:r>
        <w:r w:rsidR="00E94B03">
          <w:rPr>
            <w:webHidden/>
          </w:rPr>
          <w:fldChar w:fldCharType="end"/>
        </w:r>
      </w:hyperlink>
    </w:p>
    <w:p w14:paraId="7DF87D17" w14:textId="47457447" w:rsidR="00E94B03" w:rsidRDefault="005E1008">
      <w:pPr>
        <w:pStyle w:val="TOC3"/>
        <w:rPr>
          <w:rFonts w:asciiTheme="minorHAnsi" w:eastAsiaTheme="minorEastAsia" w:hAnsiTheme="minorHAnsi" w:cstheme="minorBidi"/>
          <w:szCs w:val="22"/>
        </w:rPr>
      </w:pPr>
      <w:hyperlink w:anchor="_Toc155955184" w:history="1">
        <w:r w:rsidR="00E94B03" w:rsidRPr="00DD0449">
          <w:rPr>
            <w:rStyle w:val="Hyperlink"/>
          </w:rPr>
          <w:t>Fees</w:t>
        </w:r>
        <w:r w:rsidR="00E94B03">
          <w:rPr>
            <w:webHidden/>
          </w:rPr>
          <w:tab/>
        </w:r>
        <w:r w:rsidR="00E94B03">
          <w:rPr>
            <w:webHidden/>
          </w:rPr>
          <w:fldChar w:fldCharType="begin"/>
        </w:r>
        <w:r w:rsidR="00E94B03">
          <w:rPr>
            <w:webHidden/>
          </w:rPr>
          <w:instrText xml:space="preserve"> PAGEREF _Toc155955184 \h </w:instrText>
        </w:r>
        <w:r w:rsidR="00E94B03">
          <w:rPr>
            <w:webHidden/>
          </w:rPr>
        </w:r>
        <w:r w:rsidR="00E94B03">
          <w:rPr>
            <w:webHidden/>
          </w:rPr>
          <w:fldChar w:fldCharType="separate"/>
        </w:r>
        <w:r w:rsidR="000D1B3A">
          <w:rPr>
            <w:webHidden/>
          </w:rPr>
          <w:t>37</w:t>
        </w:r>
        <w:r w:rsidR="00E94B03">
          <w:rPr>
            <w:webHidden/>
          </w:rPr>
          <w:fldChar w:fldCharType="end"/>
        </w:r>
      </w:hyperlink>
    </w:p>
    <w:p w14:paraId="2E06EE96" w14:textId="391F61BD" w:rsidR="00E94B03" w:rsidRDefault="005E1008">
      <w:pPr>
        <w:pStyle w:val="TOC3"/>
        <w:rPr>
          <w:rFonts w:asciiTheme="minorHAnsi" w:eastAsiaTheme="minorEastAsia" w:hAnsiTheme="minorHAnsi" w:cstheme="minorBidi"/>
          <w:szCs w:val="22"/>
        </w:rPr>
      </w:pPr>
      <w:hyperlink w:anchor="_Toc155955188" w:history="1">
        <w:r w:rsidR="00E94B03" w:rsidRPr="00DD0449">
          <w:rPr>
            <w:rStyle w:val="Hyperlink"/>
          </w:rPr>
          <w:t>Consequences</w:t>
        </w:r>
        <w:r w:rsidR="00E94B03">
          <w:rPr>
            <w:webHidden/>
          </w:rPr>
          <w:tab/>
        </w:r>
        <w:r w:rsidR="00E94B03">
          <w:rPr>
            <w:webHidden/>
          </w:rPr>
          <w:fldChar w:fldCharType="begin"/>
        </w:r>
        <w:r w:rsidR="00E94B03">
          <w:rPr>
            <w:webHidden/>
          </w:rPr>
          <w:instrText xml:space="preserve"> PAGEREF _Toc155955188 \h </w:instrText>
        </w:r>
        <w:r w:rsidR="00E94B03">
          <w:rPr>
            <w:webHidden/>
          </w:rPr>
        </w:r>
        <w:r w:rsidR="00E94B03">
          <w:rPr>
            <w:webHidden/>
          </w:rPr>
          <w:fldChar w:fldCharType="separate"/>
        </w:r>
        <w:r w:rsidR="000D1B3A">
          <w:rPr>
            <w:webHidden/>
          </w:rPr>
          <w:t>41</w:t>
        </w:r>
        <w:r w:rsidR="00E94B03">
          <w:rPr>
            <w:webHidden/>
          </w:rPr>
          <w:fldChar w:fldCharType="end"/>
        </w:r>
      </w:hyperlink>
    </w:p>
    <w:p w14:paraId="5AFBBC6E" w14:textId="764AE2C9" w:rsidR="00E94B03" w:rsidRDefault="005E1008">
      <w:pPr>
        <w:pStyle w:val="TOC3"/>
        <w:rPr>
          <w:rFonts w:asciiTheme="minorHAnsi" w:eastAsiaTheme="minorEastAsia" w:hAnsiTheme="minorHAnsi" w:cstheme="minorBidi"/>
          <w:szCs w:val="22"/>
        </w:rPr>
      </w:pPr>
      <w:hyperlink w:anchor="_Toc155955189" w:history="1">
        <w:r w:rsidR="00E94B03" w:rsidRPr="00DD0449">
          <w:rPr>
            <w:rStyle w:val="Hyperlink"/>
          </w:rPr>
          <w:t>Barriers to consolidation</w:t>
        </w:r>
        <w:r w:rsidR="00E94B03">
          <w:rPr>
            <w:webHidden/>
          </w:rPr>
          <w:tab/>
        </w:r>
        <w:r w:rsidR="00E94B03">
          <w:rPr>
            <w:webHidden/>
          </w:rPr>
          <w:fldChar w:fldCharType="begin"/>
        </w:r>
        <w:r w:rsidR="00E94B03">
          <w:rPr>
            <w:webHidden/>
          </w:rPr>
          <w:instrText xml:space="preserve"> PAGEREF _Toc155955189 \h </w:instrText>
        </w:r>
        <w:r w:rsidR="00E94B03">
          <w:rPr>
            <w:webHidden/>
          </w:rPr>
        </w:r>
        <w:r w:rsidR="00E94B03">
          <w:rPr>
            <w:webHidden/>
          </w:rPr>
          <w:fldChar w:fldCharType="separate"/>
        </w:r>
        <w:r w:rsidR="000D1B3A">
          <w:rPr>
            <w:webHidden/>
          </w:rPr>
          <w:t>42</w:t>
        </w:r>
        <w:r w:rsidR="00E94B03">
          <w:rPr>
            <w:webHidden/>
          </w:rPr>
          <w:fldChar w:fldCharType="end"/>
        </w:r>
      </w:hyperlink>
    </w:p>
    <w:p w14:paraId="0678B88B" w14:textId="25A08CAB" w:rsidR="00E94B03" w:rsidRDefault="005E1008">
      <w:pPr>
        <w:pStyle w:val="TOC2"/>
        <w:rPr>
          <w:rFonts w:asciiTheme="minorHAnsi" w:eastAsiaTheme="minorEastAsia" w:hAnsiTheme="minorHAnsi" w:cstheme="minorBidi"/>
          <w:color w:val="auto"/>
          <w:szCs w:val="22"/>
        </w:rPr>
      </w:pPr>
      <w:hyperlink w:anchor="_Toc155955190" w:history="1">
        <w:r w:rsidR="00E94B03" w:rsidRPr="00DD0449">
          <w:rPr>
            <w:rStyle w:val="Hyperlink"/>
          </w:rPr>
          <w:t>Appendix</w:t>
        </w:r>
        <w:r w:rsidR="00E94B03">
          <w:rPr>
            <w:webHidden/>
          </w:rPr>
          <w:tab/>
        </w:r>
        <w:r w:rsidR="00E94B03">
          <w:rPr>
            <w:webHidden/>
          </w:rPr>
          <w:fldChar w:fldCharType="begin"/>
        </w:r>
        <w:r w:rsidR="00E94B03">
          <w:rPr>
            <w:webHidden/>
          </w:rPr>
          <w:instrText xml:space="preserve"> PAGEREF _Toc155955190 \h </w:instrText>
        </w:r>
        <w:r w:rsidR="00E94B03">
          <w:rPr>
            <w:webHidden/>
          </w:rPr>
        </w:r>
        <w:r w:rsidR="00E94B03">
          <w:rPr>
            <w:webHidden/>
          </w:rPr>
          <w:fldChar w:fldCharType="separate"/>
        </w:r>
        <w:r w:rsidR="000D1B3A">
          <w:rPr>
            <w:webHidden/>
          </w:rPr>
          <w:t>43</w:t>
        </w:r>
        <w:r w:rsidR="00E94B03">
          <w:rPr>
            <w:webHidden/>
          </w:rPr>
          <w:fldChar w:fldCharType="end"/>
        </w:r>
      </w:hyperlink>
    </w:p>
    <w:p w14:paraId="604C6FEE" w14:textId="328EC6EE" w:rsidR="00E94B03" w:rsidRDefault="005E1008">
      <w:pPr>
        <w:pStyle w:val="TOC2"/>
        <w:rPr>
          <w:rFonts w:asciiTheme="minorHAnsi" w:eastAsiaTheme="minorEastAsia" w:hAnsiTheme="minorHAnsi" w:cstheme="minorBidi"/>
          <w:color w:val="auto"/>
          <w:szCs w:val="22"/>
        </w:rPr>
      </w:pPr>
      <w:hyperlink w:anchor="_Toc155955191" w:history="1">
        <w:r w:rsidR="00E94B03" w:rsidRPr="00DD0449">
          <w:rPr>
            <w:rStyle w:val="Hyperlink"/>
          </w:rPr>
          <w:t>Glossary</w:t>
        </w:r>
        <w:r w:rsidR="00E94B03">
          <w:rPr>
            <w:webHidden/>
          </w:rPr>
          <w:tab/>
        </w:r>
        <w:r w:rsidR="00E94B03">
          <w:rPr>
            <w:webHidden/>
          </w:rPr>
          <w:fldChar w:fldCharType="begin"/>
        </w:r>
        <w:r w:rsidR="00E94B03">
          <w:rPr>
            <w:webHidden/>
          </w:rPr>
          <w:instrText xml:space="preserve"> PAGEREF _Toc155955191 \h </w:instrText>
        </w:r>
        <w:r w:rsidR="00E94B03">
          <w:rPr>
            <w:webHidden/>
          </w:rPr>
        </w:r>
        <w:r w:rsidR="00E94B03">
          <w:rPr>
            <w:webHidden/>
          </w:rPr>
          <w:fldChar w:fldCharType="separate"/>
        </w:r>
        <w:r w:rsidR="000D1B3A">
          <w:rPr>
            <w:webHidden/>
          </w:rPr>
          <w:t>43</w:t>
        </w:r>
        <w:r w:rsidR="00E94B03">
          <w:rPr>
            <w:webHidden/>
          </w:rPr>
          <w:fldChar w:fldCharType="end"/>
        </w:r>
      </w:hyperlink>
    </w:p>
    <w:p w14:paraId="6F6EE994" w14:textId="039AA585" w:rsidR="00E94B03" w:rsidRDefault="005E1008">
      <w:pPr>
        <w:pStyle w:val="TOC2"/>
        <w:rPr>
          <w:rFonts w:asciiTheme="minorHAnsi" w:eastAsiaTheme="minorEastAsia" w:hAnsiTheme="minorHAnsi" w:cstheme="minorBidi"/>
          <w:color w:val="auto"/>
          <w:szCs w:val="22"/>
        </w:rPr>
      </w:pPr>
      <w:hyperlink w:anchor="_Toc155955192" w:history="1">
        <w:r w:rsidR="00E94B03" w:rsidRPr="00DD0449">
          <w:rPr>
            <w:rStyle w:val="Hyperlink"/>
          </w:rPr>
          <w:t>Current performance testing benchmarks</w:t>
        </w:r>
        <w:r w:rsidR="00E94B03">
          <w:rPr>
            <w:webHidden/>
          </w:rPr>
          <w:tab/>
        </w:r>
        <w:r w:rsidR="00E94B03">
          <w:rPr>
            <w:webHidden/>
          </w:rPr>
          <w:fldChar w:fldCharType="begin"/>
        </w:r>
        <w:r w:rsidR="00E94B03">
          <w:rPr>
            <w:webHidden/>
          </w:rPr>
          <w:instrText xml:space="preserve"> PAGEREF _Toc155955192 \h </w:instrText>
        </w:r>
        <w:r w:rsidR="00E94B03">
          <w:rPr>
            <w:webHidden/>
          </w:rPr>
        </w:r>
        <w:r w:rsidR="00E94B03">
          <w:rPr>
            <w:webHidden/>
          </w:rPr>
          <w:fldChar w:fldCharType="separate"/>
        </w:r>
        <w:r w:rsidR="000D1B3A">
          <w:rPr>
            <w:webHidden/>
          </w:rPr>
          <w:t>44</w:t>
        </w:r>
        <w:r w:rsidR="00E94B03">
          <w:rPr>
            <w:webHidden/>
          </w:rPr>
          <w:fldChar w:fldCharType="end"/>
        </w:r>
      </w:hyperlink>
    </w:p>
    <w:p w14:paraId="0D03D718" w14:textId="6878EF4E" w:rsidR="00E94B03" w:rsidRDefault="005E1008">
      <w:pPr>
        <w:pStyle w:val="TOC2"/>
        <w:rPr>
          <w:rFonts w:asciiTheme="minorHAnsi" w:eastAsiaTheme="minorEastAsia" w:hAnsiTheme="minorHAnsi" w:cstheme="minorBidi"/>
          <w:color w:val="auto"/>
          <w:szCs w:val="22"/>
        </w:rPr>
      </w:pPr>
      <w:hyperlink w:anchor="_Toc155955193" w:history="1">
        <w:r w:rsidR="00E94B03" w:rsidRPr="00DD0449">
          <w:rPr>
            <w:rStyle w:val="Hyperlink"/>
          </w:rPr>
          <w:t>Performance testing metrics</w:t>
        </w:r>
        <w:r w:rsidR="00E94B03">
          <w:rPr>
            <w:webHidden/>
          </w:rPr>
          <w:tab/>
        </w:r>
        <w:r w:rsidR="00E94B03">
          <w:rPr>
            <w:webHidden/>
          </w:rPr>
          <w:fldChar w:fldCharType="begin"/>
        </w:r>
        <w:r w:rsidR="00E94B03">
          <w:rPr>
            <w:webHidden/>
          </w:rPr>
          <w:instrText xml:space="preserve"> PAGEREF _Toc155955193 \h </w:instrText>
        </w:r>
        <w:r w:rsidR="00E94B03">
          <w:rPr>
            <w:webHidden/>
          </w:rPr>
        </w:r>
        <w:r w:rsidR="00E94B03">
          <w:rPr>
            <w:webHidden/>
          </w:rPr>
          <w:fldChar w:fldCharType="separate"/>
        </w:r>
        <w:r w:rsidR="000D1B3A">
          <w:rPr>
            <w:webHidden/>
          </w:rPr>
          <w:t>47</w:t>
        </w:r>
        <w:r w:rsidR="00E94B03">
          <w:rPr>
            <w:webHidden/>
          </w:rPr>
          <w:fldChar w:fldCharType="end"/>
        </w:r>
      </w:hyperlink>
    </w:p>
    <w:p w14:paraId="06BAA333" w14:textId="675F5ECD" w:rsidR="000E0B74" w:rsidRDefault="00257AEE" w:rsidP="00656356">
      <w:pPr>
        <w:pStyle w:val="SingleParagraph"/>
        <w:tabs>
          <w:tab w:val="right" w:leader="dot" w:pos="9072"/>
        </w:tabs>
        <w:ind w:right="-2"/>
        <w:rPr>
          <w:noProof/>
          <w:color w:val="004A7F"/>
          <w:szCs w:val="22"/>
        </w:rPr>
      </w:pPr>
      <w:r>
        <w:rPr>
          <w:noProof/>
          <w:color w:val="004A7F"/>
          <w:szCs w:val="22"/>
        </w:rPr>
        <w:fldChar w:fldCharType="end"/>
      </w:r>
    </w:p>
    <w:p w14:paraId="255BD386" w14:textId="77777777" w:rsidR="0037478B" w:rsidRPr="0037478B" w:rsidRDefault="0037478B" w:rsidP="0037478B"/>
    <w:p w14:paraId="65E365A4" w14:textId="77777777" w:rsidR="0037478B" w:rsidRPr="0037478B" w:rsidRDefault="0037478B" w:rsidP="0037478B"/>
    <w:p w14:paraId="46E9C7E6" w14:textId="50DC60BF" w:rsidR="0037478B" w:rsidRPr="0037478B" w:rsidRDefault="0076178D" w:rsidP="0076178D">
      <w:pPr>
        <w:tabs>
          <w:tab w:val="left" w:pos="6950"/>
        </w:tabs>
      </w:pPr>
      <w:r>
        <w:tab/>
      </w:r>
    </w:p>
    <w:p w14:paraId="1C8D62BC" w14:textId="77777777" w:rsidR="0037478B" w:rsidRDefault="0037478B" w:rsidP="0037478B">
      <w:pPr>
        <w:rPr>
          <w:noProof/>
          <w:color w:val="004A7F"/>
          <w:szCs w:val="22"/>
        </w:rPr>
      </w:pPr>
    </w:p>
    <w:p w14:paraId="26500A04" w14:textId="32DB88F5" w:rsidR="0037478B" w:rsidRDefault="0037478B" w:rsidP="0037478B">
      <w:pPr>
        <w:jc w:val="right"/>
        <w:rPr>
          <w:noProof/>
          <w:color w:val="004A7F"/>
          <w:szCs w:val="22"/>
        </w:rPr>
      </w:pPr>
    </w:p>
    <w:p w14:paraId="54C2BA00" w14:textId="77777777" w:rsidR="0037478B" w:rsidRDefault="0037478B" w:rsidP="0037478B">
      <w:pPr>
        <w:rPr>
          <w:noProof/>
          <w:color w:val="004A7F"/>
          <w:szCs w:val="22"/>
        </w:rPr>
      </w:pPr>
    </w:p>
    <w:p w14:paraId="1E3317BB" w14:textId="5120073E" w:rsidR="0037478B" w:rsidRPr="0037478B" w:rsidRDefault="0037478B" w:rsidP="0037478B">
      <w:pPr>
        <w:sectPr w:rsidR="0037478B" w:rsidRPr="0037478B" w:rsidSect="008043EA">
          <w:footerReference w:type="default" r:id="rId21"/>
          <w:pgSz w:w="11906" w:h="16838" w:code="9"/>
          <w:pgMar w:top="1843" w:right="1418" w:bottom="1418" w:left="1418" w:header="709" w:footer="709" w:gutter="0"/>
          <w:pgNumType w:fmt="lowerRoman"/>
          <w:cols w:space="708"/>
          <w:titlePg/>
          <w:docGrid w:linePitch="360"/>
        </w:sectPr>
      </w:pPr>
    </w:p>
    <w:p w14:paraId="2922312F" w14:textId="77777777" w:rsidR="000E0B74" w:rsidRDefault="000E0B74" w:rsidP="00354FBB">
      <w:pPr>
        <w:pStyle w:val="Heading1"/>
      </w:pPr>
      <w:bookmarkStart w:id="0" w:name="_Toc151575156"/>
      <w:bookmarkStart w:id="1" w:name="_Toc155955167"/>
      <w:bookmarkStart w:id="2" w:name="_Toc432067103"/>
      <w:r>
        <w:t>Consultation Process</w:t>
      </w:r>
      <w:bookmarkEnd w:id="0"/>
      <w:bookmarkEnd w:id="1"/>
    </w:p>
    <w:p w14:paraId="1FC5A028" w14:textId="77777777" w:rsidR="000E0B74" w:rsidRDefault="000E0B74" w:rsidP="000E0B74">
      <w:pPr>
        <w:pStyle w:val="Heading2"/>
      </w:pPr>
      <w:bookmarkStart w:id="3" w:name="_Toc151575157"/>
      <w:bookmarkStart w:id="4" w:name="_Toc155955168"/>
      <w:r>
        <w:t>Request for feedback and comments</w:t>
      </w:r>
      <w:bookmarkEnd w:id="3"/>
      <w:bookmarkEnd w:id="4"/>
    </w:p>
    <w:p w14:paraId="7B9DEE54" w14:textId="674E9E7F" w:rsidR="000E0B74" w:rsidRDefault="009928D6" w:rsidP="000E0B74">
      <w:r>
        <w:t xml:space="preserve">The Government seeks views on </w:t>
      </w:r>
      <w:r w:rsidR="00B60FD9">
        <w:t xml:space="preserve">options to improve the sophistication of the </w:t>
      </w:r>
      <w:r w:rsidR="00C513D0">
        <w:t>Annual Superannuation Performance Test</w:t>
      </w:r>
      <w:r w:rsidR="00EA381D">
        <w:t xml:space="preserve"> and the specific questions raised in this paper. </w:t>
      </w:r>
    </w:p>
    <w:p w14:paraId="74CCF783" w14:textId="73995699" w:rsidR="000E0B74" w:rsidRDefault="000E0B74" w:rsidP="00257AEE">
      <w:pPr>
        <w:pStyle w:val="Heading3noTOC"/>
      </w:pPr>
      <w:r w:rsidRPr="00BF1842">
        <w:t xml:space="preserve">Closing date for submissions: </w:t>
      </w:r>
      <w:sdt>
        <w:sdtPr>
          <w:rPr>
            <w:rStyle w:val="Heading3Char"/>
          </w:rPr>
          <w:id w:val="1454836312"/>
          <w:placeholder>
            <w:docPart w:val="A10F61E708C0429B88B55F6F9D3DDE46"/>
          </w:placeholder>
          <w:date w:fullDate="2024-04-19T00:00:00Z">
            <w:dateFormat w:val="dd MMMM yyyy"/>
            <w:lid w:val="en-AU"/>
            <w:storeMappedDataAs w:val="dateTime"/>
            <w:calendar w:val="gregorian"/>
          </w:date>
        </w:sdtPr>
        <w:sdtEndPr>
          <w:rPr>
            <w:rStyle w:val="DefaultParagraphFont"/>
            <w:rFonts w:cs="Calibri"/>
            <w:b/>
          </w:rPr>
        </w:sdtEndPr>
        <w:sdtContent>
          <w:r w:rsidR="00971A82" w:rsidRPr="00971A82">
            <w:rPr>
              <w:rStyle w:val="Heading3Char"/>
            </w:rPr>
            <w:t>1</w:t>
          </w:r>
          <w:r w:rsidR="00142CA5">
            <w:rPr>
              <w:rStyle w:val="Heading3Char"/>
            </w:rPr>
            <w:t>9</w:t>
          </w:r>
          <w:r w:rsidR="00971A82" w:rsidRPr="00971A82">
            <w:rPr>
              <w:rStyle w:val="Heading3Char"/>
            </w:rPr>
            <w:t xml:space="preserve"> April 2024</w:t>
          </w:r>
        </w:sdtContent>
      </w:sdt>
    </w:p>
    <w:tbl>
      <w:tblPr>
        <w:tblStyle w:val="TableGrid"/>
        <w:tblW w:w="0" w:type="auto"/>
        <w:tblLook w:val="04A0" w:firstRow="1" w:lastRow="0" w:firstColumn="1" w:lastColumn="0" w:noHBand="0" w:noVBand="1"/>
      </w:tblPr>
      <w:tblGrid>
        <w:gridCol w:w="1517"/>
        <w:gridCol w:w="7553"/>
      </w:tblGrid>
      <w:tr w:rsidR="000E0B74" w:rsidRPr="00B85F47" w14:paraId="466C71C2" w14:textId="77777777" w:rsidTr="006A3BCF">
        <w:trPr>
          <w:cnfStyle w:val="100000000000" w:firstRow="1" w:lastRow="0" w:firstColumn="0" w:lastColumn="0" w:oddVBand="0" w:evenVBand="0" w:oddHBand="0" w:evenHBand="0" w:firstRowFirstColumn="0" w:firstRowLastColumn="0" w:lastRowFirstColumn="0" w:lastRowLastColumn="0"/>
        </w:trPr>
        <w:tc>
          <w:tcPr>
            <w:tcW w:w="1517" w:type="dxa"/>
          </w:tcPr>
          <w:p w14:paraId="7640451D" w14:textId="77777777" w:rsidR="000E0B74" w:rsidRPr="00B85F47" w:rsidRDefault="000E0B74" w:rsidP="0017089D">
            <w:pPr>
              <w:spacing w:before="96" w:after="96"/>
              <w:rPr>
                <w:sz w:val="22"/>
                <w:szCs w:val="22"/>
              </w:rPr>
            </w:pPr>
            <w:r w:rsidRPr="00B85F47">
              <w:rPr>
                <w:sz w:val="22"/>
                <w:szCs w:val="22"/>
              </w:rPr>
              <w:t>Email</w:t>
            </w:r>
          </w:p>
        </w:tc>
        <w:tc>
          <w:tcPr>
            <w:tcW w:w="7553" w:type="dxa"/>
          </w:tcPr>
          <w:p w14:paraId="1AA8525D" w14:textId="7AD24309" w:rsidR="000E0B74" w:rsidRPr="00B85F47" w:rsidRDefault="00F01E75" w:rsidP="00516785">
            <w:pPr>
              <w:spacing w:before="96" w:after="96"/>
              <w:rPr>
                <w:sz w:val="22"/>
                <w:szCs w:val="22"/>
              </w:rPr>
            </w:pPr>
            <w:r>
              <w:rPr>
                <w:rFonts w:cs="Arial"/>
                <w:szCs w:val="22"/>
              </w:rPr>
              <w:t>YFYS@treasury.gov.au</w:t>
            </w:r>
          </w:p>
        </w:tc>
      </w:tr>
      <w:tr w:rsidR="000E0B74" w:rsidRPr="00B85F47" w14:paraId="56DACCCE" w14:textId="77777777" w:rsidTr="006A3BCF">
        <w:tc>
          <w:tcPr>
            <w:tcW w:w="1517" w:type="dxa"/>
          </w:tcPr>
          <w:p w14:paraId="4954ED40" w14:textId="77777777" w:rsidR="000E0B74" w:rsidRPr="00B85F47" w:rsidRDefault="000E0B74" w:rsidP="0017089D">
            <w:pPr>
              <w:rPr>
                <w:sz w:val="22"/>
                <w:szCs w:val="22"/>
              </w:rPr>
            </w:pPr>
            <w:r w:rsidRPr="00B85F47">
              <w:rPr>
                <w:sz w:val="22"/>
                <w:szCs w:val="22"/>
              </w:rPr>
              <w:t>Mail</w:t>
            </w:r>
          </w:p>
          <w:p w14:paraId="5A1E9EEB" w14:textId="77777777" w:rsidR="008D7F38" w:rsidRPr="00B85F47" w:rsidRDefault="008D7F38" w:rsidP="0017089D">
            <w:pPr>
              <w:rPr>
                <w:sz w:val="22"/>
                <w:szCs w:val="22"/>
              </w:rPr>
            </w:pPr>
          </w:p>
          <w:p w14:paraId="63C38213" w14:textId="77777777" w:rsidR="008D7F38" w:rsidRPr="00B85F47" w:rsidRDefault="008D7F38" w:rsidP="0017089D">
            <w:pPr>
              <w:rPr>
                <w:sz w:val="22"/>
                <w:szCs w:val="22"/>
              </w:rPr>
            </w:pPr>
          </w:p>
        </w:tc>
        <w:tc>
          <w:tcPr>
            <w:tcW w:w="7553" w:type="dxa"/>
          </w:tcPr>
          <w:p w14:paraId="5E61F189" w14:textId="7B63C4BC" w:rsidR="000E0B74" w:rsidRPr="00B85F47" w:rsidRDefault="0030218F" w:rsidP="0017089D">
            <w:pPr>
              <w:pStyle w:val="SingleParagraph"/>
              <w:rPr>
                <w:rFonts w:cs="Arial"/>
                <w:sz w:val="22"/>
                <w:szCs w:val="22"/>
              </w:rPr>
            </w:pPr>
            <w:r w:rsidRPr="00F35089">
              <w:rPr>
                <w:rFonts w:cs="Arial"/>
                <w:sz w:val="22"/>
                <w:szCs w:val="22"/>
              </w:rPr>
              <w:t>Superannuation Efficiency and Performance Unit</w:t>
            </w:r>
          </w:p>
          <w:p w14:paraId="6E7BFE6A" w14:textId="35D007EC" w:rsidR="000E0B74" w:rsidRPr="00B85F47" w:rsidRDefault="0030218F" w:rsidP="0017089D">
            <w:pPr>
              <w:pStyle w:val="SingleParagraph"/>
              <w:rPr>
                <w:rFonts w:cs="Arial"/>
                <w:sz w:val="22"/>
                <w:szCs w:val="22"/>
              </w:rPr>
            </w:pPr>
            <w:r w:rsidRPr="00F35089">
              <w:rPr>
                <w:rFonts w:cs="Arial"/>
                <w:sz w:val="22"/>
                <w:szCs w:val="22"/>
              </w:rPr>
              <w:t xml:space="preserve">Retirement, </w:t>
            </w:r>
            <w:proofErr w:type="gramStart"/>
            <w:r w:rsidRPr="00F35089">
              <w:rPr>
                <w:rFonts w:cs="Arial"/>
                <w:sz w:val="22"/>
                <w:szCs w:val="22"/>
              </w:rPr>
              <w:t>Advice</w:t>
            </w:r>
            <w:proofErr w:type="gramEnd"/>
            <w:r w:rsidRPr="00F35089">
              <w:rPr>
                <w:rFonts w:cs="Arial"/>
                <w:sz w:val="22"/>
                <w:szCs w:val="22"/>
              </w:rPr>
              <w:t xml:space="preserve"> and Investment</w:t>
            </w:r>
            <w:r w:rsidR="00343B90" w:rsidRPr="00F35089">
              <w:rPr>
                <w:rFonts w:cs="Arial"/>
                <w:sz w:val="22"/>
                <w:szCs w:val="22"/>
              </w:rPr>
              <w:t xml:space="preserve"> Division</w:t>
            </w:r>
          </w:p>
          <w:p w14:paraId="25DC2D0F"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0AB9585E"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037FBF4E"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190EADE3" w14:textId="77777777" w:rsidTr="006A3BCF">
        <w:tc>
          <w:tcPr>
            <w:tcW w:w="1517" w:type="dxa"/>
          </w:tcPr>
          <w:p w14:paraId="22EFE0E4" w14:textId="77777777" w:rsidR="000E0B74" w:rsidRPr="00B85F47" w:rsidRDefault="000E0B74" w:rsidP="0017089D">
            <w:pPr>
              <w:rPr>
                <w:sz w:val="22"/>
                <w:szCs w:val="22"/>
              </w:rPr>
            </w:pPr>
            <w:r w:rsidRPr="00B85F47">
              <w:rPr>
                <w:sz w:val="22"/>
                <w:szCs w:val="22"/>
              </w:rPr>
              <w:t>Enquiries</w:t>
            </w:r>
          </w:p>
        </w:tc>
        <w:tc>
          <w:tcPr>
            <w:tcW w:w="7553" w:type="dxa"/>
          </w:tcPr>
          <w:p w14:paraId="67934D70" w14:textId="32FFB416" w:rsidR="000E0B74" w:rsidRPr="00B85F47" w:rsidRDefault="000E0B74" w:rsidP="0017089D">
            <w:pPr>
              <w:rPr>
                <w:sz w:val="22"/>
                <w:szCs w:val="22"/>
              </w:rPr>
            </w:pPr>
            <w:r w:rsidRPr="00B85F47">
              <w:rPr>
                <w:rFonts w:cs="Arial"/>
                <w:sz w:val="22"/>
                <w:szCs w:val="22"/>
              </w:rPr>
              <w:t xml:space="preserve">Enquiries can be initially directed to </w:t>
            </w:r>
            <w:r w:rsidR="006A3BCF" w:rsidRPr="006A3BCF">
              <w:rPr>
                <w:rFonts w:cs="Arial"/>
                <w:sz w:val="22"/>
                <w:szCs w:val="22"/>
              </w:rPr>
              <w:t>the above email address.</w:t>
            </w:r>
          </w:p>
        </w:tc>
      </w:tr>
      <w:bookmarkEnd w:id="2"/>
    </w:tbl>
    <w:p w14:paraId="2A22B652" w14:textId="77777777" w:rsidR="00E10D39" w:rsidRDefault="00E10D39" w:rsidP="0007102C"/>
    <w:p w14:paraId="10B92888" w14:textId="77777777" w:rsidR="00A16E03" w:rsidRDefault="00A16E03" w:rsidP="00A16E03">
      <w:r>
        <w:t xml:space="preserve">The principles outlined in this paper have not received Government approval and are not yet law. </w:t>
      </w:r>
      <w:proofErr w:type="gramStart"/>
      <w:r>
        <w:t>As a consequence</w:t>
      </w:r>
      <w:proofErr w:type="gramEnd"/>
      <w:r>
        <w:t>, this paper is merely a guide as to how the principles might operate.</w:t>
      </w:r>
    </w:p>
    <w:p w14:paraId="2A549A7C" w14:textId="77777777" w:rsidR="008D7F38" w:rsidRPr="008D7F38" w:rsidRDefault="008D7F38" w:rsidP="008D7F38"/>
    <w:p w14:paraId="6631DB1C" w14:textId="77777777" w:rsidR="002634E2" w:rsidRDefault="002634E2">
      <w:pPr>
        <w:spacing w:before="0" w:after="160" w:line="259" w:lineRule="auto"/>
        <w:sectPr w:rsidR="002634E2" w:rsidSect="00E5398A">
          <w:headerReference w:type="even" r:id="rId22"/>
          <w:headerReference w:type="default" r:id="rId23"/>
          <w:footerReference w:type="even" r:id="rId24"/>
          <w:footerReference w:type="default" r:id="rId25"/>
          <w:headerReference w:type="first" r:id="rId26"/>
          <w:footerReference w:type="first" r:id="rId27"/>
          <w:pgSz w:w="11906" w:h="16838" w:code="9"/>
          <w:pgMar w:top="1276" w:right="1418" w:bottom="1418" w:left="1418" w:header="709" w:footer="709" w:gutter="0"/>
          <w:cols w:space="708"/>
          <w:docGrid w:linePitch="360"/>
        </w:sectPr>
      </w:pPr>
    </w:p>
    <w:p w14:paraId="7FCDA863" w14:textId="75A014B2" w:rsidR="0073449A" w:rsidRDefault="002E09B4" w:rsidP="0073449A">
      <w:pPr>
        <w:pStyle w:val="Heading2"/>
        <w:spacing w:before="120"/>
      </w:pPr>
      <w:bookmarkStart w:id="5" w:name="_Toc155955169"/>
      <w:bookmarkStart w:id="6" w:name="_Toc306887371"/>
      <w:bookmarkStart w:id="7" w:name="_Toc432064635"/>
      <w:r>
        <w:t xml:space="preserve">Executive </w:t>
      </w:r>
      <w:r w:rsidR="006E0DB2">
        <w:t>s</w:t>
      </w:r>
      <w:r>
        <w:t>ummary</w:t>
      </w:r>
      <w:bookmarkEnd w:id="5"/>
    </w:p>
    <w:p w14:paraId="0FC1E7FC" w14:textId="69771E4B" w:rsidR="0073449A" w:rsidRDefault="000E033E" w:rsidP="005C04B1">
      <w:pPr>
        <w:pStyle w:val="Bullet"/>
        <w:numPr>
          <w:ilvl w:val="0"/>
          <w:numId w:val="0"/>
        </w:numPr>
      </w:pPr>
      <w:r>
        <w:t xml:space="preserve">Since its introduction in 2021, the </w:t>
      </w:r>
      <w:r w:rsidRPr="009A7A1D">
        <w:t>annual superannuation performance test</w:t>
      </w:r>
      <w:r>
        <w:t xml:space="preserve"> </w:t>
      </w:r>
      <w:r w:rsidR="009A7A1D">
        <w:t xml:space="preserve">(the test) </w:t>
      </w:r>
      <w:r>
        <w:t xml:space="preserve">has </w:t>
      </w:r>
      <w:r w:rsidR="00CA6D6A">
        <w:t>improved returns for members by holding trustees to account for investment performance and</w:t>
      </w:r>
      <w:r w:rsidR="005C04B1">
        <w:t xml:space="preserve"> encouraging </w:t>
      </w:r>
      <w:r w:rsidR="002859A9">
        <w:t>continu</w:t>
      </w:r>
      <w:r w:rsidR="00002170">
        <w:t xml:space="preserve">al improvement </w:t>
      </w:r>
      <w:r w:rsidR="00F52768">
        <w:t xml:space="preserve">or exit of </w:t>
      </w:r>
      <w:r w:rsidR="005C04B1">
        <w:t xml:space="preserve">poor performing products. </w:t>
      </w:r>
      <w:r w:rsidR="00270ED3" w:rsidRPr="00C41B77">
        <w:t xml:space="preserve">However, there is evidence that the test may be influencing investment decisions to the detriment of member outcomes, including discouraging investment in asset classes </w:t>
      </w:r>
      <w:r w:rsidR="00270ED3">
        <w:t>that may otherwise be in the best financial interests of members.</w:t>
      </w:r>
      <w:r w:rsidR="001523DE">
        <w:t xml:space="preserve"> </w:t>
      </w:r>
    </w:p>
    <w:p w14:paraId="772A05D5" w14:textId="6FBBB834" w:rsidR="00DF6D0F" w:rsidRDefault="00804EFB" w:rsidP="005C04B1">
      <w:pPr>
        <w:pStyle w:val="Bullet"/>
        <w:numPr>
          <w:ilvl w:val="0"/>
          <w:numId w:val="0"/>
        </w:numPr>
      </w:pPr>
      <w:r>
        <w:t>F</w:t>
      </w:r>
      <w:r w:rsidR="007D261F">
        <w:t xml:space="preserve">ollowing the </w:t>
      </w:r>
      <w:r w:rsidR="003472B1" w:rsidRPr="002320E2">
        <w:t xml:space="preserve">Your Future, Your Super </w:t>
      </w:r>
      <w:r w:rsidR="00B431C7">
        <w:t>R</w:t>
      </w:r>
      <w:r w:rsidR="003472B1" w:rsidRPr="002320E2">
        <w:t>eview</w:t>
      </w:r>
      <w:r w:rsidR="003472B1">
        <w:t xml:space="preserve"> </w:t>
      </w:r>
      <w:r w:rsidR="00236D6B">
        <w:t xml:space="preserve">the performance test was </w:t>
      </w:r>
      <w:r w:rsidR="003B5495">
        <w:t xml:space="preserve">updated </w:t>
      </w:r>
      <w:r w:rsidR="00662A38">
        <w:t xml:space="preserve">to ensure it could be extended to </w:t>
      </w:r>
      <w:r w:rsidR="00662A38" w:rsidRPr="00335042">
        <w:t>trustee-directed products</w:t>
      </w:r>
      <w:r w:rsidR="00662A38">
        <w:t xml:space="preserve"> </w:t>
      </w:r>
      <w:r w:rsidR="00622C03">
        <w:t xml:space="preserve">(TDPs) </w:t>
      </w:r>
      <w:r w:rsidR="00662A38">
        <w:t xml:space="preserve">in the choice sector and to fine-tune the test with changes that were </w:t>
      </w:r>
      <w:r w:rsidR="00B123FB">
        <w:t xml:space="preserve">feasible given the timeframe </w:t>
      </w:r>
      <w:r w:rsidR="00557F55">
        <w:t>for the 2023 test.</w:t>
      </w:r>
      <w:r w:rsidR="0051214E">
        <w:t xml:space="preserve"> </w:t>
      </w:r>
      <w:r w:rsidR="00981A22">
        <w:t xml:space="preserve">The purpose of this consultation paper is </w:t>
      </w:r>
      <w:r w:rsidR="000E6E9F">
        <w:t xml:space="preserve">to allow stakeholders to </w:t>
      </w:r>
      <w:r w:rsidR="0051214E">
        <w:t>provide feedback on options to improve the sophistication of the test in the long</w:t>
      </w:r>
      <w:r w:rsidR="0083634C">
        <w:t>er</w:t>
      </w:r>
      <w:r w:rsidR="0051214E">
        <w:t>-term.</w:t>
      </w:r>
      <w:r w:rsidR="003472B1">
        <w:t xml:space="preserve"> </w:t>
      </w:r>
    </w:p>
    <w:p w14:paraId="434C4B5C" w14:textId="1B4E65B0" w:rsidR="003514A6" w:rsidRDefault="004C7065" w:rsidP="005C04B1">
      <w:pPr>
        <w:pStyle w:val="Bullet"/>
        <w:numPr>
          <w:ilvl w:val="0"/>
          <w:numId w:val="0"/>
        </w:numPr>
      </w:pPr>
      <w:r>
        <w:t xml:space="preserve">In </w:t>
      </w:r>
      <w:r w:rsidR="00C11316">
        <w:t>considering improvement</w:t>
      </w:r>
      <w:r w:rsidR="004720C4">
        <w:t>s</w:t>
      </w:r>
      <w:r w:rsidR="00C11316">
        <w:t xml:space="preserve"> to </w:t>
      </w:r>
      <w:r>
        <w:t xml:space="preserve">the performance test, the Government </w:t>
      </w:r>
      <w:r w:rsidR="00CA1D84">
        <w:t xml:space="preserve">is focused on </w:t>
      </w:r>
      <w:r>
        <w:t>ensur</w:t>
      </w:r>
      <w:r w:rsidR="00CA1D84">
        <w:t xml:space="preserve">ing </w:t>
      </w:r>
      <w:r>
        <w:t xml:space="preserve">the test </w:t>
      </w:r>
      <w:r w:rsidR="00244582">
        <w:t>hold</w:t>
      </w:r>
      <w:r w:rsidR="00A50C93">
        <w:t>s</w:t>
      </w:r>
      <w:r w:rsidR="00244582">
        <w:t xml:space="preserve"> trustees to account </w:t>
      </w:r>
      <w:r w:rsidR="00E262A3">
        <w:t xml:space="preserve">for </w:t>
      </w:r>
      <w:r w:rsidR="00FA18B7">
        <w:t>deliver</w:t>
      </w:r>
      <w:r w:rsidR="00D56678">
        <w:t>ing</w:t>
      </w:r>
      <w:r w:rsidR="00FA18B7">
        <w:t xml:space="preserve"> the best</w:t>
      </w:r>
      <w:r>
        <w:t xml:space="preserve"> </w:t>
      </w:r>
      <w:r w:rsidR="00C216C8">
        <w:t xml:space="preserve">financial </w:t>
      </w:r>
      <w:r>
        <w:t>outcomes</w:t>
      </w:r>
      <w:r w:rsidR="00C216C8">
        <w:t xml:space="preserve"> for members</w:t>
      </w:r>
      <w:r w:rsidR="005156EB">
        <w:t xml:space="preserve">. </w:t>
      </w:r>
      <w:r w:rsidR="00D76DBC">
        <w:t xml:space="preserve">The test should be sector-neutral so that it does not create a barrier to invest in assets that provide strong returns for members. </w:t>
      </w:r>
      <w:r w:rsidR="00396A38">
        <w:t>The test must be strong and encourage improvements to performance.</w:t>
      </w:r>
    </w:p>
    <w:p w14:paraId="0AD1445D" w14:textId="09292D6A" w:rsidR="00956B5A" w:rsidRDefault="006F3D73" w:rsidP="00E4663E">
      <w:pPr>
        <w:pStyle w:val="Bullet"/>
        <w:numPr>
          <w:ilvl w:val="0"/>
          <w:numId w:val="0"/>
        </w:numPr>
        <w:spacing w:after="120"/>
      </w:pPr>
      <w:r>
        <w:t xml:space="preserve">To </w:t>
      </w:r>
      <w:r w:rsidR="006A3C4F">
        <w:t xml:space="preserve">help </w:t>
      </w:r>
      <w:r w:rsidR="00396A38">
        <w:t>start the conversation</w:t>
      </w:r>
      <w:r w:rsidR="00B765AA">
        <w:t>, this paper include</w:t>
      </w:r>
      <w:r w:rsidR="006A3C4F">
        <w:t>s</w:t>
      </w:r>
      <w:r w:rsidR="00B765AA">
        <w:t xml:space="preserve"> </w:t>
      </w:r>
      <w:r w:rsidR="002A27D6">
        <w:t>four</w:t>
      </w:r>
      <w:r w:rsidR="00913C5F">
        <w:t xml:space="preserve"> broad options for</w:t>
      </w:r>
      <w:r w:rsidR="00DC0126">
        <w:t xml:space="preserve"> consideration </w:t>
      </w:r>
      <w:r w:rsidR="00AF2ABF">
        <w:t>in</w:t>
      </w:r>
      <w:r w:rsidR="00913C5F">
        <w:t xml:space="preserve"> improving the operation of the test: </w:t>
      </w:r>
    </w:p>
    <w:p w14:paraId="12F7C6C3" w14:textId="4D44EC62" w:rsidR="002A27D6" w:rsidRDefault="002A27D6" w:rsidP="002A27D6">
      <w:pPr>
        <w:pStyle w:val="OutlineNumbered1"/>
      </w:pPr>
      <w:r w:rsidRPr="00E4663E">
        <w:rPr>
          <w:b/>
          <w:bCs/>
          <w:i/>
          <w:iCs/>
        </w:rPr>
        <w:t>Status quo</w:t>
      </w:r>
      <w:r>
        <w:t xml:space="preserve"> – </w:t>
      </w:r>
      <w:r w:rsidR="00396A38">
        <w:t>retain</w:t>
      </w:r>
      <w:r>
        <w:t xml:space="preserve"> the current testing framework </w:t>
      </w:r>
      <w:r w:rsidR="00396A38">
        <w:t>but improve it</w:t>
      </w:r>
      <w:r w:rsidR="005A7B4D">
        <w:t>.</w:t>
      </w:r>
    </w:p>
    <w:p w14:paraId="195EBE93" w14:textId="4D44D1AB" w:rsidR="005A7B4D" w:rsidRDefault="005A7B4D" w:rsidP="002A27D6">
      <w:pPr>
        <w:pStyle w:val="OutlineNumbered1"/>
      </w:pPr>
      <w:r w:rsidRPr="00E4663E">
        <w:rPr>
          <w:b/>
          <w:bCs/>
          <w:i/>
          <w:iCs/>
        </w:rPr>
        <w:t>Alternative single-metric</w:t>
      </w:r>
      <w:r w:rsidR="003E0C13">
        <w:t xml:space="preserve"> </w:t>
      </w:r>
      <w:r w:rsidR="000C7E27">
        <w:t>–</w:t>
      </w:r>
      <w:r w:rsidR="003E0C13">
        <w:t xml:space="preserve"> </w:t>
      </w:r>
      <w:r w:rsidR="000C7E27">
        <w:t xml:space="preserve">consideration of a </w:t>
      </w:r>
      <w:r w:rsidR="00B247C8">
        <w:t xml:space="preserve">different single-metric framework that would better assess performance. This paper includes </w:t>
      </w:r>
      <w:r w:rsidR="00BB003F">
        <w:t xml:space="preserve">three </w:t>
      </w:r>
      <w:r w:rsidR="00B247C8">
        <w:t>specific examples</w:t>
      </w:r>
      <w:r w:rsidR="00561CF5">
        <w:t xml:space="preserve"> </w:t>
      </w:r>
      <w:r w:rsidR="00CB5C79">
        <w:t>which are</w:t>
      </w:r>
      <w:r w:rsidR="00561CF5">
        <w:t xml:space="preserve"> </w:t>
      </w:r>
      <w:r w:rsidR="000D53F8">
        <w:t xml:space="preserve">the Sharpe </w:t>
      </w:r>
      <w:r w:rsidR="0096732C">
        <w:t>r</w:t>
      </w:r>
      <w:r w:rsidR="000D53F8">
        <w:t>atio</w:t>
      </w:r>
      <w:r w:rsidR="00BB003F">
        <w:t xml:space="preserve">, a peer comparison, and a </w:t>
      </w:r>
      <w:r w:rsidR="00F95F46">
        <w:t>simple-reference portfolio frontier</w:t>
      </w:r>
      <w:r w:rsidR="008E1832">
        <w:t>.</w:t>
      </w:r>
    </w:p>
    <w:p w14:paraId="3DB400D7" w14:textId="642C5BA5" w:rsidR="00561CF5" w:rsidRDefault="00561CF5" w:rsidP="002A27D6">
      <w:pPr>
        <w:pStyle w:val="OutlineNumbered1"/>
      </w:pPr>
      <w:r w:rsidRPr="00E4663E">
        <w:rPr>
          <w:b/>
          <w:bCs/>
          <w:i/>
          <w:iCs/>
        </w:rPr>
        <w:t>Multi-metric fr</w:t>
      </w:r>
      <w:r w:rsidR="0029649C" w:rsidRPr="00E4663E">
        <w:rPr>
          <w:b/>
          <w:bCs/>
          <w:i/>
          <w:iCs/>
        </w:rPr>
        <w:t>amework</w:t>
      </w:r>
      <w:r w:rsidR="0029649C">
        <w:t xml:space="preserve"> – consideration of a multiple metric framework that </w:t>
      </w:r>
      <w:r w:rsidR="004A4C17">
        <w:t xml:space="preserve">provides a more fulsome </w:t>
      </w:r>
      <w:r w:rsidR="00C7370B">
        <w:t xml:space="preserve">assessment of performance. This option includes two specific examples </w:t>
      </w:r>
      <w:r w:rsidR="00532756">
        <w:t>which are</w:t>
      </w:r>
      <w:r w:rsidR="00C7370B">
        <w:t xml:space="preserve"> </w:t>
      </w:r>
      <w:r w:rsidR="0016216C">
        <w:t>a</w:t>
      </w:r>
      <w:r w:rsidR="00934E15">
        <w:t xml:space="preserve"> framework that </w:t>
      </w:r>
      <w:r w:rsidR="00B720DD">
        <w:t>align</w:t>
      </w:r>
      <w:r w:rsidR="007936DE">
        <w:t>s</w:t>
      </w:r>
      <w:r w:rsidR="00B720DD" w:rsidDel="007936DE">
        <w:t xml:space="preserve"> </w:t>
      </w:r>
      <w:r w:rsidR="007936DE">
        <w:t xml:space="preserve">with </w:t>
      </w:r>
      <w:r w:rsidR="00B720DD">
        <w:t xml:space="preserve">the APRA heatmaps, and </w:t>
      </w:r>
      <w:r w:rsidR="0023604F">
        <w:t xml:space="preserve">a </w:t>
      </w:r>
      <w:r w:rsidR="00F664EF">
        <w:t>targeted three-metric test.</w:t>
      </w:r>
    </w:p>
    <w:p w14:paraId="12B5F593" w14:textId="57D7E2F0" w:rsidR="00F664EF" w:rsidRDefault="00191BEB" w:rsidP="00E4663E">
      <w:pPr>
        <w:pStyle w:val="OutlineNumbered1"/>
      </w:pPr>
      <w:r w:rsidRPr="00E4663E">
        <w:rPr>
          <w:b/>
          <w:bCs/>
          <w:i/>
          <w:iCs/>
        </w:rPr>
        <w:t>Alternative framework</w:t>
      </w:r>
      <w:r>
        <w:t xml:space="preserve"> – an opportunity for stakeholders to </w:t>
      </w:r>
      <w:r w:rsidR="00396A38">
        <w:t xml:space="preserve">put </w:t>
      </w:r>
      <w:r>
        <w:t xml:space="preserve">forward an </w:t>
      </w:r>
      <w:r w:rsidR="00AE092A">
        <w:t xml:space="preserve">option they see as most fitting to </w:t>
      </w:r>
      <w:r w:rsidR="00D942F7">
        <w:t>improve the operation of the performance test.</w:t>
      </w:r>
    </w:p>
    <w:p w14:paraId="3FDFAB5B" w14:textId="7557068E" w:rsidR="00B40EEA" w:rsidRDefault="00AB230B" w:rsidP="00FC6D9C">
      <w:pPr>
        <w:pStyle w:val="Bullet"/>
        <w:numPr>
          <w:ilvl w:val="0"/>
          <w:numId w:val="0"/>
        </w:numPr>
      </w:pPr>
      <w:r>
        <w:t xml:space="preserve">While this paper canvasses </w:t>
      </w:r>
      <w:r w:rsidR="00CD2AE8">
        <w:t xml:space="preserve">the </w:t>
      </w:r>
      <w:r w:rsidR="003F7473">
        <w:t>benefits</w:t>
      </w:r>
      <w:r w:rsidR="00166F39">
        <w:t>, drawbacks and technical considerations of specific reform options, the Government is open to alternative</w:t>
      </w:r>
      <w:r w:rsidR="00337609">
        <w:t xml:space="preserve"> proposals from stakeholders</w:t>
      </w:r>
      <w:r w:rsidR="00136AE8">
        <w:t xml:space="preserve"> which </w:t>
      </w:r>
      <w:r w:rsidR="00261DF5">
        <w:t>continue to hold trustees to account and improve member outcomes.</w:t>
      </w:r>
      <w:r w:rsidR="00E07503">
        <w:t xml:space="preserve"> </w:t>
      </w:r>
      <w:r w:rsidR="00D030BA">
        <w:t xml:space="preserve">Your feedback on </w:t>
      </w:r>
      <w:r w:rsidR="002E5362">
        <w:t xml:space="preserve">the future design of the test will assist </w:t>
      </w:r>
      <w:r w:rsidR="00B75462">
        <w:t>in its</w:t>
      </w:r>
      <w:r w:rsidR="002E5362">
        <w:t xml:space="preserve"> </w:t>
      </w:r>
      <w:r w:rsidR="00855FA6">
        <w:t>evolution towards a</w:t>
      </w:r>
      <w:r w:rsidR="001E29EB">
        <w:t>n</w:t>
      </w:r>
      <w:r w:rsidR="00855FA6">
        <w:t xml:space="preserve"> </w:t>
      </w:r>
      <w:r w:rsidR="00BD4474">
        <w:t xml:space="preserve">enduring test that will </w:t>
      </w:r>
      <w:r w:rsidR="001B7A27">
        <w:t xml:space="preserve">facilitate </w:t>
      </w:r>
      <w:r w:rsidR="00641E72">
        <w:t>better retirement income</w:t>
      </w:r>
      <w:r w:rsidR="0082516E">
        <w:t>s</w:t>
      </w:r>
      <w:r w:rsidR="00641E72">
        <w:t xml:space="preserve"> for Australians</w:t>
      </w:r>
      <w:r w:rsidR="00B75D2A">
        <w:t>.</w:t>
      </w:r>
      <w:r w:rsidR="00B40EEA">
        <w:tab/>
      </w:r>
    </w:p>
    <w:p w14:paraId="7DBC7DAC" w14:textId="77777777" w:rsidR="00B40EEA" w:rsidRDefault="00B40EEA" w:rsidP="00B40EEA"/>
    <w:p w14:paraId="4C3E8471" w14:textId="77777777" w:rsidR="00B40EEA" w:rsidRDefault="00B40EEA" w:rsidP="00B40EEA"/>
    <w:p w14:paraId="59A1DA6B" w14:textId="77777777" w:rsidR="00C54650" w:rsidRPr="00C54650" w:rsidRDefault="00C54650" w:rsidP="00C54650"/>
    <w:p w14:paraId="420A5DDC" w14:textId="77777777" w:rsidR="00C54650" w:rsidRPr="00C54650" w:rsidRDefault="00C54650" w:rsidP="00C54650"/>
    <w:p w14:paraId="29F1CFEA" w14:textId="77777777" w:rsidR="00C54650" w:rsidRPr="00C54650" w:rsidRDefault="00C54650" w:rsidP="00C54650"/>
    <w:p w14:paraId="78D59AFE" w14:textId="77777777" w:rsidR="00C54650" w:rsidRPr="00C54650" w:rsidRDefault="00C54650" w:rsidP="00C54650"/>
    <w:p w14:paraId="4F7DC5AE" w14:textId="047F63B2" w:rsidR="00C54650" w:rsidRPr="00C54650" w:rsidRDefault="00C54650" w:rsidP="0058255F">
      <w:pPr>
        <w:sectPr w:rsidR="00C54650" w:rsidRPr="00C54650" w:rsidSect="00E5398A">
          <w:footerReference w:type="default" r:id="rId28"/>
          <w:pgSz w:w="11906" w:h="16838" w:code="9"/>
          <w:pgMar w:top="1276" w:right="1418" w:bottom="1418" w:left="1418" w:header="709" w:footer="709" w:gutter="0"/>
          <w:cols w:space="708"/>
          <w:docGrid w:linePitch="360"/>
        </w:sectPr>
      </w:pPr>
    </w:p>
    <w:p w14:paraId="4120D587" w14:textId="04A375FC" w:rsidR="000E0B74" w:rsidRDefault="000E0B74" w:rsidP="00F7690A">
      <w:pPr>
        <w:pStyle w:val="Heading2"/>
        <w:spacing w:before="120"/>
      </w:pPr>
      <w:bookmarkStart w:id="8" w:name="_Toc155955170"/>
      <w:r>
        <w:t>Background</w:t>
      </w:r>
      <w:bookmarkEnd w:id="6"/>
      <w:bookmarkEnd w:id="7"/>
      <w:bookmarkEnd w:id="8"/>
      <w:r w:rsidR="002F2590">
        <w:t xml:space="preserve"> </w:t>
      </w:r>
    </w:p>
    <w:p w14:paraId="3C49C573" w14:textId="71D31F3B" w:rsidR="00804297" w:rsidRDefault="00D6731E" w:rsidP="00C4529B">
      <w:pPr>
        <w:pStyle w:val="Bullet"/>
        <w:numPr>
          <w:ilvl w:val="0"/>
          <w:numId w:val="0"/>
        </w:numPr>
      </w:pPr>
      <w:r w:rsidRPr="00D6731E">
        <w:t xml:space="preserve">The </w:t>
      </w:r>
      <w:r w:rsidRPr="00B2653A">
        <w:rPr>
          <w:i/>
          <w:iCs/>
        </w:rPr>
        <w:t>Superannuation (Objective) Bill 2023</w:t>
      </w:r>
      <w:r w:rsidRPr="00D6731E">
        <w:t xml:space="preserve"> </w:t>
      </w:r>
      <w:r w:rsidR="00C66394">
        <w:t>provide</w:t>
      </w:r>
      <w:r w:rsidRPr="00D6731E">
        <w:t xml:space="preserve">s that the objective of superannuation is to </w:t>
      </w:r>
      <w:r w:rsidR="00F87A56">
        <w:t>‘</w:t>
      </w:r>
      <w:r w:rsidRPr="00D6731E">
        <w:t>preserve savings to deliver income for a dignified retirement, alongside government support, in an equitable and sustainable way.</w:t>
      </w:r>
      <w:r w:rsidR="00F87A56">
        <w:t>’</w:t>
      </w:r>
      <w:r w:rsidR="00B84BD5">
        <w:t xml:space="preserve"> </w:t>
      </w:r>
      <w:r w:rsidR="006E0656">
        <w:t>To meet this objective, it is imperative superannuation</w:t>
      </w:r>
      <w:r w:rsidR="00BC1629">
        <w:t xml:space="preserve"> funds</w:t>
      </w:r>
      <w:r w:rsidR="006E0656">
        <w:t xml:space="preserve"> </w:t>
      </w:r>
      <w:r w:rsidR="00793956">
        <w:t>are</w:t>
      </w:r>
      <w:r w:rsidR="006E0656">
        <w:t xml:space="preserve"> </w:t>
      </w:r>
      <w:r w:rsidR="00793956">
        <w:t xml:space="preserve">managed </w:t>
      </w:r>
      <w:r w:rsidR="002435C6">
        <w:t xml:space="preserve">efficiently </w:t>
      </w:r>
      <w:r w:rsidR="001855C3">
        <w:t>and</w:t>
      </w:r>
      <w:r w:rsidR="000E7D72">
        <w:t xml:space="preserve"> trustees are</w:t>
      </w:r>
      <w:r w:rsidR="001855C3">
        <w:t xml:space="preserve"> held</w:t>
      </w:r>
      <w:r w:rsidR="007643DA">
        <w:t xml:space="preserve"> to</w:t>
      </w:r>
      <w:r w:rsidR="001855C3">
        <w:t xml:space="preserve"> account for</w:t>
      </w:r>
      <w:r w:rsidR="00611E6D">
        <w:t xml:space="preserve"> how they </w:t>
      </w:r>
      <w:r w:rsidR="006B1F31">
        <w:t>assist</w:t>
      </w:r>
      <w:r w:rsidR="00234E59">
        <w:t xml:space="preserve"> their members </w:t>
      </w:r>
      <w:r w:rsidR="00F022AC">
        <w:t xml:space="preserve">in </w:t>
      </w:r>
      <w:r w:rsidR="00234E59">
        <w:t>achiev</w:t>
      </w:r>
      <w:r w:rsidR="00F022AC">
        <w:t>ing</w:t>
      </w:r>
      <w:r w:rsidR="00234E59">
        <w:t xml:space="preserve"> a dignified retirement</w:t>
      </w:r>
      <w:r w:rsidR="00B2653A">
        <w:t>.</w:t>
      </w:r>
      <w:r>
        <w:t xml:space="preserve"> </w:t>
      </w:r>
    </w:p>
    <w:p w14:paraId="3E471CE6" w14:textId="41535217" w:rsidR="00CA4E9B" w:rsidRDefault="00C4529B" w:rsidP="00B2653A">
      <w:pPr>
        <w:pStyle w:val="Bullet"/>
        <w:numPr>
          <w:ilvl w:val="0"/>
          <w:numId w:val="0"/>
        </w:numPr>
      </w:pPr>
      <w:r>
        <w:t>For most Australians, superannuation is now one of their largest assets.</w:t>
      </w:r>
      <w:r>
        <w:rPr>
          <w:rStyle w:val="FootnoteReference"/>
        </w:rPr>
        <w:footnoteReference w:id="2"/>
      </w:r>
      <w:r w:rsidR="00804297">
        <w:t xml:space="preserve"> </w:t>
      </w:r>
      <w:r>
        <w:t>78 per cent of Australians have money in their superannuation accounts that will be used to support them in retirement.</w:t>
      </w:r>
      <w:r>
        <w:rPr>
          <w:rStyle w:val="FootnoteReference"/>
        </w:rPr>
        <w:footnoteReference w:id="3"/>
      </w:r>
      <w:r>
        <w:t xml:space="preserve"> </w:t>
      </w:r>
    </w:p>
    <w:p w14:paraId="14806B2D" w14:textId="34812182" w:rsidR="00247307" w:rsidRDefault="00314243" w:rsidP="00247307">
      <w:pPr>
        <w:pStyle w:val="Bullet"/>
        <w:numPr>
          <w:ilvl w:val="0"/>
          <w:numId w:val="0"/>
        </w:numPr>
      </w:pPr>
      <w:r>
        <w:t xml:space="preserve">The </w:t>
      </w:r>
      <w:r w:rsidR="009D1A59">
        <w:t xml:space="preserve">annual superannuation </w:t>
      </w:r>
      <w:r>
        <w:t xml:space="preserve">performance test was introduced </w:t>
      </w:r>
      <w:r w:rsidR="006F4A1C">
        <w:t>to protect Australians’ retirement savings by holding trustees to account for the investment performance they deliver and the fees they charge to members</w:t>
      </w:r>
      <w:r w:rsidR="008E2D07">
        <w:t xml:space="preserve">. </w:t>
      </w:r>
      <w:r w:rsidR="00247307">
        <w:t>The introduction of the test</w:t>
      </w:r>
      <w:r w:rsidR="00521B95">
        <w:t xml:space="preserve"> in </w:t>
      </w:r>
      <w:r w:rsidR="00AA16CB">
        <w:t>2021</w:t>
      </w:r>
      <w:r w:rsidR="00247307">
        <w:t xml:space="preserve"> </w:t>
      </w:r>
      <w:r w:rsidR="00521B95">
        <w:t>followed</w:t>
      </w:r>
      <w:r w:rsidR="00247307">
        <w:t xml:space="preserve"> a recommendation from the Productivity Commission’s Inquiry into the Efficiency and Competitiveness of Australia’s Superannuation System that products be subject to an annual performance test for the ‘right to remain’ in the system</w:t>
      </w:r>
      <w:r w:rsidR="000E5C37">
        <w:t>.</w:t>
      </w:r>
      <w:r w:rsidR="00247307">
        <w:rPr>
          <w:rStyle w:val="FootnoteReference"/>
        </w:rPr>
        <w:footnoteReference w:id="4"/>
      </w:r>
      <w:r w:rsidR="00247307">
        <w:t xml:space="preserve">  </w:t>
      </w:r>
    </w:p>
    <w:p w14:paraId="3304268D" w14:textId="0231AB48" w:rsidR="005E4A25" w:rsidRDefault="00FF2876" w:rsidP="0009191F">
      <w:pPr>
        <w:spacing w:line="276" w:lineRule="auto"/>
      </w:pPr>
      <w:r>
        <w:t xml:space="preserve">The test </w:t>
      </w:r>
      <w:r w:rsidR="003E7A29">
        <w:t xml:space="preserve">is conducted by </w:t>
      </w:r>
      <w:r w:rsidR="00A50646">
        <w:t>the Australian Prudential Regulation Authority (</w:t>
      </w:r>
      <w:r w:rsidR="003E7A29">
        <w:t>APRA</w:t>
      </w:r>
      <w:r w:rsidR="00A50646">
        <w:t>)</w:t>
      </w:r>
      <w:r w:rsidR="003E7A29">
        <w:t xml:space="preserve"> and </w:t>
      </w:r>
      <w:r w:rsidR="005E4A25">
        <w:t>assess</w:t>
      </w:r>
      <w:r w:rsidR="00DE7CF3">
        <w:t>es</w:t>
      </w:r>
      <w:r w:rsidR="005E4A25">
        <w:t xml:space="preserve"> the performance of </w:t>
      </w:r>
      <w:r w:rsidR="0049742D">
        <w:t xml:space="preserve">a </w:t>
      </w:r>
      <w:r w:rsidR="005E4A25">
        <w:t>superannuation product by</w:t>
      </w:r>
      <w:r w:rsidR="0049742D">
        <w:t xml:space="preserve"> comparing its</w:t>
      </w:r>
      <w:r w:rsidR="005E4A25">
        <w:t>:</w:t>
      </w:r>
    </w:p>
    <w:p w14:paraId="4147B668" w14:textId="6BD69477" w:rsidR="005E4A25" w:rsidRDefault="005E4A25" w:rsidP="005E4A25">
      <w:pPr>
        <w:pStyle w:val="Bullet"/>
      </w:pPr>
      <w:r>
        <w:t xml:space="preserve">historical investment performance against a </w:t>
      </w:r>
      <w:r w:rsidR="00794B4D">
        <w:t>benchmark</w:t>
      </w:r>
      <w:r w:rsidR="008C7592">
        <w:t xml:space="preserve"> return, based on the product’s</w:t>
      </w:r>
      <w:r w:rsidR="00794B4D">
        <w:t xml:space="preserve"> </w:t>
      </w:r>
      <w:r>
        <w:t xml:space="preserve">strategic asset allocation </w:t>
      </w:r>
      <w:r w:rsidR="007A03F9">
        <w:t>(SAA)</w:t>
      </w:r>
    </w:p>
    <w:p w14:paraId="772D7CAF" w14:textId="740403B7" w:rsidR="005E4A25" w:rsidRDefault="005E4A25" w:rsidP="005E4A25">
      <w:pPr>
        <w:pStyle w:val="Bullet"/>
      </w:pPr>
      <w:r>
        <w:t>most recent administration fees against the median fees</w:t>
      </w:r>
      <w:r w:rsidR="009F369B">
        <w:t xml:space="preserve"> </w:t>
      </w:r>
      <w:r>
        <w:t>charged by their peer group.</w:t>
      </w:r>
    </w:p>
    <w:p w14:paraId="1889F9B4" w14:textId="1B121D02" w:rsidR="001E0561" w:rsidRDefault="005E4A25" w:rsidP="005E4A25">
      <w:pPr>
        <w:pStyle w:val="Bullet"/>
        <w:numPr>
          <w:ilvl w:val="0"/>
          <w:numId w:val="0"/>
        </w:numPr>
      </w:pPr>
      <w:r>
        <w:t xml:space="preserve">Products that fail the test are subject to clear </w:t>
      </w:r>
      <w:r w:rsidR="00245B13">
        <w:t xml:space="preserve">legislated </w:t>
      </w:r>
      <w:r>
        <w:t>consequences</w:t>
      </w:r>
      <w:r w:rsidR="00C66394">
        <w:t>: trustees must</w:t>
      </w:r>
      <w:r>
        <w:t xml:space="preserve"> </w:t>
      </w:r>
      <w:r w:rsidR="00CA6C3B">
        <w:t>writ</w:t>
      </w:r>
      <w:r w:rsidR="003E66D1">
        <w:t>e</w:t>
      </w:r>
      <w:r w:rsidR="00CA6C3B">
        <w:t xml:space="preserve"> to </w:t>
      </w:r>
      <w:r>
        <w:t xml:space="preserve">affected members </w:t>
      </w:r>
      <w:r w:rsidR="00F3756E">
        <w:t xml:space="preserve">notifying them that </w:t>
      </w:r>
      <w:r w:rsidR="00AE1B03">
        <w:t xml:space="preserve">their </w:t>
      </w:r>
      <w:r w:rsidR="009656F2">
        <w:t>product</w:t>
      </w:r>
      <w:r w:rsidR="00AE1B03">
        <w:t xml:space="preserve"> has failed the test</w:t>
      </w:r>
      <w:r w:rsidR="00411BCF">
        <w:t xml:space="preserve"> </w:t>
      </w:r>
      <w:r w:rsidR="00ED5CA9">
        <w:t xml:space="preserve">and </w:t>
      </w:r>
      <w:r w:rsidR="001E0561">
        <w:t>i</w:t>
      </w:r>
      <w:r w:rsidR="00947CFD">
        <w:t xml:space="preserve">f a </w:t>
      </w:r>
      <w:r w:rsidR="00842710">
        <w:t>product</w:t>
      </w:r>
      <w:r w:rsidR="00947CFD">
        <w:t xml:space="preserve"> </w:t>
      </w:r>
      <w:r w:rsidR="00645AA8">
        <w:t xml:space="preserve">fails the test </w:t>
      </w:r>
      <w:r w:rsidR="00A30736">
        <w:t>two years in a row</w:t>
      </w:r>
      <w:r w:rsidR="00D36DEA">
        <w:t>,</w:t>
      </w:r>
      <w:r w:rsidR="009D2C7B">
        <w:t xml:space="preserve"> it is </w:t>
      </w:r>
      <w:r>
        <w:t>clos</w:t>
      </w:r>
      <w:r w:rsidR="009D2C7B">
        <w:t xml:space="preserve">ed </w:t>
      </w:r>
      <w:r>
        <w:t xml:space="preserve">to new members </w:t>
      </w:r>
      <w:r w:rsidR="008011C1">
        <w:t>until it passes a future test</w:t>
      </w:r>
      <w:r>
        <w:t>.</w:t>
      </w:r>
      <w:r w:rsidR="00005364">
        <w:t xml:space="preserve"> </w:t>
      </w:r>
    </w:p>
    <w:p w14:paraId="27153BAA" w14:textId="29A60B49" w:rsidR="005E4A25" w:rsidRDefault="001E0561" w:rsidP="005E4A25">
      <w:pPr>
        <w:pStyle w:val="Bullet"/>
        <w:numPr>
          <w:ilvl w:val="0"/>
          <w:numId w:val="0"/>
        </w:numPr>
      </w:pPr>
      <w:r>
        <w:t xml:space="preserve">In addition, </w:t>
      </w:r>
      <w:r w:rsidR="003E4EEF">
        <w:t>funds that fail the test can expect to be</w:t>
      </w:r>
      <w:r>
        <w:t xml:space="preserve"> subjected to heightened supervision from APRA</w:t>
      </w:r>
      <w:r w:rsidR="001F61E3">
        <w:t xml:space="preserve"> to ensure </w:t>
      </w:r>
      <w:r w:rsidR="00EA05F0">
        <w:t>th</w:t>
      </w:r>
      <w:r w:rsidR="00764999">
        <w:t xml:space="preserve">at trustees are delivering </w:t>
      </w:r>
      <w:r w:rsidR="006755AC">
        <w:t>better</w:t>
      </w:r>
      <w:r w:rsidR="00367557">
        <w:t xml:space="preserve"> outcomes for their members</w:t>
      </w:r>
      <w:r>
        <w:t>.</w:t>
      </w:r>
    </w:p>
    <w:p w14:paraId="02F12396" w14:textId="1D8E3625" w:rsidR="00B25F06" w:rsidRDefault="00B25F06" w:rsidP="00413FEB">
      <w:pPr>
        <w:pStyle w:val="Heading4"/>
      </w:pPr>
      <w:r>
        <w:t>How is it going</w:t>
      </w:r>
      <w:r w:rsidR="00243896">
        <w:t>?</w:t>
      </w:r>
    </w:p>
    <w:p w14:paraId="5FBBA868" w14:textId="4B430932" w:rsidR="00F105B4" w:rsidRDefault="0035625B" w:rsidP="002B66F8">
      <w:pPr>
        <w:pStyle w:val="Bullet"/>
        <w:numPr>
          <w:ilvl w:val="0"/>
          <w:numId w:val="0"/>
        </w:numPr>
      </w:pPr>
      <w:r>
        <w:t xml:space="preserve">The test has applied to MySuper products since 1 July 2021 and to </w:t>
      </w:r>
      <w:r w:rsidRPr="00F551E4">
        <w:t>TDPs,</w:t>
      </w:r>
      <w:r>
        <w:t xml:space="preserve"> a subset of the choice accumulation </w:t>
      </w:r>
      <w:proofErr w:type="gramStart"/>
      <w:r>
        <w:t>sector, since</w:t>
      </w:r>
      <w:proofErr w:type="gramEnd"/>
      <w:r>
        <w:t xml:space="preserve"> </w:t>
      </w:r>
      <w:r w:rsidRPr="0026119E">
        <w:t>1 July 2023</w:t>
      </w:r>
      <w:r>
        <w:t xml:space="preserve">. In applying the test to MySuper products, the test covered </w:t>
      </w:r>
      <w:r w:rsidRPr="00533091">
        <w:t>80</w:t>
      </w:r>
      <w:r>
        <w:t xml:space="preserve"> products and accounted for </w:t>
      </w:r>
      <w:proofErr w:type="gramStart"/>
      <w:r w:rsidRPr="00533091">
        <w:t>14</w:t>
      </w:r>
      <w:r>
        <w:t> million member</w:t>
      </w:r>
      <w:proofErr w:type="gramEnd"/>
      <w:r>
        <w:t xml:space="preserve"> accounts containing $</w:t>
      </w:r>
      <w:r w:rsidRPr="00533091">
        <w:t>900</w:t>
      </w:r>
      <w:r>
        <w:t xml:space="preserve"> billion in assets. In expanding to TDPs, the test covered a further </w:t>
      </w:r>
      <w:r w:rsidRPr="00533091">
        <w:t>805</w:t>
      </w:r>
      <w:r>
        <w:t xml:space="preserve"> products, accounting for a further </w:t>
      </w:r>
      <w:proofErr w:type="gramStart"/>
      <w:r w:rsidR="00EF6F55" w:rsidRPr="00533091">
        <w:t>4</w:t>
      </w:r>
      <w:r w:rsidR="00EF6F55">
        <w:t> </w:t>
      </w:r>
      <w:r>
        <w:t>million member</w:t>
      </w:r>
      <w:proofErr w:type="gramEnd"/>
      <w:r>
        <w:t xml:space="preserve"> accounts and $</w:t>
      </w:r>
      <w:r w:rsidRPr="00533091">
        <w:t>360</w:t>
      </w:r>
      <w:r>
        <w:t xml:space="preserve"> billion in assets.</w:t>
      </w:r>
    </w:p>
    <w:p w14:paraId="192F4BA3" w14:textId="7A73CB10" w:rsidR="0085117B" w:rsidRDefault="0085117B" w:rsidP="0009191F">
      <w:pPr>
        <w:spacing w:line="276" w:lineRule="auto"/>
      </w:pPr>
      <w:r>
        <w:t xml:space="preserve">The test was designed to remove underperformers from the sector by setting an objective minimum standard with clear consequences for not meeting those benchmarks. </w:t>
      </w:r>
    </w:p>
    <w:p w14:paraId="76515DA7" w14:textId="69410E3B" w:rsidR="00987473" w:rsidRDefault="001629B9" w:rsidP="009B6F9D">
      <w:pPr>
        <w:pStyle w:val="Bullet"/>
        <w:numPr>
          <w:ilvl w:val="0"/>
          <w:numId w:val="0"/>
        </w:numPr>
      </w:pPr>
      <w:r>
        <w:t>To date,</w:t>
      </w:r>
      <w:r w:rsidR="0031008A">
        <w:t xml:space="preserve"> 14 </w:t>
      </w:r>
      <w:r>
        <w:t>MySuper</w:t>
      </w:r>
      <w:r w:rsidR="0031008A">
        <w:t xml:space="preserve"> products have failed </w:t>
      </w:r>
      <w:r w:rsidR="009135C4">
        <w:t>the test</w:t>
      </w:r>
      <w:r w:rsidR="00712EC9">
        <w:t>, of which</w:t>
      </w:r>
      <w:r w:rsidR="0031008A">
        <w:t xml:space="preserve"> 1</w:t>
      </w:r>
      <w:r w:rsidR="009E70A0">
        <w:t>3</w:t>
      </w:r>
      <w:r w:rsidR="0031008A">
        <w:t xml:space="preserve"> have exited the market</w:t>
      </w:r>
      <w:r w:rsidR="00BD3BBC">
        <w:t xml:space="preserve"> </w:t>
      </w:r>
      <w:r w:rsidR="003B27C9">
        <w:t xml:space="preserve">or </w:t>
      </w:r>
      <w:r w:rsidR="00BD3BBC">
        <w:t xml:space="preserve">have </w:t>
      </w:r>
      <w:r w:rsidR="003B27C9">
        <w:t xml:space="preserve">announced </w:t>
      </w:r>
      <w:r w:rsidR="00AA13FC">
        <w:t>plans to do so</w:t>
      </w:r>
      <w:r w:rsidR="005653A0">
        <w:t>.</w:t>
      </w:r>
      <w:r w:rsidR="00424EBC">
        <w:t xml:space="preserve"> </w:t>
      </w:r>
      <w:r w:rsidR="003F4AC0">
        <w:t xml:space="preserve">This has resulted in over </w:t>
      </w:r>
      <w:r w:rsidR="003F4AC0" w:rsidRPr="00585399">
        <w:t>800,000</w:t>
      </w:r>
      <w:r w:rsidR="003F4AC0">
        <w:t xml:space="preserve"> member accounts merging with a better-performing fund</w:t>
      </w:r>
      <w:r w:rsidR="00CC7D52">
        <w:t>.</w:t>
      </w:r>
      <w:r w:rsidR="003F4AC0">
        <w:rPr>
          <w:rStyle w:val="FootnoteReference"/>
        </w:rPr>
        <w:footnoteReference w:id="5"/>
      </w:r>
      <w:r w:rsidR="003F4AC0">
        <w:t xml:space="preserve"> The </w:t>
      </w:r>
      <w:r w:rsidR="00A44E23">
        <w:t xml:space="preserve">remaining </w:t>
      </w:r>
      <w:r w:rsidR="003F4AC0">
        <w:t xml:space="preserve">MySuper product </w:t>
      </w:r>
      <w:r w:rsidR="0031008A">
        <w:t>ha</w:t>
      </w:r>
      <w:r w:rsidR="00424EBC">
        <w:t>s</w:t>
      </w:r>
      <w:r w:rsidR="0031008A">
        <w:t xml:space="preserve"> since improved </w:t>
      </w:r>
      <w:r w:rsidR="00BD3BBC">
        <w:t xml:space="preserve">its </w:t>
      </w:r>
      <w:r w:rsidR="0031008A">
        <w:t>performance</w:t>
      </w:r>
      <w:r w:rsidR="00424EBC">
        <w:t xml:space="preserve">. </w:t>
      </w:r>
    </w:p>
    <w:p w14:paraId="15EF6CD1" w14:textId="1589A267" w:rsidR="007E60E9" w:rsidRDefault="00461746" w:rsidP="009B6F9D">
      <w:pPr>
        <w:pStyle w:val="Bullet"/>
        <w:numPr>
          <w:ilvl w:val="0"/>
          <w:numId w:val="0"/>
        </w:numPr>
      </w:pPr>
      <w:r>
        <w:t xml:space="preserve">Each year of the test has had a lower </w:t>
      </w:r>
      <w:r w:rsidRPr="00930E05">
        <w:t xml:space="preserve">failure rate of MySuper products, from 13 products failing in 2021 to </w:t>
      </w:r>
      <w:r>
        <w:t>five</w:t>
      </w:r>
      <w:r w:rsidRPr="00930E05">
        <w:t xml:space="preserve"> in 2022 and one in 2023.</w:t>
      </w:r>
      <w:r>
        <w:t xml:space="preserve"> </w:t>
      </w:r>
      <w:r w:rsidR="00987473">
        <w:t>Th</w:t>
      </w:r>
      <w:r w:rsidR="007D0374">
        <w:t>is</w:t>
      </w:r>
      <w:r w:rsidR="00987473">
        <w:t xml:space="preserve"> demonstrate</w:t>
      </w:r>
      <w:r w:rsidR="007D0374">
        <w:t>s</w:t>
      </w:r>
      <w:r w:rsidR="00987473">
        <w:t xml:space="preserve"> that the test has remov</w:t>
      </w:r>
      <w:r w:rsidR="008D47C7">
        <w:t>ed</w:t>
      </w:r>
      <w:r w:rsidR="00987473">
        <w:t xml:space="preserve"> underperforming products in the MySuper sector</w:t>
      </w:r>
      <w:r w:rsidR="00C16A4C">
        <w:t xml:space="preserve">, improving member </w:t>
      </w:r>
      <w:r w:rsidR="00D82393">
        <w:t>outcomes,</w:t>
      </w:r>
      <w:r w:rsidR="00C16A4C">
        <w:t xml:space="preserve"> </w:t>
      </w:r>
      <w:r w:rsidR="00987473">
        <w:t>and enhancing transparency on the performance of their products</w:t>
      </w:r>
      <w:r w:rsidR="00FD42F9">
        <w:t xml:space="preserve">. </w:t>
      </w:r>
    </w:p>
    <w:p w14:paraId="68D4B342" w14:textId="72706928" w:rsidR="00D53AFC" w:rsidRDefault="00D53AFC" w:rsidP="008C6F7D">
      <w:pPr>
        <w:pStyle w:val="ChartMainHeading"/>
      </w:pPr>
      <w:bookmarkStart w:id="9" w:name="_Toc150941829"/>
      <w:bookmarkStart w:id="10" w:name="_Toc151477444"/>
      <w:bookmarkStart w:id="11" w:name="_Toc151571878"/>
      <w:bookmarkStart w:id="12" w:name="_Toc151574878"/>
      <w:bookmarkStart w:id="13" w:name="_Toc151575159"/>
      <w:bookmarkStart w:id="14" w:name="_Toc151729427"/>
      <w:bookmarkStart w:id="15" w:name="_Toc153206234"/>
      <w:bookmarkStart w:id="16" w:name="_Toc155955171"/>
      <w:r>
        <w:t>Chart 1 –</w:t>
      </w:r>
      <w:r w:rsidR="00D93CF7">
        <w:t xml:space="preserve"> </w:t>
      </w:r>
      <w:bookmarkEnd w:id="9"/>
      <w:bookmarkEnd w:id="10"/>
      <w:bookmarkEnd w:id="11"/>
      <w:bookmarkEnd w:id="12"/>
      <w:bookmarkEnd w:id="13"/>
      <w:bookmarkEnd w:id="14"/>
      <w:bookmarkEnd w:id="15"/>
      <w:r w:rsidR="005D5700">
        <w:t>Status of MySuper products</w:t>
      </w:r>
      <w:r w:rsidR="00A92F60">
        <w:t xml:space="preserve"> that have failed the test</w:t>
      </w:r>
      <w:bookmarkEnd w:id="16"/>
    </w:p>
    <w:p w14:paraId="7D534BC6" w14:textId="20E3C618" w:rsidR="0031788A" w:rsidRDefault="00167803" w:rsidP="00585399">
      <w:pPr>
        <w:jc w:val="center"/>
        <w:rPr>
          <w:sz w:val="20"/>
          <w:szCs w:val="18"/>
        </w:rPr>
      </w:pPr>
      <w:r>
        <w:rPr>
          <w:noProof/>
          <w:sz w:val="20"/>
          <w:szCs w:val="18"/>
        </w:rPr>
        <w:drawing>
          <wp:inline distT="0" distB="0" distL="0" distR="0" wp14:anchorId="2D0A3359" wp14:editId="00454ACF">
            <wp:extent cx="4113613" cy="2721935"/>
            <wp:effectExtent l="0" t="0" r="127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30723" cy="2733256"/>
                    </a:xfrm>
                    <a:prstGeom prst="rect">
                      <a:avLst/>
                    </a:prstGeom>
                    <a:noFill/>
                  </pic:spPr>
                </pic:pic>
              </a:graphicData>
            </a:graphic>
          </wp:inline>
        </w:drawing>
      </w:r>
    </w:p>
    <w:p w14:paraId="1D18787C" w14:textId="4DD64B3B" w:rsidR="002C52EE" w:rsidRPr="00E4663E" w:rsidRDefault="002C52EE" w:rsidP="00EA341B">
      <w:pPr>
        <w:pStyle w:val="ChartorTableNote"/>
      </w:pPr>
      <w:r w:rsidRPr="00E4663E">
        <w:t>Source:</w:t>
      </w:r>
      <w:r w:rsidRPr="00D9513E">
        <w:t xml:space="preserve"> </w:t>
      </w:r>
      <w:r w:rsidR="00892415">
        <w:t xml:space="preserve">APRA Annual MySuper </w:t>
      </w:r>
      <w:r w:rsidR="005230F0">
        <w:t>s</w:t>
      </w:r>
      <w:r w:rsidR="00892415">
        <w:t xml:space="preserve">tatistics </w:t>
      </w:r>
      <w:r w:rsidR="005230F0">
        <w:t>b</w:t>
      </w:r>
      <w:r w:rsidR="00892415">
        <w:t>ack</w:t>
      </w:r>
      <w:r w:rsidR="005230F0">
        <w:t>-</w:t>
      </w:r>
      <w:r w:rsidR="00892415">
        <w:t xml:space="preserve">series June 2014 </w:t>
      </w:r>
      <w:r w:rsidR="005230F0">
        <w:t>-</w:t>
      </w:r>
      <w:r w:rsidR="00892415">
        <w:t xml:space="preserve"> June 2022 and APR</w:t>
      </w:r>
      <w:r w:rsidR="00A562B3">
        <w:t>A</w:t>
      </w:r>
      <w:r w:rsidR="00892415">
        <w:t xml:space="preserve"> Quarterly Superannuation Product Statistics, June 2023.</w:t>
      </w:r>
    </w:p>
    <w:p w14:paraId="4F11A7BB" w14:textId="74E0DC70" w:rsidR="00E873D3" w:rsidRDefault="00E873D3" w:rsidP="00E873D3">
      <w:pPr>
        <w:pStyle w:val="Bullet"/>
        <w:numPr>
          <w:ilvl w:val="0"/>
          <w:numId w:val="0"/>
        </w:numPr>
      </w:pPr>
      <w:r>
        <w:t xml:space="preserve">Since being extended to TDPs in 2023, the </w:t>
      </w:r>
      <w:r w:rsidR="00E014CC">
        <w:t>test</w:t>
      </w:r>
      <w:r>
        <w:t xml:space="preserve"> found 12</w:t>
      </w:r>
      <w:r w:rsidRPr="007F0E96">
        <w:t xml:space="preserve"> </w:t>
      </w:r>
      <w:r>
        <w:t xml:space="preserve">per cent </w:t>
      </w:r>
      <w:r w:rsidR="00A84CF1">
        <w:t xml:space="preserve">of TDPs </w:t>
      </w:r>
      <w:r>
        <w:t xml:space="preserve">were underperforming, with a higher failure rate of </w:t>
      </w:r>
      <w:r w:rsidRPr="002068A0">
        <w:t>25</w:t>
      </w:r>
      <w:r>
        <w:t xml:space="preserve"> per cent</w:t>
      </w:r>
      <w:r w:rsidDel="00082E97">
        <w:t xml:space="preserve"> </w:t>
      </w:r>
      <w:r w:rsidR="00222D2D">
        <w:t>for</w:t>
      </w:r>
      <w:r>
        <w:t xml:space="preserve"> platform TDPs (compared to only </w:t>
      </w:r>
      <w:r w:rsidRPr="002068A0">
        <w:t>4</w:t>
      </w:r>
      <w:r w:rsidRPr="007F0E96">
        <w:t xml:space="preserve"> </w:t>
      </w:r>
      <w:r>
        <w:t xml:space="preserve">per cent in non-platform TDPs). </w:t>
      </w:r>
      <w:r w:rsidR="00805E11">
        <w:t xml:space="preserve">Members have been notified if their product failed the 2023 test, and </w:t>
      </w:r>
      <w:r w:rsidR="00A90770">
        <w:t>failed products will now be subject to heightened APRA scrutiny and will be closed to new members if they fail in 20</w:t>
      </w:r>
      <w:r w:rsidR="00633737">
        <w:t xml:space="preserve">24 as well. </w:t>
      </w:r>
      <w:r>
        <w:t xml:space="preserve">As outlined above, the test has been effective at removing underperformers from the MySuper sector and is expected to drive similar outcomes for members in this segment of the market. </w:t>
      </w:r>
    </w:p>
    <w:p w14:paraId="08A9AE59" w14:textId="18F31173" w:rsidR="00083456" w:rsidRDefault="00CA5260" w:rsidP="00096AF8">
      <w:pPr>
        <w:pStyle w:val="Bullet"/>
        <w:numPr>
          <w:ilvl w:val="0"/>
          <w:numId w:val="0"/>
        </w:numPr>
      </w:pPr>
      <w:r>
        <w:t xml:space="preserve">Without the test, affected members were unlikely to have known that they </w:t>
      </w:r>
      <w:r w:rsidDel="002C02EC">
        <w:t xml:space="preserve">were </w:t>
      </w:r>
      <w:r>
        <w:t xml:space="preserve">in an underperforming product and would </w:t>
      </w:r>
      <w:r w:rsidDel="00662664">
        <w:t xml:space="preserve">have </w:t>
      </w:r>
      <w:r>
        <w:t>remained there</w:t>
      </w:r>
      <w:r w:rsidR="007A373B">
        <w:t xml:space="preserve">. </w:t>
      </w:r>
      <w:r w:rsidR="00096AF8" w:rsidRPr="00C72F7D">
        <w:t xml:space="preserve">APRA has monitored member movements from options that failed the test. They have seen the number of member accounts in products that failed the test fall by </w:t>
      </w:r>
      <w:r w:rsidR="00EB4E60">
        <w:t xml:space="preserve">around </w:t>
      </w:r>
      <w:r w:rsidR="0038300F">
        <w:t>10</w:t>
      </w:r>
      <w:r w:rsidR="008107C3" w:rsidRPr="008107C3">
        <w:t xml:space="preserve"> </w:t>
      </w:r>
      <w:r w:rsidR="008107C3">
        <w:t>per cent</w:t>
      </w:r>
      <w:r w:rsidR="008107C3" w:rsidDel="008107C3">
        <w:t xml:space="preserve"> </w:t>
      </w:r>
      <w:r w:rsidR="00117A67">
        <w:t xml:space="preserve">in </w:t>
      </w:r>
      <w:r w:rsidR="00802D88">
        <w:t>the fi</w:t>
      </w:r>
      <w:r w:rsidR="00443160">
        <w:t>v</w:t>
      </w:r>
      <w:r w:rsidR="00802D88">
        <w:t xml:space="preserve">e-month monitoring period </w:t>
      </w:r>
      <w:r w:rsidR="00754003">
        <w:t>f</w:t>
      </w:r>
      <w:r w:rsidR="00802D88">
        <w:t xml:space="preserve">ollowing </w:t>
      </w:r>
      <w:r w:rsidR="00EB4E60">
        <w:t>each of the</w:t>
      </w:r>
      <w:r w:rsidR="00127BAD">
        <w:t xml:space="preserve"> </w:t>
      </w:r>
      <w:r w:rsidR="00802D88">
        <w:t>tests</w:t>
      </w:r>
      <w:r w:rsidR="002871BE">
        <w:t xml:space="preserve">, suggesting a positive impact on member </w:t>
      </w:r>
      <w:r w:rsidR="00AD4906">
        <w:t>engagement</w:t>
      </w:r>
      <w:r w:rsidR="007E0837">
        <w:t>.</w:t>
      </w:r>
      <w:r w:rsidR="00096AF8">
        <w:t xml:space="preserve"> </w:t>
      </w:r>
    </w:p>
    <w:p w14:paraId="057CC2E7" w14:textId="5741660A" w:rsidR="00083456" w:rsidRDefault="00083456" w:rsidP="00083456">
      <w:pPr>
        <w:pStyle w:val="Bullet"/>
        <w:numPr>
          <w:ilvl w:val="0"/>
          <w:numId w:val="0"/>
        </w:numPr>
      </w:pPr>
      <w:r>
        <w:t xml:space="preserve">Further, </w:t>
      </w:r>
      <w:r w:rsidR="003701D0">
        <w:t xml:space="preserve">data on </w:t>
      </w:r>
      <w:r>
        <w:t xml:space="preserve">the YourSuper comparison tool, </w:t>
      </w:r>
      <w:r w:rsidR="00582CCC">
        <w:t xml:space="preserve">which </w:t>
      </w:r>
      <w:r>
        <w:t>is a member focused online tool that aim</w:t>
      </w:r>
      <w:r w:rsidR="005A4858">
        <w:t>s</w:t>
      </w:r>
      <w:r>
        <w:t xml:space="preserve"> to assist members to choose a well</w:t>
      </w:r>
      <w:r>
        <w:noBreakHyphen/>
        <w:t>performing MySuper product</w:t>
      </w:r>
      <w:r w:rsidR="005A4858">
        <w:t xml:space="preserve">, </w:t>
      </w:r>
      <w:r>
        <w:t>shows a 30</w:t>
      </w:r>
      <w:r w:rsidR="0032494C">
        <w:t xml:space="preserve"> per cent</w:t>
      </w:r>
      <w:r>
        <w:t xml:space="preserve"> increase in traffic in the month of September compared to August, which aligns with the timing of members of underperforming products receiving notification letters</w:t>
      </w:r>
      <w:r w:rsidR="00177AE2">
        <w:t>.</w:t>
      </w:r>
      <w:r>
        <w:rPr>
          <w:rStyle w:val="FootnoteReference"/>
        </w:rPr>
        <w:footnoteReference w:id="6"/>
      </w:r>
      <w:r>
        <w:t xml:space="preserve"> </w:t>
      </w:r>
    </w:p>
    <w:p w14:paraId="08FC5FAD" w14:textId="7175BC88" w:rsidR="00096AF8" w:rsidRDefault="00A1556F" w:rsidP="00096AF8">
      <w:pPr>
        <w:pStyle w:val="Bullet"/>
        <w:numPr>
          <w:ilvl w:val="0"/>
          <w:numId w:val="0"/>
        </w:numPr>
      </w:pPr>
      <w:r>
        <w:t>Heightened</w:t>
      </w:r>
      <w:r w:rsidR="004C61DF">
        <w:t xml:space="preserve"> </w:t>
      </w:r>
      <w:r w:rsidR="00E46778">
        <w:t xml:space="preserve">APRA </w:t>
      </w:r>
      <w:r>
        <w:t>scrutin</w:t>
      </w:r>
      <w:r w:rsidR="00093DC6">
        <w:t>y</w:t>
      </w:r>
      <w:r>
        <w:t xml:space="preserve"> </w:t>
      </w:r>
      <w:r w:rsidR="00E46778">
        <w:t xml:space="preserve">has </w:t>
      </w:r>
      <w:r w:rsidR="00BE5022">
        <w:t>also</w:t>
      </w:r>
      <w:r w:rsidR="00E46778">
        <w:t xml:space="preserve"> played a crucial role in </w:t>
      </w:r>
      <w:r w:rsidR="008C63E3">
        <w:t>driving member outcomes</w:t>
      </w:r>
      <w:r w:rsidR="00093DC6">
        <w:t xml:space="preserve"> </w:t>
      </w:r>
      <w:r w:rsidR="00904E29">
        <w:t>by</w:t>
      </w:r>
      <w:r w:rsidR="007E1843">
        <w:t xml:space="preserve"> </w:t>
      </w:r>
      <w:r w:rsidR="009E5944">
        <w:t xml:space="preserve">placing an expectation on </w:t>
      </w:r>
      <w:r w:rsidR="003C095B">
        <w:t xml:space="preserve">trustees to have a clear understanding of the drivers of </w:t>
      </w:r>
      <w:r w:rsidR="005C3495">
        <w:t xml:space="preserve">their failure and </w:t>
      </w:r>
      <w:r w:rsidR="00A324CD">
        <w:t xml:space="preserve">to put in </w:t>
      </w:r>
      <w:r w:rsidR="00C3219E">
        <w:t>place an effective remediation plan</w:t>
      </w:r>
      <w:r w:rsidR="007D71F4">
        <w:t>. This</w:t>
      </w:r>
      <w:r w:rsidR="00705D3D">
        <w:t xml:space="preserve"> includ</w:t>
      </w:r>
      <w:r w:rsidR="007D71F4">
        <w:t>es</w:t>
      </w:r>
      <w:r w:rsidR="00705D3D">
        <w:t xml:space="preserve"> consideration of whether</w:t>
      </w:r>
      <w:r w:rsidR="00173F22">
        <w:t xml:space="preserve"> transferring members to another product or </w:t>
      </w:r>
      <w:r w:rsidR="00F76C7F">
        <w:t>fund</w:t>
      </w:r>
      <w:r w:rsidR="00173F22">
        <w:t xml:space="preserve"> would be in </w:t>
      </w:r>
      <w:r w:rsidR="00173F22" w:rsidDel="00705D3D">
        <w:t xml:space="preserve">members’ </w:t>
      </w:r>
      <w:r w:rsidR="00173F22">
        <w:t>best financial interests.</w:t>
      </w:r>
      <w:r w:rsidR="006364E1">
        <w:t xml:space="preserve"> </w:t>
      </w:r>
    </w:p>
    <w:p w14:paraId="7E726F7D" w14:textId="7C320903" w:rsidR="008C63E3" w:rsidRPr="00413FEB" w:rsidRDefault="0000539F" w:rsidP="0031008A">
      <w:pPr>
        <w:pStyle w:val="Bullet"/>
        <w:numPr>
          <w:ilvl w:val="0"/>
          <w:numId w:val="0"/>
        </w:numPr>
        <w:rPr>
          <w:rFonts w:cs="Arial"/>
          <w:color w:val="4D7861" w:themeColor="accent2"/>
          <w:kern w:val="32"/>
          <w:sz w:val="24"/>
          <w:szCs w:val="26"/>
        </w:rPr>
      </w:pPr>
      <w:r>
        <w:rPr>
          <w:rFonts w:cs="Arial"/>
          <w:color w:val="4D7861" w:themeColor="accent2"/>
          <w:kern w:val="32"/>
          <w:sz w:val="24"/>
          <w:szCs w:val="26"/>
        </w:rPr>
        <w:t xml:space="preserve">Concerns raised in </w:t>
      </w:r>
      <w:r w:rsidR="008D0CB7">
        <w:rPr>
          <w:rFonts w:cs="Arial"/>
          <w:color w:val="4D7861" w:themeColor="accent2"/>
          <w:kern w:val="32"/>
          <w:sz w:val="24"/>
          <w:szCs w:val="26"/>
        </w:rPr>
        <w:t>Your Future, Your Super Review</w:t>
      </w:r>
    </w:p>
    <w:p w14:paraId="32CCEAB4" w14:textId="6EDC0576" w:rsidR="00A03AEB" w:rsidRDefault="00DD053D" w:rsidP="0031008A">
      <w:pPr>
        <w:pStyle w:val="Bullet"/>
        <w:numPr>
          <w:ilvl w:val="0"/>
          <w:numId w:val="0"/>
        </w:numPr>
      </w:pPr>
      <w:r>
        <w:t>In 2022</w:t>
      </w:r>
      <w:r w:rsidR="00FA5BF7">
        <w:t>,</w:t>
      </w:r>
      <w:r>
        <w:t xml:space="preserve"> </w:t>
      </w:r>
      <w:r w:rsidR="00C522A0">
        <w:t>Treasury</w:t>
      </w:r>
      <w:r w:rsidR="00E16CCD">
        <w:t xml:space="preserve"> undertook a review of the </w:t>
      </w:r>
      <w:r w:rsidR="00C522A0" w:rsidRPr="002320E2">
        <w:t xml:space="preserve">Your Future, Your Super </w:t>
      </w:r>
      <w:r w:rsidR="00E16CCD" w:rsidRPr="002320E2">
        <w:t>reforms</w:t>
      </w:r>
      <w:r w:rsidR="00FC5D11" w:rsidRPr="002320E2">
        <w:t xml:space="preserve"> (YFYS Review)</w:t>
      </w:r>
      <w:r w:rsidR="00A03AEB" w:rsidRPr="002320E2">
        <w:t>.</w:t>
      </w:r>
      <w:r w:rsidR="0073559A">
        <w:t xml:space="preserve"> </w:t>
      </w:r>
      <w:r w:rsidR="0073559A" w:rsidRPr="0073559A">
        <w:t>The purpose of the review was to assess</w:t>
      </w:r>
      <w:r w:rsidR="00A03AEB">
        <w:t xml:space="preserve"> any unintended consequences and implementation issues</w:t>
      </w:r>
      <w:r w:rsidR="0073559A" w:rsidRPr="0073559A">
        <w:t xml:space="preserve"> arising from the YFYS legislation. The review covered all four elements of the YFYS measures. </w:t>
      </w:r>
    </w:p>
    <w:p w14:paraId="7744A1DE" w14:textId="5ED8F5B3" w:rsidR="00BA51CD" w:rsidRDefault="00BA51CD" w:rsidP="00F93D34">
      <w:pPr>
        <w:pStyle w:val="Bullet"/>
        <w:numPr>
          <w:ilvl w:val="0"/>
          <w:numId w:val="0"/>
        </w:numPr>
        <w:spacing w:after="120"/>
      </w:pPr>
      <w:r>
        <w:t>During the YFYS Review, stakeholders raised concerns that the current test is a blunt tool that is leading to unintended consequences that affect the investment decisions of all funds (not just underperformers) and can potentially reduce long-term returns for members. The concerns raised by stakeholders are summarised in the table below</w:t>
      </w:r>
      <w:r w:rsidR="00053C58">
        <w:t>.</w:t>
      </w:r>
    </w:p>
    <w:tbl>
      <w:tblPr>
        <w:tblStyle w:val="TableGrid"/>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3"/>
      </w:tblGrid>
      <w:tr w:rsidR="00F66946" w14:paraId="4D65A731" w14:textId="77777777">
        <w:trPr>
          <w:cnfStyle w:val="100000000000" w:firstRow="1" w:lastRow="0" w:firstColumn="0" w:lastColumn="0" w:oddVBand="0" w:evenVBand="0" w:oddHBand="0" w:evenHBand="0" w:firstRowFirstColumn="0" w:firstRowLastColumn="0" w:lastRowFirstColumn="0" w:lastRowLastColumn="0"/>
        </w:trPr>
        <w:tc>
          <w:tcPr>
            <w:tcW w:w="2977" w:type="dxa"/>
            <w:shd w:val="clear" w:color="auto" w:fill="9CACC4" w:themeFill="accent1" w:themeFillTint="66"/>
          </w:tcPr>
          <w:p w14:paraId="1F02B27E" w14:textId="31FB003B" w:rsidR="00BA51CD" w:rsidRPr="009A63F4" w:rsidRDefault="000D5BA8">
            <w:pPr>
              <w:spacing w:before="96" w:after="96"/>
              <w:rPr>
                <w:color w:val="auto"/>
                <w:sz w:val="22"/>
                <w:szCs w:val="22"/>
              </w:rPr>
            </w:pPr>
            <w:r>
              <w:rPr>
                <w:sz w:val="22"/>
                <w:szCs w:val="22"/>
              </w:rPr>
              <w:t xml:space="preserve">Concerns </w:t>
            </w:r>
            <w:r w:rsidR="00BA51CD">
              <w:rPr>
                <w:sz w:val="22"/>
                <w:szCs w:val="22"/>
              </w:rPr>
              <w:t>raised by stakeholders</w:t>
            </w:r>
          </w:p>
        </w:tc>
        <w:tc>
          <w:tcPr>
            <w:tcW w:w="6093" w:type="dxa"/>
            <w:shd w:val="clear" w:color="auto" w:fill="9CACC4" w:themeFill="accent1" w:themeFillTint="66"/>
          </w:tcPr>
          <w:p w14:paraId="45865487" w14:textId="77777777" w:rsidR="00BA51CD" w:rsidRPr="009A63F4" w:rsidRDefault="00BA51CD">
            <w:pPr>
              <w:spacing w:before="96" w:after="96"/>
              <w:rPr>
                <w:color w:val="auto"/>
                <w:sz w:val="22"/>
                <w:szCs w:val="22"/>
              </w:rPr>
            </w:pPr>
            <w:r w:rsidRPr="009A63F4">
              <w:rPr>
                <w:sz w:val="22"/>
                <w:szCs w:val="22"/>
              </w:rPr>
              <w:t>Summary</w:t>
            </w:r>
            <w:r>
              <w:rPr>
                <w:sz w:val="22"/>
                <w:szCs w:val="22"/>
              </w:rPr>
              <w:t xml:space="preserve"> of stakeholder views</w:t>
            </w:r>
          </w:p>
        </w:tc>
      </w:tr>
      <w:tr w:rsidR="00212D15" w14:paraId="42D26FB6" w14:textId="77777777">
        <w:tc>
          <w:tcPr>
            <w:tcW w:w="2977" w:type="dxa"/>
          </w:tcPr>
          <w:p w14:paraId="6E51907B" w14:textId="77777777" w:rsidR="009E0532" w:rsidRPr="009A63F4" w:rsidRDefault="009E0532">
            <w:pPr>
              <w:rPr>
                <w:sz w:val="22"/>
                <w:szCs w:val="22"/>
              </w:rPr>
            </w:pPr>
            <w:r>
              <w:rPr>
                <w:sz w:val="22"/>
                <w:szCs w:val="22"/>
              </w:rPr>
              <w:t xml:space="preserve">Focusing on investment implementation over other measures of performance </w:t>
            </w:r>
          </w:p>
        </w:tc>
        <w:tc>
          <w:tcPr>
            <w:tcW w:w="6093" w:type="dxa"/>
          </w:tcPr>
          <w:p w14:paraId="4A20A0EA" w14:textId="0544A9C9" w:rsidR="009E0532" w:rsidRPr="00585399" w:rsidRDefault="009E0532">
            <w:pPr>
              <w:rPr>
                <w:sz w:val="22"/>
                <w:szCs w:val="22"/>
              </w:rPr>
            </w:pPr>
            <w:r w:rsidRPr="00585399">
              <w:rPr>
                <w:sz w:val="22"/>
                <w:szCs w:val="22"/>
              </w:rPr>
              <w:t>Performance delivered by trustees can be attributed to different factors. The current testing framework</w:t>
            </w:r>
            <w:r>
              <w:rPr>
                <w:sz w:val="22"/>
                <w:szCs w:val="22"/>
              </w:rPr>
              <w:t xml:space="preserve"> only assesses</w:t>
            </w:r>
            <w:r w:rsidRPr="00585399">
              <w:rPr>
                <w:sz w:val="22"/>
                <w:szCs w:val="22"/>
              </w:rPr>
              <w:t xml:space="preserve"> how well an investment strategy has been </w:t>
            </w:r>
            <w:r w:rsidRPr="008650CE">
              <w:rPr>
                <w:i/>
                <w:sz w:val="22"/>
                <w:szCs w:val="22"/>
              </w:rPr>
              <w:t>implemented</w:t>
            </w:r>
            <w:r w:rsidRPr="0004576B">
              <w:rPr>
                <w:sz w:val="22"/>
                <w:szCs w:val="22"/>
              </w:rPr>
              <w:t>.</w:t>
            </w:r>
            <w:r w:rsidRPr="00585399">
              <w:rPr>
                <w:sz w:val="22"/>
                <w:szCs w:val="22"/>
              </w:rPr>
              <w:t xml:space="preserve"> Stakeholders have raised concerns that the value delivered by a trustee’s </w:t>
            </w:r>
            <w:r w:rsidR="00BC48F6">
              <w:rPr>
                <w:sz w:val="22"/>
                <w:szCs w:val="22"/>
              </w:rPr>
              <w:t xml:space="preserve">option design and </w:t>
            </w:r>
            <w:r w:rsidRPr="00585399">
              <w:rPr>
                <w:sz w:val="22"/>
                <w:szCs w:val="22"/>
              </w:rPr>
              <w:t>asset allocation decision</w:t>
            </w:r>
            <w:r w:rsidR="00BC48F6">
              <w:rPr>
                <w:sz w:val="22"/>
                <w:szCs w:val="22"/>
              </w:rPr>
              <w:t>s</w:t>
            </w:r>
            <w:r w:rsidRPr="00585399">
              <w:rPr>
                <w:sz w:val="22"/>
                <w:szCs w:val="22"/>
              </w:rPr>
              <w:t xml:space="preserve">, a key </w:t>
            </w:r>
            <w:r w:rsidR="00682A24">
              <w:rPr>
                <w:sz w:val="22"/>
                <w:szCs w:val="22"/>
              </w:rPr>
              <w:t>factor in performance</w:t>
            </w:r>
            <w:r w:rsidR="00C57027">
              <w:rPr>
                <w:sz w:val="22"/>
                <w:szCs w:val="22"/>
              </w:rPr>
              <w:t xml:space="preserve"> </w:t>
            </w:r>
            <w:r w:rsidRPr="00585399">
              <w:rPr>
                <w:sz w:val="22"/>
                <w:szCs w:val="22"/>
              </w:rPr>
              <w:t xml:space="preserve">of the trustee, is not currently assessed. </w:t>
            </w:r>
          </w:p>
          <w:p w14:paraId="60CA0FF1" w14:textId="77777777" w:rsidR="009E0532" w:rsidRPr="00585399" w:rsidRDefault="009E0532">
            <w:pPr>
              <w:rPr>
                <w:rFonts w:ascii="Arial" w:hAnsi="Arial" w:cs="Arial"/>
              </w:rPr>
            </w:pPr>
            <w:r w:rsidRPr="00585399">
              <w:rPr>
                <w:sz w:val="22"/>
                <w:szCs w:val="22"/>
              </w:rPr>
              <w:t xml:space="preserve">This means that a product with an investment strategy that is not suited for its membership and delivers low returns may pass the test if the implementation of the strategy is above </w:t>
            </w:r>
            <w:r>
              <w:rPr>
                <w:sz w:val="22"/>
                <w:szCs w:val="22"/>
              </w:rPr>
              <w:t xml:space="preserve">the </w:t>
            </w:r>
            <w:r w:rsidRPr="00585399">
              <w:rPr>
                <w:sz w:val="22"/>
                <w:szCs w:val="22"/>
              </w:rPr>
              <w:t>benchmark.</w:t>
            </w:r>
            <w:r>
              <w:rPr>
                <w:sz w:val="22"/>
                <w:szCs w:val="22"/>
              </w:rPr>
              <w:t xml:space="preserve"> Conversely, a product with a superior investment strategy that delivers good returns may fail the test if the implementation of the strategy is below the benchmark.</w:t>
            </w:r>
          </w:p>
        </w:tc>
      </w:tr>
      <w:tr w:rsidR="00212D15" w14:paraId="296D855A" w14:textId="77777777">
        <w:tc>
          <w:tcPr>
            <w:tcW w:w="2977" w:type="dxa"/>
          </w:tcPr>
          <w:p w14:paraId="4C36CEC1" w14:textId="77777777" w:rsidR="004A5EA9" w:rsidRPr="009A63F4" w:rsidRDefault="004A5EA9">
            <w:pPr>
              <w:rPr>
                <w:sz w:val="22"/>
                <w:szCs w:val="22"/>
              </w:rPr>
            </w:pPr>
            <w:r w:rsidRPr="009A63F4">
              <w:rPr>
                <w:sz w:val="22"/>
                <w:szCs w:val="22"/>
              </w:rPr>
              <w:t>Encourages short-term decision making</w:t>
            </w:r>
          </w:p>
        </w:tc>
        <w:tc>
          <w:tcPr>
            <w:tcW w:w="6093" w:type="dxa"/>
          </w:tcPr>
          <w:p w14:paraId="6DA69AC0" w14:textId="215F8992" w:rsidR="004A5EA9" w:rsidRPr="009A63F4" w:rsidRDefault="004A5EA9">
            <w:pPr>
              <w:rPr>
                <w:sz w:val="22"/>
                <w:szCs w:val="22"/>
              </w:rPr>
            </w:pPr>
            <w:r>
              <w:rPr>
                <w:sz w:val="22"/>
                <w:szCs w:val="22"/>
              </w:rPr>
              <w:t>S</w:t>
            </w:r>
            <w:r w:rsidRPr="009A63F4">
              <w:rPr>
                <w:sz w:val="22"/>
                <w:szCs w:val="22"/>
              </w:rPr>
              <w:t xml:space="preserve">ome superannuation funds </w:t>
            </w:r>
            <w:r>
              <w:rPr>
                <w:sz w:val="22"/>
                <w:szCs w:val="22"/>
              </w:rPr>
              <w:t xml:space="preserve">have reported the test </w:t>
            </w:r>
            <w:r w:rsidRPr="009A63F4">
              <w:rPr>
                <w:sz w:val="22"/>
                <w:szCs w:val="22"/>
              </w:rPr>
              <w:t>focus</w:t>
            </w:r>
            <w:r>
              <w:rPr>
                <w:sz w:val="22"/>
                <w:szCs w:val="22"/>
              </w:rPr>
              <w:t>es</w:t>
            </w:r>
            <w:r w:rsidRPr="009A63F4">
              <w:rPr>
                <w:sz w:val="22"/>
                <w:szCs w:val="22"/>
              </w:rPr>
              <w:t xml:space="preserve"> their attention on the short-term impact that investment decisions will have on their next year</w:t>
            </w:r>
            <w:r w:rsidR="00B9404D">
              <w:rPr>
                <w:sz w:val="22"/>
                <w:szCs w:val="22"/>
              </w:rPr>
              <w:t>’</w:t>
            </w:r>
            <w:r w:rsidRPr="009A63F4">
              <w:rPr>
                <w:sz w:val="22"/>
                <w:szCs w:val="22"/>
              </w:rPr>
              <w:t xml:space="preserve">s performance test result. This detracts from the long-term outcomes that trustees should be considering when investing in assets. </w:t>
            </w:r>
          </w:p>
          <w:p w14:paraId="2B8BB362" w14:textId="09692280" w:rsidR="004A5EA9" w:rsidRPr="009A63F4" w:rsidRDefault="004A5EA9">
            <w:pPr>
              <w:rPr>
                <w:sz w:val="22"/>
                <w:szCs w:val="22"/>
              </w:rPr>
            </w:pPr>
            <w:r>
              <w:rPr>
                <w:sz w:val="22"/>
                <w:szCs w:val="22"/>
              </w:rPr>
              <w:t xml:space="preserve">This risks funds prioritising investment in assets with </w:t>
            </w:r>
            <w:r w:rsidR="00C2489E">
              <w:rPr>
                <w:sz w:val="22"/>
                <w:szCs w:val="22"/>
              </w:rPr>
              <w:t>more short</w:t>
            </w:r>
            <w:r w:rsidR="003D72FA">
              <w:rPr>
                <w:sz w:val="22"/>
                <w:szCs w:val="22"/>
              </w:rPr>
              <w:noBreakHyphen/>
            </w:r>
            <w:r w:rsidR="00C2489E">
              <w:rPr>
                <w:sz w:val="22"/>
                <w:szCs w:val="22"/>
              </w:rPr>
              <w:t>term certainty</w:t>
            </w:r>
            <w:r>
              <w:rPr>
                <w:sz w:val="22"/>
                <w:szCs w:val="22"/>
              </w:rPr>
              <w:t xml:space="preserve"> over assets that may provide superior </w:t>
            </w:r>
            <w:r w:rsidRPr="004D701B">
              <w:rPr>
                <w:sz w:val="22"/>
                <w:szCs w:val="22"/>
              </w:rPr>
              <w:t>long</w:t>
            </w:r>
            <w:r w:rsidR="003D72FA" w:rsidRPr="004D701B">
              <w:rPr>
                <w:sz w:val="22"/>
                <w:szCs w:val="22"/>
              </w:rPr>
              <w:noBreakHyphen/>
            </w:r>
            <w:r w:rsidRPr="004D701B">
              <w:rPr>
                <w:sz w:val="22"/>
                <w:szCs w:val="22"/>
              </w:rPr>
              <w:t>term</w:t>
            </w:r>
            <w:r>
              <w:rPr>
                <w:sz w:val="22"/>
                <w:szCs w:val="22"/>
              </w:rPr>
              <w:t xml:space="preserve"> benefits to members.</w:t>
            </w:r>
          </w:p>
        </w:tc>
      </w:tr>
      <w:tr w:rsidR="00212D15" w14:paraId="6009BCAF" w14:textId="77777777">
        <w:tc>
          <w:tcPr>
            <w:tcW w:w="2977" w:type="dxa"/>
          </w:tcPr>
          <w:p w14:paraId="4FCBEF12" w14:textId="77777777" w:rsidR="00BA51CD" w:rsidRPr="009A63F4" w:rsidRDefault="00BA51CD">
            <w:pPr>
              <w:rPr>
                <w:sz w:val="22"/>
                <w:szCs w:val="22"/>
              </w:rPr>
            </w:pPr>
            <w:r w:rsidRPr="009A63F4">
              <w:rPr>
                <w:sz w:val="22"/>
                <w:szCs w:val="22"/>
              </w:rPr>
              <w:t>Incentive to hug benchmarks</w:t>
            </w:r>
          </w:p>
        </w:tc>
        <w:tc>
          <w:tcPr>
            <w:tcW w:w="6093" w:type="dxa"/>
          </w:tcPr>
          <w:p w14:paraId="48505A29" w14:textId="389475AD" w:rsidR="00F84B6B" w:rsidRDefault="00BA51CD">
            <w:pPr>
              <w:rPr>
                <w:sz w:val="22"/>
                <w:szCs w:val="22"/>
              </w:rPr>
            </w:pPr>
            <w:r w:rsidRPr="009A63F4">
              <w:rPr>
                <w:sz w:val="22"/>
                <w:szCs w:val="22"/>
              </w:rPr>
              <w:t xml:space="preserve">To manage the risks of failing </w:t>
            </w:r>
            <w:r>
              <w:rPr>
                <w:sz w:val="22"/>
                <w:szCs w:val="22"/>
              </w:rPr>
              <w:t>the test</w:t>
            </w:r>
            <w:r w:rsidRPr="009A63F4">
              <w:rPr>
                <w:sz w:val="22"/>
                <w:szCs w:val="22"/>
              </w:rPr>
              <w:t xml:space="preserve">, anecdotal evidence from stakeholders suggests that </w:t>
            </w:r>
            <w:r>
              <w:rPr>
                <w:sz w:val="22"/>
                <w:szCs w:val="22"/>
              </w:rPr>
              <w:t xml:space="preserve">the test has created incentives for </w:t>
            </w:r>
            <w:r w:rsidRPr="009A63F4">
              <w:rPr>
                <w:sz w:val="22"/>
                <w:szCs w:val="22"/>
              </w:rPr>
              <w:t xml:space="preserve">most superannuation funds, if not all, </w:t>
            </w:r>
            <w:r>
              <w:rPr>
                <w:sz w:val="22"/>
                <w:szCs w:val="22"/>
              </w:rPr>
              <w:t xml:space="preserve">to </w:t>
            </w:r>
            <w:r w:rsidR="00F84B6B">
              <w:rPr>
                <w:sz w:val="22"/>
                <w:szCs w:val="22"/>
              </w:rPr>
              <w:t xml:space="preserve">‘manage to the test’ and </w:t>
            </w:r>
            <w:r w:rsidRPr="009A63F4">
              <w:rPr>
                <w:sz w:val="22"/>
                <w:szCs w:val="22"/>
              </w:rPr>
              <w:t xml:space="preserve">seek to minimise their tracking error against the </w:t>
            </w:r>
            <w:r w:rsidR="009212E0">
              <w:rPr>
                <w:sz w:val="22"/>
                <w:szCs w:val="22"/>
              </w:rPr>
              <w:t xml:space="preserve">regulated </w:t>
            </w:r>
            <w:r w:rsidRPr="009A63F4">
              <w:rPr>
                <w:sz w:val="22"/>
                <w:szCs w:val="22"/>
              </w:rPr>
              <w:t>benchmarks.</w:t>
            </w:r>
            <w:r w:rsidR="00EF5437">
              <w:rPr>
                <w:sz w:val="22"/>
                <w:szCs w:val="22"/>
              </w:rPr>
              <w:t xml:space="preserve"> </w:t>
            </w:r>
          </w:p>
          <w:p w14:paraId="5D9F716F" w14:textId="67A5ADE8" w:rsidR="00BA51CD" w:rsidRPr="009A63F4" w:rsidRDefault="00EF5437">
            <w:pPr>
              <w:rPr>
                <w:sz w:val="22"/>
                <w:szCs w:val="22"/>
              </w:rPr>
            </w:pPr>
            <w:r>
              <w:rPr>
                <w:sz w:val="22"/>
                <w:szCs w:val="22"/>
              </w:rPr>
              <w:t xml:space="preserve">This means </w:t>
            </w:r>
            <w:r w:rsidR="00C2489E">
              <w:rPr>
                <w:sz w:val="22"/>
                <w:szCs w:val="22"/>
              </w:rPr>
              <w:t>that</w:t>
            </w:r>
            <w:r w:rsidR="00424DC9">
              <w:rPr>
                <w:sz w:val="22"/>
                <w:szCs w:val="22"/>
              </w:rPr>
              <w:t xml:space="preserve"> </w:t>
            </w:r>
            <w:r>
              <w:rPr>
                <w:sz w:val="22"/>
                <w:szCs w:val="22"/>
              </w:rPr>
              <w:t xml:space="preserve">trustees </w:t>
            </w:r>
            <w:r w:rsidR="009C5D45">
              <w:rPr>
                <w:sz w:val="22"/>
                <w:szCs w:val="22"/>
              </w:rPr>
              <w:t>focus on passing the test each year above</w:t>
            </w:r>
            <w:r w:rsidR="009C2A53">
              <w:rPr>
                <w:sz w:val="22"/>
                <w:szCs w:val="22"/>
              </w:rPr>
              <w:t xml:space="preserve"> seek</w:t>
            </w:r>
            <w:r w:rsidR="009C5D45">
              <w:rPr>
                <w:sz w:val="22"/>
                <w:szCs w:val="22"/>
              </w:rPr>
              <w:t>ing</w:t>
            </w:r>
            <w:r w:rsidR="009C2A53">
              <w:rPr>
                <w:sz w:val="22"/>
                <w:szCs w:val="22"/>
              </w:rPr>
              <w:t xml:space="preserve"> </w:t>
            </w:r>
            <w:r w:rsidR="002E2CEF">
              <w:rPr>
                <w:sz w:val="22"/>
                <w:szCs w:val="22"/>
              </w:rPr>
              <w:t xml:space="preserve">strong </w:t>
            </w:r>
            <w:r w:rsidR="000504DA">
              <w:rPr>
                <w:sz w:val="22"/>
                <w:szCs w:val="22"/>
              </w:rPr>
              <w:t>long</w:t>
            </w:r>
            <w:r w:rsidR="004D701B">
              <w:rPr>
                <w:sz w:val="22"/>
                <w:szCs w:val="22"/>
              </w:rPr>
              <w:t>-</w:t>
            </w:r>
            <w:r w:rsidR="000504DA">
              <w:rPr>
                <w:sz w:val="22"/>
                <w:szCs w:val="22"/>
              </w:rPr>
              <w:t xml:space="preserve">term </w:t>
            </w:r>
            <w:r w:rsidR="009C2A53">
              <w:rPr>
                <w:sz w:val="22"/>
                <w:szCs w:val="22"/>
              </w:rPr>
              <w:t>investment returns</w:t>
            </w:r>
            <w:r w:rsidR="00A12974">
              <w:rPr>
                <w:sz w:val="22"/>
                <w:szCs w:val="22"/>
              </w:rPr>
              <w:t xml:space="preserve"> for members</w:t>
            </w:r>
            <w:r>
              <w:rPr>
                <w:sz w:val="22"/>
                <w:szCs w:val="22"/>
              </w:rPr>
              <w:t>. In some instances, they may be passing on opportunities to deliver better returns in lieu of more closely hugging the benchmark – and this includes trustees that have a track record of outperforming.</w:t>
            </w:r>
          </w:p>
          <w:p w14:paraId="48CF9EBE" w14:textId="5A0D8043" w:rsidR="00BA51CD" w:rsidRPr="009A63F4" w:rsidRDefault="00EF5437">
            <w:r>
              <w:rPr>
                <w:sz w:val="22"/>
                <w:szCs w:val="22"/>
              </w:rPr>
              <w:t>Ultimately, t</w:t>
            </w:r>
            <w:r w:rsidR="00BA51CD">
              <w:rPr>
                <w:sz w:val="22"/>
                <w:szCs w:val="22"/>
              </w:rPr>
              <w:t xml:space="preserve">his leads to superannuation funds viewing these benchmarks as a constraint </w:t>
            </w:r>
            <w:r w:rsidR="00053C58">
              <w:rPr>
                <w:sz w:val="22"/>
                <w:szCs w:val="22"/>
              </w:rPr>
              <w:t>o</w:t>
            </w:r>
            <w:r w:rsidR="00C83B3D">
              <w:rPr>
                <w:sz w:val="22"/>
                <w:szCs w:val="22"/>
              </w:rPr>
              <w:t>n</w:t>
            </w:r>
            <w:r w:rsidR="00053C58">
              <w:rPr>
                <w:sz w:val="22"/>
                <w:szCs w:val="22"/>
              </w:rPr>
              <w:t xml:space="preserve"> </w:t>
            </w:r>
            <w:r w:rsidR="00BA51CD">
              <w:rPr>
                <w:sz w:val="22"/>
                <w:szCs w:val="22"/>
              </w:rPr>
              <w:t xml:space="preserve">what they can invest in, which may have the long-term effect of dampening performance. </w:t>
            </w:r>
          </w:p>
        </w:tc>
      </w:tr>
      <w:tr w:rsidR="00212D15" w14:paraId="19B3B9D5" w14:textId="77777777">
        <w:tc>
          <w:tcPr>
            <w:tcW w:w="2977" w:type="dxa"/>
          </w:tcPr>
          <w:p w14:paraId="7098615C" w14:textId="7ACCDF29" w:rsidR="00BA51CD" w:rsidRPr="00F22418" w:rsidRDefault="00BA51CD">
            <w:pPr>
              <w:rPr>
                <w:sz w:val="22"/>
                <w:szCs w:val="22"/>
              </w:rPr>
            </w:pPr>
            <w:r>
              <w:rPr>
                <w:sz w:val="22"/>
                <w:szCs w:val="22"/>
              </w:rPr>
              <w:t>Lack of investment flexibility</w:t>
            </w:r>
            <w:r w:rsidRPr="00F22418">
              <w:rPr>
                <w:sz w:val="22"/>
                <w:szCs w:val="22"/>
              </w:rPr>
              <w:t xml:space="preserve"> </w:t>
            </w:r>
          </w:p>
        </w:tc>
        <w:tc>
          <w:tcPr>
            <w:tcW w:w="6093" w:type="dxa"/>
          </w:tcPr>
          <w:p w14:paraId="0F9F7FD2" w14:textId="28FEB8B8" w:rsidR="006B55BA" w:rsidRPr="00F82C45" w:rsidRDefault="00966AE9" w:rsidP="00F53848">
            <w:pPr>
              <w:rPr>
                <w:sz w:val="22"/>
                <w:szCs w:val="22"/>
              </w:rPr>
            </w:pPr>
            <w:r w:rsidRPr="00F82C45">
              <w:rPr>
                <w:sz w:val="22"/>
                <w:szCs w:val="22"/>
              </w:rPr>
              <w:t xml:space="preserve">There is consistent stakeholder feedback that the current test is not </w:t>
            </w:r>
            <w:r w:rsidR="004C7340" w:rsidRPr="00F82C45">
              <w:rPr>
                <w:sz w:val="22"/>
                <w:szCs w:val="22"/>
              </w:rPr>
              <w:t xml:space="preserve">sector </w:t>
            </w:r>
            <w:r w:rsidR="009E51A4" w:rsidRPr="00F82C45">
              <w:rPr>
                <w:sz w:val="22"/>
                <w:szCs w:val="22"/>
              </w:rPr>
              <w:t>neutral</w:t>
            </w:r>
            <w:r w:rsidRPr="00F82C45">
              <w:rPr>
                <w:sz w:val="22"/>
                <w:szCs w:val="22"/>
              </w:rPr>
              <w:t xml:space="preserve"> and the benchmarks are better suited to investment in traditional asset classes (</w:t>
            </w:r>
            <w:r w:rsidR="00E1714D" w:rsidRPr="00F82C45">
              <w:rPr>
                <w:sz w:val="22"/>
                <w:szCs w:val="22"/>
              </w:rPr>
              <w:t>e.g.,</w:t>
            </w:r>
            <w:r w:rsidRPr="00F82C45">
              <w:rPr>
                <w:sz w:val="22"/>
                <w:szCs w:val="22"/>
              </w:rPr>
              <w:t xml:space="preserve"> commercial property), but do</w:t>
            </w:r>
            <w:r w:rsidR="00013E4A" w:rsidRPr="00F82C45">
              <w:rPr>
                <w:sz w:val="22"/>
                <w:szCs w:val="22"/>
              </w:rPr>
              <w:t xml:space="preserve"> not</w:t>
            </w:r>
            <w:r w:rsidRPr="00F82C45">
              <w:rPr>
                <w:sz w:val="22"/>
                <w:szCs w:val="22"/>
              </w:rPr>
              <w:t xml:space="preserve"> properly cater to </w:t>
            </w:r>
            <w:r w:rsidR="00D30778">
              <w:rPr>
                <w:sz w:val="22"/>
                <w:szCs w:val="22"/>
              </w:rPr>
              <w:t>possible</w:t>
            </w:r>
            <w:r w:rsidRPr="00F82C45">
              <w:rPr>
                <w:sz w:val="22"/>
                <w:szCs w:val="22"/>
              </w:rPr>
              <w:t xml:space="preserve"> investment opportunities (e.g. residential property</w:t>
            </w:r>
            <w:r w:rsidR="006F34DD">
              <w:rPr>
                <w:sz w:val="22"/>
                <w:szCs w:val="22"/>
              </w:rPr>
              <w:t xml:space="preserve"> in Australia</w:t>
            </w:r>
            <w:r w:rsidRPr="00F82C45">
              <w:rPr>
                <w:sz w:val="22"/>
                <w:szCs w:val="22"/>
              </w:rPr>
              <w:t>).</w:t>
            </w:r>
            <w:r w:rsidR="006B55BA" w:rsidRPr="00F82C45">
              <w:rPr>
                <w:sz w:val="22"/>
                <w:szCs w:val="22"/>
              </w:rPr>
              <w:t xml:space="preserve"> To avoid being identified as a poor performer, a superannuation fund may choose to invest in asset classes that are </w:t>
            </w:r>
            <w:r w:rsidR="007605DF" w:rsidRPr="00F82C45">
              <w:rPr>
                <w:sz w:val="22"/>
                <w:szCs w:val="22"/>
              </w:rPr>
              <w:t>clearly</w:t>
            </w:r>
            <w:r w:rsidR="009A2B6B" w:rsidRPr="00F82C45">
              <w:rPr>
                <w:sz w:val="22"/>
                <w:szCs w:val="22"/>
              </w:rPr>
              <w:t xml:space="preserve"> </w:t>
            </w:r>
            <w:r w:rsidR="006B55BA" w:rsidRPr="00F82C45">
              <w:rPr>
                <w:sz w:val="22"/>
                <w:szCs w:val="22"/>
              </w:rPr>
              <w:t>covered under the benchmarks.</w:t>
            </w:r>
          </w:p>
          <w:p w14:paraId="20DBF3D2" w14:textId="233DC852" w:rsidR="00BA51CD" w:rsidRPr="00F82C45" w:rsidRDefault="00F26E6D" w:rsidP="00F53848">
            <w:pPr>
              <w:rPr>
                <w:sz w:val="22"/>
                <w:szCs w:val="22"/>
              </w:rPr>
            </w:pPr>
            <w:r w:rsidRPr="00F82C45">
              <w:rPr>
                <w:sz w:val="22"/>
                <w:szCs w:val="22"/>
              </w:rPr>
              <w:t xml:space="preserve">For some trustees this </w:t>
            </w:r>
            <w:r w:rsidR="00FD0410" w:rsidRPr="00F82C45">
              <w:rPr>
                <w:sz w:val="22"/>
                <w:szCs w:val="22"/>
              </w:rPr>
              <w:t xml:space="preserve">has been taken as a barrier to </w:t>
            </w:r>
            <w:r w:rsidR="00BA51CD" w:rsidRPr="00F82C45">
              <w:rPr>
                <w:sz w:val="22"/>
                <w:szCs w:val="22"/>
              </w:rPr>
              <w:t xml:space="preserve">particular investment strategies </w:t>
            </w:r>
            <w:r w:rsidR="00377C39" w:rsidRPr="00F82C45">
              <w:rPr>
                <w:sz w:val="22"/>
                <w:szCs w:val="22"/>
              </w:rPr>
              <w:t>which would</w:t>
            </w:r>
            <w:r w:rsidR="00BA51CD" w:rsidRPr="00F82C45">
              <w:rPr>
                <w:sz w:val="22"/>
                <w:szCs w:val="22"/>
              </w:rPr>
              <w:t xml:space="preserve"> deliver strong outcomes for members. For example:</w:t>
            </w:r>
          </w:p>
          <w:p w14:paraId="31257A42" w14:textId="2A880498" w:rsidR="00BA51CD" w:rsidRPr="00F82C45" w:rsidRDefault="00BA51CD" w:rsidP="00EA341B">
            <w:pPr>
              <w:pStyle w:val="Bullet"/>
              <w:ind w:left="522" w:hanging="522"/>
              <w:rPr>
                <w:sz w:val="22"/>
                <w:szCs w:val="22"/>
              </w:rPr>
            </w:pPr>
            <w:r w:rsidRPr="00F82C45">
              <w:rPr>
                <w:sz w:val="22"/>
                <w:szCs w:val="22"/>
              </w:rPr>
              <w:t>Discouraging investment in assets that are not well</w:t>
            </w:r>
            <w:r w:rsidRPr="00F82C45">
              <w:rPr>
                <w:sz w:val="22"/>
                <w:szCs w:val="22"/>
              </w:rPr>
              <w:noBreakHyphen/>
              <w:t xml:space="preserve">represented in the benchmark indices, including emerging asset classes such as those associated with the </w:t>
            </w:r>
            <w:r w:rsidR="004C0CA1" w:rsidRPr="00F82C45">
              <w:rPr>
                <w:sz w:val="22"/>
                <w:szCs w:val="22"/>
              </w:rPr>
              <w:t xml:space="preserve">climate and </w:t>
            </w:r>
            <w:r w:rsidRPr="00F82C45">
              <w:rPr>
                <w:sz w:val="22"/>
                <w:szCs w:val="22"/>
              </w:rPr>
              <w:t>energy transition</w:t>
            </w:r>
            <w:r w:rsidR="004C0CA1" w:rsidRPr="00F82C45">
              <w:rPr>
                <w:sz w:val="22"/>
                <w:szCs w:val="22"/>
              </w:rPr>
              <w:t>, and housing</w:t>
            </w:r>
            <w:r w:rsidRPr="00F82C45">
              <w:rPr>
                <w:sz w:val="22"/>
                <w:szCs w:val="22"/>
              </w:rPr>
              <w:t>.</w:t>
            </w:r>
          </w:p>
          <w:p w14:paraId="05D00DF2" w14:textId="67CD112D" w:rsidR="00BA51CD" w:rsidRPr="009A63F4" w:rsidRDefault="00BA51CD" w:rsidP="00F93D34">
            <w:pPr>
              <w:pStyle w:val="Bullet"/>
              <w:spacing w:after="120"/>
              <w:ind w:left="522" w:hanging="522"/>
            </w:pPr>
            <w:r w:rsidRPr="00F82C45">
              <w:rPr>
                <w:sz w:val="22"/>
                <w:szCs w:val="22"/>
              </w:rPr>
              <w:t>Not supporting values-based investing, including faith-based or ESG focused investments, where the composition of the benchmarks do not align with the</w:t>
            </w:r>
            <w:r w:rsidR="00BE17EA">
              <w:rPr>
                <w:sz w:val="22"/>
                <w:szCs w:val="22"/>
              </w:rPr>
              <w:t>se</w:t>
            </w:r>
            <w:r w:rsidRPr="00F82C45">
              <w:rPr>
                <w:sz w:val="22"/>
                <w:szCs w:val="22"/>
              </w:rPr>
              <w:t xml:space="preserve"> values</w:t>
            </w:r>
            <w:r w:rsidR="001B2519">
              <w:rPr>
                <w:sz w:val="22"/>
                <w:szCs w:val="22"/>
              </w:rPr>
              <w:t xml:space="preserve"> of invest</w:t>
            </w:r>
            <w:r w:rsidR="00BE17EA">
              <w:rPr>
                <w:sz w:val="22"/>
                <w:szCs w:val="22"/>
              </w:rPr>
              <w:t>ing</w:t>
            </w:r>
            <w:r w:rsidRPr="00F82C45">
              <w:rPr>
                <w:sz w:val="22"/>
                <w:szCs w:val="22"/>
              </w:rPr>
              <w:t xml:space="preserve">. </w:t>
            </w:r>
            <w:r w:rsidR="00AF2393" w:rsidRPr="00F82C45">
              <w:rPr>
                <w:sz w:val="22"/>
                <w:szCs w:val="22"/>
              </w:rPr>
              <w:t xml:space="preserve">This prevents investment strategies that can both deliver good returns and </w:t>
            </w:r>
            <w:r w:rsidR="0077403A">
              <w:rPr>
                <w:sz w:val="22"/>
                <w:szCs w:val="22"/>
              </w:rPr>
              <w:t>support</w:t>
            </w:r>
            <w:r w:rsidR="0077403A" w:rsidRPr="00F82C45">
              <w:rPr>
                <w:sz w:val="22"/>
                <w:szCs w:val="22"/>
              </w:rPr>
              <w:t xml:space="preserve"> </w:t>
            </w:r>
            <w:r w:rsidR="00AF2393" w:rsidRPr="00F82C45">
              <w:rPr>
                <w:sz w:val="22"/>
                <w:szCs w:val="22"/>
              </w:rPr>
              <w:t>member choice</w:t>
            </w:r>
            <w:r w:rsidR="0077403A">
              <w:rPr>
                <w:sz w:val="22"/>
                <w:szCs w:val="22"/>
              </w:rPr>
              <w:t xml:space="preserve"> where members have </w:t>
            </w:r>
            <w:r w:rsidR="00C4652C">
              <w:rPr>
                <w:sz w:val="22"/>
                <w:szCs w:val="22"/>
              </w:rPr>
              <w:t>made a deliberate decision to choose such products</w:t>
            </w:r>
            <w:r w:rsidR="00AF2393" w:rsidRPr="00F82C45">
              <w:rPr>
                <w:sz w:val="22"/>
                <w:szCs w:val="22"/>
              </w:rPr>
              <w:t>.</w:t>
            </w:r>
          </w:p>
        </w:tc>
      </w:tr>
      <w:tr w:rsidR="00212D15" w14:paraId="78DC38DA" w14:textId="77777777">
        <w:tc>
          <w:tcPr>
            <w:tcW w:w="2977" w:type="dxa"/>
          </w:tcPr>
          <w:p w14:paraId="27F3BFB0" w14:textId="77E9E64C" w:rsidR="00BA51CD" w:rsidRPr="009A63F4" w:rsidRDefault="00BA51CD">
            <w:pPr>
              <w:rPr>
                <w:sz w:val="22"/>
                <w:szCs w:val="22"/>
              </w:rPr>
            </w:pPr>
            <w:r w:rsidRPr="009A63F4">
              <w:rPr>
                <w:sz w:val="22"/>
                <w:szCs w:val="22"/>
              </w:rPr>
              <w:t xml:space="preserve">Reduced choice, </w:t>
            </w:r>
            <w:r w:rsidR="00E25519" w:rsidRPr="009A63F4">
              <w:rPr>
                <w:sz w:val="22"/>
                <w:szCs w:val="22"/>
              </w:rPr>
              <w:t>diversification</w:t>
            </w:r>
            <w:r w:rsidR="00E25519" w:rsidRPr="009A63F4">
              <w:rPr>
                <w:szCs w:val="22"/>
              </w:rPr>
              <w:t>,</w:t>
            </w:r>
            <w:r>
              <w:rPr>
                <w:sz w:val="22"/>
                <w:szCs w:val="22"/>
              </w:rPr>
              <w:t xml:space="preserve"> and </w:t>
            </w:r>
            <w:r w:rsidRPr="009A63F4">
              <w:rPr>
                <w:sz w:val="22"/>
                <w:szCs w:val="22"/>
              </w:rPr>
              <w:t>active management</w:t>
            </w:r>
          </w:p>
        </w:tc>
        <w:tc>
          <w:tcPr>
            <w:tcW w:w="6093" w:type="dxa"/>
          </w:tcPr>
          <w:p w14:paraId="4D0D9AE7" w14:textId="43DF1D68" w:rsidR="00BA51CD" w:rsidRPr="009A63F4" w:rsidRDefault="00BA51CD">
            <w:pPr>
              <w:rPr>
                <w:sz w:val="22"/>
                <w:szCs w:val="22"/>
              </w:rPr>
            </w:pPr>
            <w:r w:rsidRPr="009A63F4">
              <w:rPr>
                <w:sz w:val="22"/>
                <w:szCs w:val="22"/>
              </w:rPr>
              <w:t xml:space="preserve">The influence of the test provides incentives for superannuation funds to avoid active investment management by encouraging passive benchmark hugging. This in turn </w:t>
            </w:r>
            <w:r>
              <w:rPr>
                <w:sz w:val="22"/>
                <w:szCs w:val="22"/>
              </w:rPr>
              <w:t>may</w:t>
            </w:r>
            <w:r w:rsidRPr="009A63F4">
              <w:rPr>
                <w:sz w:val="22"/>
                <w:szCs w:val="22"/>
              </w:rPr>
              <w:t xml:space="preserve"> reduce diversification, as funds seek to divest from </w:t>
            </w:r>
            <w:r>
              <w:rPr>
                <w:sz w:val="22"/>
                <w:szCs w:val="22"/>
              </w:rPr>
              <w:t xml:space="preserve">(or not direct new investment into) </w:t>
            </w:r>
            <w:r w:rsidRPr="009A63F4">
              <w:rPr>
                <w:sz w:val="22"/>
                <w:szCs w:val="22"/>
              </w:rPr>
              <w:t xml:space="preserve">assets </w:t>
            </w:r>
            <w:r w:rsidR="006954CA">
              <w:rPr>
                <w:sz w:val="22"/>
                <w:szCs w:val="22"/>
              </w:rPr>
              <w:t xml:space="preserve">or investment strategies </w:t>
            </w:r>
            <w:r w:rsidRPr="009A63F4">
              <w:rPr>
                <w:sz w:val="22"/>
                <w:szCs w:val="22"/>
              </w:rPr>
              <w:t>that are not well represented in the benchmark indices.</w:t>
            </w:r>
            <w:r w:rsidR="00591769">
              <w:rPr>
                <w:sz w:val="22"/>
                <w:szCs w:val="22"/>
              </w:rPr>
              <w:t xml:space="preserve"> However, </w:t>
            </w:r>
            <w:r w:rsidR="00F2204E">
              <w:rPr>
                <w:sz w:val="22"/>
                <w:szCs w:val="22"/>
              </w:rPr>
              <w:t>trustees may prioritise</w:t>
            </w:r>
            <w:r w:rsidR="00520FD7">
              <w:rPr>
                <w:sz w:val="22"/>
                <w:szCs w:val="22"/>
              </w:rPr>
              <w:t xml:space="preserve"> passive investment strategies </w:t>
            </w:r>
            <w:r w:rsidR="000E320F">
              <w:rPr>
                <w:sz w:val="22"/>
                <w:szCs w:val="22"/>
              </w:rPr>
              <w:t>to</w:t>
            </w:r>
            <w:r w:rsidR="00520FD7">
              <w:rPr>
                <w:sz w:val="22"/>
                <w:szCs w:val="22"/>
              </w:rPr>
              <w:t xml:space="preserve"> lower</w:t>
            </w:r>
            <w:r w:rsidR="002E38CD">
              <w:rPr>
                <w:sz w:val="22"/>
                <w:szCs w:val="22"/>
              </w:rPr>
              <w:t xml:space="preserve"> fees</w:t>
            </w:r>
            <w:r w:rsidR="000E320F">
              <w:rPr>
                <w:sz w:val="22"/>
                <w:szCs w:val="22"/>
              </w:rPr>
              <w:t>, even if this provides lower net returns in the long-term</w:t>
            </w:r>
            <w:r w:rsidR="002E38CD">
              <w:rPr>
                <w:sz w:val="22"/>
                <w:szCs w:val="22"/>
              </w:rPr>
              <w:t>.</w:t>
            </w:r>
          </w:p>
          <w:p w14:paraId="1DFC7333" w14:textId="18466BF5" w:rsidR="00BA51CD" w:rsidRPr="009A63F4" w:rsidRDefault="00BA51CD">
            <w:pPr>
              <w:rPr>
                <w:sz w:val="22"/>
                <w:szCs w:val="22"/>
              </w:rPr>
            </w:pPr>
            <w:r w:rsidRPr="009A63F4">
              <w:rPr>
                <w:sz w:val="22"/>
                <w:szCs w:val="22"/>
              </w:rPr>
              <w:t xml:space="preserve">Ultimately, members </w:t>
            </w:r>
            <w:r>
              <w:rPr>
                <w:sz w:val="22"/>
                <w:szCs w:val="22"/>
              </w:rPr>
              <w:t>could be</w:t>
            </w:r>
            <w:r w:rsidRPr="009A63F4">
              <w:rPr>
                <w:sz w:val="22"/>
                <w:szCs w:val="22"/>
              </w:rPr>
              <w:t xml:space="preserve"> left with less choice in where to invest their retirement savings</w:t>
            </w:r>
            <w:r w:rsidR="00E311A0">
              <w:rPr>
                <w:sz w:val="22"/>
                <w:szCs w:val="22"/>
              </w:rPr>
              <w:t xml:space="preserve">, and </w:t>
            </w:r>
            <w:r w:rsidR="00D04BAE">
              <w:rPr>
                <w:sz w:val="22"/>
                <w:szCs w:val="22"/>
              </w:rPr>
              <w:t xml:space="preserve">funds may </w:t>
            </w:r>
            <w:r w:rsidR="00C44E1B">
              <w:rPr>
                <w:sz w:val="22"/>
                <w:szCs w:val="22"/>
              </w:rPr>
              <w:t>end up investing in the same assets which reduces diversification</w:t>
            </w:r>
            <w:r w:rsidR="000B37B2">
              <w:rPr>
                <w:sz w:val="22"/>
                <w:szCs w:val="22"/>
              </w:rPr>
              <w:t xml:space="preserve"> and increases systemic risks</w:t>
            </w:r>
            <w:r w:rsidRPr="009A63F4">
              <w:rPr>
                <w:sz w:val="22"/>
                <w:szCs w:val="22"/>
              </w:rPr>
              <w:t>.</w:t>
            </w:r>
          </w:p>
        </w:tc>
      </w:tr>
    </w:tbl>
    <w:p w14:paraId="33AB9E23" w14:textId="00791666" w:rsidR="00BA51CD" w:rsidRDefault="00BA51CD" w:rsidP="00BA51CD">
      <w:pPr>
        <w:pStyle w:val="Bullet"/>
        <w:numPr>
          <w:ilvl w:val="0"/>
          <w:numId w:val="0"/>
        </w:numPr>
        <w:spacing w:after="120"/>
      </w:pPr>
      <w:r>
        <w:t>In response to issues raised during the YFYS Review, the Government amended the test regulations</w:t>
      </w:r>
      <w:r w:rsidR="002012A0">
        <w:t xml:space="preserve"> with improvements that could </w:t>
      </w:r>
      <w:r w:rsidR="00C07F07">
        <w:t xml:space="preserve">feasibly </w:t>
      </w:r>
      <w:r w:rsidR="002012A0">
        <w:t>be implemented in time for the 2023 test</w:t>
      </w:r>
      <w:r>
        <w:t xml:space="preserve"> to: </w:t>
      </w:r>
    </w:p>
    <w:p w14:paraId="59DE7B7B" w14:textId="2AE9B5DF" w:rsidR="00BA51CD" w:rsidRDefault="00BA51CD" w:rsidP="00BA51CD">
      <w:pPr>
        <w:pStyle w:val="Bullet"/>
      </w:pPr>
      <w:r>
        <w:t xml:space="preserve">include additional benchmark asset classes </w:t>
      </w:r>
    </w:p>
    <w:p w14:paraId="4734048F" w14:textId="75BE4417" w:rsidR="00BA51CD" w:rsidRDefault="00BA51CD" w:rsidP="00BA51CD">
      <w:pPr>
        <w:pStyle w:val="Bullet"/>
      </w:pPr>
      <w:r>
        <w:t>amend key indices of concern</w:t>
      </w:r>
    </w:p>
    <w:p w14:paraId="319FCADA" w14:textId="5C26FC84" w:rsidR="00BA51CD" w:rsidRDefault="00BA51CD" w:rsidP="00BA51CD">
      <w:pPr>
        <w:pStyle w:val="Bullet"/>
      </w:pPr>
      <w:r>
        <w:t>increase the testing period</w:t>
      </w:r>
      <w:r w:rsidR="004C7C8B">
        <w:t>.</w:t>
      </w:r>
      <w:r>
        <w:t xml:space="preserve"> </w:t>
      </w:r>
    </w:p>
    <w:p w14:paraId="5A35CC0F" w14:textId="29684E81" w:rsidR="00BA51CD" w:rsidRDefault="00BA51CD" w:rsidP="00BA51CD">
      <w:pPr>
        <w:pStyle w:val="Bullet"/>
        <w:numPr>
          <w:ilvl w:val="0"/>
          <w:numId w:val="0"/>
        </w:numPr>
      </w:pPr>
      <w:r>
        <w:t xml:space="preserve">These changes are expected to improve some of the unintended consequences identified in the </w:t>
      </w:r>
      <w:r w:rsidR="004C7C8B">
        <w:t>YFYS R</w:t>
      </w:r>
      <w:r>
        <w:t>eview, such as encouraging longer-term decision making, and support</w:t>
      </w:r>
      <w:r w:rsidR="005F336E">
        <w:t>ed</w:t>
      </w:r>
      <w:r>
        <w:t xml:space="preserve"> the extension of the test to TDPs. However, these changes will not address </w:t>
      </w:r>
      <w:r w:rsidRPr="00435632">
        <w:rPr>
          <w:i/>
        </w:rPr>
        <w:t xml:space="preserve">all </w:t>
      </w:r>
      <w:r>
        <w:t>the identified potential unintended consequences</w:t>
      </w:r>
      <w:r w:rsidR="001A3ADF">
        <w:t>.</w:t>
      </w:r>
    </w:p>
    <w:p w14:paraId="648C9D8D" w14:textId="30308A6E" w:rsidR="00241322" w:rsidRDefault="00245354" w:rsidP="00413FEB">
      <w:pPr>
        <w:pStyle w:val="Bullet"/>
        <w:numPr>
          <w:ilvl w:val="0"/>
          <w:numId w:val="0"/>
        </w:numPr>
      </w:pPr>
      <w:r>
        <w:t xml:space="preserve">More information on the </w:t>
      </w:r>
      <w:r w:rsidR="00E00A7E">
        <w:t>YFYS</w:t>
      </w:r>
      <w:r>
        <w:t xml:space="preserve"> Review, consultation process and outcomes can be found on the Treasury website</w:t>
      </w:r>
      <w:r w:rsidR="007D3E6E">
        <w:t xml:space="preserve"> at </w:t>
      </w:r>
      <w:hyperlink r:id="rId30" w:history="1">
        <w:r w:rsidR="005F26B9" w:rsidRPr="005F26B9">
          <w:rPr>
            <w:rStyle w:val="Hyperlink"/>
          </w:rPr>
          <w:t>https://treasury.gov.au/consultation/c2022-313936</w:t>
        </w:r>
      </w:hyperlink>
      <w:r w:rsidR="005F26B9">
        <w:t xml:space="preserve">. </w:t>
      </w:r>
      <w:bookmarkStart w:id="17" w:name="_Toc306887372"/>
      <w:bookmarkStart w:id="18" w:name="_Toc432064636"/>
    </w:p>
    <w:p w14:paraId="6743FA3B" w14:textId="15A58FC1" w:rsidR="00F175B6" w:rsidRDefault="00F175B6" w:rsidP="00413FEB">
      <w:pPr>
        <w:pStyle w:val="Bullet"/>
        <w:numPr>
          <w:ilvl w:val="0"/>
          <w:numId w:val="0"/>
        </w:numPr>
      </w:pPr>
    </w:p>
    <w:p w14:paraId="7D65C685" w14:textId="7638D811" w:rsidR="00F175B6" w:rsidRDefault="00F175B6" w:rsidP="00413FEB">
      <w:pPr>
        <w:pStyle w:val="Bullet"/>
        <w:numPr>
          <w:ilvl w:val="0"/>
          <w:numId w:val="0"/>
        </w:numPr>
      </w:pPr>
    </w:p>
    <w:p w14:paraId="4D3E11A3" w14:textId="0DC47937" w:rsidR="00F175B6" w:rsidRDefault="00F175B6" w:rsidP="00413FEB">
      <w:pPr>
        <w:pStyle w:val="Bullet"/>
        <w:numPr>
          <w:ilvl w:val="0"/>
          <w:numId w:val="0"/>
        </w:numPr>
        <w:sectPr w:rsidR="00F175B6" w:rsidSect="00E5398A">
          <w:footerReference w:type="default" r:id="rId31"/>
          <w:pgSz w:w="11906" w:h="16838" w:code="9"/>
          <w:pgMar w:top="1276" w:right="1418" w:bottom="1418" w:left="1418" w:header="709" w:footer="709" w:gutter="0"/>
          <w:cols w:space="708"/>
          <w:docGrid w:linePitch="360"/>
        </w:sectPr>
      </w:pPr>
    </w:p>
    <w:p w14:paraId="27BACD3A" w14:textId="6C496E3A" w:rsidR="000E0B74" w:rsidRDefault="00E01B2C" w:rsidP="0058255F">
      <w:pPr>
        <w:pStyle w:val="Heading2"/>
        <w:tabs>
          <w:tab w:val="left" w:pos="5520"/>
        </w:tabs>
        <w:spacing w:before="120"/>
      </w:pPr>
      <w:bookmarkStart w:id="19" w:name="_Toc155955172"/>
      <w:bookmarkEnd w:id="17"/>
      <w:bookmarkEnd w:id="18"/>
      <w:r>
        <w:t>Options for Reform</w:t>
      </w:r>
      <w:bookmarkEnd w:id="19"/>
    </w:p>
    <w:p w14:paraId="3013E755" w14:textId="0A175E4F" w:rsidR="003945E1" w:rsidRDefault="0073617F" w:rsidP="003B2F98">
      <w:pPr>
        <w:pStyle w:val="Bullet"/>
        <w:numPr>
          <w:ilvl w:val="0"/>
          <w:numId w:val="0"/>
        </w:numPr>
      </w:pPr>
      <w:r>
        <w:t>In considering</w:t>
      </w:r>
      <w:r w:rsidR="0074085B">
        <w:t xml:space="preserve"> potential</w:t>
      </w:r>
      <w:r>
        <w:t xml:space="preserve"> reform options, </w:t>
      </w:r>
      <w:r w:rsidR="00C57C8A">
        <w:t xml:space="preserve">the </w:t>
      </w:r>
      <w:r w:rsidR="002C12BE">
        <w:t>primary</w:t>
      </w:r>
      <w:r w:rsidR="00C57C8A">
        <w:t xml:space="preserve"> focus is on</w:t>
      </w:r>
      <w:r w:rsidR="009918B1">
        <w:t xml:space="preserve"> improv</w:t>
      </w:r>
      <w:r w:rsidR="00C57C8A">
        <w:t>ing</w:t>
      </w:r>
      <w:r w:rsidR="009918B1">
        <w:t xml:space="preserve"> member ou</w:t>
      </w:r>
      <w:r w:rsidR="00B053DF">
        <w:t>t</w:t>
      </w:r>
      <w:r w:rsidR="009918B1">
        <w:t>comes</w:t>
      </w:r>
      <w:r w:rsidR="000C60C1">
        <w:t xml:space="preserve"> </w:t>
      </w:r>
      <w:r w:rsidR="006D714F">
        <w:t xml:space="preserve">through an enduring test that </w:t>
      </w:r>
      <w:r w:rsidR="00A210A6">
        <w:t xml:space="preserve">supports and </w:t>
      </w:r>
      <w:r w:rsidR="00F24917">
        <w:t xml:space="preserve">incentivises </w:t>
      </w:r>
      <w:r w:rsidR="00A210A6">
        <w:t>trustees to achieve the best retirement outcomes for their members</w:t>
      </w:r>
      <w:r w:rsidR="003363DC">
        <w:t>.</w:t>
      </w:r>
      <w:r w:rsidR="00C57C8A">
        <w:t xml:space="preserve"> </w:t>
      </w:r>
      <w:r w:rsidR="00D26FA9">
        <w:t>Existing superannuation obligations, such as the best financial interest</w:t>
      </w:r>
      <w:r w:rsidR="00647CF6">
        <w:t>s</w:t>
      </w:r>
      <w:r w:rsidR="00D26FA9">
        <w:t xml:space="preserve"> duty</w:t>
      </w:r>
      <w:r w:rsidR="00AE65D6">
        <w:t>, the</w:t>
      </w:r>
      <w:r w:rsidR="00D26FA9">
        <w:t xml:space="preserve"> sole purpose test</w:t>
      </w:r>
      <w:r w:rsidR="00C944BD">
        <w:t>,</w:t>
      </w:r>
      <w:r w:rsidR="00AE65D6">
        <w:t xml:space="preserve"> and member outcomes assessments</w:t>
      </w:r>
      <w:r w:rsidR="00D26FA9">
        <w:t xml:space="preserve">, are designed to provide guardrails around trustee decision-making. </w:t>
      </w:r>
    </w:p>
    <w:p w14:paraId="233EDCD9" w14:textId="63408FB1" w:rsidR="00F062CB" w:rsidRDefault="000317F5" w:rsidP="00F93D34">
      <w:pPr>
        <w:pStyle w:val="Bullet"/>
        <w:numPr>
          <w:ilvl w:val="0"/>
          <w:numId w:val="0"/>
        </w:numPr>
        <w:spacing w:after="120"/>
      </w:pPr>
      <w:r>
        <w:t>To achieve this outcome, i</w:t>
      </w:r>
      <w:r w:rsidR="001B7CB7">
        <w:t xml:space="preserve">n developing the options outlined in this consultation paper, consideration has been given to </w:t>
      </w:r>
      <w:r w:rsidR="00AF422D">
        <w:t xml:space="preserve">the </w:t>
      </w:r>
      <w:r w:rsidR="001A4643">
        <w:t xml:space="preserve">following </w:t>
      </w:r>
      <w:r w:rsidR="00FC43F7">
        <w:t>key principles</w:t>
      </w:r>
      <w:r w:rsidR="00F55C62">
        <w:t xml:space="preserve">. They will be </w:t>
      </w:r>
      <w:r w:rsidR="00E1714D">
        <w:t>used when</w:t>
      </w:r>
      <w:r w:rsidR="001A4643">
        <w:t xml:space="preserve"> assessing</w:t>
      </w:r>
      <w:r w:rsidR="00F062CB">
        <w:t xml:space="preserve"> </w:t>
      </w:r>
      <w:r w:rsidR="00B93704">
        <w:t>potential</w:t>
      </w:r>
      <w:r w:rsidR="00F062CB">
        <w:t xml:space="preserve"> changes to the testing framework</w:t>
      </w:r>
      <w:r w:rsidR="000B6BBD">
        <w:t>.</w:t>
      </w:r>
      <w:r w:rsidR="00F062CB">
        <w:t xml:space="preserve"> </w:t>
      </w:r>
      <w:r w:rsidR="004243C2">
        <w:t xml:space="preserve"> </w:t>
      </w:r>
    </w:p>
    <w:tbl>
      <w:tblPr>
        <w:tblStyle w:val="TableGrid"/>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7965"/>
      </w:tblGrid>
      <w:tr w:rsidR="00F062CB" w14:paraId="035D45EA" w14:textId="77777777" w:rsidTr="00942DA0">
        <w:trPr>
          <w:cnfStyle w:val="100000000000" w:firstRow="1" w:lastRow="0" w:firstColumn="0" w:lastColumn="0" w:oddVBand="0" w:evenVBand="0" w:oddHBand="0" w:evenHBand="0" w:firstRowFirstColumn="0" w:firstRowLastColumn="0" w:lastRowFirstColumn="0" w:lastRowLastColumn="0"/>
          <w:trHeight w:val="416"/>
          <w:jc w:val="center"/>
        </w:trPr>
        <w:tc>
          <w:tcPr>
            <w:tcW w:w="1669" w:type="dxa"/>
            <w:shd w:val="clear" w:color="auto" w:fill="BDC8D8" w:themeFill="accent3" w:themeFillTint="66"/>
          </w:tcPr>
          <w:p w14:paraId="3DAB377D" w14:textId="77777777" w:rsidR="00F062CB" w:rsidRPr="00995C4E" w:rsidRDefault="00F062CB">
            <w:pPr>
              <w:pStyle w:val="Bullet"/>
              <w:numPr>
                <w:ilvl w:val="0"/>
                <w:numId w:val="0"/>
              </w:numPr>
              <w:spacing w:beforeLines="0" w:before="0" w:afterLines="0"/>
              <w:rPr>
                <w:color w:val="000000" w:themeColor="text1"/>
                <w:sz w:val="22"/>
                <w:szCs w:val="22"/>
              </w:rPr>
            </w:pPr>
            <w:r w:rsidRPr="00995C4E">
              <w:rPr>
                <w:color w:val="000000" w:themeColor="text1"/>
                <w:sz w:val="22"/>
                <w:szCs w:val="22"/>
              </w:rPr>
              <w:t>Principle</w:t>
            </w:r>
          </w:p>
        </w:tc>
        <w:tc>
          <w:tcPr>
            <w:tcW w:w="7965" w:type="dxa"/>
            <w:shd w:val="clear" w:color="auto" w:fill="BDC8D8" w:themeFill="accent3" w:themeFillTint="66"/>
          </w:tcPr>
          <w:p w14:paraId="6C7C9B43" w14:textId="11C95A21" w:rsidR="00F062CB" w:rsidRPr="00995C4E" w:rsidRDefault="000B6BBD">
            <w:pPr>
              <w:pStyle w:val="Bullet"/>
              <w:numPr>
                <w:ilvl w:val="0"/>
                <w:numId w:val="0"/>
              </w:numPr>
              <w:spacing w:beforeLines="0" w:before="0" w:afterLines="0"/>
              <w:rPr>
                <w:color w:val="000000" w:themeColor="text1"/>
                <w:sz w:val="22"/>
                <w:szCs w:val="22"/>
              </w:rPr>
            </w:pPr>
            <w:r>
              <w:rPr>
                <w:color w:val="000000" w:themeColor="text1"/>
                <w:sz w:val="22"/>
                <w:szCs w:val="22"/>
              </w:rPr>
              <w:t>Description</w:t>
            </w:r>
          </w:p>
        </w:tc>
      </w:tr>
      <w:tr w:rsidR="00F062CB" w14:paraId="28213BB5" w14:textId="77777777" w:rsidTr="00942DA0">
        <w:trPr>
          <w:jc w:val="center"/>
        </w:trPr>
        <w:tc>
          <w:tcPr>
            <w:tcW w:w="1669" w:type="dxa"/>
          </w:tcPr>
          <w:p w14:paraId="2C4FDD21" w14:textId="77777777" w:rsidR="00F062CB" w:rsidRPr="00995C4E" w:rsidRDefault="00F062CB">
            <w:pPr>
              <w:pStyle w:val="Bullet"/>
              <w:numPr>
                <w:ilvl w:val="0"/>
                <w:numId w:val="0"/>
              </w:numPr>
              <w:spacing w:before="96" w:after="96"/>
              <w:rPr>
                <w:color w:val="000000" w:themeColor="text1"/>
                <w:szCs w:val="22"/>
              </w:rPr>
            </w:pPr>
            <w:r>
              <w:rPr>
                <w:sz w:val="22"/>
                <w:szCs w:val="22"/>
              </w:rPr>
              <w:t>Improves m</w:t>
            </w:r>
            <w:r w:rsidRPr="00FE7C8F">
              <w:rPr>
                <w:sz w:val="22"/>
                <w:szCs w:val="22"/>
              </w:rPr>
              <w:t xml:space="preserve">ember </w:t>
            </w:r>
            <w:r>
              <w:rPr>
                <w:sz w:val="22"/>
                <w:szCs w:val="22"/>
              </w:rPr>
              <w:t>outcomes</w:t>
            </w:r>
          </w:p>
        </w:tc>
        <w:tc>
          <w:tcPr>
            <w:tcW w:w="7965" w:type="dxa"/>
          </w:tcPr>
          <w:p w14:paraId="3AC03262" w14:textId="2887C659" w:rsidR="002E289D" w:rsidRDefault="00150C53" w:rsidP="00413FEB">
            <w:pPr>
              <w:spacing w:before="0" w:after="60" w:line="259" w:lineRule="auto"/>
              <w:rPr>
                <w:sz w:val="22"/>
                <w:szCs w:val="22"/>
              </w:rPr>
            </w:pPr>
            <w:r>
              <w:rPr>
                <w:sz w:val="22"/>
                <w:szCs w:val="22"/>
              </w:rPr>
              <w:t>C</w:t>
            </w:r>
            <w:r w:rsidR="00B2245C">
              <w:rPr>
                <w:sz w:val="22"/>
                <w:szCs w:val="22"/>
              </w:rPr>
              <w:t>onsistent with the proposed objective of superannuation</w:t>
            </w:r>
            <w:r>
              <w:rPr>
                <w:sz w:val="22"/>
                <w:szCs w:val="22"/>
              </w:rPr>
              <w:t xml:space="preserve">, any </w:t>
            </w:r>
            <w:r w:rsidR="00710BD0">
              <w:rPr>
                <w:sz w:val="22"/>
                <w:szCs w:val="22"/>
              </w:rPr>
              <w:t xml:space="preserve">performance testing regime </w:t>
            </w:r>
            <w:r>
              <w:rPr>
                <w:sz w:val="22"/>
                <w:szCs w:val="22"/>
              </w:rPr>
              <w:t xml:space="preserve">should be focused on </w:t>
            </w:r>
            <w:r w:rsidR="00F062CB">
              <w:rPr>
                <w:sz w:val="22"/>
                <w:szCs w:val="22"/>
              </w:rPr>
              <w:t>deliver</w:t>
            </w:r>
            <w:r w:rsidR="001E0E65">
              <w:rPr>
                <w:sz w:val="22"/>
                <w:szCs w:val="22"/>
              </w:rPr>
              <w:t>ing</w:t>
            </w:r>
            <w:r w:rsidR="00F062CB">
              <w:rPr>
                <w:sz w:val="22"/>
                <w:szCs w:val="22"/>
              </w:rPr>
              <w:t xml:space="preserve"> income for </w:t>
            </w:r>
            <w:r w:rsidR="00DD5A4E">
              <w:rPr>
                <w:sz w:val="22"/>
                <w:szCs w:val="22"/>
              </w:rPr>
              <w:t>members</w:t>
            </w:r>
            <w:r w:rsidR="000F51C8">
              <w:rPr>
                <w:sz w:val="22"/>
                <w:szCs w:val="22"/>
              </w:rPr>
              <w:t>’</w:t>
            </w:r>
            <w:r w:rsidR="00F062CB">
              <w:rPr>
                <w:sz w:val="22"/>
                <w:szCs w:val="22"/>
              </w:rPr>
              <w:t xml:space="preserve"> dignified retirement</w:t>
            </w:r>
            <w:r w:rsidR="00295F18">
              <w:rPr>
                <w:sz w:val="22"/>
                <w:szCs w:val="22"/>
              </w:rPr>
              <w:t xml:space="preserve">. </w:t>
            </w:r>
            <w:r w:rsidR="00F062CB">
              <w:rPr>
                <w:sz w:val="22"/>
                <w:szCs w:val="22"/>
              </w:rPr>
              <w:t xml:space="preserve"> </w:t>
            </w:r>
          </w:p>
          <w:p w14:paraId="17A32C13" w14:textId="15F49458" w:rsidR="00FE4693" w:rsidRDefault="00F062CB" w:rsidP="004A67C6">
            <w:pPr>
              <w:spacing w:before="0" w:after="60" w:line="259" w:lineRule="auto"/>
              <w:rPr>
                <w:sz w:val="22"/>
                <w:szCs w:val="22"/>
              </w:rPr>
            </w:pPr>
            <w:r>
              <w:rPr>
                <w:sz w:val="22"/>
                <w:szCs w:val="22"/>
              </w:rPr>
              <w:t xml:space="preserve">As recommended by the </w:t>
            </w:r>
            <w:r w:rsidRPr="00DC55A9">
              <w:rPr>
                <w:sz w:val="22"/>
                <w:szCs w:val="22"/>
              </w:rPr>
              <w:t>P</w:t>
            </w:r>
            <w:r w:rsidR="00DC55A9">
              <w:rPr>
                <w:sz w:val="22"/>
                <w:szCs w:val="22"/>
              </w:rPr>
              <w:t xml:space="preserve">roductivity </w:t>
            </w:r>
            <w:r w:rsidRPr="00DC55A9">
              <w:rPr>
                <w:sz w:val="22"/>
                <w:szCs w:val="22"/>
              </w:rPr>
              <w:t>C</w:t>
            </w:r>
            <w:r w:rsidR="00DC55A9">
              <w:rPr>
                <w:sz w:val="22"/>
                <w:szCs w:val="22"/>
              </w:rPr>
              <w:t>ommission</w:t>
            </w:r>
            <w:r>
              <w:rPr>
                <w:sz w:val="22"/>
                <w:szCs w:val="22"/>
              </w:rPr>
              <w:t xml:space="preserve">, </w:t>
            </w:r>
            <w:r w:rsidR="00312EA9">
              <w:rPr>
                <w:sz w:val="22"/>
                <w:szCs w:val="22"/>
              </w:rPr>
              <w:t xml:space="preserve">the </w:t>
            </w:r>
            <w:r>
              <w:rPr>
                <w:sz w:val="22"/>
                <w:szCs w:val="22"/>
              </w:rPr>
              <w:t xml:space="preserve">test </w:t>
            </w:r>
            <w:r w:rsidR="00312EA9">
              <w:rPr>
                <w:sz w:val="22"/>
                <w:szCs w:val="22"/>
              </w:rPr>
              <w:t xml:space="preserve">protects members from being offered objectively poor products by </w:t>
            </w:r>
            <w:r w:rsidR="00824012">
              <w:rPr>
                <w:sz w:val="22"/>
                <w:szCs w:val="22"/>
              </w:rPr>
              <w:t>setting a m</w:t>
            </w:r>
            <w:r w:rsidR="00824012" w:rsidRPr="00761FE4">
              <w:rPr>
                <w:sz w:val="22"/>
                <w:szCs w:val="22"/>
              </w:rPr>
              <w:t>inimum</w:t>
            </w:r>
            <w:r w:rsidR="00824012">
              <w:rPr>
                <w:sz w:val="22"/>
                <w:szCs w:val="22"/>
              </w:rPr>
              <w:t xml:space="preserve"> bar or a </w:t>
            </w:r>
            <w:r>
              <w:rPr>
                <w:sz w:val="22"/>
                <w:szCs w:val="22"/>
              </w:rPr>
              <w:t>‘right to remain’</w:t>
            </w:r>
            <w:r w:rsidR="00C36CEA">
              <w:rPr>
                <w:sz w:val="22"/>
                <w:szCs w:val="22"/>
              </w:rPr>
              <w:t xml:space="preserve">, </w:t>
            </w:r>
            <w:r w:rsidR="00CB6555">
              <w:rPr>
                <w:sz w:val="22"/>
                <w:szCs w:val="22"/>
              </w:rPr>
              <w:t xml:space="preserve">but </w:t>
            </w:r>
            <w:r w:rsidR="001602A5">
              <w:rPr>
                <w:sz w:val="22"/>
                <w:szCs w:val="22"/>
              </w:rPr>
              <w:t xml:space="preserve">in addition </w:t>
            </w:r>
            <w:r w:rsidR="00CB6555">
              <w:rPr>
                <w:sz w:val="22"/>
                <w:szCs w:val="22"/>
              </w:rPr>
              <w:t xml:space="preserve">it should not inhibit funds from seeking </w:t>
            </w:r>
            <w:r w:rsidR="00C265DE">
              <w:rPr>
                <w:sz w:val="22"/>
                <w:szCs w:val="22"/>
              </w:rPr>
              <w:t>better risk</w:t>
            </w:r>
            <w:r w:rsidR="008D359B">
              <w:rPr>
                <w:sz w:val="22"/>
                <w:szCs w:val="22"/>
              </w:rPr>
              <w:t>-</w:t>
            </w:r>
            <w:r w:rsidR="00C265DE">
              <w:rPr>
                <w:sz w:val="22"/>
                <w:szCs w:val="22"/>
              </w:rPr>
              <w:t>adjusted</w:t>
            </w:r>
            <w:r w:rsidR="00CB6555">
              <w:rPr>
                <w:sz w:val="22"/>
                <w:szCs w:val="22"/>
              </w:rPr>
              <w:t xml:space="preserve"> returns</w:t>
            </w:r>
            <w:r w:rsidR="00565F5E">
              <w:rPr>
                <w:sz w:val="22"/>
                <w:szCs w:val="22"/>
              </w:rPr>
              <w:t>.</w:t>
            </w:r>
            <w:r>
              <w:rPr>
                <w:sz w:val="22"/>
                <w:szCs w:val="22"/>
              </w:rPr>
              <w:t xml:space="preserve"> </w:t>
            </w:r>
          </w:p>
          <w:p w14:paraId="34B1E815" w14:textId="68DF21A1" w:rsidR="00F062CB" w:rsidRPr="00413FEB" w:rsidRDefault="00FE4693" w:rsidP="00413FEB">
            <w:pPr>
              <w:spacing w:before="0" w:after="60" w:line="259" w:lineRule="auto"/>
              <w:rPr>
                <w:sz w:val="22"/>
              </w:rPr>
            </w:pPr>
            <w:r>
              <w:rPr>
                <w:sz w:val="22"/>
                <w:szCs w:val="22"/>
              </w:rPr>
              <w:t xml:space="preserve">Any test should place the obligation on trustees to make decisions about what is in the best interests of their members </w:t>
            </w:r>
            <w:r w:rsidR="004A67C6">
              <w:rPr>
                <w:sz w:val="22"/>
                <w:szCs w:val="22"/>
              </w:rPr>
              <w:t xml:space="preserve">and </w:t>
            </w:r>
            <w:r w:rsidR="007A6EA5">
              <w:rPr>
                <w:sz w:val="22"/>
                <w:szCs w:val="22"/>
              </w:rPr>
              <w:t xml:space="preserve">not </w:t>
            </w:r>
            <w:r w:rsidR="00A90460">
              <w:rPr>
                <w:sz w:val="22"/>
                <w:szCs w:val="22"/>
              </w:rPr>
              <w:t xml:space="preserve">create </w:t>
            </w:r>
            <w:r w:rsidR="00252C56" w:rsidRPr="00AE7633">
              <w:rPr>
                <w:sz w:val="22"/>
                <w:szCs w:val="22"/>
              </w:rPr>
              <w:t>barriers to invest in assets that deliver good returns</w:t>
            </w:r>
            <w:r w:rsidR="00F062CB">
              <w:rPr>
                <w:sz w:val="22"/>
                <w:szCs w:val="22"/>
              </w:rPr>
              <w:t xml:space="preserve">. </w:t>
            </w:r>
            <w:r w:rsidR="00006992" w:rsidDel="00006992">
              <w:rPr>
                <w:sz w:val="22"/>
                <w:szCs w:val="22"/>
              </w:rPr>
              <w:t xml:space="preserve"> </w:t>
            </w:r>
          </w:p>
        </w:tc>
      </w:tr>
      <w:tr w:rsidR="00F062CB" w14:paraId="219CDAD0" w14:textId="77777777" w:rsidTr="00942DA0">
        <w:trPr>
          <w:jc w:val="center"/>
        </w:trPr>
        <w:tc>
          <w:tcPr>
            <w:tcW w:w="1669" w:type="dxa"/>
          </w:tcPr>
          <w:p w14:paraId="1DFC4C92" w14:textId="77777777" w:rsidR="00F062CB" w:rsidRPr="00995C4E" w:rsidRDefault="00F062CB">
            <w:pPr>
              <w:pStyle w:val="Bullet"/>
              <w:numPr>
                <w:ilvl w:val="0"/>
                <w:numId w:val="0"/>
              </w:numPr>
              <w:rPr>
                <w:sz w:val="22"/>
              </w:rPr>
            </w:pPr>
            <w:r w:rsidRPr="00995C4E">
              <w:rPr>
                <w:sz w:val="22"/>
              </w:rPr>
              <w:t>Effective</w:t>
            </w:r>
            <w:r>
              <w:rPr>
                <w:sz w:val="22"/>
              </w:rPr>
              <w:t xml:space="preserve"> and efficient</w:t>
            </w:r>
          </w:p>
        </w:tc>
        <w:tc>
          <w:tcPr>
            <w:tcW w:w="7965" w:type="dxa"/>
          </w:tcPr>
          <w:p w14:paraId="75046F64" w14:textId="62EBBD19" w:rsidR="00DB336F" w:rsidRDefault="0094333F" w:rsidP="00413FEB">
            <w:pPr>
              <w:spacing w:before="0" w:after="60" w:line="259" w:lineRule="auto"/>
              <w:rPr>
                <w:sz w:val="22"/>
              </w:rPr>
            </w:pPr>
            <w:r w:rsidRPr="0094333F">
              <w:rPr>
                <w:sz w:val="22"/>
              </w:rPr>
              <w:t xml:space="preserve">To be effective, the test must continue to be objective and </w:t>
            </w:r>
            <w:r w:rsidR="008A7072">
              <w:rPr>
                <w:sz w:val="22"/>
              </w:rPr>
              <w:t>have</w:t>
            </w:r>
            <w:r w:rsidR="008A7072" w:rsidRPr="0094333F">
              <w:rPr>
                <w:sz w:val="22"/>
              </w:rPr>
              <w:t xml:space="preserve"> </w:t>
            </w:r>
            <w:r w:rsidRPr="0094333F">
              <w:rPr>
                <w:sz w:val="22"/>
              </w:rPr>
              <w:t>clear consequences for failure. This provides clarity as to when a product has failed and allows for efficient and timely regulator action.</w:t>
            </w:r>
            <w:r w:rsidR="00A475D2">
              <w:rPr>
                <w:sz w:val="22"/>
              </w:rPr>
              <w:t xml:space="preserve"> </w:t>
            </w:r>
          </w:p>
          <w:p w14:paraId="0EF7E947" w14:textId="0EAD91EA" w:rsidR="00DB336F" w:rsidRDefault="002C6852" w:rsidP="00413FEB">
            <w:pPr>
              <w:spacing w:before="0" w:after="60" w:line="259" w:lineRule="auto"/>
              <w:rPr>
                <w:sz w:val="22"/>
              </w:rPr>
            </w:pPr>
            <w:r>
              <w:rPr>
                <w:sz w:val="22"/>
              </w:rPr>
              <w:t>The</w:t>
            </w:r>
            <w:r w:rsidR="0094333F" w:rsidRPr="00995C4E">
              <w:rPr>
                <w:sz w:val="22"/>
              </w:rPr>
              <w:t xml:space="preserve"> test should </w:t>
            </w:r>
            <w:r w:rsidR="00C40F58">
              <w:rPr>
                <w:sz w:val="22"/>
              </w:rPr>
              <w:t xml:space="preserve">seek to be </w:t>
            </w:r>
            <w:r w:rsidR="00607D1F">
              <w:rPr>
                <w:sz w:val="22"/>
              </w:rPr>
              <w:t>effective</w:t>
            </w:r>
            <w:r w:rsidR="0094333F" w:rsidRPr="00995C4E">
              <w:rPr>
                <w:sz w:val="22"/>
              </w:rPr>
              <w:t xml:space="preserve"> in identifying underperformers</w:t>
            </w:r>
            <w:r w:rsidR="0094333F">
              <w:rPr>
                <w:sz w:val="22"/>
              </w:rPr>
              <w:t>, without constraining or misidentifying well-</w:t>
            </w:r>
            <w:r w:rsidR="0094333F" w:rsidRPr="000C3E4E">
              <w:rPr>
                <w:sz w:val="22"/>
              </w:rPr>
              <w:t>performing funds</w:t>
            </w:r>
            <w:r w:rsidR="0094333F" w:rsidRPr="00A40096">
              <w:t>.</w:t>
            </w:r>
            <w:r w:rsidR="0094333F">
              <w:rPr>
                <w:sz w:val="22"/>
              </w:rPr>
              <w:t xml:space="preserve"> </w:t>
            </w:r>
          </w:p>
          <w:p w14:paraId="20C4311D" w14:textId="0D99D357" w:rsidR="00F062CB" w:rsidRPr="00995C4E" w:rsidRDefault="00F062CB" w:rsidP="00413FEB">
            <w:pPr>
              <w:spacing w:before="0" w:after="60" w:line="259" w:lineRule="auto"/>
              <w:rPr>
                <w:sz w:val="22"/>
              </w:rPr>
            </w:pPr>
            <w:r>
              <w:rPr>
                <w:sz w:val="22"/>
              </w:rPr>
              <w:t>The test should also be efficient and timely to administer from the perspective of both APRA and superannuation funds.</w:t>
            </w:r>
          </w:p>
        </w:tc>
      </w:tr>
      <w:tr w:rsidR="00F062CB" w14:paraId="58685586" w14:textId="77777777" w:rsidTr="00942DA0">
        <w:trPr>
          <w:jc w:val="center"/>
        </w:trPr>
        <w:tc>
          <w:tcPr>
            <w:tcW w:w="1669" w:type="dxa"/>
            <w:tcBorders>
              <w:bottom w:val="single" w:sz="2" w:space="0" w:color="auto"/>
            </w:tcBorders>
          </w:tcPr>
          <w:p w14:paraId="198316A9" w14:textId="22DF495F" w:rsidR="00F062CB" w:rsidRPr="00995C4E" w:rsidRDefault="00F062CB">
            <w:pPr>
              <w:pStyle w:val="Bullet"/>
              <w:numPr>
                <w:ilvl w:val="0"/>
                <w:numId w:val="0"/>
              </w:numPr>
              <w:rPr>
                <w:sz w:val="22"/>
              </w:rPr>
            </w:pPr>
            <w:r w:rsidRPr="00995C4E">
              <w:rPr>
                <w:sz w:val="22"/>
              </w:rPr>
              <w:t xml:space="preserve">Widely applicable </w:t>
            </w:r>
            <w:r w:rsidR="00515AB6">
              <w:rPr>
                <w:sz w:val="22"/>
              </w:rPr>
              <w:t xml:space="preserve">and </w:t>
            </w:r>
            <w:r w:rsidR="00002274" w:rsidRPr="006C76EA">
              <w:rPr>
                <w:sz w:val="22"/>
                <w:szCs w:val="22"/>
              </w:rPr>
              <w:t>t</w:t>
            </w:r>
            <w:r w:rsidR="00002274" w:rsidRPr="00604194">
              <w:rPr>
                <w:sz w:val="22"/>
              </w:rPr>
              <w:t>ransparent</w:t>
            </w:r>
          </w:p>
        </w:tc>
        <w:tc>
          <w:tcPr>
            <w:tcW w:w="7965" w:type="dxa"/>
            <w:tcBorders>
              <w:bottom w:val="single" w:sz="2" w:space="0" w:color="auto"/>
            </w:tcBorders>
          </w:tcPr>
          <w:p w14:paraId="47B567B8" w14:textId="588F36B8" w:rsidR="00882764" w:rsidRDefault="00882764" w:rsidP="00413FEB">
            <w:pPr>
              <w:spacing w:before="0" w:after="60" w:line="259" w:lineRule="auto"/>
              <w:rPr>
                <w:sz w:val="22"/>
              </w:rPr>
            </w:pPr>
            <w:r w:rsidRPr="00882764">
              <w:rPr>
                <w:sz w:val="22"/>
              </w:rPr>
              <w:t xml:space="preserve">To achieve </w:t>
            </w:r>
            <w:r>
              <w:rPr>
                <w:sz w:val="22"/>
              </w:rPr>
              <w:t>a</w:t>
            </w:r>
            <w:r w:rsidRPr="00882764">
              <w:rPr>
                <w:sz w:val="22"/>
              </w:rPr>
              <w:t xml:space="preserve"> level of certainty, it is preferable to have a </w:t>
            </w:r>
            <w:r w:rsidR="00950B10">
              <w:rPr>
                <w:sz w:val="22"/>
              </w:rPr>
              <w:t>consistent and comparable</w:t>
            </w:r>
            <w:r w:rsidR="00245765">
              <w:rPr>
                <w:sz w:val="22"/>
              </w:rPr>
              <w:t xml:space="preserve"> measure</w:t>
            </w:r>
            <w:r w:rsidRPr="00882764">
              <w:rPr>
                <w:sz w:val="22"/>
              </w:rPr>
              <w:t xml:space="preserve"> of performance across all superannuation product</w:t>
            </w:r>
            <w:r w:rsidR="009340DF">
              <w:rPr>
                <w:sz w:val="22"/>
              </w:rPr>
              <w:t>s</w:t>
            </w:r>
            <w:r w:rsidR="00B64B9F">
              <w:rPr>
                <w:sz w:val="22"/>
              </w:rPr>
              <w:t>.</w:t>
            </w:r>
            <w:r w:rsidRPr="00882764">
              <w:rPr>
                <w:sz w:val="22"/>
              </w:rPr>
              <w:t xml:space="preserve"> </w:t>
            </w:r>
          </w:p>
          <w:p w14:paraId="7F835861" w14:textId="07B1C741" w:rsidR="00F062CB" w:rsidRDefault="00F062CB" w:rsidP="00413FEB">
            <w:pPr>
              <w:spacing w:before="0" w:after="60" w:line="259" w:lineRule="auto"/>
              <w:rPr>
                <w:sz w:val="22"/>
              </w:rPr>
            </w:pPr>
            <w:r>
              <w:rPr>
                <w:sz w:val="22"/>
              </w:rPr>
              <w:t>I</w:t>
            </w:r>
            <w:r w:rsidRPr="00995C4E">
              <w:rPr>
                <w:sz w:val="22"/>
              </w:rPr>
              <w:t>deally</w:t>
            </w:r>
            <w:r>
              <w:rPr>
                <w:sz w:val="22"/>
              </w:rPr>
              <w:t xml:space="preserve"> the test </w:t>
            </w:r>
            <w:r w:rsidR="00E150AA">
              <w:rPr>
                <w:sz w:val="22"/>
              </w:rPr>
              <w:t xml:space="preserve">should </w:t>
            </w:r>
            <w:r>
              <w:rPr>
                <w:sz w:val="22"/>
              </w:rPr>
              <w:t>be applied</w:t>
            </w:r>
            <w:r w:rsidRPr="00995C4E">
              <w:rPr>
                <w:sz w:val="22"/>
              </w:rPr>
              <w:t xml:space="preserve"> to as many product types as possible</w:t>
            </w:r>
            <w:r>
              <w:rPr>
                <w:sz w:val="22"/>
              </w:rPr>
              <w:t>, without unfairly punishing products using particular investment mandates or strategies</w:t>
            </w:r>
            <w:r w:rsidRPr="00995C4E">
              <w:rPr>
                <w:sz w:val="22"/>
              </w:rPr>
              <w:t xml:space="preserve">. </w:t>
            </w:r>
          </w:p>
          <w:p w14:paraId="5509149B" w14:textId="67457735" w:rsidR="00515AB6" w:rsidRPr="00995C4E" w:rsidRDefault="00557B24" w:rsidP="00413FEB">
            <w:pPr>
              <w:spacing w:before="0" w:after="60" w:line="259" w:lineRule="auto"/>
              <w:rPr>
                <w:sz w:val="22"/>
              </w:rPr>
            </w:pPr>
            <w:r>
              <w:rPr>
                <w:sz w:val="22"/>
              </w:rPr>
              <w:t xml:space="preserve">The results of the test should be </w:t>
            </w:r>
            <w:r w:rsidR="00FE706B">
              <w:rPr>
                <w:sz w:val="22"/>
              </w:rPr>
              <w:t>clearly communicated</w:t>
            </w:r>
            <w:r w:rsidR="00002274">
              <w:rPr>
                <w:sz w:val="22"/>
              </w:rPr>
              <w:t xml:space="preserve"> to members and the industry in a timely fashion.</w:t>
            </w:r>
          </w:p>
        </w:tc>
      </w:tr>
      <w:tr w:rsidR="00F062CB" w14:paraId="10F7AD40" w14:textId="77777777" w:rsidTr="00942DA0">
        <w:trPr>
          <w:jc w:val="center"/>
        </w:trPr>
        <w:tc>
          <w:tcPr>
            <w:tcW w:w="1669" w:type="dxa"/>
            <w:tcBorders>
              <w:top w:val="single" w:sz="2" w:space="0" w:color="auto"/>
              <w:left w:val="single" w:sz="2" w:space="0" w:color="auto"/>
              <w:bottom w:val="single" w:sz="2" w:space="0" w:color="auto"/>
              <w:right w:val="single" w:sz="2" w:space="0" w:color="auto"/>
            </w:tcBorders>
          </w:tcPr>
          <w:p w14:paraId="35A5E001" w14:textId="77777777" w:rsidR="00F062CB" w:rsidRPr="00995C4E" w:rsidRDefault="00F062CB">
            <w:pPr>
              <w:pStyle w:val="Bullet"/>
              <w:numPr>
                <w:ilvl w:val="0"/>
                <w:numId w:val="0"/>
              </w:numPr>
              <w:rPr>
                <w:sz w:val="22"/>
              </w:rPr>
            </w:pPr>
            <w:r>
              <w:rPr>
                <w:sz w:val="22"/>
              </w:rPr>
              <w:t>Enduring</w:t>
            </w:r>
          </w:p>
        </w:tc>
        <w:tc>
          <w:tcPr>
            <w:tcW w:w="7965" w:type="dxa"/>
            <w:tcBorders>
              <w:top w:val="single" w:sz="2" w:space="0" w:color="auto"/>
              <w:left w:val="single" w:sz="2" w:space="0" w:color="auto"/>
              <w:bottom w:val="single" w:sz="2" w:space="0" w:color="auto"/>
              <w:right w:val="single" w:sz="2" w:space="0" w:color="auto"/>
            </w:tcBorders>
          </w:tcPr>
          <w:p w14:paraId="378F568A" w14:textId="647C2645" w:rsidR="00F062CB" w:rsidRPr="00995C4E" w:rsidRDefault="00F062CB" w:rsidP="00413FEB">
            <w:pPr>
              <w:spacing w:before="0" w:after="60" w:line="259" w:lineRule="auto"/>
              <w:rPr>
                <w:sz w:val="22"/>
              </w:rPr>
            </w:pPr>
            <w:r>
              <w:rPr>
                <w:sz w:val="22"/>
              </w:rPr>
              <w:t>Superannuation is a long-term asset and</w:t>
            </w:r>
            <w:r w:rsidR="00D900E7">
              <w:rPr>
                <w:sz w:val="22"/>
              </w:rPr>
              <w:t>,</w:t>
            </w:r>
            <w:r>
              <w:rPr>
                <w:sz w:val="22"/>
              </w:rPr>
              <w:t xml:space="preserve"> to remain consistent with this outlook, a testing framework should remain appropriate to apply consistently over time. The test should aim to remain applicable as markets change without requiring regular changes to the framework. </w:t>
            </w:r>
            <w:r w:rsidR="005F00AA">
              <w:rPr>
                <w:sz w:val="22"/>
              </w:rPr>
              <w:t xml:space="preserve">This is important to ensure industry have </w:t>
            </w:r>
            <w:r w:rsidR="007B3147">
              <w:rPr>
                <w:sz w:val="22"/>
              </w:rPr>
              <w:t>certainty about the long</w:t>
            </w:r>
            <w:r w:rsidR="004E680F">
              <w:rPr>
                <w:sz w:val="22"/>
              </w:rPr>
              <w:noBreakHyphen/>
            </w:r>
            <w:r w:rsidR="007B3147">
              <w:rPr>
                <w:sz w:val="22"/>
              </w:rPr>
              <w:t>term testing regime</w:t>
            </w:r>
            <w:r w:rsidR="008D1495">
              <w:rPr>
                <w:sz w:val="22"/>
              </w:rPr>
              <w:t xml:space="preserve">, and that members can see long term performance that is not </w:t>
            </w:r>
            <w:r w:rsidR="0052667E">
              <w:rPr>
                <w:sz w:val="22"/>
              </w:rPr>
              <w:t>impacted by changes to the test that reset the rules or baseline</w:t>
            </w:r>
            <w:r w:rsidR="007B3147">
              <w:rPr>
                <w:sz w:val="22"/>
              </w:rPr>
              <w:t>.</w:t>
            </w:r>
          </w:p>
        </w:tc>
      </w:tr>
    </w:tbl>
    <w:bookmarkStart w:id="20" w:name="_Hlk148700005"/>
    <w:p w14:paraId="5E18CBEB" w14:textId="4C58999B" w:rsidR="00610906" w:rsidRDefault="007C00F7">
      <w:pPr>
        <w:spacing w:before="0" w:after="160" w:line="259" w:lineRule="auto"/>
        <w:rPr>
          <w:rFonts w:ascii="Calibri" w:hAnsi="Calibri" w:cs="Arial"/>
          <w:iCs/>
          <w:color w:val="2C384A"/>
          <w:kern w:val="32"/>
          <w:sz w:val="36"/>
          <w:szCs w:val="28"/>
        </w:rPr>
      </w:pPr>
      <w:r>
        <w:rPr>
          <w:rFonts w:cs="Arial"/>
          <w:noProof/>
          <w:color w:val="4D7861" w:themeColor="accent2"/>
          <w:kern w:val="32"/>
          <w:sz w:val="24"/>
          <w:szCs w:val="26"/>
        </w:rPr>
        <mc:AlternateContent>
          <mc:Choice Requires="wps">
            <w:drawing>
              <wp:anchor distT="0" distB="0" distL="114300" distR="114300" simplePos="0" relativeHeight="251651072" behindDoc="0" locked="0" layoutInCell="1" allowOverlap="1" wp14:anchorId="7604311F" wp14:editId="3D0844EA">
                <wp:simplePos x="0" y="0"/>
                <wp:positionH relativeFrom="margin">
                  <wp:align>left</wp:align>
                </wp:positionH>
                <wp:positionV relativeFrom="paragraph">
                  <wp:posOffset>81535</wp:posOffset>
                </wp:positionV>
                <wp:extent cx="5883215" cy="665019"/>
                <wp:effectExtent l="0" t="0" r="3810" b="1905"/>
                <wp:wrapNone/>
                <wp:docPr id="28" name="Text Box 28"/>
                <wp:cNvGraphicFramePr/>
                <a:graphic xmlns:a="http://schemas.openxmlformats.org/drawingml/2006/main">
                  <a:graphicData uri="http://schemas.microsoft.com/office/word/2010/wordprocessingShape">
                    <wps:wsp>
                      <wps:cNvSpPr txBox="1"/>
                      <wps:spPr>
                        <a:xfrm>
                          <a:off x="0" y="0"/>
                          <a:ext cx="5883215" cy="665019"/>
                        </a:xfrm>
                        <a:prstGeom prst="rect">
                          <a:avLst/>
                        </a:prstGeom>
                        <a:solidFill>
                          <a:schemeClr val="accent3">
                            <a:lumMod val="20000"/>
                            <a:lumOff val="80000"/>
                          </a:schemeClr>
                        </a:solidFill>
                        <a:ln w="6350">
                          <a:noFill/>
                        </a:ln>
                      </wps:spPr>
                      <wps:txbx>
                        <w:txbxContent>
                          <w:p w14:paraId="2EABA638" w14:textId="3B79D70E" w:rsidR="00C70321" w:rsidRDefault="00C70321" w:rsidP="00B2653A">
                            <w:pPr>
                              <w:pStyle w:val="Heading4"/>
                              <w:spacing w:before="0"/>
                            </w:pPr>
                            <w:r>
                              <w:t>Consultation Question</w:t>
                            </w:r>
                          </w:p>
                          <w:p w14:paraId="4BE5EB4D" w14:textId="3AFEE02C" w:rsidR="00C70321" w:rsidRDefault="00C70321" w:rsidP="0058255F">
                            <w:pPr>
                              <w:pStyle w:val="OutlineNumbered1"/>
                              <w:numPr>
                                <w:ilvl w:val="0"/>
                                <w:numId w:val="64"/>
                              </w:numPr>
                            </w:pPr>
                            <w:r>
                              <w:t xml:space="preserve">Do you agree with these principles? </w:t>
                            </w:r>
                            <w:r w:rsidR="003C5D04">
                              <w:t>Are there</w:t>
                            </w:r>
                            <w:r>
                              <w:t xml:space="preserve"> any other principles that should be considered?</w:t>
                            </w:r>
                          </w:p>
                          <w:p w14:paraId="665A1EE5" w14:textId="77777777" w:rsidR="002E09B4" w:rsidRDefault="002E09B4" w:rsidP="00BD7BF0">
                            <w:pPr>
                              <w:pStyle w:val="OutlineNumbered1"/>
                              <w:numPr>
                                <w:ilvl w:val="0"/>
                                <w:numId w:val="0"/>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604311F" id="_x0000_t202" coordsize="21600,21600" o:spt="202" path="m,l,21600r21600,l21600,xe">
                <v:stroke joinstyle="miter"/>
                <v:path gradientshapeok="t" o:connecttype="rect"/>
              </v:shapetype>
              <v:shape id="Text Box 28" o:spid="_x0000_s1026" type="#_x0000_t202" style="position:absolute;margin-left:0;margin-top:6.4pt;width:463.25pt;height:52.3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" fillcolor="#dee3eb [662]" stroked="f" strokeweight=".5pt">
                <v:textbox>
                  <w:txbxContent>
                    <w:p w14:paraId="2EABA638" w14:textId="3B79D70E" w:rsidR="00C70321" w:rsidRDefault="00C70321" w:rsidP="00B2653A">
                      <w:pPr>
                        <w:pStyle w:val="Heading4"/>
                        <w:spacing w:before="0"/>
                      </w:pPr>
                      <w:r>
                        <w:t>Consultation Question</w:t>
                      </w:r>
                    </w:p>
                    <w:p w14:paraId="4BE5EB4D" w14:textId="3AFEE02C" w:rsidR="00C70321" w:rsidRDefault="00C70321" w:rsidP="0058255F">
                      <w:pPr>
                        <w:pStyle w:val="OutlineNumbered1"/>
                        <w:numPr>
                          <w:ilvl w:val="0"/>
                          <w:numId w:val="64"/>
                        </w:numPr>
                      </w:pPr>
                      <w:r>
                        <w:t xml:space="preserve">Do you agree with these principles? </w:t>
                      </w:r>
                      <w:r w:rsidR="003C5D04">
                        <w:t>Are there</w:t>
                      </w:r>
                      <w:r>
                        <w:t xml:space="preserve"> any other principles that should </w:t>
                      </w:r>
                      <w:proofErr w:type="gramStart"/>
                      <w:r>
                        <w:t>be considered</w:t>
                      </w:r>
                      <w:proofErr w:type="gramEnd"/>
                      <w:r>
                        <w:t>?</w:t>
                      </w:r>
                    </w:p>
                    <w:p w14:paraId="665A1EE5" w14:textId="77777777" w:rsidR="002E09B4" w:rsidRDefault="002E09B4" w:rsidP="00BD7BF0">
                      <w:pPr>
                        <w:pStyle w:val="OutlineNumbered1"/>
                        <w:numPr>
                          <w:ilvl w:val="0"/>
                          <w:numId w:val="0"/>
                        </w:numPr>
                      </w:pPr>
                    </w:p>
                  </w:txbxContent>
                </v:textbox>
                <w10:wrap anchorx="margin"/>
              </v:shape>
            </w:pict>
          </mc:Fallback>
        </mc:AlternateContent>
      </w:r>
      <w:bookmarkStart w:id="21" w:name="_Toc151575161"/>
      <w:bookmarkEnd w:id="20"/>
    </w:p>
    <w:p w14:paraId="0CF4D601" w14:textId="77777777" w:rsidR="00DD0AAF" w:rsidRDefault="00DD0AAF">
      <w:pPr>
        <w:spacing w:before="0" w:after="160" w:line="259" w:lineRule="auto"/>
        <w:sectPr w:rsidR="00DD0AAF" w:rsidSect="00E5398A">
          <w:footerReference w:type="default" r:id="rId32"/>
          <w:pgSz w:w="11906" w:h="16838" w:code="9"/>
          <w:pgMar w:top="1276" w:right="1418" w:bottom="1418" w:left="1418" w:header="709" w:footer="709" w:gutter="0"/>
          <w:cols w:space="708"/>
          <w:docGrid w:linePitch="360"/>
        </w:sectPr>
      </w:pPr>
    </w:p>
    <w:p w14:paraId="30552C68" w14:textId="61503BF3" w:rsidR="000E0B74" w:rsidRDefault="00566059" w:rsidP="0053529D">
      <w:pPr>
        <w:pStyle w:val="Heading2"/>
        <w:tabs>
          <w:tab w:val="left" w:pos="5520"/>
        </w:tabs>
        <w:spacing w:before="120"/>
      </w:pPr>
      <w:bookmarkStart w:id="22" w:name="_Toc155955173"/>
      <w:r>
        <w:t>Design options</w:t>
      </w:r>
      <w:bookmarkEnd w:id="21"/>
      <w:bookmarkEnd w:id="22"/>
      <w:r w:rsidR="00F869EF">
        <w:t xml:space="preserve"> </w:t>
      </w:r>
    </w:p>
    <w:p w14:paraId="78F1BD27" w14:textId="4BD14098" w:rsidR="00AA02F9" w:rsidRDefault="00D11019" w:rsidP="0009191F">
      <w:pPr>
        <w:spacing w:line="276" w:lineRule="auto"/>
      </w:pPr>
      <w:r>
        <w:t xml:space="preserve">The Government </w:t>
      </w:r>
      <w:r w:rsidR="00345B39">
        <w:t>is</w:t>
      </w:r>
      <w:r w:rsidR="00D05287">
        <w:t xml:space="preserve"> inviting views on </w:t>
      </w:r>
      <w:r w:rsidR="00345B39">
        <w:t>a more sophisticated</w:t>
      </w:r>
      <w:r w:rsidR="000405C5">
        <w:t xml:space="preserve"> </w:t>
      </w:r>
      <w:r w:rsidR="005D429A">
        <w:t>and</w:t>
      </w:r>
      <w:r w:rsidR="000405C5">
        <w:t xml:space="preserve"> </w:t>
      </w:r>
      <w:r w:rsidR="00504DCA">
        <w:t>objective</w:t>
      </w:r>
      <w:r w:rsidR="000405C5">
        <w:t xml:space="preserve"> </w:t>
      </w:r>
      <w:r w:rsidR="00393777">
        <w:t>performance test</w:t>
      </w:r>
      <w:r w:rsidR="00DC1584">
        <w:t>.</w:t>
      </w:r>
      <w:r w:rsidR="0046721C">
        <w:t xml:space="preserve"> </w:t>
      </w:r>
      <w:r w:rsidR="00A246CC">
        <w:t>The</w:t>
      </w:r>
      <w:r w:rsidR="003F0B30">
        <w:t xml:space="preserve"> options </w:t>
      </w:r>
      <w:r w:rsidR="002D12C8">
        <w:t xml:space="preserve">presented below </w:t>
      </w:r>
      <w:r w:rsidR="00EE0395">
        <w:t>provide</w:t>
      </w:r>
      <w:r w:rsidR="0088733B">
        <w:t xml:space="preserve"> alternative </w:t>
      </w:r>
      <w:r w:rsidR="00244C1A">
        <w:t xml:space="preserve">approaches </w:t>
      </w:r>
      <w:r w:rsidR="00E31ECE">
        <w:t>which</w:t>
      </w:r>
      <w:r w:rsidR="00C02B96">
        <w:t xml:space="preserve"> are designed to </w:t>
      </w:r>
      <w:r w:rsidR="00EE323F">
        <w:t>guide and prompt stakeholders</w:t>
      </w:r>
      <w:r w:rsidR="008B6CAB">
        <w:t xml:space="preserve">. </w:t>
      </w:r>
      <w:r w:rsidR="00EC4ACC">
        <w:t>T</w:t>
      </w:r>
      <w:r w:rsidR="00FB5C47">
        <w:t xml:space="preserve">he </w:t>
      </w:r>
      <w:r w:rsidR="0046721C">
        <w:t xml:space="preserve">preferred </w:t>
      </w:r>
      <w:r w:rsidR="00FB5C47">
        <w:t xml:space="preserve">design </w:t>
      </w:r>
      <w:r w:rsidR="00A055F7">
        <w:t xml:space="preserve">should </w:t>
      </w:r>
      <w:r w:rsidR="00665B5B">
        <w:t>be guided by the</w:t>
      </w:r>
      <w:r w:rsidR="0046721C">
        <w:t xml:space="preserve"> principles set out above</w:t>
      </w:r>
      <w:r w:rsidR="00F847DF">
        <w:t xml:space="preserve">. </w:t>
      </w:r>
      <w:r w:rsidR="00453FAD">
        <w:t xml:space="preserve">For the purposes of this consultation paper, </w:t>
      </w:r>
      <w:r w:rsidR="005D4AA6">
        <w:t>the</w:t>
      </w:r>
      <w:r w:rsidR="00453FAD">
        <w:t xml:space="preserve"> options </w:t>
      </w:r>
      <w:r w:rsidR="005D4AA6">
        <w:t xml:space="preserve">are </w:t>
      </w:r>
      <w:r w:rsidR="001104F1">
        <w:t xml:space="preserve">grouped </w:t>
      </w:r>
      <w:r w:rsidR="00453FAD">
        <w:t xml:space="preserve">into </w:t>
      </w:r>
      <w:r w:rsidR="00371B9E">
        <w:t>four</w:t>
      </w:r>
      <w:r w:rsidR="00453FAD">
        <w:t xml:space="preserve"> categories</w:t>
      </w:r>
      <w:r w:rsidR="00365C46">
        <w:t>:</w:t>
      </w:r>
    </w:p>
    <w:tbl>
      <w:tblPr>
        <w:tblStyle w:val="TableGrid1"/>
        <w:tblW w:w="9351" w:type="dxa"/>
        <w:tblLook w:val="04A0" w:firstRow="1" w:lastRow="0" w:firstColumn="1" w:lastColumn="0" w:noHBand="0" w:noVBand="1"/>
      </w:tblPr>
      <w:tblGrid>
        <w:gridCol w:w="1696"/>
        <w:gridCol w:w="3402"/>
        <w:gridCol w:w="4253"/>
      </w:tblGrid>
      <w:tr w:rsidR="00C428B4" w:rsidRPr="00C428B4" w14:paraId="0D0BA881" w14:textId="77777777" w:rsidTr="0058255F">
        <w:trPr>
          <w:trHeight w:val="357"/>
        </w:trPr>
        <w:tc>
          <w:tcPr>
            <w:tcW w:w="1696" w:type="dxa"/>
            <w:shd w:val="clear" w:color="auto" w:fill="8496B0"/>
          </w:tcPr>
          <w:p w14:paraId="500C0301" w14:textId="77777777" w:rsidR="00C428B4" w:rsidRPr="00C428B4" w:rsidRDefault="00C428B4" w:rsidP="00C428B4">
            <w:pPr>
              <w:spacing w:before="0" w:after="0"/>
              <w:rPr>
                <w:rFonts w:eastAsia="Calibri" w:cs="Calibri Light"/>
                <w:b/>
                <w:bCs/>
                <w:color w:val="FFFFFF"/>
                <w:sz w:val="20"/>
                <w:lang w:eastAsia="en-US"/>
              </w:rPr>
            </w:pPr>
            <w:r w:rsidRPr="00C428B4">
              <w:rPr>
                <w:rFonts w:eastAsia="Calibri" w:cs="Calibri Light"/>
                <w:b/>
                <w:bCs/>
                <w:color w:val="FFFFFF"/>
                <w:sz w:val="20"/>
                <w:lang w:eastAsia="en-US"/>
              </w:rPr>
              <w:t>Option</w:t>
            </w:r>
          </w:p>
        </w:tc>
        <w:tc>
          <w:tcPr>
            <w:tcW w:w="3402" w:type="dxa"/>
            <w:shd w:val="clear" w:color="auto" w:fill="8496B0"/>
          </w:tcPr>
          <w:p w14:paraId="77DC2AC1" w14:textId="77777777" w:rsidR="00C428B4" w:rsidRPr="00C428B4" w:rsidRDefault="00C428B4" w:rsidP="00C428B4">
            <w:pPr>
              <w:spacing w:before="0" w:after="0"/>
              <w:rPr>
                <w:rFonts w:eastAsia="Calibri" w:cs="Calibri Light"/>
                <w:b/>
                <w:bCs/>
                <w:color w:val="FFFFFF"/>
                <w:sz w:val="20"/>
                <w:lang w:eastAsia="en-US"/>
              </w:rPr>
            </w:pPr>
            <w:r w:rsidRPr="00C428B4">
              <w:rPr>
                <w:rFonts w:eastAsia="Calibri" w:cs="Calibri Light"/>
                <w:b/>
                <w:bCs/>
                <w:color w:val="FFFFFF"/>
                <w:sz w:val="20"/>
                <w:lang w:eastAsia="en-US"/>
              </w:rPr>
              <w:t>Objective</w:t>
            </w:r>
          </w:p>
        </w:tc>
        <w:tc>
          <w:tcPr>
            <w:tcW w:w="4253" w:type="dxa"/>
            <w:shd w:val="clear" w:color="auto" w:fill="8496B0"/>
          </w:tcPr>
          <w:p w14:paraId="546135CF" w14:textId="77777777" w:rsidR="00C428B4" w:rsidRPr="00C428B4" w:rsidRDefault="00C428B4" w:rsidP="00C428B4">
            <w:pPr>
              <w:spacing w:before="0" w:after="0"/>
              <w:rPr>
                <w:rFonts w:eastAsia="Calibri" w:cs="Calibri Light"/>
                <w:b/>
                <w:bCs/>
                <w:color w:val="FFFFFF"/>
                <w:sz w:val="20"/>
                <w:lang w:eastAsia="en-US"/>
              </w:rPr>
            </w:pPr>
            <w:r w:rsidRPr="00C428B4">
              <w:rPr>
                <w:rFonts w:eastAsia="Calibri" w:cs="Calibri Light"/>
                <w:b/>
                <w:bCs/>
                <w:color w:val="FFFFFF"/>
                <w:sz w:val="20"/>
                <w:lang w:eastAsia="en-US"/>
              </w:rPr>
              <w:t>Measure of Performance</w:t>
            </w:r>
          </w:p>
        </w:tc>
      </w:tr>
      <w:tr w:rsidR="002C2208" w:rsidRPr="00C428B4" w14:paraId="7E5ECBE9" w14:textId="77777777" w:rsidTr="0058255F">
        <w:trPr>
          <w:trHeight w:val="349"/>
        </w:trPr>
        <w:tc>
          <w:tcPr>
            <w:tcW w:w="9351" w:type="dxa"/>
            <w:gridSpan w:val="3"/>
            <w:shd w:val="clear" w:color="auto" w:fill="CDD5E1" w:themeFill="accent1" w:themeFillTint="33"/>
          </w:tcPr>
          <w:p w14:paraId="2FC6F2D6" w14:textId="0070F856" w:rsidR="002C2208" w:rsidRPr="00C428B4" w:rsidRDefault="00823875" w:rsidP="0058255F">
            <w:pPr>
              <w:spacing w:before="0" w:after="0"/>
              <w:jc w:val="center"/>
              <w:rPr>
                <w:rFonts w:eastAsia="Calibri" w:cs="Calibri Light"/>
                <w:b/>
                <w:bCs/>
                <w:sz w:val="20"/>
                <w:lang w:eastAsia="en-US"/>
              </w:rPr>
            </w:pPr>
            <w:r>
              <w:rPr>
                <w:rFonts w:eastAsia="Calibri" w:cs="Calibri Light"/>
                <w:b/>
                <w:bCs/>
                <w:sz w:val="20"/>
                <w:lang w:eastAsia="en-US"/>
              </w:rPr>
              <w:t xml:space="preserve">Option 1 - </w:t>
            </w:r>
            <w:r w:rsidR="002C2208">
              <w:rPr>
                <w:rFonts w:eastAsia="Calibri" w:cs="Calibri Light"/>
                <w:b/>
                <w:bCs/>
                <w:sz w:val="20"/>
                <w:lang w:eastAsia="en-US"/>
              </w:rPr>
              <w:t xml:space="preserve">Status </w:t>
            </w:r>
            <w:r w:rsidR="00E14C3F">
              <w:rPr>
                <w:rFonts w:eastAsia="Calibri" w:cs="Calibri Light"/>
                <w:b/>
                <w:bCs/>
                <w:sz w:val="20"/>
                <w:lang w:eastAsia="en-US"/>
              </w:rPr>
              <w:t>q</w:t>
            </w:r>
            <w:r w:rsidR="002C2208">
              <w:rPr>
                <w:rFonts w:eastAsia="Calibri" w:cs="Calibri Light"/>
                <w:b/>
                <w:bCs/>
                <w:sz w:val="20"/>
                <w:lang w:eastAsia="en-US"/>
              </w:rPr>
              <w:t>uo</w:t>
            </w:r>
          </w:p>
        </w:tc>
      </w:tr>
      <w:tr w:rsidR="00C428B4" w:rsidRPr="00C428B4" w14:paraId="293E089A" w14:textId="77777777" w:rsidTr="0058255F">
        <w:trPr>
          <w:trHeight w:val="1860"/>
        </w:trPr>
        <w:tc>
          <w:tcPr>
            <w:tcW w:w="1696" w:type="dxa"/>
          </w:tcPr>
          <w:p w14:paraId="0C46F469" w14:textId="77777777" w:rsidR="00C428B4" w:rsidRPr="00C428B4" w:rsidRDefault="00C428B4" w:rsidP="00C428B4">
            <w:pPr>
              <w:numPr>
                <w:ilvl w:val="0"/>
                <w:numId w:val="63"/>
              </w:numPr>
              <w:tabs>
                <w:tab w:val="left" w:pos="306"/>
              </w:tabs>
              <w:spacing w:before="0" w:after="0"/>
              <w:ind w:left="164" w:hanging="164"/>
              <w:contextualSpacing/>
              <w:rPr>
                <w:rFonts w:eastAsia="Calibri" w:cs="Calibri Light"/>
                <w:b/>
                <w:bCs/>
                <w:sz w:val="20"/>
                <w:lang w:eastAsia="en-US"/>
              </w:rPr>
            </w:pPr>
            <w:r w:rsidRPr="00C428B4">
              <w:rPr>
                <w:rFonts w:eastAsia="Calibri" w:cs="Calibri Light"/>
                <w:b/>
                <w:bCs/>
                <w:sz w:val="20"/>
                <w:lang w:eastAsia="en-US"/>
              </w:rPr>
              <w:t>Current Test</w:t>
            </w:r>
          </w:p>
          <w:p w14:paraId="191B295A" w14:textId="77777777" w:rsidR="00C428B4" w:rsidRPr="00C428B4" w:rsidRDefault="00C428B4" w:rsidP="00C428B4">
            <w:pPr>
              <w:tabs>
                <w:tab w:val="left" w:pos="306"/>
              </w:tabs>
              <w:spacing w:before="0" w:after="0"/>
              <w:rPr>
                <w:rFonts w:eastAsia="Calibri" w:cs="Calibri Light"/>
                <w:sz w:val="20"/>
                <w:lang w:eastAsia="en-US"/>
              </w:rPr>
            </w:pPr>
          </w:p>
        </w:tc>
        <w:tc>
          <w:tcPr>
            <w:tcW w:w="3402" w:type="dxa"/>
          </w:tcPr>
          <w:p w14:paraId="420E26EE" w14:textId="77777777" w:rsidR="00C428B4" w:rsidRPr="00C428B4" w:rsidRDefault="00C428B4" w:rsidP="00C428B4">
            <w:pPr>
              <w:spacing w:before="0" w:after="0"/>
              <w:rPr>
                <w:rFonts w:eastAsia="Calibri" w:cs="Calibri Light"/>
                <w:sz w:val="20"/>
                <w:lang w:eastAsia="en-US"/>
              </w:rPr>
            </w:pPr>
            <w:r w:rsidRPr="00C428B4">
              <w:rPr>
                <w:rFonts w:eastAsia="Calibri" w:cs="Calibri Light"/>
                <w:sz w:val="20"/>
                <w:lang w:eastAsia="en-US"/>
              </w:rPr>
              <w:t xml:space="preserve">Assesses how well a trustee has </w:t>
            </w:r>
            <w:r w:rsidRPr="0058255F">
              <w:rPr>
                <w:rFonts w:eastAsia="Calibri" w:cs="Calibri Light"/>
                <w:b/>
                <w:bCs/>
                <w:sz w:val="20"/>
                <w:lang w:eastAsia="en-US"/>
              </w:rPr>
              <w:t>implemented their investment strategy</w:t>
            </w:r>
            <w:r w:rsidRPr="00C428B4">
              <w:rPr>
                <w:rFonts w:eastAsia="Calibri" w:cs="Calibri Light"/>
                <w:sz w:val="20"/>
                <w:lang w:eastAsia="en-US"/>
              </w:rPr>
              <w:t xml:space="preserve">, based on SAA. </w:t>
            </w:r>
          </w:p>
          <w:p w14:paraId="33F84C02" w14:textId="77777777" w:rsidR="00C428B4" w:rsidRPr="00C428B4" w:rsidRDefault="00C428B4" w:rsidP="00C428B4">
            <w:pPr>
              <w:spacing w:before="0" w:after="0"/>
              <w:rPr>
                <w:rFonts w:eastAsia="Calibri" w:cs="Calibri Light"/>
                <w:sz w:val="20"/>
                <w:lang w:eastAsia="en-US"/>
              </w:rPr>
            </w:pPr>
          </w:p>
          <w:p w14:paraId="5788B082" w14:textId="07B65831" w:rsidR="00C428B4" w:rsidRPr="00C428B4" w:rsidRDefault="00C428B4" w:rsidP="00C428B4">
            <w:pPr>
              <w:spacing w:before="0" w:after="0"/>
              <w:rPr>
                <w:rFonts w:eastAsia="Calibri" w:cs="Calibri Light"/>
                <w:sz w:val="20"/>
                <w:lang w:eastAsia="en-US"/>
              </w:rPr>
            </w:pPr>
          </w:p>
        </w:tc>
        <w:tc>
          <w:tcPr>
            <w:tcW w:w="4253" w:type="dxa"/>
          </w:tcPr>
          <w:p w14:paraId="31E84584" w14:textId="77777777"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Product Performance</w:t>
            </w:r>
          </w:p>
          <w:p w14:paraId="36BFAE13" w14:textId="77777777" w:rsidR="00C428B4" w:rsidRPr="00C428B4" w:rsidRDefault="00C428B4" w:rsidP="00C428B4">
            <w:pPr>
              <w:spacing w:before="0" w:after="0"/>
              <w:rPr>
                <w:rFonts w:eastAsia="Calibri" w:cs="Calibri Light"/>
                <w:sz w:val="20"/>
                <w:lang w:eastAsia="en-US"/>
              </w:rPr>
            </w:pPr>
            <w:r w:rsidRPr="00C428B4">
              <w:rPr>
                <w:rFonts w:eastAsia="Calibri" w:cs="Calibri Light"/>
                <w:sz w:val="20"/>
                <w:lang w:eastAsia="en-US"/>
              </w:rPr>
              <w:t xml:space="preserve">Long-term annual average investment performance </w:t>
            </w:r>
            <w:r w:rsidRPr="00C428B4">
              <w:rPr>
                <w:rFonts w:eastAsia="Calibri" w:cs="Calibri Light"/>
                <w:i/>
                <w:iCs/>
                <w:sz w:val="20"/>
                <w:lang w:eastAsia="en-US"/>
              </w:rPr>
              <w:t>less</w:t>
            </w:r>
            <w:r w:rsidRPr="00C428B4">
              <w:rPr>
                <w:rFonts w:eastAsia="Calibri" w:cs="Calibri Light"/>
                <w:sz w:val="20"/>
                <w:lang w:eastAsia="en-US"/>
              </w:rPr>
              <w:t xml:space="preserve"> most recent administration fees.</w:t>
            </w:r>
          </w:p>
          <w:p w14:paraId="7285CF90" w14:textId="77777777"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Benchmark</w:t>
            </w:r>
          </w:p>
          <w:p w14:paraId="1278BE27" w14:textId="77777777" w:rsidR="00C428B4" w:rsidRPr="00C428B4" w:rsidRDefault="00C428B4" w:rsidP="00C428B4">
            <w:pPr>
              <w:spacing w:before="0" w:after="0"/>
              <w:rPr>
                <w:rFonts w:eastAsia="Calibri" w:cs="Calibri Light"/>
                <w:sz w:val="20"/>
                <w:lang w:eastAsia="en-US"/>
              </w:rPr>
            </w:pPr>
            <w:r w:rsidRPr="00C428B4">
              <w:rPr>
                <w:rFonts w:eastAsia="Calibri" w:cs="Calibri Light"/>
                <w:sz w:val="20"/>
                <w:lang w:eastAsia="en-US"/>
              </w:rPr>
              <w:t xml:space="preserve">Benchmark portfolio of indices based on the product’s individual SAA </w:t>
            </w:r>
            <w:r w:rsidRPr="00C428B4">
              <w:rPr>
                <w:rFonts w:eastAsia="Calibri" w:cs="Calibri Light"/>
                <w:i/>
                <w:iCs/>
                <w:sz w:val="20"/>
                <w:lang w:eastAsia="en-US"/>
              </w:rPr>
              <w:t>less</w:t>
            </w:r>
            <w:r w:rsidRPr="00C428B4">
              <w:rPr>
                <w:rFonts w:eastAsia="Calibri" w:cs="Calibri Light"/>
                <w:sz w:val="20"/>
                <w:lang w:eastAsia="en-US"/>
              </w:rPr>
              <w:t xml:space="preserve"> median administration fees of relevant peers.</w:t>
            </w:r>
          </w:p>
        </w:tc>
      </w:tr>
      <w:tr w:rsidR="0075224B" w:rsidRPr="00C428B4" w14:paraId="359E1800" w14:textId="77777777" w:rsidTr="0058255F">
        <w:trPr>
          <w:trHeight w:val="363"/>
        </w:trPr>
        <w:tc>
          <w:tcPr>
            <w:tcW w:w="9351" w:type="dxa"/>
            <w:gridSpan w:val="3"/>
            <w:shd w:val="clear" w:color="auto" w:fill="CDD5E1" w:themeFill="accent1" w:themeFillTint="33"/>
          </w:tcPr>
          <w:p w14:paraId="39CE2CEB" w14:textId="07D3CB18" w:rsidR="0075224B" w:rsidRPr="00C428B4" w:rsidRDefault="00823875" w:rsidP="0058255F">
            <w:pPr>
              <w:spacing w:before="0" w:after="0"/>
              <w:jc w:val="center"/>
              <w:rPr>
                <w:rFonts w:eastAsia="Calibri" w:cs="Calibri Light"/>
                <w:b/>
                <w:bCs/>
                <w:sz w:val="20"/>
                <w:lang w:eastAsia="en-US"/>
              </w:rPr>
            </w:pPr>
            <w:r>
              <w:rPr>
                <w:rFonts w:eastAsia="Calibri" w:cs="Calibri Light"/>
                <w:b/>
                <w:bCs/>
                <w:sz w:val="20"/>
                <w:lang w:eastAsia="en-US"/>
              </w:rPr>
              <w:t xml:space="preserve">Option 2 - </w:t>
            </w:r>
            <w:r w:rsidR="0075224B">
              <w:rPr>
                <w:rFonts w:eastAsia="Calibri" w:cs="Calibri Light"/>
                <w:b/>
                <w:bCs/>
                <w:sz w:val="20"/>
                <w:lang w:eastAsia="en-US"/>
              </w:rPr>
              <w:t>Alternative single metric</w:t>
            </w:r>
          </w:p>
        </w:tc>
      </w:tr>
      <w:tr w:rsidR="00C428B4" w:rsidRPr="00C428B4" w14:paraId="4EEA7E02" w14:textId="77777777" w:rsidTr="0058255F">
        <w:trPr>
          <w:trHeight w:val="2031"/>
        </w:trPr>
        <w:tc>
          <w:tcPr>
            <w:tcW w:w="1696" w:type="dxa"/>
          </w:tcPr>
          <w:p w14:paraId="1915B2ED" w14:textId="3CBF6C04"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 xml:space="preserve">2a. Sharpe </w:t>
            </w:r>
            <w:r w:rsidR="00AA2497">
              <w:rPr>
                <w:rFonts w:eastAsia="Calibri" w:cs="Calibri Light"/>
                <w:b/>
                <w:bCs/>
                <w:sz w:val="20"/>
                <w:lang w:eastAsia="en-US"/>
              </w:rPr>
              <w:t>r</w:t>
            </w:r>
            <w:r w:rsidRPr="00C428B4">
              <w:rPr>
                <w:rFonts w:eastAsia="Calibri" w:cs="Calibri Light"/>
                <w:b/>
                <w:bCs/>
                <w:sz w:val="20"/>
                <w:lang w:eastAsia="en-US"/>
              </w:rPr>
              <w:t>atio</w:t>
            </w:r>
          </w:p>
          <w:p w14:paraId="707DEB9C" w14:textId="77777777" w:rsidR="00C428B4" w:rsidRPr="00C428B4" w:rsidRDefault="00C428B4" w:rsidP="00C428B4">
            <w:pPr>
              <w:spacing w:before="0" w:after="0"/>
              <w:rPr>
                <w:rFonts w:eastAsia="Calibri" w:cs="Calibri Light"/>
                <w:b/>
                <w:bCs/>
                <w:sz w:val="20"/>
                <w:lang w:eastAsia="en-US"/>
              </w:rPr>
            </w:pPr>
          </w:p>
        </w:tc>
        <w:tc>
          <w:tcPr>
            <w:tcW w:w="3402" w:type="dxa"/>
          </w:tcPr>
          <w:p w14:paraId="29C4C4BF" w14:textId="2091BFDC" w:rsidR="00C428B4" w:rsidRPr="00C428B4" w:rsidRDefault="00C428B4" w:rsidP="00C428B4">
            <w:pPr>
              <w:spacing w:before="0" w:after="0"/>
              <w:rPr>
                <w:rFonts w:eastAsia="Calibri" w:cs="Calibri Light"/>
                <w:sz w:val="20"/>
                <w:lang w:eastAsia="en-US"/>
              </w:rPr>
            </w:pPr>
            <w:r w:rsidRPr="00C428B4">
              <w:rPr>
                <w:rFonts w:eastAsia="Calibri" w:cs="Calibri Light"/>
                <w:sz w:val="20"/>
                <w:lang w:eastAsia="en-US"/>
              </w:rPr>
              <w:t>Assesses how effective</w:t>
            </w:r>
            <w:r w:rsidR="00B0120B">
              <w:rPr>
                <w:rFonts w:eastAsia="Calibri" w:cs="Calibri Light"/>
                <w:sz w:val="20"/>
                <w:lang w:eastAsia="en-US"/>
              </w:rPr>
              <w:t>ly</w:t>
            </w:r>
            <w:r w:rsidRPr="00C428B4">
              <w:rPr>
                <w:rFonts w:eastAsia="Calibri" w:cs="Calibri Light"/>
                <w:sz w:val="20"/>
                <w:lang w:eastAsia="en-US"/>
              </w:rPr>
              <w:t xml:space="preserve"> the trustee delivers </w:t>
            </w:r>
            <w:r w:rsidRPr="0058255F">
              <w:rPr>
                <w:rFonts w:eastAsia="Calibri" w:cs="Calibri Light"/>
                <w:b/>
                <w:bCs/>
                <w:sz w:val="20"/>
                <w:lang w:eastAsia="en-US"/>
              </w:rPr>
              <w:t>risk-adjusted investment returns above that of the risk-free rate</w:t>
            </w:r>
            <w:r w:rsidRPr="00C428B4">
              <w:rPr>
                <w:rFonts w:eastAsia="Calibri" w:cs="Calibri Light"/>
                <w:sz w:val="20"/>
                <w:lang w:eastAsia="en-US"/>
              </w:rPr>
              <w:t>.</w:t>
            </w:r>
          </w:p>
          <w:p w14:paraId="7CBC9DA3" w14:textId="77777777" w:rsidR="00C428B4" w:rsidRPr="00C428B4" w:rsidRDefault="00C428B4" w:rsidP="00C428B4">
            <w:pPr>
              <w:spacing w:before="0" w:after="0"/>
              <w:rPr>
                <w:rFonts w:eastAsia="Calibri" w:cs="Calibri Light"/>
                <w:sz w:val="20"/>
                <w:lang w:eastAsia="en-US"/>
              </w:rPr>
            </w:pPr>
          </w:p>
          <w:p w14:paraId="6AF876A4" w14:textId="422E44FE" w:rsidR="00C428B4" w:rsidRPr="00C428B4" w:rsidRDefault="00C428B4" w:rsidP="00C428B4">
            <w:pPr>
              <w:spacing w:before="0" w:after="0"/>
              <w:rPr>
                <w:rFonts w:eastAsia="Calibri" w:cs="Calibri Light"/>
                <w:sz w:val="20"/>
                <w:lang w:eastAsia="en-US"/>
              </w:rPr>
            </w:pPr>
          </w:p>
        </w:tc>
        <w:tc>
          <w:tcPr>
            <w:tcW w:w="4253" w:type="dxa"/>
          </w:tcPr>
          <w:p w14:paraId="58EC584E" w14:textId="77777777"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Product Performance</w:t>
            </w:r>
          </w:p>
          <w:p w14:paraId="7E04835F" w14:textId="77777777" w:rsidR="00C428B4" w:rsidRPr="00C428B4" w:rsidRDefault="00C428B4" w:rsidP="00C428B4">
            <w:pPr>
              <w:spacing w:before="0" w:after="0"/>
              <w:rPr>
                <w:rFonts w:eastAsia="Calibri" w:cs="Calibri Light"/>
                <w:sz w:val="20"/>
                <w:lang w:eastAsia="en-US"/>
              </w:rPr>
            </w:pPr>
            <w:r w:rsidRPr="00C428B4">
              <w:rPr>
                <w:rFonts w:eastAsia="Calibri" w:cs="Calibri Light"/>
                <w:sz w:val="20"/>
                <w:lang w:eastAsia="en-US"/>
              </w:rPr>
              <w:t>Long-term average investment performance less the risk-free rate. Result is then divided by volatility of investment.</w:t>
            </w:r>
          </w:p>
          <w:p w14:paraId="0E30C7F4" w14:textId="77777777"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Benchmark</w:t>
            </w:r>
          </w:p>
          <w:p w14:paraId="6DD8B176" w14:textId="169F9B5D" w:rsidR="00C428B4" w:rsidRPr="00C428B4" w:rsidRDefault="00C428B4" w:rsidP="00C428B4">
            <w:pPr>
              <w:spacing w:before="0" w:after="0"/>
              <w:rPr>
                <w:rFonts w:eastAsia="Calibri" w:cs="Calibri Light"/>
                <w:sz w:val="20"/>
                <w:lang w:eastAsia="en-US"/>
              </w:rPr>
            </w:pPr>
            <w:r w:rsidRPr="00C428B4">
              <w:rPr>
                <w:rFonts w:eastAsia="Calibri" w:cs="Calibri Light"/>
                <w:sz w:val="20"/>
                <w:lang w:eastAsia="en-US"/>
              </w:rPr>
              <w:t>Multiple options, including a</w:t>
            </w:r>
            <w:r w:rsidR="00D03EA6">
              <w:rPr>
                <w:rFonts w:eastAsia="Calibri" w:cs="Calibri Light"/>
                <w:sz w:val="20"/>
                <w:lang w:eastAsia="en-US"/>
              </w:rPr>
              <w:t xml:space="preserve"> prescribed </w:t>
            </w:r>
            <w:r w:rsidRPr="00C428B4">
              <w:rPr>
                <w:rFonts w:eastAsia="Calibri" w:cs="Calibri Light"/>
                <w:sz w:val="20"/>
                <w:lang w:eastAsia="en-US"/>
              </w:rPr>
              <w:t>number</w:t>
            </w:r>
            <w:r w:rsidR="00D03EA6">
              <w:rPr>
                <w:rFonts w:eastAsia="Calibri" w:cs="Calibri Light"/>
                <w:sz w:val="20"/>
                <w:lang w:eastAsia="en-US"/>
              </w:rPr>
              <w:t xml:space="preserve"> (such as 1)</w:t>
            </w:r>
            <w:r w:rsidRPr="00C428B4">
              <w:rPr>
                <w:rFonts w:eastAsia="Calibri" w:cs="Calibri Light"/>
                <w:sz w:val="20"/>
                <w:lang w:eastAsia="en-US"/>
              </w:rPr>
              <w:t xml:space="preserve">, peer comparison, or Sharpe </w:t>
            </w:r>
            <w:r w:rsidR="004B00F0">
              <w:rPr>
                <w:rFonts w:eastAsia="Calibri" w:cs="Calibri Light"/>
                <w:sz w:val="20"/>
                <w:lang w:eastAsia="en-US"/>
              </w:rPr>
              <w:t>r</w:t>
            </w:r>
            <w:r w:rsidRPr="00C428B4">
              <w:rPr>
                <w:rFonts w:eastAsia="Calibri" w:cs="Calibri Light"/>
                <w:sz w:val="20"/>
                <w:lang w:eastAsia="en-US"/>
              </w:rPr>
              <w:t>atio of a benchmark portfolio.</w:t>
            </w:r>
          </w:p>
        </w:tc>
      </w:tr>
      <w:tr w:rsidR="00C428B4" w:rsidRPr="00C428B4" w14:paraId="6552670F" w14:textId="77777777" w:rsidTr="0058255F">
        <w:trPr>
          <w:trHeight w:val="1665"/>
        </w:trPr>
        <w:tc>
          <w:tcPr>
            <w:tcW w:w="1696" w:type="dxa"/>
          </w:tcPr>
          <w:p w14:paraId="4BB45F30" w14:textId="77777777"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2b. Peer comparison of risk</w:t>
            </w:r>
            <w:r w:rsidRPr="00C428B4">
              <w:rPr>
                <w:rFonts w:eastAsia="Calibri" w:cs="Calibri Light"/>
                <w:b/>
                <w:bCs/>
                <w:sz w:val="20"/>
                <w:lang w:eastAsia="en-US"/>
              </w:rPr>
              <w:noBreakHyphen/>
              <w:t>adjusted returns</w:t>
            </w:r>
          </w:p>
        </w:tc>
        <w:tc>
          <w:tcPr>
            <w:tcW w:w="3402" w:type="dxa"/>
          </w:tcPr>
          <w:p w14:paraId="61B48BCD" w14:textId="77777777" w:rsidR="00C428B4" w:rsidRPr="00C428B4" w:rsidRDefault="00C428B4" w:rsidP="00C428B4">
            <w:pPr>
              <w:spacing w:before="0" w:after="0"/>
              <w:rPr>
                <w:rFonts w:eastAsia="Calibri" w:cs="Calibri Light"/>
                <w:sz w:val="20"/>
                <w:lang w:eastAsia="en-US"/>
              </w:rPr>
            </w:pPr>
            <w:r w:rsidRPr="00C428B4">
              <w:rPr>
                <w:rFonts w:eastAsia="Calibri" w:cs="Calibri Light"/>
                <w:sz w:val="20"/>
                <w:lang w:eastAsia="en-US"/>
              </w:rPr>
              <w:t xml:space="preserve">Assesses whether a product is </w:t>
            </w:r>
            <w:r w:rsidRPr="0058255F">
              <w:rPr>
                <w:rFonts w:eastAsia="Calibri" w:cs="Calibri Light"/>
                <w:b/>
                <w:bCs/>
                <w:sz w:val="20"/>
                <w:lang w:eastAsia="en-US"/>
              </w:rPr>
              <w:t>providing competitive risk-adjusted returns compared to peers</w:t>
            </w:r>
            <w:r w:rsidRPr="00C428B4">
              <w:rPr>
                <w:rFonts w:eastAsia="Calibri" w:cs="Calibri Light"/>
                <w:sz w:val="20"/>
                <w:lang w:eastAsia="en-US"/>
              </w:rPr>
              <w:t>.</w:t>
            </w:r>
          </w:p>
        </w:tc>
        <w:tc>
          <w:tcPr>
            <w:tcW w:w="4253" w:type="dxa"/>
          </w:tcPr>
          <w:p w14:paraId="66642FBB" w14:textId="77777777"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Product Performance</w:t>
            </w:r>
          </w:p>
          <w:p w14:paraId="2C88073B" w14:textId="77777777" w:rsidR="00C428B4" w:rsidRPr="00C428B4" w:rsidRDefault="00C428B4" w:rsidP="00C428B4">
            <w:pPr>
              <w:spacing w:before="0" w:after="0"/>
              <w:rPr>
                <w:rFonts w:eastAsia="Calibri" w:cs="Calibri Light"/>
                <w:sz w:val="20"/>
                <w:lang w:eastAsia="en-US"/>
              </w:rPr>
            </w:pPr>
            <w:r w:rsidRPr="00C428B4">
              <w:rPr>
                <w:rFonts w:eastAsia="Calibri" w:cs="Calibri Light"/>
                <w:sz w:val="20"/>
                <w:lang w:eastAsia="en-US"/>
              </w:rPr>
              <w:t>Long-term average investment performance (net of administration fees) against its exposure to growth assets (as a proxy for risk).</w:t>
            </w:r>
          </w:p>
          <w:p w14:paraId="798A244B" w14:textId="77777777"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Benchmark</w:t>
            </w:r>
          </w:p>
          <w:p w14:paraId="439F447C" w14:textId="6071707C" w:rsidR="00C428B4" w:rsidRPr="00C428B4" w:rsidRDefault="00C428B4" w:rsidP="00C428B4">
            <w:pPr>
              <w:spacing w:before="0" w:after="0"/>
              <w:rPr>
                <w:rFonts w:eastAsia="Calibri" w:cs="Calibri Light"/>
                <w:sz w:val="20"/>
                <w:lang w:eastAsia="en-US"/>
              </w:rPr>
            </w:pPr>
            <w:r w:rsidRPr="00C428B4">
              <w:rPr>
                <w:rFonts w:eastAsia="Calibri" w:cs="Calibri Light"/>
                <w:sz w:val="20"/>
                <w:lang w:eastAsia="en-US"/>
              </w:rPr>
              <w:t xml:space="preserve">A </w:t>
            </w:r>
            <w:r w:rsidR="008D06BD">
              <w:rPr>
                <w:rFonts w:eastAsia="Calibri" w:cs="Calibri Light"/>
                <w:sz w:val="20"/>
                <w:lang w:eastAsia="en-US"/>
              </w:rPr>
              <w:t xml:space="preserve">linear </w:t>
            </w:r>
            <w:r w:rsidRPr="00C428B4">
              <w:rPr>
                <w:rFonts w:eastAsia="Calibri" w:cs="Calibri Light"/>
                <w:sz w:val="20"/>
                <w:lang w:eastAsia="en-US"/>
              </w:rPr>
              <w:t>trendline based on results for the relevant product cohort (</w:t>
            </w:r>
            <w:r w:rsidR="00E1714D" w:rsidRPr="00C428B4">
              <w:rPr>
                <w:rFonts w:eastAsia="Calibri" w:cs="Calibri Light"/>
                <w:sz w:val="20"/>
                <w:lang w:eastAsia="en-US"/>
              </w:rPr>
              <w:t>e.g.,</w:t>
            </w:r>
            <w:r w:rsidRPr="00C428B4">
              <w:rPr>
                <w:rFonts w:eastAsia="Calibri" w:cs="Calibri Light"/>
                <w:sz w:val="20"/>
                <w:lang w:eastAsia="en-US"/>
              </w:rPr>
              <w:t xml:space="preserve"> MySuper).</w:t>
            </w:r>
          </w:p>
        </w:tc>
      </w:tr>
      <w:tr w:rsidR="00C428B4" w:rsidRPr="00C428B4" w14:paraId="7BF08781" w14:textId="77777777" w:rsidTr="0058255F">
        <w:trPr>
          <w:trHeight w:val="2114"/>
        </w:trPr>
        <w:tc>
          <w:tcPr>
            <w:tcW w:w="1696" w:type="dxa"/>
          </w:tcPr>
          <w:p w14:paraId="0B4A97D4" w14:textId="441B794E"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2c. Risk-adjusted returns relative to S</w:t>
            </w:r>
            <w:r w:rsidR="006F51B8">
              <w:rPr>
                <w:rFonts w:eastAsia="Calibri" w:cs="Calibri Light"/>
                <w:b/>
                <w:bCs/>
                <w:sz w:val="20"/>
                <w:lang w:eastAsia="en-US"/>
              </w:rPr>
              <w:t xml:space="preserve">imple </w:t>
            </w:r>
            <w:r w:rsidRPr="00C428B4">
              <w:rPr>
                <w:rFonts w:eastAsia="Calibri" w:cs="Calibri Light"/>
                <w:b/>
                <w:bCs/>
                <w:sz w:val="20"/>
                <w:lang w:eastAsia="en-US"/>
              </w:rPr>
              <w:t>R</w:t>
            </w:r>
            <w:r w:rsidR="006F51B8">
              <w:rPr>
                <w:rFonts w:eastAsia="Calibri" w:cs="Calibri Light"/>
                <w:b/>
                <w:bCs/>
                <w:sz w:val="20"/>
                <w:lang w:eastAsia="en-US"/>
              </w:rPr>
              <w:t xml:space="preserve">eference </w:t>
            </w:r>
            <w:r w:rsidRPr="00C428B4">
              <w:rPr>
                <w:rFonts w:eastAsia="Calibri" w:cs="Calibri Light"/>
                <w:b/>
                <w:bCs/>
                <w:sz w:val="20"/>
                <w:lang w:eastAsia="en-US"/>
              </w:rPr>
              <w:t>P</w:t>
            </w:r>
            <w:r w:rsidR="006F51B8">
              <w:rPr>
                <w:rFonts w:eastAsia="Calibri" w:cs="Calibri Light"/>
                <w:b/>
                <w:bCs/>
                <w:sz w:val="20"/>
                <w:lang w:eastAsia="en-US"/>
              </w:rPr>
              <w:t>ortfolio (SRP)</w:t>
            </w:r>
            <w:r w:rsidRPr="00C428B4">
              <w:rPr>
                <w:rFonts w:eastAsia="Calibri" w:cs="Calibri Light"/>
                <w:b/>
                <w:bCs/>
                <w:sz w:val="20"/>
                <w:lang w:eastAsia="en-US"/>
              </w:rPr>
              <w:t xml:space="preserve"> frontier</w:t>
            </w:r>
          </w:p>
        </w:tc>
        <w:tc>
          <w:tcPr>
            <w:tcW w:w="3402" w:type="dxa"/>
          </w:tcPr>
          <w:p w14:paraId="47AF4B8C" w14:textId="77777777" w:rsidR="00C428B4" w:rsidRPr="00C428B4" w:rsidRDefault="00C428B4" w:rsidP="00C428B4">
            <w:pPr>
              <w:spacing w:before="0" w:after="0"/>
              <w:rPr>
                <w:rFonts w:eastAsia="Calibri" w:cs="Calibri Light"/>
                <w:sz w:val="20"/>
                <w:lang w:eastAsia="en-US"/>
              </w:rPr>
            </w:pPr>
            <w:r w:rsidRPr="00C428B4">
              <w:rPr>
                <w:rFonts w:eastAsia="Calibri" w:cs="Calibri Light"/>
                <w:sz w:val="20"/>
                <w:lang w:eastAsia="en-US"/>
              </w:rPr>
              <w:t xml:space="preserve">Assesses whether a product provides </w:t>
            </w:r>
            <w:r w:rsidRPr="0058255F">
              <w:rPr>
                <w:rFonts w:eastAsia="Calibri" w:cs="Calibri Light"/>
                <w:b/>
                <w:bCs/>
                <w:sz w:val="20"/>
                <w:lang w:eastAsia="en-US"/>
              </w:rPr>
              <w:t>superior investment returns relative to a simple benchmark portfolio</w:t>
            </w:r>
            <w:r w:rsidRPr="00C428B4">
              <w:rPr>
                <w:rFonts w:eastAsia="Calibri" w:cs="Calibri Light"/>
                <w:sz w:val="20"/>
                <w:lang w:eastAsia="en-US"/>
              </w:rPr>
              <w:t xml:space="preserve"> that bears a similar level of risk.</w:t>
            </w:r>
          </w:p>
        </w:tc>
        <w:tc>
          <w:tcPr>
            <w:tcW w:w="4253" w:type="dxa"/>
          </w:tcPr>
          <w:p w14:paraId="2AF22828" w14:textId="77777777"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Product Performance</w:t>
            </w:r>
          </w:p>
          <w:p w14:paraId="26FB4865" w14:textId="77777777" w:rsidR="00C428B4" w:rsidRPr="00C428B4" w:rsidRDefault="00C428B4" w:rsidP="00C428B4">
            <w:pPr>
              <w:spacing w:before="0" w:after="0"/>
              <w:rPr>
                <w:rFonts w:eastAsia="Calibri" w:cs="Calibri Light"/>
                <w:sz w:val="20"/>
                <w:lang w:eastAsia="en-US"/>
              </w:rPr>
            </w:pPr>
            <w:r w:rsidRPr="00C428B4">
              <w:rPr>
                <w:rFonts w:eastAsia="Calibri" w:cs="Calibri Light"/>
                <w:sz w:val="20"/>
                <w:lang w:eastAsia="en-US"/>
              </w:rPr>
              <w:t>Long-term average investment performance (net of administration fees) relative to volatility (standard deviation).</w:t>
            </w:r>
          </w:p>
          <w:p w14:paraId="11151792" w14:textId="77777777"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Benchmark</w:t>
            </w:r>
          </w:p>
          <w:p w14:paraId="7135FD73" w14:textId="77777777" w:rsidR="00C428B4" w:rsidRPr="00C428B4" w:rsidRDefault="00C428B4" w:rsidP="00C428B4">
            <w:pPr>
              <w:spacing w:before="0" w:after="0"/>
              <w:rPr>
                <w:rFonts w:eastAsia="Calibri" w:cs="Calibri Light"/>
                <w:sz w:val="20"/>
                <w:lang w:eastAsia="en-US"/>
              </w:rPr>
            </w:pPr>
            <w:r w:rsidRPr="00C428B4">
              <w:rPr>
                <w:rFonts w:eastAsia="Calibri" w:cs="Calibri Light"/>
                <w:sz w:val="20"/>
                <w:lang w:eastAsia="en-US"/>
              </w:rPr>
              <w:t>A line that reflects the risk-adjusted returns of a simple reference portfolio, of bonds and equities, for all levels of risk.</w:t>
            </w:r>
          </w:p>
        </w:tc>
      </w:tr>
      <w:tr w:rsidR="00F86C2C" w:rsidRPr="00C428B4" w14:paraId="4BAE04BF" w14:textId="77777777" w:rsidTr="0058255F">
        <w:trPr>
          <w:trHeight w:val="343"/>
        </w:trPr>
        <w:tc>
          <w:tcPr>
            <w:tcW w:w="9351" w:type="dxa"/>
            <w:gridSpan w:val="3"/>
            <w:shd w:val="clear" w:color="auto" w:fill="CDD5E1" w:themeFill="accent1" w:themeFillTint="33"/>
          </w:tcPr>
          <w:p w14:paraId="009ABF6A" w14:textId="2A922D8A" w:rsidR="00F86C2C" w:rsidRPr="00C428B4" w:rsidRDefault="00823875" w:rsidP="0058255F">
            <w:pPr>
              <w:spacing w:before="0" w:after="0"/>
              <w:jc w:val="center"/>
              <w:rPr>
                <w:rFonts w:eastAsia="Calibri" w:cs="Calibri Light"/>
                <w:b/>
                <w:bCs/>
                <w:sz w:val="20"/>
                <w:lang w:eastAsia="en-US"/>
              </w:rPr>
            </w:pPr>
            <w:r>
              <w:rPr>
                <w:rFonts w:eastAsia="Calibri" w:cs="Calibri Light"/>
                <w:b/>
                <w:bCs/>
                <w:sz w:val="20"/>
                <w:lang w:eastAsia="en-US"/>
              </w:rPr>
              <w:t xml:space="preserve">Option 3 - </w:t>
            </w:r>
            <w:r w:rsidR="00F86C2C">
              <w:rPr>
                <w:rFonts w:eastAsia="Calibri" w:cs="Calibri Light"/>
                <w:b/>
                <w:bCs/>
                <w:sz w:val="20"/>
                <w:lang w:eastAsia="en-US"/>
              </w:rPr>
              <w:t>Multi-</w:t>
            </w:r>
            <w:r w:rsidR="00000C6D">
              <w:rPr>
                <w:rFonts w:eastAsia="Calibri" w:cs="Calibri Light"/>
                <w:b/>
                <w:bCs/>
                <w:sz w:val="20"/>
                <w:lang w:eastAsia="en-US"/>
              </w:rPr>
              <w:t>metric framework</w:t>
            </w:r>
          </w:p>
        </w:tc>
      </w:tr>
      <w:tr w:rsidR="00C428B4" w:rsidRPr="00C428B4" w14:paraId="338E1370" w14:textId="77777777" w:rsidTr="0058255F">
        <w:trPr>
          <w:trHeight w:val="1993"/>
        </w:trPr>
        <w:tc>
          <w:tcPr>
            <w:tcW w:w="1696" w:type="dxa"/>
          </w:tcPr>
          <w:p w14:paraId="71A6FF2D" w14:textId="77777777"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3a. Heatmap</w:t>
            </w:r>
          </w:p>
        </w:tc>
        <w:tc>
          <w:tcPr>
            <w:tcW w:w="3402" w:type="dxa"/>
          </w:tcPr>
          <w:p w14:paraId="2E984EE5" w14:textId="3778B1E6" w:rsidR="00C428B4" w:rsidRPr="00C428B4" w:rsidRDefault="001416E6" w:rsidP="00C428B4">
            <w:pPr>
              <w:spacing w:before="0" w:after="0"/>
              <w:rPr>
                <w:rFonts w:eastAsia="Calibri" w:cs="Calibri Light"/>
                <w:sz w:val="20"/>
                <w:lang w:eastAsia="en-US"/>
              </w:rPr>
            </w:pPr>
            <w:r>
              <w:rPr>
                <w:rFonts w:eastAsia="Calibri" w:cs="Calibri Light"/>
                <w:sz w:val="20"/>
                <w:lang w:eastAsia="en-US"/>
              </w:rPr>
              <w:t xml:space="preserve">Assesses the performance of a product against multiple metrics, </w:t>
            </w:r>
            <w:proofErr w:type="gramStart"/>
            <w:r>
              <w:rPr>
                <w:rFonts w:eastAsia="Calibri" w:cs="Calibri Light"/>
                <w:sz w:val="20"/>
                <w:lang w:eastAsia="en-US"/>
              </w:rPr>
              <w:t>similar to</w:t>
            </w:r>
            <w:proofErr w:type="gramEnd"/>
            <w:r>
              <w:rPr>
                <w:rFonts w:eastAsia="Calibri" w:cs="Calibri Light"/>
                <w:sz w:val="20"/>
                <w:lang w:eastAsia="en-US"/>
              </w:rPr>
              <w:t xml:space="preserve"> the APRA heatmaps, to provide </w:t>
            </w:r>
            <w:r w:rsidR="00C428B4" w:rsidRPr="00C428B4">
              <w:rPr>
                <w:rFonts w:eastAsia="Calibri" w:cs="Calibri Light"/>
                <w:sz w:val="20"/>
                <w:lang w:eastAsia="en-US"/>
              </w:rPr>
              <w:t xml:space="preserve">a </w:t>
            </w:r>
            <w:r w:rsidR="00C428B4" w:rsidRPr="0058255F">
              <w:rPr>
                <w:rFonts w:eastAsia="Calibri" w:cs="Calibri Light"/>
                <w:b/>
                <w:bCs/>
                <w:sz w:val="20"/>
                <w:lang w:eastAsia="en-US"/>
              </w:rPr>
              <w:t>fulsome performance assessment</w:t>
            </w:r>
            <w:r w:rsidR="00C428B4" w:rsidRPr="00C428B4">
              <w:rPr>
                <w:rFonts w:eastAsia="Calibri" w:cs="Calibri Light"/>
                <w:sz w:val="20"/>
                <w:lang w:eastAsia="en-US"/>
              </w:rPr>
              <w:t>.</w:t>
            </w:r>
          </w:p>
        </w:tc>
        <w:tc>
          <w:tcPr>
            <w:tcW w:w="4253" w:type="dxa"/>
          </w:tcPr>
          <w:p w14:paraId="24177040" w14:textId="77777777"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Product Performance</w:t>
            </w:r>
          </w:p>
          <w:p w14:paraId="3239FE8C" w14:textId="1CF1DBEE" w:rsidR="00C428B4" w:rsidRPr="00C428B4" w:rsidRDefault="00C428B4" w:rsidP="00C428B4">
            <w:pPr>
              <w:spacing w:before="0" w:after="0"/>
              <w:rPr>
                <w:rFonts w:eastAsia="Calibri" w:cs="Calibri Light"/>
                <w:sz w:val="20"/>
                <w:lang w:eastAsia="en-US"/>
              </w:rPr>
            </w:pPr>
            <w:r w:rsidRPr="00C428B4">
              <w:rPr>
                <w:rFonts w:eastAsia="Calibri" w:cs="Calibri Light"/>
                <w:sz w:val="20"/>
                <w:lang w:eastAsia="en-US"/>
              </w:rPr>
              <w:t>Utilises eight metrics contained within the APRA heatmaps (</w:t>
            </w:r>
            <w:r w:rsidR="005F6EA8">
              <w:rPr>
                <w:rFonts w:eastAsia="Calibri" w:cs="Calibri Light"/>
                <w:sz w:val="20"/>
                <w:lang w:eastAsia="en-US"/>
              </w:rPr>
              <w:t>i</w:t>
            </w:r>
            <w:r w:rsidRPr="00C428B4">
              <w:rPr>
                <w:rFonts w:eastAsia="Calibri" w:cs="Calibri Light"/>
                <w:sz w:val="20"/>
                <w:lang w:eastAsia="en-US"/>
              </w:rPr>
              <w:t xml:space="preserve">nvestment </w:t>
            </w:r>
            <w:r w:rsidR="005F6EA8">
              <w:rPr>
                <w:rFonts w:eastAsia="Calibri" w:cs="Calibri Light"/>
                <w:sz w:val="20"/>
                <w:lang w:eastAsia="en-US"/>
              </w:rPr>
              <w:t>p</w:t>
            </w:r>
            <w:r w:rsidRPr="00C428B4">
              <w:rPr>
                <w:rFonts w:eastAsia="Calibri" w:cs="Calibri Light"/>
                <w:sz w:val="20"/>
                <w:lang w:eastAsia="en-US"/>
              </w:rPr>
              <w:t>erformance (3), fees (2), and sustainability</w:t>
            </w:r>
            <w:r w:rsidR="00415D14">
              <w:rPr>
                <w:rFonts w:eastAsia="Calibri" w:cs="Calibri Light"/>
                <w:sz w:val="20"/>
                <w:lang w:eastAsia="en-US"/>
              </w:rPr>
              <w:t xml:space="preserve"> of member outcomes</w:t>
            </w:r>
            <w:r w:rsidRPr="00C428B4">
              <w:rPr>
                <w:rFonts w:eastAsia="Calibri" w:cs="Calibri Light"/>
                <w:sz w:val="20"/>
                <w:lang w:eastAsia="en-US"/>
              </w:rPr>
              <w:t xml:space="preserve"> (3)).</w:t>
            </w:r>
          </w:p>
          <w:p w14:paraId="75E71CA5" w14:textId="77777777"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Benchmark</w:t>
            </w:r>
          </w:p>
          <w:p w14:paraId="3E42D356" w14:textId="2ED98C69" w:rsidR="00C428B4" w:rsidRPr="00C428B4" w:rsidRDefault="00C428B4" w:rsidP="00C428B4">
            <w:pPr>
              <w:spacing w:before="0" w:after="0"/>
              <w:rPr>
                <w:rFonts w:eastAsia="Calibri" w:cs="Calibri Light"/>
                <w:sz w:val="20"/>
                <w:lang w:eastAsia="en-US"/>
              </w:rPr>
            </w:pPr>
            <w:r w:rsidRPr="00C428B4">
              <w:rPr>
                <w:rFonts w:eastAsia="Calibri" w:cs="Calibri Light"/>
                <w:sz w:val="20"/>
                <w:lang w:eastAsia="en-US"/>
              </w:rPr>
              <w:t xml:space="preserve">Varies depending on </w:t>
            </w:r>
            <w:r w:rsidR="00E1714D" w:rsidRPr="00C428B4">
              <w:rPr>
                <w:rFonts w:eastAsia="Calibri" w:cs="Calibri Light"/>
                <w:sz w:val="20"/>
                <w:lang w:eastAsia="en-US"/>
              </w:rPr>
              <w:t>metric but</w:t>
            </w:r>
            <w:r w:rsidRPr="00C428B4">
              <w:rPr>
                <w:rFonts w:eastAsia="Calibri" w:cs="Calibri Light"/>
                <w:sz w:val="20"/>
                <w:lang w:eastAsia="en-US"/>
              </w:rPr>
              <w:t xml:space="preserve"> includes benchmark portfolios and peer comparisons.</w:t>
            </w:r>
          </w:p>
        </w:tc>
      </w:tr>
      <w:tr w:rsidR="00C428B4" w:rsidRPr="00C428B4" w14:paraId="3963A401" w14:textId="77777777" w:rsidTr="0058255F">
        <w:trPr>
          <w:trHeight w:val="2107"/>
        </w:trPr>
        <w:tc>
          <w:tcPr>
            <w:tcW w:w="1696" w:type="dxa"/>
          </w:tcPr>
          <w:p w14:paraId="6BD5BE5E" w14:textId="77777777"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3b. Targeted three-metric</w:t>
            </w:r>
          </w:p>
        </w:tc>
        <w:tc>
          <w:tcPr>
            <w:tcW w:w="3402" w:type="dxa"/>
          </w:tcPr>
          <w:p w14:paraId="01F4FF6F" w14:textId="3234A57C" w:rsidR="00C428B4" w:rsidRPr="00C428B4" w:rsidRDefault="00B70778" w:rsidP="00C428B4">
            <w:pPr>
              <w:spacing w:before="0" w:after="0"/>
              <w:rPr>
                <w:rFonts w:eastAsia="Calibri" w:cs="Calibri Light"/>
                <w:sz w:val="20"/>
                <w:lang w:eastAsia="en-US"/>
              </w:rPr>
            </w:pPr>
            <w:r>
              <w:rPr>
                <w:rFonts w:eastAsia="Calibri" w:cs="Calibri Light"/>
                <w:sz w:val="20"/>
                <w:lang w:eastAsia="en-US"/>
              </w:rPr>
              <w:t xml:space="preserve">Assesses the performance of a product </w:t>
            </w:r>
            <w:r w:rsidR="00C558C2">
              <w:rPr>
                <w:rFonts w:eastAsia="Calibri" w:cs="Calibri Light"/>
                <w:sz w:val="20"/>
                <w:lang w:eastAsia="en-US"/>
              </w:rPr>
              <w:t xml:space="preserve">against a smaller set of metrics to </w:t>
            </w:r>
            <w:r w:rsidR="00B27B17">
              <w:rPr>
                <w:rFonts w:eastAsia="Calibri" w:cs="Calibri Light"/>
                <w:sz w:val="20"/>
                <w:lang w:eastAsia="en-US"/>
              </w:rPr>
              <w:t>p</w:t>
            </w:r>
            <w:r w:rsidR="00C428B4" w:rsidRPr="00C428B4">
              <w:rPr>
                <w:rFonts w:eastAsia="Calibri" w:cs="Calibri Light"/>
                <w:sz w:val="20"/>
                <w:lang w:eastAsia="en-US"/>
              </w:rPr>
              <w:t>rovide</w:t>
            </w:r>
            <w:r w:rsidR="00B27B17">
              <w:rPr>
                <w:rFonts w:eastAsia="Calibri" w:cs="Calibri Light"/>
                <w:sz w:val="20"/>
                <w:lang w:eastAsia="en-US"/>
              </w:rPr>
              <w:t xml:space="preserve"> </w:t>
            </w:r>
            <w:r w:rsidR="00C428B4" w:rsidRPr="00C428B4">
              <w:rPr>
                <w:rFonts w:eastAsia="Calibri" w:cs="Calibri Light"/>
                <w:sz w:val="20"/>
                <w:lang w:eastAsia="en-US"/>
              </w:rPr>
              <w:t xml:space="preserve">a more </w:t>
            </w:r>
            <w:r w:rsidR="00203D39">
              <w:rPr>
                <w:rFonts w:eastAsia="Calibri" w:cs="Calibri Light"/>
                <w:b/>
                <w:bCs/>
                <w:sz w:val="20"/>
                <w:lang w:eastAsia="en-US"/>
              </w:rPr>
              <w:t>fulsom</w:t>
            </w:r>
            <w:r w:rsidR="00C428B4" w:rsidRPr="0058255F">
              <w:rPr>
                <w:rFonts w:eastAsia="Calibri" w:cs="Calibri Light"/>
                <w:b/>
                <w:bCs/>
                <w:sz w:val="20"/>
                <w:lang w:eastAsia="en-US"/>
              </w:rPr>
              <w:t>e</w:t>
            </w:r>
            <w:r w:rsidR="00203D39">
              <w:rPr>
                <w:rFonts w:eastAsia="Calibri" w:cs="Calibri Light"/>
                <w:b/>
                <w:bCs/>
                <w:sz w:val="20"/>
                <w:lang w:eastAsia="en-US"/>
              </w:rPr>
              <w:t xml:space="preserve"> </w:t>
            </w:r>
            <w:r w:rsidR="00F37C0A" w:rsidRPr="00353EF4">
              <w:rPr>
                <w:rFonts w:eastAsia="Calibri" w:cs="Calibri Light"/>
                <w:b/>
                <w:bCs/>
                <w:sz w:val="20"/>
                <w:lang w:eastAsia="en-US"/>
              </w:rPr>
              <w:t xml:space="preserve">assessment of performance </w:t>
            </w:r>
            <w:r w:rsidR="00134242">
              <w:rPr>
                <w:rFonts w:eastAsia="Calibri" w:cs="Calibri Light"/>
                <w:sz w:val="20"/>
                <w:lang w:eastAsia="en-US"/>
              </w:rPr>
              <w:t>relative to</w:t>
            </w:r>
            <w:r w:rsidR="00203D39" w:rsidRPr="00BF1842">
              <w:rPr>
                <w:rFonts w:eastAsia="Calibri" w:cs="Calibri Light"/>
                <w:sz w:val="20"/>
                <w:lang w:eastAsia="en-US"/>
              </w:rPr>
              <w:t xml:space="preserve"> the current test</w:t>
            </w:r>
            <w:r w:rsidR="00D06972" w:rsidRPr="00BF1842">
              <w:rPr>
                <w:rFonts w:eastAsia="Calibri" w:cs="Calibri Light"/>
                <w:sz w:val="20"/>
                <w:lang w:eastAsia="en-US"/>
              </w:rPr>
              <w:t xml:space="preserve">, but </w:t>
            </w:r>
            <w:r w:rsidR="00527FA7" w:rsidRPr="00BF1842">
              <w:rPr>
                <w:rFonts w:eastAsia="Calibri" w:cs="Calibri Light"/>
                <w:sz w:val="20"/>
                <w:lang w:eastAsia="en-US"/>
              </w:rPr>
              <w:t>is</w:t>
            </w:r>
            <w:r w:rsidR="00527FA7">
              <w:rPr>
                <w:rFonts w:eastAsia="Calibri" w:cs="Calibri Light"/>
                <w:b/>
                <w:bCs/>
                <w:sz w:val="20"/>
                <w:lang w:eastAsia="en-US"/>
              </w:rPr>
              <w:t xml:space="preserve"> </w:t>
            </w:r>
            <w:r w:rsidR="00D06972">
              <w:rPr>
                <w:rFonts w:eastAsia="Calibri" w:cs="Calibri Light"/>
                <w:b/>
                <w:bCs/>
                <w:sz w:val="20"/>
                <w:lang w:eastAsia="en-US"/>
              </w:rPr>
              <w:t>simpler</w:t>
            </w:r>
            <w:r w:rsidR="00203D39">
              <w:rPr>
                <w:rFonts w:eastAsia="Calibri" w:cs="Calibri Light"/>
                <w:b/>
                <w:bCs/>
                <w:sz w:val="20"/>
                <w:lang w:eastAsia="en-US"/>
              </w:rPr>
              <w:t xml:space="preserve"> </w:t>
            </w:r>
            <w:r w:rsidR="00203D39" w:rsidRPr="00BF1842">
              <w:rPr>
                <w:rFonts w:eastAsia="Calibri" w:cs="Calibri Light"/>
                <w:sz w:val="20"/>
                <w:lang w:eastAsia="en-US"/>
              </w:rPr>
              <w:t>than 3a</w:t>
            </w:r>
            <w:r w:rsidR="00C428B4" w:rsidRPr="00323B6D">
              <w:rPr>
                <w:rFonts w:eastAsia="Calibri" w:cs="Calibri Light"/>
                <w:sz w:val="20"/>
                <w:lang w:eastAsia="en-US"/>
              </w:rPr>
              <w:t>.</w:t>
            </w:r>
          </w:p>
        </w:tc>
        <w:tc>
          <w:tcPr>
            <w:tcW w:w="4253" w:type="dxa"/>
          </w:tcPr>
          <w:p w14:paraId="2EF7EC5D" w14:textId="77777777"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Product Performance</w:t>
            </w:r>
          </w:p>
          <w:p w14:paraId="7833779D" w14:textId="77777777" w:rsidR="00C428B4" w:rsidRPr="00C428B4" w:rsidRDefault="00C428B4" w:rsidP="00C428B4">
            <w:pPr>
              <w:spacing w:before="0" w:after="0"/>
              <w:rPr>
                <w:rFonts w:eastAsia="Calibri" w:cs="Calibri Light"/>
                <w:sz w:val="20"/>
                <w:lang w:eastAsia="en-US"/>
              </w:rPr>
            </w:pPr>
            <w:r w:rsidRPr="00C428B4">
              <w:rPr>
                <w:rFonts w:eastAsia="Calibri" w:cs="Calibri Light"/>
                <w:sz w:val="20"/>
                <w:lang w:eastAsia="en-US"/>
              </w:rPr>
              <w:t xml:space="preserve">Three independent metrics measuring performance, such as risk-adjusted </w:t>
            </w:r>
            <w:r w:rsidRPr="00C428B4">
              <w:rPr>
                <w:rFonts w:eastAsia="Calibri" w:cs="Calibri Light"/>
                <w:b/>
                <w:bCs/>
                <w:sz w:val="20"/>
                <w:lang w:eastAsia="en-US"/>
              </w:rPr>
              <w:t>returns</w:t>
            </w:r>
            <w:r w:rsidRPr="00C428B4">
              <w:rPr>
                <w:rFonts w:eastAsia="Calibri" w:cs="Calibri Light"/>
                <w:sz w:val="20"/>
                <w:lang w:eastAsia="en-US"/>
              </w:rPr>
              <w:t xml:space="preserve">, implementation of </w:t>
            </w:r>
            <w:r w:rsidRPr="00C428B4">
              <w:rPr>
                <w:rFonts w:eastAsia="Calibri" w:cs="Calibri Light"/>
                <w:b/>
                <w:bCs/>
                <w:sz w:val="20"/>
                <w:lang w:eastAsia="en-US"/>
              </w:rPr>
              <w:t>promises</w:t>
            </w:r>
            <w:r w:rsidRPr="00C428B4">
              <w:rPr>
                <w:rFonts w:eastAsia="Calibri" w:cs="Calibri Light"/>
                <w:sz w:val="20"/>
                <w:lang w:eastAsia="en-US"/>
              </w:rPr>
              <w:t xml:space="preserve"> to members, and </w:t>
            </w:r>
            <w:r w:rsidRPr="00C428B4">
              <w:rPr>
                <w:rFonts w:eastAsia="Calibri" w:cs="Calibri Light"/>
                <w:b/>
                <w:bCs/>
                <w:sz w:val="20"/>
                <w:lang w:eastAsia="en-US"/>
              </w:rPr>
              <w:t>cost</w:t>
            </w:r>
            <w:r w:rsidRPr="00C428B4">
              <w:rPr>
                <w:rFonts w:eastAsia="Calibri" w:cs="Calibri Light"/>
                <w:sz w:val="20"/>
                <w:lang w:eastAsia="en-US"/>
              </w:rPr>
              <w:t xml:space="preserve"> to members.</w:t>
            </w:r>
          </w:p>
          <w:p w14:paraId="6980ABFB" w14:textId="77777777"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 xml:space="preserve">Benchmark </w:t>
            </w:r>
          </w:p>
          <w:p w14:paraId="0852B665" w14:textId="77777777" w:rsidR="00C428B4" w:rsidRPr="00C428B4" w:rsidRDefault="00C428B4" w:rsidP="00C428B4">
            <w:pPr>
              <w:spacing w:before="0" w:after="0"/>
              <w:rPr>
                <w:rFonts w:eastAsia="Calibri" w:cs="Calibri Light"/>
                <w:sz w:val="20"/>
                <w:lang w:eastAsia="en-US"/>
              </w:rPr>
            </w:pPr>
            <w:r w:rsidRPr="00C428B4">
              <w:rPr>
                <w:rFonts w:eastAsia="Calibri" w:cs="Calibri Light"/>
                <w:sz w:val="20"/>
                <w:lang w:eastAsia="en-US"/>
              </w:rPr>
              <w:t>Varies depending on metric, but could include peer comparisons, disclosed targets and/or benchmark comparisons.</w:t>
            </w:r>
          </w:p>
        </w:tc>
      </w:tr>
      <w:tr w:rsidR="00823875" w:rsidRPr="00C428B4" w14:paraId="54208720" w14:textId="77777777" w:rsidTr="004E680F">
        <w:trPr>
          <w:trHeight w:val="331"/>
        </w:trPr>
        <w:tc>
          <w:tcPr>
            <w:tcW w:w="9351" w:type="dxa"/>
            <w:gridSpan w:val="3"/>
            <w:shd w:val="clear" w:color="auto" w:fill="CDD5E1" w:themeFill="accent1" w:themeFillTint="33"/>
          </w:tcPr>
          <w:p w14:paraId="3FCA6F67" w14:textId="5F3E1D42" w:rsidR="00823875" w:rsidRPr="00C428B4" w:rsidRDefault="00823875" w:rsidP="0058255F">
            <w:pPr>
              <w:spacing w:before="0" w:after="0"/>
              <w:jc w:val="center"/>
              <w:rPr>
                <w:rFonts w:eastAsia="Calibri" w:cs="Calibri Light"/>
                <w:b/>
                <w:bCs/>
                <w:sz w:val="20"/>
                <w:lang w:eastAsia="en-US"/>
              </w:rPr>
            </w:pPr>
            <w:r>
              <w:rPr>
                <w:rFonts w:eastAsia="Calibri" w:cs="Calibri Light"/>
                <w:b/>
                <w:bCs/>
                <w:sz w:val="20"/>
                <w:lang w:eastAsia="en-US"/>
              </w:rPr>
              <w:t>Option 4 – Alternative Framework</w:t>
            </w:r>
          </w:p>
        </w:tc>
      </w:tr>
      <w:tr w:rsidR="00C428B4" w:rsidRPr="00C428B4" w14:paraId="2948A301" w14:textId="77777777" w:rsidTr="0058255F">
        <w:trPr>
          <w:trHeight w:val="1137"/>
        </w:trPr>
        <w:tc>
          <w:tcPr>
            <w:tcW w:w="1696" w:type="dxa"/>
          </w:tcPr>
          <w:p w14:paraId="7ABB7659" w14:textId="77777777" w:rsidR="00C428B4" w:rsidRPr="00C428B4" w:rsidRDefault="00C428B4" w:rsidP="00C428B4">
            <w:pPr>
              <w:spacing w:before="0" w:after="0"/>
              <w:rPr>
                <w:rFonts w:eastAsia="Calibri" w:cs="Calibri Light"/>
                <w:b/>
                <w:bCs/>
                <w:sz w:val="20"/>
                <w:lang w:eastAsia="en-US"/>
              </w:rPr>
            </w:pPr>
            <w:r w:rsidRPr="00C428B4">
              <w:rPr>
                <w:rFonts w:eastAsia="Calibri" w:cs="Calibri Light"/>
                <w:b/>
                <w:bCs/>
                <w:sz w:val="20"/>
                <w:lang w:eastAsia="en-US"/>
              </w:rPr>
              <w:t>4. Alternative metrics</w:t>
            </w:r>
          </w:p>
        </w:tc>
        <w:tc>
          <w:tcPr>
            <w:tcW w:w="7655" w:type="dxa"/>
            <w:gridSpan w:val="2"/>
          </w:tcPr>
          <w:p w14:paraId="04B83151" w14:textId="19C3EA22" w:rsidR="00C428B4" w:rsidRPr="00C428B4" w:rsidRDefault="00C428B4" w:rsidP="00C428B4">
            <w:pPr>
              <w:spacing w:before="0" w:after="0"/>
              <w:rPr>
                <w:rFonts w:eastAsia="Calibri" w:cs="Calibri Light"/>
                <w:sz w:val="20"/>
                <w:lang w:eastAsia="en-US"/>
              </w:rPr>
            </w:pPr>
            <w:r w:rsidRPr="00C428B4">
              <w:rPr>
                <w:rFonts w:eastAsia="Calibri" w:cs="Calibri Light"/>
                <w:sz w:val="20"/>
                <w:lang w:eastAsia="en-US"/>
              </w:rPr>
              <w:t>This option is an opportunity for stakeholders to put forward an alternative framework that addresses concerns with the current test and the principles outlined in this paper. Options one to three are only examples of test frameworks that could be used and feedback on the detail of these options is welcomed.</w:t>
            </w:r>
          </w:p>
        </w:tc>
      </w:tr>
    </w:tbl>
    <w:p w14:paraId="0EBD1B28" w14:textId="553F828C" w:rsidR="00C209EF" w:rsidRDefault="008E425B" w:rsidP="0009191F">
      <w:pPr>
        <w:spacing w:line="276" w:lineRule="auto"/>
      </w:pPr>
      <w:r>
        <w:t xml:space="preserve">A list of </w:t>
      </w:r>
      <w:r w:rsidR="00331240">
        <w:t xml:space="preserve">alternative metrics </w:t>
      </w:r>
      <w:r w:rsidR="009602E7">
        <w:t>previously proposed by stakeholders has been compiled in the</w:t>
      </w:r>
      <w:r w:rsidR="001E19D6">
        <w:t xml:space="preserve"> Appendix</w:t>
      </w:r>
      <w:r w:rsidR="009602E7" w:rsidRPr="001E19D6">
        <w:t>.</w:t>
      </w:r>
    </w:p>
    <w:p w14:paraId="6289D501" w14:textId="77777777" w:rsidR="00061315" w:rsidRDefault="00061315" w:rsidP="00C52141">
      <w:pPr>
        <w:pStyle w:val="Heading4"/>
        <w:spacing w:before="120"/>
      </w:pPr>
      <w:r>
        <w:t>Cohorts of products</w:t>
      </w:r>
    </w:p>
    <w:p w14:paraId="10737432" w14:textId="1B2252FD" w:rsidR="0055604E" w:rsidRDefault="00061315" w:rsidP="00C52141">
      <w:pPr>
        <w:pStyle w:val="Bullet"/>
        <w:numPr>
          <w:ilvl w:val="0"/>
          <w:numId w:val="0"/>
        </w:numPr>
      </w:pPr>
      <w:r w:rsidRPr="005D6321">
        <w:t xml:space="preserve">The current test </w:t>
      </w:r>
      <w:r>
        <w:t xml:space="preserve">separately </w:t>
      </w:r>
      <w:r w:rsidRPr="005D6321">
        <w:t>assesses three cohorts of products</w:t>
      </w:r>
      <w:r>
        <w:t xml:space="preserve"> by assessing the administration fees against the median administration fee of different peer groups. These peer groups are</w:t>
      </w:r>
      <w:r w:rsidRPr="005D6321">
        <w:t xml:space="preserve">: MySuper, platform TDPs and non-platform TDPs. </w:t>
      </w:r>
      <w:r>
        <w:t>The decision to test administration fees separately for these cohorts of products accepts the premise that these cohorts provide materially different services to members and therefore should be assessed as such. For example, platform TDPs are expected</w:t>
      </w:r>
      <w:r w:rsidR="003A7645">
        <w:t xml:space="preserve"> to</w:t>
      </w:r>
      <w:r>
        <w:t xml:space="preserve"> offer a higher level of member services</w:t>
      </w:r>
      <w:r w:rsidR="00AC4517">
        <w:t xml:space="preserve"> and so members </w:t>
      </w:r>
      <w:r w:rsidR="00013FC2">
        <w:t>may be</w:t>
      </w:r>
      <w:r w:rsidR="00AC4517">
        <w:t xml:space="preserve"> prepared to pay a higher administration fee</w:t>
      </w:r>
      <w:r>
        <w:t xml:space="preserve">. </w:t>
      </w:r>
    </w:p>
    <w:p w14:paraId="565C3956" w14:textId="00109C32" w:rsidR="00DC5595" w:rsidRDefault="0055604E" w:rsidP="00225AC4">
      <w:pPr>
        <w:pStyle w:val="Bullet"/>
        <w:numPr>
          <w:ilvl w:val="0"/>
          <w:numId w:val="0"/>
        </w:numPr>
      </w:pPr>
      <w:r>
        <w:t>Later in this paper consideration is given to options to expand the scope of the test to other superannuation products, such as</w:t>
      </w:r>
      <w:r w:rsidR="00CD00CF">
        <w:t xml:space="preserve"> </w:t>
      </w:r>
      <w:proofErr w:type="gramStart"/>
      <w:r w:rsidR="00CD00CF">
        <w:t>externally</w:t>
      </w:r>
      <w:r w:rsidR="00313E62">
        <w:t>-</w:t>
      </w:r>
      <w:r w:rsidR="00077A0A">
        <w:t>managed</w:t>
      </w:r>
      <w:proofErr w:type="gramEnd"/>
      <w:r w:rsidR="006129AB">
        <w:t>, single-sector and retirement products</w:t>
      </w:r>
      <w:r>
        <w:t>. Whilst the underlying principles</w:t>
      </w:r>
      <w:r w:rsidR="00D846C5">
        <w:t xml:space="preserve"> outlined above</w:t>
      </w:r>
      <w:r>
        <w:t xml:space="preserve"> are applicable to all types of superannuation products, </w:t>
      </w:r>
      <w:r w:rsidR="00721827">
        <w:t xml:space="preserve">this does not necessarily mean a one size fits all approach to the test is the right outcome and </w:t>
      </w:r>
      <w:r w:rsidR="00061315">
        <w:t xml:space="preserve">different product cohorts could have different testing considerations (such as the metrics they are tested against, consequences etc.). Throughout this paper, consideration should be given to how different cohorts could be treated under different design options to ensure that the test remains widely applicable and enduring. </w:t>
      </w:r>
    </w:p>
    <w:p w14:paraId="7B58325E" w14:textId="2AF216AE" w:rsidR="00B35A44" w:rsidRDefault="004B3A90" w:rsidP="00225AC4">
      <w:pPr>
        <w:pStyle w:val="Bullet"/>
        <w:numPr>
          <w:ilvl w:val="0"/>
          <w:numId w:val="0"/>
        </w:numPr>
      </w:pPr>
      <w:r>
        <w:t>T</w:t>
      </w:r>
      <w:r w:rsidR="00B67A30">
        <w:t>he Government’s</w:t>
      </w:r>
      <w:r w:rsidR="00225AC4">
        <w:t xml:space="preserve"> </w:t>
      </w:r>
      <w:r>
        <w:t xml:space="preserve">initial </w:t>
      </w:r>
      <w:r w:rsidR="00225AC4">
        <w:t>focus is to get the test right for products in the accumulation phase</w:t>
      </w:r>
      <w:r w:rsidR="00FA7FB6">
        <w:t xml:space="preserve">. There is </w:t>
      </w:r>
      <w:r w:rsidR="00B872CB">
        <w:t xml:space="preserve">separate </w:t>
      </w:r>
      <w:r w:rsidR="00FA7FB6">
        <w:t xml:space="preserve">work underway </w:t>
      </w:r>
      <w:r w:rsidR="00B872CB">
        <w:t>to refin</w:t>
      </w:r>
      <w:r w:rsidR="00FA7FB6">
        <w:t>e</w:t>
      </w:r>
      <w:r w:rsidR="00B872CB">
        <w:t xml:space="preserve"> </w:t>
      </w:r>
      <w:r w:rsidR="0091582B">
        <w:t xml:space="preserve">the </w:t>
      </w:r>
      <w:r w:rsidR="00B872CB">
        <w:t>superannuation retirement phase settings</w:t>
      </w:r>
      <w:r w:rsidR="008B5AF1">
        <w:t xml:space="preserve"> </w:t>
      </w:r>
      <w:r w:rsidR="005D4820">
        <w:t>(see ‘</w:t>
      </w:r>
      <w:r w:rsidR="00B84664">
        <w:t xml:space="preserve">Retirement phase of superannuation - </w:t>
      </w:r>
      <w:r w:rsidR="005D4820">
        <w:t>Discussion paper</w:t>
      </w:r>
      <w:r w:rsidR="00B84664">
        <w:t>’ released December 2023)</w:t>
      </w:r>
      <w:r w:rsidR="00B67A30">
        <w:t>.</w:t>
      </w:r>
      <w:r w:rsidR="00637664">
        <w:t xml:space="preserve"> </w:t>
      </w:r>
      <w:r w:rsidR="00B35A44">
        <w:t xml:space="preserve">There is a role for Government and regulators in creating an environment that supports </w:t>
      </w:r>
      <w:r w:rsidR="00405369">
        <w:t>funds to deliver on member</w:t>
      </w:r>
      <w:r w:rsidR="008E0D85">
        <w:t>s’ retirement needs</w:t>
      </w:r>
      <w:r w:rsidR="001B5CF4">
        <w:t xml:space="preserve"> and meet their retirement income </w:t>
      </w:r>
      <w:r w:rsidR="0053553B">
        <w:t>covenant obligations</w:t>
      </w:r>
      <w:r w:rsidR="00370D1D">
        <w:t xml:space="preserve">. </w:t>
      </w:r>
      <w:r w:rsidR="00960999">
        <w:t xml:space="preserve">However, as set out in </w:t>
      </w:r>
      <w:r w:rsidR="00230C79">
        <w:t>the recent discussion</w:t>
      </w:r>
      <w:r w:rsidR="00960999">
        <w:t xml:space="preserve"> paper</w:t>
      </w:r>
      <w:r w:rsidR="00230C79">
        <w:t>,</w:t>
      </w:r>
      <w:r w:rsidR="00960999">
        <w:t xml:space="preserve"> </w:t>
      </w:r>
      <w:r w:rsidR="005E4E5C">
        <w:t xml:space="preserve">trustees need </w:t>
      </w:r>
      <w:r w:rsidR="00FF2C00">
        <w:t xml:space="preserve">to do more to understand </w:t>
      </w:r>
      <w:r w:rsidR="00256AD4">
        <w:t xml:space="preserve">their members’ retirement needs, set a vision for their members’ retirement outcomes, and provide well-rounded retirement products. </w:t>
      </w:r>
    </w:p>
    <w:p w14:paraId="08924751" w14:textId="4F0933C8" w:rsidR="00061315" w:rsidRDefault="00061315" w:rsidP="00C52141">
      <w:pPr>
        <w:pStyle w:val="Bullet"/>
        <w:numPr>
          <w:ilvl w:val="0"/>
          <w:numId w:val="0"/>
        </w:numPr>
      </w:pPr>
    </w:p>
    <w:p w14:paraId="140C6AC8" w14:textId="682BCD0D" w:rsidR="002E09B4" w:rsidRDefault="002E09B4" w:rsidP="00721827">
      <w:pPr>
        <w:pStyle w:val="Bullet"/>
        <w:numPr>
          <w:ilvl w:val="0"/>
          <w:numId w:val="0"/>
        </w:numPr>
      </w:pPr>
    </w:p>
    <w:p w14:paraId="63B454C5" w14:textId="083FBA96" w:rsidR="002E09B4" w:rsidRPr="00721827" w:rsidRDefault="002E09B4" w:rsidP="00721827">
      <w:pPr>
        <w:pStyle w:val="Bullet"/>
        <w:numPr>
          <w:ilvl w:val="0"/>
          <w:numId w:val="0"/>
        </w:numPr>
      </w:pPr>
    </w:p>
    <w:p w14:paraId="7ABF162C" w14:textId="18076774" w:rsidR="0023585D" w:rsidRDefault="0023585D">
      <w:pPr>
        <w:spacing w:before="0" w:after="160" w:line="259" w:lineRule="auto"/>
        <w:rPr>
          <w:rFonts w:ascii="Calibri" w:hAnsi="Calibri" w:cs="Arial"/>
          <w:b/>
          <w:color w:val="4D7861" w:themeColor="accent2"/>
          <w:kern w:val="32"/>
          <w:sz w:val="28"/>
          <w:szCs w:val="26"/>
        </w:rPr>
      </w:pPr>
      <w:r>
        <w:br w:type="page"/>
      </w:r>
    </w:p>
    <w:p w14:paraId="58070956" w14:textId="583B6C85" w:rsidR="00082FC2" w:rsidRDefault="00B46BBB" w:rsidP="00585399">
      <w:pPr>
        <w:pStyle w:val="Heading3"/>
        <w:numPr>
          <w:ilvl w:val="6"/>
          <w:numId w:val="7"/>
        </w:numPr>
        <w:spacing w:before="240"/>
        <w:ind w:left="284" w:hanging="284"/>
      </w:pPr>
      <w:bookmarkStart w:id="23" w:name="_Toc155955174"/>
      <w:r>
        <w:t>Status quo</w:t>
      </w:r>
      <w:r w:rsidR="004D3F60">
        <w:t xml:space="preserve"> </w:t>
      </w:r>
      <w:r w:rsidR="008D77E3">
        <w:t>– SAA Benchmark Portfolio</w:t>
      </w:r>
      <w:bookmarkEnd w:id="23"/>
    </w:p>
    <w:p w14:paraId="6CDDA6E4" w14:textId="3941DBA8" w:rsidR="00117A27" w:rsidRDefault="003700E9" w:rsidP="0009191F">
      <w:pPr>
        <w:spacing w:line="276" w:lineRule="auto"/>
      </w:pPr>
      <w:r>
        <w:t xml:space="preserve">The current test has been effective in removing underperforming products from the superannuation system and has </w:t>
      </w:r>
      <w:r w:rsidR="00D9130B">
        <w:t>encouraged funds to reduce the fees that they charge. However</w:t>
      </w:r>
      <w:r w:rsidR="000D2D90">
        <w:t xml:space="preserve">, there are </w:t>
      </w:r>
      <w:r w:rsidR="005D2AC4">
        <w:t>several</w:t>
      </w:r>
      <w:r w:rsidR="000D2D90">
        <w:t xml:space="preserve"> </w:t>
      </w:r>
      <w:r w:rsidR="008260FD">
        <w:t xml:space="preserve">shortcomings </w:t>
      </w:r>
      <w:r w:rsidR="000D2D90">
        <w:t xml:space="preserve">of the </w:t>
      </w:r>
      <w:r w:rsidR="00DC1F6A">
        <w:t xml:space="preserve">current test that may limit its effectiveness in improving member outcomes in the longer term. </w:t>
      </w:r>
    </w:p>
    <w:p w14:paraId="73555F88" w14:textId="11249EFA" w:rsidR="000D2D90" w:rsidRDefault="00CB0DB2" w:rsidP="0009191F">
      <w:pPr>
        <w:spacing w:line="276" w:lineRule="auto"/>
      </w:pPr>
      <w:r>
        <w:t>This option considers further adjustments to the current test</w:t>
      </w:r>
      <w:r w:rsidR="00456EF9">
        <w:t>’s methodology</w:t>
      </w:r>
      <w:r>
        <w:t xml:space="preserve"> to </w:t>
      </w:r>
      <w:r w:rsidR="00884545">
        <w:t>address those concerns</w:t>
      </w:r>
      <w:r w:rsidR="00857B5F">
        <w:t xml:space="preserve"> and ultimately asks whether the current framework can be adjusted to </w:t>
      </w:r>
      <w:r w:rsidR="002E0DA8">
        <w:t>sufficiently</w:t>
      </w:r>
      <w:r w:rsidR="00857B5F">
        <w:t xml:space="preserve"> </w:t>
      </w:r>
      <w:r w:rsidR="008260FD">
        <w:t xml:space="preserve">address </w:t>
      </w:r>
      <w:r w:rsidR="002E0DA8">
        <w:t>the unintended consequences of the test</w:t>
      </w:r>
      <w:r w:rsidR="00884545">
        <w:t xml:space="preserve">. </w:t>
      </w:r>
    </w:p>
    <w:p w14:paraId="76A8A0A9" w14:textId="073ABC45" w:rsidR="000F745B" w:rsidRDefault="00784948" w:rsidP="00C52141">
      <w:pPr>
        <w:pStyle w:val="Heading4"/>
        <w:spacing w:before="120"/>
      </w:pPr>
      <w:r>
        <w:t xml:space="preserve">Current </w:t>
      </w:r>
      <w:r w:rsidR="000F745B">
        <w:t>Methodology</w:t>
      </w:r>
    </w:p>
    <w:p w14:paraId="3E285C5F" w14:textId="157DE3D8" w:rsidR="000F745B" w:rsidRDefault="00DA0956" w:rsidP="0009191F">
      <w:pPr>
        <w:spacing w:line="276" w:lineRule="auto"/>
      </w:pPr>
      <w:r>
        <w:t>The existing performance test has been adapted through consultation with industry from the methodology proposed by the Productivity Commission and APRA’s heatmap methodology.</w:t>
      </w:r>
      <w:r>
        <w:rPr>
          <w:rStyle w:val="FootnoteReference"/>
        </w:rPr>
        <w:footnoteReference w:id="7"/>
      </w:r>
      <w:r>
        <w:t xml:space="preserve"> </w:t>
      </w:r>
      <w:r w:rsidR="000F745B">
        <w:t xml:space="preserve">The test assesses a product’s </w:t>
      </w:r>
      <w:r w:rsidR="000F745B" w:rsidRPr="00C86030">
        <w:rPr>
          <w:i/>
          <w:iCs/>
        </w:rPr>
        <w:t>net investment returns</w:t>
      </w:r>
      <w:r w:rsidR="000F745B">
        <w:t xml:space="preserve"> against an objective benchmark portfolio tailored to its </w:t>
      </w:r>
      <w:r w:rsidR="00505337">
        <w:t>strategic asset allocation (</w:t>
      </w:r>
      <w:r w:rsidR="000F745B">
        <w:t>SAA</w:t>
      </w:r>
      <w:r w:rsidR="00505337">
        <w:t>)</w:t>
      </w:r>
      <w:r w:rsidR="000F745B">
        <w:t xml:space="preserve"> and assesses its </w:t>
      </w:r>
      <w:r w:rsidR="000F745B" w:rsidRPr="00C86030">
        <w:rPr>
          <w:i/>
          <w:iCs/>
        </w:rPr>
        <w:t>administration fees</w:t>
      </w:r>
      <w:r w:rsidR="000F745B">
        <w:t xml:space="preserve"> against its peers. The methodology involves calculating a </w:t>
      </w:r>
      <w:r w:rsidR="000F745B" w:rsidRPr="00160C86">
        <w:rPr>
          <w:i/>
          <w:iCs/>
        </w:rPr>
        <w:t>performance measure</w:t>
      </w:r>
      <w:r w:rsidR="000F745B">
        <w:t xml:space="preserve"> for each product tested:</w:t>
      </w:r>
    </w:p>
    <w:p w14:paraId="2D6C6E6C" w14:textId="77777777" w:rsidR="000F745B" w:rsidRDefault="00023D38" w:rsidP="0009191F">
      <w:pPr>
        <w:spacing w:line="276" w:lineRule="auto"/>
      </w:pPr>
      <m:oMathPara>
        <m:oMath>
          <m:r>
            <w:rPr>
              <w:rFonts w:ascii="Cambria Math" w:hAnsi="Cambria Math"/>
              <w:sz w:val="20"/>
              <w:szCs w:val="18"/>
            </w:rPr>
            <m:t>Performance measure=</m:t>
          </m:r>
          <m:d>
            <m:dPr>
              <m:ctrlPr>
                <w:rPr>
                  <w:rFonts w:ascii="Cambria Math" w:hAnsi="Cambria Math"/>
                  <w:i/>
                  <w:sz w:val="20"/>
                  <w:szCs w:val="18"/>
                </w:rPr>
              </m:ctrlPr>
            </m:dPr>
            <m:e>
              <m:r>
                <w:rPr>
                  <w:rFonts w:ascii="Cambria Math" w:hAnsi="Cambria Math"/>
                  <w:sz w:val="20"/>
                  <w:szCs w:val="18"/>
                </w:rPr>
                <m:t>Actual return-Benchmark return</m:t>
              </m:r>
            </m:e>
          </m:d>
          <m:r>
            <w:rPr>
              <w:rFonts w:ascii="Cambria Math" w:hAnsi="Cambria Math"/>
              <w:sz w:val="20"/>
              <w:szCs w:val="18"/>
            </w:rPr>
            <m:t>+(Benchmark RAFE-Actual RAFE)</m:t>
          </m:r>
        </m:oMath>
      </m:oMathPara>
    </w:p>
    <w:p w14:paraId="33D4EAC5" w14:textId="114A36D6" w:rsidR="000F745B" w:rsidRDefault="000F745B" w:rsidP="0009191F">
      <w:pPr>
        <w:spacing w:line="276" w:lineRule="auto"/>
      </w:pPr>
      <w:r>
        <w:t>There are two components to calculating the performance measure.</w:t>
      </w:r>
      <w:r w:rsidR="00205E15" w:rsidRPr="00205E15">
        <w:t xml:space="preserve"> </w:t>
      </w:r>
      <w:r w:rsidR="00205E15">
        <w:t>Both have effectively a 50</w:t>
      </w:r>
      <w:r w:rsidR="003003EF">
        <w:t> </w:t>
      </w:r>
      <w:r w:rsidR="00205E15">
        <w:t>per</w:t>
      </w:r>
      <w:r w:rsidR="003003EF">
        <w:t> </w:t>
      </w:r>
      <w:r w:rsidR="00205E15">
        <w:t>cent weighting in the current test</w:t>
      </w:r>
      <w:r w:rsidR="003003EF">
        <w:t>, with a</w:t>
      </w:r>
      <w:r w:rsidR="00FE66A7">
        <w:t>n overall 50 basis points buffer applied</w:t>
      </w:r>
      <w:r w:rsidR="00205E15">
        <w:t>.</w:t>
      </w:r>
    </w:p>
    <w:p w14:paraId="0A3F50A0" w14:textId="64D1EF95" w:rsidR="000F745B" w:rsidRDefault="000F745B" w:rsidP="0009191F">
      <w:pPr>
        <w:spacing w:line="276" w:lineRule="auto"/>
      </w:pPr>
      <w:r>
        <w:t xml:space="preserve">First, the net investment return of a product over the past </w:t>
      </w:r>
      <w:r w:rsidR="00A36928">
        <w:t>10</w:t>
      </w:r>
      <w:r>
        <w:t xml:space="preserve"> years (</w:t>
      </w:r>
      <w:r w:rsidRPr="00160C86">
        <w:rPr>
          <w:i/>
          <w:iCs/>
        </w:rPr>
        <w:t>actual return</w:t>
      </w:r>
      <w:r>
        <w:t xml:space="preserve">) is compared to a </w:t>
      </w:r>
      <w:r w:rsidRPr="00160C86">
        <w:rPr>
          <w:i/>
          <w:iCs/>
        </w:rPr>
        <w:t>benchmark return</w:t>
      </w:r>
      <w:r>
        <w:rPr>
          <w:i/>
          <w:iCs/>
        </w:rPr>
        <w:t xml:space="preserve"> </w:t>
      </w:r>
      <w:r w:rsidRPr="00262910">
        <w:t>over the same period</w:t>
      </w:r>
      <w:r>
        <w:t>.</w:t>
      </w:r>
      <w:r w:rsidR="00491475">
        <w:rPr>
          <w:rStyle w:val="FootnoteReference"/>
        </w:rPr>
        <w:footnoteReference w:id="8"/>
      </w:r>
      <w:r>
        <w:t xml:space="preserve"> The benchmark return is a passive investment portfolio of indices tailored to the product’s reported </w:t>
      </w:r>
      <w:r w:rsidR="00505337">
        <w:t>SAA</w:t>
      </w:r>
      <w:r>
        <w:t xml:space="preserve">. </w:t>
      </w:r>
      <w:r w:rsidR="00C13C12">
        <w:t>The benchmark portfolio was intended to act as a counterfactual set of assets that members could have been passively invested in, based on the investment strategy of the product over the same period. This provides an assessment of the value a trustee has added for their members for the fees that they charge.</w:t>
      </w:r>
    </w:p>
    <w:p w14:paraId="51A3E35A" w14:textId="46FFCD48" w:rsidR="000F745B" w:rsidRDefault="000F745B" w:rsidP="0009191F">
      <w:pPr>
        <w:spacing w:line="276" w:lineRule="auto"/>
      </w:pPr>
      <w:r>
        <w:t>Second, the product’s representative administration fees and expenses (</w:t>
      </w:r>
      <w:r w:rsidRPr="00160C86">
        <w:rPr>
          <w:i/>
          <w:iCs/>
        </w:rPr>
        <w:t>actual RAFE</w:t>
      </w:r>
      <w:r>
        <w:t>) for the most recent financial year is compared to the median RAFE (</w:t>
      </w:r>
      <w:r w:rsidRPr="00160C86">
        <w:rPr>
          <w:i/>
          <w:iCs/>
        </w:rPr>
        <w:t>benchmark RAFE</w:t>
      </w:r>
      <w:r>
        <w:t>). RAFE is calculated to represent a member who has an account balance of $50,000. The benchmark RAFE is calculated separately for MySuper products, platform TDPs, and non-platform TDPs.</w:t>
      </w:r>
    </w:p>
    <w:p w14:paraId="5BFFAE13" w14:textId="4DFB9DF4" w:rsidR="00396D54" w:rsidRDefault="00396D54" w:rsidP="00C52141">
      <w:pPr>
        <w:pStyle w:val="Heading4"/>
        <w:spacing w:before="120"/>
      </w:pPr>
      <w:r>
        <w:t>Options to improve</w:t>
      </w:r>
      <w:r w:rsidR="00CA272C">
        <w:t xml:space="preserve"> the current methodology</w:t>
      </w:r>
    </w:p>
    <w:p w14:paraId="5E7D276C" w14:textId="6E0B1184" w:rsidR="00CA272C" w:rsidRDefault="00126548" w:rsidP="0009191F">
      <w:pPr>
        <w:spacing w:line="276" w:lineRule="auto"/>
      </w:pPr>
      <w:r>
        <w:t xml:space="preserve">The current </w:t>
      </w:r>
      <w:r w:rsidR="00CE1CC3">
        <w:t xml:space="preserve">methodology has </w:t>
      </w:r>
      <w:r w:rsidR="00117EB5">
        <w:t>several</w:t>
      </w:r>
      <w:r w:rsidR="00CE1CC3">
        <w:t xml:space="preserve"> variables that feed into </w:t>
      </w:r>
      <w:r w:rsidR="00A029DF">
        <w:t>the result</w:t>
      </w:r>
      <w:r w:rsidR="00DD69AF">
        <w:t xml:space="preserve"> which could be amended</w:t>
      </w:r>
      <w:r w:rsidR="00CE1CC3">
        <w:t>. The Government is interested</w:t>
      </w:r>
      <w:r w:rsidR="00A25EE3">
        <w:t xml:space="preserve"> </w:t>
      </w:r>
      <w:r w:rsidR="00A8306A">
        <w:t xml:space="preserve">in </w:t>
      </w:r>
      <w:r w:rsidR="00A25EE3">
        <w:t>stakeholder view</w:t>
      </w:r>
      <w:r w:rsidR="00322591">
        <w:t>s</w:t>
      </w:r>
      <w:r w:rsidR="00CE1CC3">
        <w:t xml:space="preserve"> </w:t>
      </w:r>
      <w:r w:rsidR="00322591">
        <w:t>on w</w:t>
      </w:r>
      <w:r w:rsidR="00F22778">
        <w:t xml:space="preserve">hat changes could be made to </w:t>
      </w:r>
      <w:r w:rsidR="009A73B8">
        <w:t xml:space="preserve">the methodology </w:t>
      </w:r>
      <w:r w:rsidR="00DE72D8">
        <w:t>to</w:t>
      </w:r>
      <w:r w:rsidR="00CD7C49">
        <w:t xml:space="preserve"> ensure the test </w:t>
      </w:r>
      <w:r w:rsidR="006827B5">
        <w:t>encourage</w:t>
      </w:r>
      <w:r w:rsidR="005F622A">
        <w:t>s</w:t>
      </w:r>
      <w:r w:rsidR="006827B5">
        <w:t xml:space="preserve"> trustees to improve outcomes for members</w:t>
      </w:r>
      <w:r w:rsidR="002C7B03">
        <w:t xml:space="preserve"> and </w:t>
      </w:r>
      <w:r w:rsidR="004D050F">
        <w:t xml:space="preserve">allows trustees to invest in </w:t>
      </w:r>
      <w:r w:rsidR="007A2453">
        <w:t>assets that provide strong returns</w:t>
      </w:r>
      <w:r w:rsidR="001053A2">
        <w:t>, regardless of the sector</w:t>
      </w:r>
      <w:r w:rsidR="006E695F">
        <w:t xml:space="preserve">. </w:t>
      </w:r>
      <w:r w:rsidR="00382836">
        <w:t>These changes could include:</w:t>
      </w:r>
    </w:p>
    <w:p w14:paraId="24FC6501" w14:textId="199A80B4" w:rsidR="00DC2F30" w:rsidRDefault="008260FD" w:rsidP="00C52141">
      <w:pPr>
        <w:pStyle w:val="Bullet"/>
      </w:pPr>
      <w:r>
        <w:t xml:space="preserve">the </w:t>
      </w:r>
      <w:r w:rsidR="00325C04">
        <w:t>lookback</w:t>
      </w:r>
      <w:r w:rsidR="00F205F8">
        <w:t xml:space="preserve"> period for assessment</w:t>
      </w:r>
      <w:r w:rsidR="00324B41">
        <w:t xml:space="preserve"> </w:t>
      </w:r>
      <w:r w:rsidR="000A03A6">
        <w:t xml:space="preserve">of </w:t>
      </w:r>
      <w:r w:rsidR="00125BF0">
        <w:t>actual return and actual RAFE</w:t>
      </w:r>
    </w:p>
    <w:p w14:paraId="488F3F50" w14:textId="15234A09" w:rsidR="00E733E0" w:rsidRDefault="00E733E0" w:rsidP="00C52141">
      <w:pPr>
        <w:pStyle w:val="Bullet"/>
      </w:pPr>
      <w:r>
        <w:t>the number of asset classes and selection of corresponding indices used in the test</w:t>
      </w:r>
    </w:p>
    <w:p w14:paraId="3BDCA61E" w14:textId="453EE3C1" w:rsidR="00125BF0" w:rsidRDefault="000177D5" w:rsidP="00C52141">
      <w:pPr>
        <w:pStyle w:val="Bullet"/>
      </w:pPr>
      <w:r>
        <w:t xml:space="preserve">calculation of a </w:t>
      </w:r>
      <w:r w:rsidR="00D326A5">
        <w:t>product’s RA</w:t>
      </w:r>
      <w:r w:rsidR="00B1250D">
        <w:t>FE</w:t>
      </w:r>
      <w:r w:rsidR="00C200C9">
        <w:t xml:space="preserve"> (</w:t>
      </w:r>
      <w:r w:rsidR="00E2647A">
        <w:t>such as the assumption of a $50,000 member balance</w:t>
      </w:r>
      <w:r w:rsidR="00A7551E">
        <w:t xml:space="preserve">, which </w:t>
      </w:r>
      <w:r w:rsidR="009E3C38">
        <w:t xml:space="preserve">could be </w:t>
      </w:r>
      <w:r w:rsidR="00996991">
        <w:t>set</w:t>
      </w:r>
      <w:r w:rsidR="00A7551E">
        <w:t xml:space="preserve"> </w:t>
      </w:r>
      <w:r w:rsidR="000D2204">
        <w:t>at</w:t>
      </w:r>
      <w:r w:rsidR="00A7551E">
        <w:t xml:space="preserve"> a </w:t>
      </w:r>
      <w:r w:rsidR="00E34852">
        <w:t>different amount</w:t>
      </w:r>
      <w:r w:rsidR="00E2647A">
        <w:t>)</w:t>
      </w:r>
    </w:p>
    <w:p w14:paraId="613D256D" w14:textId="4E8FC72D" w:rsidR="008555A9" w:rsidRDefault="0045064C" w:rsidP="00C52141">
      <w:pPr>
        <w:pStyle w:val="Bullet"/>
      </w:pPr>
      <w:r>
        <w:t xml:space="preserve">calibration or weighting of </w:t>
      </w:r>
      <w:r w:rsidR="00882F8D">
        <w:t xml:space="preserve">investment </w:t>
      </w:r>
      <w:r w:rsidR="005F53AE">
        <w:t>returns and RAFE</w:t>
      </w:r>
      <w:r w:rsidR="00737D07">
        <w:t>, and the corresponding benchmarks</w:t>
      </w:r>
      <w:r w:rsidR="005F53AE">
        <w:t xml:space="preserve">, including the overall </w:t>
      </w:r>
      <w:r w:rsidR="0025185B">
        <w:t>50 basis points buffer</w:t>
      </w:r>
      <w:r w:rsidR="00C65208">
        <w:t>.</w:t>
      </w:r>
    </w:p>
    <w:p w14:paraId="23F4FDA5" w14:textId="739B7025" w:rsidR="008905C0" w:rsidRDefault="00D958D6" w:rsidP="00C52141">
      <w:pPr>
        <w:pStyle w:val="Heading4"/>
      </w:pPr>
      <w:r>
        <w:t>Concerns with current test</w:t>
      </w:r>
      <w:r w:rsidR="007E1989">
        <w:t xml:space="preserve"> seeking to be addressed</w:t>
      </w:r>
    </w:p>
    <w:p w14:paraId="3EB18DC9" w14:textId="652EEEB1" w:rsidR="00D958D6" w:rsidRPr="00C82EF6" w:rsidRDefault="00F45BDE" w:rsidP="0009191F">
      <w:pPr>
        <w:keepNext/>
        <w:spacing w:line="276" w:lineRule="auto"/>
        <w:rPr>
          <w:i/>
          <w:iCs/>
        </w:rPr>
      </w:pPr>
      <w:r>
        <w:rPr>
          <w:i/>
          <w:color w:val="4D7861" w:themeColor="accent2"/>
        </w:rPr>
        <w:t>Measurement of performance</w:t>
      </w:r>
    </w:p>
    <w:p w14:paraId="1D6B74DF" w14:textId="122BDC76" w:rsidR="00BC69C6" w:rsidRDefault="00BC69C6" w:rsidP="0009191F">
      <w:pPr>
        <w:spacing w:line="276" w:lineRule="auto"/>
      </w:pPr>
      <w:r>
        <w:t xml:space="preserve">Stakeholders </w:t>
      </w:r>
      <w:r w:rsidR="00CB751B">
        <w:t>during</w:t>
      </w:r>
      <w:r>
        <w:t xml:space="preserve"> the YFYS Review expressed concern that this single</w:t>
      </w:r>
      <w:r w:rsidR="00EC71D3">
        <w:t>-</w:t>
      </w:r>
      <w:r>
        <w:t xml:space="preserve">metric </w:t>
      </w:r>
      <w:r w:rsidR="001F6919">
        <w:t xml:space="preserve">using a </w:t>
      </w:r>
      <w:r>
        <w:t xml:space="preserve">benchmark portfolio only captures the </w:t>
      </w:r>
      <w:r w:rsidRPr="00EC4667">
        <w:rPr>
          <w:i/>
          <w:iCs/>
        </w:rPr>
        <w:t>implementation</w:t>
      </w:r>
      <w:r>
        <w:t xml:space="preserve"> of an investment strategy, not the decision to set that strategy or account for risk, a key source of value-add which should be captured. Several suggested that this may impact the accuracy of the test, leading to some performing products failing the test (reducing member choice) and some underperforming products passing (reducing member outcomes).</w:t>
      </w:r>
    </w:p>
    <w:p w14:paraId="7BB71084" w14:textId="755BF8DF" w:rsidR="008B6F92" w:rsidRDefault="00BC69C6" w:rsidP="0009191F">
      <w:pPr>
        <w:spacing w:line="276" w:lineRule="auto"/>
      </w:pPr>
      <w:r>
        <w:t xml:space="preserve">The </w:t>
      </w:r>
      <w:r w:rsidR="0044568D">
        <w:t>Productivity Commission</w:t>
      </w:r>
      <w:r>
        <w:t xml:space="preserve"> acknowledged this concern, noting that benchmarking relative to asset allocation would not provide a direct measure of whether the investment strategy itself is appropriate for the member cohort. However, the </w:t>
      </w:r>
      <w:r w:rsidR="001F799B">
        <w:t>Productivity Commission</w:t>
      </w:r>
      <w:r>
        <w:t xml:space="preserve"> recognised that this aspect of performance would continue to be assessed through related elements of the regulatory framework, such as requirements to justify to APRA and </w:t>
      </w:r>
      <w:r w:rsidR="00A64F38">
        <w:t xml:space="preserve">the </w:t>
      </w:r>
      <w:r>
        <w:t>A</w:t>
      </w:r>
      <w:r w:rsidR="00C241C7">
        <w:t xml:space="preserve">ustralian </w:t>
      </w:r>
      <w:r>
        <w:t>S</w:t>
      </w:r>
      <w:r w:rsidR="00C241C7">
        <w:t>ecurities and Investments Commission (</w:t>
      </w:r>
      <w:r>
        <w:t>ASIC</w:t>
      </w:r>
      <w:r w:rsidR="00C241C7">
        <w:t>)</w:t>
      </w:r>
      <w:r>
        <w:t xml:space="preserve"> that the investment options are appropriate for members (such as target market determinations</w:t>
      </w:r>
      <w:r w:rsidR="00405832">
        <w:t xml:space="preserve">, prudential </w:t>
      </w:r>
      <w:r w:rsidR="00526C41">
        <w:t>standards,</w:t>
      </w:r>
      <w:r w:rsidR="00405832">
        <w:t xml:space="preserve"> and </w:t>
      </w:r>
      <w:r w:rsidR="00E03103">
        <w:t>legislated investment covenants</w:t>
      </w:r>
      <w:r>
        <w:t>).</w:t>
      </w:r>
      <w:r w:rsidR="00315B56">
        <w:t xml:space="preserve"> </w:t>
      </w:r>
    </w:p>
    <w:p w14:paraId="4A60F5F7" w14:textId="4C44323E" w:rsidR="001D7885" w:rsidRPr="00B33464" w:rsidRDefault="00C255F2" w:rsidP="0009191F">
      <w:pPr>
        <w:spacing w:line="276" w:lineRule="auto"/>
        <w:rPr>
          <w:i/>
          <w:color w:val="4D7861" w:themeColor="accent2"/>
        </w:rPr>
      </w:pPr>
      <w:r w:rsidRPr="00B33464">
        <w:rPr>
          <w:i/>
          <w:color w:val="4D7861" w:themeColor="accent2"/>
        </w:rPr>
        <w:t>Benchmarks</w:t>
      </w:r>
    </w:p>
    <w:p w14:paraId="3383AA96" w14:textId="607680B3" w:rsidR="00B83095" w:rsidRDefault="00472FA2" w:rsidP="0009191F">
      <w:pPr>
        <w:spacing w:line="276" w:lineRule="auto"/>
      </w:pPr>
      <w:r>
        <w:t xml:space="preserve">The original </w:t>
      </w:r>
      <w:r w:rsidR="00874925">
        <w:t>Productivity Commission</w:t>
      </w:r>
      <w:r>
        <w:t xml:space="preserve"> recommendation was for a simple test where </w:t>
      </w:r>
      <w:r w:rsidR="00BB5686">
        <w:t>products</w:t>
      </w:r>
      <w:r>
        <w:t xml:space="preserve"> would be compared to a </w:t>
      </w:r>
      <w:r w:rsidR="00166859">
        <w:t>limited</w:t>
      </w:r>
      <w:r>
        <w:t xml:space="preserve"> listed investment benchmark portfolio tailored to their asset allocation. However,</w:t>
      </w:r>
      <w:r w:rsidR="00226FEC">
        <w:t xml:space="preserve"> </w:t>
      </w:r>
      <w:r w:rsidR="00186A1C">
        <w:t xml:space="preserve">after consultation with industry, </w:t>
      </w:r>
      <w:r w:rsidR="00226FEC">
        <w:t xml:space="preserve">the test was </w:t>
      </w:r>
      <w:r>
        <w:t>disaggregat</w:t>
      </w:r>
      <w:r w:rsidR="00226FEC">
        <w:t>ed</w:t>
      </w:r>
      <w:r>
        <w:t xml:space="preserve"> </w:t>
      </w:r>
      <w:r w:rsidR="00E0062B">
        <w:t>into more</w:t>
      </w:r>
      <w:r w:rsidR="00B810AD">
        <w:t xml:space="preserve"> </w:t>
      </w:r>
      <w:r>
        <w:t xml:space="preserve">asset classes, increasing the number of indices that products are tested against. </w:t>
      </w:r>
      <w:r w:rsidR="00B83095">
        <w:t xml:space="preserve">There are currently </w:t>
      </w:r>
      <w:r w:rsidR="00513A5B" w:rsidRPr="001F38C0">
        <w:t>20</w:t>
      </w:r>
      <w:r w:rsidR="00B83095">
        <w:t xml:space="preserve"> indices </w:t>
      </w:r>
      <w:r w:rsidR="00513A5B">
        <w:t xml:space="preserve">across </w:t>
      </w:r>
      <w:r w:rsidR="008046D3">
        <w:t xml:space="preserve">26 asset classes </w:t>
      </w:r>
      <w:r w:rsidR="00B83095">
        <w:t xml:space="preserve">in the test, </w:t>
      </w:r>
      <w:r w:rsidR="001528F7">
        <w:t xml:space="preserve">compared </w:t>
      </w:r>
      <w:r w:rsidR="00B83095">
        <w:t xml:space="preserve">to the </w:t>
      </w:r>
      <w:r w:rsidR="00874925">
        <w:t>Productivity Commission</w:t>
      </w:r>
      <w:r w:rsidR="00945E74">
        <w:t>’s</w:t>
      </w:r>
      <w:r w:rsidR="00874925">
        <w:t xml:space="preserve"> </w:t>
      </w:r>
      <w:r w:rsidR="00B83095">
        <w:t xml:space="preserve">recommended </w:t>
      </w:r>
      <w:r w:rsidR="00F84134">
        <w:t>nine</w:t>
      </w:r>
      <w:r w:rsidR="00C74A94">
        <w:t xml:space="preserve"> across 16 asset classes</w:t>
      </w:r>
      <w:r w:rsidR="00AB6AC9">
        <w:t>.</w:t>
      </w:r>
      <w:r w:rsidR="00C435E9">
        <w:rPr>
          <w:rStyle w:val="FootnoteReference"/>
        </w:rPr>
        <w:footnoteReference w:id="9"/>
      </w:r>
      <w:r w:rsidR="00B83095">
        <w:t xml:space="preserve"> </w:t>
      </w:r>
    </w:p>
    <w:p w14:paraId="78B89051" w14:textId="7A5E872D" w:rsidR="00642BEB" w:rsidRDefault="00472FA2" w:rsidP="0009191F">
      <w:pPr>
        <w:spacing w:line="276" w:lineRule="auto"/>
      </w:pPr>
      <w:r>
        <w:t xml:space="preserve">Notably, the test was </w:t>
      </w:r>
      <w:r w:rsidR="00B83095">
        <w:t xml:space="preserve">intended </w:t>
      </w:r>
      <w:r>
        <w:t xml:space="preserve">to </w:t>
      </w:r>
      <w:r w:rsidR="00786B34">
        <w:t>only</w:t>
      </w:r>
      <w:r>
        <w:t xml:space="preserve"> </w:t>
      </w:r>
      <w:r w:rsidR="006E491A">
        <w:t>benchmark against</w:t>
      </w:r>
      <w:r>
        <w:t xml:space="preserve"> </w:t>
      </w:r>
      <w:r w:rsidRPr="00422F69">
        <w:rPr>
          <w:i/>
        </w:rPr>
        <w:t>listed</w:t>
      </w:r>
      <w:r>
        <w:t xml:space="preserve"> </w:t>
      </w:r>
      <w:r w:rsidR="005A0F47">
        <w:t>indices</w:t>
      </w:r>
      <w:r>
        <w:t xml:space="preserve">, </w:t>
      </w:r>
      <w:r w:rsidR="001C381D">
        <w:t>but</w:t>
      </w:r>
      <w:r>
        <w:t xml:space="preserve"> </w:t>
      </w:r>
      <w:r w:rsidR="005A0F47">
        <w:t xml:space="preserve">stakeholders </w:t>
      </w:r>
      <w:r w:rsidR="00BD438F">
        <w:t xml:space="preserve">recommended </w:t>
      </w:r>
      <w:r w:rsidR="001D380E">
        <w:t>the inclusion of unlisted assets to better reflect how</w:t>
      </w:r>
      <w:r w:rsidR="00713569">
        <w:t xml:space="preserve"> they</w:t>
      </w:r>
      <w:r>
        <w:t xml:space="preserve"> </w:t>
      </w:r>
      <w:r w:rsidR="00942F36">
        <w:t>invest</w:t>
      </w:r>
      <w:r>
        <w:t xml:space="preserve">. </w:t>
      </w:r>
      <w:r w:rsidR="00942F36">
        <w:t>However, u</w:t>
      </w:r>
      <w:r>
        <w:t xml:space="preserve">nlisted assets are difficult to benchmark and there </w:t>
      </w:r>
      <w:r w:rsidR="002874FB">
        <w:t xml:space="preserve">is </w:t>
      </w:r>
      <w:r w:rsidR="00786B34">
        <w:t xml:space="preserve">less </w:t>
      </w:r>
      <w:r w:rsidR="002874FB">
        <w:t>stakeholder consensus on the appropriate indices for unlisted assets</w:t>
      </w:r>
      <w:r>
        <w:t xml:space="preserve">. </w:t>
      </w:r>
    </w:p>
    <w:p w14:paraId="3BD5DA2F" w14:textId="3D4C423B" w:rsidR="001D7885" w:rsidRDefault="00001181" w:rsidP="0009191F">
      <w:pPr>
        <w:spacing w:line="276" w:lineRule="auto"/>
      </w:pPr>
      <w:r>
        <w:t xml:space="preserve">While it is possible to include additional </w:t>
      </w:r>
      <w:r w:rsidR="00D11019">
        <w:t>indices</w:t>
      </w:r>
      <w:r>
        <w:t xml:space="preserve"> within the test, s</w:t>
      </w:r>
      <w:r w:rsidR="001D7885">
        <w:t xml:space="preserve">everal factors </w:t>
      </w:r>
      <w:r w:rsidR="00DE41A5">
        <w:t xml:space="preserve">may </w:t>
      </w:r>
      <w:r w:rsidR="001D7885">
        <w:t xml:space="preserve">limit the benefit of </w:t>
      </w:r>
      <w:r w:rsidR="00A638F6">
        <w:t>this option</w:t>
      </w:r>
      <w:r w:rsidR="001D7885">
        <w:t>:</w:t>
      </w:r>
    </w:p>
    <w:p w14:paraId="21B1343B" w14:textId="3132BF72" w:rsidR="000552E3" w:rsidRDefault="00F46365" w:rsidP="00C52141">
      <w:pPr>
        <w:pStyle w:val="Bullet"/>
      </w:pPr>
      <w:r>
        <w:t xml:space="preserve">The test would continue to only assess the implementation of an investment strategy and would not </w:t>
      </w:r>
      <w:r w:rsidR="00CE293D">
        <w:t>provide any assessment of the strategy itself.</w:t>
      </w:r>
    </w:p>
    <w:p w14:paraId="74B1006D" w14:textId="17FC0B0C" w:rsidR="00175813" w:rsidRDefault="001D7885" w:rsidP="00C52141">
      <w:pPr>
        <w:pStyle w:val="Bullet"/>
      </w:pPr>
      <w:r>
        <w:t xml:space="preserve">Consensus on the right </w:t>
      </w:r>
      <w:r w:rsidR="00422F69">
        <w:t>indices</w:t>
      </w:r>
      <w:r>
        <w:t xml:space="preserve"> is difficult to achieve. </w:t>
      </w:r>
    </w:p>
    <w:p w14:paraId="5B4076F7" w14:textId="26FD5B1F" w:rsidR="007251DE" w:rsidRDefault="007251DE" w:rsidP="00C52141">
      <w:pPr>
        <w:pStyle w:val="Bullet"/>
      </w:pPr>
      <w:r>
        <w:t xml:space="preserve">For some </w:t>
      </w:r>
      <w:r w:rsidR="00B123E9">
        <w:t>emerging</w:t>
      </w:r>
      <w:r>
        <w:t xml:space="preserve"> asset</w:t>
      </w:r>
      <w:r w:rsidR="009F3B7E">
        <w:t xml:space="preserve"> classes</w:t>
      </w:r>
      <w:r w:rsidR="000D40D4">
        <w:t xml:space="preserve"> </w:t>
      </w:r>
      <w:r w:rsidR="009F3B7E">
        <w:t xml:space="preserve">appropriate </w:t>
      </w:r>
      <w:r w:rsidR="0008613A">
        <w:t>indice</w:t>
      </w:r>
      <w:r>
        <w:t>s do not exist</w:t>
      </w:r>
      <w:r w:rsidR="009C19FE">
        <w:t xml:space="preserve"> or are not as developed</w:t>
      </w:r>
      <w:r>
        <w:t xml:space="preserve">. </w:t>
      </w:r>
    </w:p>
    <w:p w14:paraId="162004EF" w14:textId="14399176" w:rsidR="001D7885" w:rsidRDefault="00CF4754" w:rsidP="00C52141">
      <w:pPr>
        <w:pStyle w:val="Bullet"/>
      </w:pPr>
      <w:r>
        <w:t xml:space="preserve">For </w:t>
      </w:r>
      <w:r w:rsidR="009F3B7E">
        <w:t xml:space="preserve">some </w:t>
      </w:r>
      <w:r w:rsidR="00025294">
        <w:t>emerging</w:t>
      </w:r>
      <w:r w:rsidR="003E3A98">
        <w:t xml:space="preserve"> </w:t>
      </w:r>
      <w:r w:rsidR="007A37D3">
        <w:t>asset</w:t>
      </w:r>
      <w:r w:rsidR="003E3A98">
        <w:t xml:space="preserve"> classes</w:t>
      </w:r>
      <w:r w:rsidR="007A37D3">
        <w:t xml:space="preserve">, particularly </w:t>
      </w:r>
      <w:r w:rsidR="000B5D46">
        <w:t>ESG products</w:t>
      </w:r>
      <w:r w:rsidR="007A37D3">
        <w:t xml:space="preserve">, </w:t>
      </w:r>
      <w:r w:rsidR="00390D61">
        <w:t xml:space="preserve">taxonomies are yet to be created </w:t>
      </w:r>
      <w:r w:rsidR="004D7191">
        <w:t xml:space="preserve">that would underpin </w:t>
      </w:r>
      <w:r w:rsidR="00C80C4B">
        <w:t xml:space="preserve">the population of products subject to </w:t>
      </w:r>
      <w:r w:rsidR="00DC69FD">
        <w:t>different</w:t>
      </w:r>
      <w:r w:rsidR="00C80C4B">
        <w:t xml:space="preserve"> </w:t>
      </w:r>
      <w:r w:rsidR="003B08EE">
        <w:t>indices</w:t>
      </w:r>
      <w:r w:rsidR="00266B13">
        <w:t xml:space="preserve">. Although </w:t>
      </w:r>
      <w:r w:rsidR="007C1980">
        <w:t>ESG</w:t>
      </w:r>
      <w:r w:rsidR="00266B13">
        <w:t xml:space="preserve"> indices have </w:t>
      </w:r>
      <w:r w:rsidR="00ED4A83">
        <w:t>developed since the introduction of the test in 2021,</w:t>
      </w:r>
      <w:r w:rsidR="00A47462">
        <w:t xml:space="preserve"> </w:t>
      </w:r>
      <w:r w:rsidR="00ED4A83">
        <w:t xml:space="preserve">for many indices </w:t>
      </w:r>
      <w:r w:rsidR="00A47462">
        <w:t>there is</w:t>
      </w:r>
      <w:r w:rsidR="007C1980">
        <w:t xml:space="preserve"> still</w:t>
      </w:r>
      <w:r w:rsidR="00A47462">
        <w:t xml:space="preserve"> a lack of sufficient histor</w:t>
      </w:r>
      <w:r w:rsidR="00157E00">
        <w:t>ical data</w:t>
      </w:r>
      <w:r w:rsidR="00A47462">
        <w:t xml:space="preserve"> </w:t>
      </w:r>
      <w:r w:rsidR="007251DE">
        <w:t xml:space="preserve">to allow a </w:t>
      </w:r>
      <w:r w:rsidR="00107BC5">
        <w:t>10-year</w:t>
      </w:r>
      <w:r w:rsidR="007251DE">
        <w:t xml:space="preserve"> lookback history</w:t>
      </w:r>
      <w:r w:rsidR="003E3A98">
        <w:t>.</w:t>
      </w:r>
      <w:r w:rsidR="00443B23">
        <w:rPr>
          <w:rStyle w:val="FootnoteReference"/>
        </w:rPr>
        <w:footnoteReference w:id="10"/>
      </w:r>
    </w:p>
    <w:p w14:paraId="6271CA78" w14:textId="5ED5614F" w:rsidR="00D07632" w:rsidRPr="00B361B8" w:rsidRDefault="001D7885" w:rsidP="00C52141">
      <w:pPr>
        <w:pStyle w:val="Bullet"/>
      </w:pPr>
      <w:r w:rsidRPr="00B361B8">
        <w:t xml:space="preserve">Additional benchmarks generally require new data collections by APRA, which will take time to implement. </w:t>
      </w:r>
    </w:p>
    <w:p w14:paraId="46A48CF8" w14:textId="12BAF22D" w:rsidR="0004710C" w:rsidRDefault="0004710C" w:rsidP="00C52141">
      <w:pPr>
        <w:pStyle w:val="Bullet"/>
      </w:pPr>
      <w:r>
        <w:t xml:space="preserve">Trustees typically need to purchase the indices from private providers, the costs of which can be </w:t>
      </w:r>
      <w:r w:rsidR="00BC6EF7">
        <w:t>expensive</w:t>
      </w:r>
      <w:r w:rsidR="00BD44FC">
        <w:t xml:space="preserve"> and/or </w:t>
      </w:r>
      <w:r>
        <w:t xml:space="preserve">material, with the cost ultimately paid by members through their fees. </w:t>
      </w:r>
    </w:p>
    <w:p w14:paraId="202E52DD" w14:textId="17480998" w:rsidR="00D07632" w:rsidRDefault="00D07632" w:rsidP="00C52141">
      <w:pPr>
        <w:pStyle w:val="Bullet"/>
      </w:pPr>
      <w:r>
        <w:t xml:space="preserve">More detailed benchmarks provide greater opportunity </w:t>
      </w:r>
      <w:r w:rsidR="0004710C">
        <w:t xml:space="preserve">for </w:t>
      </w:r>
      <w:r>
        <w:t>trustee</w:t>
      </w:r>
      <w:r w:rsidR="00A87B02">
        <w:t>s</w:t>
      </w:r>
      <w:r>
        <w:t xml:space="preserve"> to ‘choose’ their benchmark, increas</w:t>
      </w:r>
      <w:r w:rsidR="00D33BC9">
        <w:t>ing</w:t>
      </w:r>
      <w:r>
        <w:t xml:space="preserve"> the </w:t>
      </w:r>
      <w:r w:rsidR="007C0B20">
        <w:t>risk of trustees gaming the test</w:t>
      </w:r>
      <w:r w:rsidR="00D33BC9">
        <w:t>.</w:t>
      </w:r>
      <w:r w:rsidR="007C0B20">
        <w:t xml:space="preserve"> </w:t>
      </w:r>
    </w:p>
    <w:p w14:paraId="28690FAB" w14:textId="1EA0D8CD" w:rsidR="00117616" w:rsidRDefault="00683477" w:rsidP="00C52141">
      <w:pPr>
        <w:pStyle w:val="Bullet"/>
      </w:pPr>
      <w:r>
        <w:t>W</w:t>
      </w:r>
      <w:r w:rsidR="001D7885">
        <w:t xml:space="preserve">here benchmarks need to be updated to keep pace with changing investment landscapes, trustees will have a lack of certainty about whether there is potential for other </w:t>
      </w:r>
      <w:r w:rsidR="0065013B">
        <w:t xml:space="preserve">changes </w:t>
      </w:r>
      <w:r w:rsidR="001D7885">
        <w:t>to the testing framework</w:t>
      </w:r>
      <w:r w:rsidR="0065013B">
        <w:t xml:space="preserve"> in the future</w:t>
      </w:r>
      <w:r w:rsidR="001D7885">
        <w:t>.</w:t>
      </w:r>
    </w:p>
    <w:p w14:paraId="4BAFA98C" w14:textId="77777777" w:rsidR="001D7885" w:rsidRPr="00942473" w:rsidRDefault="001D7885" w:rsidP="0009191F">
      <w:pPr>
        <w:spacing w:line="276" w:lineRule="auto"/>
        <w:rPr>
          <w:i/>
          <w:color w:val="4D7861" w:themeColor="accent2"/>
        </w:rPr>
      </w:pPr>
      <w:r w:rsidRPr="00942473">
        <w:rPr>
          <w:i/>
          <w:color w:val="4D7861" w:themeColor="accent2"/>
        </w:rPr>
        <w:t>Benchmark ‘hugging’</w:t>
      </w:r>
    </w:p>
    <w:p w14:paraId="6D4678B8" w14:textId="12039CF9" w:rsidR="00F33D81" w:rsidRDefault="00B84600" w:rsidP="00C52141">
      <w:pPr>
        <w:spacing w:line="276" w:lineRule="auto"/>
      </w:pPr>
      <w:r>
        <w:t xml:space="preserve">Many stakeholders </w:t>
      </w:r>
      <w:r w:rsidR="008803EB">
        <w:t xml:space="preserve">during </w:t>
      </w:r>
      <w:r>
        <w:t>the YFYS Review also suggested that the</w:t>
      </w:r>
      <w:r w:rsidR="006A5406">
        <w:t>re is</w:t>
      </w:r>
      <w:r>
        <w:t xml:space="preserve"> a strong incentive to ‘hug’ the benchmarks</w:t>
      </w:r>
      <w:r w:rsidR="006A5406">
        <w:t>.</w:t>
      </w:r>
      <w:r w:rsidR="00D53D95">
        <w:t xml:space="preserve"> </w:t>
      </w:r>
      <w:r w:rsidR="006A5406">
        <w:t>T</w:t>
      </w:r>
      <w:r w:rsidR="00A70622">
        <w:t>his reduces th</w:t>
      </w:r>
      <w:r w:rsidR="006A5406">
        <w:t>e</w:t>
      </w:r>
      <w:r w:rsidR="00A70622">
        <w:t xml:space="preserve"> risk of </w:t>
      </w:r>
      <w:r w:rsidR="00812B40">
        <w:t>failing the test</w:t>
      </w:r>
      <w:r w:rsidR="003954F1">
        <w:t xml:space="preserve"> by investing in the same assets that make up the benchmarks</w:t>
      </w:r>
      <w:r>
        <w:t>.</w:t>
      </w:r>
      <w:r w:rsidR="00F33D81">
        <w:t xml:space="preserve"> Similarly, stakeholders have raised concerns that products which employ an investment strategy that has material sectoral differences relative to the benchmark face additional risk in failing the test due to higher levels of tracking error</w:t>
      </w:r>
      <w:r w:rsidR="00527B7C">
        <w:t>.</w:t>
      </w:r>
      <w:r w:rsidR="00F33D81">
        <w:rPr>
          <w:rStyle w:val="FootnoteReference"/>
        </w:rPr>
        <w:footnoteReference w:id="11"/>
      </w:r>
      <w:r w:rsidR="00F33D81">
        <w:t xml:space="preserve"> An example of this is </w:t>
      </w:r>
      <w:r w:rsidR="003B0FFD">
        <w:t xml:space="preserve">environmentally </w:t>
      </w:r>
      <w:r w:rsidR="00F33D81">
        <w:t>sustainable investment strategies that do not invest in fossil fuels, or high</w:t>
      </w:r>
      <w:r w:rsidR="00F33D81">
        <w:noBreakHyphen/>
        <w:t xml:space="preserve">emission assets. </w:t>
      </w:r>
    </w:p>
    <w:p w14:paraId="5FC7EEC9" w14:textId="1774D5FE" w:rsidR="00DD3448" w:rsidRDefault="00242A3C" w:rsidP="00C52141">
      <w:pPr>
        <w:spacing w:line="276" w:lineRule="auto"/>
      </w:pPr>
      <w:r>
        <w:t xml:space="preserve">This is not good for member outcomes. The current framework </w:t>
      </w:r>
      <w:r w:rsidR="00B84600">
        <w:t>affects the investment decision</w:t>
      </w:r>
      <w:r w:rsidR="00AC53CD">
        <w:t>s</w:t>
      </w:r>
      <w:r w:rsidR="00B84600">
        <w:t xml:space="preserve"> of all funds (not just underperformers)</w:t>
      </w:r>
      <w:r w:rsidR="003C5475">
        <w:t>.</w:t>
      </w:r>
      <w:r w:rsidR="00D04F61">
        <w:t xml:space="preserve"> </w:t>
      </w:r>
      <w:r w:rsidR="003C5475">
        <w:t xml:space="preserve">Instead of being neutral towards asset classes, the </w:t>
      </w:r>
      <w:r w:rsidR="00D249C2">
        <w:t>test</w:t>
      </w:r>
      <w:r w:rsidR="006E07A5">
        <w:t xml:space="preserve"> </w:t>
      </w:r>
      <w:r w:rsidR="00C34B00">
        <w:t xml:space="preserve">may be unintentionally </w:t>
      </w:r>
      <w:r w:rsidR="006E07A5">
        <w:t>distorting investment choices and</w:t>
      </w:r>
      <w:r w:rsidR="00D249C2">
        <w:t xml:space="preserve"> creates a disincentive to invest in any assets that are not well-represented in the benchmarks</w:t>
      </w:r>
      <w:r w:rsidR="002E1D41">
        <w:t xml:space="preserve">, </w:t>
      </w:r>
      <w:r w:rsidR="00DD7E86">
        <w:t xml:space="preserve">even if they deliver </w:t>
      </w:r>
      <w:r w:rsidR="003700E9">
        <w:t>superior</w:t>
      </w:r>
      <w:r w:rsidR="00DD7E86">
        <w:t xml:space="preserve"> investment returns to members</w:t>
      </w:r>
      <w:r w:rsidR="002E1D41">
        <w:t>.</w:t>
      </w:r>
      <w:r w:rsidR="00354EE8" w:rsidRPr="00354EE8">
        <w:t xml:space="preserve"> </w:t>
      </w:r>
    </w:p>
    <w:p w14:paraId="5AA6C3AC" w14:textId="67A34EAF" w:rsidR="00506854" w:rsidRDefault="00A264CF" w:rsidP="00C52141">
      <w:pPr>
        <w:spacing w:line="276" w:lineRule="auto"/>
      </w:pPr>
      <w:r>
        <w:t>One option</w:t>
      </w:r>
      <w:r w:rsidR="00D67C50">
        <w:t xml:space="preserve"> </w:t>
      </w:r>
      <w:r w:rsidR="00721ADF">
        <w:t>to improve the test’s accuracy and reduce the risk of benchmark hugging</w:t>
      </w:r>
      <w:r w:rsidR="00377C99">
        <w:t xml:space="preserve"> is</w:t>
      </w:r>
      <w:r w:rsidR="00721ADF">
        <w:t xml:space="preserve"> </w:t>
      </w:r>
      <w:r w:rsidR="001A7069">
        <w:t>to recalibrate</w:t>
      </w:r>
      <w:r w:rsidR="00721ADF">
        <w:t xml:space="preserve"> </w:t>
      </w:r>
      <w:r w:rsidR="000653F1">
        <w:t>and disaggregat</w:t>
      </w:r>
      <w:r w:rsidR="001A7069">
        <w:t>e</w:t>
      </w:r>
      <w:r w:rsidR="000653F1">
        <w:t xml:space="preserve"> the existing set of benchmarks</w:t>
      </w:r>
      <w:r>
        <w:t xml:space="preserve"> to include </w:t>
      </w:r>
      <w:r w:rsidR="0049273B">
        <w:t>more asset classes</w:t>
      </w:r>
      <w:r w:rsidR="006E07A5">
        <w:t>,</w:t>
      </w:r>
      <w:r w:rsidR="0049273B">
        <w:t xml:space="preserve"> such as commodities, private equit</w:t>
      </w:r>
      <w:r w:rsidR="00755C53">
        <w:t>ies</w:t>
      </w:r>
      <w:r w:rsidR="00193836">
        <w:t>,</w:t>
      </w:r>
      <w:r w:rsidR="00755C53">
        <w:t xml:space="preserve"> and </w:t>
      </w:r>
      <w:r w:rsidR="00815570">
        <w:t xml:space="preserve">longer duration bonds. </w:t>
      </w:r>
      <w:r w:rsidR="008F7EF7">
        <w:t xml:space="preserve">However, </w:t>
      </w:r>
      <w:r w:rsidR="005F111C">
        <w:t>as outlined above</w:t>
      </w:r>
      <w:r w:rsidR="008F7EF7">
        <w:t xml:space="preserve">, this option </w:t>
      </w:r>
      <w:r w:rsidR="007E0484">
        <w:t>has some limitations</w:t>
      </w:r>
      <w:r w:rsidR="00226D37">
        <w:t>, particularly in relation to data availability</w:t>
      </w:r>
      <w:r w:rsidR="007E0484">
        <w:t>.</w:t>
      </w:r>
      <w:r w:rsidR="004F34A4">
        <w:t xml:space="preserve"> </w:t>
      </w:r>
    </w:p>
    <w:p w14:paraId="639DDDF3" w14:textId="78422280" w:rsidR="00B51719" w:rsidRDefault="00377C99" w:rsidP="00C52141">
      <w:pPr>
        <w:spacing w:line="276" w:lineRule="auto"/>
        <w:rPr>
          <w:i/>
          <w:color w:val="4D7861" w:themeColor="accent2"/>
        </w:rPr>
      </w:pPr>
      <w:r>
        <w:t xml:space="preserve">An alternative </w:t>
      </w:r>
      <w:r w:rsidR="008F7EF7">
        <w:t xml:space="preserve">option to improve the current test would be to </w:t>
      </w:r>
      <w:r w:rsidR="006B3138">
        <w:t xml:space="preserve">simplify the test by </w:t>
      </w:r>
      <w:r w:rsidR="00872CC6">
        <w:t>reverting</w:t>
      </w:r>
      <w:r w:rsidR="006B3138">
        <w:t xml:space="preserve"> to the </w:t>
      </w:r>
      <w:r w:rsidR="00FF2CB0">
        <w:t>Productivity Commission</w:t>
      </w:r>
      <w:r w:rsidR="006B3138">
        <w:t>’s original recommendation that the benchmarks only contain listed indices, or even further to a simple</w:t>
      </w:r>
      <w:r w:rsidR="00243EC0">
        <w:noBreakHyphen/>
      </w:r>
      <w:r w:rsidR="006B3138">
        <w:t>reference portfolio comprised of only bonds and equities.</w:t>
      </w:r>
      <w:r w:rsidR="00872CC6">
        <w:t xml:space="preserve"> Whil</w:t>
      </w:r>
      <w:r w:rsidR="00DB31C6">
        <w:t>e</w:t>
      </w:r>
      <w:r w:rsidR="00872CC6">
        <w:t xml:space="preserve"> this may solve some </w:t>
      </w:r>
      <w:r w:rsidR="00D70D58">
        <w:t>issues</w:t>
      </w:r>
      <w:r w:rsidR="004A3F66">
        <w:t>, such as the cost of acquiring indices, this will come at the cost of increased tracking error</w:t>
      </w:r>
      <w:r w:rsidR="00BA0F7F">
        <w:t>.</w:t>
      </w:r>
    </w:p>
    <w:p w14:paraId="368D777E" w14:textId="77777777" w:rsidR="0002192D" w:rsidRDefault="0002192D">
      <w:pPr>
        <w:spacing w:before="0" w:after="160" w:line="259" w:lineRule="auto"/>
        <w:rPr>
          <w:i/>
          <w:color w:val="4D7861" w:themeColor="accent2"/>
        </w:rPr>
      </w:pPr>
      <w:r>
        <w:rPr>
          <w:i/>
          <w:color w:val="4D7861" w:themeColor="accent2"/>
        </w:rPr>
        <w:br w:type="page"/>
      </w:r>
    </w:p>
    <w:p w14:paraId="6ACD04AA" w14:textId="1B9ECF90" w:rsidR="00FA6B56" w:rsidRPr="00766B8B" w:rsidRDefault="00FA6B56" w:rsidP="0009191F">
      <w:pPr>
        <w:spacing w:before="0" w:after="160" w:line="276" w:lineRule="auto"/>
        <w:rPr>
          <w:i/>
          <w:color w:val="4D7861" w:themeColor="accent2"/>
        </w:rPr>
      </w:pPr>
      <w:r w:rsidRPr="00766B8B">
        <w:rPr>
          <w:i/>
          <w:color w:val="4D7861" w:themeColor="accent2"/>
        </w:rPr>
        <w:t xml:space="preserve">Administration </w:t>
      </w:r>
      <w:r w:rsidR="005053E3">
        <w:rPr>
          <w:i/>
          <w:color w:val="4D7861" w:themeColor="accent2"/>
        </w:rPr>
        <w:t>f</w:t>
      </w:r>
      <w:r w:rsidRPr="00766B8B">
        <w:rPr>
          <w:i/>
          <w:color w:val="4D7861" w:themeColor="accent2"/>
        </w:rPr>
        <w:t xml:space="preserve">ees </w:t>
      </w:r>
    </w:p>
    <w:p w14:paraId="0B517ADD" w14:textId="3B030A3D" w:rsidR="007758A4" w:rsidRDefault="000F53E6" w:rsidP="0009191F">
      <w:pPr>
        <w:keepNext/>
        <w:spacing w:line="276" w:lineRule="auto"/>
      </w:pPr>
      <w:r>
        <w:t>T</w:t>
      </w:r>
      <w:r w:rsidR="00FA6B56">
        <w:t xml:space="preserve">he </w:t>
      </w:r>
      <w:r w:rsidR="00E11168">
        <w:t xml:space="preserve">current </w:t>
      </w:r>
      <w:r w:rsidR="00FA6B56">
        <w:t xml:space="preserve">performance measure </w:t>
      </w:r>
      <w:r w:rsidR="00E11168">
        <w:t xml:space="preserve">reflects </w:t>
      </w:r>
      <w:r w:rsidR="00FA6B56">
        <w:t>administration fees over the most recent 12 months, mean</w:t>
      </w:r>
      <w:r w:rsidR="00E11168">
        <w:t>ing</w:t>
      </w:r>
      <w:r w:rsidR="00FA6B56">
        <w:t xml:space="preserve"> administration fees charged over the most recent 12 months account for half of the test</w:t>
      </w:r>
      <w:r w:rsidR="00786C68">
        <w:t>’s</w:t>
      </w:r>
      <w:r w:rsidR="00C52141">
        <w:t xml:space="preserve"> </w:t>
      </w:r>
      <w:r w:rsidR="00A11A37">
        <w:t>formula</w:t>
      </w:r>
      <w:r w:rsidR="00FA6B56">
        <w:t>. This has created a strong driver for underperforming funds to reduce fees to improve their results, which was an intended outcome.</w:t>
      </w:r>
    </w:p>
    <w:p w14:paraId="5DDD6CD7" w14:textId="7EAC8745" w:rsidR="00FA6B56" w:rsidRDefault="00173703" w:rsidP="0009191F">
      <w:pPr>
        <w:keepNext/>
        <w:spacing w:line="276" w:lineRule="auto"/>
      </w:pPr>
      <w:r>
        <w:t xml:space="preserve">There are divided opinions about the appropriate timeframe for assessing administration fees in the test. </w:t>
      </w:r>
      <w:r w:rsidR="00C84D77">
        <w:t>S</w:t>
      </w:r>
      <w:r w:rsidR="00FA6B56">
        <w:t xml:space="preserve">ome stakeholders </w:t>
      </w:r>
      <w:r w:rsidR="00E11168">
        <w:t xml:space="preserve">prefer a longer lookback period </w:t>
      </w:r>
      <w:r w:rsidR="00F85FAF">
        <w:t>for administration fees</w:t>
      </w:r>
      <w:r w:rsidR="007F5A6B">
        <w:t xml:space="preserve"> </w:t>
      </w:r>
      <w:r w:rsidR="00E11168">
        <w:t>(8-10 years</w:t>
      </w:r>
      <w:r w:rsidR="00236AFB">
        <w:t xml:space="preserve"> to align with the investment performance period</w:t>
      </w:r>
      <w:r w:rsidR="00E11168">
        <w:t xml:space="preserve">) </w:t>
      </w:r>
      <w:r w:rsidR="00B9360F">
        <w:t xml:space="preserve">as the current approach </w:t>
      </w:r>
      <w:r w:rsidR="00E11B00">
        <w:t xml:space="preserve">does not reflect </w:t>
      </w:r>
      <w:r w:rsidR="0081175C">
        <w:t xml:space="preserve">some </w:t>
      </w:r>
      <w:proofErr w:type="gramStart"/>
      <w:r w:rsidR="0081175C">
        <w:t>trustees</w:t>
      </w:r>
      <w:proofErr w:type="gramEnd"/>
      <w:r w:rsidR="0081175C">
        <w:t xml:space="preserve"> </w:t>
      </w:r>
      <w:r w:rsidR="00FA6B56">
        <w:t>historical</w:t>
      </w:r>
      <w:r w:rsidR="00FA6B56" w:rsidDel="00A90685">
        <w:t xml:space="preserve"> </w:t>
      </w:r>
      <w:r w:rsidR="00FA6B56">
        <w:t>fees and may result in t</w:t>
      </w:r>
      <w:r w:rsidR="0081175C">
        <w:t>hem</w:t>
      </w:r>
      <w:r w:rsidR="00FA6B56">
        <w:t xml:space="preserve"> shifting fees to other areas</w:t>
      </w:r>
      <w:r w:rsidR="005868D1">
        <w:t>.</w:t>
      </w:r>
    </w:p>
    <w:p w14:paraId="415DA60E" w14:textId="4C2CF8B0" w:rsidR="004B62A5" w:rsidRDefault="00B9360F" w:rsidP="0009191F">
      <w:pPr>
        <w:pStyle w:val="Bullet"/>
        <w:numPr>
          <w:ilvl w:val="0"/>
          <w:numId w:val="0"/>
        </w:numPr>
      </w:pPr>
      <w:r>
        <w:t xml:space="preserve">Further </w:t>
      </w:r>
      <w:r w:rsidR="007E5FFA">
        <w:t xml:space="preserve">discussion on the appropriate testing regime for administration fees is </w:t>
      </w:r>
      <w:r w:rsidR="004046D3">
        <w:t xml:space="preserve">considered in the </w:t>
      </w:r>
      <w:r w:rsidR="004046D3" w:rsidRPr="009E19EA">
        <w:rPr>
          <w:i/>
          <w:iCs/>
        </w:rPr>
        <w:t>Fees</w:t>
      </w:r>
      <w:r w:rsidR="004046D3">
        <w:t xml:space="preserve"> section</w:t>
      </w:r>
      <w:r w:rsidR="00AF1CCC">
        <w:t xml:space="preserve">. </w:t>
      </w:r>
      <w:r w:rsidR="007E5FFA">
        <w:t xml:space="preserve"> </w:t>
      </w:r>
    </w:p>
    <w:p w14:paraId="42CDE814" w14:textId="4B100A08" w:rsidR="00D80574" w:rsidRDefault="001B1C8D" w:rsidP="0009191F">
      <w:pPr>
        <w:spacing w:line="276" w:lineRule="auto"/>
        <w:rPr>
          <w:i/>
          <w:color w:val="4D7861" w:themeColor="accent2"/>
        </w:rPr>
      </w:pPr>
      <w:r>
        <w:rPr>
          <w:i/>
          <w:color w:val="4D7861" w:themeColor="accent2"/>
        </w:rPr>
        <w:t>Benchmark for performance</w:t>
      </w:r>
    </w:p>
    <w:p w14:paraId="53765DDF" w14:textId="5CBA503D" w:rsidR="00516AD5" w:rsidRDefault="00516AD5" w:rsidP="0009191F">
      <w:pPr>
        <w:spacing w:line="276" w:lineRule="auto"/>
      </w:pPr>
      <w:r>
        <w:t xml:space="preserve">A product fails the test if the performance measure is lower than </w:t>
      </w:r>
      <w:r>
        <w:noBreakHyphen/>
        <w:t>0.005 (or -0.50 per cent</w:t>
      </w:r>
      <w:r w:rsidR="009A2674">
        <w:t xml:space="preserve"> / 50 basis points</w:t>
      </w:r>
      <w:r>
        <w:t>)</w:t>
      </w:r>
      <w:r w:rsidR="006F58D6">
        <w:t xml:space="preserve"> below the benchmarks</w:t>
      </w:r>
      <w:r>
        <w:t>. This number was chosen as</w:t>
      </w:r>
      <w:r w:rsidR="00F0444C" w:rsidDel="00C84D77">
        <w:t xml:space="preserve"> </w:t>
      </w:r>
      <w:r w:rsidR="00F0444C">
        <w:t>a</w:t>
      </w:r>
      <w:r>
        <w:t xml:space="preserve"> buffer to account for short-term volatility and other factors outside the trustee’s control. </w:t>
      </w:r>
      <w:r w:rsidR="00804C1F">
        <w:t>However, some stakeholders have argued that this number is arbitrary and could be better calibrated</w:t>
      </w:r>
      <w:r w:rsidR="00AF507A">
        <w:t xml:space="preserve"> based on evidence</w:t>
      </w:r>
      <w:r w:rsidR="00804C1F">
        <w:t>.</w:t>
      </w:r>
      <w:r w:rsidR="00AF507A">
        <w:t xml:space="preserve"> However, other stakeholder</w:t>
      </w:r>
      <w:r w:rsidR="00B55F49">
        <w:t>s</w:t>
      </w:r>
      <w:r w:rsidR="00AF507A">
        <w:t xml:space="preserve"> would see increasing th</w:t>
      </w:r>
      <w:r w:rsidR="00D334CE">
        <w:t xml:space="preserve">is buffer as a weakening of the test and not in the interests of members. </w:t>
      </w:r>
    </w:p>
    <w:p w14:paraId="13346F79" w14:textId="6D253885" w:rsidR="00262826" w:rsidRDefault="000B1B34" w:rsidP="00361069">
      <w:pPr>
        <w:rPr>
          <w:rFonts w:ascii="Calibri" w:hAnsi="Calibri" w:cs="Arial"/>
          <w:b/>
          <w:color w:val="4D7861" w:themeColor="accent2"/>
          <w:kern w:val="32"/>
          <w:sz w:val="28"/>
          <w:szCs w:val="26"/>
        </w:rPr>
      </w:pPr>
      <w:r>
        <w:rPr>
          <w:noProof/>
          <w:sz w:val="24"/>
        </w:rPr>
        <mc:AlternateContent>
          <mc:Choice Requires="wps">
            <w:drawing>
              <wp:inline distT="0" distB="0" distL="0" distR="0" wp14:anchorId="4FF58E05" wp14:editId="24045B2A">
                <wp:extent cx="5743575" cy="5010150"/>
                <wp:effectExtent l="0" t="0" r="9525" b="0"/>
                <wp:docPr id="31" name="Text Box 31"/>
                <wp:cNvGraphicFramePr/>
                <a:graphic xmlns:a="http://schemas.openxmlformats.org/drawingml/2006/main">
                  <a:graphicData uri="http://schemas.microsoft.com/office/word/2010/wordprocessingShape">
                    <wps:wsp>
                      <wps:cNvSpPr txBox="1"/>
                      <wps:spPr>
                        <a:xfrm>
                          <a:off x="0" y="0"/>
                          <a:ext cx="5743575" cy="5010150"/>
                        </a:xfrm>
                        <a:prstGeom prst="rect">
                          <a:avLst/>
                        </a:prstGeom>
                        <a:solidFill>
                          <a:schemeClr val="accent3">
                            <a:lumMod val="20000"/>
                            <a:lumOff val="80000"/>
                          </a:schemeClr>
                        </a:solidFill>
                        <a:ln w="6350">
                          <a:noFill/>
                        </a:ln>
                      </wps:spPr>
                      <wps:txbx>
                        <w:txbxContent>
                          <w:p w14:paraId="13CC595A" w14:textId="2D030413" w:rsidR="007632C6" w:rsidRDefault="007632C6" w:rsidP="00FA44B6">
                            <w:pPr>
                              <w:pStyle w:val="Heading4"/>
                              <w:spacing w:before="120"/>
                            </w:pPr>
                            <w:r>
                              <w:t>Consultation Question</w:t>
                            </w:r>
                            <w:r w:rsidR="004B3D7A">
                              <w:t>s</w:t>
                            </w:r>
                          </w:p>
                          <w:p w14:paraId="196AE77F" w14:textId="0DC9FEB3" w:rsidR="00361069" w:rsidRDefault="00361069" w:rsidP="0058255F">
                            <w:pPr>
                              <w:pStyle w:val="OutlineNumbered1"/>
                              <w:numPr>
                                <w:ilvl w:val="0"/>
                                <w:numId w:val="59"/>
                              </w:numPr>
                            </w:pPr>
                            <w:r>
                              <w:t>Is assessing the implementation of a strategy, as opposed to assessing the choice of strategy itself, a strength or weakness of the current framework?</w:t>
                            </w:r>
                          </w:p>
                          <w:p w14:paraId="2C3E3A0C" w14:textId="52DD935B" w:rsidR="007632C6" w:rsidRDefault="007632C6" w:rsidP="0058255F">
                            <w:pPr>
                              <w:pStyle w:val="OutlineNumbered1"/>
                              <w:numPr>
                                <w:ilvl w:val="0"/>
                                <w:numId w:val="59"/>
                              </w:numPr>
                            </w:pPr>
                            <w:r>
                              <w:t xml:space="preserve">Can the existing methodology be materially improved, such as </w:t>
                            </w:r>
                            <w:r w:rsidR="00945AB0">
                              <w:t xml:space="preserve">by </w:t>
                            </w:r>
                            <w:r>
                              <w:t xml:space="preserve">further calibrating benchmarks, to </w:t>
                            </w:r>
                            <w:r>
                              <w:t>largely address unintended consequences?</w:t>
                            </w:r>
                            <w:r w:rsidR="002E3B3D">
                              <w:t xml:space="preserve"> </w:t>
                            </w:r>
                            <w:r w:rsidR="008A5B76">
                              <w:t>How c</w:t>
                            </w:r>
                            <w:r w:rsidR="00A847DC">
                              <w:t xml:space="preserve">ould these improvements </w:t>
                            </w:r>
                            <w:r w:rsidR="009A3820">
                              <w:t xml:space="preserve">overcome the incentive to benchmark hug, and remove barriers to invest in </w:t>
                            </w:r>
                            <w:r w:rsidR="000C6A36">
                              <w:t>emerging asset classes?</w:t>
                            </w:r>
                          </w:p>
                          <w:p w14:paraId="4763BCA5" w14:textId="7D5F251E" w:rsidR="00E30CC9" w:rsidRDefault="00E30CC9" w:rsidP="0058255F">
                            <w:pPr>
                              <w:pStyle w:val="OutlineNumbered1"/>
                              <w:numPr>
                                <w:ilvl w:val="0"/>
                                <w:numId w:val="59"/>
                              </w:numPr>
                            </w:pPr>
                            <w:r>
                              <w:t>What asset classes do you consider require better coverage in the test? What asset classes are covered well by the existing test?</w:t>
                            </w:r>
                          </w:p>
                          <w:p w14:paraId="5848E89F" w14:textId="358E1CCB" w:rsidR="00E30CC9" w:rsidRDefault="00E30CC9" w:rsidP="0058255F">
                            <w:pPr>
                              <w:pStyle w:val="OutlineNumbered1"/>
                              <w:numPr>
                                <w:ilvl w:val="0"/>
                                <w:numId w:val="59"/>
                              </w:numPr>
                            </w:pPr>
                            <w:r>
                              <w:t xml:space="preserve">Do you consider additional indices covering additional asset classes should be added to the test? If so, please provide the following details for </w:t>
                            </w:r>
                            <w:r w:rsidRPr="00CE31F8">
                              <w:rPr>
                                <w:b/>
                                <w:bCs/>
                                <w:u w:val="single"/>
                              </w:rPr>
                              <w:t>each</w:t>
                            </w:r>
                            <w:r>
                              <w:t xml:space="preserve"> of your recommendations</w:t>
                            </w:r>
                            <w:r w:rsidR="0027541A">
                              <w:t>:</w:t>
                            </w:r>
                          </w:p>
                          <w:p w14:paraId="0010FE12" w14:textId="77777777" w:rsidR="00E30CC9" w:rsidRDefault="00E30CC9" w:rsidP="0058255F">
                            <w:pPr>
                              <w:pStyle w:val="OutlineNumbered1"/>
                              <w:numPr>
                                <w:ilvl w:val="1"/>
                                <w:numId w:val="59"/>
                              </w:numPr>
                            </w:pPr>
                            <w:r>
                              <w:t>Description of asset class</w:t>
                            </w:r>
                          </w:p>
                          <w:p w14:paraId="26EFB801" w14:textId="5391D260" w:rsidR="00E30CC9" w:rsidRDefault="00E30CC9" w:rsidP="0058255F">
                            <w:pPr>
                              <w:pStyle w:val="OutlineNumbered1"/>
                              <w:numPr>
                                <w:ilvl w:val="1"/>
                                <w:numId w:val="59"/>
                              </w:numPr>
                            </w:pPr>
                            <w:r>
                              <w:t>Name of recommended index covering the above asset class</w:t>
                            </w:r>
                            <w:r w:rsidR="007561B8">
                              <w:t xml:space="preserve">, including the length of time </w:t>
                            </w:r>
                            <w:r w:rsidR="00F85410">
                              <w:t>data is available on the index</w:t>
                            </w:r>
                          </w:p>
                          <w:p w14:paraId="30FFCC29" w14:textId="788FBDE4" w:rsidR="00E30CC9" w:rsidRDefault="00375EAF" w:rsidP="0058255F">
                            <w:pPr>
                              <w:pStyle w:val="OutlineNumbered1"/>
                              <w:numPr>
                                <w:ilvl w:val="1"/>
                                <w:numId w:val="59"/>
                              </w:numPr>
                            </w:pPr>
                            <w:r>
                              <w:t>Details of appropriate fee and tax assumptions for such a</w:t>
                            </w:r>
                            <w:r w:rsidR="009A7D89">
                              <w:t>n</w:t>
                            </w:r>
                            <w:r>
                              <w:t xml:space="preserve"> asset class </w:t>
                            </w:r>
                          </w:p>
                          <w:p w14:paraId="60480095" w14:textId="77777777" w:rsidR="00E30CC9" w:rsidRDefault="00E30CC9" w:rsidP="0058255F">
                            <w:pPr>
                              <w:pStyle w:val="OutlineNumbered1"/>
                              <w:numPr>
                                <w:ilvl w:val="1"/>
                                <w:numId w:val="59"/>
                              </w:numPr>
                            </w:pPr>
                            <w:r>
                              <w:t>Explanation of why you consider this index is appropriate for inclusion</w:t>
                            </w:r>
                          </w:p>
                          <w:p w14:paraId="7273FAA4" w14:textId="4C56F660" w:rsidR="00E30CC9" w:rsidRDefault="00E30CC9" w:rsidP="0058255F">
                            <w:pPr>
                              <w:pStyle w:val="OutlineNumbered1"/>
                              <w:numPr>
                                <w:ilvl w:val="0"/>
                                <w:numId w:val="59"/>
                              </w:numPr>
                            </w:pPr>
                            <w:r>
                              <w:t xml:space="preserve">How should the test cater for new asset classes </w:t>
                            </w:r>
                            <w:r w:rsidR="005315A4">
                              <w:t>in</w:t>
                            </w:r>
                            <w:r>
                              <w:t xml:space="preserve"> the future?</w:t>
                            </w:r>
                          </w:p>
                          <w:p w14:paraId="1E4C5886" w14:textId="03C92E63" w:rsidR="00FA63F6" w:rsidRDefault="00FA63F6" w:rsidP="0058255F">
                            <w:pPr>
                              <w:pStyle w:val="OutlineNumbered1"/>
                              <w:numPr>
                                <w:ilvl w:val="0"/>
                                <w:numId w:val="59"/>
                              </w:numPr>
                            </w:pPr>
                            <w:r>
                              <w:t xml:space="preserve">Should the </w:t>
                            </w:r>
                            <w:r w:rsidR="00391DDB">
                              <w:t>threshold for failure be recalibrated</w:t>
                            </w:r>
                            <w:r w:rsidR="00193E5B">
                              <w:t xml:space="preserve"> for some products? </w:t>
                            </w:r>
                            <w:r w:rsidR="007F3D68">
                              <w:t xml:space="preserve">What evidence </w:t>
                            </w:r>
                            <w:r w:rsidR="006B2303">
                              <w:t>supports the need for a different threshold</w:t>
                            </w:r>
                            <w:r w:rsidR="00193E5B">
                              <w:t>?</w:t>
                            </w:r>
                            <w:r w:rsidR="0038711F">
                              <w:t xml:space="preserve"> How could a different threshold </w:t>
                            </w:r>
                            <w:r w:rsidR="00A024B5">
                              <w:t>deliver better long term returns to members?</w:t>
                            </w:r>
                          </w:p>
                          <w:p w14:paraId="78DF4B56" w14:textId="7E730209" w:rsidR="007632C6" w:rsidRDefault="00D21527" w:rsidP="0058255F">
                            <w:pPr>
                              <w:pStyle w:val="OutlineNumbered1"/>
                              <w:numPr>
                                <w:ilvl w:val="0"/>
                                <w:numId w:val="59"/>
                              </w:numPr>
                            </w:pPr>
                            <w:r>
                              <w:t xml:space="preserve">Would </w:t>
                            </w:r>
                            <w:r w:rsidR="00C6621C">
                              <w:t>retaining the current framework but moving to a simpler structure, such as a simple-reference portfolio</w:t>
                            </w:r>
                            <w:r w:rsidR="008924BE">
                              <w:t xml:space="preserve"> of only bonds and equities, address some of the concern</w:t>
                            </w:r>
                            <w:r w:rsidR="00A1207E">
                              <w:t>s</w:t>
                            </w:r>
                            <w:r w:rsidR="00AA7191">
                              <w:t xml:space="preserve"> with the current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4FF58E05" id="Text Box 31" o:spid="_x0000_s1027" type="#_x0000_t202" style="width:452.25pt;height: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" fillcolor="#dee3eb [662]" stroked="f" strokeweight=".5pt">
                <v:textbox>
                  <w:txbxContent>
                    <w:p w14:paraId="13CC595A" w14:textId="2D030413" w:rsidR="007632C6" w:rsidRDefault="007632C6" w:rsidP="00FA44B6">
                      <w:pPr>
                        <w:pStyle w:val="Heading4"/>
                        <w:spacing w:before="120"/>
                      </w:pPr>
                      <w:r>
                        <w:t>Consultation Question</w:t>
                      </w:r>
                      <w:r w:rsidR="004B3D7A">
                        <w:t>s</w:t>
                      </w:r>
                    </w:p>
                    <w:p w14:paraId="196AE77F" w14:textId="0DC9FEB3" w:rsidR="00361069" w:rsidRDefault="00361069" w:rsidP="0058255F">
                      <w:pPr>
                        <w:pStyle w:val="OutlineNumbered1"/>
                        <w:numPr>
                          <w:ilvl w:val="0"/>
                          <w:numId w:val="59"/>
                        </w:numPr>
                      </w:pPr>
                      <w:r>
                        <w:t>Is assessing the implementation of a strategy, as opposed to assessing the choice of strategy itself, a strength or weakness of the current framework?</w:t>
                      </w:r>
                    </w:p>
                    <w:p w14:paraId="2C3E3A0C" w14:textId="52DD935B" w:rsidR="007632C6" w:rsidRDefault="007632C6" w:rsidP="0058255F">
                      <w:pPr>
                        <w:pStyle w:val="OutlineNumbered1"/>
                        <w:numPr>
                          <w:ilvl w:val="0"/>
                          <w:numId w:val="59"/>
                        </w:numPr>
                      </w:pPr>
                      <w:r>
                        <w:t xml:space="preserve">Can the existing methodology be materially improved, such as </w:t>
                      </w:r>
                      <w:r w:rsidR="00945AB0">
                        <w:t xml:space="preserve">by </w:t>
                      </w:r>
                      <w:r>
                        <w:t xml:space="preserve">further calibrating benchmarks, to </w:t>
                      </w:r>
                      <w:proofErr w:type="gramStart"/>
                      <w:r>
                        <w:t>largely address</w:t>
                      </w:r>
                      <w:proofErr w:type="gramEnd"/>
                      <w:r>
                        <w:t xml:space="preserve"> unintended consequences?</w:t>
                      </w:r>
                      <w:r w:rsidR="002E3B3D">
                        <w:t xml:space="preserve"> </w:t>
                      </w:r>
                      <w:r w:rsidR="008A5B76">
                        <w:t>How c</w:t>
                      </w:r>
                      <w:r w:rsidR="00A847DC">
                        <w:t xml:space="preserve">ould these improvements </w:t>
                      </w:r>
                      <w:r w:rsidR="009A3820">
                        <w:t xml:space="preserve">overcome the incentive to benchmark hug, and remove barriers to invest in </w:t>
                      </w:r>
                      <w:r w:rsidR="000C6A36">
                        <w:t>emerging asset classes?</w:t>
                      </w:r>
                    </w:p>
                    <w:p w14:paraId="4763BCA5" w14:textId="7D5F251E" w:rsidR="00E30CC9" w:rsidRDefault="00E30CC9" w:rsidP="0058255F">
                      <w:pPr>
                        <w:pStyle w:val="OutlineNumbered1"/>
                        <w:numPr>
                          <w:ilvl w:val="0"/>
                          <w:numId w:val="59"/>
                        </w:numPr>
                      </w:pPr>
                      <w:r>
                        <w:t xml:space="preserve">What asset classes do you consider require better coverage in the test? What asset classes </w:t>
                      </w:r>
                      <w:proofErr w:type="gramStart"/>
                      <w:r>
                        <w:t>are covered</w:t>
                      </w:r>
                      <w:proofErr w:type="gramEnd"/>
                      <w:r>
                        <w:t xml:space="preserve"> well by the existing test?</w:t>
                      </w:r>
                    </w:p>
                    <w:p w14:paraId="5848E89F" w14:textId="358E1CCB" w:rsidR="00E30CC9" w:rsidRDefault="00E30CC9" w:rsidP="0058255F">
                      <w:pPr>
                        <w:pStyle w:val="OutlineNumbered1"/>
                        <w:numPr>
                          <w:ilvl w:val="0"/>
                          <w:numId w:val="59"/>
                        </w:numPr>
                      </w:pPr>
                      <w:r>
                        <w:t xml:space="preserve">Do you consider additional indices covering additional asset classes should </w:t>
                      </w:r>
                      <w:proofErr w:type="gramStart"/>
                      <w:r>
                        <w:t>be added</w:t>
                      </w:r>
                      <w:proofErr w:type="gramEnd"/>
                      <w:r>
                        <w:t xml:space="preserve"> to the test? If so, please provide the following details for </w:t>
                      </w:r>
                      <w:r w:rsidRPr="00CE31F8">
                        <w:rPr>
                          <w:b/>
                          <w:bCs/>
                          <w:u w:val="single"/>
                        </w:rPr>
                        <w:t>each</w:t>
                      </w:r>
                      <w:r>
                        <w:t xml:space="preserve"> of your recommendations</w:t>
                      </w:r>
                      <w:r w:rsidR="0027541A">
                        <w:t>:</w:t>
                      </w:r>
                    </w:p>
                    <w:p w14:paraId="0010FE12" w14:textId="77777777" w:rsidR="00E30CC9" w:rsidRDefault="00E30CC9" w:rsidP="0058255F">
                      <w:pPr>
                        <w:pStyle w:val="OutlineNumbered1"/>
                        <w:numPr>
                          <w:ilvl w:val="1"/>
                          <w:numId w:val="59"/>
                        </w:numPr>
                      </w:pPr>
                      <w:r>
                        <w:t>Description of asset class</w:t>
                      </w:r>
                    </w:p>
                    <w:p w14:paraId="26EFB801" w14:textId="5391D260" w:rsidR="00E30CC9" w:rsidRDefault="00E30CC9" w:rsidP="0058255F">
                      <w:pPr>
                        <w:pStyle w:val="OutlineNumbered1"/>
                        <w:numPr>
                          <w:ilvl w:val="1"/>
                          <w:numId w:val="59"/>
                        </w:numPr>
                      </w:pPr>
                      <w:r>
                        <w:t>Name of recommended index covering the above asset class</w:t>
                      </w:r>
                      <w:r w:rsidR="007561B8">
                        <w:t xml:space="preserve">, including the length of time </w:t>
                      </w:r>
                      <w:r w:rsidR="00F85410">
                        <w:t>data is available on the index</w:t>
                      </w:r>
                    </w:p>
                    <w:p w14:paraId="30FFCC29" w14:textId="788FBDE4" w:rsidR="00E30CC9" w:rsidRDefault="00375EAF" w:rsidP="0058255F">
                      <w:pPr>
                        <w:pStyle w:val="OutlineNumbered1"/>
                        <w:numPr>
                          <w:ilvl w:val="1"/>
                          <w:numId w:val="59"/>
                        </w:numPr>
                      </w:pPr>
                      <w:r>
                        <w:t>Details of appropriate fee and tax assumptions for such a</w:t>
                      </w:r>
                      <w:r w:rsidR="009A7D89">
                        <w:t>n</w:t>
                      </w:r>
                      <w:r>
                        <w:t xml:space="preserve"> asset class </w:t>
                      </w:r>
                    </w:p>
                    <w:p w14:paraId="60480095" w14:textId="77777777" w:rsidR="00E30CC9" w:rsidRDefault="00E30CC9" w:rsidP="0058255F">
                      <w:pPr>
                        <w:pStyle w:val="OutlineNumbered1"/>
                        <w:numPr>
                          <w:ilvl w:val="1"/>
                          <w:numId w:val="59"/>
                        </w:numPr>
                      </w:pPr>
                      <w:r>
                        <w:t>Explanation of why you consider this index is appropriate for inclusion</w:t>
                      </w:r>
                    </w:p>
                    <w:p w14:paraId="7273FAA4" w14:textId="4C56F660" w:rsidR="00E30CC9" w:rsidRDefault="00E30CC9" w:rsidP="0058255F">
                      <w:pPr>
                        <w:pStyle w:val="OutlineNumbered1"/>
                        <w:numPr>
                          <w:ilvl w:val="0"/>
                          <w:numId w:val="59"/>
                        </w:numPr>
                      </w:pPr>
                      <w:r>
                        <w:t xml:space="preserve">How should the test cater for new asset classes </w:t>
                      </w:r>
                      <w:r w:rsidR="005315A4">
                        <w:t>in</w:t>
                      </w:r>
                      <w:r>
                        <w:t xml:space="preserve"> the future?</w:t>
                      </w:r>
                    </w:p>
                    <w:p w14:paraId="1E4C5886" w14:textId="03C92E63" w:rsidR="00FA63F6" w:rsidRDefault="00FA63F6" w:rsidP="0058255F">
                      <w:pPr>
                        <w:pStyle w:val="OutlineNumbered1"/>
                        <w:numPr>
                          <w:ilvl w:val="0"/>
                          <w:numId w:val="59"/>
                        </w:numPr>
                      </w:pPr>
                      <w:r>
                        <w:t xml:space="preserve">Should the </w:t>
                      </w:r>
                      <w:r w:rsidR="00391DDB">
                        <w:t>threshold for failure be recalibrated</w:t>
                      </w:r>
                      <w:r w:rsidR="00193E5B">
                        <w:t xml:space="preserve"> for </w:t>
                      </w:r>
                      <w:proofErr w:type="gramStart"/>
                      <w:r w:rsidR="00193E5B">
                        <w:t>some</w:t>
                      </w:r>
                      <w:proofErr w:type="gramEnd"/>
                      <w:r w:rsidR="00193E5B">
                        <w:t xml:space="preserve"> products? </w:t>
                      </w:r>
                      <w:r w:rsidR="007F3D68">
                        <w:t xml:space="preserve">What evidence </w:t>
                      </w:r>
                      <w:r w:rsidR="006B2303">
                        <w:t>supports the need for a different threshold</w:t>
                      </w:r>
                      <w:r w:rsidR="00193E5B">
                        <w:t>?</w:t>
                      </w:r>
                      <w:r w:rsidR="0038711F">
                        <w:t xml:space="preserve"> How could a different threshold </w:t>
                      </w:r>
                      <w:r w:rsidR="00A024B5">
                        <w:t>deliver better long term returns to members?</w:t>
                      </w:r>
                    </w:p>
                    <w:p w14:paraId="78DF4B56" w14:textId="7E730209" w:rsidR="007632C6" w:rsidRDefault="00D21527" w:rsidP="0058255F">
                      <w:pPr>
                        <w:pStyle w:val="OutlineNumbered1"/>
                        <w:numPr>
                          <w:ilvl w:val="0"/>
                          <w:numId w:val="59"/>
                        </w:numPr>
                      </w:pPr>
                      <w:r>
                        <w:t xml:space="preserve">Would </w:t>
                      </w:r>
                      <w:r w:rsidR="00C6621C">
                        <w:t>retaining the current framework but moving to a simpler structure, such as a simple-reference portfolio</w:t>
                      </w:r>
                      <w:r w:rsidR="008924BE">
                        <w:t xml:space="preserve"> of only bonds and equities, address </w:t>
                      </w:r>
                      <w:proofErr w:type="gramStart"/>
                      <w:r w:rsidR="008924BE">
                        <w:t>some of</w:t>
                      </w:r>
                      <w:proofErr w:type="gramEnd"/>
                      <w:r w:rsidR="008924BE">
                        <w:t xml:space="preserve"> the concern</w:t>
                      </w:r>
                      <w:r w:rsidR="00A1207E">
                        <w:t>s</w:t>
                      </w:r>
                      <w:r w:rsidR="00AA7191">
                        <w:t xml:space="preserve"> with the current test?</w:t>
                      </w:r>
                    </w:p>
                  </w:txbxContent>
                </v:textbox>
                <w10:anchorlock/>
              </v:shape>
            </w:pict>
          </mc:Fallback>
        </mc:AlternateContent>
      </w:r>
      <w:r w:rsidR="00262826">
        <w:br w:type="page"/>
      </w:r>
    </w:p>
    <w:p w14:paraId="29E647F6" w14:textId="290B7E0F" w:rsidR="00C130D2" w:rsidRDefault="00357EB8" w:rsidP="00C130D2">
      <w:pPr>
        <w:pStyle w:val="Heading3"/>
      </w:pPr>
      <w:bookmarkStart w:id="24" w:name="_Toc155955175"/>
      <w:r>
        <w:t>2</w:t>
      </w:r>
      <w:r w:rsidR="00C130D2">
        <w:t>. Alternative single-metric test</w:t>
      </w:r>
      <w:bookmarkEnd w:id="24"/>
      <w:r w:rsidR="00C130D2">
        <w:t xml:space="preserve"> </w:t>
      </w:r>
      <w:r w:rsidR="007B7EE5">
        <w:t>–</w:t>
      </w:r>
      <w:r w:rsidR="00217680">
        <w:t xml:space="preserve"> R</w:t>
      </w:r>
      <w:r w:rsidR="007B7EE5">
        <w:t>isk-adjusted returns</w:t>
      </w:r>
    </w:p>
    <w:p w14:paraId="026373C0" w14:textId="77777777" w:rsidR="00C130D2" w:rsidRDefault="00C130D2" w:rsidP="00C130D2">
      <w:pPr>
        <w:pStyle w:val="Heading4"/>
        <w:spacing w:before="120"/>
      </w:pPr>
      <w:r>
        <w:t>Rationale</w:t>
      </w:r>
    </w:p>
    <w:p w14:paraId="388C1498" w14:textId="4147C579" w:rsidR="00C130D2" w:rsidRDefault="00C130D2" w:rsidP="0009191F">
      <w:pPr>
        <w:spacing w:line="276" w:lineRule="auto"/>
      </w:pPr>
      <w:r>
        <w:t>Some stakeholders have argued that</w:t>
      </w:r>
      <w:r w:rsidR="00221C1C">
        <w:t xml:space="preserve"> </w:t>
      </w:r>
      <w:r>
        <w:t>an alternative single-metric</w:t>
      </w:r>
      <w:r w:rsidR="00AF6EE3">
        <w:t xml:space="preserve"> </w:t>
      </w:r>
      <w:r w:rsidR="00E97C97">
        <w:t xml:space="preserve">test </w:t>
      </w:r>
      <w:r w:rsidR="00AF6EE3">
        <w:t>could better assess performance</w:t>
      </w:r>
      <w:r w:rsidR="00417C03">
        <w:t xml:space="preserve"> and </w:t>
      </w:r>
      <w:r w:rsidR="00BB6882">
        <w:t xml:space="preserve">would have </w:t>
      </w:r>
      <w:r>
        <w:t>the benefit of being a simpler and more comprehendible framework when compared to a multi-metric test</w:t>
      </w:r>
      <w:r w:rsidR="00040955">
        <w:t xml:space="preserve"> (discussed below)</w:t>
      </w:r>
      <w:r>
        <w:t xml:space="preserve">. However, a key challenge lies in identifying an appropriate metric </w:t>
      </w:r>
      <w:r w:rsidR="00D73FA1">
        <w:t xml:space="preserve">and </w:t>
      </w:r>
      <w:r w:rsidR="00D73FA1" w:rsidRPr="00857A1D">
        <w:t>bench</w:t>
      </w:r>
      <w:r w:rsidR="00663CEB" w:rsidRPr="00857A1D">
        <w:t>mark</w:t>
      </w:r>
      <w:r>
        <w:t xml:space="preserve"> that more effectively detects underperformance across a range </w:t>
      </w:r>
      <w:r w:rsidR="00D31F90">
        <w:t>of</w:t>
      </w:r>
      <w:r>
        <w:t xml:space="preserve"> product types and improves member outcomes.</w:t>
      </w:r>
    </w:p>
    <w:p w14:paraId="70FECE80" w14:textId="54DF959F" w:rsidR="00C130D2" w:rsidRDefault="00D14907" w:rsidP="0009191F">
      <w:pPr>
        <w:spacing w:line="276" w:lineRule="auto"/>
      </w:pPr>
      <w:r>
        <w:t>All</w:t>
      </w:r>
      <w:r w:rsidR="00475CCF">
        <w:t xml:space="preserve"> options in this section focus on risk-adj</w:t>
      </w:r>
      <w:r w:rsidR="002F3829">
        <w:t>usted</w:t>
      </w:r>
      <w:r w:rsidR="00475CCF">
        <w:t xml:space="preserve"> returns</w:t>
      </w:r>
      <w:r w:rsidR="00FF3C75">
        <w:t xml:space="preserve">, </w:t>
      </w:r>
      <w:r w:rsidR="004A276A">
        <w:t xml:space="preserve">as this measures </w:t>
      </w:r>
      <w:r w:rsidR="007B7BB9">
        <w:t xml:space="preserve">trustees providing a </w:t>
      </w:r>
      <w:r w:rsidR="00542A00">
        <w:t xml:space="preserve">good </w:t>
      </w:r>
      <w:r w:rsidR="007701AC">
        <w:t>return</w:t>
      </w:r>
      <w:r w:rsidR="00542A00">
        <w:t xml:space="preserve"> for members for a </w:t>
      </w:r>
      <w:r w:rsidR="00584BE9">
        <w:t xml:space="preserve">given level of risk. </w:t>
      </w:r>
      <w:r w:rsidR="00306F00" w:rsidRPr="00A67550">
        <w:t xml:space="preserve">This measure is sector </w:t>
      </w:r>
      <w:r w:rsidR="000E3B5C" w:rsidRPr="00A67550">
        <w:t>neutral</w:t>
      </w:r>
      <w:r w:rsidR="00043F75" w:rsidRPr="00A67550">
        <w:t xml:space="preserve"> but</w:t>
      </w:r>
      <w:r w:rsidR="00913043" w:rsidRPr="00A67550">
        <w:t xml:space="preserve"> will benefit </w:t>
      </w:r>
      <w:r w:rsidR="004C3466" w:rsidRPr="00A67550">
        <w:t>portfolios that are well-diversified</w:t>
      </w:r>
      <w:r w:rsidR="00B97844" w:rsidRPr="00A67550">
        <w:t xml:space="preserve">, </w:t>
      </w:r>
      <w:r w:rsidR="00CA722B" w:rsidRPr="0009191F">
        <w:t xml:space="preserve">which </w:t>
      </w:r>
      <w:r w:rsidR="00B97844" w:rsidRPr="00A67550">
        <w:t>includ</w:t>
      </w:r>
      <w:r w:rsidR="00CA722B" w:rsidRPr="0009191F">
        <w:t>e</w:t>
      </w:r>
      <w:r w:rsidR="004C3466" w:rsidRPr="00A67550">
        <w:t xml:space="preserve"> a range of unlisted assets</w:t>
      </w:r>
      <w:r w:rsidR="008730D0" w:rsidRPr="00A67550">
        <w:t>.</w:t>
      </w:r>
    </w:p>
    <w:p w14:paraId="2EE97624" w14:textId="73D01E0D" w:rsidR="000B1B34" w:rsidRDefault="00C130D2" w:rsidP="0009191F">
      <w:pPr>
        <w:spacing w:line="276" w:lineRule="auto"/>
      </w:pPr>
      <w:r>
        <w:t>T</w:t>
      </w:r>
      <w:r w:rsidR="00440D82">
        <w:t>hree</w:t>
      </w:r>
      <w:r>
        <w:t xml:space="preserve"> alternative single-metric </w:t>
      </w:r>
      <w:r w:rsidR="00793261">
        <w:t xml:space="preserve">options </w:t>
      </w:r>
      <w:r>
        <w:t>are set out below</w:t>
      </w:r>
      <w:r w:rsidR="00741386">
        <w:t xml:space="preserve"> – the first</w:t>
      </w:r>
      <w:r w:rsidR="00F929B8">
        <w:t xml:space="preserve"> is</w:t>
      </w:r>
      <w:r w:rsidR="00741386">
        <w:t xml:space="preserve"> a</w:t>
      </w:r>
      <w:r w:rsidR="00D123BC">
        <w:t>n absolute</w:t>
      </w:r>
      <w:r w:rsidR="00741386">
        <w:t xml:space="preserve"> </w:t>
      </w:r>
      <w:r w:rsidR="00095018">
        <w:t>mea</w:t>
      </w:r>
      <w:r w:rsidR="00F929B8">
        <w:t>sure</w:t>
      </w:r>
      <w:r w:rsidR="00927227">
        <w:t xml:space="preserve"> (</w:t>
      </w:r>
      <w:r w:rsidR="00254AEA">
        <w:t>a num</w:t>
      </w:r>
      <w:r w:rsidR="00AE71C7">
        <w:t>erical outcome)</w:t>
      </w:r>
      <w:r w:rsidR="00F929B8">
        <w:t xml:space="preserve"> of</w:t>
      </w:r>
      <w:r w:rsidR="00BA3DD2">
        <w:t xml:space="preserve"> a trustee</w:t>
      </w:r>
      <w:r w:rsidR="00227DFF">
        <w:t xml:space="preserve">’s ability to </w:t>
      </w:r>
      <w:r w:rsidR="00A157AA">
        <w:t>achieve</w:t>
      </w:r>
      <w:r w:rsidR="00F929B8">
        <w:t xml:space="preserve"> risk-adjusted returns</w:t>
      </w:r>
      <w:r w:rsidR="00A157AA">
        <w:t xml:space="preserve"> </w:t>
      </w:r>
      <w:r w:rsidR="008F405A">
        <w:t>beyond</w:t>
      </w:r>
      <w:r w:rsidR="00A157AA">
        <w:t xml:space="preserve"> the risk-free rate</w:t>
      </w:r>
      <w:r w:rsidR="00F929B8">
        <w:t xml:space="preserve">, the second </w:t>
      </w:r>
      <w:r w:rsidR="009C56E2">
        <w:t>is</w:t>
      </w:r>
      <w:r w:rsidR="008F405A">
        <w:t xml:space="preserve"> a</w:t>
      </w:r>
      <w:r w:rsidR="009C56E2">
        <w:t xml:space="preserve"> </w:t>
      </w:r>
      <w:r w:rsidR="00852C8F">
        <w:t xml:space="preserve">peer comparison of </w:t>
      </w:r>
      <w:r w:rsidR="00747A1F">
        <w:t xml:space="preserve">risk-adjusted returns, and the third </w:t>
      </w:r>
      <w:r w:rsidR="009C56E2">
        <w:t>is</w:t>
      </w:r>
      <w:r w:rsidR="008F405A">
        <w:t xml:space="preserve"> a</w:t>
      </w:r>
      <w:r w:rsidR="009C56E2">
        <w:t xml:space="preserve"> </w:t>
      </w:r>
      <w:r w:rsidR="00D837F7">
        <w:t>measurement of risk</w:t>
      </w:r>
      <w:r w:rsidR="00223F5B">
        <w:noBreakHyphen/>
      </w:r>
      <w:r w:rsidR="00D837F7">
        <w:t xml:space="preserve">adjusted returns </w:t>
      </w:r>
      <w:r w:rsidR="00D33420">
        <w:t xml:space="preserve">relative to </w:t>
      </w:r>
      <w:r w:rsidR="00D802E2">
        <w:t xml:space="preserve">a </w:t>
      </w:r>
      <w:r w:rsidR="00747A1F">
        <w:t xml:space="preserve">simple-reference portfolio </w:t>
      </w:r>
      <w:r w:rsidR="001D473E">
        <w:t>(SRP)</w:t>
      </w:r>
      <w:r w:rsidR="00747A1F">
        <w:t xml:space="preserve"> frontier</w:t>
      </w:r>
      <w:r w:rsidR="00793261">
        <w:t>.</w:t>
      </w:r>
      <w:r w:rsidR="00747A1F">
        <w:t xml:space="preserve"> </w:t>
      </w:r>
      <w:r w:rsidR="00BD6CF3">
        <w:t xml:space="preserve">It should be noted that </w:t>
      </w:r>
      <w:r w:rsidR="0060130C">
        <w:t>t</w:t>
      </w:r>
      <w:r w:rsidR="00747A1F">
        <w:t xml:space="preserve">he </w:t>
      </w:r>
      <w:r w:rsidR="00E54EA9">
        <w:t xml:space="preserve">proposed </w:t>
      </w:r>
      <w:r w:rsidR="00372F24">
        <w:t>measurements of performance</w:t>
      </w:r>
      <w:r w:rsidR="00E54EA9">
        <w:t xml:space="preserve"> in the second and third options could be </w:t>
      </w:r>
      <w:r w:rsidR="00BD6CF3">
        <w:t xml:space="preserve">paired with either of the </w:t>
      </w:r>
      <w:r w:rsidR="00372F24">
        <w:t>benchmark</w:t>
      </w:r>
      <w:r w:rsidR="00223F5B">
        <w:t>s</w:t>
      </w:r>
      <w:r w:rsidR="00372F24">
        <w:t xml:space="preserve"> for performance </w:t>
      </w:r>
      <w:r w:rsidR="0060130C">
        <w:t>proposed in those options (</w:t>
      </w:r>
      <w:r w:rsidR="00EF12FE">
        <w:t xml:space="preserve">a </w:t>
      </w:r>
      <w:r w:rsidR="001D473E">
        <w:t>peer comparison or SRP</w:t>
      </w:r>
      <w:r w:rsidR="00EF12FE">
        <w:t xml:space="preserve"> frontier</w:t>
      </w:r>
      <w:r w:rsidR="001D473E">
        <w:t xml:space="preserve">). </w:t>
      </w:r>
    </w:p>
    <w:p w14:paraId="1712918B" w14:textId="22339513" w:rsidR="000B1B34" w:rsidRPr="00E4663E" w:rsidRDefault="001F3ED8" w:rsidP="00C52141">
      <w:pPr>
        <w:pStyle w:val="Heading4"/>
        <w:spacing w:before="120"/>
      </w:pPr>
      <w:r>
        <w:t xml:space="preserve">2a. </w:t>
      </w:r>
      <w:r w:rsidR="00C130D2" w:rsidRPr="00E4663E">
        <w:t xml:space="preserve">Sharpe </w:t>
      </w:r>
      <w:r w:rsidR="00931447">
        <w:t>r</w:t>
      </w:r>
      <w:r w:rsidR="00C130D2" w:rsidRPr="00E4663E">
        <w:t>atio</w:t>
      </w:r>
    </w:p>
    <w:p w14:paraId="5EFC4245" w14:textId="49A193D3" w:rsidR="000B1B34" w:rsidRDefault="00C130D2" w:rsidP="0009191F">
      <w:pPr>
        <w:spacing w:line="276" w:lineRule="auto"/>
      </w:pPr>
      <w:r>
        <w:t xml:space="preserve">Stakeholders have argued that the primary role of a fund is to provide good risk-adjusted returns for their members. </w:t>
      </w:r>
      <w:r w:rsidR="000B1B34">
        <w:t>The Sharpe ratio is a simple approach that seeks to compare the excess return (that is, the net return generated above the risk-free rate) against the volatility of the returns. This single</w:t>
      </w:r>
      <w:r w:rsidR="0089765B">
        <w:noBreakHyphen/>
      </w:r>
      <w:r w:rsidR="000B1B34">
        <w:t>metric could be used as a broad assessment of the fund</w:t>
      </w:r>
      <w:r w:rsidR="00D46774">
        <w:t>’</w:t>
      </w:r>
      <w:r w:rsidR="000B1B34">
        <w:t xml:space="preserve">s ability to generate good risk-adjusted returns for their members. Arguably, this could be a more appropriate testing metric than the current framework, as it </w:t>
      </w:r>
      <w:r w:rsidR="00F60E52">
        <w:t>provides a broader assessment of performance</w:t>
      </w:r>
      <w:r w:rsidR="000B1B34">
        <w:t xml:space="preserve">, not </w:t>
      </w:r>
      <w:r w:rsidR="00F60E52">
        <w:t xml:space="preserve">just SAA </w:t>
      </w:r>
      <w:r w:rsidR="000B1B34">
        <w:t>implementation.</w:t>
      </w:r>
    </w:p>
    <w:p w14:paraId="2E20709F" w14:textId="2D0761C9" w:rsidR="00344F8D" w:rsidRPr="00E4663E" w:rsidRDefault="00A733AE" w:rsidP="00C52141">
      <w:pPr>
        <w:pStyle w:val="Heading4"/>
        <w:rPr>
          <w:i/>
          <w:sz w:val="28"/>
          <w:szCs w:val="28"/>
        </w:rPr>
      </w:pPr>
      <w:r w:rsidRPr="008037B9">
        <w:rPr>
          <w:i/>
          <w:szCs w:val="28"/>
        </w:rPr>
        <w:t>Measurement</w:t>
      </w:r>
      <w:r w:rsidR="00344F8D" w:rsidRPr="00E4663E">
        <w:rPr>
          <w:i/>
          <w:szCs w:val="28"/>
        </w:rPr>
        <w:t xml:space="preserve"> of performance</w:t>
      </w:r>
    </w:p>
    <w:p w14:paraId="4CC0FFCE" w14:textId="3A61FEF9" w:rsidR="00C130D2" w:rsidRDefault="000E575E" w:rsidP="00C130D2">
      <w:r>
        <w:rPr>
          <w:noProof/>
        </w:rPr>
        <mc:AlternateContent>
          <mc:Choice Requires="wps">
            <w:drawing>
              <wp:inline distT="0" distB="0" distL="0" distR="0" wp14:anchorId="5CAC0B89" wp14:editId="2D67BF45">
                <wp:extent cx="5635625" cy="3314700"/>
                <wp:effectExtent l="0" t="0" r="3175" b="0"/>
                <wp:docPr id="15" name="Text Box 15"/>
                <wp:cNvGraphicFramePr/>
                <a:graphic xmlns:a="http://schemas.openxmlformats.org/drawingml/2006/main">
                  <a:graphicData uri="http://schemas.microsoft.com/office/word/2010/wordprocessingShape">
                    <wps:wsp>
                      <wps:cNvSpPr txBox="1"/>
                      <wps:spPr>
                        <a:xfrm>
                          <a:off x="0" y="0"/>
                          <a:ext cx="5635625" cy="3314700"/>
                        </a:xfrm>
                        <a:prstGeom prst="rect">
                          <a:avLst/>
                        </a:prstGeom>
                        <a:solidFill>
                          <a:srgbClr val="5D779D">
                            <a:lumMod val="20000"/>
                            <a:lumOff val="80000"/>
                          </a:srgbClr>
                        </a:solidFill>
                        <a:ln w="6350">
                          <a:noFill/>
                        </a:ln>
                      </wps:spPr>
                      <wps:txbx>
                        <w:txbxContent>
                          <w:p w14:paraId="1E79F511" w14:textId="77777777" w:rsidR="006C6821" w:rsidRDefault="006C6821" w:rsidP="00EC6773">
                            <w:pPr>
                              <w:pStyle w:val="Heading4"/>
                              <w:spacing w:before="120"/>
                              <w:jc w:val="center"/>
                            </w:pPr>
                            <w:r>
                              <w:t>Box 1 – Sharpe ratio</w:t>
                            </w:r>
                          </w:p>
                          <w:p w14:paraId="4A5D3CD5" w14:textId="0BECB2C3" w:rsidR="00260F39" w:rsidRDefault="00B66DE8" w:rsidP="00E4663E">
                            <w:pPr>
                              <w:spacing w:before="0"/>
                            </w:pPr>
                            <w:r>
                              <w:t xml:space="preserve">The Sharpe ratio, proposed by William Sharpe </w:t>
                            </w:r>
                            <w:r w:rsidR="00A73E94">
                              <w:t xml:space="preserve">in 1966, is a widely used measure of </w:t>
                            </w:r>
                            <w:r w:rsidR="00432835">
                              <w:t xml:space="preserve">investment </w:t>
                            </w:r>
                            <w:r w:rsidR="00C919C8">
                              <w:t>performance</w:t>
                            </w:r>
                            <w:r w:rsidR="00725B0C">
                              <w:t xml:space="preserve">. The Sharpe ratio </w:t>
                            </w:r>
                            <w:r w:rsidR="00C919C8">
                              <w:t xml:space="preserve">seeks to </w:t>
                            </w:r>
                            <w:r w:rsidR="007A6FC0">
                              <w:t xml:space="preserve">calculate </w:t>
                            </w:r>
                            <w:r w:rsidR="0065728B">
                              <w:t xml:space="preserve">the </w:t>
                            </w:r>
                            <w:r w:rsidR="0098058F">
                              <w:t>risk</w:t>
                            </w:r>
                            <w:r w:rsidR="00626973">
                              <w:t>-</w:t>
                            </w:r>
                            <w:r w:rsidR="0098058F">
                              <w:t xml:space="preserve">adjusted </w:t>
                            </w:r>
                            <w:r w:rsidR="00626973">
                              <w:t xml:space="preserve">performance of an investment </w:t>
                            </w:r>
                            <w:r w:rsidR="00AD1448">
                              <w:t>option</w:t>
                            </w:r>
                            <w:r w:rsidR="007D0E6A">
                              <w:t xml:space="preserve"> by dividing the excess return</w:t>
                            </w:r>
                            <w:r w:rsidR="004B14BE">
                              <w:t>s</w:t>
                            </w:r>
                            <w:r w:rsidR="007D0E6A">
                              <w:t xml:space="preserve"> of an </w:t>
                            </w:r>
                            <w:r w:rsidR="004B14BE">
                              <w:t>investment</w:t>
                            </w:r>
                            <w:r w:rsidR="007D0E6A">
                              <w:t xml:space="preserve"> by </w:t>
                            </w:r>
                            <w:r w:rsidR="004B14BE">
                              <w:t>its risk:</w:t>
                            </w:r>
                            <w:r w:rsidR="00D718B7">
                              <w:t xml:space="preserve"> </w:t>
                            </w:r>
                          </w:p>
                          <w:p w14:paraId="47BB4F0A" w14:textId="4B9EFF3C" w:rsidR="006C6821" w:rsidRDefault="006C6821" w:rsidP="00EC6773">
                            <w:pPr>
                              <w:pStyle w:val="OutlineNumbered1"/>
                              <w:numPr>
                                <w:ilvl w:val="0"/>
                                <w:numId w:val="0"/>
                              </w:numPr>
                              <w:ind w:left="851" w:hanging="851"/>
                            </w:pPr>
                            <m:oMathPara>
                              <m:oMath>
                                <m:r>
                                  <w:rPr>
                                    <w:rFonts w:ascii="Cambria Math" w:hAnsi="Cambria Math"/>
                                  </w:rPr>
                                  <m:t xml:space="preserve">Sharpe ratio= </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num>
                                  <m:den>
                                    <m:sSub>
                                      <m:sSubPr>
                                        <m:ctrlPr>
                                          <w:rPr>
                                            <w:rFonts w:ascii="Cambria Math" w:hAnsi="Cambria Math"/>
                                            <w:i/>
                                          </w:rPr>
                                        </m:ctrlPr>
                                      </m:sSubPr>
                                      <m:e>
                                        <m:r>
                                          <w:rPr>
                                            <w:rFonts w:ascii="Cambria Math" w:hAnsi="Cambria Math"/>
                                          </w:rPr>
                                          <m:t>σ</m:t>
                                        </m:r>
                                      </m:e>
                                      <m:sub>
                                        <m:r>
                                          <w:rPr>
                                            <w:rFonts w:ascii="Cambria Math" w:hAnsi="Cambria Math"/>
                                          </w:rPr>
                                          <m:t>p</m:t>
                                        </m:r>
                                      </m:sub>
                                    </m:sSub>
                                  </m:den>
                                </m:f>
                              </m:oMath>
                            </m:oMathPara>
                          </w:p>
                          <w:p w14:paraId="1BE18380" w14:textId="680973FA" w:rsidR="002708FB" w:rsidRPr="002A10DB" w:rsidRDefault="005E1008" w:rsidP="00027797">
                            <w:pPr>
                              <w:pStyle w:val="OutlineNumbered1"/>
                              <w:numPr>
                                <w:ilvl w:val="0"/>
                                <w:numId w:val="0"/>
                              </w:numPr>
                              <w:spacing w:after="0"/>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p</m:t>
                                    </m:r>
                                  </m:sub>
                                </m:sSub>
                                <m:r>
                                  <w:rPr>
                                    <w:rFonts w:ascii="Cambria Math" w:hAnsi="Cambria Math"/>
                                  </w:rPr>
                                  <m:t>=return of the product</m:t>
                                </m:r>
                                <m:r>
                                  <m:rPr>
                                    <m:sty m:val="p"/>
                                  </m:rPr>
                                  <w:rPr>
                                    <w:rFonts w:ascii="Cambria Math" w:hAnsi="Cambria Math"/>
                                  </w:rPr>
                                  <w:br/>
                                </m:r>
                              </m:oMath>
                              <m:oMath>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=risk free rate</m:t>
                                </m:r>
                                <m:r>
                                  <m:rPr>
                                    <m:sty m:val="p"/>
                                  </m:rPr>
                                  <w:rPr>
                                    <w:rFonts w:ascii="Cambria Math" w:hAnsi="Cambria Math"/>
                                  </w:rPr>
                                  <w:br/>
                                </m:r>
                              </m:oMath>
                              <m:oMath>
                                <m:sSub>
                                  <m:sSubPr>
                                    <m:ctrlPr>
                                      <w:rPr>
                                        <w:rFonts w:ascii="Cambria Math" w:hAnsi="Cambria Math"/>
                                        <w:i/>
                                      </w:rPr>
                                    </m:ctrlPr>
                                  </m:sSubPr>
                                  <m:e>
                                    <m:r>
                                      <w:rPr>
                                        <w:rFonts w:ascii="Cambria Math" w:hAnsi="Cambria Math"/>
                                      </w:rPr>
                                      <m:t>σ</m:t>
                                    </m:r>
                                  </m:e>
                                  <m:sub>
                                    <m:r>
                                      <w:rPr>
                                        <w:rFonts w:ascii="Cambria Math" w:hAnsi="Cambria Math"/>
                                      </w:rPr>
                                      <m:t>p</m:t>
                                    </m:r>
                                  </m:sub>
                                </m:sSub>
                                <m:r>
                                  <w:rPr>
                                    <w:rFonts w:ascii="Cambria Math" w:hAnsi="Cambria Math"/>
                                  </w:rPr>
                                  <m:t>=standard deviation of the product's returns</m:t>
                                </m:r>
                              </m:oMath>
                            </m:oMathPara>
                          </w:p>
                          <w:p w14:paraId="1E391DDF" w14:textId="77777777" w:rsidR="006C6821" w:rsidRPr="00E4663E" w:rsidRDefault="006C6821" w:rsidP="00E4663E">
                            <w:pPr>
                              <w:pStyle w:val="OutlineNumbered1"/>
                              <w:numPr>
                                <w:ilvl w:val="0"/>
                                <w:numId w:val="0"/>
                              </w:numPr>
                              <w:spacing w:after="0"/>
                              <w:rPr>
                                <w:sz w:val="8"/>
                                <w:szCs w:val="6"/>
                              </w:rPr>
                            </w:pPr>
                          </w:p>
                          <w:p w14:paraId="1BC23AA1" w14:textId="4DB31DF4" w:rsidR="00F6710D" w:rsidRDefault="00B55AB4" w:rsidP="00027797">
                            <w:pPr>
                              <w:pStyle w:val="OutlineNumbered1"/>
                              <w:numPr>
                                <w:ilvl w:val="0"/>
                                <w:numId w:val="0"/>
                              </w:numPr>
                            </w:pPr>
                            <w:r>
                              <w:t>‘</w:t>
                            </w:r>
                            <w:r w:rsidR="00423994">
                              <w:t>E</w:t>
                            </w:r>
                            <w:r>
                              <w:t xml:space="preserve">xcess </w:t>
                            </w:r>
                            <w:r w:rsidRPr="00EC6773">
                              <w:rPr>
                                <w:b/>
                                <w:bCs/>
                              </w:rPr>
                              <w:t>returns</w:t>
                            </w:r>
                            <w:r>
                              <w:t>’</w:t>
                            </w:r>
                            <w:r w:rsidR="00F07FA6">
                              <w:t xml:space="preserve"> </w:t>
                            </w:r>
                            <w:r w:rsidR="00423994">
                              <w:t xml:space="preserve">is used </w:t>
                            </w:r>
                            <w:r w:rsidR="00F07FA6">
                              <w:t>in the numerator</w:t>
                            </w:r>
                            <w:r w:rsidR="00C65761">
                              <w:t xml:space="preserve"> as the measure of the product</w:t>
                            </w:r>
                            <w:r w:rsidR="000C4C02">
                              <w:t>’</w:t>
                            </w:r>
                            <w:r w:rsidR="00C65761">
                              <w:t xml:space="preserve">s returns. It is the </w:t>
                            </w:r>
                            <w:r w:rsidR="00222B97">
                              <w:t xml:space="preserve">amount of </w:t>
                            </w:r>
                            <w:r w:rsidR="00EA082D">
                              <w:t xml:space="preserve">return the </w:t>
                            </w:r>
                            <w:r w:rsidR="004B7D82">
                              <w:t xml:space="preserve">product </w:t>
                            </w:r>
                            <w:r w:rsidR="004B14BE">
                              <w:t>delivers</w:t>
                            </w:r>
                            <w:r w:rsidR="00EA082D">
                              <w:t xml:space="preserve"> above </w:t>
                            </w:r>
                            <w:r w:rsidR="00015084">
                              <w:t>the risk</w:t>
                            </w:r>
                            <w:r w:rsidR="004B7D82">
                              <w:t>-</w:t>
                            </w:r>
                            <w:r w:rsidR="00015084">
                              <w:t>free rate</w:t>
                            </w:r>
                            <w:r w:rsidR="00F07FA6">
                              <w:t xml:space="preserve"> (for example, </w:t>
                            </w:r>
                            <w:r w:rsidR="00B7062A">
                              <w:t xml:space="preserve">the return of </w:t>
                            </w:r>
                            <w:r w:rsidR="00FF48FC">
                              <w:t>a</w:t>
                            </w:r>
                            <w:r w:rsidR="00F07FA6">
                              <w:t xml:space="preserve"> long</w:t>
                            </w:r>
                            <w:r w:rsidR="00504BAB">
                              <w:t>-</w:t>
                            </w:r>
                            <w:r w:rsidR="00F07FA6">
                              <w:t>term Government Bond)</w:t>
                            </w:r>
                            <w:r w:rsidR="0087128B">
                              <w:t xml:space="preserve">. </w:t>
                            </w:r>
                          </w:p>
                          <w:p w14:paraId="4DE2205D" w14:textId="0B6B0AFF" w:rsidR="007E2988" w:rsidRDefault="004B14BE" w:rsidP="00027797">
                            <w:pPr>
                              <w:pStyle w:val="OutlineNumbered1"/>
                              <w:numPr>
                                <w:ilvl w:val="0"/>
                                <w:numId w:val="0"/>
                              </w:numPr>
                            </w:pPr>
                            <w:r>
                              <w:t xml:space="preserve">The </w:t>
                            </w:r>
                            <w:r w:rsidR="00423994">
                              <w:t xml:space="preserve">Sharpe ratio uses </w:t>
                            </w:r>
                            <w:r w:rsidR="00DF2B20">
                              <w:t xml:space="preserve">standard deviation </w:t>
                            </w:r>
                            <w:r w:rsidR="004458B9">
                              <w:t xml:space="preserve">of the </w:t>
                            </w:r>
                            <w:r w:rsidR="00987F99">
                              <w:t>product</w:t>
                            </w:r>
                            <w:r w:rsidR="00182F49">
                              <w:t>’</w:t>
                            </w:r>
                            <w:r w:rsidR="00987F99">
                              <w:t xml:space="preserve">s returns </w:t>
                            </w:r>
                            <w:r w:rsidR="00DF2B20">
                              <w:t xml:space="preserve">as a proxy for </w:t>
                            </w:r>
                            <w:r w:rsidR="00DF2B20" w:rsidRPr="00EC6773">
                              <w:rPr>
                                <w:b/>
                                <w:bCs/>
                              </w:rPr>
                              <w:t>risk</w:t>
                            </w:r>
                            <w:r w:rsidR="00DF2B20">
                              <w:t xml:space="preserve">. Standard deviation </w:t>
                            </w:r>
                            <w:r w:rsidR="00101AFC">
                              <w:t xml:space="preserve">is calculated </w:t>
                            </w:r>
                            <w:r w:rsidR="005442B1">
                              <w:t xml:space="preserve">by measuring the </w:t>
                            </w:r>
                            <w:r w:rsidR="005565E0">
                              <w:t xml:space="preserve">volatility of the </w:t>
                            </w:r>
                            <w:r w:rsidR="005442B1">
                              <w:t>product</w:t>
                            </w:r>
                            <w:r w:rsidR="005B346A">
                              <w:t>’</w:t>
                            </w:r>
                            <w:r w:rsidR="005442B1">
                              <w:t xml:space="preserve">s </w:t>
                            </w:r>
                            <w:r w:rsidR="008016F9">
                              <w:t xml:space="preserve">returns over time. </w:t>
                            </w:r>
                            <w:r w:rsidR="00987F99">
                              <w:t xml:space="preserve">Products with </w:t>
                            </w:r>
                            <w:r w:rsidR="00203E5D">
                              <w:t xml:space="preserve">returns that are volatile </w:t>
                            </w:r>
                            <w:r w:rsidR="00B865F4">
                              <w:t>(</w:t>
                            </w:r>
                            <w:r w:rsidR="001C77D9">
                              <w:t xml:space="preserve">achieve periodic returns that are </w:t>
                            </w:r>
                            <w:r w:rsidR="00B865F4">
                              <w:t xml:space="preserve">higher </w:t>
                            </w:r>
                            <w:r w:rsidR="00203E5D">
                              <w:t xml:space="preserve">or </w:t>
                            </w:r>
                            <w:r w:rsidR="00B865F4">
                              <w:t>lower than the</w:t>
                            </w:r>
                            <w:r w:rsidR="001C77D9">
                              <w:t xml:space="preserve"> long</w:t>
                            </w:r>
                            <w:r w:rsidR="00BA67B8">
                              <w:noBreakHyphen/>
                            </w:r>
                            <w:r w:rsidR="001C77D9">
                              <w:t>term</w:t>
                            </w:r>
                            <w:r w:rsidR="00B865F4">
                              <w:t xml:space="preserve"> average return</w:t>
                            </w:r>
                            <w:r w:rsidR="008C37D1">
                              <w:t xml:space="preserve"> of the product</w:t>
                            </w:r>
                            <w:r w:rsidR="00B865F4">
                              <w:t xml:space="preserve">) </w:t>
                            </w:r>
                            <w:r w:rsidR="00865284">
                              <w:t xml:space="preserve">have a higher standard deviation.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5CAC0B89" id="Text Box 15" o:spid="_x0000_s1028" type="#_x0000_t202" style="width:443.7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" fillcolor="#dee4ec" stroked="f" strokeweight=".5pt">
                <v:textbox>
                  <w:txbxContent>
                    <w:p w14:paraId="1E79F511" w14:textId="77777777" w:rsidR="006C6821" w:rsidRDefault="006C6821" w:rsidP="00EC6773">
                      <w:pPr>
                        <w:pStyle w:val="Heading4"/>
                        <w:spacing w:before="120"/>
                        <w:jc w:val="center"/>
                      </w:pPr>
                      <w:r>
                        <w:t>Box 1 – Sharpe ratio</w:t>
                      </w:r>
                    </w:p>
                    <w:p w14:paraId="4A5D3CD5" w14:textId="0BECB2C3" w:rsidR="00260F39" w:rsidRDefault="00B66DE8" w:rsidP="00E4663E">
                      <w:pPr>
                        <w:spacing w:before="0"/>
                      </w:pPr>
                      <w:r>
                        <w:t xml:space="preserve">The Sharpe ratio, proposed by William Sharpe </w:t>
                      </w:r>
                      <w:r w:rsidR="00A73E94">
                        <w:t xml:space="preserve">in 1966, is a widely used measure of </w:t>
                      </w:r>
                      <w:r w:rsidR="00432835">
                        <w:t xml:space="preserve">investment </w:t>
                      </w:r>
                      <w:r w:rsidR="00C919C8">
                        <w:t>performance</w:t>
                      </w:r>
                      <w:r w:rsidR="00725B0C">
                        <w:t xml:space="preserve">. The Sharpe ratio </w:t>
                      </w:r>
                      <w:r w:rsidR="00C919C8">
                        <w:t xml:space="preserve">seeks to </w:t>
                      </w:r>
                      <w:r w:rsidR="007A6FC0">
                        <w:t xml:space="preserve">calculate </w:t>
                      </w:r>
                      <w:r w:rsidR="0065728B">
                        <w:t xml:space="preserve">the </w:t>
                      </w:r>
                      <w:r w:rsidR="0098058F">
                        <w:t>risk</w:t>
                      </w:r>
                      <w:r w:rsidR="00626973">
                        <w:t>-</w:t>
                      </w:r>
                      <w:r w:rsidR="0098058F">
                        <w:t xml:space="preserve">adjusted </w:t>
                      </w:r>
                      <w:r w:rsidR="00626973">
                        <w:t xml:space="preserve">performance of an investment </w:t>
                      </w:r>
                      <w:r w:rsidR="00AD1448">
                        <w:t>option</w:t>
                      </w:r>
                      <w:r w:rsidR="007D0E6A">
                        <w:t xml:space="preserve"> by dividing the excess return</w:t>
                      </w:r>
                      <w:r w:rsidR="004B14BE">
                        <w:t>s</w:t>
                      </w:r>
                      <w:r w:rsidR="007D0E6A">
                        <w:t xml:space="preserve"> of an </w:t>
                      </w:r>
                      <w:r w:rsidR="004B14BE">
                        <w:t>investment</w:t>
                      </w:r>
                      <w:r w:rsidR="007D0E6A">
                        <w:t xml:space="preserve"> by </w:t>
                      </w:r>
                      <w:r w:rsidR="004B14BE">
                        <w:t>its risk:</w:t>
                      </w:r>
                      <w:r w:rsidR="00D718B7">
                        <w:t xml:space="preserve"> </w:t>
                      </w:r>
                    </w:p>
                    <w:p w14:paraId="47BB4F0A" w14:textId="4B9EFF3C" w:rsidR="006C6821" w:rsidRDefault="006C6821" w:rsidP="00EC6773">
                      <w:pPr>
                        <w:pStyle w:val="OutlineNumbered1"/>
                        <w:numPr>
                          <w:ilvl w:val="0"/>
                          <w:numId w:val="0"/>
                        </w:numPr>
                        <w:ind w:left="851" w:hanging="851"/>
                      </w:pPr>
                      <m:oMathPara>
                        <m:oMath>
                          <m:r>
                            <w:rPr>
                              <w:rFonts w:ascii="Cambria Math" w:hAnsi="Cambria Math"/>
                            </w:rPr>
                            <m:t xml:space="preserve">Sharpe ratio= </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m:t>
                              </m:r>
                            </m:num>
                            <m:den>
                              <m:sSub>
                                <m:sSubPr>
                                  <m:ctrlPr>
                                    <w:rPr>
                                      <w:rFonts w:ascii="Cambria Math" w:hAnsi="Cambria Math"/>
                                      <w:i/>
                                    </w:rPr>
                                  </m:ctrlPr>
                                </m:sSubPr>
                                <m:e>
                                  <m:r>
                                    <w:rPr>
                                      <w:rFonts w:ascii="Cambria Math" w:hAnsi="Cambria Math"/>
                                    </w:rPr>
                                    <m:t>σ</m:t>
                                  </m:r>
                                </m:e>
                                <m:sub>
                                  <m:r>
                                    <w:rPr>
                                      <w:rFonts w:ascii="Cambria Math" w:hAnsi="Cambria Math"/>
                                    </w:rPr>
                                    <m:t>p</m:t>
                                  </m:r>
                                </m:sub>
                              </m:sSub>
                            </m:den>
                          </m:f>
                        </m:oMath>
                      </m:oMathPara>
                    </w:p>
                    <w:p w14:paraId="1BE18380" w14:textId="680973FA" w:rsidR="002708FB" w:rsidRPr="002A10DB" w:rsidRDefault="000D1B3A" w:rsidP="00027797">
                      <w:pPr>
                        <w:pStyle w:val="OutlineNumbered1"/>
                        <w:numPr>
                          <w:ilvl w:val="0"/>
                          <w:numId w:val="0"/>
                        </w:numPr>
                        <w:spacing w:after="0"/>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p</m:t>
                              </m:r>
                            </m:sub>
                          </m:sSub>
                          <m:r>
                            <w:rPr>
                              <w:rFonts w:ascii="Cambria Math" w:hAnsi="Cambria Math"/>
                            </w:rPr>
                            <m:t>=return of the product</m:t>
                          </m:r>
                          <m:r>
                            <m:rPr>
                              <m:sty m:val="p"/>
                            </m:rPr>
                            <w:rPr>
                              <w:rFonts w:ascii="Cambria Math" w:hAnsi="Cambria Math"/>
                            </w:rPr>
                            <w:br/>
                          </m:r>
                        </m:oMath>
                        <m:oMath>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=risk free rate</m:t>
                          </m:r>
                          <m:r>
                            <m:rPr>
                              <m:sty m:val="p"/>
                            </m:rPr>
                            <w:rPr>
                              <w:rFonts w:ascii="Cambria Math" w:hAnsi="Cambria Math"/>
                            </w:rPr>
                            <w:br/>
                          </m:r>
                        </m:oMath>
                        <m:oMath>
                          <m:sSub>
                            <m:sSubPr>
                              <m:ctrlPr>
                                <w:rPr>
                                  <w:rFonts w:ascii="Cambria Math" w:hAnsi="Cambria Math"/>
                                  <w:i/>
                                </w:rPr>
                              </m:ctrlPr>
                            </m:sSubPr>
                            <m:e>
                              <m:r>
                                <w:rPr>
                                  <w:rFonts w:ascii="Cambria Math" w:hAnsi="Cambria Math"/>
                                </w:rPr>
                                <m:t>σ</m:t>
                              </m:r>
                            </m:e>
                            <m:sub>
                              <m:r>
                                <w:rPr>
                                  <w:rFonts w:ascii="Cambria Math" w:hAnsi="Cambria Math"/>
                                </w:rPr>
                                <m:t>p</m:t>
                              </m:r>
                            </m:sub>
                          </m:sSub>
                          <m:r>
                            <w:rPr>
                              <w:rFonts w:ascii="Cambria Math" w:hAnsi="Cambria Math"/>
                            </w:rPr>
                            <m:t>=standard deviation of the product's returns</m:t>
                          </m:r>
                        </m:oMath>
                      </m:oMathPara>
                    </w:p>
                    <w:p w14:paraId="1E391DDF" w14:textId="77777777" w:rsidR="006C6821" w:rsidRPr="00E4663E" w:rsidRDefault="006C6821" w:rsidP="00E4663E">
                      <w:pPr>
                        <w:pStyle w:val="OutlineNumbered1"/>
                        <w:numPr>
                          <w:ilvl w:val="0"/>
                          <w:numId w:val="0"/>
                        </w:numPr>
                        <w:spacing w:after="0"/>
                        <w:rPr>
                          <w:sz w:val="8"/>
                          <w:szCs w:val="6"/>
                        </w:rPr>
                      </w:pPr>
                    </w:p>
                    <w:p w14:paraId="1BC23AA1" w14:textId="4DB31DF4" w:rsidR="00F6710D" w:rsidRDefault="00B55AB4" w:rsidP="00027797">
                      <w:pPr>
                        <w:pStyle w:val="OutlineNumbered1"/>
                        <w:numPr>
                          <w:ilvl w:val="0"/>
                          <w:numId w:val="0"/>
                        </w:numPr>
                      </w:pPr>
                      <w:r>
                        <w:t>‘</w:t>
                      </w:r>
                      <w:r w:rsidR="00423994">
                        <w:t>E</w:t>
                      </w:r>
                      <w:r>
                        <w:t xml:space="preserve">xcess </w:t>
                      </w:r>
                      <w:r w:rsidRPr="00EC6773">
                        <w:rPr>
                          <w:b/>
                          <w:bCs/>
                        </w:rPr>
                        <w:t>returns</w:t>
                      </w:r>
                      <w:r>
                        <w:t>’</w:t>
                      </w:r>
                      <w:r w:rsidR="00F07FA6">
                        <w:t xml:space="preserve"> </w:t>
                      </w:r>
                      <w:proofErr w:type="gramStart"/>
                      <w:r w:rsidR="00423994">
                        <w:t>is used</w:t>
                      </w:r>
                      <w:proofErr w:type="gramEnd"/>
                      <w:r w:rsidR="00423994">
                        <w:t xml:space="preserve"> </w:t>
                      </w:r>
                      <w:r w:rsidR="00F07FA6">
                        <w:t>in the numerator</w:t>
                      </w:r>
                      <w:r w:rsidR="00C65761">
                        <w:t xml:space="preserve"> as the measure of the product</w:t>
                      </w:r>
                      <w:r w:rsidR="000C4C02">
                        <w:t>’</w:t>
                      </w:r>
                      <w:r w:rsidR="00C65761">
                        <w:t xml:space="preserve">s returns. It is the </w:t>
                      </w:r>
                      <w:r w:rsidR="00222B97">
                        <w:t xml:space="preserve">amount of </w:t>
                      </w:r>
                      <w:r w:rsidR="00EA082D">
                        <w:t xml:space="preserve">return the </w:t>
                      </w:r>
                      <w:r w:rsidR="004B7D82">
                        <w:t xml:space="preserve">product </w:t>
                      </w:r>
                      <w:r w:rsidR="004B14BE">
                        <w:t>delivers</w:t>
                      </w:r>
                      <w:r w:rsidR="00EA082D">
                        <w:t xml:space="preserve"> above </w:t>
                      </w:r>
                      <w:r w:rsidR="00015084">
                        <w:t>the risk</w:t>
                      </w:r>
                      <w:r w:rsidR="004B7D82">
                        <w:t>-</w:t>
                      </w:r>
                      <w:r w:rsidR="00015084">
                        <w:t>free rate</w:t>
                      </w:r>
                      <w:r w:rsidR="00F07FA6">
                        <w:t xml:space="preserve"> (for example, </w:t>
                      </w:r>
                      <w:r w:rsidR="00B7062A">
                        <w:t xml:space="preserve">the return of </w:t>
                      </w:r>
                      <w:r w:rsidR="00FF48FC">
                        <w:t>a</w:t>
                      </w:r>
                      <w:r w:rsidR="00F07FA6">
                        <w:t xml:space="preserve"> long</w:t>
                      </w:r>
                      <w:r w:rsidR="00504BAB">
                        <w:t>-</w:t>
                      </w:r>
                      <w:r w:rsidR="00F07FA6">
                        <w:t>term Government Bond)</w:t>
                      </w:r>
                      <w:r w:rsidR="0087128B">
                        <w:t xml:space="preserve">. </w:t>
                      </w:r>
                    </w:p>
                    <w:p w14:paraId="4DE2205D" w14:textId="0B6B0AFF" w:rsidR="007E2988" w:rsidRDefault="004B14BE" w:rsidP="00027797">
                      <w:pPr>
                        <w:pStyle w:val="OutlineNumbered1"/>
                        <w:numPr>
                          <w:ilvl w:val="0"/>
                          <w:numId w:val="0"/>
                        </w:numPr>
                      </w:pPr>
                      <w:r>
                        <w:t xml:space="preserve">The </w:t>
                      </w:r>
                      <w:r w:rsidR="00423994">
                        <w:t xml:space="preserve">Sharpe ratio uses </w:t>
                      </w:r>
                      <w:r w:rsidR="00DF2B20">
                        <w:t xml:space="preserve">standard deviation </w:t>
                      </w:r>
                      <w:r w:rsidR="004458B9">
                        <w:t xml:space="preserve">of the </w:t>
                      </w:r>
                      <w:r w:rsidR="00987F99">
                        <w:t>product</w:t>
                      </w:r>
                      <w:r w:rsidR="00182F49">
                        <w:t>’</w:t>
                      </w:r>
                      <w:r w:rsidR="00987F99">
                        <w:t xml:space="preserve">s returns </w:t>
                      </w:r>
                      <w:r w:rsidR="00DF2B20">
                        <w:t xml:space="preserve">as a proxy for </w:t>
                      </w:r>
                      <w:r w:rsidR="00DF2B20" w:rsidRPr="00EC6773">
                        <w:rPr>
                          <w:b/>
                          <w:bCs/>
                        </w:rPr>
                        <w:t>risk</w:t>
                      </w:r>
                      <w:r w:rsidR="00DF2B20">
                        <w:t xml:space="preserve">. Standard deviation </w:t>
                      </w:r>
                      <w:proofErr w:type="gramStart"/>
                      <w:r w:rsidR="00101AFC">
                        <w:t>is calculated</w:t>
                      </w:r>
                      <w:proofErr w:type="gramEnd"/>
                      <w:r w:rsidR="00101AFC">
                        <w:t xml:space="preserve"> </w:t>
                      </w:r>
                      <w:r w:rsidR="005442B1">
                        <w:t xml:space="preserve">by measuring the </w:t>
                      </w:r>
                      <w:r w:rsidR="005565E0">
                        <w:t xml:space="preserve">volatility of the </w:t>
                      </w:r>
                      <w:r w:rsidR="005442B1">
                        <w:t>product</w:t>
                      </w:r>
                      <w:r w:rsidR="005B346A">
                        <w:t>’</w:t>
                      </w:r>
                      <w:r w:rsidR="005442B1">
                        <w:t xml:space="preserve">s </w:t>
                      </w:r>
                      <w:r w:rsidR="008016F9">
                        <w:t xml:space="preserve">returns over time. </w:t>
                      </w:r>
                      <w:r w:rsidR="00987F99">
                        <w:t xml:space="preserve">Products with </w:t>
                      </w:r>
                      <w:r w:rsidR="00203E5D">
                        <w:t xml:space="preserve">returns that are volatile </w:t>
                      </w:r>
                      <w:r w:rsidR="00B865F4">
                        <w:t>(</w:t>
                      </w:r>
                      <w:r w:rsidR="001C77D9">
                        <w:t xml:space="preserve">achieve periodic returns that are </w:t>
                      </w:r>
                      <w:r w:rsidR="00B865F4">
                        <w:t xml:space="preserve">higher </w:t>
                      </w:r>
                      <w:r w:rsidR="00203E5D">
                        <w:t xml:space="preserve">or </w:t>
                      </w:r>
                      <w:r w:rsidR="00B865F4">
                        <w:t>lower than the</w:t>
                      </w:r>
                      <w:r w:rsidR="001C77D9">
                        <w:t xml:space="preserve"> long</w:t>
                      </w:r>
                      <w:r w:rsidR="00BA67B8">
                        <w:noBreakHyphen/>
                      </w:r>
                      <w:r w:rsidR="001C77D9">
                        <w:t>term</w:t>
                      </w:r>
                      <w:r w:rsidR="00B865F4">
                        <w:t xml:space="preserve"> average return</w:t>
                      </w:r>
                      <w:r w:rsidR="008C37D1">
                        <w:t xml:space="preserve"> of the product</w:t>
                      </w:r>
                      <w:r w:rsidR="00B865F4">
                        <w:t xml:space="preserve">) </w:t>
                      </w:r>
                      <w:r w:rsidR="00865284">
                        <w:t xml:space="preserve">have a higher standard deviation. </w:t>
                      </w:r>
                    </w:p>
                  </w:txbxContent>
                </v:textbox>
                <w10:anchorlock/>
              </v:shape>
            </w:pict>
          </mc:Fallback>
        </mc:AlternateContent>
      </w:r>
    </w:p>
    <w:p w14:paraId="3243FA65" w14:textId="2B046F10" w:rsidR="009726DE" w:rsidRPr="00F62C76" w:rsidRDefault="00FC7178" w:rsidP="0009191F">
      <w:pPr>
        <w:pStyle w:val="Heading4"/>
        <w:rPr>
          <w:i/>
          <w:szCs w:val="28"/>
        </w:rPr>
      </w:pPr>
      <w:r w:rsidRPr="00F62C76">
        <w:rPr>
          <w:i/>
          <w:szCs w:val="28"/>
        </w:rPr>
        <w:t>Benchmark for performance</w:t>
      </w:r>
    </w:p>
    <w:p w14:paraId="74E9B9FF" w14:textId="780D672F" w:rsidR="009726DE" w:rsidRDefault="009726DE" w:rsidP="0009191F">
      <w:pPr>
        <w:spacing w:line="276" w:lineRule="auto"/>
      </w:pPr>
      <w:r>
        <w:t>A key challenge for the Sharpe ratio is calibrating the bar for failing the test. Therefore, consideration needs to be given as to whether this will make for an enduring test that will be widely applicable to a range of products</w:t>
      </w:r>
      <w:r w:rsidRPr="00A67550">
        <w:t>, particularly single-sector products that do not have as much influence over the volatility they experience</w:t>
      </w:r>
      <w:r w:rsidR="00A67550">
        <w:t xml:space="preserve">. </w:t>
      </w:r>
      <w:r>
        <w:t>There are a few option</w:t>
      </w:r>
      <w:r w:rsidR="008F2857">
        <w:t>s</w:t>
      </w:r>
      <w:r>
        <w:t xml:space="preserve"> for how the threshold for failure could be calibrated:</w:t>
      </w:r>
    </w:p>
    <w:p w14:paraId="45916C83" w14:textId="68D69C1C" w:rsidR="009726DE" w:rsidRDefault="00F31FAE" w:rsidP="00C52141">
      <w:pPr>
        <w:pStyle w:val="Bullet"/>
        <w:spacing w:before="0"/>
        <w:ind w:left="522" w:hanging="522"/>
      </w:pPr>
      <w:r>
        <w:t xml:space="preserve">The </w:t>
      </w:r>
      <w:r w:rsidR="00467008">
        <w:t>simplest</w:t>
      </w:r>
      <w:r>
        <w:t xml:space="preserve"> </w:t>
      </w:r>
      <w:r w:rsidR="00467008">
        <w:t>is i</w:t>
      </w:r>
      <w:r w:rsidR="009726DE">
        <w:t xml:space="preserve">f a product falls below a certain margin of </w:t>
      </w:r>
      <w:r w:rsidR="004943EE">
        <w:t>a benchmark</w:t>
      </w:r>
      <w:r w:rsidR="00C93856">
        <w:t xml:space="preserve"> </w:t>
      </w:r>
      <w:r w:rsidR="00E255AE">
        <w:t>ratio</w:t>
      </w:r>
      <w:r w:rsidR="000862B3">
        <w:t xml:space="preserve"> (either </w:t>
      </w:r>
      <w:r w:rsidR="00F64EED">
        <w:t xml:space="preserve">as </w:t>
      </w:r>
      <w:r w:rsidR="000862B3">
        <w:t>an absolute</w:t>
      </w:r>
      <w:r w:rsidR="00E255AE">
        <w:t xml:space="preserve"> figure</w:t>
      </w:r>
      <w:r w:rsidR="000862B3">
        <w:t xml:space="preserve"> </w:t>
      </w:r>
      <w:r w:rsidR="00F64EED">
        <w:t>or percentage</w:t>
      </w:r>
      <w:r w:rsidR="005121E4">
        <w:t xml:space="preserve"> of the benchmark ratio</w:t>
      </w:r>
      <w:r w:rsidR="00194804">
        <w:t xml:space="preserve"> to account for a buffer</w:t>
      </w:r>
      <w:r w:rsidR="00F64EED">
        <w:t>)</w:t>
      </w:r>
      <w:r w:rsidR="00467008">
        <w:t xml:space="preserve"> which would be possibly based on an historical average or other agreed </w:t>
      </w:r>
      <w:r w:rsidR="00D22EE4">
        <w:t>calculation</w:t>
      </w:r>
      <w:r w:rsidR="009726DE">
        <w:t>.</w:t>
      </w:r>
    </w:p>
    <w:p w14:paraId="673F9400" w14:textId="32ABF35C" w:rsidR="00A92FAC" w:rsidRDefault="00D22EE4" w:rsidP="00A92FAC">
      <w:pPr>
        <w:pStyle w:val="Bullet"/>
        <w:spacing w:before="0"/>
        <w:ind w:left="522" w:hanging="522"/>
      </w:pPr>
      <w:r>
        <w:t>A more complicated approach is i</w:t>
      </w:r>
      <w:r w:rsidR="009726DE">
        <w:t xml:space="preserve">f a product falls below a certain margin of </w:t>
      </w:r>
      <w:r w:rsidR="00D44359">
        <w:t xml:space="preserve">a reference benchmark, such as relevant peer group or equivalent </w:t>
      </w:r>
      <w:r w:rsidR="00455993">
        <w:t>SRP</w:t>
      </w:r>
      <w:r w:rsidR="002979BD">
        <w:t>.</w:t>
      </w:r>
      <w:r w:rsidR="00DA5CB5">
        <w:t xml:space="preserve"> This option is covered in more detail in 2b below. </w:t>
      </w:r>
    </w:p>
    <w:p w14:paraId="1E28BBDF" w14:textId="653E86D7" w:rsidR="00715E93" w:rsidRPr="00E4663E" w:rsidRDefault="00715E93" w:rsidP="00C52141">
      <w:pPr>
        <w:pStyle w:val="Heading4"/>
        <w:rPr>
          <w:sz w:val="28"/>
          <w:szCs w:val="28"/>
        </w:rPr>
      </w:pPr>
      <w:r w:rsidRPr="00E4663E">
        <w:rPr>
          <w:i/>
          <w:szCs w:val="28"/>
        </w:rPr>
        <w:t>Benefits and drawbacks</w:t>
      </w:r>
    </w:p>
    <w:p w14:paraId="6E6FEB9F" w14:textId="5718742F" w:rsidR="008A6388" w:rsidRDefault="00E56EB7" w:rsidP="0009191F">
      <w:pPr>
        <w:spacing w:line="276" w:lineRule="auto"/>
      </w:pPr>
      <w:r>
        <w:t xml:space="preserve">The Sharpe ratio </w:t>
      </w:r>
      <w:r w:rsidR="0051396D">
        <w:t xml:space="preserve">has </w:t>
      </w:r>
      <w:r w:rsidR="0059353C">
        <w:t>several</w:t>
      </w:r>
      <w:r w:rsidR="009A0D8C">
        <w:t xml:space="preserve"> possible </w:t>
      </w:r>
      <w:r w:rsidR="00F12D37">
        <w:t xml:space="preserve">benefits </w:t>
      </w:r>
      <w:r w:rsidR="009A0D8C">
        <w:t>over the current performance test</w:t>
      </w:r>
      <w:r w:rsidR="003857DA">
        <w:t>:</w:t>
      </w:r>
    </w:p>
    <w:p w14:paraId="3B270981" w14:textId="616305A7" w:rsidR="00A86B60" w:rsidRDefault="004C0897" w:rsidP="00C52141">
      <w:pPr>
        <w:pStyle w:val="Bullet"/>
      </w:pPr>
      <w:r>
        <w:t>I</w:t>
      </w:r>
      <w:r w:rsidR="004D2426">
        <w:t>t is a reasonably simple calculation requiring limited data</w:t>
      </w:r>
      <w:r w:rsidR="0029700C">
        <w:t xml:space="preserve">, particularly if </w:t>
      </w:r>
      <w:r w:rsidR="00B073E5">
        <w:t>using data which is already collected by APRA</w:t>
      </w:r>
      <w:r w:rsidR="004D2426">
        <w:t xml:space="preserve">. </w:t>
      </w:r>
    </w:p>
    <w:p w14:paraId="4AC70325" w14:textId="01592268" w:rsidR="009A0D8C" w:rsidRDefault="004C0897" w:rsidP="00C52141">
      <w:pPr>
        <w:pStyle w:val="Bullet"/>
      </w:pPr>
      <w:r>
        <w:t>I</w:t>
      </w:r>
      <w:r w:rsidR="00EC3FA8">
        <w:t xml:space="preserve">t does not include any </w:t>
      </w:r>
      <w:r w:rsidR="00161B0C">
        <w:t xml:space="preserve">indices </w:t>
      </w:r>
      <w:r w:rsidR="00EC3FA8">
        <w:t>(</w:t>
      </w:r>
      <w:r w:rsidR="009A0D8C">
        <w:t>beyond the risk-free rate</w:t>
      </w:r>
      <w:r w:rsidR="00EC3FA8">
        <w:t>)</w:t>
      </w:r>
      <w:r w:rsidR="009645F2">
        <w:t xml:space="preserve">, </w:t>
      </w:r>
      <w:r w:rsidR="00EC3FA8">
        <w:t>avoid</w:t>
      </w:r>
      <w:r w:rsidR="009645F2">
        <w:t>ing</w:t>
      </w:r>
      <w:r w:rsidR="00EC3FA8">
        <w:t xml:space="preserve"> any </w:t>
      </w:r>
      <w:r w:rsidR="009A0D8C">
        <w:t>benchmark hugging concerns</w:t>
      </w:r>
      <w:r w:rsidR="00175247">
        <w:t xml:space="preserve"> and </w:t>
      </w:r>
      <w:r w:rsidR="009645F2">
        <w:t>therefore</w:t>
      </w:r>
      <w:r w:rsidR="00175247">
        <w:t xml:space="preserve"> does not create a barrier to investing in </w:t>
      </w:r>
      <w:r w:rsidR="005601BC">
        <w:t>any particular asset class</w:t>
      </w:r>
      <w:r w:rsidR="009A0D8C">
        <w:t xml:space="preserve">. </w:t>
      </w:r>
    </w:p>
    <w:p w14:paraId="6DBA482E" w14:textId="14B4FB94" w:rsidR="00A717C5" w:rsidRDefault="00A717C5" w:rsidP="00C52141">
      <w:pPr>
        <w:pStyle w:val="Bullet"/>
      </w:pPr>
      <w:r>
        <w:t>It</w:t>
      </w:r>
      <w:r w:rsidR="009937F0">
        <w:t xml:space="preserve"> </w:t>
      </w:r>
      <w:r w:rsidR="00C57431">
        <w:t>focus</w:t>
      </w:r>
      <w:r>
        <w:t>es</w:t>
      </w:r>
      <w:r w:rsidR="00C57431">
        <w:t xml:space="preserve"> </w:t>
      </w:r>
      <w:r w:rsidR="009937F0">
        <w:t>trustee</w:t>
      </w:r>
      <w:r w:rsidR="006F5981">
        <w:t>s</w:t>
      </w:r>
      <w:r w:rsidR="009937F0">
        <w:t xml:space="preserve"> on </w:t>
      </w:r>
      <w:r w:rsidR="00C57431">
        <w:t xml:space="preserve">only one metric – the unit price </w:t>
      </w:r>
      <w:r w:rsidR="000C4F70">
        <w:t xml:space="preserve">(or equivalent measure) </w:t>
      </w:r>
      <w:r w:rsidR="00C57431">
        <w:t xml:space="preserve">of their product – which is </w:t>
      </w:r>
      <w:r w:rsidR="009937F0">
        <w:t xml:space="preserve">ultimately </w:t>
      </w:r>
      <w:r w:rsidR="00C57431">
        <w:t>the most important metric for members.</w:t>
      </w:r>
      <w:r w:rsidR="009937F0">
        <w:t xml:space="preserve"> </w:t>
      </w:r>
    </w:p>
    <w:p w14:paraId="7326FF96" w14:textId="2FD9E43B" w:rsidR="009A0D8C" w:rsidRDefault="004D5241" w:rsidP="00C52141">
      <w:pPr>
        <w:pStyle w:val="Bullet"/>
        <w:numPr>
          <w:ilvl w:val="1"/>
          <w:numId w:val="7"/>
        </w:numPr>
        <w:tabs>
          <w:tab w:val="clear" w:pos="1040"/>
          <w:tab w:val="num" w:pos="851"/>
        </w:tabs>
        <w:ind w:left="709" w:hanging="283"/>
      </w:pPr>
      <w:r>
        <w:t>The test incentivises trustee</w:t>
      </w:r>
      <w:r w:rsidR="00731681">
        <w:t>s</w:t>
      </w:r>
      <w:r>
        <w:t xml:space="preserve"> to maximise </w:t>
      </w:r>
      <w:r w:rsidR="00731681">
        <w:t xml:space="preserve">the value of the </w:t>
      </w:r>
      <w:r w:rsidR="00A75445">
        <w:t xml:space="preserve">unit price through whatever strategy they see fit, but also remain focused on minimising the </w:t>
      </w:r>
      <w:r w:rsidR="00E67245">
        <w:t>volatility experienced in</w:t>
      </w:r>
      <w:r w:rsidR="00274244">
        <w:t xml:space="preserve"> delivering that return</w:t>
      </w:r>
      <w:r w:rsidR="009F4899">
        <w:t xml:space="preserve">. </w:t>
      </w:r>
    </w:p>
    <w:p w14:paraId="1453F0D3" w14:textId="331B6328" w:rsidR="00CB1BCF" w:rsidRPr="00B017F1" w:rsidRDefault="00274244" w:rsidP="0009191F">
      <w:pPr>
        <w:spacing w:line="276" w:lineRule="auto"/>
      </w:pPr>
      <w:r>
        <w:t xml:space="preserve">Like </w:t>
      </w:r>
      <w:r w:rsidRPr="00B017F1">
        <w:t xml:space="preserve">any single metric, </w:t>
      </w:r>
      <w:r w:rsidR="000514E5" w:rsidRPr="00B017F1">
        <w:t>the Sharpe ratio</w:t>
      </w:r>
      <w:r w:rsidRPr="00B017F1">
        <w:t xml:space="preserve"> has some </w:t>
      </w:r>
      <w:r w:rsidR="009C3081" w:rsidRPr="00B017F1">
        <w:t xml:space="preserve">drawbacks </w:t>
      </w:r>
      <w:r w:rsidR="00B012DB" w:rsidRPr="00B017F1">
        <w:t>in its application</w:t>
      </w:r>
      <w:r w:rsidR="00CB1BCF" w:rsidRPr="00B017F1">
        <w:t>:</w:t>
      </w:r>
      <w:r w:rsidR="000514E5" w:rsidRPr="00B017F1">
        <w:t xml:space="preserve"> </w:t>
      </w:r>
    </w:p>
    <w:p w14:paraId="4C61DD8D" w14:textId="6648920D" w:rsidR="00EF14A4" w:rsidRPr="00B017F1" w:rsidRDefault="00E718B5" w:rsidP="00C52141">
      <w:pPr>
        <w:pStyle w:val="Bullet"/>
      </w:pPr>
      <w:r w:rsidRPr="00B017F1">
        <w:t>T</w:t>
      </w:r>
      <w:r w:rsidR="00FB5B35" w:rsidRPr="00B017F1">
        <w:t xml:space="preserve">he Sharpe ratio </w:t>
      </w:r>
      <w:r w:rsidR="00EC1536" w:rsidRPr="00B017F1">
        <w:t xml:space="preserve">treats </w:t>
      </w:r>
      <w:r w:rsidR="005A37AC" w:rsidRPr="00B017F1">
        <w:t xml:space="preserve">upside volatility </w:t>
      </w:r>
      <w:r w:rsidR="00474690" w:rsidRPr="00B017F1">
        <w:t>(that is return</w:t>
      </w:r>
      <w:r w:rsidR="00E00295" w:rsidRPr="00B017F1">
        <w:t>s</w:t>
      </w:r>
      <w:r w:rsidR="00474690" w:rsidRPr="00B017F1">
        <w:t xml:space="preserve"> that outperform the long-term average)</w:t>
      </w:r>
      <w:r w:rsidR="00EC1536" w:rsidRPr="00B017F1">
        <w:t xml:space="preserve"> and downside </w:t>
      </w:r>
      <w:r w:rsidR="00520762" w:rsidRPr="00B017F1">
        <w:t>volatility</w:t>
      </w:r>
      <w:r w:rsidR="00EC1536" w:rsidRPr="00B017F1">
        <w:t xml:space="preserve"> in the same way</w:t>
      </w:r>
      <w:r w:rsidR="00474690" w:rsidRPr="00B017F1">
        <w:t>,</w:t>
      </w:r>
      <w:r w:rsidR="00520762" w:rsidRPr="00B017F1">
        <w:t xml:space="preserve"> meaning </w:t>
      </w:r>
      <w:r w:rsidR="00AC3391" w:rsidRPr="00B017F1">
        <w:t xml:space="preserve">the test may </w:t>
      </w:r>
      <w:r w:rsidR="0059220C" w:rsidRPr="00B017F1">
        <w:t xml:space="preserve">disadvantage a product with </w:t>
      </w:r>
      <w:r w:rsidR="003F6CF5" w:rsidRPr="00B017F1">
        <w:t xml:space="preserve">strong </w:t>
      </w:r>
      <w:r w:rsidR="007D75BB" w:rsidRPr="00B017F1">
        <w:t>upside volatility</w:t>
      </w:r>
      <w:r w:rsidR="00FB5B35" w:rsidRPr="00B017F1">
        <w:t xml:space="preserve">. </w:t>
      </w:r>
    </w:p>
    <w:p w14:paraId="4830E24A" w14:textId="556756E5" w:rsidR="00965B3F" w:rsidRPr="00B017F1" w:rsidRDefault="00965B3F" w:rsidP="00965B3F">
      <w:pPr>
        <w:pStyle w:val="Bullet"/>
      </w:pPr>
      <w:r w:rsidRPr="00B017F1">
        <w:t xml:space="preserve">The use of standard deviation </w:t>
      </w:r>
      <w:r w:rsidR="002314AC" w:rsidRPr="0009191F">
        <w:t>of the unit price of the product</w:t>
      </w:r>
      <w:r w:rsidR="00F81C8E" w:rsidRPr="0009191F">
        <w:t xml:space="preserve"> </w:t>
      </w:r>
      <w:r w:rsidRPr="00B017F1">
        <w:t>in the test will likely sharpen trustees</w:t>
      </w:r>
      <w:r w:rsidR="006D6051" w:rsidRPr="0009191F">
        <w:t>’</w:t>
      </w:r>
      <w:r w:rsidRPr="00B017F1">
        <w:t xml:space="preserve"> focus</w:t>
      </w:r>
      <w:r w:rsidR="006D6051" w:rsidRPr="0009191F">
        <w:t xml:space="preserve"> on</w:t>
      </w:r>
      <w:r w:rsidRPr="00B017F1">
        <w:t xml:space="preserve"> how (and how often) assets are valued</w:t>
      </w:r>
      <w:r w:rsidR="002314AC" w:rsidRPr="0009191F">
        <w:t xml:space="preserve"> and how the unit price is calculated</w:t>
      </w:r>
      <w:r w:rsidRPr="00B017F1">
        <w:t xml:space="preserve">. This may incentivise funds to shift investment away from listed assets, which can have more volatility, to unlisted assets that may demonstrate less volatility. </w:t>
      </w:r>
    </w:p>
    <w:p w14:paraId="58647439" w14:textId="174485C7" w:rsidR="00FE3D45" w:rsidRPr="00B017F1" w:rsidRDefault="00723E3F" w:rsidP="00C52141">
      <w:pPr>
        <w:pStyle w:val="Bullet"/>
      </w:pPr>
      <w:r w:rsidRPr="00B017F1">
        <w:t xml:space="preserve">A consistent </w:t>
      </w:r>
      <w:r w:rsidR="006C40EE" w:rsidRPr="00B017F1">
        <w:t>source of data will be required</w:t>
      </w:r>
      <w:r w:rsidR="00842C2B" w:rsidRPr="00B017F1">
        <w:t xml:space="preserve">, particularly </w:t>
      </w:r>
      <w:r w:rsidR="007458F2" w:rsidRPr="00B017F1">
        <w:t>relating to the frequency of returns data</w:t>
      </w:r>
      <w:r w:rsidR="00C06911" w:rsidRPr="00B017F1">
        <w:t xml:space="preserve"> and volatility. Depending on the frequency and composition of data, this may </w:t>
      </w:r>
      <w:r w:rsidR="005A43CD" w:rsidRPr="00B017F1">
        <w:t>require</w:t>
      </w:r>
      <w:r w:rsidR="00C06911" w:rsidRPr="00B017F1">
        <w:t xml:space="preserve"> </w:t>
      </w:r>
      <w:r w:rsidR="001D3C39" w:rsidRPr="00B017F1">
        <w:t xml:space="preserve">trustees to report </w:t>
      </w:r>
      <w:r w:rsidR="00896905" w:rsidRPr="00B017F1">
        <w:t>more data, or on a more frequent basis.</w:t>
      </w:r>
      <w:r w:rsidR="00FD34E9" w:rsidRPr="0009191F">
        <w:t xml:space="preserve"> Calculating volatility on a monthly or quarterly basis may be pragmatic.</w:t>
      </w:r>
    </w:p>
    <w:p w14:paraId="4BC2F471" w14:textId="4FB81E77" w:rsidR="00F761B0" w:rsidRPr="00B017F1" w:rsidRDefault="00A11E4C" w:rsidP="00C52141">
      <w:pPr>
        <w:pStyle w:val="Bullet"/>
      </w:pPr>
      <w:r w:rsidRPr="00B017F1">
        <w:t xml:space="preserve">The Sharpe </w:t>
      </w:r>
      <w:r w:rsidR="00822165" w:rsidRPr="00B017F1">
        <w:t>r</w:t>
      </w:r>
      <w:r w:rsidRPr="00B017F1">
        <w:t>atio</w:t>
      </w:r>
      <w:r w:rsidR="00317071" w:rsidRPr="00B017F1">
        <w:t>’s standard calculation</w:t>
      </w:r>
      <w:r w:rsidR="008045B3" w:rsidRPr="00B017F1">
        <w:t xml:space="preserve"> </w:t>
      </w:r>
      <w:r w:rsidR="001E5FD7" w:rsidRPr="00B017F1">
        <w:t>generally</w:t>
      </w:r>
      <w:r w:rsidR="008045B3" w:rsidRPr="00B017F1">
        <w:t xml:space="preserve"> does not include </w:t>
      </w:r>
      <w:r w:rsidR="00382915" w:rsidRPr="00B017F1">
        <w:t xml:space="preserve">administration fees, so it would have to be amended to </w:t>
      </w:r>
      <w:r w:rsidR="000459AA" w:rsidRPr="00B017F1">
        <w:t>continue to provide transparency on fees as part of the performance test</w:t>
      </w:r>
      <w:r w:rsidR="00382915" w:rsidRPr="00B017F1">
        <w:t>.</w:t>
      </w:r>
      <w:r w:rsidR="00CD7B24" w:rsidRPr="00B017F1">
        <w:t xml:space="preserve"> </w:t>
      </w:r>
    </w:p>
    <w:p w14:paraId="571964BA" w14:textId="396CC038" w:rsidR="00C85B6C" w:rsidRPr="00B017F1" w:rsidRDefault="00507129" w:rsidP="00F761B0">
      <w:pPr>
        <w:pStyle w:val="Bullet"/>
        <w:numPr>
          <w:ilvl w:val="1"/>
          <w:numId w:val="7"/>
        </w:numPr>
        <w:tabs>
          <w:tab w:val="clear" w:pos="1040"/>
          <w:tab w:val="num" w:pos="851"/>
        </w:tabs>
        <w:ind w:left="709" w:hanging="283"/>
      </w:pPr>
      <w:r w:rsidRPr="00B017F1">
        <w:t xml:space="preserve">There is </w:t>
      </w:r>
      <w:r w:rsidR="00D91DCA" w:rsidRPr="0009191F">
        <w:t xml:space="preserve">currently </w:t>
      </w:r>
      <w:r w:rsidRPr="00B017F1">
        <w:t>l</w:t>
      </w:r>
      <w:r w:rsidR="001A34AA" w:rsidRPr="00B017F1">
        <w:t xml:space="preserve">imited </w:t>
      </w:r>
      <w:r w:rsidR="001A34AA" w:rsidRPr="00B017F1">
        <w:rPr>
          <w:i/>
          <w:iCs/>
        </w:rPr>
        <w:t>net returns</w:t>
      </w:r>
      <w:r w:rsidR="001A34AA" w:rsidRPr="00B017F1">
        <w:t xml:space="preserve"> data </w:t>
      </w:r>
      <w:r w:rsidR="003D4EEA" w:rsidRPr="00B017F1">
        <w:t>reported to APRA</w:t>
      </w:r>
      <w:r w:rsidR="00187E5C" w:rsidRPr="00B017F1">
        <w:t xml:space="preserve">, </w:t>
      </w:r>
      <w:r w:rsidR="001A34AA" w:rsidRPr="00B017F1">
        <w:t>outside of MySuper</w:t>
      </w:r>
      <w:r w:rsidR="00D91DCA" w:rsidRPr="0009191F">
        <w:t>.</w:t>
      </w:r>
      <w:r w:rsidR="002214C5" w:rsidRPr="00B017F1">
        <w:t xml:space="preserve"> </w:t>
      </w:r>
    </w:p>
    <w:p w14:paraId="3066150D" w14:textId="0BAB6E80" w:rsidR="00572CAB" w:rsidRPr="00B017F1" w:rsidRDefault="001E5FD7" w:rsidP="00C85B6C">
      <w:pPr>
        <w:pStyle w:val="Bullet"/>
      </w:pPr>
      <w:r w:rsidRPr="00B017F1">
        <w:t xml:space="preserve">The use of a simple </w:t>
      </w:r>
      <w:r w:rsidR="00FF4B58" w:rsidRPr="00B017F1">
        <w:t xml:space="preserve">benchmark for </w:t>
      </w:r>
      <w:r w:rsidR="00721CCD" w:rsidRPr="00B017F1">
        <w:t>performance/</w:t>
      </w:r>
      <w:r w:rsidR="00FF4B58" w:rsidRPr="00B017F1">
        <w:t xml:space="preserve">failure (either an absolute figure or percentage) </w:t>
      </w:r>
      <w:r w:rsidR="0059506C" w:rsidRPr="00B017F1">
        <w:t xml:space="preserve">may not capture </w:t>
      </w:r>
      <w:r w:rsidR="00904242" w:rsidRPr="00B017F1">
        <w:t xml:space="preserve">broader </w:t>
      </w:r>
      <w:r w:rsidR="0059506C" w:rsidRPr="00B017F1">
        <w:t>market forces</w:t>
      </w:r>
      <w:r w:rsidR="00904242" w:rsidRPr="00B017F1">
        <w:t xml:space="preserve">. This could lead to ‘good’ products </w:t>
      </w:r>
      <w:r w:rsidR="006864FA" w:rsidRPr="00B017F1">
        <w:t>failing in down years, even if they outperform their peers.</w:t>
      </w:r>
      <w:r w:rsidR="00C85C77" w:rsidRPr="00B017F1">
        <w:t xml:space="preserve"> </w:t>
      </w:r>
    </w:p>
    <w:p w14:paraId="113AB009" w14:textId="4A47C3AA" w:rsidR="00BB2B9F" w:rsidRDefault="00C85B6C">
      <w:pPr>
        <w:pStyle w:val="Bullet"/>
        <w:spacing w:after="120"/>
        <w:ind w:left="522" w:hanging="522"/>
      </w:pPr>
      <w:r w:rsidRPr="00B017F1">
        <w:t>W</w:t>
      </w:r>
      <w:r w:rsidR="00E94F22" w:rsidRPr="00B017F1">
        <w:t xml:space="preserve">hile appropriate for diversified products, </w:t>
      </w:r>
      <w:r w:rsidR="00BC5072" w:rsidRPr="00B017F1">
        <w:t xml:space="preserve">it may be more difficult to use the </w:t>
      </w:r>
      <w:r w:rsidR="00BB2B9F" w:rsidRPr="00B017F1">
        <w:t>Sharpe ratio</w:t>
      </w:r>
      <w:r w:rsidR="00BC5072" w:rsidRPr="00B017F1">
        <w:t xml:space="preserve"> for some more niche investment strategies or single</w:t>
      </w:r>
      <w:r w:rsidR="007F3883" w:rsidRPr="00B017F1">
        <w:t xml:space="preserve">-sector </w:t>
      </w:r>
      <w:r w:rsidR="00BC5072" w:rsidRPr="00B017F1">
        <w:t>products</w:t>
      </w:r>
      <w:r w:rsidR="00D91DCA" w:rsidRPr="0009191F">
        <w:t xml:space="preserve"> </w:t>
      </w:r>
      <w:r w:rsidR="002C7DFD" w:rsidRPr="0009191F">
        <w:t>where the trustee</w:t>
      </w:r>
      <w:r w:rsidR="00D91DCA" w:rsidRPr="0009191F">
        <w:t xml:space="preserve"> </w:t>
      </w:r>
      <w:r w:rsidR="002C7DFD" w:rsidRPr="0009191F">
        <w:t xml:space="preserve">may not </w:t>
      </w:r>
      <w:r w:rsidR="00D91DCA" w:rsidRPr="0009191F">
        <w:t>have as much influence over the volatility they experience</w:t>
      </w:r>
      <w:r w:rsidR="00BB2B9F" w:rsidRPr="00B017F1">
        <w:t xml:space="preserve">. </w:t>
      </w:r>
    </w:p>
    <w:p w14:paraId="79B932D1" w14:textId="0EEF85D5" w:rsidR="00A92FAC" w:rsidRPr="00B017F1" w:rsidRDefault="00FF0C70" w:rsidP="0009191F">
      <w:pPr>
        <w:pStyle w:val="Bullet"/>
        <w:spacing w:after="120"/>
        <w:ind w:left="522" w:hanging="522"/>
      </w:pPr>
      <w:r>
        <w:t>It would need to be designed carefully to ensure it’s accessible to members.</w:t>
      </w:r>
    </w:p>
    <w:p w14:paraId="43A16135" w14:textId="77777777" w:rsidR="00C130D2" w:rsidRDefault="00C130D2" w:rsidP="00C130D2">
      <w:pPr>
        <w:spacing w:before="0" w:after="160" w:line="259" w:lineRule="auto"/>
        <w:rPr>
          <w:iCs/>
          <w:szCs w:val="24"/>
        </w:rPr>
      </w:pPr>
      <w:r>
        <w:rPr>
          <w:noProof/>
        </w:rPr>
        <mc:AlternateContent>
          <mc:Choice Requires="wps">
            <w:drawing>
              <wp:inline distT="0" distB="0" distL="0" distR="0" wp14:anchorId="25357EB5" wp14:editId="46E0D826">
                <wp:extent cx="5743575" cy="1286539"/>
                <wp:effectExtent l="0" t="0" r="9525" b="8890"/>
                <wp:docPr id="24" name="Text Box 24"/>
                <wp:cNvGraphicFramePr/>
                <a:graphic xmlns:a="http://schemas.openxmlformats.org/drawingml/2006/main">
                  <a:graphicData uri="http://schemas.microsoft.com/office/word/2010/wordprocessingShape">
                    <wps:wsp>
                      <wps:cNvSpPr txBox="1"/>
                      <wps:spPr>
                        <a:xfrm>
                          <a:off x="0" y="0"/>
                          <a:ext cx="5743575" cy="1286539"/>
                        </a:xfrm>
                        <a:prstGeom prst="rect">
                          <a:avLst/>
                        </a:prstGeom>
                        <a:solidFill>
                          <a:schemeClr val="accent3">
                            <a:lumMod val="20000"/>
                            <a:lumOff val="80000"/>
                          </a:schemeClr>
                        </a:solidFill>
                        <a:ln w="6350">
                          <a:noFill/>
                        </a:ln>
                      </wps:spPr>
                      <wps:txbx>
                        <w:txbxContent>
                          <w:p w14:paraId="5FA42868" w14:textId="77777777" w:rsidR="00C130D2" w:rsidRDefault="00C130D2" w:rsidP="00C130D2">
                            <w:pPr>
                              <w:pStyle w:val="Heading4"/>
                              <w:spacing w:before="120"/>
                            </w:pPr>
                            <w:r>
                              <w:t>Consultation Questions</w:t>
                            </w:r>
                          </w:p>
                          <w:p w14:paraId="37AF0D80" w14:textId="38C6F29E" w:rsidR="00C130D2" w:rsidRDefault="00C130D2" w:rsidP="0058255F">
                            <w:pPr>
                              <w:pStyle w:val="OutlineNumbered1"/>
                              <w:numPr>
                                <w:ilvl w:val="0"/>
                                <w:numId w:val="59"/>
                              </w:numPr>
                            </w:pPr>
                            <w:r>
                              <w:t xml:space="preserve">Would the </w:t>
                            </w:r>
                            <w:r w:rsidR="00DB0968">
                              <w:t>S</w:t>
                            </w:r>
                            <w:r>
                              <w:t>harpe ratio be a more appropriate testing approach than the current framework? Would this lead to better member outcomes?</w:t>
                            </w:r>
                          </w:p>
                          <w:p w14:paraId="51A5BAAB" w14:textId="6B90F533" w:rsidR="00C130D2" w:rsidRDefault="00C130D2" w:rsidP="0058255F">
                            <w:pPr>
                              <w:pStyle w:val="OutlineNumbered1"/>
                              <w:numPr>
                                <w:ilvl w:val="0"/>
                                <w:numId w:val="59"/>
                              </w:numPr>
                            </w:pPr>
                            <w:r>
                              <w:t>How should the</w:t>
                            </w:r>
                            <w:r w:rsidR="007B4133">
                              <w:t xml:space="preserve"> benchmark for performance</w:t>
                            </w:r>
                            <w:r>
                              <w:t xml:space="preserve"> </w:t>
                            </w:r>
                            <w:r>
                              <w:t xml:space="preserve">be calibrated? </w:t>
                            </w:r>
                          </w:p>
                          <w:p w14:paraId="4D19968A" w14:textId="039F66EC" w:rsidR="00C130D2" w:rsidRPr="001C4AD7" w:rsidRDefault="00E01E96" w:rsidP="0058255F">
                            <w:pPr>
                              <w:pStyle w:val="OutlineNumbered1"/>
                              <w:numPr>
                                <w:ilvl w:val="0"/>
                                <w:numId w:val="59"/>
                              </w:numPr>
                            </w:pPr>
                            <w:r>
                              <w:t>W</w:t>
                            </w:r>
                            <w:r w:rsidR="00D909E4">
                              <w:t xml:space="preserve">hat data should be used to estimate the Sharpe </w:t>
                            </w:r>
                            <w:r w:rsidR="008F5841">
                              <w:t>r</w:t>
                            </w:r>
                            <w:r w:rsidR="00D909E4">
                              <w:t>atio</w:t>
                            </w:r>
                            <w:r>
                              <w:t>, and how frequently</w:t>
                            </w:r>
                            <w:r w:rsidR="00D909E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25357EB5" id="Text Box 24" o:spid="_x0000_s1029" type="#_x0000_t202" style="width:452.25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" fillcolor="#dee3eb [662]" stroked="f" strokeweight=".5pt">
                <v:textbox>
                  <w:txbxContent>
                    <w:p w14:paraId="5FA42868" w14:textId="77777777" w:rsidR="00C130D2" w:rsidRDefault="00C130D2" w:rsidP="00C130D2">
                      <w:pPr>
                        <w:pStyle w:val="Heading4"/>
                        <w:spacing w:before="120"/>
                      </w:pPr>
                      <w:r>
                        <w:t>Consultation Questions</w:t>
                      </w:r>
                    </w:p>
                    <w:p w14:paraId="37AF0D80" w14:textId="38C6F29E" w:rsidR="00C130D2" w:rsidRDefault="00C130D2" w:rsidP="0058255F">
                      <w:pPr>
                        <w:pStyle w:val="OutlineNumbered1"/>
                        <w:numPr>
                          <w:ilvl w:val="0"/>
                          <w:numId w:val="59"/>
                        </w:numPr>
                      </w:pPr>
                      <w:r>
                        <w:t xml:space="preserve">Would the </w:t>
                      </w:r>
                      <w:r w:rsidR="00DB0968">
                        <w:t>S</w:t>
                      </w:r>
                      <w:r>
                        <w:t>harpe ratio be a more appropriate testing approach than the current framework? Would this lead to better member outcomes?</w:t>
                      </w:r>
                    </w:p>
                    <w:p w14:paraId="51A5BAAB" w14:textId="6B90F533" w:rsidR="00C130D2" w:rsidRDefault="00C130D2" w:rsidP="0058255F">
                      <w:pPr>
                        <w:pStyle w:val="OutlineNumbered1"/>
                        <w:numPr>
                          <w:ilvl w:val="0"/>
                          <w:numId w:val="59"/>
                        </w:numPr>
                      </w:pPr>
                      <w:r>
                        <w:t>How should the</w:t>
                      </w:r>
                      <w:r w:rsidR="007B4133">
                        <w:t xml:space="preserve"> benchmark for performance</w:t>
                      </w:r>
                      <w:r>
                        <w:t xml:space="preserve"> </w:t>
                      </w:r>
                      <w:proofErr w:type="gramStart"/>
                      <w:r>
                        <w:t>be calibrated</w:t>
                      </w:r>
                      <w:proofErr w:type="gramEnd"/>
                      <w:r>
                        <w:t xml:space="preserve">? </w:t>
                      </w:r>
                    </w:p>
                    <w:p w14:paraId="4D19968A" w14:textId="039F66EC" w:rsidR="00C130D2" w:rsidRPr="001C4AD7" w:rsidRDefault="00E01E96" w:rsidP="0058255F">
                      <w:pPr>
                        <w:pStyle w:val="OutlineNumbered1"/>
                        <w:numPr>
                          <w:ilvl w:val="0"/>
                          <w:numId w:val="59"/>
                        </w:numPr>
                      </w:pPr>
                      <w:r>
                        <w:t>W</w:t>
                      </w:r>
                      <w:r w:rsidR="00D909E4">
                        <w:t xml:space="preserve">hat data should </w:t>
                      </w:r>
                      <w:proofErr w:type="gramStart"/>
                      <w:r w:rsidR="00D909E4">
                        <w:t>be used</w:t>
                      </w:r>
                      <w:proofErr w:type="gramEnd"/>
                      <w:r w:rsidR="00D909E4">
                        <w:t xml:space="preserve"> to estimate the Sharpe </w:t>
                      </w:r>
                      <w:r w:rsidR="008F5841">
                        <w:t>r</w:t>
                      </w:r>
                      <w:r w:rsidR="00D909E4">
                        <w:t>atio</w:t>
                      </w:r>
                      <w:r>
                        <w:t>, and how frequently</w:t>
                      </w:r>
                      <w:r w:rsidR="00D909E4">
                        <w:t>?</w:t>
                      </w:r>
                    </w:p>
                  </w:txbxContent>
                </v:textbox>
                <w10:anchorlock/>
              </v:shape>
            </w:pict>
          </mc:Fallback>
        </mc:AlternateContent>
      </w:r>
    </w:p>
    <w:p w14:paraId="30C78364" w14:textId="24E21676" w:rsidR="00AC65E6" w:rsidRDefault="001F3ED8" w:rsidP="00C52141">
      <w:pPr>
        <w:pStyle w:val="Heading4"/>
        <w:spacing w:before="120"/>
      </w:pPr>
      <w:r>
        <w:t xml:space="preserve">2b. </w:t>
      </w:r>
      <w:r w:rsidR="008A1C67">
        <w:t xml:space="preserve">Peer comparison </w:t>
      </w:r>
      <w:r w:rsidR="00BF6F7F">
        <w:t>of risk-adjusted returns</w:t>
      </w:r>
    </w:p>
    <w:p w14:paraId="1288915C" w14:textId="3813C24A" w:rsidR="00556BCF" w:rsidRDefault="00BF6F7F" w:rsidP="0009191F">
      <w:pPr>
        <w:spacing w:after="0" w:line="276" w:lineRule="auto"/>
      </w:pPr>
      <w:r>
        <w:t xml:space="preserve">Another single-metric approach could </w:t>
      </w:r>
      <w:r w:rsidR="004529AF">
        <w:t xml:space="preserve">assess </w:t>
      </w:r>
      <w:r>
        <w:t xml:space="preserve">a risk-adjusted </w:t>
      </w:r>
      <w:r w:rsidR="00960A79">
        <w:t xml:space="preserve">return </w:t>
      </w:r>
      <w:r>
        <w:t>metric</w:t>
      </w:r>
      <w:r w:rsidR="00422945">
        <w:t xml:space="preserve"> </w:t>
      </w:r>
      <w:r w:rsidR="00730A37">
        <w:t xml:space="preserve">against </w:t>
      </w:r>
      <w:r w:rsidR="00D8311D">
        <w:t xml:space="preserve">relevant peers to </w:t>
      </w:r>
      <w:r w:rsidR="002827EC">
        <w:t>test</w:t>
      </w:r>
      <w:r w:rsidR="00D8311D">
        <w:t xml:space="preserve"> whether a product has </w:t>
      </w:r>
      <w:r w:rsidR="00556BCF">
        <w:t>achieved competitive risk-adjusted returns.</w:t>
      </w:r>
      <w:r w:rsidR="005231B2">
        <w:t xml:space="preserve"> </w:t>
      </w:r>
      <w:r w:rsidR="00BF5B91">
        <w:t xml:space="preserve">This approach could overcome </w:t>
      </w:r>
      <w:r w:rsidR="00487D57">
        <w:t xml:space="preserve">a </w:t>
      </w:r>
      <w:r w:rsidR="00BF5B91">
        <w:t xml:space="preserve">shortcoming of the Sharpe ratio </w:t>
      </w:r>
      <w:r w:rsidR="00487D57">
        <w:t xml:space="preserve">– namely, determining the appropriate benchmark for products to pass – by setting the benchmark </w:t>
      </w:r>
      <w:r w:rsidR="0015534B">
        <w:t xml:space="preserve">with reference to the performance of </w:t>
      </w:r>
      <w:r w:rsidR="00564912">
        <w:t>peer products</w:t>
      </w:r>
      <w:r w:rsidR="0015534B">
        <w:t>.</w:t>
      </w:r>
    </w:p>
    <w:p w14:paraId="58DC9EE4" w14:textId="7389C63B" w:rsidR="00FE6019" w:rsidRDefault="00FE6019" w:rsidP="00C52141">
      <w:pPr>
        <w:pStyle w:val="Heading4"/>
      </w:pPr>
      <w:r w:rsidRPr="00EA341B">
        <w:rPr>
          <w:i/>
          <w:szCs w:val="28"/>
        </w:rPr>
        <w:t>Measure</w:t>
      </w:r>
      <w:r w:rsidR="00F1485E">
        <w:rPr>
          <w:i/>
          <w:szCs w:val="28"/>
        </w:rPr>
        <w:t>ment</w:t>
      </w:r>
      <w:r w:rsidRPr="00EA341B">
        <w:rPr>
          <w:i/>
          <w:szCs w:val="28"/>
        </w:rPr>
        <w:t xml:space="preserve"> of performance</w:t>
      </w:r>
    </w:p>
    <w:p w14:paraId="6DA62E2B" w14:textId="6E7232E7" w:rsidR="00F817A1" w:rsidRPr="009E3C35" w:rsidRDefault="00556BCF" w:rsidP="0009191F">
      <w:pPr>
        <w:spacing w:after="0" w:line="276" w:lineRule="auto"/>
      </w:pPr>
      <w:r>
        <w:t xml:space="preserve">This metric could measure performance </w:t>
      </w:r>
      <w:r w:rsidR="00387C43">
        <w:t>by plotting the investment</w:t>
      </w:r>
      <w:r w:rsidR="00460113">
        <w:t xml:space="preserve"> returns of </w:t>
      </w:r>
      <w:r w:rsidR="00DC4D02">
        <w:t xml:space="preserve">a </w:t>
      </w:r>
      <w:r w:rsidR="00460113">
        <w:t xml:space="preserve">product </w:t>
      </w:r>
      <w:r w:rsidR="00D0629C">
        <w:t xml:space="preserve">against </w:t>
      </w:r>
      <w:r w:rsidR="00DC4D02">
        <w:t xml:space="preserve">its </w:t>
      </w:r>
      <w:r w:rsidR="009A0623">
        <w:t>exposure to growth assets</w:t>
      </w:r>
      <w:r w:rsidR="00E44801">
        <w:t xml:space="preserve">, </w:t>
      </w:r>
      <w:r w:rsidR="00DA1F0A">
        <w:t xml:space="preserve">which would be a basic proxy </w:t>
      </w:r>
      <w:r w:rsidR="00936541">
        <w:t>measure of risk. This</w:t>
      </w:r>
      <w:r w:rsidR="00460113" w:rsidDel="00936541">
        <w:t xml:space="preserve"> </w:t>
      </w:r>
      <w:r w:rsidR="00460113">
        <w:t xml:space="preserve">is </w:t>
      </w:r>
      <w:r w:rsidR="00936541">
        <w:t xml:space="preserve">the approach taken </w:t>
      </w:r>
      <w:r w:rsidR="006B4DC5">
        <w:t xml:space="preserve">in </w:t>
      </w:r>
      <w:r w:rsidR="00460113">
        <w:t>one of the metrics used within the APRA heatmaps.</w:t>
      </w:r>
      <w:r w:rsidR="00357C39">
        <w:t xml:space="preserve"> </w:t>
      </w:r>
      <w:r w:rsidR="00D84FC7">
        <w:t xml:space="preserve">This would provide a graphic representation of the risk-adjusted returns generated by </w:t>
      </w:r>
      <w:r w:rsidR="00F817A1">
        <w:t>all relevant products</w:t>
      </w:r>
      <w:r w:rsidR="00FE0B1D">
        <w:t xml:space="preserve"> (example in </w:t>
      </w:r>
      <w:r w:rsidR="00F737BC">
        <w:t>C</w:t>
      </w:r>
      <w:r w:rsidR="00FE0B1D">
        <w:t>ha</w:t>
      </w:r>
      <w:r w:rsidR="006B2B80">
        <w:t>rt 2 below).</w:t>
      </w:r>
    </w:p>
    <w:p w14:paraId="66315724" w14:textId="77777777" w:rsidR="00FA33A4" w:rsidRPr="00E4663E" w:rsidRDefault="00FA33A4" w:rsidP="00C52141">
      <w:pPr>
        <w:pStyle w:val="Heading4"/>
        <w:rPr>
          <w:i/>
          <w:szCs w:val="28"/>
        </w:rPr>
      </w:pPr>
      <w:r w:rsidRPr="008037B9">
        <w:rPr>
          <w:i/>
          <w:szCs w:val="28"/>
        </w:rPr>
        <w:t>Benchmark for performance</w:t>
      </w:r>
    </w:p>
    <w:p w14:paraId="014677EA" w14:textId="5F097A2A" w:rsidR="00FA33A4" w:rsidRDefault="009E5291" w:rsidP="0009191F">
      <w:pPr>
        <w:spacing w:before="0" w:after="160" w:line="276" w:lineRule="auto"/>
      </w:pPr>
      <w:r>
        <w:t>By plotting the risk-adjusted returns of all products in a peer group, a</w:t>
      </w:r>
      <w:r w:rsidR="00FA33A4">
        <w:t xml:space="preserve"> </w:t>
      </w:r>
      <w:r w:rsidR="0011177F">
        <w:t xml:space="preserve">linear </w:t>
      </w:r>
      <w:r w:rsidR="00FA33A4">
        <w:t xml:space="preserve">line of best fit could </w:t>
      </w:r>
      <w:r>
        <w:t xml:space="preserve">then </w:t>
      </w:r>
      <w:r w:rsidR="00FA33A4">
        <w:t xml:space="preserve">be generated across the expected returns </w:t>
      </w:r>
      <w:r>
        <w:t>with</w:t>
      </w:r>
      <w:r w:rsidR="00FA33A4">
        <w:t xml:space="preserve">in </w:t>
      </w:r>
      <w:r>
        <w:t xml:space="preserve">the </w:t>
      </w:r>
      <w:r w:rsidR="00FA33A4">
        <w:t xml:space="preserve">peer group. Consideration would have to be given to </w:t>
      </w:r>
      <w:r w:rsidR="006C22B6">
        <w:t xml:space="preserve">determine </w:t>
      </w:r>
      <w:r w:rsidR="00FA33A4">
        <w:t xml:space="preserve">the appropriate peer groups. Products that fall below a specified threshold of the trendline will have failed to deliver competitive returns for their members relative to their peers. </w:t>
      </w:r>
    </w:p>
    <w:p w14:paraId="0772F2D3" w14:textId="4AF922A8" w:rsidR="00FA33A4" w:rsidRDefault="00FA33A4" w:rsidP="0009191F">
      <w:pPr>
        <w:spacing w:before="0" w:after="160" w:line="276" w:lineRule="auto"/>
      </w:pPr>
      <w:r>
        <w:t xml:space="preserve">As an example, Chart 2 represents </w:t>
      </w:r>
      <w:r w:rsidR="0011177F">
        <w:t xml:space="preserve">an </w:t>
      </w:r>
      <w:r>
        <w:t>assess</w:t>
      </w:r>
      <w:r w:rsidR="0011177F">
        <w:t>ment of products</w:t>
      </w:r>
      <w:r>
        <w:t xml:space="preserve"> based on the returns they achieve relative to their exposure to growth assets. A</w:t>
      </w:r>
      <w:r w:rsidR="0011177F">
        <w:t xml:space="preserve"> linear</w:t>
      </w:r>
      <w:r>
        <w:t xml:space="preserve"> </w:t>
      </w:r>
      <w:r w:rsidR="0011177F">
        <w:t>line of best fit</w:t>
      </w:r>
      <w:r>
        <w:t xml:space="preserve"> </w:t>
      </w:r>
      <w:r w:rsidR="0011177F">
        <w:t>has been</w:t>
      </w:r>
      <w:r>
        <w:t xml:space="preserve"> derived, representing the returns across the industry. The benchmark for performance could be set at 50 basis points below this line. Any products that chart below the benchmark line would fail the performance test. </w:t>
      </w:r>
    </w:p>
    <w:p w14:paraId="5FDA3F93" w14:textId="059BB425" w:rsidR="00FA33A4" w:rsidRDefault="00FA33A4" w:rsidP="0009191F">
      <w:pPr>
        <w:spacing w:before="0" w:after="160" w:line="276" w:lineRule="auto"/>
      </w:pPr>
      <w:r>
        <w:t>Based on APRA heatmap data for MySuper products in 2021 and 2022 the failure rates w</w:t>
      </w:r>
      <w:r w:rsidR="00AF6DD4">
        <w:t>ould have been</w:t>
      </w:r>
      <w:r>
        <w:t xml:space="preserve"> 19 per cent and 10 per cent respectively, </w:t>
      </w:r>
      <w:r w:rsidR="0011177F">
        <w:t>assuming</w:t>
      </w:r>
      <w:r>
        <w:t xml:space="preserve"> a failing margin of 0.50 per cent. These rates were higher than the failure rates of the current performance test, although the performance test also includes administration fees</w:t>
      </w:r>
      <w:r w:rsidR="0015624F">
        <w:t>,</w:t>
      </w:r>
      <w:r>
        <w:t xml:space="preserve"> which is not reflected in </w:t>
      </w:r>
      <w:r w:rsidR="001031C4">
        <w:t>the below</w:t>
      </w:r>
      <w:r>
        <w:t xml:space="preserve"> calculation.</w:t>
      </w:r>
    </w:p>
    <w:p w14:paraId="52C5D536" w14:textId="7F5CB4F5" w:rsidR="00FA33A4" w:rsidRDefault="00FA33A4" w:rsidP="00FA33A4">
      <w:pPr>
        <w:pStyle w:val="ChartMainHeading"/>
      </w:pPr>
      <w:bookmarkStart w:id="25" w:name="_Toc153206239"/>
      <w:bookmarkStart w:id="26" w:name="_Toc155955176"/>
      <w:r w:rsidRPr="00E4663E">
        <w:t>Chart 2 – MySuper 8-year net investment return vs strategic growth asset allocation</w:t>
      </w:r>
      <w:bookmarkEnd w:id="25"/>
      <w:bookmarkEnd w:id="26"/>
    </w:p>
    <w:p w14:paraId="0A9162DE" w14:textId="77777777" w:rsidR="00FA33A4" w:rsidRDefault="00FA33A4" w:rsidP="00FA33A4">
      <w:pPr>
        <w:spacing w:before="0" w:after="160" w:line="259" w:lineRule="auto"/>
        <w:jc w:val="center"/>
      </w:pPr>
      <w:r>
        <w:rPr>
          <w:noProof/>
        </w:rPr>
        <w:drawing>
          <wp:inline distT="0" distB="0" distL="0" distR="0" wp14:anchorId="0E7473D6" wp14:editId="424B6811">
            <wp:extent cx="5730701" cy="440055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97519" cy="4451859"/>
                    </a:xfrm>
                    <a:prstGeom prst="rect">
                      <a:avLst/>
                    </a:prstGeom>
                    <a:noFill/>
                  </pic:spPr>
                </pic:pic>
              </a:graphicData>
            </a:graphic>
          </wp:inline>
        </w:drawing>
      </w:r>
    </w:p>
    <w:p w14:paraId="068AA7DB" w14:textId="079366F2" w:rsidR="00FA33A4" w:rsidRPr="0070009B" w:rsidRDefault="00FA33A4" w:rsidP="00FA33A4">
      <w:pPr>
        <w:pStyle w:val="ChartorTableNote"/>
      </w:pPr>
      <w:r>
        <w:rPr>
          <w:b/>
          <w:bCs/>
        </w:rPr>
        <w:t xml:space="preserve">Note: </w:t>
      </w:r>
      <w:r w:rsidRPr="0070009B">
        <w:t xml:space="preserve">a linear line of best fit is used. </w:t>
      </w:r>
      <w:r w:rsidR="001B276F">
        <w:t>Analysis also shows</w:t>
      </w:r>
      <w:r w:rsidR="004C3564">
        <w:t xml:space="preserve"> multiple results for lifecycle products as each life stage is represented separately.</w:t>
      </w:r>
    </w:p>
    <w:p w14:paraId="6565F1A5" w14:textId="7D883F41" w:rsidR="00682435" w:rsidRDefault="00FA33A4" w:rsidP="00EA341B">
      <w:pPr>
        <w:pStyle w:val="ChartorTableNote"/>
      </w:pPr>
      <w:r w:rsidRPr="00830B95">
        <w:rPr>
          <w:b/>
        </w:rPr>
        <w:t>Source:</w:t>
      </w:r>
      <w:r w:rsidRPr="00830B95">
        <w:t xml:space="preserve"> APRA 2022 MySuper Heatmap.</w:t>
      </w:r>
    </w:p>
    <w:p w14:paraId="40D49A60" w14:textId="16AF7D48" w:rsidR="0011177F" w:rsidRPr="00E4663E" w:rsidRDefault="0011177F" w:rsidP="00C52141">
      <w:pPr>
        <w:pStyle w:val="Heading4"/>
        <w:rPr>
          <w:i/>
          <w:sz w:val="28"/>
          <w:szCs w:val="28"/>
        </w:rPr>
      </w:pPr>
      <w:r w:rsidRPr="00E4663E">
        <w:rPr>
          <w:i/>
          <w:szCs w:val="28"/>
        </w:rPr>
        <w:t>Benefits and drawbacks</w:t>
      </w:r>
    </w:p>
    <w:p w14:paraId="37331E75" w14:textId="6E912ED5" w:rsidR="0011177F" w:rsidRDefault="0011177F" w:rsidP="0009191F">
      <w:pPr>
        <w:spacing w:before="0" w:after="160" w:line="276" w:lineRule="auto"/>
      </w:pPr>
      <w:r>
        <w:t>This option ha</w:t>
      </w:r>
      <w:r w:rsidR="002B5066">
        <w:t>s</w:t>
      </w:r>
      <w:r>
        <w:t xml:space="preserve"> several benefits when compared to the current test:</w:t>
      </w:r>
    </w:p>
    <w:p w14:paraId="3F243037" w14:textId="77777777" w:rsidR="0011177F" w:rsidRDefault="0011177F" w:rsidP="00C52141">
      <w:pPr>
        <w:pStyle w:val="Bullet"/>
      </w:pPr>
      <w:r>
        <w:t>Focuses trustees on maximising risk-adjusted returns.</w:t>
      </w:r>
    </w:p>
    <w:p w14:paraId="6A5A9348" w14:textId="415A962E" w:rsidR="0011177F" w:rsidRDefault="0011177F" w:rsidP="00C52141">
      <w:pPr>
        <w:pStyle w:val="Bullet"/>
      </w:pPr>
      <w:r>
        <w:t>Limited reliance on ind</w:t>
      </w:r>
      <w:r w:rsidR="00F6659D">
        <w:t>ice</w:t>
      </w:r>
      <w:r>
        <w:t>s, which should mitigate incentives to hug certain indices.</w:t>
      </w:r>
    </w:p>
    <w:p w14:paraId="66BFE1B9" w14:textId="7035FB83" w:rsidR="0011177F" w:rsidRDefault="00936694" w:rsidP="00C52141">
      <w:pPr>
        <w:pStyle w:val="Bullet"/>
      </w:pPr>
      <w:r>
        <w:t>Using a peer comparison benchmark m</w:t>
      </w:r>
      <w:r w:rsidR="0011177F">
        <w:t xml:space="preserve">ay facilitate greater competition amongst superannuation </w:t>
      </w:r>
      <w:r w:rsidR="0011177F" w:rsidDel="00936694">
        <w:t>funds</w:t>
      </w:r>
      <w:r>
        <w:t>.</w:t>
      </w:r>
    </w:p>
    <w:p w14:paraId="6A436699" w14:textId="61FECDB8" w:rsidR="0011177F" w:rsidRDefault="0011177F" w:rsidP="00C52141">
      <w:pPr>
        <w:pStyle w:val="Bullet"/>
      </w:pPr>
      <w:r>
        <w:t>The bar for passing the performance test can shift over time to reflect the market, resolving one of the key drawbacks of a simple Sharpe ratio</w:t>
      </w:r>
      <w:r w:rsidR="00D80236">
        <w:t xml:space="preserve"> and more accurately test</w:t>
      </w:r>
      <w:r w:rsidR="008E18D5">
        <w:t>ing</w:t>
      </w:r>
      <w:r w:rsidR="00D80236">
        <w:t xml:space="preserve"> the value-add of the trustee</w:t>
      </w:r>
      <w:r w:rsidDel="00D80236">
        <w:t>.</w:t>
      </w:r>
    </w:p>
    <w:p w14:paraId="36C3E71B" w14:textId="77777777" w:rsidR="0011177F" w:rsidRDefault="0011177F" w:rsidP="00C52141">
      <w:pPr>
        <w:pStyle w:val="Bullet"/>
        <w:numPr>
          <w:ilvl w:val="0"/>
          <w:numId w:val="0"/>
        </w:numPr>
        <w:ind w:left="520" w:hanging="520"/>
      </w:pPr>
      <w:r>
        <w:t>However, there are drawbacks that should be considered when applying such a framework:</w:t>
      </w:r>
    </w:p>
    <w:p w14:paraId="1485C363" w14:textId="2CC6B110" w:rsidR="0011177F" w:rsidRDefault="0011177F" w:rsidP="00C52141">
      <w:pPr>
        <w:pStyle w:val="Bullet"/>
      </w:pPr>
      <w:r>
        <w:t xml:space="preserve">There is no agreed industry view on what constitutes a ‘growth’ or ‘defensive’ asset, which is a limitation of using allocations to growth assets as a proxy </w:t>
      </w:r>
      <w:r w:rsidR="007704FA">
        <w:t>for</w:t>
      </w:r>
      <w:r>
        <w:t xml:space="preserve"> risk. Trustees may seek to game this benchmark by amending their SAA, particularly around assets that do not clearly fit within the definitions. However, using volatility </w:t>
      </w:r>
      <w:r w:rsidR="00845E25">
        <w:t xml:space="preserve">as a proxy </w:t>
      </w:r>
      <w:r>
        <w:t xml:space="preserve">for risk </w:t>
      </w:r>
      <w:r w:rsidR="00845E25">
        <w:t xml:space="preserve">(as outlined below) </w:t>
      </w:r>
      <w:r>
        <w:t>may mitigate these concerns.</w:t>
      </w:r>
    </w:p>
    <w:p w14:paraId="6AA578DD" w14:textId="6B27D554" w:rsidR="0011177F" w:rsidRDefault="0011177F" w:rsidP="0011177F">
      <w:pPr>
        <w:pStyle w:val="Bullet"/>
      </w:pPr>
      <w:r>
        <w:t>A peer comparison trendline may result in some value-adding products failing the test</w:t>
      </w:r>
      <w:r w:rsidR="002F349A">
        <w:t xml:space="preserve"> if they </w:t>
      </w:r>
      <w:r w:rsidR="00746C57">
        <w:t xml:space="preserve">are </w:t>
      </w:r>
      <w:r w:rsidR="002C75B5">
        <w:t xml:space="preserve">performing worse relative </w:t>
      </w:r>
      <w:r w:rsidR="004B335F">
        <w:t xml:space="preserve">to </w:t>
      </w:r>
      <w:r w:rsidR="002C75B5">
        <w:t>their peers</w:t>
      </w:r>
      <w:r>
        <w:t>, particularly as the industry returns increase over time as poor products exit the market.</w:t>
      </w:r>
    </w:p>
    <w:p w14:paraId="691AB68F" w14:textId="5647AF4B" w:rsidR="0011177F" w:rsidRDefault="009F3123" w:rsidP="0011177F">
      <w:pPr>
        <w:pStyle w:val="Bullet"/>
      </w:pPr>
      <w:r>
        <w:t>Value</w:t>
      </w:r>
      <w:r w:rsidR="00187030">
        <w:t>s</w:t>
      </w:r>
      <w:r>
        <w:t>-</w:t>
      </w:r>
      <w:r w:rsidR="00187030">
        <w:t xml:space="preserve">based and other </w:t>
      </w:r>
      <w:r w:rsidR="007D5509">
        <w:t>products that increase consumer choice</w:t>
      </w:r>
      <w:r w:rsidR="003F4640">
        <w:t xml:space="preserve"> but do not </w:t>
      </w:r>
      <w:r w:rsidR="00DB6329">
        <w:t>track</w:t>
      </w:r>
      <w:r w:rsidR="00627B80">
        <w:t xml:space="preserve"> traditional </w:t>
      </w:r>
      <w:r w:rsidR="00AC5CCF">
        <w:t>investment markets, and therefore their peers,</w:t>
      </w:r>
      <w:r w:rsidR="007D5509">
        <w:t xml:space="preserve"> </w:t>
      </w:r>
      <w:r w:rsidR="0011177F">
        <w:t>may be at a disadvantage</w:t>
      </w:r>
      <w:r w:rsidR="00556543">
        <w:t>.</w:t>
      </w:r>
      <w:r w:rsidR="00A95F1A">
        <w:t xml:space="preserve"> </w:t>
      </w:r>
    </w:p>
    <w:p w14:paraId="40DA8AF4" w14:textId="563B8E1B" w:rsidR="0011177F" w:rsidRDefault="0011177F" w:rsidP="0011177F">
      <w:pPr>
        <w:pStyle w:val="Bullet"/>
      </w:pPr>
      <w:r>
        <w:t xml:space="preserve">Additional complexity might result </w:t>
      </w:r>
      <w:r w:rsidR="00CA7E8B">
        <w:t>in</w:t>
      </w:r>
      <w:r w:rsidR="00880797">
        <w:t xml:space="preserve"> </w:t>
      </w:r>
      <w:r>
        <w:t>less digestibility of results for members, compared to simpler approaches.</w:t>
      </w:r>
    </w:p>
    <w:p w14:paraId="6842C865" w14:textId="3F9C112F" w:rsidR="00FA33A4" w:rsidRPr="009E3C35" w:rsidRDefault="00F31350" w:rsidP="00C52141">
      <w:pPr>
        <w:pStyle w:val="Heading4"/>
        <w:spacing w:before="120"/>
      </w:pPr>
      <w:r>
        <w:t xml:space="preserve">2c. </w:t>
      </w:r>
      <w:r w:rsidR="001169EB">
        <w:t xml:space="preserve">Risk-adjusted returns relative to </w:t>
      </w:r>
      <w:r w:rsidR="00AB3360">
        <w:t>simple-reference portfolio (</w:t>
      </w:r>
      <w:r w:rsidR="001169EB">
        <w:t>SRP</w:t>
      </w:r>
      <w:r w:rsidR="00AB3360">
        <w:t>)</w:t>
      </w:r>
      <w:r w:rsidR="001169EB">
        <w:t xml:space="preserve"> frontier</w:t>
      </w:r>
    </w:p>
    <w:p w14:paraId="60DF608E" w14:textId="5B29D909" w:rsidR="001169EB" w:rsidRDefault="001169EB" w:rsidP="0009191F">
      <w:pPr>
        <w:spacing w:after="0" w:line="276" w:lineRule="auto"/>
      </w:pPr>
      <w:r>
        <w:t>Another single metric could incorporate elements of both the Sharpe ratio and the peer comparison metrics. This could measure the risk-adjusted returns against a benchmark that is calculated using an SRP frontier (discussed in detail below).</w:t>
      </w:r>
      <w:r w:rsidRPr="001169EB">
        <w:t xml:space="preserve"> </w:t>
      </w:r>
      <w:r w:rsidR="008E18D5">
        <w:t>Like</w:t>
      </w:r>
      <w:r w:rsidDel="008E18D5">
        <w:t xml:space="preserve"> the </w:t>
      </w:r>
      <w:r>
        <w:t>peer comparison option</w:t>
      </w:r>
      <w:r w:rsidR="008E18D5">
        <w:t>, this approach</w:t>
      </w:r>
      <w:r>
        <w:t xml:space="preserve"> </w:t>
      </w:r>
      <w:r w:rsidR="00107BC5">
        <w:t>ha</w:t>
      </w:r>
      <w:r w:rsidR="008E18D5">
        <w:t>s</w:t>
      </w:r>
      <w:r w:rsidR="00107BC5">
        <w:t xml:space="preserve"> </w:t>
      </w:r>
      <w:r w:rsidR="008E18D5">
        <w:t xml:space="preserve">an </w:t>
      </w:r>
      <w:r w:rsidR="00107BC5">
        <w:t>advantage</w:t>
      </w:r>
      <w:r>
        <w:t xml:space="preserve"> over a simple absolute benchmark</w:t>
      </w:r>
      <w:r w:rsidR="006C405E">
        <w:t xml:space="preserve"> (such as a </w:t>
      </w:r>
      <w:r w:rsidR="0096732C">
        <w:t>S</w:t>
      </w:r>
      <w:r w:rsidR="006C405E">
        <w:t xml:space="preserve">harpe </w:t>
      </w:r>
      <w:r w:rsidR="0096732C">
        <w:t>r</w:t>
      </w:r>
      <w:r w:rsidR="006C405E">
        <w:t>atio)</w:t>
      </w:r>
      <w:r>
        <w:t xml:space="preserve"> because </w:t>
      </w:r>
      <w:r w:rsidR="00C7503F">
        <w:t xml:space="preserve">it provides greater weight to the </w:t>
      </w:r>
      <w:r>
        <w:t xml:space="preserve">value-add of the trustee, rather than performance being strongly influenced by overall market conditions. </w:t>
      </w:r>
    </w:p>
    <w:p w14:paraId="1A2E1E39" w14:textId="2FE12D19" w:rsidR="001169EB" w:rsidRPr="00E4663E" w:rsidRDefault="001169EB" w:rsidP="00C52141">
      <w:pPr>
        <w:pStyle w:val="Heading4"/>
        <w:rPr>
          <w:i/>
          <w:sz w:val="28"/>
          <w:szCs w:val="28"/>
        </w:rPr>
      </w:pPr>
      <w:r w:rsidRPr="008037B9">
        <w:rPr>
          <w:i/>
          <w:szCs w:val="28"/>
        </w:rPr>
        <w:t>Measurement</w:t>
      </w:r>
      <w:r w:rsidRPr="00E4663E">
        <w:rPr>
          <w:i/>
          <w:szCs w:val="28"/>
        </w:rPr>
        <w:t xml:space="preserve"> </w:t>
      </w:r>
      <w:r w:rsidR="00B15185">
        <w:rPr>
          <w:i/>
          <w:szCs w:val="28"/>
        </w:rPr>
        <w:t xml:space="preserve">of </w:t>
      </w:r>
      <w:r w:rsidRPr="00E4663E">
        <w:rPr>
          <w:i/>
          <w:szCs w:val="28"/>
        </w:rPr>
        <w:t>performance</w:t>
      </w:r>
    </w:p>
    <w:p w14:paraId="496F0D66" w14:textId="306078F4" w:rsidR="006564EC" w:rsidRPr="0009191F" w:rsidRDefault="00951299" w:rsidP="0009191F">
      <w:pPr>
        <w:spacing w:after="0" w:line="276" w:lineRule="auto"/>
      </w:pPr>
      <w:r>
        <w:t>Like</w:t>
      </w:r>
      <w:r w:rsidR="001169EB">
        <w:t xml:space="preserve"> the Sharpe ratio, this metric could focus on the </w:t>
      </w:r>
      <w:r w:rsidR="00177149">
        <w:t xml:space="preserve">net </w:t>
      </w:r>
      <w:r w:rsidR="001169EB">
        <w:t xml:space="preserve">investment returns that a product has generated relative to their risk, </w:t>
      </w:r>
      <w:r w:rsidR="000275AD">
        <w:t xml:space="preserve">reflected by the </w:t>
      </w:r>
      <w:r w:rsidR="001169EB">
        <w:t>standard deviation</w:t>
      </w:r>
      <w:r w:rsidR="00616A5A">
        <w:t xml:space="preserve"> </w:t>
      </w:r>
      <w:r w:rsidR="000275AD">
        <w:t xml:space="preserve">of the investment returns </w:t>
      </w:r>
      <w:r w:rsidR="00616A5A">
        <w:t xml:space="preserve">(example in </w:t>
      </w:r>
      <w:r w:rsidR="00FB1307">
        <w:t>C</w:t>
      </w:r>
      <w:r w:rsidR="00616A5A">
        <w:t>hart 3)</w:t>
      </w:r>
      <w:r w:rsidR="001169EB">
        <w:t>.</w:t>
      </w:r>
      <w:r w:rsidR="00616A5A" w:rsidRPr="00616A5A">
        <w:t xml:space="preserve"> </w:t>
      </w:r>
      <w:r w:rsidR="00616A5A">
        <w:t>This</w:t>
      </w:r>
      <w:r w:rsidR="005102A6">
        <w:t xml:space="preserve"> addresses the concern in Option 2b of needing</w:t>
      </w:r>
      <w:r w:rsidR="00616A5A" w:rsidDel="005102A6">
        <w:t xml:space="preserve"> </w:t>
      </w:r>
      <w:r w:rsidR="00616A5A">
        <w:t>to define growth assets</w:t>
      </w:r>
      <w:r w:rsidR="000275AD">
        <w:t xml:space="preserve"> </w:t>
      </w:r>
      <w:r w:rsidR="00616A5A">
        <w:t xml:space="preserve">and </w:t>
      </w:r>
      <w:r w:rsidR="005102A6">
        <w:t xml:space="preserve">thereby </w:t>
      </w:r>
      <w:r w:rsidR="00616A5A">
        <w:t>mitigate</w:t>
      </w:r>
      <w:r w:rsidR="005102A6">
        <w:t>s the</w:t>
      </w:r>
      <w:r w:rsidR="00616A5A">
        <w:t xml:space="preserve"> risk of trustees gaming the test by changing their </w:t>
      </w:r>
      <w:r w:rsidR="00FB1307">
        <w:t>SAA</w:t>
      </w:r>
      <w:r w:rsidR="00616A5A">
        <w:t>.</w:t>
      </w:r>
    </w:p>
    <w:p w14:paraId="4DF77125" w14:textId="3447B7B3" w:rsidR="0036116E" w:rsidRPr="00EA341B" w:rsidRDefault="00C84776" w:rsidP="00C52141">
      <w:pPr>
        <w:pStyle w:val="Heading4"/>
        <w:rPr>
          <w:i/>
          <w:szCs w:val="28"/>
        </w:rPr>
      </w:pPr>
      <w:r w:rsidRPr="00EA341B">
        <w:rPr>
          <w:i/>
          <w:szCs w:val="28"/>
        </w:rPr>
        <w:t>Benchmark for performance</w:t>
      </w:r>
    </w:p>
    <w:p w14:paraId="383603F8" w14:textId="79D8A4F8" w:rsidR="003070CB" w:rsidRDefault="00616A5A" w:rsidP="0009191F">
      <w:pPr>
        <w:spacing w:after="0" w:line="276" w:lineRule="auto"/>
      </w:pPr>
      <w:r>
        <w:t>The</w:t>
      </w:r>
      <w:r w:rsidR="003070CB">
        <w:t xml:space="preserve"> </w:t>
      </w:r>
      <w:r w:rsidR="003245C6">
        <w:t>relative benchmark</w:t>
      </w:r>
      <w:r w:rsidR="00BD2BDF">
        <w:t xml:space="preserve"> </w:t>
      </w:r>
      <w:r w:rsidR="003070CB">
        <w:t xml:space="preserve">for performance could involve comparing a product’s performance against the </w:t>
      </w:r>
      <w:r w:rsidR="00C3028C">
        <w:t xml:space="preserve">hypothetical </w:t>
      </w:r>
      <w:r w:rsidR="003070CB">
        <w:t xml:space="preserve">risk-adjusted return </w:t>
      </w:r>
      <w:r w:rsidR="00C3028C">
        <w:t xml:space="preserve">of an equivalent </w:t>
      </w:r>
      <w:r w:rsidR="003070CB">
        <w:t xml:space="preserve">simple-reference portfolio (SRP). This would see the risk-adjusted returns compared against what the corresponding SRP </w:t>
      </w:r>
      <w:r w:rsidR="00E93486">
        <w:t xml:space="preserve">with a similar risk profile </w:t>
      </w:r>
      <w:r w:rsidR="003070CB">
        <w:t>would have achieved</w:t>
      </w:r>
      <w:r w:rsidR="003A6330">
        <w:t xml:space="preserve"> (the ‘SRP </w:t>
      </w:r>
      <w:r w:rsidR="00E37682">
        <w:t>f</w:t>
      </w:r>
      <w:r w:rsidR="003A6330">
        <w:t>rontier’)</w:t>
      </w:r>
      <w:r w:rsidR="003070CB">
        <w:t xml:space="preserve">. </w:t>
      </w:r>
    </w:p>
    <w:p w14:paraId="444D8D23" w14:textId="00974625" w:rsidR="00F6659D" w:rsidRDefault="00F6659D" w:rsidP="0009191F">
      <w:pPr>
        <w:spacing w:after="0" w:line="276" w:lineRule="auto"/>
      </w:pPr>
      <w:r>
        <w:t xml:space="preserve">Instead of deriving a peer trendline, the SRP frontier reflects what a product invested only in bonds (defensive) and equities (growth) would have delivered at each point of the hypothetical SRP, stretching from 100 per cent bonds and 0 per cent equity (the left hand side of the benchmark) to 100 equity and 0 per cent bond (the right hand side of the benchmark). The threshold for failure could be set at </w:t>
      </w:r>
      <w:r w:rsidR="00D0533A">
        <w:t xml:space="preserve">the SRP frontier or </w:t>
      </w:r>
      <w:r>
        <w:t>a margin below the SRP frontier, and any products below this line would fail.</w:t>
      </w:r>
      <w:r w:rsidR="00E311CE">
        <w:t xml:space="preserve"> This has the benefit of effectively </w:t>
      </w:r>
      <w:r w:rsidR="001164BF">
        <w:t xml:space="preserve">establishing a counterfactual risk-adjusted return which can then </w:t>
      </w:r>
      <w:r w:rsidR="009A4860">
        <w:t>demonstrate the value-add of the trustee’s decision-making.</w:t>
      </w:r>
    </w:p>
    <w:p w14:paraId="7BD23E25" w14:textId="06B66A21" w:rsidR="00760E23" w:rsidRDefault="00F65F5F" w:rsidP="0009191F">
      <w:pPr>
        <w:spacing w:after="0" w:line="276" w:lineRule="auto"/>
      </w:pPr>
      <w:r>
        <w:t xml:space="preserve">Chart 3 is a representation of a framework where </w:t>
      </w:r>
      <w:r w:rsidR="0022344F">
        <w:t xml:space="preserve">MySuper </w:t>
      </w:r>
      <w:r>
        <w:t xml:space="preserve">products are assessed based on their </w:t>
      </w:r>
      <w:r w:rsidR="00C96809">
        <w:t xml:space="preserve">net </w:t>
      </w:r>
      <w:r>
        <w:t xml:space="preserve">returns relative to the volatility </w:t>
      </w:r>
      <w:r w:rsidR="00CB5CB7">
        <w:t>(standard deviation)</w:t>
      </w:r>
      <w:r>
        <w:t xml:space="preserve"> experienced. </w:t>
      </w:r>
    </w:p>
    <w:p w14:paraId="191FE6C7" w14:textId="74250C1D" w:rsidR="00F65F5F" w:rsidRPr="0009191F" w:rsidRDefault="002470FD" w:rsidP="0009191F">
      <w:pPr>
        <w:spacing w:after="0" w:line="276" w:lineRule="auto"/>
      </w:pPr>
      <w:r>
        <w:t xml:space="preserve">This approach would have the advantage that </w:t>
      </w:r>
      <w:r w:rsidR="005A1D58">
        <w:t xml:space="preserve">the </w:t>
      </w:r>
      <w:r w:rsidR="00120EB1">
        <w:t>thre</w:t>
      </w:r>
      <w:r w:rsidR="007434FB">
        <w:t>s</w:t>
      </w:r>
      <w:r w:rsidR="00120EB1">
        <w:t>hold</w:t>
      </w:r>
      <w:r w:rsidR="005A1D58">
        <w:t xml:space="preserve"> for failure would be well known </w:t>
      </w:r>
      <w:r w:rsidR="00477BF1">
        <w:t xml:space="preserve">(assuming </w:t>
      </w:r>
      <w:r w:rsidR="00872E55">
        <w:t xml:space="preserve">access to </w:t>
      </w:r>
      <w:r w:rsidR="007D3063">
        <w:t xml:space="preserve">relevant equities and bonds indices) </w:t>
      </w:r>
      <w:r w:rsidR="005A1D58">
        <w:t xml:space="preserve">and </w:t>
      </w:r>
      <w:r w:rsidR="006D7C0C">
        <w:t>understood</w:t>
      </w:r>
      <w:r w:rsidR="005A1D58">
        <w:t xml:space="preserve"> by industry in advance of any APRA calculation</w:t>
      </w:r>
      <w:r w:rsidR="00E7635C">
        <w:t xml:space="preserve"> and not </w:t>
      </w:r>
      <w:r w:rsidR="009A4860">
        <w:t xml:space="preserve">be </w:t>
      </w:r>
      <w:r w:rsidR="00E7635C">
        <w:t>influenced by peer performance</w:t>
      </w:r>
      <w:r w:rsidR="005A1D58">
        <w:t xml:space="preserve">. </w:t>
      </w:r>
    </w:p>
    <w:p w14:paraId="32A8E6B2" w14:textId="59CA21D1" w:rsidR="00D14926" w:rsidRPr="00E4663E" w:rsidRDefault="007C0442" w:rsidP="008C6F7D">
      <w:pPr>
        <w:pStyle w:val="ChartMainHeading"/>
      </w:pPr>
      <w:bookmarkStart w:id="27" w:name="_Toc153182339"/>
      <w:bookmarkStart w:id="28" w:name="_Toc153206240"/>
      <w:bookmarkStart w:id="29" w:name="_Toc155955177"/>
      <w:r>
        <w:t>Chart 3</w:t>
      </w:r>
      <w:r w:rsidR="008C6F7D">
        <w:t xml:space="preserve"> – M</w:t>
      </w:r>
      <w:r w:rsidR="00D14926">
        <w:t xml:space="preserve">ySuper </w:t>
      </w:r>
      <w:r w:rsidR="00561519">
        <w:t>Return vs Risk</w:t>
      </w:r>
      <w:r w:rsidR="001A33A7">
        <w:t xml:space="preserve"> (8-year)</w:t>
      </w:r>
      <w:bookmarkEnd w:id="27"/>
      <w:bookmarkEnd w:id="28"/>
      <w:bookmarkEnd w:id="29"/>
    </w:p>
    <w:p w14:paraId="52EAFE22" w14:textId="58831EE7" w:rsidR="00A6309A" w:rsidRDefault="009559AA" w:rsidP="00EA341B">
      <w:pPr>
        <w:spacing w:before="0" w:after="160" w:line="259" w:lineRule="auto"/>
        <w:jc w:val="center"/>
      </w:pPr>
      <w:r>
        <w:rPr>
          <w:noProof/>
        </w:rPr>
        <w:drawing>
          <wp:inline distT="0" distB="0" distL="0" distR="0" wp14:anchorId="0CA47128" wp14:editId="037CA598">
            <wp:extent cx="5723822" cy="369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4465" cy="3702572"/>
                    </a:xfrm>
                    <a:prstGeom prst="rect">
                      <a:avLst/>
                    </a:prstGeom>
                    <a:noFill/>
                  </pic:spPr>
                </pic:pic>
              </a:graphicData>
            </a:graphic>
          </wp:inline>
        </w:drawing>
      </w:r>
    </w:p>
    <w:p w14:paraId="691107A0" w14:textId="55B62E25" w:rsidR="006408A0" w:rsidRDefault="006408A0" w:rsidP="00EA341B">
      <w:pPr>
        <w:pStyle w:val="ChartorTableNote"/>
      </w:pPr>
      <w:r w:rsidRPr="0009191F">
        <w:rPr>
          <w:b/>
          <w:bCs/>
        </w:rPr>
        <w:t>Note:</w:t>
      </w:r>
      <w:r>
        <w:t xml:space="preserve"> Analysis also shows multiple results for lifecycle products as each life stage is represented separately.</w:t>
      </w:r>
    </w:p>
    <w:p w14:paraId="49D53DB1" w14:textId="2BCDCEF3" w:rsidR="00641F96" w:rsidRDefault="00641F96" w:rsidP="00EA341B">
      <w:pPr>
        <w:pStyle w:val="ChartorTableNote"/>
      </w:pPr>
      <w:r w:rsidRPr="0009191F">
        <w:rPr>
          <w:b/>
          <w:bCs/>
        </w:rPr>
        <w:t>Source:</w:t>
      </w:r>
      <w:r>
        <w:t xml:space="preserve"> </w:t>
      </w:r>
      <w:r w:rsidR="005773BD">
        <w:t>data sourced from Chant West</w:t>
      </w:r>
      <w:r w:rsidR="00496AAC">
        <w:t xml:space="preserve"> </w:t>
      </w:r>
    </w:p>
    <w:p w14:paraId="7A8C6A57" w14:textId="2D8414C7" w:rsidR="00A06D98" w:rsidRPr="00E4663E" w:rsidRDefault="00A06D98" w:rsidP="00C52141">
      <w:pPr>
        <w:pStyle w:val="Heading4"/>
        <w:rPr>
          <w:i/>
          <w:sz w:val="28"/>
          <w:szCs w:val="28"/>
        </w:rPr>
      </w:pPr>
      <w:r w:rsidRPr="00E4663E">
        <w:rPr>
          <w:i/>
          <w:szCs w:val="28"/>
        </w:rPr>
        <w:t>Benefits and drawbacks</w:t>
      </w:r>
    </w:p>
    <w:p w14:paraId="1422D8CB" w14:textId="000CF200" w:rsidR="00D839D6" w:rsidRDefault="00657D52" w:rsidP="0009191F">
      <w:pPr>
        <w:spacing w:after="0" w:line="276" w:lineRule="auto"/>
      </w:pPr>
      <w:r>
        <w:t>Th</w:t>
      </w:r>
      <w:r w:rsidR="00975433">
        <w:t>is</w:t>
      </w:r>
      <w:r>
        <w:t xml:space="preserve"> option </w:t>
      </w:r>
      <w:r w:rsidR="00216AD4">
        <w:t>ha</w:t>
      </w:r>
      <w:r w:rsidR="00975433">
        <w:t xml:space="preserve">s </w:t>
      </w:r>
      <w:r w:rsidR="00544461">
        <w:t xml:space="preserve">all the same benefits as the peer comparison approach in 2b, but </w:t>
      </w:r>
      <w:r w:rsidR="00F3532A">
        <w:t>includes</w:t>
      </w:r>
      <w:r w:rsidR="00544461">
        <w:t xml:space="preserve"> the following additional benefits:</w:t>
      </w:r>
    </w:p>
    <w:p w14:paraId="0527CE8D" w14:textId="1461F83C" w:rsidR="00544461" w:rsidRDefault="00544461" w:rsidP="00C52141">
      <w:pPr>
        <w:pStyle w:val="Bullet"/>
      </w:pPr>
      <w:r>
        <w:t>This approach does not rely on a product’s SAA</w:t>
      </w:r>
      <w:r w:rsidR="00383A9D">
        <w:t xml:space="preserve">, meaning </w:t>
      </w:r>
      <w:r w:rsidR="00D35A4F">
        <w:t xml:space="preserve">it would not be subject to </w:t>
      </w:r>
      <w:r w:rsidR="00B87A6A">
        <w:t>‘gaming’ th</w:t>
      </w:r>
      <w:r w:rsidR="007852EA">
        <w:t xml:space="preserve">e </w:t>
      </w:r>
      <w:r w:rsidR="00A86572">
        <w:t xml:space="preserve">reporting of the </w:t>
      </w:r>
      <w:r w:rsidR="007852EA">
        <w:t>SAA</w:t>
      </w:r>
      <w:r>
        <w:t>.</w:t>
      </w:r>
    </w:p>
    <w:p w14:paraId="403923CC" w14:textId="19DAABD3" w:rsidR="001C02D7" w:rsidRDefault="001C02D7" w:rsidP="00C52141">
      <w:pPr>
        <w:pStyle w:val="Bullet"/>
      </w:pPr>
      <w:r>
        <w:t xml:space="preserve">It </w:t>
      </w:r>
      <w:r w:rsidR="00314245">
        <w:t xml:space="preserve">will </w:t>
      </w:r>
      <w:r>
        <w:t xml:space="preserve">be possible for trustees to </w:t>
      </w:r>
      <w:r w:rsidR="00314245">
        <w:t xml:space="preserve">track and </w:t>
      </w:r>
      <w:r>
        <w:t>pre-empt their result</w:t>
      </w:r>
      <w:r w:rsidR="004D5744">
        <w:t>s</w:t>
      </w:r>
      <w:r w:rsidR="009563FB">
        <w:t>, using the relevant bonds and equities indices</w:t>
      </w:r>
      <w:r w:rsidR="00694A95">
        <w:t>.</w:t>
      </w:r>
    </w:p>
    <w:p w14:paraId="61471CFD" w14:textId="7C47A04C" w:rsidR="003503FC" w:rsidRDefault="003503FC" w:rsidP="0009191F">
      <w:pPr>
        <w:spacing w:after="0" w:line="276" w:lineRule="auto"/>
      </w:pPr>
      <w:r>
        <w:t xml:space="preserve">However, there are </w:t>
      </w:r>
      <w:r w:rsidR="00D40F95">
        <w:t>drawbacks</w:t>
      </w:r>
      <w:r>
        <w:t xml:space="preserve"> that </w:t>
      </w:r>
      <w:r w:rsidR="009C0E51">
        <w:t xml:space="preserve">should </w:t>
      </w:r>
      <w:r>
        <w:t xml:space="preserve">be considered </w:t>
      </w:r>
      <w:r w:rsidR="00D55631">
        <w:t>when applying such a framework:</w:t>
      </w:r>
    </w:p>
    <w:p w14:paraId="1A47B625" w14:textId="0CE1673B" w:rsidR="00765747" w:rsidRDefault="00765747" w:rsidP="00C52141">
      <w:pPr>
        <w:pStyle w:val="Bullet"/>
      </w:pPr>
      <w:r>
        <w:t xml:space="preserve">Additional complexity </w:t>
      </w:r>
      <w:r w:rsidR="00314245">
        <w:t xml:space="preserve">around the concepts of volatility and the ‘SRP </w:t>
      </w:r>
      <w:r w:rsidR="00E71759">
        <w:t>f</w:t>
      </w:r>
      <w:r w:rsidR="00314245">
        <w:t xml:space="preserve">rontier’ </w:t>
      </w:r>
      <w:r>
        <w:t xml:space="preserve">might result </w:t>
      </w:r>
      <w:r w:rsidR="00942AC6">
        <w:t>in</w:t>
      </w:r>
      <w:r>
        <w:t xml:space="preserve"> </w:t>
      </w:r>
      <w:r w:rsidR="00684004">
        <w:t>less digestibility of results</w:t>
      </w:r>
      <w:r w:rsidR="0083615B">
        <w:t xml:space="preserve"> for members</w:t>
      </w:r>
      <w:r w:rsidR="00F46897">
        <w:t xml:space="preserve">, compared to </w:t>
      </w:r>
      <w:r w:rsidR="0083615B">
        <w:t>simple</w:t>
      </w:r>
      <w:r w:rsidR="000D796B">
        <w:t>r</w:t>
      </w:r>
      <w:r w:rsidR="0083615B">
        <w:t xml:space="preserve"> approaches</w:t>
      </w:r>
      <w:r w:rsidR="00F46897">
        <w:t>.</w:t>
      </w:r>
    </w:p>
    <w:p w14:paraId="53B3FD78" w14:textId="45BE65DC" w:rsidR="00711EA8" w:rsidRDefault="00711EA8" w:rsidP="00C52141">
      <w:pPr>
        <w:pStyle w:val="Bullet"/>
      </w:pPr>
      <w:r>
        <w:t xml:space="preserve">Products that do not </w:t>
      </w:r>
      <w:r w:rsidR="007D09F9">
        <w:t xml:space="preserve">out-perform </w:t>
      </w:r>
      <w:r w:rsidR="00AF38A4">
        <w:t xml:space="preserve">simple </w:t>
      </w:r>
      <w:r>
        <w:t>equity and bond market</w:t>
      </w:r>
      <w:r w:rsidR="00AF38A4">
        <w:t xml:space="preserve"> indexes</w:t>
      </w:r>
      <w:r>
        <w:t xml:space="preserve"> may be at a disadvantage</w:t>
      </w:r>
      <w:r w:rsidR="009547EC">
        <w:t>.</w:t>
      </w:r>
    </w:p>
    <w:p w14:paraId="60E2566E" w14:textId="5036CDFA" w:rsidR="00FD585A" w:rsidRPr="00EA341B" w:rsidRDefault="003C5DF7" w:rsidP="00C52141">
      <w:pPr>
        <w:pStyle w:val="Heading4"/>
        <w:rPr>
          <w:i/>
          <w:szCs w:val="28"/>
        </w:rPr>
      </w:pPr>
      <w:r w:rsidRPr="00EA341B">
        <w:rPr>
          <w:i/>
          <w:szCs w:val="28"/>
        </w:rPr>
        <w:t xml:space="preserve">Interactions between peer comparison and </w:t>
      </w:r>
      <w:r w:rsidR="004E6C6B" w:rsidRPr="00EA341B">
        <w:rPr>
          <w:i/>
          <w:szCs w:val="28"/>
        </w:rPr>
        <w:t>SRP frontier</w:t>
      </w:r>
      <w:r w:rsidR="00B15185">
        <w:rPr>
          <w:i/>
          <w:szCs w:val="28"/>
        </w:rPr>
        <w:t xml:space="preserve"> examples</w:t>
      </w:r>
    </w:p>
    <w:p w14:paraId="3E1BE6C1" w14:textId="04C07CBF" w:rsidR="004E6C6B" w:rsidRDefault="00223096" w:rsidP="00C52141">
      <w:pPr>
        <w:pStyle w:val="Bullet"/>
        <w:numPr>
          <w:ilvl w:val="0"/>
          <w:numId w:val="0"/>
        </w:numPr>
      </w:pPr>
      <w:r>
        <w:t xml:space="preserve">The examples presented in </w:t>
      </w:r>
      <w:r w:rsidR="00A377E3">
        <w:t xml:space="preserve">options 2b and 2c offer multiple approaches to </w:t>
      </w:r>
      <w:r w:rsidR="000C5F0C">
        <w:t xml:space="preserve">measuring performance </w:t>
      </w:r>
      <w:r w:rsidR="001F1D9F">
        <w:t>through</w:t>
      </w:r>
      <w:r w:rsidR="00126A2A">
        <w:t xml:space="preserve"> the mechanism to </w:t>
      </w:r>
      <w:r w:rsidR="00411163">
        <w:t xml:space="preserve">adjust returns to account for risk (growth allocations or </w:t>
      </w:r>
      <w:r w:rsidR="00157002">
        <w:t>standard deviation)</w:t>
      </w:r>
      <w:r w:rsidR="00C5157D">
        <w:t xml:space="preserve"> as well as</w:t>
      </w:r>
      <w:r w:rsidR="00126A2A">
        <w:t xml:space="preserve"> the benchmark for performance (</w:t>
      </w:r>
      <w:r w:rsidR="00AF5E8E">
        <w:t xml:space="preserve">peer trendline or SRP frontier). While these examples focus on two specific combinations, </w:t>
      </w:r>
      <w:r w:rsidR="00D63EE4">
        <w:t xml:space="preserve">a </w:t>
      </w:r>
      <w:r w:rsidR="00AC0B2C">
        <w:t>different combination could be considered.</w:t>
      </w:r>
    </w:p>
    <w:p w14:paraId="68DEC080" w14:textId="7C61B50C" w:rsidR="00C130D2" w:rsidRPr="00C130D2" w:rsidRDefault="00C130D2" w:rsidP="00D9513E">
      <w:r>
        <w:rPr>
          <w:noProof/>
        </w:rPr>
        <mc:AlternateContent>
          <mc:Choice Requires="wps">
            <w:drawing>
              <wp:inline distT="0" distB="0" distL="0" distR="0" wp14:anchorId="167663A9" wp14:editId="7560B003">
                <wp:extent cx="5743575" cy="2047875"/>
                <wp:effectExtent l="0" t="0" r="9525" b="9525"/>
                <wp:docPr id="29" name="Text Box 29"/>
                <wp:cNvGraphicFramePr/>
                <a:graphic xmlns:a="http://schemas.openxmlformats.org/drawingml/2006/main">
                  <a:graphicData uri="http://schemas.microsoft.com/office/word/2010/wordprocessingShape">
                    <wps:wsp>
                      <wps:cNvSpPr txBox="1"/>
                      <wps:spPr>
                        <a:xfrm>
                          <a:off x="0" y="0"/>
                          <a:ext cx="5743575" cy="2047875"/>
                        </a:xfrm>
                        <a:prstGeom prst="rect">
                          <a:avLst/>
                        </a:prstGeom>
                        <a:solidFill>
                          <a:schemeClr val="accent3">
                            <a:lumMod val="20000"/>
                            <a:lumOff val="80000"/>
                          </a:schemeClr>
                        </a:solidFill>
                        <a:ln w="6350">
                          <a:noFill/>
                        </a:ln>
                      </wps:spPr>
                      <wps:txbx>
                        <w:txbxContent>
                          <w:p w14:paraId="153610A6" w14:textId="77777777" w:rsidR="00C130D2" w:rsidRDefault="00C130D2" w:rsidP="00C130D2">
                            <w:pPr>
                              <w:pStyle w:val="Heading4"/>
                              <w:spacing w:before="120"/>
                            </w:pPr>
                            <w:r>
                              <w:t>Consultation Questions</w:t>
                            </w:r>
                          </w:p>
                          <w:p w14:paraId="562968CD" w14:textId="467E0B02" w:rsidR="00C130D2" w:rsidRDefault="00911A11" w:rsidP="0058255F">
                            <w:pPr>
                              <w:pStyle w:val="OutlineNumbered1"/>
                              <w:numPr>
                                <w:ilvl w:val="0"/>
                                <w:numId w:val="59"/>
                              </w:numPr>
                            </w:pPr>
                            <w:r>
                              <w:t xml:space="preserve">Are </w:t>
                            </w:r>
                            <w:r w:rsidR="00CB58B9">
                              <w:t>either</w:t>
                            </w:r>
                            <w:r>
                              <w:t xml:space="preserve"> of these </w:t>
                            </w:r>
                            <w:r w:rsidR="00C130D2">
                              <w:t>approach</w:t>
                            </w:r>
                            <w:r>
                              <w:t>es</w:t>
                            </w:r>
                            <w:r w:rsidR="00C130D2">
                              <w:t xml:space="preserve"> </w:t>
                            </w:r>
                            <w:r w:rsidR="004966C4">
                              <w:t xml:space="preserve">better </w:t>
                            </w:r>
                            <w:r w:rsidR="00C130D2">
                              <w:t>than</w:t>
                            </w:r>
                            <w:r w:rsidR="00A70AC5">
                              <w:t xml:space="preserve"> the existing test methodology (Option 1) or</w:t>
                            </w:r>
                            <w:r w:rsidR="00C130D2">
                              <w:t xml:space="preserve"> </w:t>
                            </w:r>
                            <w:r w:rsidR="004966C4">
                              <w:t xml:space="preserve">a simple </w:t>
                            </w:r>
                            <w:r w:rsidR="00085E0F">
                              <w:t>S</w:t>
                            </w:r>
                            <w:r w:rsidR="00C130D2">
                              <w:t>harpe ratio</w:t>
                            </w:r>
                            <w:r w:rsidR="00A70AC5">
                              <w:t xml:space="preserve"> (Option 2a)</w:t>
                            </w:r>
                            <w:r w:rsidR="00C130D2">
                              <w:t>? Are there any other considerations that make this a better or worse option?</w:t>
                            </w:r>
                          </w:p>
                          <w:p w14:paraId="0DA658AB" w14:textId="77777777" w:rsidR="00C130D2" w:rsidRDefault="00C130D2" w:rsidP="0058255F">
                            <w:pPr>
                              <w:pStyle w:val="OutlineNumbered1"/>
                              <w:numPr>
                                <w:ilvl w:val="0"/>
                                <w:numId w:val="59"/>
                              </w:numPr>
                            </w:pPr>
                            <w:r>
                              <w:t>Are there any other alternative single</w:t>
                            </w:r>
                            <w:r w:rsidR="003F1EDB">
                              <w:t>-</w:t>
                            </w:r>
                            <w:r>
                              <w:t>metrics that would be superior in addressing the principles set out in this paper? How would they provide a better testing framework? What net benefits do they provide over other proposed metrics?</w:t>
                            </w:r>
                          </w:p>
                          <w:p w14:paraId="2F6FB1B8" w14:textId="6C792989" w:rsidR="00A244D4" w:rsidRPr="001C4AD7" w:rsidRDefault="00A245E5" w:rsidP="0058255F">
                            <w:pPr>
                              <w:pStyle w:val="OutlineNumbered1"/>
                              <w:numPr>
                                <w:ilvl w:val="0"/>
                                <w:numId w:val="59"/>
                              </w:numPr>
                            </w:pPr>
                            <w:r>
                              <w:t>What incentives would these</w:t>
                            </w:r>
                            <w:r w:rsidR="00340781">
                              <w:t xml:space="preserve"> alternative single-metric</w:t>
                            </w:r>
                            <w:r>
                              <w:t xml:space="preserve"> options provide trustees, and what </w:t>
                            </w:r>
                            <w:r w:rsidR="00C130D2">
                              <w:t>would be the consequence of this for member 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167663A9" id="Text Box 29" o:spid="_x0000_s1030" type="#_x0000_t202" style="width:452.25pt;height:1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" fillcolor="#dee3eb [662]" stroked="f" strokeweight=".5pt">
                <v:textbox>
                  <w:txbxContent>
                    <w:p w14:paraId="153610A6" w14:textId="77777777" w:rsidR="00C130D2" w:rsidRDefault="00C130D2" w:rsidP="00C130D2">
                      <w:pPr>
                        <w:pStyle w:val="Heading4"/>
                        <w:spacing w:before="120"/>
                      </w:pPr>
                      <w:r>
                        <w:t>Consultation Questions</w:t>
                      </w:r>
                    </w:p>
                    <w:p w14:paraId="562968CD" w14:textId="467E0B02" w:rsidR="00C130D2" w:rsidRDefault="00911A11" w:rsidP="0058255F">
                      <w:pPr>
                        <w:pStyle w:val="OutlineNumbered1"/>
                        <w:numPr>
                          <w:ilvl w:val="0"/>
                          <w:numId w:val="59"/>
                        </w:numPr>
                      </w:pPr>
                      <w:r>
                        <w:t xml:space="preserve">Are </w:t>
                      </w:r>
                      <w:r w:rsidR="00CB58B9">
                        <w:t>either</w:t>
                      </w:r>
                      <w:r>
                        <w:t xml:space="preserve"> of these </w:t>
                      </w:r>
                      <w:r w:rsidR="00C130D2">
                        <w:t>approach</w:t>
                      </w:r>
                      <w:r>
                        <w:t>es</w:t>
                      </w:r>
                      <w:r w:rsidR="00C130D2">
                        <w:t xml:space="preserve"> </w:t>
                      </w:r>
                      <w:r w:rsidR="004966C4">
                        <w:t xml:space="preserve">better </w:t>
                      </w:r>
                      <w:r w:rsidR="00C130D2">
                        <w:t>than</w:t>
                      </w:r>
                      <w:r w:rsidR="00A70AC5">
                        <w:t xml:space="preserve"> the existing test methodology (Option 1) or</w:t>
                      </w:r>
                      <w:r w:rsidR="00C130D2">
                        <w:t xml:space="preserve"> </w:t>
                      </w:r>
                      <w:r w:rsidR="004966C4">
                        <w:t xml:space="preserve">a simple </w:t>
                      </w:r>
                      <w:r w:rsidR="00085E0F">
                        <w:t>S</w:t>
                      </w:r>
                      <w:r w:rsidR="00C130D2">
                        <w:t>harpe ratio</w:t>
                      </w:r>
                      <w:r w:rsidR="00A70AC5">
                        <w:t xml:space="preserve"> (Option 2a)</w:t>
                      </w:r>
                      <w:r w:rsidR="00C130D2">
                        <w:t>? Are there any other considerations that make this a better or worse option?</w:t>
                      </w:r>
                    </w:p>
                    <w:p w14:paraId="0DA658AB" w14:textId="77777777" w:rsidR="00C130D2" w:rsidRDefault="00C130D2" w:rsidP="0058255F">
                      <w:pPr>
                        <w:pStyle w:val="OutlineNumbered1"/>
                        <w:numPr>
                          <w:ilvl w:val="0"/>
                          <w:numId w:val="59"/>
                        </w:numPr>
                      </w:pPr>
                      <w:r>
                        <w:t>Are there any other alternative single</w:t>
                      </w:r>
                      <w:r w:rsidR="003F1EDB">
                        <w:t>-</w:t>
                      </w:r>
                      <w:r>
                        <w:t>metrics that would be superior in addressing the principles set out in this paper? How would they provide a better testing framework? What net benefits do they provide over other proposed metrics?</w:t>
                      </w:r>
                    </w:p>
                    <w:p w14:paraId="2F6FB1B8" w14:textId="6C792989" w:rsidR="00A244D4" w:rsidRPr="001C4AD7" w:rsidRDefault="00A245E5" w:rsidP="0058255F">
                      <w:pPr>
                        <w:pStyle w:val="OutlineNumbered1"/>
                        <w:numPr>
                          <w:ilvl w:val="0"/>
                          <w:numId w:val="59"/>
                        </w:numPr>
                      </w:pPr>
                      <w:r>
                        <w:t>What incentives would these</w:t>
                      </w:r>
                      <w:r w:rsidR="00340781">
                        <w:t xml:space="preserve"> alternative single-metric</w:t>
                      </w:r>
                      <w:r>
                        <w:t xml:space="preserve"> options provide trustees, and what </w:t>
                      </w:r>
                      <w:r w:rsidR="00C130D2">
                        <w:t>would be the consequence of this for member outcomes?</w:t>
                      </w:r>
                    </w:p>
                  </w:txbxContent>
                </v:textbox>
                <w10:anchorlock/>
              </v:shape>
            </w:pict>
          </mc:Fallback>
        </mc:AlternateContent>
      </w:r>
    </w:p>
    <w:p w14:paraId="6EB2D272" w14:textId="77777777" w:rsidR="00F46897" w:rsidRDefault="00F46897">
      <w:pPr>
        <w:spacing w:before="0" w:after="160" w:line="259" w:lineRule="auto"/>
        <w:rPr>
          <w:rFonts w:ascii="Calibri" w:hAnsi="Calibri" w:cs="Arial"/>
          <w:b/>
          <w:color w:val="4D7861" w:themeColor="accent2"/>
          <w:kern w:val="32"/>
          <w:sz w:val="28"/>
          <w:szCs w:val="26"/>
        </w:rPr>
      </w:pPr>
      <w:r>
        <w:br w:type="page"/>
      </w:r>
    </w:p>
    <w:p w14:paraId="3951FF13" w14:textId="24DA9FDD" w:rsidR="00B46BBB" w:rsidRDefault="00A96F1B" w:rsidP="00B46BBB">
      <w:pPr>
        <w:pStyle w:val="Heading3"/>
      </w:pPr>
      <w:bookmarkStart w:id="30" w:name="_Toc155955178"/>
      <w:r>
        <w:t>3</w:t>
      </w:r>
      <w:r w:rsidR="00B46BBB">
        <w:t>. Multi-metric test</w:t>
      </w:r>
      <w:bookmarkEnd w:id="30"/>
      <w:r w:rsidR="00403C1B">
        <w:t xml:space="preserve"> </w:t>
      </w:r>
    </w:p>
    <w:p w14:paraId="44AC7576" w14:textId="547EE95D" w:rsidR="001E1903" w:rsidRDefault="001E55DF" w:rsidP="00EC7EA6">
      <w:pPr>
        <w:pStyle w:val="Heading4"/>
        <w:spacing w:before="120"/>
      </w:pPr>
      <w:r>
        <w:t>Rationale</w:t>
      </w:r>
    </w:p>
    <w:p w14:paraId="14BDCBB7" w14:textId="530A1581" w:rsidR="002D5222" w:rsidRDefault="00C138AA" w:rsidP="0009191F">
      <w:pPr>
        <w:spacing w:after="0" w:line="276" w:lineRule="auto"/>
      </w:pPr>
      <w:r>
        <w:t xml:space="preserve">The rationale for a multi-metric test </w:t>
      </w:r>
      <w:r w:rsidR="001E74E7">
        <w:t>is</w:t>
      </w:r>
      <w:r>
        <w:t xml:space="preserve"> the ability to obtain a more fulsome picture of a product’s value to members </w:t>
      </w:r>
      <w:proofErr w:type="gramStart"/>
      <w:r w:rsidR="008C67CA">
        <w:t>in order</w:t>
      </w:r>
      <w:r>
        <w:t xml:space="preserve"> to</w:t>
      </w:r>
      <w:proofErr w:type="gramEnd"/>
      <w:r>
        <w:t xml:space="preserve"> identify underperformance more effectively</w:t>
      </w:r>
      <w:r w:rsidR="008C67CA">
        <w:t>. T</w:t>
      </w:r>
      <w:r>
        <w:t>his framework provides an opportunity to assess multiple aspects of a product’s performance through multiple metrics and variables.</w:t>
      </w:r>
      <w:r w:rsidR="00C96FC5">
        <w:rPr>
          <w:rStyle w:val="FootnoteReference"/>
        </w:rPr>
        <w:footnoteReference w:id="12"/>
      </w:r>
      <w:r w:rsidR="00066EAE">
        <w:t xml:space="preserve"> </w:t>
      </w:r>
      <w:r w:rsidR="005304DE">
        <w:t xml:space="preserve">Therefore, a multi-metric framework contains </w:t>
      </w:r>
      <w:r w:rsidR="002943D4">
        <w:t xml:space="preserve">multiple assessments of performance </w:t>
      </w:r>
      <w:r w:rsidR="00382F6C">
        <w:t>tha</w:t>
      </w:r>
      <w:r w:rsidR="00946B99">
        <w:t xml:space="preserve">t are independent from one another. </w:t>
      </w:r>
      <w:r w:rsidR="00FF17D5">
        <w:t xml:space="preserve"> </w:t>
      </w:r>
    </w:p>
    <w:p w14:paraId="0E8B0964" w14:textId="74C0F192" w:rsidR="0024106E" w:rsidRDefault="00FF17D5" w:rsidP="0009191F">
      <w:pPr>
        <w:spacing w:after="0" w:line="276" w:lineRule="auto"/>
      </w:pPr>
      <w:r>
        <w:t xml:space="preserve">A desirable outcome of a multi-metric test would be a reduction in </w:t>
      </w:r>
      <w:r w:rsidR="00021C30">
        <w:t xml:space="preserve">unintended </w:t>
      </w:r>
      <w:r w:rsidR="00A658B5">
        <w:t>behavioural consequences, such as benchmark hugging</w:t>
      </w:r>
      <w:r w:rsidR="00D228AF">
        <w:t xml:space="preserve"> or disincentives to invest in </w:t>
      </w:r>
      <w:r w:rsidR="00B123E9">
        <w:t>emerging</w:t>
      </w:r>
      <w:r w:rsidR="004144C1">
        <w:t xml:space="preserve"> asset</w:t>
      </w:r>
      <w:r w:rsidR="000214C2">
        <w:t xml:space="preserve"> classes</w:t>
      </w:r>
      <w:r>
        <w:t>.</w:t>
      </w:r>
      <w:r w:rsidR="0015154E">
        <w:t xml:space="preserve"> </w:t>
      </w:r>
      <w:r w:rsidR="00274A4A">
        <w:t xml:space="preserve">Further, this testing framework </w:t>
      </w:r>
      <w:r w:rsidR="00404695">
        <w:t xml:space="preserve">should be more accommodating to a wider range of products, such </w:t>
      </w:r>
      <w:r w:rsidR="00151CC2">
        <w:t>as</w:t>
      </w:r>
      <w:r w:rsidR="00404695">
        <w:t xml:space="preserve"> </w:t>
      </w:r>
      <w:r w:rsidR="00A80C02">
        <w:t>values-based</w:t>
      </w:r>
      <w:r w:rsidR="00AD4BD4" w:rsidRPr="00D5782B">
        <w:t>,</w:t>
      </w:r>
      <w:r w:rsidR="00AD4BD4">
        <w:t xml:space="preserve"> given the </w:t>
      </w:r>
      <w:r w:rsidR="00181691">
        <w:t xml:space="preserve">impact of any </w:t>
      </w:r>
      <w:r w:rsidR="00054E98">
        <w:t xml:space="preserve">one metric on the test outcome will be </w:t>
      </w:r>
      <w:r w:rsidR="0008521E">
        <w:t>proportionate to the number of metrics</w:t>
      </w:r>
      <w:r w:rsidR="00054E98">
        <w:t>.</w:t>
      </w:r>
    </w:p>
    <w:p w14:paraId="7C232E32" w14:textId="317F4F80" w:rsidR="00ED3AE2" w:rsidRDefault="00ED3AE2" w:rsidP="0009191F">
      <w:pPr>
        <w:spacing w:after="0" w:line="276" w:lineRule="auto"/>
      </w:pPr>
      <w:r>
        <w:t xml:space="preserve">However, </w:t>
      </w:r>
      <w:r w:rsidR="003B34A7">
        <w:t xml:space="preserve">designing a multi-metric test comes with additional complexity. </w:t>
      </w:r>
      <w:r w:rsidR="00C138AA">
        <w:t xml:space="preserve">The additional complexity of the framework may also make the test less digestible, and therefore </w:t>
      </w:r>
      <w:r w:rsidR="00DB6E98">
        <w:t xml:space="preserve">less </w:t>
      </w:r>
      <w:r w:rsidR="00C138AA">
        <w:t>transparent</w:t>
      </w:r>
      <w:r w:rsidR="00E4334A">
        <w:t>,</w:t>
      </w:r>
      <w:r w:rsidR="00C138AA">
        <w:t xml:space="preserve"> to members. </w:t>
      </w:r>
      <w:r w:rsidR="00B0094E">
        <w:t>Depending on the metrics used, t</w:t>
      </w:r>
      <w:r w:rsidR="003B34A7">
        <w:t xml:space="preserve">his </w:t>
      </w:r>
      <w:r w:rsidR="002A6765">
        <w:t xml:space="preserve">may involve additional data collections </w:t>
      </w:r>
      <w:r w:rsidR="007B0C32">
        <w:t xml:space="preserve">by </w:t>
      </w:r>
      <w:r w:rsidR="00E4334A">
        <w:t>APRA</w:t>
      </w:r>
      <w:r w:rsidR="00262268">
        <w:t xml:space="preserve"> </w:t>
      </w:r>
      <w:r w:rsidR="00B0094E">
        <w:t>which</w:t>
      </w:r>
      <w:r w:rsidR="007B0C32">
        <w:t xml:space="preserve"> increas</w:t>
      </w:r>
      <w:r w:rsidR="00B0094E">
        <w:t>es</w:t>
      </w:r>
      <w:r w:rsidR="002276C9">
        <w:t xml:space="preserve"> the</w:t>
      </w:r>
      <w:r w:rsidR="007B0C32">
        <w:t xml:space="preserve"> </w:t>
      </w:r>
      <w:r w:rsidR="007F7BA5">
        <w:t>reporting burden on trustees</w:t>
      </w:r>
      <w:r w:rsidR="00B0094E">
        <w:t>.</w:t>
      </w:r>
      <w:r w:rsidR="00B1646C">
        <w:t xml:space="preserve"> </w:t>
      </w:r>
    </w:p>
    <w:p w14:paraId="68E00E8B" w14:textId="053A51AB" w:rsidR="00087208" w:rsidRDefault="00572427" w:rsidP="0009191F">
      <w:pPr>
        <w:spacing w:after="0" w:line="276" w:lineRule="auto"/>
        <w:rPr>
          <w:rFonts w:cs="Arial"/>
          <w:color w:val="4D7861" w:themeColor="accent2"/>
          <w:kern w:val="32"/>
          <w:sz w:val="24"/>
          <w:szCs w:val="26"/>
        </w:rPr>
      </w:pPr>
      <w:r>
        <w:t>A multi-metric test provides countless options in terms of constructing the most appropriate testing framework –</w:t>
      </w:r>
      <w:r w:rsidR="002C4A1D">
        <w:t xml:space="preserve"> </w:t>
      </w:r>
      <w:r>
        <w:t xml:space="preserve">two </w:t>
      </w:r>
      <w:r w:rsidR="00AF275D">
        <w:t xml:space="preserve">specific </w:t>
      </w:r>
      <w:r>
        <w:t xml:space="preserve">approaches </w:t>
      </w:r>
      <w:r w:rsidR="002C4A1D">
        <w:t xml:space="preserve">are set out </w:t>
      </w:r>
      <w:r>
        <w:t>below.</w:t>
      </w:r>
      <w:r w:rsidR="00AD5E9B">
        <w:t xml:space="preserve"> </w:t>
      </w:r>
    </w:p>
    <w:p w14:paraId="130A0C0B" w14:textId="2682EDD8" w:rsidR="00E8388F" w:rsidRPr="003D081E" w:rsidRDefault="00A96F1B" w:rsidP="00EC7EA6">
      <w:pPr>
        <w:pStyle w:val="Heading4"/>
      </w:pPr>
      <w:r>
        <w:t>3</w:t>
      </w:r>
      <w:r w:rsidR="00CC4197">
        <w:t>a</w:t>
      </w:r>
      <w:r w:rsidR="00D032A0">
        <w:t xml:space="preserve">. </w:t>
      </w:r>
      <w:r w:rsidR="005E4537" w:rsidRPr="003D081E">
        <w:t>A</w:t>
      </w:r>
      <w:r w:rsidR="00E8388F" w:rsidRPr="003D081E">
        <w:t xml:space="preserve">lignment with the APRA </w:t>
      </w:r>
      <w:r w:rsidR="0030698C" w:rsidRPr="003D081E">
        <w:t>h</w:t>
      </w:r>
      <w:r w:rsidR="00E8388F" w:rsidRPr="003D081E">
        <w:t>eatmap</w:t>
      </w:r>
    </w:p>
    <w:p w14:paraId="1A27A2DE" w14:textId="44E7D699" w:rsidR="00017366" w:rsidRDefault="00130F2E" w:rsidP="0009191F">
      <w:pPr>
        <w:spacing w:after="0" w:line="276" w:lineRule="auto"/>
      </w:pPr>
      <w:r>
        <w:t>S</w:t>
      </w:r>
      <w:r w:rsidR="008446B9">
        <w:t>ome</w:t>
      </w:r>
      <w:r w:rsidR="003C5C95">
        <w:t xml:space="preserve"> stakeholders </w:t>
      </w:r>
      <w:r w:rsidR="008446B9">
        <w:t xml:space="preserve">have </w:t>
      </w:r>
      <w:r w:rsidR="003C5C95">
        <w:t xml:space="preserve">advocated for </w:t>
      </w:r>
      <w:r w:rsidR="00EE684A">
        <w:t xml:space="preserve">the test to </w:t>
      </w:r>
      <w:r w:rsidR="00253EF2">
        <w:t>adopt</w:t>
      </w:r>
      <w:r w:rsidR="00EE1101">
        <w:t xml:space="preserve"> the</w:t>
      </w:r>
      <w:r w:rsidR="00253EF2">
        <w:t xml:space="preserve"> format of the</w:t>
      </w:r>
      <w:r w:rsidR="00EE1101">
        <w:t xml:space="preserve"> APRA </w:t>
      </w:r>
      <w:r w:rsidR="0030698C">
        <w:t>h</w:t>
      </w:r>
      <w:r w:rsidR="00EE1101">
        <w:t xml:space="preserve">eatmap which </w:t>
      </w:r>
      <w:r w:rsidR="001C342B">
        <w:t>assess</w:t>
      </w:r>
      <w:r w:rsidR="00A63A3C">
        <w:t>es</w:t>
      </w:r>
      <w:r w:rsidR="001C342B">
        <w:t xml:space="preserve"> multiple metrics, over multiple time periods and member balances.</w:t>
      </w:r>
      <w:r w:rsidR="00AB5E65">
        <w:rPr>
          <w:rStyle w:val="FootnoteReference"/>
        </w:rPr>
        <w:footnoteReference w:id="13"/>
      </w:r>
      <w:r w:rsidR="00AB5E65">
        <w:t xml:space="preserve"> </w:t>
      </w:r>
    </w:p>
    <w:p w14:paraId="62BE90C0" w14:textId="38A6CCA7" w:rsidR="00193B2B" w:rsidRPr="00E4663E" w:rsidRDefault="00175633" w:rsidP="00EC7EA6">
      <w:pPr>
        <w:pStyle w:val="Heading4"/>
        <w:rPr>
          <w:i/>
          <w:sz w:val="28"/>
          <w:szCs w:val="28"/>
        </w:rPr>
      </w:pPr>
      <w:r>
        <w:rPr>
          <w:i/>
          <w:szCs w:val="28"/>
        </w:rPr>
        <w:t>Measure</w:t>
      </w:r>
      <w:r w:rsidR="00F1485E">
        <w:rPr>
          <w:i/>
          <w:szCs w:val="28"/>
        </w:rPr>
        <w:t>ment</w:t>
      </w:r>
      <w:r w:rsidR="00193B2B" w:rsidRPr="00E4663E">
        <w:rPr>
          <w:i/>
          <w:szCs w:val="28"/>
        </w:rPr>
        <w:t xml:space="preserve"> of performance</w:t>
      </w:r>
    </w:p>
    <w:p w14:paraId="655D33AE" w14:textId="0D20722B" w:rsidR="00EA7BD4" w:rsidRDefault="00564CD5" w:rsidP="0009191F">
      <w:pPr>
        <w:spacing w:after="0" w:line="276" w:lineRule="auto"/>
      </w:pPr>
      <w:r>
        <w:t>The</w:t>
      </w:r>
      <w:r w:rsidR="00E81BAE">
        <w:t xml:space="preserve"> performance test could assess </w:t>
      </w:r>
      <w:r w:rsidR="00445BC2">
        <w:t xml:space="preserve">performance through </w:t>
      </w:r>
      <w:r w:rsidR="00A17C52">
        <w:t xml:space="preserve">some, or all, </w:t>
      </w:r>
      <w:r>
        <w:t xml:space="preserve">of </w:t>
      </w:r>
      <w:r w:rsidR="00A17C52">
        <w:t xml:space="preserve">the metrics contained within </w:t>
      </w:r>
      <w:r>
        <w:t xml:space="preserve">the APRA heatmaps. </w:t>
      </w:r>
      <w:r w:rsidR="00A63A3C">
        <w:t xml:space="preserve">The </w:t>
      </w:r>
      <w:r w:rsidR="00D74D79">
        <w:t xml:space="preserve">APRA heatmap </w:t>
      </w:r>
      <w:r w:rsidR="00BE3AA9">
        <w:t xml:space="preserve">has previously </w:t>
      </w:r>
      <w:r w:rsidR="00275870">
        <w:t>include</w:t>
      </w:r>
      <w:r w:rsidR="00BE3AA9">
        <w:t>d</w:t>
      </w:r>
      <w:r w:rsidR="00275870">
        <w:t xml:space="preserve"> </w:t>
      </w:r>
      <w:r w:rsidR="00F80683">
        <w:t>eight</w:t>
      </w:r>
      <w:r w:rsidR="00275870">
        <w:t xml:space="preserve"> </w:t>
      </w:r>
      <w:r w:rsidR="00EA7BD4">
        <w:t>metrics</w:t>
      </w:r>
      <w:r w:rsidR="007B47D4">
        <w:t>:</w:t>
      </w:r>
      <w:r w:rsidR="000D73C2">
        <w:rPr>
          <w:rStyle w:val="FootnoteReference"/>
        </w:rPr>
        <w:footnoteReference w:id="14"/>
      </w:r>
    </w:p>
    <w:p w14:paraId="232A1BEC" w14:textId="68108F1B" w:rsidR="00FB7318" w:rsidRDefault="00D377FB" w:rsidP="00EC7EA6">
      <w:pPr>
        <w:pStyle w:val="Bullet"/>
      </w:pPr>
      <w:r>
        <w:t>t</w:t>
      </w:r>
      <w:r w:rsidR="0020555A">
        <w:t>he implementation of the investment strategy</w:t>
      </w:r>
      <w:r w:rsidR="00AE5846">
        <w:t xml:space="preserve"> against benchmark portfolios</w:t>
      </w:r>
      <w:r w:rsidR="0020555A">
        <w:t xml:space="preserve">, through </w:t>
      </w:r>
      <w:r w:rsidR="00E75CC7">
        <w:t xml:space="preserve">the </w:t>
      </w:r>
      <w:r w:rsidR="00FB7318">
        <w:t>SAA metric</w:t>
      </w:r>
    </w:p>
    <w:p w14:paraId="7CF2F2DC" w14:textId="6C52C646" w:rsidR="00247AC6" w:rsidRDefault="000B1E5C" w:rsidP="00EC7EA6">
      <w:pPr>
        <w:pStyle w:val="Bullet"/>
      </w:pPr>
      <w:r>
        <w:t>t</w:t>
      </w:r>
      <w:r w:rsidR="0075378E">
        <w:t xml:space="preserve">he implementation of the </w:t>
      </w:r>
      <w:r w:rsidR="00BC1B97">
        <w:t>high</w:t>
      </w:r>
      <w:r w:rsidR="00EA62D8">
        <w:t>-</w:t>
      </w:r>
      <w:r w:rsidR="00BC1B97">
        <w:t>level investment strategy based on exposure to growth and defensive assets</w:t>
      </w:r>
      <w:r w:rsidR="00970216">
        <w:t>,</w:t>
      </w:r>
      <w:r w:rsidR="00BC1B97">
        <w:t xml:space="preserve"> </w:t>
      </w:r>
      <w:r w:rsidR="00970216">
        <w:t>t</w:t>
      </w:r>
      <w:r w:rsidR="00BC1B97">
        <w:t xml:space="preserve">hrough the </w:t>
      </w:r>
      <w:r w:rsidR="00970216">
        <w:t xml:space="preserve">SRP. </w:t>
      </w:r>
      <w:r w:rsidR="004D2BA4">
        <w:t>While assessing implementation of the strategy, it provides more room for trustee value-add over the SAA metric</w:t>
      </w:r>
    </w:p>
    <w:p w14:paraId="07E66048" w14:textId="7A570991" w:rsidR="00EA7BD4" w:rsidRDefault="008C18A2" w:rsidP="00EC7EA6">
      <w:pPr>
        <w:pStyle w:val="Bullet"/>
      </w:pPr>
      <w:r>
        <w:t>a</w:t>
      </w:r>
      <w:r w:rsidR="00BD2EAE">
        <w:t xml:space="preserve"> peer comparison of investment performance</w:t>
      </w:r>
      <w:r w:rsidR="000D73C2">
        <w:t>, through the</w:t>
      </w:r>
      <w:r w:rsidR="001F4DC1">
        <w:t xml:space="preserve"> net investment return (NIR) growth</w:t>
      </w:r>
      <w:r w:rsidR="00F870F0">
        <w:t>/</w:t>
      </w:r>
      <w:r w:rsidR="001F4DC1">
        <w:t>defensive</w:t>
      </w:r>
      <w:r w:rsidR="009F467E">
        <w:t xml:space="preserve"> </w:t>
      </w:r>
      <w:r w:rsidR="00F870F0">
        <w:t xml:space="preserve">trendline </w:t>
      </w:r>
      <w:r w:rsidR="007012F7">
        <w:t>metric</w:t>
      </w:r>
      <w:r w:rsidR="007B1647">
        <w:t>s</w:t>
      </w:r>
    </w:p>
    <w:p w14:paraId="1E9466B7" w14:textId="583CE8F3" w:rsidR="00CD2831" w:rsidRDefault="00D377FB" w:rsidP="00EC7EA6">
      <w:pPr>
        <w:pStyle w:val="Bullet"/>
      </w:pPr>
      <w:r>
        <w:t>t</w:t>
      </w:r>
      <w:r w:rsidR="003A5271">
        <w:t xml:space="preserve">he </w:t>
      </w:r>
      <w:r w:rsidR="001977C8">
        <w:t xml:space="preserve">cost </w:t>
      </w:r>
      <w:r w:rsidR="0066244A">
        <w:t xml:space="preserve">of the product </w:t>
      </w:r>
      <w:r w:rsidR="001977C8">
        <w:t xml:space="preserve">to members, through total fees and administration fees </w:t>
      </w:r>
      <w:r w:rsidR="008F54DB">
        <w:t>metrics</w:t>
      </w:r>
    </w:p>
    <w:p w14:paraId="64D04A12" w14:textId="2BB82D0A" w:rsidR="00035FE5" w:rsidRDefault="00D377FB" w:rsidP="00DC4339">
      <w:pPr>
        <w:pStyle w:val="Bullet"/>
      </w:pPr>
      <w:r>
        <w:t>t</w:t>
      </w:r>
      <w:r w:rsidR="00B80AD1">
        <w:t>he sustainability of members outcome</w:t>
      </w:r>
      <w:r w:rsidR="003A37C5">
        <w:t>s</w:t>
      </w:r>
      <w:r w:rsidR="00B80AD1">
        <w:t xml:space="preserve">, through the </w:t>
      </w:r>
      <w:r w:rsidR="00764336">
        <w:t>Registrable Superannuation Entity (</w:t>
      </w:r>
      <w:r w:rsidR="00B80AD1">
        <w:t>RSE</w:t>
      </w:r>
      <w:r w:rsidR="00764336">
        <w:t>)</w:t>
      </w:r>
      <w:r w:rsidR="00B80AD1">
        <w:t xml:space="preserve"> </w:t>
      </w:r>
      <w:r w:rsidR="004C5C44">
        <w:t>adjusted total accounts growth rate</w:t>
      </w:r>
      <w:r w:rsidR="00DD7BE5">
        <w:t xml:space="preserve">, </w:t>
      </w:r>
      <w:r w:rsidR="004C5C44">
        <w:t>the RSE net cash flow ratio</w:t>
      </w:r>
      <w:r w:rsidR="00DD7BE5">
        <w:t>, and the RSE net rollover ratio</w:t>
      </w:r>
      <w:r w:rsidR="00BC7F07">
        <w:t>.</w:t>
      </w:r>
    </w:p>
    <w:p w14:paraId="4E66B2A3" w14:textId="69B9AE32" w:rsidR="00035FE5" w:rsidRPr="00F508B8" w:rsidRDefault="00035FE5" w:rsidP="0009191F">
      <w:pPr>
        <w:spacing w:after="0" w:line="276" w:lineRule="auto"/>
      </w:pPr>
      <w:r w:rsidRPr="00F508B8">
        <w:t xml:space="preserve">A number of these metrics are assessed against different variables. For example, </w:t>
      </w:r>
      <w:r w:rsidR="007E3E5B" w:rsidRPr="00F508B8">
        <w:t xml:space="preserve">the </w:t>
      </w:r>
      <w:r w:rsidR="00F621B9" w:rsidRPr="00F508B8">
        <w:t>SRP and SAA are assessed against multiple time periods (</w:t>
      </w:r>
      <w:r w:rsidR="00F508B8" w:rsidRPr="00F508B8">
        <w:t>three, five and eight years) and the fee metrics are assessed against differing</w:t>
      </w:r>
      <w:r w:rsidR="008D0CF6">
        <w:t xml:space="preserve"> member</w:t>
      </w:r>
      <w:r w:rsidR="00F508B8" w:rsidRPr="00F508B8">
        <w:t xml:space="preserve"> balances (</w:t>
      </w:r>
      <w:r w:rsidR="00B565EE">
        <w:t xml:space="preserve">$10,000, $20,000, </w:t>
      </w:r>
      <w:r w:rsidR="00537F1F">
        <w:t>$50,000</w:t>
      </w:r>
      <w:r w:rsidR="00B565EE">
        <w:t>,</w:t>
      </w:r>
      <w:r w:rsidR="00537F1F">
        <w:t xml:space="preserve"> </w:t>
      </w:r>
      <w:proofErr w:type="gramStart"/>
      <w:r w:rsidR="00537F1F">
        <w:t>$100,</w:t>
      </w:r>
      <w:r w:rsidR="00B02C13">
        <w:t>0</w:t>
      </w:r>
      <w:r w:rsidR="00537F1F">
        <w:t>00</w:t>
      </w:r>
      <w:proofErr w:type="gramEnd"/>
      <w:r w:rsidR="00537F1F">
        <w:t xml:space="preserve"> and $2</w:t>
      </w:r>
      <w:r w:rsidR="00B565EE">
        <w:t>5</w:t>
      </w:r>
      <w:r w:rsidR="00537F1F">
        <w:t>0,000).</w:t>
      </w:r>
    </w:p>
    <w:p w14:paraId="2D11127E" w14:textId="0F5584C6" w:rsidR="00404A5C" w:rsidRPr="00E433A1" w:rsidRDefault="00C84776" w:rsidP="00404A5C">
      <w:pPr>
        <w:pStyle w:val="Heading4"/>
        <w:rPr>
          <w:i/>
          <w:szCs w:val="24"/>
        </w:rPr>
      </w:pPr>
      <w:r>
        <w:rPr>
          <w:i/>
          <w:szCs w:val="24"/>
        </w:rPr>
        <w:t>Benchmark for performance</w:t>
      </w:r>
    </w:p>
    <w:p w14:paraId="0FBD313F" w14:textId="6E529FE2" w:rsidR="00142763" w:rsidRDefault="00142763" w:rsidP="0009191F">
      <w:pPr>
        <w:spacing w:after="0" w:line="276" w:lineRule="auto"/>
      </w:pPr>
      <w:r>
        <w:t>For the purposes of the heatmaps, APRA applies a 0.50 per cent margin to all their investment performance metrics to indicate the worst performance (</w:t>
      </w:r>
      <w:r w:rsidR="00107BC5">
        <w:t>i.e.,</w:t>
      </w:r>
      <w:r>
        <w:t xml:space="preserve"> darkest shade of red). This is consistent with the margin for failure used in the current performance test.</w:t>
      </w:r>
    </w:p>
    <w:p w14:paraId="6816EC0A" w14:textId="7C0941C6" w:rsidR="00142763" w:rsidRDefault="00361F10" w:rsidP="0009191F">
      <w:pPr>
        <w:spacing w:after="0" w:line="276" w:lineRule="auto"/>
      </w:pPr>
      <w:r>
        <w:t>A testing framewo</w:t>
      </w:r>
      <w:r w:rsidR="00495E1B">
        <w:t xml:space="preserve">rk that follows the APRA heatmaps approach would need to consider: </w:t>
      </w:r>
    </w:p>
    <w:p w14:paraId="526A37A3" w14:textId="3E8D595A" w:rsidR="00142763" w:rsidRDefault="00142763" w:rsidP="00025451">
      <w:pPr>
        <w:pStyle w:val="Bullet"/>
      </w:pPr>
      <w:r>
        <w:t xml:space="preserve">How many of the </w:t>
      </w:r>
      <w:r w:rsidR="00F80683">
        <w:t>eight</w:t>
      </w:r>
      <w:r>
        <w:t xml:space="preserve"> metrics should be used?</w:t>
      </w:r>
    </w:p>
    <w:p w14:paraId="4FE559A8" w14:textId="77777777" w:rsidR="00142763" w:rsidRDefault="00142763" w:rsidP="00025451">
      <w:pPr>
        <w:pStyle w:val="Bullet"/>
      </w:pPr>
      <w:r>
        <w:t>What margin for failure should apply to each metric?</w:t>
      </w:r>
    </w:p>
    <w:p w14:paraId="7A953811" w14:textId="221F698A" w:rsidR="008C3DC3" w:rsidRPr="00FC04A3" w:rsidRDefault="00142763" w:rsidP="00025451">
      <w:pPr>
        <w:pStyle w:val="Bullet"/>
        <w:rPr>
          <w:rFonts w:cs="Arial"/>
          <w:i/>
          <w:color w:val="4D7861" w:themeColor="accent2"/>
          <w:kern w:val="32"/>
          <w:szCs w:val="24"/>
        </w:rPr>
      </w:pPr>
      <w:r>
        <w:t>How are the results for each metric combined to a single outcome? Should it use a majority fail methodology (</w:t>
      </w:r>
      <w:r w:rsidR="00107BC5">
        <w:t>i.e.,</w:t>
      </w:r>
      <w:r>
        <w:t xml:space="preserve"> each metric has equal weighting), a more complex weighting mechanism</w:t>
      </w:r>
      <w:r w:rsidR="005973F8">
        <w:t xml:space="preserve">, or </w:t>
      </w:r>
      <w:r w:rsidR="00EB5068">
        <w:t>a hierarchical methodology</w:t>
      </w:r>
      <w:r w:rsidR="00821935">
        <w:t xml:space="preserve"> (discussed in more detail below)</w:t>
      </w:r>
      <w:r>
        <w:t>?</w:t>
      </w:r>
    </w:p>
    <w:p w14:paraId="6A7D53D9" w14:textId="77777777" w:rsidR="004F48A3" w:rsidRPr="00E4663E" w:rsidRDefault="004F48A3" w:rsidP="004F48A3">
      <w:pPr>
        <w:pStyle w:val="Heading4"/>
        <w:rPr>
          <w:i/>
          <w:sz w:val="28"/>
          <w:szCs w:val="28"/>
        </w:rPr>
      </w:pPr>
      <w:r w:rsidRPr="00E4663E">
        <w:rPr>
          <w:i/>
          <w:szCs w:val="28"/>
        </w:rPr>
        <w:t>Benefits and drawbacks</w:t>
      </w:r>
    </w:p>
    <w:p w14:paraId="1BE144BC" w14:textId="4FA99727" w:rsidR="00487611" w:rsidRDefault="00487611" w:rsidP="0009191F">
      <w:pPr>
        <w:spacing w:after="0" w:line="276" w:lineRule="auto"/>
      </w:pPr>
      <w:r>
        <w:t xml:space="preserve">The heatmap was raised as a possible alternative performance test during the YFYS </w:t>
      </w:r>
      <w:r w:rsidR="009667D7">
        <w:t>R</w:t>
      </w:r>
      <w:r>
        <w:t>eview, as it has the following benefits:</w:t>
      </w:r>
    </w:p>
    <w:p w14:paraId="5DFBACC4" w14:textId="2F3BA51F" w:rsidR="0044228A" w:rsidRDefault="00487611" w:rsidP="00E6704D">
      <w:pPr>
        <w:pStyle w:val="Bullet"/>
      </w:pPr>
      <w:r>
        <w:t>It</w:t>
      </w:r>
      <w:r w:rsidR="00AD5CB2">
        <w:t xml:space="preserve"> </w:t>
      </w:r>
      <w:r w:rsidR="00BE3C72">
        <w:t>provid</w:t>
      </w:r>
      <w:r w:rsidR="00921907">
        <w:t>e</w:t>
      </w:r>
      <w:r>
        <w:t>s</w:t>
      </w:r>
      <w:r w:rsidR="00BE3C72">
        <w:t xml:space="preserve"> </w:t>
      </w:r>
      <w:r w:rsidR="004D29EF">
        <w:t xml:space="preserve">a more well-rounded </w:t>
      </w:r>
      <w:r w:rsidR="00C437C9">
        <w:t>picture of a product</w:t>
      </w:r>
      <w:r w:rsidR="00601621">
        <w:t>’</w:t>
      </w:r>
      <w:r w:rsidR="00C437C9">
        <w:t>s performance</w:t>
      </w:r>
      <w:r w:rsidR="0044228A">
        <w:t>.</w:t>
      </w:r>
      <w:r w:rsidR="00C437C9">
        <w:t xml:space="preserve"> </w:t>
      </w:r>
    </w:p>
    <w:p w14:paraId="6C749FF1" w14:textId="2316DE2F" w:rsidR="00765364" w:rsidRDefault="0044228A" w:rsidP="00E6704D">
      <w:pPr>
        <w:pStyle w:val="Bullet"/>
      </w:pPr>
      <w:r>
        <w:t>I</w:t>
      </w:r>
      <w:r w:rsidR="00F44E91">
        <w:t xml:space="preserve">ndustry </w:t>
      </w:r>
      <w:r w:rsidR="00BC5CA0">
        <w:t>is</w:t>
      </w:r>
      <w:r w:rsidR="00E90E7D">
        <w:t xml:space="preserve"> already familiar with these metrics.</w:t>
      </w:r>
      <w:r w:rsidR="001C342B">
        <w:t xml:space="preserve"> </w:t>
      </w:r>
    </w:p>
    <w:p w14:paraId="1A753EE2" w14:textId="3F566620" w:rsidR="004301FA" w:rsidRDefault="00765364" w:rsidP="00E6704D">
      <w:pPr>
        <w:pStyle w:val="Bullet"/>
      </w:pPr>
      <w:r>
        <w:t>P</w:t>
      </w:r>
      <w:r w:rsidR="00DF0E6D">
        <w:t xml:space="preserve">roviding </w:t>
      </w:r>
      <w:r w:rsidR="00420FFE">
        <w:t>many</w:t>
      </w:r>
      <w:r w:rsidR="00DF0E6D">
        <w:t xml:space="preserve"> different metrics</w:t>
      </w:r>
      <w:r w:rsidR="00831665">
        <w:t xml:space="preserve"> may </w:t>
      </w:r>
      <w:r w:rsidR="00AB3687">
        <w:t xml:space="preserve">reduce the ability and incentives for funds to </w:t>
      </w:r>
      <w:r w:rsidR="005766A3">
        <w:t xml:space="preserve">hug </w:t>
      </w:r>
      <w:proofErr w:type="gramStart"/>
      <w:r w:rsidR="002033FA">
        <w:t xml:space="preserve">particular </w:t>
      </w:r>
      <w:r w:rsidR="009E4A45">
        <w:t>benchmarks</w:t>
      </w:r>
      <w:proofErr w:type="gramEnd"/>
      <w:r w:rsidR="005766A3">
        <w:t>.</w:t>
      </w:r>
    </w:p>
    <w:p w14:paraId="1EB0CE7E" w14:textId="160E0A32" w:rsidR="00765364" w:rsidRDefault="00765364" w:rsidP="00E6704D">
      <w:pPr>
        <w:pStyle w:val="Bullet"/>
      </w:pPr>
      <w:r>
        <w:t xml:space="preserve">Additional time periods can assist in demonstrating positive actions to address </w:t>
      </w:r>
      <w:r w:rsidR="009C1D69">
        <w:t>historical performance issues, such as changes in governance or staffing.</w:t>
      </w:r>
    </w:p>
    <w:p w14:paraId="576EADD6" w14:textId="500D331F" w:rsidR="00246FFC" w:rsidRDefault="00246FFC" w:rsidP="00E6704D">
      <w:pPr>
        <w:pStyle w:val="Bullet"/>
        <w:numPr>
          <w:ilvl w:val="0"/>
          <w:numId w:val="0"/>
        </w:numPr>
        <w:ind w:left="520" w:hanging="520"/>
      </w:pPr>
      <w:r>
        <w:t xml:space="preserve">However, the </w:t>
      </w:r>
      <w:r w:rsidR="00DC1687">
        <w:t xml:space="preserve">number of metrics included in such a framework poses </w:t>
      </w:r>
      <w:r w:rsidR="008710F3">
        <w:t>the following drawbacks:</w:t>
      </w:r>
    </w:p>
    <w:p w14:paraId="0D96ABC5" w14:textId="7CCB4189" w:rsidR="008710F3" w:rsidRDefault="008710F3" w:rsidP="00E6704D">
      <w:pPr>
        <w:pStyle w:val="Bullet"/>
      </w:pPr>
      <w:r>
        <w:t>S</w:t>
      </w:r>
      <w:r w:rsidR="007103D3">
        <w:t>everal</w:t>
      </w:r>
      <w:r w:rsidR="00B46589">
        <w:t xml:space="preserve"> </w:t>
      </w:r>
      <w:r w:rsidR="00455181">
        <w:t xml:space="preserve">of </w:t>
      </w:r>
      <w:r w:rsidR="00B46589">
        <w:t xml:space="preserve">the metrics </w:t>
      </w:r>
      <w:r w:rsidR="00173327">
        <w:t xml:space="preserve">contained in the heatmaps </w:t>
      </w:r>
      <w:r w:rsidR="00B46589">
        <w:t xml:space="preserve">are highly correlated with one another, meaning that they </w:t>
      </w:r>
      <w:r w:rsidR="002D5927">
        <w:t xml:space="preserve">are </w:t>
      </w:r>
      <w:r w:rsidR="00F4081A">
        <w:t>assessing the same</w:t>
      </w:r>
      <w:r w:rsidR="0075379C">
        <w:t xml:space="preserve"> </w:t>
      </w:r>
      <w:r w:rsidR="00F20348">
        <w:t>outcome</w:t>
      </w:r>
      <w:r w:rsidR="005E2AB4">
        <w:t>.</w:t>
      </w:r>
      <w:r w:rsidR="00C70EFE">
        <w:t xml:space="preserve"> </w:t>
      </w:r>
      <w:r w:rsidR="000D5AAA">
        <w:t>This might increase complexity without providing additional insights.</w:t>
      </w:r>
    </w:p>
    <w:p w14:paraId="4EDDA39E" w14:textId="77777777" w:rsidR="000D5AAA" w:rsidRDefault="00233468" w:rsidP="00E6704D">
      <w:pPr>
        <w:pStyle w:val="Bullet"/>
        <w:numPr>
          <w:ilvl w:val="1"/>
          <w:numId w:val="7"/>
        </w:numPr>
        <w:tabs>
          <w:tab w:val="clear" w:pos="1040"/>
          <w:tab w:val="num" w:pos="851"/>
        </w:tabs>
        <w:ind w:left="709" w:hanging="283"/>
      </w:pPr>
      <w:r>
        <w:t xml:space="preserve">For example, the </w:t>
      </w:r>
      <w:r w:rsidR="00594A30">
        <w:t>SRP and SAA</w:t>
      </w:r>
      <w:r w:rsidR="00812876">
        <w:t xml:space="preserve"> benchmarks </w:t>
      </w:r>
      <w:r w:rsidR="008B033E">
        <w:t>both assess the implementation of an investment strategy</w:t>
      </w:r>
      <w:r w:rsidR="00787901">
        <w:t xml:space="preserve">, </w:t>
      </w:r>
      <w:r w:rsidR="001F62D4">
        <w:t xml:space="preserve">with SRP also assessing the </w:t>
      </w:r>
      <w:r w:rsidR="00787901">
        <w:t xml:space="preserve">overall investment strategy itself. </w:t>
      </w:r>
    </w:p>
    <w:p w14:paraId="48D79140" w14:textId="74F7A71F" w:rsidR="00E34163" w:rsidRDefault="00E34163" w:rsidP="00E6704D">
      <w:pPr>
        <w:pStyle w:val="Bullet"/>
      </w:pPr>
      <w:r>
        <w:t>Multiple time period</w:t>
      </w:r>
      <w:r w:rsidR="002F7F00">
        <w:t>s</w:t>
      </w:r>
      <w:r>
        <w:t xml:space="preserve"> may increase short</w:t>
      </w:r>
      <w:r w:rsidR="00D5544D">
        <w:t>-termism, as more recent periods have a higher weighting</w:t>
      </w:r>
      <w:r w:rsidR="00AF0F06">
        <w:t xml:space="preserve"> than longer timeframes</w:t>
      </w:r>
      <w:r w:rsidR="003B56E7">
        <w:t>, due to appearing duplicate times.</w:t>
      </w:r>
    </w:p>
    <w:p w14:paraId="18E1381C" w14:textId="2EF5B63E" w:rsidR="00DD2F60" w:rsidRDefault="00DD2F60" w:rsidP="00E6704D">
      <w:pPr>
        <w:pStyle w:val="Bullet"/>
        <w:numPr>
          <w:ilvl w:val="1"/>
          <w:numId w:val="7"/>
        </w:numPr>
      </w:pPr>
      <w:r>
        <w:t xml:space="preserve">Stakeholders have raised </w:t>
      </w:r>
      <w:r w:rsidR="001E3DD4">
        <w:t>that independent time periods could adjust for this</w:t>
      </w:r>
      <w:r w:rsidR="001323AF">
        <w:t xml:space="preserve"> concern.</w:t>
      </w:r>
    </w:p>
    <w:p w14:paraId="14ABBE83" w14:textId="48751065" w:rsidR="00CC63A7" w:rsidRDefault="00CC63A7" w:rsidP="00E6704D">
      <w:pPr>
        <w:pStyle w:val="Bullet"/>
      </w:pPr>
      <w:r>
        <w:t xml:space="preserve">It is difficult </w:t>
      </w:r>
      <w:r w:rsidR="009B481E">
        <w:t>to combine multiple</w:t>
      </w:r>
      <w:r w:rsidR="00A67790">
        <w:t xml:space="preserve"> metrics into a </w:t>
      </w:r>
      <w:r w:rsidR="00095ECB">
        <w:t xml:space="preserve">digestible </w:t>
      </w:r>
      <w:r w:rsidR="006C6083">
        <w:t xml:space="preserve">overall </w:t>
      </w:r>
      <w:r w:rsidR="005E153B">
        <w:t>outcome and</w:t>
      </w:r>
      <w:r w:rsidR="008521C4">
        <w:t xml:space="preserve"> </w:t>
      </w:r>
      <w:r w:rsidR="00BC5CA0">
        <w:t>set</w:t>
      </w:r>
      <w:r w:rsidR="0003069F">
        <w:t xml:space="preserve"> the benchmark for failure.</w:t>
      </w:r>
    </w:p>
    <w:p w14:paraId="458283EE" w14:textId="636A02BA" w:rsidR="0008229A" w:rsidRDefault="00E54E3D" w:rsidP="0009191F">
      <w:pPr>
        <w:spacing w:line="276" w:lineRule="auto"/>
        <w:rPr>
          <w:b/>
          <w:bCs/>
        </w:rPr>
      </w:pPr>
      <w:r>
        <w:t>The table below demonstrates the rate of failure for MySuper products based on the common investment performance metrics used in the heatmaps</w:t>
      </w:r>
      <w:r w:rsidR="00742D40">
        <w:t xml:space="preserve">, using a </w:t>
      </w:r>
      <w:r w:rsidR="00D8585F">
        <w:t xml:space="preserve">failing margin of </w:t>
      </w:r>
      <w:r w:rsidR="006E0E66">
        <w:t xml:space="preserve">-0.50 </w:t>
      </w:r>
      <w:r w:rsidR="00C60DC4">
        <w:t>per cent</w:t>
      </w:r>
      <w:r w:rsidR="006E0E66">
        <w:t xml:space="preserve"> or worse</w:t>
      </w:r>
      <w:r w:rsidR="00F27D08">
        <w:t>.</w:t>
      </w:r>
      <w:r w:rsidR="00B67D8E">
        <w:rPr>
          <w:rStyle w:val="FootnoteReference"/>
        </w:rPr>
        <w:footnoteReference w:id="15"/>
      </w:r>
      <w:r>
        <w:t xml:space="preserve"> For comparison, we have included the rate of failure under the current</w:t>
      </w:r>
      <w:r w:rsidR="00F54842">
        <w:t xml:space="preserve"> test, as well as overall fail rates should a multi-metric test be based on </w:t>
      </w:r>
      <w:r w:rsidR="00044098">
        <w:t xml:space="preserve">failing </w:t>
      </w:r>
      <w:r w:rsidR="00CA27C9">
        <w:t xml:space="preserve">the majority </w:t>
      </w:r>
      <w:r w:rsidR="00044098">
        <w:t>of these metrics, or failing all</w:t>
      </w:r>
      <w:r w:rsidR="00742D40">
        <w:t xml:space="preserve"> </w:t>
      </w:r>
      <w:r w:rsidR="00734C08">
        <w:t xml:space="preserve">eight </w:t>
      </w:r>
      <w:r w:rsidR="00742D40">
        <w:t>metrics</w:t>
      </w:r>
      <w:r w:rsidR="00044098">
        <w:t>.</w:t>
      </w:r>
      <w:r w:rsidR="00880690">
        <w:t xml:space="preserve"> </w:t>
      </w:r>
    </w:p>
    <w:p w14:paraId="572F7F4F" w14:textId="30C89325" w:rsidR="00CA27C9" w:rsidRPr="00FA44B6" w:rsidRDefault="00CA27C9" w:rsidP="00EA341B">
      <w:pPr>
        <w:pStyle w:val="TableMainHeading"/>
      </w:pPr>
      <w:bookmarkStart w:id="31" w:name="_Toc153206242"/>
      <w:bookmarkStart w:id="32" w:name="_Toc155955179"/>
      <w:r w:rsidRPr="00FA44B6">
        <w:t>Table</w:t>
      </w:r>
      <w:r w:rsidR="00A753C2">
        <w:t xml:space="preserve"> 1</w:t>
      </w:r>
      <w:r w:rsidR="00C37B85" w:rsidRPr="00FA44B6">
        <w:t xml:space="preserve">: MySuper </w:t>
      </w:r>
      <w:r w:rsidR="00C37B85">
        <w:t>f</w:t>
      </w:r>
      <w:r w:rsidR="00C37B85" w:rsidRPr="00FA44B6">
        <w:t xml:space="preserve">ailure </w:t>
      </w:r>
      <w:r w:rsidR="00C37B85">
        <w:t>r</w:t>
      </w:r>
      <w:r w:rsidR="00C37B85" w:rsidRPr="00FA44B6">
        <w:t>ates</w:t>
      </w:r>
      <w:r w:rsidR="00742972">
        <w:t xml:space="preserve"> by </w:t>
      </w:r>
      <w:r w:rsidR="00702975">
        <w:t>metrics</w:t>
      </w:r>
      <w:bookmarkEnd w:id="31"/>
      <w:bookmarkEnd w:id="32"/>
    </w:p>
    <w:tbl>
      <w:tblPr>
        <w:tblStyle w:val="TableGrid"/>
        <w:tblW w:w="921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8"/>
        <w:gridCol w:w="2268"/>
        <w:gridCol w:w="2268"/>
      </w:tblGrid>
      <w:tr w:rsidR="00194227" w14:paraId="1E105696" w14:textId="77777777" w:rsidTr="00CC5F64">
        <w:trPr>
          <w:cnfStyle w:val="100000000000" w:firstRow="1" w:lastRow="0" w:firstColumn="0" w:lastColumn="0" w:oddVBand="0" w:evenVBand="0" w:oddHBand="0" w:evenHBand="0" w:firstRowFirstColumn="0" w:firstRowLastColumn="0" w:lastRowFirstColumn="0" w:lastRowLastColumn="0"/>
          <w:trHeight w:val="547"/>
        </w:trPr>
        <w:tc>
          <w:tcPr>
            <w:tcW w:w="4678" w:type="dxa"/>
            <w:shd w:val="clear" w:color="auto" w:fill="455875" w:themeFill="accent3" w:themeFillShade="BF"/>
          </w:tcPr>
          <w:p w14:paraId="6243AB35" w14:textId="77777777" w:rsidR="00E54E3D" w:rsidRPr="002B2DC0" w:rsidRDefault="00E54E3D" w:rsidP="0056088B">
            <w:pPr>
              <w:keepNext/>
              <w:widowControl w:val="0"/>
              <w:spacing w:beforeLines="0" w:before="0" w:afterLines="0" w:after="0"/>
              <w:rPr>
                <w:b w:val="0"/>
                <w:bCs/>
                <w:color w:val="FFFFFF" w:themeColor="background1"/>
              </w:rPr>
            </w:pPr>
          </w:p>
        </w:tc>
        <w:tc>
          <w:tcPr>
            <w:tcW w:w="2268" w:type="dxa"/>
            <w:shd w:val="clear" w:color="auto" w:fill="455875" w:themeFill="accent3" w:themeFillShade="BF"/>
          </w:tcPr>
          <w:p w14:paraId="590C0285" w14:textId="77777777" w:rsidR="00E54E3D" w:rsidRPr="007746B1" w:rsidRDefault="00E54E3D" w:rsidP="0056088B">
            <w:pPr>
              <w:keepNext/>
              <w:widowControl w:val="0"/>
              <w:spacing w:beforeLines="0" w:before="0" w:afterLines="0" w:after="0"/>
              <w:jc w:val="center"/>
              <w:rPr>
                <w:color w:val="FFFFFF" w:themeColor="background1"/>
              </w:rPr>
            </w:pPr>
            <w:r w:rsidRPr="007746B1">
              <w:rPr>
                <w:color w:val="FFFFFF" w:themeColor="background1"/>
              </w:rPr>
              <w:t>2021</w:t>
            </w:r>
          </w:p>
          <w:p w14:paraId="3CC9823B" w14:textId="77777777" w:rsidR="00E54E3D" w:rsidRPr="002B2DC0" w:rsidRDefault="00E54E3D" w:rsidP="0056088B">
            <w:pPr>
              <w:keepNext/>
              <w:widowControl w:val="0"/>
              <w:spacing w:beforeLines="0" w:before="0" w:afterLines="0" w:after="0"/>
              <w:jc w:val="center"/>
              <w:rPr>
                <w:b w:val="0"/>
                <w:bCs/>
                <w:color w:val="FFFFFF" w:themeColor="background1"/>
              </w:rPr>
            </w:pPr>
            <w:r w:rsidRPr="002B2DC0">
              <w:rPr>
                <w:b w:val="0"/>
                <w:bCs/>
                <w:color w:val="FFFFFF" w:themeColor="background1"/>
              </w:rPr>
              <w:t>(7 year lookback period)</w:t>
            </w:r>
          </w:p>
        </w:tc>
        <w:tc>
          <w:tcPr>
            <w:tcW w:w="2268" w:type="dxa"/>
            <w:shd w:val="clear" w:color="auto" w:fill="455875" w:themeFill="accent3" w:themeFillShade="BF"/>
          </w:tcPr>
          <w:p w14:paraId="1995EA14" w14:textId="778F045A" w:rsidR="00E54E3D" w:rsidRPr="007746B1" w:rsidRDefault="00E54E3D" w:rsidP="0056088B">
            <w:pPr>
              <w:keepNext/>
              <w:widowControl w:val="0"/>
              <w:spacing w:beforeLines="0" w:before="0" w:afterLines="0" w:after="0"/>
              <w:jc w:val="center"/>
              <w:rPr>
                <w:color w:val="FFFFFF" w:themeColor="background1"/>
              </w:rPr>
            </w:pPr>
            <w:r w:rsidRPr="007746B1">
              <w:rPr>
                <w:color w:val="FFFFFF" w:themeColor="background1"/>
              </w:rPr>
              <w:t>2022</w:t>
            </w:r>
          </w:p>
          <w:p w14:paraId="2741B02C" w14:textId="77777777" w:rsidR="00E54E3D" w:rsidRPr="002B2DC0" w:rsidRDefault="00E54E3D" w:rsidP="0056088B">
            <w:pPr>
              <w:keepNext/>
              <w:widowControl w:val="0"/>
              <w:spacing w:beforeLines="0" w:before="0" w:afterLines="0" w:after="0"/>
              <w:jc w:val="center"/>
              <w:rPr>
                <w:b w:val="0"/>
                <w:bCs/>
                <w:color w:val="FFFFFF" w:themeColor="background1"/>
              </w:rPr>
            </w:pPr>
            <w:r w:rsidRPr="002B2DC0">
              <w:rPr>
                <w:b w:val="0"/>
                <w:bCs/>
                <w:color w:val="FFFFFF" w:themeColor="background1"/>
              </w:rPr>
              <w:t>(8 year lookback period)</w:t>
            </w:r>
          </w:p>
        </w:tc>
      </w:tr>
      <w:tr w:rsidR="00194227" w14:paraId="4CB4BF7B" w14:textId="77777777" w:rsidTr="00CC5F64">
        <w:trPr>
          <w:trHeight w:val="427"/>
        </w:trPr>
        <w:tc>
          <w:tcPr>
            <w:tcW w:w="4678" w:type="dxa"/>
            <w:shd w:val="clear" w:color="auto" w:fill="9DADC5" w:themeFill="accent3" w:themeFillTint="99"/>
            <w:vAlign w:val="center"/>
          </w:tcPr>
          <w:p w14:paraId="73D680B8" w14:textId="6EA2C4C7" w:rsidR="00E54E3D" w:rsidRDefault="00C37B85" w:rsidP="0056088B">
            <w:pPr>
              <w:keepNext/>
              <w:widowControl w:val="0"/>
              <w:spacing w:before="0" w:after="0"/>
            </w:pPr>
            <w:r>
              <w:t xml:space="preserve">Current </w:t>
            </w:r>
            <w:r w:rsidR="00E54E3D">
              <w:t>Performance Test Results</w:t>
            </w:r>
          </w:p>
        </w:tc>
        <w:tc>
          <w:tcPr>
            <w:tcW w:w="2268" w:type="dxa"/>
            <w:shd w:val="clear" w:color="auto" w:fill="9DADC5" w:themeFill="accent3" w:themeFillTint="99"/>
            <w:vAlign w:val="center"/>
          </w:tcPr>
          <w:p w14:paraId="071516F2" w14:textId="77777777" w:rsidR="00E54E3D" w:rsidRDefault="00E54E3D" w:rsidP="0056088B">
            <w:pPr>
              <w:keepNext/>
              <w:widowControl w:val="0"/>
              <w:spacing w:before="0" w:after="0"/>
              <w:jc w:val="center"/>
            </w:pPr>
            <w:r>
              <w:t>16%</w:t>
            </w:r>
          </w:p>
        </w:tc>
        <w:tc>
          <w:tcPr>
            <w:tcW w:w="2268" w:type="dxa"/>
            <w:shd w:val="clear" w:color="auto" w:fill="9DADC5" w:themeFill="accent3" w:themeFillTint="99"/>
            <w:vAlign w:val="center"/>
          </w:tcPr>
          <w:p w14:paraId="4F1DFE61" w14:textId="77777777" w:rsidR="00E54E3D" w:rsidRDefault="00E54E3D" w:rsidP="0056088B">
            <w:pPr>
              <w:keepNext/>
              <w:widowControl w:val="0"/>
              <w:spacing w:before="0" w:after="0"/>
              <w:jc w:val="center"/>
            </w:pPr>
            <w:r>
              <w:t>6%</w:t>
            </w:r>
          </w:p>
        </w:tc>
      </w:tr>
      <w:tr w:rsidR="00212D15" w14:paraId="3A34EF5B" w14:textId="77777777" w:rsidTr="00CC5F64">
        <w:trPr>
          <w:trHeight w:val="419"/>
        </w:trPr>
        <w:tc>
          <w:tcPr>
            <w:tcW w:w="4678" w:type="dxa"/>
            <w:vAlign w:val="center"/>
          </w:tcPr>
          <w:p w14:paraId="4D22AF45" w14:textId="77777777" w:rsidR="00E54E3D" w:rsidRDefault="00E54E3D" w:rsidP="0056088B">
            <w:pPr>
              <w:keepNext/>
              <w:widowControl w:val="0"/>
              <w:spacing w:before="0" w:after="0"/>
            </w:pPr>
            <w:r>
              <w:t>Net investment return relative to trendline</w:t>
            </w:r>
          </w:p>
        </w:tc>
        <w:tc>
          <w:tcPr>
            <w:tcW w:w="2268" w:type="dxa"/>
            <w:vAlign w:val="center"/>
          </w:tcPr>
          <w:p w14:paraId="46AABEE3" w14:textId="77777777" w:rsidR="00E54E3D" w:rsidRDefault="00E54E3D" w:rsidP="0056088B">
            <w:pPr>
              <w:keepNext/>
              <w:widowControl w:val="0"/>
              <w:spacing w:before="0" w:after="0"/>
              <w:jc w:val="center"/>
            </w:pPr>
            <w:r>
              <w:t>19%</w:t>
            </w:r>
          </w:p>
        </w:tc>
        <w:tc>
          <w:tcPr>
            <w:tcW w:w="2268" w:type="dxa"/>
            <w:vAlign w:val="center"/>
          </w:tcPr>
          <w:p w14:paraId="1F69D59F" w14:textId="77777777" w:rsidR="00E54E3D" w:rsidRDefault="00E54E3D" w:rsidP="0056088B">
            <w:pPr>
              <w:keepNext/>
              <w:widowControl w:val="0"/>
              <w:spacing w:before="0" w:after="0"/>
              <w:jc w:val="center"/>
            </w:pPr>
            <w:r>
              <w:t>10%</w:t>
            </w:r>
          </w:p>
        </w:tc>
      </w:tr>
      <w:tr w:rsidR="00212D15" w14:paraId="42C65FA1" w14:textId="77777777" w:rsidTr="00CC5F64">
        <w:trPr>
          <w:trHeight w:val="424"/>
        </w:trPr>
        <w:tc>
          <w:tcPr>
            <w:tcW w:w="4678" w:type="dxa"/>
            <w:vAlign w:val="center"/>
          </w:tcPr>
          <w:p w14:paraId="1BCF518C" w14:textId="77777777" w:rsidR="00E54E3D" w:rsidRDefault="00E54E3D" w:rsidP="0056088B">
            <w:pPr>
              <w:keepNext/>
              <w:widowControl w:val="0"/>
              <w:spacing w:before="0" w:after="0"/>
            </w:pPr>
            <w:r>
              <w:t>Net investment return relative to SRP benchmark</w:t>
            </w:r>
          </w:p>
        </w:tc>
        <w:tc>
          <w:tcPr>
            <w:tcW w:w="2268" w:type="dxa"/>
            <w:vAlign w:val="center"/>
          </w:tcPr>
          <w:p w14:paraId="7B783961" w14:textId="77777777" w:rsidR="00E54E3D" w:rsidRDefault="00E54E3D" w:rsidP="0056088B">
            <w:pPr>
              <w:keepNext/>
              <w:widowControl w:val="0"/>
              <w:spacing w:before="0" w:after="0"/>
              <w:jc w:val="center"/>
            </w:pPr>
            <w:r>
              <w:t>18%</w:t>
            </w:r>
          </w:p>
        </w:tc>
        <w:tc>
          <w:tcPr>
            <w:tcW w:w="2268" w:type="dxa"/>
            <w:vAlign w:val="center"/>
          </w:tcPr>
          <w:p w14:paraId="4E3E300E" w14:textId="77777777" w:rsidR="00E54E3D" w:rsidRDefault="00E54E3D" w:rsidP="0056088B">
            <w:pPr>
              <w:keepNext/>
              <w:widowControl w:val="0"/>
              <w:spacing w:before="0" w:after="0"/>
              <w:jc w:val="center"/>
            </w:pPr>
            <w:r>
              <w:t>7%</w:t>
            </w:r>
          </w:p>
        </w:tc>
      </w:tr>
      <w:tr w:rsidR="00212D15" w14:paraId="5E9368F3" w14:textId="77777777" w:rsidTr="00CC5F64">
        <w:trPr>
          <w:trHeight w:val="430"/>
        </w:trPr>
        <w:tc>
          <w:tcPr>
            <w:tcW w:w="4678" w:type="dxa"/>
            <w:vAlign w:val="center"/>
          </w:tcPr>
          <w:p w14:paraId="4F4F7576" w14:textId="77777777" w:rsidR="00E54E3D" w:rsidRDefault="00E54E3D" w:rsidP="0056088B">
            <w:pPr>
              <w:keepNext/>
              <w:widowControl w:val="0"/>
              <w:spacing w:before="0" w:after="0"/>
            </w:pPr>
            <w:r>
              <w:t>Net investment return relative to SAA benchmark</w:t>
            </w:r>
          </w:p>
        </w:tc>
        <w:tc>
          <w:tcPr>
            <w:tcW w:w="2268" w:type="dxa"/>
            <w:vAlign w:val="center"/>
          </w:tcPr>
          <w:p w14:paraId="3659FEC5" w14:textId="77777777" w:rsidR="00E54E3D" w:rsidRDefault="00E54E3D" w:rsidP="0056088B">
            <w:pPr>
              <w:keepNext/>
              <w:widowControl w:val="0"/>
              <w:spacing w:before="0" w:after="0"/>
              <w:jc w:val="center"/>
            </w:pPr>
            <w:r>
              <w:t>18%</w:t>
            </w:r>
          </w:p>
        </w:tc>
        <w:tc>
          <w:tcPr>
            <w:tcW w:w="2268" w:type="dxa"/>
            <w:vAlign w:val="center"/>
          </w:tcPr>
          <w:p w14:paraId="358F894F" w14:textId="77777777" w:rsidR="00E54E3D" w:rsidRDefault="00E54E3D" w:rsidP="0056088B">
            <w:pPr>
              <w:keepNext/>
              <w:widowControl w:val="0"/>
              <w:spacing w:before="0" w:after="0"/>
              <w:jc w:val="center"/>
            </w:pPr>
            <w:r>
              <w:t>9%</w:t>
            </w:r>
          </w:p>
        </w:tc>
      </w:tr>
      <w:tr w:rsidR="00DD5293" w14:paraId="37B4745F" w14:textId="77777777" w:rsidTr="00CC5F64">
        <w:trPr>
          <w:trHeight w:val="422"/>
        </w:trPr>
        <w:tc>
          <w:tcPr>
            <w:tcW w:w="4678" w:type="dxa"/>
            <w:tcBorders>
              <w:bottom w:val="single" w:sz="2" w:space="0" w:color="auto"/>
            </w:tcBorders>
            <w:vAlign w:val="center"/>
          </w:tcPr>
          <w:p w14:paraId="582E1688" w14:textId="42D686B8" w:rsidR="00E54E3D" w:rsidRPr="00DD58F6" w:rsidRDefault="00E54E3D" w:rsidP="0056088B">
            <w:pPr>
              <w:keepNext/>
              <w:widowControl w:val="0"/>
              <w:spacing w:before="0" w:after="0"/>
              <w:rPr>
                <w:i/>
                <w:iCs/>
                <w:color w:val="FF0000"/>
              </w:rPr>
            </w:pPr>
            <w:r w:rsidRPr="00DD58F6">
              <w:rPr>
                <w:i/>
                <w:iCs/>
                <w:color w:val="FF0000"/>
              </w:rPr>
              <w:t xml:space="preserve">Fail the </w:t>
            </w:r>
            <w:r w:rsidR="00EA6939">
              <w:rPr>
                <w:i/>
                <w:iCs/>
                <w:color w:val="FF0000"/>
              </w:rPr>
              <w:t xml:space="preserve">majority of </w:t>
            </w:r>
            <w:r w:rsidRPr="00DD58F6">
              <w:rPr>
                <w:i/>
                <w:iCs/>
                <w:color w:val="FF0000"/>
              </w:rPr>
              <w:t xml:space="preserve">the </w:t>
            </w:r>
            <w:r w:rsidR="0086021A">
              <w:rPr>
                <w:i/>
                <w:iCs/>
                <w:color w:val="FF0000"/>
              </w:rPr>
              <w:t>net investment return metrics</w:t>
            </w:r>
          </w:p>
        </w:tc>
        <w:tc>
          <w:tcPr>
            <w:tcW w:w="2268" w:type="dxa"/>
            <w:tcBorders>
              <w:bottom w:val="single" w:sz="2" w:space="0" w:color="auto"/>
            </w:tcBorders>
            <w:vAlign w:val="center"/>
          </w:tcPr>
          <w:p w14:paraId="7B233A97" w14:textId="77777777" w:rsidR="00E54E3D" w:rsidRPr="00DD58F6" w:rsidRDefault="00E54E3D" w:rsidP="0056088B">
            <w:pPr>
              <w:keepNext/>
              <w:widowControl w:val="0"/>
              <w:spacing w:before="0" w:after="0"/>
              <w:jc w:val="center"/>
              <w:rPr>
                <w:i/>
                <w:iCs/>
                <w:color w:val="FF0000"/>
              </w:rPr>
            </w:pPr>
            <w:r w:rsidRPr="00DD58F6">
              <w:rPr>
                <w:i/>
                <w:iCs/>
                <w:color w:val="FF0000"/>
              </w:rPr>
              <w:t>16%</w:t>
            </w:r>
          </w:p>
        </w:tc>
        <w:tc>
          <w:tcPr>
            <w:tcW w:w="2268" w:type="dxa"/>
            <w:tcBorders>
              <w:bottom w:val="single" w:sz="2" w:space="0" w:color="auto"/>
            </w:tcBorders>
            <w:vAlign w:val="center"/>
          </w:tcPr>
          <w:p w14:paraId="118BB53C" w14:textId="77777777" w:rsidR="00E54E3D" w:rsidRPr="00DD58F6" w:rsidRDefault="00E54E3D" w:rsidP="0056088B">
            <w:pPr>
              <w:keepNext/>
              <w:widowControl w:val="0"/>
              <w:spacing w:before="0" w:after="0"/>
              <w:jc w:val="center"/>
              <w:rPr>
                <w:i/>
                <w:iCs/>
                <w:color w:val="FF0000"/>
              </w:rPr>
            </w:pPr>
            <w:r w:rsidRPr="00DD58F6">
              <w:rPr>
                <w:i/>
                <w:iCs/>
                <w:color w:val="FF0000"/>
              </w:rPr>
              <w:t>7%</w:t>
            </w:r>
          </w:p>
        </w:tc>
      </w:tr>
      <w:tr w:rsidR="00DD5293" w14:paraId="69F7522D" w14:textId="77777777" w:rsidTr="00CC5F64">
        <w:trPr>
          <w:trHeight w:val="400"/>
        </w:trPr>
        <w:tc>
          <w:tcPr>
            <w:tcW w:w="4678" w:type="dxa"/>
            <w:tcBorders>
              <w:bottom w:val="single" w:sz="4" w:space="0" w:color="auto"/>
            </w:tcBorders>
            <w:vAlign w:val="center"/>
          </w:tcPr>
          <w:p w14:paraId="20E1357C" w14:textId="3C14C18A" w:rsidR="00E54E3D" w:rsidRPr="00DD58F6" w:rsidRDefault="00E54E3D" w:rsidP="0056088B">
            <w:pPr>
              <w:keepNext/>
              <w:widowControl w:val="0"/>
              <w:spacing w:before="0" w:after="0"/>
              <w:rPr>
                <w:i/>
                <w:iCs/>
                <w:color w:val="FF0000"/>
              </w:rPr>
            </w:pPr>
            <w:r w:rsidRPr="00DD58F6">
              <w:rPr>
                <w:i/>
                <w:iCs/>
                <w:color w:val="FF0000"/>
              </w:rPr>
              <w:t>Fail all three</w:t>
            </w:r>
            <w:r w:rsidR="00F877E1">
              <w:rPr>
                <w:i/>
                <w:iCs/>
                <w:color w:val="FF0000"/>
              </w:rPr>
              <w:t xml:space="preserve"> </w:t>
            </w:r>
            <w:r w:rsidR="00F137E6">
              <w:rPr>
                <w:i/>
                <w:iCs/>
                <w:color w:val="FF0000"/>
              </w:rPr>
              <w:t>net</w:t>
            </w:r>
            <w:r w:rsidRPr="00DD58F6">
              <w:rPr>
                <w:i/>
                <w:iCs/>
                <w:color w:val="FF0000"/>
              </w:rPr>
              <w:t xml:space="preserve"> </w:t>
            </w:r>
            <w:r w:rsidR="007C4FF6">
              <w:rPr>
                <w:i/>
                <w:iCs/>
                <w:color w:val="FF0000"/>
              </w:rPr>
              <w:t xml:space="preserve">investment </w:t>
            </w:r>
            <w:r w:rsidR="006825B9">
              <w:rPr>
                <w:i/>
                <w:iCs/>
                <w:color w:val="FF0000"/>
              </w:rPr>
              <w:t>return</w:t>
            </w:r>
            <w:r w:rsidR="007C4FF6">
              <w:rPr>
                <w:i/>
                <w:iCs/>
                <w:color w:val="FF0000"/>
              </w:rPr>
              <w:t xml:space="preserve"> </w:t>
            </w:r>
            <w:r w:rsidRPr="00DD58F6">
              <w:rPr>
                <w:i/>
                <w:iCs/>
                <w:color w:val="FF0000"/>
              </w:rPr>
              <w:t>metrics</w:t>
            </w:r>
          </w:p>
        </w:tc>
        <w:tc>
          <w:tcPr>
            <w:tcW w:w="2268" w:type="dxa"/>
            <w:tcBorders>
              <w:bottom w:val="single" w:sz="4" w:space="0" w:color="auto"/>
            </w:tcBorders>
            <w:vAlign w:val="center"/>
          </w:tcPr>
          <w:p w14:paraId="7ACD88C5" w14:textId="77777777" w:rsidR="00E54E3D" w:rsidRPr="00DD58F6" w:rsidRDefault="00E54E3D" w:rsidP="0056088B">
            <w:pPr>
              <w:keepNext/>
              <w:widowControl w:val="0"/>
              <w:spacing w:before="0" w:after="0"/>
              <w:jc w:val="center"/>
              <w:rPr>
                <w:i/>
                <w:iCs/>
                <w:color w:val="FF0000"/>
              </w:rPr>
            </w:pPr>
            <w:r w:rsidRPr="00DD58F6">
              <w:rPr>
                <w:i/>
                <w:iCs/>
                <w:color w:val="FF0000"/>
              </w:rPr>
              <w:t>9%</w:t>
            </w:r>
          </w:p>
        </w:tc>
        <w:tc>
          <w:tcPr>
            <w:tcW w:w="2268" w:type="dxa"/>
            <w:tcBorders>
              <w:bottom w:val="single" w:sz="4" w:space="0" w:color="auto"/>
            </w:tcBorders>
            <w:vAlign w:val="center"/>
          </w:tcPr>
          <w:p w14:paraId="3A04ECA5" w14:textId="77777777" w:rsidR="00E54E3D" w:rsidRPr="00DD58F6" w:rsidRDefault="00E54E3D" w:rsidP="0056088B">
            <w:pPr>
              <w:keepNext/>
              <w:widowControl w:val="0"/>
              <w:spacing w:before="0" w:after="0"/>
              <w:jc w:val="center"/>
              <w:rPr>
                <w:i/>
                <w:iCs/>
                <w:color w:val="FF0000"/>
              </w:rPr>
            </w:pPr>
            <w:r w:rsidRPr="00DD58F6">
              <w:rPr>
                <w:i/>
                <w:iCs/>
                <w:color w:val="FF0000"/>
              </w:rPr>
              <w:t>6%</w:t>
            </w:r>
          </w:p>
        </w:tc>
      </w:tr>
      <w:tr w:rsidR="00DD5293" w14:paraId="3AB962D2" w14:textId="77777777" w:rsidTr="00CC5F64">
        <w:trPr>
          <w:trHeight w:val="403"/>
        </w:trPr>
        <w:tc>
          <w:tcPr>
            <w:tcW w:w="4678" w:type="dxa"/>
            <w:tcBorders>
              <w:bottom w:val="single" w:sz="4" w:space="0" w:color="auto"/>
            </w:tcBorders>
            <w:vAlign w:val="center"/>
          </w:tcPr>
          <w:p w14:paraId="6D61BC0D" w14:textId="6E0334E6" w:rsidR="001B1863" w:rsidRPr="00D9513E" w:rsidRDefault="001B1863" w:rsidP="0056088B">
            <w:pPr>
              <w:keepNext/>
              <w:widowControl w:val="0"/>
              <w:spacing w:before="0" w:after="0"/>
            </w:pPr>
            <w:r w:rsidRPr="00D9513E">
              <w:t>Administration fees ($50,000 account balance)</w:t>
            </w:r>
          </w:p>
        </w:tc>
        <w:tc>
          <w:tcPr>
            <w:tcW w:w="2268" w:type="dxa"/>
            <w:tcBorders>
              <w:bottom w:val="single" w:sz="4" w:space="0" w:color="auto"/>
            </w:tcBorders>
            <w:vAlign w:val="center"/>
          </w:tcPr>
          <w:p w14:paraId="5978308A" w14:textId="058FF408" w:rsidR="001B1863" w:rsidRPr="00D9513E" w:rsidRDefault="00511CED" w:rsidP="0056088B">
            <w:pPr>
              <w:keepNext/>
              <w:widowControl w:val="0"/>
              <w:spacing w:before="0" w:after="0"/>
              <w:jc w:val="center"/>
              <w:rPr>
                <w:color w:val="FF0000"/>
              </w:rPr>
            </w:pPr>
            <w:r w:rsidRPr="00D9513E">
              <w:t>1%</w:t>
            </w:r>
          </w:p>
        </w:tc>
        <w:tc>
          <w:tcPr>
            <w:tcW w:w="2268" w:type="dxa"/>
            <w:tcBorders>
              <w:bottom w:val="single" w:sz="4" w:space="0" w:color="auto"/>
            </w:tcBorders>
            <w:vAlign w:val="center"/>
          </w:tcPr>
          <w:p w14:paraId="72EAF4AC" w14:textId="704C4F9F" w:rsidR="001B1863" w:rsidRPr="00D9513E" w:rsidRDefault="00AD5BAC" w:rsidP="0056088B">
            <w:pPr>
              <w:keepNext/>
              <w:widowControl w:val="0"/>
              <w:spacing w:before="0" w:after="0"/>
              <w:jc w:val="center"/>
            </w:pPr>
            <w:r w:rsidRPr="00D9513E">
              <w:t>7%</w:t>
            </w:r>
          </w:p>
        </w:tc>
      </w:tr>
      <w:tr w:rsidR="00DD5293" w14:paraId="2A205CE2" w14:textId="77777777" w:rsidTr="00CC5F64">
        <w:trPr>
          <w:trHeight w:val="393"/>
        </w:trPr>
        <w:tc>
          <w:tcPr>
            <w:tcW w:w="4678" w:type="dxa"/>
            <w:tcBorders>
              <w:bottom w:val="single" w:sz="4" w:space="0" w:color="auto"/>
            </w:tcBorders>
            <w:vAlign w:val="center"/>
          </w:tcPr>
          <w:p w14:paraId="65FE6622" w14:textId="5F1D9BA1" w:rsidR="001B1863" w:rsidRPr="00D9513E" w:rsidRDefault="001B1863" w:rsidP="0056088B">
            <w:pPr>
              <w:keepNext/>
              <w:widowControl w:val="0"/>
              <w:spacing w:before="0" w:after="0"/>
            </w:pPr>
            <w:r>
              <w:t>Total</w:t>
            </w:r>
            <w:r w:rsidRPr="004A022D">
              <w:t xml:space="preserve"> fees ($50,000 account balance</w:t>
            </w:r>
            <w:r>
              <w:t>)</w:t>
            </w:r>
          </w:p>
        </w:tc>
        <w:tc>
          <w:tcPr>
            <w:tcW w:w="2268" w:type="dxa"/>
            <w:tcBorders>
              <w:bottom w:val="single" w:sz="4" w:space="0" w:color="auto"/>
            </w:tcBorders>
            <w:vAlign w:val="center"/>
          </w:tcPr>
          <w:p w14:paraId="6BA10EF3" w14:textId="2B4D1583" w:rsidR="001B1863" w:rsidRPr="00DD58F6" w:rsidRDefault="00511CED" w:rsidP="0056088B">
            <w:pPr>
              <w:keepNext/>
              <w:widowControl w:val="0"/>
              <w:spacing w:before="0" w:after="0"/>
              <w:jc w:val="center"/>
              <w:rPr>
                <w:i/>
                <w:iCs/>
                <w:color w:val="FF0000"/>
              </w:rPr>
            </w:pPr>
            <w:r w:rsidRPr="004A022D">
              <w:t>1%</w:t>
            </w:r>
          </w:p>
        </w:tc>
        <w:tc>
          <w:tcPr>
            <w:tcW w:w="2268" w:type="dxa"/>
            <w:tcBorders>
              <w:bottom w:val="single" w:sz="4" w:space="0" w:color="auto"/>
            </w:tcBorders>
            <w:vAlign w:val="center"/>
          </w:tcPr>
          <w:p w14:paraId="1CC76FFF" w14:textId="30FD2142" w:rsidR="001B1863" w:rsidRPr="00D9513E" w:rsidRDefault="00761DB3" w:rsidP="0056088B">
            <w:pPr>
              <w:keepNext/>
              <w:widowControl w:val="0"/>
              <w:spacing w:before="0" w:after="0"/>
              <w:jc w:val="center"/>
            </w:pPr>
            <w:r w:rsidRPr="00D9513E">
              <w:t>1%</w:t>
            </w:r>
          </w:p>
        </w:tc>
      </w:tr>
      <w:tr w:rsidR="00DD5293" w14:paraId="0780F2C2" w14:textId="77777777" w:rsidTr="00CC5F64">
        <w:trPr>
          <w:trHeight w:val="391"/>
        </w:trPr>
        <w:tc>
          <w:tcPr>
            <w:tcW w:w="4678" w:type="dxa"/>
            <w:tcBorders>
              <w:bottom w:val="single" w:sz="4" w:space="0" w:color="auto"/>
            </w:tcBorders>
            <w:vAlign w:val="center"/>
          </w:tcPr>
          <w:p w14:paraId="785C6773" w14:textId="3FB52539" w:rsidR="001B1863" w:rsidRPr="00D9513E" w:rsidRDefault="001B1863" w:rsidP="0056088B">
            <w:pPr>
              <w:keepNext/>
              <w:widowControl w:val="0"/>
              <w:spacing w:before="0" w:after="0"/>
              <w:rPr>
                <w:color w:val="FF0000"/>
              </w:rPr>
            </w:pPr>
            <w:r w:rsidRPr="00D9513E">
              <w:t>RSE adjusted total accounts growth rate (3 year average)</w:t>
            </w:r>
          </w:p>
        </w:tc>
        <w:tc>
          <w:tcPr>
            <w:tcW w:w="2268" w:type="dxa"/>
            <w:tcBorders>
              <w:bottom w:val="single" w:sz="4" w:space="0" w:color="auto"/>
            </w:tcBorders>
            <w:vAlign w:val="center"/>
          </w:tcPr>
          <w:p w14:paraId="0BF9A449" w14:textId="7ECF7CAC" w:rsidR="001B1863" w:rsidRPr="00D9513E" w:rsidRDefault="003D7C52" w:rsidP="0056088B">
            <w:pPr>
              <w:keepNext/>
              <w:widowControl w:val="0"/>
              <w:spacing w:before="0" w:after="0"/>
              <w:jc w:val="center"/>
            </w:pPr>
            <w:r w:rsidRPr="00D9513E">
              <w:t>20%</w:t>
            </w:r>
          </w:p>
        </w:tc>
        <w:tc>
          <w:tcPr>
            <w:tcW w:w="2268" w:type="dxa"/>
            <w:tcBorders>
              <w:bottom w:val="single" w:sz="4" w:space="0" w:color="auto"/>
            </w:tcBorders>
            <w:vAlign w:val="center"/>
          </w:tcPr>
          <w:p w14:paraId="03204197" w14:textId="4B515B2C" w:rsidR="001B1863" w:rsidRPr="00D9513E" w:rsidRDefault="00761DB3" w:rsidP="0056088B">
            <w:pPr>
              <w:keepNext/>
              <w:widowControl w:val="0"/>
              <w:spacing w:before="0" w:after="0"/>
              <w:jc w:val="center"/>
            </w:pPr>
            <w:r w:rsidRPr="00D9513E">
              <w:t>17%</w:t>
            </w:r>
          </w:p>
        </w:tc>
      </w:tr>
      <w:tr w:rsidR="00DD5293" w14:paraId="0E3CAF0F" w14:textId="77777777" w:rsidTr="00CC5F64">
        <w:trPr>
          <w:trHeight w:val="411"/>
        </w:trPr>
        <w:tc>
          <w:tcPr>
            <w:tcW w:w="4678" w:type="dxa"/>
            <w:tcBorders>
              <w:bottom w:val="single" w:sz="4" w:space="0" w:color="auto"/>
            </w:tcBorders>
            <w:vAlign w:val="center"/>
          </w:tcPr>
          <w:p w14:paraId="18880351" w14:textId="063C344C" w:rsidR="001B1863" w:rsidRPr="00DD58F6" w:rsidRDefault="001B1863" w:rsidP="0056088B">
            <w:pPr>
              <w:keepNext/>
              <w:widowControl w:val="0"/>
              <w:spacing w:before="0" w:after="0"/>
              <w:rPr>
                <w:i/>
                <w:iCs/>
                <w:color w:val="FF0000"/>
              </w:rPr>
            </w:pPr>
            <w:r w:rsidRPr="004A022D">
              <w:t xml:space="preserve">RSE </w:t>
            </w:r>
            <w:r w:rsidR="002B6AF6">
              <w:t>net cash flow ratio</w:t>
            </w:r>
            <w:r w:rsidRPr="004A022D">
              <w:t xml:space="preserve"> (3 year average)</w:t>
            </w:r>
          </w:p>
        </w:tc>
        <w:tc>
          <w:tcPr>
            <w:tcW w:w="2268" w:type="dxa"/>
            <w:tcBorders>
              <w:bottom w:val="single" w:sz="4" w:space="0" w:color="auto"/>
            </w:tcBorders>
            <w:vAlign w:val="center"/>
          </w:tcPr>
          <w:p w14:paraId="34F3EA9B" w14:textId="1FD22A00" w:rsidR="001B1863" w:rsidRPr="00D9513E" w:rsidRDefault="003D7C52" w:rsidP="0056088B">
            <w:pPr>
              <w:keepNext/>
              <w:widowControl w:val="0"/>
              <w:spacing w:before="0" w:after="0"/>
              <w:jc w:val="center"/>
            </w:pPr>
            <w:r w:rsidRPr="00D9513E">
              <w:t>15%</w:t>
            </w:r>
          </w:p>
        </w:tc>
        <w:tc>
          <w:tcPr>
            <w:tcW w:w="2268" w:type="dxa"/>
            <w:tcBorders>
              <w:bottom w:val="single" w:sz="4" w:space="0" w:color="auto"/>
            </w:tcBorders>
            <w:vAlign w:val="center"/>
          </w:tcPr>
          <w:p w14:paraId="0C7C0E49" w14:textId="3F0A9BFC" w:rsidR="001B1863" w:rsidRPr="00D9513E" w:rsidRDefault="00C62BA2" w:rsidP="0056088B">
            <w:pPr>
              <w:keepNext/>
              <w:widowControl w:val="0"/>
              <w:spacing w:before="0" w:after="0"/>
              <w:jc w:val="center"/>
            </w:pPr>
            <w:r w:rsidRPr="00D9513E">
              <w:t>13%</w:t>
            </w:r>
          </w:p>
        </w:tc>
      </w:tr>
      <w:tr w:rsidR="00DD5293" w14:paraId="13C24A93" w14:textId="77777777" w:rsidTr="00CC5F64">
        <w:trPr>
          <w:trHeight w:val="417"/>
        </w:trPr>
        <w:tc>
          <w:tcPr>
            <w:tcW w:w="4678" w:type="dxa"/>
            <w:tcBorders>
              <w:bottom w:val="single" w:sz="4" w:space="0" w:color="auto"/>
            </w:tcBorders>
            <w:vAlign w:val="center"/>
          </w:tcPr>
          <w:p w14:paraId="190EE076" w14:textId="278E4142" w:rsidR="00091299" w:rsidRPr="004A022D" w:rsidRDefault="00091299" w:rsidP="0056088B">
            <w:pPr>
              <w:keepNext/>
              <w:widowControl w:val="0"/>
              <w:spacing w:before="0" w:after="0"/>
            </w:pPr>
            <w:r>
              <w:t>RSE net rollover ratio (3 year average)</w:t>
            </w:r>
          </w:p>
        </w:tc>
        <w:tc>
          <w:tcPr>
            <w:tcW w:w="2268" w:type="dxa"/>
            <w:tcBorders>
              <w:bottom w:val="single" w:sz="4" w:space="0" w:color="auto"/>
            </w:tcBorders>
            <w:vAlign w:val="center"/>
          </w:tcPr>
          <w:p w14:paraId="6AC5DED0" w14:textId="17850696" w:rsidR="00091299" w:rsidRPr="00D9513E" w:rsidRDefault="000E594C" w:rsidP="0056088B">
            <w:pPr>
              <w:keepNext/>
              <w:widowControl w:val="0"/>
              <w:spacing w:before="0" w:after="0"/>
              <w:jc w:val="center"/>
            </w:pPr>
            <w:r>
              <w:t>16%</w:t>
            </w:r>
          </w:p>
        </w:tc>
        <w:tc>
          <w:tcPr>
            <w:tcW w:w="2268" w:type="dxa"/>
            <w:tcBorders>
              <w:bottom w:val="single" w:sz="4" w:space="0" w:color="auto"/>
            </w:tcBorders>
            <w:vAlign w:val="center"/>
          </w:tcPr>
          <w:p w14:paraId="4401CA7F" w14:textId="40B22869" w:rsidR="00091299" w:rsidRPr="00D9513E" w:rsidRDefault="00091299" w:rsidP="0056088B">
            <w:pPr>
              <w:keepNext/>
              <w:widowControl w:val="0"/>
              <w:spacing w:before="0" w:after="0"/>
              <w:jc w:val="center"/>
            </w:pPr>
            <w:r>
              <w:t>1</w:t>
            </w:r>
            <w:r w:rsidR="00CC7EC4">
              <w:t>4%</w:t>
            </w:r>
          </w:p>
        </w:tc>
      </w:tr>
      <w:tr w:rsidR="00DD5293" w14:paraId="53A5148E" w14:textId="77777777" w:rsidTr="00CC5F64">
        <w:trPr>
          <w:trHeight w:val="423"/>
        </w:trPr>
        <w:tc>
          <w:tcPr>
            <w:tcW w:w="4678" w:type="dxa"/>
            <w:tcBorders>
              <w:top w:val="single" w:sz="4" w:space="0" w:color="auto"/>
            </w:tcBorders>
            <w:vAlign w:val="center"/>
          </w:tcPr>
          <w:p w14:paraId="70EC23C4" w14:textId="6C3119D4" w:rsidR="001B1863" w:rsidRPr="00DD58F6" w:rsidRDefault="001B1863" w:rsidP="0056088B">
            <w:pPr>
              <w:keepNext/>
              <w:widowControl w:val="0"/>
              <w:spacing w:before="0" w:after="0"/>
              <w:rPr>
                <w:i/>
                <w:iCs/>
                <w:color w:val="FF0000"/>
              </w:rPr>
            </w:pPr>
            <w:r w:rsidRPr="00DD58F6">
              <w:rPr>
                <w:i/>
                <w:iCs/>
                <w:color w:val="FF0000"/>
              </w:rPr>
              <w:t xml:space="preserve">Fail </w:t>
            </w:r>
            <w:r w:rsidR="00173E35">
              <w:rPr>
                <w:i/>
                <w:iCs/>
                <w:color w:val="FF0000"/>
              </w:rPr>
              <w:t>half</w:t>
            </w:r>
            <w:r w:rsidR="000774FC">
              <w:rPr>
                <w:i/>
                <w:iCs/>
                <w:color w:val="FF0000"/>
              </w:rPr>
              <w:t xml:space="preserve"> (or more)</w:t>
            </w:r>
            <w:r w:rsidR="00173E35">
              <w:rPr>
                <w:i/>
                <w:iCs/>
                <w:color w:val="FF0000"/>
              </w:rPr>
              <w:t xml:space="preserve"> of</w:t>
            </w:r>
            <w:r>
              <w:rPr>
                <w:i/>
                <w:iCs/>
                <w:color w:val="FF0000"/>
              </w:rPr>
              <w:t xml:space="preserve"> </w:t>
            </w:r>
            <w:r w:rsidRPr="00DD58F6">
              <w:rPr>
                <w:i/>
                <w:iCs/>
                <w:color w:val="FF0000"/>
              </w:rPr>
              <w:t xml:space="preserve">the </w:t>
            </w:r>
            <w:r>
              <w:rPr>
                <w:i/>
                <w:iCs/>
                <w:color w:val="FF0000"/>
              </w:rPr>
              <w:t xml:space="preserve">APRA heatmap </w:t>
            </w:r>
            <w:r w:rsidRPr="00DD58F6">
              <w:rPr>
                <w:i/>
                <w:iCs/>
                <w:color w:val="FF0000"/>
              </w:rPr>
              <w:t>metrics</w:t>
            </w:r>
          </w:p>
        </w:tc>
        <w:tc>
          <w:tcPr>
            <w:tcW w:w="2268" w:type="dxa"/>
            <w:tcBorders>
              <w:top w:val="single" w:sz="4" w:space="0" w:color="auto"/>
            </w:tcBorders>
            <w:vAlign w:val="center"/>
          </w:tcPr>
          <w:p w14:paraId="2E25138F" w14:textId="32B8C145" w:rsidR="001B1863" w:rsidRPr="00DD58F6" w:rsidRDefault="00B03985" w:rsidP="0056088B">
            <w:pPr>
              <w:keepNext/>
              <w:widowControl w:val="0"/>
              <w:spacing w:before="0" w:after="0"/>
              <w:jc w:val="center"/>
              <w:rPr>
                <w:i/>
                <w:iCs/>
                <w:color w:val="FF0000"/>
              </w:rPr>
            </w:pPr>
            <w:r>
              <w:rPr>
                <w:i/>
                <w:iCs/>
                <w:color w:val="FF0000"/>
              </w:rPr>
              <w:t>3</w:t>
            </w:r>
            <w:r w:rsidR="001B1863">
              <w:rPr>
                <w:i/>
                <w:iCs/>
                <w:color w:val="FF0000"/>
              </w:rPr>
              <w:t>%</w:t>
            </w:r>
          </w:p>
        </w:tc>
        <w:tc>
          <w:tcPr>
            <w:tcW w:w="2268" w:type="dxa"/>
            <w:tcBorders>
              <w:top w:val="single" w:sz="4" w:space="0" w:color="auto"/>
            </w:tcBorders>
            <w:vAlign w:val="center"/>
          </w:tcPr>
          <w:p w14:paraId="5F6C2A71" w14:textId="6AA9D59D" w:rsidR="001B1863" w:rsidRPr="00DD58F6" w:rsidRDefault="001B1863" w:rsidP="0056088B">
            <w:pPr>
              <w:keepNext/>
              <w:widowControl w:val="0"/>
              <w:spacing w:before="0" w:after="0"/>
              <w:jc w:val="center"/>
              <w:rPr>
                <w:i/>
                <w:iCs/>
                <w:color w:val="FF0000"/>
              </w:rPr>
            </w:pPr>
            <w:r>
              <w:rPr>
                <w:i/>
                <w:iCs/>
                <w:color w:val="FF0000"/>
              </w:rPr>
              <w:t>0%</w:t>
            </w:r>
          </w:p>
        </w:tc>
      </w:tr>
      <w:tr w:rsidR="00212D15" w14:paraId="2D37B62A" w14:textId="77777777" w:rsidTr="00CC5F64">
        <w:trPr>
          <w:trHeight w:val="434"/>
        </w:trPr>
        <w:tc>
          <w:tcPr>
            <w:tcW w:w="4678" w:type="dxa"/>
            <w:vAlign w:val="center"/>
          </w:tcPr>
          <w:p w14:paraId="384044D3" w14:textId="18493CFF" w:rsidR="001B1863" w:rsidRPr="00DD58F6" w:rsidRDefault="001B1863" w:rsidP="0056088B">
            <w:pPr>
              <w:keepNext/>
              <w:widowControl w:val="0"/>
              <w:spacing w:before="0" w:after="0"/>
              <w:rPr>
                <w:i/>
                <w:iCs/>
                <w:color w:val="FF0000"/>
              </w:rPr>
            </w:pPr>
            <w:r w:rsidRPr="00DD58F6">
              <w:rPr>
                <w:i/>
                <w:iCs/>
                <w:color w:val="FF0000"/>
              </w:rPr>
              <w:t xml:space="preserve">Fail all </w:t>
            </w:r>
            <w:r w:rsidR="009C404F">
              <w:rPr>
                <w:i/>
                <w:iCs/>
                <w:color w:val="FF0000"/>
              </w:rPr>
              <w:t>eight</w:t>
            </w:r>
            <w:r>
              <w:rPr>
                <w:i/>
                <w:iCs/>
                <w:color w:val="FF0000"/>
              </w:rPr>
              <w:t xml:space="preserve"> </w:t>
            </w:r>
            <w:r w:rsidRPr="00DD58F6">
              <w:rPr>
                <w:i/>
                <w:iCs/>
                <w:color w:val="FF0000"/>
              </w:rPr>
              <w:t>metrics</w:t>
            </w:r>
          </w:p>
        </w:tc>
        <w:tc>
          <w:tcPr>
            <w:tcW w:w="2268" w:type="dxa"/>
            <w:vAlign w:val="center"/>
          </w:tcPr>
          <w:p w14:paraId="149D2D9E" w14:textId="4759E295" w:rsidR="001B1863" w:rsidRPr="00DD58F6" w:rsidRDefault="001B1863" w:rsidP="0056088B">
            <w:pPr>
              <w:keepNext/>
              <w:widowControl w:val="0"/>
              <w:spacing w:before="0" w:after="0"/>
              <w:jc w:val="center"/>
              <w:rPr>
                <w:i/>
                <w:iCs/>
                <w:color w:val="FF0000"/>
              </w:rPr>
            </w:pPr>
            <w:r>
              <w:rPr>
                <w:i/>
                <w:iCs/>
                <w:color w:val="FF0000"/>
              </w:rPr>
              <w:t>0%</w:t>
            </w:r>
          </w:p>
        </w:tc>
        <w:tc>
          <w:tcPr>
            <w:tcW w:w="2268" w:type="dxa"/>
            <w:vAlign w:val="center"/>
          </w:tcPr>
          <w:p w14:paraId="6CEBCD81" w14:textId="06C15C93" w:rsidR="001B1863" w:rsidRPr="00DD58F6" w:rsidRDefault="001B1863" w:rsidP="0056088B">
            <w:pPr>
              <w:keepNext/>
              <w:widowControl w:val="0"/>
              <w:spacing w:before="0" w:after="0"/>
              <w:jc w:val="center"/>
              <w:rPr>
                <w:i/>
                <w:iCs/>
                <w:color w:val="FF0000"/>
              </w:rPr>
            </w:pPr>
            <w:r>
              <w:rPr>
                <w:i/>
                <w:iCs/>
                <w:color w:val="FF0000"/>
              </w:rPr>
              <w:t>0%</w:t>
            </w:r>
          </w:p>
        </w:tc>
      </w:tr>
    </w:tbl>
    <w:p w14:paraId="0F714B75" w14:textId="11A03F72" w:rsidR="00BF4BF7" w:rsidRDefault="006F6595" w:rsidP="006F6595">
      <w:pPr>
        <w:pStyle w:val="ChartorTableNote"/>
      </w:pPr>
      <w:r>
        <w:t>Source: APRA MySuper Heatmap 2022</w:t>
      </w:r>
    </w:p>
    <w:p w14:paraId="6F549D18" w14:textId="77777777" w:rsidR="006F6595" w:rsidRPr="006F6595" w:rsidRDefault="006F6595" w:rsidP="006F6595"/>
    <w:p w14:paraId="386F6968" w14:textId="59E748C6" w:rsidR="007632C6" w:rsidRDefault="007632C6" w:rsidP="007632C6">
      <w:pPr>
        <w:pStyle w:val="OutlineNumbered1"/>
        <w:numPr>
          <w:ilvl w:val="0"/>
          <w:numId w:val="0"/>
        </w:numPr>
        <w:ind w:left="851" w:hanging="851"/>
      </w:pPr>
      <w:r>
        <w:rPr>
          <w:noProof/>
        </w:rPr>
        <mc:AlternateContent>
          <mc:Choice Requires="wps">
            <w:drawing>
              <wp:inline distT="0" distB="0" distL="0" distR="0" wp14:anchorId="2ADD564E" wp14:editId="0B0DDB2F">
                <wp:extent cx="5743575" cy="2171700"/>
                <wp:effectExtent l="0" t="0" r="9525" b="0"/>
                <wp:docPr id="32" name="Text Box 32"/>
                <wp:cNvGraphicFramePr/>
                <a:graphic xmlns:a="http://schemas.openxmlformats.org/drawingml/2006/main">
                  <a:graphicData uri="http://schemas.microsoft.com/office/word/2010/wordprocessingShape">
                    <wps:wsp>
                      <wps:cNvSpPr txBox="1"/>
                      <wps:spPr>
                        <a:xfrm>
                          <a:off x="0" y="0"/>
                          <a:ext cx="5743575" cy="2171700"/>
                        </a:xfrm>
                        <a:prstGeom prst="rect">
                          <a:avLst/>
                        </a:prstGeom>
                        <a:solidFill>
                          <a:schemeClr val="accent3">
                            <a:lumMod val="20000"/>
                            <a:lumOff val="80000"/>
                          </a:schemeClr>
                        </a:solidFill>
                        <a:ln w="6350">
                          <a:noFill/>
                        </a:ln>
                      </wps:spPr>
                      <wps:txbx>
                        <w:txbxContent>
                          <w:p w14:paraId="0727252B" w14:textId="651D6B24" w:rsidR="007632C6" w:rsidRDefault="007632C6" w:rsidP="007632C6">
                            <w:pPr>
                              <w:pStyle w:val="Heading4"/>
                              <w:spacing w:before="120"/>
                            </w:pPr>
                            <w:r>
                              <w:t>Consultation Question</w:t>
                            </w:r>
                            <w:r w:rsidR="004B3D7A">
                              <w:t>s</w:t>
                            </w:r>
                          </w:p>
                          <w:p w14:paraId="2DB3FF62" w14:textId="22720501" w:rsidR="00151964" w:rsidRDefault="007632C6" w:rsidP="0058255F">
                            <w:pPr>
                              <w:pStyle w:val="OutlineNumbered1"/>
                              <w:numPr>
                                <w:ilvl w:val="0"/>
                                <w:numId w:val="59"/>
                              </w:numPr>
                            </w:pPr>
                            <w:r>
                              <w:t>Would greater alignment to the APRA heatmaps improve the sophistication of the test?</w:t>
                            </w:r>
                            <w:r w:rsidR="003E33D5">
                              <w:t xml:space="preserve"> </w:t>
                            </w:r>
                          </w:p>
                          <w:p w14:paraId="26196A72" w14:textId="5EE169EC" w:rsidR="00A01E44" w:rsidRDefault="007632C6" w:rsidP="0058255F">
                            <w:pPr>
                              <w:pStyle w:val="OutlineNumbered1"/>
                              <w:numPr>
                                <w:ilvl w:val="0"/>
                                <w:numId w:val="59"/>
                              </w:numPr>
                            </w:pPr>
                            <w:r>
                              <w:t>Would it reduce incentives to benchmark hug and improve member outcomes?</w:t>
                            </w:r>
                            <w:r w:rsidR="00527F1C">
                              <w:t xml:space="preserve"> </w:t>
                            </w:r>
                          </w:p>
                          <w:p w14:paraId="6511EB76" w14:textId="1893F737" w:rsidR="007632C6" w:rsidRDefault="007632C6" w:rsidP="0058255F">
                            <w:pPr>
                              <w:pStyle w:val="OutlineNumbered1"/>
                              <w:numPr>
                                <w:ilvl w:val="0"/>
                                <w:numId w:val="59"/>
                              </w:numPr>
                            </w:pPr>
                            <w:r>
                              <w:t xml:space="preserve">Is correlation between metrics an issue? If so, how should this </w:t>
                            </w:r>
                            <w:r>
                              <w:t>be addressed?</w:t>
                            </w:r>
                          </w:p>
                          <w:p w14:paraId="7B8307C6" w14:textId="77777777" w:rsidR="007632C6" w:rsidRDefault="007632C6" w:rsidP="0058255F">
                            <w:pPr>
                              <w:pStyle w:val="OutlineNumbered1"/>
                              <w:numPr>
                                <w:ilvl w:val="0"/>
                                <w:numId w:val="59"/>
                              </w:numPr>
                            </w:pPr>
                            <w:r>
                              <w:t>Should the test capture all the metrics in the heatmap? If not, what metrics?</w:t>
                            </w:r>
                          </w:p>
                          <w:p w14:paraId="6CCE2512" w14:textId="61D2799A" w:rsidR="007632C6" w:rsidRDefault="007632C6" w:rsidP="0058255F">
                            <w:pPr>
                              <w:pStyle w:val="OutlineNumbered1"/>
                              <w:numPr>
                                <w:ilvl w:val="0"/>
                                <w:numId w:val="59"/>
                              </w:numPr>
                            </w:pPr>
                            <w:r>
                              <w:t xml:space="preserve">How would the </w:t>
                            </w:r>
                            <w:r w:rsidR="00C90F73">
                              <w:t>benchmark for performance</w:t>
                            </w:r>
                            <w:r>
                              <w:t xml:space="preserve"> be calibrated</w:t>
                            </w:r>
                            <w:r w:rsidR="00E45C88">
                              <w:t xml:space="preserve"> </w:t>
                            </w:r>
                            <w:r w:rsidR="005B37EC">
                              <w:t>for chosen metrics</w:t>
                            </w:r>
                            <w:r>
                              <w:t>?</w:t>
                            </w:r>
                            <w:r w:rsidR="005B37EC">
                              <w:t xml:space="preserve"> How would these metrics combine to determine overall </w:t>
                            </w:r>
                            <w:r w:rsidR="007365D6">
                              <w:t>pass/</w:t>
                            </w:r>
                            <w:r w:rsidR="005B37EC">
                              <w:t>failure of the test?</w:t>
                            </w:r>
                          </w:p>
                          <w:p w14:paraId="499249F9" w14:textId="6AA565AB" w:rsidR="007632C6" w:rsidRDefault="007632C6" w:rsidP="0058255F">
                            <w:pPr>
                              <w:pStyle w:val="OutlineNumbered1"/>
                              <w:numPr>
                                <w:ilvl w:val="0"/>
                                <w:numId w:val="59"/>
                              </w:numPr>
                            </w:pPr>
                            <w:r>
                              <w:t>What costs would be associated with aligning the test to the heatmap? What would be the benefit</w:t>
                            </w:r>
                            <w:r w:rsidR="00C63504">
                              <w:t>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2ADD564E" id="Text Box 32" o:spid="_x0000_s1031" type="#_x0000_t202" style="width:452.2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" fillcolor="#dee3eb [662]" stroked="f" strokeweight=".5pt">
                <v:textbox>
                  <w:txbxContent>
                    <w:p w14:paraId="0727252B" w14:textId="651D6B24" w:rsidR="007632C6" w:rsidRDefault="007632C6" w:rsidP="007632C6">
                      <w:pPr>
                        <w:pStyle w:val="Heading4"/>
                        <w:spacing w:before="120"/>
                      </w:pPr>
                      <w:r>
                        <w:t>Consultation Question</w:t>
                      </w:r>
                      <w:r w:rsidR="004B3D7A">
                        <w:t>s</w:t>
                      </w:r>
                    </w:p>
                    <w:p w14:paraId="2DB3FF62" w14:textId="22720501" w:rsidR="00151964" w:rsidRDefault="007632C6" w:rsidP="0058255F">
                      <w:pPr>
                        <w:pStyle w:val="OutlineNumbered1"/>
                        <w:numPr>
                          <w:ilvl w:val="0"/>
                          <w:numId w:val="59"/>
                        </w:numPr>
                      </w:pPr>
                      <w:r>
                        <w:t>Would greater alignment to the APRA heatmaps improve the sophistication of the test?</w:t>
                      </w:r>
                      <w:r w:rsidR="003E33D5">
                        <w:t xml:space="preserve"> </w:t>
                      </w:r>
                    </w:p>
                    <w:p w14:paraId="26196A72" w14:textId="5EE169EC" w:rsidR="00A01E44" w:rsidRDefault="007632C6" w:rsidP="0058255F">
                      <w:pPr>
                        <w:pStyle w:val="OutlineNumbered1"/>
                        <w:numPr>
                          <w:ilvl w:val="0"/>
                          <w:numId w:val="59"/>
                        </w:numPr>
                      </w:pPr>
                      <w:r>
                        <w:t>Would it reduce incentives to benchmark hug and improve member outcomes?</w:t>
                      </w:r>
                      <w:r w:rsidR="00527F1C">
                        <w:t xml:space="preserve"> </w:t>
                      </w:r>
                    </w:p>
                    <w:p w14:paraId="6511EB76" w14:textId="1893F737" w:rsidR="007632C6" w:rsidRDefault="007632C6" w:rsidP="0058255F">
                      <w:pPr>
                        <w:pStyle w:val="OutlineNumbered1"/>
                        <w:numPr>
                          <w:ilvl w:val="0"/>
                          <w:numId w:val="59"/>
                        </w:numPr>
                      </w:pPr>
                      <w:r>
                        <w:t xml:space="preserve">Is correlation between metrics an issue? If so, how should this </w:t>
                      </w:r>
                      <w:proofErr w:type="gramStart"/>
                      <w:r>
                        <w:t>be addressed</w:t>
                      </w:r>
                      <w:proofErr w:type="gramEnd"/>
                      <w:r>
                        <w:t>?</w:t>
                      </w:r>
                    </w:p>
                    <w:p w14:paraId="7B8307C6" w14:textId="77777777" w:rsidR="007632C6" w:rsidRDefault="007632C6" w:rsidP="0058255F">
                      <w:pPr>
                        <w:pStyle w:val="OutlineNumbered1"/>
                        <w:numPr>
                          <w:ilvl w:val="0"/>
                          <w:numId w:val="59"/>
                        </w:numPr>
                      </w:pPr>
                      <w:r>
                        <w:t>Should the test capture all the metrics in the heatmap? If not, what metrics?</w:t>
                      </w:r>
                    </w:p>
                    <w:p w14:paraId="6CCE2512" w14:textId="61D2799A" w:rsidR="007632C6" w:rsidRDefault="007632C6" w:rsidP="0058255F">
                      <w:pPr>
                        <w:pStyle w:val="OutlineNumbered1"/>
                        <w:numPr>
                          <w:ilvl w:val="0"/>
                          <w:numId w:val="59"/>
                        </w:numPr>
                      </w:pPr>
                      <w:r>
                        <w:t xml:space="preserve">How would the </w:t>
                      </w:r>
                      <w:r w:rsidR="00C90F73">
                        <w:t>benchmark for performance</w:t>
                      </w:r>
                      <w:r>
                        <w:t xml:space="preserve"> </w:t>
                      </w:r>
                      <w:proofErr w:type="gramStart"/>
                      <w:r>
                        <w:t>be calibrated</w:t>
                      </w:r>
                      <w:proofErr w:type="gramEnd"/>
                      <w:r w:rsidR="00E45C88">
                        <w:t xml:space="preserve"> </w:t>
                      </w:r>
                      <w:r w:rsidR="005B37EC">
                        <w:t>for chosen metrics</w:t>
                      </w:r>
                      <w:r>
                        <w:t>?</w:t>
                      </w:r>
                      <w:r w:rsidR="005B37EC">
                        <w:t xml:space="preserve"> How would these metrics combine to determine overall </w:t>
                      </w:r>
                      <w:r w:rsidR="007365D6">
                        <w:t>pass/</w:t>
                      </w:r>
                      <w:r w:rsidR="005B37EC">
                        <w:t>failure of the test?</w:t>
                      </w:r>
                    </w:p>
                    <w:p w14:paraId="499249F9" w14:textId="6AA565AB" w:rsidR="007632C6" w:rsidRDefault="007632C6" w:rsidP="0058255F">
                      <w:pPr>
                        <w:pStyle w:val="OutlineNumbered1"/>
                        <w:numPr>
                          <w:ilvl w:val="0"/>
                          <w:numId w:val="59"/>
                        </w:numPr>
                      </w:pPr>
                      <w:r>
                        <w:t>What costs would be associated with aligning the test to the heatmap? What would be the benefit</w:t>
                      </w:r>
                      <w:r w:rsidR="00C63504">
                        <w:t>s</w:t>
                      </w:r>
                      <w:r>
                        <w:t>?</w:t>
                      </w:r>
                    </w:p>
                  </w:txbxContent>
                </v:textbox>
                <w10:anchorlock/>
              </v:shape>
            </w:pict>
          </mc:Fallback>
        </mc:AlternateContent>
      </w:r>
    </w:p>
    <w:p w14:paraId="1C35EF30" w14:textId="09F5F9A4" w:rsidR="00130F2E" w:rsidRPr="0085064B" w:rsidRDefault="00A96F1B" w:rsidP="00E4663E">
      <w:pPr>
        <w:pStyle w:val="Heading4"/>
      </w:pPr>
      <w:r>
        <w:t>3</w:t>
      </w:r>
      <w:r w:rsidR="00CC4197">
        <w:t>b</w:t>
      </w:r>
      <w:r w:rsidR="003A6251">
        <w:t>.</w:t>
      </w:r>
      <w:r w:rsidR="00DA1EE3">
        <w:t xml:space="preserve"> </w:t>
      </w:r>
      <w:r w:rsidR="00AE4996">
        <w:t xml:space="preserve">Targeted </w:t>
      </w:r>
      <w:r w:rsidR="00EF49F4">
        <w:t>t</w:t>
      </w:r>
      <w:r w:rsidR="002A2752" w:rsidRPr="0085064B">
        <w:t>hree-metric test</w:t>
      </w:r>
    </w:p>
    <w:p w14:paraId="31615B37" w14:textId="09DFE89E" w:rsidR="00336282" w:rsidRDefault="0050222D" w:rsidP="0085064B">
      <w:r>
        <w:t xml:space="preserve">Another </w:t>
      </w:r>
      <w:r w:rsidR="00443E29">
        <w:t xml:space="preserve">approach </w:t>
      </w:r>
      <w:r w:rsidR="00987ECD">
        <w:t>could</w:t>
      </w:r>
      <w:r>
        <w:t xml:space="preserve"> involve </w:t>
      </w:r>
      <w:r w:rsidR="00860E3F">
        <w:t xml:space="preserve">testing </w:t>
      </w:r>
      <w:r w:rsidR="00B703D2">
        <w:t xml:space="preserve">a smaller set of </w:t>
      </w:r>
      <w:r w:rsidR="00496908">
        <w:t>metrics</w:t>
      </w:r>
      <w:r w:rsidR="000618D4">
        <w:t xml:space="preserve"> </w:t>
      </w:r>
      <w:r w:rsidR="00860E3F">
        <w:t xml:space="preserve">focused on separate </w:t>
      </w:r>
      <w:r w:rsidR="00AD5E9B">
        <w:t xml:space="preserve">indicators of performance </w:t>
      </w:r>
      <w:r w:rsidR="000618D4">
        <w:t xml:space="preserve">that can be given equal </w:t>
      </w:r>
      <w:r w:rsidR="00A71BDE">
        <w:t>standing</w:t>
      </w:r>
      <w:r w:rsidR="00870CCC">
        <w:t xml:space="preserve">, over </w:t>
      </w:r>
      <w:r w:rsidR="008E3966">
        <w:t>a single lookback period</w:t>
      </w:r>
      <w:r w:rsidR="00CD1D0E">
        <w:t>.</w:t>
      </w:r>
      <w:r w:rsidR="00C224E2">
        <w:t xml:space="preserve"> </w:t>
      </w:r>
      <w:r w:rsidR="00C72BA5">
        <w:t>Many metrics allows for an assessment of more aspects of performance but comes at the cost of complexity and a three</w:t>
      </w:r>
      <w:r w:rsidR="002A26BD">
        <w:noBreakHyphen/>
      </w:r>
      <w:r w:rsidR="00C72BA5">
        <w:t>metric test may provide a balance of performance assessment and comprehension.</w:t>
      </w:r>
    </w:p>
    <w:p w14:paraId="10A4FC1B" w14:textId="63F4E85B" w:rsidR="00F95549" w:rsidRPr="00D9513E" w:rsidRDefault="00F1485E" w:rsidP="00D9513E">
      <w:pPr>
        <w:pStyle w:val="Heading4"/>
        <w:spacing w:before="120"/>
        <w:rPr>
          <w:i/>
          <w:iCs/>
        </w:rPr>
      </w:pPr>
      <w:r>
        <w:rPr>
          <w:i/>
          <w:iCs/>
        </w:rPr>
        <w:t>Measurement</w:t>
      </w:r>
      <w:r w:rsidR="009C0EE1">
        <w:rPr>
          <w:i/>
          <w:iCs/>
        </w:rPr>
        <w:t xml:space="preserve"> of performance</w:t>
      </w:r>
    </w:p>
    <w:p w14:paraId="30430BE2" w14:textId="1053B48A" w:rsidR="003F330E" w:rsidRDefault="00635E0C" w:rsidP="00D9513E">
      <w:pPr>
        <w:pStyle w:val="OutlineNumbered1"/>
        <w:numPr>
          <w:ilvl w:val="0"/>
          <w:numId w:val="0"/>
        </w:numPr>
      </w:pPr>
      <w:r>
        <w:t xml:space="preserve">Stakeholder views have varied on the </w:t>
      </w:r>
      <w:r w:rsidR="00832F9C">
        <w:t>most appropriate indicator</w:t>
      </w:r>
      <w:r w:rsidR="002752FA">
        <w:t>s</w:t>
      </w:r>
      <w:r w:rsidR="00832F9C">
        <w:t xml:space="preserve"> of performance. </w:t>
      </w:r>
      <w:r w:rsidR="002333B6">
        <w:t>S</w:t>
      </w:r>
      <w:r w:rsidR="00832F9C">
        <w:t xml:space="preserve">ome agree with the current test that measures the implementation of an investment strategy, </w:t>
      </w:r>
      <w:r w:rsidR="002333B6">
        <w:t xml:space="preserve">noting </w:t>
      </w:r>
      <w:r w:rsidR="0025763A">
        <w:t>that it has been beneficial in providing members with a realistic promise and not an aspirational target. M</w:t>
      </w:r>
      <w:r w:rsidR="00832F9C">
        <w:t xml:space="preserve">any have </w:t>
      </w:r>
      <w:r w:rsidR="002E27F4">
        <w:t xml:space="preserve">instead </w:t>
      </w:r>
      <w:r w:rsidR="00832F9C">
        <w:t xml:space="preserve">advocated for </w:t>
      </w:r>
      <w:r w:rsidR="001D50CC">
        <w:t xml:space="preserve">an assessment of the </w:t>
      </w:r>
      <w:r w:rsidR="008A3459">
        <w:t xml:space="preserve">design of the investment strategy. Other stakeholders have </w:t>
      </w:r>
      <w:r w:rsidR="007641A6">
        <w:t xml:space="preserve">argued </w:t>
      </w:r>
      <w:r w:rsidR="0024388A">
        <w:t>to test the absolute return of the product, fees charged to members</w:t>
      </w:r>
      <w:r w:rsidR="00964559">
        <w:t>,</w:t>
      </w:r>
      <w:r w:rsidR="00D2788E">
        <w:t xml:space="preserve"> or</w:t>
      </w:r>
      <w:r w:rsidR="00964559">
        <w:t xml:space="preserve"> </w:t>
      </w:r>
      <w:r w:rsidR="008769B6">
        <w:t>performance relative to peers</w:t>
      </w:r>
      <w:r w:rsidR="00D2788E">
        <w:t xml:space="preserve">. </w:t>
      </w:r>
      <w:r w:rsidR="00253E1B">
        <w:t xml:space="preserve">In choosing the three most important indicators of performance, it is important to consider the degree in which they are assessing different aspects of performance and how the metrics </w:t>
      </w:r>
      <w:r w:rsidR="00817F09">
        <w:t>fit together to create an assessment of a product’s overall performance.</w:t>
      </w:r>
    </w:p>
    <w:p w14:paraId="25C18DE8" w14:textId="16326678" w:rsidR="001E0752" w:rsidRDefault="005C042B" w:rsidP="00D9513E">
      <w:pPr>
        <w:pStyle w:val="OutlineNumbered1"/>
        <w:numPr>
          <w:ilvl w:val="0"/>
          <w:numId w:val="0"/>
        </w:numPr>
      </w:pPr>
      <w:r>
        <w:t xml:space="preserve">While there may be other aspects of performance, the three key </w:t>
      </w:r>
      <w:r w:rsidR="009748CA">
        <w:t xml:space="preserve">aspects of performance that </w:t>
      </w:r>
      <w:r w:rsidR="009A37D8">
        <w:t xml:space="preserve">this option considers </w:t>
      </w:r>
      <w:r w:rsidR="004951B9">
        <w:t xml:space="preserve">(as they </w:t>
      </w:r>
      <w:r w:rsidR="009748CA">
        <w:t>are reasonably separate and able to be tested</w:t>
      </w:r>
      <w:r w:rsidR="004951B9">
        <w:t>) are</w:t>
      </w:r>
      <w:r w:rsidR="009748CA">
        <w:t>:</w:t>
      </w:r>
    </w:p>
    <w:p w14:paraId="7027921A" w14:textId="4582CDAA" w:rsidR="00D64904" w:rsidRDefault="00BF3C68" w:rsidP="000E23F2">
      <w:pPr>
        <w:pStyle w:val="Bullet"/>
      </w:pPr>
      <w:r>
        <w:t xml:space="preserve">The </w:t>
      </w:r>
      <w:r w:rsidR="00673784">
        <w:t xml:space="preserve">overall </w:t>
      </w:r>
      <w:r w:rsidR="008934DA" w:rsidRPr="000E23F2">
        <w:rPr>
          <w:b/>
          <w:bCs/>
        </w:rPr>
        <w:t>return</w:t>
      </w:r>
      <w:r w:rsidR="008934DA">
        <w:t xml:space="preserve"> the </w:t>
      </w:r>
      <w:r>
        <w:t xml:space="preserve">member receives </w:t>
      </w:r>
      <w:r w:rsidR="00085DF6">
        <w:t>–</w:t>
      </w:r>
      <w:r>
        <w:t xml:space="preserve"> </w:t>
      </w:r>
      <w:r w:rsidR="00CC3F4E">
        <w:t>t</w:t>
      </w:r>
      <w:r w:rsidR="00085DF6">
        <w:t xml:space="preserve">his aspect seeks to </w:t>
      </w:r>
      <w:r w:rsidR="002E674A">
        <w:t xml:space="preserve">measure </w:t>
      </w:r>
      <w:r w:rsidR="00330280">
        <w:t xml:space="preserve">how well the trustee has </w:t>
      </w:r>
      <w:r w:rsidR="002E674A">
        <w:t>deliver</w:t>
      </w:r>
      <w:r w:rsidR="00330280">
        <w:t>ed</w:t>
      </w:r>
      <w:r w:rsidR="002E674A">
        <w:t xml:space="preserve"> returns to members. </w:t>
      </w:r>
    </w:p>
    <w:p w14:paraId="77AC7F36" w14:textId="4618CE18" w:rsidR="00633423" w:rsidRDefault="00196A6A" w:rsidP="000E23F2">
      <w:pPr>
        <w:pStyle w:val="Bullet"/>
      </w:pPr>
      <w:r>
        <w:t>How well the truste</w:t>
      </w:r>
      <w:r w:rsidR="008934DA">
        <w:t>e</w:t>
      </w:r>
      <w:r>
        <w:t xml:space="preserve"> has implemented its </w:t>
      </w:r>
      <w:r w:rsidR="008934DA" w:rsidRPr="007B0580">
        <w:t>investment</w:t>
      </w:r>
      <w:r w:rsidR="008934DA" w:rsidRPr="000E23F2">
        <w:rPr>
          <w:b/>
          <w:bCs/>
        </w:rPr>
        <w:t xml:space="preserve"> promise</w:t>
      </w:r>
      <w:r w:rsidR="008934DA">
        <w:t xml:space="preserve"> to members </w:t>
      </w:r>
      <w:r w:rsidR="00330280">
        <w:t>–</w:t>
      </w:r>
      <w:r w:rsidR="00BF3C68">
        <w:t xml:space="preserve"> </w:t>
      </w:r>
      <w:r w:rsidR="00CC3F4E">
        <w:t>t</w:t>
      </w:r>
      <w:r w:rsidR="00330280">
        <w:t xml:space="preserve">his aspect seeks to measure how well the trustee has delivered on its promise </w:t>
      </w:r>
      <w:r w:rsidR="00144848">
        <w:t xml:space="preserve">to members. </w:t>
      </w:r>
    </w:p>
    <w:p w14:paraId="4E9C0F55" w14:textId="40A758AB" w:rsidR="00DE5212" w:rsidRPr="00DE5212" w:rsidRDefault="008934DA" w:rsidP="00AF4D68">
      <w:pPr>
        <w:pStyle w:val="Bullet"/>
      </w:pPr>
      <w:r>
        <w:t xml:space="preserve">How much the </w:t>
      </w:r>
      <w:r w:rsidR="008F4F76">
        <w:t xml:space="preserve">service has </w:t>
      </w:r>
      <w:r w:rsidR="008F4F76" w:rsidRPr="000E23F2">
        <w:rPr>
          <w:b/>
          <w:bCs/>
        </w:rPr>
        <w:t>cost</w:t>
      </w:r>
      <w:r w:rsidR="008F4F76">
        <w:t xml:space="preserve"> members – </w:t>
      </w:r>
      <w:r w:rsidR="00B5647F">
        <w:t>t</w:t>
      </w:r>
      <w:r w:rsidR="00FF5856">
        <w:t xml:space="preserve">his aspect seeks to measure how much the service the trustee has provided cost members. </w:t>
      </w:r>
    </w:p>
    <w:p w14:paraId="24DDBD06" w14:textId="5D71B140" w:rsidR="00793DF8" w:rsidRPr="00D9513E" w:rsidRDefault="00685F46" w:rsidP="00D9513E">
      <w:pPr>
        <w:pStyle w:val="Heading4"/>
        <w:spacing w:before="120"/>
        <w:rPr>
          <w:i/>
          <w:iCs/>
        </w:rPr>
      </w:pPr>
      <w:r>
        <w:rPr>
          <w:i/>
          <w:iCs/>
        </w:rPr>
        <w:t>Possible</w:t>
      </w:r>
      <w:r w:rsidR="00793DF8" w:rsidRPr="00D9513E">
        <w:rPr>
          <w:i/>
          <w:iCs/>
        </w:rPr>
        <w:t xml:space="preserve"> </w:t>
      </w:r>
      <w:r w:rsidR="00E72F6C">
        <w:rPr>
          <w:i/>
          <w:iCs/>
        </w:rPr>
        <w:t>metrics</w:t>
      </w:r>
    </w:p>
    <w:p w14:paraId="5EED0903" w14:textId="19FDA2F7" w:rsidR="007F76F8" w:rsidRDefault="007F76F8" w:rsidP="007F76F8">
      <w:pPr>
        <w:pStyle w:val="OutlineNumbered1"/>
        <w:numPr>
          <w:ilvl w:val="0"/>
          <w:numId w:val="0"/>
        </w:numPr>
      </w:pPr>
      <w:r>
        <w:t>Once the aspects of performance are settled, it is important to consider the most appropriate metric to assess that indicator of performance.</w:t>
      </w:r>
      <w:r w:rsidR="00DF7D66">
        <w:t xml:space="preserve"> </w:t>
      </w:r>
      <w:r>
        <w:t>Ideally, these metrics will work independently and have a low correlation to one another (</w:t>
      </w:r>
      <w:r w:rsidR="005E153B">
        <w:t>i.e.,</w:t>
      </w:r>
      <w:r>
        <w:t xml:space="preserve"> not measure the same outcome). </w:t>
      </w:r>
    </w:p>
    <w:p w14:paraId="3A6C0258" w14:textId="17AAC45C" w:rsidR="00F77B54" w:rsidRPr="001F720F" w:rsidRDefault="00673784" w:rsidP="00B846B6">
      <w:pPr>
        <w:pStyle w:val="Bullet"/>
        <w:numPr>
          <w:ilvl w:val="0"/>
          <w:numId w:val="0"/>
        </w:numPr>
        <w:rPr>
          <w:b/>
          <w:bCs/>
          <w:i/>
          <w:iCs/>
        </w:rPr>
      </w:pPr>
      <w:r>
        <w:rPr>
          <w:b/>
          <w:bCs/>
          <w:i/>
          <w:iCs/>
        </w:rPr>
        <w:t>Overall r</w:t>
      </w:r>
      <w:r w:rsidR="00F77B54" w:rsidRPr="001F720F">
        <w:rPr>
          <w:b/>
          <w:bCs/>
          <w:i/>
          <w:iCs/>
        </w:rPr>
        <w:t>eturns</w:t>
      </w:r>
    </w:p>
    <w:p w14:paraId="15EBA403" w14:textId="42D66D5C" w:rsidR="00F77B54" w:rsidRDefault="00F77B54" w:rsidP="00B846B6">
      <w:pPr>
        <w:pStyle w:val="Bullet"/>
        <w:numPr>
          <w:ilvl w:val="0"/>
          <w:numId w:val="0"/>
        </w:numPr>
      </w:pPr>
      <w:r>
        <w:t xml:space="preserve">While the simplest measure of returns to members would be absolute returns, this approach does not reflect the level of risk a trustee has taken to deliver that return. </w:t>
      </w:r>
      <w:r w:rsidR="00DF7D66">
        <w:t xml:space="preserve">As such, </w:t>
      </w:r>
      <w:r w:rsidR="007B0580">
        <w:t>a risk</w:t>
      </w:r>
      <w:r w:rsidR="004943A4">
        <w:noBreakHyphen/>
      </w:r>
      <w:r w:rsidR="007B0580">
        <w:t xml:space="preserve">adjusted measure of returns </w:t>
      </w:r>
      <w:r w:rsidR="00DB6184">
        <w:t>c</w:t>
      </w:r>
      <w:r w:rsidR="007B0580">
        <w:t xml:space="preserve">ould be considered. </w:t>
      </w:r>
      <w:r w:rsidR="00FD5395">
        <w:t>Possible metrics</w:t>
      </w:r>
      <w:r w:rsidR="007F7775">
        <w:t xml:space="preserve"> (which would exclude administration fees)</w:t>
      </w:r>
      <w:r w:rsidR="00FD5395">
        <w:t xml:space="preserve"> include:</w:t>
      </w:r>
    </w:p>
    <w:p w14:paraId="7A6FF169" w14:textId="7641D14B" w:rsidR="00FD5395" w:rsidRDefault="00937234" w:rsidP="00937234">
      <w:pPr>
        <w:pStyle w:val="Bullet"/>
      </w:pPr>
      <w:r>
        <w:t>Sharpe ratio – as outlined above, the Sharpe ratio is a measure of risk</w:t>
      </w:r>
      <w:r w:rsidR="00F0284F">
        <w:noBreakHyphen/>
      </w:r>
      <w:r>
        <w:t xml:space="preserve">adjusted returns that could be used </w:t>
      </w:r>
      <w:r w:rsidR="00653714">
        <w:t>for a diverse range of investment approaches.</w:t>
      </w:r>
    </w:p>
    <w:p w14:paraId="1869FBAA" w14:textId="4DC7E7B0" w:rsidR="00653714" w:rsidRDefault="000E4642" w:rsidP="001F720F">
      <w:pPr>
        <w:pStyle w:val="Bullet"/>
      </w:pPr>
      <w:r>
        <w:t xml:space="preserve">Peer comparison </w:t>
      </w:r>
      <w:r w:rsidR="001046B1">
        <w:t>–</w:t>
      </w:r>
      <w:r>
        <w:t xml:space="preserve"> </w:t>
      </w:r>
      <w:r w:rsidR="00BD7B3A">
        <w:t xml:space="preserve">as outlined above, </w:t>
      </w:r>
      <w:r w:rsidR="001046B1">
        <w:t>broadly assess the overall return a product achieves relative to their peers</w:t>
      </w:r>
      <w:r w:rsidR="007A23F3">
        <w:t>. This will need to occur on a risk-adjusted basis</w:t>
      </w:r>
      <w:r w:rsidR="00871D56">
        <w:t xml:space="preserve"> by </w:t>
      </w:r>
      <w:r w:rsidR="00697BB7">
        <w:t>means such as</w:t>
      </w:r>
      <w:r w:rsidR="00871D56">
        <w:t xml:space="preserve"> </w:t>
      </w:r>
      <w:r w:rsidR="00823428">
        <w:t>com</w:t>
      </w:r>
      <w:r w:rsidR="00FC166C">
        <w:t xml:space="preserve">paring products based on their growth/defensive exposures, or </w:t>
      </w:r>
      <w:r w:rsidR="002F4E19">
        <w:t>volatility experienced.</w:t>
      </w:r>
    </w:p>
    <w:p w14:paraId="6F02DD04" w14:textId="58563463" w:rsidR="00362EB1" w:rsidRPr="00EC3974" w:rsidRDefault="00FB2EFE" w:rsidP="00AE1F22">
      <w:pPr>
        <w:keepNext/>
        <w:spacing w:after="160" w:line="259" w:lineRule="auto"/>
        <w:rPr>
          <w:b/>
          <w:i/>
        </w:rPr>
      </w:pPr>
      <w:r w:rsidRPr="00BA0CFD">
        <w:rPr>
          <w:b/>
          <w:i/>
        </w:rPr>
        <w:t xml:space="preserve">Implementation of </w:t>
      </w:r>
      <w:r w:rsidR="00145F73" w:rsidRPr="00BA0CFD">
        <w:rPr>
          <w:b/>
          <w:i/>
        </w:rPr>
        <w:t>promise</w:t>
      </w:r>
      <w:r w:rsidR="00C227D7" w:rsidRPr="00BA0CFD">
        <w:rPr>
          <w:b/>
          <w:i/>
        </w:rPr>
        <w:t xml:space="preserve"> to members</w:t>
      </w:r>
    </w:p>
    <w:p w14:paraId="16B0D6DB" w14:textId="51AD9B03" w:rsidR="00145F73" w:rsidRDefault="00FB2EFE" w:rsidP="00AE1F22">
      <w:pPr>
        <w:keepNext/>
      </w:pPr>
      <w:r>
        <w:t xml:space="preserve">There are several metrics that could be used to measure how well the trustee has </w:t>
      </w:r>
      <w:r w:rsidR="00A44FF8">
        <w:t xml:space="preserve">implemented </w:t>
      </w:r>
      <w:r>
        <w:t xml:space="preserve">its promise to members. </w:t>
      </w:r>
      <w:r w:rsidR="00092CA0">
        <w:t>T</w:t>
      </w:r>
      <w:r>
        <w:t xml:space="preserve">hese will depend on what the trustee has </w:t>
      </w:r>
      <w:r w:rsidR="00AC1609">
        <w:t>promised</w:t>
      </w:r>
      <w:r w:rsidR="00A44FF8">
        <w:t xml:space="preserve"> members, which may vary </w:t>
      </w:r>
      <w:r w:rsidR="00AD3CC9">
        <w:t>between</w:t>
      </w:r>
      <w:r w:rsidR="00A44FF8">
        <w:t xml:space="preserve"> fund</w:t>
      </w:r>
      <w:r w:rsidR="00AD3CC9">
        <w:t>s</w:t>
      </w:r>
      <w:r w:rsidR="00A44FF8">
        <w:t>. Possible metric</w:t>
      </w:r>
      <w:r w:rsidR="0006311B">
        <w:t>s</w:t>
      </w:r>
      <w:r w:rsidR="00A44FF8">
        <w:t xml:space="preserve"> </w:t>
      </w:r>
      <w:r w:rsidR="00663713">
        <w:t>include</w:t>
      </w:r>
      <w:r w:rsidR="00A44FF8">
        <w:t>:</w:t>
      </w:r>
    </w:p>
    <w:p w14:paraId="6BCDC27F" w14:textId="635D1659" w:rsidR="00C227D7" w:rsidRDefault="00F75EE1" w:rsidP="00A44FF8">
      <w:pPr>
        <w:pStyle w:val="Bullet"/>
      </w:pPr>
      <w:r>
        <w:t xml:space="preserve">Benchmarking against their own investment strategy – testing </w:t>
      </w:r>
      <w:r w:rsidR="00D346BC">
        <w:t xml:space="preserve">how well a </w:t>
      </w:r>
      <w:r w:rsidR="00117723">
        <w:t xml:space="preserve">trustee has implemented the investment strategy that is disclosed to their members, such as the current performance test (investment </w:t>
      </w:r>
      <w:r w:rsidR="000D1BEE">
        <w:t xml:space="preserve">component only), or </w:t>
      </w:r>
      <w:r w:rsidR="00FE7D19">
        <w:t>an</w:t>
      </w:r>
      <w:r w:rsidR="000D1BEE">
        <w:t xml:space="preserve"> SRP</w:t>
      </w:r>
      <w:r w:rsidR="00127234">
        <w:t xml:space="preserve"> approach comprised of </w:t>
      </w:r>
      <w:r w:rsidR="00337F6D">
        <w:t xml:space="preserve">only bonds and equities based on the SAA exposure to growth and defensive assets. Noting this option would be </w:t>
      </w:r>
      <w:r w:rsidR="00A728DB">
        <w:t>for the investment component only, as administration fees are considered under a separate metric below.</w:t>
      </w:r>
    </w:p>
    <w:p w14:paraId="554FF7C5" w14:textId="06D429AC" w:rsidR="00E74CBC" w:rsidRDefault="00E74CBC" w:rsidP="00E74CBC">
      <w:pPr>
        <w:pStyle w:val="Bullet"/>
      </w:pPr>
      <w:r>
        <w:t xml:space="preserve">CPI+X </w:t>
      </w:r>
      <w:r w:rsidR="00F82BDA">
        <w:t>or Cash</w:t>
      </w:r>
      <w:r>
        <w:t xml:space="preserve">+X – </w:t>
      </w:r>
      <w:r w:rsidR="0090431A">
        <w:t>i</w:t>
      </w:r>
      <w:r>
        <w:t>t is common for trustee</w:t>
      </w:r>
      <w:r w:rsidR="000C7F2C">
        <w:t>s</w:t>
      </w:r>
      <w:r>
        <w:t xml:space="preserve"> to make disclosures to members that identify a particular target range of returns above the rate of inflation. While this is p</w:t>
      </w:r>
      <w:r w:rsidR="006967D2">
        <w:t xml:space="preserve">otentially </w:t>
      </w:r>
      <w:r>
        <w:t xml:space="preserve">the </w:t>
      </w:r>
      <w:r w:rsidR="00104082">
        <w:t>simplest</w:t>
      </w:r>
      <w:r>
        <w:t xml:space="preserve"> metric, it may be necessary to mandate clearer disclosures </w:t>
      </w:r>
      <w:r w:rsidR="00BA6A5A">
        <w:t>from</w:t>
      </w:r>
      <w:r>
        <w:t xml:space="preserve"> </w:t>
      </w:r>
      <w:r w:rsidR="007D7D22">
        <w:t>trustees</w:t>
      </w:r>
      <w:r>
        <w:t xml:space="preserve"> on their promise to members</w:t>
      </w:r>
      <w:r w:rsidR="00482E35">
        <w:t xml:space="preserve"> or include these promises on </w:t>
      </w:r>
      <w:r w:rsidR="00F740F9">
        <w:t>the ATO comparison tool</w:t>
      </w:r>
      <w:r>
        <w:t>.</w:t>
      </w:r>
      <w:r w:rsidR="0028606F">
        <w:t xml:space="preserve"> </w:t>
      </w:r>
      <w:r w:rsidR="00376A08">
        <w:t xml:space="preserve">This would be to ensure that the </w:t>
      </w:r>
      <w:r w:rsidR="0072008B">
        <w:t xml:space="preserve">CPI+X </w:t>
      </w:r>
      <w:r w:rsidR="00F740F9">
        <w:t xml:space="preserve">/ Cash+X </w:t>
      </w:r>
      <w:r w:rsidR="0072008B">
        <w:t>target is</w:t>
      </w:r>
      <w:r w:rsidR="00376A08">
        <w:t xml:space="preserve"> not deliberately low</w:t>
      </w:r>
      <w:r w:rsidR="005B7A5C">
        <w:t xml:space="preserve">, </w:t>
      </w:r>
      <w:r w:rsidR="0072008B">
        <w:t>as</w:t>
      </w:r>
      <w:r w:rsidR="00CA7CB1">
        <w:t xml:space="preserve"> </w:t>
      </w:r>
      <w:r w:rsidR="00952E6B">
        <w:t>all products</w:t>
      </w:r>
      <w:r w:rsidR="00CA7CB1">
        <w:t xml:space="preserve"> </w:t>
      </w:r>
      <w:r w:rsidR="00104082">
        <w:t xml:space="preserve">could move to a lower and easier promise. </w:t>
      </w:r>
      <w:r w:rsidR="00BC433B">
        <w:t>U</w:t>
      </w:r>
      <w:r w:rsidR="00F740F9">
        <w:t>nder current</w:t>
      </w:r>
      <w:r w:rsidR="001D5C46">
        <w:t xml:space="preserve"> ASIC guidance, these targets are often set </w:t>
      </w:r>
      <w:r w:rsidR="007D6BC5">
        <w:t xml:space="preserve">as returns they are </w:t>
      </w:r>
      <w:r w:rsidR="007D6BC5" w:rsidRPr="00F740F9">
        <w:rPr>
          <w:i/>
        </w:rPr>
        <w:t>more likely than not to meet</w:t>
      </w:r>
      <w:r w:rsidR="00FE6C35">
        <w:t>, instead of average or expected returns</w:t>
      </w:r>
      <w:r w:rsidR="00955C5C">
        <w:t xml:space="preserve">, and therefore </w:t>
      </w:r>
      <w:r w:rsidR="00010E20">
        <w:t xml:space="preserve">very few funds </w:t>
      </w:r>
      <w:r w:rsidR="00B13D74">
        <w:t xml:space="preserve">may </w:t>
      </w:r>
      <w:r w:rsidR="00010E20">
        <w:t>fail such a metric</w:t>
      </w:r>
      <w:r w:rsidR="007D6BC5">
        <w:t xml:space="preserve">. </w:t>
      </w:r>
    </w:p>
    <w:p w14:paraId="63B433EE" w14:textId="543A16BB" w:rsidR="00673784" w:rsidRDefault="00673784" w:rsidP="00673784">
      <w:pPr>
        <w:pStyle w:val="Bullet"/>
        <w:numPr>
          <w:ilvl w:val="0"/>
          <w:numId w:val="0"/>
        </w:numPr>
        <w:ind w:left="520" w:hanging="520"/>
        <w:rPr>
          <w:b/>
          <w:bCs/>
          <w:i/>
        </w:rPr>
      </w:pPr>
      <w:r>
        <w:rPr>
          <w:b/>
          <w:bCs/>
          <w:i/>
        </w:rPr>
        <w:t>Cost</w:t>
      </w:r>
    </w:p>
    <w:p w14:paraId="2FC88CB3" w14:textId="0F53DD1D" w:rsidR="00054B9B" w:rsidRDefault="00A93DCC" w:rsidP="001F720F">
      <w:pPr>
        <w:pStyle w:val="Bullet"/>
        <w:numPr>
          <w:ilvl w:val="0"/>
          <w:numId w:val="0"/>
        </w:numPr>
      </w:pPr>
      <w:r>
        <w:t xml:space="preserve">Normally </w:t>
      </w:r>
      <w:r w:rsidR="00A55CEF">
        <w:t xml:space="preserve">a </w:t>
      </w:r>
      <w:r>
        <w:t xml:space="preserve">measure </w:t>
      </w:r>
      <w:r w:rsidR="00A55CEF">
        <w:t>o</w:t>
      </w:r>
      <w:r w:rsidR="00315258">
        <w:t>f</w:t>
      </w:r>
      <w:r w:rsidR="00A55CEF">
        <w:t xml:space="preserve"> </w:t>
      </w:r>
      <w:r>
        <w:t>costs to members</w:t>
      </w:r>
      <w:r w:rsidR="00A55CEF">
        <w:t xml:space="preserve"> would focus on </w:t>
      </w:r>
      <w:r>
        <w:t>the level of administration fees</w:t>
      </w:r>
      <w:r w:rsidR="00347C62">
        <w:t>,</w:t>
      </w:r>
      <w:r w:rsidR="00137301">
        <w:t xml:space="preserve"> </w:t>
      </w:r>
      <w:r w:rsidR="00347C62">
        <w:t>as</w:t>
      </w:r>
      <w:r w:rsidR="00137301">
        <w:t xml:space="preserve"> investment fees would typically be included in the investment measures.</w:t>
      </w:r>
      <w:r w:rsidR="00137301" w:rsidDel="005A154A">
        <w:t xml:space="preserve"> </w:t>
      </w:r>
      <w:r w:rsidR="005A154A">
        <w:t>W</w:t>
      </w:r>
      <w:r w:rsidR="00A5160F">
        <w:t>hen utilising</w:t>
      </w:r>
      <w:r w:rsidR="00A928BD">
        <w:t xml:space="preserve"> a multi-</w:t>
      </w:r>
      <w:r w:rsidR="00D63752">
        <w:t>metric approach</w:t>
      </w:r>
      <w:r w:rsidR="003B62BE">
        <w:t>,</w:t>
      </w:r>
      <w:r w:rsidR="00D63752">
        <w:t xml:space="preserve"> a </w:t>
      </w:r>
      <w:r w:rsidR="003179F1">
        <w:t>stand-alone</w:t>
      </w:r>
      <w:r w:rsidR="003C6C5D">
        <w:t xml:space="preserve"> metric </w:t>
      </w:r>
      <w:r w:rsidR="003C7002">
        <w:t xml:space="preserve">on </w:t>
      </w:r>
      <w:r w:rsidR="001D1B6F">
        <w:t xml:space="preserve">administration </w:t>
      </w:r>
      <w:r w:rsidR="003C7002">
        <w:t xml:space="preserve">fees </w:t>
      </w:r>
      <w:r w:rsidR="003C6C5D">
        <w:t xml:space="preserve">would </w:t>
      </w:r>
      <w:r w:rsidR="003C7002">
        <w:t>generally</w:t>
      </w:r>
      <w:r w:rsidR="003C6C5D">
        <w:t xml:space="preserve"> be preferred. </w:t>
      </w:r>
      <w:r w:rsidR="00DD34D3">
        <w:t xml:space="preserve">How to measure costs/fees will be an issue to consider under any of the options outlined in this paper, as well as in a multi-metric test. </w:t>
      </w:r>
      <w:r w:rsidR="005A154A">
        <w:t>A detailed consideration of how fees can be measured, with options, is outlined later.</w:t>
      </w:r>
    </w:p>
    <w:p w14:paraId="5DAF6F21" w14:textId="736662FA" w:rsidR="00F7257F" w:rsidRDefault="00C84776" w:rsidP="00F7257F">
      <w:pPr>
        <w:pStyle w:val="Heading4"/>
        <w:spacing w:before="120"/>
        <w:rPr>
          <w:i/>
          <w:iCs/>
        </w:rPr>
      </w:pPr>
      <w:r>
        <w:rPr>
          <w:i/>
          <w:iCs/>
        </w:rPr>
        <w:t>Benchmark</w:t>
      </w:r>
      <w:r w:rsidR="00F7257F">
        <w:rPr>
          <w:i/>
        </w:rPr>
        <w:t xml:space="preserve"> for </w:t>
      </w:r>
      <w:r>
        <w:rPr>
          <w:i/>
          <w:iCs/>
        </w:rPr>
        <w:t>performance</w:t>
      </w:r>
    </w:p>
    <w:p w14:paraId="2A78F58C" w14:textId="6490D4C7" w:rsidR="000F333E" w:rsidRPr="00E4663E" w:rsidRDefault="00BC7D5C" w:rsidP="00A9776F">
      <w:pPr>
        <w:pStyle w:val="Bullet"/>
        <w:numPr>
          <w:ilvl w:val="0"/>
          <w:numId w:val="0"/>
        </w:numPr>
        <w:rPr>
          <w:iCs/>
        </w:rPr>
      </w:pPr>
      <w:r>
        <w:rPr>
          <w:iCs/>
        </w:rPr>
        <w:t>A decision will</w:t>
      </w:r>
      <w:r w:rsidR="006462FB">
        <w:rPr>
          <w:iCs/>
        </w:rPr>
        <w:t xml:space="preserve"> need to be made on the calibration of the threshold for failure for each </w:t>
      </w:r>
      <w:r w:rsidR="00A9776F">
        <w:rPr>
          <w:iCs/>
        </w:rPr>
        <w:t xml:space="preserve">metric. This threshold will be dependent on the </w:t>
      </w:r>
      <w:r w:rsidR="002E3C8F">
        <w:rPr>
          <w:iCs/>
        </w:rPr>
        <w:t>nature of the selected metrics. However, a multi-metric framework introduces an additional consideration on how these metrics should combine to determine the overall threshold for failure.</w:t>
      </w:r>
    </w:p>
    <w:p w14:paraId="6F8D3322" w14:textId="0068ED2B" w:rsidR="007C64B5" w:rsidRPr="00EC3974" w:rsidRDefault="007C64B5" w:rsidP="007C64B5">
      <w:pPr>
        <w:pStyle w:val="Bullet"/>
        <w:numPr>
          <w:ilvl w:val="0"/>
          <w:numId w:val="0"/>
        </w:numPr>
        <w:ind w:left="520" w:hanging="520"/>
        <w:rPr>
          <w:b/>
          <w:i/>
        </w:rPr>
      </w:pPr>
      <w:r w:rsidRPr="00EC3974">
        <w:rPr>
          <w:b/>
          <w:i/>
        </w:rPr>
        <w:t>Majority fail</w:t>
      </w:r>
    </w:p>
    <w:p w14:paraId="17ADBB7D" w14:textId="42FE14DD" w:rsidR="00643CF5" w:rsidRDefault="00643CF5" w:rsidP="00643CF5">
      <w:pPr>
        <w:pStyle w:val="Bullet"/>
        <w:numPr>
          <w:ilvl w:val="0"/>
          <w:numId w:val="0"/>
        </w:numPr>
      </w:pPr>
      <w:r>
        <w:t xml:space="preserve">Under a multi-metric approach, each of the three metrics chosen could have equal </w:t>
      </w:r>
      <w:r w:rsidR="00961857">
        <w:t>influence</w:t>
      </w:r>
      <w:r>
        <w:t xml:space="preserve"> and a product will fail the test overall if they fail most metrics</w:t>
      </w:r>
      <w:r w:rsidR="00567817">
        <w:t>, which would be run independently</w:t>
      </w:r>
      <w:r>
        <w:t>. It is worth noting that in th</w:t>
      </w:r>
      <w:r w:rsidR="00E54579">
        <w:t>e</w:t>
      </w:r>
      <w:r>
        <w:t xml:space="preserve"> proposed </w:t>
      </w:r>
      <w:r w:rsidR="00E54579">
        <w:t>three-metric</w:t>
      </w:r>
      <w:r>
        <w:t xml:space="preserve"> option, administration fees would count towards only </w:t>
      </w:r>
      <w:r w:rsidR="001149C8">
        <w:t>one</w:t>
      </w:r>
      <w:r>
        <w:t xml:space="preserve"> of the </w:t>
      </w:r>
      <w:r w:rsidR="001149C8">
        <w:t>three</w:t>
      </w:r>
      <w:r>
        <w:t xml:space="preserve"> metrics, meaning products could not pass the test by lowering fees in isolation – they would also need to pass at least one of the investment-related metrics.</w:t>
      </w:r>
    </w:p>
    <w:p w14:paraId="293C1982" w14:textId="183B639D" w:rsidR="008668F3" w:rsidRDefault="008668F3" w:rsidP="00252E53">
      <w:pPr>
        <w:spacing w:before="0" w:after="160" w:line="259" w:lineRule="auto"/>
      </w:pPr>
    </w:p>
    <w:p w14:paraId="6067C5E1" w14:textId="669F4479" w:rsidR="008668F3" w:rsidRPr="00E4663E" w:rsidRDefault="001A26EC" w:rsidP="002B5268">
      <w:pPr>
        <w:spacing w:before="0" w:after="160" w:line="259" w:lineRule="auto"/>
        <w:rPr>
          <w:b/>
          <w:bCs/>
          <w:i/>
        </w:rPr>
      </w:pPr>
      <w:r>
        <w:rPr>
          <w:b/>
          <w:bCs/>
          <w:i/>
        </w:rPr>
        <w:br w:type="page"/>
      </w:r>
      <w:r w:rsidR="005750F3" w:rsidRPr="00E4663E">
        <w:rPr>
          <w:b/>
          <w:bCs/>
          <w:i/>
        </w:rPr>
        <w:t>Hierarchical fail</w:t>
      </w:r>
    </w:p>
    <w:p w14:paraId="7269312A" w14:textId="466CAF61" w:rsidR="008668F3" w:rsidRDefault="005750F3" w:rsidP="006E0D19">
      <w:pPr>
        <w:pStyle w:val="Heading4"/>
        <w:spacing w:before="120"/>
        <w:rPr>
          <w:rFonts w:cs="Times New Roman"/>
          <w:color w:val="auto"/>
          <w:kern w:val="0"/>
          <w:sz w:val="22"/>
          <w:szCs w:val="20"/>
        </w:rPr>
      </w:pPr>
      <w:r w:rsidRPr="00E4663E">
        <w:rPr>
          <w:rFonts w:cs="Times New Roman"/>
          <w:color w:val="auto"/>
          <w:kern w:val="0"/>
          <w:sz w:val="22"/>
          <w:szCs w:val="20"/>
        </w:rPr>
        <w:t>An</w:t>
      </w:r>
      <w:r w:rsidR="00AB29A2">
        <w:rPr>
          <w:rFonts w:cs="Times New Roman"/>
          <w:color w:val="auto"/>
          <w:kern w:val="0"/>
          <w:sz w:val="22"/>
          <w:szCs w:val="20"/>
        </w:rPr>
        <w:t xml:space="preserve"> alternative</w:t>
      </w:r>
      <w:r w:rsidRPr="00E4663E">
        <w:rPr>
          <w:rFonts w:cs="Times New Roman"/>
          <w:color w:val="auto"/>
          <w:kern w:val="0"/>
          <w:sz w:val="22"/>
          <w:szCs w:val="20"/>
        </w:rPr>
        <w:t xml:space="preserve"> </w:t>
      </w:r>
      <w:r>
        <w:rPr>
          <w:rFonts w:cs="Times New Roman"/>
          <w:color w:val="auto"/>
          <w:kern w:val="0"/>
          <w:sz w:val="22"/>
          <w:szCs w:val="20"/>
        </w:rPr>
        <w:t xml:space="preserve">could </w:t>
      </w:r>
      <w:r w:rsidR="00AB29A2">
        <w:rPr>
          <w:rFonts w:cs="Times New Roman"/>
          <w:color w:val="auto"/>
          <w:kern w:val="0"/>
          <w:sz w:val="22"/>
          <w:szCs w:val="20"/>
        </w:rPr>
        <w:t>be</w:t>
      </w:r>
      <w:r w:rsidDel="00AB29A2">
        <w:rPr>
          <w:rFonts w:cs="Times New Roman"/>
          <w:color w:val="auto"/>
          <w:kern w:val="0"/>
          <w:sz w:val="22"/>
          <w:szCs w:val="20"/>
        </w:rPr>
        <w:t xml:space="preserve"> </w:t>
      </w:r>
      <w:r>
        <w:rPr>
          <w:rFonts w:cs="Times New Roman"/>
          <w:color w:val="auto"/>
          <w:kern w:val="0"/>
          <w:sz w:val="22"/>
          <w:szCs w:val="20"/>
        </w:rPr>
        <w:t xml:space="preserve">a hierarchical </w:t>
      </w:r>
      <w:r w:rsidR="00AA3FE5">
        <w:rPr>
          <w:rFonts w:cs="Times New Roman"/>
          <w:color w:val="auto"/>
          <w:kern w:val="0"/>
          <w:sz w:val="22"/>
          <w:szCs w:val="20"/>
        </w:rPr>
        <w:t>approach to passing or failing the performance test.</w:t>
      </w:r>
      <w:r w:rsidR="00120395">
        <w:rPr>
          <w:rFonts w:cs="Times New Roman"/>
          <w:color w:val="auto"/>
          <w:kern w:val="0"/>
          <w:sz w:val="22"/>
          <w:szCs w:val="20"/>
        </w:rPr>
        <w:t xml:space="preserve"> This would essentially </w:t>
      </w:r>
      <w:r w:rsidR="00333890">
        <w:rPr>
          <w:rFonts w:cs="Times New Roman"/>
          <w:color w:val="auto"/>
          <w:kern w:val="0"/>
          <w:sz w:val="22"/>
          <w:szCs w:val="20"/>
        </w:rPr>
        <w:t xml:space="preserve">see a </w:t>
      </w:r>
      <w:r w:rsidR="00F926F3">
        <w:rPr>
          <w:rFonts w:cs="Times New Roman"/>
          <w:color w:val="auto"/>
          <w:kern w:val="0"/>
          <w:sz w:val="22"/>
          <w:szCs w:val="20"/>
        </w:rPr>
        <w:t xml:space="preserve">‘primary’ assessment of performance, followed by supplementary assessments should a </w:t>
      </w:r>
      <w:r w:rsidR="002C6473">
        <w:rPr>
          <w:rFonts w:cs="Times New Roman"/>
          <w:color w:val="auto"/>
          <w:kern w:val="0"/>
          <w:sz w:val="22"/>
          <w:szCs w:val="20"/>
        </w:rPr>
        <w:t>product fail</w:t>
      </w:r>
      <w:r w:rsidR="009E30B3">
        <w:rPr>
          <w:rFonts w:cs="Times New Roman"/>
          <w:color w:val="auto"/>
          <w:kern w:val="0"/>
          <w:sz w:val="22"/>
          <w:szCs w:val="20"/>
        </w:rPr>
        <w:t xml:space="preserve"> the original test. This could include </w:t>
      </w:r>
      <w:r w:rsidR="005812E6">
        <w:rPr>
          <w:rFonts w:cs="Times New Roman"/>
          <w:color w:val="auto"/>
          <w:kern w:val="0"/>
          <w:sz w:val="22"/>
          <w:szCs w:val="20"/>
        </w:rPr>
        <w:t>subjecting a product to additional metrics</w:t>
      </w:r>
      <w:r w:rsidR="00394345">
        <w:rPr>
          <w:rFonts w:cs="Times New Roman"/>
          <w:color w:val="auto"/>
          <w:kern w:val="0"/>
          <w:sz w:val="22"/>
          <w:szCs w:val="20"/>
        </w:rPr>
        <w:t xml:space="preserve">, or the same metric over a different </w:t>
      </w:r>
      <w:r w:rsidR="003443DF">
        <w:rPr>
          <w:rFonts w:cs="Times New Roman"/>
          <w:color w:val="auto"/>
          <w:kern w:val="0"/>
          <w:sz w:val="22"/>
          <w:szCs w:val="20"/>
        </w:rPr>
        <w:t>period.</w:t>
      </w:r>
    </w:p>
    <w:p w14:paraId="60EC763F" w14:textId="52ADD508" w:rsidR="00643CF5" w:rsidRPr="00D23AEF" w:rsidRDefault="00862E4D" w:rsidP="00E4663E">
      <w:pPr>
        <w:jc w:val="center"/>
      </w:pPr>
      <w:r>
        <w:rPr>
          <w:noProof/>
        </w:rPr>
        <w:drawing>
          <wp:inline distT="0" distB="0" distL="0" distR="0" wp14:anchorId="33DCD078" wp14:editId="338A95B1">
            <wp:extent cx="5419255" cy="2889849"/>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34427" cy="2897940"/>
                    </a:xfrm>
                    <a:prstGeom prst="rect">
                      <a:avLst/>
                    </a:prstGeom>
                    <a:noFill/>
                  </pic:spPr>
                </pic:pic>
              </a:graphicData>
            </a:graphic>
          </wp:inline>
        </w:drawing>
      </w:r>
    </w:p>
    <w:p w14:paraId="0BED81A6" w14:textId="64ECFB15" w:rsidR="001200B6" w:rsidRPr="00E4663E" w:rsidRDefault="006E0D19" w:rsidP="00E4663E">
      <w:pPr>
        <w:pStyle w:val="Heading4"/>
        <w:spacing w:before="120"/>
        <w:rPr>
          <w:i/>
          <w:iCs/>
        </w:rPr>
      </w:pPr>
      <w:r w:rsidRPr="00E4663E">
        <w:rPr>
          <w:i/>
          <w:iCs/>
        </w:rPr>
        <w:t>Benefits and drawbacks</w:t>
      </w:r>
    </w:p>
    <w:p w14:paraId="4C6591AA" w14:textId="5290E85E" w:rsidR="00B64BCC" w:rsidRDefault="006E0D19" w:rsidP="006E0D19">
      <w:pPr>
        <w:pStyle w:val="Bullet"/>
        <w:numPr>
          <w:ilvl w:val="0"/>
          <w:numId w:val="0"/>
        </w:numPr>
      </w:pPr>
      <w:r>
        <w:t>Th</w:t>
      </w:r>
      <w:r w:rsidR="00AB29A2">
        <w:t xml:space="preserve">e </w:t>
      </w:r>
      <w:r w:rsidR="000813F0">
        <w:t>targeted three-metric</w:t>
      </w:r>
      <w:r>
        <w:t xml:space="preserve"> approach </w:t>
      </w:r>
      <w:r w:rsidR="00161C0E">
        <w:t xml:space="preserve">has </w:t>
      </w:r>
      <w:r w:rsidR="000E08AE">
        <w:t>several</w:t>
      </w:r>
      <w:r w:rsidR="00161C0E">
        <w:t xml:space="preserve"> benefits if </w:t>
      </w:r>
      <w:r w:rsidR="00B64BCC">
        <w:t>implemented as a performance test:</w:t>
      </w:r>
    </w:p>
    <w:p w14:paraId="33BECF20" w14:textId="77777777" w:rsidR="005E5177" w:rsidRDefault="00B64BCC" w:rsidP="00B64BCC">
      <w:pPr>
        <w:pStyle w:val="Bullet"/>
      </w:pPr>
      <w:r>
        <w:t xml:space="preserve">It </w:t>
      </w:r>
      <w:r w:rsidR="006E0D19">
        <w:t xml:space="preserve">allows for the assessment of multiple outcomes that both trustees and members may consider important in the overall performance of a product. </w:t>
      </w:r>
    </w:p>
    <w:p w14:paraId="3607978F" w14:textId="77777777" w:rsidR="005E5177" w:rsidRDefault="006E0D19" w:rsidP="005E5177">
      <w:pPr>
        <w:pStyle w:val="Bullet"/>
      </w:pPr>
      <w:r>
        <w:t>Metrics that aim to measure different outcomes should have lower levels of correlation which should aid in reducing the incentives to game a particular metric.</w:t>
      </w:r>
    </w:p>
    <w:p w14:paraId="3E9E2288" w14:textId="1384F6C9" w:rsidR="008352FF" w:rsidRDefault="006E0D19" w:rsidP="005E5177">
      <w:pPr>
        <w:pStyle w:val="Bullet"/>
      </w:pPr>
      <w:r>
        <w:t xml:space="preserve">Having a smaller number of independent metrics testing separate aspects of performance, ideally an odd number with equal </w:t>
      </w:r>
      <w:r w:rsidR="005C62AD">
        <w:t>influence in the overall outcome</w:t>
      </w:r>
      <w:r>
        <w:t>, provides for a simpler framework for passing or failing the test. In this</w:t>
      </w:r>
      <w:r w:rsidR="005C62AD">
        <w:t xml:space="preserve"> example</w:t>
      </w:r>
      <w:r>
        <w:t>, a product will fail the test if they fail most of the metrics (</w:t>
      </w:r>
      <w:r w:rsidR="00FE7D19">
        <w:t>i.e.,</w:t>
      </w:r>
      <w:r>
        <w:t xml:space="preserve"> fail two out of the three metrics). </w:t>
      </w:r>
    </w:p>
    <w:p w14:paraId="4365B8F1" w14:textId="2F8D1236" w:rsidR="00126C1E" w:rsidRDefault="00126C1E" w:rsidP="006E0D19">
      <w:pPr>
        <w:pStyle w:val="Bullet"/>
        <w:numPr>
          <w:ilvl w:val="0"/>
          <w:numId w:val="0"/>
        </w:numPr>
      </w:pPr>
      <w:r>
        <w:t>Like all testing frameworks, this example has some drawbacks to consider:</w:t>
      </w:r>
    </w:p>
    <w:p w14:paraId="3EDC1D30" w14:textId="3FAB276B" w:rsidR="00126C1E" w:rsidRDefault="00126C1E" w:rsidP="00126C1E">
      <w:pPr>
        <w:pStyle w:val="Bullet"/>
      </w:pPr>
      <w:r>
        <w:t xml:space="preserve">Limiting the number of metrics means it will be difficult to achieve industry consensus on what the most important aspects of performance might be, and which </w:t>
      </w:r>
      <w:r w:rsidR="000471D7">
        <w:t xml:space="preserve">metrics </w:t>
      </w:r>
      <w:r>
        <w:t>should test them.</w:t>
      </w:r>
    </w:p>
    <w:p w14:paraId="041CB095" w14:textId="25037B7E" w:rsidR="00126C1E" w:rsidRDefault="00126C1E" w:rsidP="00126C1E">
      <w:pPr>
        <w:pStyle w:val="Bullet"/>
      </w:pPr>
      <w:r>
        <w:t xml:space="preserve">Using a single </w:t>
      </w:r>
      <w:proofErr w:type="gramStart"/>
      <w:r>
        <w:t>time period</w:t>
      </w:r>
      <w:proofErr w:type="gramEnd"/>
      <w:r>
        <w:t xml:space="preserve"> will not </w:t>
      </w:r>
      <w:r w:rsidR="00441CB0">
        <w:t>allo</w:t>
      </w:r>
      <w:r w:rsidR="00575CAF">
        <w:t xml:space="preserve">w trustees to </w:t>
      </w:r>
      <w:r>
        <w:t>show demonst</w:t>
      </w:r>
      <w:r w:rsidR="00B335AF">
        <w:t>r</w:t>
      </w:r>
      <w:r>
        <w:t xml:space="preserve">able </w:t>
      </w:r>
      <w:r w:rsidR="00B335AF">
        <w:t>improvements to address historical performance issues.</w:t>
      </w:r>
    </w:p>
    <w:p w14:paraId="6889848C" w14:textId="6AF5E008" w:rsidR="00B335AF" w:rsidRDefault="00B335AF" w:rsidP="00252EE3">
      <w:pPr>
        <w:pStyle w:val="Bullet"/>
        <w:numPr>
          <w:ilvl w:val="1"/>
          <w:numId w:val="7"/>
        </w:numPr>
        <w:tabs>
          <w:tab w:val="clear" w:pos="720"/>
          <w:tab w:val="clear" w:pos="1040"/>
          <w:tab w:val="num" w:pos="709"/>
        </w:tabs>
        <w:ind w:left="709" w:hanging="283"/>
      </w:pPr>
      <w:r>
        <w:t xml:space="preserve">Although having </w:t>
      </w:r>
      <w:r w:rsidR="00AC5FB9">
        <w:t>additional metrics</w:t>
      </w:r>
      <w:r w:rsidR="001F23EF">
        <w:t xml:space="preserve"> may alleviate the need </w:t>
      </w:r>
      <w:r w:rsidR="00610377">
        <w:t>for</w:t>
      </w:r>
      <w:r w:rsidR="001F23EF">
        <w:t xml:space="preserve"> additional time periods, compared to </w:t>
      </w:r>
      <w:r w:rsidR="00252EE3">
        <w:t>a single-metric.</w:t>
      </w:r>
    </w:p>
    <w:p w14:paraId="716CD89C" w14:textId="4471736E" w:rsidR="006E7B2A" w:rsidRDefault="0081469B" w:rsidP="00BF1842">
      <w:pPr>
        <w:pStyle w:val="Bullet"/>
      </w:pPr>
      <w:r>
        <w:t xml:space="preserve">Using a hierarchical </w:t>
      </w:r>
      <w:r w:rsidR="00D63E02">
        <w:t>failure</w:t>
      </w:r>
      <w:r>
        <w:t xml:space="preserve"> </w:t>
      </w:r>
      <w:r w:rsidR="00D63E02">
        <w:t xml:space="preserve">model </w:t>
      </w:r>
      <w:r w:rsidR="00AD68C3">
        <w:t>will likely increase the complexity of the test</w:t>
      </w:r>
      <w:r w:rsidR="00AF2AAB">
        <w:t xml:space="preserve"> as</w:t>
      </w:r>
      <w:r w:rsidR="00392004">
        <w:t xml:space="preserve"> two separate tests will be run</w:t>
      </w:r>
      <w:r w:rsidR="00FE6257">
        <w:t xml:space="preserve">, making it difficult </w:t>
      </w:r>
      <w:r w:rsidR="009F29E2">
        <w:t xml:space="preserve">for APRA </w:t>
      </w:r>
      <w:r w:rsidR="00FE6257">
        <w:t>to complete the tes</w:t>
      </w:r>
      <w:r w:rsidR="007E05FC">
        <w:t xml:space="preserve">t </w:t>
      </w:r>
      <w:r w:rsidR="00972750">
        <w:t>i</w:t>
      </w:r>
      <w:r w:rsidR="009F29E2">
        <w:t xml:space="preserve">n </w:t>
      </w:r>
      <w:r w:rsidR="00176CB9">
        <w:t>a timely manner</w:t>
      </w:r>
      <w:r w:rsidR="009F29E2">
        <w:t xml:space="preserve">. </w:t>
      </w:r>
    </w:p>
    <w:p w14:paraId="0ACE1CEB" w14:textId="49B15806" w:rsidR="00063AEB" w:rsidRDefault="00063AEB" w:rsidP="00BF1842">
      <w:pPr>
        <w:pStyle w:val="Bullet"/>
      </w:pPr>
      <w:r>
        <w:t xml:space="preserve">It would need to be designed in a way that doesn’t lower </w:t>
      </w:r>
      <w:r w:rsidR="00DF0B11">
        <w:t>accountability of trustees.</w:t>
      </w:r>
    </w:p>
    <w:p w14:paraId="2DAD7AD8" w14:textId="277CE47F" w:rsidR="00E81B68" w:rsidRDefault="00E81B68" w:rsidP="00B00C36">
      <w:pPr>
        <w:pStyle w:val="Bullet"/>
        <w:numPr>
          <w:ilvl w:val="0"/>
          <w:numId w:val="0"/>
        </w:numPr>
      </w:pPr>
      <w:r>
        <w:rPr>
          <w:noProof/>
        </w:rPr>
        <mc:AlternateContent>
          <mc:Choice Requires="wps">
            <w:drawing>
              <wp:inline distT="0" distB="0" distL="0" distR="0" wp14:anchorId="7D56ABEF" wp14:editId="253E3E6C">
                <wp:extent cx="5743575" cy="2143125"/>
                <wp:effectExtent l="0" t="0" r="9525" b="9525"/>
                <wp:docPr id="34" name="Text Box 34"/>
                <wp:cNvGraphicFramePr/>
                <a:graphic xmlns:a="http://schemas.openxmlformats.org/drawingml/2006/main">
                  <a:graphicData uri="http://schemas.microsoft.com/office/word/2010/wordprocessingShape">
                    <wps:wsp>
                      <wps:cNvSpPr txBox="1"/>
                      <wps:spPr>
                        <a:xfrm>
                          <a:off x="0" y="0"/>
                          <a:ext cx="5743575" cy="2143125"/>
                        </a:xfrm>
                        <a:prstGeom prst="rect">
                          <a:avLst/>
                        </a:prstGeom>
                        <a:solidFill>
                          <a:schemeClr val="accent3">
                            <a:lumMod val="20000"/>
                            <a:lumOff val="80000"/>
                          </a:schemeClr>
                        </a:solidFill>
                        <a:ln w="6350">
                          <a:noFill/>
                        </a:ln>
                      </wps:spPr>
                      <wps:txbx>
                        <w:txbxContent>
                          <w:p w14:paraId="5407562C" w14:textId="25C7BBC9" w:rsidR="00E81B68" w:rsidRDefault="00E81B68" w:rsidP="007D2466">
                            <w:pPr>
                              <w:pStyle w:val="Heading4"/>
                              <w:spacing w:before="120"/>
                            </w:pPr>
                            <w:r>
                              <w:t>Consultation Question</w:t>
                            </w:r>
                            <w:r w:rsidR="004B3D7A">
                              <w:t>s</w:t>
                            </w:r>
                          </w:p>
                          <w:p w14:paraId="225C0D09" w14:textId="4D8F3165" w:rsidR="00E81B68" w:rsidRDefault="00E81B68" w:rsidP="0058255F">
                            <w:pPr>
                              <w:pStyle w:val="OutlineNumbered1"/>
                              <w:numPr>
                                <w:ilvl w:val="0"/>
                                <w:numId w:val="59"/>
                              </w:numPr>
                            </w:pPr>
                            <w:r w:rsidRPr="002956A3">
                              <w:t>Would this framework i</w:t>
                            </w:r>
                            <w:r w:rsidR="00DF67FD">
                              <w:t>mprove</w:t>
                            </w:r>
                            <w:r w:rsidRPr="002956A3">
                              <w:t xml:space="preserve"> the sophistication of the test? Would it reduce incentives to hug </w:t>
                            </w:r>
                            <w:r w:rsidR="007615E9">
                              <w:t>benchmark</w:t>
                            </w:r>
                            <w:r w:rsidR="00956C94">
                              <w:t>s</w:t>
                            </w:r>
                            <w:r w:rsidRPr="002956A3">
                              <w:t xml:space="preserve"> and improve member outcomes?</w:t>
                            </w:r>
                          </w:p>
                          <w:p w14:paraId="406CD7A7" w14:textId="77777777" w:rsidR="00E81B68" w:rsidRDefault="00E81B68" w:rsidP="0058255F">
                            <w:pPr>
                              <w:pStyle w:val="OutlineNumbered1"/>
                              <w:numPr>
                                <w:ilvl w:val="0"/>
                                <w:numId w:val="59"/>
                              </w:numPr>
                            </w:pPr>
                            <w:r w:rsidRPr="002956A3">
                              <w:t>Would this approach be more, or less, favourable than the heatmap approach?</w:t>
                            </w:r>
                          </w:p>
                          <w:p w14:paraId="177630CB" w14:textId="663A501F" w:rsidR="00E81B68" w:rsidRDefault="00E81B68" w:rsidP="0058255F">
                            <w:pPr>
                              <w:pStyle w:val="OutlineNumbered1"/>
                              <w:numPr>
                                <w:ilvl w:val="0"/>
                                <w:numId w:val="59"/>
                              </w:numPr>
                            </w:pPr>
                            <w:r>
                              <w:t>What would the costs of implementing this approach</w:t>
                            </w:r>
                            <w:r w:rsidR="00414DF2">
                              <w:t xml:space="preserve"> be</w:t>
                            </w:r>
                            <w:r>
                              <w:t>? What would the benefits</w:t>
                            </w:r>
                            <w:r w:rsidR="00414DF2">
                              <w:t xml:space="preserve"> be</w:t>
                            </w:r>
                            <w:r>
                              <w:t>?</w:t>
                            </w:r>
                          </w:p>
                          <w:p w14:paraId="1A5C3E75" w14:textId="0966CC62" w:rsidR="00A05793" w:rsidRDefault="00A05793" w:rsidP="0058255F">
                            <w:pPr>
                              <w:pStyle w:val="OutlineNumbered1"/>
                              <w:numPr>
                                <w:ilvl w:val="0"/>
                                <w:numId w:val="59"/>
                              </w:numPr>
                            </w:pPr>
                            <w:r>
                              <w:t>Are th</w:t>
                            </w:r>
                            <w:r w:rsidR="00EF28E8">
                              <w:t>ese the right measures of performance or are there</w:t>
                            </w:r>
                            <w:r>
                              <w:t xml:space="preserve"> other more important indicators of performance that should </w:t>
                            </w:r>
                            <w:r>
                              <w:t>be measured</w:t>
                            </w:r>
                            <w:r w:rsidR="00EF28E8">
                              <w:t xml:space="preserve"> in addition to or instead of those outlined</w:t>
                            </w:r>
                            <w:r>
                              <w:t>? What metric should be used to assess these indicators?</w:t>
                            </w:r>
                          </w:p>
                          <w:p w14:paraId="4DD7A069" w14:textId="09786313" w:rsidR="00703347" w:rsidRDefault="00703347" w:rsidP="0058255F">
                            <w:pPr>
                              <w:pStyle w:val="OutlineNumbered1"/>
                              <w:numPr>
                                <w:ilvl w:val="0"/>
                                <w:numId w:val="59"/>
                              </w:numPr>
                            </w:pPr>
                            <w:r>
                              <w:t xml:space="preserve">How should the </w:t>
                            </w:r>
                            <w:r w:rsidR="00B849A0">
                              <w:t>benchmark for performance</w:t>
                            </w:r>
                            <w:r>
                              <w:t xml:space="preserve"> be </w:t>
                            </w:r>
                            <w:r w:rsidR="00400E05">
                              <w:t>calibrated?</w:t>
                            </w:r>
                          </w:p>
                          <w:p w14:paraId="06FCB373" w14:textId="77777777" w:rsidR="00E81B68" w:rsidRDefault="00E81B68" w:rsidP="00FA44B6">
                            <w:pPr>
                              <w:pStyle w:val="OutlineNumbered1"/>
                              <w:numPr>
                                <w:ilvl w:val="0"/>
                                <w:numId w:val="0"/>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7D56ABEF" id="Text Box 34" o:spid="_x0000_s1032" type="#_x0000_t202" style="width:452.25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" fillcolor="#dee3eb [662]" stroked="f" strokeweight=".5pt">
                <v:textbox>
                  <w:txbxContent>
                    <w:p w14:paraId="5407562C" w14:textId="25C7BBC9" w:rsidR="00E81B68" w:rsidRDefault="00E81B68" w:rsidP="007D2466">
                      <w:pPr>
                        <w:pStyle w:val="Heading4"/>
                        <w:spacing w:before="120"/>
                      </w:pPr>
                      <w:r>
                        <w:t>Consultation Question</w:t>
                      </w:r>
                      <w:r w:rsidR="004B3D7A">
                        <w:t>s</w:t>
                      </w:r>
                    </w:p>
                    <w:p w14:paraId="225C0D09" w14:textId="4D8F3165" w:rsidR="00E81B68" w:rsidRDefault="00E81B68" w:rsidP="0058255F">
                      <w:pPr>
                        <w:pStyle w:val="OutlineNumbered1"/>
                        <w:numPr>
                          <w:ilvl w:val="0"/>
                          <w:numId w:val="59"/>
                        </w:numPr>
                      </w:pPr>
                      <w:r w:rsidRPr="002956A3">
                        <w:t>Would this framework i</w:t>
                      </w:r>
                      <w:r w:rsidR="00DF67FD">
                        <w:t>mprove</w:t>
                      </w:r>
                      <w:r w:rsidRPr="002956A3">
                        <w:t xml:space="preserve"> the sophistication of the test? Would it reduce incentives to hug </w:t>
                      </w:r>
                      <w:r w:rsidR="007615E9">
                        <w:t>benchmark</w:t>
                      </w:r>
                      <w:r w:rsidR="00956C94">
                        <w:t>s</w:t>
                      </w:r>
                      <w:r w:rsidRPr="002956A3">
                        <w:t xml:space="preserve"> and improve member outcomes?</w:t>
                      </w:r>
                    </w:p>
                    <w:p w14:paraId="406CD7A7" w14:textId="77777777" w:rsidR="00E81B68" w:rsidRDefault="00E81B68" w:rsidP="0058255F">
                      <w:pPr>
                        <w:pStyle w:val="OutlineNumbered1"/>
                        <w:numPr>
                          <w:ilvl w:val="0"/>
                          <w:numId w:val="59"/>
                        </w:numPr>
                      </w:pPr>
                      <w:r w:rsidRPr="002956A3">
                        <w:t>Would this approach be more, or less, favourable than the heatmap approach?</w:t>
                      </w:r>
                    </w:p>
                    <w:p w14:paraId="177630CB" w14:textId="663A501F" w:rsidR="00E81B68" w:rsidRDefault="00E81B68" w:rsidP="0058255F">
                      <w:pPr>
                        <w:pStyle w:val="OutlineNumbered1"/>
                        <w:numPr>
                          <w:ilvl w:val="0"/>
                          <w:numId w:val="59"/>
                        </w:numPr>
                      </w:pPr>
                      <w:r>
                        <w:t>What would the costs of implementing this approach</w:t>
                      </w:r>
                      <w:r w:rsidR="00414DF2">
                        <w:t xml:space="preserve"> be</w:t>
                      </w:r>
                      <w:r>
                        <w:t>? What would the benefits</w:t>
                      </w:r>
                      <w:r w:rsidR="00414DF2">
                        <w:t xml:space="preserve"> be</w:t>
                      </w:r>
                      <w:r>
                        <w:t>?</w:t>
                      </w:r>
                    </w:p>
                    <w:p w14:paraId="1A5C3E75" w14:textId="0966CC62" w:rsidR="00A05793" w:rsidRDefault="00A05793" w:rsidP="0058255F">
                      <w:pPr>
                        <w:pStyle w:val="OutlineNumbered1"/>
                        <w:numPr>
                          <w:ilvl w:val="0"/>
                          <w:numId w:val="59"/>
                        </w:numPr>
                      </w:pPr>
                      <w:r>
                        <w:t>Are th</w:t>
                      </w:r>
                      <w:r w:rsidR="00EF28E8">
                        <w:t>ese the right measures of performance or are there</w:t>
                      </w:r>
                      <w:r>
                        <w:t xml:space="preserve"> other more important indicators of performance that should </w:t>
                      </w:r>
                      <w:proofErr w:type="gramStart"/>
                      <w:r>
                        <w:t>be measured</w:t>
                      </w:r>
                      <w:proofErr w:type="gramEnd"/>
                      <w:r w:rsidR="00EF28E8">
                        <w:t xml:space="preserve"> in addition to or instead of those outlined</w:t>
                      </w:r>
                      <w:r>
                        <w:t xml:space="preserve">? What metric should </w:t>
                      </w:r>
                      <w:proofErr w:type="gramStart"/>
                      <w:r>
                        <w:t>be used</w:t>
                      </w:r>
                      <w:proofErr w:type="gramEnd"/>
                      <w:r>
                        <w:t xml:space="preserve"> to assess these indicators?</w:t>
                      </w:r>
                    </w:p>
                    <w:p w14:paraId="4DD7A069" w14:textId="09786313" w:rsidR="00703347" w:rsidRDefault="00703347" w:rsidP="0058255F">
                      <w:pPr>
                        <w:pStyle w:val="OutlineNumbered1"/>
                        <w:numPr>
                          <w:ilvl w:val="0"/>
                          <w:numId w:val="59"/>
                        </w:numPr>
                      </w:pPr>
                      <w:r>
                        <w:t xml:space="preserve">How should the </w:t>
                      </w:r>
                      <w:r w:rsidR="00B849A0">
                        <w:t>benchmark for performance</w:t>
                      </w:r>
                      <w:r>
                        <w:t xml:space="preserve"> </w:t>
                      </w:r>
                      <w:proofErr w:type="gramStart"/>
                      <w:r>
                        <w:t xml:space="preserve">be </w:t>
                      </w:r>
                      <w:r w:rsidR="00400E05">
                        <w:t>calibrated</w:t>
                      </w:r>
                      <w:proofErr w:type="gramEnd"/>
                      <w:r w:rsidR="00400E05">
                        <w:t>?</w:t>
                      </w:r>
                    </w:p>
                    <w:p w14:paraId="06FCB373" w14:textId="77777777" w:rsidR="00E81B68" w:rsidRDefault="00E81B68" w:rsidP="00FA44B6">
                      <w:pPr>
                        <w:pStyle w:val="OutlineNumbered1"/>
                        <w:numPr>
                          <w:ilvl w:val="0"/>
                          <w:numId w:val="0"/>
                        </w:numPr>
                      </w:pPr>
                    </w:p>
                  </w:txbxContent>
                </v:textbox>
                <w10:anchorlock/>
              </v:shape>
            </w:pict>
          </mc:Fallback>
        </mc:AlternateContent>
      </w:r>
    </w:p>
    <w:p w14:paraId="4A483C49" w14:textId="2CF5E433" w:rsidR="00B255A3" w:rsidRDefault="00B255A3">
      <w:pPr>
        <w:spacing w:before="0" w:after="160" w:line="259" w:lineRule="auto"/>
        <w:rPr>
          <w:rFonts w:ascii="Calibri" w:hAnsi="Calibri" w:cs="Arial"/>
          <w:b/>
          <w:color w:val="4D7861" w:themeColor="accent2"/>
          <w:kern w:val="32"/>
          <w:sz w:val="28"/>
          <w:szCs w:val="26"/>
        </w:rPr>
      </w:pPr>
      <w:r>
        <w:br w:type="page"/>
      </w:r>
    </w:p>
    <w:p w14:paraId="7C32D57C" w14:textId="6E3A3676" w:rsidR="00077480" w:rsidRDefault="00077480" w:rsidP="00077480">
      <w:pPr>
        <w:pStyle w:val="Heading3"/>
      </w:pPr>
      <w:bookmarkStart w:id="33" w:name="_Toc155955180"/>
      <w:r>
        <w:t>4. Alternative framework</w:t>
      </w:r>
      <w:r w:rsidR="00BF4F6D">
        <w:t>s</w:t>
      </w:r>
      <w:bookmarkEnd w:id="33"/>
      <w:r>
        <w:t xml:space="preserve"> </w:t>
      </w:r>
    </w:p>
    <w:p w14:paraId="3D65A134" w14:textId="2414168E" w:rsidR="002A1DC3" w:rsidRDefault="002A1DC3" w:rsidP="0009191F">
      <w:pPr>
        <w:spacing w:after="0" w:line="276" w:lineRule="auto"/>
      </w:pPr>
      <w:r>
        <w:t xml:space="preserve">The Government </w:t>
      </w:r>
      <w:r w:rsidR="00FF08AE">
        <w:t xml:space="preserve">also </w:t>
      </w:r>
      <w:r>
        <w:t xml:space="preserve">welcomes </w:t>
      </w:r>
      <w:r w:rsidR="00FF08AE">
        <w:t xml:space="preserve">stakeholder </w:t>
      </w:r>
      <w:r>
        <w:t xml:space="preserve">feedback on </w:t>
      </w:r>
      <w:r w:rsidR="00FF08AE">
        <w:t>any</w:t>
      </w:r>
      <w:r>
        <w:t xml:space="preserve"> alternative </w:t>
      </w:r>
      <w:r w:rsidR="00461BE4">
        <w:t xml:space="preserve">performance test </w:t>
      </w:r>
      <w:r>
        <w:t>framework</w:t>
      </w:r>
      <w:r w:rsidR="00461BE4">
        <w:t>s</w:t>
      </w:r>
      <w:r w:rsidR="003C4147">
        <w:t xml:space="preserve"> </w:t>
      </w:r>
      <w:r w:rsidR="00FF08AE">
        <w:t>that may</w:t>
      </w:r>
      <w:r>
        <w:t xml:space="preserve"> more effectively address the principles set out in this paper</w:t>
      </w:r>
      <w:r w:rsidR="003C4147">
        <w:t xml:space="preserve"> than the </w:t>
      </w:r>
      <w:r w:rsidR="00126DEE">
        <w:t>options</w:t>
      </w:r>
      <w:r w:rsidR="003C4147">
        <w:t xml:space="preserve"> outline</w:t>
      </w:r>
      <w:r w:rsidR="00126DEE">
        <w:t>d</w:t>
      </w:r>
      <w:r>
        <w:t>. In providing feedback, it would be useful to consider the following elements when constructing a framework:</w:t>
      </w:r>
    </w:p>
    <w:p w14:paraId="7EE61789" w14:textId="77FF1222" w:rsidR="002A1DC3" w:rsidRDefault="002A1DC3" w:rsidP="00E813CA">
      <w:pPr>
        <w:pStyle w:val="Bullet"/>
      </w:pPr>
      <w:r>
        <w:t>What outcome</w:t>
      </w:r>
      <w:r w:rsidR="0097212C">
        <w:t>(s)</w:t>
      </w:r>
      <w:r>
        <w:t xml:space="preserve"> should be assessed and what metric</w:t>
      </w:r>
      <w:r w:rsidR="0097212C">
        <w:t>(</w:t>
      </w:r>
      <w:r>
        <w:t>s</w:t>
      </w:r>
      <w:r w:rsidR="0097212C">
        <w:t>)</w:t>
      </w:r>
      <w:r>
        <w:t xml:space="preserve"> achieves this?</w:t>
      </w:r>
    </w:p>
    <w:p w14:paraId="0576315E" w14:textId="3E5E03C9" w:rsidR="009247DC" w:rsidRDefault="009247DC" w:rsidP="00E813CA">
      <w:pPr>
        <w:pStyle w:val="Bullet"/>
      </w:pPr>
      <w:r>
        <w:t>What should the metric</w:t>
      </w:r>
      <w:r w:rsidR="0097212C">
        <w:t>(</w:t>
      </w:r>
      <w:r>
        <w:t>s</w:t>
      </w:r>
      <w:r w:rsidR="0097212C">
        <w:t>)</w:t>
      </w:r>
      <w:r>
        <w:t xml:space="preserve"> be compared against to assess performance? </w:t>
      </w:r>
    </w:p>
    <w:p w14:paraId="5C21E631" w14:textId="1DF085CE" w:rsidR="002A1DC3" w:rsidRDefault="002A1DC3" w:rsidP="00E813CA">
      <w:pPr>
        <w:pStyle w:val="Bullet"/>
      </w:pPr>
      <w:r>
        <w:t>How many metric</w:t>
      </w:r>
      <w:r w:rsidR="0097212C">
        <w:t>(</w:t>
      </w:r>
      <w:r>
        <w:t>s</w:t>
      </w:r>
      <w:r w:rsidR="0097212C">
        <w:t>)</w:t>
      </w:r>
      <w:r>
        <w:t xml:space="preserve"> are required to form an adequate assessment?</w:t>
      </w:r>
    </w:p>
    <w:p w14:paraId="4B1FC17A" w14:textId="7ABE69DE" w:rsidR="000C30D8" w:rsidRDefault="002A1DC3" w:rsidP="00E813CA">
      <w:pPr>
        <w:pStyle w:val="Bullet"/>
        <w:spacing w:after="120"/>
        <w:ind w:left="522" w:hanging="522"/>
      </w:pPr>
      <w:r>
        <w:t>How do</w:t>
      </w:r>
      <w:r w:rsidR="002349F0">
        <w:t>es the framework determine</w:t>
      </w:r>
      <w:r>
        <w:t xml:space="preserve"> whether a product passes or fails?</w:t>
      </w:r>
    </w:p>
    <w:p w14:paraId="0B2856BB" w14:textId="54F5F119" w:rsidR="000C30D8" w:rsidRDefault="000C30D8">
      <w:pPr>
        <w:spacing w:before="0" w:after="160" w:line="259" w:lineRule="auto"/>
      </w:pPr>
      <w:r>
        <w:rPr>
          <w:noProof/>
        </w:rPr>
        <mc:AlternateContent>
          <mc:Choice Requires="wps">
            <w:drawing>
              <wp:inline distT="0" distB="0" distL="0" distR="0" wp14:anchorId="7A2F3B92" wp14:editId="383CF271">
                <wp:extent cx="5743575" cy="1485900"/>
                <wp:effectExtent l="0" t="0" r="9525" b="0"/>
                <wp:docPr id="5" name="Text Box 5"/>
                <wp:cNvGraphicFramePr/>
                <a:graphic xmlns:a="http://schemas.openxmlformats.org/drawingml/2006/main">
                  <a:graphicData uri="http://schemas.microsoft.com/office/word/2010/wordprocessingShape">
                    <wps:wsp>
                      <wps:cNvSpPr txBox="1"/>
                      <wps:spPr>
                        <a:xfrm>
                          <a:off x="0" y="0"/>
                          <a:ext cx="5743575" cy="1485900"/>
                        </a:xfrm>
                        <a:prstGeom prst="rect">
                          <a:avLst/>
                        </a:prstGeom>
                        <a:solidFill>
                          <a:schemeClr val="accent3">
                            <a:lumMod val="20000"/>
                            <a:lumOff val="80000"/>
                          </a:schemeClr>
                        </a:solidFill>
                        <a:ln w="6350">
                          <a:noFill/>
                        </a:ln>
                      </wps:spPr>
                      <wps:txbx>
                        <w:txbxContent>
                          <w:p w14:paraId="3A71FDFA" w14:textId="77777777" w:rsidR="000C30D8" w:rsidRDefault="000C30D8" w:rsidP="000C30D8">
                            <w:pPr>
                              <w:pStyle w:val="Heading4"/>
                              <w:spacing w:before="120"/>
                            </w:pPr>
                            <w:r>
                              <w:t>Consultation Questions</w:t>
                            </w:r>
                          </w:p>
                          <w:p w14:paraId="42293577" w14:textId="47BB732A" w:rsidR="000C30D8" w:rsidRDefault="000C30D8" w:rsidP="0058255F">
                            <w:pPr>
                              <w:pStyle w:val="OutlineNumbered1"/>
                              <w:numPr>
                                <w:ilvl w:val="0"/>
                                <w:numId w:val="59"/>
                              </w:numPr>
                            </w:pPr>
                            <w:r>
                              <w:t xml:space="preserve">How would an alternative framework </w:t>
                            </w:r>
                            <w:r>
                              <w:t>be constructed according to the elements outlined above?</w:t>
                            </w:r>
                            <w:r w:rsidR="00BC5CA0">
                              <w:t xml:space="preserve"> Please provide specific</w:t>
                            </w:r>
                            <w:r w:rsidR="00205555">
                              <w:t xml:space="preserve"> details</w:t>
                            </w:r>
                            <w:r w:rsidR="00BC5CA0">
                              <w:t xml:space="preserve">. </w:t>
                            </w:r>
                          </w:p>
                          <w:p w14:paraId="41F4E14F" w14:textId="0F2F0FCB" w:rsidR="000C30D8" w:rsidRDefault="000C30D8" w:rsidP="0058255F">
                            <w:pPr>
                              <w:pStyle w:val="OutlineNumbered1"/>
                              <w:numPr>
                                <w:ilvl w:val="0"/>
                                <w:numId w:val="59"/>
                              </w:numPr>
                            </w:pPr>
                            <w:r>
                              <w:t>How would this framework more effectively advance the principles outlined in this paper?</w:t>
                            </w:r>
                          </w:p>
                          <w:p w14:paraId="6A746DB0" w14:textId="77777777" w:rsidR="000C30D8" w:rsidRDefault="000C30D8" w:rsidP="0058255F">
                            <w:pPr>
                              <w:pStyle w:val="OutlineNumbered1"/>
                              <w:numPr>
                                <w:ilvl w:val="0"/>
                                <w:numId w:val="59"/>
                              </w:numPr>
                            </w:pPr>
                            <w:r>
                              <w:t>What would be the costs and benefits associated with this framework, compared to the current test and any other alternatives?</w:t>
                            </w:r>
                          </w:p>
                          <w:p w14:paraId="28A04402" w14:textId="77777777" w:rsidR="000C30D8" w:rsidRDefault="000C30D8" w:rsidP="000C30D8">
                            <w:pPr>
                              <w:pStyle w:val="OutlineNumbered1"/>
                              <w:numPr>
                                <w:ilvl w:val="0"/>
                                <w:numId w:val="0"/>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7A2F3B92" id="Text Box 5" o:spid="_x0000_s1033" type="#_x0000_t202" style="width:452.2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" fillcolor="#dee3eb [662]" stroked="f" strokeweight=".5pt">
                <v:textbox>
                  <w:txbxContent>
                    <w:p w14:paraId="3A71FDFA" w14:textId="77777777" w:rsidR="000C30D8" w:rsidRDefault="000C30D8" w:rsidP="000C30D8">
                      <w:pPr>
                        <w:pStyle w:val="Heading4"/>
                        <w:spacing w:before="120"/>
                      </w:pPr>
                      <w:r>
                        <w:t>Consultation Questions</w:t>
                      </w:r>
                    </w:p>
                    <w:p w14:paraId="42293577" w14:textId="47BB732A" w:rsidR="000C30D8" w:rsidRDefault="000C30D8" w:rsidP="0058255F">
                      <w:pPr>
                        <w:pStyle w:val="OutlineNumbered1"/>
                        <w:numPr>
                          <w:ilvl w:val="0"/>
                          <w:numId w:val="59"/>
                        </w:numPr>
                      </w:pPr>
                      <w:r>
                        <w:t xml:space="preserve">How would an alternative framework </w:t>
                      </w:r>
                      <w:proofErr w:type="gramStart"/>
                      <w:r>
                        <w:t>be constructed</w:t>
                      </w:r>
                      <w:proofErr w:type="gramEnd"/>
                      <w:r>
                        <w:t xml:space="preserve"> according to the elements outlined above?</w:t>
                      </w:r>
                      <w:r w:rsidR="00BC5CA0">
                        <w:t xml:space="preserve"> Please provide specific</w:t>
                      </w:r>
                      <w:r w:rsidR="00205555">
                        <w:t xml:space="preserve"> details</w:t>
                      </w:r>
                      <w:r w:rsidR="00BC5CA0">
                        <w:t xml:space="preserve">. </w:t>
                      </w:r>
                    </w:p>
                    <w:p w14:paraId="41F4E14F" w14:textId="0F2F0FCB" w:rsidR="000C30D8" w:rsidRDefault="000C30D8" w:rsidP="0058255F">
                      <w:pPr>
                        <w:pStyle w:val="OutlineNumbered1"/>
                        <w:numPr>
                          <w:ilvl w:val="0"/>
                          <w:numId w:val="59"/>
                        </w:numPr>
                      </w:pPr>
                      <w:r>
                        <w:t>How would this framework more effectively advance the principles outlined in this paper?</w:t>
                      </w:r>
                    </w:p>
                    <w:p w14:paraId="6A746DB0" w14:textId="77777777" w:rsidR="000C30D8" w:rsidRDefault="000C30D8" w:rsidP="0058255F">
                      <w:pPr>
                        <w:pStyle w:val="OutlineNumbered1"/>
                        <w:numPr>
                          <w:ilvl w:val="0"/>
                          <w:numId w:val="59"/>
                        </w:numPr>
                      </w:pPr>
                      <w:r>
                        <w:t>What would be the costs and benefits associated with this framework, compared to the current test and any other alternatives?</w:t>
                      </w:r>
                    </w:p>
                    <w:p w14:paraId="28A04402" w14:textId="77777777" w:rsidR="000C30D8" w:rsidRDefault="000C30D8" w:rsidP="000C30D8">
                      <w:pPr>
                        <w:pStyle w:val="OutlineNumbered1"/>
                        <w:numPr>
                          <w:ilvl w:val="0"/>
                          <w:numId w:val="0"/>
                        </w:numPr>
                      </w:pPr>
                    </w:p>
                  </w:txbxContent>
                </v:textbox>
                <w10:anchorlock/>
              </v:shape>
            </w:pict>
          </mc:Fallback>
        </mc:AlternateContent>
      </w:r>
    </w:p>
    <w:p w14:paraId="0F9AE018" w14:textId="77777777" w:rsidR="009E39DF" w:rsidRDefault="009E39DF" w:rsidP="00886627">
      <w:pPr>
        <w:pStyle w:val="Heading2"/>
        <w:spacing w:before="120"/>
      </w:pPr>
    </w:p>
    <w:p w14:paraId="4608A448" w14:textId="685E9584" w:rsidR="0053529D" w:rsidRPr="0053529D" w:rsidRDefault="0053529D" w:rsidP="0058255F">
      <w:pPr>
        <w:sectPr w:rsidR="0053529D" w:rsidRPr="0053529D" w:rsidSect="00E5398A">
          <w:footerReference w:type="default" r:id="rId36"/>
          <w:pgSz w:w="11906" w:h="16838" w:code="9"/>
          <w:pgMar w:top="1276" w:right="1418" w:bottom="1418" w:left="1418" w:header="709" w:footer="709" w:gutter="0"/>
          <w:cols w:space="708"/>
          <w:docGrid w:linePitch="360"/>
        </w:sectPr>
      </w:pPr>
    </w:p>
    <w:p w14:paraId="7F480D5B" w14:textId="765A9895" w:rsidR="00886627" w:rsidRDefault="002B7693" w:rsidP="00886627">
      <w:pPr>
        <w:pStyle w:val="Heading2"/>
        <w:spacing w:before="120"/>
      </w:pPr>
      <w:bookmarkStart w:id="34" w:name="_Toc155955181"/>
      <w:r>
        <w:t>Broader considerations</w:t>
      </w:r>
      <w:r w:rsidR="008E143D">
        <w:t xml:space="preserve"> for</w:t>
      </w:r>
      <w:r w:rsidR="00087A71">
        <w:t xml:space="preserve"> </w:t>
      </w:r>
      <w:r w:rsidR="00772DEA">
        <w:t>reform</w:t>
      </w:r>
      <w:bookmarkEnd w:id="34"/>
    </w:p>
    <w:p w14:paraId="64B01C76" w14:textId="3FAEAA98" w:rsidR="00684A1D" w:rsidRDefault="00C43048" w:rsidP="0009191F">
      <w:pPr>
        <w:spacing w:line="276" w:lineRule="auto"/>
      </w:pPr>
      <w:r w:rsidRPr="00C43048">
        <w:t xml:space="preserve">Further to </w:t>
      </w:r>
      <w:r>
        <w:t xml:space="preserve">considering </w:t>
      </w:r>
      <w:r w:rsidRPr="00C43048">
        <w:t xml:space="preserve">options to </w:t>
      </w:r>
      <w:r>
        <w:t>reform the existing test</w:t>
      </w:r>
      <w:r w:rsidR="00053998">
        <w:t xml:space="preserve">, </w:t>
      </w:r>
      <w:r w:rsidR="006B7E36">
        <w:t xml:space="preserve">the Government is also inviting stakeholder views on </w:t>
      </w:r>
      <w:r w:rsidR="00422C51">
        <w:t xml:space="preserve">a range </w:t>
      </w:r>
      <w:r w:rsidR="00625480">
        <w:t xml:space="preserve">of </w:t>
      </w:r>
      <w:r w:rsidR="006B7E36">
        <w:t xml:space="preserve">broader </w:t>
      </w:r>
      <w:r w:rsidR="002425BB">
        <w:t xml:space="preserve">considerations that </w:t>
      </w:r>
      <w:r w:rsidR="00422C51">
        <w:t>need</w:t>
      </w:r>
      <w:r w:rsidR="002425BB">
        <w:t xml:space="preserve"> to be </w:t>
      </w:r>
      <w:proofErr w:type="gramStart"/>
      <w:r w:rsidR="002425BB">
        <w:t>taken into account</w:t>
      </w:r>
      <w:proofErr w:type="gramEnd"/>
      <w:r w:rsidR="002425BB">
        <w:t xml:space="preserve"> </w:t>
      </w:r>
      <w:r w:rsidR="00EE2098">
        <w:t>should the Government seek to make future changes to</w:t>
      </w:r>
      <w:r w:rsidR="00005D65">
        <w:t xml:space="preserve"> the test</w:t>
      </w:r>
      <w:r w:rsidR="00F20BF8">
        <w:t>.</w:t>
      </w:r>
      <w:r w:rsidR="00005D65">
        <w:t xml:space="preserve"> </w:t>
      </w:r>
      <w:r w:rsidR="00FF6BBB">
        <w:t>T</w:t>
      </w:r>
      <w:r w:rsidR="00005D65">
        <w:t>hese include</w:t>
      </w:r>
      <w:r w:rsidR="00684A1D">
        <w:t>:</w:t>
      </w:r>
    </w:p>
    <w:p w14:paraId="15616C5E" w14:textId="77777777" w:rsidR="00684A1D" w:rsidRDefault="006F7E87" w:rsidP="0084202B">
      <w:pPr>
        <w:pStyle w:val="Bullet"/>
      </w:pPr>
      <w:r>
        <w:t>the scope of the test</w:t>
      </w:r>
      <w:r w:rsidR="00684A1D">
        <w:t>;</w:t>
      </w:r>
    </w:p>
    <w:p w14:paraId="19BF87C9" w14:textId="7611301D" w:rsidR="00994817" w:rsidRDefault="00973F03" w:rsidP="0084202B">
      <w:pPr>
        <w:pStyle w:val="Bullet"/>
      </w:pPr>
      <w:r>
        <w:t xml:space="preserve">the assessment of </w:t>
      </w:r>
      <w:r w:rsidR="00994817">
        <w:t xml:space="preserve">fees; </w:t>
      </w:r>
    </w:p>
    <w:p w14:paraId="193278A8" w14:textId="77777777" w:rsidR="00994817" w:rsidRDefault="00994817" w:rsidP="0084202B">
      <w:pPr>
        <w:pStyle w:val="Bullet"/>
      </w:pPr>
      <w:r>
        <w:t xml:space="preserve">consequences for failing the test; and </w:t>
      </w:r>
    </w:p>
    <w:p w14:paraId="368024E4" w14:textId="72149A09" w:rsidR="003B574B" w:rsidRPr="00C43048" w:rsidRDefault="00994817" w:rsidP="0084202B">
      <w:pPr>
        <w:pStyle w:val="Bullet"/>
      </w:pPr>
      <w:r>
        <w:t>barriers to</w:t>
      </w:r>
      <w:r w:rsidR="002425BB">
        <w:t xml:space="preserve"> </w:t>
      </w:r>
      <w:r w:rsidR="003A5421">
        <w:t>product consolidation</w:t>
      </w:r>
      <w:r w:rsidR="00FF6BBB">
        <w:t>.</w:t>
      </w:r>
      <w:r w:rsidR="00053998">
        <w:t xml:space="preserve"> </w:t>
      </w:r>
      <w:r w:rsidR="00175B59">
        <w:t xml:space="preserve"> </w:t>
      </w:r>
    </w:p>
    <w:p w14:paraId="3246980D" w14:textId="1CA6789C" w:rsidR="003B574B" w:rsidRPr="00C14568" w:rsidRDefault="00C14568" w:rsidP="0009191F">
      <w:pPr>
        <w:spacing w:after="0" w:line="276" w:lineRule="auto"/>
      </w:pPr>
      <w:r w:rsidRPr="00C14568">
        <w:t xml:space="preserve">Each of these </w:t>
      </w:r>
      <w:r>
        <w:t xml:space="preserve">considerations are important to ensure that </w:t>
      </w:r>
      <w:r w:rsidR="00207904">
        <w:t xml:space="preserve">the test </w:t>
      </w:r>
      <w:r w:rsidR="00E842FD">
        <w:t xml:space="preserve">is robust to changing circumstances </w:t>
      </w:r>
      <w:r w:rsidR="00F8361A">
        <w:t xml:space="preserve">and </w:t>
      </w:r>
      <w:r w:rsidR="00703099">
        <w:t xml:space="preserve">meets the key principles outlined </w:t>
      </w:r>
      <w:r w:rsidR="000470E2">
        <w:t>earlier</w:t>
      </w:r>
      <w:r w:rsidR="00D825BB">
        <w:t xml:space="preserve"> in this paper</w:t>
      </w:r>
      <w:r w:rsidR="000470E2">
        <w:t xml:space="preserve">. </w:t>
      </w:r>
    </w:p>
    <w:p w14:paraId="48AD9049" w14:textId="22BFC71E" w:rsidR="00516435" w:rsidRPr="00B6086D" w:rsidRDefault="00516435" w:rsidP="002E3011">
      <w:pPr>
        <w:pStyle w:val="Heading3"/>
        <w:spacing w:before="240"/>
      </w:pPr>
      <w:bookmarkStart w:id="35" w:name="_Toc155955182"/>
      <w:r w:rsidRPr="00B6086D">
        <w:t>Scope of the test</w:t>
      </w:r>
      <w:bookmarkEnd w:id="35"/>
    </w:p>
    <w:p w14:paraId="0A35584B" w14:textId="77777777" w:rsidR="00886627" w:rsidRPr="004B634E" w:rsidRDefault="00886627" w:rsidP="00886627">
      <w:pPr>
        <w:pStyle w:val="Heading4"/>
        <w:spacing w:before="120"/>
      </w:pPr>
      <w:r w:rsidRPr="004B634E">
        <w:t>Current product coverage</w:t>
      </w:r>
    </w:p>
    <w:p w14:paraId="3B88EF04" w14:textId="5116C634" w:rsidR="00886627" w:rsidRDefault="00886627" w:rsidP="00886627">
      <w:r>
        <w:t xml:space="preserve">The test currently applies to MySuper </w:t>
      </w:r>
      <w:r w:rsidR="00320CEF">
        <w:t xml:space="preserve">products </w:t>
      </w:r>
      <w:r>
        <w:t xml:space="preserve">and TDPs. TDPs are accumulation phase investment options that have allocations to more than one asset class, and the trustee (or a connected entity) influences the investment outcomes by designing or implementing the investment strategy.  </w:t>
      </w:r>
    </w:p>
    <w:p w14:paraId="0F464805" w14:textId="14058613" w:rsidR="00886627" w:rsidRDefault="00886627" w:rsidP="00886627">
      <w:r>
        <w:t xml:space="preserve">The diversified nature of MySuper and TDPs mean they are the most conducive to the current testing framework, which covers over </w:t>
      </w:r>
      <w:r w:rsidRPr="00585399">
        <w:t>40</w:t>
      </w:r>
      <w:r w:rsidR="0032494C">
        <w:t xml:space="preserve"> per cent</w:t>
      </w:r>
      <w:r>
        <w:t xml:space="preserve"> of the total superannuation population (and </w:t>
      </w:r>
      <w:r w:rsidRPr="00585399">
        <w:t>60</w:t>
      </w:r>
      <w:r w:rsidR="0032494C">
        <w:t xml:space="preserve"> per cent</w:t>
      </w:r>
      <w:r>
        <w:t xml:space="preserve"> of the APRA-regulated superannuation population)</w:t>
      </w:r>
      <w:r w:rsidR="00EE16ED">
        <w:t>.</w:t>
      </w:r>
      <w:r>
        <w:rPr>
          <w:rStyle w:val="FootnoteReference"/>
        </w:rPr>
        <w:footnoteReference w:id="16"/>
      </w:r>
      <w:r>
        <w:t xml:space="preserve"> Trustees of these products have a level of influence on the outcomes of the product through activities such as designing the investment strategy</w:t>
      </w:r>
      <w:r w:rsidR="002E3011">
        <w:t>.</w:t>
      </w:r>
    </w:p>
    <w:p w14:paraId="1AA11933" w14:textId="77777777" w:rsidR="00886627" w:rsidRDefault="00886627" w:rsidP="00886627">
      <w:pPr>
        <w:pStyle w:val="Heading4"/>
        <w:spacing w:before="120"/>
      </w:pPr>
      <w:r>
        <w:t xml:space="preserve">Products to consider in an expanded test </w:t>
      </w:r>
    </w:p>
    <w:p w14:paraId="31507FBD" w14:textId="541C1A5F" w:rsidR="00886627" w:rsidRDefault="00886627" w:rsidP="00886627">
      <w:r>
        <w:t xml:space="preserve">While the test is not currently legislated to extend further than the existing product coverage, many stakeholders have advocated for the test to apply to all APRA-regulated superannuation products. This has been on the basis that members in these products also have the right to be afforded the same transparency and protection from underperformance as those currently covered by the test. Extending the test may also uphold the integrity of the </w:t>
      </w:r>
      <w:r w:rsidR="00EB6915">
        <w:t xml:space="preserve">superannuation </w:t>
      </w:r>
      <w:r>
        <w:t>system by reducing incentives for trustees to:</w:t>
      </w:r>
    </w:p>
    <w:p w14:paraId="784130B3" w14:textId="77777777" w:rsidR="00886627" w:rsidRDefault="00886627" w:rsidP="00886627">
      <w:pPr>
        <w:pStyle w:val="Bullet"/>
      </w:pPr>
      <w:r>
        <w:t>restructure products to avoid the test</w:t>
      </w:r>
    </w:p>
    <w:p w14:paraId="77F64852" w14:textId="77777777" w:rsidR="00886627" w:rsidRDefault="00886627" w:rsidP="00886627">
      <w:pPr>
        <w:pStyle w:val="Bullet"/>
      </w:pPr>
      <w:r>
        <w:t>encourage members to move into products that are not tested</w:t>
      </w:r>
    </w:p>
    <w:p w14:paraId="3E417763" w14:textId="77777777" w:rsidR="00886627" w:rsidRDefault="00886627" w:rsidP="00886627">
      <w:pPr>
        <w:pStyle w:val="Bullet"/>
      </w:pPr>
      <w:r>
        <w:t xml:space="preserve">increase fees on untested products to cross-subsidise tested products. </w:t>
      </w:r>
    </w:p>
    <w:p w14:paraId="708DE5B5" w14:textId="05DA5D2B" w:rsidR="00886627" w:rsidRDefault="00886627" w:rsidP="00886627">
      <w:r>
        <w:t xml:space="preserve">The current test was only designed to apply to multi-sector accumulation products. When considering changes to the test framework, it would be desirable that the test has the flexibility to remain fit for purpose for a wider range of products so that the Government </w:t>
      </w:r>
      <w:r w:rsidR="00BA03B8">
        <w:t xml:space="preserve">could </w:t>
      </w:r>
      <w:r>
        <w:t xml:space="preserve">increase product coverage without a </w:t>
      </w:r>
      <w:r w:rsidR="00C87B28">
        <w:t xml:space="preserve">further </w:t>
      </w:r>
      <w:r>
        <w:t>redesign</w:t>
      </w:r>
      <w:r w:rsidR="00BA03B8">
        <w:t xml:space="preserve">, </w:t>
      </w:r>
      <w:r>
        <w:t>giv</w:t>
      </w:r>
      <w:r w:rsidR="00BA03B8">
        <w:t>ing</w:t>
      </w:r>
      <w:r>
        <w:t xml:space="preserve"> industry stakeholders certainty about the future test design. Products that are not currently captured by the test, but could be considered in the future, can be roughly sorted into three categories – </w:t>
      </w:r>
      <w:r w:rsidR="008300AF">
        <w:t xml:space="preserve">externally-managed, single-sector and </w:t>
      </w:r>
      <w:r>
        <w:t>retirement.</w:t>
      </w:r>
    </w:p>
    <w:p w14:paraId="7A3D3838" w14:textId="77777777" w:rsidR="007959F4" w:rsidRDefault="007959F4" w:rsidP="00886627">
      <w:pPr>
        <w:rPr>
          <w:rFonts w:cs="Arial"/>
          <w:i/>
          <w:iCs/>
          <w:color w:val="4D7861" w:themeColor="accent2"/>
          <w:kern w:val="32"/>
          <w:szCs w:val="24"/>
        </w:rPr>
      </w:pPr>
    </w:p>
    <w:p w14:paraId="58855FB5" w14:textId="75F441E0" w:rsidR="001236DF" w:rsidRDefault="007959F4" w:rsidP="0058255F">
      <w:pPr>
        <w:pStyle w:val="ChartMainHeading"/>
      </w:pPr>
      <w:bookmarkStart w:id="36" w:name="_Toc151571888"/>
      <w:bookmarkStart w:id="37" w:name="_Toc151574889"/>
      <w:bookmarkStart w:id="38" w:name="_Toc151575170"/>
      <w:bookmarkStart w:id="39" w:name="_Toc151729223"/>
      <w:bookmarkStart w:id="40" w:name="_Toc151729438"/>
      <w:bookmarkStart w:id="41" w:name="_Toc153182344"/>
      <w:bookmarkStart w:id="42" w:name="_Toc153206246"/>
      <w:bookmarkStart w:id="43" w:name="_Toc155955183"/>
      <w:r w:rsidRPr="00D9513E">
        <w:t xml:space="preserve">Chart </w:t>
      </w:r>
      <w:r>
        <w:t>4</w:t>
      </w:r>
      <w:r w:rsidRPr="00D9513E">
        <w:t xml:space="preserve"> – Total assets in the superannuation system for June 2023 (in $ billions)</w:t>
      </w:r>
      <w:bookmarkEnd w:id="36"/>
      <w:bookmarkEnd w:id="37"/>
      <w:bookmarkEnd w:id="38"/>
      <w:bookmarkEnd w:id="39"/>
      <w:bookmarkEnd w:id="40"/>
      <w:bookmarkEnd w:id="41"/>
      <w:bookmarkEnd w:id="42"/>
      <w:bookmarkEnd w:id="43"/>
    </w:p>
    <w:p w14:paraId="30963FC3" w14:textId="2D4F3BCC" w:rsidR="001E2170" w:rsidRPr="00EA341B" w:rsidRDefault="00127526" w:rsidP="0058255F">
      <w:pPr>
        <w:ind w:left="-284"/>
      </w:pPr>
      <w:r>
        <w:rPr>
          <w:noProof/>
        </w:rPr>
        <w:drawing>
          <wp:inline distT="0" distB="0" distL="0" distR="0" wp14:anchorId="5F8EFDA1" wp14:editId="7C94115E">
            <wp:extent cx="6219825" cy="41028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219825" cy="4102890"/>
                    </a:xfrm>
                    <a:prstGeom prst="rect">
                      <a:avLst/>
                    </a:prstGeom>
                  </pic:spPr>
                </pic:pic>
              </a:graphicData>
            </a:graphic>
          </wp:inline>
        </w:drawing>
      </w:r>
    </w:p>
    <w:p w14:paraId="4D082C1D" w14:textId="77777777" w:rsidR="007959F4" w:rsidRPr="00D9513E" w:rsidRDefault="007959F4" w:rsidP="00EA341B">
      <w:pPr>
        <w:pStyle w:val="ChartorTableNote"/>
      </w:pPr>
      <w:r w:rsidRPr="00904DD3">
        <w:rPr>
          <w:b/>
        </w:rPr>
        <w:t>Green</w:t>
      </w:r>
      <w:r w:rsidRPr="00D9513E">
        <w:t xml:space="preserve"> represents assets already covered by the test, </w:t>
      </w:r>
      <w:r w:rsidRPr="00904DD3">
        <w:rPr>
          <w:b/>
        </w:rPr>
        <w:t>blue</w:t>
      </w:r>
      <w:r w:rsidRPr="00D9513E">
        <w:t xml:space="preserve"> represents assets that could be tested and </w:t>
      </w:r>
      <w:r w:rsidRPr="00904DD3">
        <w:rPr>
          <w:b/>
        </w:rPr>
        <w:t>red</w:t>
      </w:r>
      <w:r w:rsidRPr="00D9513E">
        <w:t xml:space="preserve"> represents assets that are </w:t>
      </w:r>
      <w:r>
        <w:t>impractical</w:t>
      </w:r>
      <w:r w:rsidRPr="00D9513E">
        <w:t xml:space="preserve"> to test. </w:t>
      </w:r>
    </w:p>
    <w:p w14:paraId="4D91278E" w14:textId="77777777" w:rsidR="007959F4" w:rsidRPr="006B0B80" w:rsidRDefault="007959F4" w:rsidP="00EA341B">
      <w:pPr>
        <w:pStyle w:val="ChartorTableNote"/>
        <w:rPr>
          <w:szCs w:val="18"/>
        </w:rPr>
      </w:pPr>
      <w:r w:rsidRPr="00413FEB">
        <w:rPr>
          <w:b/>
          <w:bCs/>
          <w:szCs w:val="18"/>
        </w:rPr>
        <w:t>Other</w:t>
      </w:r>
      <w:r w:rsidRPr="006B0B80">
        <w:rPr>
          <w:szCs w:val="18"/>
        </w:rPr>
        <w:t xml:space="preserve"> includes </w:t>
      </w:r>
      <w:r>
        <w:rPr>
          <w:szCs w:val="18"/>
        </w:rPr>
        <w:t xml:space="preserve">single member ADFs, small APRA funds, exempt public sector superannuation schemes and balance of life office statutory funds. </w:t>
      </w:r>
    </w:p>
    <w:p w14:paraId="54A75651" w14:textId="38306C5B" w:rsidR="007959F4" w:rsidRPr="00EA341B" w:rsidRDefault="007959F4" w:rsidP="00EA341B">
      <w:pPr>
        <w:pStyle w:val="ChartorTableNote"/>
        <w:rPr>
          <w:rFonts w:cs="Arial"/>
          <w:color w:val="4D7861" w:themeColor="accent2"/>
          <w:kern w:val="32"/>
          <w:sz w:val="20"/>
          <w:szCs w:val="22"/>
        </w:rPr>
      </w:pPr>
      <w:r w:rsidRPr="00EA341B">
        <w:rPr>
          <w:b/>
        </w:rPr>
        <w:t>Source:</w:t>
      </w:r>
      <w:r w:rsidRPr="00EA341B">
        <w:t xml:space="preserve"> APRA Quarterly Superannuation Industry Publication June 2023</w:t>
      </w:r>
      <w:r w:rsidR="006073E6">
        <w:t xml:space="preserve"> and APRA Quarterly </w:t>
      </w:r>
      <w:r w:rsidR="00291107">
        <w:t xml:space="preserve">Superannuation </w:t>
      </w:r>
      <w:r w:rsidR="006073E6">
        <w:t>Performance</w:t>
      </w:r>
      <w:r w:rsidR="00291107">
        <w:t xml:space="preserve"> Statistics June 2023.</w:t>
      </w:r>
      <w:r w:rsidR="006073E6">
        <w:t xml:space="preserve"> </w:t>
      </w:r>
      <w:r w:rsidRPr="00EA341B">
        <w:t xml:space="preserve"> </w:t>
      </w:r>
    </w:p>
    <w:p w14:paraId="04A19AE1" w14:textId="21CD300B" w:rsidR="003A010F" w:rsidRPr="001E69D9" w:rsidRDefault="003A010F" w:rsidP="003A010F">
      <w:pPr>
        <w:keepNext/>
        <w:rPr>
          <w:rFonts w:cs="Arial"/>
          <w:i/>
          <w:iCs/>
          <w:color w:val="4D7861" w:themeColor="accent2"/>
          <w:kern w:val="32"/>
          <w:szCs w:val="24"/>
        </w:rPr>
      </w:pPr>
      <w:r w:rsidRPr="001E69D9">
        <w:rPr>
          <w:rFonts w:cs="Arial"/>
          <w:i/>
          <w:iCs/>
          <w:color w:val="4D7861" w:themeColor="accent2"/>
          <w:kern w:val="32"/>
          <w:szCs w:val="24"/>
        </w:rPr>
        <w:t>Externally-managed products</w:t>
      </w:r>
    </w:p>
    <w:p w14:paraId="46BF5E30" w14:textId="77777777" w:rsidR="003A010F" w:rsidRDefault="003A010F" w:rsidP="003A010F">
      <w:pPr>
        <w:pStyle w:val="Bullet"/>
        <w:keepNext/>
        <w:numPr>
          <w:ilvl w:val="0"/>
          <w:numId w:val="0"/>
        </w:numPr>
        <w:spacing w:line="240" w:lineRule="auto"/>
      </w:pPr>
      <w:r>
        <w:t xml:space="preserve">Externally-managed products are those where the trustee, or their connected entities, are not involved in the design or implementation of the investment strategy. There is around </w:t>
      </w:r>
      <w:r w:rsidRPr="00585399">
        <w:t>$</w:t>
      </w:r>
      <w:r>
        <w:t>50</w:t>
      </w:r>
      <w:r w:rsidRPr="00585399">
        <w:t xml:space="preserve"> billion</w:t>
      </w:r>
      <w:r>
        <w:t xml:space="preserve"> in assets in externally-managed products in the accumulation phase.</w:t>
      </w:r>
      <w:r>
        <w:rPr>
          <w:rStyle w:val="FootnoteReference"/>
        </w:rPr>
        <w:footnoteReference w:id="17"/>
      </w:r>
      <w:r>
        <w:t xml:space="preserve"> </w:t>
      </w:r>
    </w:p>
    <w:p w14:paraId="368D36F9" w14:textId="77777777" w:rsidR="003A010F" w:rsidRDefault="003A010F" w:rsidP="003A010F">
      <w:pPr>
        <w:pStyle w:val="Bullet"/>
        <w:numPr>
          <w:ilvl w:val="0"/>
          <w:numId w:val="0"/>
        </w:numPr>
        <w:spacing w:line="240" w:lineRule="auto"/>
      </w:pPr>
      <w:proofErr w:type="gramStart"/>
      <w:r>
        <w:t>Externally-managed</w:t>
      </w:r>
      <w:proofErr w:type="gramEnd"/>
      <w:r>
        <w:t xml:space="preserve"> products have not been tested to date, as it is less clear the role the trustee plays in influencing the outcomes of the product and there are additional technical nuances that would need to be considered in extending the test to these products. However, superannuation trustees charge members for administration services and have a duty to act in their members’ best financial interests. This is likely to extend to ensuring that trustees only offer performing products, regardless of the level of control they maintain over the investments. </w:t>
      </w:r>
    </w:p>
    <w:p w14:paraId="6282B8A2" w14:textId="77777777" w:rsidR="003A010F" w:rsidRDefault="003A010F" w:rsidP="003A010F">
      <w:pPr>
        <w:pStyle w:val="Bullet"/>
        <w:numPr>
          <w:ilvl w:val="0"/>
          <w:numId w:val="0"/>
        </w:numPr>
        <w:spacing w:line="240" w:lineRule="auto"/>
      </w:pPr>
      <w:r>
        <w:t xml:space="preserve">Administration fees must be carefully considered when testing </w:t>
      </w:r>
      <w:proofErr w:type="gramStart"/>
      <w:r>
        <w:t>externally-managed</w:t>
      </w:r>
      <w:proofErr w:type="gramEnd"/>
      <w:r>
        <w:t xml:space="preserve"> products, as the associated administration services are provided by the superannuation entity (separate to the responsible entity of the investment product). Therefore, administration fees will vary across superannuation funds that offer these products and will not be influenced by the responsible entity of the investment product. Consideration needs to be given to how these products could be tested, given the member experience could vary significantly from one super fund to another and the impact of the consequences will be felt by multiple entities.</w:t>
      </w:r>
    </w:p>
    <w:p w14:paraId="69EA7B6D" w14:textId="77777777" w:rsidR="003A010F" w:rsidRDefault="003A010F" w:rsidP="003A010F">
      <w:pPr>
        <w:spacing w:line="259" w:lineRule="auto"/>
        <w:rPr>
          <w:rFonts w:cs="Arial"/>
          <w:i/>
          <w:iCs/>
          <w:color w:val="4D7861" w:themeColor="accent2"/>
          <w:kern w:val="32"/>
          <w:szCs w:val="24"/>
        </w:rPr>
      </w:pPr>
      <w:r w:rsidRPr="001E69D9">
        <w:rPr>
          <w:rFonts w:cs="Arial"/>
          <w:i/>
          <w:iCs/>
          <w:color w:val="4D7861" w:themeColor="accent2"/>
          <w:kern w:val="32"/>
          <w:szCs w:val="24"/>
        </w:rPr>
        <w:t>Single-sector products</w:t>
      </w:r>
    </w:p>
    <w:p w14:paraId="638E06E5" w14:textId="77777777" w:rsidR="003A010F" w:rsidRDefault="003A010F" w:rsidP="003A010F">
      <w:r w:rsidRPr="000B4EEF">
        <w:t>Single-sector products are those that have a strategic asset allocation to only one asset class (or only two, where one has an allocation of less than 10 per cent).</w:t>
      </w:r>
      <w:r>
        <w:t xml:space="preserve"> There is around </w:t>
      </w:r>
      <w:r w:rsidRPr="00585399">
        <w:t>$200 billion</w:t>
      </w:r>
      <w:r>
        <w:t xml:space="preserve"> invested in single-sector accumulation products, across nearly </w:t>
      </w:r>
      <w:proofErr w:type="gramStart"/>
      <w:r w:rsidRPr="00585399">
        <w:t>6 million member</w:t>
      </w:r>
      <w:proofErr w:type="gramEnd"/>
      <w:r>
        <w:t xml:space="preserve"> accounts.</w:t>
      </w:r>
      <w:r>
        <w:rPr>
          <w:rStyle w:val="FootnoteReference"/>
        </w:rPr>
        <w:footnoteReference w:id="18"/>
      </w:r>
    </w:p>
    <w:p w14:paraId="5AAB7A86" w14:textId="77777777" w:rsidR="003A010F" w:rsidRPr="000B4EEF" w:rsidRDefault="003A010F" w:rsidP="003A010F">
      <w:r>
        <w:t xml:space="preserve">Performance testing these products would be different to testing multi-sector products, as the ability of the trustee to value-add is limited to asset selection and fees charged. Trustees have a greater ability to influence the outcomes of multi-sector products through diversification and the design of the investment strategy. </w:t>
      </w:r>
      <w:r w:rsidRPr="00D5782B">
        <w:t>However, the Productivity Commission recommended that single-sector products be included in the test and noted that asset class returns exceeded benchmark returns for most asset classes.</w:t>
      </w:r>
    </w:p>
    <w:p w14:paraId="0EB23B4E" w14:textId="3CBC3F43" w:rsidR="00886627" w:rsidRPr="001E69D9" w:rsidRDefault="00886627" w:rsidP="00886627">
      <w:pPr>
        <w:rPr>
          <w:rFonts w:cs="Arial"/>
          <w:i/>
          <w:iCs/>
          <w:color w:val="4D7861" w:themeColor="accent2"/>
          <w:kern w:val="32"/>
          <w:szCs w:val="24"/>
        </w:rPr>
      </w:pPr>
      <w:r w:rsidRPr="001E69D9">
        <w:rPr>
          <w:rFonts w:cs="Arial"/>
          <w:i/>
          <w:iCs/>
          <w:color w:val="4D7861" w:themeColor="accent2"/>
          <w:kern w:val="32"/>
          <w:szCs w:val="24"/>
        </w:rPr>
        <w:t>Retirement products</w:t>
      </w:r>
    </w:p>
    <w:p w14:paraId="78FA4E45" w14:textId="77C49EDF" w:rsidR="0008229A" w:rsidRDefault="00260461" w:rsidP="0009191F">
      <w:pPr>
        <w:spacing w:after="0" w:line="276" w:lineRule="auto"/>
      </w:pPr>
      <w:r>
        <w:t xml:space="preserve">The Government </w:t>
      </w:r>
      <w:r w:rsidR="00B563A2">
        <w:t xml:space="preserve">released a discussion paper to canvass stakeholder views on ways the </w:t>
      </w:r>
      <w:r w:rsidR="00132D8A">
        <w:t>superannuation system can best provide the security and income</w:t>
      </w:r>
      <w:r w:rsidR="00B563A2">
        <w:t xml:space="preserve"> </w:t>
      </w:r>
      <w:r w:rsidR="000B05C1">
        <w:t xml:space="preserve">Australians need as they live longer and healthier </w:t>
      </w:r>
      <w:r w:rsidR="00A74656">
        <w:t xml:space="preserve">lives in retirement. </w:t>
      </w:r>
      <w:r w:rsidR="00C07010">
        <w:t>Th</w:t>
      </w:r>
      <w:r w:rsidR="00DB282C">
        <w:t xml:space="preserve">e discussion paper </w:t>
      </w:r>
      <w:r w:rsidR="009453A8">
        <w:t>examines</w:t>
      </w:r>
      <w:r w:rsidR="006C347B">
        <w:t xml:space="preserve"> three </w:t>
      </w:r>
      <w:r w:rsidR="00193F54">
        <w:t>key areas:</w:t>
      </w:r>
    </w:p>
    <w:p w14:paraId="70676FD9" w14:textId="27A57996" w:rsidR="00193F54" w:rsidRDefault="00193F54" w:rsidP="00193F54">
      <w:pPr>
        <w:pStyle w:val="Bullet"/>
      </w:pPr>
      <w:r>
        <w:t>Supporting members to navigate the retirement income system</w:t>
      </w:r>
    </w:p>
    <w:p w14:paraId="250052E4" w14:textId="2498CDE4" w:rsidR="00C857F9" w:rsidRDefault="00C857F9" w:rsidP="00193F54">
      <w:pPr>
        <w:pStyle w:val="Bullet"/>
      </w:pPr>
      <w:r>
        <w:t>Supporting funds to deliver better retirement income products and services</w:t>
      </w:r>
    </w:p>
    <w:p w14:paraId="37F19487" w14:textId="6B7E0613" w:rsidR="00C857F9" w:rsidRDefault="00C857F9" w:rsidP="00193F54">
      <w:pPr>
        <w:pStyle w:val="Bullet"/>
      </w:pPr>
      <w:r>
        <w:t>Making lifetime income products more accessible.</w:t>
      </w:r>
    </w:p>
    <w:p w14:paraId="46E084AD" w14:textId="0E0B2009" w:rsidR="000D04D7" w:rsidRDefault="000D04D7" w:rsidP="0009191F">
      <w:pPr>
        <w:pStyle w:val="Bullet"/>
        <w:numPr>
          <w:ilvl w:val="0"/>
          <w:numId w:val="0"/>
        </w:numPr>
      </w:pPr>
      <w:r>
        <w:t xml:space="preserve">The Retirement phase of superannuation discussion paper can be accessed at </w:t>
      </w:r>
      <w:hyperlink r:id="rId38" w:history="1">
        <w:r w:rsidRPr="00D64E27">
          <w:rPr>
            <w:rStyle w:val="Hyperlink"/>
          </w:rPr>
          <w:t>https://treasury.gov.au/consultation/c2023-441613</w:t>
        </w:r>
      </w:hyperlink>
      <w:r w:rsidR="00414534">
        <w:t>.</w:t>
      </w:r>
    </w:p>
    <w:p w14:paraId="07911FD7" w14:textId="08ED2970" w:rsidR="00DD016B" w:rsidRDefault="000D04D7" w:rsidP="0009191F">
      <w:pPr>
        <w:spacing w:after="0" w:line="276" w:lineRule="auto"/>
        <w:rPr>
          <w:rFonts w:cs="Arial"/>
          <w:i/>
          <w:iCs/>
          <w:color w:val="4D7861" w:themeColor="accent2"/>
          <w:kern w:val="32"/>
          <w:szCs w:val="24"/>
        </w:rPr>
      </w:pPr>
      <w:r>
        <w:t>The following section of th</w:t>
      </w:r>
      <w:r w:rsidR="001B5190">
        <w:t>is</w:t>
      </w:r>
      <w:r>
        <w:t xml:space="preserve"> options paper considers technical issues specific to extending a performance test to products in the retirement phase</w:t>
      </w:r>
      <w:r w:rsidR="00BD471B">
        <w:t>, noting that</w:t>
      </w:r>
      <w:r w:rsidR="002D02E0">
        <w:t xml:space="preserve"> </w:t>
      </w:r>
      <w:r w:rsidR="00C24A8E">
        <w:t>o</w:t>
      </w:r>
      <w:r w:rsidR="002D02E0">
        <w:t>ptions to refine the retirement phase policy settings are being considered separately.</w:t>
      </w:r>
    </w:p>
    <w:p w14:paraId="360B0C05" w14:textId="5E44B8CB" w:rsidR="007011E4" w:rsidRPr="001E69D9" w:rsidRDefault="007011E4" w:rsidP="00EA341B">
      <w:pPr>
        <w:spacing w:line="276" w:lineRule="auto"/>
        <w:rPr>
          <w:rFonts w:cs="Arial"/>
          <w:i/>
          <w:iCs/>
          <w:color w:val="4D7861" w:themeColor="accent2"/>
          <w:kern w:val="32"/>
          <w:szCs w:val="24"/>
        </w:rPr>
      </w:pPr>
      <w:r>
        <w:rPr>
          <w:rFonts w:cs="Arial"/>
          <w:i/>
          <w:iCs/>
          <w:color w:val="4D7861" w:themeColor="accent2"/>
          <w:kern w:val="32"/>
          <w:szCs w:val="24"/>
        </w:rPr>
        <w:t>Scale of r</w:t>
      </w:r>
      <w:r w:rsidRPr="001E69D9">
        <w:rPr>
          <w:rFonts w:cs="Arial"/>
          <w:i/>
          <w:iCs/>
          <w:color w:val="4D7861" w:themeColor="accent2"/>
          <w:kern w:val="32"/>
          <w:szCs w:val="24"/>
        </w:rPr>
        <w:t>etirement products</w:t>
      </w:r>
    </w:p>
    <w:p w14:paraId="6699DE33" w14:textId="157DF7FA" w:rsidR="00886627" w:rsidRDefault="00886627" w:rsidP="0009191F">
      <w:pPr>
        <w:spacing w:after="0" w:line="276" w:lineRule="auto"/>
      </w:pPr>
      <w:r w:rsidRPr="000B4EEF">
        <w:t xml:space="preserve">Retirement products are offered to retired members in the drawdown phase and make up </w:t>
      </w:r>
      <w:r>
        <w:t>around</w:t>
      </w:r>
      <w:r w:rsidRPr="000B4EEF">
        <w:t xml:space="preserve"> </w:t>
      </w:r>
      <w:r w:rsidRPr="00585399">
        <w:t>$400 billion</w:t>
      </w:r>
      <w:r w:rsidRPr="000B4EEF">
        <w:t xml:space="preserve"> in assets across </w:t>
      </w:r>
      <w:r w:rsidRPr="00585399">
        <w:t>1.2 million</w:t>
      </w:r>
      <w:r w:rsidRPr="000B4EEF">
        <w:t xml:space="preserve"> member accounts</w:t>
      </w:r>
      <w:r>
        <w:t xml:space="preserve"> within APRA-regulated funds with more than six members</w:t>
      </w:r>
      <w:r w:rsidRPr="000B4EEF">
        <w:t xml:space="preserve"> (as at 3</w:t>
      </w:r>
      <w:r>
        <w:t>0</w:t>
      </w:r>
      <w:r w:rsidRPr="000B4EEF">
        <w:t xml:space="preserve"> </w:t>
      </w:r>
      <w:r>
        <w:t>June</w:t>
      </w:r>
      <w:r w:rsidRPr="000B4EEF">
        <w:t xml:space="preserve"> 2023)</w:t>
      </w:r>
      <w:r w:rsidR="00EB4AA1">
        <w:t>.</w:t>
      </w:r>
      <w:r w:rsidRPr="000B4EEF">
        <w:rPr>
          <w:rStyle w:val="FootnoteReference"/>
        </w:rPr>
        <w:footnoteReference w:id="19"/>
      </w:r>
      <w:r>
        <w:t xml:space="preserve"> Members over age 55 represent </w:t>
      </w:r>
      <w:r w:rsidRPr="00585399">
        <w:t>over half</w:t>
      </w:r>
      <w:r>
        <w:t xml:space="preserve"> of total APRA</w:t>
      </w:r>
      <w:r w:rsidR="00163521">
        <w:t>-</w:t>
      </w:r>
      <w:r>
        <w:t>regulated assets and</w:t>
      </w:r>
      <w:r w:rsidRPr="00757AC4">
        <w:rPr>
          <w:rStyle w:val="cf01"/>
          <w:rFonts w:ascii="Calibri Light" w:hAnsi="Calibri Light" w:cs="Calibri Light"/>
          <w:sz w:val="22"/>
          <w:szCs w:val="22"/>
        </w:rPr>
        <w:t xml:space="preserve"> </w:t>
      </w:r>
      <w:r>
        <w:rPr>
          <w:rStyle w:val="cf01"/>
          <w:rFonts w:ascii="Calibri Light" w:hAnsi="Calibri Light" w:cs="Calibri Light"/>
          <w:sz w:val="22"/>
          <w:szCs w:val="22"/>
        </w:rPr>
        <w:t>o</w:t>
      </w:r>
      <w:r w:rsidRPr="00757AC4">
        <w:rPr>
          <w:rStyle w:val="cf01"/>
          <w:rFonts w:ascii="Calibri Light" w:hAnsi="Calibri Light" w:cs="Calibri Light"/>
          <w:sz w:val="22"/>
          <w:szCs w:val="22"/>
        </w:rPr>
        <w:t>ver the next 10 years, an estimated 2.5 million Australians will move from the accumulation to the retirement phase of superannuation.</w:t>
      </w:r>
      <w:r>
        <w:rPr>
          <w:rStyle w:val="FootnoteReference"/>
        </w:rPr>
        <w:footnoteReference w:id="20"/>
      </w:r>
      <w:r>
        <w:t xml:space="preserve"> </w:t>
      </w:r>
    </w:p>
    <w:p w14:paraId="37EE3394" w14:textId="2A6BAC23" w:rsidR="00886627" w:rsidRPr="000B4EEF" w:rsidRDefault="00886627" w:rsidP="0009191F">
      <w:pPr>
        <w:spacing w:after="0" w:line="276" w:lineRule="auto"/>
      </w:pPr>
      <w:r w:rsidRPr="00D5782B">
        <w:t xml:space="preserve">While a performance testing regime may be applicable to account-based pensions, it </w:t>
      </w:r>
      <w:r w:rsidR="002636DA" w:rsidRPr="00D5782B">
        <w:t>would be</w:t>
      </w:r>
      <w:r w:rsidRPr="00D5782B">
        <w:t xml:space="preserve"> important to calibrate the test design</w:t>
      </w:r>
      <w:r w:rsidR="003D69FB" w:rsidRPr="00D5782B">
        <w:t xml:space="preserve"> and scope</w:t>
      </w:r>
      <w:r w:rsidRPr="00D5782B">
        <w:t xml:space="preserve"> in such a way as to not discourage the innovation of retirement products that </w:t>
      </w:r>
      <w:r w:rsidR="00E95501" w:rsidRPr="00D5782B">
        <w:t xml:space="preserve">may </w:t>
      </w:r>
      <w:r w:rsidRPr="00D5782B">
        <w:t>better manage the use of retirement assets, including longevity risks. Account-based pensions are a flexible retirement income stream product, whereas a longevity product provides the member with a guaranteed regular income for a defined number of years</w:t>
      </w:r>
      <w:r w:rsidR="00AE68AE" w:rsidRPr="00D5782B">
        <w:t>,</w:t>
      </w:r>
      <w:r w:rsidRPr="00D5782B">
        <w:t xml:space="preserve"> or the rest of their life, such as an annuity.</w:t>
      </w:r>
    </w:p>
    <w:p w14:paraId="483D8191" w14:textId="77777777" w:rsidR="00886627" w:rsidRDefault="00886627" w:rsidP="00886627">
      <w:pPr>
        <w:pStyle w:val="Heading4"/>
      </w:pPr>
      <w:r>
        <w:t>Issues to consider for the retirement phase</w:t>
      </w:r>
    </w:p>
    <w:p w14:paraId="7AA0787B" w14:textId="3EC294AB" w:rsidR="00886627" w:rsidRDefault="003100E8" w:rsidP="0009191F">
      <w:pPr>
        <w:spacing w:after="0" w:line="276" w:lineRule="auto"/>
        <w:rPr>
          <w:rFonts w:cs="Arial"/>
          <w:kern w:val="32"/>
          <w:szCs w:val="22"/>
        </w:rPr>
      </w:pPr>
      <w:r>
        <w:rPr>
          <w:rFonts w:cs="Arial"/>
          <w:kern w:val="32"/>
          <w:szCs w:val="22"/>
        </w:rPr>
        <w:t>M</w:t>
      </w:r>
      <w:r w:rsidR="00886627">
        <w:rPr>
          <w:rFonts w:cs="Arial"/>
          <w:kern w:val="32"/>
          <w:szCs w:val="22"/>
        </w:rPr>
        <w:t xml:space="preserve">embers who are in or are approaching the retirement phase should be similarly protected from poor fund performance as members in accumulation. However, there are a range of different risks which trustees are required to manage in the retirement phase, such as longevity and liquidity risks, which may impact performance. These need to be considered </w:t>
      </w:r>
      <w:r w:rsidR="00D17BA0">
        <w:rPr>
          <w:rFonts w:cs="Arial"/>
          <w:kern w:val="32"/>
          <w:szCs w:val="22"/>
        </w:rPr>
        <w:t xml:space="preserve">when designing </w:t>
      </w:r>
      <w:r w:rsidR="008025A5">
        <w:rPr>
          <w:rFonts w:cs="Arial"/>
          <w:kern w:val="32"/>
          <w:szCs w:val="22"/>
        </w:rPr>
        <w:t>a fit for purpose test to</w:t>
      </w:r>
      <w:r w:rsidR="00886627">
        <w:rPr>
          <w:rFonts w:cs="Arial"/>
          <w:kern w:val="32"/>
          <w:szCs w:val="22"/>
        </w:rPr>
        <w:t xml:space="preserve"> assess the performance of retirement phase products</w:t>
      </w:r>
      <w:r w:rsidR="007707D0">
        <w:rPr>
          <w:rFonts w:cs="Arial"/>
          <w:kern w:val="32"/>
          <w:szCs w:val="22"/>
        </w:rPr>
        <w:t>.</w:t>
      </w:r>
    </w:p>
    <w:p w14:paraId="793AFA98" w14:textId="77777777" w:rsidR="00886627" w:rsidRPr="001E69D9" w:rsidRDefault="00886627" w:rsidP="00886627">
      <w:pPr>
        <w:rPr>
          <w:rFonts w:cs="Arial"/>
          <w:i/>
          <w:iCs/>
          <w:color w:val="4D7861" w:themeColor="accent2"/>
          <w:kern w:val="32"/>
          <w:szCs w:val="24"/>
        </w:rPr>
      </w:pPr>
      <w:r>
        <w:rPr>
          <w:rFonts w:cs="Arial"/>
          <w:i/>
          <w:iCs/>
          <w:color w:val="4D7861" w:themeColor="accent2"/>
          <w:kern w:val="32"/>
          <w:szCs w:val="24"/>
        </w:rPr>
        <w:t>Longevity protection</w:t>
      </w:r>
    </w:p>
    <w:p w14:paraId="66AC996B" w14:textId="119C627E" w:rsidR="00886627" w:rsidRDefault="00886627" w:rsidP="0009191F">
      <w:pPr>
        <w:spacing w:after="0" w:line="276" w:lineRule="auto"/>
      </w:pPr>
      <w:r>
        <w:rPr>
          <w:rFonts w:cs="Arial"/>
          <w:kern w:val="32"/>
          <w:szCs w:val="22"/>
        </w:rPr>
        <w:t>L</w:t>
      </w:r>
      <w:r w:rsidRPr="00EC53FE">
        <w:t>ongevity risk protection was raised in the Retirement Income Review as</w:t>
      </w:r>
      <w:r>
        <w:t xml:space="preserve"> important as</w:t>
      </w:r>
      <w:r w:rsidRPr="00EC53FE">
        <w:t xml:space="preserve"> it allows people to confidently draw down assets to fund their retirement. </w:t>
      </w:r>
      <w:r>
        <w:t xml:space="preserve">Management of longevity risk is a key consideration for trustees when formulating their strategy as required under the Retirement Income Covenant. </w:t>
      </w:r>
      <w:r w:rsidRPr="00EC53FE">
        <w:t xml:space="preserve">Without longevity protection, concern about running out of savings </w:t>
      </w:r>
      <w:r>
        <w:t>contributes to retirees underspending and experiencing lower standards of living in retirement</w:t>
      </w:r>
      <w:r w:rsidRPr="00EC53FE">
        <w:t>. The test would either need to ignore longevity components of products or have a suitable testing framework that takes this into account</w:t>
      </w:r>
      <w:r>
        <w:t xml:space="preserve">, given these products generally offer a guaranteed source of income in lieu of maintaining a reserve of assets that are invested. Furthermore, these products often do not allow members to switch once they have commenced. </w:t>
      </w:r>
      <w:r w:rsidR="0056607E">
        <w:t>While t</w:t>
      </w:r>
      <w:r>
        <w:t>he P</w:t>
      </w:r>
      <w:r w:rsidR="0015739D">
        <w:t xml:space="preserve">roductivity </w:t>
      </w:r>
      <w:r>
        <w:t>C</w:t>
      </w:r>
      <w:r w:rsidR="0015739D">
        <w:t>ommission</w:t>
      </w:r>
      <w:r>
        <w:t xml:space="preserve"> proposed that the retirement phase</w:t>
      </w:r>
      <w:r w:rsidR="0056607E">
        <w:t xml:space="preserve"> should be tested</w:t>
      </w:r>
      <w:r>
        <w:t xml:space="preserve">, </w:t>
      </w:r>
      <w:r w:rsidR="0056607E">
        <w:t>they noted that</w:t>
      </w:r>
      <w:r>
        <w:t xml:space="preserve"> annuity products should be </w:t>
      </w:r>
      <w:r w:rsidR="0056607E">
        <w:t>excluded from this</w:t>
      </w:r>
      <w:r>
        <w:t xml:space="preserve">. </w:t>
      </w:r>
    </w:p>
    <w:p w14:paraId="068695FC" w14:textId="77777777" w:rsidR="00886627" w:rsidRPr="001E69D9" w:rsidRDefault="00886627" w:rsidP="00886627">
      <w:pPr>
        <w:rPr>
          <w:rFonts w:cs="Arial"/>
          <w:i/>
          <w:iCs/>
          <w:color w:val="4D7861" w:themeColor="accent2"/>
          <w:kern w:val="32"/>
          <w:szCs w:val="24"/>
        </w:rPr>
      </w:pPr>
      <w:r>
        <w:rPr>
          <w:rFonts w:cs="Arial"/>
          <w:i/>
          <w:iCs/>
          <w:color w:val="4D7861" w:themeColor="accent2"/>
          <w:kern w:val="32"/>
          <w:szCs w:val="24"/>
        </w:rPr>
        <w:t>Retirement products – innovation and liquidity</w:t>
      </w:r>
    </w:p>
    <w:p w14:paraId="74349E8A" w14:textId="2947DCBB" w:rsidR="00886627" w:rsidRDefault="00886627" w:rsidP="0009191F">
      <w:pPr>
        <w:spacing w:after="0" w:line="276" w:lineRule="auto"/>
      </w:pPr>
      <w:r>
        <w:t xml:space="preserve">A testing framework for retirement phase products should seek to improve performance in the retirement phase, but not discourage </w:t>
      </w:r>
      <w:r w:rsidRPr="00D5782B">
        <w:t xml:space="preserve">innovation. </w:t>
      </w:r>
      <w:r w:rsidR="00162D29" w:rsidRPr="00D5782B">
        <w:t>If a performance test was i</w:t>
      </w:r>
      <w:r w:rsidRPr="00D5782B">
        <w:t>ntroduc</w:t>
      </w:r>
      <w:r w:rsidR="00162D29" w:rsidRPr="00D5782B">
        <w:t>ed</w:t>
      </w:r>
      <w:r w:rsidRPr="00D5782B">
        <w:t xml:space="preserve"> in the retirement phase</w:t>
      </w:r>
      <w:r w:rsidR="00C51EC9" w:rsidRPr="00D5782B">
        <w:t>, it</w:t>
      </w:r>
      <w:r w:rsidRPr="00D5782B">
        <w:t xml:space="preserve"> should consider that this is still an emerging market.</w:t>
      </w:r>
    </w:p>
    <w:p w14:paraId="1DD1D987" w14:textId="36282EE1" w:rsidR="00D512AE" w:rsidRDefault="00886627" w:rsidP="0009191F">
      <w:pPr>
        <w:spacing w:after="0" w:line="276" w:lineRule="auto"/>
        <w:rPr>
          <w:rFonts w:cs="Arial"/>
          <w:i/>
          <w:iCs/>
          <w:color w:val="4D7861" w:themeColor="accent2"/>
          <w:kern w:val="32"/>
          <w:szCs w:val="24"/>
        </w:rPr>
      </w:pPr>
      <w:r w:rsidRPr="00D9513E">
        <w:t>Retirement products have higher liquidity and member services needs compared to accumulation products. This is because members in the retirement phase require ongoing income to be drawn from their product in addition to the processing of lump sum withdrawals which may make managing liquidity more challenging. Therefore, it is important that the material difference in fees and liquidity needs are considered when applying a performance test to retirement products.</w:t>
      </w:r>
    </w:p>
    <w:p w14:paraId="6BC45425" w14:textId="4A2C3AA0" w:rsidR="00886627" w:rsidRPr="001E69D9" w:rsidRDefault="00886627" w:rsidP="0009191F">
      <w:pPr>
        <w:rPr>
          <w:rFonts w:cs="Arial"/>
          <w:i/>
          <w:iCs/>
          <w:color w:val="4D7861" w:themeColor="accent2"/>
          <w:kern w:val="32"/>
          <w:szCs w:val="24"/>
        </w:rPr>
      </w:pPr>
      <w:r>
        <w:rPr>
          <w:rFonts w:cs="Arial"/>
          <w:i/>
          <w:iCs/>
          <w:color w:val="4D7861" w:themeColor="accent2"/>
          <w:kern w:val="32"/>
          <w:szCs w:val="24"/>
        </w:rPr>
        <w:t xml:space="preserve">Performance criteria </w:t>
      </w:r>
    </w:p>
    <w:p w14:paraId="65DD053A" w14:textId="77777777" w:rsidR="00886627" w:rsidRDefault="00886627" w:rsidP="00886627">
      <w:pPr>
        <w:spacing w:before="0" w:line="259" w:lineRule="auto"/>
      </w:pPr>
      <w:r>
        <w:t>To account for the issues identified above, performance testing the retirement phase could take the following forms for different products.</w:t>
      </w:r>
    </w:p>
    <w:p w14:paraId="6B1E7096" w14:textId="77777777" w:rsidR="00886627" w:rsidRDefault="00886627" w:rsidP="00886627">
      <w:pPr>
        <w:pStyle w:val="Bullet"/>
        <w:ind w:left="522" w:hanging="522"/>
      </w:pPr>
      <w:r>
        <w:t>Account-based pensions: similar test to the accumulation phase test but with due consideration to unique factors such as liquidity, management of downside risk and income stability.</w:t>
      </w:r>
    </w:p>
    <w:p w14:paraId="19656341" w14:textId="1850FAC5" w:rsidR="009F6579" w:rsidRDefault="00886627" w:rsidP="0009191F">
      <w:pPr>
        <w:pStyle w:val="Bullet"/>
        <w:numPr>
          <w:ilvl w:val="0"/>
          <w:numId w:val="0"/>
        </w:numPr>
        <w:ind w:left="522"/>
      </w:pPr>
      <w:r>
        <w:t xml:space="preserve">Annuity/longevity products: </w:t>
      </w:r>
      <w:r w:rsidR="004B7DA0">
        <w:t>This could take the form of expanding the YourSuper comparison tool to provide a</w:t>
      </w:r>
      <w:r>
        <w:t xml:space="preserve"> simple way for members to compare the rate of return and fees at the time of purchase. It would not assess whether a product is underperforming but instead give members a way to easily compare products.</w:t>
      </w:r>
      <w:r w:rsidR="004B7DA0">
        <w:t xml:space="preserve"> </w:t>
      </w:r>
      <w:r w:rsidR="00037131">
        <w:t xml:space="preserve">This </w:t>
      </w:r>
      <w:r w:rsidR="004B7DA0">
        <w:t>may be sufficient to drive competition among this cohort of products</w:t>
      </w:r>
      <w:r w:rsidR="00037131">
        <w:t>.</w:t>
      </w:r>
    </w:p>
    <w:p w14:paraId="5E46E5C9" w14:textId="34A056FA" w:rsidR="00886627" w:rsidRDefault="00037131" w:rsidP="009F6579">
      <w:pPr>
        <w:pStyle w:val="Bullet"/>
        <w:numPr>
          <w:ilvl w:val="0"/>
          <w:numId w:val="0"/>
        </w:numPr>
      </w:pPr>
      <w:r>
        <w:t>T</w:t>
      </w:r>
      <w:r w:rsidR="00886627">
        <w:t>he test would need to consider how to treat market-linked annuities and other guarantee products where the trustee offers insurance against some risks, but the member ultimately bears other risks.</w:t>
      </w:r>
      <w:r w:rsidR="00886627" w:rsidRPr="009D7208">
        <w:rPr>
          <w:rStyle w:val="FootnoteReference"/>
        </w:rPr>
        <w:t xml:space="preserve"> </w:t>
      </w:r>
      <w:r w:rsidR="009D7208">
        <w:rPr>
          <w:rStyle w:val="FootnoteReference"/>
        </w:rPr>
        <w:footnoteReference w:id="21"/>
      </w:r>
      <w:r w:rsidR="009D7208">
        <w:t xml:space="preserve"> </w:t>
      </w:r>
      <w:r w:rsidR="00886627">
        <w:t xml:space="preserve"> For example, market-linked annuities might provide the member with longevity protection, but the member bears the market risk</w:t>
      </w:r>
      <w:r w:rsidR="00163B75">
        <w:t>.</w:t>
      </w:r>
      <w:r w:rsidR="00886627">
        <w:rPr>
          <w:rStyle w:val="FootnoteReference"/>
        </w:rPr>
        <w:footnoteReference w:id="22"/>
      </w:r>
    </w:p>
    <w:p w14:paraId="60EA46DB" w14:textId="0CA5C23C" w:rsidR="00886627" w:rsidRDefault="00886627" w:rsidP="00886627">
      <w:pPr>
        <w:pStyle w:val="Bullet"/>
        <w:numPr>
          <w:ilvl w:val="0"/>
          <w:numId w:val="0"/>
        </w:numPr>
      </w:pPr>
      <w:r>
        <w:t xml:space="preserve">Alternatively, a performance test for the retirement phase could aim to link more closely with trustee obligations under the Retirement Income Covenant. A paper by the Conexus Institute in conjunction with </w:t>
      </w:r>
      <w:r w:rsidR="00907B4E">
        <w:t xml:space="preserve">the </w:t>
      </w:r>
      <w:r>
        <w:t>Australian National University offered quantitative assessments of retirement income products against a summary scorecard.</w:t>
      </w:r>
      <w:r>
        <w:rPr>
          <w:rStyle w:val="FootnoteReference"/>
        </w:rPr>
        <w:footnoteReference w:id="23"/>
      </w:r>
      <w:r>
        <w:t xml:space="preserve"> For a product, this reports the risk-adjusted income and a score between one and five for each </w:t>
      </w:r>
      <w:r w:rsidR="00AA053A">
        <w:t>R</w:t>
      </w:r>
      <w:r>
        <w:t xml:space="preserve">etirement </w:t>
      </w:r>
      <w:r w:rsidR="00AA053A">
        <w:t>I</w:t>
      </w:r>
      <w:r>
        <w:t xml:space="preserve">ncome </w:t>
      </w:r>
      <w:r w:rsidR="00AA053A">
        <w:t>C</w:t>
      </w:r>
      <w:r>
        <w:t>ovenant objective.</w:t>
      </w:r>
      <w:r>
        <w:rPr>
          <w:rStyle w:val="FootnoteReference"/>
        </w:rPr>
        <w:footnoteReference w:id="24"/>
      </w:r>
      <w:r>
        <w:t xml:space="preserve"> </w:t>
      </w:r>
    </w:p>
    <w:p w14:paraId="16AD1C8C" w14:textId="77777777" w:rsidR="00886627" w:rsidRDefault="00886627" w:rsidP="00886627">
      <w:pPr>
        <w:pStyle w:val="Bullet"/>
        <w:numPr>
          <w:ilvl w:val="0"/>
          <w:numId w:val="0"/>
        </w:numPr>
      </w:pPr>
      <w:r>
        <w:rPr>
          <w:noProof/>
        </w:rPr>
        <mc:AlternateContent>
          <mc:Choice Requires="wps">
            <w:drawing>
              <wp:inline distT="0" distB="0" distL="0" distR="0" wp14:anchorId="4CAA7C1F" wp14:editId="456F5EC0">
                <wp:extent cx="5743575" cy="1413163"/>
                <wp:effectExtent l="0" t="0" r="9525" b="0"/>
                <wp:docPr id="4" name="Text Box 4"/>
                <wp:cNvGraphicFramePr/>
                <a:graphic xmlns:a="http://schemas.openxmlformats.org/drawingml/2006/main">
                  <a:graphicData uri="http://schemas.microsoft.com/office/word/2010/wordprocessingShape">
                    <wps:wsp>
                      <wps:cNvSpPr txBox="1"/>
                      <wps:spPr>
                        <a:xfrm>
                          <a:off x="0" y="0"/>
                          <a:ext cx="5743575" cy="1413163"/>
                        </a:xfrm>
                        <a:prstGeom prst="rect">
                          <a:avLst/>
                        </a:prstGeom>
                        <a:solidFill>
                          <a:schemeClr val="accent3">
                            <a:lumMod val="20000"/>
                            <a:lumOff val="80000"/>
                          </a:schemeClr>
                        </a:solidFill>
                        <a:ln w="6350">
                          <a:noFill/>
                        </a:ln>
                      </wps:spPr>
                      <wps:txbx>
                        <w:txbxContent>
                          <w:p w14:paraId="55B1EED1" w14:textId="77777777" w:rsidR="00886627" w:rsidRDefault="00886627" w:rsidP="00886627">
                            <w:pPr>
                              <w:pStyle w:val="Heading4"/>
                              <w:spacing w:before="120"/>
                            </w:pPr>
                            <w:r>
                              <w:t>Consultation Questions</w:t>
                            </w:r>
                          </w:p>
                          <w:p w14:paraId="3A706686" w14:textId="022EAD56" w:rsidR="00EA26D6" w:rsidRDefault="00886627" w:rsidP="0063112D">
                            <w:pPr>
                              <w:pStyle w:val="OutlineNumbered1"/>
                              <w:numPr>
                                <w:ilvl w:val="0"/>
                                <w:numId w:val="65"/>
                              </w:numPr>
                            </w:pPr>
                            <w:r w:rsidRPr="00AE5862">
                              <w:t>What are the most important considerations for performance of retirement products?</w:t>
                            </w:r>
                          </w:p>
                          <w:p w14:paraId="42EA2C61" w14:textId="0E5E1DAB" w:rsidR="00886627" w:rsidRPr="00EC53FE" w:rsidRDefault="00886627" w:rsidP="0063112D">
                            <w:pPr>
                              <w:pStyle w:val="OutlineNumbered1"/>
                              <w:numPr>
                                <w:ilvl w:val="0"/>
                                <w:numId w:val="65"/>
                              </w:numPr>
                            </w:pPr>
                            <w:r w:rsidRPr="00AE5862">
                              <w:t xml:space="preserve">If the test were to expand to retirement products, would they require a different test to </w:t>
                            </w:r>
                            <w:r>
                              <w:t xml:space="preserve">the </w:t>
                            </w:r>
                            <w:r w:rsidRPr="00AE5862">
                              <w:t xml:space="preserve">accumulation phase? </w:t>
                            </w:r>
                            <w:r>
                              <w:t>Would the test differ for different retirement products</w:t>
                            </w:r>
                            <w:r w:rsidRPr="00AE5862">
                              <w:t>?</w:t>
                            </w:r>
                          </w:p>
                          <w:p w14:paraId="2CB56573" w14:textId="77777777" w:rsidR="00886627" w:rsidRPr="00AE5862" w:rsidRDefault="00886627" w:rsidP="0063112D">
                            <w:pPr>
                              <w:pStyle w:val="OutlineNumbered1"/>
                              <w:numPr>
                                <w:ilvl w:val="0"/>
                                <w:numId w:val="65"/>
                              </w:numPr>
                            </w:pPr>
                            <w:r w:rsidRPr="00AE5862">
                              <w:t xml:space="preserve">How could longevity products </w:t>
                            </w:r>
                            <w:r w:rsidRPr="00AE5862">
                              <w:t>be most appropriately assessed?</w:t>
                            </w:r>
                            <w:r>
                              <w:t xml:space="preserve"> How could the products be compared?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4CAA7C1F" id="Text Box 4" o:spid="_x0000_s1034" type="#_x0000_t202" style="width:452.25pt;height:1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" fillcolor="#dee3eb [662]" stroked="f" strokeweight=".5pt">
                <v:textbox>
                  <w:txbxContent>
                    <w:p w14:paraId="55B1EED1" w14:textId="77777777" w:rsidR="00886627" w:rsidRDefault="00886627" w:rsidP="00886627">
                      <w:pPr>
                        <w:pStyle w:val="Heading4"/>
                        <w:spacing w:before="120"/>
                      </w:pPr>
                      <w:r>
                        <w:t>Consultation Questions</w:t>
                      </w:r>
                    </w:p>
                    <w:p w14:paraId="3A706686" w14:textId="022EAD56" w:rsidR="00EA26D6" w:rsidRDefault="00886627" w:rsidP="0063112D">
                      <w:pPr>
                        <w:pStyle w:val="OutlineNumbered1"/>
                        <w:numPr>
                          <w:ilvl w:val="0"/>
                          <w:numId w:val="65"/>
                        </w:numPr>
                      </w:pPr>
                      <w:r w:rsidRPr="00AE5862">
                        <w:t>What are the most important considerations for performance of retirement products?</w:t>
                      </w:r>
                    </w:p>
                    <w:p w14:paraId="42EA2C61" w14:textId="0E5E1DAB" w:rsidR="00886627" w:rsidRPr="00EC53FE" w:rsidRDefault="00886627" w:rsidP="0063112D">
                      <w:pPr>
                        <w:pStyle w:val="OutlineNumbered1"/>
                        <w:numPr>
                          <w:ilvl w:val="0"/>
                          <w:numId w:val="65"/>
                        </w:numPr>
                      </w:pPr>
                      <w:r w:rsidRPr="00AE5862">
                        <w:t xml:space="preserve">If the test were to expand to retirement products, would they require a different test to </w:t>
                      </w:r>
                      <w:r>
                        <w:t xml:space="preserve">the </w:t>
                      </w:r>
                      <w:r w:rsidRPr="00AE5862">
                        <w:t xml:space="preserve">accumulation phase? </w:t>
                      </w:r>
                      <w:r>
                        <w:t>Would the test differ for different retirement products</w:t>
                      </w:r>
                      <w:r w:rsidRPr="00AE5862">
                        <w:t>?</w:t>
                      </w:r>
                    </w:p>
                    <w:p w14:paraId="2CB56573" w14:textId="77777777" w:rsidR="00886627" w:rsidRPr="00AE5862" w:rsidRDefault="00886627" w:rsidP="0063112D">
                      <w:pPr>
                        <w:pStyle w:val="OutlineNumbered1"/>
                        <w:numPr>
                          <w:ilvl w:val="0"/>
                          <w:numId w:val="65"/>
                        </w:numPr>
                      </w:pPr>
                      <w:r w:rsidRPr="00AE5862">
                        <w:t xml:space="preserve">How could longevity products </w:t>
                      </w:r>
                      <w:proofErr w:type="gramStart"/>
                      <w:r w:rsidRPr="00AE5862">
                        <w:t>be most appropriately assessed</w:t>
                      </w:r>
                      <w:proofErr w:type="gramEnd"/>
                      <w:r w:rsidRPr="00AE5862">
                        <w:t>?</w:t>
                      </w:r>
                      <w:r>
                        <w:t xml:space="preserve"> How could the products </w:t>
                      </w:r>
                      <w:proofErr w:type="gramStart"/>
                      <w:r>
                        <w:t>be compared</w:t>
                      </w:r>
                      <w:proofErr w:type="gramEnd"/>
                      <w:r>
                        <w:t>?</w:t>
                      </w:r>
                    </w:p>
                  </w:txbxContent>
                </v:textbox>
                <w10:anchorlock/>
              </v:shape>
            </w:pict>
          </mc:Fallback>
        </mc:AlternateContent>
      </w:r>
    </w:p>
    <w:p w14:paraId="54765D43" w14:textId="77777777" w:rsidR="00886627" w:rsidRPr="00371BB4" w:rsidRDefault="00886627" w:rsidP="0009191F">
      <w:pPr>
        <w:pStyle w:val="Heading4"/>
        <w:spacing w:before="120" w:line="240" w:lineRule="auto"/>
      </w:pPr>
      <w:r>
        <w:t>Other products</w:t>
      </w:r>
    </w:p>
    <w:p w14:paraId="5BE4ADC7" w14:textId="36A235AB" w:rsidR="00886627" w:rsidRDefault="00886627" w:rsidP="0009191F">
      <w:pPr>
        <w:pStyle w:val="Bullet"/>
        <w:numPr>
          <w:ilvl w:val="0"/>
          <w:numId w:val="0"/>
        </w:numPr>
        <w:spacing w:line="240" w:lineRule="auto"/>
      </w:pPr>
      <w:r>
        <w:t xml:space="preserve">The intent of a performance test is to assess the performance of an investment vehicle where an agent other than the member is responsible for the asset allocation or investment decisions. Other products not captured by the test include self-managed superannuation funds (SMSFs), direct assets purchased through platforms, balance of life office statutory funds and defined benefits (all outlined in red in Chart </w:t>
      </w:r>
      <w:r w:rsidR="005A2266">
        <w:t>4</w:t>
      </w:r>
      <w:r>
        <w:t xml:space="preserve">). </w:t>
      </w:r>
    </w:p>
    <w:p w14:paraId="6EEB8E58" w14:textId="7D825DD2" w:rsidR="00886627" w:rsidRDefault="00886627" w:rsidP="0009191F">
      <w:pPr>
        <w:pStyle w:val="Bullet"/>
        <w:numPr>
          <w:ilvl w:val="0"/>
          <w:numId w:val="0"/>
        </w:numPr>
        <w:spacing w:line="240" w:lineRule="auto"/>
      </w:pPr>
      <w:r>
        <w:t xml:space="preserve">These products are generally used by more engaged members that exercise a higher level of control over their retirement </w:t>
      </w:r>
      <w:r w:rsidR="00893B06">
        <w:t>savings or</w:t>
      </w:r>
      <w:r>
        <w:t xml:space="preserve"> have unique features which mean the test could not be administered or the consequences for failing the test would be inapplicable. For example, SMSFs are not regulated by APRA (who administers the test), data and record keeping </w:t>
      </w:r>
      <w:proofErr w:type="gramStart"/>
      <w:r>
        <w:t>is</w:t>
      </w:r>
      <w:proofErr w:type="gramEnd"/>
      <w:r>
        <w:t xml:space="preserve"> inconsistent with that of APRA</w:t>
      </w:r>
      <w:r>
        <w:noBreakHyphen/>
        <w:t>regulated entities, and it would be inappropriate to apply the same consequences of failure to individuals who are investing their own retirement savings.</w:t>
      </w:r>
    </w:p>
    <w:p w14:paraId="5DC0CB1D" w14:textId="77777777" w:rsidR="00886627" w:rsidRDefault="00886627" w:rsidP="00886627">
      <w:pPr>
        <w:pStyle w:val="Bullet"/>
        <w:numPr>
          <w:ilvl w:val="0"/>
          <w:numId w:val="0"/>
        </w:numPr>
      </w:pPr>
      <w:r>
        <w:rPr>
          <w:noProof/>
        </w:rPr>
        <mc:AlternateContent>
          <mc:Choice Requires="wps">
            <w:drawing>
              <wp:inline distT="0" distB="0" distL="0" distR="0" wp14:anchorId="1E0346BB" wp14:editId="17791C01">
                <wp:extent cx="5743575" cy="2161310"/>
                <wp:effectExtent l="0" t="0" r="9525" b="0"/>
                <wp:docPr id="11" name="Text Box 11"/>
                <wp:cNvGraphicFramePr/>
                <a:graphic xmlns:a="http://schemas.openxmlformats.org/drawingml/2006/main">
                  <a:graphicData uri="http://schemas.microsoft.com/office/word/2010/wordprocessingShape">
                    <wps:wsp>
                      <wps:cNvSpPr txBox="1"/>
                      <wps:spPr>
                        <a:xfrm>
                          <a:off x="0" y="0"/>
                          <a:ext cx="5743575" cy="2161310"/>
                        </a:xfrm>
                        <a:prstGeom prst="rect">
                          <a:avLst/>
                        </a:prstGeom>
                        <a:solidFill>
                          <a:schemeClr val="accent3">
                            <a:lumMod val="20000"/>
                            <a:lumOff val="80000"/>
                          </a:schemeClr>
                        </a:solidFill>
                        <a:ln w="6350">
                          <a:noFill/>
                        </a:ln>
                      </wps:spPr>
                      <wps:txbx>
                        <w:txbxContent>
                          <w:p w14:paraId="4DD2583A" w14:textId="1C27B3B4" w:rsidR="00886627" w:rsidRDefault="00886627" w:rsidP="00886627">
                            <w:pPr>
                              <w:pStyle w:val="Heading4"/>
                              <w:spacing w:before="120"/>
                            </w:pPr>
                            <w:r>
                              <w:t>Consultation Question</w:t>
                            </w:r>
                            <w:r w:rsidR="000B25D5">
                              <w:t>s</w:t>
                            </w:r>
                            <w:r w:rsidR="00E87784">
                              <w:t xml:space="preserve"> </w:t>
                            </w:r>
                          </w:p>
                          <w:p w14:paraId="2BAC16D1" w14:textId="4D18F636" w:rsidR="007A7E51" w:rsidRDefault="00886627" w:rsidP="0063112D">
                            <w:pPr>
                              <w:pStyle w:val="OutlineNumbered1"/>
                              <w:numPr>
                                <w:ilvl w:val="0"/>
                                <w:numId w:val="66"/>
                              </w:numPr>
                            </w:pPr>
                            <w:r>
                              <w:t>Do you agree that retirement phase, single</w:t>
                            </w:r>
                            <w:r w:rsidR="00C1700A">
                              <w:t>-</w:t>
                            </w:r>
                            <w:r>
                              <w:t>sector and externally-</w:t>
                            </w:r>
                            <w:r w:rsidR="00872B95">
                              <w:t xml:space="preserve">managed </w:t>
                            </w:r>
                            <w:r>
                              <w:t>products are suitable for testing?</w:t>
                            </w:r>
                            <w:r w:rsidR="007A7E51">
                              <w:t xml:space="preserve"> </w:t>
                            </w:r>
                            <w:r w:rsidR="009B798C">
                              <w:t>Why or why not?</w:t>
                            </w:r>
                          </w:p>
                          <w:p w14:paraId="198F7C65" w14:textId="61C463AB" w:rsidR="00886627" w:rsidRDefault="007A7E51" w:rsidP="0063112D">
                            <w:pPr>
                              <w:pStyle w:val="OutlineNumbered1"/>
                              <w:numPr>
                                <w:ilvl w:val="0"/>
                                <w:numId w:val="66"/>
                              </w:numPr>
                            </w:pPr>
                            <w:r>
                              <w:t xml:space="preserve">Should different </w:t>
                            </w:r>
                            <w:r w:rsidR="009E4FFE">
                              <w:t xml:space="preserve">assessment methods </w:t>
                            </w:r>
                            <w:r w:rsidR="009E4FFE">
                              <w:t xml:space="preserve">be applied to different </w:t>
                            </w:r>
                            <w:r>
                              <w:t>cohorts of products</w:t>
                            </w:r>
                            <w:r w:rsidR="00362C3D">
                              <w:t>?</w:t>
                            </w:r>
                          </w:p>
                          <w:p w14:paraId="1A115E55" w14:textId="54EBB2A0" w:rsidR="00886627" w:rsidRDefault="00886627" w:rsidP="0063112D">
                            <w:pPr>
                              <w:pStyle w:val="OutlineNumbered1"/>
                              <w:numPr>
                                <w:ilvl w:val="0"/>
                                <w:numId w:val="66"/>
                              </w:numPr>
                            </w:pPr>
                            <w:r>
                              <w:t>Do you agree that the ‘other products’ outlined above are unsuitable for testing? If you think the ‘other products’ (or a sub-section of these products) are suitable for testing, how could they be appropriately tested?</w:t>
                            </w:r>
                          </w:p>
                          <w:p w14:paraId="091C3BAB" w14:textId="151BA8A9" w:rsidR="00545DA4" w:rsidRDefault="00F21483" w:rsidP="0063112D">
                            <w:pPr>
                              <w:pStyle w:val="OutlineNumbered1"/>
                              <w:numPr>
                                <w:ilvl w:val="0"/>
                                <w:numId w:val="66"/>
                              </w:numPr>
                            </w:pPr>
                            <w:r>
                              <w:t>Under each design option, h</w:t>
                            </w:r>
                            <w:r w:rsidR="00545DA4">
                              <w:t>ow could the test accommodate cohorts that are suitable for testing</w:t>
                            </w:r>
                            <w:r w:rsidR="00CE1978">
                              <w:t>?</w:t>
                            </w:r>
                            <w:r w:rsidR="00545DA4">
                              <w:t xml:space="preserve"> </w:t>
                            </w:r>
                            <w:r w:rsidR="00CE1978">
                              <w:t>F</w:t>
                            </w:r>
                            <w:r w:rsidR="00545DA4">
                              <w:t>or example</w:t>
                            </w:r>
                            <w:r w:rsidR="00EA341B">
                              <w:t>,</w:t>
                            </w:r>
                            <w:r w:rsidR="00545DA4">
                              <w:t xml:space="preserve"> using different metrics or </w:t>
                            </w:r>
                            <w:r>
                              <w:t>benchmarks</w:t>
                            </w:r>
                            <w:r w:rsidR="00545DA4">
                              <w:t xml:space="preserve"> for performance</w:t>
                            </w:r>
                            <w:r w:rsidR="00CE1978">
                              <w:t xml:space="preserve"> for different cohorts.</w:t>
                            </w:r>
                          </w:p>
                          <w:p w14:paraId="6610E19D" w14:textId="77777777" w:rsidR="00886627" w:rsidRDefault="00886627" w:rsidP="00E4663E">
                            <w:pPr>
                              <w:pStyle w:val="OutlineNumbered1"/>
                              <w:numPr>
                                <w:ilvl w:val="0"/>
                                <w:numId w:val="0"/>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1E0346BB" id="Text Box 11" o:spid="_x0000_s1035" type="#_x0000_t202" style="width:452.25pt;height:1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" fillcolor="#dee3eb [662]" stroked="f" strokeweight=".5pt">
                <v:textbox>
                  <w:txbxContent>
                    <w:p w14:paraId="4DD2583A" w14:textId="1C27B3B4" w:rsidR="00886627" w:rsidRDefault="00886627" w:rsidP="00886627">
                      <w:pPr>
                        <w:pStyle w:val="Heading4"/>
                        <w:spacing w:before="120"/>
                      </w:pPr>
                      <w:r>
                        <w:t>Consultation Question</w:t>
                      </w:r>
                      <w:r w:rsidR="000B25D5">
                        <w:t>s</w:t>
                      </w:r>
                      <w:r w:rsidR="00E87784">
                        <w:t xml:space="preserve"> </w:t>
                      </w:r>
                    </w:p>
                    <w:p w14:paraId="2BAC16D1" w14:textId="4D18F636" w:rsidR="007A7E51" w:rsidRDefault="00886627" w:rsidP="0063112D">
                      <w:pPr>
                        <w:pStyle w:val="OutlineNumbered1"/>
                        <w:numPr>
                          <w:ilvl w:val="0"/>
                          <w:numId w:val="66"/>
                        </w:numPr>
                      </w:pPr>
                      <w:r>
                        <w:t>Do you agree that retirement phase, single</w:t>
                      </w:r>
                      <w:r w:rsidR="00C1700A">
                        <w:t>-</w:t>
                      </w:r>
                      <w:r>
                        <w:t>sector and externally-</w:t>
                      </w:r>
                      <w:r w:rsidR="00872B95">
                        <w:t xml:space="preserve">managed </w:t>
                      </w:r>
                      <w:r>
                        <w:t>products are suitable for testing?</w:t>
                      </w:r>
                      <w:r w:rsidR="007A7E51">
                        <w:t xml:space="preserve"> </w:t>
                      </w:r>
                      <w:r w:rsidR="009B798C">
                        <w:t>Why or why not?</w:t>
                      </w:r>
                    </w:p>
                    <w:p w14:paraId="198F7C65" w14:textId="61C463AB" w:rsidR="00886627" w:rsidRDefault="007A7E51" w:rsidP="0063112D">
                      <w:pPr>
                        <w:pStyle w:val="OutlineNumbered1"/>
                        <w:numPr>
                          <w:ilvl w:val="0"/>
                          <w:numId w:val="66"/>
                        </w:numPr>
                      </w:pPr>
                      <w:r>
                        <w:t xml:space="preserve">Should different </w:t>
                      </w:r>
                      <w:r w:rsidR="009E4FFE">
                        <w:t xml:space="preserve">assessment methods </w:t>
                      </w:r>
                      <w:proofErr w:type="gramStart"/>
                      <w:r w:rsidR="009E4FFE">
                        <w:t>be applied</w:t>
                      </w:r>
                      <w:proofErr w:type="gramEnd"/>
                      <w:r w:rsidR="009E4FFE">
                        <w:t xml:space="preserve"> to different </w:t>
                      </w:r>
                      <w:r>
                        <w:t>cohorts of products</w:t>
                      </w:r>
                      <w:r w:rsidR="00362C3D">
                        <w:t>?</w:t>
                      </w:r>
                    </w:p>
                    <w:p w14:paraId="1A115E55" w14:textId="54EBB2A0" w:rsidR="00886627" w:rsidRDefault="00886627" w:rsidP="0063112D">
                      <w:pPr>
                        <w:pStyle w:val="OutlineNumbered1"/>
                        <w:numPr>
                          <w:ilvl w:val="0"/>
                          <w:numId w:val="66"/>
                        </w:numPr>
                      </w:pPr>
                      <w:r>
                        <w:t xml:space="preserve">Do you agree that the ‘other products’ outlined above are unsuitable for testing? If you think the ‘other products’ (or a sub-section of these products) are suitable for testing, how could they be appropriately </w:t>
                      </w:r>
                      <w:proofErr w:type="gramStart"/>
                      <w:r>
                        <w:t>tested</w:t>
                      </w:r>
                      <w:proofErr w:type="gramEnd"/>
                      <w:r>
                        <w:t>?</w:t>
                      </w:r>
                    </w:p>
                    <w:p w14:paraId="091C3BAB" w14:textId="151BA8A9" w:rsidR="00545DA4" w:rsidRDefault="00F21483" w:rsidP="0063112D">
                      <w:pPr>
                        <w:pStyle w:val="OutlineNumbered1"/>
                        <w:numPr>
                          <w:ilvl w:val="0"/>
                          <w:numId w:val="66"/>
                        </w:numPr>
                      </w:pPr>
                      <w:r>
                        <w:t>Under each design option, h</w:t>
                      </w:r>
                      <w:r w:rsidR="00545DA4">
                        <w:t>ow could the test accommodate cohorts that are suitable for testing</w:t>
                      </w:r>
                      <w:r w:rsidR="00CE1978">
                        <w:t>?</w:t>
                      </w:r>
                      <w:r w:rsidR="00545DA4">
                        <w:t xml:space="preserve"> </w:t>
                      </w:r>
                      <w:r w:rsidR="00CE1978">
                        <w:t>F</w:t>
                      </w:r>
                      <w:r w:rsidR="00545DA4">
                        <w:t>or example</w:t>
                      </w:r>
                      <w:r w:rsidR="00EA341B">
                        <w:t>,</w:t>
                      </w:r>
                      <w:r w:rsidR="00545DA4">
                        <w:t xml:space="preserve"> using different metrics or </w:t>
                      </w:r>
                      <w:r>
                        <w:t>benchmarks</w:t>
                      </w:r>
                      <w:r w:rsidR="00545DA4">
                        <w:t xml:space="preserve"> for performance</w:t>
                      </w:r>
                      <w:r w:rsidR="00CE1978">
                        <w:t xml:space="preserve"> for different cohorts.</w:t>
                      </w:r>
                    </w:p>
                    <w:p w14:paraId="6610E19D" w14:textId="77777777" w:rsidR="00886627" w:rsidRDefault="00886627" w:rsidP="00E4663E">
                      <w:pPr>
                        <w:pStyle w:val="OutlineNumbered1"/>
                        <w:numPr>
                          <w:ilvl w:val="0"/>
                          <w:numId w:val="0"/>
                        </w:numPr>
                      </w:pPr>
                    </w:p>
                  </w:txbxContent>
                </v:textbox>
                <w10:anchorlock/>
              </v:shape>
            </w:pict>
          </mc:Fallback>
        </mc:AlternateContent>
      </w:r>
    </w:p>
    <w:p w14:paraId="2EE40363" w14:textId="43760C7A" w:rsidR="00771267" w:rsidRPr="00B6086D" w:rsidRDefault="00771267" w:rsidP="00E4663E">
      <w:pPr>
        <w:pStyle w:val="Heading3"/>
        <w:spacing w:before="240"/>
        <w:jc w:val="both"/>
      </w:pPr>
      <w:bookmarkStart w:id="44" w:name="_Toc155955184"/>
      <w:r w:rsidRPr="00516435">
        <w:t>Fees</w:t>
      </w:r>
      <w:bookmarkEnd w:id="44"/>
    </w:p>
    <w:p w14:paraId="579DB148" w14:textId="7C300C75" w:rsidR="00AB1F22" w:rsidRDefault="00D47933" w:rsidP="0009191F">
      <w:pPr>
        <w:pStyle w:val="Bullet"/>
        <w:numPr>
          <w:ilvl w:val="0"/>
          <w:numId w:val="0"/>
        </w:numPr>
        <w:spacing w:line="264" w:lineRule="auto"/>
      </w:pPr>
      <w:r>
        <w:t xml:space="preserve">The </w:t>
      </w:r>
      <w:r w:rsidR="00E372E5">
        <w:t>performance</w:t>
      </w:r>
      <w:r>
        <w:t xml:space="preserve"> test was introduced to hold trustees to account for the investment performance they deliver a</w:t>
      </w:r>
      <w:r w:rsidR="00054F36">
        <w:t>s well as</w:t>
      </w:r>
      <w:r>
        <w:t xml:space="preserve"> the fees they charge to members.</w:t>
      </w:r>
      <w:r w:rsidR="00DA6835">
        <w:t xml:space="preserve"> </w:t>
      </w:r>
      <w:r w:rsidR="00F8716F">
        <w:t>Whilst fees are important in compensating for the service that funds pro</w:t>
      </w:r>
      <w:r w:rsidR="00F32BB9">
        <w:t>v</w:t>
      </w:r>
      <w:r w:rsidR="00F8716F">
        <w:t xml:space="preserve">ide, they also </w:t>
      </w:r>
      <w:r w:rsidR="00B25A84">
        <w:t>can</w:t>
      </w:r>
      <w:r w:rsidR="00D8407F">
        <w:t xml:space="preserve"> erode members</w:t>
      </w:r>
      <w:r w:rsidR="00222715">
        <w:t>’</w:t>
      </w:r>
      <w:r w:rsidR="00D8407F">
        <w:t xml:space="preserve"> returns</w:t>
      </w:r>
      <w:r w:rsidR="00B25A84">
        <w:t>, especially over the long term</w:t>
      </w:r>
      <w:r w:rsidR="00B83183">
        <w:t>, if they are too high</w:t>
      </w:r>
      <w:r w:rsidR="00F32BB9">
        <w:t xml:space="preserve">. </w:t>
      </w:r>
    </w:p>
    <w:p w14:paraId="40D1F373" w14:textId="3B157682" w:rsidR="001C3E1C" w:rsidRDefault="008C5447" w:rsidP="0009191F">
      <w:pPr>
        <w:pStyle w:val="Bullet"/>
        <w:numPr>
          <w:ilvl w:val="0"/>
          <w:numId w:val="0"/>
        </w:numPr>
        <w:spacing w:line="264" w:lineRule="auto"/>
      </w:pPr>
      <w:r>
        <w:t>H</w:t>
      </w:r>
      <w:r w:rsidR="009E7215">
        <w:t>ow fees are tested should be considered</w:t>
      </w:r>
      <w:r>
        <w:t xml:space="preserve"> under each of the design options</w:t>
      </w:r>
      <w:r w:rsidR="00006992">
        <w:t xml:space="preserve"> </w:t>
      </w:r>
      <w:r w:rsidR="00AB1F22">
        <w:t xml:space="preserve">discussed above, </w:t>
      </w:r>
      <w:r w:rsidR="00006992">
        <w:t xml:space="preserve">as </w:t>
      </w:r>
      <w:r w:rsidR="00327ABF" w:rsidRPr="00B15406">
        <w:t xml:space="preserve">a balance needs to be struck between </w:t>
      </w:r>
      <w:r w:rsidR="00435C1A" w:rsidRPr="00B15406">
        <w:t>creating</w:t>
      </w:r>
      <w:r w:rsidR="001720CB" w:rsidRPr="00B15406">
        <w:t xml:space="preserve"> down</w:t>
      </w:r>
      <w:r w:rsidR="00BD227E" w:rsidRPr="00B15406">
        <w:t xml:space="preserve">ward pressure on fees </w:t>
      </w:r>
      <w:r w:rsidR="00327ABF" w:rsidRPr="00B15406">
        <w:t xml:space="preserve">and ensuring that members are receiving </w:t>
      </w:r>
      <w:r w:rsidR="003A2932" w:rsidRPr="00B15406">
        <w:t>an</w:t>
      </w:r>
      <w:r w:rsidR="008A310C" w:rsidRPr="00B15406">
        <w:t xml:space="preserve"> appropriate </w:t>
      </w:r>
      <w:r w:rsidR="003A2932" w:rsidRPr="00B15406">
        <w:t xml:space="preserve">level of member </w:t>
      </w:r>
      <w:r w:rsidR="008A310C" w:rsidRPr="00B15406">
        <w:t>service</w:t>
      </w:r>
      <w:r w:rsidR="00327ABF" w:rsidRPr="00B15406">
        <w:t>.</w:t>
      </w:r>
      <w:r w:rsidR="00327ABF">
        <w:t xml:space="preserve"> </w:t>
      </w:r>
    </w:p>
    <w:p w14:paraId="25D7CC45" w14:textId="41896817" w:rsidR="00C8777E" w:rsidRDefault="001C3E1C" w:rsidP="0009191F">
      <w:pPr>
        <w:pStyle w:val="Bullet"/>
        <w:numPr>
          <w:ilvl w:val="0"/>
          <w:numId w:val="0"/>
        </w:numPr>
        <w:spacing w:line="264" w:lineRule="auto"/>
      </w:pPr>
      <w:r>
        <w:t>Currently</w:t>
      </w:r>
      <w:r w:rsidR="002D3CEF">
        <w:t xml:space="preserve"> fees are tested through</w:t>
      </w:r>
      <w:r w:rsidR="00C8777E">
        <w:t xml:space="preserve"> the </w:t>
      </w:r>
      <w:r w:rsidR="006C6427">
        <w:t>option</w:t>
      </w:r>
      <w:r w:rsidR="00C8777E">
        <w:t>’s representative administration fees and expenses (actual RAFE) for the most recent financial year</w:t>
      </w:r>
      <w:r w:rsidR="00F82D63">
        <w:t>, which is the admin</w:t>
      </w:r>
      <w:r w:rsidR="00862DF0">
        <w:t xml:space="preserve">istration fees as calculated using a representative member who has an account balance of $50,000. </w:t>
      </w:r>
      <w:r w:rsidR="00490EBD">
        <w:t>Th</w:t>
      </w:r>
      <w:r w:rsidR="00A44AA6">
        <w:t>e actual RAFE is</w:t>
      </w:r>
      <w:r w:rsidR="00C8777E">
        <w:t xml:space="preserve"> compared to the</w:t>
      </w:r>
      <w:r w:rsidR="00931B3F">
        <w:t xml:space="preserve"> </w:t>
      </w:r>
      <w:r w:rsidR="00C8777E">
        <w:t>median RAFE</w:t>
      </w:r>
      <w:r w:rsidR="000C3652">
        <w:t xml:space="preserve"> </w:t>
      </w:r>
      <w:r w:rsidR="00A44AA6">
        <w:t>of all the products contained in the</w:t>
      </w:r>
      <w:r w:rsidR="000C3652">
        <w:t xml:space="preserve"> relevant peer group</w:t>
      </w:r>
      <w:r w:rsidR="00C8777E">
        <w:t xml:space="preserve"> (benchmark RAFE). </w:t>
      </w:r>
      <w:r w:rsidR="00AF6CB8">
        <w:t xml:space="preserve">This has successfully placed pressure on funds to reduce their fees to </w:t>
      </w:r>
      <w:r w:rsidR="004C5BBF">
        <w:t>improve their performance test result</w:t>
      </w:r>
      <w:r w:rsidR="00AF6CB8">
        <w:t>.</w:t>
      </w:r>
      <w:r w:rsidR="00C8777E">
        <w:t xml:space="preserve"> The </w:t>
      </w:r>
      <w:r w:rsidR="00D86833">
        <w:t>current test assesses fees</w:t>
      </w:r>
      <w:r w:rsidR="00C8777E">
        <w:t xml:space="preserve"> separately for MySuper, platform TDPs and non-platform TDPs.</w:t>
      </w:r>
      <w:r w:rsidR="00BD250F">
        <w:t xml:space="preserve"> </w:t>
      </w:r>
    </w:p>
    <w:p w14:paraId="12A9BF33" w14:textId="4A6B8AA0" w:rsidR="00DE5333" w:rsidRDefault="00615D45" w:rsidP="0009191F">
      <w:pPr>
        <w:pStyle w:val="Bullet"/>
        <w:numPr>
          <w:ilvl w:val="0"/>
          <w:numId w:val="0"/>
        </w:numPr>
        <w:spacing w:line="264" w:lineRule="auto"/>
      </w:pPr>
      <w:r>
        <w:t>In 2023, w</w:t>
      </w:r>
      <w:r w:rsidR="00914D94">
        <w:t>hile non-platform TDPs had a benchmark RAFE of 0.27</w:t>
      </w:r>
      <w:r w:rsidR="00EB2A74">
        <w:t xml:space="preserve"> per cent</w:t>
      </w:r>
      <w:r w:rsidR="00914D94">
        <w:t xml:space="preserve">, which was </w:t>
      </w:r>
      <w:proofErr w:type="gramStart"/>
      <w:r w:rsidR="0030639E">
        <w:t>similar to</w:t>
      </w:r>
      <w:proofErr w:type="gramEnd"/>
      <w:r w:rsidR="0068305E">
        <w:t xml:space="preserve"> MySuper products 0.26</w:t>
      </w:r>
      <w:r>
        <w:t xml:space="preserve"> per cent</w:t>
      </w:r>
      <w:r w:rsidR="0068305E">
        <w:t>, there were</w:t>
      </w:r>
      <w:r w:rsidR="0069656B">
        <w:t xml:space="preserve"> still</w:t>
      </w:r>
      <w:r w:rsidR="0068305E">
        <w:t xml:space="preserve"> </w:t>
      </w:r>
      <w:r w:rsidR="00B928FC">
        <w:t>several</w:t>
      </w:r>
      <w:r w:rsidR="0068305E">
        <w:t xml:space="preserve"> products that had particularly high administration fees</w:t>
      </w:r>
      <w:r w:rsidR="006D05F3">
        <w:t xml:space="preserve">. </w:t>
      </w:r>
      <w:r w:rsidR="00053EBC">
        <w:t xml:space="preserve">Since 2021, the MySuper benchmark RAFE has </w:t>
      </w:r>
      <w:r w:rsidR="0096350A">
        <w:t>decreased from 0.33</w:t>
      </w:r>
      <w:r w:rsidR="000104B1">
        <w:t xml:space="preserve"> per cent</w:t>
      </w:r>
      <w:r w:rsidR="0096350A">
        <w:t xml:space="preserve"> to 0.26</w:t>
      </w:r>
      <w:r w:rsidR="000104B1">
        <w:t xml:space="preserve"> per cent</w:t>
      </w:r>
      <w:r w:rsidR="0096350A">
        <w:t xml:space="preserve"> in 2023</w:t>
      </w:r>
      <w:r w:rsidR="00AF6CEC">
        <w:t>, representing a</w:t>
      </w:r>
      <w:r w:rsidR="0030639E">
        <w:t>n approximate 20</w:t>
      </w:r>
      <w:r w:rsidR="00093997">
        <w:t xml:space="preserve"> per cent</w:t>
      </w:r>
      <w:r w:rsidR="0030639E">
        <w:t xml:space="preserve"> decrease in median administration fees</w:t>
      </w:r>
      <w:r w:rsidR="004779E0">
        <w:t xml:space="preserve">. </w:t>
      </w:r>
      <w:r w:rsidR="006257C5">
        <w:t xml:space="preserve">This demonstrates that fees have been successfully lowered in the </w:t>
      </w:r>
      <w:r w:rsidR="00902FBE">
        <w:t xml:space="preserve">MySuper </w:t>
      </w:r>
      <w:r w:rsidR="003A673F">
        <w:t>sector</w:t>
      </w:r>
      <w:r w:rsidR="00E04912">
        <w:t xml:space="preserve">. </w:t>
      </w:r>
      <w:r w:rsidR="005B1439">
        <w:t xml:space="preserve">However, </w:t>
      </w:r>
      <w:r w:rsidR="00367BC5">
        <w:t>it is important to</w:t>
      </w:r>
      <w:r w:rsidR="005B1439">
        <w:t xml:space="preserve"> ensure that </w:t>
      </w:r>
      <w:r w:rsidR="00EE70C2">
        <w:t>members are receiving good value for money</w:t>
      </w:r>
      <w:r w:rsidR="00FE0E1A">
        <w:t xml:space="preserve">, as there </w:t>
      </w:r>
      <w:proofErr w:type="gramStart"/>
      <w:r w:rsidR="00FE0E1A">
        <w:t>is</w:t>
      </w:r>
      <w:proofErr w:type="gramEnd"/>
      <w:r w:rsidR="00FE0E1A">
        <w:t xml:space="preserve"> only so far fees can reduce before member services </w:t>
      </w:r>
      <w:r w:rsidR="00046855">
        <w:t xml:space="preserve">may be </w:t>
      </w:r>
      <w:r w:rsidR="00FE0E1A">
        <w:t>negatively impacted</w:t>
      </w:r>
      <w:r w:rsidR="00CF3529">
        <w:t>.</w:t>
      </w:r>
      <w:r w:rsidR="00F9709D">
        <w:t xml:space="preserve"> </w:t>
      </w:r>
    </w:p>
    <w:p w14:paraId="23229664" w14:textId="7F79BCE1" w:rsidR="00290B14" w:rsidRDefault="00290B14" w:rsidP="0009191F">
      <w:pPr>
        <w:pStyle w:val="Bullet"/>
        <w:numPr>
          <w:ilvl w:val="0"/>
          <w:numId w:val="0"/>
        </w:numPr>
        <w:spacing w:line="264" w:lineRule="auto"/>
      </w:pPr>
      <w:r>
        <w:t xml:space="preserve">Stakeholders have raised </w:t>
      </w:r>
      <w:r w:rsidR="005C5B26">
        <w:t>various</w:t>
      </w:r>
      <w:r>
        <w:t xml:space="preserve"> concerns with the way fees are assessed under the current test</w:t>
      </w:r>
      <w:r w:rsidR="00971BFD">
        <w:t xml:space="preserve">. These issues </w:t>
      </w:r>
      <w:r w:rsidR="00661A1D">
        <w:t xml:space="preserve">can be </w:t>
      </w:r>
      <w:r w:rsidR="0058378E">
        <w:t xml:space="preserve">categorised as </w:t>
      </w:r>
      <w:r w:rsidR="00032A43">
        <w:t>the</w:t>
      </w:r>
      <w:r w:rsidR="0058378E">
        <w:t>:</w:t>
      </w:r>
      <w:r w:rsidR="00492C38">
        <w:t xml:space="preserve"> testing period,</w:t>
      </w:r>
      <w:r w:rsidR="00181F65">
        <w:t xml:space="preserve"> level of assessing fees and representative member balance. </w:t>
      </w:r>
    </w:p>
    <w:p w14:paraId="1D9A42A0" w14:textId="5F0C24B7" w:rsidR="0058378E" w:rsidRPr="006640E1" w:rsidRDefault="00264DD1" w:rsidP="0009191F">
      <w:pPr>
        <w:spacing w:line="264" w:lineRule="auto"/>
        <w:rPr>
          <w:rFonts w:cs="Arial"/>
          <w:i/>
          <w:color w:val="4D7861" w:themeColor="accent2"/>
          <w:kern w:val="32"/>
          <w:szCs w:val="24"/>
        </w:rPr>
      </w:pPr>
      <w:r w:rsidRPr="006640E1">
        <w:rPr>
          <w:rFonts w:cs="Arial"/>
          <w:i/>
          <w:color w:val="4D7861" w:themeColor="accent2"/>
          <w:kern w:val="32"/>
          <w:szCs w:val="24"/>
        </w:rPr>
        <w:t>Testing period</w:t>
      </w:r>
    </w:p>
    <w:p w14:paraId="6C3DAB83" w14:textId="77777777" w:rsidR="00926C9E" w:rsidRDefault="00264DD1" w:rsidP="0009191F">
      <w:pPr>
        <w:spacing w:line="264" w:lineRule="auto"/>
      </w:pPr>
      <w:r>
        <w:t>Several stakeholders suggested that the RAFE could be assessed over the entire lookback period to better reflect member outcomes</w:t>
      </w:r>
      <w:r w:rsidR="00EF47E9">
        <w:t xml:space="preserve"> and reduce the </w:t>
      </w:r>
      <w:r w:rsidR="004D4916">
        <w:t>overall weighting that one year worth of administration fees plays on performance test outcomes</w:t>
      </w:r>
      <w:r>
        <w:t>. Others suggested that the existing one-year RAFE should be retained as it is more reflective of future fees and has successfully encouraged trustees to reduce fees.</w:t>
      </w:r>
      <w:r w:rsidR="00C707FF">
        <w:t xml:space="preserve"> </w:t>
      </w:r>
    </w:p>
    <w:p w14:paraId="4BED1EEE" w14:textId="5B98BAC0" w:rsidR="008177B8" w:rsidRDefault="00C707FF" w:rsidP="0009191F">
      <w:pPr>
        <w:spacing w:line="264" w:lineRule="auto"/>
      </w:pPr>
      <w:r>
        <w:t xml:space="preserve">A key issue in changing to a </w:t>
      </w:r>
      <w:r w:rsidR="00903EBD">
        <w:t>longer</w:t>
      </w:r>
      <w:r w:rsidR="001211BE">
        <w:t>-</w:t>
      </w:r>
      <w:r w:rsidR="00903EBD">
        <w:t xml:space="preserve">term assessment of fees is </w:t>
      </w:r>
      <w:r w:rsidR="001B5F3E">
        <w:t>the availability and quality of data</w:t>
      </w:r>
      <w:r w:rsidR="00903EBD">
        <w:t xml:space="preserve">, as APRA </w:t>
      </w:r>
      <w:r w:rsidR="001211BE">
        <w:t>do not have administration fee data for choice products prior to 2021. Therefore, any changes in this space will req</w:t>
      </w:r>
      <w:r w:rsidR="0087770A">
        <w:t>uire</w:t>
      </w:r>
      <w:r w:rsidR="00A40A15">
        <w:t xml:space="preserve"> additional data reporting </w:t>
      </w:r>
      <w:r w:rsidR="0056296A">
        <w:t>from all superannuation trustees.</w:t>
      </w:r>
      <w:r w:rsidR="00B614B6">
        <w:t xml:space="preserve"> </w:t>
      </w:r>
      <w:r w:rsidR="003B70CD">
        <w:t>Another option</w:t>
      </w:r>
      <w:r w:rsidR="009A463B">
        <w:t xml:space="preserve"> is that as more years of fee data become available, these years are considered</w:t>
      </w:r>
      <w:r w:rsidR="00BD3C2D">
        <w:t xml:space="preserve"> under the test</w:t>
      </w:r>
      <w:r w:rsidR="009A463B">
        <w:t>.</w:t>
      </w:r>
      <w:r w:rsidR="003B70CD">
        <w:t xml:space="preserve"> </w:t>
      </w:r>
      <w:r w:rsidR="009A463B">
        <w:t xml:space="preserve">This would not </w:t>
      </w:r>
      <w:r w:rsidR="00D46039">
        <w:t>create</w:t>
      </w:r>
      <w:r w:rsidR="00CA0C66">
        <w:t xml:space="preserve"> an</w:t>
      </w:r>
      <w:r w:rsidR="00D46039">
        <w:t xml:space="preserve"> additional </w:t>
      </w:r>
      <w:r w:rsidR="00CA0C66">
        <w:t xml:space="preserve">reporting </w:t>
      </w:r>
      <w:r w:rsidR="00D46039">
        <w:t xml:space="preserve">burden </w:t>
      </w:r>
      <w:r w:rsidR="00CA0C66">
        <w:t xml:space="preserve">on trustees </w:t>
      </w:r>
      <w:r w:rsidR="002E3D87">
        <w:t xml:space="preserve">as </w:t>
      </w:r>
      <w:r w:rsidR="00813573">
        <w:t xml:space="preserve">trustees would not be reporting historical years of data. </w:t>
      </w:r>
      <w:r w:rsidR="00643B99">
        <w:t xml:space="preserve">Under this option, a greater weight could </w:t>
      </w:r>
      <w:r w:rsidR="00BE4032">
        <w:t xml:space="preserve">also </w:t>
      </w:r>
      <w:r w:rsidR="00643B99">
        <w:t xml:space="preserve">be given to the current year of fees. </w:t>
      </w:r>
    </w:p>
    <w:p w14:paraId="02E1E146" w14:textId="5B0534CD" w:rsidR="00290B14" w:rsidRPr="006640E1" w:rsidRDefault="00C40D50" w:rsidP="0009191F">
      <w:pPr>
        <w:spacing w:line="264" w:lineRule="auto"/>
        <w:rPr>
          <w:rFonts w:cs="Arial"/>
          <w:i/>
          <w:color w:val="4D7861" w:themeColor="accent2"/>
          <w:kern w:val="32"/>
          <w:szCs w:val="24"/>
        </w:rPr>
      </w:pPr>
      <w:r w:rsidRPr="006640E1">
        <w:rPr>
          <w:rFonts w:cs="Arial"/>
          <w:i/>
          <w:color w:val="4D7861" w:themeColor="accent2"/>
          <w:kern w:val="32"/>
          <w:szCs w:val="24"/>
        </w:rPr>
        <w:t>Level of assessment</w:t>
      </w:r>
    </w:p>
    <w:p w14:paraId="7F52C715" w14:textId="31D60D81" w:rsidR="00CF6567" w:rsidRDefault="00A6795A" w:rsidP="0009191F">
      <w:pPr>
        <w:spacing w:line="264" w:lineRule="auto"/>
      </w:pPr>
      <w:r>
        <w:t xml:space="preserve">In extending the test to </w:t>
      </w:r>
      <w:r w:rsidR="007D12CD">
        <w:t>TDPs, some stakeholders raised concerns with testing administration fees at the investment option level</w:t>
      </w:r>
      <w:r w:rsidR="001A2080">
        <w:t xml:space="preserve">, given some of the complex </w:t>
      </w:r>
      <w:r w:rsidR="009909A4">
        <w:t>business and fee arrangements that occur in the choice sector</w:t>
      </w:r>
      <w:r w:rsidR="00264B68">
        <w:t xml:space="preserve">. </w:t>
      </w:r>
      <w:r w:rsidR="00482EDC">
        <w:t xml:space="preserve">Further, </w:t>
      </w:r>
      <w:r w:rsidR="00B15671">
        <w:t>some members may invest in multiple investment options within their account</w:t>
      </w:r>
      <w:r w:rsidR="00046FCA">
        <w:t xml:space="preserve">, a practice that is more common in the </w:t>
      </w:r>
      <w:r w:rsidR="00662966">
        <w:t>choice segment, particularly platform</w:t>
      </w:r>
      <w:r w:rsidR="00C5661B">
        <w:t xml:space="preserve">s. </w:t>
      </w:r>
      <w:r w:rsidR="00B34C46">
        <w:t>While some have advocated for administration fees to be tested a</w:t>
      </w:r>
      <w:r w:rsidR="00656206">
        <w:t>t</w:t>
      </w:r>
      <w:r w:rsidR="00710FBC">
        <w:t xml:space="preserve"> a higher level</w:t>
      </w:r>
      <w:r w:rsidR="00656206">
        <w:t xml:space="preserve"> </w:t>
      </w:r>
      <w:r w:rsidR="006C2C7B">
        <w:t xml:space="preserve">(such as </w:t>
      </w:r>
      <w:r w:rsidR="00656206">
        <w:t xml:space="preserve">the </w:t>
      </w:r>
      <w:r w:rsidR="00197D03">
        <w:t xml:space="preserve">overall </w:t>
      </w:r>
      <w:r w:rsidR="00656206">
        <w:t xml:space="preserve">fund </w:t>
      </w:r>
      <w:r w:rsidR="00C566FA">
        <w:t>or investment menu</w:t>
      </w:r>
      <w:r w:rsidR="006C2C7B">
        <w:t>)</w:t>
      </w:r>
      <w:r w:rsidR="00C566FA">
        <w:t xml:space="preserve">, others have argued it should be tested at the more granular pathway or even </w:t>
      </w:r>
      <w:r w:rsidR="00852CD9">
        <w:t xml:space="preserve">at the </w:t>
      </w:r>
      <w:r w:rsidR="00C566FA">
        <w:t xml:space="preserve">individual member account level. </w:t>
      </w:r>
      <w:r w:rsidR="00751EDB">
        <w:t xml:space="preserve">These are </w:t>
      </w:r>
      <w:r w:rsidR="005665E6">
        <w:t>the following levels at which administration fees could conceivably be tested:</w:t>
      </w:r>
    </w:p>
    <w:p w14:paraId="4252C7B9" w14:textId="403221E1" w:rsidR="005665E6" w:rsidRDefault="005665E6" w:rsidP="0009191F">
      <w:pPr>
        <w:pStyle w:val="Bullet"/>
        <w:spacing w:line="264" w:lineRule="auto"/>
      </w:pPr>
      <w:r>
        <w:t xml:space="preserve">RSE – an assessment of </w:t>
      </w:r>
      <w:r w:rsidR="003C1FD4">
        <w:t xml:space="preserve">total administration fees collected </w:t>
      </w:r>
      <w:r w:rsidR="00246734">
        <w:t xml:space="preserve">by an RSE </w:t>
      </w:r>
      <w:r w:rsidR="003C1FD4">
        <w:t>on a</w:t>
      </w:r>
      <w:r w:rsidR="00187FCD">
        <w:t>n adjusted basis for either assets under management, or members.</w:t>
      </w:r>
      <w:r w:rsidR="00FA37EB">
        <w:t xml:space="preserve"> </w:t>
      </w:r>
      <w:r w:rsidR="007772A9">
        <w:t xml:space="preserve"> </w:t>
      </w:r>
    </w:p>
    <w:p w14:paraId="3FCA3FDB" w14:textId="552F9A51" w:rsidR="00187FCD" w:rsidRDefault="00187FCD" w:rsidP="0009191F">
      <w:pPr>
        <w:pStyle w:val="Bullet"/>
        <w:spacing w:line="264" w:lineRule="auto"/>
      </w:pPr>
      <w:r>
        <w:t xml:space="preserve">Superannuation product </w:t>
      </w:r>
      <w:r w:rsidR="00F547A9">
        <w:t>–</w:t>
      </w:r>
      <w:r w:rsidR="00FA25AC">
        <w:t xml:space="preserve"> </w:t>
      </w:r>
      <w:r w:rsidR="00F547A9">
        <w:t>Similar to the above but distinguished where there may be multiple products within an RSE.</w:t>
      </w:r>
      <w:r w:rsidR="000C6905">
        <w:t xml:space="preserve"> </w:t>
      </w:r>
    </w:p>
    <w:p w14:paraId="2D5AF8BA" w14:textId="5FC8898C" w:rsidR="00F547A9" w:rsidRDefault="00F547A9" w:rsidP="0009191F">
      <w:pPr>
        <w:pStyle w:val="Bullet"/>
        <w:spacing w:line="264" w:lineRule="auto"/>
      </w:pPr>
      <w:r>
        <w:t>Investment menu – to account for the different administration fees members would pay based on the investment menu they access.</w:t>
      </w:r>
      <w:r w:rsidR="000C6905">
        <w:t xml:space="preserve"> </w:t>
      </w:r>
    </w:p>
    <w:p w14:paraId="5B0B3BDD" w14:textId="7C881EF5" w:rsidR="00F547A9" w:rsidRDefault="0077690F" w:rsidP="0009191F">
      <w:pPr>
        <w:pStyle w:val="Bullet"/>
        <w:spacing w:line="264" w:lineRule="auto"/>
      </w:pPr>
      <w:r>
        <w:t xml:space="preserve">Investment option – to account for the administration fees </w:t>
      </w:r>
      <w:r w:rsidR="00C26E2C">
        <w:t>the populations of members would pay that are invested in the option.</w:t>
      </w:r>
      <w:r w:rsidR="00C95501">
        <w:t xml:space="preserve"> This is consistent with the current approach to assessing fees</w:t>
      </w:r>
      <w:r w:rsidR="00A33353">
        <w:t xml:space="preserve">, which </w:t>
      </w:r>
      <w:r w:rsidR="00950519">
        <w:t xml:space="preserve">currently </w:t>
      </w:r>
      <w:r w:rsidR="00A33353">
        <w:t xml:space="preserve">sees </w:t>
      </w:r>
      <w:r w:rsidR="00950519">
        <w:t xml:space="preserve">fees tested for </w:t>
      </w:r>
      <w:r w:rsidR="000C6905">
        <w:t>869 different MySuper products and TDPs.</w:t>
      </w:r>
    </w:p>
    <w:p w14:paraId="068D19AE" w14:textId="55775692" w:rsidR="00C26E2C" w:rsidRDefault="00A41BD5" w:rsidP="0009191F">
      <w:pPr>
        <w:pStyle w:val="Bullet"/>
        <w:spacing w:line="264" w:lineRule="auto"/>
      </w:pPr>
      <w:r>
        <w:t xml:space="preserve">Investment pathway – to account for the unique fee arrangement members would pay to access an investment option through </w:t>
      </w:r>
      <w:r w:rsidR="00BA73AC">
        <w:t xml:space="preserve">the relevant </w:t>
      </w:r>
      <w:r w:rsidR="000305A6">
        <w:t>superannuation product and investment menu specific to them.</w:t>
      </w:r>
      <w:r w:rsidR="00F7777B">
        <w:t xml:space="preserve"> </w:t>
      </w:r>
    </w:p>
    <w:p w14:paraId="1B7C9042" w14:textId="7C4FEE5C" w:rsidR="000305A6" w:rsidRDefault="00613B7E" w:rsidP="0009191F">
      <w:pPr>
        <w:pStyle w:val="Bullet"/>
        <w:spacing w:line="264" w:lineRule="auto"/>
      </w:pPr>
      <w:r>
        <w:t xml:space="preserve">Individual member basis – to </w:t>
      </w:r>
      <w:r w:rsidR="00D729D6">
        <w:t>account for the exact administration fees that</w:t>
      </w:r>
      <w:r w:rsidR="001A1142">
        <w:t xml:space="preserve"> </w:t>
      </w:r>
      <w:r w:rsidR="00F87DEE">
        <w:t>any given member incurs.</w:t>
      </w:r>
      <w:r w:rsidR="00334AD6">
        <w:t xml:space="preserve"> </w:t>
      </w:r>
      <w:r w:rsidR="000231AE">
        <w:t xml:space="preserve">APRA does not have individual member data, meaning a </w:t>
      </w:r>
      <w:r w:rsidR="00FC7DEA">
        <w:t xml:space="preserve">significant overhaul to data reporting would be required, and </w:t>
      </w:r>
      <w:r w:rsidR="00C2021D">
        <w:t xml:space="preserve">the number of tests required would increase to </w:t>
      </w:r>
      <w:r w:rsidR="00C2021D" w:rsidRPr="00CE2336">
        <w:t>21.8 million</w:t>
      </w:r>
      <w:r w:rsidR="00C2021D">
        <w:t xml:space="preserve"> to suit the number of member accounts in APRA-regulated MySuper and </w:t>
      </w:r>
      <w:r w:rsidR="00627827">
        <w:t>c</w:t>
      </w:r>
      <w:r w:rsidR="00C2021D">
        <w:t>hoice products.</w:t>
      </w:r>
    </w:p>
    <w:p w14:paraId="75AF5D56" w14:textId="1702A731" w:rsidR="002E0A18" w:rsidRDefault="009B607B" w:rsidP="0009191F">
      <w:pPr>
        <w:pStyle w:val="Bullet"/>
        <w:numPr>
          <w:ilvl w:val="0"/>
          <w:numId w:val="0"/>
        </w:numPr>
        <w:spacing w:after="120" w:line="264" w:lineRule="auto"/>
      </w:pPr>
      <w:r>
        <w:t xml:space="preserve">In determining the right level to assess administration fees, it is important to strike a balance between </w:t>
      </w:r>
      <w:r w:rsidR="0064597A">
        <w:t xml:space="preserve">being </w:t>
      </w:r>
      <w:r w:rsidR="00CC2A48">
        <w:t>reasonably representative of the member experience</w:t>
      </w:r>
      <w:r w:rsidR="004B7A7C">
        <w:t xml:space="preserve"> and remaining practical to implement.</w:t>
      </w:r>
      <w:r w:rsidR="00695A61">
        <w:t xml:space="preserve"> Assessing </w:t>
      </w:r>
      <w:r w:rsidR="002E152F">
        <w:t xml:space="preserve">fees at the investment option level is consistent with the current approach </w:t>
      </w:r>
      <w:r w:rsidR="0073649F">
        <w:t xml:space="preserve">to fees </w:t>
      </w:r>
      <w:r w:rsidR="002E152F">
        <w:t xml:space="preserve">and the broader </w:t>
      </w:r>
      <w:r w:rsidR="00787BF4">
        <w:t>assessment of the investment performance of options</w:t>
      </w:r>
      <w:r w:rsidR="007971E3">
        <w:t xml:space="preserve">. </w:t>
      </w:r>
      <w:r w:rsidR="00521766">
        <w:t>Moving the assessment to a more granular level may better represent the member experience</w:t>
      </w:r>
      <w:r w:rsidR="00E0623F">
        <w:t xml:space="preserve"> but this comes at the cost of exponentially increasing </w:t>
      </w:r>
      <w:r w:rsidR="006D1837">
        <w:t>the number of assessments</w:t>
      </w:r>
      <w:r w:rsidR="000A6BD3">
        <w:t xml:space="preserve">, impacting APRA’s ability </w:t>
      </w:r>
      <w:r w:rsidR="00D15CA4">
        <w:t xml:space="preserve">to implement the test on a timely basis. </w:t>
      </w:r>
      <w:r w:rsidR="00EC6FF0">
        <w:t xml:space="preserve">It </w:t>
      </w:r>
      <w:r w:rsidR="006D1837">
        <w:t xml:space="preserve">may </w:t>
      </w:r>
      <w:r w:rsidR="00EC6FF0">
        <w:t>also</w:t>
      </w:r>
      <w:r w:rsidR="006D1837">
        <w:t xml:space="preserve"> reduce </w:t>
      </w:r>
      <w:r w:rsidR="007F4B75">
        <w:t xml:space="preserve">transparency </w:t>
      </w:r>
      <w:r w:rsidR="008E0609">
        <w:t xml:space="preserve">and comprehension of the </w:t>
      </w:r>
      <w:r w:rsidR="007F4B75">
        <w:t>test</w:t>
      </w:r>
      <w:r w:rsidR="00A05F46">
        <w:t xml:space="preserve">, </w:t>
      </w:r>
      <w:r w:rsidR="00BA4849">
        <w:t>for example where</w:t>
      </w:r>
      <w:r w:rsidR="008C654B">
        <w:t xml:space="preserve"> </w:t>
      </w:r>
      <w:r w:rsidR="0089296D">
        <w:t>one member within an investment option fails but another member in the same option passes simply based on the investment pathways</w:t>
      </w:r>
      <w:r w:rsidR="002E6142">
        <w:t xml:space="preserve"> </w:t>
      </w:r>
      <w:r w:rsidR="004926E0">
        <w:t>used.</w:t>
      </w:r>
      <w:r w:rsidR="00854B08">
        <w:t xml:space="preserve">  </w:t>
      </w:r>
    </w:p>
    <w:p w14:paraId="7C1BF47B" w14:textId="6BA8F858" w:rsidR="00173BD2" w:rsidRPr="0058255F" w:rsidRDefault="00CA6654" w:rsidP="00EA341B">
      <w:pPr>
        <w:pStyle w:val="TableMainHeading"/>
        <w:rPr>
          <w:sz w:val="22"/>
          <w:szCs w:val="22"/>
        </w:rPr>
      </w:pPr>
      <w:bookmarkStart w:id="45" w:name="_Toc153206248"/>
      <w:bookmarkStart w:id="46" w:name="_Toc155955185"/>
      <w:r w:rsidRPr="0058255F">
        <w:rPr>
          <w:sz w:val="22"/>
          <w:szCs w:val="22"/>
        </w:rPr>
        <w:t>Tab</w:t>
      </w:r>
      <w:r w:rsidR="006A18D1" w:rsidRPr="0058255F">
        <w:rPr>
          <w:sz w:val="22"/>
          <w:szCs w:val="22"/>
        </w:rPr>
        <w:t>le</w:t>
      </w:r>
      <w:r w:rsidR="00A753C2" w:rsidRPr="0058255F">
        <w:rPr>
          <w:sz w:val="22"/>
          <w:szCs w:val="22"/>
        </w:rPr>
        <w:t xml:space="preserve"> </w:t>
      </w:r>
      <w:r w:rsidR="006F6595" w:rsidRPr="0058255F">
        <w:rPr>
          <w:sz w:val="22"/>
          <w:szCs w:val="22"/>
        </w:rPr>
        <w:t>2</w:t>
      </w:r>
      <w:r w:rsidR="006A18D1" w:rsidRPr="0058255F">
        <w:rPr>
          <w:sz w:val="22"/>
          <w:szCs w:val="22"/>
        </w:rPr>
        <w:t xml:space="preserve">: </w:t>
      </w:r>
      <w:r w:rsidR="0029144C" w:rsidRPr="0058255F">
        <w:rPr>
          <w:sz w:val="22"/>
          <w:szCs w:val="22"/>
        </w:rPr>
        <w:t>Non-platf</w:t>
      </w:r>
      <w:r w:rsidR="003F7816" w:rsidRPr="0058255F">
        <w:rPr>
          <w:sz w:val="22"/>
          <w:szCs w:val="22"/>
        </w:rPr>
        <w:t xml:space="preserve">orm </w:t>
      </w:r>
      <w:r w:rsidR="00786CE3" w:rsidRPr="0058255F">
        <w:rPr>
          <w:sz w:val="22"/>
          <w:szCs w:val="22"/>
        </w:rPr>
        <w:t>TDP administration fee distribution at different reporting levels ($50,000 member balance)</w:t>
      </w:r>
      <w:bookmarkEnd w:id="45"/>
      <w:bookmarkEnd w:id="46"/>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5"/>
        <w:gridCol w:w="1513"/>
        <w:gridCol w:w="1474"/>
        <w:gridCol w:w="1824"/>
      </w:tblGrid>
      <w:tr w:rsidR="006A18D1" w14:paraId="137FB08E" w14:textId="77777777" w:rsidTr="00E4663E">
        <w:trPr>
          <w:cnfStyle w:val="100000000000" w:firstRow="1" w:lastRow="0" w:firstColumn="0" w:lastColumn="0" w:oddVBand="0" w:evenVBand="0" w:oddHBand="0" w:evenHBand="0" w:firstRowFirstColumn="0" w:firstRowLastColumn="0" w:lastRowFirstColumn="0" w:lastRowLastColumn="0"/>
          <w:trHeight w:val="475"/>
        </w:trPr>
        <w:tc>
          <w:tcPr>
            <w:tcW w:w="2263" w:type="dxa"/>
            <w:shd w:val="clear" w:color="auto" w:fill="455875" w:themeFill="accent3" w:themeFillShade="BF"/>
          </w:tcPr>
          <w:p w14:paraId="14EBDB52" w14:textId="0A49412E" w:rsidR="00173BD2" w:rsidRPr="00585399" w:rsidRDefault="00173BD2" w:rsidP="004B7A7C">
            <w:pPr>
              <w:pStyle w:val="Bullet"/>
              <w:numPr>
                <w:ilvl w:val="0"/>
                <w:numId w:val="0"/>
              </w:numPr>
              <w:spacing w:before="96" w:after="96"/>
              <w:rPr>
                <w:color w:val="FFFFFF" w:themeColor="background1"/>
              </w:rPr>
            </w:pPr>
            <w:r w:rsidRPr="00585399">
              <w:rPr>
                <w:color w:val="FFFFFF" w:themeColor="background1"/>
              </w:rPr>
              <w:t>Level</w:t>
            </w:r>
          </w:p>
        </w:tc>
        <w:tc>
          <w:tcPr>
            <w:tcW w:w="1985" w:type="dxa"/>
            <w:shd w:val="clear" w:color="auto" w:fill="455875" w:themeFill="accent3" w:themeFillShade="BF"/>
          </w:tcPr>
          <w:p w14:paraId="1F3D1459" w14:textId="2C3F7C5A" w:rsidR="00173BD2" w:rsidRPr="00585399" w:rsidRDefault="00D310E9" w:rsidP="00585399">
            <w:pPr>
              <w:pStyle w:val="Bullet"/>
              <w:numPr>
                <w:ilvl w:val="0"/>
                <w:numId w:val="0"/>
              </w:numPr>
              <w:spacing w:before="96" w:after="96"/>
              <w:jc w:val="center"/>
              <w:rPr>
                <w:color w:val="FFFFFF" w:themeColor="background1"/>
              </w:rPr>
            </w:pPr>
            <w:r w:rsidRPr="00585399">
              <w:rPr>
                <w:color w:val="FFFFFF" w:themeColor="background1"/>
              </w:rPr>
              <w:t>No. of observations</w:t>
            </w:r>
          </w:p>
        </w:tc>
        <w:tc>
          <w:tcPr>
            <w:tcW w:w="1513" w:type="dxa"/>
            <w:shd w:val="clear" w:color="auto" w:fill="455875" w:themeFill="accent3" w:themeFillShade="BF"/>
          </w:tcPr>
          <w:p w14:paraId="054250BC" w14:textId="69AE5EB2" w:rsidR="00173BD2" w:rsidRPr="00585399" w:rsidRDefault="002418F7" w:rsidP="00585399">
            <w:pPr>
              <w:pStyle w:val="Bullet"/>
              <w:numPr>
                <w:ilvl w:val="0"/>
                <w:numId w:val="0"/>
              </w:numPr>
              <w:spacing w:before="96" w:after="96"/>
              <w:jc w:val="center"/>
              <w:rPr>
                <w:color w:val="FFFFFF" w:themeColor="background1"/>
              </w:rPr>
            </w:pPr>
            <w:r w:rsidRPr="00585399">
              <w:rPr>
                <w:color w:val="FFFFFF" w:themeColor="background1"/>
              </w:rPr>
              <w:t>Minimum Fee</w:t>
            </w:r>
          </w:p>
        </w:tc>
        <w:tc>
          <w:tcPr>
            <w:tcW w:w="1474" w:type="dxa"/>
            <w:shd w:val="clear" w:color="auto" w:fill="455875" w:themeFill="accent3" w:themeFillShade="BF"/>
          </w:tcPr>
          <w:p w14:paraId="5C1FEAD3" w14:textId="261269EC" w:rsidR="00173BD2" w:rsidRPr="00585399" w:rsidRDefault="002418F7" w:rsidP="00585399">
            <w:pPr>
              <w:pStyle w:val="Bullet"/>
              <w:numPr>
                <w:ilvl w:val="0"/>
                <w:numId w:val="0"/>
              </w:numPr>
              <w:spacing w:before="96" w:after="96"/>
              <w:jc w:val="center"/>
              <w:rPr>
                <w:color w:val="FFFFFF" w:themeColor="background1"/>
              </w:rPr>
            </w:pPr>
            <w:r w:rsidRPr="00585399">
              <w:rPr>
                <w:color w:val="FFFFFF" w:themeColor="background1"/>
              </w:rPr>
              <w:t>Median Fee</w:t>
            </w:r>
          </w:p>
        </w:tc>
        <w:tc>
          <w:tcPr>
            <w:tcW w:w="1824" w:type="dxa"/>
            <w:shd w:val="clear" w:color="auto" w:fill="455875" w:themeFill="accent3" w:themeFillShade="BF"/>
          </w:tcPr>
          <w:p w14:paraId="4F809923" w14:textId="2DCCE09B" w:rsidR="00173BD2" w:rsidRPr="00585399" w:rsidRDefault="002418F7" w:rsidP="00585399">
            <w:pPr>
              <w:pStyle w:val="Bullet"/>
              <w:numPr>
                <w:ilvl w:val="0"/>
                <w:numId w:val="0"/>
              </w:numPr>
              <w:spacing w:before="96" w:after="96"/>
              <w:jc w:val="center"/>
              <w:rPr>
                <w:color w:val="FFFFFF" w:themeColor="background1"/>
              </w:rPr>
            </w:pPr>
            <w:r w:rsidRPr="00585399">
              <w:rPr>
                <w:color w:val="FFFFFF" w:themeColor="background1"/>
              </w:rPr>
              <w:t>Maximum Fee</w:t>
            </w:r>
          </w:p>
        </w:tc>
      </w:tr>
      <w:tr w:rsidR="00786CE3" w14:paraId="196B40FC" w14:textId="77777777" w:rsidTr="00E4663E">
        <w:trPr>
          <w:trHeight w:val="410"/>
        </w:trPr>
        <w:tc>
          <w:tcPr>
            <w:tcW w:w="2263" w:type="dxa"/>
            <w:shd w:val="clear" w:color="auto" w:fill="BDC8D8" w:themeFill="accent3" w:themeFillTint="66"/>
            <w:vAlign w:val="center"/>
          </w:tcPr>
          <w:p w14:paraId="24A4ED16" w14:textId="61B05541" w:rsidR="00956BEF" w:rsidRDefault="005E2327" w:rsidP="004B7A7C">
            <w:pPr>
              <w:pStyle w:val="Bullet"/>
              <w:numPr>
                <w:ilvl w:val="0"/>
                <w:numId w:val="0"/>
              </w:numPr>
            </w:pPr>
            <w:r>
              <w:t>RSE</w:t>
            </w:r>
          </w:p>
        </w:tc>
        <w:tc>
          <w:tcPr>
            <w:tcW w:w="1985" w:type="dxa"/>
          </w:tcPr>
          <w:p w14:paraId="2F39177C" w14:textId="3B7CAE4C" w:rsidR="00956BEF" w:rsidRDefault="0080622C" w:rsidP="00585399">
            <w:pPr>
              <w:pStyle w:val="Bullet"/>
              <w:numPr>
                <w:ilvl w:val="0"/>
                <w:numId w:val="0"/>
              </w:numPr>
              <w:jc w:val="center"/>
            </w:pPr>
            <w:r>
              <w:t>58</w:t>
            </w:r>
          </w:p>
        </w:tc>
        <w:tc>
          <w:tcPr>
            <w:tcW w:w="1513" w:type="dxa"/>
          </w:tcPr>
          <w:p w14:paraId="3C46C863" w14:textId="0E530C9F" w:rsidR="00956BEF" w:rsidRDefault="00A048AC" w:rsidP="00585399">
            <w:pPr>
              <w:pStyle w:val="Bullet"/>
              <w:numPr>
                <w:ilvl w:val="0"/>
                <w:numId w:val="0"/>
              </w:numPr>
              <w:jc w:val="center"/>
            </w:pPr>
            <w:r>
              <w:t>0.00%</w:t>
            </w:r>
          </w:p>
        </w:tc>
        <w:tc>
          <w:tcPr>
            <w:tcW w:w="1474" w:type="dxa"/>
          </w:tcPr>
          <w:p w14:paraId="02825DBA" w14:textId="59C1829A" w:rsidR="00956BEF" w:rsidRDefault="00A048AC" w:rsidP="00585399">
            <w:pPr>
              <w:pStyle w:val="Bullet"/>
              <w:numPr>
                <w:ilvl w:val="0"/>
                <w:numId w:val="0"/>
              </w:numPr>
              <w:jc w:val="center"/>
            </w:pPr>
            <w:r>
              <w:t>0.26%</w:t>
            </w:r>
          </w:p>
        </w:tc>
        <w:tc>
          <w:tcPr>
            <w:tcW w:w="1824" w:type="dxa"/>
          </w:tcPr>
          <w:p w14:paraId="5E52614A" w14:textId="7FBE963C" w:rsidR="00956BEF" w:rsidRDefault="00A048AC" w:rsidP="00585399">
            <w:pPr>
              <w:pStyle w:val="Bullet"/>
              <w:numPr>
                <w:ilvl w:val="0"/>
                <w:numId w:val="0"/>
              </w:numPr>
              <w:jc w:val="center"/>
            </w:pPr>
            <w:r>
              <w:t>0.88%</w:t>
            </w:r>
          </w:p>
        </w:tc>
      </w:tr>
      <w:tr w:rsidR="00786CE3" w14:paraId="55914410" w14:textId="77777777" w:rsidTr="00E4663E">
        <w:trPr>
          <w:trHeight w:val="293"/>
        </w:trPr>
        <w:tc>
          <w:tcPr>
            <w:tcW w:w="2263" w:type="dxa"/>
            <w:shd w:val="clear" w:color="auto" w:fill="BDC8D8" w:themeFill="accent3" w:themeFillTint="66"/>
            <w:vAlign w:val="center"/>
          </w:tcPr>
          <w:p w14:paraId="21B2FF69" w14:textId="47235A61" w:rsidR="00956BEF" w:rsidRDefault="001459BE" w:rsidP="004B7A7C">
            <w:pPr>
              <w:pStyle w:val="Bullet"/>
              <w:numPr>
                <w:ilvl w:val="0"/>
                <w:numId w:val="0"/>
              </w:numPr>
            </w:pPr>
            <w:r>
              <w:t xml:space="preserve">Superannuation </w:t>
            </w:r>
            <w:r w:rsidR="00270C0C">
              <w:t>Product</w:t>
            </w:r>
          </w:p>
        </w:tc>
        <w:tc>
          <w:tcPr>
            <w:tcW w:w="1985" w:type="dxa"/>
          </w:tcPr>
          <w:p w14:paraId="0E607A28" w14:textId="1EA51F0E" w:rsidR="00956BEF" w:rsidRDefault="0080622C" w:rsidP="00585399">
            <w:pPr>
              <w:pStyle w:val="Bullet"/>
              <w:numPr>
                <w:ilvl w:val="0"/>
                <w:numId w:val="0"/>
              </w:numPr>
              <w:jc w:val="center"/>
            </w:pPr>
            <w:r>
              <w:t>110</w:t>
            </w:r>
          </w:p>
        </w:tc>
        <w:tc>
          <w:tcPr>
            <w:tcW w:w="1513" w:type="dxa"/>
          </w:tcPr>
          <w:p w14:paraId="263AF9D2" w14:textId="75655B43" w:rsidR="00956BEF" w:rsidRDefault="00A048AC" w:rsidP="00585399">
            <w:pPr>
              <w:pStyle w:val="Bullet"/>
              <w:numPr>
                <w:ilvl w:val="0"/>
                <w:numId w:val="0"/>
              </w:numPr>
              <w:jc w:val="center"/>
            </w:pPr>
            <w:r>
              <w:t>0.00%</w:t>
            </w:r>
          </w:p>
        </w:tc>
        <w:tc>
          <w:tcPr>
            <w:tcW w:w="1474" w:type="dxa"/>
          </w:tcPr>
          <w:p w14:paraId="3F8EA3FD" w14:textId="5DB6640C" w:rsidR="00956BEF" w:rsidRDefault="00A048AC" w:rsidP="00585399">
            <w:pPr>
              <w:pStyle w:val="Bullet"/>
              <w:numPr>
                <w:ilvl w:val="0"/>
                <w:numId w:val="0"/>
              </w:numPr>
              <w:jc w:val="center"/>
            </w:pPr>
            <w:r>
              <w:t>0.28%</w:t>
            </w:r>
          </w:p>
        </w:tc>
        <w:tc>
          <w:tcPr>
            <w:tcW w:w="1824" w:type="dxa"/>
          </w:tcPr>
          <w:p w14:paraId="5E35EB50" w14:textId="5637D965" w:rsidR="00956BEF" w:rsidRDefault="00A048AC" w:rsidP="00585399">
            <w:pPr>
              <w:pStyle w:val="Bullet"/>
              <w:numPr>
                <w:ilvl w:val="0"/>
                <w:numId w:val="0"/>
              </w:numPr>
              <w:jc w:val="center"/>
            </w:pPr>
            <w:r>
              <w:t>1.07%</w:t>
            </w:r>
          </w:p>
        </w:tc>
      </w:tr>
      <w:tr w:rsidR="00786CE3" w14:paraId="2FC1FBB2" w14:textId="77777777" w:rsidTr="00E4663E">
        <w:trPr>
          <w:trHeight w:val="319"/>
        </w:trPr>
        <w:tc>
          <w:tcPr>
            <w:tcW w:w="2263" w:type="dxa"/>
            <w:shd w:val="clear" w:color="auto" w:fill="BDC8D8" w:themeFill="accent3" w:themeFillTint="66"/>
            <w:vAlign w:val="center"/>
          </w:tcPr>
          <w:p w14:paraId="76C2FA4E" w14:textId="4A01780B" w:rsidR="00956BEF" w:rsidRDefault="00270C0C" w:rsidP="004B7A7C">
            <w:pPr>
              <w:pStyle w:val="Bullet"/>
              <w:numPr>
                <w:ilvl w:val="0"/>
                <w:numId w:val="0"/>
              </w:numPr>
            </w:pPr>
            <w:r>
              <w:t>Menu</w:t>
            </w:r>
          </w:p>
        </w:tc>
        <w:tc>
          <w:tcPr>
            <w:tcW w:w="1985" w:type="dxa"/>
          </w:tcPr>
          <w:p w14:paraId="534C6C30" w14:textId="10C222DE" w:rsidR="00956BEF" w:rsidRDefault="0080622C" w:rsidP="00585399">
            <w:pPr>
              <w:pStyle w:val="Bullet"/>
              <w:numPr>
                <w:ilvl w:val="0"/>
                <w:numId w:val="0"/>
              </w:numPr>
              <w:jc w:val="center"/>
            </w:pPr>
            <w:r>
              <w:t>90</w:t>
            </w:r>
          </w:p>
        </w:tc>
        <w:tc>
          <w:tcPr>
            <w:tcW w:w="1513" w:type="dxa"/>
          </w:tcPr>
          <w:p w14:paraId="35DF5A62" w14:textId="10281876" w:rsidR="00956BEF" w:rsidRDefault="00A048AC" w:rsidP="00585399">
            <w:pPr>
              <w:pStyle w:val="Bullet"/>
              <w:numPr>
                <w:ilvl w:val="0"/>
                <w:numId w:val="0"/>
              </w:numPr>
              <w:jc w:val="center"/>
            </w:pPr>
            <w:r>
              <w:t>0.00%</w:t>
            </w:r>
          </w:p>
        </w:tc>
        <w:tc>
          <w:tcPr>
            <w:tcW w:w="1474" w:type="dxa"/>
          </w:tcPr>
          <w:p w14:paraId="549B3F7C" w14:textId="124DA2AD" w:rsidR="00956BEF" w:rsidRDefault="0030104E" w:rsidP="00585399">
            <w:pPr>
              <w:pStyle w:val="Bullet"/>
              <w:numPr>
                <w:ilvl w:val="0"/>
                <w:numId w:val="0"/>
              </w:numPr>
              <w:jc w:val="center"/>
            </w:pPr>
            <w:r>
              <w:t>0.28%</w:t>
            </w:r>
          </w:p>
        </w:tc>
        <w:tc>
          <w:tcPr>
            <w:tcW w:w="1824" w:type="dxa"/>
          </w:tcPr>
          <w:p w14:paraId="62DF68BD" w14:textId="274DCF24" w:rsidR="00956BEF" w:rsidRDefault="0030104E" w:rsidP="00585399">
            <w:pPr>
              <w:pStyle w:val="Bullet"/>
              <w:numPr>
                <w:ilvl w:val="0"/>
                <w:numId w:val="0"/>
              </w:numPr>
              <w:jc w:val="center"/>
            </w:pPr>
            <w:r>
              <w:t>1.07%</w:t>
            </w:r>
          </w:p>
        </w:tc>
      </w:tr>
      <w:tr w:rsidR="00786CE3" w14:paraId="40DD2CF0" w14:textId="77777777" w:rsidTr="00E4663E">
        <w:trPr>
          <w:trHeight w:val="261"/>
        </w:trPr>
        <w:tc>
          <w:tcPr>
            <w:tcW w:w="2263" w:type="dxa"/>
            <w:shd w:val="clear" w:color="auto" w:fill="BDC8D8" w:themeFill="accent3" w:themeFillTint="66"/>
            <w:vAlign w:val="center"/>
          </w:tcPr>
          <w:p w14:paraId="1D34894D" w14:textId="3AA187C6" w:rsidR="00956BEF" w:rsidRDefault="00270C0C" w:rsidP="004B7A7C">
            <w:pPr>
              <w:pStyle w:val="Bullet"/>
              <w:numPr>
                <w:ilvl w:val="0"/>
                <w:numId w:val="0"/>
              </w:numPr>
            </w:pPr>
            <w:r>
              <w:t>Option</w:t>
            </w:r>
          </w:p>
        </w:tc>
        <w:tc>
          <w:tcPr>
            <w:tcW w:w="1985" w:type="dxa"/>
          </w:tcPr>
          <w:p w14:paraId="7AC922A9" w14:textId="226261D0" w:rsidR="00956BEF" w:rsidRDefault="0080622C" w:rsidP="00585399">
            <w:pPr>
              <w:pStyle w:val="Bullet"/>
              <w:numPr>
                <w:ilvl w:val="0"/>
                <w:numId w:val="0"/>
              </w:numPr>
              <w:jc w:val="center"/>
            </w:pPr>
            <w:r>
              <w:t>454</w:t>
            </w:r>
          </w:p>
        </w:tc>
        <w:tc>
          <w:tcPr>
            <w:tcW w:w="1513" w:type="dxa"/>
          </w:tcPr>
          <w:p w14:paraId="1143AE20" w14:textId="6A97BFFA" w:rsidR="00956BEF" w:rsidRDefault="0030104E" w:rsidP="00585399">
            <w:pPr>
              <w:pStyle w:val="Bullet"/>
              <w:numPr>
                <w:ilvl w:val="0"/>
                <w:numId w:val="0"/>
              </w:numPr>
              <w:jc w:val="center"/>
            </w:pPr>
            <w:r>
              <w:t>-0.06%</w:t>
            </w:r>
          </w:p>
        </w:tc>
        <w:tc>
          <w:tcPr>
            <w:tcW w:w="1474" w:type="dxa"/>
          </w:tcPr>
          <w:p w14:paraId="6C7BB77F" w14:textId="56E9BE8F" w:rsidR="00956BEF" w:rsidRDefault="005E1A5C" w:rsidP="00585399">
            <w:pPr>
              <w:pStyle w:val="Bullet"/>
              <w:numPr>
                <w:ilvl w:val="0"/>
                <w:numId w:val="0"/>
              </w:numPr>
              <w:jc w:val="center"/>
            </w:pPr>
            <w:r>
              <w:t>0.27%</w:t>
            </w:r>
          </w:p>
        </w:tc>
        <w:tc>
          <w:tcPr>
            <w:tcW w:w="1824" w:type="dxa"/>
          </w:tcPr>
          <w:p w14:paraId="613B73FA" w14:textId="7AB0B73B" w:rsidR="00956BEF" w:rsidRDefault="005E1A5C" w:rsidP="00585399">
            <w:pPr>
              <w:pStyle w:val="Bullet"/>
              <w:numPr>
                <w:ilvl w:val="0"/>
                <w:numId w:val="0"/>
              </w:numPr>
              <w:jc w:val="center"/>
            </w:pPr>
            <w:r>
              <w:t>1.51%</w:t>
            </w:r>
          </w:p>
        </w:tc>
      </w:tr>
      <w:tr w:rsidR="00786CE3" w14:paraId="54B0A1AE" w14:textId="77777777" w:rsidTr="00E4663E">
        <w:trPr>
          <w:trHeight w:val="261"/>
        </w:trPr>
        <w:tc>
          <w:tcPr>
            <w:tcW w:w="2263" w:type="dxa"/>
            <w:shd w:val="clear" w:color="auto" w:fill="BDC8D8" w:themeFill="accent3" w:themeFillTint="66"/>
            <w:vAlign w:val="center"/>
          </w:tcPr>
          <w:p w14:paraId="5C936D71" w14:textId="1FA5F9A4" w:rsidR="00956BEF" w:rsidRDefault="00270C0C" w:rsidP="004B7A7C">
            <w:pPr>
              <w:pStyle w:val="Bullet"/>
              <w:numPr>
                <w:ilvl w:val="0"/>
                <w:numId w:val="0"/>
              </w:numPr>
            </w:pPr>
            <w:r>
              <w:t>Pathway</w:t>
            </w:r>
          </w:p>
        </w:tc>
        <w:tc>
          <w:tcPr>
            <w:tcW w:w="1985" w:type="dxa"/>
          </w:tcPr>
          <w:p w14:paraId="3D00E172" w14:textId="6DA00458" w:rsidR="00956BEF" w:rsidRDefault="0080622C" w:rsidP="00585399">
            <w:pPr>
              <w:pStyle w:val="Bullet"/>
              <w:numPr>
                <w:ilvl w:val="0"/>
                <w:numId w:val="0"/>
              </w:numPr>
              <w:jc w:val="center"/>
            </w:pPr>
            <w:r>
              <w:t>618</w:t>
            </w:r>
          </w:p>
        </w:tc>
        <w:tc>
          <w:tcPr>
            <w:tcW w:w="1513" w:type="dxa"/>
          </w:tcPr>
          <w:p w14:paraId="65D5AC8D" w14:textId="0A458164" w:rsidR="00956BEF" w:rsidRDefault="005E1A5C" w:rsidP="00585399">
            <w:pPr>
              <w:pStyle w:val="Bullet"/>
              <w:numPr>
                <w:ilvl w:val="0"/>
                <w:numId w:val="0"/>
              </w:numPr>
              <w:jc w:val="center"/>
            </w:pPr>
            <w:r>
              <w:t>0.00%</w:t>
            </w:r>
          </w:p>
        </w:tc>
        <w:tc>
          <w:tcPr>
            <w:tcW w:w="1474" w:type="dxa"/>
          </w:tcPr>
          <w:p w14:paraId="51498AC4" w14:textId="091A5819" w:rsidR="00956BEF" w:rsidRDefault="005E1A5C" w:rsidP="00585399">
            <w:pPr>
              <w:pStyle w:val="Bullet"/>
              <w:numPr>
                <w:ilvl w:val="0"/>
                <w:numId w:val="0"/>
              </w:numPr>
              <w:jc w:val="center"/>
            </w:pPr>
            <w:r>
              <w:t>0.2</w:t>
            </w:r>
            <w:r w:rsidR="00E941CB">
              <w:t>8</w:t>
            </w:r>
            <w:r>
              <w:t>%</w:t>
            </w:r>
          </w:p>
        </w:tc>
        <w:tc>
          <w:tcPr>
            <w:tcW w:w="1824" w:type="dxa"/>
          </w:tcPr>
          <w:p w14:paraId="0D5D707A" w14:textId="14B75507" w:rsidR="00956BEF" w:rsidRDefault="00E941CB" w:rsidP="00585399">
            <w:pPr>
              <w:pStyle w:val="Bullet"/>
              <w:numPr>
                <w:ilvl w:val="0"/>
                <w:numId w:val="0"/>
              </w:numPr>
              <w:jc w:val="center"/>
            </w:pPr>
            <w:r>
              <w:t>1.51%</w:t>
            </w:r>
          </w:p>
        </w:tc>
      </w:tr>
      <w:tr w:rsidR="00786CE3" w14:paraId="346B58F2" w14:textId="77777777" w:rsidTr="00E4663E">
        <w:trPr>
          <w:trHeight w:val="261"/>
        </w:trPr>
        <w:tc>
          <w:tcPr>
            <w:tcW w:w="2263" w:type="dxa"/>
            <w:shd w:val="clear" w:color="auto" w:fill="BDC8D8" w:themeFill="accent3" w:themeFillTint="66"/>
            <w:vAlign w:val="center"/>
          </w:tcPr>
          <w:p w14:paraId="57D71958" w14:textId="4420827B" w:rsidR="005E2327" w:rsidRDefault="00270C0C" w:rsidP="004B7A7C">
            <w:pPr>
              <w:pStyle w:val="Bullet"/>
              <w:numPr>
                <w:ilvl w:val="0"/>
                <w:numId w:val="0"/>
              </w:numPr>
            </w:pPr>
            <w:r>
              <w:t>Member Account</w:t>
            </w:r>
          </w:p>
        </w:tc>
        <w:tc>
          <w:tcPr>
            <w:tcW w:w="1985" w:type="dxa"/>
          </w:tcPr>
          <w:p w14:paraId="3E852EE7" w14:textId="6A4C47DF" w:rsidR="005E2327" w:rsidRDefault="0080622C" w:rsidP="00585399">
            <w:pPr>
              <w:pStyle w:val="Bullet"/>
              <w:numPr>
                <w:ilvl w:val="0"/>
                <w:numId w:val="0"/>
              </w:numPr>
              <w:jc w:val="center"/>
            </w:pPr>
            <w:r>
              <w:t>3,862,200</w:t>
            </w:r>
          </w:p>
        </w:tc>
        <w:tc>
          <w:tcPr>
            <w:tcW w:w="1513" w:type="dxa"/>
          </w:tcPr>
          <w:p w14:paraId="16653CBF" w14:textId="531907B7" w:rsidR="005E2327" w:rsidRDefault="00E941CB" w:rsidP="00585399">
            <w:pPr>
              <w:pStyle w:val="Bullet"/>
              <w:numPr>
                <w:ilvl w:val="0"/>
                <w:numId w:val="0"/>
              </w:numPr>
              <w:jc w:val="center"/>
            </w:pPr>
            <w:r>
              <w:t>N/A</w:t>
            </w:r>
          </w:p>
        </w:tc>
        <w:tc>
          <w:tcPr>
            <w:tcW w:w="1474" w:type="dxa"/>
          </w:tcPr>
          <w:p w14:paraId="44D82349" w14:textId="70C94354" w:rsidR="005E2327" w:rsidRDefault="00E941CB" w:rsidP="00585399">
            <w:pPr>
              <w:pStyle w:val="Bullet"/>
              <w:numPr>
                <w:ilvl w:val="0"/>
                <w:numId w:val="0"/>
              </w:numPr>
              <w:jc w:val="center"/>
            </w:pPr>
            <w:r>
              <w:t>N/A</w:t>
            </w:r>
          </w:p>
        </w:tc>
        <w:tc>
          <w:tcPr>
            <w:tcW w:w="1824" w:type="dxa"/>
          </w:tcPr>
          <w:p w14:paraId="32CE6E54" w14:textId="334D041A" w:rsidR="005E2327" w:rsidRDefault="00E941CB" w:rsidP="00585399">
            <w:pPr>
              <w:pStyle w:val="Bullet"/>
              <w:numPr>
                <w:ilvl w:val="0"/>
                <w:numId w:val="0"/>
              </w:numPr>
              <w:jc w:val="center"/>
            </w:pPr>
            <w:r>
              <w:t>N/A</w:t>
            </w:r>
          </w:p>
        </w:tc>
      </w:tr>
    </w:tbl>
    <w:p w14:paraId="226CB6D3" w14:textId="77777777" w:rsidR="00ED155B" w:rsidRPr="00B553EA" w:rsidRDefault="00ED155B" w:rsidP="00ED155B">
      <w:pPr>
        <w:pStyle w:val="ChartorTableNote"/>
      </w:pPr>
      <w:r>
        <w:t>Note: Negative minimum fees can occur where benefits are attributed to member accounts which exceed the costs taken out, such as a rebate of administration fees paid in previous periods.</w:t>
      </w:r>
    </w:p>
    <w:p w14:paraId="032DCD00" w14:textId="2D240D6E" w:rsidR="003F7816" w:rsidRDefault="004475C4" w:rsidP="00EA341B">
      <w:pPr>
        <w:pStyle w:val="ChartorTableNote"/>
      </w:pPr>
      <w:r>
        <w:t>Source: Unpublished APRA data, SRF 606.0 RSE Profile, Table 4, as at June 2023.</w:t>
      </w:r>
    </w:p>
    <w:p w14:paraId="23CB446C" w14:textId="076D9808" w:rsidR="003F7816" w:rsidRPr="0058255F" w:rsidRDefault="003F7816" w:rsidP="00EA341B">
      <w:pPr>
        <w:pStyle w:val="TableMainHeading"/>
        <w:rPr>
          <w:sz w:val="22"/>
          <w:szCs w:val="22"/>
        </w:rPr>
      </w:pPr>
      <w:bookmarkStart w:id="47" w:name="_Toc153206249"/>
      <w:bookmarkStart w:id="48" w:name="_Toc155955186"/>
      <w:r w:rsidRPr="0058255F">
        <w:rPr>
          <w:sz w:val="22"/>
          <w:szCs w:val="22"/>
        </w:rPr>
        <w:t>Table</w:t>
      </w:r>
      <w:r w:rsidR="00A753C2" w:rsidRPr="0058255F">
        <w:rPr>
          <w:sz w:val="22"/>
          <w:szCs w:val="22"/>
        </w:rPr>
        <w:t xml:space="preserve"> </w:t>
      </w:r>
      <w:r w:rsidR="006F6595" w:rsidRPr="0058255F">
        <w:rPr>
          <w:sz w:val="22"/>
          <w:szCs w:val="22"/>
        </w:rPr>
        <w:t>3</w:t>
      </w:r>
      <w:r w:rsidRPr="0058255F">
        <w:rPr>
          <w:sz w:val="22"/>
          <w:szCs w:val="22"/>
        </w:rPr>
        <w:t>: Platform TDP administration fee distribution at different reporting levels ($50,000 member balance)</w:t>
      </w:r>
      <w:bookmarkEnd w:id="47"/>
      <w:bookmarkEnd w:id="48"/>
    </w:p>
    <w:tbl>
      <w:tblPr>
        <w:tblStyle w:val="TableGrid"/>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5"/>
        <w:gridCol w:w="1523"/>
        <w:gridCol w:w="1477"/>
        <w:gridCol w:w="1827"/>
      </w:tblGrid>
      <w:tr w:rsidR="003F7816" w14:paraId="2101BAB3" w14:textId="77777777" w:rsidTr="00E4663E">
        <w:trPr>
          <w:cnfStyle w:val="100000000000" w:firstRow="1" w:lastRow="0" w:firstColumn="0" w:lastColumn="0" w:oddVBand="0" w:evenVBand="0" w:oddHBand="0" w:evenHBand="0" w:firstRowFirstColumn="0" w:firstRowLastColumn="0" w:lastRowFirstColumn="0" w:lastRowLastColumn="0"/>
          <w:trHeight w:val="475"/>
        </w:trPr>
        <w:tc>
          <w:tcPr>
            <w:tcW w:w="2263" w:type="dxa"/>
            <w:shd w:val="clear" w:color="auto" w:fill="455875" w:themeFill="accent3" w:themeFillShade="BF"/>
          </w:tcPr>
          <w:p w14:paraId="74DBFB32" w14:textId="77777777" w:rsidR="003F7816" w:rsidRPr="00585399" w:rsidRDefault="003F7816">
            <w:pPr>
              <w:pStyle w:val="Bullet"/>
              <w:numPr>
                <w:ilvl w:val="0"/>
                <w:numId w:val="0"/>
              </w:numPr>
              <w:spacing w:before="96" w:after="96"/>
              <w:rPr>
                <w:color w:val="FFFFFF" w:themeColor="background1"/>
              </w:rPr>
            </w:pPr>
            <w:r w:rsidRPr="00585399">
              <w:rPr>
                <w:color w:val="FFFFFF" w:themeColor="background1"/>
              </w:rPr>
              <w:t>Level</w:t>
            </w:r>
          </w:p>
        </w:tc>
        <w:tc>
          <w:tcPr>
            <w:tcW w:w="1985" w:type="dxa"/>
            <w:shd w:val="clear" w:color="auto" w:fill="455875" w:themeFill="accent3" w:themeFillShade="BF"/>
          </w:tcPr>
          <w:p w14:paraId="68117A72" w14:textId="77777777" w:rsidR="003F7816" w:rsidRPr="00585399" w:rsidRDefault="003F7816">
            <w:pPr>
              <w:pStyle w:val="Bullet"/>
              <w:numPr>
                <w:ilvl w:val="0"/>
                <w:numId w:val="0"/>
              </w:numPr>
              <w:spacing w:before="96" w:after="96"/>
              <w:jc w:val="center"/>
              <w:rPr>
                <w:color w:val="FFFFFF" w:themeColor="background1"/>
              </w:rPr>
            </w:pPr>
            <w:r w:rsidRPr="00585399">
              <w:rPr>
                <w:color w:val="FFFFFF" w:themeColor="background1"/>
              </w:rPr>
              <w:t>No. of observations</w:t>
            </w:r>
          </w:p>
        </w:tc>
        <w:tc>
          <w:tcPr>
            <w:tcW w:w="1523" w:type="dxa"/>
            <w:shd w:val="clear" w:color="auto" w:fill="455875" w:themeFill="accent3" w:themeFillShade="BF"/>
          </w:tcPr>
          <w:p w14:paraId="019354F7" w14:textId="77777777" w:rsidR="003F7816" w:rsidRPr="00585399" w:rsidRDefault="003F7816">
            <w:pPr>
              <w:pStyle w:val="Bullet"/>
              <w:numPr>
                <w:ilvl w:val="0"/>
                <w:numId w:val="0"/>
              </w:numPr>
              <w:spacing w:before="96" w:after="96"/>
              <w:jc w:val="center"/>
              <w:rPr>
                <w:color w:val="FFFFFF" w:themeColor="background1"/>
              </w:rPr>
            </w:pPr>
            <w:r w:rsidRPr="00585399">
              <w:rPr>
                <w:color w:val="FFFFFF" w:themeColor="background1"/>
              </w:rPr>
              <w:t>Minimum Fee</w:t>
            </w:r>
          </w:p>
        </w:tc>
        <w:tc>
          <w:tcPr>
            <w:tcW w:w="1477" w:type="dxa"/>
            <w:shd w:val="clear" w:color="auto" w:fill="455875" w:themeFill="accent3" w:themeFillShade="BF"/>
          </w:tcPr>
          <w:p w14:paraId="0C2F2A47" w14:textId="77777777" w:rsidR="003F7816" w:rsidRPr="00585399" w:rsidRDefault="003F7816">
            <w:pPr>
              <w:pStyle w:val="Bullet"/>
              <w:numPr>
                <w:ilvl w:val="0"/>
                <w:numId w:val="0"/>
              </w:numPr>
              <w:spacing w:before="96" w:after="96"/>
              <w:jc w:val="center"/>
              <w:rPr>
                <w:color w:val="FFFFFF" w:themeColor="background1"/>
              </w:rPr>
            </w:pPr>
            <w:r w:rsidRPr="00585399">
              <w:rPr>
                <w:color w:val="FFFFFF" w:themeColor="background1"/>
              </w:rPr>
              <w:t>Median Fee</w:t>
            </w:r>
          </w:p>
        </w:tc>
        <w:tc>
          <w:tcPr>
            <w:tcW w:w="1827" w:type="dxa"/>
            <w:shd w:val="clear" w:color="auto" w:fill="455875" w:themeFill="accent3" w:themeFillShade="BF"/>
          </w:tcPr>
          <w:p w14:paraId="08758F29" w14:textId="77777777" w:rsidR="003F7816" w:rsidRPr="00585399" w:rsidRDefault="003F7816">
            <w:pPr>
              <w:pStyle w:val="Bullet"/>
              <w:numPr>
                <w:ilvl w:val="0"/>
                <w:numId w:val="0"/>
              </w:numPr>
              <w:spacing w:before="96" w:after="96"/>
              <w:jc w:val="center"/>
              <w:rPr>
                <w:color w:val="FFFFFF" w:themeColor="background1"/>
              </w:rPr>
            </w:pPr>
            <w:r w:rsidRPr="00585399">
              <w:rPr>
                <w:color w:val="FFFFFF" w:themeColor="background1"/>
              </w:rPr>
              <w:t>Maximum Fee</w:t>
            </w:r>
          </w:p>
        </w:tc>
      </w:tr>
      <w:tr w:rsidR="003F7816" w14:paraId="24E4C7F0" w14:textId="77777777" w:rsidTr="00E4663E">
        <w:trPr>
          <w:trHeight w:val="273"/>
        </w:trPr>
        <w:tc>
          <w:tcPr>
            <w:tcW w:w="2263" w:type="dxa"/>
            <w:shd w:val="clear" w:color="auto" w:fill="BDC8D8" w:themeFill="accent3" w:themeFillTint="66"/>
            <w:vAlign w:val="center"/>
          </w:tcPr>
          <w:p w14:paraId="60403A9B" w14:textId="10C39DAE" w:rsidR="003F7816" w:rsidRDefault="003F7816">
            <w:pPr>
              <w:pStyle w:val="Bullet"/>
              <w:numPr>
                <w:ilvl w:val="0"/>
                <w:numId w:val="0"/>
              </w:numPr>
            </w:pPr>
            <w:r>
              <w:t>RSE</w:t>
            </w:r>
          </w:p>
        </w:tc>
        <w:tc>
          <w:tcPr>
            <w:tcW w:w="1985" w:type="dxa"/>
          </w:tcPr>
          <w:p w14:paraId="1739DC66" w14:textId="77777777" w:rsidR="003F7816" w:rsidRDefault="003F7816">
            <w:pPr>
              <w:pStyle w:val="Bullet"/>
              <w:numPr>
                <w:ilvl w:val="0"/>
                <w:numId w:val="0"/>
              </w:numPr>
              <w:jc w:val="center"/>
            </w:pPr>
            <w:r>
              <w:t>15</w:t>
            </w:r>
          </w:p>
        </w:tc>
        <w:tc>
          <w:tcPr>
            <w:tcW w:w="1523" w:type="dxa"/>
          </w:tcPr>
          <w:p w14:paraId="21C8FAE4" w14:textId="77777777" w:rsidR="003F7816" w:rsidRDefault="003F7816">
            <w:pPr>
              <w:pStyle w:val="Bullet"/>
              <w:numPr>
                <w:ilvl w:val="0"/>
                <w:numId w:val="0"/>
              </w:numPr>
              <w:jc w:val="center"/>
            </w:pPr>
            <w:r>
              <w:t>0.00%</w:t>
            </w:r>
          </w:p>
        </w:tc>
        <w:tc>
          <w:tcPr>
            <w:tcW w:w="1477" w:type="dxa"/>
          </w:tcPr>
          <w:p w14:paraId="364DBB65" w14:textId="77777777" w:rsidR="003F7816" w:rsidRDefault="003F7816">
            <w:pPr>
              <w:pStyle w:val="Bullet"/>
              <w:numPr>
                <w:ilvl w:val="0"/>
                <w:numId w:val="0"/>
              </w:numPr>
              <w:jc w:val="center"/>
            </w:pPr>
            <w:r>
              <w:t>0.53%</w:t>
            </w:r>
          </w:p>
        </w:tc>
        <w:tc>
          <w:tcPr>
            <w:tcW w:w="1827" w:type="dxa"/>
          </w:tcPr>
          <w:p w14:paraId="5F1ADEDE" w14:textId="77777777" w:rsidR="003F7816" w:rsidRDefault="003F7816">
            <w:pPr>
              <w:pStyle w:val="Bullet"/>
              <w:numPr>
                <w:ilvl w:val="0"/>
                <w:numId w:val="0"/>
              </w:numPr>
              <w:jc w:val="center"/>
            </w:pPr>
            <w:r>
              <w:t>1.00%</w:t>
            </w:r>
          </w:p>
        </w:tc>
      </w:tr>
      <w:tr w:rsidR="003F7816" w14:paraId="0204978C" w14:textId="77777777" w:rsidTr="00E4663E">
        <w:trPr>
          <w:trHeight w:val="299"/>
        </w:trPr>
        <w:tc>
          <w:tcPr>
            <w:tcW w:w="2263" w:type="dxa"/>
            <w:shd w:val="clear" w:color="auto" w:fill="BDC8D8" w:themeFill="accent3" w:themeFillTint="66"/>
            <w:vAlign w:val="center"/>
          </w:tcPr>
          <w:p w14:paraId="44F828DB" w14:textId="3997A7D4" w:rsidR="003F7816" w:rsidRDefault="003F7816">
            <w:pPr>
              <w:pStyle w:val="Bullet"/>
              <w:numPr>
                <w:ilvl w:val="0"/>
                <w:numId w:val="0"/>
              </w:numPr>
            </w:pPr>
            <w:r>
              <w:t>Superannuation Product</w:t>
            </w:r>
          </w:p>
        </w:tc>
        <w:tc>
          <w:tcPr>
            <w:tcW w:w="1985" w:type="dxa"/>
          </w:tcPr>
          <w:p w14:paraId="79182355" w14:textId="77777777" w:rsidR="003F7816" w:rsidRDefault="003F7816">
            <w:pPr>
              <w:pStyle w:val="Bullet"/>
              <w:numPr>
                <w:ilvl w:val="0"/>
                <w:numId w:val="0"/>
              </w:numPr>
              <w:jc w:val="center"/>
            </w:pPr>
            <w:r>
              <w:t>41</w:t>
            </w:r>
          </w:p>
        </w:tc>
        <w:tc>
          <w:tcPr>
            <w:tcW w:w="1523" w:type="dxa"/>
          </w:tcPr>
          <w:p w14:paraId="2E106A58" w14:textId="77777777" w:rsidR="003F7816" w:rsidRDefault="003F7816">
            <w:pPr>
              <w:pStyle w:val="Bullet"/>
              <w:numPr>
                <w:ilvl w:val="0"/>
                <w:numId w:val="0"/>
              </w:numPr>
              <w:jc w:val="center"/>
            </w:pPr>
            <w:r>
              <w:t>0.03%</w:t>
            </w:r>
          </w:p>
        </w:tc>
        <w:tc>
          <w:tcPr>
            <w:tcW w:w="1477" w:type="dxa"/>
          </w:tcPr>
          <w:p w14:paraId="46CC6C30" w14:textId="77777777" w:rsidR="003F7816" w:rsidRDefault="003F7816">
            <w:pPr>
              <w:pStyle w:val="Bullet"/>
              <w:numPr>
                <w:ilvl w:val="0"/>
                <w:numId w:val="0"/>
              </w:numPr>
              <w:jc w:val="center"/>
            </w:pPr>
            <w:r>
              <w:t>0.70%</w:t>
            </w:r>
          </w:p>
        </w:tc>
        <w:tc>
          <w:tcPr>
            <w:tcW w:w="1827" w:type="dxa"/>
          </w:tcPr>
          <w:p w14:paraId="2B5F4C73" w14:textId="77777777" w:rsidR="003F7816" w:rsidRDefault="003F7816">
            <w:pPr>
              <w:pStyle w:val="Bullet"/>
              <w:numPr>
                <w:ilvl w:val="0"/>
                <w:numId w:val="0"/>
              </w:numPr>
              <w:jc w:val="center"/>
            </w:pPr>
            <w:r>
              <w:t>2.42%</w:t>
            </w:r>
          </w:p>
        </w:tc>
      </w:tr>
      <w:tr w:rsidR="003F7816" w14:paraId="44C718EC" w14:textId="77777777" w:rsidTr="00E4663E">
        <w:trPr>
          <w:trHeight w:val="117"/>
        </w:trPr>
        <w:tc>
          <w:tcPr>
            <w:tcW w:w="2263" w:type="dxa"/>
            <w:shd w:val="clear" w:color="auto" w:fill="BDC8D8" w:themeFill="accent3" w:themeFillTint="66"/>
            <w:vAlign w:val="center"/>
          </w:tcPr>
          <w:p w14:paraId="38911E16" w14:textId="29391320" w:rsidR="003F7816" w:rsidRDefault="003F7816">
            <w:pPr>
              <w:pStyle w:val="Bullet"/>
              <w:numPr>
                <w:ilvl w:val="0"/>
                <w:numId w:val="0"/>
              </w:numPr>
            </w:pPr>
            <w:r>
              <w:t>Menu</w:t>
            </w:r>
          </w:p>
        </w:tc>
        <w:tc>
          <w:tcPr>
            <w:tcW w:w="1985" w:type="dxa"/>
          </w:tcPr>
          <w:p w14:paraId="412C43C1" w14:textId="77777777" w:rsidR="003F7816" w:rsidRDefault="003F7816">
            <w:pPr>
              <w:pStyle w:val="Bullet"/>
              <w:numPr>
                <w:ilvl w:val="0"/>
                <w:numId w:val="0"/>
              </w:numPr>
              <w:jc w:val="center"/>
            </w:pPr>
            <w:r>
              <w:t>46</w:t>
            </w:r>
          </w:p>
        </w:tc>
        <w:tc>
          <w:tcPr>
            <w:tcW w:w="1523" w:type="dxa"/>
          </w:tcPr>
          <w:p w14:paraId="5A301BAD" w14:textId="77777777" w:rsidR="003F7816" w:rsidRDefault="003F7816">
            <w:pPr>
              <w:pStyle w:val="Bullet"/>
              <w:numPr>
                <w:ilvl w:val="0"/>
                <w:numId w:val="0"/>
              </w:numPr>
              <w:jc w:val="center"/>
            </w:pPr>
            <w:r>
              <w:t>0.03%</w:t>
            </w:r>
          </w:p>
        </w:tc>
        <w:tc>
          <w:tcPr>
            <w:tcW w:w="1477" w:type="dxa"/>
          </w:tcPr>
          <w:p w14:paraId="02A2B084" w14:textId="77777777" w:rsidR="003F7816" w:rsidRDefault="003F7816">
            <w:pPr>
              <w:pStyle w:val="Bullet"/>
              <w:numPr>
                <w:ilvl w:val="0"/>
                <w:numId w:val="0"/>
              </w:numPr>
              <w:jc w:val="center"/>
            </w:pPr>
            <w:r>
              <w:t>0.74%</w:t>
            </w:r>
          </w:p>
        </w:tc>
        <w:tc>
          <w:tcPr>
            <w:tcW w:w="1827" w:type="dxa"/>
          </w:tcPr>
          <w:p w14:paraId="365A6450" w14:textId="77777777" w:rsidR="003F7816" w:rsidRDefault="003F7816">
            <w:pPr>
              <w:pStyle w:val="Bullet"/>
              <w:numPr>
                <w:ilvl w:val="0"/>
                <w:numId w:val="0"/>
              </w:numPr>
              <w:jc w:val="center"/>
            </w:pPr>
            <w:r>
              <w:t>1.06%</w:t>
            </w:r>
          </w:p>
        </w:tc>
      </w:tr>
      <w:tr w:rsidR="003F7816" w14:paraId="3C65B2AE" w14:textId="77777777" w:rsidTr="00E4663E">
        <w:trPr>
          <w:trHeight w:val="261"/>
        </w:trPr>
        <w:tc>
          <w:tcPr>
            <w:tcW w:w="2263" w:type="dxa"/>
            <w:shd w:val="clear" w:color="auto" w:fill="BDC8D8" w:themeFill="accent3" w:themeFillTint="66"/>
            <w:vAlign w:val="center"/>
          </w:tcPr>
          <w:p w14:paraId="4B83979E" w14:textId="3F909AD8" w:rsidR="003F7816" w:rsidRDefault="003F7816">
            <w:pPr>
              <w:pStyle w:val="Bullet"/>
              <w:numPr>
                <w:ilvl w:val="0"/>
                <w:numId w:val="0"/>
              </w:numPr>
            </w:pPr>
            <w:r>
              <w:t>Option</w:t>
            </w:r>
          </w:p>
        </w:tc>
        <w:tc>
          <w:tcPr>
            <w:tcW w:w="1985" w:type="dxa"/>
          </w:tcPr>
          <w:p w14:paraId="7E1A655A" w14:textId="77777777" w:rsidR="003F7816" w:rsidRDefault="003F7816">
            <w:pPr>
              <w:pStyle w:val="Bullet"/>
              <w:numPr>
                <w:ilvl w:val="0"/>
                <w:numId w:val="0"/>
              </w:numPr>
              <w:jc w:val="center"/>
            </w:pPr>
            <w:r>
              <w:t>280</w:t>
            </w:r>
          </w:p>
        </w:tc>
        <w:tc>
          <w:tcPr>
            <w:tcW w:w="1523" w:type="dxa"/>
          </w:tcPr>
          <w:p w14:paraId="55AF38E9" w14:textId="77777777" w:rsidR="003F7816" w:rsidRDefault="003F7816">
            <w:pPr>
              <w:pStyle w:val="Bullet"/>
              <w:numPr>
                <w:ilvl w:val="0"/>
                <w:numId w:val="0"/>
              </w:numPr>
              <w:jc w:val="center"/>
            </w:pPr>
            <w:r>
              <w:t>0.01%</w:t>
            </w:r>
          </w:p>
        </w:tc>
        <w:tc>
          <w:tcPr>
            <w:tcW w:w="1477" w:type="dxa"/>
          </w:tcPr>
          <w:p w14:paraId="3E272F5E" w14:textId="77777777" w:rsidR="003F7816" w:rsidRDefault="003F7816">
            <w:pPr>
              <w:pStyle w:val="Bullet"/>
              <w:numPr>
                <w:ilvl w:val="0"/>
                <w:numId w:val="0"/>
              </w:numPr>
              <w:jc w:val="center"/>
            </w:pPr>
            <w:r>
              <w:t>0.54%</w:t>
            </w:r>
          </w:p>
        </w:tc>
        <w:tc>
          <w:tcPr>
            <w:tcW w:w="1827" w:type="dxa"/>
          </w:tcPr>
          <w:p w14:paraId="0050F222" w14:textId="77777777" w:rsidR="003F7816" w:rsidRDefault="003F7816">
            <w:pPr>
              <w:pStyle w:val="Bullet"/>
              <w:numPr>
                <w:ilvl w:val="0"/>
                <w:numId w:val="0"/>
              </w:numPr>
              <w:jc w:val="center"/>
            </w:pPr>
            <w:r>
              <w:t>1.24%</w:t>
            </w:r>
          </w:p>
        </w:tc>
      </w:tr>
      <w:tr w:rsidR="003F7816" w14:paraId="5F64A759" w14:textId="77777777" w:rsidTr="00E4663E">
        <w:trPr>
          <w:trHeight w:val="261"/>
        </w:trPr>
        <w:tc>
          <w:tcPr>
            <w:tcW w:w="2263" w:type="dxa"/>
            <w:shd w:val="clear" w:color="auto" w:fill="BDC8D8" w:themeFill="accent3" w:themeFillTint="66"/>
            <w:vAlign w:val="center"/>
          </w:tcPr>
          <w:p w14:paraId="6E7648C4" w14:textId="696AAAEA" w:rsidR="003F7816" w:rsidRDefault="003F7816">
            <w:pPr>
              <w:pStyle w:val="Bullet"/>
              <w:numPr>
                <w:ilvl w:val="0"/>
                <w:numId w:val="0"/>
              </w:numPr>
            </w:pPr>
            <w:r>
              <w:t>Pathway</w:t>
            </w:r>
          </w:p>
        </w:tc>
        <w:tc>
          <w:tcPr>
            <w:tcW w:w="1985" w:type="dxa"/>
          </w:tcPr>
          <w:p w14:paraId="0A5F29FF" w14:textId="77777777" w:rsidR="003F7816" w:rsidRDefault="003F7816">
            <w:pPr>
              <w:pStyle w:val="Bullet"/>
              <w:numPr>
                <w:ilvl w:val="0"/>
                <w:numId w:val="0"/>
              </w:numPr>
              <w:jc w:val="center"/>
            </w:pPr>
            <w:r>
              <w:t>578</w:t>
            </w:r>
          </w:p>
        </w:tc>
        <w:tc>
          <w:tcPr>
            <w:tcW w:w="1523" w:type="dxa"/>
          </w:tcPr>
          <w:p w14:paraId="7FDAD22E" w14:textId="77777777" w:rsidR="003F7816" w:rsidRDefault="003F7816">
            <w:pPr>
              <w:pStyle w:val="Bullet"/>
              <w:numPr>
                <w:ilvl w:val="0"/>
                <w:numId w:val="0"/>
              </w:numPr>
              <w:jc w:val="center"/>
            </w:pPr>
            <w:r>
              <w:t>0.01%</w:t>
            </w:r>
          </w:p>
        </w:tc>
        <w:tc>
          <w:tcPr>
            <w:tcW w:w="1477" w:type="dxa"/>
          </w:tcPr>
          <w:p w14:paraId="08BE37E9" w14:textId="77777777" w:rsidR="003F7816" w:rsidRDefault="003F7816">
            <w:pPr>
              <w:pStyle w:val="Bullet"/>
              <w:numPr>
                <w:ilvl w:val="0"/>
                <w:numId w:val="0"/>
              </w:numPr>
              <w:jc w:val="center"/>
            </w:pPr>
            <w:r>
              <w:t>0.69%</w:t>
            </w:r>
          </w:p>
        </w:tc>
        <w:tc>
          <w:tcPr>
            <w:tcW w:w="1827" w:type="dxa"/>
          </w:tcPr>
          <w:p w14:paraId="0473893D" w14:textId="77777777" w:rsidR="003F7816" w:rsidRDefault="003F7816">
            <w:pPr>
              <w:pStyle w:val="Bullet"/>
              <w:numPr>
                <w:ilvl w:val="0"/>
                <w:numId w:val="0"/>
              </w:numPr>
              <w:jc w:val="center"/>
            </w:pPr>
            <w:r>
              <w:t>2.71%</w:t>
            </w:r>
          </w:p>
        </w:tc>
      </w:tr>
      <w:tr w:rsidR="003F7816" w14:paraId="35194260" w14:textId="77777777" w:rsidTr="00E4663E">
        <w:trPr>
          <w:trHeight w:val="261"/>
        </w:trPr>
        <w:tc>
          <w:tcPr>
            <w:tcW w:w="2263" w:type="dxa"/>
            <w:shd w:val="clear" w:color="auto" w:fill="BDC8D8" w:themeFill="accent3" w:themeFillTint="66"/>
          </w:tcPr>
          <w:p w14:paraId="1E0A2C07" w14:textId="236C327B" w:rsidR="003F7816" w:rsidRDefault="003F7816">
            <w:pPr>
              <w:pStyle w:val="Bullet"/>
              <w:numPr>
                <w:ilvl w:val="0"/>
                <w:numId w:val="0"/>
              </w:numPr>
            </w:pPr>
            <w:r>
              <w:t>Member</w:t>
            </w:r>
          </w:p>
        </w:tc>
        <w:tc>
          <w:tcPr>
            <w:tcW w:w="1985" w:type="dxa"/>
          </w:tcPr>
          <w:p w14:paraId="690CFA91" w14:textId="77777777" w:rsidR="003F7816" w:rsidRDefault="003F7816">
            <w:pPr>
              <w:pStyle w:val="Bullet"/>
              <w:numPr>
                <w:ilvl w:val="0"/>
                <w:numId w:val="0"/>
              </w:numPr>
              <w:jc w:val="center"/>
            </w:pPr>
            <w:r>
              <w:t>196,246</w:t>
            </w:r>
          </w:p>
        </w:tc>
        <w:tc>
          <w:tcPr>
            <w:tcW w:w="1523" w:type="dxa"/>
          </w:tcPr>
          <w:p w14:paraId="31F58C48" w14:textId="77777777" w:rsidR="003F7816" w:rsidRDefault="003F7816">
            <w:pPr>
              <w:pStyle w:val="Bullet"/>
              <w:numPr>
                <w:ilvl w:val="0"/>
                <w:numId w:val="0"/>
              </w:numPr>
              <w:jc w:val="center"/>
            </w:pPr>
            <w:r>
              <w:t>N/A</w:t>
            </w:r>
          </w:p>
        </w:tc>
        <w:tc>
          <w:tcPr>
            <w:tcW w:w="1477" w:type="dxa"/>
          </w:tcPr>
          <w:p w14:paraId="34136672" w14:textId="77777777" w:rsidR="003F7816" w:rsidRDefault="003F7816">
            <w:pPr>
              <w:pStyle w:val="Bullet"/>
              <w:numPr>
                <w:ilvl w:val="0"/>
                <w:numId w:val="0"/>
              </w:numPr>
              <w:jc w:val="center"/>
            </w:pPr>
            <w:r>
              <w:t>N/A</w:t>
            </w:r>
          </w:p>
        </w:tc>
        <w:tc>
          <w:tcPr>
            <w:tcW w:w="1827" w:type="dxa"/>
          </w:tcPr>
          <w:p w14:paraId="674DF768" w14:textId="77777777" w:rsidR="003F7816" w:rsidRDefault="003F7816">
            <w:pPr>
              <w:pStyle w:val="Bullet"/>
              <w:numPr>
                <w:ilvl w:val="0"/>
                <w:numId w:val="0"/>
              </w:numPr>
              <w:jc w:val="center"/>
            </w:pPr>
            <w:r>
              <w:t>N/A</w:t>
            </w:r>
          </w:p>
        </w:tc>
      </w:tr>
    </w:tbl>
    <w:p w14:paraId="04E51786" w14:textId="77777777" w:rsidR="004475C4" w:rsidRDefault="004475C4" w:rsidP="004475C4">
      <w:pPr>
        <w:pStyle w:val="ChartorTableNote"/>
      </w:pPr>
      <w:r>
        <w:t>Source: Unpublished APRA data, SRF 606.0 RSE Profile, Table 4, as at June 2023.</w:t>
      </w:r>
    </w:p>
    <w:p w14:paraId="36B5A9E7" w14:textId="51FFE6DA" w:rsidR="00A563C8" w:rsidRDefault="00D120B7" w:rsidP="004B7A7C">
      <w:pPr>
        <w:pStyle w:val="Bullet"/>
        <w:numPr>
          <w:ilvl w:val="0"/>
          <w:numId w:val="0"/>
        </w:numPr>
        <w:rPr>
          <w:rFonts w:cs="Arial"/>
          <w:i/>
          <w:color w:val="4D7861" w:themeColor="accent2"/>
          <w:kern w:val="32"/>
          <w:szCs w:val="24"/>
        </w:rPr>
      </w:pPr>
      <w:r w:rsidRPr="006640E1">
        <w:rPr>
          <w:rFonts w:cs="Arial"/>
          <w:i/>
          <w:color w:val="4D7861" w:themeColor="accent2"/>
          <w:kern w:val="32"/>
          <w:szCs w:val="24"/>
        </w:rPr>
        <w:t>Representative member balance</w:t>
      </w:r>
    </w:p>
    <w:p w14:paraId="5F7BD024" w14:textId="50DC536C" w:rsidR="00D120B7" w:rsidRDefault="00230C07" w:rsidP="004B7A7C">
      <w:pPr>
        <w:pStyle w:val="Bullet"/>
        <w:numPr>
          <w:ilvl w:val="0"/>
          <w:numId w:val="0"/>
        </w:numPr>
        <w:rPr>
          <w:rFonts w:cs="Arial"/>
          <w:iCs/>
          <w:kern w:val="32"/>
          <w:szCs w:val="24"/>
        </w:rPr>
      </w:pPr>
      <w:r>
        <w:rPr>
          <w:rFonts w:cs="Arial"/>
          <w:iCs/>
          <w:kern w:val="32"/>
          <w:szCs w:val="24"/>
        </w:rPr>
        <w:t>Many stakeholders have raised concerns that the current $50,000 representative member balance is not fit</w:t>
      </w:r>
      <w:r w:rsidR="002D7B90">
        <w:rPr>
          <w:rFonts w:cs="Arial"/>
          <w:iCs/>
          <w:kern w:val="32"/>
          <w:szCs w:val="24"/>
        </w:rPr>
        <w:t>-</w:t>
      </w:r>
      <w:r>
        <w:rPr>
          <w:rFonts w:cs="Arial"/>
          <w:iCs/>
          <w:kern w:val="32"/>
          <w:szCs w:val="24"/>
        </w:rPr>
        <w:t>for</w:t>
      </w:r>
      <w:r w:rsidR="002D7B90">
        <w:rPr>
          <w:rFonts w:cs="Arial"/>
          <w:iCs/>
          <w:kern w:val="32"/>
          <w:szCs w:val="24"/>
        </w:rPr>
        <w:t>-</w:t>
      </w:r>
      <w:r>
        <w:rPr>
          <w:rFonts w:cs="Arial"/>
          <w:iCs/>
          <w:kern w:val="32"/>
          <w:szCs w:val="24"/>
        </w:rPr>
        <w:t xml:space="preserve">purpose for </w:t>
      </w:r>
      <w:proofErr w:type="gramStart"/>
      <w:r w:rsidR="002D7B90">
        <w:rPr>
          <w:rFonts w:cs="Arial"/>
          <w:iCs/>
          <w:kern w:val="32"/>
          <w:szCs w:val="24"/>
        </w:rPr>
        <w:t xml:space="preserve">particular </w:t>
      </w:r>
      <w:r>
        <w:rPr>
          <w:rFonts w:cs="Arial"/>
          <w:iCs/>
          <w:kern w:val="32"/>
          <w:szCs w:val="24"/>
        </w:rPr>
        <w:t>products</w:t>
      </w:r>
      <w:proofErr w:type="gramEnd"/>
      <w:r w:rsidR="002D7B90">
        <w:rPr>
          <w:rFonts w:cs="Arial"/>
          <w:iCs/>
          <w:kern w:val="32"/>
          <w:szCs w:val="24"/>
        </w:rPr>
        <w:t xml:space="preserve"> or </w:t>
      </w:r>
      <w:r w:rsidR="0096067F">
        <w:rPr>
          <w:rFonts w:cs="Arial"/>
          <w:iCs/>
          <w:kern w:val="32"/>
          <w:szCs w:val="24"/>
        </w:rPr>
        <w:t>members and</w:t>
      </w:r>
      <w:r w:rsidR="0032293A">
        <w:rPr>
          <w:rFonts w:cs="Arial"/>
          <w:iCs/>
          <w:kern w:val="32"/>
          <w:szCs w:val="24"/>
        </w:rPr>
        <w:t xml:space="preserve"> will only become less representative over time</w:t>
      </w:r>
      <w:r w:rsidR="002D7B90">
        <w:rPr>
          <w:rFonts w:cs="Arial"/>
          <w:iCs/>
          <w:kern w:val="32"/>
          <w:szCs w:val="24"/>
        </w:rPr>
        <w:t xml:space="preserve"> as superannuation balances increase</w:t>
      </w:r>
      <w:r w:rsidR="0032293A">
        <w:rPr>
          <w:rFonts w:cs="Arial"/>
          <w:iCs/>
          <w:kern w:val="32"/>
          <w:szCs w:val="24"/>
        </w:rPr>
        <w:t>.</w:t>
      </w:r>
      <w:r w:rsidR="00A614C8">
        <w:rPr>
          <w:rFonts w:cs="Arial"/>
          <w:iCs/>
          <w:kern w:val="32"/>
          <w:szCs w:val="24"/>
        </w:rPr>
        <w:t xml:space="preserve"> </w:t>
      </w:r>
      <w:r w:rsidR="00DE242E">
        <w:rPr>
          <w:rFonts w:cs="Arial"/>
          <w:iCs/>
          <w:kern w:val="32"/>
          <w:szCs w:val="24"/>
        </w:rPr>
        <w:t xml:space="preserve">The basis of the </w:t>
      </w:r>
      <w:r w:rsidR="00D31086">
        <w:rPr>
          <w:rFonts w:cs="Arial"/>
          <w:iCs/>
          <w:kern w:val="32"/>
          <w:szCs w:val="24"/>
        </w:rPr>
        <w:t xml:space="preserve">$50,000 representative member balance </w:t>
      </w:r>
      <w:r w:rsidR="00DE242E">
        <w:rPr>
          <w:rFonts w:cs="Arial"/>
          <w:iCs/>
          <w:kern w:val="32"/>
          <w:szCs w:val="24"/>
        </w:rPr>
        <w:t xml:space="preserve">was to be </w:t>
      </w:r>
      <w:r w:rsidR="00D31086">
        <w:rPr>
          <w:rFonts w:cs="Arial"/>
          <w:iCs/>
          <w:kern w:val="32"/>
          <w:szCs w:val="24"/>
        </w:rPr>
        <w:t>consistent with broader disclosure frameworks</w:t>
      </w:r>
      <w:r w:rsidR="005E6FF7">
        <w:rPr>
          <w:rFonts w:cs="Arial"/>
          <w:iCs/>
          <w:kern w:val="32"/>
          <w:szCs w:val="24"/>
        </w:rPr>
        <w:t>,</w:t>
      </w:r>
      <w:r w:rsidR="00D31086">
        <w:rPr>
          <w:rFonts w:cs="Arial"/>
          <w:iCs/>
          <w:kern w:val="32"/>
          <w:szCs w:val="24"/>
        </w:rPr>
        <w:t xml:space="preserve"> such as product disclosure statements, </w:t>
      </w:r>
      <w:r w:rsidR="00936571">
        <w:rPr>
          <w:rFonts w:cs="Arial"/>
          <w:iCs/>
          <w:kern w:val="32"/>
          <w:szCs w:val="24"/>
        </w:rPr>
        <w:t>product dashboards and the YourSuper comparison tool</w:t>
      </w:r>
      <w:r w:rsidR="00810725">
        <w:rPr>
          <w:rFonts w:cs="Arial"/>
          <w:iCs/>
          <w:kern w:val="32"/>
          <w:szCs w:val="24"/>
        </w:rPr>
        <w:t xml:space="preserve">. </w:t>
      </w:r>
      <w:r w:rsidR="00E62CBA">
        <w:rPr>
          <w:rFonts w:cs="Arial"/>
          <w:iCs/>
          <w:kern w:val="32"/>
          <w:szCs w:val="24"/>
        </w:rPr>
        <w:t>This</w:t>
      </w:r>
      <w:r w:rsidR="002D290A">
        <w:rPr>
          <w:rFonts w:cs="Arial"/>
          <w:iCs/>
          <w:kern w:val="32"/>
          <w:szCs w:val="24"/>
        </w:rPr>
        <w:t xml:space="preserve"> value</w:t>
      </w:r>
      <w:r w:rsidR="003C0D55">
        <w:rPr>
          <w:rFonts w:cs="Arial"/>
          <w:iCs/>
          <w:kern w:val="32"/>
          <w:szCs w:val="24"/>
        </w:rPr>
        <w:t xml:space="preserve"> was initially chosen </w:t>
      </w:r>
      <w:r w:rsidR="002D290A">
        <w:rPr>
          <w:rFonts w:cs="Arial"/>
          <w:iCs/>
          <w:kern w:val="32"/>
          <w:szCs w:val="24"/>
        </w:rPr>
        <w:t xml:space="preserve">for </w:t>
      </w:r>
      <w:r w:rsidR="00E62CBA">
        <w:rPr>
          <w:rFonts w:cs="Arial"/>
          <w:iCs/>
          <w:kern w:val="32"/>
          <w:szCs w:val="24"/>
        </w:rPr>
        <w:t>broader disclosure framework</w:t>
      </w:r>
      <w:r w:rsidR="0027195C">
        <w:rPr>
          <w:rFonts w:cs="Arial"/>
          <w:iCs/>
          <w:kern w:val="32"/>
          <w:szCs w:val="24"/>
        </w:rPr>
        <w:t>s</w:t>
      </w:r>
      <w:r w:rsidR="00721DE6">
        <w:rPr>
          <w:rFonts w:cs="Arial"/>
          <w:iCs/>
          <w:kern w:val="32"/>
          <w:szCs w:val="24"/>
        </w:rPr>
        <w:t xml:space="preserve"> as it </w:t>
      </w:r>
      <w:r w:rsidR="00E7637E">
        <w:rPr>
          <w:rFonts w:cs="Arial"/>
          <w:iCs/>
          <w:kern w:val="32"/>
          <w:szCs w:val="24"/>
        </w:rPr>
        <w:t>reflected</w:t>
      </w:r>
      <w:r w:rsidR="00721DE6">
        <w:rPr>
          <w:rFonts w:cs="Arial"/>
          <w:iCs/>
          <w:kern w:val="32"/>
          <w:szCs w:val="24"/>
        </w:rPr>
        <w:t xml:space="preserve"> the average MySuper balance at the time. </w:t>
      </w:r>
    </w:p>
    <w:p w14:paraId="401B534C" w14:textId="77777777" w:rsidR="00495337" w:rsidRDefault="00EA6484" w:rsidP="006640E1">
      <w:pPr>
        <w:pStyle w:val="Bullet"/>
        <w:numPr>
          <w:ilvl w:val="0"/>
          <w:numId w:val="0"/>
        </w:numPr>
        <w:rPr>
          <w:rFonts w:cs="Arial"/>
          <w:iCs/>
          <w:kern w:val="32"/>
          <w:szCs w:val="24"/>
        </w:rPr>
      </w:pPr>
      <w:r>
        <w:rPr>
          <w:rFonts w:cs="Arial"/>
          <w:iCs/>
          <w:kern w:val="32"/>
          <w:szCs w:val="24"/>
        </w:rPr>
        <w:t>One</w:t>
      </w:r>
      <w:r w:rsidR="00D32AD3">
        <w:rPr>
          <w:rFonts w:cs="Arial"/>
          <w:iCs/>
          <w:kern w:val="32"/>
          <w:szCs w:val="24"/>
        </w:rPr>
        <w:t xml:space="preserve"> option could be to </w:t>
      </w:r>
      <w:r w:rsidR="004F2C31">
        <w:rPr>
          <w:rFonts w:cs="Arial"/>
          <w:iCs/>
          <w:kern w:val="32"/>
          <w:szCs w:val="24"/>
        </w:rPr>
        <w:t xml:space="preserve">amend the </w:t>
      </w:r>
      <w:r w:rsidR="00283B2E">
        <w:rPr>
          <w:rFonts w:cs="Arial"/>
          <w:iCs/>
          <w:kern w:val="32"/>
          <w:szCs w:val="24"/>
        </w:rPr>
        <w:t xml:space="preserve">representative member balance used within the test to better </w:t>
      </w:r>
      <w:r w:rsidR="00C63E37">
        <w:rPr>
          <w:rFonts w:cs="Arial"/>
          <w:iCs/>
          <w:kern w:val="32"/>
          <w:szCs w:val="24"/>
        </w:rPr>
        <w:t xml:space="preserve">represent members within different product cohorts, and as the market shifts over time. The APRA heatmap uses the approach of multiple representative member balances for fee assessments. </w:t>
      </w:r>
    </w:p>
    <w:p w14:paraId="4166781C" w14:textId="7D1F981C" w:rsidR="00B26CAC" w:rsidRDefault="00C63E37" w:rsidP="006640E1">
      <w:pPr>
        <w:pStyle w:val="Bullet"/>
        <w:numPr>
          <w:ilvl w:val="0"/>
          <w:numId w:val="0"/>
        </w:numPr>
        <w:rPr>
          <w:rFonts w:cs="Arial"/>
          <w:iCs/>
          <w:kern w:val="32"/>
          <w:szCs w:val="24"/>
        </w:rPr>
      </w:pPr>
      <w:r>
        <w:rPr>
          <w:rFonts w:cs="Arial"/>
          <w:iCs/>
          <w:kern w:val="32"/>
          <w:szCs w:val="24"/>
        </w:rPr>
        <w:t xml:space="preserve">Another option would be to use </w:t>
      </w:r>
      <w:r w:rsidR="00514F58">
        <w:rPr>
          <w:rFonts w:cs="Arial"/>
          <w:iCs/>
          <w:kern w:val="32"/>
          <w:szCs w:val="24"/>
        </w:rPr>
        <w:t xml:space="preserve">the average or median balance for a </w:t>
      </w:r>
      <w:r w:rsidR="0084742D">
        <w:rPr>
          <w:rFonts w:cs="Arial"/>
          <w:iCs/>
          <w:kern w:val="32"/>
          <w:szCs w:val="24"/>
        </w:rPr>
        <w:t xml:space="preserve">relevant cohort of products. This will allow the balance to vary for different product </w:t>
      </w:r>
      <w:r w:rsidR="007115CF">
        <w:rPr>
          <w:rFonts w:cs="Arial"/>
          <w:iCs/>
          <w:kern w:val="32"/>
          <w:szCs w:val="24"/>
        </w:rPr>
        <w:t>types and</w:t>
      </w:r>
      <w:r w:rsidR="0084742D">
        <w:rPr>
          <w:rFonts w:cs="Arial"/>
          <w:iCs/>
          <w:kern w:val="32"/>
          <w:szCs w:val="24"/>
        </w:rPr>
        <w:t xml:space="preserve"> shift as the market evolves over time.</w:t>
      </w:r>
      <w:r w:rsidR="00E77A6D">
        <w:rPr>
          <w:rFonts w:cs="Arial"/>
          <w:iCs/>
          <w:kern w:val="32"/>
          <w:szCs w:val="24"/>
        </w:rPr>
        <w:t xml:space="preserve"> For example, MySuper products could have a different representative balance to retirement products.</w:t>
      </w:r>
    </w:p>
    <w:p w14:paraId="52C18094" w14:textId="295AAE36" w:rsidR="002E0A18" w:rsidRPr="0058255F" w:rsidRDefault="002E0A18" w:rsidP="00EA341B">
      <w:pPr>
        <w:pStyle w:val="TableMainHeading"/>
        <w:rPr>
          <w:sz w:val="22"/>
          <w:szCs w:val="22"/>
        </w:rPr>
      </w:pPr>
      <w:bookmarkStart w:id="49" w:name="_Toc153206250"/>
      <w:bookmarkStart w:id="50" w:name="_Toc155955187"/>
      <w:r w:rsidRPr="0058255F">
        <w:rPr>
          <w:sz w:val="22"/>
          <w:szCs w:val="22"/>
        </w:rPr>
        <w:t>Table</w:t>
      </w:r>
      <w:r w:rsidR="00A753C2" w:rsidRPr="0058255F">
        <w:rPr>
          <w:sz w:val="22"/>
          <w:szCs w:val="22"/>
        </w:rPr>
        <w:t xml:space="preserve"> </w:t>
      </w:r>
      <w:r w:rsidR="006F6595" w:rsidRPr="0058255F">
        <w:rPr>
          <w:sz w:val="22"/>
          <w:szCs w:val="22"/>
        </w:rPr>
        <w:t>4</w:t>
      </w:r>
      <w:r w:rsidRPr="0058255F">
        <w:rPr>
          <w:sz w:val="22"/>
          <w:szCs w:val="22"/>
        </w:rPr>
        <w:t xml:space="preserve">: </w:t>
      </w:r>
      <w:r w:rsidR="00E41FA1">
        <w:rPr>
          <w:sz w:val="22"/>
          <w:szCs w:val="22"/>
        </w:rPr>
        <w:t>B</w:t>
      </w:r>
      <w:r w:rsidR="00E451E4" w:rsidRPr="0058255F">
        <w:rPr>
          <w:sz w:val="22"/>
          <w:szCs w:val="22"/>
        </w:rPr>
        <w:t xml:space="preserve">enchmark administration fees (BRAFE) for </w:t>
      </w:r>
      <w:r w:rsidR="005C44E5" w:rsidRPr="0058255F">
        <w:rPr>
          <w:sz w:val="22"/>
          <w:szCs w:val="22"/>
        </w:rPr>
        <w:t>different cohorts based on member balance</w:t>
      </w:r>
      <w:bookmarkEnd w:id="49"/>
      <w:bookmarkEnd w:id="50"/>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0"/>
        <w:gridCol w:w="2265"/>
        <w:gridCol w:w="2265"/>
      </w:tblGrid>
      <w:tr w:rsidR="00886FD4" w14:paraId="28E842B8" w14:textId="77777777">
        <w:trPr>
          <w:cnfStyle w:val="100000000000" w:firstRow="1" w:lastRow="0" w:firstColumn="0" w:lastColumn="0" w:oddVBand="0" w:evenVBand="0" w:oddHBand="0" w:evenHBand="0" w:firstRowFirstColumn="0" w:firstRowLastColumn="0" w:lastRowFirstColumn="0" w:lastRowLastColumn="0"/>
        </w:trPr>
        <w:tc>
          <w:tcPr>
            <w:tcW w:w="1980" w:type="dxa"/>
            <w:shd w:val="clear" w:color="auto" w:fill="455875" w:themeFill="accent3" w:themeFillShade="BF"/>
          </w:tcPr>
          <w:p w14:paraId="27E10283" w14:textId="77777777" w:rsidR="00886FD4" w:rsidRPr="00795019" w:rsidRDefault="00886FD4">
            <w:pPr>
              <w:pStyle w:val="Bullet"/>
              <w:numPr>
                <w:ilvl w:val="0"/>
                <w:numId w:val="0"/>
              </w:numPr>
              <w:spacing w:before="96" w:after="96"/>
              <w:rPr>
                <w:rFonts w:cs="Arial"/>
                <w:iCs/>
                <w:color w:val="FFFFFF" w:themeColor="background1"/>
                <w:kern w:val="32"/>
                <w:sz w:val="22"/>
                <w:szCs w:val="22"/>
              </w:rPr>
            </w:pPr>
            <w:r w:rsidRPr="00795019">
              <w:rPr>
                <w:rFonts w:cs="Arial"/>
                <w:iCs/>
                <w:color w:val="FFFFFF" w:themeColor="background1"/>
                <w:kern w:val="32"/>
                <w:sz w:val="22"/>
                <w:szCs w:val="22"/>
              </w:rPr>
              <w:t>Product Type</w:t>
            </w:r>
          </w:p>
        </w:tc>
        <w:tc>
          <w:tcPr>
            <w:tcW w:w="2550" w:type="dxa"/>
            <w:shd w:val="clear" w:color="auto" w:fill="455875" w:themeFill="accent3" w:themeFillShade="BF"/>
          </w:tcPr>
          <w:p w14:paraId="7E2A22D8" w14:textId="77777777" w:rsidR="00886FD4" w:rsidRPr="00795019" w:rsidRDefault="00886FD4">
            <w:pPr>
              <w:pStyle w:val="Bullet"/>
              <w:numPr>
                <w:ilvl w:val="0"/>
                <w:numId w:val="0"/>
              </w:numPr>
              <w:spacing w:before="96" w:after="96"/>
              <w:jc w:val="center"/>
              <w:rPr>
                <w:rFonts w:cs="Arial"/>
                <w:iCs/>
                <w:color w:val="FFFFFF" w:themeColor="background1"/>
                <w:kern w:val="32"/>
                <w:sz w:val="22"/>
                <w:szCs w:val="22"/>
              </w:rPr>
            </w:pPr>
            <w:r w:rsidRPr="00795019">
              <w:rPr>
                <w:rFonts w:cs="Arial"/>
                <w:iCs/>
                <w:color w:val="FFFFFF" w:themeColor="background1"/>
                <w:kern w:val="32"/>
                <w:sz w:val="22"/>
                <w:szCs w:val="22"/>
              </w:rPr>
              <w:t>BRAFE ($50,000 representative member)</w:t>
            </w:r>
          </w:p>
        </w:tc>
        <w:tc>
          <w:tcPr>
            <w:tcW w:w="2265" w:type="dxa"/>
            <w:shd w:val="clear" w:color="auto" w:fill="455875" w:themeFill="accent3" w:themeFillShade="BF"/>
          </w:tcPr>
          <w:p w14:paraId="3187AEB5" w14:textId="77777777" w:rsidR="00886FD4" w:rsidRPr="00795019" w:rsidRDefault="00886FD4">
            <w:pPr>
              <w:pStyle w:val="Bullet"/>
              <w:numPr>
                <w:ilvl w:val="0"/>
                <w:numId w:val="0"/>
              </w:numPr>
              <w:spacing w:before="96" w:after="96"/>
              <w:jc w:val="center"/>
              <w:rPr>
                <w:rFonts w:cs="Arial"/>
                <w:iCs/>
                <w:color w:val="FFFFFF" w:themeColor="background1"/>
                <w:kern w:val="32"/>
                <w:sz w:val="22"/>
                <w:szCs w:val="22"/>
              </w:rPr>
            </w:pPr>
            <w:r w:rsidRPr="00795019">
              <w:rPr>
                <w:rFonts w:cs="Arial"/>
                <w:iCs/>
                <w:color w:val="FFFFFF" w:themeColor="background1"/>
                <w:kern w:val="32"/>
                <w:sz w:val="22"/>
                <w:szCs w:val="22"/>
              </w:rPr>
              <w:t>Median Member Balance (nearest $100)</w:t>
            </w:r>
          </w:p>
        </w:tc>
        <w:tc>
          <w:tcPr>
            <w:tcW w:w="2265" w:type="dxa"/>
            <w:shd w:val="clear" w:color="auto" w:fill="455875" w:themeFill="accent3" w:themeFillShade="BF"/>
          </w:tcPr>
          <w:p w14:paraId="3D462182" w14:textId="77777777" w:rsidR="00886FD4" w:rsidRPr="00795019" w:rsidRDefault="00886FD4">
            <w:pPr>
              <w:pStyle w:val="Bullet"/>
              <w:numPr>
                <w:ilvl w:val="0"/>
                <w:numId w:val="0"/>
              </w:numPr>
              <w:spacing w:before="96" w:after="96"/>
              <w:jc w:val="center"/>
              <w:rPr>
                <w:rFonts w:cs="Arial"/>
                <w:iCs/>
                <w:color w:val="FFFFFF" w:themeColor="background1"/>
                <w:kern w:val="32"/>
                <w:sz w:val="22"/>
                <w:szCs w:val="22"/>
              </w:rPr>
            </w:pPr>
            <w:r w:rsidRPr="00795019">
              <w:rPr>
                <w:rFonts w:cs="Arial"/>
                <w:iCs/>
                <w:color w:val="FFFFFF" w:themeColor="background1"/>
                <w:kern w:val="32"/>
                <w:sz w:val="22"/>
                <w:szCs w:val="22"/>
              </w:rPr>
              <w:t>BRAFE (median balance)</w:t>
            </w:r>
          </w:p>
        </w:tc>
      </w:tr>
      <w:tr w:rsidR="00886FD4" w14:paraId="05DE062C" w14:textId="77777777" w:rsidTr="00D63D48">
        <w:tc>
          <w:tcPr>
            <w:tcW w:w="1980" w:type="dxa"/>
            <w:shd w:val="clear" w:color="auto" w:fill="BDC8D8" w:themeFill="accent3" w:themeFillTint="66"/>
          </w:tcPr>
          <w:p w14:paraId="41C55FC6" w14:textId="77777777" w:rsidR="00886FD4" w:rsidRPr="00795019" w:rsidRDefault="00886FD4">
            <w:pPr>
              <w:pStyle w:val="Bullet"/>
              <w:numPr>
                <w:ilvl w:val="0"/>
                <w:numId w:val="0"/>
              </w:numPr>
              <w:rPr>
                <w:rFonts w:cs="Arial"/>
                <w:iCs/>
                <w:kern w:val="32"/>
                <w:sz w:val="22"/>
                <w:szCs w:val="22"/>
              </w:rPr>
            </w:pPr>
            <w:r w:rsidRPr="00795019">
              <w:rPr>
                <w:rFonts w:cs="Arial"/>
                <w:iCs/>
                <w:kern w:val="32"/>
                <w:sz w:val="22"/>
                <w:szCs w:val="22"/>
              </w:rPr>
              <w:t>MySuper</w:t>
            </w:r>
          </w:p>
        </w:tc>
        <w:tc>
          <w:tcPr>
            <w:tcW w:w="2550" w:type="dxa"/>
          </w:tcPr>
          <w:p w14:paraId="4BF80373" w14:textId="77777777" w:rsidR="00886FD4" w:rsidRPr="00795019" w:rsidRDefault="00886FD4">
            <w:pPr>
              <w:pStyle w:val="Bullet"/>
              <w:numPr>
                <w:ilvl w:val="0"/>
                <w:numId w:val="0"/>
              </w:numPr>
              <w:jc w:val="center"/>
              <w:rPr>
                <w:rFonts w:cs="Arial"/>
                <w:iCs/>
                <w:kern w:val="32"/>
                <w:sz w:val="22"/>
                <w:szCs w:val="22"/>
              </w:rPr>
            </w:pPr>
            <w:r w:rsidRPr="00795019">
              <w:rPr>
                <w:rFonts w:cs="Arial"/>
                <w:iCs/>
                <w:kern w:val="32"/>
                <w:sz w:val="22"/>
                <w:szCs w:val="22"/>
              </w:rPr>
              <w:t>0.26%</w:t>
            </w:r>
          </w:p>
        </w:tc>
        <w:tc>
          <w:tcPr>
            <w:tcW w:w="2265" w:type="dxa"/>
          </w:tcPr>
          <w:p w14:paraId="04A9286D" w14:textId="77777777" w:rsidR="00886FD4" w:rsidRPr="00795019" w:rsidRDefault="00886FD4">
            <w:pPr>
              <w:pStyle w:val="Bullet"/>
              <w:numPr>
                <w:ilvl w:val="0"/>
                <w:numId w:val="0"/>
              </w:numPr>
              <w:jc w:val="center"/>
              <w:rPr>
                <w:rFonts w:cs="Arial"/>
                <w:iCs/>
                <w:kern w:val="32"/>
                <w:sz w:val="22"/>
                <w:szCs w:val="22"/>
              </w:rPr>
            </w:pPr>
            <w:r w:rsidRPr="00795019">
              <w:rPr>
                <w:rFonts w:cs="Arial"/>
                <w:iCs/>
                <w:kern w:val="32"/>
                <w:sz w:val="22"/>
                <w:szCs w:val="22"/>
              </w:rPr>
              <w:t>$76,600</w:t>
            </w:r>
          </w:p>
        </w:tc>
        <w:tc>
          <w:tcPr>
            <w:tcW w:w="2265" w:type="dxa"/>
          </w:tcPr>
          <w:p w14:paraId="6880824F" w14:textId="77777777" w:rsidR="00886FD4" w:rsidRPr="00795019" w:rsidRDefault="00886FD4">
            <w:pPr>
              <w:pStyle w:val="Bullet"/>
              <w:numPr>
                <w:ilvl w:val="0"/>
                <w:numId w:val="0"/>
              </w:numPr>
              <w:jc w:val="center"/>
              <w:rPr>
                <w:rFonts w:cs="Arial"/>
                <w:iCs/>
                <w:kern w:val="32"/>
                <w:sz w:val="22"/>
                <w:szCs w:val="22"/>
              </w:rPr>
            </w:pPr>
            <w:r w:rsidRPr="00795019">
              <w:rPr>
                <w:rFonts w:cs="Arial"/>
                <w:iCs/>
                <w:kern w:val="32"/>
                <w:sz w:val="22"/>
                <w:szCs w:val="22"/>
              </w:rPr>
              <w:t>0.23%</w:t>
            </w:r>
          </w:p>
        </w:tc>
      </w:tr>
      <w:tr w:rsidR="00BC35C4" w14:paraId="2227C4AD" w14:textId="77777777" w:rsidTr="00BC35C4">
        <w:tc>
          <w:tcPr>
            <w:tcW w:w="1980" w:type="dxa"/>
            <w:shd w:val="clear" w:color="auto" w:fill="BDC8D8" w:themeFill="accent3" w:themeFillTint="66"/>
          </w:tcPr>
          <w:p w14:paraId="0DDEFF56" w14:textId="77777777" w:rsidR="00886FD4" w:rsidRPr="00795019" w:rsidRDefault="00886FD4">
            <w:pPr>
              <w:pStyle w:val="Bullet"/>
              <w:numPr>
                <w:ilvl w:val="0"/>
                <w:numId w:val="0"/>
              </w:numPr>
              <w:rPr>
                <w:rFonts w:cs="Arial"/>
                <w:iCs/>
                <w:kern w:val="32"/>
                <w:sz w:val="22"/>
                <w:szCs w:val="22"/>
              </w:rPr>
            </w:pPr>
            <w:r w:rsidRPr="00795019">
              <w:rPr>
                <w:rFonts w:cs="Arial"/>
                <w:iCs/>
                <w:kern w:val="32"/>
                <w:sz w:val="22"/>
                <w:szCs w:val="22"/>
              </w:rPr>
              <w:t>Non-platform TDP</w:t>
            </w:r>
          </w:p>
        </w:tc>
        <w:tc>
          <w:tcPr>
            <w:tcW w:w="2550" w:type="dxa"/>
          </w:tcPr>
          <w:p w14:paraId="3EF63107" w14:textId="77777777" w:rsidR="00886FD4" w:rsidRPr="00795019" w:rsidRDefault="00886FD4">
            <w:pPr>
              <w:pStyle w:val="Bullet"/>
              <w:numPr>
                <w:ilvl w:val="0"/>
                <w:numId w:val="0"/>
              </w:numPr>
              <w:jc w:val="center"/>
              <w:rPr>
                <w:rFonts w:cs="Arial"/>
                <w:iCs/>
                <w:kern w:val="32"/>
                <w:sz w:val="22"/>
                <w:szCs w:val="22"/>
              </w:rPr>
            </w:pPr>
            <w:r w:rsidRPr="00795019">
              <w:rPr>
                <w:rFonts w:cs="Arial"/>
                <w:iCs/>
                <w:kern w:val="32"/>
                <w:sz w:val="22"/>
                <w:szCs w:val="22"/>
              </w:rPr>
              <w:t>0.27%</w:t>
            </w:r>
          </w:p>
        </w:tc>
        <w:tc>
          <w:tcPr>
            <w:tcW w:w="2265" w:type="dxa"/>
          </w:tcPr>
          <w:p w14:paraId="05C3A885" w14:textId="77777777" w:rsidR="00886FD4" w:rsidRPr="00795019" w:rsidRDefault="00886FD4">
            <w:pPr>
              <w:pStyle w:val="Bullet"/>
              <w:numPr>
                <w:ilvl w:val="0"/>
                <w:numId w:val="0"/>
              </w:numPr>
              <w:jc w:val="center"/>
              <w:rPr>
                <w:rFonts w:cs="Arial"/>
                <w:iCs/>
                <w:kern w:val="32"/>
                <w:sz w:val="22"/>
                <w:szCs w:val="22"/>
              </w:rPr>
            </w:pPr>
            <w:r w:rsidRPr="00795019">
              <w:rPr>
                <w:rFonts w:cs="Arial"/>
                <w:iCs/>
                <w:kern w:val="32"/>
                <w:sz w:val="22"/>
                <w:szCs w:val="22"/>
              </w:rPr>
              <w:t>$86,000</w:t>
            </w:r>
          </w:p>
        </w:tc>
        <w:tc>
          <w:tcPr>
            <w:tcW w:w="2265" w:type="dxa"/>
          </w:tcPr>
          <w:p w14:paraId="3E24BB07" w14:textId="67DDC1AF" w:rsidR="00886FD4" w:rsidRPr="00795019" w:rsidRDefault="00886FD4">
            <w:pPr>
              <w:pStyle w:val="Bullet"/>
              <w:numPr>
                <w:ilvl w:val="0"/>
                <w:numId w:val="0"/>
              </w:numPr>
              <w:jc w:val="center"/>
              <w:rPr>
                <w:rFonts w:cs="Arial"/>
                <w:iCs/>
                <w:kern w:val="32"/>
                <w:sz w:val="22"/>
                <w:szCs w:val="22"/>
              </w:rPr>
            </w:pPr>
            <w:r w:rsidRPr="00795019">
              <w:rPr>
                <w:rFonts w:cs="Arial"/>
                <w:iCs/>
                <w:kern w:val="32"/>
                <w:sz w:val="22"/>
                <w:szCs w:val="22"/>
              </w:rPr>
              <w:t>0.2</w:t>
            </w:r>
            <w:r w:rsidR="003E6F51">
              <w:rPr>
                <w:rFonts w:cs="Arial"/>
                <w:iCs/>
                <w:kern w:val="32"/>
                <w:sz w:val="22"/>
                <w:szCs w:val="22"/>
              </w:rPr>
              <w:t>4</w:t>
            </w:r>
            <w:r w:rsidRPr="00795019">
              <w:rPr>
                <w:rFonts w:cs="Arial"/>
                <w:iCs/>
                <w:kern w:val="32"/>
                <w:sz w:val="22"/>
                <w:szCs w:val="22"/>
              </w:rPr>
              <w:t>%</w:t>
            </w:r>
          </w:p>
        </w:tc>
      </w:tr>
      <w:tr w:rsidR="00BC35C4" w14:paraId="16783099" w14:textId="77777777" w:rsidTr="00BC35C4">
        <w:tc>
          <w:tcPr>
            <w:tcW w:w="1980" w:type="dxa"/>
            <w:shd w:val="clear" w:color="auto" w:fill="BDC8D8" w:themeFill="accent3" w:themeFillTint="66"/>
          </w:tcPr>
          <w:p w14:paraId="6AB0DF1C" w14:textId="77777777" w:rsidR="00886FD4" w:rsidRPr="00795019" w:rsidRDefault="00886FD4">
            <w:pPr>
              <w:pStyle w:val="Bullet"/>
              <w:numPr>
                <w:ilvl w:val="0"/>
                <w:numId w:val="0"/>
              </w:numPr>
              <w:rPr>
                <w:rFonts w:cs="Arial"/>
                <w:iCs/>
                <w:kern w:val="32"/>
                <w:sz w:val="22"/>
                <w:szCs w:val="22"/>
              </w:rPr>
            </w:pPr>
            <w:r w:rsidRPr="00795019">
              <w:rPr>
                <w:rFonts w:cs="Arial"/>
                <w:iCs/>
                <w:kern w:val="32"/>
                <w:sz w:val="22"/>
                <w:szCs w:val="22"/>
              </w:rPr>
              <w:t>Platform TDP</w:t>
            </w:r>
          </w:p>
        </w:tc>
        <w:tc>
          <w:tcPr>
            <w:tcW w:w="2550" w:type="dxa"/>
          </w:tcPr>
          <w:p w14:paraId="1E6C3334" w14:textId="77777777" w:rsidR="00886FD4" w:rsidRPr="00795019" w:rsidRDefault="00886FD4">
            <w:pPr>
              <w:pStyle w:val="Bullet"/>
              <w:numPr>
                <w:ilvl w:val="0"/>
                <w:numId w:val="0"/>
              </w:numPr>
              <w:jc w:val="center"/>
              <w:rPr>
                <w:rFonts w:cs="Arial"/>
                <w:iCs/>
                <w:kern w:val="32"/>
                <w:sz w:val="22"/>
                <w:szCs w:val="22"/>
              </w:rPr>
            </w:pPr>
            <w:r w:rsidRPr="00795019">
              <w:rPr>
                <w:rFonts w:cs="Arial"/>
                <w:iCs/>
                <w:kern w:val="32"/>
                <w:sz w:val="22"/>
                <w:szCs w:val="22"/>
              </w:rPr>
              <w:t>0.54%</w:t>
            </w:r>
          </w:p>
        </w:tc>
        <w:tc>
          <w:tcPr>
            <w:tcW w:w="2265" w:type="dxa"/>
          </w:tcPr>
          <w:p w14:paraId="37F5194C" w14:textId="2CC8027B" w:rsidR="00886FD4" w:rsidRPr="00795019" w:rsidRDefault="00886FD4">
            <w:pPr>
              <w:pStyle w:val="Bullet"/>
              <w:numPr>
                <w:ilvl w:val="0"/>
                <w:numId w:val="0"/>
              </w:numPr>
              <w:jc w:val="center"/>
              <w:rPr>
                <w:rFonts w:cs="Arial"/>
                <w:iCs/>
                <w:kern w:val="32"/>
                <w:sz w:val="22"/>
                <w:szCs w:val="22"/>
              </w:rPr>
            </w:pPr>
            <w:r w:rsidRPr="00795019">
              <w:rPr>
                <w:rFonts w:cs="Arial"/>
                <w:iCs/>
                <w:kern w:val="32"/>
                <w:sz w:val="22"/>
                <w:szCs w:val="22"/>
              </w:rPr>
              <w:t>$79,900</w:t>
            </w:r>
          </w:p>
        </w:tc>
        <w:tc>
          <w:tcPr>
            <w:tcW w:w="2265" w:type="dxa"/>
          </w:tcPr>
          <w:p w14:paraId="50D8566B" w14:textId="77777777" w:rsidR="00886FD4" w:rsidRPr="00795019" w:rsidRDefault="00886FD4">
            <w:pPr>
              <w:pStyle w:val="Bullet"/>
              <w:numPr>
                <w:ilvl w:val="0"/>
                <w:numId w:val="0"/>
              </w:numPr>
              <w:jc w:val="center"/>
              <w:rPr>
                <w:rFonts w:cs="Arial"/>
                <w:iCs/>
                <w:kern w:val="32"/>
                <w:sz w:val="22"/>
                <w:szCs w:val="22"/>
              </w:rPr>
            </w:pPr>
            <w:r w:rsidRPr="00795019">
              <w:rPr>
                <w:rFonts w:cs="Arial"/>
                <w:iCs/>
                <w:kern w:val="32"/>
                <w:sz w:val="22"/>
                <w:szCs w:val="22"/>
              </w:rPr>
              <w:t>0.43%</w:t>
            </w:r>
          </w:p>
        </w:tc>
      </w:tr>
    </w:tbl>
    <w:p w14:paraId="073391BB" w14:textId="3490848E" w:rsidR="00736EF7" w:rsidRDefault="00D63D48" w:rsidP="00EA341B">
      <w:pPr>
        <w:pStyle w:val="ChartorTableNote"/>
      </w:pPr>
      <w:r>
        <w:t xml:space="preserve">Source: </w:t>
      </w:r>
      <w:r w:rsidR="007E0832">
        <w:t>U</w:t>
      </w:r>
      <w:r>
        <w:t>npublished APRA data, SRF 606.0 RSE Profile, Table 4 as at June 2023.</w:t>
      </w:r>
    </w:p>
    <w:p w14:paraId="259796D6" w14:textId="65761D99" w:rsidR="004B3D7A" w:rsidRDefault="004B3D7A" w:rsidP="00D16684">
      <w:pPr>
        <w:spacing w:after="160" w:line="259" w:lineRule="auto"/>
        <w:rPr>
          <w:rFonts w:cs="Arial"/>
          <w:color w:val="4D7861" w:themeColor="accent2"/>
          <w:kern w:val="32"/>
          <w:sz w:val="24"/>
          <w:szCs w:val="26"/>
        </w:rPr>
      </w:pPr>
      <w:r>
        <w:rPr>
          <w:noProof/>
        </w:rPr>
        <mc:AlternateContent>
          <mc:Choice Requires="wps">
            <w:drawing>
              <wp:inline distT="0" distB="0" distL="0" distR="0" wp14:anchorId="652A4B60" wp14:editId="6F5929EA">
                <wp:extent cx="5743575" cy="2981325"/>
                <wp:effectExtent l="0" t="0" r="9525" b="9525"/>
                <wp:docPr id="38" name="Text Box 38"/>
                <wp:cNvGraphicFramePr/>
                <a:graphic xmlns:a="http://schemas.openxmlformats.org/drawingml/2006/main">
                  <a:graphicData uri="http://schemas.microsoft.com/office/word/2010/wordprocessingShape">
                    <wps:wsp>
                      <wps:cNvSpPr txBox="1"/>
                      <wps:spPr>
                        <a:xfrm>
                          <a:off x="0" y="0"/>
                          <a:ext cx="5743575" cy="2981325"/>
                        </a:xfrm>
                        <a:prstGeom prst="rect">
                          <a:avLst/>
                        </a:prstGeom>
                        <a:solidFill>
                          <a:schemeClr val="accent3">
                            <a:lumMod val="20000"/>
                            <a:lumOff val="80000"/>
                          </a:schemeClr>
                        </a:solidFill>
                        <a:ln w="6350">
                          <a:noFill/>
                        </a:ln>
                      </wps:spPr>
                      <wps:txbx>
                        <w:txbxContent>
                          <w:p w14:paraId="0F195811" w14:textId="5CE76436" w:rsidR="004B3D7A" w:rsidRPr="00AC1609" w:rsidRDefault="004B3D7A" w:rsidP="009277C3">
                            <w:pPr>
                              <w:pStyle w:val="OutlineNumbered1"/>
                              <w:numPr>
                                <w:ilvl w:val="0"/>
                                <w:numId w:val="0"/>
                              </w:numPr>
                              <w:ind w:left="851" w:hanging="851"/>
                              <w:rPr>
                                <w:rFonts w:cs="Arial"/>
                                <w:color w:val="4D7861" w:themeColor="accent2"/>
                                <w:kern w:val="32"/>
                                <w:sz w:val="24"/>
                                <w:szCs w:val="26"/>
                              </w:rPr>
                            </w:pPr>
                            <w:r w:rsidRPr="00AC1609">
                              <w:rPr>
                                <w:rFonts w:cs="Arial"/>
                                <w:color w:val="4D7861" w:themeColor="accent2"/>
                                <w:kern w:val="32"/>
                                <w:sz w:val="24"/>
                                <w:szCs w:val="26"/>
                              </w:rPr>
                              <w:t>Consultation Questions</w:t>
                            </w:r>
                          </w:p>
                          <w:p w14:paraId="14619B80" w14:textId="141B746E" w:rsidR="004B3D7A" w:rsidRDefault="004B3D7A" w:rsidP="0063112D">
                            <w:pPr>
                              <w:pStyle w:val="OutlineNumbered1"/>
                              <w:numPr>
                                <w:ilvl w:val="0"/>
                                <w:numId w:val="67"/>
                              </w:numPr>
                            </w:pPr>
                            <w:r>
                              <w:t xml:space="preserve">How should fees </w:t>
                            </w:r>
                            <w:r>
                              <w:t>be measured under each design option?</w:t>
                            </w:r>
                          </w:p>
                          <w:p w14:paraId="7F9730BF" w14:textId="51729124" w:rsidR="004B3D7A" w:rsidRDefault="004B3D7A" w:rsidP="0063112D">
                            <w:pPr>
                              <w:pStyle w:val="OutlineNumbered1"/>
                              <w:numPr>
                                <w:ilvl w:val="0"/>
                                <w:numId w:val="67"/>
                              </w:numPr>
                            </w:pPr>
                            <w:r>
                              <w:t>Should fees be measured at the current option level, or should they be measured on a different level? How would this be achieved?</w:t>
                            </w:r>
                          </w:p>
                          <w:p w14:paraId="663618E1" w14:textId="593486E6" w:rsidR="004B3D7A" w:rsidRPr="009277C3" w:rsidRDefault="004B3D7A" w:rsidP="0063112D">
                            <w:pPr>
                              <w:pStyle w:val="OutlineNumbered1"/>
                              <w:numPr>
                                <w:ilvl w:val="0"/>
                                <w:numId w:val="67"/>
                              </w:numPr>
                            </w:pPr>
                            <w:r>
                              <w:t>Are the current assumptions ma</w:t>
                            </w:r>
                            <w:r w:rsidR="009E06E3">
                              <w:t>d</w:t>
                            </w:r>
                            <w:r>
                              <w:t>e in comparing fees acceptable? For example, should the $50,000 representative member balance be adjusted based on the median member balance for a product cohort?</w:t>
                            </w:r>
                          </w:p>
                          <w:p w14:paraId="44655591" w14:textId="4F281619" w:rsidR="004B3D7A" w:rsidRPr="009277C3" w:rsidRDefault="004B3D7A" w:rsidP="0063112D">
                            <w:pPr>
                              <w:pStyle w:val="OutlineNumbered1"/>
                              <w:numPr>
                                <w:ilvl w:val="0"/>
                                <w:numId w:val="67"/>
                              </w:numPr>
                            </w:pPr>
                            <w:r>
                              <w:t>Is a peer comparison of fees the best way to measure fees? Is there a better approach to benchmarking fees? If so, how should this work?</w:t>
                            </w:r>
                          </w:p>
                          <w:p w14:paraId="12FAE28D" w14:textId="33F7838C" w:rsidR="00102BE8" w:rsidRDefault="00102BE8" w:rsidP="0063112D">
                            <w:pPr>
                              <w:pStyle w:val="OutlineNumbered1"/>
                              <w:numPr>
                                <w:ilvl w:val="0"/>
                                <w:numId w:val="67"/>
                              </w:numPr>
                            </w:pPr>
                            <w:r>
                              <w:t>What product cohorts should be considered? How should different cohorts be defined where products could meet multiple cohort definitions, such as single-sector retirement products?</w:t>
                            </w:r>
                          </w:p>
                          <w:p w14:paraId="7DD921A9" w14:textId="3626C19C" w:rsidR="00102BE8" w:rsidRPr="00D9513E" w:rsidRDefault="0006780D" w:rsidP="0063112D">
                            <w:pPr>
                              <w:pStyle w:val="OutlineNumbered1"/>
                              <w:numPr>
                                <w:ilvl w:val="0"/>
                                <w:numId w:val="67"/>
                              </w:numPr>
                            </w:pPr>
                            <w:r>
                              <w:t>How many years of fee</w:t>
                            </w:r>
                            <w:r w:rsidR="000B368A">
                              <w:t>s</w:t>
                            </w:r>
                            <w:r w:rsidR="00F77F81">
                              <w:t xml:space="preserve"> data</w:t>
                            </w:r>
                            <w:r w:rsidR="000B368A">
                              <w:t xml:space="preserve"> is appropriate to test? Should a greater weighting be given to </w:t>
                            </w:r>
                            <w:r w:rsidR="008F51D1">
                              <w:t>certain</w:t>
                            </w:r>
                            <w:r w:rsidR="000B368A">
                              <w:t xml:space="preserve">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652A4B60" id="Text Box 38" o:spid="_x0000_s1036" type="#_x0000_t202" style="width:452.25pt;height:2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" fillcolor="#dee3eb [662]" stroked="f" strokeweight=".5pt">
                <v:textbox>
                  <w:txbxContent>
                    <w:p w14:paraId="0F195811" w14:textId="5CE76436" w:rsidR="004B3D7A" w:rsidRPr="00AC1609" w:rsidRDefault="004B3D7A" w:rsidP="009277C3">
                      <w:pPr>
                        <w:pStyle w:val="OutlineNumbered1"/>
                        <w:numPr>
                          <w:ilvl w:val="0"/>
                          <w:numId w:val="0"/>
                        </w:numPr>
                        <w:ind w:left="851" w:hanging="851"/>
                        <w:rPr>
                          <w:rFonts w:cs="Arial"/>
                          <w:color w:val="4D7861" w:themeColor="accent2"/>
                          <w:kern w:val="32"/>
                          <w:sz w:val="24"/>
                          <w:szCs w:val="26"/>
                        </w:rPr>
                      </w:pPr>
                      <w:r w:rsidRPr="00AC1609">
                        <w:rPr>
                          <w:rFonts w:cs="Arial"/>
                          <w:color w:val="4D7861" w:themeColor="accent2"/>
                          <w:kern w:val="32"/>
                          <w:sz w:val="24"/>
                          <w:szCs w:val="26"/>
                        </w:rPr>
                        <w:t>Consultation Questions</w:t>
                      </w:r>
                    </w:p>
                    <w:p w14:paraId="14619B80" w14:textId="141B746E" w:rsidR="004B3D7A" w:rsidRDefault="004B3D7A" w:rsidP="0063112D">
                      <w:pPr>
                        <w:pStyle w:val="OutlineNumbered1"/>
                        <w:numPr>
                          <w:ilvl w:val="0"/>
                          <w:numId w:val="67"/>
                        </w:numPr>
                      </w:pPr>
                      <w:r>
                        <w:t xml:space="preserve">How should fees </w:t>
                      </w:r>
                      <w:proofErr w:type="gramStart"/>
                      <w:r>
                        <w:t>be measured</w:t>
                      </w:r>
                      <w:proofErr w:type="gramEnd"/>
                      <w:r>
                        <w:t xml:space="preserve"> under each design option?</w:t>
                      </w:r>
                    </w:p>
                    <w:p w14:paraId="7F9730BF" w14:textId="51729124" w:rsidR="004B3D7A" w:rsidRDefault="004B3D7A" w:rsidP="0063112D">
                      <w:pPr>
                        <w:pStyle w:val="OutlineNumbered1"/>
                        <w:numPr>
                          <w:ilvl w:val="0"/>
                          <w:numId w:val="67"/>
                        </w:numPr>
                      </w:pPr>
                      <w:r>
                        <w:t xml:space="preserve">Should fees </w:t>
                      </w:r>
                      <w:proofErr w:type="gramStart"/>
                      <w:r>
                        <w:t>be measured</w:t>
                      </w:r>
                      <w:proofErr w:type="gramEnd"/>
                      <w:r>
                        <w:t xml:space="preserve"> at the current option level, or should they be measured on a different level? How would this </w:t>
                      </w:r>
                      <w:proofErr w:type="gramStart"/>
                      <w:r>
                        <w:t>be achieved</w:t>
                      </w:r>
                      <w:proofErr w:type="gramEnd"/>
                      <w:r>
                        <w:t>?</w:t>
                      </w:r>
                    </w:p>
                    <w:p w14:paraId="663618E1" w14:textId="593486E6" w:rsidR="004B3D7A" w:rsidRPr="009277C3" w:rsidRDefault="004B3D7A" w:rsidP="0063112D">
                      <w:pPr>
                        <w:pStyle w:val="OutlineNumbered1"/>
                        <w:numPr>
                          <w:ilvl w:val="0"/>
                          <w:numId w:val="67"/>
                        </w:numPr>
                      </w:pPr>
                      <w:r>
                        <w:t>Are the current assumptions ma</w:t>
                      </w:r>
                      <w:r w:rsidR="009E06E3">
                        <w:t>d</w:t>
                      </w:r>
                      <w:r>
                        <w:t xml:space="preserve">e in comparing fees acceptable? For example, should the $50,000 representative member balance </w:t>
                      </w:r>
                      <w:proofErr w:type="gramStart"/>
                      <w:r>
                        <w:t>be adjusted</w:t>
                      </w:r>
                      <w:proofErr w:type="gramEnd"/>
                      <w:r>
                        <w:t xml:space="preserve"> based on the median member balance for a product cohort?</w:t>
                      </w:r>
                    </w:p>
                    <w:p w14:paraId="44655591" w14:textId="4F281619" w:rsidR="004B3D7A" w:rsidRPr="009277C3" w:rsidRDefault="004B3D7A" w:rsidP="0063112D">
                      <w:pPr>
                        <w:pStyle w:val="OutlineNumbered1"/>
                        <w:numPr>
                          <w:ilvl w:val="0"/>
                          <w:numId w:val="67"/>
                        </w:numPr>
                      </w:pPr>
                      <w:r>
                        <w:t>Is a peer comparison of fees the best way to measure fees? Is there a better approach to benchmarking fees? If so, how should this work?</w:t>
                      </w:r>
                    </w:p>
                    <w:p w14:paraId="12FAE28D" w14:textId="33F7838C" w:rsidR="00102BE8" w:rsidRDefault="00102BE8" w:rsidP="0063112D">
                      <w:pPr>
                        <w:pStyle w:val="OutlineNumbered1"/>
                        <w:numPr>
                          <w:ilvl w:val="0"/>
                          <w:numId w:val="67"/>
                        </w:numPr>
                      </w:pPr>
                      <w:r>
                        <w:t xml:space="preserve">What product cohorts should </w:t>
                      </w:r>
                      <w:proofErr w:type="gramStart"/>
                      <w:r>
                        <w:t>be considered</w:t>
                      </w:r>
                      <w:proofErr w:type="gramEnd"/>
                      <w:r>
                        <w:t xml:space="preserve">? How should different cohorts </w:t>
                      </w:r>
                      <w:proofErr w:type="gramStart"/>
                      <w:r>
                        <w:t>be defined</w:t>
                      </w:r>
                      <w:proofErr w:type="gramEnd"/>
                      <w:r>
                        <w:t xml:space="preserve"> where products could meet multiple cohort definitions, such as single-sector retirement products?</w:t>
                      </w:r>
                    </w:p>
                    <w:p w14:paraId="7DD921A9" w14:textId="3626C19C" w:rsidR="00102BE8" w:rsidRPr="00D9513E" w:rsidRDefault="0006780D" w:rsidP="0063112D">
                      <w:pPr>
                        <w:pStyle w:val="OutlineNumbered1"/>
                        <w:numPr>
                          <w:ilvl w:val="0"/>
                          <w:numId w:val="67"/>
                        </w:numPr>
                      </w:pPr>
                      <w:r>
                        <w:t xml:space="preserve">How </w:t>
                      </w:r>
                      <w:proofErr w:type="gramStart"/>
                      <w:r>
                        <w:t>many</w:t>
                      </w:r>
                      <w:proofErr w:type="gramEnd"/>
                      <w:r>
                        <w:t xml:space="preserve"> years of fee</w:t>
                      </w:r>
                      <w:r w:rsidR="000B368A">
                        <w:t>s</w:t>
                      </w:r>
                      <w:r w:rsidR="00F77F81">
                        <w:t xml:space="preserve"> data</w:t>
                      </w:r>
                      <w:r w:rsidR="000B368A">
                        <w:t xml:space="preserve"> is appropriate to test? Should a greater weighting </w:t>
                      </w:r>
                      <w:proofErr w:type="gramStart"/>
                      <w:r w:rsidR="000B368A">
                        <w:t>be given</w:t>
                      </w:r>
                      <w:proofErr w:type="gramEnd"/>
                      <w:r w:rsidR="000B368A">
                        <w:t xml:space="preserve"> to </w:t>
                      </w:r>
                      <w:r w:rsidR="008F51D1">
                        <w:t>certain</w:t>
                      </w:r>
                      <w:r w:rsidR="000B368A">
                        <w:t xml:space="preserve"> years?</w:t>
                      </w:r>
                    </w:p>
                  </w:txbxContent>
                </v:textbox>
                <w10:anchorlock/>
              </v:shape>
            </w:pict>
          </mc:Fallback>
        </mc:AlternateContent>
      </w:r>
    </w:p>
    <w:p w14:paraId="3F59D8F1" w14:textId="77777777" w:rsidR="006C6B05" w:rsidRDefault="006C6B05">
      <w:pPr>
        <w:spacing w:before="0" w:after="160" w:line="259" w:lineRule="auto"/>
        <w:rPr>
          <w:rFonts w:ascii="Calibri" w:hAnsi="Calibri" w:cs="Arial"/>
          <w:b/>
          <w:color w:val="4D7861" w:themeColor="accent2"/>
          <w:kern w:val="32"/>
          <w:sz w:val="28"/>
          <w:szCs w:val="26"/>
        </w:rPr>
      </w:pPr>
      <w:r>
        <w:br w:type="page"/>
      </w:r>
    </w:p>
    <w:p w14:paraId="7758A623" w14:textId="788F776F" w:rsidR="008856C8" w:rsidRPr="00B6086D" w:rsidRDefault="008856C8" w:rsidP="0009191F">
      <w:pPr>
        <w:pStyle w:val="Heading3"/>
        <w:spacing w:before="240"/>
        <w:jc w:val="both"/>
      </w:pPr>
      <w:bookmarkStart w:id="51" w:name="_Toc155955188"/>
      <w:r w:rsidRPr="00516435">
        <w:t>Consequences</w:t>
      </w:r>
      <w:bookmarkEnd w:id="51"/>
    </w:p>
    <w:p w14:paraId="70093C16" w14:textId="415C3BE1" w:rsidR="005748F5" w:rsidRDefault="00982FD4" w:rsidP="0009191F">
      <w:pPr>
        <w:spacing w:line="276" w:lineRule="auto"/>
        <w:rPr>
          <w:rFonts w:cs="Arial"/>
          <w:iCs/>
          <w:kern w:val="32"/>
          <w:szCs w:val="24"/>
        </w:rPr>
      </w:pPr>
      <w:r>
        <w:rPr>
          <w:rFonts w:cs="Arial"/>
          <w:iCs/>
          <w:kern w:val="32"/>
          <w:szCs w:val="24"/>
        </w:rPr>
        <w:t>C</w:t>
      </w:r>
      <w:r w:rsidR="00B97343" w:rsidRPr="006640E1">
        <w:rPr>
          <w:rFonts w:cs="Arial"/>
          <w:iCs/>
          <w:kern w:val="32"/>
          <w:szCs w:val="24"/>
        </w:rPr>
        <w:t xml:space="preserve">lear </w:t>
      </w:r>
      <w:r w:rsidR="00F0141C" w:rsidRPr="006640E1">
        <w:rPr>
          <w:rFonts w:cs="Arial"/>
          <w:iCs/>
          <w:kern w:val="32"/>
          <w:szCs w:val="24"/>
        </w:rPr>
        <w:t xml:space="preserve">consequences </w:t>
      </w:r>
      <w:r w:rsidR="00B97343" w:rsidRPr="006640E1">
        <w:rPr>
          <w:rFonts w:cs="Arial"/>
          <w:iCs/>
          <w:kern w:val="32"/>
          <w:szCs w:val="24"/>
        </w:rPr>
        <w:t>of failing the test</w:t>
      </w:r>
      <w:r w:rsidR="00F0141C" w:rsidRPr="006640E1">
        <w:rPr>
          <w:rFonts w:cs="Arial"/>
          <w:iCs/>
          <w:kern w:val="32"/>
          <w:szCs w:val="24"/>
        </w:rPr>
        <w:t xml:space="preserve"> have been </w:t>
      </w:r>
      <w:r w:rsidR="00FF7CD6">
        <w:rPr>
          <w:rFonts w:cs="Arial"/>
          <w:iCs/>
          <w:kern w:val="32"/>
          <w:szCs w:val="24"/>
        </w:rPr>
        <w:t xml:space="preserve">important in </w:t>
      </w:r>
      <w:r w:rsidR="006D218B">
        <w:rPr>
          <w:rFonts w:cs="Arial"/>
          <w:iCs/>
          <w:kern w:val="32"/>
          <w:szCs w:val="24"/>
        </w:rPr>
        <w:t xml:space="preserve">making </w:t>
      </w:r>
      <w:r w:rsidR="007D3748">
        <w:rPr>
          <w:rFonts w:cs="Arial"/>
          <w:iCs/>
          <w:kern w:val="32"/>
          <w:szCs w:val="24"/>
        </w:rPr>
        <w:t xml:space="preserve">it </w:t>
      </w:r>
      <w:r w:rsidR="006D218B">
        <w:rPr>
          <w:rFonts w:cs="Arial"/>
          <w:iCs/>
          <w:kern w:val="32"/>
          <w:szCs w:val="24"/>
        </w:rPr>
        <w:t>effective and efficient</w:t>
      </w:r>
      <w:r w:rsidR="00C05A73">
        <w:rPr>
          <w:rFonts w:cs="Arial"/>
          <w:iCs/>
          <w:kern w:val="32"/>
          <w:szCs w:val="24"/>
        </w:rPr>
        <w:t xml:space="preserve">. They have also been </w:t>
      </w:r>
      <w:r w:rsidR="00F0141C" w:rsidRPr="006640E1">
        <w:rPr>
          <w:rFonts w:cs="Arial"/>
          <w:iCs/>
          <w:kern w:val="32"/>
          <w:szCs w:val="24"/>
        </w:rPr>
        <w:t>important in leading to products either exiting the market or improving their performance</w:t>
      </w:r>
      <w:r w:rsidR="00B07ABC" w:rsidRPr="006640E1">
        <w:rPr>
          <w:rFonts w:cs="Arial"/>
          <w:iCs/>
          <w:kern w:val="32"/>
          <w:szCs w:val="24"/>
        </w:rPr>
        <w:t xml:space="preserve"> and</w:t>
      </w:r>
      <w:r w:rsidR="00F0141C" w:rsidRPr="006640E1">
        <w:rPr>
          <w:rFonts w:cs="Arial"/>
          <w:iCs/>
          <w:kern w:val="32"/>
          <w:szCs w:val="24"/>
        </w:rPr>
        <w:t xml:space="preserve"> will continue to play an important role in cleaning up the tail of underperformance in </w:t>
      </w:r>
      <w:r w:rsidR="00453E8F" w:rsidRPr="006640E1">
        <w:rPr>
          <w:rFonts w:cs="Arial"/>
          <w:iCs/>
          <w:kern w:val="32"/>
          <w:szCs w:val="24"/>
        </w:rPr>
        <w:t>TDPs</w:t>
      </w:r>
      <w:r w:rsidR="00C05A73">
        <w:rPr>
          <w:rFonts w:cs="Arial"/>
          <w:iCs/>
          <w:kern w:val="32"/>
          <w:szCs w:val="24"/>
        </w:rPr>
        <w:t xml:space="preserve"> over the short-term</w:t>
      </w:r>
      <w:r w:rsidR="00F0141C" w:rsidRPr="006640E1">
        <w:rPr>
          <w:rFonts w:cs="Arial"/>
          <w:iCs/>
          <w:kern w:val="32"/>
          <w:szCs w:val="24"/>
        </w:rPr>
        <w:t xml:space="preserve">. </w:t>
      </w:r>
    </w:p>
    <w:p w14:paraId="1E024B9B" w14:textId="3564ECF2" w:rsidR="00546BE9" w:rsidRPr="006640E1" w:rsidRDefault="00B87369" w:rsidP="0009191F">
      <w:pPr>
        <w:spacing w:line="276" w:lineRule="auto"/>
        <w:rPr>
          <w:rFonts w:cs="Arial"/>
          <w:iCs/>
          <w:kern w:val="32"/>
          <w:szCs w:val="24"/>
        </w:rPr>
      </w:pPr>
      <w:r>
        <w:rPr>
          <w:rFonts w:cs="Arial"/>
          <w:iCs/>
          <w:kern w:val="32"/>
          <w:szCs w:val="24"/>
        </w:rPr>
        <w:t>A</w:t>
      </w:r>
      <w:r w:rsidR="00CC4EDD">
        <w:rPr>
          <w:rFonts w:cs="Arial"/>
          <w:iCs/>
          <w:kern w:val="32"/>
          <w:szCs w:val="24"/>
        </w:rPr>
        <w:t xml:space="preserve"> balance is required to ensure that the consequences are </w:t>
      </w:r>
      <w:r w:rsidR="002057D5">
        <w:rPr>
          <w:rFonts w:cs="Arial"/>
          <w:iCs/>
          <w:kern w:val="32"/>
          <w:szCs w:val="24"/>
        </w:rPr>
        <w:t xml:space="preserve">substantial </w:t>
      </w:r>
      <w:r w:rsidR="00CC4EDD">
        <w:rPr>
          <w:rFonts w:cs="Arial"/>
          <w:iCs/>
          <w:kern w:val="32"/>
          <w:szCs w:val="24"/>
        </w:rPr>
        <w:t>enough for the test to re</w:t>
      </w:r>
      <w:r w:rsidR="0013016A">
        <w:rPr>
          <w:rFonts w:cs="Arial"/>
          <w:iCs/>
          <w:kern w:val="32"/>
          <w:szCs w:val="24"/>
        </w:rPr>
        <w:t>m</w:t>
      </w:r>
      <w:r w:rsidR="00CC4EDD">
        <w:rPr>
          <w:rFonts w:cs="Arial"/>
          <w:iCs/>
          <w:kern w:val="32"/>
          <w:szCs w:val="24"/>
        </w:rPr>
        <w:t>ain meaning</w:t>
      </w:r>
      <w:r w:rsidR="0013016A">
        <w:rPr>
          <w:rFonts w:cs="Arial"/>
          <w:iCs/>
          <w:kern w:val="32"/>
          <w:szCs w:val="24"/>
        </w:rPr>
        <w:t>ful</w:t>
      </w:r>
      <w:r w:rsidR="00CC4EDD">
        <w:rPr>
          <w:rFonts w:cs="Arial"/>
          <w:iCs/>
          <w:kern w:val="32"/>
          <w:szCs w:val="24"/>
        </w:rPr>
        <w:t xml:space="preserve">, but not </w:t>
      </w:r>
      <w:r w:rsidR="002D2225">
        <w:rPr>
          <w:rFonts w:cs="Arial"/>
          <w:iCs/>
          <w:kern w:val="32"/>
          <w:szCs w:val="24"/>
        </w:rPr>
        <w:t>in a way that detracts from</w:t>
      </w:r>
      <w:r w:rsidR="00904A57">
        <w:rPr>
          <w:rFonts w:cs="Arial"/>
          <w:iCs/>
          <w:kern w:val="32"/>
          <w:szCs w:val="24"/>
        </w:rPr>
        <w:t xml:space="preserve"> member outcomes. As a starting point, </w:t>
      </w:r>
      <w:r w:rsidR="00636229">
        <w:rPr>
          <w:rFonts w:cs="Arial"/>
          <w:iCs/>
          <w:kern w:val="32"/>
          <w:szCs w:val="24"/>
        </w:rPr>
        <w:t xml:space="preserve">calibrating </w:t>
      </w:r>
      <w:r w:rsidR="009135C4">
        <w:rPr>
          <w:rFonts w:cs="Arial"/>
          <w:iCs/>
          <w:kern w:val="32"/>
          <w:szCs w:val="24"/>
        </w:rPr>
        <w:t>the test</w:t>
      </w:r>
      <w:r w:rsidR="00636229">
        <w:rPr>
          <w:rFonts w:cs="Arial"/>
          <w:iCs/>
          <w:kern w:val="32"/>
          <w:szCs w:val="24"/>
        </w:rPr>
        <w:t xml:space="preserve"> metrics correctly reduces the impact of </w:t>
      </w:r>
      <w:r w:rsidR="00451740">
        <w:rPr>
          <w:rFonts w:cs="Arial"/>
          <w:iCs/>
          <w:kern w:val="32"/>
          <w:szCs w:val="24"/>
        </w:rPr>
        <w:t xml:space="preserve">unintended </w:t>
      </w:r>
      <w:r w:rsidR="00636229">
        <w:rPr>
          <w:rFonts w:cs="Arial"/>
          <w:iCs/>
          <w:kern w:val="32"/>
          <w:szCs w:val="24"/>
        </w:rPr>
        <w:t>consequences</w:t>
      </w:r>
      <w:r w:rsidR="00605343">
        <w:rPr>
          <w:rFonts w:cs="Arial"/>
          <w:iCs/>
          <w:kern w:val="32"/>
          <w:szCs w:val="24"/>
        </w:rPr>
        <w:t>.</w:t>
      </w:r>
      <w:r w:rsidR="00F0141C" w:rsidRPr="006640E1">
        <w:rPr>
          <w:rFonts w:cs="Arial"/>
          <w:iCs/>
          <w:kern w:val="32"/>
          <w:szCs w:val="24"/>
        </w:rPr>
        <w:t xml:space="preserve"> </w:t>
      </w:r>
    </w:p>
    <w:p w14:paraId="6FEFB974" w14:textId="62783A7B" w:rsidR="0038249F" w:rsidRDefault="00605343" w:rsidP="0009191F">
      <w:pPr>
        <w:spacing w:line="276" w:lineRule="auto"/>
        <w:rPr>
          <w:rFonts w:cs="Arial"/>
          <w:iCs/>
          <w:kern w:val="32"/>
          <w:szCs w:val="24"/>
        </w:rPr>
      </w:pPr>
      <w:r>
        <w:rPr>
          <w:rFonts w:cs="Arial"/>
          <w:iCs/>
          <w:kern w:val="32"/>
          <w:szCs w:val="24"/>
        </w:rPr>
        <w:t>During</w:t>
      </w:r>
      <w:r w:rsidR="000503A8" w:rsidRPr="006640E1">
        <w:rPr>
          <w:rFonts w:cs="Arial"/>
          <w:iCs/>
          <w:kern w:val="32"/>
          <w:szCs w:val="24"/>
        </w:rPr>
        <w:t xml:space="preserve"> the YFYS Review</w:t>
      </w:r>
      <w:r w:rsidR="008E2F91" w:rsidRPr="006640E1">
        <w:rPr>
          <w:rFonts w:cs="Arial"/>
          <w:iCs/>
          <w:kern w:val="32"/>
          <w:szCs w:val="24"/>
        </w:rPr>
        <w:t>,</w:t>
      </w:r>
      <w:r w:rsidR="006C146D" w:rsidRPr="006640E1">
        <w:rPr>
          <w:rFonts w:cs="Arial"/>
          <w:iCs/>
          <w:kern w:val="32"/>
          <w:szCs w:val="24"/>
        </w:rPr>
        <w:t xml:space="preserve"> stakeholders argued for </w:t>
      </w:r>
      <w:r w:rsidR="0038249F">
        <w:rPr>
          <w:rFonts w:cs="Arial"/>
          <w:iCs/>
          <w:kern w:val="32"/>
          <w:szCs w:val="24"/>
        </w:rPr>
        <w:t>several changes to the consequences:</w:t>
      </w:r>
    </w:p>
    <w:p w14:paraId="6F1857E0" w14:textId="3144D170" w:rsidR="0038249F" w:rsidRDefault="0038249F" w:rsidP="0038249F">
      <w:pPr>
        <w:pStyle w:val="Bullet"/>
      </w:pPr>
      <w:r>
        <w:t>A</w:t>
      </w:r>
      <w:r w:rsidR="00546BE9" w:rsidRPr="0038249F">
        <w:t xml:space="preserve">dditional </w:t>
      </w:r>
      <w:r w:rsidR="002C030D">
        <w:t>discretion for APRA in applying</w:t>
      </w:r>
      <w:r w:rsidR="00546BE9" w:rsidRPr="0038249F">
        <w:t xml:space="preserve"> the consequences</w:t>
      </w:r>
      <w:r w:rsidR="007871DA" w:rsidRPr="0038249F">
        <w:t xml:space="preserve"> of the test</w:t>
      </w:r>
      <w:r w:rsidR="00575CEF">
        <w:t xml:space="preserve"> </w:t>
      </w:r>
    </w:p>
    <w:p w14:paraId="017113C4" w14:textId="38237E72" w:rsidR="00455095" w:rsidRDefault="00455095" w:rsidP="0038249F">
      <w:pPr>
        <w:pStyle w:val="Bullet"/>
      </w:pPr>
      <w:r>
        <w:t xml:space="preserve">More severe consequences for </w:t>
      </w:r>
      <w:r w:rsidR="00877DC1">
        <w:t>persistent</w:t>
      </w:r>
      <w:r>
        <w:t xml:space="preserve"> underperformance</w:t>
      </w:r>
    </w:p>
    <w:p w14:paraId="23149F84" w14:textId="6F8CCA70" w:rsidR="004D3174" w:rsidRDefault="004F677F" w:rsidP="0038249F">
      <w:pPr>
        <w:pStyle w:val="Bullet"/>
      </w:pPr>
      <w:r>
        <w:t xml:space="preserve">Removing the </w:t>
      </w:r>
      <w:r w:rsidR="009E2340">
        <w:t xml:space="preserve">consequence of closure to new members for consecutive failures for </w:t>
      </w:r>
      <w:r w:rsidR="00455095">
        <w:t xml:space="preserve">choice products </w:t>
      </w:r>
    </w:p>
    <w:p w14:paraId="68346A29" w14:textId="46FC246D" w:rsidR="004D3174" w:rsidRDefault="004D3174" w:rsidP="00DF6BE4">
      <w:pPr>
        <w:pStyle w:val="Bullet"/>
      </w:pPr>
      <w:r>
        <w:t>Applying secondary tests to determine reasons for failure before applying consequences.</w:t>
      </w:r>
    </w:p>
    <w:p w14:paraId="0E235310" w14:textId="77777777" w:rsidR="005926BB" w:rsidRDefault="00F9477B" w:rsidP="0009191F">
      <w:pPr>
        <w:spacing w:line="276" w:lineRule="auto"/>
        <w:rPr>
          <w:rFonts w:cs="Arial"/>
          <w:iCs/>
          <w:kern w:val="32"/>
          <w:szCs w:val="24"/>
        </w:rPr>
      </w:pPr>
      <w:r w:rsidRPr="006640E1">
        <w:rPr>
          <w:rFonts w:cs="Arial"/>
          <w:iCs/>
          <w:kern w:val="32"/>
          <w:szCs w:val="24"/>
        </w:rPr>
        <w:t>G</w:t>
      </w:r>
      <w:r w:rsidR="00680F2E" w:rsidRPr="006640E1">
        <w:rPr>
          <w:rFonts w:cs="Arial"/>
          <w:iCs/>
          <w:kern w:val="32"/>
          <w:szCs w:val="24"/>
        </w:rPr>
        <w:t>iven how diverse the superannuation sector remains</w:t>
      </w:r>
      <w:r w:rsidR="00782785" w:rsidRPr="006640E1">
        <w:rPr>
          <w:rFonts w:cs="Arial"/>
          <w:iCs/>
          <w:kern w:val="32"/>
          <w:szCs w:val="24"/>
        </w:rPr>
        <w:t>,</w:t>
      </w:r>
      <w:r w:rsidR="00B122CA" w:rsidRPr="006640E1">
        <w:rPr>
          <w:rFonts w:cs="Arial"/>
          <w:iCs/>
          <w:kern w:val="32"/>
          <w:szCs w:val="24"/>
        </w:rPr>
        <w:t xml:space="preserve"> there may be certain edge case</w:t>
      </w:r>
      <w:r w:rsidR="006D139B">
        <w:rPr>
          <w:rFonts w:cs="Arial"/>
          <w:iCs/>
          <w:kern w:val="32"/>
          <w:szCs w:val="24"/>
        </w:rPr>
        <w:t>s</w:t>
      </w:r>
      <w:r w:rsidR="00B122CA" w:rsidRPr="006640E1">
        <w:rPr>
          <w:rFonts w:cs="Arial"/>
          <w:iCs/>
          <w:kern w:val="32"/>
          <w:szCs w:val="24"/>
        </w:rPr>
        <w:t xml:space="preserve"> that are not conducive to performance testing</w:t>
      </w:r>
      <w:r w:rsidR="00782785" w:rsidRPr="006640E1">
        <w:rPr>
          <w:rFonts w:cs="Arial"/>
          <w:iCs/>
          <w:kern w:val="32"/>
          <w:szCs w:val="24"/>
        </w:rPr>
        <w:t xml:space="preserve"> (such as </w:t>
      </w:r>
      <w:r w:rsidR="00112D63" w:rsidRPr="006640E1">
        <w:rPr>
          <w:rFonts w:cs="Arial"/>
          <w:iCs/>
          <w:kern w:val="32"/>
          <w:szCs w:val="24"/>
        </w:rPr>
        <w:t xml:space="preserve">annuity </w:t>
      </w:r>
      <w:r w:rsidR="00F02192" w:rsidRPr="006640E1">
        <w:rPr>
          <w:rFonts w:cs="Arial"/>
          <w:iCs/>
          <w:kern w:val="32"/>
          <w:szCs w:val="24"/>
        </w:rPr>
        <w:t>retirement phase products</w:t>
      </w:r>
      <w:r w:rsidR="005C7E2E">
        <w:rPr>
          <w:rFonts w:cs="Arial"/>
          <w:iCs/>
          <w:kern w:val="32"/>
          <w:szCs w:val="24"/>
        </w:rPr>
        <w:t xml:space="preserve"> or niche single-sector products</w:t>
      </w:r>
      <w:r w:rsidR="00195837">
        <w:rPr>
          <w:rFonts w:cs="Arial"/>
          <w:iCs/>
          <w:kern w:val="32"/>
          <w:szCs w:val="24"/>
        </w:rPr>
        <w:t>)</w:t>
      </w:r>
      <w:r w:rsidR="00157A49" w:rsidRPr="006640E1">
        <w:rPr>
          <w:rFonts w:cs="Arial"/>
          <w:kern w:val="32"/>
          <w:szCs w:val="24"/>
        </w:rPr>
        <w:t>.</w:t>
      </w:r>
      <w:r w:rsidR="00B51C91" w:rsidRPr="006640E1">
        <w:rPr>
          <w:rFonts w:cs="Arial"/>
          <w:iCs/>
          <w:kern w:val="32"/>
          <w:szCs w:val="24"/>
        </w:rPr>
        <w:t xml:space="preserve"> </w:t>
      </w:r>
      <w:r w:rsidR="00157A49" w:rsidRPr="006640E1">
        <w:rPr>
          <w:rFonts w:cs="Arial"/>
          <w:iCs/>
          <w:kern w:val="32"/>
          <w:szCs w:val="24"/>
        </w:rPr>
        <w:t xml:space="preserve">Changes to the consequences in these instances </w:t>
      </w:r>
      <w:r w:rsidR="00CF6C0B">
        <w:rPr>
          <w:rFonts w:cs="Arial"/>
          <w:iCs/>
          <w:kern w:val="32"/>
          <w:szCs w:val="24"/>
        </w:rPr>
        <w:t>c</w:t>
      </w:r>
      <w:r w:rsidR="00157A49" w:rsidRPr="006640E1">
        <w:rPr>
          <w:rFonts w:cs="Arial"/>
          <w:iCs/>
          <w:kern w:val="32"/>
          <w:szCs w:val="24"/>
        </w:rPr>
        <w:t xml:space="preserve">ould be considered so that the test is not </w:t>
      </w:r>
      <w:r w:rsidR="00F57D0B" w:rsidRPr="006640E1">
        <w:rPr>
          <w:rFonts w:cs="Arial"/>
          <w:iCs/>
          <w:kern w:val="32"/>
          <w:szCs w:val="24"/>
        </w:rPr>
        <w:t xml:space="preserve">eliminating products </w:t>
      </w:r>
      <w:r w:rsidR="00476D3B" w:rsidRPr="006640E1">
        <w:rPr>
          <w:rFonts w:cs="Arial"/>
          <w:iCs/>
          <w:kern w:val="32"/>
          <w:szCs w:val="24"/>
        </w:rPr>
        <w:t xml:space="preserve">from the market </w:t>
      </w:r>
      <w:r w:rsidR="00F57D0B" w:rsidRPr="006640E1">
        <w:rPr>
          <w:rFonts w:cs="Arial"/>
          <w:iCs/>
          <w:kern w:val="32"/>
          <w:szCs w:val="24"/>
        </w:rPr>
        <w:t>for reasons beyond the control of the trustee.</w:t>
      </w:r>
      <w:r w:rsidR="00B51C91" w:rsidRPr="006640E1">
        <w:rPr>
          <w:rFonts w:cs="Arial"/>
          <w:iCs/>
          <w:kern w:val="32"/>
          <w:szCs w:val="24"/>
        </w:rPr>
        <w:t xml:space="preserve"> </w:t>
      </w:r>
    </w:p>
    <w:p w14:paraId="429A20D0" w14:textId="34CF3556" w:rsidR="00F57D0B" w:rsidRPr="006640E1" w:rsidRDefault="00F57D0B" w:rsidP="0009191F">
      <w:pPr>
        <w:spacing w:line="276" w:lineRule="auto"/>
        <w:rPr>
          <w:rFonts w:cs="Arial"/>
          <w:iCs/>
          <w:kern w:val="32"/>
          <w:szCs w:val="24"/>
        </w:rPr>
      </w:pPr>
      <w:r w:rsidRPr="006640E1">
        <w:rPr>
          <w:rFonts w:cs="Arial"/>
          <w:iCs/>
          <w:kern w:val="32"/>
          <w:szCs w:val="24"/>
        </w:rPr>
        <w:t xml:space="preserve">However, </w:t>
      </w:r>
      <w:r w:rsidR="00D50BF5" w:rsidRPr="006640E1">
        <w:rPr>
          <w:rFonts w:cs="Arial"/>
          <w:iCs/>
          <w:kern w:val="32"/>
          <w:szCs w:val="24"/>
        </w:rPr>
        <w:t xml:space="preserve">introducing discretion into the consequences will </w:t>
      </w:r>
      <w:r w:rsidR="00F04C7A" w:rsidRPr="006640E1">
        <w:rPr>
          <w:rFonts w:cs="Arial"/>
          <w:iCs/>
          <w:kern w:val="32"/>
          <w:szCs w:val="24"/>
        </w:rPr>
        <w:t>impact the efficiency of the test by subjecting the regulator to challenge</w:t>
      </w:r>
      <w:r w:rsidR="0026412E">
        <w:rPr>
          <w:rFonts w:cs="Arial"/>
          <w:iCs/>
          <w:kern w:val="32"/>
          <w:szCs w:val="24"/>
        </w:rPr>
        <w:t xml:space="preserve"> by trustees</w:t>
      </w:r>
      <w:r w:rsidR="005F7714">
        <w:rPr>
          <w:rFonts w:cs="Arial"/>
          <w:iCs/>
          <w:kern w:val="32"/>
          <w:szCs w:val="24"/>
        </w:rPr>
        <w:t xml:space="preserve">, </w:t>
      </w:r>
      <w:r w:rsidR="00C23508">
        <w:rPr>
          <w:rFonts w:cs="Arial"/>
          <w:iCs/>
          <w:kern w:val="32"/>
          <w:szCs w:val="24"/>
        </w:rPr>
        <w:t xml:space="preserve">resulting in delays, additional regulator costs and ultimately higher costs to members through </w:t>
      </w:r>
      <w:r w:rsidR="000A75B7">
        <w:rPr>
          <w:rFonts w:cs="Arial"/>
          <w:iCs/>
          <w:kern w:val="32"/>
          <w:szCs w:val="24"/>
        </w:rPr>
        <w:t xml:space="preserve">a </w:t>
      </w:r>
      <w:r w:rsidR="00C23508">
        <w:rPr>
          <w:rFonts w:cs="Arial"/>
          <w:iCs/>
          <w:kern w:val="32"/>
          <w:szCs w:val="24"/>
        </w:rPr>
        <w:t xml:space="preserve">higher </w:t>
      </w:r>
      <w:r w:rsidR="000A75B7">
        <w:rPr>
          <w:rFonts w:cs="Arial"/>
          <w:iCs/>
          <w:kern w:val="32"/>
          <w:szCs w:val="24"/>
        </w:rPr>
        <w:t>industry levy</w:t>
      </w:r>
      <w:r w:rsidR="00F04C7A" w:rsidRPr="006640E1">
        <w:rPr>
          <w:rFonts w:cs="Arial"/>
          <w:iCs/>
          <w:kern w:val="32"/>
          <w:szCs w:val="24"/>
        </w:rPr>
        <w:t>.</w:t>
      </w:r>
      <w:r w:rsidR="00F93753" w:rsidRPr="006640E1">
        <w:rPr>
          <w:rFonts w:cs="Arial"/>
          <w:iCs/>
          <w:kern w:val="32"/>
          <w:szCs w:val="24"/>
        </w:rPr>
        <w:t xml:space="preserve"> </w:t>
      </w:r>
      <w:r w:rsidR="000A75B7">
        <w:rPr>
          <w:rFonts w:cs="Arial"/>
          <w:iCs/>
          <w:kern w:val="32"/>
          <w:szCs w:val="24"/>
        </w:rPr>
        <w:t>Greater discretion</w:t>
      </w:r>
      <w:r w:rsidR="00F93753" w:rsidRPr="006640E1">
        <w:rPr>
          <w:rFonts w:cs="Arial"/>
          <w:iCs/>
          <w:kern w:val="32"/>
          <w:szCs w:val="24"/>
        </w:rPr>
        <w:t xml:space="preserve"> </w:t>
      </w:r>
      <w:r w:rsidR="00C377EA" w:rsidRPr="006640E1">
        <w:rPr>
          <w:rFonts w:cs="Arial"/>
          <w:iCs/>
          <w:kern w:val="32"/>
          <w:szCs w:val="24"/>
        </w:rPr>
        <w:t xml:space="preserve">could also lead to </w:t>
      </w:r>
      <w:r w:rsidR="006A697B">
        <w:rPr>
          <w:rFonts w:cs="Arial"/>
          <w:iCs/>
          <w:kern w:val="32"/>
          <w:szCs w:val="24"/>
        </w:rPr>
        <w:t xml:space="preserve">less meaningful improvement by trustees, as they shift focus from improving performance to </w:t>
      </w:r>
      <w:r w:rsidR="00F0262F">
        <w:rPr>
          <w:rFonts w:cs="Arial"/>
          <w:iCs/>
          <w:kern w:val="32"/>
          <w:szCs w:val="24"/>
        </w:rPr>
        <w:t>‘justifying’ their failure.</w:t>
      </w:r>
    </w:p>
    <w:p w14:paraId="75626364" w14:textId="472412AA" w:rsidR="002C33F9" w:rsidRPr="006640E1" w:rsidRDefault="00AC0E98" w:rsidP="0009191F">
      <w:pPr>
        <w:spacing w:line="276" w:lineRule="auto"/>
        <w:rPr>
          <w:rFonts w:cs="Arial"/>
          <w:iCs/>
          <w:kern w:val="32"/>
          <w:szCs w:val="24"/>
        </w:rPr>
      </w:pPr>
      <w:r>
        <w:rPr>
          <w:rFonts w:cs="Arial"/>
          <w:iCs/>
          <w:kern w:val="32"/>
          <w:szCs w:val="24"/>
        </w:rPr>
        <w:t>Clear consequences have been effective</w:t>
      </w:r>
      <w:r w:rsidR="00DF1D03">
        <w:rPr>
          <w:rFonts w:cs="Arial"/>
          <w:iCs/>
          <w:kern w:val="32"/>
          <w:szCs w:val="24"/>
        </w:rPr>
        <w:t xml:space="preserve"> in eliminating </w:t>
      </w:r>
      <w:r w:rsidR="009B44C4">
        <w:rPr>
          <w:rFonts w:cs="Arial"/>
          <w:iCs/>
          <w:kern w:val="32"/>
          <w:szCs w:val="24"/>
        </w:rPr>
        <w:t>underperformance;</w:t>
      </w:r>
      <w:r w:rsidR="00DF1D03">
        <w:rPr>
          <w:rFonts w:cs="Arial"/>
          <w:iCs/>
          <w:kern w:val="32"/>
          <w:szCs w:val="24"/>
        </w:rPr>
        <w:t xml:space="preserve"> however,</w:t>
      </w:r>
      <w:r w:rsidR="0061296E">
        <w:rPr>
          <w:rFonts w:cs="Arial"/>
          <w:iCs/>
          <w:kern w:val="32"/>
          <w:szCs w:val="24"/>
        </w:rPr>
        <w:t xml:space="preserve"> </w:t>
      </w:r>
      <w:r w:rsidR="007A0FB8">
        <w:rPr>
          <w:rFonts w:cs="Arial"/>
          <w:iCs/>
          <w:kern w:val="32"/>
          <w:szCs w:val="24"/>
        </w:rPr>
        <w:t xml:space="preserve">many stakeholders have </w:t>
      </w:r>
      <w:r w:rsidR="00853E0C">
        <w:rPr>
          <w:rFonts w:cs="Arial"/>
          <w:iCs/>
          <w:kern w:val="32"/>
          <w:szCs w:val="24"/>
        </w:rPr>
        <w:t xml:space="preserve">advocated for the </w:t>
      </w:r>
      <w:r w:rsidR="00264179">
        <w:rPr>
          <w:rFonts w:cs="Arial"/>
          <w:iCs/>
          <w:kern w:val="32"/>
          <w:szCs w:val="24"/>
        </w:rPr>
        <w:t xml:space="preserve">test </w:t>
      </w:r>
      <w:r w:rsidR="00853E0C">
        <w:rPr>
          <w:rFonts w:cs="Arial"/>
          <w:iCs/>
          <w:kern w:val="32"/>
          <w:szCs w:val="24"/>
        </w:rPr>
        <w:t>to also</w:t>
      </w:r>
      <w:r w:rsidR="00264179">
        <w:rPr>
          <w:rFonts w:cs="Arial"/>
          <w:iCs/>
          <w:kern w:val="32"/>
          <w:szCs w:val="24"/>
        </w:rPr>
        <w:t xml:space="preserve"> encourage</w:t>
      </w:r>
      <w:r w:rsidR="00001C08">
        <w:rPr>
          <w:rFonts w:cs="Arial"/>
          <w:iCs/>
          <w:kern w:val="32"/>
          <w:szCs w:val="24"/>
        </w:rPr>
        <w:t xml:space="preserve"> funds to improve across the board</w:t>
      </w:r>
      <w:r w:rsidR="00AB7FF7">
        <w:rPr>
          <w:rFonts w:cs="Arial"/>
          <w:iCs/>
          <w:kern w:val="32"/>
          <w:szCs w:val="24"/>
        </w:rPr>
        <w:t xml:space="preserve"> and</w:t>
      </w:r>
      <w:r w:rsidR="00001C08">
        <w:rPr>
          <w:rFonts w:cs="Arial"/>
          <w:iCs/>
          <w:kern w:val="32"/>
          <w:szCs w:val="24"/>
        </w:rPr>
        <w:t xml:space="preserve"> not onl</w:t>
      </w:r>
      <w:r w:rsidR="00FF58E2">
        <w:rPr>
          <w:rFonts w:cs="Arial"/>
          <w:iCs/>
          <w:kern w:val="32"/>
          <w:szCs w:val="24"/>
        </w:rPr>
        <w:t>y punish underperformers</w:t>
      </w:r>
      <w:r w:rsidR="00AB7FF7">
        <w:rPr>
          <w:rFonts w:cs="Arial"/>
          <w:iCs/>
          <w:kern w:val="32"/>
          <w:szCs w:val="24"/>
        </w:rPr>
        <w:t xml:space="preserve">. </w:t>
      </w:r>
    </w:p>
    <w:p w14:paraId="007C5BBF" w14:textId="1C006908" w:rsidR="00E74C26" w:rsidRPr="00E74C26" w:rsidRDefault="00E74C26" w:rsidP="00E74C26">
      <w:r>
        <w:rPr>
          <w:noProof/>
        </w:rPr>
        <mc:AlternateContent>
          <mc:Choice Requires="wps">
            <w:drawing>
              <wp:inline distT="0" distB="0" distL="0" distR="0" wp14:anchorId="2E97E817" wp14:editId="4FFA4847">
                <wp:extent cx="5743575" cy="2339163"/>
                <wp:effectExtent l="0" t="0" r="9525" b="0"/>
                <wp:docPr id="40" name="Text Box 40"/>
                <wp:cNvGraphicFramePr/>
                <a:graphic xmlns:a="http://schemas.openxmlformats.org/drawingml/2006/main">
                  <a:graphicData uri="http://schemas.microsoft.com/office/word/2010/wordprocessingShape">
                    <wps:wsp>
                      <wps:cNvSpPr txBox="1"/>
                      <wps:spPr>
                        <a:xfrm>
                          <a:off x="0" y="0"/>
                          <a:ext cx="5743575" cy="2339163"/>
                        </a:xfrm>
                        <a:prstGeom prst="rect">
                          <a:avLst/>
                        </a:prstGeom>
                        <a:solidFill>
                          <a:schemeClr val="accent3">
                            <a:lumMod val="20000"/>
                            <a:lumOff val="80000"/>
                          </a:schemeClr>
                        </a:solidFill>
                        <a:ln w="6350">
                          <a:noFill/>
                        </a:ln>
                      </wps:spPr>
                      <wps:txbx>
                        <w:txbxContent>
                          <w:p w14:paraId="08430400" w14:textId="77777777" w:rsidR="00E74C26" w:rsidRDefault="00E74C26" w:rsidP="00E74C26">
                            <w:pPr>
                              <w:pStyle w:val="Heading4"/>
                              <w:spacing w:before="120"/>
                            </w:pPr>
                            <w:r>
                              <w:t>Consultation Questions</w:t>
                            </w:r>
                          </w:p>
                          <w:p w14:paraId="5191D223" w14:textId="3780DE6F" w:rsidR="006D139B" w:rsidRDefault="006D139B" w:rsidP="0063112D">
                            <w:pPr>
                              <w:pStyle w:val="OutlineNumbered1"/>
                              <w:numPr>
                                <w:ilvl w:val="0"/>
                                <w:numId w:val="67"/>
                              </w:numPr>
                            </w:pPr>
                            <w:r>
                              <w:t xml:space="preserve">Should the consequences </w:t>
                            </w:r>
                            <w:r>
                              <w:t xml:space="preserve">be adjusted to improve outcomes for members? How would this need to be tailored for the different </w:t>
                            </w:r>
                            <w:r w:rsidR="00D94604">
                              <w:t>options for performance testing?</w:t>
                            </w:r>
                          </w:p>
                          <w:p w14:paraId="0DFD20BC" w14:textId="1A662777" w:rsidR="00E74C26" w:rsidRDefault="00E74C26" w:rsidP="0063112D">
                            <w:pPr>
                              <w:pStyle w:val="OutlineNumbered1"/>
                              <w:numPr>
                                <w:ilvl w:val="0"/>
                                <w:numId w:val="67"/>
                              </w:numPr>
                            </w:pPr>
                            <w:r>
                              <w:t>How should the consequences be amended to better account for edge cases or different cohorts that fail the test for reasons beyond the trustee</w:t>
                            </w:r>
                            <w:r w:rsidR="006B0292">
                              <w:t>’</w:t>
                            </w:r>
                            <w:r>
                              <w:t>s control?</w:t>
                            </w:r>
                          </w:p>
                          <w:p w14:paraId="42DD90A2" w14:textId="77777777" w:rsidR="00E74C26" w:rsidRDefault="00E74C26" w:rsidP="0063112D">
                            <w:pPr>
                              <w:pStyle w:val="OutlineNumbered1"/>
                              <w:numPr>
                                <w:ilvl w:val="0"/>
                                <w:numId w:val="67"/>
                              </w:numPr>
                            </w:pPr>
                            <w:r>
                              <w:t>How could these provisions be effectively ring-fenced so that it applies only to the edge cases and not failures at large?</w:t>
                            </w:r>
                          </w:p>
                          <w:p w14:paraId="49026381" w14:textId="77777777" w:rsidR="00E74C26" w:rsidRDefault="00E74C26" w:rsidP="0063112D">
                            <w:pPr>
                              <w:pStyle w:val="OutlineNumbered1"/>
                              <w:numPr>
                                <w:ilvl w:val="0"/>
                                <w:numId w:val="67"/>
                              </w:numPr>
                            </w:pPr>
                            <w:r>
                              <w:t>How could this be achieved without subjecting the regulator to undue challenge and impacting the efficiency of the regime?</w:t>
                            </w:r>
                          </w:p>
                          <w:p w14:paraId="34137371" w14:textId="54490FC3" w:rsidR="00AC7E34" w:rsidDel="001C4AD7" w:rsidRDefault="00F91A26" w:rsidP="0063112D">
                            <w:pPr>
                              <w:pStyle w:val="OutlineNumbered1"/>
                              <w:numPr>
                                <w:ilvl w:val="0"/>
                                <w:numId w:val="67"/>
                              </w:numPr>
                            </w:pPr>
                            <w:r>
                              <w:t>What other remediation processes could occur?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2E97E817" id="Text Box 40" o:spid="_x0000_s1037" type="#_x0000_t202" style="width:452.25pt;height:18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" fillcolor="#dee3eb [662]" stroked="f" strokeweight=".5pt">
                <v:textbox>
                  <w:txbxContent>
                    <w:p w14:paraId="08430400" w14:textId="77777777" w:rsidR="00E74C26" w:rsidRDefault="00E74C26" w:rsidP="00E74C26">
                      <w:pPr>
                        <w:pStyle w:val="Heading4"/>
                        <w:spacing w:before="120"/>
                      </w:pPr>
                      <w:r>
                        <w:t>Consultation Questions</w:t>
                      </w:r>
                    </w:p>
                    <w:p w14:paraId="5191D223" w14:textId="3780DE6F" w:rsidR="006D139B" w:rsidRDefault="006D139B" w:rsidP="0063112D">
                      <w:pPr>
                        <w:pStyle w:val="OutlineNumbered1"/>
                        <w:numPr>
                          <w:ilvl w:val="0"/>
                          <w:numId w:val="67"/>
                        </w:numPr>
                      </w:pPr>
                      <w:r>
                        <w:t xml:space="preserve">Should the consequences </w:t>
                      </w:r>
                      <w:proofErr w:type="gramStart"/>
                      <w:r>
                        <w:t>be adjusted</w:t>
                      </w:r>
                      <w:proofErr w:type="gramEnd"/>
                      <w:r>
                        <w:t xml:space="preserve"> to improve outcomes for members? How would this need to </w:t>
                      </w:r>
                      <w:proofErr w:type="gramStart"/>
                      <w:r>
                        <w:t>be tailored</w:t>
                      </w:r>
                      <w:proofErr w:type="gramEnd"/>
                      <w:r>
                        <w:t xml:space="preserve"> for the different </w:t>
                      </w:r>
                      <w:r w:rsidR="00D94604">
                        <w:t>options for performance testing?</w:t>
                      </w:r>
                    </w:p>
                    <w:p w14:paraId="0DFD20BC" w14:textId="1A662777" w:rsidR="00E74C26" w:rsidRDefault="00E74C26" w:rsidP="0063112D">
                      <w:pPr>
                        <w:pStyle w:val="OutlineNumbered1"/>
                        <w:numPr>
                          <w:ilvl w:val="0"/>
                          <w:numId w:val="67"/>
                        </w:numPr>
                      </w:pPr>
                      <w:r>
                        <w:t xml:space="preserve">How should the consequences </w:t>
                      </w:r>
                      <w:proofErr w:type="gramStart"/>
                      <w:r>
                        <w:t>be amended</w:t>
                      </w:r>
                      <w:proofErr w:type="gramEnd"/>
                      <w:r>
                        <w:t xml:space="preserve"> to better account for edge cases or different cohorts that fail the test for reasons beyond the trustee</w:t>
                      </w:r>
                      <w:r w:rsidR="006B0292">
                        <w:t>’</w:t>
                      </w:r>
                      <w:r>
                        <w:t>s control?</w:t>
                      </w:r>
                    </w:p>
                    <w:p w14:paraId="42DD90A2" w14:textId="77777777" w:rsidR="00E74C26" w:rsidRDefault="00E74C26" w:rsidP="0063112D">
                      <w:pPr>
                        <w:pStyle w:val="OutlineNumbered1"/>
                        <w:numPr>
                          <w:ilvl w:val="0"/>
                          <w:numId w:val="67"/>
                        </w:numPr>
                      </w:pPr>
                      <w:r>
                        <w:t>How could these provisions be effectively ring-fenced so that it applies only to the edge cases and not failures at large?</w:t>
                      </w:r>
                    </w:p>
                    <w:p w14:paraId="49026381" w14:textId="77777777" w:rsidR="00E74C26" w:rsidRDefault="00E74C26" w:rsidP="0063112D">
                      <w:pPr>
                        <w:pStyle w:val="OutlineNumbered1"/>
                        <w:numPr>
                          <w:ilvl w:val="0"/>
                          <w:numId w:val="67"/>
                        </w:numPr>
                      </w:pPr>
                      <w:r>
                        <w:t xml:space="preserve">How could this </w:t>
                      </w:r>
                      <w:proofErr w:type="gramStart"/>
                      <w:r>
                        <w:t>be achieved</w:t>
                      </w:r>
                      <w:proofErr w:type="gramEnd"/>
                      <w:r>
                        <w:t xml:space="preserve"> without subjecting the regulator to undue challenge and impacting the efficiency of the regime?</w:t>
                      </w:r>
                    </w:p>
                    <w:p w14:paraId="34137371" w14:textId="54490FC3" w:rsidR="00AC7E34" w:rsidDel="001C4AD7" w:rsidRDefault="00F91A26" w:rsidP="0063112D">
                      <w:pPr>
                        <w:pStyle w:val="OutlineNumbered1"/>
                        <w:numPr>
                          <w:ilvl w:val="0"/>
                          <w:numId w:val="67"/>
                        </w:numPr>
                      </w:pPr>
                      <w:r>
                        <w:t>What other remediation processes could occur?</w:t>
                      </w:r>
                    </w:p>
                  </w:txbxContent>
                </v:textbox>
                <w10:anchorlock/>
              </v:shape>
            </w:pict>
          </mc:Fallback>
        </mc:AlternateContent>
      </w:r>
    </w:p>
    <w:p w14:paraId="5FB7CF2A" w14:textId="181260DD" w:rsidR="004A7033" w:rsidRPr="00B6086D" w:rsidRDefault="004A7033" w:rsidP="0009191F">
      <w:pPr>
        <w:pStyle w:val="Heading3"/>
        <w:spacing w:before="240"/>
        <w:jc w:val="both"/>
      </w:pPr>
      <w:bookmarkStart w:id="52" w:name="_Toc155955189"/>
      <w:r w:rsidRPr="003B574B">
        <w:t>Barriers to consolidation</w:t>
      </w:r>
      <w:bookmarkEnd w:id="52"/>
    </w:p>
    <w:p w14:paraId="46936FB8" w14:textId="48B7F3CD" w:rsidR="009D3057" w:rsidRDefault="0028257A" w:rsidP="0009191F">
      <w:pPr>
        <w:spacing w:after="0" w:line="276" w:lineRule="auto"/>
      </w:pPr>
      <w:r>
        <w:t xml:space="preserve">When </w:t>
      </w:r>
      <w:r w:rsidR="000C4F14">
        <w:t xml:space="preserve">a product </w:t>
      </w:r>
      <w:r>
        <w:t>fail</w:t>
      </w:r>
      <w:r w:rsidR="000C4F14">
        <w:t>s</w:t>
      </w:r>
      <w:r>
        <w:t xml:space="preserve"> </w:t>
      </w:r>
      <w:r w:rsidR="009135C4">
        <w:t>the test</w:t>
      </w:r>
      <w:r>
        <w:t xml:space="preserve"> for a second conse</w:t>
      </w:r>
      <w:r w:rsidR="000C4F14">
        <w:t>cutive time, the product is closed to new members</w:t>
      </w:r>
      <w:r w:rsidR="00463CEE">
        <w:t xml:space="preserve"> until it passes a subsequent performance test</w:t>
      </w:r>
      <w:r w:rsidR="000C4F14">
        <w:t>.</w:t>
      </w:r>
      <w:r w:rsidR="00463CEE">
        <w:t xml:space="preserve"> In MySuper, this consequence has proven to </w:t>
      </w:r>
      <w:r w:rsidR="007C5214">
        <w:t xml:space="preserve">be an extremely effective tool in encouraging </w:t>
      </w:r>
      <w:r w:rsidR="009670A9">
        <w:t>underperforming products to exit the market</w:t>
      </w:r>
      <w:r w:rsidR="00216A2D">
        <w:t>.</w:t>
      </w:r>
      <w:r w:rsidR="000C4F14">
        <w:t xml:space="preserve"> </w:t>
      </w:r>
      <w:r w:rsidR="007063B7">
        <w:t>However</w:t>
      </w:r>
      <w:r w:rsidR="00F60AEA">
        <w:t>,</w:t>
      </w:r>
      <w:r w:rsidR="000C4F14">
        <w:t xml:space="preserve"> </w:t>
      </w:r>
      <w:r w:rsidR="00776BE1">
        <w:t>given the perf</w:t>
      </w:r>
      <w:r w:rsidR="0055363A">
        <w:t xml:space="preserve">ormance test only </w:t>
      </w:r>
      <w:r w:rsidR="00531C6C">
        <w:t>first applied to TDPs in 2023</w:t>
      </w:r>
      <w:r w:rsidR="00F60AEA">
        <w:t>,</w:t>
      </w:r>
      <w:r w:rsidR="000C4F14">
        <w:t xml:space="preserve"> </w:t>
      </w:r>
      <w:r w:rsidR="00216A2D">
        <w:t xml:space="preserve">we are yet to see the impact of these consequences </w:t>
      </w:r>
      <w:r w:rsidR="009A1337">
        <w:t xml:space="preserve">on the consolidation of underperforming products </w:t>
      </w:r>
      <w:r w:rsidR="00EC5B9D">
        <w:t>i</w:t>
      </w:r>
      <w:r w:rsidR="00212936">
        <w:t xml:space="preserve">n </w:t>
      </w:r>
      <w:r w:rsidR="000C4F14">
        <w:t xml:space="preserve">the </w:t>
      </w:r>
      <w:r w:rsidR="00212936">
        <w:t>choice</w:t>
      </w:r>
      <w:r w:rsidR="000C4F14">
        <w:t xml:space="preserve"> sector</w:t>
      </w:r>
      <w:r w:rsidR="009A1337">
        <w:t xml:space="preserve">. </w:t>
      </w:r>
      <w:r w:rsidR="00852E09">
        <w:t>It is also noted that t</w:t>
      </w:r>
      <w:r w:rsidR="00212936">
        <w:t xml:space="preserve">here are already </w:t>
      </w:r>
      <w:r w:rsidR="00A052B5">
        <w:t>many</w:t>
      </w:r>
      <w:r w:rsidR="00212936">
        <w:t xml:space="preserve"> products closed to new member</w:t>
      </w:r>
      <w:r w:rsidR="00940ED1">
        <w:t>s</w:t>
      </w:r>
      <w:r w:rsidR="003D70A3">
        <w:t xml:space="preserve"> in the choice </w:t>
      </w:r>
      <w:r w:rsidR="002975CC">
        <w:t>sector</w:t>
      </w:r>
      <w:r w:rsidR="00153C94">
        <w:t xml:space="preserve">, and therefore this consequence may </w:t>
      </w:r>
      <w:r w:rsidR="00D64DD6">
        <w:t xml:space="preserve">have </w:t>
      </w:r>
      <w:r w:rsidR="00850C4E">
        <w:t>limited</w:t>
      </w:r>
      <w:r w:rsidR="00D64DD6">
        <w:t xml:space="preserve"> </w:t>
      </w:r>
      <w:r w:rsidR="0028601F">
        <w:t xml:space="preserve">impact </w:t>
      </w:r>
      <w:r w:rsidR="0070391A">
        <w:t xml:space="preserve">where </w:t>
      </w:r>
      <w:r w:rsidR="00BD20A0">
        <w:t xml:space="preserve">these </w:t>
      </w:r>
      <w:r w:rsidR="007A3E22">
        <w:t xml:space="preserve">products </w:t>
      </w:r>
      <w:r w:rsidR="00575075">
        <w:t xml:space="preserve">fail the test on consecutive </w:t>
      </w:r>
      <w:r w:rsidR="009D3057">
        <w:t>occasions</w:t>
      </w:r>
      <w:r w:rsidR="00212936">
        <w:t xml:space="preserve">. </w:t>
      </w:r>
    </w:p>
    <w:p w14:paraId="7FAA1F10" w14:textId="3759062C" w:rsidR="002F635C" w:rsidRPr="004A7033" w:rsidRDefault="00113E8A" w:rsidP="0009191F">
      <w:pPr>
        <w:spacing w:line="276" w:lineRule="auto"/>
      </w:pPr>
      <w:r>
        <w:t xml:space="preserve">Stakeholders have </w:t>
      </w:r>
      <w:r w:rsidR="00096836">
        <w:t xml:space="preserve">raised </w:t>
      </w:r>
      <w:r w:rsidR="007544B8">
        <w:t xml:space="preserve">that </w:t>
      </w:r>
      <w:r w:rsidR="00212936">
        <w:t xml:space="preserve">there are barriers </w:t>
      </w:r>
      <w:r w:rsidR="003D3DE5">
        <w:t xml:space="preserve">to consolidating </w:t>
      </w:r>
      <w:r w:rsidR="00733EEB">
        <w:t xml:space="preserve">these closed and underperforming </w:t>
      </w:r>
      <w:r w:rsidR="003D3DE5">
        <w:t xml:space="preserve">products. </w:t>
      </w:r>
      <w:r w:rsidR="003B560A">
        <w:t xml:space="preserve">Trustees have a clear obligation under the law to act in the best financial interests of their members, including </w:t>
      </w:r>
      <w:r w:rsidR="00733203">
        <w:t>taking action to improve performance of an investment option, or taking steps to move members into better performing products</w:t>
      </w:r>
      <w:r w:rsidR="008F47AB">
        <w:t xml:space="preserve">. </w:t>
      </w:r>
      <w:r w:rsidR="00DF660C">
        <w:t xml:space="preserve">Products that fail the performance test will continue </w:t>
      </w:r>
      <w:r w:rsidR="006E6F15">
        <w:t>to be subject to heightened supervision from APRA.</w:t>
      </w:r>
      <w:r w:rsidR="00733203">
        <w:t xml:space="preserve"> </w:t>
      </w:r>
    </w:p>
    <w:p w14:paraId="2EBA6125" w14:textId="77777777" w:rsidR="00F43DD6" w:rsidRDefault="004B3D7A" w:rsidP="00FA44B6">
      <w:pPr>
        <w:pStyle w:val="OutlineNumbered1"/>
        <w:numPr>
          <w:ilvl w:val="0"/>
          <w:numId w:val="0"/>
        </w:numPr>
        <w:spacing w:after="160" w:line="259" w:lineRule="auto"/>
      </w:pPr>
      <w:r>
        <w:rPr>
          <w:noProof/>
        </w:rPr>
        <mc:AlternateContent>
          <mc:Choice Requires="wps">
            <w:drawing>
              <wp:inline distT="0" distB="0" distL="0" distR="0" wp14:anchorId="42090E9B" wp14:editId="768DA1B4">
                <wp:extent cx="5743575" cy="2386941"/>
                <wp:effectExtent l="0" t="0" r="9525" b="0"/>
                <wp:docPr id="41" name="Text Box 41"/>
                <wp:cNvGraphicFramePr/>
                <a:graphic xmlns:a="http://schemas.openxmlformats.org/drawingml/2006/main">
                  <a:graphicData uri="http://schemas.microsoft.com/office/word/2010/wordprocessingShape">
                    <wps:wsp>
                      <wps:cNvSpPr txBox="1"/>
                      <wps:spPr>
                        <a:xfrm>
                          <a:off x="0" y="0"/>
                          <a:ext cx="5743575" cy="2386941"/>
                        </a:xfrm>
                        <a:prstGeom prst="rect">
                          <a:avLst/>
                        </a:prstGeom>
                        <a:solidFill>
                          <a:schemeClr val="accent3">
                            <a:lumMod val="20000"/>
                            <a:lumOff val="80000"/>
                          </a:schemeClr>
                        </a:solidFill>
                        <a:ln w="6350">
                          <a:noFill/>
                        </a:ln>
                      </wps:spPr>
                      <wps:txbx>
                        <w:txbxContent>
                          <w:p w14:paraId="58B4798D" w14:textId="77777777" w:rsidR="004B3D7A" w:rsidRDefault="004B3D7A" w:rsidP="004B3D7A">
                            <w:pPr>
                              <w:pStyle w:val="Heading4"/>
                              <w:spacing w:before="120"/>
                            </w:pPr>
                            <w:r>
                              <w:t>Consultation Questions</w:t>
                            </w:r>
                          </w:p>
                          <w:p w14:paraId="087B055A" w14:textId="5B32307D" w:rsidR="00614C0D" w:rsidRDefault="004B3D7A" w:rsidP="0063112D">
                            <w:pPr>
                              <w:pStyle w:val="OutlineNumbered1"/>
                              <w:numPr>
                                <w:ilvl w:val="0"/>
                                <w:numId w:val="67"/>
                              </w:numPr>
                            </w:pPr>
                            <w:r>
                              <w:t xml:space="preserve">Are there any </w:t>
                            </w:r>
                            <w:r w:rsidR="00964802">
                              <w:t>key</w:t>
                            </w:r>
                            <w:r>
                              <w:t xml:space="preserve"> barriers to consolidating </w:t>
                            </w:r>
                            <w:r w:rsidR="000F45BF">
                              <w:t xml:space="preserve">closed and </w:t>
                            </w:r>
                            <w:r>
                              <w:t xml:space="preserve">underperforming products? </w:t>
                            </w:r>
                            <w:r w:rsidR="00614C0D">
                              <w:t xml:space="preserve">What </w:t>
                            </w:r>
                            <w:r w:rsidR="00E200B3">
                              <w:t xml:space="preserve">quantitative </w:t>
                            </w:r>
                            <w:r w:rsidR="00614C0D">
                              <w:t xml:space="preserve">evidence is there of </w:t>
                            </w:r>
                            <w:r w:rsidR="00E200B3">
                              <w:t>these barriers?</w:t>
                            </w:r>
                            <w:r w:rsidR="00C169C4">
                              <w:t xml:space="preserve"> How do these weigh against other reasons a person may choose to remain in a product?</w:t>
                            </w:r>
                          </w:p>
                          <w:p w14:paraId="0AFDAAC6" w14:textId="71A0C228" w:rsidR="004B3D7A" w:rsidRPr="009277C3" w:rsidRDefault="004B3D7A" w:rsidP="0063112D">
                            <w:pPr>
                              <w:pStyle w:val="OutlineNumbered1"/>
                              <w:numPr>
                                <w:ilvl w:val="0"/>
                                <w:numId w:val="67"/>
                              </w:numPr>
                            </w:pPr>
                            <w:r>
                              <w:t xml:space="preserve">What </w:t>
                            </w:r>
                            <w:r w:rsidR="00F96FB6">
                              <w:t xml:space="preserve">evidence </w:t>
                            </w:r>
                            <w:r w:rsidR="00964802">
                              <w:t>d</w:t>
                            </w:r>
                            <w:r w:rsidR="00F96FB6">
                              <w:t xml:space="preserve">o trustees </w:t>
                            </w:r>
                            <w:r w:rsidR="00964802">
                              <w:t>use</w:t>
                            </w:r>
                            <w:r w:rsidR="00F96FB6">
                              <w:t xml:space="preserve"> to demonstrate</w:t>
                            </w:r>
                            <w:r>
                              <w:t xml:space="preserve"> that</w:t>
                            </w:r>
                            <w:r w:rsidR="00701C12">
                              <w:t xml:space="preserve"> remaining in a closed and underperforming product </w:t>
                            </w:r>
                            <w:r>
                              <w:t>is in the best financial interests of members</w:t>
                            </w:r>
                            <w:r w:rsidR="00701C12">
                              <w:t>,</w:t>
                            </w:r>
                            <w:r>
                              <w:t xml:space="preserve"> compared to moving to a performing product?</w:t>
                            </w:r>
                          </w:p>
                          <w:p w14:paraId="5CBC6FF7" w14:textId="3F4577E9" w:rsidR="00CA0C42" w:rsidRPr="009277C3" w:rsidRDefault="00CA0C42" w:rsidP="0063112D">
                            <w:pPr>
                              <w:pStyle w:val="OutlineNumbered1"/>
                              <w:numPr>
                                <w:ilvl w:val="0"/>
                                <w:numId w:val="67"/>
                              </w:numPr>
                            </w:pPr>
                            <w:r>
                              <w:t>What</w:t>
                            </w:r>
                            <w:r w:rsidR="00AA4D02">
                              <w:t xml:space="preserve"> is the</w:t>
                            </w:r>
                            <w:r>
                              <w:t xml:space="preserve"> process</w:t>
                            </w:r>
                            <w:r w:rsidR="00AA4D02">
                              <w:t xml:space="preserve"> or criteria that trustees use when deciding on what product they </w:t>
                            </w:r>
                            <w:r w:rsidR="00540DFF">
                              <w:t>will transfer members to when consolid</w:t>
                            </w:r>
                            <w:r w:rsidR="00CF2ACC">
                              <w:t>at</w:t>
                            </w:r>
                            <w:r w:rsidR="00540DFF">
                              <w:t xml:space="preserve">ing </w:t>
                            </w:r>
                            <w:r w:rsidR="00CF2ACC">
                              <w:t xml:space="preserve">underperforming </w:t>
                            </w:r>
                            <w:r w:rsidR="00540DFF">
                              <w:t>products?</w:t>
                            </w:r>
                          </w:p>
                          <w:p w14:paraId="408D2082" w14:textId="77777777" w:rsidR="004B3D7A" w:rsidRPr="009277C3" w:rsidRDefault="004B3D7A" w:rsidP="0063112D">
                            <w:pPr>
                              <w:pStyle w:val="OutlineNumbered1"/>
                              <w:numPr>
                                <w:ilvl w:val="0"/>
                                <w:numId w:val="67"/>
                              </w:numPr>
                            </w:pPr>
                            <w:r>
                              <w:t>Should APRA receive increased regulatory powers to direct superannuation trustees to consolidate underperforming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oel="http://schemas.microsoft.com/office/2019/extlst">
            <w:pict>
              <v:shape w14:anchorId="42090E9B" id="Text Box 41" o:spid="_x0000_s1038" type="#_x0000_t202" style="width:452.2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" fillcolor="#dee3eb [662]" stroked="f" strokeweight=".5pt">
                <v:textbox>
                  <w:txbxContent>
                    <w:p w14:paraId="58B4798D" w14:textId="77777777" w:rsidR="004B3D7A" w:rsidRDefault="004B3D7A" w:rsidP="004B3D7A">
                      <w:pPr>
                        <w:pStyle w:val="Heading4"/>
                        <w:spacing w:before="120"/>
                      </w:pPr>
                      <w:r>
                        <w:t>Consultation Questions</w:t>
                      </w:r>
                    </w:p>
                    <w:p w14:paraId="087B055A" w14:textId="5B32307D" w:rsidR="00614C0D" w:rsidRDefault="004B3D7A" w:rsidP="0063112D">
                      <w:pPr>
                        <w:pStyle w:val="OutlineNumbered1"/>
                        <w:numPr>
                          <w:ilvl w:val="0"/>
                          <w:numId w:val="67"/>
                        </w:numPr>
                      </w:pPr>
                      <w:r>
                        <w:t xml:space="preserve">Are there any </w:t>
                      </w:r>
                      <w:r w:rsidR="00964802">
                        <w:t>key</w:t>
                      </w:r>
                      <w:r>
                        <w:t xml:space="preserve"> barriers to consolidating </w:t>
                      </w:r>
                      <w:r w:rsidR="000F45BF">
                        <w:t xml:space="preserve">closed and </w:t>
                      </w:r>
                      <w:r>
                        <w:t xml:space="preserve">underperforming products? </w:t>
                      </w:r>
                      <w:r w:rsidR="00614C0D">
                        <w:t xml:space="preserve">What </w:t>
                      </w:r>
                      <w:r w:rsidR="00E200B3">
                        <w:t xml:space="preserve">quantitative </w:t>
                      </w:r>
                      <w:r w:rsidR="00614C0D">
                        <w:t xml:space="preserve">evidence is there of </w:t>
                      </w:r>
                      <w:r w:rsidR="00E200B3">
                        <w:t>these barriers?</w:t>
                      </w:r>
                      <w:r w:rsidR="00C169C4">
                        <w:t xml:space="preserve"> How do these weigh against other reasons a person may choose to remain in a product?</w:t>
                      </w:r>
                    </w:p>
                    <w:p w14:paraId="0AFDAAC6" w14:textId="71A0C228" w:rsidR="004B3D7A" w:rsidRPr="009277C3" w:rsidRDefault="004B3D7A" w:rsidP="0063112D">
                      <w:pPr>
                        <w:pStyle w:val="OutlineNumbered1"/>
                        <w:numPr>
                          <w:ilvl w:val="0"/>
                          <w:numId w:val="67"/>
                        </w:numPr>
                      </w:pPr>
                      <w:r>
                        <w:t xml:space="preserve">What </w:t>
                      </w:r>
                      <w:r w:rsidR="00F96FB6">
                        <w:t xml:space="preserve">evidence </w:t>
                      </w:r>
                      <w:r w:rsidR="00964802">
                        <w:t>d</w:t>
                      </w:r>
                      <w:r w:rsidR="00F96FB6">
                        <w:t xml:space="preserve">o trustees </w:t>
                      </w:r>
                      <w:r w:rsidR="00964802">
                        <w:t>use</w:t>
                      </w:r>
                      <w:r w:rsidR="00F96FB6">
                        <w:t xml:space="preserve"> to demonstrate</w:t>
                      </w:r>
                      <w:r>
                        <w:t xml:space="preserve"> that</w:t>
                      </w:r>
                      <w:r w:rsidR="00701C12">
                        <w:t xml:space="preserve"> remaining in a closed and underperforming product </w:t>
                      </w:r>
                      <w:r>
                        <w:t>is in the best financial interests of members</w:t>
                      </w:r>
                      <w:r w:rsidR="00701C12">
                        <w:t>,</w:t>
                      </w:r>
                      <w:r>
                        <w:t xml:space="preserve"> compared to moving to a performing product?</w:t>
                      </w:r>
                    </w:p>
                    <w:p w14:paraId="5CBC6FF7" w14:textId="3F4577E9" w:rsidR="00CA0C42" w:rsidRPr="009277C3" w:rsidRDefault="00CA0C42" w:rsidP="0063112D">
                      <w:pPr>
                        <w:pStyle w:val="OutlineNumbered1"/>
                        <w:numPr>
                          <w:ilvl w:val="0"/>
                          <w:numId w:val="67"/>
                        </w:numPr>
                      </w:pPr>
                      <w:r>
                        <w:t>What</w:t>
                      </w:r>
                      <w:r w:rsidR="00AA4D02">
                        <w:t xml:space="preserve"> is the</w:t>
                      </w:r>
                      <w:r>
                        <w:t xml:space="preserve"> process</w:t>
                      </w:r>
                      <w:r w:rsidR="00AA4D02">
                        <w:t xml:space="preserve"> or criteria that trustees use when deciding on what product they </w:t>
                      </w:r>
                      <w:r w:rsidR="00540DFF">
                        <w:t>will transfer members to when consolid</w:t>
                      </w:r>
                      <w:r w:rsidR="00CF2ACC">
                        <w:t>at</w:t>
                      </w:r>
                      <w:r w:rsidR="00540DFF">
                        <w:t xml:space="preserve">ing </w:t>
                      </w:r>
                      <w:r w:rsidR="00CF2ACC">
                        <w:t xml:space="preserve">underperforming </w:t>
                      </w:r>
                      <w:r w:rsidR="00540DFF">
                        <w:t>products?</w:t>
                      </w:r>
                    </w:p>
                    <w:p w14:paraId="408D2082" w14:textId="77777777" w:rsidR="004B3D7A" w:rsidRPr="009277C3" w:rsidRDefault="004B3D7A" w:rsidP="0063112D">
                      <w:pPr>
                        <w:pStyle w:val="OutlineNumbered1"/>
                        <w:numPr>
                          <w:ilvl w:val="0"/>
                          <w:numId w:val="67"/>
                        </w:numPr>
                      </w:pPr>
                      <w:r>
                        <w:t>Should APRA receive increased regulatory powers to direct superannuation trustees to consolidate underperforming products?</w:t>
                      </w:r>
                    </w:p>
                  </w:txbxContent>
                </v:textbox>
                <w10:anchorlock/>
              </v:shape>
            </w:pict>
          </mc:Fallback>
        </mc:AlternateContent>
      </w:r>
    </w:p>
    <w:p w14:paraId="52442657" w14:textId="77777777" w:rsidR="00F43DD6" w:rsidRDefault="00F43DD6" w:rsidP="00FA44B6">
      <w:pPr>
        <w:pStyle w:val="OutlineNumbered1"/>
        <w:numPr>
          <w:ilvl w:val="0"/>
          <w:numId w:val="0"/>
        </w:numPr>
        <w:spacing w:after="160" w:line="259" w:lineRule="auto"/>
      </w:pPr>
    </w:p>
    <w:p w14:paraId="0070CE6B" w14:textId="77777777" w:rsidR="00F43DD6" w:rsidRDefault="00F43DD6" w:rsidP="00F43DD6">
      <w:pPr>
        <w:sectPr w:rsidR="00F43DD6" w:rsidSect="00E5398A">
          <w:footerReference w:type="default" r:id="rId39"/>
          <w:pgSz w:w="11906" w:h="16838" w:code="9"/>
          <w:pgMar w:top="1276" w:right="1418" w:bottom="1418" w:left="1418" w:header="709" w:footer="709" w:gutter="0"/>
          <w:cols w:space="708"/>
          <w:docGrid w:linePitch="360"/>
        </w:sectPr>
      </w:pPr>
    </w:p>
    <w:p w14:paraId="2649C2E6" w14:textId="0006A408" w:rsidR="00930402" w:rsidRDefault="00930402" w:rsidP="00930402">
      <w:pPr>
        <w:pStyle w:val="Heading2"/>
      </w:pPr>
      <w:bookmarkStart w:id="53" w:name="_Toc155955190"/>
      <w:r>
        <w:t>Appendix</w:t>
      </w:r>
      <w:bookmarkEnd w:id="53"/>
    </w:p>
    <w:p w14:paraId="76143628" w14:textId="76C796ED" w:rsidR="00A25C38" w:rsidRDefault="00A25C38" w:rsidP="00A25C38">
      <w:pPr>
        <w:pStyle w:val="Heading2"/>
        <w:rPr>
          <w:color w:val="4D7861" w:themeColor="accent2"/>
          <w:sz w:val="28"/>
          <w:szCs w:val="26"/>
        </w:rPr>
      </w:pPr>
      <w:bookmarkStart w:id="54" w:name="_Toc155955191"/>
      <w:r>
        <w:rPr>
          <w:color w:val="4D7861" w:themeColor="accent2"/>
          <w:sz w:val="28"/>
          <w:szCs w:val="26"/>
        </w:rPr>
        <w:t>Glossary</w:t>
      </w:r>
      <w:bookmarkEnd w:id="54"/>
    </w:p>
    <w:p w14:paraId="5DA93238" w14:textId="7FCD2A47" w:rsidR="006C2ACF" w:rsidRDefault="006C2ACF" w:rsidP="006C2ACF">
      <w:pPr>
        <w:pStyle w:val="Bullet"/>
        <w:numPr>
          <w:ilvl w:val="0"/>
          <w:numId w:val="0"/>
        </w:numPr>
        <w:rPr>
          <w:b/>
        </w:rPr>
      </w:pPr>
      <w:r w:rsidRPr="00E6299E">
        <w:rPr>
          <w:b/>
          <w:bCs/>
        </w:rPr>
        <w:t>Account-based pension</w:t>
      </w:r>
      <w:r>
        <w:rPr>
          <w:b/>
          <w:bCs/>
        </w:rPr>
        <w:t xml:space="preserve"> (account-based income stream or allocated pension)</w:t>
      </w:r>
      <w:r w:rsidRPr="00E6299E">
        <w:rPr>
          <w:b/>
          <w:bCs/>
        </w:rPr>
        <w:t xml:space="preserve">: </w:t>
      </w:r>
      <w:r w:rsidRPr="00E6299E">
        <w:t>An account-based pension is a flexible retirement income stream product</w:t>
      </w:r>
      <w:r>
        <w:t>. Retirees who are in an account-based pension are required to</w:t>
      </w:r>
      <w:r w:rsidRPr="00E6299E">
        <w:t xml:space="preserve"> draw a minimum pension payment amount each year or elect to draw an amount of pension payment above the required minimum amount</w:t>
      </w:r>
      <w:r>
        <w:t>. They can</w:t>
      </w:r>
      <w:r w:rsidRPr="00E6299E">
        <w:t xml:space="preserve"> </w:t>
      </w:r>
      <w:r>
        <w:t xml:space="preserve">withdraw </w:t>
      </w:r>
      <w:r w:rsidRPr="00E6299E">
        <w:t xml:space="preserve">some or </w:t>
      </w:r>
      <w:r w:rsidR="00487A01" w:rsidRPr="00E6299E">
        <w:t>all</w:t>
      </w:r>
      <w:r w:rsidRPr="00E6299E">
        <w:t xml:space="preserve"> the account balance</w:t>
      </w:r>
      <w:r>
        <w:t xml:space="preserve"> </w:t>
      </w:r>
      <w:r w:rsidRPr="00E6299E">
        <w:t xml:space="preserve">and </w:t>
      </w:r>
      <w:r>
        <w:t>the income is</w:t>
      </w:r>
      <w:r w:rsidRPr="00E6299E">
        <w:t xml:space="preserve"> tax free from age 60.</w:t>
      </w:r>
    </w:p>
    <w:p w14:paraId="3EF86629" w14:textId="03DF6567" w:rsidR="006C2ACF" w:rsidRDefault="006C2ACF" w:rsidP="006C2ACF">
      <w:pPr>
        <w:pStyle w:val="Bullet"/>
        <w:numPr>
          <w:ilvl w:val="0"/>
          <w:numId w:val="0"/>
        </w:numPr>
      </w:pPr>
      <w:r>
        <w:rPr>
          <w:b/>
          <w:bCs/>
        </w:rPr>
        <w:t>Annuity (</w:t>
      </w:r>
      <w:r w:rsidRPr="00CA5C79">
        <w:rPr>
          <w:b/>
        </w:rPr>
        <w:t>lifetime</w:t>
      </w:r>
      <w:r>
        <w:rPr>
          <w:b/>
        </w:rPr>
        <w:t xml:space="preserve"> income product or a </w:t>
      </w:r>
      <w:r w:rsidRPr="00CA5C79">
        <w:rPr>
          <w:b/>
        </w:rPr>
        <w:t>fixed-term pension</w:t>
      </w:r>
      <w:r>
        <w:rPr>
          <w:b/>
          <w:bCs/>
        </w:rPr>
        <w:t xml:space="preserve">): </w:t>
      </w:r>
      <w:r w:rsidRPr="00E6299E">
        <w:t>An annuity</w:t>
      </w:r>
      <w:r>
        <w:t xml:space="preserve"> provides the member with </w:t>
      </w:r>
      <w:r w:rsidRPr="00E6299E">
        <w:t xml:space="preserve">a guaranteed </w:t>
      </w:r>
      <w:r>
        <w:t xml:space="preserve">regular </w:t>
      </w:r>
      <w:r w:rsidRPr="00E6299E">
        <w:t xml:space="preserve">income for </w:t>
      </w:r>
      <w:proofErr w:type="gramStart"/>
      <w:r w:rsidRPr="00E6299E">
        <w:t>a number of</w:t>
      </w:r>
      <w:proofErr w:type="gramEnd"/>
      <w:r w:rsidRPr="00E6299E">
        <w:t xml:space="preserve"> years</w:t>
      </w:r>
      <w:r>
        <w:t xml:space="preserve"> (fixed-term annuity)</w:t>
      </w:r>
      <w:r w:rsidRPr="00E6299E">
        <w:t xml:space="preserve"> </w:t>
      </w:r>
      <w:r>
        <w:t>o</w:t>
      </w:r>
      <w:r w:rsidRPr="00E6299E">
        <w:t xml:space="preserve">r </w:t>
      </w:r>
      <w:r>
        <w:t xml:space="preserve">for </w:t>
      </w:r>
      <w:r w:rsidRPr="00E6299E">
        <w:t xml:space="preserve">the rest of </w:t>
      </w:r>
      <w:r>
        <w:t>their</w:t>
      </w:r>
      <w:r w:rsidRPr="00E6299E">
        <w:t xml:space="preserve"> life</w:t>
      </w:r>
      <w:r>
        <w:t xml:space="preserve"> (lifetime annuity)</w:t>
      </w:r>
      <w:r w:rsidRPr="00E6299E">
        <w:t>.</w:t>
      </w:r>
      <w:r>
        <w:t xml:space="preserve"> Common features of annuities include guaranteed regular payments regardless of how the share market performs, indexation of payments in line with inflation, reduced flexibility to move capital held in the annuity or to opt out and/or a guaranteed death benefit</w:t>
      </w:r>
      <w:r w:rsidRPr="00442CCB">
        <w:t xml:space="preserve"> </w:t>
      </w:r>
      <w:r>
        <w:t>to dependants. Annuity providers bear both longevity and investment risks while the member can be sure of their future income.</w:t>
      </w:r>
    </w:p>
    <w:p w14:paraId="14D81DF2" w14:textId="43F91360" w:rsidR="001A4402" w:rsidRDefault="00245381" w:rsidP="00A25C38">
      <w:r w:rsidRPr="00D9513E">
        <w:rPr>
          <w:b/>
          <w:bCs/>
        </w:rPr>
        <w:t>Benchmark:</w:t>
      </w:r>
      <w:r w:rsidR="005971B8">
        <w:t xml:space="preserve"> </w:t>
      </w:r>
      <w:r w:rsidR="00170B1F">
        <w:t xml:space="preserve">what a product’s performance is measured against, </w:t>
      </w:r>
      <w:r w:rsidR="005A4119">
        <w:t>for example comparing</w:t>
      </w:r>
      <w:r w:rsidR="00A948EF">
        <w:t xml:space="preserve"> an asset class </w:t>
      </w:r>
      <w:r w:rsidR="005A4119">
        <w:t xml:space="preserve">to an </w:t>
      </w:r>
      <w:r w:rsidR="00A948EF">
        <w:t xml:space="preserve">index. </w:t>
      </w:r>
    </w:p>
    <w:p w14:paraId="70D06F9B" w14:textId="2E54BCE2" w:rsidR="00302C75" w:rsidRDefault="00302C75" w:rsidP="00A25C38">
      <w:r w:rsidRPr="00D9513E">
        <w:rPr>
          <w:b/>
          <w:bCs/>
        </w:rPr>
        <w:t>Externally-</w:t>
      </w:r>
      <w:r w:rsidR="00077A0A">
        <w:rPr>
          <w:b/>
          <w:bCs/>
        </w:rPr>
        <w:t>managed</w:t>
      </w:r>
      <w:r w:rsidR="00077A0A" w:rsidRPr="00D9513E">
        <w:rPr>
          <w:b/>
          <w:bCs/>
        </w:rPr>
        <w:t xml:space="preserve"> </w:t>
      </w:r>
      <w:r w:rsidRPr="00D9513E">
        <w:rPr>
          <w:b/>
          <w:bCs/>
        </w:rPr>
        <w:t>product:</w:t>
      </w:r>
      <w:r w:rsidR="00890F6C" w:rsidRPr="00890F6C">
        <w:t xml:space="preserve"> </w:t>
      </w:r>
      <w:r w:rsidR="00890F6C">
        <w:t>multi-asset products where the trustee or a connected entity does not have control over the design</w:t>
      </w:r>
      <w:r w:rsidR="0010642D">
        <w:t xml:space="preserve"> or implementation</w:t>
      </w:r>
      <w:r w:rsidR="00890F6C">
        <w:t xml:space="preserve"> of the investment strategy of the </w:t>
      </w:r>
      <w:r w:rsidR="0014111C">
        <w:t>option</w:t>
      </w:r>
      <w:r w:rsidR="00890F6C">
        <w:t>.</w:t>
      </w:r>
    </w:p>
    <w:p w14:paraId="36006B02" w14:textId="1CB80BAA" w:rsidR="00450E3A" w:rsidRDefault="00450E3A" w:rsidP="00A25C38">
      <w:r w:rsidRPr="00D9513E">
        <w:rPr>
          <w:b/>
          <w:bCs/>
        </w:rPr>
        <w:t>Failing rate:</w:t>
      </w:r>
      <w:r w:rsidR="00500F3B">
        <w:t xml:space="preserve"> the level that indicates a product has failed a test. </w:t>
      </w:r>
    </w:p>
    <w:p w14:paraId="3081EB18" w14:textId="106E8984" w:rsidR="00A25C38" w:rsidRDefault="001A4402" w:rsidP="00A25C38">
      <w:r w:rsidRPr="00D9513E">
        <w:rPr>
          <w:b/>
          <w:bCs/>
        </w:rPr>
        <w:t>Metric:</w:t>
      </w:r>
      <w:r w:rsidR="00FB6C00">
        <w:t xml:space="preserve"> </w:t>
      </w:r>
      <w:r w:rsidR="003E2FD7">
        <w:t xml:space="preserve">a method of assessing </w:t>
      </w:r>
      <w:r w:rsidR="00496330">
        <w:t xml:space="preserve">the </w:t>
      </w:r>
      <w:r w:rsidR="003E2FD7">
        <w:t>performance</w:t>
      </w:r>
      <w:r w:rsidR="00496330">
        <w:t xml:space="preserve"> of a product. </w:t>
      </w:r>
    </w:p>
    <w:p w14:paraId="3B67E66B" w14:textId="28BEF45A" w:rsidR="002C5972" w:rsidRPr="0001110C" w:rsidRDefault="002C5972" w:rsidP="00A25C38">
      <w:r w:rsidRPr="00585399">
        <w:rPr>
          <w:b/>
          <w:bCs/>
        </w:rPr>
        <w:t>Non-platform TDP:</w:t>
      </w:r>
      <w:r>
        <w:rPr>
          <w:b/>
          <w:bCs/>
        </w:rPr>
        <w:t xml:space="preserve"> </w:t>
      </w:r>
      <w:r w:rsidR="0001110C">
        <w:t>a TDP that is offered through only one</w:t>
      </w:r>
      <w:r w:rsidR="00BA30AA">
        <w:t xml:space="preserve"> investment menu. </w:t>
      </w:r>
    </w:p>
    <w:p w14:paraId="4AA24F8A" w14:textId="5970742C" w:rsidR="00F23094" w:rsidRDefault="00F23094" w:rsidP="00A25C38">
      <w:r w:rsidRPr="00D9513E">
        <w:rPr>
          <w:b/>
          <w:bCs/>
        </w:rPr>
        <w:t>Performance indicator:</w:t>
      </w:r>
      <w:r w:rsidR="00496330">
        <w:t xml:space="preserve"> a</w:t>
      </w:r>
      <w:r w:rsidR="005151B2">
        <w:t xml:space="preserve">n aspect of the product that demonstrates whether it is successful or not. </w:t>
      </w:r>
    </w:p>
    <w:p w14:paraId="375B6C44" w14:textId="13C1E9B2" w:rsidR="002C5972" w:rsidRPr="00D439DB" w:rsidRDefault="002C5972" w:rsidP="00A25C38">
      <w:r w:rsidRPr="00585399">
        <w:rPr>
          <w:b/>
          <w:bCs/>
        </w:rPr>
        <w:t>Platform TDP:</w:t>
      </w:r>
      <w:r>
        <w:rPr>
          <w:b/>
          <w:bCs/>
        </w:rPr>
        <w:t xml:space="preserve"> </w:t>
      </w:r>
      <w:r w:rsidR="00D439DB">
        <w:t xml:space="preserve">a </w:t>
      </w:r>
      <w:r w:rsidR="00B03FDA">
        <w:t xml:space="preserve">TDP that is offered through one or more investment menus of the platform type. </w:t>
      </w:r>
    </w:p>
    <w:p w14:paraId="7DD6AECA" w14:textId="0FF0ADA5" w:rsidR="00245381" w:rsidRDefault="00245381" w:rsidP="00A25C38">
      <w:r w:rsidRPr="00D9513E">
        <w:rPr>
          <w:b/>
          <w:bCs/>
        </w:rPr>
        <w:t>Test:</w:t>
      </w:r>
      <w:r w:rsidR="00FB6C00">
        <w:t xml:space="preserve"> </w:t>
      </w:r>
      <w:r w:rsidR="00C37FC6">
        <w:t xml:space="preserve">a way to assess the performance of a product </w:t>
      </w:r>
      <w:proofErr w:type="gramStart"/>
      <w:r w:rsidR="00C37FC6">
        <w:t>in regard to</w:t>
      </w:r>
      <w:proofErr w:type="gramEnd"/>
      <w:r w:rsidR="00C37FC6">
        <w:t xml:space="preserve"> a performance indicator using </w:t>
      </w:r>
      <w:r w:rsidR="00716CDD">
        <w:t xml:space="preserve">one or more </w:t>
      </w:r>
      <w:r w:rsidR="00C37FC6">
        <w:t xml:space="preserve">metrics and variables. </w:t>
      </w:r>
    </w:p>
    <w:p w14:paraId="5C8E378D" w14:textId="73852050" w:rsidR="00CB58C4" w:rsidRPr="00CB58C4" w:rsidRDefault="00CB58C4" w:rsidP="00A25C38">
      <w:r>
        <w:rPr>
          <w:b/>
          <w:bCs/>
        </w:rPr>
        <w:t xml:space="preserve">Threshold: </w:t>
      </w:r>
      <w:r>
        <w:t>value</w:t>
      </w:r>
      <w:r w:rsidR="00190DB7">
        <w:t xml:space="preserve"> at which </w:t>
      </w:r>
      <w:r w:rsidR="006153E0">
        <w:t>performance is benchmarked against.</w:t>
      </w:r>
      <w:r w:rsidR="00527ACB">
        <w:t xml:space="preserve"> This value will determine whether a product passes the test. </w:t>
      </w:r>
    </w:p>
    <w:p w14:paraId="28EBD56F" w14:textId="674E1301" w:rsidR="00302C75" w:rsidRDefault="00302C75" w:rsidP="00A25C38">
      <w:r w:rsidRPr="00D9513E">
        <w:rPr>
          <w:b/>
          <w:bCs/>
        </w:rPr>
        <w:t>Trustee-directed product (TDPs):</w:t>
      </w:r>
      <w:r w:rsidR="00CE3EEC">
        <w:t xml:space="preserve"> </w:t>
      </w:r>
      <w:r w:rsidR="00890F6C">
        <w:t xml:space="preserve">multi-asset products where the trustee or a connected entity has control over the design of the investment strategy of the </w:t>
      </w:r>
      <w:r w:rsidR="0014111C">
        <w:t>option</w:t>
      </w:r>
      <w:r w:rsidR="00890F6C">
        <w:t xml:space="preserve">. </w:t>
      </w:r>
    </w:p>
    <w:p w14:paraId="16C63285" w14:textId="54BD1FA0" w:rsidR="00496330" w:rsidRDefault="001A4402" w:rsidP="00496330">
      <w:r w:rsidRPr="00D9513E">
        <w:rPr>
          <w:b/>
          <w:bCs/>
        </w:rPr>
        <w:t>Variable:</w:t>
      </w:r>
      <w:r>
        <w:t xml:space="preserve"> </w:t>
      </w:r>
      <w:r w:rsidR="00496330">
        <w:t xml:space="preserve">an input to </w:t>
      </w:r>
      <w:r w:rsidR="005151B2">
        <w:t>a</w:t>
      </w:r>
      <w:r w:rsidR="00496330">
        <w:t xml:space="preserve"> metric, such as a lookback period or representative member balance. </w:t>
      </w:r>
    </w:p>
    <w:p w14:paraId="2DA6641D" w14:textId="4C8CE39E" w:rsidR="001A4402" w:rsidRDefault="001A4402" w:rsidP="00A25C38"/>
    <w:p w14:paraId="216A9159" w14:textId="77777777" w:rsidR="00A25C38" w:rsidRDefault="00A25C38" w:rsidP="00A25C38"/>
    <w:p w14:paraId="738073E5" w14:textId="77777777" w:rsidR="004B10B5" w:rsidRDefault="004B10B5">
      <w:pPr>
        <w:spacing w:before="0" w:after="160" w:line="259" w:lineRule="auto"/>
        <w:rPr>
          <w:rFonts w:ascii="Calibri" w:hAnsi="Calibri" w:cs="Arial"/>
          <w:iCs/>
          <w:color w:val="4D7861" w:themeColor="accent2"/>
          <w:kern w:val="32"/>
          <w:sz w:val="28"/>
          <w:szCs w:val="26"/>
        </w:rPr>
      </w:pPr>
      <w:r>
        <w:rPr>
          <w:color w:val="4D7861" w:themeColor="accent2"/>
          <w:sz w:val="28"/>
          <w:szCs w:val="26"/>
        </w:rPr>
        <w:br w:type="page"/>
      </w:r>
    </w:p>
    <w:p w14:paraId="66AA0F30" w14:textId="1C5BA0B2" w:rsidR="00EC4E91" w:rsidRPr="00EC4E91" w:rsidRDefault="00A25C38" w:rsidP="00F93D34">
      <w:pPr>
        <w:pStyle w:val="Heading2"/>
      </w:pPr>
      <w:bookmarkStart w:id="55" w:name="_Toc151575176"/>
      <w:bookmarkStart w:id="56" w:name="_Toc155955192"/>
      <w:r>
        <w:rPr>
          <w:color w:val="4D7861" w:themeColor="accent2"/>
          <w:sz w:val="28"/>
          <w:szCs w:val="26"/>
        </w:rPr>
        <w:t>Current p</w:t>
      </w:r>
      <w:r w:rsidRPr="003E4408">
        <w:rPr>
          <w:color w:val="4D7861" w:themeColor="accent2"/>
          <w:sz w:val="28"/>
          <w:szCs w:val="26"/>
        </w:rPr>
        <w:t xml:space="preserve">erformance testing </w:t>
      </w:r>
      <w:r>
        <w:rPr>
          <w:color w:val="4D7861" w:themeColor="accent2"/>
          <w:sz w:val="28"/>
          <w:szCs w:val="26"/>
        </w:rPr>
        <w:t>benchmarks</w:t>
      </w:r>
      <w:bookmarkEnd w:id="55"/>
      <w:bookmarkEnd w:id="56"/>
      <w:r w:rsidRPr="003E4408">
        <w:rPr>
          <w:color w:val="4D7861" w:themeColor="accent2"/>
          <w:sz w:val="28"/>
          <w:szCs w:val="26"/>
        </w:rPr>
        <w:t xml:space="preserve"> </w:t>
      </w:r>
    </w:p>
    <w:tbl>
      <w:tblPr>
        <w:tblW w:w="8310" w:type="dxa"/>
        <w:tblInd w:w="113" w:type="dxa"/>
        <w:shd w:val="clear" w:color="auto" w:fill="FFFFFF"/>
        <w:tblCellMar>
          <w:left w:w="0" w:type="dxa"/>
          <w:right w:w="0" w:type="dxa"/>
        </w:tblCellMar>
        <w:tblLook w:val="04A0" w:firstRow="1" w:lastRow="0" w:firstColumn="1" w:lastColumn="0" w:noHBand="0" w:noVBand="1"/>
      </w:tblPr>
      <w:tblGrid>
        <w:gridCol w:w="714"/>
        <w:gridCol w:w="1832"/>
        <w:gridCol w:w="3398"/>
        <w:gridCol w:w="1134"/>
        <w:gridCol w:w="1232"/>
      </w:tblGrid>
      <w:tr w:rsidR="0049593D" w:rsidRPr="0049593D" w14:paraId="74ECE9CA" w14:textId="77777777" w:rsidTr="0049593D">
        <w:trPr>
          <w:tblHeader/>
        </w:trPr>
        <w:tc>
          <w:tcPr>
            <w:tcW w:w="8316" w:type="dxa"/>
            <w:gridSpan w:val="5"/>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4F511705" w14:textId="77777777" w:rsidR="0049593D" w:rsidRPr="00D9513E" w:rsidRDefault="0049593D" w:rsidP="0049593D">
            <w:pPr>
              <w:rPr>
                <w:b/>
                <w:bCs/>
                <w:sz w:val="18"/>
                <w:szCs w:val="16"/>
              </w:rPr>
            </w:pPr>
            <w:r w:rsidRPr="00D9513E">
              <w:rPr>
                <w:b/>
                <w:bCs/>
                <w:sz w:val="18"/>
                <w:szCs w:val="16"/>
              </w:rPr>
              <w:t xml:space="preserve">Covered asset classes, assumed indices, assumed annual </w:t>
            </w:r>
            <w:proofErr w:type="gramStart"/>
            <w:r w:rsidRPr="00D9513E">
              <w:rPr>
                <w:b/>
                <w:bCs/>
                <w:sz w:val="18"/>
                <w:szCs w:val="16"/>
              </w:rPr>
              <w:t>fees</w:t>
            </w:r>
            <w:proofErr w:type="gramEnd"/>
            <w:r w:rsidRPr="00D9513E">
              <w:rPr>
                <w:b/>
                <w:bCs/>
                <w:sz w:val="18"/>
                <w:szCs w:val="16"/>
              </w:rPr>
              <w:t xml:space="preserve"> and assumed tax rates for quarters starting on or after 1 July 2014</w:t>
            </w:r>
          </w:p>
        </w:tc>
      </w:tr>
      <w:tr w:rsidR="0049593D" w:rsidRPr="0049593D" w14:paraId="68E76D9F" w14:textId="77777777" w:rsidTr="00D9513E">
        <w:trPr>
          <w:trHeight w:val="670"/>
          <w:tblHeader/>
        </w:trPr>
        <w:tc>
          <w:tcPr>
            <w:tcW w:w="714"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3FD1D575" w14:textId="77777777" w:rsidR="0049593D" w:rsidRPr="00D9513E" w:rsidRDefault="0049593D" w:rsidP="0049593D">
            <w:pPr>
              <w:rPr>
                <w:b/>
                <w:bCs/>
                <w:sz w:val="18"/>
                <w:szCs w:val="16"/>
              </w:rPr>
            </w:pPr>
            <w:r w:rsidRPr="00D9513E">
              <w:rPr>
                <w:b/>
                <w:bCs/>
                <w:sz w:val="18"/>
                <w:szCs w:val="16"/>
              </w:rPr>
              <w:t>Item</w:t>
            </w:r>
          </w:p>
        </w:tc>
        <w:tc>
          <w:tcPr>
            <w:tcW w:w="1833"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6FF6B2B5" w14:textId="77777777" w:rsidR="0049593D" w:rsidRPr="00D9513E" w:rsidRDefault="0049593D" w:rsidP="0049593D">
            <w:pPr>
              <w:rPr>
                <w:b/>
                <w:bCs/>
                <w:sz w:val="18"/>
                <w:szCs w:val="16"/>
              </w:rPr>
            </w:pPr>
            <w:r w:rsidRPr="00D9513E">
              <w:rPr>
                <w:b/>
                <w:bCs/>
                <w:sz w:val="18"/>
                <w:szCs w:val="16"/>
              </w:rPr>
              <w:t>Description</w:t>
            </w:r>
          </w:p>
        </w:tc>
        <w:tc>
          <w:tcPr>
            <w:tcW w:w="3402"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6632B559" w14:textId="77777777" w:rsidR="0049593D" w:rsidRPr="00D9513E" w:rsidRDefault="0049593D" w:rsidP="0049593D">
            <w:pPr>
              <w:rPr>
                <w:b/>
                <w:bCs/>
                <w:sz w:val="18"/>
                <w:szCs w:val="16"/>
              </w:rPr>
            </w:pPr>
            <w:r w:rsidRPr="00D9513E">
              <w:rPr>
                <w:b/>
                <w:bCs/>
                <w:sz w:val="18"/>
                <w:szCs w:val="16"/>
              </w:rPr>
              <w:t>Assumed index</w:t>
            </w:r>
          </w:p>
        </w:tc>
        <w:tc>
          <w:tcPr>
            <w:tcW w:w="1134"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4264113E" w14:textId="77777777" w:rsidR="0049593D" w:rsidRPr="00D9513E" w:rsidRDefault="0049593D" w:rsidP="0049593D">
            <w:pPr>
              <w:rPr>
                <w:b/>
                <w:bCs/>
                <w:sz w:val="18"/>
                <w:szCs w:val="16"/>
              </w:rPr>
            </w:pPr>
            <w:r w:rsidRPr="00D9513E">
              <w:rPr>
                <w:b/>
                <w:bCs/>
                <w:sz w:val="18"/>
                <w:szCs w:val="16"/>
              </w:rPr>
              <w:t>Assumed annual fee</w:t>
            </w:r>
          </w:p>
        </w:tc>
        <w:tc>
          <w:tcPr>
            <w:tcW w:w="1233"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13F63F4F" w14:textId="77777777" w:rsidR="0049593D" w:rsidRPr="00D9513E" w:rsidRDefault="0049593D" w:rsidP="0049593D">
            <w:pPr>
              <w:rPr>
                <w:b/>
                <w:bCs/>
                <w:sz w:val="18"/>
                <w:szCs w:val="16"/>
              </w:rPr>
            </w:pPr>
            <w:r w:rsidRPr="00D9513E">
              <w:rPr>
                <w:b/>
                <w:bCs/>
                <w:sz w:val="18"/>
                <w:szCs w:val="16"/>
              </w:rPr>
              <w:t>Assumed annual rate of tax</w:t>
            </w:r>
          </w:p>
        </w:tc>
      </w:tr>
      <w:tr w:rsidR="0049593D" w:rsidRPr="0049593D" w14:paraId="741972C8"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165683F" w14:textId="77777777" w:rsidR="0049593D" w:rsidRPr="00D9513E" w:rsidRDefault="0049593D" w:rsidP="0049593D">
            <w:pPr>
              <w:rPr>
                <w:sz w:val="18"/>
                <w:szCs w:val="16"/>
              </w:rPr>
            </w:pPr>
            <w:r w:rsidRPr="00D9513E">
              <w:rPr>
                <w:sz w:val="18"/>
                <w:szCs w:val="16"/>
              </w:rPr>
              <w:t>1</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A5CF98C" w14:textId="77777777" w:rsidR="0049593D" w:rsidRPr="00D9513E" w:rsidRDefault="0049593D" w:rsidP="0049593D">
            <w:pPr>
              <w:rPr>
                <w:sz w:val="18"/>
                <w:szCs w:val="16"/>
              </w:rPr>
            </w:pPr>
            <w:r w:rsidRPr="00D9513E">
              <w:rPr>
                <w:sz w:val="18"/>
                <w:szCs w:val="16"/>
              </w:rPr>
              <w:t>Australian Equity</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BDE66B2" w14:textId="77777777" w:rsidR="0049593D" w:rsidRPr="00D9513E" w:rsidRDefault="0049593D" w:rsidP="0049593D">
            <w:pPr>
              <w:rPr>
                <w:sz w:val="18"/>
                <w:szCs w:val="16"/>
              </w:rPr>
            </w:pPr>
            <w:r w:rsidRPr="00D9513E">
              <w:rPr>
                <w:sz w:val="18"/>
                <w:szCs w:val="16"/>
              </w:rPr>
              <w:t>ASA52</w:t>
            </w:r>
          </w:p>
          <w:p w14:paraId="7E1697CC" w14:textId="77777777" w:rsidR="0049593D" w:rsidRPr="00D9513E" w:rsidRDefault="0049593D" w:rsidP="0049593D">
            <w:pPr>
              <w:rPr>
                <w:sz w:val="18"/>
                <w:szCs w:val="16"/>
              </w:rPr>
            </w:pPr>
            <w:r w:rsidRPr="00D9513E">
              <w:rPr>
                <w:sz w:val="18"/>
                <w:szCs w:val="16"/>
              </w:rPr>
              <w:t>S&amp;P/ASX 300 Total Return Index</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3CA64D8" w14:textId="77777777" w:rsidR="0049593D" w:rsidRPr="00D9513E" w:rsidRDefault="0049593D" w:rsidP="0049593D">
            <w:pPr>
              <w:rPr>
                <w:sz w:val="18"/>
                <w:szCs w:val="16"/>
              </w:rPr>
            </w:pPr>
            <w:r w:rsidRPr="00D9513E">
              <w:rPr>
                <w:sz w:val="18"/>
                <w:szCs w:val="16"/>
              </w:rPr>
              <w:t>0.05%</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68B967F" w14:textId="77777777" w:rsidR="0049593D" w:rsidRPr="00D9513E" w:rsidRDefault="0049593D" w:rsidP="0049593D">
            <w:pPr>
              <w:rPr>
                <w:sz w:val="18"/>
                <w:szCs w:val="16"/>
              </w:rPr>
            </w:pPr>
            <w:r w:rsidRPr="00D9513E">
              <w:rPr>
                <w:sz w:val="18"/>
                <w:szCs w:val="16"/>
              </w:rPr>
              <w:t>0.00%</w:t>
            </w:r>
          </w:p>
        </w:tc>
      </w:tr>
      <w:tr w:rsidR="0049593D" w:rsidRPr="0049593D" w14:paraId="0AB14B49"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F554B09" w14:textId="77777777" w:rsidR="0049593D" w:rsidRPr="00D9513E" w:rsidRDefault="0049593D" w:rsidP="0049593D">
            <w:pPr>
              <w:rPr>
                <w:sz w:val="18"/>
                <w:szCs w:val="16"/>
              </w:rPr>
            </w:pPr>
            <w:r w:rsidRPr="00D9513E">
              <w:rPr>
                <w:sz w:val="18"/>
                <w:szCs w:val="16"/>
              </w:rPr>
              <w:t>2</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62C4CCB" w14:textId="77777777" w:rsidR="0049593D" w:rsidRPr="00D9513E" w:rsidRDefault="0049593D" w:rsidP="0049593D">
            <w:pPr>
              <w:rPr>
                <w:sz w:val="18"/>
                <w:szCs w:val="16"/>
              </w:rPr>
            </w:pPr>
            <w:r w:rsidRPr="00D9513E">
              <w:rPr>
                <w:sz w:val="18"/>
                <w:szCs w:val="16"/>
              </w:rPr>
              <w:t>International Equity (hedged; international economy type not specified or not applicable)</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C8AEE3F" w14:textId="77777777" w:rsidR="0049593D" w:rsidRPr="00D9513E" w:rsidRDefault="0049593D" w:rsidP="0049593D">
            <w:pPr>
              <w:rPr>
                <w:sz w:val="18"/>
                <w:szCs w:val="16"/>
              </w:rPr>
            </w:pPr>
            <w:r w:rsidRPr="00D9513E">
              <w:rPr>
                <w:sz w:val="18"/>
                <w:szCs w:val="16"/>
              </w:rPr>
              <w:t>DE725341</w:t>
            </w:r>
          </w:p>
          <w:p w14:paraId="78E2D34E" w14:textId="77777777" w:rsidR="0049593D" w:rsidRPr="00D9513E" w:rsidRDefault="0049593D" w:rsidP="0049593D">
            <w:pPr>
              <w:rPr>
                <w:sz w:val="18"/>
                <w:szCs w:val="16"/>
              </w:rPr>
            </w:pPr>
            <w:r w:rsidRPr="00D9513E">
              <w:rPr>
                <w:sz w:val="18"/>
                <w:szCs w:val="16"/>
              </w:rPr>
              <w:t>MSCI All Country World Ex</w:t>
            </w:r>
            <w:r w:rsidRPr="00D9513E">
              <w:rPr>
                <w:sz w:val="18"/>
                <w:szCs w:val="16"/>
              </w:rPr>
              <w:noBreakHyphen/>
              <w:t>Australia Equities Index with Special Tax (100% hedged to AUD)</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0D1513F" w14:textId="77777777" w:rsidR="0049593D" w:rsidRPr="00D9513E" w:rsidRDefault="0049593D" w:rsidP="0049593D">
            <w:pPr>
              <w:rPr>
                <w:sz w:val="18"/>
                <w:szCs w:val="16"/>
              </w:rPr>
            </w:pPr>
            <w:r w:rsidRPr="00D9513E">
              <w:rPr>
                <w:sz w:val="18"/>
                <w:szCs w:val="16"/>
              </w:rPr>
              <w:t>0.11%</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926A5BE" w14:textId="77777777" w:rsidR="0049593D" w:rsidRPr="00D9513E" w:rsidRDefault="0049593D" w:rsidP="0049593D">
            <w:pPr>
              <w:rPr>
                <w:sz w:val="18"/>
                <w:szCs w:val="16"/>
              </w:rPr>
            </w:pPr>
            <w:r w:rsidRPr="00D9513E">
              <w:rPr>
                <w:sz w:val="18"/>
                <w:szCs w:val="16"/>
              </w:rPr>
              <w:t>14.00%</w:t>
            </w:r>
          </w:p>
        </w:tc>
      </w:tr>
      <w:tr w:rsidR="0049593D" w:rsidRPr="0049593D" w14:paraId="48FBD0EC"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EA1DA27" w14:textId="77777777" w:rsidR="0049593D" w:rsidRPr="00D9513E" w:rsidRDefault="0049593D" w:rsidP="0049593D">
            <w:pPr>
              <w:rPr>
                <w:sz w:val="18"/>
                <w:szCs w:val="16"/>
              </w:rPr>
            </w:pPr>
            <w:r w:rsidRPr="00D9513E">
              <w:rPr>
                <w:sz w:val="18"/>
                <w:szCs w:val="16"/>
              </w:rPr>
              <w:t>3</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23AF192" w14:textId="77777777" w:rsidR="0049593D" w:rsidRPr="00D9513E" w:rsidRDefault="0049593D" w:rsidP="0049593D">
            <w:pPr>
              <w:rPr>
                <w:sz w:val="18"/>
                <w:szCs w:val="16"/>
              </w:rPr>
            </w:pPr>
            <w:r w:rsidRPr="00D9513E">
              <w:rPr>
                <w:sz w:val="18"/>
                <w:szCs w:val="16"/>
              </w:rPr>
              <w:t>International Equity (hedged; emerging markets)</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A523AFE" w14:textId="77777777" w:rsidR="0049593D" w:rsidRPr="00D9513E" w:rsidRDefault="0049593D" w:rsidP="0049593D">
            <w:pPr>
              <w:rPr>
                <w:sz w:val="18"/>
                <w:szCs w:val="16"/>
              </w:rPr>
            </w:pPr>
            <w:r w:rsidRPr="00D9513E">
              <w:rPr>
                <w:sz w:val="18"/>
                <w:szCs w:val="16"/>
              </w:rPr>
              <w:t>DA725342</w:t>
            </w:r>
          </w:p>
          <w:p w14:paraId="5FADEAA7" w14:textId="77777777" w:rsidR="0049593D" w:rsidRPr="00D9513E" w:rsidRDefault="0049593D" w:rsidP="0049593D">
            <w:pPr>
              <w:rPr>
                <w:sz w:val="18"/>
                <w:szCs w:val="16"/>
              </w:rPr>
            </w:pPr>
            <w:r w:rsidRPr="00D9513E">
              <w:rPr>
                <w:sz w:val="18"/>
                <w:szCs w:val="16"/>
              </w:rPr>
              <w:t>MSCI Emerging Markets with Special Tax (100% hedged to AUD)</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E0FF457" w14:textId="77777777" w:rsidR="0049593D" w:rsidRPr="00D9513E" w:rsidRDefault="0049593D" w:rsidP="0049593D">
            <w:pPr>
              <w:rPr>
                <w:sz w:val="18"/>
                <w:szCs w:val="16"/>
              </w:rPr>
            </w:pPr>
            <w:r w:rsidRPr="00D9513E">
              <w:rPr>
                <w:sz w:val="18"/>
                <w:szCs w:val="16"/>
              </w:rPr>
              <w:t>0.16%</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51D881F" w14:textId="77777777" w:rsidR="0049593D" w:rsidRPr="00D9513E" w:rsidRDefault="0049593D" w:rsidP="0049593D">
            <w:pPr>
              <w:rPr>
                <w:sz w:val="18"/>
                <w:szCs w:val="16"/>
              </w:rPr>
            </w:pPr>
            <w:r w:rsidRPr="00D9513E">
              <w:rPr>
                <w:sz w:val="18"/>
                <w:szCs w:val="16"/>
              </w:rPr>
              <w:t>14.00%</w:t>
            </w:r>
          </w:p>
        </w:tc>
      </w:tr>
      <w:tr w:rsidR="0049593D" w:rsidRPr="0049593D" w14:paraId="066C0EAC"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F8AC865" w14:textId="77777777" w:rsidR="0049593D" w:rsidRPr="00D9513E" w:rsidRDefault="0049593D" w:rsidP="0049593D">
            <w:pPr>
              <w:rPr>
                <w:sz w:val="18"/>
                <w:szCs w:val="16"/>
              </w:rPr>
            </w:pPr>
            <w:r w:rsidRPr="00D9513E">
              <w:rPr>
                <w:sz w:val="18"/>
                <w:szCs w:val="16"/>
              </w:rPr>
              <w:t>4</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A36C2A8" w14:textId="77777777" w:rsidR="0049593D" w:rsidRPr="00D9513E" w:rsidRDefault="0049593D" w:rsidP="0049593D">
            <w:pPr>
              <w:rPr>
                <w:sz w:val="18"/>
                <w:szCs w:val="16"/>
              </w:rPr>
            </w:pPr>
            <w:r w:rsidRPr="00D9513E">
              <w:rPr>
                <w:sz w:val="18"/>
                <w:szCs w:val="16"/>
              </w:rPr>
              <w:t>International Equity (hedged; developed markets)</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1D65329" w14:textId="77777777" w:rsidR="0049593D" w:rsidRPr="00D9513E" w:rsidRDefault="0049593D" w:rsidP="0049593D">
            <w:pPr>
              <w:rPr>
                <w:sz w:val="18"/>
                <w:szCs w:val="16"/>
              </w:rPr>
            </w:pPr>
            <w:r w:rsidRPr="00D9513E">
              <w:rPr>
                <w:sz w:val="18"/>
                <w:szCs w:val="16"/>
              </w:rPr>
              <w:t>DA750700</w:t>
            </w:r>
          </w:p>
          <w:p w14:paraId="46414B93" w14:textId="77777777" w:rsidR="0049593D" w:rsidRPr="00D9513E" w:rsidRDefault="0049593D" w:rsidP="0049593D">
            <w:pPr>
              <w:rPr>
                <w:sz w:val="18"/>
                <w:szCs w:val="16"/>
              </w:rPr>
            </w:pPr>
            <w:r w:rsidRPr="00D9513E">
              <w:rPr>
                <w:sz w:val="18"/>
                <w:szCs w:val="16"/>
              </w:rPr>
              <w:t>MSCI World ex Australia with Special Tax (100% hedged to AUD)</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1FD0DA9" w14:textId="77777777" w:rsidR="0049593D" w:rsidRPr="00D9513E" w:rsidRDefault="0049593D" w:rsidP="0049593D">
            <w:pPr>
              <w:rPr>
                <w:sz w:val="18"/>
                <w:szCs w:val="16"/>
              </w:rPr>
            </w:pPr>
            <w:r w:rsidRPr="00D9513E">
              <w:rPr>
                <w:sz w:val="18"/>
                <w:szCs w:val="16"/>
              </w:rPr>
              <w:t>0.10%</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401DC44" w14:textId="77777777" w:rsidR="0049593D" w:rsidRPr="00D9513E" w:rsidRDefault="0049593D" w:rsidP="0049593D">
            <w:pPr>
              <w:rPr>
                <w:sz w:val="18"/>
                <w:szCs w:val="16"/>
              </w:rPr>
            </w:pPr>
            <w:r w:rsidRPr="00D9513E">
              <w:rPr>
                <w:sz w:val="18"/>
                <w:szCs w:val="16"/>
              </w:rPr>
              <w:t>14.00%</w:t>
            </w:r>
          </w:p>
        </w:tc>
      </w:tr>
      <w:tr w:rsidR="0049593D" w:rsidRPr="0049593D" w14:paraId="2278DD68"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A7B9A99" w14:textId="77777777" w:rsidR="0049593D" w:rsidRPr="00D9513E" w:rsidRDefault="0049593D" w:rsidP="0049593D">
            <w:pPr>
              <w:rPr>
                <w:sz w:val="18"/>
                <w:szCs w:val="16"/>
              </w:rPr>
            </w:pPr>
            <w:r w:rsidRPr="00D9513E">
              <w:rPr>
                <w:sz w:val="18"/>
                <w:szCs w:val="16"/>
              </w:rPr>
              <w:t>5</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2E6CFAC" w14:textId="77777777" w:rsidR="0049593D" w:rsidRPr="00D9513E" w:rsidRDefault="0049593D" w:rsidP="0049593D">
            <w:pPr>
              <w:rPr>
                <w:sz w:val="18"/>
                <w:szCs w:val="16"/>
              </w:rPr>
            </w:pPr>
            <w:r w:rsidRPr="00D9513E">
              <w:rPr>
                <w:sz w:val="18"/>
                <w:szCs w:val="16"/>
              </w:rPr>
              <w:t>International Equity (unhedged; international economy type not specified or not applicable)</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BB9EF80" w14:textId="77777777" w:rsidR="0049593D" w:rsidRPr="00D9513E" w:rsidRDefault="0049593D" w:rsidP="0049593D">
            <w:pPr>
              <w:rPr>
                <w:sz w:val="18"/>
                <w:szCs w:val="16"/>
              </w:rPr>
            </w:pPr>
            <w:r w:rsidRPr="00D9513E">
              <w:rPr>
                <w:sz w:val="18"/>
                <w:szCs w:val="16"/>
              </w:rPr>
              <w:t>DN714533</w:t>
            </w:r>
          </w:p>
          <w:p w14:paraId="4725B846" w14:textId="77777777" w:rsidR="0049593D" w:rsidRPr="00D9513E" w:rsidRDefault="0049593D" w:rsidP="0049593D">
            <w:pPr>
              <w:rPr>
                <w:sz w:val="18"/>
                <w:szCs w:val="16"/>
              </w:rPr>
            </w:pPr>
            <w:r w:rsidRPr="00D9513E">
              <w:rPr>
                <w:sz w:val="18"/>
                <w:szCs w:val="16"/>
              </w:rPr>
              <w:t>MSCI All Country World Ex</w:t>
            </w:r>
            <w:r w:rsidRPr="00D9513E">
              <w:rPr>
                <w:sz w:val="18"/>
                <w:szCs w:val="16"/>
              </w:rPr>
              <w:noBreakHyphen/>
              <w:t>Australia Equities Index with Special Tax (unhedged in AUD)</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D1B26CE" w14:textId="77777777" w:rsidR="0049593D" w:rsidRPr="00D9513E" w:rsidRDefault="0049593D" w:rsidP="0049593D">
            <w:pPr>
              <w:rPr>
                <w:sz w:val="18"/>
                <w:szCs w:val="16"/>
              </w:rPr>
            </w:pPr>
            <w:r w:rsidRPr="00D9513E">
              <w:rPr>
                <w:sz w:val="18"/>
                <w:szCs w:val="16"/>
              </w:rPr>
              <w:t>0.09%</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5AC6A5A" w14:textId="77777777" w:rsidR="0049593D" w:rsidRPr="00D9513E" w:rsidRDefault="0049593D" w:rsidP="0049593D">
            <w:pPr>
              <w:rPr>
                <w:sz w:val="18"/>
                <w:szCs w:val="16"/>
              </w:rPr>
            </w:pPr>
            <w:r w:rsidRPr="00D9513E">
              <w:rPr>
                <w:sz w:val="18"/>
                <w:szCs w:val="16"/>
              </w:rPr>
              <w:t>14.00%</w:t>
            </w:r>
          </w:p>
        </w:tc>
      </w:tr>
      <w:tr w:rsidR="0049593D" w:rsidRPr="0049593D" w14:paraId="3D271FA5"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1D2A90A" w14:textId="77777777" w:rsidR="0049593D" w:rsidRPr="00D9513E" w:rsidRDefault="0049593D" w:rsidP="0049593D">
            <w:pPr>
              <w:rPr>
                <w:sz w:val="18"/>
                <w:szCs w:val="16"/>
              </w:rPr>
            </w:pPr>
            <w:r w:rsidRPr="00D9513E">
              <w:rPr>
                <w:sz w:val="18"/>
                <w:szCs w:val="16"/>
              </w:rPr>
              <w:t>6</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9AB9855" w14:textId="77777777" w:rsidR="0049593D" w:rsidRPr="00D9513E" w:rsidRDefault="0049593D" w:rsidP="0049593D">
            <w:pPr>
              <w:rPr>
                <w:sz w:val="18"/>
                <w:szCs w:val="16"/>
              </w:rPr>
            </w:pPr>
            <w:r w:rsidRPr="00D9513E">
              <w:rPr>
                <w:sz w:val="18"/>
                <w:szCs w:val="16"/>
              </w:rPr>
              <w:t>International Equity (unhedged; emerging markets)</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6FFDB75" w14:textId="77777777" w:rsidR="0049593D" w:rsidRPr="00D9513E" w:rsidRDefault="0049593D" w:rsidP="0049593D">
            <w:pPr>
              <w:rPr>
                <w:sz w:val="18"/>
                <w:szCs w:val="16"/>
              </w:rPr>
            </w:pPr>
            <w:r w:rsidRPr="00D9513E">
              <w:rPr>
                <w:sz w:val="18"/>
                <w:szCs w:val="16"/>
              </w:rPr>
              <w:t>NA714531</w:t>
            </w:r>
          </w:p>
          <w:p w14:paraId="4092E488" w14:textId="77777777" w:rsidR="0049593D" w:rsidRPr="00D9513E" w:rsidRDefault="0049593D" w:rsidP="0049593D">
            <w:pPr>
              <w:rPr>
                <w:sz w:val="18"/>
                <w:szCs w:val="16"/>
              </w:rPr>
            </w:pPr>
            <w:r w:rsidRPr="00D9513E">
              <w:rPr>
                <w:sz w:val="18"/>
                <w:szCs w:val="16"/>
              </w:rPr>
              <w:t>MSCI Emerging Markets with Special Tax (unhedged in AUD)</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E5604C1" w14:textId="77777777" w:rsidR="0049593D" w:rsidRPr="00D9513E" w:rsidRDefault="0049593D" w:rsidP="0049593D">
            <w:pPr>
              <w:rPr>
                <w:sz w:val="18"/>
                <w:szCs w:val="16"/>
              </w:rPr>
            </w:pPr>
            <w:r w:rsidRPr="00D9513E">
              <w:rPr>
                <w:sz w:val="18"/>
                <w:szCs w:val="16"/>
              </w:rPr>
              <w:t>0.14%</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50147AB" w14:textId="77777777" w:rsidR="0049593D" w:rsidRPr="00D9513E" w:rsidRDefault="0049593D" w:rsidP="0049593D">
            <w:pPr>
              <w:rPr>
                <w:sz w:val="18"/>
                <w:szCs w:val="16"/>
              </w:rPr>
            </w:pPr>
            <w:r w:rsidRPr="00D9513E">
              <w:rPr>
                <w:sz w:val="18"/>
                <w:szCs w:val="16"/>
              </w:rPr>
              <w:t>14.00%</w:t>
            </w:r>
          </w:p>
        </w:tc>
      </w:tr>
      <w:tr w:rsidR="0049593D" w:rsidRPr="0049593D" w14:paraId="58F25BE1"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0F5E372" w14:textId="77777777" w:rsidR="0049593D" w:rsidRPr="00D9513E" w:rsidRDefault="0049593D" w:rsidP="0049593D">
            <w:pPr>
              <w:rPr>
                <w:sz w:val="18"/>
                <w:szCs w:val="16"/>
              </w:rPr>
            </w:pPr>
            <w:r w:rsidRPr="00D9513E">
              <w:rPr>
                <w:sz w:val="18"/>
                <w:szCs w:val="16"/>
              </w:rPr>
              <w:t>7</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423527A" w14:textId="77777777" w:rsidR="0049593D" w:rsidRPr="00D9513E" w:rsidRDefault="0049593D" w:rsidP="0049593D">
            <w:pPr>
              <w:rPr>
                <w:sz w:val="18"/>
                <w:szCs w:val="16"/>
              </w:rPr>
            </w:pPr>
            <w:r w:rsidRPr="00D9513E">
              <w:rPr>
                <w:sz w:val="18"/>
                <w:szCs w:val="16"/>
              </w:rPr>
              <w:t>International Equity (unhedged; developed markets)</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A1FBF6E" w14:textId="77777777" w:rsidR="0049593D" w:rsidRPr="00D9513E" w:rsidRDefault="0049593D" w:rsidP="0049593D">
            <w:pPr>
              <w:rPr>
                <w:sz w:val="18"/>
                <w:szCs w:val="16"/>
              </w:rPr>
            </w:pPr>
            <w:r w:rsidRPr="00D9513E">
              <w:rPr>
                <w:sz w:val="18"/>
                <w:szCs w:val="16"/>
              </w:rPr>
              <w:t>NA714532</w:t>
            </w:r>
          </w:p>
          <w:p w14:paraId="1EFF9FC7" w14:textId="77777777" w:rsidR="0049593D" w:rsidRPr="00D9513E" w:rsidRDefault="0049593D" w:rsidP="0049593D">
            <w:pPr>
              <w:rPr>
                <w:sz w:val="18"/>
                <w:szCs w:val="16"/>
              </w:rPr>
            </w:pPr>
            <w:r w:rsidRPr="00D9513E">
              <w:rPr>
                <w:sz w:val="18"/>
                <w:szCs w:val="16"/>
              </w:rPr>
              <w:t>MSCI World ex Australia with Special Tax (unhedged in AUD)</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FA14D57" w14:textId="77777777" w:rsidR="0049593D" w:rsidRPr="00D9513E" w:rsidRDefault="0049593D" w:rsidP="0049593D">
            <w:pPr>
              <w:rPr>
                <w:sz w:val="18"/>
                <w:szCs w:val="16"/>
              </w:rPr>
            </w:pPr>
            <w:r w:rsidRPr="00D9513E">
              <w:rPr>
                <w:sz w:val="18"/>
                <w:szCs w:val="16"/>
              </w:rPr>
              <w:t>0.08%</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A20D759" w14:textId="77777777" w:rsidR="0049593D" w:rsidRPr="00D9513E" w:rsidRDefault="0049593D" w:rsidP="0049593D">
            <w:pPr>
              <w:rPr>
                <w:sz w:val="18"/>
                <w:szCs w:val="16"/>
              </w:rPr>
            </w:pPr>
            <w:r w:rsidRPr="00D9513E">
              <w:rPr>
                <w:sz w:val="18"/>
                <w:szCs w:val="16"/>
              </w:rPr>
              <w:t>14.00%</w:t>
            </w:r>
          </w:p>
        </w:tc>
      </w:tr>
      <w:tr w:rsidR="0049593D" w:rsidRPr="0049593D" w14:paraId="65D40E2D"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4BBABF7" w14:textId="77777777" w:rsidR="0049593D" w:rsidRPr="00D9513E" w:rsidRDefault="0049593D" w:rsidP="0049593D">
            <w:pPr>
              <w:rPr>
                <w:sz w:val="18"/>
                <w:szCs w:val="16"/>
              </w:rPr>
            </w:pPr>
            <w:r w:rsidRPr="00D9513E">
              <w:rPr>
                <w:sz w:val="18"/>
                <w:szCs w:val="16"/>
              </w:rPr>
              <w:t>8</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EC10BC9" w14:textId="77777777" w:rsidR="0049593D" w:rsidRPr="00D9513E" w:rsidRDefault="0049593D" w:rsidP="0049593D">
            <w:pPr>
              <w:rPr>
                <w:sz w:val="18"/>
                <w:szCs w:val="16"/>
              </w:rPr>
            </w:pPr>
            <w:r w:rsidRPr="00D9513E">
              <w:rPr>
                <w:sz w:val="18"/>
                <w:szCs w:val="16"/>
              </w:rPr>
              <w:t>Australian Listed Property</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EEDC476" w14:textId="77777777" w:rsidR="0049593D" w:rsidRPr="00D9513E" w:rsidRDefault="0049593D" w:rsidP="0049593D">
            <w:pPr>
              <w:rPr>
                <w:sz w:val="18"/>
                <w:szCs w:val="16"/>
              </w:rPr>
            </w:pPr>
            <w:r w:rsidRPr="00D9513E">
              <w:rPr>
                <w:sz w:val="18"/>
                <w:szCs w:val="16"/>
              </w:rPr>
              <w:t>ASA6PROP</w:t>
            </w:r>
          </w:p>
          <w:p w14:paraId="22969D50" w14:textId="77777777" w:rsidR="0049593D" w:rsidRPr="00D9513E" w:rsidRDefault="0049593D" w:rsidP="0049593D">
            <w:pPr>
              <w:rPr>
                <w:sz w:val="18"/>
                <w:szCs w:val="16"/>
              </w:rPr>
            </w:pPr>
            <w:r w:rsidRPr="00D9513E">
              <w:rPr>
                <w:sz w:val="18"/>
                <w:szCs w:val="16"/>
              </w:rPr>
              <w:t>S&amp;P/ASX 300 A</w:t>
            </w:r>
            <w:r w:rsidRPr="00D9513E">
              <w:rPr>
                <w:sz w:val="18"/>
                <w:szCs w:val="16"/>
              </w:rPr>
              <w:noBreakHyphen/>
              <w:t>REIT Total Return Index</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71DD39E" w14:textId="77777777" w:rsidR="0049593D" w:rsidRPr="00D9513E" w:rsidRDefault="0049593D" w:rsidP="0049593D">
            <w:pPr>
              <w:rPr>
                <w:sz w:val="18"/>
                <w:szCs w:val="16"/>
              </w:rPr>
            </w:pPr>
            <w:r w:rsidRPr="00D9513E">
              <w:rPr>
                <w:sz w:val="18"/>
                <w:szCs w:val="16"/>
              </w:rPr>
              <w:t>0.12%</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E4C07CD" w14:textId="77777777" w:rsidR="0049593D" w:rsidRPr="00D9513E" w:rsidRDefault="0049593D" w:rsidP="0049593D">
            <w:pPr>
              <w:rPr>
                <w:sz w:val="18"/>
                <w:szCs w:val="16"/>
              </w:rPr>
            </w:pPr>
            <w:r w:rsidRPr="00D9513E">
              <w:rPr>
                <w:sz w:val="18"/>
                <w:szCs w:val="16"/>
              </w:rPr>
              <w:t>14.00%</w:t>
            </w:r>
          </w:p>
        </w:tc>
      </w:tr>
      <w:tr w:rsidR="0049593D" w:rsidRPr="0049593D" w14:paraId="6703D280"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330B1DC" w14:textId="77777777" w:rsidR="0049593D" w:rsidRPr="00D9513E" w:rsidRDefault="0049593D" w:rsidP="0049593D">
            <w:pPr>
              <w:rPr>
                <w:sz w:val="18"/>
                <w:szCs w:val="16"/>
              </w:rPr>
            </w:pPr>
            <w:r w:rsidRPr="00D9513E">
              <w:rPr>
                <w:sz w:val="18"/>
                <w:szCs w:val="16"/>
              </w:rPr>
              <w:t>9</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E2412C6" w14:textId="77777777" w:rsidR="0049593D" w:rsidRPr="00D9513E" w:rsidRDefault="0049593D" w:rsidP="0049593D">
            <w:pPr>
              <w:rPr>
                <w:sz w:val="18"/>
                <w:szCs w:val="16"/>
              </w:rPr>
            </w:pPr>
            <w:r w:rsidRPr="00D9513E">
              <w:rPr>
                <w:sz w:val="18"/>
                <w:szCs w:val="16"/>
              </w:rPr>
              <w:t>International Listed Property</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8F10534" w14:textId="77777777" w:rsidR="0049593D" w:rsidRPr="00D9513E" w:rsidRDefault="0049593D" w:rsidP="0049593D">
            <w:pPr>
              <w:rPr>
                <w:sz w:val="18"/>
                <w:szCs w:val="16"/>
              </w:rPr>
            </w:pPr>
            <w:r w:rsidRPr="00D9513E">
              <w:rPr>
                <w:sz w:val="18"/>
                <w:szCs w:val="16"/>
              </w:rPr>
              <w:t>RAHRSAH</w:t>
            </w:r>
          </w:p>
          <w:p w14:paraId="31617C79" w14:textId="77777777" w:rsidR="0049593D" w:rsidRPr="00D9513E" w:rsidRDefault="0049593D" w:rsidP="0049593D">
            <w:pPr>
              <w:rPr>
                <w:sz w:val="18"/>
                <w:szCs w:val="16"/>
              </w:rPr>
            </w:pPr>
            <w:r w:rsidRPr="00D9513E">
              <w:rPr>
                <w:sz w:val="18"/>
                <w:szCs w:val="16"/>
              </w:rPr>
              <w:t>FTSE EPRA Nareit Developed ex Aus Rental 100% Hedged to AUD Net Tax (Super) Index</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3F10CF8" w14:textId="77777777" w:rsidR="0049593D" w:rsidRPr="00D9513E" w:rsidRDefault="0049593D" w:rsidP="0049593D">
            <w:pPr>
              <w:rPr>
                <w:sz w:val="18"/>
                <w:szCs w:val="16"/>
              </w:rPr>
            </w:pPr>
            <w:r w:rsidRPr="00D9513E">
              <w:rPr>
                <w:sz w:val="18"/>
                <w:szCs w:val="16"/>
              </w:rPr>
              <w:t>0.22%</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18B45DB" w14:textId="77777777" w:rsidR="0049593D" w:rsidRPr="00D9513E" w:rsidRDefault="0049593D" w:rsidP="0049593D">
            <w:pPr>
              <w:rPr>
                <w:sz w:val="18"/>
                <w:szCs w:val="16"/>
              </w:rPr>
            </w:pPr>
            <w:r w:rsidRPr="00D9513E">
              <w:rPr>
                <w:sz w:val="18"/>
                <w:szCs w:val="16"/>
              </w:rPr>
              <w:t>14.00%</w:t>
            </w:r>
          </w:p>
        </w:tc>
      </w:tr>
      <w:tr w:rsidR="0049593D" w:rsidRPr="0049593D" w14:paraId="7C726016"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8AF6094" w14:textId="77777777" w:rsidR="0049593D" w:rsidRPr="00D9513E" w:rsidRDefault="0049593D" w:rsidP="0049593D">
            <w:pPr>
              <w:rPr>
                <w:sz w:val="18"/>
                <w:szCs w:val="16"/>
              </w:rPr>
            </w:pPr>
            <w:r w:rsidRPr="00D9513E">
              <w:rPr>
                <w:sz w:val="18"/>
                <w:szCs w:val="16"/>
              </w:rPr>
              <w:t>10</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B18CCB5" w14:textId="77777777" w:rsidR="0049593D" w:rsidRPr="00D9513E" w:rsidRDefault="0049593D" w:rsidP="0049593D">
            <w:pPr>
              <w:rPr>
                <w:sz w:val="18"/>
                <w:szCs w:val="16"/>
              </w:rPr>
            </w:pPr>
            <w:r w:rsidRPr="00D9513E">
              <w:rPr>
                <w:sz w:val="18"/>
                <w:szCs w:val="16"/>
              </w:rPr>
              <w:t>Australian Listed Infrastructure</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1720569" w14:textId="77777777" w:rsidR="0049593D" w:rsidRPr="00D9513E" w:rsidRDefault="0049593D" w:rsidP="0049593D">
            <w:pPr>
              <w:rPr>
                <w:sz w:val="18"/>
                <w:szCs w:val="16"/>
              </w:rPr>
            </w:pPr>
            <w:r w:rsidRPr="00D9513E">
              <w:rPr>
                <w:sz w:val="18"/>
                <w:szCs w:val="16"/>
              </w:rPr>
              <w:t>FDCICSAH</w:t>
            </w:r>
          </w:p>
          <w:p w14:paraId="2E4655D4" w14:textId="77777777" w:rsidR="0049593D" w:rsidRPr="00D9513E" w:rsidRDefault="0049593D" w:rsidP="0049593D">
            <w:pPr>
              <w:rPr>
                <w:sz w:val="18"/>
                <w:szCs w:val="16"/>
              </w:rPr>
            </w:pPr>
            <w:r w:rsidRPr="00D9513E">
              <w:rPr>
                <w:sz w:val="18"/>
                <w:szCs w:val="16"/>
              </w:rPr>
              <w:t>FTSE Developed Core Infrastructure 50/50 100% Hedged to AUD Net Tax (Super) Index</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B5760D5" w14:textId="77777777" w:rsidR="0049593D" w:rsidRPr="00D9513E" w:rsidRDefault="0049593D" w:rsidP="0049593D">
            <w:pPr>
              <w:rPr>
                <w:sz w:val="18"/>
                <w:szCs w:val="16"/>
              </w:rPr>
            </w:pPr>
            <w:r w:rsidRPr="00D9513E">
              <w:rPr>
                <w:sz w:val="18"/>
                <w:szCs w:val="16"/>
              </w:rPr>
              <w:t>0.26%</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22ABBC6" w14:textId="77777777" w:rsidR="0049593D" w:rsidRPr="00D9513E" w:rsidRDefault="0049593D" w:rsidP="0049593D">
            <w:pPr>
              <w:rPr>
                <w:sz w:val="18"/>
                <w:szCs w:val="16"/>
              </w:rPr>
            </w:pPr>
            <w:r w:rsidRPr="00D9513E">
              <w:rPr>
                <w:sz w:val="18"/>
                <w:szCs w:val="16"/>
              </w:rPr>
              <w:t>14.00%</w:t>
            </w:r>
          </w:p>
        </w:tc>
      </w:tr>
      <w:tr w:rsidR="0049593D" w:rsidRPr="0049593D" w14:paraId="74C2A3AD"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ADD1EEF" w14:textId="77777777" w:rsidR="0049593D" w:rsidRPr="00D9513E" w:rsidRDefault="0049593D" w:rsidP="0049593D">
            <w:pPr>
              <w:rPr>
                <w:sz w:val="18"/>
                <w:szCs w:val="16"/>
              </w:rPr>
            </w:pPr>
            <w:r w:rsidRPr="00D9513E">
              <w:rPr>
                <w:sz w:val="18"/>
                <w:szCs w:val="16"/>
              </w:rPr>
              <w:t>11</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FF882E1" w14:textId="77777777" w:rsidR="0049593D" w:rsidRPr="00D9513E" w:rsidRDefault="0049593D" w:rsidP="0049593D">
            <w:pPr>
              <w:rPr>
                <w:sz w:val="18"/>
                <w:szCs w:val="16"/>
              </w:rPr>
            </w:pPr>
            <w:r w:rsidRPr="00D9513E">
              <w:rPr>
                <w:sz w:val="18"/>
                <w:szCs w:val="16"/>
              </w:rPr>
              <w:t>International Listed Infrastructure</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BC1B33A" w14:textId="77777777" w:rsidR="0049593D" w:rsidRPr="00D9513E" w:rsidRDefault="0049593D" w:rsidP="0049593D">
            <w:pPr>
              <w:rPr>
                <w:sz w:val="18"/>
                <w:szCs w:val="16"/>
              </w:rPr>
            </w:pPr>
            <w:r w:rsidRPr="00D9513E">
              <w:rPr>
                <w:sz w:val="18"/>
                <w:szCs w:val="16"/>
              </w:rPr>
              <w:t>FDCICSAH</w:t>
            </w:r>
          </w:p>
          <w:p w14:paraId="71058877" w14:textId="77777777" w:rsidR="0049593D" w:rsidRPr="00D9513E" w:rsidRDefault="0049593D" w:rsidP="0049593D">
            <w:pPr>
              <w:rPr>
                <w:sz w:val="18"/>
                <w:szCs w:val="16"/>
              </w:rPr>
            </w:pPr>
            <w:r w:rsidRPr="00D9513E">
              <w:rPr>
                <w:sz w:val="18"/>
                <w:szCs w:val="16"/>
              </w:rPr>
              <w:t>FTSE Developed Core Infrastructure 50/50 100% Hedged to AUD Net Tax (Super) Index</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C51399C" w14:textId="77777777" w:rsidR="0049593D" w:rsidRPr="00D9513E" w:rsidRDefault="0049593D" w:rsidP="0049593D">
            <w:pPr>
              <w:rPr>
                <w:sz w:val="18"/>
                <w:szCs w:val="16"/>
              </w:rPr>
            </w:pPr>
            <w:r w:rsidRPr="00D9513E">
              <w:rPr>
                <w:sz w:val="18"/>
                <w:szCs w:val="16"/>
              </w:rPr>
              <w:t>0.26%</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31C0397" w14:textId="77777777" w:rsidR="0049593D" w:rsidRPr="00D9513E" w:rsidRDefault="0049593D" w:rsidP="0049593D">
            <w:pPr>
              <w:rPr>
                <w:sz w:val="18"/>
                <w:szCs w:val="16"/>
              </w:rPr>
            </w:pPr>
            <w:r w:rsidRPr="00D9513E">
              <w:rPr>
                <w:sz w:val="18"/>
                <w:szCs w:val="16"/>
              </w:rPr>
              <w:t>14.00%</w:t>
            </w:r>
          </w:p>
        </w:tc>
      </w:tr>
      <w:tr w:rsidR="0049593D" w:rsidRPr="0049593D" w14:paraId="2363B670"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A0E0C4C" w14:textId="77777777" w:rsidR="0049593D" w:rsidRPr="00D9513E" w:rsidRDefault="0049593D" w:rsidP="0049593D">
            <w:pPr>
              <w:rPr>
                <w:sz w:val="18"/>
                <w:szCs w:val="16"/>
              </w:rPr>
            </w:pPr>
            <w:r w:rsidRPr="00D9513E">
              <w:rPr>
                <w:sz w:val="18"/>
                <w:szCs w:val="16"/>
              </w:rPr>
              <w:t>12</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7FAA18B" w14:textId="77777777" w:rsidR="0049593D" w:rsidRPr="00D9513E" w:rsidRDefault="0049593D" w:rsidP="0049593D">
            <w:pPr>
              <w:rPr>
                <w:sz w:val="18"/>
                <w:szCs w:val="16"/>
              </w:rPr>
            </w:pPr>
            <w:r w:rsidRPr="00D9513E">
              <w:rPr>
                <w:sz w:val="18"/>
                <w:szCs w:val="16"/>
              </w:rPr>
              <w:t>Australian Unlisted Property</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514147C" w14:textId="77777777" w:rsidR="0049593D" w:rsidRPr="00D9513E" w:rsidRDefault="0049593D" w:rsidP="0049593D">
            <w:pPr>
              <w:rPr>
                <w:sz w:val="18"/>
                <w:szCs w:val="16"/>
              </w:rPr>
            </w:pPr>
            <w:r w:rsidRPr="00D9513E">
              <w:rPr>
                <w:sz w:val="18"/>
                <w:szCs w:val="16"/>
              </w:rPr>
              <w:t>MSCI/Mercer Australia Core Wholesale Monthly Property Fund Index – NAV</w:t>
            </w:r>
            <w:r w:rsidRPr="00D9513E">
              <w:rPr>
                <w:sz w:val="18"/>
                <w:szCs w:val="16"/>
              </w:rPr>
              <w:noBreakHyphen/>
              <w:t>Weighted Post</w:t>
            </w:r>
            <w:r w:rsidRPr="00D9513E">
              <w:rPr>
                <w:sz w:val="18"/>
                <w:szCs w:val="16"/>
              </w:rPr>
              <w:noBreakHyphen/>
              <w:t>Fee Total Return (All Funds)</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E629B5D" w14:textId="77777777" w:rsidR="0049593D" w:rsidRPr="00D9513E" w:rsidRDefault="0049593D" w:rsidP="0049593D">
            <w:pPr>
              <w:rPr>
                <w:sz w:val="18"/>
                <w:szCs w:val="16"/>
              </w:rPr>
            </w:pPr>
            <w:r w:rsidRPr="00D9513E">
              <w:rPr>
                <w:sz w:val="18"/>
                <w:szCs w:val="16"/>
              </w:rPr>
              <w:t>0%</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7EEE8BE" w14:textId="77777777" w:rsidR="0049593D" w:rsidRPr="00D9513E" w:rsidRDefault="0049593D" w:rsidP="0049593D">
            <w:pPr>
              <w:rPr>
                <w:sz w:val="18"/>
                <w:szCs w:val="16"/>
              </w:rPr>
            </w:pPr>
            <w:r w:rsidRPr="00D9513E">
              <w:rPr>
                <w:sz w:val="18"/>
                <w:szCs w:val="16"/>
              </w:rPr>
              <w:t>14.00%</w:t>
            </w:r>
          </w:p>
        </w:tc>
      </w:tr>
      <w:tr w:rsidR="0049593D" w:rsidRPr="0049593D" w14:paraId="556C3393"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35AB271" w14:textId="77777777" w:rsidR="0049593D" w:rsidRPr="00D9513E" w:rsidRDefault="0049593D" w:rsidP="0049593D">
            <w:pPr>
              <w:rPr>
                <w:sz w:val="18"/>
                <w:szCs w:val="16"/>
              </w:rPr>
            </w:pPr>
            <w:r w:rsidRPr="00D9513E">
              <w:rPr>
                <w:sz w:val="18"/>
                <w:szCs w:val="16"/>
              </w:rPr>
              <w:t>13</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97C6508" w14:textId="77777777" w:rsidR="0049593D" w:rsidRPr="00D9513E" w:rsidRDefault="0049593D" w:rsidP="0049593D">
            <w:pPr>
              <w:rPr>
                <w:sz w:val="18"/>
                <w:szCs w:val="16"/>
              </w:rPr>
            </w:pPr>
            <w:r w:rsidRPr="00D9513E">
              <w:rPr>
                <w:sz w:val="18"/>
                <w:szCs w:val="16"/>
              </w:rPr>
              <w:t>International Unlisted Property</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43C9E6E" w14:textId="77777777" w:rsidR="0049593D" w:rsidRPr="00D9513E" w:rsidRDefault="0049593D" w:rsidP="0049593D">
            <w:pPr>
              <w:rPr>
                <w:sz w:val="18"/>
                <w:szCs w:val="16"/>
              </w:rPr>
            </w:pPr>
            <w:r w:rsidRPr="00D9513E">
              <w:rPr>
                <w:sz w:val="18"/>
                <w:szCs w:val="16"/>
              </w:rPr>
              <w:t>MSCI Global (Excl. Pan</w:t>
            </w:r>
            <w:r w:rsidRPr="00D9513E">
              <w:rPr>
                <w:sz w:val="18"/>
                <w:szCs w:val="16"/>
              </w:rPr>
              <w:noBreakHyphen/>
              <w:t>Europe and Pan</w:t>
            </w:r>
            <w:r w:rsidRPr="00D9513E">
              <w:rPr>
                <w:sz w:val="18"/>
                <w:szCs w:val="16"/>
              </w:rPr>
              <w:noBreakHyphen/>
              <w:t>Asia Funds) Quarterly Property Fund Index (Unfrozen) (Net Total Return; AUD fixed)</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496901E" w14:textId="77777777" w:rsidR="0049593D" w:rsidRPr="00D9513E" w:rsidRDefault="0049593D" w:rsidP="0049593D">
            <w:pPr>
              <w:rPr>
                <w:sz w:val="18"/>
                <w:szCs w:val="16"/>
              </w:rPr>
            </w:pPr>
            <w:r w:rsidRPr="00D9513E">
              <w:rPr>
                <w:sz w:val="18"/>
                <w:szCs w:val="16"/>
              </w:rPr>
              <w:t>0%</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F23A48B" w14:textId="77777777" w:rsidR="0049593D" w:rsidRPr="00D9513E" w:rsidRDefault="0049593D" w:rsidP="0049593D">
            <w:pPr>
              <w:rPr>
                <w:sz w:val="18"/>
                <w:szCs w:val="16"/>
              </w:rPr>
            </w:pPr>
            <w:r w:rsidRPr="00D9513E">
              <w:rPr>
                <w:sz w:val="18"/>
                <w:szCs w:val="16"/>
              </w:rPr>
              <w:t>14.00%</w:t>
            </w:r>
          </w:p>
        </w:tc>
      </w:tr>
      <w:tr w:rsidR="0049593D" w:rsidRPr="0049593D" w14:paraId="723A169B"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3036864" w14:textId="77777777" w:rsidR="0049593D" w:rsidRPr="00D9513E" w:rsidRDefault="0049593D" w:rsidP="0049593D">
            <w:pPr>
              <w:rPr>
                <w:sz w:val="18"/>
                <w:szCs w:val="16"/>
              </w:rPr>
            </w:pPr>
            <w:r w:rsidRPr="00D9513E">
              <w:rPr>
                <w:sz w:val="18"/>
                <w:szCs w:val="16"/>
              </w:rPr>
              <w:t>14</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4C8A3F0" w14:textId="77777777" w:rsidR="0049593D" w:rsidRPr="00D9513E" w:rsidRDefault="0049593D" w:rsidP="0049593D">
            <w:pPr>
              <w:rPr>
                <w:sz w:val="18"/>
                <w:szCs w:val="16"/>
              </w:rPr>
            </w:pPr>
            <w:r w:rsidRPr="00D9513E">
              <w:rPr>
                <w:sz w:val="18"/>
                <w:szCs w:val="16"/>
              </w:rPr>
              <w:t>Australian Unlisted Infrastructure</w:t>
            </w:r>
          </w:p>
          <w:p w14:paraId="4045FF56" w14:textId="77777777" w:rsidR="0049593D" w:rsidRPr="00D9513E" w:rsidRDefault="0049593D" w:rsidP="0049593D">
            <w:pPr>
              <w:rPr>
                <w:sz w:val="18"/>
                <w:szCs w:val="16"/>
              </w:rPr>
            </w:pPr>
            <w:r w:rsidRPr="00D9513E">
              <w:rPr>
                <w:sz w:val="18"/>
                <w:szCs w:val="16"/>
              </w:rPr>
              <w:t> </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8615537" w14:textId="77777777" w:rsidR="0049593D" w:rsidRPr="00D9513E" w:rsidRDefault="0049593D" w:rsidP="0049593D">
            <w:pPr>
              <w:rPr>
                <w:sz w:val="18"/>
                <w:szCs w:val="16"/>
              </w:rPr>
            </w:pPr>
            <w:r w:rsidRPr="00D9513E">
              <w:rPr>
                <w:sz w:val="18"/>
                <w:szCs w:val="16"/>
              </w:rPr>
              <w:t>MSCI Australia Quarterly Private Infrastructure Fund Index (Unfrozen) – 50th Percentile Post</w:t>
            </w:r>
            <w:r w:rsidRPr="00D9513E">
              <w:rPr>
                <w:sz w:val="18"/>
                <w:szCs w:val="16"/>
              </w:rPr>
              <w:noBreakHyphen/>
              <w:t>Fee Total Return (All Funds)</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90F0A0E" w14:textId="77777777" w:rsidR="0049593D" w:rsidRPr="00D9513E" w:rsidRDefault="0049593D" w:rsidP="0049593D">
            <w:pPr>
              <w:rPr>
                <w:sz w:val="18"/>
                <w:szCs w:val="16"/>
              </w:rPr>
            </w:pPr>
            <w:r w:rsidRPr="00D9513E">
              <w:rPr>
                <w:sz w:val="18"/>
                <w:szCs w:val="16"/>
              </w:rPr>
              <w:t>0%</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1018437" w14:textId="77777777" w:rsidR="0049593D" w:rsidRPr="00D9513E" w:rsidRDefault="0049593D" w:rsidP="0049593D">
            <w:pPr>
              <w:rPr>
                <w:sz w:val="18"/>
                <w:szCs w:val="16"/>
              </w:rPr>
            </w:pPr>
            <w:r w:rsidRPr="00D9513E">
              <w:rPr>
                <w:sz w:val="18"/>
                <w:szCs w:val="16"/>
              </w:rPr>
              <w:t>14.00%</w:t>
            </w:r>
          </w:p>
        </w:tc>
      </w:tr>
      <w:tr w:rsidR="0049593D" w:rsidRPr="0049593D" w14:paraId="422094BC"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9823657" w14:textId="77777777" w:rsidR="0049593D" w:rsidRPr="00D9513E" w:rsidRDefault="0049593D" w:rsidP="0049593D">
            <w:pPr>
              <w:rPr>
                <w:sz w:val="18"/>
                <w:szCs w:val="16"/>
              </w:rPr>
            </w:pPr>
            <w:r w:rsidRPr="00D9513E">
              <w:rPr>
                <w:sz w:val="18"/>
                <w:szCs w:val="16"/>
              </w:rPr>
              <w:t>15</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36B6F29" w14:textId="77777777" w:rsidR="0049593D" w:rsidRPr="00D9513E" w:rsidRDefault="0049593D" w:rsidP="0049593D">
            <w:pPr>
              <w:rPr>
                <w:sz w:val="18"/>
                <w:szCs w:val="16"/>
              </w:rPr>
            </w:pPr>
            <w:r w:rsidRPr="00D9513E">
              <w:rPr>
                <w:sz w:val="18"/>
                <w:szCs w:val="16"/>
              </w:rPr>
              <w:t>International Unlisted Infrastructure</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B9463A4" w14:textId="77777777" w:rsidR="0049593D" w:rsidRPr="00D9513E" w:rsidRDefault="0049593D" w:rsidP="0049593D">
            <w:pPr>
              <w:rPr>
                <w:sz w:val="18"/>
                <w:szCs w:val="16"/>
              </w:rPr>
            </w:pPr>
            <w:r w:rsidRPr="00D9513E">
              <w:rPr>
                <w:sz w:val="18"/>
                <w:szCs w:val="16"/>
              </w:rPr>
              <w:t>MSCI Australia Quarterly Private Infrastructure Fund Index (Unfrozen) – 50th Percentile Post</w:t>
            </w:r>
            <w:r w:rsidRPr="00D9513E">
              <w:rPr>
                <w:sz w:val="18"/>
                <w:szCs w:val="16"/>
              </w:rPr>
              <w:noBreakHyphen/>
              <w:t>Fee Total Return (All Funds)</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6BF6C0F" w14:textId="77777777" w:rsidR="0049593D" w:rsidRPr="00D9513E" w:rsidRDefault="0049593D" w:rsidP="0049593D">
            <w:pPr>
              <w:rPr>
                <w:sz w:val="18"/>
                <w:szCs w:val="16"/>
              </w:rPr>
            </w:pPr>
            <w:r w:rsidRPr="00D9513E">
              <w:rPr>
                <w:sz w:val="18"/>
                <w:szCs w:val="16"/>
              </w:rPr>
              <w:t>0%</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8A1615A" w14:textId="77777777" w:rsidR="0049593D" w:rsidRPr="00D9513E" w:rsidRDefault="0049593D" w:rsidP="0049593D">
            <w:pPr>
              <w:rPr>
                <w:sz w:val="18"/>
                <w:szCs w:val="16"/>
              </w:rPr>
            </w:pPr>
            <w:r w:rsidRPr="00D9513E">
              <w:rPr>
                <w:sz w:val="18"/>
                <w:szCs w:val="16"/>
              </w:rPr>
              <w:t>14.00%</w:t>
            </w:r>
          </w:p>
        </w:tc>
      </w:tr>
      <w:tr w:rsidR="0049593D" w:rsidRPr="0049593D" w14:paraId="448B84FC"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6F6BE5E" w14:textId="77777777" w:rsidR="0049593D" w:rsidRPr="00D9513E" w:rsidRDefault="0049593D" w:rsidP="0049593D">
            <w:pPr>
              <w:rPr>
                <w:sz w:val="18"/>
                <w:szCs w:val="16"/>
              </w:rPr>
            </w:pPr>
            <w:r w:rsidRPr="00D9513E">
              <w:rPr>
                <w:sz w:val="18"/>
                <w:szCs w:val="16"/>
              </w:rPr>
              <w:t>16</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2F226B0" w14:textId="77777777" w:rsidR="0049593D" w:rsidRPr="00D9513E" w:rsidRDefault="0049593D" w:rsidP="0049593D">
            <w:pPr>
              <w:rPr>
                <w:sz w:val="18"/>
                <w:szCs w:val="16"/>
              </w:rPr>
            </w:pPr>
            <w:r w:rsidRPr="00D9513E">
              <w:rPr>
                <w:sz w:val="18"/>
                <w:szCs w:val="16"/>
              </w:rPr>
              <w:t>Australian Fixed Income</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EC32898" w14:textId="77777777" w:rsidR="0049593D" w:rsidRPr="00D9513E" w:rsidRDefault="0049593D" w:rsidP="0049593D">
            <w:pPr>
              <w:rPr>
                <w:sz w:val="18"/>
                <w:szCs w:val="16"/>
              </w:rPr>
            </w:pPr>
            <w:r w:rsidRPr="00D9513E">
              <w:rPr>
                <w:sz w:val="18"/>
                <w:szCs w:val="16"/>
              </w:rPr>
              <w:t>BACM0</w:t>
            </w:r>
          </w:p>
          <w:p w14:paraId="2FF93665" w14:textId="77777777" w:rsidR="0049593D" w:rsidRPr="00D9513E" w:rsidRDefault="0049593D" w:rsidP="0049593D">
            <w:pPr>
              <w:rPr>
                <w:sz w:val="18"/>
                <w:szCs w:val="16"/>
              </w:rPr>
            </w:pPr>
            <w:r w:rsidRPr="00D9513E">
              <w:rPr>
                <w:sz w:val="18"/>
                <w:szCs w:val="16"/>
              </w:rPr>
              <w:t>Bloomberg Ausbond Composite 0+ Yr Index</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6A89F1B" w14:textId="77777777" w:rsidR="0049593D" w:rsidRPr="00D9513E" w:rsidRDefault="0049593D" w:rsidP="0049593D">
            <w:pPr>
              <w:rPr>
                <w:sz w:val="18"/>
                <w:szCs w:val="16"/>
              </w:rPr>
            </w:pPr>
            <w:r w:rsidRPr="00D9513E">
              <w:rPr>
                <w:sz w:val="18"/>
                <w:szCs w:val="16"/>
              </w:rPr>
              <w:t>0.10%</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DEC7D31" w14:textId="77777777" w:rsidR="0049593D" w:rsidRPr="00D9513E" w:rsidRDefault="0049593D" w:rsidP="0049593D">
            <w:pPr>
              <w:rPr>
                <w:sz w:val="18"/>
                <w:szCs w:val="16"/>
              </w:rPr>
            </w:pPr>
            <w:r w:rsidRPr="00D9513E">
              <w:rPr>
                <w:sz w:val="18"/>
                <w:szCs w:val="16"/>
              </w:rPr>
              <w:t>15.00%</w:t>
            </w:r>
          </w:p>
        </w:tc>
      </w:tr>
      <w:tr w:rsidR="0049593D" w:rsidRPr="0049593D" w14:paraId="676A4214"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7799CA0" w14:textId="77777777" w:rsidR="0049593D" w:rsidRPr="00D9513E" w:rsidRDefault="0049593D" w:rsidP="0049593D">
            <w:pPr>
              <w:rPr>
                <w:sz w:val="18"/>
                <w:szCs w:val="16"/>
              </w:rPr>
            </w:pPr>
            <w:r w:rsidRPr="00D9513E">
              <w:rPr>
                <w:sz w:val="18"/>
                <w:szCs w:val="16"/>
              </w:rPr>
              <w:t>17</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F7A813D" w14:textId="77777777" w:rsidR="0049593D" w:rsidRPr="00D9513E" w:rsidRDefault="0049593D" w:rsidP="0049593D">
            <w:pPr>
              <w:rPr>
                <w:sz w:val="18"/>
                <w:szCs w:val="16"/>
              </w:rPr>
            </w:pPr>
            <w:r w:rsidRPr="00D9513E">
              <w:rPr>
                <w:sz w:val="18"/>
                <w:szCs w:val="16"/>
              </w:rPr>
              <w:t>Australian Fixed Income Excluding Credit</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9BCD635" w14:textId="77777777" w:rsidR="0049593D" w:rsidRPr="00D9513E" w:rsidRDefault="0049593D" w:rsidP="0049593D">
            <w:pPr>
              <w:rPr>
                <w:sz w:val="18"/>
                <w:szCs w:val="16"/>
              </w:rPr>
            </w:pPr>
            <w:r w:rsidRPr="00D9513E">
              <w:rPr>
                <w:sz w:val="18"/>
                <w:szCs w:val="16"/>
              </w:rPr>
              <w:t>BAGV0</w:t>
            </w:r>
          </w:p>
          <w:p w14:paraId="4C7268F3" w14:textId="77777777" w:rsidR="0049593D" w:rsidRPr="00D9513E" w:rsidRDefault="0049593D" w:rsidP="0049593D">
            <w:pPr>
              <w:rPr>
                <w:sz w:val="18"/>
                <w:szCs w:val="16"/>
              </w:rPr>
            </w:pPr>
            <w:r w:rsidRPr="00D9513E">
              <w:rPr>
                <w:sz w:val="18"/>
                <w:szCs w:val="16"/>
              </w:rPr>
              <w:t>Bloomberg Ausbond Govt 0+ Yr Index</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C3106DF" w14:textId="77777777" w:rsidR="0049593D" w:rsidRPr="00D9513E" w:rsidRDefault="0049593D" w:rsidP="0049593D">
            <w:pPr>
              <w:rPr>
                <w:sz w:val="18"/>
                <w:szCs w:val="16"/>
              </w:rPr>
            </w:pPr>
            <w:r w:rsidRPr="00D9513E">
              <w:rPr>
                <w:sz w:val="18"/>
                <w:szCs w:val="16"/>
              </w:rPr>
              <w:t>0.08%</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FE1759F" w14:textId="77777777" w:rsidR="0049593D" w:rsidRPr="00D9513E" w:rsidRDefault="0049593D" w:rsidP="0049593D">
            <w:pPr>
              <w:rPr>
                <w:sz w:val="18"/>
                <w:szCs w:val="16"/>
              </w:rPr>
            </w:pPr>
            <w:r w:rsidRPr="00D9513E">
              <w:rPr>
                <w:sz w:val="18"/>
                <w:szCs w:val="16"/>
              </w:rPr>
              <w:t>15.00%</w:t>
            </w:r>
          </w:p>
        </w:tc>
      </w:tr>
      <w:tr w:rsidR="0049593D" w:rsidRPr="0049593D" w14:paraId="5393FD6A"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275F9FD" w14:textId="77777777" w:rsidR="0049593D" w:rsidRPr="00D9513E" w:rsidRDefault="0049593D" w:rsidP="0049593D">
            <w:pPr>
              <w:rPr>
                <w:sz w:val="18"/>
                <w:szCs w:val="16"/>
              </w:rPr>
            </w:pPr>
            <w:r w:rsidRPr="00D9513E">
              <w:rPr>
                <w:sz w:val="18"/>
                <w:szCs w:val="16"/>
              </w:rPr>
              <w:t>18</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304615D" w14:textId="77777777" w:rsidR="0049593D" w:rsidRPr="00D9513E" w:rsidRDefault="0049593D" w:rsidP="0049593D">
            <w:pPr>
              <w:rPr>
                <w:sz w:val="18"/>
                <w:szCs w:val="16"/>
              </w:rPr>
            </w:pPr>
            <w:r w:rsidRPr="00D9513E">
              <w:rPr>
                <w:sz w:val="18"/>
                <w:szCs w:val="16"/>
              </w:rPr>
              <w:t>Australian Credit</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A17E967" w14:textId="77777777" w:rsidR="0049593D" w:rsidRPr="00D9513E" w:rsidRDefault="0049593D" w:rsidP="0049593D">
            <w:pPr>
              <w:rPr>
                <w:sz w:val="18"/>
                <w:szCs w:val="16"/>
              </w:rPr>
            </w:pPr>
            <w:r w:rsidRPr="00D9513E">
              <w:rPr>
                <w:sz w:val="18"/>
                <w:szCs w:val="16"/>
              </w:rPr>
              <w:t>BACR0</w:t>
            </w:r>
          </w:p>
          <w:p w14:paraId="1261EC3D" w14:textId="77777777" w:rsidR="0049593D" w:rsidRPr="00D9513E" w:rsidRDefault="0049593D" w:rsidP="0049593D">
            <w:pPr>
              <w:rPr>
                <w:sz w:val="18"/>
                <w:szCs w:val="16"/>
              </w:rPr>
            </w:pPr>
            <w:r w:rsidRPr="00D9513E">
              <w:rPr>
                <w:sz w:val="18"/>
                <w:szCs w:val="16"/>
              </w:rPr>
              <w:t>Bloomberg Ausbond Credit 0+ Yr Index</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1B08F24" w14:textId="77777777" w:rsidR="0049593D" w:rsidRPr="00D9513E" w:rsidRDefault="0049593D" w:rsidP="0049593D">
            <w:pPr>
              <w:rPr>
                <w:sz w:val="18"/>
                <w:szCs w:val="16"/>
              </w:rPr>
            </w:pPr>
            <w:r w:rsidRPr="00D9513E">
              <w:rPr>
                <w:sz w:val="18"/>
                <w:szCs w:val="16"/>
              </w:rPr>
              <w:t>0.15%</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D702DA5" w14:textId="77777777" w:rsidR="0049593D" w:rsidRPr="00D9513E" w:rsidRDefault="0049593D" w:rsidP="0049593D">
            <w:pPr>
              <w:rPr>
                <w:sz w:val="18"/>
                <w:szCs w:val="16"/>
              </w:rPr>
            </w:pPr>
            <w:r w:rsidRPr="00D9513E">
              <w:rPr>
                <w:sz w:val="18"/>
                <w:szCs w:val="16"/>
              </w:rPr>
              <w:t>15.00%</w:t>
            </w:r>
          </w:p>
        </w:tc>
      </w:tr>
      <w:tr w:rsidR="0049593D" w:rsidRPr="0049593D" w14:paraId="59D106E5"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F6DA9B1" w14:textId="77777777" w:rsidR="0049593D" w:rsidRPr="00D9513E" w:rsidRDefault="0049593D" w:rsidP="0049593D">
            <w:pPr>
              <w:rPr>
                <w:sz w:val="18"/>
                <w:szCs w:val="16"/>
              </w:rPr>
            </w:pPr>
            <w:r w:rsidRPr="00D9513E">
              <w:rPr>
                <w:sz w:val="18"/>
                <w:szCs w:val="16"/>
              </w:rPr>
              <w:t>19</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D13D180" w14:textId="77777777" w:rsidR="0049593D" w:rsidRPr="00D9513E" w:rsidRDefault="0049593D" w:rsidP="0049593D">
            <w:pPr>
              <w:rPr>
                <w:sz w:val="18"/>
                <w:szCs w:val="16"/>
              </w:rPr>
            </w:pPr>
            <w:r w:rsidRPr="00D9513E">
              <w:rPr>
                <w:sz w:val="18"/>
                <w:szCs w:val="16"/>
              </w:rPr>
              <w:t>International Fixed Income</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C591269" w14:textId="77777777" w:rsidR="0049593D" w:rsidRPr="00D9513E" w:rsidRDefault="0049593D" w:rsidP="0049593D">
            <w:pPr>
              <w:rPr>
                <w:sz w:val="18"/>
                <w:szCs w:val="16"/>
              </w:rPr>
            </w:pPr>
            <w:r w:rsidRPr="00D9513E">
              <w:rPr>
                <w:sz w:val="18"/>
                <w:szCs w:val="16"/>
              </w:rPr>
              <w:t>LEGATRAH</w:t>
            </w:r>
          </w:p>
          <w:p w14:paraId="60242A19" w14:textId="77777777" w:rsidR="0049593D" w:rsidRPr="00D9513E" w:rsidRDefault="0049593D" w:rsidP="0049593D">
            <w:pPr>
              <w:rPr>
                <w:sz w:val="18"/>
                <w:szCs w:val="16"/>
              </w:rPr>
            </w:pPr>
            <w:r w:rsidRPr="00D9513E">
              <w:rPr>
                <w:sz w:val="18"/>
                <w:szCs w:val="16"/>
              </w:rPr>
              <w:t>Bloomberg Global Aggregate Index (hedged AUD)</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66FE6C2" w14:textId="77777777" w:rsidR="0049593D" w:rsidRPr="00D9513E" w:rsidRDefault="0049593D" w:rsidP="0049593D">
            <w:pPr>
              <w:rPr>
                <w:sz w:val="18"/>
                <w:szCs w:val="16"/>
              </w:rPr>
            </w:pPr>
            <w:r w:rsidRPr="00D9513E">
              <w:rPr>
                <w:sz w:val="18"/>
                <w:szCs w:val="16"/>
              </w:rPr>
              <w:t>0.10%</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DF48CF8" w14:textId="77777777" w:rsidR="0049593D" w:rsidRPr="00D9513E" w:rsidRDefault="0049593D" w:rsidP="0049593D">
            <w:pPr>
              <w:rPr>
                <w:sz w:val="18"/>
                <w:szCs w:val="16"/>
              </w:rPr>
            </w:pPr>
            <w:r w:rsidRPr="00D9513E">
              <w:rPr>
                <w:sz w:val="18"/>
                <w:szCs w:val="16"/>
              </w:rPr>
              <w:t>15.00%</w:t>
            </w:r>
          </w:p>
        </w:tc>
      </w:tr>
      <w:tr w:rsidR="0049593D" w:rsidRPr="0049593D" w14:paraId="5E994D2E"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3026252" w14:textId="77777777" w:rsidR="0049593D" w:rsidRPr="00D9513E" w:rsidRDefault="0049593D" w:rsidP="0049593D">
            <w:pPr>
              <w:rPr>
                <w:sz w:val="18"/>
                <w:szCs w:val="16"/>
              </w:rPr>
            </w:pPr>
            <w:r w:rsidRPr="00D9513E">
              <w:rPr>
                <w:sz w:val="18"/>
                <w:szCs w:val="16"/>
              </w:rPr>
              <w:t>20</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D82C98B" w14:textId="77777777" w:rsidR="0049593D" w:rsidRPr="00D9513E" w:rsidRDefault="0049593D" w:rsidP="0049593D">
            <w:pPr>
              <w:rPr>
                <w:sz w:val="18"/>
                <w:szCs w:val="16"/>
              </w:rPr>
            </w:pPr>
            <w:r w:rsidRPr="00D9513E">
              <w:rPr>
                <w:sz w:val="18"/>
                <w:szCs w:val="16"/>
              </w:rPr>
              <w:t>International Fixed Income Excluding Credit</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D7AA699" w14:textId="77777777" w:rsidR="0049593D" w:rsidRPr="00D9513E" w:rsidRDefault="0049593D" w:rsidP="0049593D">
            <w:pPr>
              <w:rPr>
                <w:sz w:val="18"/>
                <w:szCs w:val="16"/>
              </w:rPr>
            </w:pPr>
            <w:r w:rsidRPr="00D9513E">
              <w:rPr>
                <w:sz w:val="18"/>
                <w:szCs w:val="16"/>
              </w:rPr>
              <w:t>BTSYTRAH</w:t>
            </w:r>
          </w:p>
          <w:p w14:paraId="555611E6" w14:textId="77777777" w:rsidR="0049593D" w:rsidRPr="00D9513E" w:rsidRDefault="0049593D" w:rsidP="0049593D">
            <w:pPr>
              <w:rPr>
                <w:sz w:val="18"/>
                <w:szCs w:val="16"/>
              </w:rPr>
            </w:pPr>
            <w:r w:rsidRPr="00D9513E">
              <w:rPr>
                <w:sz w:val="18"/>
                <w:szCs w:val="16"/>
              </w:rPr>
              <w:t>Bloomberg Global Treasury Index (hedged AUD)</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1F987FC" w14:textId="77777777" w:rsidR="0049593D" w:rsidRPr="00D9513E" w:rsidRDefault="0049593D" w:rsidP="0049593D">
            <w:pPr>
              <w:rPr>
                <w:sz w:val="18"/>
                <w:szCs w:val="16"/>
              </w:rPr>
            </w:pPr>
            <w:r w:rsidRPr="00D9513E">
              <w:rPr>
                <w:sz w:val="18"/>
                <w:szCs w:val="16"/>
              </w:rPr>
              <w:t>0.08%</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CE2A9CF" w14:textId="77777777" w:rsidR="0049593D" w:rsidRPr="00D9513E" w:rsidRDefault="0049593D" w:rsidP="0049593D">
            <w:pPr>
              <w:rPr>
                <w:sz w:val="18"/>
                <w:szCs w:val="16"/>
              </w:rPr>
            </w:pPr>
            <w:r w:rsidRPr="00D9513E">
              <w:rPr>
                <w:sz w:val="18"/>
                <w:szCs w:val="16"/>
              </w:rPr>
              <w:t>15.00%</w:t>
            </w:r>
          </w:p>
        </w:tc>
      </w:tr>
      <w:tr w:rsidR="0049593D" w:rsidRPr="0049593D" w14:paraId="4CFA40D8"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A32B587" w14:textId="77777777" w:rsidR="0049593D" w:rsidRPr="00D9513E" w:rsidRDefault="0049593D" w:rsidP="0049593D">
            <w:pPr>
              <w:rPr>
                <w:sz w:val="18"/>
                <w:szCs w:val="16"/>
              </w:rPr>
            </w:pPr>
            <w:r w:rsidRPr="00D9513E">
              <w:rPr>
                <w:sz w:val="18"/>
                <w:szCs w:val="16"/>
              </w:rPr>
              <w:t>21</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66AD163" w14:textId="77777777" w:rsidR="0049593D" w:rsidRPr="00D9513E" w:rsidRDefault="0049593D" w:rsidP="0049593D">
            <w:pPr>
              <w:rPr>
                <w:sz w:val="18"/>
                <w:szCs w:val="16"/>
              </w:rPr>
            </w:pPr>
            <w:r w:rsidRPr="00D9513E">
              <w:rPr>
                <w:sz w:val="18"/>
                <w:szCs w:val="16"/>
              </w:rPr>
              <w:t>International Credit</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AEF9889" w14:textId="77777777" w:rsidR="0049593D" w:rsidRPr="00D9513E" w:rsidRDefault="0049593D" w:rsidP="0049593D">
            <w:pPr>
              <w:rPr>
                <w:sz w:val="18"/>
                <w:szCs w:val="16"/>
              </w:rPr>
            </w:pPr>
            <w:r w:rsidRPr="00D9513E">
              <w:rPr>
                <w:sz w:val="18"/>
                <w:szCs w:val="16"/>
              </w:rPr>
              <w:t>LGCPTRAH</w:t>
            </w:r>
          </w:p>
          <w:p w14:paraId="24BB83E2" w14:textId="77777777" w:rsidR="0049593D" w:rsidRPr="00D9513E" w:rsidRDefault="0049593D" w:rsidP="0049593D">
            <w:pPr>
              <w:rPr>
                <w:sz w:val="18"/>
                <w:szCs w:val="16"/>
              </w:rPr>
            </w:pPr>
            <w:r w:rsidRPr="00D9513E">
              <w:rPr>
                <w:sz w:val="18"/>
                <w:szCs w:val="16"/>
              </w:rPr>
              <w:t>Bloomberg Global Aggregate Corporate Index (hedged AUD)</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8BF2CD9" w14:textId="77777777" w:rsidR="0049593D" w:rsidRPr="00D9513E" w:rsidRDefault="0049593D" w:rsidP="0049593D">
            <w:pPr>
              <w:rPr>
                <w:sz w:val="18"/>
                <w:szCs w:val="16"/>
              </w:rPr>
            </w:pPr>
            <w:r w:rsidRPr="00D9513E">
              <w:rPr>
                <w:sz w:val="18"/>
                <w:szCs w:val="16"/>
              </w:rPr>
              <w:t>0.15%</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9286010" w14:textId="77777777" w:rsidR="0049593D" w:rsidRPr="00D9513E" w:rsidRDefault="0049593D" w:rsidP="0049593D">
            <w:pPr>
              <w:rPr>
                <w:sz w:val="18"/>
                <w:szCs w:val="16"/>
              </w:rPr>
            </w:pPr>
            <w:r w:rsidRPr="00D9513E">
              <w:rPr>
                <w:sz w:val="18"/>
                <w:szCs w:val="16"/>
              </w:rPr>
              <w:t>15.00%</w:t>
            </w:r>
          </w:p>
        </w:tc>
      </w:tr>
      <w:tr w:rsidR="0049593D" w:rsidRPr="0049593D" w14:paraId="50D98C0A"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796820D" w14:textId="77777777" w:rsidR="0049593D" w:rsidRPr="00D9513E" w:rsidRDefault="0049593D" w:rsidP="0049593D">
            <w:pPr>
              <w:rPr>
                <w:sz w:val="18"/>
                <w:szCs w:val="16"/>
              </w:rPr>
            </w:pPr>
            <w:r w:rsidRPr="00D9513E">
              <w:rPr>
                <w:sz w:val="18"/>
                <w:szCs w:val="16"/>
              </w:rPr>
              <w:t>22</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407EF90" w14:textId="77777777" w:rsidR="0049593D" w:rsidRPr="00D9513E" w:rsidRDefault="0049593D" w:rsidP="0049593D">
            <w:pPr>
              <w:rPr>
                <w:sz w:val="18"/>
                <w:szCs w:val="16"/>
              </w:rPr>
            </w:pPr>
            <w:r w:rsidRPr="00D9513E">
              <w:rPr>
                <w:sz w:val="18"/>
                <w:szCs w:val="16"/>
              </w:rPr>
              <w:t>Australian Cash</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F7E1BB0" w14:textId="77777777" w:rsidR="0049593D" w:rsidRPr="00D9513E" w:rsidRDefault="0049593D" w:rsidP="0049593D">
            <w:pPr>
              <w:rPr>
                <w:sz w:val="18"/>
                <w:szCs w:val="16"/>
              </w:rPr>
            </w:pPr>
            <w:r w:rsidRPr="00D9513E">
              <w:rPr>
                <w:sz w:val="18"/>
                <w:szCs w:val="16"/>
              </w:rPr>
              <w:t>BAUBIL</w:t>
            </w:r>
          </w:p>
          <w:p w14:paraId="03F90782" w14:textId="77777777" w:rsidR="0049593D" w:rsidRPr="00D9513E" w:rsidRDefault="0049593D" w:rsidP="0049593D">
            <w:pPr>
              <w:rPr>
                <w:sz w:val="18"/>
                <w:szCs w:val="16"/>
              </w:rPr>
            </w:pPr>
            <w:r w:rsidRPr="00D9513E">
              <w:rPr>
                <w:sz w:val="18"/>
                <w:szCs w:val="16"/>
              </w:rPr>
              <w:t>Bloomberg Ausbond Bank Bill Index</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3A1AE2B" w14:textId="77777777" w:rsidR="0049593D" w:rsidRPr="00D9513E" w:rsidRDefault="0049593D" w:rsidP="0049593D">
            <w:pPr>
              <w:rPr>
                <w:sz w:val="18"/>
                <w:szCs w:val="16"/>
              </w:rPr>
            </w:pPr>
            <w:r w:rsidRPr="00D9513E">
              <w:rPr>
                <w:sz w:val="18"/>
                <w:szCs w:val="16"/>
              </w:rPr>
              <w:t>0.04%</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CA353FA" w14:textId="77777777" w:rsidR="0049593D" w:rsidRPr="00D9513E" w:rsidRDefault="0049593D" w:rsidP="0049593D">
            <w:pPr>
              <w:rPr>
                <w:sz w:val="18"/>
                <w:szCs w:val="16"/>
              </w:rPr>
            </w:pPr>
            <w:r w:rsidRPr="00D9513E">
              <w:rPr>
                <w:sz w:val="18"/>
                <w:szCs w:val="16"/>
              </w:rPr>
              <w:t>15.00%</w:t>
            </w:r>
          </w:p>
        </w:tc>
      </w:tr>
      <w:tr w:rsidR="0049593D" w:rsidRPr="0049593D" w14:paraId="38F0A082"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4DE3CF7" w14:textId="77777777" w:rsidR="0049593D" w:rsidRPr="00D9513E" w:rsidRDefault="0049593D" w:rsidP="0049593D">
            <w:pPr>
              <w:rPr>
                <w:sz w:val="18"/>
                <w:szCs w:val="16"/>
              </w:rPr>
            </w:pPr>
            <w:r w:rsidRPr="00D9513E">
              <w:rPr>
                <w:sz w:val="18"/>
                <w:szCs w:val="16"/>
              </w:rPr>
              <w:t>23</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CD5A7B3" w14:textId="77777777" w:rsidR="0049593D" w:rsidRPr="00D9513E" w:rsidRDefault="0049593D" w:rsidP="0049593D">
            <w:pPr>
              <w:rPr>
                <w:sz w:val="18"/>
                <w:szCs w:val="16"/>
              </w:rPr>
            </w:pPr>
            <w:r w:rsidRPr="00D9513E">
              <w:rPr>
                <w:sz w:val="18"/>
                <w:szCs w:val="16"/>
              </w:rPr>
              <w:t>International Cash</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B8F3AF2" w14:textId="77777777" w:rsidR="0049593D" w:rsidRPr="00D9513E" w:rsidRDefault="0049593D" w:rsidP="0049593D">
            <w:pPr>
              <w:rPr>
                <w:sz w:val="18"/>
                <w:szCs w:val="16"/>
              </w:rPr>
            </w:pPr>
            <w:r w:rsidRPr="00D9513E">
              <w:rPr>
                <w:sz w:val="18"/>
                <w:szCs w:val="16"/>
              </w:rPr>
              <w:t>BAUBIL</w:t>
            </w:r>
          </w:p>
          <w:p w14:paraId="50D5233D" w14:textId="77777777" w:rsidR="0049593D" w:rsidRPr="00D9513E" w:rsidRDefault="0049593D" w:rsidP="0049593D">
            <w:pPr>
              <w:rPr>
                <w:sz w:val="18"/>
                <w:szCs w:val="16"/>
              </w:rPr>
            </w:pPr>
            <w:r w:rsidRPr="00D9513E">
              <w:rPr>
                <w:sz w:val="18"/>
                <w:szCs w:val="16"/>
              </w:rPr>
              <w:t>Bloomberg Ausbond Bank Bill Index</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BB5C663" w14:textId="77777777" w:rsidR="0049593D" w:rsidRPr="00D9513E" w:rsidRDefault="0049593D" w:rsidP="0049593D">
            <w:pPr>
              <w:rPr>
                <w:sz w:val="18"/>
                <w:szCs w:val="16"/>
              </w:rPr>
            </w:pPr>
            <w:r w:rsidRPr="00D9513E">
              <w:rPr>
                <w:sz w:val="18"/>
                <w:szCs w:val="16"/>
              </w:rPr>
              <w:t>0.04%</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78874AC" w14:textId="77777777" w:rsidR="0049593D" w:rsidRPr="00D9513E" w:rsidRDefault="0049593D" w:rsidP="0049593D">
            <w:pPr>
              <w:rPr>
                <w:sz w:val="18"/>
                <w:szCs w:val="16"/>
              </w:rPr>
            </w:pPr>
            <w:r w:rsidRPr="00D9513E">
              <w:rPr>
                <w:sz w:val="18"/>
                <w:szCs w:val="16"/>
              </w:rPr>
              <w:t>15.00%</w:t>
            </w:r>
          </w:p>
        </w:tc>
      </w:tr>
      <w:tr w:rsidR="0049593D" w:rsidRPr="0049593D" w14:paraId="59F140D8"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24A73A5" w14:textId="77777777" w:rsidR="0049593D" w:rsidRPr="00D9513E" w:rsidRDefault="0049593D" w:rsidP="0049593D">
            <w:pPr>
              <w:rPr>
                <w:sz w:val="18"/>
                <w:szCs w:val="16"/>
              </w:rPr>
            </w:pPr>
            <w:r w:rsidRPr="00D9513E">
              <w:rPr>
                <w:sz w:val="18"/>
                <w:szCs w:val="16"/>
              </w:rPr>
              <w:t>24</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D43414D" w14:textId="77777777" w:rsidR="0049593D" w:rsidRPr="00D9513E" w:rsidRDefault="0049593D" w:rsidP="0049593D">
            <w:pPr>
              <w:rPr>
                <w:sz w:val="18"/>
                <w:szCs w:val="16"/>
              </w:rPr>
            </w:pPr>
            <w:r w:rsidRPr="00D9513E">
              <w:rPr>
                <w:sz w:val="18"/>
                <w:szCs w:val="16"/>
              </w:rPr>
              <w:t>Alternatives</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82D284E" w14:textId="77777777" w:rsidR="0049593D" w:rsidRPr="00D9513E" w:rsidRDefault="0049593D" w:rsidP="0049593D">
            <w:pPr>
              <w:rPr>
                <w:sz w:val="18"/>
                <w:szCs w:val="16"/>
              </w:rPr>
            </w:pPr>
            <w:r w:rsidRPr="00D9513E">
              <w:rPr>
                <w:sz w:val="18"/>
                <w:szCs w:val="16"/>
              </w:rPr>
              <w:t> </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76FF029" w14:textId="77777777" w:rsidR="0049593D" w:rsidRPr="00D9513E" w:rsidRDefault="0049593D" w:rsidP="0049593D">
            <w:pPr>
              <w:rPr>
                <w:sz w:val="18"/>
                <w:szCs w:val="16"/>
              </w:rPr>
            </w:pPr>
            <w:r w:rsidRPr="00D9513E">
              <w:rPr>
                <w:sz w:val="18"/>
                <w:szCs w:val="16"/>
              </w:rPr>
              <w:t>0%</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C5D14BC" w14:textId="77777777" w:rsidR="0049593D" w:rsidRPr="00D9513E" w:rsidRDefault="0049593D" w:rsidP="0049593D">
            <w:pPr>
              <w:rPr>
                <w:sz w:val="18"/>
                <w:szCs w:val="16"/>
              </w:rPr>
            </w:pPr>
            <w:r w:rsidRPr="00D9513E">
              <w:rPr>
                <w:sz w:val="18"/>
                <w:szCs w:val="16"/>
              </w:rPr>
              <w:t>0%</w:t>
            </w:r>
          </w:p>
        </w:tc>
      </w:tr>
      <w:tr w:rsidR="0049593D" w:rsidRPr="0049593D" w14:paraId="4AC1A283" w14:textId="77777777" w:rsidTr="0049593D">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751826D" w14:textId="77777777" w:rsidR="0049593D" w:rsidRPr="00D9513E" w:rsidRDefault="0049593D" w:rsidP="0049593D">
            <w:pPr>
              <w:rPr>
                <w:sz w:val="18"/>
                <w:szCs w:val="16"/>
              </w:rPr>
            </w:pPr>
            <w:r w:rsidRPr="00D9513E">
              <w:rPr>
                <w:sz w:val="18"/>
                <w:szCs w:val="16"/>
              </w:rPr>
              <w:t>25</w:t>
            </w:r>
          </w:p>
        </w:tc>
        <w:tc>
          <w:tcPr>
            <w:tcW w:w="18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D054EEA" w14:textId="77777777" w:rsidR="0049593D" w:rsidRPr="00D9513E" w:rsidRDefault="0049593D" w:rsidP="0049593D">
            <w:pPr>
              <w:rPr>
                <w:sz w:val="18"/>
                <w:szCs w:val="16"/>
              </w:rPr>
            </w:pPr>
            <w:r w:rsidRPr="00D9513E">
              <w:rPr>
                <w:sz w:val="18"/>
                <w:szCs w:val="16"/>
              </w:rPr>
              <w:t>Defensive Alternatives</w:t>
            </w:r>
          </w:p>
        </w:tc>
        <w:tc>
          <w:tcPr>
            <w:tcW w:w="340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FB12D24" w14:textId="77777777" w:rsidR="0049593D" w:rsidRPr="00D9513E" w:rsidRDefault="0049593D" w:rsidP="0049593D">
            <w:pPr>
              <w:rPr>
                <w:sz w:val="18"/>
                <w:szCs w:val="16"/>
              </w:rPr>
            </w:pPr>
            <w:r w:rsidRPr="00D9513E">
              <w:rPr>
                <w:sz w:val="18"/>
                <w:szCs w:val="16"/>
              </w:rPr>
              <w:t> </w:t>
            </w:r>
          </w:p>
        </w:tc>
        <w:tc>
          <w:tcPr>
            <w:tcW w:w="113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B1D9885" w14:textId="77777777" w:rsidR="0049593D" w:rsidRPr="00D9513E" w:rsidRDefault="0049593D" w:rsidP="0049593D">
            <w:pPr>
              <w:rPr>
                <w:sz w:val="18"/>
                <w:szCs w:val="16"/>
              </w:rPr>
            </w:pPr>
            <w:r w:rsidRPr="00D9513E">
              <w:rPr>
                <w:sz w:val="18"/>
                <w:szCs w:val="16"/>
              </w:rPr>
              <w:t>0%</w:t>
            </w:r>
          </w:p>
        </w:tc>
        <w:tc>
          <w:tcPr>
            <w:tcW w:w="1233"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970E303" w14:textId="77777777" w:rsidR="0049593D" w:rsidRPr="00D9513E" w:rsidRDefault="0049593D" w:rsidP="0049593D">
            <w:pPr>
              <w:rPr>
                <w:sz w:val="18"/>
                <w:szCs w:val="16"/>
              </w:rPr>
            </w:pPr>
            <w:r w:rsidRPr="00D9513E">
              <w:rPr>
                <w:sz w:val="18"/>
                <w:szCs w:val="16"/>
              </w:rPr>
              <w:t>0%</w:t>
            </w:r>
          </w:p>
        </w:tc>
      </w:tr>
      <w:tr w:rsidR="0049593D" w:rsidRPr="0049593D" w14:paraId="54850EDF" w14:textId="77777777" w:rsidTr="0049593D">
        <w:tc>
          <w:tcPr>
            <w:tcW w:w="714"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01844CD1" w14:textId="77777777" w:rsidR="0049593D" w:rsidRPr="00D9513E" w:rsidRDefault="0049593D" w:rsidP="0049593D">
            <w:pPr>
              <w:rPr>
                <w:sz w:val="18"/>
                <w:szCs w:val="16"/>
              </w:rPr>
            </w:pPr>
            <w:r w:rsidRPr="00D9513E">
              <w:rPr>
                <w:sz w:val="18"/>
                <w:szCs w:val="16"/>
              </w:rPr>
              <w:t>26</w:t>
            </w:r>
          </w:p>
        </w:tc>
        <w:tc>
          <w:tcPr>
            <w:tcW w:w="1833"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4B839D81" w14:textId="77777777" w:rsidR="0049593D" w:rsidRPr="00D9513E" w:rsidRDefault="0049593D" w:rsidP="0049593D">
            <w:pPr>
              <w:rPr>
                <w:sz w:val="18"/>
                <w:szCs w:val="16"/>
              </w:rPr>
            </w:pPr>
            <w:r w:rsidRPr="00D9513E">
              <w:rPr>
                <w:sz w:val="18"/>
                <w:szCs w:val="16"/>
              </w:rPr>
              <w:t>Growth Alternatives</w:t>
            </w:r>
          </w:p>
        </w:tc>
        <w:tc>
          <w:tcPr>
            <w:tcW w:w="3402"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133E44D2" w14:textId="77777777" w:rsidR="0049593D" w:rsidRPr="00D9513E" w:rsidRDefault="0049593D" w:rsidP="0049593D">
            <w:pPr>
              <w:rPr>
                <w:sz w:val="18"/>
                <w:szCs w:val="16"/>
              </w:rPr>
            </w:pPr>
            <w:r w:rsidRPr="00D9513E">
              <w:rPr>
                <w:sz w:val="18"/>
                <w:szCs w:val="16"/>
              </w:rPr>
              <w:t> </w:t>
            </w:r>
          </w:p>
        </w:tc>
        <w:tc>
          <w:tcPr>
            <w:tcW w:w="1134"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56E2DAE5" w14:textId="77777777" w:rsidR="0049593D" w:rsidRPr="00D9513E" w:rsidRDefault="0049593D" w:rsidP="0049593D">
            <w:pPr>
              <w:rPr>
                <w:sz w:val="18"/>
                <w:szCs w:val="16"/>
              </w:rPr>
            </w:pPr>
            <w:r w:rsidRPr="00D9513E">
              <w:rPr>
                <w:sz w:val="18"/>
                <w:szCs w:val="16"/>
              </w:rPr>
              <w:t>0%</w:t>
            </w:r>
          </w:p>
        </w:tc>
        <w:tc>
          <w:tcPr>
            <w:tcW w:w="1233"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57F45C48" w14:textId="77777777" w:rsidR="0049593D" w:rsidRPr="00D9513E" w:rsidRDefault="0049593D" w:rsidP="0049593D">
            <w:pPr>
              <w:rPr>
                <w:sz w:val="18"/>
                <w:szCs w:val="16"/>
              </w:rPr>
            </w:pPr>
            <w:r w:rsidRPr="00D9513E">
              <w:rPr>
                <w:sz w:val="18"/>
                <w:szCs w:val="16"/>
              </w:rPr>
              <w:t>0%</w:t>
            </w:r>
          </w:p>
        </w:tc>
      </w:tr>
    </w:tbl>
    <w:p w14:paraId="0F985D40" w14:textId="77777777" w:rsidR="0049593D" w:rsidRPr="0049593D" w:rsidRDefault="0049593D" w:rsidP="0049593D">
      <w:r w:rsidRPr="0049593D">
        <w:t> </w:t>
      </w:r>
    </w:p>
    <w:p w14:paraId="683E393E" w14:textId="77777777" w:rsidR="00A25C38" w:rsidRPr="00D9513E" w:rsidRDefault="00A25C38" w:rsidP="00D9513E"/>
    <w:p w14:paraId="6CB4B8D8" w14:textId="77777777" w:rsidR="00A25C38" w:rsidRDefault="00A25C38">
      <w:pPr>
        <w:spacing w:before="0" w:after="160" w:line="259" w:lineRule="auto"/>
        <w:rPr>
          <w:rFonts w:ascii="Calibri" w:hAnsi="Calibri" w:cs="Arial"/>
          <w:iCs/>
          <w:color w:val="4D7861" w:themeColor="accent2"/>
          <w:kern w:val="32"/>
          <w:sz w:val="28"/>
          <w:szCs w:val="26"/>
        </w:rPr>
      </w:pPr>
      <w:r>
        <w:rPr>
          <w:color w:val="4D7861" w:themeColor="accent2"/>
          <w:sz w:val="28"/>
          <w:szCs w:val="26"/>
        </w:rPr>
        <w:br w:type="page"/>
      </w:r>
    </w:p>
    <w:p w14:paraId="26C71F2B" w14:textId="4E440117" w:rsidR="00930402" w:rsidRPr="003E4408" w:rsidRDefault="00930402" w:rsidP="00930402">
      <w:pPr>
        <w:pStyle w:val="Heading2"/>
        <w:rPr>
          <w:color w:val="4D7861" w:themeColor="accent2"/>
          <w:sz w:val="28"/>
          <w:szCs w:val="26"/>
        </w:rPr>
      </w:pPr>
      <w:bookmarkStart w:id="57" w:name="_Toc151575178"/>
      <w:bookmarkStart w:id="58" w:name="_Toc155955193"/>
      <w:r w:rsidRPr="003E4408">
        <w:rPr>
          <w:color w:val="4D7861" w:themeColor="accent2"/>
          <w:sz w:val="28"/>
          <w:szCs w:val="26"/>
        </w:rPr>
        <w:t>Performance testing metrics</w:t>
      </w:r>
      <w:bookmarkEnd w:id="57"/>
      <w:bookmarkEnd w:id="58"/>
      <w:r w:rsidRPr="003E4408">
        <w:rPr>
          <w:color w:val="4D7861" w:themeColor="accent2"/>
          <w:sz w:val="28"/>
          <w:szCs w:val="26"/>
        </w:rPr>
        <w:t xml:space="preserve"> </w:t>
      </w:r>
    </w:p>
    <w:p w14:paraId="4005BF38" w14:textId="1AB1F032" w:rsidR="00262435" w:rsidRDefault="00D92EDF">
      <w:pPr>
        <w:spacing w:before="0" w:after="160" w:line="259" w:lineRule="auto"/>
      </w:pPr>
      <w:r>
        <w:t xml:space="preserve">Stakeholders have proposed many performance testing metrics, particularly during the Your Future, Your Super </w:t>
      </w:r>
      <w:r w:rsidR="002460FA">
        <w:t>R</w:t>
      </w:r>
      <w:r>
        <w:t>eview. Below is a list of proposed performance testing metrics with a brief explanation: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94"/>
      </w:tblGrid>
      <w:tr w:rsidR="002A208F" w14:paraId="7F534BE4" w14:textId="77777777" w:rsidTr="00CC1058">
        <w:trPr>
          <w:cnfStyle w:val="100000000000" w:firstRow="1" w:lastRow="0" w:firstColumn="0" w:lastColumn="0" w:oddVBand="0" w:evenVBand="0" w:oddHBand="0" w:evenHBand="0" w:firstRowFirstColumn="0" w:firstRowLastColumn="0" w:lastRowFirstColumn="0" w:lastRowLastColumn="0"/>
        </w:trPr>
        <w:tc>
          <w:tcPr>
            <w:tcW w:w="2122" w:type="dxa"/>
            <w:shd w:val="clear" w:color="auto" w:fill="BDC8D8" w:themeFill="accent3" w:themeFillTint="66"/>
          </w:tcPr>
          <w:p w14:paraId="3E584AAA" w14:textId="77777777" w:rsidR="002A208F" w:rsidRPr="00466C43" w:rsidRDefault="002A208F">
            <w:pPr>
              <w:spacing w:before="96" w:after="96"/>
              <w:rPr>
                <w:b w:val="0"/>
                <w:bCs/>
                <w:sz w:val="22"/>
                <w:szCs w:val="22"/>
              </w:rPr>
            </w:pPr>
            <w:r w:rsidRPr="00466C43">
              <w:rPr>
                <w:bCs/>
                <w:sz w:val="22"/>
                <w:szCs w:val="22"/>
              </w:rPr>
              <w:t>Metric</w:t>
            </w:r>
          </w:p>
        </w:tc>
        <w:tc>
          <w:tcPr>
            <w:tcW w:w="6894" w:type="dxa"/>
            <w:shd w:val="clear" w:color="auto" w:fill="BDC8D8" w:themeFill="accent3" w:themeFillTint="66"/>
          </w:tcPr>
          <w:p w14:paraId="5C352EDA" w14:textId="77777777" w:rsidR="002A208F" w:rsidRPr="00466C43" w:rsidRDefault="002A208F">
            <w:pPr>
              <w:spacing w:before="96" w:after="96"/>
              <w:rPr>
                <w:b w:val="0"/>
                <w:bCs/>
                <w:sz w:val="22"/>
                <w:szCs w:val="22"/>
              </w:rPr>
            </w:pPr>
            <w:r w:rsidRPr="00466C43">
              <w:rPr>
                <w:bCs/>
                <w:sz w:val="22"/>
                <w:szCs w:val="22"/>
              </w:rPr>
              <w:t xml:space="preserve">Explanation </w:t>
            </w:r>
          </w:p>
        </w:tc>
      </w:tr>
      <w:tr w:rsidR="002A208F" w14:paraId="536CC845" w14:textId="77777777">
        <w:tc>
          <w:tcPr>
            <w:tcW w:w="2122" w:type="dxa"/>
          </w:tcPr>
          <w:p w14:paraId="39935CD8" w14:textId="77777777" w:rsidR="002A208F" w:rsidRPr="00466C43" w:rsidRDefault="002A208F">
            <w:pPr>
              <w:rPr>
                <w:sz w:val="22"/>
                <w:szCs w:val="22"/>
              </w:rPr>
            </w:pPr>
            <w:r w:rsidRPr="00466C43">
              <w:rPr>
                <w:sz w:val="22"/>
                <w:szCs w:val="22"/>
              </w:rPr>
              <w:t>Simple reference portfolio (SRP)</w:t>
            </w:r>
          </w:p>
        </w:tc>
        <w:tc>
          <w:tcPr>
            <w:tcW w:w="6894" w:type="dxa"/>
          </w:tcPr>
          <w:p w14:paraId="655D9D6A" w14:textId="4ED2C3DE" w:rsidR="002A208F" w:rsidRPr="00466C43" w:rsidRDefault="002A208F">
            <w:pPr>
              <w:rPr>
                <w:sz w:val="22"/>
                <w:szCs w:val="22"/>
              </w:rPr>
            </w:pPr>
            <w:r w:rsidRPr="00466C43">
              <w:rPr>
                <w:sz w:val="22"/>
                <w:szCs w:val="22"/>
              </w:rPr>
              <w:t xml:space="preserve">A notional portfolio of passive, low </w:t>
            </w:r>
            <w:proofErr w:type="gramStart"/>
            <w:r w:rsidRPr="00466C43">
              <w:rPr>
                <w:sz w:val="22"/>
                <w:szCs w:val="22"/>
              </w:rPr>
              <w:t>cost</w:t>
            </w:r>
            <w:proofErr w:type="gramEnd"/>
            <w:r w:rsidRPr="00466C43">
              <w:rPr>
                <w:sz w:val="22"/>
                <w:szCs w:val="22"/>
              </w:rPr>
              <w:t xml:space="preserve"> and liquid investments. </w:t>
            </w:r>
            <w:r w:rsidR="0049305A">
              <w:rPr>
                <w:sz w:val="22"/>
                <w:szCs w:val="22"/>
              </w:rPr>
              <w:t xml:space="preserve">An SRP </w:t>
            </w:r>
            <w:r w:rsidR="00202F88">
              <w:rPr>
                <w:sz w:val="22"/>
                <w:szCs w:val="22"/>
              </w:rPr>
              <w:t>portfolio is usually comprised of a small number of benchmarks, usually equities and bonds</w:t>
            </w:r>
            <w:r w:rsidR="005C7A39">
              <w:rPr>
                <w:sz w:val="22"/>
                <w:szCs w:val="22"/>
              </w:rPr>
              <w:t>, based on the product’s exposure to growth and defensive assets.</w:t>
            </w:r>
            <w:r w:rsidR="00963EDF">
              <w:rPr>
                <w:sz w:val="22"/>
                <w:szCs w:val="22"/>
              </w:rPr>
              <w:t xml:space="preserve"> </w:t>
            </w:r>
          </w:p>
        </w:tc>
      </w:tr>
      <w:tr w:rsidR="00C90BAD" w14:paraId="484DAB85" w14:textId="77777777">
        <w:tc>
          <w:tcPr>
            <w:tcW w:w="2122" w:type="dxa"/>
          </w:tcPr>
          <w:p w14:paraId="3CCF6058" w14:textId="08D8E566" w:rsidR="00C90BAD" w:rsidRPr="00466C43" w:rsidRDefault="00C90BAD" w:rsidP="00C90BAD">
            <w:pPr>
              <w:rPr>
                <w:szCs w:val="22"/>
              </w:rPr>
            </w:pPr>
            <w:r w:rsidRPr="00466C43">
              <w:rPr>
                <w:sz w:val="22"/>
                <w:szCs w:val="22"/>
              </w:rPr>
              <w:t>Risk SRP</w:t>
            </w:r>
          </w:p>
        </w:tc>
        <w:tc>
          <w:tcPr>
            <w:tcW w:w="6894" w:type="dxa"/>
          </w:tcPr>
          <w:p w14:paraId="7AAFE0BD" w14:textId="0404B927" w:rsidR="00C90BAD" w:rsidRPr="00915413" w:rsidRDefault="008570A7" w:rsidP="00C90BAD">
            <w:pPr>
              <w:rPr>
                <w:sz w:val="22"/>
                <w:szCs w:val="22"/>
              </w:rPr>
            </w:pPr>
            <w:r w:rsidRPr="00915413">
              <w:rPr>
                <w:sz w:val="22"/>
                <w:szCs w:val="22"/>
              </w:rPr>
              <w:t xml:space="preserve">A notional SRP is </w:t>
            </w:r>
            <w:r w:rsidR="00892F11" w:rsidRPr="00915413">
              <w:rPr>
                <w:sz w:val="22"/>
                <w:szCs w:val="22"/>
              </w:rPr>
              <w:t xml:space="preserve">derived based on the amount of risk (volatility) that a product experiences. </w:t>
            </w:r>
            <w:r w:rsidR="00915413">
              <w:rPr>
                <w:sz w:val="22"/>
                <w:szCs w:val="22"/>
              </w:rPr>
              <w:t>With the same level of</w:t>
            </w:r>
            <w:r w:rsidR="00892F11" w:rsidRPr="00915413">
              <w:rPr>
                <w:sz w:val="22"/>
                <w:szCs w:val="22"/>
              </w:rPr>
              <w:t xml:space="preserve"> risk</w:t>
            </w:r>
            <w:r w:rsidR="00915413">
              <w:rPr>
                <w:sz w:val="22"/>
                <w:szCs w:val="22"/>
              </w:rPr>
              <w:t xml:space="preserve">, the test </w:t>
            </w:r>
            <w:r w:rsidR="00915413" w:rsidRPr="00915413">
              <w:rPr>
                <w:sz w:val="22"/>
                <w:szCs w:val="22"/>
              </w:rPr>
              <w:t>assesses the return that the SRP generates compared to the product.</w:t>
            </w:r>
          </w:p>
        </w:tc>
      </w:tr>
      <w:tr w:rsidR="00C90BAD" w14:paraId="4675D63F" w14:textId="77777777">
        <w:tc>
          <w:tcPr>
            <w:tcW w:w="2122" w:type="dxa"/>
          </w:tcPr>
          <w:p w14:paraId="0F4BD3F7" w14:textId="77777777" w:rsidR="00C90BAD" w:rsidRPr="00466C43" w:rsidRDefault="00C90BAD" w:rsidP="00C90BAD">
            <w:pPr>
              <w:rPr>
                <w:sz w:val="22"/>
                <w:szCs w:val="22"/>
              </w:rPr>
            </w:pPr>
            <w:r w:rsidRPr="00466C43">
              <w:rPr>
                <w:sz w:val="22"/>
                <w:szCs w:val="22"/>
              </w:rPr>
              <w:t xml:space="preserve">Strategic Asset Allocation (SAA) benchmark </w:t>
            </w:r>
          </w:p>
        </w:tc>
        <w:tc>
          <w:tcPr>
            <w:tcW w:w="6894" w:type="dxa"/>
          </w:tcPr>
          <w:p w14:paraId="6B0F567C" w14:textId="2E5AD8D3" w:rsidR="00C90BAD" w:rsidRPr="00466C43" w:rsidRDefault="00C90BAD" w:rsidP="00C90BAD">
            <w:pPr>
              <w:rPr>
                <w:sz w:val="22"/>
                <w:szCs w:val="22"/>
              </w:rPr>
            </w:pPr>
            <w:r>
              <w:rPr>
                <w:sz w:val="22"/>
                <w:szCs w:val="22"/>
              </w:rPr>
              <w:t>This would m</w:t>
            </w:r>
            <w:r w:rsidRPr="00466C43">
              <w:rPr>
                <w:sz w:val="22"/>
                <w:szCs w:val="22"/>
              </w:rPr>
              <w:t xml:space="preserve">easure the </w:t>
            </w:r>
            <w:r>
              <w:rPr>
                <w:sz w:val="22"/>
                <w:szCs w:val="22"/>
              </w:rPr>
              <w:t>product</w:t>
            </w:r>
            <w:r w:rsidRPr="00466C43">
              <w:rPr>
                <w:sz w:val="22"/>
                <w:szCs w:val="22"/>
              </w:rPr>
              <w:t xml:space="preserve"> against a benchmark strategic asset allocation</w:t>
            </w:r>
            <w:r>
              <w:rPr>
                <w:sz w:val="22"/>
                <w:szCs w:val="22"/>
              </w:rPr>
              <w:t xml:space="preserve"> which would assess the implementation of the product’s investment strategy. In contrast to the SRP, an SAA benchmark has a more expanded list of benchmark indices.</w:t>
            </w:r>
          </w:p>
        </w:tc>
      </w:tr>
      <w:tr w:rsidR="00574003" w14:paraId="5DC12A58" w14:textId="77777777">
        <w:tc>
          <w:tcPr>
            <w:tcW w:w="2122" w:type="dxa"/>
          </w:tcPr>
          <w:p w14:paraId="6E224000" w14:textId="457EC774" w:rsidR="00574003" w:rsidRPr="00466C43" w:rsidRDefault="00574003" w:rsidP="00574003">
            <w:pPr>
              <w:rPr>
                <w:szCs w:val="22"/>
              </w:rPr>
            </w:pPr>
            <w:r w:rsidRPr="00466C43">
              <w:rPr>
                <w:sz w:val="22"/>
                <w:szCs w:val="22"/>
              </w:rPr>
              <w:t>Naïve reference portfolio</w:t>
            </w:r>
          </w:p>
        </w:tc>
        <w:tc>
          <w:tcPr>
            <w:tcW w:w="6894" w:type="dxa"/>
          </w:tcPr>
          <w:p w14:paraId="32FE3843" w14:textId="485877D4" w:rsidR="00574003" w:rsidRDefault="00574003" w:rsidP="00574003">
            <w:pPr>
              <w:rPr>
                <w:szCs w:val="22"/>
              </w:rPr>
            </w:pPr>
            <w:r>
              <w:rPr>
                <w:sz w:val="22"/>
                <w:szCs w:val="22"/>
              </w:rPr>
              <w:t>An alternative to</w:t>
            </w:r>
            <w:r w:rsidRPr="00466C43">
              <w:rPr>
                <w:sz w:val="22"/>
                <w:szCs w:val="22"/>
              </w:rPr>
              <w:t xml:space="preserve"> a simple reference portfolio. An example could b</w:t>
            </w:r>
            <w:r>
              <w:rPr>
                <w:sz w:val="22"/>
                <w:szCs w:val="22"/>
              </w:rPr>
              <w:t xml:space="preserve">e creating a portfolio of a </w:t>
            </w:r>
            <w:r w:rsidRPr="00466C43">
              <w:rPr>
                <w:sz w:val="22"/>
                <w:szCs w:val="22"/>
              </w:rPr>
              <w:t>70</w:t>
            </w:r>
            <w:r w:rsidR="0032494C">
              <w:rPr>
                <w:sz w:val="22"/>
                <w:szCs w:val="22"/>
              </w:rPr>
              <w:t xml:space="preserve"> per cent</w:t>
            </w:r>
            <w:r>
              <w:rPr>
                <w:sz w:val="22"/>
                <w:szCs w:val="22"/>
              </w:rPr>
              <w:t>/</w:t>
            </w:r>
            <w:r w:rsidRPr="00466C43">
              <w:rPr>
                <w:sz w:val="22"/>
                <w:szCs w:val="22"/>
              </w:rPr>
              <w:t>30</w:t>
            </w:r>
            <w:r w:rsidR="0032494C">
              <w:rPr>
                <w:sz w:val="22"/>
                <w:szCs w:val="22"/>
              </w:rPr>
              <w:t xml:space="preserve"> per cent</w:t>
            </w:r>
            <w:r w:rsidRPr="00466C43">
              <w:rPr>
                <w:sz w:val="22"/>
                <w:szCs w:val="22"/>
              </w:rPr>
              <w:t xml:space="preserve"> split between growth and defensive assets using index exposures</w:t>
            </w:r>
            <w:r>
              <w:rPr>
                <w:sz w:val="22"/>
                <w:szCs w:val="22"/>
              </w:rPr>
              <w:t xml:space="preserve">. </w:t>
            </w:r>
            <w:r w:rsidR="00C57B37">
              <w:rPr>
                <w:sz w:val="22"/>
                <w:szCs w:val="22"/>
              </w:rPr>
              <w:t>A</w:t>
            </w:r>
            <w:r>
              <w:rPr>
                <w:sz w:val="22"/>
                <w:szCs w:val="22"/>
              </w:rPr>
              <w:t xml:space="preserve"> product’s performance would then be assessed against this portfolio.   </w:t>
            </w:r>
          </w:p>
        </w:tc>
      </w:tr>
      <w:tr w:rsidR="00574003" w14:paraId="53774DDA" w14:textId="77777777">
        <w:tc>
          <w:tcPr>
            <w:tcW w:w="2122" w:type="dxa"/>
          </w:tcPr>
          <w:p w14:paraId="31A90AD3" w14:textId="77777777" w:rsidR="00574003" w:rsidRPr="00466C43" w:rsidRDefault="00574003" w:rsidP="00574003">
            <w:pPr>
              <w:rPr>
                <w:sz w:val="22"/>
                <w:szCs w:val="22"/>
              </w:rPr>
            </w:pPr>
            <w:r w:rsidRPr="00466C43">
              <w:rPr>
                <w:sz w:val="22"/>
                <w:szCs w:val="22"/>
              </w:rPr>
              <w:t>Sharpe ratio</w:t>
            </w:r>
          </w:p>
        </w:tc>
        <w:tc>
          <w:tcPr>
            <w:tcW w:w="6894" w:type="dxa"/>
          </w:tcPr>
          <w:p w14:paraId="3D11159F" w14:textId="7BE606AA" w:rsidR="00574003" w:rsidRPr="00466C43" w:rsidRDefault="00574003" w:rsidP="00574003">
            <w:pPr>
              <w:rPr>
                <w:sz w:val="22"/>
                <w:szCs w:val="22"/>
              </w:rPr>
            </w:pPr>
            <w:r w:rsidRPr="00466C43">
              <w:rPr>
                <w:sz w:val="22"/>
                <w:szCs w:val="22"/>
              </w:rPr>
              <w:t xml:space="preserve">A measure of the risk-adjusted performance. </w:t>
            </w:r>
            <w:r>
              <w:rPr>
                <w:sz w:val="22"/>
                <w:szCs w:val="22"/>
              </w:rPr>
              <w:t>This metric assesses the return a product generates f</w:t>
            </w:r>
            <w:r w:rsidRPr="00753A43">
              <w:rPr>
                <w:sz w:val="22"/>
                <w:szCs w:val="22"/>
              </w:rPr>
              <w:t>or</w:t>
            </w:r>
            <w:r>
              <w:rPr>
                <w:sz w:val="22"/>
                <w:szCs w:val="22"/>
              </w:rPr>
              <w:t xml:space="preserve"> the volatility (risk) that is endured. </w:t>
            </w:r>
          </w:p>
        </w:tc>
      </w:tr>
      <w:tr w:rsidR="00574003" w14:paraId="0CDCF295" w14:textId="77777777">
        <w:tc>
          <w:tcPr>
            <w:tcW w:w="2122" w:type="dxa"/>
          </w:tcPr>
          <w:p w14:paraId="22F27CEA" w14:textId="77777777" w:rsidR="00574003" w:rsidRPr="00466C43" w:rsidRDefault="00574003" w:rsidP="00574003">
            <w:pPr>
              <w:rPr>
                <w:sz w:val="22"/>
                <w:szCs w:val="22"/>
              </w:rPr>
            </w:pPr>
            <w:r w:rsidRPr="00466C43">
              <w:rPr>
                <w:sz w:val="22"/>
                <w:szCs w:val="22"/>
              </w:rPr>
              <w:t xml:space="preserve">Volatility </w:t>
            </w:r>
          </w:p>
        </w:tc>
        <w:tc>
          <w:tcPr>
            <w:tcW w:w="6894" w:type="dxa"/>
          </w:tcPr>
          <w:p w14:paraId="4BAED2E2" w14:textId="77777777" w:rsidR="00574003" w:rsidRPr="00466C43" w:rsidRDefault="00574003" w:rsidP="00574003">
            <w:pPr>
              <w:rPr>
                <w:sz w:val="22"/>
                <w:szCs w:val="22"/>
              </w:rPr>
            </w:pPr>
            <w:r>
              <w:rPr>
                <w:sz w:val="22"/>
                <w:szCs w:val="22"/>
              </w:rPr>
              <w:t>This is assessed through the</w:t>
            </w:r>
            <w:r w:rsidRPr="00466C43">
              <w:rPr>
                <w:sz w:val="22"/>
                <w:szCs w:val="22"/>
              </w:rPr>
              <w:t xml:space="preserve"> standard deviation of </w:t>
            </w:r>
            <w:r>
              <w:rPr>
                <w:sz w:val="22"/>
                <w:szCs w:val="22"/>
              </w:rPr>
              <w:t xml:space="preserve">a product’s </w:t>
            </w:r>
            <w:r w:rsidRPr="00466C43">
              <w:rPr>
                <w:sz w:val="22"/>
                <w:szCs w:val="22"/>
              </w:rPr>
              <w:t xml:space="preserve">returns. </w:t>
            </w:r>
            <w:r>
              <w:rPr>
                <w:sz w:val="22"/>
                <w:szCs w:val="22"/>
              </w:rPr>
              <w:t>Could use this in either a p</w:t>
            </w:r>
            <w:r w:rsidRPr="00466C43">
              <w:rPr>
                <w:sz w:val="22"/>
                <w:szCs w:val="22"/>
              </w:rPr>
              <w:t>eer compar</w:t>
            </w:r>
            <w:r>
              <w:rPr>
                <w:sz w:val="22"/>
                <w:szCs w:val="22"/>
              </w:rPr>
              <w:t xml:space="preserve">ison of </w:t>
            </w:r>
            <w:r w:rsidRPr="00466C43">
              <w:rPr>
                <w:sz w:val="22"/>
                <w:szCs w:val="22"/>
              </w:rPr>
              <w:t xml:space="preserve">volatility or </w:t>
            </w:r>
            <w:r>
              <w:rPr>
                <w:sz w:val="22"/>
                <w:szCs w:val="22"/>
              </w:rPr>
              <w:t>have a l</w:t>
            </w:r>
            <w:r w:rsidRPr="005549A6">
              <w:rPr>
                <w:sz w:val="22"/>
                <w:szCs w:val="22"/>
              </w:rPr>
              <w:t xml:space="preserve">ower </w:t>
            </w:r>
            <w:r>
              <w:rPr>
                <w:sz w:val="22"/>
                <w:szCs w:val="22"/>
              </w:rPr>
              <w:t xml:space="preserve">threshold which products must reach. </w:t>
            </w:r>
            <w:r w:rsidRPr="00466C43">
              <w:rPr>
                <w:sz w:val="22"/>
                <w:szCs w:val="22"/>
              </w:rPr>
              <w:t xml:space="preserve"> </w:t>
            </w:r>
          </w:p>
        </w:tc>
      </w:tr>
      <w:tr w:rsidR="00574003" w14:paraId="018953BF" w14:textId="77777777">
        <w:tc>
          <w:tcPr>
            <w:tcW w:w="2122" w:type="dxa"/>
          </w:tcPr>
          <w:p w14:paraId="135306BD" w14:textId="02308431" w:rsidR="00574003" w:rsidRPr="00466C43" w:rsidRDefault="00574003" w:rsidP="00574003">
            <w:pPr>
              <w:rPr>
                <w:sz w:val="22"/>
                <w:szCs w:val="22"/>
              </w:rPr>
            </w:pPr>
            <w:r w:rsidRPr="00466C43">
              <w:rPr>
                <w:sz w:val="22"/>
                <w:szCs w:val="22"/>
              </w:rPr>
              <w:t>CPI</w:t>
            </w:r>
            <w:r>
              <w:rPr>
                <w:sz w:val="22"/>
                <w:szCs w:val="22"/>
              </w:rPr>
              <w:t>+</w:t>
            </w:r>
          </w:p>
        </w:tc>
        <w:tc>
          <w:tcPr>
            <w:tcW w:w="6894" w:type="dxa"/>
          </w:tcPr>
          <w:p w14:paraId="73363482" w14:textId="2E81F32E" w:rsidR="00574003" w:rsidRPr="00466C43" w:rsidRDefault="00574003" w:rsidP="00574003">
            <w:pPr>
              <w:rPr>
                <w:sz w:val="22"/>
                <w:szCs w:val="22"/>
              </w:rPr>
            </w:pPr>
            <w:r w:rsidRPr="00466C43">
              <w:rPr>
                <w:sz w:val="22"/>
                <w:szCs w:val="22"/>
              </w:rPr>
              <w:t>Compare the return of the p</w:t>
            </w:r>
            <w:r>
              <w:rPr>
                <w:sz w:val="22"/>
                <w:szCs w:val="22"/>
              </w:rPr>
              <w:t xml:space="preserve">roduct </w:t>
            </w:r>
            <w:r w:rsidRPr="00466C43">
              <w:rPr>
                <w:sz w:val="22"/>
                <w:szCs w:val="22"/>
              </w:rPr>
              <w:t xml:space="preserve">to CPI. </w:t>
            </w:r>
            <w:r>
              <w:rPr>
                <w:sz w:val="22"/>
                <w:szCs w:val="22"/>
              </w:rPr>
              <w:t>This would d</w:t>
            </w:r>
            <w:r w:rsidRPr="00466C43">
              <w:rPr>
                <w:sz w:val="22"/>
                <w:szCs w:val="22"/>
              </w:rPr>
              <w:t xml:space="preserve">etermine whether </w:t>
            </w:r>
            <w:r>
              <w:rPr>
                <w:sz w:val="22"/>
                <w:szCs w:val="22"/>
              </w:rPr>
              <w:t>the product is returning a real return</w:t>
            </w:r>
            <w:r w:rsidRPr="00466C43">
              <w:rPr>
                <w:sz w:val="22"/>
                <w:szCs w:val="22"/>
              </w:rPr>
              <w:t>.</w:t>
            </w:r>
            <w:r>
              <w:rPr>
                <w:sz w:val="22"/>
                <w:szCs w:val="22"/>
              </w:rPr>
              <w:t xml:space="preserve"> This can align with the investment objectives that funds must disclose to members.</w:t>
            </w:r>
          </w:p>
        </w:tc>
      </w:tr>
      <w:tr w:rsidR="00665CB1" w14:paraId="118ED53F" w14:textId="77777777">
        <w:tc>
          <w:tcPr>
            <w:tcW w:w="2122" w:type="dxa"/>
          </w:tcPr>
          <w:p w14:paraId="30B25C35" w14:textId="70EB96D9" w:rsidR="00665CB1" w:rsidRPr="00466C43" w:rsidRDefault="00665CB1" w:rsidP="00665CB1">
            <w:pPr>
              <w:rPr>
                <w:szCs w:val="22"/>
              </w:rPr>
            </w:pPr>
            <w:r w:rsidRPr="00466C43">
              <w:rPr>
                <w:sz w:val="22"/>
                <w:szCs w:val="22"/>
              </w:rPr>
              <w:t xml:space="preserve">Heatmap </w:t>
            </w:r>
            <w:r>
              <w:rPr>
                <w:sz w:val="22"/>
                <w:szCs w:val="22"/>
              </w:rPr>
              <w:t xml:space="preserve">metrics </w:t>
            </w:r>
          </w:p>
        </w:tc>
        <w:tc>
          <w:tcPr>
            <w:tcW w:w="6894" w:type="dxa"/>
          </w:tcPr>
          <w:p w14:paraId="45881B5F" w14:textId="65DBB46C" w:rsidR="00665CB1" w:rsidRPr="00466C43" w:rsidRDefault="00665CB1" w:rsidP="00665CB1">
            <w:pPr>
              <w:rPr>
                <w:szCs w:val="22"/>
              </w:rPr>
            </w:pPr>
            <w:r w:rsidRPr="00466C43">
              <w:rPr>
                <w:sz w:val="22"/>
                <w:szCs w:val="22"/>
              </w:rPr>
              <w:t xml:space="preserve">Use the measures already calculated in the </w:t>
            </w:r>
            <w:r w:rsidR="005C278F">
              <w:rPr>
                <w:sz w:val="22"/>
                <w:szCs w:val="22"/>
              </w:rPr>
              <w:t>h</w:t>
            </w:r>
            <w:r w:rsidRPr="00466C43">
              <w:rPr>
                <w:sz w:val="22"/>
                <w:szCs w:val="22"/>
              </w:rPr>
              <w:t>eatmap</w:t>
            </w:r>
            <w:r>
              <w:rPr>
                <w:sz w:val="22"/>
                <w:szCs w:val="22"/>
              </w:rPr>
              <w:t xml:space="preserve"> (SRP, SAA, net return, etc.) to assess a product’s performance in the test. </w:t>
            </w:r>
          </w:p>
        </w:tc>
      </w:tr>
      <w:tr w:rsidR="00665CB1" w14:paraId="2DF16BDC" w14:textId="77777777">
        <w:tc>
          <w:tcPr>
            <w:tcW w:w="2122" w:type="dxa"/>
          </w:tcPr>
          <w:p w14:paraId="16A2C84B" w14:textId="77777777" w:rsidR="00665CB1" w:rsidRPr="00466C43" w:rsidRDefault="00665CB1" w:rsidP="00665CB1">
            <w:pPr>
              <w:rPr>
                <w:sz w:val="22"/>
                <w:szCs w:val="22"/>
              </w:rPr>
            </w:pPr>
            <w:r>
              <w:rPr>
                <w:sz w:val="22"/>
                <w:szCs w:val="22"/>
              </w:rPr>
              <w:t>Use m</w:t>
            </w:r>
            <w:r w:rsidRPr="00466C43">
              <w:rPr>
                <w:sz w:val="22"/>
                <w:szCs w:val="22"/>
              </w:rPr>
              <w:t>ultiple time periods</w:t>
            </w:r>
          </w:p>
        </w:tc>
        <w:tc>
          <w:tcPr>
            <w:tcW w:w="6894" w:type="dxa"/>
          </w:tcPr>
          <w:p w14:paraId="7DEAA60E" w14:textId="77777777" w:rsidR="00665CB1" w:rsidRPr="00466C43" w:rsidRDefault="00665CB1" w:rsidP="00665CB1">
            <w:pPr>
              <w:rPr>
                <w:sz w:val="22"/>
                <w:szCs w:val="22"/>
              </w:rPr>
            </w:pPr>
            <w:r>
              <w:rPr>
                <w:sz w:val="22"/>
                <w:szCs w:val="22"/>
              </w:rPr>
              <w:t>Assess metrics</w:t>
            </w:r>
            <w:r w:rsidRPr="00466C43">
              <w:rPr>
                <w:sz w:val="22"/>
                <w:szCs w:val="22"/>
              </w:rPr>
              <w:t xml:space="preserve"> across multiple time periods. </w:t>
            </w:r>
          </w:p>
        </w:tc>
      </w:tr>
      <w:tr w:rsidR="00665CB1" w14:paraId="3BCF622F" w14:textId="77777777">
        <w:tc>
          <w:tcPr>
            <w:tcW w:w="2122" w:type="dxa"/>
          </w:tcPr>
          <w:p w14:paraId="7ED6B4F4" w14:textId="418FCEB9" w:rsidR="00665CB1" w:rsidRPr="007D1A6B" w:rsidRDefault="00665CB1" w:rsidP="00665CB1">
            <w:pPr>
              <w:rPr>
                <w:sz w:val="22"/>
                <w:szCs w:val="22"/>
              </w:rPr>
            </w:pPr>
            <w:r w:rsidRPr="007D1A6B">
              <w:rPr>
                <w:sz w:val="22"/>
                <w:szCs w:val="22"/>
              </w:rPr>
              <w:t>Use multiple member balances</w:t>
            </w:r>
          </w:p>
        </w:tc>
        <w:tc>
          <w:tcPr>
            <w:tcW w:w="6894" w:type="dxa"/>
          </w:tcPr>
          <w:p w14:paraId="0DE8ECC1" w14:textId="77497155" w:rsidR="00665CB1" w:rsidRPr="007D1A6B" w:rsidRDefault="00665CB1" w:rsidP="00665CB1">
            <w:pPr>
              <w:rPr>
                <w:sz w:val="22"/>
                <w:szCs w:val="22"/>
              </w:rPr>
            </w:pPr>
            <w:r w:rsidRPr="007D1A6B">
              <w:rPr>
                <w:sz w:val="22"/>
                <w:szCs w:val="22"/>
              </w:rPr>
              <w:t xml:space="preserve">Assess metrics across multiple </w:t>
            </w:r>
            <w:r w:rsidR="007D1A6B" w:rsidRPr="007D1A6B">
              <w:rPr>
                <w:sz w:val="22"/>
                <w:szCs w:val="22"/>
              </w:rPr>
              <w:t>representative member balances.</w:t>
            </w:r>
          </w:p>
        </w:tc>
      </w:tr>
      <w:tr w:rsidR="00665CB1" w14:paraId="4E18D9E8" w14:textId="77777777">
        <w:tc>
          <w:tcPr>
            <w:tcW w:w="2122" w:type="dxa"/>
          </w:tcPr>
          <w:p w14:paraId="57B6D778" w14:textId="404946F2" w:rsidR="00665CB1" w:rsidRPr="00466C43" w:rsidRDefault="00665CB1" w:rsidP="00665CB1">
            <w:pPr>
              <w:rPr>
                <w:sz w:val="22"/>
                <w:szCs w:val="22"/>
              </w:rPr>
            </w:pPr>
            <w:r w:rsidRPr="00466C43">
              <w:rPr>
                <w:sz w:val="22"/>
                <w:szCs w:val="22"/>
              </w:rPr>
              <w:t>Net returns</w:t>
            </w:r>
            <w:r w:rsidR="00B347F4">
              <w:rPr>
                <w:sz w:val="22"/>
                <w:szCs w:val="22"/>
              </w:rPr>
              <w:t>/actual returns</w:t>
            </w:r>
          </w:p>
        </w:tc>
        <w:tc>
          <w:tcPr>
            <w:tcW w:w="6894" w:type="dxa"/>
          </w:tcPr>
          <w:p w14:paraId="1C74F648" w14:textId="77777777" w:rsidR="00665CB1" w:rsidRPr="00466C43" w:rsidRDefault="00665CB1" w:rsidP="00665CB1">
            <w:pPr>
              <w:rPr>
                <w:sz w:val="22"/>
                <w:szCs w:val="22"/>
              </w:rPr>
            </w:pPr>
            <w:r w:rsidRPr="00466C43">
              <w:rPr>
                <w:sz w:val="22"/>
                <w:szCs w:val="22"/>
              </w:rPr>
              <w:t xml:space="preserve">Peer comparison of net returns or have a threshold that products must pass. This measure incorporates fees and returns and is the actual return that members receive. </w:t>
            </w:r>
          </w:p>
        </w:tc>
      </w:tr>
      <w:tr w:rsidR="00665CB1" w14:paraId="1AEAE11A" w14:textId="77777777">
        <w:tc>
          <w:tcPr>
            <w:tcW w:w="2122" w:type="dxa"/>
          </w:tcPr>
          <w:p w14:paraId="2A6C8A80" w14:textId="77777777" w:rsidR="00665CB1" w:rsidRPr="00466C43" w:rsidRDefault="00665CB1" w:rsidP="00665CB1">
            <w:pPr>
              <w:rPr>
                <w:sz w:val="22"/>
                <w:szCs w:val="22"/>
              </w:rPr>
            </w:pPr>
            <w:r w:rsidRPr="00466C43">
              <w:rPr>
                <w:sz w:val="22"/>
                <w:szCs w:val="22"/>
              </w:rPr>
              <w:t>Real costs</w:t>
            </w:r>
          </w:p>
        </w:tc>
        <w:tc>
          <w:tcPr>
            <w:tcW w:w="6894" w:type="dxa"/>
          </w:tcPr>
          <w:p w14:paraId="210A1596" w14:textId="77777777" w:rsidR="00665CB1" w:rsidRPr="00466C43" w:rsidRDefault="00665CB1" w:rsidP="00665CB1">
            <w:pPr>
              <w:rPr>
                <w:sz w:val="22"/>
                <w:szCs w:val="22"/>
              </w:rPr>
            </w:pPr>
            <w:r w:rsidRPr="00466C43">
              <w:rPr>
                <w:sz w:val="22"/>
                <w:szCs w:val="22"/>
              </w:rPr>
              <w:t>Measure of the real costs th</w:t>
            </w:r>
            <w:r>
              <w:rPr>
                <w:sz w:val="22"/>
                <w:szCs w:val="22"/>
              </w:rPr>
              <w:t>at</w:t>
            </w:r>
            <w:r w:rsidRPr="00466C43">
              <w:rPr>
                <w:sz w:val="22"/>
                <w:szCs w:val="22"/>
              </w:rPr>
              <w:t xml:space="preserve"> member</w:t>
            </w:r>
            <w:r>
              <w:rPr>
                <w:sz w:val="22"/>
                <w:szCs w:val="22"/>
              </w:rPr>
              <w:t>s</w:t>
            </w:r>
            <w:r w:rsidRPr="00466C43">
              <w:rPr>
                <w:sz w:val="22"/>
                <w:szCs w:val="22"/>
              </w:rPr>
              <w:t xml:space="preserve"> face in the product compared against peers.</w:t>
            </w:r>
          </w:p>
        </w:tc>
      </w:tr>
      <w:tr w:rsidR="00665CB1" w14:paraId="2300D784" w14:textId="77777777">
        <w:tc>
          <w:tcPr>
            <w:tcW w:w="2122" w:type="dxa"/>
          </w:tcPr>
          <w:p w14:paraId="3FCA7278" w14:textId="77777777" w:rsidR="00665CB1" w:rsidRPr="00466C43" w:rsidRDefault="00665CB1" w:rsidP="00665CB1">
            <w:pPr>
              <w:rPr>
                <w:sz w:val="22"/>
                <w:szCs w:val="22"/>
              </w:rPr>
            </w:pPr>
            <w:r w:rsidRPr="00466C43">
              <w:rPr>
                <w:sz w:val="22"/>
                <w:szCs w:val="22"/>
              </w:rPr>
              <w:t>Types of services offered by the fund</w:t>
            </w:r>
          </w:p>
        </w:tc>
        <w:tc>
          <w:tcPr>
            <w:tcW w:w="6894" w:type="dxa"/>
          </w:tcPr>
          <w:p w14:paraId="54963F22" w14:textId="77777777" w:rsidR="00665CB1" w:rsidRPr="00466C43" w:rsidRDefault="00665CB1" w:rsidP="00665CB1">
            <w:pPr>
              <w:rPr>
                <w:sz w:val="22"/>
                <w:szCs w:val="22"/>
              </w:rPr>
            </w:pPr>
            <w:r w:rsidRPr="00466C43">
              <w:rPr>
                <w:sz w:val="22"/>
                <w:szCs w:val="22"/>
              </w:rPr>
              <w:t xml:space="preserve">Measure of the number and performance of services offered by the fund. </w:t>
            </w:r>
          </w:p>
        </w:tc>
      </w:tr>
      <w:tr w:rsidR="00665CB1" w14:paraId="2DE32724" w14:textId="77777777">
        <w:tc>
          <w:tcPr>
            <w:tcW w:w="2122" w:type="dxa"/>
            <w:vMerge w:val="restart"/>
          </w:tcPr>
          <w:p w14:paraId="7258A676" w14:textId="77777777" w:rsidR="00665CB1" w:rsidRPr="00466C43" w:rsidRDefault="00665CB1" w:rsidP="00665CB1">
            <w:pPr>
              <w:rPr>
                <w:sz w:val="22"/>
                <w:szCs w:val="22"/>
              </w:rPr>
            </w:pPr>
            <w:r w:rsidRPr="00466C43">
              <w:rPr>
                <w:sz w:val="22"/>
                <w:szCs w:val="22"/>
              </w:rPr>
              <w:t xml:space="preserve">Peer comparison </w:t>
            </w:r>
          </w:p>
          <w:p w14:paraId="4DF6EFF5" w14:textId="77777777" w:rsidR="00665CB1" w:rsidRPr="00466C43" w:rsidRDefault="00665CB1" w:rsidP="00665CB1">
            <w:pPr>
              <w:spacing w:before="0" w:after="0"/>
              <w:rPr>
                <w:sz w:val="22"/>
                <w:szCs w:val="22"/>
              </w:rPr>
            </w:pPr>
          </w:p>
        </w:tc>
        <w:tc>
          <w:tcPr>
            <w:tcW w:w="6894" w:type="dxa"/>
          </w:tcPr>
          <w:p w14:paraId="156063D9" w14:textId="12EFA8E7" w:rsidR="00665CB1" w:rsidRPr="00466C43" w:rsidRDefault="009F2BE1" w:rsidP="00665CB1">
            <w:pPr>
              <w:rPr>
                <w:sz w:val="22"/>
                <w:szCs w:val="22"/>
              </w:rPr>
            </w:pPr>
            <w:r>
              <w:rPr>
                <w:sz w:val="22"/>
                <w:szCs w:val="22"/>
              </w:rPr>
              <w:t xml:space="preserve">Compare the performance </w:t>
            </w:r>
            <w:r w:rsidR="00682122">
              <w:rPr>
                <w:sz w:val="22"/>
                <w:szCs w:val="22"/>
              </w:rPr>
              <w:t xml:space="preserve">of a product against </w:t>
            </w:r>
            <w:r w:rsidR="009B44C4">
              <w:rPr>
                <w:sz w:val="22"/>
                <w:szCs w:val="22"/>
              </w:rPr>
              <w:t>its</w:t>
            </w:r>
            <w:r w:rsidR="00682122">
              <w:rPr>
                <w:sz w:val="22"/>
                <w:szCs w:val="22"/>
              </w:rPr>
              <w:t xml:space="preserve"> peers</w:t>
            </w:r>
            <w:r w:rsidR="00C41633">
              <w:rPr>
                <w:sz w:val="22"/>
                <w:szCs w:val="22"/>
              </w:rPr>
              <w:t xml:space="preserve"> based on one or a variety of metrics</w:t>
            </w:r>
            <w:r w:rsidR="00665CB1" w:rsidRPr="00466C43">
              <w:rPr>
                <w:sz w:val="22"/>
                <w:szCs w:val="22"/>
              </w:rPr>
              <w:t>.</w:t>
            </w:r>
            <w:r w:rsidR="00C41633">
              <w:rPr>
                <w:sz w:val="22"/>
                <w:szCs w:val="22"/>
              </w:rPr>
              <w:t xml:space="preserve"> Failure can occur to the bottom </w:t>
            </w:r>
            <w:r w:rsidR="00DD3DD1">
              <w:rPr>
                <w:sz w:val="22"/>
                <w:szCs w:val="22"/>
              </w:rPr>
              <w:t>cohort of products, or those below prescribed thresholds depending on the metric.</w:t>
            </w:r>
          </w:p>
        </w:tc>
      </w:tr>
      <w:tr w:rsidR="00665CB1" w14:paraId="4BEE8705" w14:textId="77777777">
        <w:tc>
          <w:tcPr>
            <w:tcW w:w="2122" w:type="dxa"/>
            <w:vMerge/>
          </w:tcPr>
          <w:p w14:paraId="7E616977" w14:textId="77777777" w:rsidR="00665CB1" w:rsidRPr="00466C43" w:rsidRDefault="00665CB1" w:rsidP="00665CB1">
            <w:pPr>
              <w:rPr>
                <w:sz w:val="22"/>
                <w:szCs w:val="22"/>
              </w:rPr>
            </w:pPr>
          </w:p>
        </w:tc>
        <w:tc>
          <w:tcPr>
            <w:tcW w:w="6894" w:type="dxa"/>
          </w:tcPr>
          <w:p w14:paraId="12972837" w14:textId="04F9E0C1" w:rsidR="00665CB1" w:rsidRPr="00466C43" w:rsidRDefault="00D6109B" w:rsidP="00384805">
            <w:pPr>
              <w:pStyle w:val="Bullet"/>
              <w:numPr>
                <w:ilvl w:val="0"/>
                <w:numId w:val="0"/>
              </w:numPr>
              <w:rPr>
                <w:color w:val="FF0000"/>
              </w:rPr>
            </w:pPr>
            <w:r>
              <w:rPr>
                <w:sz w:val="22"/>
                <w:szCs w:val="22"/>
              </w:rPr>
              <w:t>Compare the actual return of the product</w:t>
            </w:r>
            <w:r w:rsidR="00384805">
              <w:rPr>
                <w:sz w:val="22"/>
                <w:szCs w:val="22"/>
              </w:rPr>
              <w:t xml:space="preserve"> against a benchmark portfolio. Adjust results for risk and fail the bottom 10</w:t>
            </w:r>
            <w:r w:rsidR="0032494C">
              <w:rPr>
                <w:sz w:val="22"/>
                <w:szCs w:val="22"/>
              </w:rPr>
              <w:t xml:space="preserve"> per cent</w:t>
            </w:r>
            <w:r w:rsidR="00384805">
              <w:rPr>
                <w:sz w:val="22"/>
                <w:szCs w:val="22"/>
              </w:rPr>
              <w:t xml:space="preserve"> of products</w:t>
            </w:r>
            <w:r w:rsidR="009F2BE1">
              <w:rPr>
                <w:sz w:val="22"/>
                <w:szCs w:val="22"/>
              </w:rPr>
              <w:t>, or those below a prescribed threshold</w:t>
            </w:r>
            <w:r w:rsidR="00384805">
              <w:rPr>
                <w:sz w:val="22"/>
                <w:szCs w:val="22"/>
              </w:rPr>
              <w:t>.</w:t>
            </w:r>
          </w:p>
        </w:tc>
      </w:tr>
      <w:tr w:rsidR="00665CB1" w14:paraId="0D1CB797" w14:textId="77777777">
        <w:tc>
          <w:tcPr>
            <w:tcW w:w="2122" w:type="dxa"/>
            <w:vMerge/>
          </w:tcPr>
          <w:p w14:paraId="18BE97C5" w14:textId="77777777" w:rsidR="00665CB1" w:rsidRPr="00466C43" w:rsidRDefault="00665CB1" w:rsidP="00665CB1">
            <w:pPr>
              <w:rPr>
                <w:szCs w:val="22"/>
              </w:rPr>
            </w:pPr>
          </w:p>
        </w:tc>
        <w:tc>
          <w:tcPr>
            <w:tcW w:w="6894" w:type="dxa"/>
          </w:tcPr>
          <w:p w14:paraId="62D128F2" w14:textId="40D01EDF" w:rsidR="00665CB1" w:rsidRPr="00223586" w:rsidRDefault="00665CB1" w:rsidP="00665CB1">
            <w:pPr>
              <w:rPr>
                <w:sz w:val="22"/>
                <w:szCs w:val="22"/>
              </w:rPr>
            </w:pPr>
            <w:r w:rsidRPr="00223586">
              <w:rPr>
                <w:sz w:val="22"/>
                <w:szCs w:val="22"/>
              </w:rPr>
              <w:t>Plot the returns from a product v</w:t>
            </w:r>
            <w:r>
              <w:rPr>
                <w:sz w:val="22"/>
                <w:szCs w:val="22"/>
              </w:rPr>
              <w:t>ersu</w:t>
            </w:r>
            <w:r w:rsidRPr="00223586">
              <w:rPr>
                <w:sz w:val="22"/>
                <w:szCs w:val="22"/>
              </w:rPr>
              <w:t>s their volatility. Calculate a trendline based off</w:t>
            </w:r>
            <w:r>
              <w:rPr>
                <w:sz w:val="22"/>
                <w:szCs w:val="22"/>
              </w:rPr>
              <w:t xml:space="preserve"> the</w:t>
            </w:r>
            <w:r w:rsidRPr="00223586">
              <w:rPr>
                <w:sz w:val="22"/>
                <w:szCs w:val="22"/>
              </w:rPr>
              <w:t xml:space="preserve"> industry and then if a product falls below </w:t>
            </w:r>
            <w:r w:rsidR="009863F2">
              <w:rPr>
                <w:sz w:val="22"/>
                <w:szCs w:val="22"/>
              </w:rPr>
              <w:t>a threshold buffer amount below the</w:t>
            </w:r>
            <w:r w:rsidRPr="00223586">
              <w:rPr>
                <w:sz w:val="22"/>
                <w:szCs w:val="22"/>
              </w:rPr>
              <w:t xml:space="preserve"> trend line they fail the test.</w:t>
            </w:r>
          </w:p>
        </w:tc>
      </w:tr>
      <w:tr w:rsidR="00665CB1" w14:paraId="3440D0A1" w14:textId="77777777">
        <w:tc>
          <w:tcPr>
            <w:tcW w:w="2122" w:type="dxa"/>
          </w:tcPr>
          <w:p w14:paraId="21BBD002" w14:textId="77777777" w:rsidR="00665CB1" w:rsidRPr="00466C43" w:rsidRDefault="00665CB1" w:rsidP="00665CB1">
            <w:pPr>
              <w:rPr>
                <w:sz w:val="22"/>
                <w:szCs w:val="22"/>
              </w:rPr>
            </w:pPr>
            <w:r w:rsidRPr="00466C43">
              <w:rPr>
                <w:sz w:val="22"/>
                <w:szCs w:val="22"/>
              </w:rPr>
              <w:t>Dashboard of risk metrics</w:t>
            </w:r>
          </w:p>
        </w:tc>
        <w:tc>
          <w:tcPr>
            <w:tcW w:w="6894" w:type="dxa"/>
          </w:tcPr>
          <w:p w14:paraId="3D27A063" w14:textId="1703C01E" w:rsidR="00665CB1" w:rsidRPr="00466C43" w:rsidRDefault="00D7454D" w:rsidP="00665CB1">
            <w:pPr>
              <w:rPr>
                <w:sz w:val="22"/>
                <w:szCs w:val="22"/>
              </w:rPr>
            </w:pPr>
            <w:r>
              <w:rPr>
                <w:sz w:val="22"/>
                <w:szCs w:val="22"/>
              </w:rPr>
              <w:t xml:space="preserve">Multiple risk metrics could be </w:t>
            </w:r>
            <w:r w:rsidR="002B7650">
              <w:rPr>
                <w:sz w:val="22"/>
                <w:szCs w:val="22"/>
              </w:rPr>
              <w:t>used to</w:t>
            </w:r>
            <w:r w:rsidR="00665CB1">
              <w:rPr>
                <w:sz w:val="22"/>
                <w:szCs w:val="22"/>
              </w:rPr>
              <w:t xml:space="preserve"> combat members being concerned about different types of risk and having </w:t>
            </w:r>
            <w:r w:rsidR="00665CB1" w:rsidRPr="00466C43">
              <w:rPr>
                <w:sz w:val="22"/>
                <w:szCs w:val="22"/>
              </w:rPr>
              <w:t>differing tolerances for those risks</w:t>
            </w:r>
            <w:r w:rsidR="002B7650">
              <w:rPr>
                <w:sz w:val="22"/>
                <w:szCs w:val="22"/>
              </w:rPr>
              <w:t>.</w:t>
            </w:r>
          </w:p>
        </w:tc>
      </w:tr>
      <w:tr w:rsidR="00665CB1" w14:paraId="10DBACDB" w14:textId="77777777">
        <w:tc>
          <w:tcPr>
            <w:tcW w:w="2122" w:type="dxa"/>
          </w:tcPr>
          <w:p w14:paraId="35908216" w14:textId="77777777" w:rsidR="00665CB1" w:rsidRPr="00466C43" w:rsidRDefault="00665CB1" w:rsidP="00665CB1">
            <w:pPr>
              <w:rPr>
                <w:sz w:val="22"/>
                <w:szCs w:val="22"/>
              </w:rPr>
            </w:pPr>
            <w:r w:rsidRPr="00466C43">
              <w:rPr>
                <w:sz w:val="22"/>
                <w:szCs w:val="22"/>
              </w:rPr>
              <w:t>Individualised member test</w:t>
            </w:r>
          </w:p>
        </w:tc>
        <w:tc>
          <w:tcPr>
            <w:tcW w:w="6894" w:type="dxa"/>
          </w:tcPr>
          <w:p w14:paraId="03DB586B" w14:textId="77777777" w:rsidR="00665CB1" w:rsidRPr="00466C43" w:rsidRDefault="00665CB1" w:rsidP="00665CB1">
            <w:pPr>
              <w:rPr>
                <w:sz w:val="22"/>
                <w:szCs w:val="22"/>
              </w:rPr>
            </w:pPr>
            <w:r w:rsidRPr="00466C43">
              <w:rPr>
                <w:sz w:val="22"/>
                <w:szCs w:val="22"/>
              </w:rPr>
              <w:t>Apply investment option returns to members’ own projected retirement balances. Collate into cohorts and report on projected retirement balances.</w:t>
            </w:r>
          </w:p>
        </w:tc>
      </w:tr>
    </w:tbl>
    <w:p w14:paraId="6FF04B76" w14:textId="77777777" w:rsidR="00B46BBB" w:rsidRDefault="00B46BBB" w:rsidP="008361B4"/>
    <w:p w14:paraId="74B841BF" w14:textId="1F238C06" w:rsidR="007F0B31" w:rsidRDefault="007F0B31" w:rsidP="008361B4"/>
    <w:sectPr w:rsidR="007F0B31" w:rsidSect="00E5398A">
      <w:footerReference w:type="default" r:id="rId40"/>
      <w:pgSz w:w="11906" w:h="16838" w:code="9"/>
      <w:pgMar w:top="127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D5A2" w14:textId="77777777" w:rsidR="00454FD2" w:rsidRDefault="00454FD2">
      <w:pPr>
        <w:spacing w:before="0" w:after="0"/>
      </w:pPr>
      <w:r>
        <w:separator/>
      </w:r>
    </w:p>
  </w:endnote>
  <w:endnote w:type="continuationSeparator" w:id="0">
    <w:p w14:paraId="5468DE92" w14:textId="77777777" w:rsidR="00454FD2" w:rsidRDefault="00454FD2">
      <w:pPr>
        <w:spacing w:before="0" w:after="0"/>
      </w:pPr>
      <w:r>
        <w:continuationSeparator/>
      </w:r>
    </w:p>
  </w:endnote>
  <w:endnote w:type="continuationNotice" w:id="1">
    <w:p w14:paraId="71B2F445" w14:textId="77777777" w:rsidR="00454FD2" w:rsidRDefault="00454F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688A" w14:textId="77777777" w:rsidR="00863709" w:rsidRDefault="00863709">
    <w:pPr>
      <w:pStyle w:val="Footer"/>
    </w:pPr>
  </w:p>
  <w:p w14:paraId="756522DE" w14:textId="3470E1D0" w:rsidR="00F473BC" w:rsidRDefault="00F473BC" w:rsidP="00F473BC">
    <w:pPr>
      <w:pStyle w:val="SecurityClassification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2216" w14:textId="68132D81" w:rsidR="00241322" w:rsidRDefault="00241322" w:rsidP="00E13E90">
    <w:pPr>
      <w:pStyle w:val="Footer"/>
    </w:pPr>
    <w:r w:rsidRPr="00742366">
      <w:drawing>
        <wp:anchor distT="0" distB="0" distL="114300" distR="114300" simplePos="0" relativeHeight="251656704" behindDoc="1" locked="1" layoutInCell="1" allowOverlap="1" wp14:anchorId="39405012" wp14:editId="734CA18C">
          <wp:simplePos x="0" y="0"/>
          <wp:positionH relativeFrom="margin">
            <wp:posOffset>5459095</wp:posOffset>
          </wp:positionH>
          <wp:positionV relativeFrom="page">
            <wp:posOffset>3280410</wp:posOffset>
          </wp:positionV>
          <wp:extent cx="7574280" cy="1043940"/>
          <wp:effectExtent l="762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5DDE5DFC" wp14:editId="36C87C91">
          <wp:extent cx="1324800" cy="201600"/>
          <wp:effectExtent l="0" t="0" r="0" b="8255"/>
          <wp:docPr id="21" name="Picture 2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2634E2">
      <w:t>Background</w:t>
    </w:r>
    <w:r>
      <w:t xml:space="preserve">| </w:t>
    </w:r>
    <w:r>
      <w:rPr>
        <w:noProof w:val="0"/>
      </w:rPr>
      <w:fldChar w:fldCharType="begin"/>
    </w:r>
    <w:r>
      <w:instrText xml:space="preserve"> PAGE   \* MERGEFORMAT </w:instrText>
    </w:r>
    <w:r>
      <w:rPr>
        <w:noProof w:val="0"/>
      </w:rPr>
      <w:fldChar w:fldCharType="separate"/>
    </w:r>
    <w:r>
      <w:rPr>
        <w:noProof w:val="0"/>
      </w:rPr>
      <w:t>3</w:t>
    </w:r>
    <w:r>
      <w:fldChar w:fldCharType="end"/>
    </w:r>
  </w:p>
  <w:p w14:paraId="52559BA1" w14:textId="2D95A485" w:rsidR="00241322" w:rsidRPr="004F187F" w:rsidRDefault="00241322" w:rsidP="00F473BC">
    <w:pPr>
      <w:pStyle w:val="SecurityClassification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EA97" w14:textId="2F303359" w:rsidR="00C54650" w:rsidRDefault="00C54650" w:rsidP="00E13E90">
    <w:pPr>
      <w:pStyle w:val="Footer"/>
    </w:pPr>
    <w:r w:rsidRPr="00742366">
      <w:drawing>
        <wp:anchor distT="0" distB="0" distL="114300" distR="114300" simplePos="0" relativeHeight="251659776" behindDoc="1" locked="1" layoutInCell="1" allowOverlap="1" wp14:anchorId="56D427C4" wp14:editId="24067B90">
          <wp:simplePos x="0" y="0"/>
          <wp:positionH relativeFrom="margin">
            <wp:posOffset>5459095</wp:posOffset>
          </wp:positionH>
          <wp:positionV relativeFrom="page">
            <wp:posOffset>3280410</wp:posOffset>
          </wp:positionV>
          <wp:extent cx="7574280" cy="1043940"/>
          <wp:effectExtent l="762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27BF070D" wp14:editId="667E38FD">
          <wp:extent cx="1324800" cy="201600"/>
          <wp:effectExtent l="0" t="0" r="0" b="8255"/>
          <wp:docPr id="72" name="Picture 7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Options for Reform| </w:t>
    </w:r>
    <w:r>
      <w:rPr>
        <w:noProof w:val="0"/>
      </w:rPr>
      <w:fldChar w:fldCharType="begin"/>
    </w:r>
    <w:r>
      <w:instrText xml:space="preserve"> PAGE   \* MERGEFORMAT </w:instrText>
    </w:r>
    <w:r>
      <w:rPr>
        <w:noProof w:val="0"/>
      </w:rPr>
      <w:fldChar w:fldCharType="separate"/>
    </w:r>
    <w:r>
      <w:rPr>
        <w:noProof w:val="0"/>
      </w:rPr>
      <w:t>3</w:t>
    </w:r>
    <w:r>
      <w:fldChar w:fldCharType="end"/>
    </w:r>
  </w:p>
  <w:p w14:paraId="0751591B" w14:textId="55B4E096" w:rsidR="00C54650" w:rsidRPr="004F187F" w:rsidRDefault="00C54650" w:rsidP="00F473BC">
    <w:pPr>
      <w:pStyle w:val="SecurityClassification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D6F2" w14:textId="06774165" w:rsidR="0053529D" w:rsidRPr="004F187F" w:rsidRDefault="0053529D" w:rsidP="0009191F">
    <w:pPr>
      <w:pStyle w:val="Footer"/>
    </w:pPr>
    <w:r w:rsidRPr="00742366">
      <w:drawing>
        <wp:anchor distT="0" distB="0" distL="114300" distR="114300" simplePos="0" relativeHeight="251661824" behindDoc="1" locked="1" layoutInCell="1" allowOverlap="1" wp14:anchorId="2125FAA0" wp14:editId="490C9794">
          <wp:simplePos x="0" y="0"/>
          <wp:positionH relativeFrom="margin">
            <wp:posOffset>5459095</wp:posOffset>
          </wp:positionH>
          <wp:positionV relativeFrom="page">
            <wp:posOffset>3280410</wp:posOffset>
          </wp:positionV>
          <wp:extent cx="7574280" cy="1043940"/>
          <wp:effectExtent l="762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031FDF3D" wp14:editId="78C3CBCC">
          <wp:extent cx="1324800" cy="201600"/>
          <wp:effectExtent l="0" t="0" r="0" b="8255"/>
          <wp:docPr id="74" name="Picture 7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Design Options|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C9A7" w14:textId="58A0ECEC" w:rsidR="0053529D" w:rsidRPr="004F187F" w:rsidRDefault="0053529D" w:rsidP="0009191F">
    <w:pPr>
      <w:pStyle w:val="Footer"/>
    </w:pPr>
    <w:r w:rsidRPr="00742366">
      <w:drawing>
        <wp:anchor distT="0" distB="0" distL="114300" distR="114300" simplePos="0" relativeHeight="251662848" behindDoc="1" locked="1" layoutInCell="1" allowOverlap="1" wp14:anchorId="125AEAAE" wp14:editId="44E9D4FA">
          <wp:simplePos x="0" y="0"/>
          <wp:positionH relativeFrom="margin">
            <wp:posOffset>5459095</wp:posOffset>
          </wp:positionH>
          <wp:positionV relativeFrom="page">
            <wp:posOffset>3280410</wp:posOffset>
          </wp:positionV>
          <wp:extent cx="7574280" cy="1043940"/>
          <wp:effectExtent l="762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599C4466" wp14:editId="5AF8E521">
          <wp:extent cx="1324800" cy="201600"/>
          <wp:effectExtent l="0" t="0" r="0" b="8255"/>
          <wp:docPr id="76" name="Picture 7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Broader considerations for reform|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6661" w14:textId="494A93E8" w:rsidR="0053529D" w:rsidRPr="004F187F" w:rsidRDefault="0053529D" w:rsidP="0009191F">
    <w:pPr>
      <w:pStyle w:val="Footer"/>
    </w:pPr>
    <w:r w:rsidRPr="00742366">
      <w:drawing>
        <wp:anchor distT="0" distB="0" distL="114300" distR="114300" simplePos="0" relativeHeight="251665408" behindDoc="1" locked="1" layoutInCell="1" allowOverlap="1" wp14:anchorId="18FC4DF0" wp14:editId="2246BA98">
          <wp:simplePos x="0" y="0"/>
          <wp:positionH relativeFrom="margin">
            <wp:posOffset>5459095</wp:posOffset>
          </wp:positionH>
          <wp:positionV relativeFrom="page">
            <wp:posOffset>3280410</wp:posOffset>
          </wp:positionV>
          <wp:extent cx="7574280" cy="1043940"/>
          <wp:effectExtent l="762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0E711ADC" wp14:editId="242021E5">
          <wp:extent cx="1324800" cy="201600"/>
          <wp:effectExtent l="0" t="0" r="0" b="8255"/>
          <wp:docPr id="78" name="Picture 7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Appendix|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25F2" w14:textId="77777777" w:rsidR="00863709" w:rsidRDefault="00863709">
    <w:pPr>
      <w:pStyle w:val="Footer"/>
    </w:pPr>
  </w:p>
  <w:p w14:paraId="6985CE91" w14:textId="6993B6EF" w:rsidR="00F473BC" w:rsidRDefault="00F473BC" w:rsidP="00F473BC">
    <w:pPr>
      <w:pStyle w:val="SecurityClassification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A06E" w14:textId="77777777" w:rsidR="00863709" w:rsidRDefault="00863709">
    <w:pPr>
      <w:pStyle w:val="Footer"/>
    </w:pPr>
  </w:p>
  <w:p w14:paraId="31BE63DF" w14:textId="56B1427D" w:rsidR="00F473BC" w:rsidRPr="00CE04A5" w:rsidRDefault="00F473BC" w:rsidP="00F473BC">
    <w:pPr>
      <w:pStyle w:val="SecurityClassification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B61C" w14:textId="77777777" w:rsidR="002314D2" w:rsidRDefault="002314D2" w:rsidP="0017089D">
    <w:r>
      <w:fldChar w:fldCharType="begin"/>
    </w:r>
    <w:r>
      <w:instrText xml:space="preserve"> PAGE  \* Arabic  \* MERGEFORMAT </w:instrText>
    </w:r>
    <w:r>
      <w:fldChar w:fldCharType="separate"/>
    </w:r>
    <w:r>
      <w:t>6</w:t>
    </w:r>
    <w:r>
      <w:fldChar w:fldCharType="end"/>
    </w:r>
  </w:p>
  <w:p w14:paraId="216BCB1E" w14:textId="21D1759F" w:rsidR="00F473BC" w:rsidRPr="00E77C89" w:rsidRDefault="00F473BC" w:rsidP="00F473BC">
    <w:pPr>
      <w:pStyle w:val="SecurityClassification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7F85" w14:textId="2F76A1C4" w:rsidR="009927E5" w:rsidRPr="008043EA" w:rsidRDefault="009927E5" w:rsidP="0009151A">
    <w:r w:rsidRPr="00742366">
      <w:rPr>
        <w:noProof/>
      </w:rPr>
      <w:drawing>
        <wp:anchor distT="0" distB="0" distL="114300" distR="114300" simplePos="0" relativeHeight="251654656" behindDoc="1" locked="1" layoutInCell="1" allowOverlap="1" wp14:anchorId="108A8129" wp14:editId="2C89C110">
          <wp:simplePos x="0" y="0"/>
          <wp:positionH relativeFrom="margin">
            <wp:posOffset>5459095</wp:posOffset>
          </wp:positionH>
          <wp:positionV relativeFrom="page">
            <wp:posOffset>3280410</wp:posOffset>
          </wp:positionV>
          <wp:extent cx="7574280" cy="1043940"/>
          <wp:effectExtent l="762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608" behindDoc="1" locked="0" layoutInCell="1" allowOverlap="0" wp14:anchorId="3BC03B02" wp14:editId="58A49E68">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3" name="Picture 4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0D1B3A">
        <w:rPr>
          <w:noProof/>
        </w:rPr>
        <w:t>Consultation Process</w:t>
      </w:r>
    </w:fldSimple>
    <w:r>
      <w:t xml:space="preserve"> | </w:t>
    </w:r>
    <w:r>
      <w:fldChar w:fldCharType="begin"/>
    </w:r>
    <w:r>
      <w:instrText xml:space="preserve"> PAGE   \* MERGEFORMAT </w:instrText>
    </w:r>
    <w:r>
      <w:fldChar w:fldCharType="separate"/>
    </w:r>
    <w:r>
      <w:t>1</w:t>
    </w:r>
    <w:r>
      <w:fldChar w:fldCharType="end"/>
    </w:r>
  </w:p>
  <w:p w14:paraId="114EEA42" w14:textId="77777777" w:rsidR="009927E5" w:rsidRDefault="009927E5" w:rsidP="009927E5"/>
  <w:p w14:paraId="410A118D" w14:textId="7B9A2681" w:rsidR="00F473BC" w:rsidRPr="008043EA" w:rsidRDefault="00F473BC" w:rsidP="00F473BC">
    <w:pPr>
      <w:pStyle w:val="SecurityClassification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7D73" w14:textId="77777777" w:rsidR="00E81A40" w:rsidRDefault="00E81A40" w:rsidP="0017089D">
    <w:r>
      <w:fldChar w:fldCharType="begin"/>
    </w:r>
    <w:r>
      <w:instrText xml:space="preserve"> PAGE  \* Arabic  \* MERGEFORMAT </w:instrText>
    </w:r>
    <w:r>
      <w:fldChar w:fldCharType="separate"/>
    </w:r>
    <w:r>
      <w:t>6</w:t>
    </w:r>
    <w:r>
      <w:fldChar w:fldCharType="end"/>
    </w:r>
  </w:p>
  <w:p w14:paraId="16A661F0" w14:textId="32E64881" w:rsidR="00F473BC" w:rsidRPr="00E77C89" w:rsidRDefault="00F473BC" w:rsidP="00F473BC">
    <w:pPr>
      <w:pStyle w:val="SecurityClassification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56A9" w14:textId="5BEC0836" w:rsidR="00E81A40" w:rsidRDefault="00E81A40" w:rsidP="00E13E90">
    <w:pPr>
      <w:pStyle w:val="Footer"/>
    </w:pPr>
    <w:r w:rsidRPr="00742366">
      <w:drawing>
        <wp:anchor distT="0" distB="0" distL="114300" distR="114300" simplePos="0" relativeHeight="251653632" behindDoc="1" locked="1" layoutInCell="1" allowOverlap="1" wp14:anchorId="3DED675C" wp14:editId="57A3069E">
          <wp:simplePos x="0" y="0"/>
          <wp:positionH relativeFrom="margin">
            <wp:posOffset>5459095</wp:posOffset>
          </wp:positionH>
          <wp:positionV relativeFrom="page">
            <wp:posOffset>3280410</wp:posOffset>
          </wp:positionV>
          <wp:extent cx="7574280" cy="1043940"/>
          <wp:effectExtent l="762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2441BF34" wp14:editId="095105A3">
          <wp:extent cx="1324800" cy="201600"/>
          <wp:effectExtent l="0" t="0" r="0" b="8255"/>
          <wp:docPr id="37" name="Picture 3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C54650">
      <w:t>Consultation process</w:t>
    </w:r>
    <w:r>
      <w:t xml:space="preserve">| </w:t>
    </w:r>
    <w:r>
      <w:rPr>
        <w:noProof w:val="0"/>
      </w:rPr>
      <w:fldChar w:fldCharType="begin"/>
    </w:r>
    <w:r>
      <w:instrText xml:space="preserve"> PAGE   \* MERGEFORMAT </w:instrText>
    </w:r>
    <w:r>
      <w:rPr>
        <w:noProof w:val="0"/>
      </w:rPr>
      <w:fldChar w:fldCharType="separate"/>
    </w:r>
    <w:r>
      <w:rPr>
        <w:noProof w:val="0"/>
      </w:rPr>
      <w:t>3</w:t>
    </w:r>
    <w:r>
      <w:fldChar w:fldCharType="end"/>
    </w:r>
  </w:p>
  <w:p w14:paraId="6650E22D" w14:textId="5307A2C9" w:rsidR="00F473BC" w:rsidRPr="004F187F" w:rsidRDefault="00F473BC" w:rsidP="00F473BC">
    <w:pPr>
      <w:pStyle w:val="SecurityClassification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AA00" w14:textId="77777777" w:rsidR="00E81A40" w:rsidRDefault="00E81A40">
    <w:pPr>
      <w:pStyle w:val="Footer"/>
    </w:pPr>
  </w:p>
  <w:p w14:paraId="2E904CDE" w14:textId="6ED106FE" w:rsidR="00F473BC" w:rsidRDefault="00F473BC" w:rsidP="00F473BC">
    <w:pPr>
      <w:pStyle w:val="SecurityClassification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D5FC" w14:textId="03DEEE1A" w:rsidR="00C54650" w:rsidRDefault="00C54650" w:rsidP="00E13E90">
    <w:pPr>
      <w:pStyle w:val="Footer"/>
    </w:pPr>
    <w:r w:rsidRPr="00742366">
      <w:drawing>
        <wp:anchor distT="0" distB="0" distL="114300" distR="114300" simplePos="0" relativeHeight="251657728" behindDoc="1" locked="1" layoutInCell="1" allowOverlap="1" wp14:anchorId="72A1E012" wp14:editId="471E0E3F">
          <wp:simplePos x="0" y="0"/>
          <wp:positionH relativeFrom="margin">
            <wp:posOffset>5459095</wp:posOffset>
          </wp:positionH>
          <wp:positionV relativeFrom="page">
            <wp:posOffset>3280410</wp:posOffset>
          </wp:positionV>
          <wp:extent cx="7574280" cy="1043940"/>
          <wp:effectExtent l="762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67155C87" wp14:editId="398B987C">
          <wp:extent cx="1324800" cy="201600"/>
          <wp:effectExtent l="0" t="0" r="0" b="8255"/>
          <wp:docPr id="44" name="Picture 4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5373ED">
      <w:t>Executive Summary</w:t>
    </w:r>
    <w:r>
      <w:t xml:space="preserve">| </w:t>
    </w:r>
    <w:r>
      <w:rPr>
        <w:noProof w:val="0"/>
      </w:rPr>
      <w:fldChar w:fldCharType="begin"/>
    </w:r>
    <w:r>
      <w:instrText xml:space="preserve"> PAGE   \* MERGEFORMAT </w:instrText>
    </w:r>
    <w:r>
      <w:rPr>
        <w:noProof w:val="0"/>
      </w:rPr>
      <w:fldChar w:fldCharType="separate"/>
    </w:r>
    <w:r>
      <w:rPr>
        <w:noProof w:val="0"/>
      </w:rPr>
      <w:t>3</w:t>
    </w:r>
    <w:r>
      <w:fldChar w:fldCharType="end"/>
    </w:r>
  </w:p>
  <w:p w14:paraId="21C3E12B" w14:textId="64062273" w:rsidR="00C54650" w:rsidRPr="004F187F" w:rsidRDefault="00C54650" w:rsidP="00F473BC">
    <w:pPr>
      <w:pStyle w:val="SecurityClassification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D842" w14:textId="77777777" w:rsidR="00454FD2" w:rsidRDefault="00454FD2">
      <w:pPr>
        <w:spacing w:before="0" w:after="0"/>
      </w:pPr>
      <w:r>
        <w:separator/>
      </w:r>
    </w:p>
  </w:footnote>
  <w:footnote w:type="continuationSeparator" w:id="0">
    <w:p w14:paraId="4D83C5F7" w14:textId="77777777" w:rsidR="00454FD2" w:rsidRDefault="00454FD2">
      <w:pPr>
        <w:spacing w:before="0" w:after="0"/>
      </w:pPr>
      <w:r>
        <w:continuationSeparator/>
      </w:r>
    </w:p>
  </w:footnote>
  <w:footnote w:type="continuationNotice" w:id="1">
    <w:p w14:paraId="013FBC5F" w14:textId="77777777" w:rsidR="00454FD2" w:rsidRDefault="00454FD2">
      <w:pPr>
        <w:spacing w:before="0" w:after="0"/>
      </w:pPr>
    </w:p>
  </w:footnote>
  <w:footnote w:id="2">
    <w:p w14:paraId="3950B8CB" w14:textId="668BEC3D" w:rsidR="00C4529B" w:rsidRDefault="00C4529B" w:rsidP="00F93D34">
      <w:pPr>
        <w:pStyle w:val="FootnoteText"/>
        <w:ind w:left="0" w:firstLine="0"/>
      </w:pPr>
      <w:r>
        <w:rPr>
          <w:rStyle w:val="FootnoteReference"/>
        </w:rPr>
        <w:footnoteRef/>
      </w:r>
      <w:r>
        <w:t xml:space="preserve"> Australian Bureau of Statistics</w:t>
      </w:r>
      <w:r w:rsidR="00BE4CEA">
        <w:t>,</w:t>
      </w:r>
      <w:r>
        <w:t xml:space="preserve"> </w:t>
      </w:r>
      <w:hyperlink r:id="rId1" w:history="1">
        <w:r w:rsidRPr="00F93D34">
          <w:rPr>
            <w:rStyle w:val="Hyperlink"/>
            <w:i/>
            <w:iCs/>
          </w:rPr>
          <w:t>Household Wealth and Wealth Distribution, Australia 2019-20</w:t>
        </w:r>
      </w:hyperlink>
      <w:r w:rsidR="006C4EB1">
        <w:t xml:space="preserve"> [data set]</w:t>
      </w:r>
      <w:r w:rsidR="00A96EC3">
        <w:t>,</w:t>
      </w:r>
      <w:r w:rsidR="00F404BE">
        <w:t xml:space="preserve"> </w:t>
      </w:r>
      <w:r w:rsidR="00B80770">
        <w:t xml:space="preserve">Australian Bureau of Statistics, </w:t>
      </w:r>
      <w:r w:rsidR="00F404BE">
        <w:t>2022,</w:t>
      </w:r>
      <w:r w:rsidR="00A96EC3">
        <w:t xml:space="preserve"> accessed 2022</w:t>
      </w:r>
      <w:r w:rsidR="003C7A82">
        <w:t>.</w:t>
      </w:r>
    </w:p>
  </w:footnote>
  <w:footnote w:id="3">
    <w:p w14:paraId="68CE1A96" w14:textId="613FEB7B" w:rsidR="00C4529B" w:rsidRPr="00DA4703" w:rsidRDefault="00C4529B" w:rsidP="00F93D34">
      <w:pPr>
        <w:pStyle w:val="FootnoteText"/>
        <w:ind w:left="0" w:firstLine="0"/>
      </w:pPr>
      <w:r w:rsidRPr="001B5D59">
        <w:rPr>
          <w:rStyle w:val="FootnoteReference"/>
          <w:sz w:val="20"/>
        </w:rPr>
        <w:footnoteRef/>
      </w:r>
      <w:r w:rsidRPr="009A32BA">
        <w:t xml:space="preserve"> </w:t>
      </w:r>
      <w:r>
        <w:t>Australian Prudential Regulation Authority</w:t>
      </w:r>
      <w:r w:rsidR="00B719F6">
        <w:t>,</w:t>
      </w:r>
      <w:r w:rsidRPr="00DA4703">
        <w:t xml:space="preserve"> </w:t>
      </w:r>
      <w:hyperlink r:id="rId2" w:history="1">
        <w:r w:rsidRPr="00D174CD">
          <w:rPr>
            <w:rStyle w:val="Hyperlink"/>
            <w:i/>
            <w:iCs/>
          </w:rPr>
          <w:t>Superannuation in Australia: a timeline</w:t>
        </w:r>
      </w:hyperlink>
      <w:r w:rsidR="00B719F6">
        <w:t xml:space="preserve">, </w:t>
      </w:r>
      <w:r w:rsidR="004A265C">
        <w:t xml:space="preserve">Australian Prudential Regulation Authority website, </w:t>
      </w:r>
      <w:r w:rsidR="00B719F6">
        <w:t>2019</w:t>
      </w:r>
      <w:r w:rsidR="00621F1C">
        <w:t xml:space="preserve">, accessed </w:t>
      </w:r>
      <w:r w:rsidR="00FB43EC">
        <w:t>2022</w:t>
      </w:r>
      <w:r w:rsidRPr="00DA4703">
        <w:t xml:space="preserve">. </w:t>
      </w:r>
    </w:p>
  </w:footnote>
  <w:footnote w:id="4">
    <w:p w14:paraId="13DD9D69" w14:textId="369C0EC0" w:rsidR="00247307" w:rsidRDefault="00247307" w:rsidP="00F93D34">
      <w:pPr>
        <w:pStyle w:val="FootnoteText"/>
        <w:ind w:left="0" w:firstLine="0"/>
      </w:pPr>
      <w:r>
        <w:rPr>
          <w:rStyle w:val="FootnoteReference"/>
        </w:rPr>
        <w:footnoteRef/>
      </w:r>
      <w:r>
        <w:t xml:space="preserve"> Productivity Commission</w:t>
      </w:r>
      <w:r w:rsidRPr="00F93D34">
        <w:rPr>
          <w:i/>
        </w:rPr>
        <w:t xml:space="preserve">, </w:t>
      </w:r>
      <w:r w:rsidR="00400A91" w:rsidRPr="00F93D34">
        <w:rPr>
          <w:i/>
          <w:iCs/>
        </w:rPr>
        <w:t>Superannuation</w:t>
      </w:r>
      <w:r w:rsidR="00892CFE">
        <w:rPr>
          <w:i/>
          <w:iCs/>
        </w:rPr>
        <w:t>:</w:t>
      </w:r>
      <w:r w:rsidR="00400A91" w:rsidRPr="00F93D34">
        <w:rPr>
          <w:i/>
          <w:iCs/>
        </w:rPr>
        <w:t xml:space="preserve"> Assessing Efficiency and Competitiveness – Inquiry </w:t>
      </w:r>
      <w:r w:rsidRPr="00F93D34">
        <w:rPr>
          <w:i/>
        </w:rPr>
        <w:t>report</w:t>
      </w:r>
      <w:r>
        <w:t xml:space="preserve">, </w:t>
      </w:r>
      <w:r w:rsidR="00B50E22">
        <w:t>report to the Australian Government</w:t>
      </w:r>
      <w:r w:rsidR="00395A52">
        <w:t xml:space="preserve">, </w:t>
      </w:r>
      <w:r w:rsidR="00400A91">
        <w:t>2019.</w:t>
      </w:r>
      <w:r>
        <w:t xml:space="preserve"> </w:t>
      </w:r>
    </w:p>
  </w:footnote>
  <w:footnote w:id="5">
    <w:p w14:paraId="2C8EE93B" w14:textId="17A9A20A" w:rsidR="003F4AC0" w:rsidRDefault="003F4AC0" w:rsidP="00F93D34">
      <w:pPr>
        <w:pStyle w:val="FootnoteText"/>
        <w:ind w:left="0" w:firstLine="0"/>
      </w:pPr>
      <w:r>
        <w:rPr>
          <w:rStyle w:val="FootnoteReference"/>
        </w:rPr>
        <w:footnoteRef/>
      </w:r>
      <w:r>
        <w:t xml:space="preserve"> A</w:t>
      </w:r>
      <w:r w:rsidR="00765292">
        <w:t xml:space="preserve">ustralian </w:t>
      </w:r>
      <w:r>
        <w:t>P</w:t>
      </w:r>
      <w:r w:rsidR="00765292">
        <w:t xml:space="preserve">rudential </w:t>
      </w:r>
      <w:r>
        <w:t>R</w:t>
      </w:r>
      <w:r w:rsidR="00765292">
        <w:t xml:space="preserve">egulation </w:t>
      </w:r>
      <w:r>
        <w:t>A</w:t>
      </w:r>
      <w:r w:rsidR="00765292">
        <w:t>uthority</w:t>
      </w:r>
      <w:r w:rsidR="00A1052A" w:rsidRPr="00EC435B">
        <w:t>,</w:t>
      </w:r>
      <w:r w:rsidRPr="00F93D34">
        <w:rPr>
          <w:i/>
          <w:iCs/>
        </w:rPr>
        <w:t xml:space="preserve"> </w:t>
      </w:r>
      <w:hyperlink r:id="rId3" w:history="1">
        <w:r w:rsidR="00267596">
          <w:rPr>
            <w:rStyle w:val="Hyperlink"/>
            <w:i/>
            <w:iCs/>
          </w:rPr>
          <w:t>APRA Annual MySuper statistics backseries June 2014 - June 2022 (December 2022)</w:t>
        </w:r>
      </w:hyperlink>
      <w:r>
        <w:t xml:space="preserve"> [</w:t>
      </w:r>
      <w:r w:rsidR="00781EE5">
        <w:t>data</w:t>
      </w:r>
      <w:r w:rsidR="0068283A">
        <w:t xml:space="preserve"> </w:t>
      </w:r>
      <w:r w:rsidR="00781EE5">
        <w:t>set</w:t>
      </w:r>
      <w:r>
        <w:t xml:space="preserve">], </w:t>
      </w:r>
      <w:r w:rsidR="00877891">
        <w:t xml:space="preserve">Australian Prudential Regulation Authority, </w:t>
      </w:r>
      <w:r w:rsidR="00127765">
        <w:t xml:space="preserve">2022, </w:t>
      </w:r>
      <w:r>
        <w:t>accessed 7 August 2023.</w:t>
      </w:r>
    </w:p>
  </w:footnote>
  <w:footnote w:id="6">
    <w:p w14:paraId="2A94A6F3" w14:textId="38819C48" w:rsidR="00083456" w:rsidRDefault="00083456" w:rsidP="00F93D34">
      <w:pPr>
        <w:pStyle w:val="FootnoteText"/>
        <w:ind w:left="0" w:firstLine="0"/>
      </w:pPr>
      <w:r>
        <w:rPr>
          <w:rStyle w:val="FootnoteReference"/>
        </w:rPr>
        <w:footnoteRef/>
      </w:r>
      <w:r>
        <w:t xml:space="preserve"> Australian Taxation Office</w:t>
      </w:r>
      <w:r w:rsidR="009B08DE">
        <w:t xml:space="preserve">, </w:t>
      </w:r>
      <w:r w:rsidR="000140F2">
        <w:rPr>
          <w:i/>
          <w:iCs/>
        </w:rPr>
        <w:t>Comparison tool statistics</w:t>
      </w:r>
      <w:r w:rsidR="000140F2">
        <w:t xml:space="preserve"> [</w:t>
      </w:r>
      <w:r>
        <w:t>unpublished data provided to Treasury</w:t>
      </w:r>
      <w:r w:rsidR="000140F2">
        <w:t>],</w:t>
      </w:r>
      <w:r w:rsidR="00271381">
        <w:t xml:space="preserve"> </w:t>
      </w:r>
      <w:r w:rsidR="00291E5E">
        <w:t xml:space="preserve">Australian Tax Office, </w:t>
      </w:r>
      <w:r w:rsidR="00271381">
        <w:t>2023</w:t>
      </w:r>
      <w:r>
        <w:t>.</w:t>
      </w:r>
    </w:p>
  </w:footnote>
  <w:footnote w:id="7">
    <w:p w14:paraId="41F48D22" w14:textId="680A2E60" w:rsidR="00DA0956" w:rsidRDefault="00DA0956" w:rsidP="00DA0956">
      <w:pPr>
        <w:pStyle w:val="FootnoteText"/>
        <w:ind w:left="0" w:firstLine="0"/>
      </w:pPr>
      <w:r>
        <w:rPr>
          <w:rStyle w:val="FootnoteReference"/>
        </w:rPr>
        <w:footnoteRef/>
      </w:r>
      <w:r>
        <w:t xml:space="preserve"> Australian Prudential Regulation Authority</w:t>
      </w:r>
      <w:r w:rsidR="009709B2">
        <w:t xml:space="preserve">, </w:t>
      </w:r>
      <w:hyperlink r:id="rId4" w:history="1">
        <w:r w:rsidRPr="00F93D34">
          <w:rPr>
            <w:rStyle w:val="Hyperlink"/>
            <w:i/>
          </w:rPr>
          <w:t>Superannuation heatmaps</w:t>
        </w:r>
      </w:hyperlink>
      <w:r>
        <w:t xml:space="preserve"> [</w:t>
      </w:r>
      <w:r w:rsidR="009709B2">
        <w:t>data set</w:t>
      </w:r>
      <w:r>
        <w:t xml:space="preserve">], </w:t>
      </w:r>
      <w:r w:rsidR="009823D2">
        <w:t xml:space="preserve">Australian Prudential Regulation Authority, </w:t>
      </w:r>
      <w:r w:rsidR="009709B2">
        <w:t>2023,</w:t>
      </w:r>
      <w:r>
        <w:t xml:space="preserve"> accessed 10 July 2023.</w:t>
      </w:r>
    </w:p>
  </w:footnote>
  <w:footnote w:id="8">
    <w:p w14:paraId="021831B9" w14:textId="57EFB36C" w:rsidR="00491475" w:rsidRDefault="00491475" w:rsidP="00491475">
      <w:pPr>
        <w:pStyle w:val="FootnoteText"/>
        <w:ind w:left="0" w:firstLine="0"/>
      </w:pPr>
      <w:r>
        <w:rPr>
          <w:rStyle w:val="FootnoteReference"/>
        </w:rPr>
        <w:footnoteRef/>
      </w:r>
      <w:r>
        <w:t xml:space="preserve"> Gross investment return net of fees for products</w:t>
      </w:r>
      <w:r w:rsidR="00B91AA1">
        <w:t xml:space="preserve"> </w:t>
      </w:r>
      <w:r w:rsidR="00B91AA1">
        <w:t>is used instead of net investment return for products</w:t>
      </w:r>
      <w:r>
        <w:t xml:space="preserve"> that do not report </w:t>
      </w:r>
      <w:r w:rsidR="00B91AA1">
        <w:t>this</w:t>
      </w:r>
      <w:r>
        <w:t>, such as those on platforms; the lookback period is currently nine years but will increase to 10 years in 2024. A minimum of seven years will be required to be subject to the test.</w:t>
      </w:r>
    </w:p>
  </w:footnote>
  <w:footnote w:id="9">
    <w:p w14:paraId="2845A418" w14:textId="465E57C8" w:rsidR="00C435E9" w:rsidRDefault="00C435E9" w:rsidP="00422F69">
      <w:pPr>
        <w:pStyle w:val="FootnoteText"/>
        <w:ind w:left="0" w:firstLine="0"/>
      </w:pPr>
      <w:r>
        <w:rPr>
          <w:rStyle w:val="FootnoteReference"/>
        </w:rPr>
        <w:footnoteRef/>
      </w:r>
      <w:r w:rsidR="00AD206F">
        <w:t xml:space="preserve"> Productivity Commission</w:t>
      </w:r>
      <w:r w:rsidR="00A3500E" w:rsidRPr="00F93D34">
        <w:rPr>
          <w:i/>
          <w:iCs/>
        </w:rPr>
        <w:t xml:space="preserve">, </w:t>
      </w:r>
      <w:r w:rsidR="00FA2E2F" w:rsidRPr="00F93D34">
        <w:rPr>
          <w:i/>
          <w:iCs/>
        </w:rPr>
        <w:t xml:space="preserve">Superannuation: Assessing Efficiency and Competitiveness, Inquiry Report no. 91, </w:t>
      </w:r>
      <w:r w:rsidR="00FA2E2F" w:rsidRPr="00F93D34">
        <w:t>Technical Supplement 4</w:t>
      </w:r>
      <w:r w:rsidR="00A3500E" w:rsidRPr="00F93D34">
        <w:rPr>
          <w:rStyle w:val="Hyperlink"/>
          <w:i/>
          <w:iCs/>
          <w:color w:val="auto"/>
          <w:u w:val="none"/>
        </w:rPr>
        <w:t>,</w:t>
      </w:r>
      <w:r w:rsidR="00A3500E" w:rsidRPr="00F93D34">
        <w:rPr>
          <w:rStyle w:val="Hyperlink"/>
          <w:color w:val="auto"/>
          <w:u w:val="none"/>
        </w:rPr>
        <w:t xml:space="preserve"> </w:t>
      </w:r>
      <w:r w:rsidR="003F1557">
        <w:rPr>
          <w:rStyle w:val="Hyperlink"/>
          <w:color w:val="auto"/>
          <w:u w:val="none"/>
        </w:rPr>
        <w:t xml:space="preserve">report to the Australian Government, </w:t>
      </w:r>
      <w:r w:rsidR="00A3500E" w:rsidRPr="00F93D34">
        <w:rPr>
          <w:rStyle w:val="Hyperlink"/>
          <w:color w:val="auto"/>
          <w:u w:val="none"/>
        </w:rPr>
        <w:t>2019</w:t>
      </w:r>
      <w:r w:rsidR="003F1557">
        <w:rPr>
          <w:rStyle w:val="Hyperlink"/>
          <w:color w:val="auto"/>
          <w:u w:val="none"/>
        </w:rPr>
        <w:t>.</w:t>
      </w:r>
    </w:p>
  </w:footnote>
  <w:footnote w:id="10">
    <w:p w14:paraId="4B9928B4" w14:textId="77777777" w:rsidR="00443B23" w:rsidRDefault="00443B23" w:rsidP="00443B23">
      <w:pPr>
        <w:pStyle w:val="FootnoteText"/>
        <w:ind w:left="0" w:firstLine="0"/>
      </w:pPr>
      <w:r>
        <w:rPr>
          <w:rStyle w:val="FootnoteReference"/>
        </w:rPr>
        <w:footnoteRef/>
      </w:r>
      <w:r>
        <w:t xml:space="preserve"> The Government has recently consulted on the Sustainable Finance Strategy, which can </w:t>
      </w:r>
      <w:r>
        <w:t xml:space="preserve">be viewed at </w:t>
      </w:r>
      <w:hyperlink r:id="rId5" w:history="1">
        <w:r w:rsidRPr="006B5E9E">
          <w:rPr>
            <w:rStyle w:val="Hyperlink"/>
          </w:rPr>
          <w:t>https://treasury.gov.au/consultation/c2023-456756</w:t>
        </w:r>
      </w:hyperlink>
      <w:r>
        <w:rPr>
          <w:rStyle w:val="Hyperlink"/>
        </w:rPr>
        <w:t>.</w:t>
      </w:r>
    </w:p>
  </w:footnote>
  <w:footnote w:id="11">
    <w:p w14:paraId="352175C9" w14:textId="77777777" w:rsidR="00F33D81" w:rsidRDefault="00F33D81" w:rsidP="00F33D81">
      <w:pPr>
        <w:pStyle w:val="FootnoteText"/>
      </w:pPr>
      <w:r>
        <w:rPr>
          <w:rStyle w:val="FootnoteReference"/>
        </w:rPr>
        <w:footnoteRef/>
      </w:r>
      <w:r>
        <w:t xml:space="preserve"> Tracking error refers to the difference between the return generated by an investment and the benchmark.</w:t>
      </w:r>
    </w:p>
  </w:footnote>
  <w:footnote w:id="12">
    <w:p w14:paraId="0197759C" w14:textId="3A18AF23" w:rsidR="00C96FC5" w:rsidRDefault="00C96FC5" w:rsidP="00F93D34">
      <w:pPr>
        <w:pStyle w:val="FootnoteText"/>
        <w:ind w:left="0" w:firstLine="0"/>
      </w:pPr>
      <w:r>
        <w:rPr>
          <w:rStyle w:val="FootnoteReference"/>
        </w:rPr>
        <w:footnoteRef/>
      </w:r>
      <w:r>
        <w:t xml:space="preserve"> For clarity, this paper makes a distinction between metrics and variables. A metric can </w:t>
      </w:r>
      <w:r>
        <w:t>be viewed as a method of assessing performance, whereas a variable is an input to the metric, such as a lookback period or representative member balance.</w:t>
      </w:r>
    </w:p>
  </w:footnote>
  <w:footnote w:id="13">
    <w:p w14:paraId="22434564" w14:textId="33244F9B" w:rsidR="00AB5E65" w:rsidRDefault="00AB5E65" w:rsidP="00F93D34">
      <w:pPr>
        <w:pStyle w:val="FootnoteText"/>
        <w:ind w:left="0" w:firstLine="0"/>
      </w:pPr>
      <w:r>
        <w:rPr>
          <w:rStyle w:val="FootnoteReference"/>
        </w:rPr>
        <w:footnoteRef/>
      </w:r>
      <w:r>
        <w:t xml:space="preserve"> Australian Prudential Regulation Authority, </w:t>
      </w:r>
      <w:hyperlink r:id="rId6" w:history="1">
        <w:r w:rsidRPr="00F93D34">
          <w:rPr>
            <w:rStyle w:val="Hyperlink"/>
            <w:i/>
            <w:iCs/>
          </w:rPr>
          <w:t>Superannuation heatmaps</w:t>
        </w:r>
      </w:hyperlink>
      <w:r>
        <w:t xml:space="preserve"> [</w:t>
      </w:r>
      <w:r w:rsidR="00B83E90">
        <w:t>data set</w:t>
      </w:r>
      <w:r>
        <w:t xml:space="preserve">], </w:t>
      </w:r>
      <w:r w:rsidR="004A3DD2">
        <w:t xml:space="preserve">Australian Prudential Regulation Authority, </w:t>
      </w:r>
      <w:r w:rsidR="00775D3F">
        <w:t xml:space="preserve">2023, </w:t>
      </w:r>
      <w:r>
        <w:t>accessed 10 July 2023.</w:t>
      </w:r>
    </w:p>
  </w:footnote>
  <w:footnote w:id="14">
    <w:p w14:paraId="4AD34EAB" w14:textId="77777777" w:rsidR="000D73C2" w:rsidRDefault="000D73C2" w:rsidP="00F93D34">
      <w:pPr>
        <w:pStyle w:val="FootnoteText"/>
        <w:ind w:left="0" w:firstLine="0"/>
      </w:pPr>
      <w:r>
        <w:rPr>
          <w:rStyle w:val="FootnoteReference"/>
        </w:rPr>
        <w:footnoteRef/>
      </w:r>
      <w:r>
        <w:t xml:space="preserve"> Note net investment returns are coloured on the heatmap by distance away from a growth/defensive trend line. Net return metric has </w:t>
      </w:r>
      <w:r>
        <w:t>been excluded as it did not feature in the choice heatmap.</w:t>
      </w:r>
    </w:p>
  </w:footnote>
  <w:footnote w:id="15">
    <w:p w14:paraId="51CE6956" w14:textId="1321FF95" w:rsidR="00B67D8E" w:rsidRDefault="00B67D8E" w:rsidP="00A46154">
      <w:pPr>
        <w:pStyle w:val="FootnoteText"/>
        <w:ind w:left="0" w:firstLine="0"/>
      </w:pPr>
      <w:r>
        <w:rPr>
          <w:rStyle w:val="FootnoteReference"/>
        </w:rPr>
        <w:footnoteRef/>
      </w:r>
      <w:r w:rsidR="00F930BD">
        <w:t xml:space="preserve"> Australian Prudential Regulation Authority</w:t>
      </w:r>
      <w:r w:rsidR="00123567">
        <w:t xml:space="preserve">, </w:t>
      </w:r>
      <w:hyperlink r:id="rId7" w:history="1">
        <w:r w:rsidR="00F930BD" w:rsidRPr="00F93D34">
          <w:rPr>
            <w:rStyle w:val="Hyperlink"/>
            <w:i/>
          </w:rPr>
          <w:t>Superannuation heatmaps</w:t>
        </w:r>
      </w:hyperlink>
      <w:r w:rsidR="00F930BD">
        <w:t xml:space="preserve"> [</w:t>
      </w:r>
      <w:r w:rsidR="00123567">
        <w:t>data set</w:t>
      </w:r>
      <w:r w:rsidR="00F930BD">
        <w:t xml:space="preserve">], </w:t>
      </w:r>
      <w:r w:rsidR="00FD3F16">
        <w:t xml:space="preserve">Australian Prudential Regulation Authority, </w:t>
      </w:r>
      <w:r w:rsidR="00123567">
        <w:t>2023,</w:t>
      </w:r>
      <w:r w:rsidR="00F930BD">
        <w:t xml:space="preserve"> accessed </w:t>
      </w:r>
      <w:r w:rsidR="003F5447">
        <w:t>7 November</w:t>
      </w:r>
      <w:r w:rsidR="00F930BD">
        <w:t xml:space="preserve"> 2023.</w:t>
      </w:r>
    </w:p>
  </w:footnote>
  <w:footnote w:id="16">
    <w:p w14:paraId="1FF12663" w14:textId="7339A618" w:rsidR="00886627" w:rsidRDefault="00886627" w:rsidP="00F93D34">
      <w:pPr>
        <w:pStyle w:val="FootnoteText"/>
        <w:ind w:left="0" w:firstLine="0"/>
      </w:pPr>
      <w:r>
        <w:rPr>
          <w:rStyle w:val="FootnoteReference"/>
        </w:rPr>
        <w:footnoteRef/>
      </w:r>
      <w:r>
        <w:t xml:space="preserve"> Excludes exempt public sector schemes</w:t>
      </w:r>
      <w:r w:rsidR="00552447">
        <w:t>;</w:t>
      </w:r>
      <w:r>
        <w:t xml:space="preserve"> A</w:t>
      </w:r>
      <w:r w:rsidR="00552447">
        <w:t>ustralian Prudential Regulation Authority</w:t>
      </w:r>
      <w:r w:rsidR="00552447" w:rsidRPr="00F93D34">
        <w:rPr>
          <w:i/>
          <w:iCs/>
        </w:rPr>
        <w:t xml:space="preserve">, </w:t>
      </w:r>
      <w:hyperlink r:id="rId8" w:history="1">
        <w:r w:rsidRPr="00F93D34">
          <w:rPr>
            <w:rStyle w:val="Hyperlink"/>
            <w:i/>
            <w:iCs/>
          </w:rPr>
          <w:t>Quarterly Superannuation Industry publication (June 2023)</w:t>
        </w:r>
      </w:hyperlink>
      <w:r>
        <w:t xml:space="preserve">, </w:t>
      </w:r>
      <w:r w:rsidR="000B1263">
        <w:t xml:space="preserve">Australian Prudential Regulation Authority, </w:t>
      </w:r>
      <w:r w:rsidR="00DD6937">
        <w:t>2023,</w:t>
      </w:r>
      <w:r>
        <w:t xml:space="preserve"> accessed October 2023</w:t>
      </w:r>
      <w:r w:rsidR="002C1DBA">
        <w:t xml:space="preserve">. </w:t>
      </w:r>
    </w:p>
  </w:footnote>
  <w:footnote w:id="17">
    <w:p w14:paraId="219B7966" w14:textId="77777777" w:rsidR="003A010F" w:rsidRDefault="003A010F" w:rsidP="003A010F">
      <w:pPr>
        <w:pStyle w:val="FootnoteText"/>
        <w:ind w:left="0" w:firstLine="0"/>
      </w:pPr>
      <w:r>
        <w:rPr>
          <w:rStyle w:val="FootnoteReference"/>
        </w:rPr>
        <w:footnoteRef/>
      </w:r>
      <w:r>
        <w:t xml:space="preserve"> Multi-sector choice accumulation products net of TDPs and MySuper, based on APRA-regulated entities with more than six members; Australian Prudential Regulation Authority, </w:t>
      </w:r>
      <w:hyperlink r:id="rId9" w:history="1">
        <w:r w:rsidRPr="00DD6937">
          <w:rPr>
            <w:rStyle w:val="Hyperlink"/>
          </w:rPr>
          <w:t>Quarterly Superannuation Industry publication (June 2023)</w:t>
        </w:r>
      </w:hyperlink>
      <w:r>
        <w:t>, Australian Prudential Regulation Authority, 2023, accessed August 2023.</w:t>
      </w:r>
    </w:p>
  </w:footnote>
  <w:footnote w:id="18">
    <w:p w14:paraId="7F883FC4" w14:textId="77777777" w:rsidR="003A010F" w:rsidRDefault="003A010F" w:rsidP="003A010F">
      <w:pPr>
        <w:pStyle w:val="FootnoteText"/>
        <w:ind w:left="0" w:firstLine="0"/>
      </w:pPr>
      <w:r>
        <w:rPr>
          <w:rStyle w:val="FootnoteReference"/>
        </w:rPr>
        <w:footnoteRef/>
      </w:r>
      <w:r>
        <w:t xml:space="preserve"> APRA-regulated entities with more than six members, excluding retirement products. Note that the single sector definition in regulations is different to APRA’s definition where these values come from; Australian Prudential Regulation Authority, </w:t>
      </w:r>
      <w:hyperlink r:id="rId10" w:history="1">
        <w:r w:rsidRPr="00F93D34">
          <w:rPr>
            <w:rStyle w:val="Hyperlink"/>
            <w:i/>
            <w:iCs/>
          </w:rPr>
          <w:t>Quarterly Superannuation Industry publication (June 2023)</w:t>
        </w:r>
      </w:hyperlink>
      <w:r>
        <w:t xml:space="preserve">, Australian Prudential Regulation Authority, 2023, accessed August 2023. </w:t>
      </w:r>
    </w:p>
  </w:footnote>
  <w:footnote w:id="19">
    <w:p w14:paraId="015A75CA" w14:textId="6585A57D" w:rsidR="00886627" w:rsidRDefault="00886627" w:rsidP="00F93D34">
      <w:pPr>
        <w:pStyle w:val="FootnoteText"/>
        <w:ind w:left="0" w:firstLine="0"/>
      </w:pPr>
      <w:r>
        <w:rPr>
          <w:rStyle w:val="FootnoteReference"/>
        </w:rPr>
        <w:footnoteRef/>
      </w:r>
      <w:r>
        <w:t xml:space="preserve"> </w:t>
      </w:r>
      <w:r w:rsidR="009C7F59">
        <w:t xml:space="preserve">Australian Prudential Regulation Authority, </w:t>
      </w:r>
      <w:hyperlink r:id="rId11" w:history="1">
        <w:r w:rsidR="009C7F59" w:rsidRPr="00DD6937">
          <w:rPr>
            <w:rStyle w:val="Hyperlink"/>
          </w:rPr>
          <w:t>Quarterly Superannuation Industry publication (June 2023)</w:t>
        </w:r>
      </w:hyperlink>
      <w:r w:rsidR="009C7F59">
        <w:t xml:space="preserve">, </w:t>
      </w:r>
      <w:r w:rsidR="00115B91">
        <w:t xml:space="preserve">Australian Prudential Regulation Authority, </w:t>
      </w:r>
      <w:r w:rsidR="009C7F59">
        <w:t>2023, accessed October 2023.</w:t>
      </w:r>
      <w:r>
        <w:t xml:space="preserve"> </w:t>
      </w:r>
    </w:p>
  </w:footnote>
  <w:footnote w:id="20">
    <w:p w14:paraId="2E1C91C0" w14:textId="0F321FCC" w:rsidR="00886627" w:rsidRDefault="00886627" w:rsidP="00886627">
      <w:pPr>
        <w:pStyle w:val="FootnoteText"/>
      </w:pPr>
      <w:r>
        <w:rPr>
          <w:rStyle w:val="FootnoteReference"/>
        </w:rPr>
        <w:footnoteRef/>
      </w:r>
      <w:r w:rsidR="0042407E">
        <w:t xml:space="preserve"> </w:t>
      </w:r>
      <w:r w:rsidR="00C8407F">
        <w:t>I</w:t>
      </w:r>
      <w:r w:rsidR="0042407E">
        <w:t>bid</w:t>
      </w:r>
      <w:r w:rsidR="00C86291">
        <w:t>.</w:t>
      </w:r>
      <w:r w:rsidR="005C4DF1">
        <w:t>;</w:t>
      </w:r>
      <w:r>
        <w:t xml:space="preserve"> Treasury modelling</w:t>
      </w:r>
      <w:r w:rsidR="00C8407F">
        <w:t xml:space="preserve">. </w:t>
      </w:r>
    </w:p>
  </w:footnote>
  <w:footnote w:id="21">
    <w:p w14:paraId="189FC012" w14:textId="4FA6FDF6" w:rsidR="009D7208" w:rsidRDefault="009D7208" w:rsidP="009D7208">
      <w:pPr>
        <w:pStyle w:val="FootnoteText"/>
        <w:ind w:left="0" w:firstLine="0"/>
      </w:pPr>
      <w:r>
        <w:rPr>
          <w:rStyle w:val="FootnoteReference"/>
        </w:rPr>
        <w:footnoteRef/>
      </w:r>
      <w:r>
        <w:t xml:space="preserve"> </w:t>
      </w:r>
      <w:r w:rsidR="005A543E">
        <w:t xml:space="preserve">Market-linked annuities </w:t>
      </w:r>
      <w:r>
        <w:t>are annuity products where the member receives a regular guaranteed income stream, but the payments can increase or decrease based on the performance of the investments (market-risk).</w:t>
      </w:r>
    </w:p>
  </w:footnote>
  <w:footnote w:id="22">
    <w:p w14:paraId="5111EF8D" w14:textId="77777777" w:rsidR="00886627" w:rsidRDefault="00886627" w:rsidP="00886627">
      <w:pPr>
        <w:pStyle w:val="FootnoteText"/>
        <w:ind w:left="0" w:firstLine="0"/>
      </w:pPr>
      <w:r>
        <w:rPr>
          <w:rStyle w:val="FootnoteReference"/>
        </w:rPr>
        <w:footnoteRef/>
      </w:r>
      <w:r>
        <w:t xml:space="preserve"> Market risk refers to the possibility of losses due to impacts of the financial market.</w:t>
      </w:r>
    </w:p>
  </w:footnote>
  <w:footnote w:id="23">
    <w:p w14:paraId="381FE2FA" w14:textId="60C60EA6" w:rsidR="00886627" w:rsidRDefault="00886627" w:rsidP="00EA341B">
      <w:pPr>
        <w:pStyle w:val="FootnoteText"/>
        <w:ind w:left="142" w:hanging="142"/>
      </w:pPr>
      <w:r>
        <w:rPr>
          <w:rStyle w:val="FootnoteReference"/>
        </w:rPr>
        <w:footnoteRef/>
      </w:r>
      <w:r>
        <w:t xml:space="preserve"> Conexus Institute</w:t>
      </w:r>
      <w:r w:rsidR="00DC7233">
        <w:t xml:space="preserve">, </w:t>
      </w:r>
      <w:hyperlink r:id="rId12" w:history="1">
        <w:r w:rsidR="00DC6D70" w:rsidRPr="00F93D34">
          <w:rPr>
            <w:rStyle w:val="Hyperlink"/>
            <w:i/>
            <w:iCs/>
          </w:rPr>
          <w:t>Quantitative Assessmen</w:t>
        </w:r>
        <w:r w:rsidR="00533F42" w:rsidRPr="00F93D34">
          <w:rPr>
            <w:rStyle w:val="Hyperlink"/>
            <w:i/>
            <w:iCs/>
          </w:rPr>
          <w:t>t</w:t>
        </w:r>
        <w:r w:rsidR="00DC6D70" w:rsidRPr="00F93D34">
          <w:rPr>
            <w:rStyle w:val="Hyperlink"/>
            <w:i/>
            <w:iCs/>
          </w:rPr>
          <w:t xml:space="preserve"> of RIS</w:t>
        </w:r>
      </w:hyperlink>
      <w:r w:rsidR="00DC6D70">
        <w:t xml:space="preserve">, </w:t>
      </w:r>
      <w:r w:rsidR="00FA63FE">
        <w:t>C</w:t>
      </w:r>
      <w:r w:rsidR="00533F42">
        <w:t>one</w:t>
      </w:r>
      <w:r w:rsidR="004F1308" w:rsidRPr="00F93D34">
        <w:t>xus</w:t>
      </w:r>
      <w:r w:rsidR="00FA63FE">
        <w:t xml:space="preserve"> I</w:t>
      </w:r>
      <w:r w:rsidR="004F1308" w:rsidRPr="00F93D34">
        <w:t>nstitute</w:t>
      </w:r>
      <w:r w:rsidR="00FA63FE">
        <w:t xml:space="preserve"> website</w:t>
      </w:r>
      <w:r>
        <w:t xml:space="preserve">, </w:t>
      </w:r>
      <w:r w:rsidR="00706BF0">
        <w:t>2023,</w:t>
      </w:r>
      <w:r>
        <w:t xml:space="preserve"> accessed November 2023</w:t>
      </w:r>
      <w:r w:rsidR="00706BF0">
        <w:t xml:space="preserve">. </w:t>
      </w:r>
    </w:p>
  </w:footnote>
  <w:footnote w:id="24">
    <w:p w14:paraId="3A53656A" w14:textId="1474DD78" w:rsidR="00886627" w:rsidRDefault="00886627" w:rsidP="00EA341B">
      <w:pPr>
        <w:pStyle w:val="FootnoteText"/>
        <w:ind w:left="142" w:hanging="142"/>
      </w:pPr>
      <w:r>
        <w:rPr>
          <w:rStyle w:val="FootnoteReference"/>
        </w:rPr>
        <w:footnoteRef/>
      </w:r>
      <w:r>
        <w:t xml:space="preserve"> </w:t>
      </w:r>
      <w:r w:rsidR="00533F42">
        <w:t xml:space="preserve">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E759" w14:textId="5915EA53" w:rsidR="00CE04A5" w:rsidRPr="00CE04A5" w:rsidRDefault="00CE04A5" w:rsidP="00CE04A5">
    <w:pPr>
      <w:pStyle w:val="Heade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13D1" w14:textId="220F9A91" w:rsidR="002314D2" w:rsidRPr="001F3912" w:rsidRDefault="002314D2" w:rsidP="00BF1842">
    <w:pPr>
      <w:pStyle w:val="SecurityClassificationHeader"/>
    </w:pPr>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C995" w14:textId="776CBE67" w:rsidR="00F473BC" w:rsidRDefault="00F473BC" w:rsidP="00F473BC">
    <w:pPr>
      <w:pStyle w:val="SecurityClassification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C098" w14:textId="7F7F509E" w:rsidR="00E81A40" w:rsidRPr="001F3912" w:rsidRDefault="00E81A40" w:rsidP="00BF1842">
    <w:pPr>
      <w:pStyle w:val="SecurityClassificationHeader"/>
    </w:pPr>
    <w:r>
      <w:fldChar w:fldCharType="begin"/>
    </w:r>
    <w:r>
      <w:instrText xml:space="preserve"> macrobutton nomacro [Click and add Publication Title]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E4BC" w14:textId="01958684" w:rsidR="00F473BC" w:rsidRPr="004F187F" w:rsidRDefault="00F473BC" w:rsidP="00F473BC">
    <w:pPr>
      <w:pStyle w:val="SecurityClassification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DE18" w14:textId="477857E7" w:rsidR="00F473BC" w:rsidRDefault="00F473BC" w:rsidP="00F473BC">
    <w:pPr>
      <w:pStyle w:val="SecurityClassification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6D4"/>
    <w:multiLevelType w:val="hybridMultilevel"/>
    <w:tmpl w:val="2ED4F3AA"/>
    <w:lvl w:ilvl="0" w:tplc="4FB434DA">
      <w:start w:val="3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3D08E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C540B1"/>
    <w:multiLevelType w:val="hybridMultilevel"/>
    <w:tmpl w:val="C2A00AD6"/>
    <w:lvl w:ilvl="0" w:tplc="D45EBDFA">
      <w:start w:val="3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3A5CAE"/>
    <w:multiLevelType w:val="multilevel"/>
    <w:tmpl w:val="02EC8516"/>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0A435B1A"/>
    <w:multiLevelType w:val="hybridMultilevel"/>
    <w:tmpl w:val="CBC844B4"/>
    <w:lvl w:ilvl="0" w:tplc="0C09000F">
      <w:start w:val="3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3F7453"/>
    <w:multiLevelType w:val="hybridMultilevel"/>
    <w:tmpl w:val="6192B9AE"/>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271E5E"/>
    <w:multiLevelType w:val="hybridMultilevel"/>
    <w:tmpl w:val="2DEE82B0"/>
    <w:lvl w:ilvl="0" w:tplc="6B3EA10E">
      <w:start w:val="1"/>
      <w:numFmt w:val="decimal"/>
      <w:lvlText w:val="%1."/>
      <w:lvlJc w:val="left"/>
      <w:pPr>
        <w:ind w:left="644" w:hanging="360"/>
      </w:pPr>
      <w:rPr>
        <w:rFonts w:ascii="Calibri Light" w:eastAsia="Times New Roman" w:hAnsi="Calibri Light" w:cs="Calibri" w:hint="default"/>
        <w:color w:val="3A6FAF"/>
        <w:u w:val="single"/>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2602E79"/>
    <w:multiLevelType w:val="hybridMultilevel"/>
    <w:tmpl w:val="DAE03E56"/>
    <w:lvl w:ilvl="0" w:tplc="D9983248">
      <w:start w:val="2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A105C9"/>
    <w:multiLevelType w:val="hybridMultilevel"/>
    <w:tmpl w:val="2BFA8D0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CC4E5D"/>
    <w:multiLevelType w:val="multilevel"/>
    <w:tmpl w:val="D10E9CF6"/>
    <w:numStyleLink w:val="OneLevelList"/>
  </w:abstractNum>
  <w:abstractNum w:abstractNumId="12"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13" w15:restartNumberingAfterBreak="0">
    <w:nsid w:val="1C7974FA"/>
    <w:multiLevelType w:val="hybridMultilevel"/>
    <w:tmpl w:val="58A646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3D5CF9"/>
    <w:multiLevelType w:val="hybridMultilevel"/>
    <w:tmpl w:val="A8EE66E4"/>
    <w:lvl w:ilvl="0" w:tplc="62C0C642">
      <w:start w:val="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643523"/>
    <w:multiLevelType w:val="hybridMultilevel"/>
    <w:tmpl w:val="4F0ACA96"/>
    <w:lvl w:ilvl="0" w:tplc="0C09000F">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AB619D"/>
    <w:multiLevelType w:val="hybridMultilevel"/>
    <w:tmpl w:val="AFC6AE82"/>
    <w:lvl w:ilvl="0" w:tplc="19A417AE">
      <w:start w:val="3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 w15:restartNumberingAfterBreak="0">
    <w:nsid w:val="3238442C"/>
    <w:multiLevelType w:val="multilevel"/>
    <w:tmpl w:val="C92EA37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0D02A8"/>
    <w:multiLevelType w:val="hybridMultilevel"/>
    <w:tmpl w:val="A9ACA948"/>
    <w:lvl w:ilvl="0" w:tplc="A9FA4A26">
      <w:start w:val="1"/>
      <w:numFmt w:val="decimal"/>
      <w:lvlText w:val="2.%1"/>
      <w:lvlJc w:val="left"/>
      <w:pPr>
        <w:ind w:left="360" w:hanging="360"/>
      </w:pPr>
      <w:rPr>
        <w:rFonts w:ascii="Arial" w:hAnsi="Arial" w:cs="Arial" w:hint="default"/>
        <w:b w:val="0"/>
        <w:bCs w:val="0"/>
      </w:rPr>
    </w:lvl>
    <w:lvl w:ilvl="1" w:tplc="5C6C0970">
      <w:start w:val="1"/>
      <w:numFmt w:val="lowerLetter"/>
      <w:lvlText w:val="%2."/>
      <w:lvlJc w:val="left"/>
      <w:pPr>
        <w:ind w:left="1080" w:hanging="360"/>
      </w:pPr>
    </w:lvl>
    <w:lvl w:ilvl="2" w:tplc="596CF428">
      <w:start w:val="1"/>
      <w:numFmt w:val="lowerRoman"/>
      <w:lvlText w:val="%3."/>
      <w:lvlJc w:val="right"/>
      <w:pPr>
        <w:ind w:left="1800" w:hanging="180"/>
      </w:pPr>
    </w:lvl>
    <w:lvl w:ilvl="3" w:tplc="57AE040A">
      <w:start w:val="1"/>
      <w:numFmt w:val="decimal"/>
      <w:lvlText w:val="%4."/>
      <w:lvlJc w:val="left"/>
      <w:pPr>
        <w:ind w:left="2520" w:hanging="360"/>
      </w:pPr>
    </w:lvl>
    <w:lvl w:ilvl="4" w:tplc="345878A6">
      <w:start w:val="1"/>
      <w:numFmt w:val="lowerLetter"/>
      <w:lvlText w:val="%5."/>
      <w:lvlJc w:val="left"/>
      <w:pPr>
        <w:ind w:left="3240" w:hanging="360"/>
      </w:pPr>
    </w:lvl>
    <w:lvl w:ilvl="5" w:tplc="EAE272E2">
      <w:start w:val="1"/>
      <w:numFmt w:val="lowerRoman"/>
      <w:lvlText w:val="%6."/>
      <w:lvlJc w:val="right"/>
      <w:pPr>
        <w:ind w:left="3960" w:hanging="180"/>
      </w:pPr>
    </w:lvl>
    <w:lvl w:ilvl="6" w:tplc="D272FDE8">
      <w:start w:val="1"/>
      <w:numFmt w:val="decimal"/>
      <w:lvlText w:val="%7."/>
      <w:lvlJc w:val="left"/>
      <w:pPr>
        <w:ind w:left="4680" w:hanging="360"/>
      </w:pPr>
    </w:lvl>
    <w:lvl w:ilvl="7" w:tplc="71D6B754">
      <w:start w:val="1"/>
      <w:numFmt w:val="lowerLetter"/>
      <w:lvlText w:val="%8."/>
      <w:lvlJc w:val="left"/>
      <w:pPr>
        <w:ind w:left="5400" w:hanging="360"/>
      </w:pPr>
    </w:lvl>
    <w:lvl w:ilvl="8" w:tplc="AF1A2C32">
      <w:start w:val="1"/>
      <w:numFmt w:val="lowerRoman"/>
      <w:lvlText w:val="%9."/>
      <w:lvlJc w:val="right"/>
      <w:pPr>
        <w:ind w:left="6120" w:hanging="180"/>
      </w:pPr>
    </w:lvl>
  </w:abstractNum>
  <w:abstractNum w:abstractNumId="22" w15:restartNumberingAfterBreak="0">
    <w:nsid w:val="3C985B24"/>
    <w:multiLevelType w:val="hybridMultilevel"/>
    <w:tmpl w:val="55DE7B54"/>
    <w:lvl w:ilvl="0" w:tplc="0C09000F">
      <w:start w:val="4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B073E2"/>
    <w:multiLevelType w:val="hybridMultilevel"/>
    <w:tmpl w:val="286C3C80"/>
    <w:lvl w:ilvl="0" w:tplc="0C09000F">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F103BF"/>
    <w:multiLevelType w:val="hybridMultilevel"/>
    <w:tmpl w:val="DAA6ACC0"/>
    <w:lvl w:ilvl="0" w:tplc="E9002886">
      <w:start w:val="1"/>
      <w:numFmt w:val="bullet"/>
      <w:lvlText w:val=""/>
      <w:lvlJc w:val="left"/>
      <w:pPr>
        <w:ind w:left="1280" w:hanging="360"/>
      </w:pPr>
      <w:rPr>
        <w:rFonts w:ascii="Symbol" w:hAnsi="Symbol"/>
      </w:rPr>
    </w:lvl>
    <w:lvl w:ilvl="1" w:tplc="0EB23460">
      <w:start w:val="1"/>
      <w:numFmt w:val="bullet"/>
      <w:lvlText w:val=""/>
      <w:lvlJc w:val="left"/>
      <w:pPr>
        <w:ind w:left="1280" w:hanging="360"/>
      </w:pPr>
      <w:rPr>
        <w:rFonts w:ascii="Symbol" w:hAnsi="Symbol"/>
      </w:rPr>
    </w:lvl>
    <w:lvl w:ilvl="2" w:tplc="AC1057EC">
      <w:start w:val="1"/>
      <w:numFmt w:val="bullet"/>
      <w:lvlText w:val=""/>
      <w:lvlJc w:val="left"/>
      <w:pPr>
        <w:ind w:left="1280" w:hanging="360"/>
      </w:pPr>
      <w:rPr>
        <w:rFonts w:ascii="Symbol" w:hAnsi="Symbol"/>
      </w:rPr>
    </w:lvl>
    <w:lvl w:ilvl="3" w:tplc="49A0CCAA">
      <w:start w:val="1"/>
      <w:numFmt w:val="bullet"/>
      <w:lvlText w:val=""/>
      <w:lvlJc w:val="left"/>
      <w:pPr>
        <w:ind w:left="1280" w:hanging="360"/>
      </w:pPr>
      <w:rPr>
        <w:rFonts w:ascii="Symbol" w:hAnsi="Symbol"/>
      </w:rPr>
    </w:lvl>
    <w:lvl w:ilvl="4" w:tplc="23E69FD4">
      <w:start w:val="1"/>
      <w:numFmt w:val="bullet"/>
      <w:lvlText w:val=""/>
      <w:lvlJc w:val="left"/>
      <w:pPr>
        <w:ind w:left="1280" w:hanging="360"/>
      </w:pPr>
      <w:rPr>
        <w:rFonts w:ascii="Symbol" w:hAnsi="Symbol"/>
      </w:rPr>
    </w:lvl>
    <w:lvl w:ilvl="5" w:tplc="211EDDE4">
      <w:start w:val="1"/>
      <w:numFmt w:val="bullet"/>
      <w:lvlText w:val=""/>
      <w:lvlJc w:val="left"/>
      <w:pPr>
        <w:ind w:left="1280" w:hanging="360"/>
      </w:pPr>
      <w:rPr>
        <w:rFonts w:ascii="Symbol" w:hAnsi="Symbol"/>
      </w:rPr>
    </w:lvl>
    <w:lvl w:ilvl="6" w:tplc="35009AFA">
      <w:start w:val="1"/>
      <w:numFmt w:val="bullet"/>
      <w:lvlText w:val=""/>
      <w:lvlJc w:val="left"/>
      <w:pPr>
        <w:ind w:left="1280" w:hanging="360"/>
      </w:pPr>
      <w:rPr>
        <w:rFonts w:ascii="Symbol" w:hAnsi="Symbol"/>
      </w:rPr>
    </w:lvl>
    <w:lvl w:ilvl="7" w:tplc="F456172C">
      <w:start w:val="1"/>
      <w:numFmt w:val="bullet"/>
      <w:lvlText w:val=""/>
      <w:lvlJc w:val="left"/>
      <w:pPr>
        <w:ind w:left="1280" w:hanging="360"/>
      </w:pPr>
      <w:rPr>
        <w:rFonts w:ascii="Symbol" w:hAnsi="Symbol"/>
      </w:rPr>
    </w:lvl>
    <w:lvl w:ilvl="8" w:tplc="35626752">
      <w:start w:val="1"/>
      <w:numFmt w:val="bullet"/>
      <w:lvlText w:val=""/>
      <w:lvlJc w:val="left"/>
      <w:pPr>
        <w:ind w:left="1280" w:hanging="360"/>
      </w:pPr>
      <w:rPr>
        <w:rFonts w:ascii="Symbol" w:hAnsi="Symbol"/>
      </w:rPr>
    </w:lvl>
  </w:abstractNum>
  <w:abstractNum w:abstractNumId="25" w15:restartNumberingAfterBreak="0">
    <w:nsid w:val="3F722E32"/>
    <w:multiLevelType w:val="hybridMultilevel"/>
    <w:tmpl w:val="DFD0ED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3B5C49"/>
    <w:multiLevelType w:val="hybridMultilevel"/>
    <w:tmpl w:val="3E7A3F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D50918"/>
    <w:multiLevelType w:val="hybridMultilevel"/>
    <w:tmpl w:val="64DE3750"/>
    <w:lvl w:ilvl="0" w:tplc="373454A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0D2021"/>
    <w:multiLevelType w:val="multilevel"/>
    <w:tmpl w:val="72F8140E"/>
    <w:styleLink w:val="ChartandTableFootnoteAlpha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3233EE"/>
    <w:multiLevelType w:val="hybridMultilevel"/>
    <w:tmpl w:val="B57875C2"/>
    <w:lvl w:ilvl="0" w:tplc="0C09000F">
      <w:start w:val="3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EF2E2C"/>
    <w:multiLevelType w:val="hybridMultilevel"/>
    <w:tmpl w:val="04546E36"/>
    <w:lvl w:ilvl="0" w:tplc="9124AEC8">
      <w:start w:val="1"/>
      <w:numFmt w:val="bullet"/>
      <w:lvlText w:val=""/>
      <w:lvlJc w:val="left"/>
      <w:pPr>
        <w:ind w:left="720" w:hanging="360"/>
      </w:pPr>
      <w:rPr>
        <w:rFonts w:ascii="Symbol" w:hAnsi="Symbol"/>
      </w:rPr>
    </w:lvl>
    <w:lvl w:ilvl="1" w:tplc="C706E64C">
      <w:start w:val="1"/>
      <w:numFmt w:val="bullet"/>
      <w:lvlText w:val=""/>
      <w:lvlJc w:val="left"/>
      <w:pPr>
        <w:ind w:left="720" w:hanging="360"/>
      </w:pPr>
      <w:rPr>
        <w:rFonts w:ascii="Symbol" w:hAnsi="Symbol"/>
      </w:rPr>
    </w:lvl>
    <w:lvl w:ilvl="2" w:tplc="9F7E35E4">
      <w:start w:val="1"/>
      <w:numFmt w:val="bullet"/>
      <w:lvlText w:val=""/>
      <w:lvlJc w:val="left"/>
      <w:pPr>
        <w:ind w:left="720" w:hanging="360"/>
      </w:pPr>
      <w:rPr>
        <w:rFonts w:ascii="Symbol" w:hAnsi="Symbol"/>
      </w:rPr>
    </w:lvl>
    <w:lvl w:ilvl="3" w:tplc="D9FC4236">
      <w:start w:val="1"/>
      <w:numFmt w:val="bullet"/>
      <w:lvlText w:val=""/>
      <w:lvlJc w:val="left"/>
      <w:pPr>
        <w:ind w:left="720" w:hanging="360"/>
      </w:pPr>
      <w:rPr>
        <w:rFonts w:ascii="Symbol" w:hAnsi="Symbol"/>
      </w:rPr>
    </w:lvl>
    <w:lvl w:ilvl="4" w:tplc="776ABC82">
      <w:start w:val="1"/>
      <w:numFmt w:val="bullet"/>
      <w:lvlText w:val=""/>
      <w:lvlJc w:val="left"/>
      <w:pPr>
        <w:ind w:left="720" w:hanging="360"/>
      </w:pPr>
      <w:rPr>
        <w:rFonts w:ascii="Symbol" w:hAnsi="Symbol"/>
      </w:rPr>
    </w:lvl>
    <w:lvl w:ilvl="5" w:tplc="612EBBBA">
      <w:start w:val="1"/>
      <w:numFmt w:val="bullet"/>
      <w:lvlText w:val=""/>
      <w:lvlJc w:val="left"/>
      <w:pPr>
        <w:ind w:left="720" w:hanging="360"/>
      </w:pPr>
      <w:rPr>
        <w:rFonts w:ascii="Symbol" w:hAnsi="Symbol"/>
      </w:rPr>
    </w:lvl>
    <w:lvl w:ilvl="6" w:tplc="7188F3E4">
      <w:start w:val="1"/>
      <w:numFmt w:val="bullet"/>
      <w:lvlText w:val=""/>
      <w:lvlJc w:val="left"/>
      <w:pPr>
        <w:ind w:left="720" w:hanging="360"/>
      </w:pPr>
      <w:rPr>
        <w:rFonts w:ascii="Symbol" w:hAnsi="Symbol"/>
      </w:rPr>
    </w:lvl>
    <w:lvl w:ilvl="7" w:tplc="1F7AE4B8">
      <w:start w:val="1"/>
      <w:numFmt w:val="bullet"/>
      <w:lvlText w:val=""/>
      <w:lvlJc w:val="left"/>
      <w:pPr>
        <w:ind w:left="720" w:hanging="360"/>
      </w:pPr>
      <w:rPr>
        <w:rFonts w:ascii="Symbol" w:hAnsi="Symbol"/>
      </w:rPr>
    </w:lvl>
    <w:lvl w:ilvl="8" w:tplc="F44CB886">
      <w:start w:val="1"/>
      <w:numFmt w:val="bullet"/>
      <w:lvlText w:val=""/>
      <w:lvlJc w:val="left"/>
      <w:pPr>
        <w:ind w:left="720" w:hanging="360"/>
      </w:pPr>
      <w:rPr>
        <w:rFonts w:ascii="Symbol" w:hAnsi="Symbol"/>
      </w:rPr>
    </w:lvl>
  </w:abstractNum>
  <w:abstractNum w:abstractNumId="31" w15:restartNumberingAfterBreak="0">
    <w:nsid w:val="5F6738C9"/>
    <w:multiLevelType w:val="multilevel"/>
    <w:tmpl w:val="FFFFFFFF"/>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A76071E"/>
    <w:multiLevelType w:val="hybridMultilevel"/>
    <w:tmpl w:val="0652BCB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F65583"/>
    <w:multiLevelType w:val="hybridMultilevel"/>
    <w:tmpl w:val="61B61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6B5224"/>
    <w:multiLevelType w:val="multilevel"/>
    <w:tmpl w:val="55F8688A"/>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01"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EC10B39"/>
    <w:multiLevelType w:val="hybridMultilevel"/>
    <w:tmpl w:val="E1505B82"/>
    <w:lvl w:ilvl="0" w:tplc="691CF636">
      <w:start w:val="3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4"/>
  </w:num>
  <w:num w:numId="3">
    <w:abstractNumId w:val="20"/>
  </w:num>
  <w:num w:numId="4">
    <w:abstractNumId w:val="7"/>
  </w:num>
  <w:num w:numId="5">
    <w:abstractNumId w:val="11"/>
  </w:num>
  <w:num w:numId="6">
    <w:abstractNumId w:val="19"/>
  </w:num>
  <w:num w:numId="7">
    <w:abstractNumId w:val="34"/>
  </w:num>
  <w:num w:numId="8">
    <w:abstractNumId w:val="18"/>
  </w:num>
  <w:num w:numId="9">
    <w:abstractNumId w:val="12"/>
  </w:num>
  <w:num w:numId="10">
    <w:abstractNumId w:val="17"/>
  </w:num>
  <w:num w:numId="11">
    <w:abstractNumId w:val="28"/>
    <w:lvlOverride w:ilvl="0">
      <w:lvl w:ilvl="0">
        <w:start w:val="2"/>
        <w:numFmt w:val="decimal"/>
        <w:lvlText w:val="%1."/>
        <w:lvlJc w:val="left"/>
        <w:pPr>
          <w:tabs>
            <w:tab w:val="num" w:pos="851"/>
          </w:tabs>
          <w:ind w:left="851" w:hanging="851"/>
        </w:pPr>
        <w:rPr>
          <w:rFonts w:hint="default"/>
          <w:b w:val="0"/>
          <w:bCs w:val="0"/>
          <w:sz w:val="22"/>
          <w:szCs w:val="22"/>
        </w:rPr>
      </w:lvl>
    </w:lvlOverride>
    <w:lvlOverride w:ilvl="1">
      <w:lvl w:ilvl="1">
        <w:start w:val="1"/>
        <w:numFmt w:val="decimal"/>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8"/>
    <w:lvlOverride w:ilvl="0">
      <w:lvl w:ilvl="0">
        <w:start w:val="1"/>
        <w:numFmt w:val="decimal"/>
        <w:lvlText w:val="%1."/>
        <w:lvlJc w:val="left"/>
        <w:pPr>
          <w:tabs>
            <w:tab w:val="num" w:pos="851"/>
          </w:tabs>
          <w:ind w:left="851" w:hanging="851"/>
        </w:pPr>
        <w:rPr>
          <w:rFonts w:ascii="Calibri Light" w:eastAsia="Times New Roman" w:hAnsi="Calibri Light" w:cs="Times New Roman"/>
          <w:b w:val="0"/>
          <w:bCs/>
          <w:color w:val="auto"/>
          <w:sz w:val="22"/>
          <w:szCs w:val="22"/>
        </w:rPr>
      </w:lvl>
    </w:lvlOverride>
    <w:lvlOverride w:ilvl="1">
      <w:lvl w:ilvl="1">
        <w:start w:val="1"/>
        <w:numFmt w:val="decimal"/>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7"/>
  </w:num>
  <w:num w:numId="14">
    <w:abstractNumId w:val="28"/>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
  </w:num>
  <w:num w:numId="16">
    <w:abstractNumId w:val="28"/>
  </w:num>
  <w:num w:numId="17">
    <w:abstractNumId w:val="24"/>
  </w:num>
  <w:num w:numId="18">
    <w:abstractNumId w:val="6"/>
  </w:num>
  <w:num w:numId="19">
    <w:abstractNumId w:val="3"/>
  </w:num>
  <w:num w:numId="20">
    <w:abstractNumId w:val="31"/>
  </w:num>
  <w:num w:numId="21">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2"/>
  </w:num>
  <w:num w:numId="29">
    <w:abstractNumId w:val="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6"/>
  </w:num>
  <w:num w:numId="33">
    <w:abstractNumId w:val="10"/>
  </w:num>
  <w:num w:numId="34">
    <w:abstractNumId w:val="23"/>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36">
    <w:abstractNumId w:val="34"/>
    <w:lvlOverride w:ilvl="0">
      <w:startOverride w:val="50"/>
    </w:lvlOverride>
    <w:lvlOverride w:ilvl="1"/>
    <w:lvlOverride w:ilvl="2"/>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7">
    <w:abstractNumId w:val="34"/>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8">
    <w:abstractNumId w:val="34"/>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39">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4"/>
  </w:num>
  <w:num w:numId="42">
    <w:abstractNumId w:val="30"/>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34"/>
  </w:num>
  <w:num w:numId="46">
    <w:abstractNumId w:val="34"/>
  </w:num>
  <w:num w:numId="47">
    <w:abstractNumId w:val="34"/>
  </w:num>
  <w:num w:numId="48">
    <w:abstractNumId w:val="34"/>
  </w:num>
  <w:num w:numId="49">
    <w:abstractNumId w:val="34"/>
  </w:num>
  <w:num w:numId="50">
    <w:abstractNumId w:val="34"/>
  </w:num>
  <w:num w:numId="51">
    <w:abstractNumId w:val="34"/>
  </w:num>
  <w:num w:numId="52">
    <w:abstractNumId w:val="34"/>
  </w:num>
  <w:num w:numId="53">
    <w:abstractNumId w:val="34"/>
  </w:num>
  <w:num w:numId="54">
    <w:abstractNumId w:val="34"/>
  </w:num>
  <w:num w:numId="55">
    <w:abstractNumId w:val="34"/>
  </w:num>
  <w:num w:numId="56">
    <w:abstractNumId w:val="8"/>
  </w:num>
  <w:num w:numId="57">
    <w:abstractNumId w:val="33"/>
  </w:num>
  <w:num w:numId="58">
    <w:abstractNumId w:val="32"/>
  </w:num>
  <w:num w:numId="59">
    <w:abstractNumId w:val="15"/>
  </w:num>
  <w:num w:numId="60">
    <w:abstractNumId w:val="29"/>
  </w:num>
  <w:num w:numId="61">
    <w:abstractNumId w:val="5"/>
  </w:num>
  <w:num w:numId="62">
    <w:abstractNumId w:val="22"/>
  </w:num>
  <w:num w:numId="63">
    <w:abstractNumId w:val="13"/>
  </w:num>
  <w:num w:numId="64">
    <w:abstractNumId w:val="25"/>
  </w:num>
  <w:num w:numId="65">
    <w:abstractNumId w:val="14"/>
  </w:num>
  <w:num w:numId="66">
    <w:abstractNumId w:val="16"/>
  </w:num>
  <w:num w:numId="67">
    <w:abstractNumId w:val="35"/>
  </w:num>
  <w:num w:numId="68">
    <w:abstractNumId w:val="34"/>
  </w:num>
  <w:num w:numId="69">
    <w:abstractNumId w:val="34"/>
  </w:num>
  <w:num w:numId="70">
    <w:abstractNumId w:val="34"/>
  </w:num>
  <w:num w:numId="71">
    <w:abstractNumId w:val="34"/>
  </w:num>
  <w:num w:numId="72">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AB357C"/>
    <w:rsid w:val="00000004"/>
    <w:rsid w:val="0000004C"/>
    <w:rsid w:val="00000136"/>
    <w:rsid w:val="000001A4"/>
    <w:rsid w:val="0000028C"/>
    <w:rsid w:val="000002F6"/>
    <w:rsid w:val="000003EE"/>
    <w:rsid w:val="00000412"/>
    <w:rsid w:val="000004D5"/>
    <w:rsid w:val="000005A5"/>
    <w:rsid w:val="0000063E"/>
    <w:rsid w:val="00000680"/>
    <w:rsid w:val="000007CB"/>
    <w:rsid w:val="0000087A"/>
    <w:rsid w:val="00000888"/>
    <w:rsid w:val="00000ACE"/>
    <w:rsid w:val="00000B41"/>
    <w:rsid w:val="00000B75"/>
    <w:rsid w:val="00000C6D"/>
    <w:rsid w:val="00000CE7"/>
    <w:rsid w:val="00000F7E"/>
    <w:rsid w:val="0000105A"/>
    <w:rsid w:val="0000111B"/>
    <w:rsid w:val="00001181"/>
    <w:rsid w:val="000011D1"/>
    <w:rsid w:val="000011FF"/>
    <w:rsid w:val="00001272"/>
    <w:rsid w:val="00001285"/>
    <w:rsid w:val="00001313"/>
    <w:rsid w:val="000013A6"/>
    <w:rsid w:val="000013E3"/>
    <w:rsid w:val="00001438"/>
    <w:rsid w:val="00001481"/>
    <w:rsid w:val="000014AB"/>
    <w:rsid w:val="00001501"/>
    <w:rsid w:val="00001708"/>
    <w:rsid w:val="000017B3"/>
    <w:rsid w:val="000017C3"/>
    <w:rsid w:val="000017EB"/>
    <w:rsid w:val="00001881"/>
    <w:rsid w:val="00001AE9"/>
    <w:rsid w:val="00001B2B"/>
    <w:rsid w:val="00001B37"/>
    <w:rsid w:val="00001B63"/>
    <w:rsid w:val="00001BE1"/>
    <w:rsid w:val="00001C08"/>
    <w:rsid w:val="00001C16"/>
    <w:rsid w:val="00001CC8"/>
    <w:rsid w:val="00001E96"/>
    <w:rsid w:val="00001FC5"/>
    <w:rsid w:val="00002062"/>
    <w:rsid w:val="00002170"/>
    <w:rsid w:val="00002274"/>
    <w:rsid w:val="00002385"/>
    <w:rsid w:val="000023CA"/>
    <w:rsid w:val="000023D6"/>
    <w:rsid w:val="00002564"/>
    <w:rsid w:val="00002576"/>
    <w:rsid w:val="000027A5"/>
    <w:rsid w:val="0000280D"/>
    <w:rsid w:val="00002894"/>
    <w:rsid w:val="00002CB5"/>
    <w:rsid w:val="00002D91"/>
    <w:rsid w:val="00002E41"/>
    <w:rsid w:val="00002E60"/>
    <w:rsid w:val="00002E63"/>
    <w:rsid w:val="00002EAD"/>
    <w:rsid w:val="000030A7"/>
    <w:rsid w:val="000032A5"/>
    <w:rsid w:val="000032D3"/>
    <w:rsid w:val="000033DC"/>
    <w:rsid w:val="000033DE"/>
    <w:rsid w:val="0000352B"/>
    <w:rsid w:val="000036A2"/>
    <w:rsid w:val="0000387B"/>
    <w:rsid w:val="0000398C"/>
    <w:rsid w:val="00003B4E"/>
    <w:rsid w:val="00003BE4"/>
    <w:rsid w:val="00003CA7"/>
    <w:rsid w:val="00003CCB"/>
    <w:rsid w:val="00003D5D"/>
    <w:rsid w:val="00003DFC"/>
    <w:rsid w:val="00003F4C"/>
    <w:rsid w:val="00003FBE"/>
    <w:rsid w:val="0000413C"/>
    <w:rsid w:val="000041FB"/>
    <w:rsid w:val="00004285"/>
    <w:rsid w:val="00004326"/>
    <w:rsid w:val="00004541"/>
    <w:rsid w:val="0000458D"/>
    <w:rsid w:val="000046A1"/>
    <w:rsid w:val="00004702"/>
    <w:rsid w:val="00004764"/>
    <w:rsid w:val="000047B8"/>
    <w:rsid w:val="00004889"/>
    <w:rsid w:val="000048B7"/>
    <w:rsid w:val="00004AEE"/>
    <w:rsid w:val="00004C5E"/>
    <w:rsid w:val="00004D7E"/>
    <w:rsid w:val="00004E65"/>
    <w:rsid w:val="00005061"/>
    <w:rsid w:val="0000514E"/>
    <w:rsid w:val="000051C6"/>
    <w:rsid w:val="00005228"/>
    <w:rsid w:val="00005364"/>
    <w:rsid w:val="0000539F"/>
    <w:rsid w:val="0000558F"/>
    <w:rsid w:val="00005725"/>
    <w:rsid w:val="00005775"/>
    <w:rsid w:val="000057DD"/>
    <w:rsid w:val="0000585F"/>
    <w:rsid w:val="00005953"/>
    <w:rsid w:val="00005A5D"/>
    <w:rsid w:val="00005B79"/>
    <w:rsid w:val="00005B98"/>
    <w:rsid w:val="00005D4D"/>
    <w:rsid w:val="00005D65"/>
    <w:rsid w:val="00005DE3"/>
    <w:rsid w:val="00005EDD"/>
    <w:rsid w:val="0000604A"/>
    <w:rsid w:val="00006366"/>
    <w:rsid w:val="000065C2"/>
    <w:rsid w:val="000066B3"/>
    <w:rsid w:val="00006738"/>
    <w:rsid w:val="00006873"/>
    <w:rsid w:val="00006992"/>
    <w:rsid w:val="000069D8"/>
    <w:rsid w:val="00006B23"/>
    <w:rsid w:val="00006E51"/>
    <w:rsid w:val="00006ECE"/>
    <w:rsid w:val="00006FE7"/>
    <w:rsid w:val="000070A1"/>
    <w:rsid w:val="00007375"/>
    <w:rsid w:val="00007480"/>
    <w:rsid w:val="0000751B"/>
    <w:rsid w:val="0000765A"/>
    <w:rsid w:val="00007779"/>
    <w:rsid w:val="000077AE"/>
    <w:rsid w:val="0000796D"/>
    <w:rsid w:val="00007A2D"/>
    <w:rsid w:val="00007A47"/>
    <w:rsid w:val="00007C00"/>
    <w:rsid w:val="00007C6D"/>
    <w:rsid w:val="00007DB8"/>
    <w:rsid w:val="00007E60"/>
    <w:rsid w:val="00007F11"/>
    <w:rsid w:val="000100C2"/>
    <w:rsid w:val="00010308"/>
    <w:rsid w:val="000103AA"/>
    <w:rsid w:val="000103C2"/>
    <w:rsid w:val="0001043D"/>
    <w:rsid w:val="0001044C"/>
    <w:rsid w:val="000104B1"/>
    <w:rsid w:val="000105AC"/>
    <w:rsid w:val="000107DF"/>
    <w:rsid w:val="0001081B"/>
    <w:rsid w:val="0001090F"/>
    <w:rsid w:val="00010ACE"/>
    <w:rsid w:val="00010B26"/>
    <w:rsid w:val="00010E20"/>
    <w:rsid w:val="00010F8A"/>
    <w:rsid w:val="0001110C"/>
    <w:rsid w:val="00011111"/>
    <w:rsid w:val="00011298"/>
    <w:rsid w:val="000112BE"/>
    <w:rsid w:val="00011310"/>
    <w:rsid w:val="000113EB"/>
    <w:rsid w:val="0001152C"/>
    <w:rsid w:val="000115CB"/>
    <w:rsid w:val="000115DB"/>
    <w:rsid w:val="00011725"/>
    <w:rsid w:val="00011795"/>
    <w:rsid w:val="000117E6"/>
    <w:rsid w:val="00011AA1"/>
    <w:rsid w:val="00011AC8"/>
    <w:rsid w:val="00011B89"/>
    <w:rsid w:val="00011C45"/>
    <w:rsid w:val="00011C51"/>
    <w:rsid w:val="00011C5B"/>
    <w:rsid w:val="00011CB6"/>
    <w:rsid w:val="00011CEA"/>
    <w:rsid w:val="00011D0D"/>
    <w:rsid w:val="00011D87"/>
    <w:rsid w:val="00011D88"/>
    <w:rsid w:val="00011ED1"/>
    <w:rsid w:val="00011F21"/>
    <w:rsid w:val="000121E8"/>
    <w:rsid w:val="00012252"/>
    <w:rsid w:val="000122DA"/>
    <w:rsid w:val="00012323"/>
    <w:rsid w:val="00012617"/>
    <w:rsid w:val="00012663"/>
    <w:rsid w:val="000126C8"/>
    <w:rsid w:val="0001275E"/>
    <w:rsid w:val="00012A9C"/>
    <w:rsid w:val="00012C62"/>
    <w:rsid w:val="00012DC6"/>
    <w:rsid w:val="00012DE1"/>
    <w:rsid w:val="00012F6F"/>
    <w:rsid w:val="00012FC6"/>
    <w:rsid w:val="00013039"/>
    <w:rsid w:val="00013094"/>
    <w:rsid w:val="00013276"/>
    <w:rsid w:val="000133D7"/>
    <w:rsid w:val="00013487"/>
    <w:rsid w:val="00013538"/>
    <w:rsid w:val="00013586"/>
    <w:rsid w:val="000136A8"/>
    <w:rsid w:val="00013785"/>
    <w:rsid w:val="00013A41"/>
    <w:rsid w:val="00013DD3"/>
    <w:rsid w:val="00013E4A"/>
    <w:rsid w:val="00013EBE"/>
    <w:rsid w:val="00013F3F"/>
    <w:rsid w:val="00013F46"/>
    <w:rsid w:val="00013FC2"/>
    <w:rsid w:val="000140F2"/>
    <w:rsid w:val="000140F6"/>
    <w:rsid w:val="00014198"/>
    <w:rsid w:val="00014281"/>
    <w:rsid w:val="000144E0"/>
    <w:rsid w:val="000144FC"/>
    <w:rsid w:val="000146AA"/>
    <w:rsid w:val="000148A6"/>
    <w:rsid w:val="00014928"/>
    <w:rsid w:val="00014D00"/>
    <w:rsid w:val="00014D3F"/>
    <w:rsid w:val="00014D60"/>
    <w:rsid w:val="00014DE5"/>
    <w:rsid w:val="00014ECA"/>
    <w:rsid w:val="00014F95"/>
    <w:rsid w:val="00015022"/>
    <w:rsid w:val="00015084"/>
    <w:rsid w:val="000150FD"/>
    <w:rsid w:val="00015270"/>
    <w:rsid w:val="00015277"/>
    <w:rsid w:val="000152B4"/>
    <w:rsid w:val="00015573"/>
    <w:rsid w:val="000156B0"/>
    <w:rsid w:val="000156D3"/>
    <w:rsid w:val="000156E6"/>
    <w:rsid w:val="00015728"/>
    <w:rsid w:val="00015755"/>
    <w:rsid w:val="00015BDB"/>
    <w:rsid w:val="00015C34"/>
    <w:rsid w:val="00015DDA"/>
    <w:rsid w:val="00015E4D"/>
    <w:rsid w:val="00016133"/>
    <w:rsid w:val="000164DB"/>
    <w:rsid w:val="00016500"/>
    <w:rsid w:val="00016666"/>
    <w:rsid w:val="000166DC"/>
    <w:rsid w:val="00016709"/>
    <w:rsid w:val="000168E0"/>
    <w:rsid w:val="00016A24"/>
    <w:rsid w:val="00016A45"/>
    <w:rsid w:val="00016A5B"/>
    <w:rsid w:val="00016B26"/>
    <w:rsid w:val="00016B4E"/>
    <w:rsid w:val="00016C24"/>
    <w:rsid w:val="00016C5A"/>
    <w:rsid w:val="00016C74"/>
    <w:rsid w:val="00016D0B"/>
    <w:rsid w:val="00016D21"/>
    <w:rsid w:val="00016D23"/>
    <w:rsid w:val="00016E7A"/>
    <w:rsid w:val="00017075"/>
    <w:rsid w:val="0001708D"/>
    <w:rsid w:val="00017141"/>
    <w:rsid w:val="000171C7"/>
    <w:rsid w:val="00017268"/>
    <w:rsid w:val="000172F5"/>
    <w:rsid w:val="00017366"/>
    <w:rsid w:val="0001745C"/>
    <w:rsid w:val="00017486"/>
    <w:rsid w:val="0001751A"/>
    <w:rsid w:val="000177D5"/>
    <w:rsid w:val="0001786E"/>
    <w:rsid w:val="00017904"/>
    <w:rsid w:val="0001794F"/>
    <w:rsid w:val="00017A69"/>
    <w:rsid w:val="00017BED"/>
    <w:rsid w:val="00017C64"/>
    <w:rsid w:val="00017CF8"/>
    <w:rsid w:val="00017D34"/>
    <w:rsid w:val="00017D92"/>
    <w:rsid w:val="00020127"/>
    <w:rsid w:val="0002029F"/>
    <w:rsid w:val="00020327"/>
    <w:rsid w:val="0002072F"/>
    <w:rsid w:val="0002090A"/>
    <w:rsid w:val="00020ADB"/>
    <w:rsid w:val="00020B2A"/>
    <w:rsid w:val="00020C28"/>
    <w:rsid w:val="00020C43"/>
    <w:rsid w:val="00020CC4"/>
    <w:rsid w:val="00020DB3"/>
    <w:rsid w:val="00020FA1"/>
    <w:rsid w:val="000210FF"/>
    <w:rsid w:val="00021142"/>
    <w:rsid w:val="0002114D"/>
    <w:rsid w:val="000211B0"/>
    <w:rsid w:val="0002123F"/>
    <w:rsid w:val="000214C2"/>
    <w:rsid w:val="00021554"/>
    <w:rsid w:val="00021589"/>
    <w:rsid w:val="0002162A"/>
    <w:rsid w:val="00021634"/>
    <w:rsid w:val="000216DC"/>
    <w:rsid w:val="00021776"/>
    <w:rsid w:val="0002178B"/>
    <w:rsid w:val="00021916"/>
    <w:rsid w:val="0002192D"/>
    <w:rsid w:val="000219A6"/>
    <w:rsid w:val="00021A54"/>
    <w:rsid w:val="00021B48"/>
    <w:rsid w:val="00021C30"/>
    <w:rsid w:val="00021D14"/>
    <w:rsid w:val="00021E9B"/>
    <w:rsid w:val="000221AD"/>
    <w:rsid w:val="00022239"/>
    <w:rsid w:val="0002228E"/>
    <w:rsid w:val="00022438"/>
    <w:rsid w:val="00022460"/>
    <w:rsid w:val="00022A35"/>
    <w:rsid w:val="00022DE4"/>
    <w:rsid w:val="00022E8A"/>
    <w:rsid w:val="0002310D"/>
    <w:rsid w:val="000231AE"/>
    <w:rsid w:val="000232CE"/>
    <w:rsid w:val="0002361B"/>
    <w:rsid w:val="00023B61"/>
    <w:rsid w:val="00023BBC"/>
    <w:rsid w:val="00023D38"/>
    <w:rsid w:val="00023E5D"/>
    <w:rsid w:val="000240ED"/>
    <w:rsid w:val="00024281"/>
    <w:rsid w:val="000242ED"/>
    <w:rsid w:val="00024356"/>
    <w:rsid w:val="000244EF"/>
    <w:rsid w:val="0002455B"/>
    <w:rsid w:val="000245D1"/>
    <w:rsid w:val="00024734"/>
    <w:rsid w:val="00024747"/>
    <w:rsid w:val="0002495A"/>
    <w:rsid w:val="000249D2"/>
    <w:rsid w:val="00024B53"/>
    <w:rsid w:val="00024DF9"/>
    <w:rsid w:val="00024E9A"/>
    <w:rsid w:val="00024F50"/>
    <w:rsid w:val="00025294"/>
    <w:rsid w:val="00025344"/>
    <w:rsid w:val="000253AB"/>
    <w:rsid w:val="0002544D"/>
    <w:rsid w:val="00025451"/>
    <w:rsid w:val="0002557B"/>
    <w:rsid w:val="0002584F"/>
    <w:rsid w:val="0002589C"/>
    <w:rsid w:val="00025A47"/>
    <w:rsid w:val="00025BC8"/>
    <w:rsid w:val="00025C89"/>
    <w:rsid w:val="00025DBC"/>
    <w:rsid w:val="00026119"/>
    <w:rsid w:val="0002618E"/>
    <w:rsid w:val="00026249"/>
    <w:rsid w:val="000263C5"/>
    <w:rsid w:val="00026422"/>
    <w:rsid w:val="0002642F"/>
    <w:rsid w:val="0002648F"/>
    <w:rsid w:val="00026759"/>
    <w:rsid w:val="00026D93"/>
    <w:rsid w:val="00026DEF"/>
    <w:rsid w:val="00026EDF"/>
    <w:rsid w:val="00026F1A"/>
    <w:rsid w:val="00026FE1"/>
    <w:rsid w:val="00027213"/>
    <w:rsid w:val="000272D9"/>
    <w:rsid w:val="0002744F"/>
    <w:rsid w:val="00027550"/>
    <w:rsid w:val="000275AD"/>
    <w:rsid w:val="000275C7"/>
    <w:rsid w:val="000275D3"/>
    <w:rsid w:val="00027797"/>
    <w:rsid w:val="000277C9"/>
    <w:rsid w:val="000278AF"/>
    <w:rsid w:val="000278B3"/>
    <w:rsid w:val="000278E9"/>
    <w:rsid w:val="00027A7C"/>
    <w:rsid w:val="00027C28"/>
    <w:rsid w:val="00027C7B"/>
    <w:rsid w:val="00027D88"/>
    <w:rsid w:val="00027D8B"/>
    <w:rsid w:val="00027DDF"/>
    <w:rsid w:val="00027F73"/>
    <w:rsid w:val="00027F83"/>
    <w:rsid w:val="0003015A"/>
    <w:rsid w:val="00030184"/>
    <w:rsid w:val="000301E2"/>
    <w:rsid w:val="0003022D"/>
    <w:rsid w:val="0003023F"/>
    <w:rsid w:val="000305A6"/>
    <w:rsid w:val="0003068C"/>
    <w:rsid w:val="0003069F"/>
    <w:rsid w:val="000306B7"/>
    <w:rsid w:val="000306E3"/>
    <w:rsid w:val="000306FD"/>
    <w:rsid w:val="00030714"/>
    <w:rsid w:val="00030893"/>
    <w:rsid w:val="00030976"/>
    <w:rsid w:val="00030B22"/>
    <w:rsid w:val="00030CB7"/>
    <w:rsid w:val="00030E48"/>
    <w:rsid w:val="00030E58"/>
    <w:rsid w:val="00030F1B"/>
    <w:rsid w:val="00030FCC"/>
    <w:rsid w:val="00030FF3"/>
    <w:rsid w:val="00031165"/>
    <w:rsid w:val="00031291"/>
    <w:rsid w:val="00031306"/>
    <w:rsid w:val="00031396"/>
    <w:rsid w:val="000313D9"/>
    <w:rsid w:val="000317ED"/>
    <w:rsid w:val="000317F5"/>
    <w:rsid w:val="000318EB"/>
    <w:rsid w:val="00031B93"/>
    <w:rsid w:val="00031BDE"/>
    <w:rsid w:val="00031C69"/>
    <w:rsid w:val="00031C6F"/>
    <w:rsid w:val="00031DA4"/>
    <w:rsid w:val="00031E3E"/>
    <w:rsid w:val="00031EF0"/>
    <w:rsid w:val="0003209B"/>
    <w:rsid w:val="000323D9"/>
    <w:rsid w:val="000324AD"/>
    <w:rsid w:val="0003261E"/>
    <w:rsid w:val="00032659"/>
    <w:rsid w:val="0003269A"/>
    <w:rsid w:val="0003272F"/>
    <w:rsid w:val="000327D2"/>
    <w:rsid w:val="00032947"/>
    <w:rsid w:val="000329FA"/>
    <w:rsid w:val="00032A43"/>
    <w:rsid w:val="00032AEA"/>
    <w:rsid w:val="00032BDA"/>
    <w:rsid w:val="00032D26"/>
    <w:rsid w:val="00032DBA"/>
    <w:rsid w:val="00032F95"/>
    <w:rsid w:val="0003312E"/>
    <w:rsid w:val="0003313C"/>
    <w:rsid w:val="0003358B"/>
    <w:rsid w:val="00033643"/>
    <w:rsid w:val="00033681"/>
    <w:rsid w:val="0003379D"/>
    <w:rsid w:val="00033901"/>
    <w:rsid w:val="000339C2"/>
    <w:rsid w:val="00033A66"/>
    <w:rsid w:val="00033B25"/>
    <w:rsid w:val="00033BCE"/>
    <w:rsid w:val="00033D6D"/>
    <w:rsid w:val="00033DB6"/>
    <w:rsid w:val="00033E57"/>
    <w:rsid w:val="00033FDA"/>
    <w:rsid w:val="000340AF"/>
    <w:rsid w:val="00034425"/>
    <w:rsid w:val="0003449C"/>
    <w:rsid w:val="00034750"/>
    <w:rsid w:val="000348F1"/>
    <w:rsid w:val="000348FC"/>
    <w:rsid w:val="000349F8"/>
    <w:rsid w:val="00034B86"/>
    <w:rsid w:val="00034BC1"/>
    <w:rsid w:val="00034CDC"/>
    <w:rsid w:val="00034EE5"/>
    <w:rsid w:val="00034FD4"/>
    <w:rsid w:val="0003503B"/>
    <w:rsid w:val="000350A5"/>
    <w:rsid w:val="000350CF"/>
    <w:rsid w:val="00035276"/>
    <w:rsid w:val="000355A9"/>
    <w:rsid w:val="0003570C"/>
    <w:rsid w:val="000357F5"/>
    <w:rsid w:val="000358F5"/>
    <w:rsid w:val="000358FF"/>
    <w:rsid w:val="000359D0"/>
    <w:rsid w:val="000359DC"/>
    <w:rsid w:val="00035B24"/>
    <w:rsid w:val="00035BCA"/>
    <w:rsid w:val="00035BCB"/>
    <w:rsid w:val="00035BDF"/>
    <w:rsid w:val="00035C39"/>
    <w:rsid w:val="00035C97"/>
    <w:rsid w:val="00035D16"/>
    <w:rsid w:val="00035D56"/>
    <w:rsid w:val="00035DD7"/>
    <w:rsid w:val="00035DE1"/>
    <w:rsid w:val="00035E9F"/>
    <w:rsid w:val="00035FE5"/>
    <w:rsid w:val="000360C4"/>
    <w:rsid w:val="00036145"/>
    <w:rsid w:val="0003623D"/>
    <w:rsid w:val="000364CA"/>
    <w:rsid w:val="000365C3"/>
    <w:rsid w:val="0003663A"/>
    <w:rsid w:val="00036640"/>
    <w:rsid w:val="0003674C"/>
    <w:rsid w:val="000368BE"/>
    <w:rsid w:val="000369D6"/>
    <w:rsid w:val="00036A17"/>
    <w:rsid w:val="00036B7C"/>
    <w:rsid w:val="00036C39"/>
    <w:rsid w:val="00036CD4"/>
    <w:rsid w:val="00036D47"/>
    <w:rsid w:val="00036D4E"/>
    <w:rsid w:val="00036DCA"/>
    <w:rsid w:val="00036F0F"/>
    <w:rsid w:val="00036F3D"/>
    <w:rsid w:val="00036F50"/>
    <w:rsid w:val="00036FDD"/>
    <w:rsid w:val="0003705A"/>
    <w:rsid w:val="0003709A"/>
    <w:rsid w:val="00037131"/>
    <w:rsid w:val="0003719A"/>
    <w:rsid w:val="000371D8"/>
    <w:rsid w:val="00037237"/>
    <w:rsid w:val="00037257"/>
    <w:rsid w:val="00037292"/>
    <w:rsid w:val="00037515"/>
    <w:rsid w:val="00037532"/>
    <w:rsid w:val="00037625"/>
    <w:rsid w:val="000376E4"/>
    <w:rsid w:val="0003771B"/>
    <w:rsid w:val="00037B0F"/>
    <w:rsid w:val="00037C46"/>
    <w:rsid w:val="00037F0C"/>
    <w:rsid w:val="00037F40"/>
    <w:rsid w:val="00037FC0"/>
    <w:rsid w:val="000401A6"/>
    <w:rsid w:val="000401E7"/>
    <w:rsid w:val="00040252"/>
    <w:rsid w:val="0004041E"/>
    <w:rsid w:val="00040482"/>
    <w:rsid w:val="00040519"/>
    <w:rsid w:val="000405C5"/>
    <w:rsid w:val="000407D2"/>
    <w:rsid w:val="00040951"/>
    <w:rsid w:val="00040955"/>
    <w:rsid w:val="00040CC0"/>
    <w:rsid w:val="00040CD2"/>
    <w:rsid w:val="00040D0F"/>
    <w:rsid w:val="00040DAB"/>
    <w:rsid w:val="00041038"/>
    <w:rsid w:val="0004107B"/>
    <w:rsid w:val="0004123A"/>
    <w:rsid w:val="00041558"/>
    <w:rsid w:val="00041590"/>
    <w:rsid w:val="00041900"/>
    <w:rsid w:val="00041A8B"/>
    <w:rsid w:val="00041AF7"/>
    <w:rsid w:val="00041D34"/>
    <w:rsid w:val="00041E70"/>
    <w:rsid w:val="00041EC0"/>
    <w:rsid w:val="00041F61"/>
    <w:rsid w:val="00041F95"/>
    <w:rsid w:val="00041FCB"/>
    <w:rsid w:val="00042036"/>
    <w:rsid w:val="00042039"/>
    <w:rsid w:val="000420A5"/>
    <w:rsid w:val="00042121"/>
    <w:rsid w:val="00042473"/>
    <w:rsid w:val="00042487"/>
    <w:rsid w:val="0004274D"/>
    <w:rsid w:val="00042773"/>
    <w:rsid w:val="00042786"/>
    <w:rsid w:val="000427C3"/>
    <w:rsid w:val="000427D8"/>
    <w:rsid w:val="00042D91"/>
    <w:rsid w:val="00042EA7"/>
    <w:rsid w:val="0004309B"/>
    <w:rsid w:val="000430FE"/>
    <w:rsid w:val="00043285"/>
    <w:rsid w:val="000432F1"/>
    <w:rsid w:val="000433BA"/>
    <w:rsid w:val="000434E5"/>
    <w:rsid w:val="00043516"/>
    <w:rsid w:val="00043B70"/>
    <w:rsid w:val="00043B92"/>
    <w:rsid w:val="00043E23"/>
    <w:rsid w:val="00043EA9"/>
    <w:rsid w:val="00043EB2"/>
    <w:rsid w:val="00043F75"/>
    <w:rsid w:val="00044098"/>
    <w:rsid w:val="000441F6"/>
    <w:rsid w:val="00044291"/>
    <w:rsid w:val="00044374"/>
    <w:rsid w:val="00044599"/>
    <w:rsid w:val="00044642"/>
    <w:rsid w:val="0004473E"/>
    <w:rsid w:val="000448B4"/>
    <w:rsid w:val="00044905"/>
    <w:rsid w:val="00044B23"/>
    <w:rsid w:val="00044C0A"/>
    <w:rsid w:val="00044C4D"/>
    <w:rsid w:val="00044C57"/>
    <w:rsid w:val="00044D2B"/>
    <w:rsid w:val="00044D4E"/>
    <w:rsid w:val="00044EE3"/>
    <w:rsid w:val="00044F29"/>
    <w:rsid w:val="00044FAC"/>
    <w:rsid w:val="0004518F"/>
    <w:rsid w:val="00045197"/>
    <w:rsid w:val="00045538"/>
    <w:rsid w:val="0004576B"/>
    <w:rsid w:val="00045829"/>
    <w:rsid w:val="0004595F"/>
    <w:rsid w:val="000459AA"/>
    <w:rsid w:val="00045AC5"/>
    <w:rsid w:val="00045FD6"/>
    <w:rsid w:val="00046065"/>
    <w:rsid w:val="000461E2"/>
    <w:rsid w:val="000462F5"/>
    <w:rsid w:val="0004656A"/>
    <w:rsid w:val="0004678B"/>
    <w:rsid w:val="00046855"/>
    <w:rsid w:val="00046895"/>
    <w:rsid w:val="0004695D"/>
    <w:rsid w:val="00046A76"/>
    <w:rsid w:val="00046AFA"/>
    <w:rsid w:val="00046F28"/>
    <w:rsid w:val="00046FCA"/>
    <w:rsid w:val="0004700A"/>
    <w:rsid w:val="000470E2"/>
    <w:rsid w:val="0004710C"/>
    <w:rsid w:val="000471D7"/>
    <w:rsid w:val="000471DF"/>
    <w:rsid w:val="00047332"/>
    <w:rsid w:val="000473AB"/>
    <w:rsid w:val="00047424"/>
    <w:rsid w:val="000474F6"/>
    <w:rsid w:val="00047697"/>
    <w:rsid w:val="00047754"/>
    <w:rsid w:val="000477D1"/>
    <w:rsid w:val="000477F7"/>
    <w:rsid w:val="0004795A"/>
    <w:rsid w:val="00047AC3"/>
    <w:rsid w:val="00047B00"/>
    <w:rsid w:val="00047B1E"/>
    <w:rsid w:val="00047B45"/>
    <w:rsid w:val="00047BC9"/>
    <w:rsid w:val="00047CDD"/>
    <w:rsid w:val="00047CF4"/>
    <w:rsid w:val="00047D65"/>
    <w:rsid w:val="00047DCB"/>
    <w:rsid w:val="00047DF5"/>
    <w:rsid w:val="00047F48"/>
    <w:rsid w:val="000500B0"/>
    <w:rsid w:val="00050185"/>
    <w:rsid w:val="0005029C"/>
    <w:rsid w:val="000502B5"/>
    <w:rsid w:val="00050390"/>
    <w:rsid w:val="000503A8"/>
    <w:rsid w:val="000504DA"/>
    <w:rsid w:val="00050526"/>
    <w:rsid w:val="0005058C"/>
    <w:rsid w:val="000505AB"/>
    <w:rsid w:val="00050673"/>
    <w:rsid w:val="0005075F"/>
    <w:rsid w:val="00050A91"/>
    <w:rsid w:val="00050A93"/>
    <w:rsid w:val="00050ADD"/>
    <w:rsid w:val="00050C34"/>
    <w:rsid w:val="00050DC0"/>
    <w:rsid w:val="00050EC3"/>
    <w:rsid w:val="00050F80"/>
    <w:rsid w:val="0005115E"/>
    <w:rsid w:val="00051185"/>
    <w:rsid w:val="00051248"/>
    <w:rsid w:val="000513AC"/>
    <w:rsid w:val="000513FB"/>
    <w:rsid w:val="000514E5"/>
    <w:rsid w:val="0005152D"/>
    <w:rsid w:val="00051743"/>
    <w:rsid w:val="0005198C"/>
    <w:rsid w:val="00051999"/>
    <w:rsid w:val="00051AD7"/>
    <w:rsid w:val="00051B62"/>
    <w:rsid w:val="00051B76"/>
    <w:rsid w:val="00051BE8"/>
    <w:rsid w:val="00051C43"/>
    <w:rsid w:val="00051D60"/>
    <w:rsid w:val="00051E4E"/>
    <w:rsid w:val="00051EA3"/>
    <w:rsid w:val="00051F03"/>
    <w:rsid w:val="0005202E"/>
    <w:rsid w:val="00052220"/>
    <w:rsid w:val="000525AF"/>
    <w:rsid w:val="0005268C"/>
    <w:rsid w:val="00052868"/>
    <w:rsid w:val="00052B75"/>
    <w:rsid w:val="00052CD8"/>
    <w:rsid w:val="00052CF2"/>
    <w:rsid w:val="00052D7A"/>
    <w:rsid w:val="00052E80"/>
    <w:rsid w:val="00053097"/>
    <w:rsid w:val="0005315E"/>
    <w:rsid w:val="00053180"/>
    <w:rsid w:val="00053286"/>
    <w:rsid w:val="00053323"/>
    <w:rsid w:val="00053381"/>
    <w:rsid w:val="000533DD"/>
    <w:rsid w:val="00053420"/>
    <w:rsid w:val="00053573"/>
    <w:rsid w:val="00053598"/>
    <w:rsid w:val="000535E3"/>
    <w:rsid w:val="0005367B"/>
    <w:rsid w:val="000536A2"/>
    <w:rsid w:val="000536B2"/>
    <w:rsid w:val="000537A3"/>
    <w:rsid w:val="00053998"/>
    <w:rsid w:val="000539EA"/>
    <w:rsid w:val="00053A75"/>
    <w:rsid w:val="00053B4F"/>
    <w:rsid w:val="00053C58"/>
    <w:rsid w:val="00053CB8"/>
    <w:rsid w:val="00053D47"/>
    <w:rsid w:val="00053EBC"/>
    <w:rsid w:val="0005408C"/>
    <w:rsid w:val="000540F8"/>
    <w:rsid w:val="00054193"/>
    <w:rsid w:val="000541E2"/>
    <w:rsid w:val="00054230"/>
    <w:rsid w:val="000542B1"/>
    <w:rsid w:val="000543AB"/>
    <w:rsid w:val="00054497"/>
    <w:rsid w:val="000545A4"/>
    <w:rsid w:val="000546AF"/>
    <w:rsid w:val="000546D7"/>
    <w:rsid w:val="000547D9"/>
    <w:rsid w:val="00054891"/>
    <w:rsid w:val="00054A41"/>
    <w:rsid w:val="00054B3A"/>
    <w:rsid w:val="00054B9B"/>
    <w:rsid w:val="00054C07"/>
    <w:rsid w:val="00054D68"/>
    <w:rsid w:val="00054E98"/>
    <w:rsid w:val="00054F13"/>
    <w:rsid w:val="00054F36"/>
    <w:rsid w:val="00055000"/>
    <w:rsid w:val="0005508E"/>
    <w:rsid w:val="00055164"/>
    <w:rsid w:val="00055187"/>
    <w:rsid w:val="000552E3"/>
    <w:rsid w:val="000552F3"/>
    <w:rsid w:val="0005536D"/>
    <w:rsid w:val="000559A6"/>
    <w:rsid w:val="00055BA8"/>
    <w:rsid w:val="00055C41"/>
    <w:rsid w:val="00055D11"/>
    <w:rsid w:val="00056045"/>
    <w:rsid w:val="00056050"/>
    <w:rsid w:val="00056067"/>
    <w:rsid w:val="00056132"/>
    <w:rsid w:val="0005630A"/>
    <w:rsid w:val="0005631A"/>
    <w:rsid w:val="00056518"/>
    <w:rsid w:val="000565DE"/>
    <w:rsid w:val="0005669F"/>
    <w:rsid w:val="00056880"/>
    <w:rsid w:val="00056897"/>
    <w:rsid w:val="00056B0B"/>
    <w:rsid w:val="00056B0E"/>
    <w:rsid w:val="00056BAC"/>
    <w:rsid w:val="00056C6A"/>
    <w:rsid w:val="00056ED0"/>
    <w:rsid w:val="00056F7A"/>
    <w:rsid w:val="00056F7C"/>
    <w:rsid w:val="00057035"/>
    <w:rsid w:val="0005724B"/>
    <w:rsid w:val="000572BB"/>
    <w:rsid w:val="000572DA"/>
    <w:rsid w:val="000573E5"/>
    <w:rsid w:val="000573F0"/>
    <w:rsid w:val="0005745A"/>
    <w:rsid w:val="000574BC"/>
    <w:rsid w:val="000575F5"/>
    <w:rsid w:val="0005767C"/>
    <w:rsid w:val="00057772"/>
    <w:rsid w:val="00057872"/>
    <w:rsid w:val="00057A40"/>
    <w:rsid w:val="00057C9C"/>
    <w:rsid w:val="00057CDC"/>
    <w:rsid w:val="00057CEF"/>
    <w:rsid w:val="00057D53"/>
    <w:rsid w:val="00057E4C"/>
    <w:rsid w:val="00057EAD"/>
    <w:rsid w:val="00057EEC"/>
    <w:rsid w:val="00057EF3"/>
    <w:rsid w:val="00060181"/>
    <w:rsid w:val="00060187"/>
    <w:rsid w:val="00060467"/>
    <w:rsid w:val="0006085F"/>
    <w:rsid w:val="00060995"/>
    <w:rsid w:val="00060A48"/>
    <w:rsid w:val="00060BD8"/>
    <w:rsid w:val="00060DD2"/>
    <w:rsid w:val="00060EE3"/>
    <w:rsid w:val="00060F44"/>
    <w:rsid w:val="00060F9F"/>
    <w:rsid w:val="0006101A"/>
    <w:rsid w:val="00061315"/>
    <w:rsid w:val="00061716"/>
    <w:rsid w:val="0006177D"/>
    <w:rsid w:val="000617BB"/>
    <w:rsid w:val="000617CE"/>
    <w:rsid w:val="000618B0"/>
    <w:rsid w:val="000618D4"/>
    <w:rsid w:val="00061BBD"/>
    <w:rsid w:val="00061E34"/>
    <w:rsid w:val="00061F41"/>
    <w:rsid w:val="000621C2"/>
    <w:rsid w:val="00062300"/>
    <w:rsid w:val="00062398"/>
    <w:rsid w:val="00062546"/>
    <w:rsid w:val="0006260A"/>
    <w:rsid w:val="00062822"/>
    <w:rsid w:val="0006284C"/>
    <w:rsid w:val="00062A2F"/>
    <w:rsid w:val="00062B7C"/>
    <w:rsid w:val="00062BCE"/>
    <w:rsid w:val="00062F20"/>
    <w:rsid w:val="000630D1"/>
    <w:rsid w:val="0006311B"/>
    <w:rsid w:val="00063242"/>
    <w:rsid w:val="00063453"/>
    <w:rsid w:val="0006350A"/>
    <w:rsid w:val="00063737"/>
    <w:rsid w:val="0006392F"/>
    <w:rsid w:val="000639B8"/>
    <w:rsid w:val="000639F3"/>
    <w:rsid w:val="00063A9B"/>
    <w:rsid w:val="00063AEB"/>
    <w:rsid w:val="00063BD3"/>
    <w:rsid w:val="00064188"/>
    <w:rsid w:val="00064349"/>
    <w:rsid w:val="0006434A"/>
    <w:rsid w:val="000643DA"/>
    <w:rsid w:val="0006446D"/>
    <w:rsid w:val="000644A2"/>
    <w:rsid w:val="00064591"/>
    <w:rsid w:val="00064662"/>
    <w:rsid w:val="000646A3"/>
    <w:rsid w:val="00064889"/>
    <w:rsid w:val="000648B7"/>
    <w:rsid w:val="000648EA"/>
    <w:rsid w:val="000649F2"/>
    <w:rsid w:val="00064A39"/>
    <w:rsid w:val="00064C78"/>
    <w:rsid w:val="00064DA6"/>
    <w:rsid w:val="00065104"/>
    <w:rsid w:val="000651DF"/>
    <w:rsid w:val="00065216"/>
    <w:rsid w:val="00065293"/>
    <w:rsid w:val="000653F1"/>
    <w:rsid w:val="0006560D"/>
    <w:rsid w:val="00065663"/>
    <w:rsid w:val="000656A7"/>
    <w:rsid w:val="000656EE"/>
    <w:rsid w:val="000659CD"/>
    <w:rsid w:val="00065A1F"/>
    <w:rsid w:val="00065A67"/>
    <w:rsid w:val="00065AD7"/>
    <w:rsid w:val="00065BEA"/>
    <w:rsid w:val="00065C68"/>
    <w:rsid w:val="00065CC2"/>
    <w:rsid w:val="00065F4E"/>
    <w:rsid w:val="00066049"/>
    <w:rsid w:val="00066276"/>
    <w:rsid w:val="00066504"/>
    <w:rsid w:val="00066772"/>
    <w:rsid w:val="000668C9"/>
    <w:rsid w:val="0006697E"/>
    <w:rsid w:val="00066AA4"/>
    <w:rsid w:val="00066BB0"/>
    <w:rsid w:val="00066DD3"/>
    <w:rsid w:val="00066E61"/>
    <w:rsid w:val="00066EAE"/>
    <w:rsid w:val="00066EF2"/>
    <w:rsid w:val="00066F72"/>
    <w:rsid w:val="0006706F"/>
    <w:rsid w:val="0006709A"/>
    <w:rsid w:val="000672DD"/>
    <w:rsid w:val="0006730B"/>
    <w:rsid w:val="00067466"/>
    <w:rsid w:val="000674F5"/>
    <w:rsid w:val="000675D1"/>
    <w:rsid w:val="00067699"/>
    <w:rsid w:val="0006780D"/>
    <w:rsid w:val="00067891"/>
    <w:rsid w:val="000678E2"/>
    <w:rsid w:val="0006796C"/>
    <w:rsid w:val="0006797D"/>
    <w:rsid w:val="00067A64"/>
    <w:rsid w:val="00067A88"/>
    <w:rsid w:val="00067B37"/>
    <w:rsid w:val="00067BFB"/>
    <w:rsid w:val="00067C29"/>
    <w:rsid w:val="00067D7C"/>
    <w:rsid w:val="00067DF6"/>
    <w:rsid w:val="00067FC0"/>
    <w:rsid w:val="0007039E"/>
    <w:rsid w:val="0007040E"/>
    <w:rsid w:val="000705F3"/>
    <w:rsid w:val="0007098F"/>
    <w:rsid w:val="00070A40"/>
    <w:rsid w:val="00070A52"/>
    <w:rsid w:val="00070A5C"/>
    <w:rsid w:val="00070A66"/>
    <w:rsid w:val="00070BBD"/>
    <w:rsid w:val="00070CA7"/>
    <w:rsid w:val="00070CE8"/>
    <w:rsid w:val="0007102C"/>
    <w:rsid w:val="0007112A"/>
    <w:rsid w:val="00071323"/>
    <w:rsid w:val="0007137A"/>
    <w:rsid w:val="000713EA"/>
    <w:rsid w:val="00071630"/>
    <w:rsid w:val="000716DC"/>
    <w:rsid w:val="00071700"/>
    <w:rsid w:val="000718F6"/>
    <w:rsid w:val="000719AC"/>
    <w:rsid w:val="000719E3"/>
    <w:rsid w:val="00071A2D"/>
    <w:rsid w:val="00071B8C"/>
    <w:rsid w:val="00071BD6"/>
    <w:rsid w:val="00071C37"/>
    <w:rsid w:val="00071E0D"/>
    <w:rsid w:val="00071E1C"/>
    <w:rsid w:val="00071E2A"/>
    <w:rsid w:val="00071E71"/>
    <w:rsid w:val="00071FA9"/>
    <w:rsid w:val="0007212D"/>
    <w:rsid w:val="00072352"/>
    <w:rsid w:val="000725E1"/>
    <w:rsid w:val="0007273D"/>
    <w:rsid w:val="000728E2"/>
    <w:rsid w:val="00072B8D"/>
    <w:rsid w:val="00072BBE"/>
    <w:rsid w:val="00072BE6"/>
    <w:rsid w:val="00072E0B"/>
    <w:rsid w:val="00072E26"/>
    <w:rsid w:val="00073082"/>
    <w:rsid w:val="0007316D"/>
    <w:rsid w:val="0007328A"/>
    <w:rsid w:val="00073386"/>
    <w:rsid w:val="000733FD"/>
    <w:rsid w:val="00073430"/>
    <w:rsid w:val="00073521"/>
    <w:rsid w:val="00073621"/>
    <w:rsid w:val="00073AB5"/>
    <w:rsid w:val="00073B41"/>
    <w:rsid w:val="00073BF2"/>
    <w:rsid w:val="00073CF2"/>
    <w:rsid w:val="00073D99"/>
    <w:rsid w:val="00073E7E"/>
    <w:rsid w:val="00073EF5"/>
    <w:rsid w:val="00074242"/>
    <w:rsid w:val="000742B9"/>
    <w:rsid w:val="000742C2"/>
    <w:rsid w:val="00074429"/>
    <w:rsid w:val="0007456E"/>
    <w:rsid w:val="000745F4"/>
    <w:rsid w:val="000746B0"/>
    <w:rsid w:val="0007496F"/>
    <w:rsid w:val="0007497F"/>
    <w:rsid w:val="000749DF"/>
    <w:rsid w:val="00074CDB"/>
    <w:rsid w:val="00074D65"/>
    <w:rsid w:val="00074E4A"/>
    <w:rsid w:val="00074F62"/>
    <w:rsid w:val="00075047"/>
    <w:rsid w:val="00075155"/>
    <w:rsid w:val="000755A8"/>
    <w:rsid w:val="000755FA"/>
    <w:rsid w:val="00075681"/>
    <w:rsid w:val="0007570C"/>
    <w:rsid w:val="00075758"/>
    <w:rsid w:val="00075A46"/>
    <w:rsid w:val="00075EC3"/>
    <w:rsid w:val="00075FB8"/>
    <w:rsid w:val="00076016"/>
    <w:rsid w:val="00076132"/>
    <w:rsid w:val="000761BC"/>
    <w:rsid w:val="000761CF"/>
    <w:rsid w:val="000761D9"/>
    <w:rsid w:val="0007647B"/>
    <w:rsid w:val="000765BB"/>
    <w:rsid w:val="00076635"/>
    <w:rsid w:val="00076749"/>
    <w:rsid w:val="000768B9"/>
    <w:rsid w:val="00076978"/>
    <w:rsid w:val="00076A00"/>
    <w:rsid w:val="00076E19"/>
    <w:rsid w:val="00076FE0"/>
    <w:rsid w:val="00077043"/>
    <w:rsid w:val="000770E2"/>
    <w:rsid w:val="00077167"/>
    <w:rsid w:val="00077379"/>
    <w:rsid w:val="00077480"/>
    <w:rsid w:val="000774FC"/>
    <w:rsid w:val="0007758F"/>
    <w:rsid w:val="000775DE"/>
    <w:rsid w:val="000776F1"/>
    <w:rsid w:val="000778CA"/>
    <w:rsid w:val="000779A6"/>
    <w:rsid w:val="00077A0A"/>
    <w:rsid w:val="00077A6F"/>
    <w:rsid w:val="00077AE2"/>
    <w:rsid w:val="00077C07"/>
    <w:rsid w:val="00077E3B"/>
    <w:rsid w:val="00077F37"/>
    <w:rsid w:val="00077F42"/>
    <w:rsid w:val="00077F60"/>
    <w:rsid w:val="00080056"/>
    <w:rsid w:val="0008008E"/>
    <w:rsid w:val="000800D4"/>
    <w:rsid w:val="00080308"/>
    <w:rsid w:val="000803D6"/>
    <w:rsid w:val="00080431"/>
    <w:rsid w:val="00080466"/>
    <w:rsid w:val="000804CF"/>
    <w:rsid w:val="00080678"/>
    <w:rsid w:val="000806D3"/>
    <w:rsid w:val="00080713"/>
    <w:rsid w:val="000807FD"/>
    <w:rsid w:val="00080830"/>
    <w:rsid w:val="0008087B"/>
    <w:rsid w:val="0008093F"/>
    <w:rsid w:val="000809F5"/>
    <w:rsid w:val="00080D88"/>
    <w:rsid w:val="00080EA4"/>
    <w:rsid w:val="0008105C"/>
    <w:rsid w:val="00081094"/>
    <w:rsid w:val="0008125A"/>
    <w:rsid w:val="000813F0"/>
    <w:rsid w:val="000813FF"/>
    <w:rsid w:val="000815E3"/>
    <w:rsid w:val="000816A9"/>
    <w:rsid w:val="00081BF4"/>
    <w:rsid w:val="00081C94"/>
    <w:rsid w:val="00081D0D"/>
    <w:rsid w:val="00081D12"/>
    <w:rsid w:val="00081D52"/>
    <w:rsid w:val="00081F14"/>
    <w:rsid w:val="00081F8A"/>
    <w:rsid w:val="00082021"/>
    <w:rsid w:val="000820D5"/>
    <w:rsid w:val="000821AF"/>
    <w:rsid w:val="000821BC"/>
    <w:rsid w:val="00082295"/>
    <w:rsid w:val="0008229A"/>
    <w:rsid w:val="00082491"/>
    <w:rsid w:val="000824E7"/>
    <w:rsid w:val="00082549"/>
    <w:rsid w:val="00082798"/>
    <w:rsid w:val="000828D3"/>
    <w:rsid w:val="0008296C"/>
    <w:rsid w:val="00082B5A"/>
    <w:rsid w:val="00082C78"/>
    <w:rsid w:val="00082E2C"/>
    <w:rsid w:val="00082E34"/>
    <w:rsid w:val="00082E6D"/>
    <w:rsid w:val="00082E97"/>
    <w:rsid w:val="00082FC2"/>
    <w:rsid w:val="000830FE"/>
    <w:rsid w:val="0008319E"/>
    <w:rsid w:val="00083261"/>
    <w:rsid w:val="00083271"/>
    <w:rsid w:val="000832C6"/>
    <w:rsid w:val="000832ED"/>
    <w:rsid w:val="000832EF"/>
    <w:rsid w:val="00083456"/>
    <w:rsid w:val="00083718"/>
    <w:rsid w:val="000837D2"/>
    <w:rsid w:val="00083A78"/>
    <w:rsid w:val="00083C77"/>
    <w:rsid w:val="00083CF4"/>
    <w:rsid w:val="00083DA1"/>
    <w:rsid w:val="00083EDB"/>
    <w:rsid w:val="00084058"/>
    <w:rsid w:val="000841C6"/>
    <w:rsid w:val="000843B2"/>
    <w:rsid w:val="000844DF"/>
    <w:rsid w:val="00084508"/>
    <w:rsid w:val="0008453A"/>
    <w:rsid w:val="00084561"/>
    <w:rsid w:val="000846C9"/>
    <w:rsid w:val="000848FD"/>
    <w:rsid w:val="0008490A"/>
    <w:rsid w:val="00084AE2"/>
    <w:rsid w:val="00084B57"/>
    <w:rsid w:val="00084CE0"/>
    <w:rsid w:val="00084D79"/>
    <w:rsid w:val="00084DB0"/>
    <w:rsid w:val="00084DF6"/>
    <w:rsid w:val="00084E73"/>
    <w:rsid w:val="0008503D"/>
    <w:rsid w:val="00085139"/>
    <w:rsid w:val="00085154"/>
    <w:rsid w:val="000851C9"/>
    <w:rsid w:val="00085200"/>
    <w:rsid w:val="0008521E"/>
    <w:rsid w:val="00085400"/>
    <w:rsid w:val="00085416"/>
    <w:rsid w:val="00085571"/>
    <w:rsid w:val="000856B5"/>
    <w:rsid w:val="000858F2"/>
    <w:rsid w:val="00085A7E"/>
    <w:rsid w:val="00085B00"/>
    <w:rsid w:val="00085C47"/>
    <w:rsid w:val="00085D4C"/>
    <w:rsid w:val="00085D53"/>
    <w:rsid w:val="00085DF6"/>
    <w:rsid w:val="00085E0F"/>
    <w:rsid w:val="00085EA0"/>
    <w:rsid w:val="00085FB8"/>
    <w:rsid w:val="000860E9"/>
    <w:rsid w:val="0008613A"/>
    <w:rsid w:val="0008616F"/>
    <w:rsid w:val="000862B3"/>
    <w:rsid w:val="000862E7"/>
    <w:rsid w:val="000863E8"/>
    <w:rsid w:val="000863F0"/>
    <w:rsid w:val="000864EE"/>
    <w:rsid w:val="00086629"/>
    <w:rsid w:val="0008692C"/>
    <w:rsid w:val="00086CD8"/>
    <w:rsid w:val="00086E2F"/>
    <w:rsid w:val="00086E45"/>
    <w:rsid w:val="000870AA"/>
    <w:rsid w:val="0008710F"/>
    <w:rsid w:val="000871CE"/>
    <w:rsid w:val="00087208"/>
    <w:rsid w:val="00087214"/>
    <w:rsid w:val="000873E9"/>
    <w:rsid w:val="000873F9"/>
    <w:rsid w:val="000873FA"/>
    <w:rsid w:val="0008744D"/>
    <w:rsid w:val="00087522"/>
    <w:rsid w:val="0008764B"/>
    <w:rsid w:val="000878A7"/>
    <w:rsid w:val="000878FB"/>
    <w:rsid w:val="000879BA"/>
    <w:rsid w:val="00087A71"/>
    <w:rsid w:val="00087B9A"/>
    <w:rsid w:val="00087BC9"/>
    <w:rsid w:val="00087C32"/>
    <w:rsid w:val="00087E88"/>
    <w:rsid w:val="00087EB8"/>
    <w:rsid w:val="00087F1E"/>
    <w:rsid w:val="00087FAF"/>
    <w:rsid w:val="0009002D"/>
    <w:rsid w:val="00090067"/>
    <w:rsid w:val="0009049B"/>
    <w:rsid w:val="000904A5"/>
    <w:rsid w:val="00090567"/>
    <w:rsid w:val="000907AA"/>
    <w:rsid w:val="0009086D"/>
    <w:rsid w:val="00090935"/>
    <w:rsid w:val="00090A1F"/>
    <w:rsid w:val="00090BDC"/>
    <w:rsid w:val="00090C53"/>
    <w:rsid w:val="00090CB1"/>
    <w:rsid w:val="00090D10"/>
    <w:rsid w:val="00090D4E"/>
    <w:rsid w:val="00090DD5"/>
    <w:rsid w:val="00090FDB"/>
    <w:rsid w:val="00090FFA"/>
    <w:rsid w:val="0009117C"/>
    <w:rsid w:val="00091299"/>
    <w:rsid w:val="000914A3"/>
    <w:rsid w:val="0009151A"/>
    <w:rsid w:val="0009191F"/>
    <w:rsid w:val="00091C5B"/>
    <w:rsid w:val="00091E64"/>
    <w:rsid w:val="00091F8D"/>
    <w:rsid w:val="00091FE0"/>
    <w:rsid w:val="000920BF"/>
    <w:rsid w:val="000924C8"/>
    <w:rsid w:val="00092535"/>
    <w:rsid w:val="000925A5"/>
    <w:rsid w:val="00092642"/>
    <w:rsid w:val="00092769"/>
    <w:rsid w:val="000927B4"/>
    <w:rsid w:val="00092886"/>
    <w:rsid w:val="00092CA0"/>
    <w:rsid w:val="00092CCD"/>
    <w:rsid w:val="00092D4F"/>
    <w:rsid w:val="00092E3C"/>
    <w:rsid w:val="00092FCB"/>
    <w:rsid w:val="00092FD1"/>
    <w:rsid w:val="00092FDF"/>
    <w:rsid w:val="00093172"/>
    <w:rsid w:val="0009326A"/>
    <w:rsid w:val="000934E7"/>
    <w:rsid w:val="00093533"/>
    <w:rsid w:val="00093593"/>
    <w:rsid w:val="000935CB"/>
    <w:rsid w:val="0009382C"/>
    <w:rsid w:val="0009384D"/>
    <w:rsid w:val="0009391F"/>
    <w:rsid w:val="00093997"/>
    <w:rsid w:val="0009399C"/>
    <w:rsid w:val="00093A0C"/>
    <w:rsid w:val="00093A95"/>
    <w:rsid w:val="00093BAB"/>
    <w:rsid w:val="00093DC6"/>
    <w:rsid w:val="00093EBE"/>
    <w:rsid w:val="00093ECC"/>
    <w:rsid w:val="00093F17"/>
    <w:rsid w:val="00093F7B"/>
    <w:rsid w:val="00094087"/>
    <w:rsid w:val="0009415E"/>
    <w:rsid w:val="000942AB"/>
    <w:rsid w:val="000943BB"/>
    <w:rsid w:val="000946CC"/>
    <w:rsid w:val="00094778"/>
    <w:rsid w:val="000948EB"/>
    <w:rsid w:val="00094939"/>
    <w:rsid w:val="000949C7"/>
    <w:rsid w:val="000949EC"/>
    <w:rsid w:val="000949FA"/>
    <w:rsid w:val="00094B9B"/>
    <w:rsid w:val="00094C85"/>
    <w:rsid w:val="00094CE9"/>
    <w:rsid w:val="00094D58"/>
    <w:rsid w:val="00094ED3"/>
    <w:rsid w:val="00094FD3"/>
    <w:rsid w:val="00095018"/>
    <w:rsid w:val="000950D3"/>
    <w:rsid w:val="000950F2"/>
    <w:rsid w:val="000951DF"/>
    <w:rsid w:val="0009521E"/>
    <w:rsid w:val="000954E1"/>
    <w:rsid w:val="00095597"/>
    <w:rsid w:val="0009569E"/>
    <w:rsid w:val="000956CA"/>
    <w:rsid w:val="000958D7"/>
    <w:rsid w:val="00095B87"/>
    <w:rsid w:val="00095C0D"/>
    <w:rsid w:val="00095C6F"/>
    <w:rsid w:val="00095CFD"/>
    <w:rsid w:val="00095ECB"/>
    <w:rsid w:val="00095F95"/>
    <w:rsid w:val="00095FC9"/>
    <w:rsid w:val="0009629B"/>
    <w:rsid w:val="0009632C"/>
    <w:rsid w:val="00096376"/>
    <w:rsid w:val="0009640A"/>
    <w:rsid w:val="000964FE"/>
    <w:rsid w:val="0009657F"/>
    <w:rsid w:val="00096623"/>
    <w:rsid w:val="00096645"/>
    <w:rsid w:val="000967B4"/>
    <w:rsid w:val="00096836"/>
    <w:rsid w:val="00096857"/>
    <w:rsid w:val="00096AF8"/>
    <w:rsid w:val="00096B98"/>
    <w:rsid w:val="00096C02"/>
    <w:rsid w:val="00096CDE"/>
    <w:rsid w:val="00097007"/>
    <w:rsid w:val="000970A7"/>
    <w:rsid w:val="000970D8"/>
    <w:rsid w:val="000970EE"/>
    <w:rsid w:val="000970F8"/>
    <w:rsid w:val="00097231"/>
    <w:rsid w:val="00097268"/>
    <w:rsid w:val="00097337"/>
    <w:rsid w:val="000973E2"/>
    <w:rsid w:val="00097481"/>
    <w:rsid w:val="00097517"/>
    <w:rsid w:val="0009787E"/>
    <w:rsid w:val="000978B7"/>
    <w:rsid w:val="00097950"/>
    <w:rsid w:val="000979A8"/>
    <w:rsid w:val="00097C3F"/>
    <w:rsid w:val="00097CB2"/>
    <w:rsid w:val="00097DBB"/>
    <w:rsid w:val="00097FA3"/>
    <w:rsid w:val="000A00B2"/>
    <w:rsid w:val="000A011B"/>
    <w:rsid w:val="000A0237"/>
    <w:rsid w:val="000A03A6"/>
    <w:rsid w:val="000A0511"/>
    <w:rsid w:val="000A0611"/>
    <w:rsid w:val="000A06B5"/>
    <w:rsid w:val="000A070F"/>
    <w:rsid w:val="000A085C"/>
    <w:rsid w:val="000A0F11"/>
    <w:rsid w:val="000A10FD"/>
    <w:rsid w:val="000A1175"/>
    <w:rsid w:val="000A1178"/>
    <w:rsid w:val="000A119C"/>
    <w:rsid w:val="000A11F7"/>
    <w:rsid w:val="000A12DB"/>
    <w:rsid w:val="000A1343"/>
    <w:rsid w:val="000A13D7"/>
    <w:rsid w:val="000A13D9"/>
    <w:rsid w:val="000A1520"/>
    <w:rsid w:val="000A164B"/>
    <w:rsid w:val="000A166B"/>
    <w:rsid w:val="000A185A"/>
    <w:rsid w:val="000A191C"/>
    <w:rsid w:val="000A1A6C"/>
    <w:rsid w:val="000A1AD0"/>
    <w:rsid w:val="000A1B38"/>
    <w:rsid w:val="000A1C6C"/>
    <w:rsid w:val="000A1EC4"/>
    <w:rsid w:val="000A1F04"/>
    <w:rsid w:val="000A205E"/>
    <w:rsid w:val="000A22FF"/>
    <w:rsid w:val="000A23DC"/>
    <w:rsid w:val="000A23E2"/>
    <w:rsid w:val="000A246B"/>
    <w:rsid w:val="000A2578"/>
    <w:rsid w:val="000A25A3"/>
    <w:rsid w:val="000A25F8"/>
    <w:rsid w:val="000A268A"/>
    <w:rsid w:val="000A280C"/>
    <w:rsid w:val="000A28CC"/>
    <w:rsid w:val="000A2962"/>
    <w:rsid w:val="000A2D23"/>
    <w:rsid w:val="000A2EF7"/>
    <w:rsid w:val="000A303F"/>
    <w:rsid w:val="000A313A"/>
    <w:rsid w:val="000A3183"/>
    <w:rsid w:val="000A31BA"/>
    <w:rsid w:val="000A3250"/>
    <w:rsid w:val="000A325E"/>
    <w:rsid w:val="000A32C0"/>
    <w:rsid w:val="000A3410"/>
    <w:rsid w:val="000A342B"/>
    <w:rsid w:val="000A3441"/>
    <w:rsid w:val="000A3584"/>
    <w:rsid w:val="000A38CC"/>
    <w:rsid w:val="000A3B08"/>
    <w:rsid w:val="000A3D0D"/>
    <w:rsid w:val="000A402F"/>
    <w:rsid w:val="000A40FC"/>
    <w:rsid w:val="000A411D"/>
    <w:rsid w:val="000A4295"/>
    <w:rsid w:val="000A42B1"/>
    <w:rsid w:val="000A43FB"/>
    <w:rsid w:val="000A44A1"/>
    <w:rsid w:val="000A4617"/>
    <w:rsid w:val="000A46FD"/>
    <w:rsid w:val="000A4875"/>
    <w:rsid w:val="000A4903"/>
    <w:rsid w:val="000A4A56"/>
    <w:rsid w:val="000A4AF0"/>
    <w:rsid w:val="000A4B34"/>
    <w:rsid w:val="000A4B56"/>
    <w:rsid w:val="000A4B5A"/>
    <w:rsid w:val="000A4C24"/>
    <w:rsid w:val="000A4C6B"/>
    <w:rsid w:val="000A4C72"/>
    <w:rsid w:val="000A4CD0"/>
    <w:rsid w:val="000A4E4C"/>
    <w:rsid w:val="000A4E77"/>
    <w:rsid w:val="000A500A"/>
    <w:rsid w:val="000A502A"/>
    <w:rsid w:val="000A5034"/>
    <w:rsid w:val="000A5176"/>
    <w:rsid w:val="000A519D"/>
    <w:rsid w:val="000A51E8"/>
    <w:rsid w:val="000A5224"/>
    <w:rsid w:val="000A5358"/>
    <w:rsid w:val="000A55B5"/>
    <w:rsid w:val="000A563A"/>
    <w:rsid w:val="000A5973"/>
    <w:rsid w:val="000A5998"/>
    <w:rsid w:val="000A59A8"/>
    <w:rsid w:val="000A5B1C"/>
    <w:rsid w:val="000A5B9B"/>
    <w:rsid w:val="000A5BB4"/>
    <w:rsid w:val="000A5BEB"/>
    <w:rsid w:val="000A5C4A"/>
    <w:rsid w:val="000A5E0B"/>
    <w:rsid w:val="000A5E35"/>
    <w:rsid w:val="000A60DF"/>
    <w:rsid w:val="000A6194"/>
    <w:rsid w:val="000A6208"/>
    <w:rsid w:val="000A62FF"/>
    <w:rsid w:val="000A65B9"/>
    <w:rsid w:val="000A6699"/>
    <w:rsid w:val="000A69B6"/>
    <w:rsid w:val="000A6A7F"/>
    <w:rsid w:val="000A6AB0"/>
    <w:rsid w:val="000A6AF9"/>
    <w:rsid w:val="000A6B5A"/>
    <w:rsid w:val="000A6BD3"/>
    <w:rsid w:val="000A6D23"/>
    <w:rsid w:val="000A6EEE"/>
    <w:rsid w:val="000A6F95"/>
    <w:rsid w:val="000A7027"/>
    <w:rsid w:val="000A72D1"/>
    <w:rsid w:val="000A73FE"/>
    <w:rsid w:val="000A7442"/>
    <w:rsid w:val="000A7595"/>
    <w:rsid w:val="000A75B7"/>
    <w:rsid w:val="000A7662"/>
    <w:rsid w:val="000A774A"/>
    <w:rsid w:val="000A7B46"/>
    <w:rsid w:val="000A7B9D"/>
    <w:rsid w:val="000A7BBC"/>
    <w:rsid w:val="000A7D47"/>
    <w:rsid w:val="000A7F0E"/>
    <w:rsid w:val="000B00DD"/>
    <w:rsid w:val="000B01BA"/>
    <w:rsid w:val="000B01BC"/>
    <w:rsid w:val="000B0500"/>
    <w:rsid w:val="000B0502"/>
    <w:rsid w:val="000B0546"/>
    <w:rsid w:val="000B05C1"/>
    <w:rsid w:val="000B06D1"/>
    <w:rsid w:val="000B072E"/>
    <w:rsid w:val="000B078F"/>
    <w:rsid w:val="000B081F"/>
    <w:rsid w:val="000B098C"/>
    <w:rsid w:val="000B099B"/>
    <w:rsid w:val="000B0A05"/>
    <w:rsid w:val="000B0B65"/>
    <w:rsid w:val="000B0C53"/>
    <w:rsid w:val="000B0D05"/>
    <w:rsid w:val="000B0E1D"/>
    <w:rsid w:val="000B0EBA"/>
    <w:rsid w:val="000B0FB9"/>
    <w:rsid w:val="000B1263"/>
    <w:rsid w:val="000B1329"/>
    <w:rsid w:val="000B1456"/>
    <w:rsid w:val="000B14CE"/>
    <w:rsid w:val="000B1539"/>
    <w:rsid w:val="000B156C"/>
    <w:rsid w:val="000B1663"/>
    <w:rsid w:val="000B1AF0"/>
    <w:rsid w:val="000B1B34"/>
    <w:rsid w:val="000B1BA5"/>
    <w:rsid w:val="000B1D06"/>
    <w:rsid w:val="000B1E5C"/>
    <w:rsid w:val="000B1EB1"/>
    <w:rsid w:val="000B1FED"/>
    <w:rsid w:val="000B2172"/>
    <w:rsid w:val="000B2183"/>
    <w:rsid w:val="000B22F1"/>
    <w:rsid w:val="000B23F6"/>
    <w:rsid w:val="000B25D5"/>
    <w:rsid w:val="000B27F5"/>
    <w:rsid w:val="000B28A6"/>
    <w:rsid w:val="000B2948"/>
    <w:rsid w:val="000B29E1"/>
    <w:rsid w:val="000B2A1C"/>
    <w:rsid w:val="000B2A29"/>
    <w:rsid w:val="000B2C32"/>
    <w:rsid w:val="000B316B"/>
    <w:rsid w:val="000B3421"/>
    <w:rsid w:val="000B3437"/>
    <w:rsid w:val="000B352C"/>
    <w:rsid w:val="000B3551"/>
    <w:rsid w:val="000B3645"/>
    <w:rsid w:val="000B368A"/>
    <w:rsid w:val="000B3690"/>
    <w:rsid w:val="000B37B2"/>
    <w:rsid w:val="000B38A4"/>
    <w:rsid w:val="000B3A40"/>
    <w:rsid w:val="000B3B36"/>
    <w:rsid w:val="000B3D80"/>
    <w:rsid w:val="000B4295"/>
    <w:rsid w:val="000B4357"/>
    <w:rsid w:val="000B448C"/>
    <w:rsid w:val="000B4515"/>
    <w:rsid w:val="000B458E"/>
    <w:rsid w:val="000B45E5"/>
    <w:rsid w:val="000B46DD"/>
    <w:rsid w:val="000B471A"/>
    <w:rsid w:val="000B4772"/>
    <w:rsid w:val="000B477B"/>
    <w:rsid w:val="000B49B5"/>
    <w:rsid w:val="000B4BC5"/>
    <w:rsid w:val="000B4C6E"/>
    <w:rsid w:val="000B4D39"/>
    <w:rsid w:val="000B4DA9"/>
    <w:rsid w:val="000B4DBD"/>
    <w:rsid w:val="000B4EEB"/>
    <w:rsid w:val="000B4EEF"/>
    <w:rsid w:val="000B4F7F"/>
    <w:rsid w:val="000B4FCC"/>
    <w:rsid w:val="000B5006"/>
    <w:rsid w:val="000B504E"/>
    <w:rsid w:val="000B5073"/>
    <w:rsid w:val="000B5129"/>
    <w:rsid w:val="000B5193"/>
    <w:rsid w:val="000B529C"/>
    <w:rsid w:val="000B588D"/>
    <w:rsid w:val="000B59EF"/>
    <w:rsid w:val="000B5A5F"/>
    <w:rsid w:val="000B5B6A"/>
    <w:rsid w:val="000B5C95"/>
    <w:rsid w:val="000B5CEA"/>
    <w:rsid w:val="000B5D14"/>
    <w:rsid w:val="000B5D46"/>
    <w:rsid w:val="000B5DC4"/>
    <w:rsid w:val="000B61E3"/>
    <w:rsid w:val="000B6239"/>
    <w:rsid w:val="000B62AD"/>
    <w:rsid w:val="000B63AE"/>
    <w:rsid w:val="000B669F"/>
    <w:rsid w:val="000B694C"/>
    <w:rsid w:val="000B6BBD"/>
    <w:rsid w:val="000B6CCE"/>
    <w:rsid w:val="000B6DE4"/>
    <w:rsid w:val="000B6E18"/>
    <w:rsid w:val="000B6E1E"/>
    <w:rsid w:val="000B7074"/>
    <w:rsid w:val="000B7099"/>
    <w:rsid w:val="000B7107"/>
    <w:rsid w:val="000B7320"/>
    <w:rsid w:val="000B7350"/>
    <w:rsid w:val="000B753B"/>
    <w:rsid w:val="000B7797"/>
    <w:rsid w:val="000B7A12"/>
    <w:rsid w:val="000B7AFC"/>
    <w:rsid w:val="000B7B63"/>
    <w:rsid w:val="000B7C00"/>
    <w:rsid w:val="000B7C0A"/>
    <w:rsid w:val="000B7F01"/>
    <w:rsid w:val="000C00CB"/>
    <w:rsid w:val="000C02B7"/>
    <w:rsid w:val="000C02B8"/>
    <w:rsid w:val="000C02D4"/>
    <w:rsid w:val="000C033C"/>
    <w:rsid w:val="000C03B4"/>
    <w:rsid w:val="000C0419"/>
    <w:rsid w:val="000C0563"/>
    <w:rsid w:val="000C0587"/>
    <w:rsid w:val="000C0596"/>
    <w:rsid w:val="000C06CA"/>
    <w:rsid w:val="000C0770"/>
    <w:rsid w:val="000C08E0"/>
    <w:rsid w:val="000C0909"/>
    <w:rsid w:val="000C0A78"/>
    <w:rsid w:val="000C0AB9"/>
    <w:rsid w:val="000C0B58"/>
    <w:rsid w:val="000C0B86"/>
    <w:rsid w:val="000C0C21"/>
    <w:rsid w:val="000C0C6F"/>
    <w:rsid w:val="000C0CF2"/>
    <w:rsid w:val="000C0D7D"/>
    <w:rsid w:val="000C0F39"/>
    <w:rsid w:val="000C0FC6"/>
    <w:rsid w:val="000C0FD3"/>
    <w:rsid w:val="000C1103"/>
    <w:rsid w:val="000C1180"/>
    <w:rsid w:val="000C11B9"/>
    <w:rsid w:val="000C12A4"/>
    <w:rsid w:val="000C14E4"/>
    <w:rsid w:val="000C150E"/>
    <w:rsid w:val="000C15AB"/>
    <w:rsid w:val="000C16CF"/>
    <w:rsid w:val="000C16EC"/>
    <w:rsid w:val="000C17BD"/>
    <w:rsid w:val="000C1879"/>
    <w:rsid w:val="000C1A9B"/>
    <w:rsid w:val="000C1B2C"/>
    <w:rsid w:val="000C1C48"/>
    <w:rsid w:val="000C1FE3"/>
    <w:rsid w:val="000C20E2"/>
    <w:rsid w:val="000C23EA"/>
    <w:rsid w:val="000C24AD"/>
    <w:rsid w:val="000C255A"/>
    <w:rsid w:val="000C256E"/>
    <w:rsid w:val="000C260A"/>
    <w:rsid w:val="000C2618"/>
    <w:rsid w:val="000C270F"/>
    <w:rsid w:val="000C27E2"/>
    <w:rsid w:val="000C2961"/>
    <w:rsid w:val="000C29E7"/>
    <w:rsid w:val="000C2BC1"/>
    <w:rsid w:val="000C2C48"/>
    <w:rsid w:val="000C2CFE"/>
    <w:rsid w:val="000C2DB0"/>
    <w:rsid w:val="000C2F09"/>
    <w:rsid w:val="000C2F1F"/>
    <w:rsid w:val="000C305F"/>
    <w:rsid w:val="000C30C8"/>
    <w:rsid w:val="000C30D8"/>
    <w:rsid w:val="000C30E7"/>
    <w:rsid w:val="000C30F1"/>
    <w:rsid w:val="000C31FC"/>
    <w:rsid w:val="000C3335"/>
    <w:rsid w:val="000C33FB"/>
    <w:rsid w:val="000C35BB"/>
    <w:rsid w:val="000C35F1"/>
    <w:rsid w:val="000C3652"/>
    <w:rsid w:val="000C3772"/>
    <w:rsid w:val="000C37BA"/>
    <w:rsid w:val="000C37F9"/>
    <w:rsid w:val="000C39F0"/>
    <w:rsid w:val="000C3B0C"/>
    <w:rsid w:val="000C3C9A"/>
    <w:rsid w:val="000C3C9B"/>
    <w:rsid w:val="000C3CB1"/>
    <w:rsid w:val="000C3E4E"/>
    <w:rsid w:val="000C447E"/>
    <w:rsid w:val="000C461C"/>
    <w:rsid w:val="000C464D"/>
    <w:rsid w:val="000C4711"/>
    <w:rsid w:val="000C4758"/>
    <w:rsid w:val="000C47A8"/>
    <w:rsid w:val="000C47E7"/>
    <w:rsid w:val="000C48EE"/>
    <w:rsid w:val="000C49E8"/>
    <w:rsid w:val="000C4B1B"/>
    <w:rsid w:val="000C4C02"/>
    <w:rsid w:val="000C4DBF"/>
    <w:rsid w:val="000C4EDF"/>
    <w:rsid w:val="000C4EEC"/>
    <w:rsid w:val="000C4F14"/>
    <w:rsid w:val="000C4F70"/>
    <w:rsid w:val="000C522F"/>
    <w:rsid w:val="000C52B8"/>
    <w:rsid w:val="000C5533"/>
    <w:rsid w:val="000C555C"/>
    <w:rsid w:val="000C5678"/>
    <w:rsid w:val="000C581E"/>
    <w:rsid w:val="000C59D1"/>
    <w:rsid w:val="000C5A2B"/>
    <w:rsid w:val="000C5A38"/>
    <w:rsid w:val="000C5AA5"/>
    <w:rsid w:val="000C5AA8"/>
    <w:rsid w:val="000C5B01"/>
    <w:rsid w:val="000C5C8A"/>
    <w:rsid w:val="000C5C96"/>
    <w:rsid w:val="000C5E4F"/>
    <w:rsid w:val="000C5F0C"/>
    <w:rsid w:val="000C5F40"/>
    <w:rsid w:val="000C5FAF"/>
    <w:rsid w:val="000C6076"/>
    <w:rsid w:val="000C60C1"/>
    <w:rsid w:val="000C6137"/>
    <w:rsid w:val="000C61CA"/>
    <w:rsid w:val="000C620E"/>
    <w:rsid w:val="000C6277"/>
    <w:rsid w:val="000C6282"/>
    <w:rsid w:val="000C6294"/>
    <w:rsid w:val="000C6335"/>
    <w:rsid w:val="000C6360"/>
    <w:rsid w:val="000C6683"/>
    <w:rsid w:val="000C6730"/>
    <w:rsid w:val="000C6752"/>
    <w:rsid w:val="000C68F6"/>
    <w:rsid w:val="000C6905"/>
    <w:rsid w:val="000C695C"/>
    <w:rsid w:val="000C6A36"/>
    <w:rsid w:val="000C6AE8"/>
    <w:rsid w:val="000C6E7B"/>
    <w:rsid w:val="000C6EB9"/>
    <w:rsid w:val="000C7067"/>
    <w:rsid w:val="000C7207"/>
    <w:rsid w:val="000C731A"/>
    <w:rsid w:val="000C73BE"/>
    <w:rsid w:val="000C76AA"/>
    <w:rsid w:val="000C7955"/>
    <w:rsid w:val="000C7964"/>
    <w:rsid w:val="000C7B36"/>
    <w:rsid w:val="000C7C72"/>
    <w:rsid w:val="000C7CF1"/>
    <w:rsid w:val="000C7E27"/>
    <w:rsid w:val="000C7F2C"/>
    <w:rsid w:val="000C7F84"/>
    <w:rsid w:val="000C7FE2"/>
    <w:rsid w:val="000D002D"/>
    <w:rsid w:val="000D0059"/>
    <w:rsid w:val="000D00E8"/>
    <w:rsid w:val="000D021B"/>
    <w:rsid w:val="000D02B7"/>
    <w:rsid w:val="000D0355"/>
    <w:rsid w:val="000D04D7"/>
    <w:rsid w:val="000D0815"/>
    <w:rsid w:val="000D08A9"/>
    <w:rsid w:val="000D0978"/>
    <w:rsid w:val="000D0C89"/>
    <w:rsid w:val="000D0CE1"/>
    <w:rsid w:val="000D0D56"/>
    <w:rsid w:val="000D0DCB"/>
    <w:rsid w:val="000D0EA4"/>
    <w:rsid w:val="000D0F1D"/>
    <w:rsid w:val="000D0F5D"/>
    <w:rsid w:val="000D1036"/>
    <w:rsid w:val="000D105B"/>
    <w:rsid w:val="000D10FE"/>
    <w:rsid w:val="000D111D"/>
    <w:rsid w:val="000D1194"/>
    <w:rsid w:val="000D1277"/>
    <w:rsid w:val="000D1280"/>
    <w:rsid w:val="000D1284"/>
    <w:rsid w:val="000D13A1"/>
    <w:rsid w:val="000D16A7"/>
    <w:rsid w:val="000D16D7"/>
    <w:rsid w:val="000D1747"/>
    <w:rsid w:val="000D18B7"/>
    <w:rsid w:val="000D1A30"/>
    <w:rsid w:val="000D1ACA"/>
    <w:rsid w:val="000D1B3A"/>
    <w:rsid w:val="000D1BEE"/>
    <w:rsid w:val="000D1C25"/>
    <w:rsid w:val="000D1CD2"/>
    <w:rsid w:val="000D1CFC"/>
    <w:rsid w:val="000D1D69"/>
    <w:rsid w:val="000D1FCD"/>
    <w:rsid w:val="000D20BD"/>
    <w:rsid w:val="000D20FF"/>
    <w:rsid w:val="000D2114"/>
    <w:rsid w:val="000D21AD"/>
    <w:rsid w:val="000D2204"/>
    <w:rsid w:val="000D2277"/>
    <w:rsid w:val="000D23E0"/>
    <w:rsid w:val="000D241E"/>
    <w:rsid w:val="000D2471"/>
    <w:rsid w:val="000D24DA"/>
    <w:rsid w:val="000D2810"/>
    <w:rsid w:val="000D2889"/>
    <w:rsid w:val="000D29C9"/>
    <w:rsid w:val="000D2A0C"/>
    <w:rsid w:val="000D2A16"/>
    <w:rsid w:val="000D2C91"/>
    <w:rsid w:val="000D2CB4"/>
    <w:rsid w:val="000D2CD7"/>
    <w:rsid w:val="000D2D90"/>
    <w:rsid w:val="000D2F83"/>
    <w:rsid w:val="000D2FFB"/>
    <w:rsid w:val="000D31D6"/>
    <w:rsid w:val="000D31E2"/>
    <w:rsid w:val="000D32C1"/>
    <w:rsid w:val="000D3351"/>
    <w:rsid w:val="000D33D2"/>
    <w:rsid w:val="000D33E5"/>
    <w:rsid w:val="000D37D5"/>
    <w:rsid w:val="000D3ABC"/>
    <w:rsid w:val="000D3BF1"/>
    <w:rsid w:val="000D3C2C"/>
    <w:rsid w:val="000D3C82"/>
    <w:rsid w:val="000D3D20"/>
    <w:rsid w:val="000D3F94"/>
    <w:rsid w:val="000D4095"/>
    <w:rsid w:val="000D40B5"/>
    <w:rsid w:val="000D40D4"/>
    <w:rsid w:val="000D40E2"/>
    <w:rsid w:val="000D417F"/>
    <w:rsid w:val="000D4398"/>
    <w:rsid w:val="000D443D"/>
    <w:rsid w:val="000D4491"/>
    <w:rsid w:val="000D45BC"/>
    <w:rsid w:val="000D47EB"/>
    <w:rsid w:val="000D4948"/>
    <w:rsid w:val="000D497B"/>
    <w:rsid w:val="000D49FF"/>
    <w:rsid w:val="000D4A80"/>
    <w:rsid w:val="000D4C3D"/>
    <w:rsid w:val="000D4F62"/>
    <w:rsid w:val="000D501F"/>
    <w:rsid w:val="000D5027"/>
    <w:rsid w:val="000D504F"/>
    <w:rsid w:val="000D514B"/>
    <w:rsid w:val="000D524E"/>
    <w:rsid w:val="000D529B"/>
    <w:rsid w:val="000D5391"/>
    <w:rsid w:val="000D53F8"/>
    <w:rsid w:val="000D5550"/>
    <w:rsid w:val="000D55A5"/>
    <w:rsid w:val="000D5600"/>
    <w:rsid w:val="000D579D"/>
    <w:rsid w:val="000D5A5C"/>
    <w:rsid w:val="000D5AAA"/>
    <w:rsid w:val="000D5ABA"/>
    <w:rsid w:val="000D5BA8"/>
    <w:rsid w:val="000D5D7B"/>
    <w:rsid w:val="000D5E1A"/>
    <w:rsid w:val="000D5E2D"/>
    <w:rsid w:val="000D5E51"/>
    <w:rsid w:val="000D6057"/>
    <w:rsid w:val="000D610D"/>
    <w:rsid w:val="000D62B7"/>
    <w:rsid w:val="000D637A"/>
    <w:rsid w:val="000D6487"/>
    <w:rsid w:val="000D653E"/>
    <w:rsid w:val="000D6545"/>
    <w:rsid w:val="000D666A"/>
    <w:rsid w:val="000D666F"/>
    <w:rsid w:val="000D66B3"/>
    <w:rsid w:val="000D68F0"/>
    <w:rsid w:val="000D6AC3"/>
    <w:rsid w:val="000D6C7D"/>
    <w:rsid w:val="000D6D8E"/>
    <w:rsid w:val="000D6E82"/>
    <w:rsid w:val="000D6EA6"/>
    <w:rsid w:val="000D6F0D"/>
    <w:rsid w:val="000D6FF5"/>
    <w:rsid w:val="000D712D"/>
    <w:rsid w:val="000D7206"/>
    <w:rsid w:val="000D729E"/>
    <w:rsid w:val="000D73C2"/>
    <w:rsid w:val="000D75E5"/>
    <w:rsid w:val="000D77B8"/>
    <w:rsid w:val="000D78EA"/>
    <w:rsid w:val="000D796B"/>
    <w:rsid w:val="000D7ACB"/>
    <w:rsid w:val="000D7B0C"/>
    <w:rsid w:val="000D7D68"/>
    <w:rsid w:val="000D7E38"/>
    <w:rsid w:val="000D7EA3"/>
    <w:rsid w:val="000E0247"/>
    <w:rsid w:val="000E033E"/>
    <w:rsid w:val="000E03C1"/>
    <w:rsid w:val="000E03E5"/>
    <w:rsid w:val="000E04C0"/>
    <w:rsid w:val="000E05B1"/>
    <w:rsid w:val="000E070F"/>
    <w:rsid w:val="000E072A"/>
    <w:rsid w:val="000E087C"/>
    <w:rsid w:val="000E08AE"/>
    <w:rsid w:val="000E08D1"/>
    <w:rsid w:val="000E0B74"/>
    <w:rsid w:val="000E0CB0"/>
    <w:rsid w:val="000E12B6"/>
    <w:rsid w:val="000E12C7"/>
    <w:rsid w:val="000E14CA"/>
    <w:rsid w:val="000E14FF"/>
    <w:rsid w:val="000E1780"/>
    <w:rsid w:val="000E19A4"/>
    <w:rsid w:val="000E1AF8"/>
    <w:rsid w:val="000E1B0B"/>
    <w:rsid w:val="000E1C6F"/>
    <w:rsid w:val="000E1E11"/>
    <w:rsid w:val="000E1E18"/>
    <w:rsid w:val="000E1E48"/>
    <w:rsid w:val="000E208A"/>
    <w:rsid w:val="000E22C9"/>
    <w:rsid w:val="000E2371"/>
    <w:rsid w:val="000E237F"/>
    <w:rsid w:val="000E23F2"/>
    <w:rsid w:val="000E2474"/>
    <w:rsid w:val="000E253B"/>
    <w:rsid w:val="000E2574"/>
    <w:rsid w:val="000E2663"/>
    <w:rsid w:val="000E2837"/>
    <w:rsid w:val="000E29B0"/>
    <w:rsid w:val="000E29BB"/>
    <w:rsid w:val="000E2CEA"/>
    <w:rsid w:val="000E2D3D"/>
    <w:rsid w:val="000E2DAC"/>
    <w:rsid w:val="000E2E33"/>
    <w:rsid w:val="000E3138"/>
    <w:rsid w:val="000E320F"/>
    <w:rsid w:val="000E32F8"/>
    <w:rsid w:val="000E346C"/>
    <w:rsid w:val="000E34BE"/>
    <w:rsid w:val="000E35B3"/>
    <w:rsid w:val="000E363E"/>
    <w:rsid w:val="000E3780"/>
    <w:rsid w:val="000E3A78"/>
    <w:rsid w:val="000E3B31"/>
    <w:rsid w:val="000E3B58"/>
    <w:rsid w:val="000E3B5C"/>
    <w:rsid w:val="000E3C00"/>
    <w:rsid w:val="000E3C6C"/>
    <w:rsid w:val="000E3CA9"/>
    <w:rsid w:val="000E3CC0"/>
    <w:rsid w:val="000E3E03"/>
    <w:rsid w:val="000E3F43"/>
    <w:rsid w:val="000E412D"/>
    <w:rsid w:val="000E4151"/>
    <w:rsid w:val="000E434E"/>
    <w:rsid w:val="000E4366"/>
    <w:rsid w:val="000E444F"/>
    <w:rsid w:val="000E44E0"/>
    <w:rsid w:val="000E4642"/>
    <w:rsid w:val="000E473C"/>
    <w:rsid w:val="000E48FA"/>
    <w:rsid w:val="000E490D"/>
    <w:rsid w:val="000E49FF"/>
    <w:rsid w:val="000E4A62"/>
    <w:rsid w:val="000E4B04"/>
    <w:rsid w:val="000E4F4E"/>
    <w:rsid w:val="000E4F51"/>
    <w:rsid w:val="000E4FA8"/>
    <w:rsid w:val="000E5068"/>
    <w:rsid w:val="000E508B"/>
    <w:rsid w:val="000E508F"/>
    <w:rsid w:val="000E5246"/>
    <w:rsid w:val="000E529E"/>
    <w:rsid w:val="000E52BC"/>
    <w:rsid w:val="000E53C9"/>
    <w:rsid w:val="000E5559"/>
    <w:rsid w:val="000E575E"/>
    <w:rsid w:val="000E57CD"/>
    <w:rsid w:val="000E587B"/>
    <w:rsid w:val="000E58A8"/>
    <w:rsid w:val="000E58DC"/>
    <w:rsid w:val="000E594C"/>
    <w:rsid w:val="000E5B5F"/>
    <w:rsid w:val="000E5C37"/>
    <w:rsid w:val="000E5D9A"/>
    <w:rsid w:val="000E5F84"/>
    <w:rsid w:val="000E611B"/>
    <w:rsid w:val="000E6459"/>
    <w:rsid w:val="000E659F"/>
    <w:rsid w:val="000E667F"/>
    <w:rsid w:val="000E6721"/>
    <w:rsid w:val="000E6769"/>
    <w:rsid w:val="000E67EB"/>
    <w:rsid w:val="000E681C"/>
    <w:rsid w:val="000E684F"/>
    <w:rsid w:val="000E68A8"/>
    <w:rsid w:val="000E690E"/>
    <w:rsid w:val="000E69D4"/>
    <w:rsid w:val="000E6A12"/>
    <w:rsid w:val="000E6A7A"/>
    <w:rsid w:val="000E6E05"/>
    <w:rsid w:val="000E6E9F"/>
    <w:rsid w:val="000E7055"/>
    <w:rsid w:val="000E7095"/>
    <w:rsid w:val="000E70CB"/>
    <w:rsid w:val="000E7137"/>
    <w:rsid w:val="000E7562"/>
    <w:rsid w:val="000E757D"/>
    <w:rsid w:val="000E75C5"/>
    <w:rsid w:val="000E761F"/>
    <w:rsid w:val="000E770A"/>
    <w:rsid w:val="000E77D9"/>
    <w:rsid w:val="000E77E4"/>
    <w:rsid w:val="000E7966"/>
    <w:rsid w:val="000E7B6E"/>
    <w:rsid w:val="000E7CED"/>
    <w:rsid w:val="000E7D72"/>
    <w:rsid w:val="000E7EA1"/>
    <w:rsid w:val="000F005F"/>
    <w:rsid w:val="000F00C3"/>
    <w:rsid w:val="000F01DC"/>
    <w:rsid w:val="000F0412"/>
    <w:rsid w:val="000F04BF"/>
    <w:rsid w:val="000F0588"/>
    <w:rsid w:val="000F065B"/>
    <w:rsid w:val="000F069F"/>
    <w:rsid w:val="000F076A"/>
    <w:rsid w:val="000F07D1"/>
    <w:rsid w:val="000F07F2"/>
    <w:rsid w:val="000F07F9"/>
    <w:rsid w:val="000F080C"/>
    <w:rsid w:val="000F0A32"/>
    <w:rsid w:val="000F0BF8"/>
    <w:rsid w:val="000F0C15"/>
    <w:rsid w:val="000F0D9B"/>
    <w:rsid w:val="000F0E16"/>
    <w:rsid w:val="000F0EB0"/>
    <w:rsid w:val="000F1019"/>
    <w:rsid w:val="000F1347"/>
    <w:rsid w:val="000F1431"/>
    <w:rsid w:val="000F145F"/>
    <w:rsid w:val="000F14BA"/>
    <w:rsid w:val="000F164C"/>
    <w:rsid w:val="000F1AD8"/>
    <w:rsid w:val="000F1B50"/>
    <w:rsid w:val="000F1C5A"/>
    <w:rsid w:val="000F1C70"/>
    <w:rsid w:val="000F1D1A"/>
    <w:rsid w:val="000F1E1D"/>
    <w:rsid w:val="000F1E3A"/>
    <w:rsid w:val="000F1E80"/>
    <w:rsid w:val="000F1F12"/>
    <w:rsid w:val="000F1F2A"/>
    <w:rsid w:val="000F203B"/>
    <w:rsid w:val="000F2053"/>
    <w:rsid w:val="000F2173"/>
    <w:rsid w:val="000F218B"/>
    <w:rsid w:val="000F21BB"/>
    <w:rsid w:val="000F237F"/>
    <w:rsid w:val="000F23E2"/>
    <w:rsid w:val="000F247D"/>
    <w:rsid w:val="000F25C7"/>
    <w:rsid w:val="000F2689"/>
    <w:rsid w:val="000F270B"/>
    <w:rsid w:val="000F28F4"/>
    <w:rsid w:val="000F2B58"/>
    <w:rsid w:val="000F2BDF"/>
    <w:rsid w:val="000F2D69"/>
    <w:rsid w:val="000F2E02"/>
    <w:rsid w:val="000F2EE0"/>
    <w:rsid w:val="000F2F7B"/>
    <w:rsid w:val="000F3021"/>
    <w:rsid w:val="000F318F"/>
    <w:rsid w:val="000F3235"/>
    <w:rsid w:val="000F32D5"/>
    <w:rsid w:val="000F330C"/>
    <w:rsid w:val="000F333E"/>
    <w:rsid w:val="000F3457"/>
    <w:rsid w:val="000F3785"/>
    <w:rsid w:val="000F3807"/>
    <w:rsid w:val="000F381B"/>
    <w:rsid w:val="000F3AE1"/>
    <w:rsid w:val="000F3D40"/>
    <w:rsid w:val="000F3E37"/>
    <w:rsid w:val="000F3F22"/>
    <w:rsid w:val="000F3F66"/>
    <w:rsid w:val="000F4314"/>
    <w:rsid w:val="000F4438"/>
    <w:rsid w:val="000F44B8"/>
    <w:rsid w:val="000F456E"/>
    <w:rsid w:val="000F45BF"/>
    <w:rsid w:val="000F46AD"/>
    <w:rsid w:val="000F46D7"/>
    <w:rsid w:val="000F4873"/>
    <w:rsid w:val="000F48FA"/>
    <w:rsid w:val="000F4A28"/>
    <w:rsid w:val="000F4A6B"/>
    <w:rsid w:val="000F51C8"/>
    <w:rsid w:val="000F539B"/>
    <w:rsid w:val="000F53BC"/>
    <w:rsid w:val="000F53E6"/>
    <w:rsid w:val="000F54E3"/>
    <w:rsid w:val="000F59C0"/>
    <w:rsid w:val="000F59F9"/>
    <w:rsid w:val="000F59FA"/>
    <w:rsid w:val="000F5A2E"/>
    <w:rsid w:val="000F5C2F"/>
    <w:rsid w:val="000F5C5A"/>
    <w:rsid w:val="000F5C9A"/>
    <w:rsid w:val="000F5DBF"/>
    <w:rsid w:val="000F5DD3"/>
    <w:rsid w:val="000F5DEE"/>
    <w:rsid w:val="000F5FD5"/>
    <w:rsid w:val="000F6131"/>
    <w:rsid w:val="000F618C"/>
    <w:rsid w:val="000F63AA"/>
    <w:rsid w:val="000F643F"/>
    <w:rsid w:val="000F64ED"/>
    <w:rsid w:val="000F6579"/>
    <w:rsid w:val="000F6592"/>
    <w:rsid w:val="000F6682"/>
    <w:rsid w:val="000F6782"/>
    <w:rsid w:val="000F6A19"/>
    <w:rsid w:val="000F6A26"/>
    <w:rsid w:val="000F6A3D"/>
    <w:rsid w:val="000F6B5E"/>
    <w:rsid w:val="000F6D3F"/>
    <w:rsid w:val="000F6DB9"/>
    <w:rsid w:val="000F6E08"/>
    <w:rsid w:val="000F6E18"/>
    <w:rsid w:val="000F6E3F"/>
    <w:rsid w:val="000F6F6B"/>
    <w:rsid w:val="000F713C"/>
    <w:rsid w:val="000F715F"/>
    <w:rsid w:val="000F724F"/>
    <w:rsid w:val="000F7257"/>
    <w:rsid w:val="000F729C"/>
    <w:rsid w:val="000F72B2"/>
    <w:rsid w:val="000F7367"/>
    <w:rsid w:val="000F73AB"/>
    <w:rsid w:val="000F7401"/>
    <w:rsid w:val="000F745B"/>
    <w:rsid w:val="000F7517"/>
    <w:rsid w:val="000F7529"/>
    <w:rsid w:val="000F762F"/>
    <w:rsid w:val="000F76DF"/>
    <w:rsid w:val="000F78C3"/>
    <w:rsid w:val="000F7958"/>
    <w:rsid w:val="000F7AC0"/>
    <w:rsid w:val="000F7B27"/>
    <w:rsid w:val="000F7BA7"/>
    <w:rsid w:val="000F7BB2"/>
    <w:rsid w:val="000F7C8D"/>
    <w:rsid w:val="000F7FC8"/>
    <w:rsid w:val="00100216"/>
    <w:rsid w:val="0010058C"/>
    <w:rsid w:val="001006C5"/>
    <w:rsid w:val="00100782"/>
    <w:rsid w:val="00100827"/>
    <w:rsid w:val="00100903"/>
    <w:rsid w:val="00100A75"/>
    <w:rsid w:val="00100B38"/>
    <w:rsid w:val="00100B4C"/>
    <w:rsid w:val="00100C2B"/>
    <w:rsid w:val="00100C46"/>
    <w:rsid w:val="00100C47"/>
    <w:rsid w:val="00100CDC"/>
    <w:rsid w:val="00100D13"/>
    <w:rsid w:val="001010E0"/>
    <w:rsid w:val="00101151"/>
    <w:rsid w:val="001011BD"/>
    <w:rsid w:val="001012F3"/>
    <w:rsid w:val="00101323"/>
    <w:rsid w:val="001014CB"/>
    <w:rsid w:val="0010172B"/>
    <w:rsid w:val="00101871"/>
    <w:rsid w:val="0010190E"/>
    <w:rsid w:val="001019F3"/>
    <w:rsid w:val="00101AA1"/>
    <w:rsid w:val="00101AFC"/>
    <w:rsid w:val="00101E0B"/>
    <w:rsid w:val="00101F28"/>
    <w:rsid w:val="00101F40"/>
    <w:rsid w:val="001023E2"/>
    <w:rsid w:val="001024A5"/>
    <w:rsid w:val="001024DC"/>
    <w:rsid w:val="00102542"/>
    <w:rsid w:val="00102625"/>
    <w:rsid w:val="0010263B"/>
    <w:rsid w:val="00102738"/>
    <w:rsid w:val="0010299A"/>
    <w:rsid w:val="001029FD"/>
    <w:rsid w:val="00102A08"/>
    <w:rsid w:val="00102A22"/>
    <w:rsid w:val="00102A4A"/>
    <w:rsid w:val="00102BD2"/>
    <w:rsid w:val="00102BE7"/>
    <w:rsid w:val="00102BE8"/>
    <w:rsid w:val="00102DA3"/>
    <w:rsid w:val="00102DC0"/>
    <w:rsid w:val="00102E41"/>
    <w:rsid w:val="00102F57"/>
    <w:rsid w:val="001030F7"/>
    <w:rsid w:val="001031BD"/>
    <w:rsid w:val="001031C4"/>
    <w:rsid w:val="001031F0"/>
    <w:rsid w:val="001032AB"/>
    <w:rsid w:val="00103307"/>
    <w:rsid w:val="001033BD"/>
    <w:rsid w:val="00103454"/>
    <w:rsid w:val="0010351C"/>
    <w:rsid w:val="00103582"/>
    <w:rsid w:val="0010361B"/>
    <w:rsid w:val="00103646"/>
    <w:rsid w:val="00103647"/>
    <w:rsid w:val="00103698"/>
    <w:rsid w:val="00103715"/>
    <w:rsid w:val="00103809"/>
    <w:rsid w:val="0010380E"/>
    <w:rsid w:val="00103818"/>
    <w:rsid w:val="00103849"/>
    <w:rsid w:val="001038BC"/>
    <w:rsid w:val="001038E5"/>
    <w:rsid w:val="00103A81"/>
    <w:rsid w:val="00103CAE"/>
    <w:rsid w:val="00103CF1"/>
    <w:rsid w:val="00104020"/>
    <w:rsid w:val="00104082"/>
    <w:rsid w:val="001040A3"/>
    <w:rsid w:val="001040B1"/>
    <w:rsid w:val="001040E1"/>
    <w:rsid w:val="001041E0"/>
    <w:rsid w:val="0010432A"/>
    <w:rsid w:val="0010438E"/>
    <w:rsid w:val="001046B1"/>
    <w:rsid w:val="00104709"/>
    <w:rsid w:val="00104719"/>
    <w:rsid w:val="001047FC"/>
    <w:rsid w:val="00104851"/>
    <w:rsid w:val="00104954"/>
    <w:rsid w:val="00104B8B"/>
    <w:rsid w:val="00104BDB"/>
    <w:rsid w:val="00104DC7"/>
    <w:rsid w:val="001050A9"/>
    <w:rsid w:val="001053A2"/>
    <w:rsid w:val="001055E9"/>
    <w:rsid w:val="0010563F"/>
    <w:rsid w:val="00105682"/>
    <w:rsid w:val="0010572D"/>
    <w:rsid w:val="001057F8"/>
    <w:rsid w:val="0010587F"/>
    <w:rsid w:val="00105889"/>
    <w:rsid w:val="001058B4"/>
    <w:rsid w:val="001058F5"/>
    <w:rsid w:val="0010598F"/>
    <w:rsid w:val="00105A5F"/>
    <w:rsid w:val="00105E2B"/>
    <w:rsid w:val="00105E3A"/>
    <w:rsid w:val="00105E76"/>
    <w:rsid w:val="00105F3F"/>
    <w:rsid w:val="0010642D"/>
    <w:rsid w:val="001064B4"/>
    <w:rsid w:val="001065D6"/>
    <w:rsid w:val="001066D2"/>
    <w:rsid w:val="0010675A"/>
    <w:rsid w:val="00106A81"/>
    <w:rsid w:val="00106F1A"/>
    <w:rsid w:val="00106F1F"/>
    <w:rsid w:val="00107024"/>
    <w:rsid w:val="001070E3"/>
    <w:rsid w:val="00107193"/>
    <w:rsid w:val="0010726E"/>
    <w:rsid w:val="00107296"/>
    <w:rsid w:val="001073C3"/>
    <w:rsid w:val="00107415"/>
    <w:rsid w:val="00107549"/>
    <w:rsid w:val="00107950"/>
    <w:rsid w:val="001079FA"/>
    <w:rsid w:val="00107A01"/>
    <w:rsid w:val="00107BC5"/>
    <w:rsid w:val="00107D9D"/>
    <w:rsid w:val="00107E24"/>
    <w:rsid w:val="00107E2D"/>
    <w:rsid w:val="00107FE3"/>
    <w:rsid w:val="001100D3"/>
    <w:rsid w:val="00110463"/>
    <w:rsid w:val="001104F1"/>
    <w:rsid w:val="0011069E"/>
    <w:rsid w:val="00110812"/>
    <w:rsid w:val="00110918"/>
    <w:rsid w:val="001109FD"/>
    <w:rsid w:val="00110DC8"/>
    <w:rsid w:val="00110DFF"/>
    <w:rsid w:val="00110F60"/>
    <w:rsid w:val="001110BA"/>
    <w:rsid w:val="001112A8"/>
    <w:rsid w:val="001112F7"/>
    <w:rsid w:val="001112FC"/>
    <w:rsid w:val="00111352"/>
    <w:rsid w:val="001113B0"/>
    <w:rsid w:val="001113D0"/>
    <w:rsid w:val="001115E7"/>
    <w:rsid w:val="00111639"/>
    <w:rsid w:val="001116F2"/>
    <w:rsid w:val="001116FA"/>
    <w:rsid w:val="0011177F"/>
    <w:rsid w:val="00111786"/>
    <w:rsid w:val="001117D2"/>
    <w:rsid w:val="00111864"/>
    <w:rsid w:val="001119ED"/>
    <w:rsid w:val="00111D16"/>
    <w:rsid w:val="00111D25"/>
    <w:rsid w:val="00111D42"/>
    <w:rsid w:val="00111DA1"/>
    <w:rsid w:val="00111EF5"/>
    <w:rsid w:val="00111FAC"/>
    <w:rsid w:val="00111FE1"/>
    <w:rsid w:val="00112224"/>
    <w:rsid w:val="0011254A"/>
    <w:rsid w:val="001125C5"/>
    <w:rsid w:val="0011294F"/>
    <w:rsid w:val="00112B31"/>
    <w:rsid w:val="00112D63"/>
    <w:rsid w:val="00112DDC"/>
    <w:rsid w:val="00112E30"/>
    <w:rsid w:val="00112EF8"/>
    <w:rsid w:val="00112F74"/>
    <w:rsid w:val="00112F8C"/>
    <w:rsid w:val="00113133"/>
    <w:rsid w:val="00113470"/>
    <w:rsid w:val="00113696"/>
    <w:rsid w:val="0011392F"/>
    <w:rsid w:val="00113931"/>
    <w:rsid w:val="00113944"/>
    <w:rsid w:val="00113974"/>
    <w:rsid w:val="00113B29"/>
    <w:rsid w:val="00113BCB"/>
    <w:rsid w:val="00113D8F"/>
    <w:rsid w:val="00113E8A"/>
    <w:rsid w:val="00113E9F"/>
    <w:rsid w:val="00114045"/>
    <w:rsid w:val="00114100"/>
    <w:rsid w:val="00114166"/>
    <w:rsid w:val="00114269"/>
    <w:rsid w:val="001143B3"/>
    <w:rsid w:val="001144E3"/>
    <w:rsid w:val="00114574"/>
    <w:rsid w:val="001145DD"/>
    <w:rsid w:val="00114671"/>
    <w:rsid w:val="00114743"/>
    <w:rsid w:val="001149C8"/>
    <w:rsid w:val="001149CB"/>
    <w:rsid w:val="001149EB"/>
    <w:rsid w:val="00114B85"/>
    <w:rsid w:val="00114C90"/>
    <w:rsid w:val="00114DB6"/>
    <w:rsid w:val="00114E58"/>
    <w:rsid w:val="00114F43"/>
    <w:rsid w:val="00114FC8"/>
    <w:rsid w:val="00115036"/>
    <w:rsid w:val="00115157"/>
    <w:rsid w:val="0011523B"/>
    <w:rsid w:val="00115265"/>
    <w:rsid w:val="00115282"/>
    <w:rsid w:val="00115332"/>
    <w:rsid w:val="001156D8"/>
    <w:rsid w:val="0011578D"/>
    <w:rsid w:val="001157CA"/>
    <w:rsid w:val="00115A44"/>
    <w:rsid w:val="00115A8E"/>
    <w:rsid w:val="00115B82"/>
    <w:rsid w:val="00115B91"/>
    <w:rsid w:val="00115D14"/>
    <w:rsid w:val="00115DCE"/>
    <w:rsid w:val="00115FD6"/>
    <w:rsid w:val="001160CF"/>
    <w:rsid w:val="00116175"/>
    <w:rsid w:val="001161DE"/>
    <w:rsid w:val="001164BF"/>
    <w:rsid w:val="00116562"/>
    <w:rsid w:val="001166A2"/>
    <w:rsid w:val="001167D6"/>
    <w:rsid w:val="001169EB"/>
    <w:rsid w:val="00116C4F"/>
    <w:rsid w:val="00116C6A"/>
    <w:rsid w:val="00116C90"/>
    <w:rsid w:val="00116DB8"/>
    <w:rsid w:val="00116EEB"/>
    <w:rsid w:val="00117046"/>
    <w:rsid w:val="00117271"/>
    <w:rsid w:val="0011730C"/>
    <w:rsid w:val="00117514"/>
    <w:rsid w:val="0011757F"/>
    <w:rsid w:val="00117616"/>
    <w:rsid w:val="001176E2"/>
    <w:rsid w:val="00117723"/>
    <w:rsid w:val="0011796F"/>
    <w:rsid w:val="001179AD"/>
    <w:rsid w:val="001179EA"/>
    <w:rsid w:val="00117A09"/>
    <w:rsid w:val="00117A1A"/>
    <w:rsid w:val="00117A27"/>
    <w:rsid w:val="00117A67"/>
    <w:rsid w:val="00117BC1"/>
    <w:rsid w:val="00117C6E"/>
    <w:rsid w:val="00117E35"/>
    <w:rsid w:val="00117E9D"/>
    <w:rsid w:val="00117EB5"/>
    <w:rsid w:val="001200B6"/>
    <w:rsid w:val="0012011F"/>
    <w:rsid w:val="0012017E"/>
    <w:rsid w:val="0012038E"/>
    <w:rsid w:val="00120395"/>
    <w:rsid w:val="0012046C"/>
    <w:rsid w:val="00120705"/>
    <w:rsid w:val="0012084E"/>
    <w:rsid w:val="00120892"/>
    <w:rsid w:val="001209C8"/>
    <w:rsid w:val="00120CB6"/>
    <w:rsid w:val="00120D11"/>
    <w:rsid w:val="00120EB1"/>
    <w:rsid w:val="00120EB9"/>
    <w:rsid w:val="00120FC4"/>
    <w:rsid w:val="0012112B"/>
    <w:rsid w:val="001211BB"/>
    <w:rsid w:val="001211BE"/>
    <w:rsid w:val="001211DE"/>
    <w:rsid w:val="0012128C"/>
    <w:rsid w:val="001213B7"/>
    <w:rsid w:val="00121478"/>
    <w:rsid w:val="001215B7"/>
    <w:rsid w:val="001215E4"/>
    <w:rsid w:val="001216F1"/>
    <w:rsid w:val="00121704"/>
    <w:rsid w:val="00121952"/>
    <w:rsid w:val="00121A12"/>
    <w:rsid w:val="00121C24"/>
    <w:rsid w:val="00121E44"/>
    <w:rsid w:val="00121EA4"/>
    <w:rsid w:val="00121EB2"/>
    <w:rsid w:val="00121F6B"/>
    <w:rsid w:val="0012217C"/>
    <w:rsid w:val="001221B9"/>
    <w:rsid w:val="001221BA"/>
    <w:rsid w:val="0012223F"/>
    <w:rsid w:val="00122258"/>
    <w:rsid w:val="001223F5"/>
    <w:rsid w:val="00122405"/>
    <w:rsid w:val="00122540"/>
    <w:rsid w:val="001225FD"/>
    <w:rsid w:val="0012260D"/>
    <w:rsid w:val="00122613"/>
    <w:rsid w:val="0012277A"/>
    <w:rsid w:val="0012277C"/>
    <w:rsid w:val="00122855"/>
    <w:rsid w:val="001228E5"/>
    <w:rsid w:val="00122915"/>
    <w:rsid w:val="00122A66"/>
    <w:rsid w:val="00122A76"/>
    <w:rsid w:val="00122AFF"/>
    <w:rsid w:val="00122CAE"/>
    <w:rsid w:val="00122D04"/>
    <w:rsid w:val="00122DCB"/>
    <w:rsid w:val="00122DFC"/>
    <w:rsid w:val="00122EBA"/>
    <w:rsid w:val="00122EF5"/>
    <w:rsid w:val="00122F04"/>
    <w:rsid w:val="00123015"/>
    <w:rsid w:val="0012306E"/>
    <w:rsid w:val="0012311F"/>
    <w:rsid w:val="0012344B"/>
    <w:rsid w:val="0012351A"/>
    <w:rsid w:val="0012351D"/>
    <w:rsid w:val="00123558"/>
    <w:rsid w:val="00123567"/>
    <w:rsid w:val="001235F2"/>
    <w:rsid w:val="00123649"/>
    <w:rsid w:val="00123669"/>
    <w:rsid w:val="001236B6"/>
    <w:rsid w:val="001236DF"/>
    <w:rsid w:val="001236FB"/>
    <w:rsid w:val="0012379E"/>
    <w:rsid w:val="00123803"/>
    <w:rsid w:val="001238A5"/>
    <w:rsid w:val="001238C8"/>
    <w:rsid w:val="001239C0"/>
    <w:rsid w:val="00123AD9"/>
    <w:rsid w:val="00123AF2"/>
    <w:rsid w:val="00123C55"/>
    <w:rsid w:val="00123C59"/>
    <w:rsid w:val="00124078"/>
    <w:rsid w:val="001242AC"/>
    <w:rsid w:val="001242E4"/>
    <w:rsid w:val="0012449B"/>
    <w:rsid w:val="00124588"/>
    <w:rsid w:val="001245C0"/>
    <w:rsid w:val="00124602"/>
    <w:rsid w:val="00124648"/>
    <w:rsid w:val="001246AF"/>
    <w:rsid w:val="0012470C"/>
    <w:rsid w:val="00124940"/>
    <w:rsid w:val="00124979"/>
    <w:rsid w:val="00124A68"/>
    <w:rsid w:val="00124AD1"/>
    <w:rsid w:val="00124AEB"/>
    <w:rsid w:val="00124C6C"/>
    <w:rsid w:val="0012512B"/>
    <w:rsid w:val="0012530F"/>
    <w:rsid w:val="001255C9"/>
    <w:rsid w:val="0012560D"/>
    <w:rsid w:val="00125621"/>
    <w:rsid w:val="00125843"/>
    <w:rsid w:val="001258E4"/>
    <w:rsid w:val="00125A69"/>
    <w:rsid w:val="00125BF0"/>
    <w:rsid w:val="00125EDC"/>
    <w:rsid w:val="0012616F"/>
    <w:rsid w:val="001263D2"/>
    <w:rsid w:val="00126500"/>
    <w:rsid w:val="0012651F"/>
    <w:rsid w:val="0012652E"/>
    <w:rsid w:val="00126548"/>
    <w:rsid w:val="001265AE"/>
    <w:rsid w:val="001265CE"/>
    <w:rsid w:val="001265FD"/>
    <w:rsid w:val="001266B1"/>
    <w:rsid w:val="001267BB"/>
    <w:rsid w:val="00126880"/>
    <w:rsid w:val="0012689E"/>
    <w:rsid w:val="00126A2A"/>
    <w:rsid w:val="00126C1E"/>
    <w:rsid w:val="00126D78"/>
    <w:rsid w:val="00126DEE"/>
    <w:rsid w:val="00126E98"/>
    <w:rsid w:val="00126FDB"/>
    <w:rsid w:val="00126FEB"/>
    <w:rsid w:val="00127098"/>
    <w:rsid w:val="0012710D"/>
    <w:rsid w:val="00127127"/>
    <w:rsid w:val="00127152"/>
    <w:rsid w:val="00127234"/>
    <w:rsid w:val="00127383"/>
    <w:rsid w:val="00127436"/>
    <w:rsid w:val="001274ED"/>
    <w:rsid w:val="00127526"/>
    <w:rsid w:val="00127643"/>
    <w:rsid w:val="001276BB"/>
    <w:rsid w:val="00127765"/>
    <w:rsid w:val="00127BAD"/>
    <w:rsid w:val="00127EEB"/>
    <w:rsid w:val="00127FC3"/>
    <w:rsid w:val="001300F7"/>
    <w:rsid w:val="0013016A"/>
    <w:rsid w:val="00130206"/>
    <w:rsid w:val="00130272"/>
    <w:rsid w:val="0013035E"/>
    <w:rsid w:val="00130451"/>
    <w:rsid w:val="001304CC"/>
    <w:rsid w:val="001305A8"/>
    <w:rsid w:val="001305C8"/>
    <w:rsid w:val="0013070B"/>
    <w:rsid w:val="001307BA"/>
    <w:rsid w:val="001309A5"/>
    <w:rsid w:val="001309B0"/>
    <w:rsid w:val="00130B90"/>
    <w:rsid w:val="00130BF1"/>
    <w:rsid w:val="00130C1A"/>
    <w:rsid w:val="00130F2E"/>
    <w:rsid w:val="00130F90"/>
    <w:rsid w:val="00131132"/>
    <w:rsid w:val="0013123A"/>
    <w:rsid w:val="001312C4"/>
    <w:rsid w:val="001312C6"/>
    <w:rsid w:val="0013173F"/>
    <w:rsid w:val="00131848"/>
    <w:rsid w:val="001318B1"/>
    <w:rsid w:val="00131914"/>
    <w:rsid w:val="00131980"/>
    <w:rsid w:val="00131ADC"/>
    <w:rsid w:val="00131C24"/>
    <w:rsid w:val="00131CA0"/>
    <w:rsid w:val="00131E41"/>
    <w:rsid w:val="00131ED9"/>
    <w:rsid w:val="001322E3"/>
    <w:rsid w:val="001322EC"/>
    <w:rsid w:val="001323AF"/>
    <w:rsid w:val="00132501"/>
    <w:rsid w:val="0013263E"/>
    <w:rsid w:val="001326E2"/>
    <w:rsid w:val="0013272D"/>
    <w:rsid w:val="0013277D"/>
    <w:rsid w:val="00132810"/>
    <w:rsid w:val="0013294E"/>
    <w:rsid w:val="00132D8A"/>
    <w:rsid w:val="00132EF3"/>
    <w:rsid w:val="0013305F"/>
    <w:rsid w:val="00133120"/>
    <w:rsid w:val="0013316C"/>
    <w:rsid w:val="001331AD"/>
    <w:rsid w:val="001333B0"/>
    <w:rsid w:val="0013361F"/>
    <w:rsid w:val="0013369A"/>
    <w:rsid w:val="001338A8"/>
    <w:rsid w:val="00133B56"/>
    <w:rsid w:val="00133C3A"/>
    <w:rsid w:val="00133F42"/>
    <w:rsid w:val="00134048"/>
    <w:rsid w:val="001340FA"/>
    <w:rsid w:val="00134242"/>
    <w:rsid w:val="00134505"/>
    <w:rsid w:val="00134731"/>
    <w:rsid w:val="00134899"/>
    <w:rsid w:val="00134B36"/>
    <w:rsid w:val="00134DB6"/>
    <w:rsid w:val="00134E65"/>
    <w:rsid w:val="00134F1F"/>
    <w:rsid w:val="00134F28"/>
    <w:rsid w:val="0013502A"/>
    <w:rsid w:val="00135097"/>
    <w:rsid w:val="001350CE"/>
    <w:rsid w:val="001351C8"/>
    <w:rsid w:val="0013521B"/>
    <w:rsid w:val="00135286"/>
    <w:rsid w:val="0013528C"/>
    <w:rsid w:val="00135332"/>
    <w:rsid w:val="001354BF"/>
    <w:rsid w:val="001354D9"/>
    <w:rsid w:val="001356B2"/>
    <w:rsid w:val="00135785"/>
    <w:rsid w:val="00135888"/>
    <w:rsid w:val="001358AF"/>
    <w:rsid w:val="0013593A"/>
    <w:rsid w:val="00135A47"/>
    <w:rsid w:val="00135AD1"/>
    <w:rsid w:val="00135BA1"/>
    <w:rsid w:val="00135C30"/>
    <w:rsid w:val="00135C51"/>
    <w:rsid w:val="00135E03"/>
    <w:rsid w:val="00135E66"/>
    <w:rsid w:val="00135E92"/>
    <w:rsid w:val="00136078"/>
    <w:rsid w:val="001361FE"/>
    <w:rsid w:val="00136274"/>
    <w:rsid w:val="00136322"/>
    <w:rsid w:val="00136329"/>
    <w:rsid w:val="00136543"/>
    <w:rsid w:val="0013676E"/>
    <w:rsid w:val="00136874"/>
    <w:rsid w:val="0013688F"/>
    <w:rsid w:val="00136929"/>
    <w:rsid w:val="00136A66"/>
    <w:rsid w:val="00136A91"/>
    <w:rsid w:val="00136AAD"/>
    <w:rsid w:val="00136AE8"/>
    <w:rsid w:val="00136AEC"/>
    <w:rsid w:val="00136C5B"/>
    <w:rsid w:val="00136E67"/>
    <w:rsid w:val="00136E6E"/>
    <w:rsid w:val="00136E73"/>
    <w:rsid w:val="00136F81"/>
    <w:rsid w:val="00137075"/>
    <w:rsid w:val="00137228"/>
    <w:rsid w:val="00137301"/>
    <w:rsid w:val="001375B4"/>
    <w:rsid w:val="00137624"/>
    <w:rsid w:val="001377ED"/>
    <w:rsid w:val="001378DE"/>
    <w:rsid w:val="00137A24"/>
    <w:rsid w:val="00137BDC"/>
    <w:rsid w:val="00137C02"/>
    <w:rsid w:val="00137D19"/>
    <w:rsid w:val="00137D30"/>
    <w:rsid w:val="00137E76"/>
    <w:rsid w:val="00137EF0"/>
    <w:rsid w:val="00137FBE"/>
    <w:rsid w:val="0014047B"/>
    <w:rsid w:val="001404D2"/>
    <w:rsid w:val="0014065F"/>
    <w:rsid w:val="001406FC"/>
    <w:rsid w:val="0014076E"/>
    <w:rsid w:val="001407F5"/>
    <w:rsid w:val="00140802"/>
    <w:rsid w:val="001408A2"/>
    <w:rsid w:val="0014091C"/>
    <w:rsid w:val="001409DF"/>
    <w:rsid w:val="00140B30"/>
    <w:rsid w:val="00140C37"/>
    <w:rsid w:val="00140CA8"/>
    <w:rsid w:val="00140E07"/>
    <w:rsid w:val="00140F52"/>
    <w:rsid w:val="0014111C"/>
    <w:rsid w:val="0014112C"/>
    <w:rsid w:val="00141373"/>
    <w:rsid w:val="001413BD"/>
    <w:rsid w:val="00141463"/>
    <w:rsid w:val="001414B5"/>
    <w:rsid w:val="00141540"/>
    <w:rsid w:val="00141588"/>
    <w:rsid w:val="001416E6"/>
    <w:rsid w:val="001417DA"/>
    <w:rsid w:val="00141A0A"/>
    <w:rsid w:val="00141A81"/>
    <w:rsid w:val="00141AAF"/>
    <w:rsid w:val="00141B4E"/>
    <w:rsid w:val="00141C98"/>
    <w:rsid w:val="00141D80"/>
    <w:rsid w:val="00141FBB"/>
    <w:rsid w:val="00141FDE"/>
    <w:rsid w:val="001420B0"/>
    <w:rsid w:val="0014213A"/>
    <w:rsid w:val="00142299"/>
    <w:rsid w:val="0014246C"/>
    <w:rsid w:val="00142592"/>
    <w:rsid w:val="001426D9"/>
    <w:rsid w:val="00142763"/>
    <w:rsid w:val="0014287C"/>
    <w:rsid w:val="00142897"/>
    <w:rsid w:val="00142A52"/>
    <w:rsid w:val="00142AAF"/>
    <w:rsid w:val="00142BA2"/>
    <w:rsid w:val="00142CA5"/>
    <w:rsid w:val="00142F58"/>
    <w:rsid w:val="00142F7F"/>
    <w:rsid w:val="00143054"/>
    <w:rsid w:val="001431C3"/>
    <w:rsid w:val="00143731"/>
    <w:rsid w:val="001437C0"/>
    <w:rsid w:val="001438A1"/>
    <w:rsid w:val="001438E4"/>
    <w:rsid w:val="00143939"/>
    <w:rsid w:val="00143BCF"/>
    <w:rsid w:val="00143D38"/>
    <w:rsid w:val="00143E2E"/>
    <w:rsid w:val="00143FB9"/>
    <w:rsid w:val="00143FBA"/>
    <w:rsid w:val="0014403D"/>
    <w:rsid w:val="0014410C"/>
    <w:rsid w:val="001442DB"/>
    <w:rsid w:val="0014438D"/>
    <w:rsid w:val="001445D7"/>
    <w:rsid w:val="001446F5"/>
    <w:rsid w:val="00144809"/>
    <w:rsid w:val="00144848"/>
    <w:rsid w:val="00144854"/>
    <w:rsid w:val="00144867"/>
    <w:rsid w:val="00144A60"/>
    <w:rsid w:val="00144B76"/>
    <w:rsid w:val="00144D64"/>
    <w:rsid w:val="00144F5F"/>
    <w:rsid w:val="00145023"/>
    <w:rsid w:val="0014509C"/>
    <w:rsid w:val="00145132"/>
    <w:rsid w:val="00145160"/>
    <w:rsid w:val="001451CB"/>
    <w:rsid w:val="00145223"/>
    <w:rsid w:val="001452D9"/>
    <w:rsid w:val="0014537E"/>
    <w:rsid w:val="00145443"/>
    <w:rsid w:val="0014552A"/>
    <w:rsid w:val="0014555B"/>
    <w:rsid w:val="001458C4"/>
    <w:rsid w:val="001459BE"/>
    <w:rsid w:val="00145C9F"/>
    <w:rsid w:val="00145CF7"/>
    <w:rsid w:val="00145EAB"/>
    <w:rsid w:val="00145EB2"/>
    <w:rsid w:val="00145F73"/>
    <w:rsid w:val="0014609E"/>
    <w:rsid w:val="00146431"/>
    <w:rsid w:val="00146609"/>
    <w:rsid w:val="0014676D"/>
    <w:rsid w:val="00146A18"/>
    <w:rsid w:val="00146BD2"/>
    <w:rsid w:val="00146F27"/>
    <w:rsid w:val="00147193"/>
    <w:rsid w:val="001474C0"/>
    <w:rsid w:val="00147594"/>
    <w:rsid w:val="001476B7"/>
    <w:rsid w:val="00147765"/>
    <w:rsid w:val="001477CB"/>
    <w:rsid w:val="001477CE"/>
    <w:rsid w:val="00147800"/>
    <w:rsid w:val="001478BF"/>
    <w:rsid w:val="00147A57"/>
    <w:rsid w:val="00147D64"/>
    <w:rsid w:val="00147D75"/>
    <w:rsid w:val="00147E17"/>
    <w:rsid w:val="00147E74"/>
    <w:rsid w:val="00147E8A"/>
    <w:rsid w:val="00150229"/>
    <w:rsid w:val="00150264"/>
    <w:rsid w:val="0015034B"/>
    <w:rsid w:val="0015034C"/>
    <w:rsid w:val="00150580"/>
    <w:rsid w:val="001507E7"/>
    <w:rsid w:val="00150820"/>
    <w:rsid w:val="00150903"/>
    <w:rsid w:val="001509A5"/>
    <w:rsid w:val="001509C6"/>
    <w:rsid w:val="00150A39"/>
    <w:rsid w:val="00150B00"/>
    <w:rsid w:val="00150B55"/>
    <w:rsid w:val="00150B61"/>
    <w:rsid w:val="00150C53"/>
    <w:rsid w:val="00150C82"/>
    <w:rsid w:val="001510B8"/>
    <w:rsid w:val="00151120"/>
    <w:rsid w:val="0015148A"/>
    <w:rsid w:val="001514BF"/>
    <w:rsid w:val="00151514"/>
    <w:rsid w:val="0015154E"/>
    <w:rsid w:val="00151558"/>
    <w:rsid w:val="001515E8"/>
    <w:rsid w:val="001516E6"/>
    <w:rsid w:val="00151764"/>
    <w:rsid w:val="001517DB"/>
    <w:rsid w:val="001518DE"/>
    <w:rsid w:val="001518E3"/>
    <w:rsid w:val="00151964"/>
    <w:rsid w:val="00151A07"/>
    <w:rsid w:val="00151B6F"/>
    <w:rsid w:val="00151C96"/>
    <w:rsid w:val="00151CA0"/>
    <w:rsid w:val="00151CC2"/>
    <w:rsid w:val="00151CF8"/>
    <w:rsid w:val="0015200C"/>
    <w:rsid w:val="0015200F"/>
    <w:rsid w:val="0015205F"/>
    <w:rsid w:val="00152119"/>
    <w:rsid w:val="001521A0"/>
    <w:rsid w:val="001521D1"/>
    <w:rsid w:val="001523DE"/>
    <w:rsid w:val="0015241A"/>
    <w:rsid w:val="00152435"/>
    <w:rsid w:val="0015248D"/>
    <w:rsid w:val="0015259E"/>
    <w:rsid w:val="001526BB"/>
    <w:rsid w:val="00152727"/>
    <w:rsid w:val="001528F7"/>
    <w:rsid w:val="00152ADC"/>
    <w:rsid w:val="00152FED"/>
    <w:rsid w:val="001532C3"/>
    <w:rsid w:val="001533DB"/>
    <w:rsid w:val="00153460"/>
    <w:rsid w:val="00153594"/>
    <w:rsid w:val="00153635"/>
    <w:rsid w:val="00153714"/>
    <w:rsid w:val="00153836"/>
    <w:rsid w:val="00153841"/>
    <w:rsid w:val="00153A6D"/>
    <w:rsid w:val="00153C94"/>
    <w:rsid w:val="00153CF3"/>
    <w:rsid w:val="00154210"/>
    <w:rsid w:val="001543DF"/>
    <w:rsid w:val="001543ED"/>
    <w:rsid w:val="00154452"/>
    <w:rsid w:val="00154630"/>
    <w:rsid w:val="001546A3"/>
    <w:rsid w:val="001547C3"/>
    <w:rsid w:val="00154A48"/>
    <w:rsid w:val="00154C44"/>
    <w:rsid w:val="00154CD8"/>
    <w:rsid w:val="00154DFA"/>
    <w:rsid w:val="00154E20"/>
    <w:rsid w:val="00154EFD"/>
    <w:rsid w:val="00154FA3"/>
    <w:rsid w:val="00155078"/>
    <w:rsid w:val="00155151"/>
    <w:rsid w:val="0015521C"/>
    <w:rsid w:val="001552F1"/>
    <w:rsid w:val="0015534B"/>
    <w:rsid w:val="001554F9"/>
    <w:rsid w:val="0015552D"/>
    <w:rsid w:val="0015557C"/>
    <w:rsid w:val="001555A5"/>
    <w:rsid w:val="001556D1"/>
    <w:rsid w:val="001556E8"/>
    <w:rsid w:val="0015581D"/>
    <w:rsid w:val="0015588D"/>
    <w:rsid w:val="001558AC"/>
    <w:rsid w:val="001558D0"/>
    <w:rsid w:val="00155934"/>
    <w:rsid w:val="00155A98"/>
    <w:rsid w:val="00155AB1"/>
    <w:rsid w:val="00155B38"/>
    <w:rsid w:val="00155D02"/>
    <w:rsid w:val="001560B8"/>
    <w:rsid w:val="001561F0"/>
    <w:rsid w:val="0015624F"/>
    <w:rsid w:val="0015642F"/>
    <w:rsid w:val="0015662E"/>
    <w:rsid w:val="00156702"/>
    <w:rsid w:val="001567D9"/>
    <w:rsid w:val="00156869"/>
    <w:rsid w:val="001568E1"/>
    <w:rsid w:val="00156F44"/>
    <w:rsid w:val="00157002"/>
    <w:rsid w:val="00157013"/>
    <w:rsid w:val="00157048"/>
    <w:rsid w:val="0015710D"/>
    <w:rsid w:val="00157153"/>
    <w:rsid w:val="00157193"/>
    <w:rsid w:val="0015739D"/>
    <w:rsid w:val="0015742A"/>
    <w:rsid w:val="001575FF"/>
    <w:rsid w:val="001576C1"/>
    <w:rsid w:val="001577C0"/>
    <w:rsid w:val="00157868"/>
    <w:rsid w:val="001578BA"/>
    <w:rsid w:val="00157A02"/>
    <w:rsid w:val="00157A49"/>
    <w:rsid w:val="00157A5F"/>
    <w:rsid w:val="00157CCE"/>
    <w:rsid w:val="00157D34"/>
    <w:rsid w:val="00157E00"/>
    <w:rsid w:val="00157F5C"/>
    <w:rsid w:val="0016004A"/>
    <w:rsid w:val="0016006B"/>
    <w:rsid w:val="001600CD"/>
    <w:rsid w:val="001602A5"/>
    <w:rsid w:val="00160478"/>
    <w:rsid w:val="001604D8"/>
    <w:rsid w:val="00160599"/>
    <w:rsid w:val="001605E4"/>
    <w:rsid w:val="00160669"/>
    <w:rsid w:val="001606CF"/>
    <w:rsid w:val="00160776"/>
    <w:rsid w:val="00160BAD"/>
    <w:rsid w:val="00160C4A"/>
    <w:rsid w:val="00160D53"/>
    <w:rsid w:val="00160DEF"/>
    <w:rsid w:val="00160E90"/>
    <w:rsid w:val="00161044"/>
    <w:rsid w:val="0016128D"/>
    <w:rsid w:val="001613A6"/>
    <w:rsid w:val="001613F7"/>
    <w:rsid w:val="0016153E"/>
    <w:rsid w:val="0016160D"/>
    <w:rsid w:val="001617A5"/>
    <w:rsid w:val="001618F6"/>
    <w:rsid w:val="00161ABD"/>
    <w:rsid w:val="00161B0C"/>
    <w:rsid w:val="00161C0E"/>
    <w:rsid w:val="00161DA0"/>
    <w:rsid w:val="00161DF4"/>
    <w:rsid w:val="00161EC8"/>
    <w:rsid w:val="00161F73"/>
    <w:rsid w:val="00162058"/>
    <w:rsid w:val="00162102"/>
    <w:rsid w:val="0016216C"/>
    <w:rsid w:val="001624EE"/>
    <w:rsid w:val="001625B4"/>
    <w:rsid w:val="001625BB"/>
    <w:rsid w:val="0016287A"/>
    <w:rsid w:val="001629B9"/>
    <w:rsid w:val="001629C1"/>
    <w:rsid w:val="00162B92"/>
    <w:rsid w:val="00162BDD"/>
    <w:rsid w:val="00162C25"/>
    <w:rsid w:val="00162C92"/>
    <w:rsid w:val="00162CA0"/>
    <w:rsid w:val="00162D29"/>
    <w:rsid w:val="00162D50"/>
    <w:rsid w:val="00162DDD"/>
    <w:rsid w:val="00162F6F"/>
    <w:rsid w:val="00163039"/>
    <w:rsid w:val="001631DB"/>
    <w:rsid w:val="00163275"/>
    <w:rsid w:val="00163370"/>
    <w:rsid w:val="00163495"/>
    <w:rsid w:val="00163521"/>
    <w:rsid w:val="00163767"/>
    <w:rsid w:val="00163834"/>
    <w:rsid w:val="001638D0"/>
    <w:rsid w:val="00163936"/>
    <w:rsid w:val="00163960"/>
    <w:rsid w:val="00163A98"/>
    <w:rsid w:val="00163B0A"/>
    <w:rsid w:val="00163B75"/>
    <w:rsid w:val="00163C20"/>
    <w:rsid w:val="00163C36"/>
    <w:rsid w:val="00163D3D"/>
    <w:rsid w:val="00163F51"/>
    <w:rsid w:val="001640EF"/>
    <w:rsid w:val="0016424A"/>
    <w:rsid w:val="00164392"/>
    <w:rsid w:val="00164749"/>
    <w:rsid w:val="00164974"/>
    <w:rsid w:val="00164BCA"/>
    <w:rsid w:val="00164D45"/>
    <w:rsid w:val="00164E4F"/>
    <w:rsid w:val="00164E81"/>
    <w:rsid w:val="00164FBB"/>
    <w:rsid w:val="001650E5"/>
    <w:rsid w:val="001650FE"/>
    <w:rsid w:val="00165180"/>
    <w:rsid w:val="00165373"/>
    <w:rsid w:val="0016540C"/>
    <w:rsid w:val="0016541E"/>
    <w:rsid w:val="00165455"/>
    <w:rsid w:val="001655DE"/>
    <w:rsid w:val="00165626"/>
    <w:rsid w:val="001656B5"/>
    <w:rsid w:val="0016577C"/>
    <w:rsid w:val="0016584C"/>
    <w:rsid w:val="00165853"/>
    <w:rsid w:val="00165B05"/>
    <w:rsid w:val="00165B41"/>
    <w:rsid w:val="00165B95"/>
    <w:rsid w:val="00165E18"/>
    <w:rsid w:val="00165F2E"/>
    <w:rsid w:val="00165FD9"/>
    <w:rsid w:val="0016600C"/>
    <w:rsid w:val="0016642D"/>
    <w:rsid w:val="00166457"/>
    <w:rsid w:val="00166497"/>
    <w:rsid w:val="001666FC"/>
    <w:rsid w:val="00166859"/>
    <w:rsid w:val="001669F9"/>
    <w:rsid w:val="00166AF1"/>
    <w:rsid w:val="00166B41"/>
    <w:rsid w:val="00166C63"/>
    <w:rsid w:val="00166CD5"/>
    <w:rsid w:val="00166E9E"/>
    <w:rsid w:val="00166F39"/>
    <w:rsid w:val="00166F3B"/>
    <w:rsid w:val="00166F71"/>
    <w:rsid w:val="0016717C"/>
    <w:rsid w:val="001673C7"/>
    <w:rsid w:val="001673E5"/>
    <w:rsid w:val="00167409"/>
    <w:rsid w:val="0016747E"/>
    <w:rsid w:val="001674A1"/>
    <w:rsid w:val="001674BA"/>
    <w:rsid w:val="00167505"/>
    <w:rsid w:val="00167646"/>
    <w:rsid w:val="00167744"/>
    <w:rsid w:val="0016775A"/>
    <w:rsid w:val="001677A1"/>
    <w:rsid w:val="00167803"/>
    <w:rsid w:val="001678F3"/>
    <w:rsid w:val="00167A3B"/>
    <w:rsid w:val="00167B61"/>
    <w:rsid w:val="00167DD4"/>
    <w:rsid w:val="00167E54"/>
    <w:rsid w:val="00170021"/>
    <w:rsid w:val="00170028"/>
    <w:rsid w:val="0017009B"/>
    <w:rsid w:val="00170150"/>
    <w:rsid w:val="0017031E"/>
    <w:rsid w:val="0017044F"/>
    <w:rsid w:val="001704B0"/>
    <w:rsid w:val="00170531"/>
    <w:rsid w:val="001706AE"/>
    <w:rsid w:val="00170734"/>
    <w:rsid w:val="00170757"/>
    <w:rsid w:val="0017082C"/>
    <w:rsid w:val="0017089D"/>
    <w:rsid w:val="001708FE"/>
    <w:rsid w:val="00170924"/>
    <w:rsid w:val="00170B1F"/>
    <w:rsid w:val="00170C8A"/>
    <w:rsid w:val="00170E06"/>
    <w:rsid w:val="00170EBB"/>
    <w:rsid w:val="001710E1"/>
    <w:rsid w:val="00171198"/>
    <w:rsid w:val="001711F3"/>
    <w:rsid w:val="0017124B"/>
    <w:rsid w:val="0017126D"/>
    <w:rsid w:val="001715C8"/>
    <w:rsid w:val="001715D5"/>
    <w:rsid w:val="001717DC"/>
    <w:rsid w:val="00171856"/>
    <w:rsid w:val="00171ABE"/>
    <w:rsid w:val="00171ACF"/>
    <w:rsid w:val="00171D29"/>
    <w:rsid w:val="00171D68"/>
    <w:rsid w:val="0017205C"/>
    <w:rsid w:val="001720CB"/>
    <w:rsid w:val="001725DA"/>
    <w:rsid w:val="00172737"/>
    <w:rsid w:val="00172755"/>
    <w:rsid w:val="0017275A"/>
    <w:rsid w:val="00172876"/>
    <w:rsid w:val="001728D5"/>
    <w:rsid w:val="001729CF"/>
    <w:rsid w:val="00172AD4"/>
    <w:rsid w:val="00172E10"/>
    <w:rsid w:val="00172E40"/>
    <w:rsid w:val="00172EB9"/>
    <w:rsid w:val="00173057"/>
    <w:rsid w:val="00173061"/>
    <w:rsid w:val="001730F5"/>
    <w:rsid w:val="001730FF"/>
    <w:rsid w:val="00173291"/>
    <w:rsid w:val="00173327"/>
    <w:rsid w:val="00173362"/>
    <w:rsid w:val="001734C0"/>
    <w:rsid w:val="00173509"/>
    <w:rsid w:val="0017351C"/>
    <w:rsid w:val="0017363A"/>
    <w:rsid w:val="00173701"/>
    <w:rsid w:val="00173703"/>
    <w:rsid w:val="0017376F"/>
    <w:rsid w:val="001737B9"/>
    <w:rsid w:val="001737D2"/>
    <w:rsid w:val="00173880"/>
    <w:rsid w:val="00173956"/>
    <w:rsid w:val="0017399E"/>
    <w:rsid w:val="001739F8"/>
    <w:rsid w:val="00173BD2"/>
    <w:rsid w:val="00173C53"/>
    <w:rsid w:val="00173CCE"/>
    <w:rsid w:val="00173DA9"/>
    <w:rsid w:val="00173DF7"/>
    <w:rsid w:val="00173E35"/>
    <w:rsid w:val="00173E4A"/>
    <w:rsid w:val="00173F22"/>
    <w:rsid w:val="00174322"/>
    <w:rsid w:val="0017433E"/>
    <w:rsid w:val="001743C9"/>
    <w:rsid w:val="001744B7"/>
    <w:rsid w:val="001744EC"/>
    <w:rsid w:val="001745A7"/>
    <w:rsid w:val="0017460E"/>
    <w:rsid w:val="0017467C"/>
    <w:rsid w:val="001746C4"/>
    <w:rsid w:val="00174865"/>
    <w:rsid w:val="00174A08"/>
    <w:rsid w:val="00174AE5"/>
    <w:rsid w:val="00174C4A"/>
    <w:rsid w:val="00174C50"/>
    <w:rsid w:val="00174E88"/>
    <w:rsid w:val="00175068"/>
    <w:rsid w:val="001750F7"/>
    <w:rsid w:val="001751B8"/>
    <w:rsid w:val="00175247"/>
    <w:rsid w:val="001754A8"/>
    <w:rsid w:val="001754F0"/>
    <w:rsid w:val="00175626"/>
    <w:rsid w:val="00175633"/>
    <w:rsid w:val="00175669"/>
    <w:rsid w:val="00175726"/>
    <w:rsid w:val="00175813"/>
    <w:rsid w:val="00175932"/>
    <w:rsid w:val="00175AA8"/>
    <w:rsid w:val="00175B59"/>
    <w:rsid w:val="00175B9A"/>
    <w:rsid w:val="00175D8C"/>
    <w:rsid w:val="00175E85"/>
    <w:rsid w:val="00175E9E"/>
    <w:rsid w:val="00175F72"/>
    <w:rsid w:val="00175FF4"/>
    <w:rsid w:val="001760CF"/>
    <w:rsid w:val="0017636C"/>
    <w:rsid w:val="0017648E"/>
    <w:rsid w:val="001766F5"/>
    <w:rsid w:val="00176734"/>
    <w:rsid w:val="00176AB3"/>
    <w:rsid w:val="00176CB9"/>
    <w:rsid w:val="00176DAC"/>
    <w:rsid w:val="00176F65"/>
    <w:rsid w:val="00177015"/>
    <w:rsid w:val="001770A0"/>
    <w:rsid w:val="00177149"/>
    <w:rsid w:val="0017721B"/>
    <w:rsid w:val="00177426"/>
    <w:rsid w:val="0017799F"/>
    <w:rsid w:val="001779A3"/>
    <w:rsid w:val="00177AE2"/>
    <w:rsid w:val="00177BC9"/>
    <w:rsid w:val="00177D45"/>
    <w:rsid w:val="00177DD5"/>
    <w:rsid w:val="00177EAF"/>
    <w:rsid w:val="00177ED1"/>
    <w:rsid w:val="00177F3E"/>
    <w:rsid w:val="00177F52"/>
    <w:rsid w:val="00180049"/>
    <w:rsid w:val="0018006A"/>
    <w:rsid w:val="0018012F"/>
    <w:rsid w:val="001801A0"/>
    <w:rsid w:val="001803F0"/>
    <w:rsid w:val="0018041A"/>
    <w:rsid w:val="00180473"/>
    <w:rsid w:val="00180695"/>
    <w:rsid w:val="001807F0"/>
    <w:rsid w:val="0018081F"/>
    <w:rsid w:val="001808E7"/>
    <w:rsid w:val="001808EF"/>
    <w:rsid w:val="0018091D"/>
    <w:rsid w:val="00180A34"/>
    <w:rsid w:val="00180BF3"/>
    <w:rsid w:val="00180C65"/>
    <w:rsid w:val="00180CCB"/>
    <w:rsid w:val="00181097"/>
    <w:rsid w:val="00181124"/>
    <w:rsid w:val="00181390"/>
    <w:rsid w:val="00181421"/>
    <w:rsid w:val="00181514"/>
    <w:rsid w:val="00181599"/>
    <w:rsid w:val="00181691"/>
    <w:rsid w:val="001816CF"/>
    <w:rsid w:val="00181700"/>
    <w:rsid w:val="00181787"/>
    <w:rsid w:val="001817F0"/>
    <w:rsid w:val="0018188F"/>
    <w:rsid w:val="001819C2"/>
    <w:rsid w:val="00181A0E"/>
    <w:rsid w:val="00181A56"/>
    <w:rsid w:val="00181EC1"/>
    <w:rsid w:val="00181F65"/>
    <w:rsid w:val="00181F92"/>
    <w:rsid w:val="00182064"/>
    <w:rsid w:val="00182227"/>
    <w:rsid w:val="00182478"/>
    <w:rsid w:val="00182559"/>
    <w:rsid w:val="00182593"/>
    <w:rsid w:val="0018259C"/>
    <w:rsid w:val="001825F2"/>
    <w:rsid w:val="001827E5"/>
    <w:rsid w:val="00182B6C"/>
    <w:rsid w:val="00182BBB"/>
    <w:rsid w:val="00182BF0"/>
    <w:rsid w:val="00182C7B"/>
    <w:rsid w:val="00182CEB"/>
    <w:rsid w:val="00182DA6"/>
    <w:rsid w:val="00182EFF"/>
    <w:rsid w:val="00182F49"/>
    <w:rsid w:val="00182FA3"/>
    <w:rsid w:val="00183048"/>
    <w:rsid w:val="001831E2"/>
    <w:rsid w:val="00183255"/>
    <w:rsid w:val="001833E9"/>
    <w:rsid w:val="00183491"/>
    <w:rsid w:val="0018359F"/>
    <w:rsid w:val="001835CF"/>
    <w:rsid w:val="001835F7"/>
    <w:rsid w:val="0018373F"/>
    <w:rsid w:val="00183EA1"/>
    <w:rsid w:val="0018404D"/>
    <w:rsid w:val="0018415A"/>
    <w:rsid w:val="0018418B"/>
    <w:rsid w:val="0018445D"/>
    <w:rsid w:val="00184486"/>
    <w:rsid w:val="0018449A"/>
    <w:rsid w:val="001844C2"/>
    <w:rsid w:val="00184584"/>
    <w:rsid w:val="001845F5"/>
    <w:rsid w:val="001846C3"/>
    <w:rsid w:val="00184730"/>
    <w:rsid w:val="001848D5"/>
    <w:rsid w:val="00184AB7"/>
    <w:rsid w:val="00184B83"/>
    <w:rsid w:val="00184E77"/>
    <w:rsid w:val="00184FFE"/>
    <w:rsid w:val="00185413"/>
    <w:rsid w:val="00185430"/>
    <w:rsid w:val="00185575"/>
    <w:rsid w:val="001855C3"/>
    <w:rsid w:val="001855E8"/>
    <w:rsid w:val="0018579A"/>
    <w:rsid w:val="0018580E"/>
    <w:rsid w:val="0018584B"/>
    <w:rsid w:val="0018588B"/>
    <w:rsid w:val="00185DFA"/>
    <w:rsid w:val="00185E1E"/>
    <w:rsid w:val="001861AC"/>
    <w:rsid w:val="001868F6"/>
    <w:rsid w:val="00186A1C"/>
    <w:rsid w:val="00186A84"/>
    <w:rsid w:val="00186A8B"/>
    <w:rsid w:val="00186D42"/>
    <w:rsid w:val="00186E81"/>
    <w:rsid w:val="00186F47"/>
    <w:rsid w:val="00187030"/>
    <w:rsid w:val="0018710A"/>
    <w:rsid w:val="001872E8"/>
    <w:rsid w:val="00187360"/>
    <w:rsid w:val="00187538"/>
    <w:rsid w:val="001875A8"/>
    <w:rsid w:val="00187640"/>
    <w:rsid w:val="0018776C"/>
    <w:rsid w:val="00187964"/>
    <w:rsid w:val="00187AE9"/>
    <w:rsid w:val="00187E5C"/>
    <w:rsid w:val="00187FCD"/>
    <w:rsid w:val="0019017B"/>
    <w:rsid w:val="0019019F"/>
    <w:rsid w:val="00190417"/>
    <w:rsid w:val="0019069D"/>
    <w:rsid w:val="0019071D"/>
    <w:rsid w:val="001907A4"/>
    <w:rsid w:val="0019080D"/>
    <w:rsid w:val="001908B7"/>
    <w:rsid w:val="00190A96"/>
    <w:rsid w:val="00190B45"/>
    <w:rsid w:val="00190CFA"/>
    <w:rsid w:val="00190D6B"/>
    <w:rsid w:val="00190DB7"/>
    <w:rsid w:val="00190F41"/>
    <w:rsid w:val="0019101A"/>
    <w:rsid w:val="0019103B"/>
    <w:rsid w:val="0019115C"/>
    <w:rsid w:val="0019135E"/>
    <w:rsid w:val="001915E8"/>
    <w:rsid w:val="001916D5"/>
    <w:rsid w:val="00191742"/>
    <w:rsid w:val="00191744"/>
    <w:rsid w:val="00191745"/>
    <w:rsid w:val="001918A2"/>
    <w:rsid w:val="001918AE"/>
    <w:rsid w:val="00191933"/>
    <w:rsid w:val="0019197D"/>
    <w:rsid w:val="00191B1E"/>
    <w:rsid w:val="00191B75"/>
    <w:rsid w:val="00191BEB"/>
    <w:rsid w:val="00191D2B"/>
    <w:rsid w:val="00191F77"/>
    <w:rsid w:val="001922EB"/>
    <w:rsid w:val="00192346"/>
    <w:rsid w:val="00192731"/>
    <w:rsid w:val="0019276F"/>
    <w:rsid w:val="00192A9C"/>
    <w:rsid w:val="00192AC6"/>
    <w:rsid w:val="00192D91"/>
    <w:rsid w:val="00192D9B"/>
    <w:rsid w:val="00192FFA"/>
    <w:rsid w:val="00193032"/>
    <w:rsid w:val="001932ED"/>
    <w:rsid w:val="00193347"/>
    <w:rsid w:val="001933F3"/>
    <w:rsid w:val="00193573"/>
    <w:rsid w:val="001935BB"/>
    <w:rsid w:val="00193789"/>
    <w:rsid w:val="001937A1"/>
    <w:rsid w:val="001937C9"/>
    <w:rsid w:val="001937CD"/>
    <w:rsid w:val="00193836"/>
    <w:rsid w:val="0019383B"/>
    <w:rsid w:val="0019387F"/>
    <w:rsid w:val="001938C7"/>
    <w:rsid w:val="00193946"/>
    <w:rsid w:val="00193B2B"/>
    <w:rsid w:val="00193CB2"/>
    <w:rsid w:val="00193DD4"/>
    <w:rsid w:val="00193E5B"/>
    <w:rsid w:val="00193E63"/>
    <w:rsid w:val="00193F54"/>
    <w:rsid w:val="00193FD9"/>
    <w:rsid w:val="0019408E"/>
    <w:rsid w:val="001940F1"/>
    <w:rsid w:val="0019412A"/>
    <w:rsid w:val="00194227"/>
    <w:rsid w:val="00194258"/>
    <w:rsid w:val="001942FA"/>
    <w:rsid w:val="0019439F"/>
    <w:rsid w:val="00194767"/>
    <w:rsid w:val="00194804"/>
    <w:rsid w:val="0019493B"/>
    <w:rsid w:val="00194B08"/>
    <w:rsid w:val="00194BA2"/>
    <w:rsid w:val="00194D07"/>
    <w:rsid w:val="00194E64"/>
    <w:rsid w:val="00194EA5"/>
    <w:rsid w:val="00195027"/>
    <w:rsid w:val="00195099"/>
    <w:rsid w:val="0019509F"/>
    <w:rsid w:val="00195280"/>
    <w:rsid w:val="001952E4"/>
    <w:rsid w:val="0019541F"/>
    <w:rsid w:val="00195435"/>
    <w:rsid w:val="001956FC"/>
    <w:rsid w:val="001957A8"/>
    <w:rsid w:val="00195837"/>
    <w:rsid w:val="0019585A"/>
    <w:rsid w:val="00195A13"/>
    <w:rsid w:val="00195A29"/>
    <w:rsid w:val="00195C18"/>
    <w:rsid w:val="00195C9E"/>
    <w:rsid w:val="00195E50"/>
    <w:rsid w:val="00195E65"/>
    <w:rsid w:val="00195E85"/>
    <w:rsid w:val="00195F5F"/>
    <w:rsid w:val="001962DC"/>
    <w:rsid w:val="001962F9"/>
    <w:rsid w:val="0019650E"/>
    <w:rsid w:val="00196566"/>
    <w:rsid w:val="001966C1"/>
    <w:rsid w:val="001967F0"/>
    <w:rsid w:val="00196A6A"/>
    <w:rsid w:val="00196AA1"/>
    <w:rsid w:val="00196AD2"/>
    <w:rsid w:val="00196BEF"/>
    <w:rsid w:val="00196CF5"/>
    <w:rsid w:val="00196D21"/>
    <w:rsid w:val="00196DC9"/>
    <w:rsid w:val="00196EB5"/>
    <w:rsid w:val="00196F82"/>
    <w:rsid w:val="001972AE"/>
    <w:rsid w:val="0019734F"/>
    <w:rsid w:val="0019740A"/>
    <w:rsid w:val="00197495"/>
    <w:rsid w:val="0019765A"/>
    <w:rsid w:val="0019773F"/>
    <w:rsid w:val="0019775A"/>
    <w:rsid w:val="0019776B"/>
    <w:rsid w:val="001977C8"/>
    <w:rsid w:val="0019781A"/>
    <w:rsid w:val="00197866"/>
    <w:rsid w:val="001978D9"/>
    <w:rsid w:val="00197A4A"/>
    <w:rsid w:val="00197A82"/>
    <w:rsid w:val="00197AEF"/>
    <w:rsid w:val="00197BFF"/>
    <w:rsid w:val="00197C5C"/>
    <w:rsid w:val="00197D03"/>
    <w:rsid w:val="001A0055"/>
    <w:rsid w:val="001A0077"/>
    <w:rsid w:val="001A009F"/>
    <w:rsid w:val="001A00DD"/>
    <w:rsid w:val="001A0183"/>
    <w:rsid w:val="001A02F8"/>
    <w:rsid w:val="001A0901"/>
    <w:rsid w:val="001A0BA0"/>
    <w:rsid w:val="001A0C74"/>
    <w:rsid w:val="001A0C82"/>
    <w:rsid w:val="001A0CB7"/>
    <w:rsid w:val="001A0F64"/>
    <w:rsid w:val="001A1081"/>
    <w:rsid w:val="001A1142"/>
    <w:rsid w:val="001A1153"/>
    <w:rsid w:val="001A115E"/>
    <w:rsid w:val="001A119D"/>
    <w:rsid w:val="001A1211"/>
    <w:rsid w:val="001A1311"/>
    <w:rsid w:val="001A13A9"/>
    <w:rsid w:val="001A145D"/>
    <w:rsid w:val="001A1597"/>
    <w:rsid w:val="001A1BED"/>
    <w:rsid w:val="001A1D01"/>
    <w:rsid w:val="001A1D38"/>
    <w:rsid w:val="001A1D6E"/>
    <w:rsid w:val="001A1E42"/>
    <w:rsid w:val="001A1F46"/>
    <w:rsid w:val="001A205D"/>
    <w:rsid w:val="001A2080"/>
    <w:rsid w:val="001A2455"/>
    <w:rsid w:val="001A26DD"/>
    <w:rsid w:val="001A26EC"/>
    <w:rsid w:val="001A2802"/>
    <w:rsid w:val="001A2836"/>
    <w:rsid w:val="001A2884"/>
    <w:rsid w:val="001A29D7"/>
    <w:rsid w:val="001A2AE9"/>
    <w:rsid w:val="001A2D1A"/>
    <w:rsid w:val="001A2EBC"/>
    <w:rsid w:val="001A2F9F"/>
    <w:rsid w:val="001A302B"/>
    <w:rsid w:val="001A318F"/>
    <w:rsid w:val="001A31E8"/>
    <w:rsid w:val="001A339D"/>
    <w:rsid w:val="001A33A7"/>
    <w:rsid w:val="001A33DB"/>
    <w:rsid w:val="001A34AA"/>
    <w:rsid w:val="001A3504"/>
    <w:rsid w:val="001A3589"/>
    <w:rsid w:val="001A3708"/>
    <w:rsid w:val="001A37CD"/>
    <w:rsid w:val="001A3876"/>
    <w:rsid w:val="001A398B"/>
    <w:rsid w:val="001A39A2"/>
    <w:rsid w:val="001A3A14"/>
    <w:rsid w:val="001A3ADF"/>
    <w:rsid w:val="001A3BF9"/>
    <w:rsid w:val="001A3C34"/>
    <w:rsid w:val="001A3C84"/>
    <w:rsid w:val="001A3F66"/>
    <w:rsid w:val="001A40E5"/>
    <w:rsid w:val="001A40FA"/>
    <w:rsid w:val="001A4246"/>
    <w:rsid w:val="001A43F6"/>
    <w:rsid w:val="001A4402"/>
    <w:rsid w:val="001A441D"/>
    <w:rsid w:val="001A4643"/>
    <w:rsid w:val="001A471A"/>
    <w:rsid w:val="001A49AB"/>
    <w:rsid w:val="001A4A20"/>
    <w:rsid w:val="001A4A59"/>
    <w:rsid w:val="001A4B11"/>
    <w:rsid w:val="001A4E8D"/>
    <w:rsid w:val="001A519E"/>
    <w:rsid w:val="001A51D8"/>
    <w:rsid w:val="001A5251"/>
    <w:rsid w:val="001A52A6"/>
    <w:rsid w:val="001A5406"/>
    <w:rsid w:val="001A5689"/>
    <w:rsid w:val="001A571A"/>
    <w:rsid w:val="001A57BF"/>
    <w:rsid w:val="001A58AA"/>
    <w:rsid w:val="001A5AFB"/>
    <w:rsid w:val="001A5D64"/>
    <w:rsid w:val="001A61D5"/>
    <w:rsid w:val="001A6327"/>
    <w:rsid w:val="001A63E5"/>
    <w:rsid w:val="001A6868"/>
    <w:rsid w:val="001A68AC"/>
    <w:rsid w:val="001A68DA"/>
    <w:rsid w:val="001A695B"/>
    <w:rsid w:val="001A6BF1"/>
    <w:rsid w:val="001A6D30"/>
    <w:rsid w:val="001A6E70"/>
    <w:rsid w:val="001A6EB3"/>
    <w:rsid w:val="001A7069"/>
    <w:rsid w:val="001A7127"/>
    <w:rsid w:val="001A729B"/>
    <w:rsid w:val="001A72F7"/>
    <w:rsid w:val="001A7318"/>
    <w:rsid w:val="001A7478"/>
    <w:rsid w:val="001A758E"/>
    <w:rsid w:val="001A75B0"/>
    <w:rsid w:val="001A7617"/>
    <w:rsid w:val="001A762B"/>
    <w:rsid w:val="001A78D4"/>
    <w:rsid w:val="001A7944"/>
    <w:rsid w:val="001A7987"/>
    <w:rsid w:val="001A7DE4"/>
    <w:rsid w:val="001A7E2D"/>
    <w:rsid w:val="001B00D2"/>
    <w:rsid w:val="001B0136"/>
    <w:rsid w:val="001B02E2"/>
    <w:rsid w:val="001B02FC"/>
    <w:rsid w:val="001B07F4"/>
    <w:rsid w:val="001B07F7"/>
    <w:rsid w:val="001B091D"/>
    <w:rsid w:val="001B0B01"/>
    <w:rsid w:val="001B0B16"/>
    <w:rsid w:val="001B0BAC"/>
    <w:rsid w:val="001B0E02"/>
    <w:rsid w:val="001B0E42"/>
    <w:rsid w:val="001B0F28"/>
    <w:rsid w:val="001B0FB7"/>
    <w:rsid w:val="001B0FE4"/>
    <w:rsid w:val="001B113B"/>
    <w:rsid w:val="001B120C"/>
    <w:rsid w:val="001B12DF"/>
    <w:rsid w:val="001B1550"/>
    <w:rsid w:val="001B158D"/>
    <w:rsid w:val="001B1618"/>
    <w:rsid w:val="001B1731"/>
    <w:rsid w:val="001B175F"/>
    <w:rsid w:val="001B178B"/>
    <w:rsid w:val="001B185B"/>
    <w:rsid w:val="001B1863"/>
    <w:rsid w:val="001B186F"/>
    <w:rsid w:val="001B1B6A"/>
    <w:rsid w:val="001B1BF4"/>
    <w:rsid w:val="001B1C8D"/>
    <w:rsid w:val="001B1D02"/>
    <w:rsid w:val="001B1EAC"/>
    <w:rsid w:val="001B1FDA"/>
    <w:rsid w:val="001B234D"/>
    <w:rsid w:val="001B2392"/>
    <w:rsid w:val="001B2406"/>
    <w:rsid w:val="001B24E2"/>
    <w:rsid w:val="001B2505"/>
    <w:rsid w:val="001B2519"/>
    <w:rsid w:val="001B25CE"/>
    <w:rsid w:val="001B276F"/>
    <w:rsid w:val="001B2A2D"/>
    <w:rsid w:val="001B2ABD"/>
    <w:rsid w:val="001B2AF9"/>
    <w:rsid w:val="001B2B6D"/>
    <w:rsid w:val="001B2B92"/>
    <w:rsid w:val="001B2BEB"/>
    <w:rsid w:val="001B2D21"/>
    <w:rsid w:val="001B2E68"/>
    <w:rsid w:val="001B2E9D"/>
    <w:rsid w:val="001B2ED7"/>
    <w:rsid w:val="001B2F66"/>
    <w:rsid w:val="001B3095"/>
    <w:rsid w:val="001B319F"/>
    <w:rsid w:val="001B32EE"/>
    <w:rsid w:val="001B35B8"/>
    <w:rsid w:val="001B37B9"/>
    <w:rsid w:val="001B3844"/>
    <w:rsid w:val="001B3CA0"/>
    <w:rsid w:val="001B3DE9"/>
    <w:rsid w:val="001B40D1"/>
    <w:rsid w:val="001B4103"/>
    <w:rsid w:val="001B412B"/>
    <w:rsid w:val="001B43EA"/>
    <w:rsid w:val="001B4568"/>
    <w:rsid w:val="001B45CB"/>
    <w:rsid w:val="001B49F5"/>
    <w:rsid w:val="001B4A8C"/>
    <w:rsid w:val="001B4C79"/>
    <w:rsid w:val="001B4CDE"/>
    <w:rsid w:val="001B4D2F"/>
    <w:rsid w:val="001B4D75"/>
    <w:rsid w:val="001B4DC8"/>
    <w:rsid w:val="001B516B"/>
    <w:rsid w:val="001B5190"/>
    <w:rsid w:val="001B5215"/>
    <w:rsid w:val="001B52CC"/>
    <w:rsid w:val="001B53C0"/>
    <w:rsid w:val="001B54AF"/>
    <w:rsid w:val="001B56A3"/>
    <w:rsid w:val="001B56E2"/>
    <w:rsid w:val="001B5760"/>
    <w:rsid w:val="001B581D"/>
    <w:rsid w:val="001B582D"/>
    <w:rsid w:val="001B597B"/>
    <w:rsid w:val="001B5B32"/>
    <w:rsid w:val="001B5B86"/>
    <w:rsid w:val="001B5CF4"/>
    <w:rsid w:val="001B5D10"/>
    <w:rsid w:val="001B5F3E"/>
    <w:rsid w:val="001B6058"/>
    <w:rsid w:val="001B6363"/>
    <w:rsid w:val="001B641E"/>
    <w:rsid w:val="001B646B"/>
    <w:rsid w:val="001B6486"/>
    <w:rsid w:val="001B64AA"/>
    <w:rsid w:val="001B65C0"/>
    <w:rsid w:val="001B669E"/>
    <w:rsid w:val="001B66E5"/>
    <w:rsid w:val="001B6722"/>
    <w:rsid w:val="001B675A"/>
    <w:rsid w:val="001B67A3"/>
    <w:rsid w:val="001B684E"/>
    <w:rsid w:val="001B6850"/>
    <w:rsid w:val="001B68BB"/>
    <w:rsid w:val="001B699E"/>
    <w:rsid w:val="001B69D0"/>
    <w:rsid w:val="001B6B09"/>
    <w:rsid w:val="001B6C8A"/>
    <w:rsid w:val="001B6C8C"/>
    <w:rsid w:val="001B6CC2"/>
    <w:rsid w:val="001B6D89"/>
    <w:rsid w:val="001B6D8D"/>
    <w:rsid w:val="001B6E77"/>
    <w:rsid w:val="001B6FDE"/>
    <w:rsid w:val="001B7038"/>
    <w:rsid w:val="001B70F8"/>
    <w:rsid w:val="001B712F"/>
    <w:rsid w:val="001B71B6"/>
    <w:rsid w:val="001B71EA"/>
    <w:rsid w:val="001B7361"/>
    <w:rsid w:val="001B75B9"/>
    <w:rsid w:val="001B75C4"/>
    <w:rsid w:val="001B7740"/>
    <w:rsid w:val="001B7754"/>
    <w:rsid w:val="001B789F"/>
    <w:rsid w:val="001B794B"/>
    <w:rsid w:val="001B79AF"/>
    <w:rsid w:val="001B79E8"/>
    <w:rsid w:val="001B7A27"/>
    <w:rsid w:val="001B7BE2"/>
    <w:rsid w:val="001B7C26"/>
    <w:rsid w:val="001B7CB7"/>
    <w:rsid w:val="001B7ECF"/>
    <w:rsid w:val="001B7FC4"/>
    <w:rsid w:val="001C004F"/>
    <w:rsid w:val="001C011D"/>
    <w:rsid w:val="001C01F6"/>
    <w:rsid w:val="001C0247"/>
    <w:rsid w:val="001C02D7"/>
    <w:rsid w:val="001C03B7"/>
    <w:rsid w:val="001C03E9"/>
    <w:rsid w:val="001C0400"/>
    <w:rsid w:val="001C04DA"/>
    <w:rsid w:val="001C06C3"/>
    <w:rsid w:val="001C0765"/>
    <w:rsid w:val="001C080F"/>
    <w:rsid w:val="001C09D4"/>
    <w:rsid w:val="001C0AAA"/>
    <w:rsid w:val="001C0B62"/>
    <w:rsid w:val="001C0CCB"/>
    <w:rsid w:val="001C0D39"/>
    <w:rsid w:val="001C0E31"/>
    <w:rsid w:val="001C0E40"/>
    <w:rsid w:val="001C0F2B"/>
    <w:rsid w:val="001C0FCC"/>
    <w:rsid w:val="001C158F"/>
    <w:rsid w:val="001C15B5"/>
    <w:rsid w:val="001C16A6"/>
    <w:rsid w:val="001C1975"/>
    <w:rsid w:val="001C19A2"/>
    <w:rsid w:val="001C1BEA"/>
    <w:rsid w:val="001C1CF0"/>
    <w:rsid w:val="001C1D03"/>
    <w:rsid w:val="001C1D30"/>
    <w:rsid w:val="001C1D9A"/>
    <w:rsid w:val="001C1DE8"/>
    <w:rsid w:val="001C1E1C"/>
    <w:rsid w:val="001C1F94"/>
    <w:rsid w:val="001C1FB1"/>
    <w:rsid w:val="001C1FF1"/>
    <w:rsid w:val="001C2158"/>
    <w:rsid w:val="001C2170"/>
    <w:rsid w:val="001C2175"/>
    <w:rsid w:val="001C2196"/>
    <w:rsid w:val="001C21F4"/>
    <w:rsid w:val="001C21F9"/>
    <w:rsid w:val="001C2229"/>
    <w:rsid w:val="001C2242"/>
    <w:rsid w:val="001C22BC"/>
    <w:rsid w:val="001C2524"/>
    <w:rsid w:val="001C26ED"/>
    <w:rsid w:val="001C271E"/>
    <w:rsid w:val="001C2785"/>
    <w:rsid w:val="001C2791"/>
    <w:rsid w:val="001C2792"/>
    <w:rsid w:val="001C28EE"/>
    <w:rsid w:val="001C294B"/>
    <w:rsid w:val="001C2A20"/>
    <w:rsid w:val="001C2C48"/>
    <w:rsid w:val="001C2D2F"/>
    <w:rsid w:val="001C2E47"/>
    <w:rsid w:val="001C2E5E"/>
    <w:rsid w:val="001C3266"/>
    <w:rsid w:val="001C3317"/>
    <w:rsid w:val="001C3338"/>
    <w:rsid w:val="001C340B"/>
    <w:rsid w:val="001C342B"/>
    <w:rsid w:val="001C357D"/>
    <w:rsid w:val="001C358D"/>
    <w:rsid w:val="001C368C"/>
    <w:rsid w:val="001C3752"/>
    <w:rsid w:val="001C381D"/>
    <w:rsid w:val="001C3A23"/>
    <w:rsid w:val="001C3B77"/>
    <w:rsid w:val="001C3E1C"/>
    <w:rsid w:val="001C3FFA"/>
    <w:rsid w:val="001C40A5"/>
    <w:rsid w:val="001C439C"/>
    <w:rsid w:val="001C46CD"/>
    <w:rsid w:val="001C47AC"/>
    <w:rsid w:val="001C47D4"/>
    <w:rsid w:val="001C483F"/>
    <w:rsid w:val="001C49A3"/>
    <w:rsid w:val="001C4AD7"/>
    <w:rsid w:val="001C4AE9"/>
    <w:rsid w:val="001C4B16"/>
    <w:rsid w:val="001C4C0E"/>
    <w:rsid w:val="001C4CF0"/>
    <w:rsid w:val="001C4E51"/>
    <w:rsid w:val="001C4E7B"/>
    <w:rsid w:val="001C4EDC"/>
    <w:rsid w:val="001C4FDE"/>
    <w:rsid w:val="001C4FF6"/>
    <w:rsid w:val="001C51DA"/>
    <w:rsid w:val="001C56C4"/>
    <w:rsid w:val="001C582F"/>
    <w:rsid w:val="001C5915"/>
    <w:rsid w:val="001C5946"/>
    <w:rsid w:val="001C5BE9"/>
    <w:rsid w:val="001C5CAE"/>
    <w:rsid w:val="001C5D1A"/>
    <w:rsid w:val="001C5EA6"/>
    <w:rsid w:val="001C6053"/>
    <w:rsid w:val="001C628C"/>
    <w:rsid w:val="001C6309"/>
    <w:rsid w:val="001C639B"/>
    <w:rsid w:val="001C63B7"/>
    <w:rsid w:val="001C6424"/>
    <w:rsid w:val="001C642B"/>
    <w:rsid w:val="001C6469"/>
    <w:rsid w:val="001C66DB"/>
    <w:rsid w:val="001C6861"/>
    <w:rsid w:val="001C68A1"/>
    <w:rsid w:val="001C6943"/>
    <w:rsid w:val="001C6AB6"/>
    <w:rsid w:val="001C6C26"/>
    <w:rsid w:val="001C6C6A"/>
    <w:rsid w:val="001C6C76"/>
    <w:rsid w:val="001C6D6A"/>
    <w:rsid w:val="001C6D70"/>
    <w:rsid w:val="001C6DC0"/>
    <w:rsid w:val="001C7251"/>
    <w:rsid w:val="001C72A1"/>
    <w:rsid w:val="001C72BC"/>
    <w:rsid w:val="001C7411"/>
    <w:rsid w:val="001C7502"/>
    <w:rsid w:val="001C757D"/>
    <w:rsid w:val="001C77D9"/>
    <w:rsid w:val="001C7819"/>
    <w:rsid w:val="001C78AE"/>
    <w:rsid w:val="001C7AF8"/>
    <w:rsid w:val="001C7C85"/>
    <w:rsid w:val="001C7E02"/>
    <w:rsid w:val="001C7E8E"/>
    <w:rsid w:val="001C7EE6"/>
    <w:rsid w:val="001C7F3C"/>
    <w:rsid w:val="001D015C"/>
    <w:rsid w:val="001D022D"/>
    <w:rsid w:val="001D03DB"/>
    <w:rsid w:val="001D040C"/>
    <w:rsid w:val="001D0628"/>
    <w:rsid w:val="001D0750"/>
    <w:rsid w:val="001D0865"/>
    <w:rsid w:val="001D0AA8"/>
    <w:rsid w:val="001D0AC3"/>
    <w:rsid w:val="001D0AC8"/>
    <w:rsid w:val="001D0AF3"/>
    <w:rsid w:val="001D0BBF"/>
    <w:rsid w:val="001D0D2C"/>
    <w:rsid w:val="001D0F41"/>
    <w:rsid w:val="001D1001"/>
    <w:rsid w:val="001D103F"/>
    <w:rsid w:val="001D10C8"/>
    <w:rsid w:val="001D1152"/>
    <w:rsid w:val="001D11FB"/>
    <w:rsid w:val="001D1301"/>
    <w:rsid w:val="001D1908"/>
    <w:rsid w:val="001D1B6F"/>
    <w:rsid w:val="001D1C18"/>
    <w:rsid w:val="001D1C30"/>
    <w:rsid w:val="001D1CEF"/>
    <w:rsid w:val="001D1E76"/>
    <w:rsid w:val="001D1E95"/>
    <w:rsid w:val="001D1EB5"/>
    <w:rsid w:val="001D1EBC"/>
    <w:rsid w:val="001D1F77"/>
    <w:rsid w:val="001D1FC8"/>
    <w:rsid w:val="001D201C"/>
    <w:rsid w:val="001D2047"/>
    <w:rsid w:val="001D20D1"/>
    <w:rsid w:val="001D2114"/>
    <w:rsid w:val="001D2140"/>
    <w:rsid w:val="001D21A2"/>
    <w:rsid w:val="001D22ED"/>
    <w:rsid w:val="001D237F"/>
    <w:rsid w:val="001D24C0"/>
    <w:rsid w:val="001D2573"/>
    <w:rsid w:val="001D258A"/>
    <w:rsid w:val="001D2749"/>
    <w:rsid w:val="001D27D6"/>
    <w:rsid w:val="001D2838"/>
    <w:rsid w:val="001D28CE"/>
    <w:rsid w:val="001D29C7"/>
    <w:rsid w:val="001D2AB1"/>
    <w:rsid w:val="001D2C5A"/>
    <w:rsid w:val="001D2EED"/>
    <w:rsid w:val="001D2FBB"/>
    <w:rsid w:val="001D3111"/>
    <w:rsid w:val="001D31A9"/>
    <w:rsid w:val="001D3263"/>
    <w:rsid w:val="001D327D"/>
    <w:rsid w:val="001D32F0"/>
    <w:rsid w:val="001D32F3"/>
    <w:rsid w:val="001D331E"/>
    <w:rsid w:val="001D3349"/>
    <w:rsid w:val="001D33B2"/>
    <w:rsid w:val="001D344C"/>
    <w:rsid w:val="001D3527"/>
    <w:rsid w:val="001D3751"/>
    <w:rsid w:val="001D380E"/>
    <w:rsid w:val="001D3935"/>
    <w:rsid w:val="001D3A38"/>
    <w:rsid w:val="001D3BB8"/>
    <w:rsid w:val="001D3C34"/>
    <w:rsid w:val="001D3C39"/>
    <w:rsid w:val="001D3CA6"/>
    <w:rsid w:val="001D3D0C"/>
    <w:rsid w:val="001D3D33"/>
    <w:rsid w:val="001D3DA1"/>
    <w:rsid w:val="001D3E2F"/>
    <w:rsid w:val="001D3F05"/>
    <w:rsid w:val="001D40E9"/>
    <w:rsid w:val="001D4112"/>
    <w:rsid w:val="001D417C"/>
    <w:rsid w:val="001D42D5"/>
    <w:rsid w:val="001D4382"/>
    <w:rsid w:val="001D4507"/>
    <w:rsid w:val="001D45EE"/>
    <w:rsid w:val="001D460A"/>
    <w:rsid w:val="001D4725"/>
    <w:rsid w:val="001D473E"/>
    <w:rsid w:val="001D473F"/>
    <w:rsid w:val="001D4833"/>
    <w:rsid w:val="001D4949"/>
    <w:rsid w:val="001D4B11"/>
    <w:rsid w:val="001D4C78"/>
    <w:rsid w:val="001D4D39"/>
    <w:rsid w:val="001D4DB6"/>
    <w:rsid w:val="001D4E84"/>
    <w:rsid w:val="001D4EAA"/>
    <w:rsid w:val="001D4FC4"/>
    <w:rsid w:val="001D4FD5"/>
    <w:rsid w:val="001D5000"/>
    <w:rsid w:val="001D50B3"/>
    <w:rsid w:val="001D50CC"/>
    <w:rsid w:val="001D5226"/>
    <w:rsid w:val="001D531D"/>
    <w:rsid w:val="001D5388"/>
    <w:rsid w:val="001D541D"/>
    <w:rsid w:val="001D5432"/>
    <w:rsid w:val="001D56C6"/>
    <w:rsid w:val="001D5782"/>
    <w:rsid w:val="001D57D4"/>
    <w:rsid w:val="001D595C"/>
    <w:rsid w:val="001D5A6F"/>
    <w:rsid w:val="001D5C46"/>
    <w:rsid w:val="001D5C54"/>
    <w:rsid w:val="001D5D26"/>
    <w:rsid w:val="001D5EEC"/>
    <w:rsid w:val="001D5F3B"/>
    <w:rsid w:val="001D5F79"/>
    <w:rsid w:val="001D61A5"/>
    <w:rsid w:val="001D6225"/>
    <w:rsid w:val="001D6339"/>
    <w:rsid w:val="001D63A0"/>
    <w:rsid w:val="001D6576"/>
    <w:rsid w:val="001D66ED"/>
    <w:rsid w:val="001D688E"/>
    <w:rsid w:val="001D69A9"/>
    <w:rsid w:val="001D6B68"/>
    <w:rsid w:val="001D6C1E"/>
    <w:rsid w:val="001D6C2A"/>
    <w:rsid w:val="001D6E30"/>
    <w:rsid w:val="001D6E48"/>
    <w:rsid w:val="001D6F25"/>
    <w:rsid w:val="001D6F5F"/>
    <w:rsid w:val="001D7052"/>
    <w:rsid w:val="001D70A3"/>
    <w:rsid w:val="001D70B0"/>
    <w:rsid w:val="001D7153"/>
    <w:rsid w:val="001D7177"/>
    <w:rsid w:val="001D71FF"/>
    <w:rsid w:val="001D723E"/>
    <w:rsid w:val="001D750A"/>
    <w:rsid w:val="001D765A"/>
    <w:rsid w:val="001D7863"/>
    <w:rsid w:val="001D7885"/>
    <w:rsid w:val="001D7990"/>
    <w:rsid w:val="001D79A4"/>
    <w:rsid w:val="001D7A03"/>
    <w:rsid w:val="001D7B1A"/>
    <w:rsid w:val="001D7B59"/>
    <w:rsid w:val="001D7C84"/>
    <w:rsid w:val="001D7CD3"/>
    <w:rsid w:val="001D7D44"/>
    <w:rsid w:val="001D7E9C"/>
    <w:rsid w:val="001D7F8E"/>
    <w:rsid w:val="001E00DE"/>
    <w:rsid w:val="001E0547"/>
    <w:rsid w:val="001E0561"/>
    <w:rsid w:val="001E058A"/>
    <w:rsid w:val="001E0593"/>
    <w:rsid w:val="001E0752"/>
    <w:rsid w:val="001E07C7"/>
    <w:rsid w:val="001E099C"/>
    <w:rsid w:val="001E0B97"/>
    <w:rsid w:val="001E0BEF"/>
    <w:rsid w:val="001E0C70"/>
    <w:rsid w:val="001E0C91"/>
    <w:rsid w:val="001E0CAB"/>
    <w:rsid w:val="001E0E5D"/>
    <w:rsid w:val="001E0E65"/>
    <w:rsid w:val="001E0F57"/>
    <w:rsid w:val="001E1001"/>
    <w:rsid w:val="001E112B"/>
    <w:rsid w:val="001E11F8"/>
    <w:rsid w:val="001E1497"/>
    <w:rsid w:val="001E1530"/>
    <w:rsid w:val="001E15A4"/>
    <w:rsid w:val="001E1746"/>
    <w:rsid w:val="001E1903"/>
    <w:rsid w:val="001E198B"/>
    <w:rsid w:val="001E19D6"/>
    <w:rsid w:val="001E1A8F"/>
    <w:rsid w:val="001E1C52"/>
    <w:rsid w:val="001E1D07"/>
    <w:rsid w:val="001E1D0B"/>
    <w:rsid w:val="001E1F0B"/>
    <w:rsid w:val="001E1F21"/>
    <w:rsid w:val="001E1FFB"/>
    <w:rsid w:val="001E2048"/>
    <w:rsid w:val="001E2119"/>
    <w:rsid w:val="001E2131"/>
    <w:rsid w:val="001E216D"/>
    <w:rsid w:val="001E2170"/>
    <w:rsid w:val="001E220A"/>
    <w:rsid w:val="001E2272"/>
    <w:rsid w:val="001E227D"/>
    <w:rsid w:val="001E22AB"/>
    <w:rsid w:val="001E247D"/>
    <w:rsid w:val="001E24BA"/>
    <w:rsid w:val="001E254F"/>
    <w:rsid w:val="001E277F"/>
    <w:rsid w:val="001E28A2"/>
    <w:rsid w:val="001E2957"/>
    <w:rsid w:val="001E29EB"/>
    <w:rsid w:val="001E2A2F"/>
    <w:rsid w:val="001E2A32"/>
    <w:rsid w:val="001E2AE6"/>
    <w:rsid w:val="001E2DBB"/>
    <w:rsid w:val="001E2EA4"/>
    <w:rsid w:val="001E2F56"/>
    <w:rsid w:val="001E323A"/>
    <w:rsid w:val="001E3465"/>
    <w:rsid w:val="001E352B"/>
    <w:rsid w:val="001E3566"/>
    <w:rsid w:val="001E35A8"/>
    <w:rsid w:val="001E3899"/>
    <w:rsid w:val="001E39EF"/>
    <w:rsid w:val="001E3ACD"/>
    <w:rsid w:val="001E3AF2"/>
    <w:rsid w:val="001E3B46"/>
    <w:rsid w:val="001E3D20"/>
    <w:rsid w:val="001E3D89"/>
    <w:rsid w:val="001E3DD4"/>
    <w:rsid w:val="001E3F8B"/>
    <w:rsid w:val="001E4413"/>
    <w:rsid w:val="001E4552"/>
    <w:rsid w:val="001E46FB"/>
    <w:rsid w:val="001E471D"/>
    <w:rsid w:val="001E476E"/>
    <w:rsid w:val="001E47EC"/>
    <w:rsid w:val="001E4AB8"/>
    <w:rsid w:val="001E4CAF"/>
    <w:rsid w:val="001E4EC1"/>
    <w:rsid w:val="001E4F62"/>
    <w:rsid w:val="001E500A"/>
    <w:rsid w:val="001E50A6"/>
    <w:rsid w:val="001E50BB"/>
    <w:rsid w:val="001E5115"/>
    <w:rsid w:val="001E5199"/>
    <w:rsid w:val="001E51F9"/>
    <w:rsid w:val="001E5214"/>
    <w:rsid w:val="001E52D1"/>
    <w:rsid w:val="001E545B"/>
    <w:rsid w:val="001E54D2"/>
    <w:rsid w:val="001E55DF"/>
    <w:rsid w:val="001E57F3"/>
    <w:rsid w:val="001E5838"/>
    <w:rsid w:val="001E5A69"/>
    <w:rsid w:val="001E5AA8"/>
    <w:rsid w:val="001E5AF2"/>
    <w:rsid w:val="001E5CAC"/>
    <w:rsid w:val="001E5FD7"/>
    <w:rsid w:val="001E61B1"/>
    <w:rsid w:val="001E6211"/>
    <w:rsid w:val="001E62AA"/>
    <w:rsid w:val="001E63F3"/>
    <w:rsid w:val="001E655D"/>
    <w:rsid w:val="001E6598"/>
    <w:rsid w:val="001E66F8"/>
    <w:rsid w:val="001E67A8"/>
    <w:rsid w:val="001E6821"/>
    <w:rsid w:val="001E688C"/>
    <w:rsid w:val="001E69D9"/>
    <w:rsid w:val="001E6A5B"/>
    <w:rsid w:val="001E6CAF"/>
    <w:rsid w:val="001E6D97"/>
    <w:rsid w:val="001E6F7A"/>
    <w:rsid w:val="001E71C1"/>
    <w:rsid w:val="001E71D6"/>
    <w:rsid w:val="001E7256"/>
    <w:rsid w:val="001E73DD"/>
    <w:rsid w:val="001E743C"/>
    <w:rsid w:val="001E746F"/>
    <w:rsid w:val="001E74E7"/>
    <w:rsid w:val="001E7514"/>
    <w:rsid w:val="001E7517"/>
    <w:rsid w:val="001E7565"/>
    <w:rsid w:val="001E75F9"/>
    <w:rsid w:val="001E762B"/>
    <w:rsid w:val="001E7666"/>
    <w:rsid w:val="001E76C7"/>
    <w:rsid w:val="001E7821"/>
    <w:rsid w:val="001E7824"/>
    <w:rsid w:val="001E7932"/>
    <w:rsid w:val="001E7A1E"/>
    <w:rsid w:val="001E7B3D"/>
    <w:rsid w:val="001E7B44"/>
    <w:rsid w:val="001E7B81"/>
    <w:rsid w:val="001E7BC2"/>
    <w:rsid w:val="001E7BE5"/>
    <w:rsid w:val="001E7E8B"/>
    <w:rsid w:val="001E7FCD"/>
    <w:rsid w:val="001F006B"/>
    <w:rsid w:val="001F00C1"/>
    <w:rsid w:val="001F00CA"/>
    <w:rsid w:val="001F0385"/>
    <w:rsid w:val="001F03E0"/>
    <w:rsid w:val="001F0577"/>
    <w:rsid w:val="001F079A"/>
    <w:rsid w:val="001F0835"/>
    <w:rsid w:val="001F0854"/>
    <w:rsid w:val="001F0996"/>
    <w:rsid w:val="001F0A3F"/>
    <w:rsid w:val="001F0D1E"/>
    <w:rsid w:val="001F0E29"/>
    <w:rsid w:val="001F0E6A"/>
    <w:rsid w:val="001F0E77"/>
    <w:rsid w:val="001F0F87"/>
    <w:rsid w:val="001F1123"/>
    <w:rsid w:val="001F1125"/>
    <w:rsid w:val="001F13EC"/>
    <w:rsid w:val="001F147E"/>
    <w:rsid w:val="001F1541"/>
    <w:rsid w:val="001F15D2"/>
    <w:rsid w:val="001F160B"/>
    <w:rsid w:val="001F168F"/>
    <w:rsid w:val="001F1718"/>
    <w:rsid w:val="001F17D0"/>
    <w:rsid w:val="001F18E2"/>
    <w:rsid w:val="001F18F2"/>
    <w:rsid w:val="001F1905"/>
    <w:rsid w:val="001F19C8"/>
    <w:rsid w:val="001F1D14"/>
    <w:rsid w:val="001F1D9F"/>
    <w:rsid w:val="001F1EDC"/>
    <w:rsid w:val="001F1F2E"/>
    <w:rsid w:val="001F1F8B"/>
    <w:rsid w:val="001F2051"/>
    <w:rsid w:val="001F2098"/>
    <w:rsid w:val="001F21F4"/>
    <w:rsid w:val="001F2237"/>
    <w:rsid w:val="001F2347"/>
    <w:rsid w:val="001F23EF"/>
    <w:rsid w:val="001F2480"/>
    <w:rsid w:val="001F2539"/>
    <w:rsid w:val="001F2610"/>
    <w:rsid w:val="001F26B1"/>
    <w:rsid w:val="001F26BD"/>
    <w:rsid w:val="001F275C"/>
    <w:rsid w:val="001F29AB"/>
    <w:rsid w:val="001F2AF8"/>
    <w:rsid w:val="001F2B9C"/>
    <w:rsid w:val="001F2CF7"/>
    <w:rsid w:val="001F2D74"/>
    <w:rsid w:val="001F2D80"/>
    <w:rsid w:val="001F2E26"/>
    <w:rsid w:val="001F2F12"/>
    <w:rsid w:val="001F302F"/>
    <w:rsid w:val="001F3055"/>
    <w:rsid w:val="001F30D4"/>
    <w:rsid w:val="001F322F"/>
    <w:rsid w:val="001F33B5"/>
    <w:rsid w:val="001F33BE"/>
    <w:rsid w:val="001F38C0"/>
    <w:rsid w:val="001F38D0"/>
    <w:rsid w:val="001F39E1"/>
    <w:rsid w:val="001F3C48"/>
    <w:rsid w:val="001F3D08"/>
    <w:rsid w:val="001F3E29"/>
    <w:rsid w:val="001F3E97"/>
    <w:rsid w:val="001F3ED8"/>
    <w:rsid w:val="001F3EDE"/>
    <w:rsid w:val="001F3F4C"/>
    <w:rsid w:val="001F40ED"/>
    <w:rsid w:val="001F4197"/>
    <w:rsid w:val="001F41BE"/>
    <w:rsid w:val="001F41E9"/>
    <w:rsid w:val="001F421E"/>
    <w:rsid w:val="001F4299"/>
    <w:rsid w:val="001F4302"/>
    <w:rsid w:val="001F4423"/>
    <w:rsid w:val="001F4592"/>
    <w:rsid w:val="001F45B1"/>
    <w:rsid w:val="001F4621"/>
    <w:rsid w:val="001F4702"/>
    <w:rsid w:val="001F4704"/>
    <w:rsid w:val="001F4889"/>
    <w:rsid w:val="001F48AE"/>
    <w:rsid w:val="001F4BF6"/>
    <w:rsid w:val="001F4C28"/>
    <w:rsid w:val="001F4D85"/>
    <w:rsid w:val="001F4DC1"/>
    <w:rsid w:val="001F4E28"/>
    <w:rsid w:val="001F4E73"/>
    <w:rsid w:val="001F4E8E"/>
    <w:rsid w:val="001F501E"/>
    <w:rsid w:val="001F5633"/>
    <w:rsid w:val="001F5687"/>
    <w:rsid w:val="001F5869"/>
    <w:rsid w:val="001F5983"/>
    <w:rsid w:val="001F59A7"/>
    <w:rsid w:val="001F5AE6"/>
    <w:rsid w:val="001F5D95"/>
    <w:rsid w:val="001F5E32"/>
    <w:rsid w:val="001F5E52"/>
    <w:rsid w:val="001F5FA1"/>
    <w:rsid w:val="001F6192"/>
    <w:rsid w:val="001F61E3"/>
    <w:rsid w:val="001F621A"/>
    <w:rsid w:val="001F62BC"/>
    <w:rsid w:val="001F62D4"/>
    <w:rsid w:val="001F6351"/>
    <w:rsid w:val="001F640D"/>
    <w:rsid w:val="001F670F"/>
    <w:rsid w:val="001F672C"/>
    <w:rsid w:val="001F6740"/>
    <w:rsid w:val="001F678D"/>
    <w:rsid w:val="001F67B1"/>
    <w:rsid w:val="001F6919"/>
    <w:rsid w:val="001F6934"/>
    <w:rsid w:val="001F695A"/>
    <w:rsid w:val="001F6AE4"/>
    <w:rsid w:val="001F6F46"/>
    <w:rsid w:val="001F6FD5"/>
    <w:rsid w:val="001F705E"/>
    <w:rsid w:val="001F7109"/>
    <w:rsid w:val="001F720F"/>
    <w:rsid w:val="001F7210"/>
    <w:rsid w:val="001F72E0"/>
    <w:rsid w:val="001F733C"/>
    <w:rsid w:val="001F7380"/>
    <w:rsid w:val="001F73E1"/>
    <w:rsid w:val="001F73ED"/>
    <w:rsid w:val="001F7447"/>
    <w:rsid w:val="001F74A4"/>
    <w:rsid w:val="001F74E9"/>
    <w:rsid w:val="001F75D2"/>
    <w:rsid w:val="001F75ED"/>
    <w:rsid w:val="001F767E"/>
    <w:rsid w:val="001F77A2"/>
    <w:rsid w:val="001F799B"/>
    <w:rsid w:val="001F7A36"/>
    <w:rsid w:val="001F7A7B"/>
    <w:rsid w:val="001F7AA9"/>
    <w:rsid w:val="001F7B0D"/>
    <w:rsid w:val="001F7B8D"/>
    <w:rsid w:val="001F7C24"/>
    <w:rsid w:val="001F7D01"/>
    <w:rsid w:val="001F7E49"/>
    <w:rsid w:val="001F7E72"/>
    <w:rsid w:val="00200091"/>
    <w:rsid w:val="00200282"/>
    <w:rsid w:val="002003E8"/>
    <w:rsid w:val="00200467"/>
    <w:rsid w:val="00200670"/>
    <w:rsid w:val="00200703"/>
    <w:rsid w:val="0020071D"/>
    <w:rsid w:val="0020074C"/>
    <w:rsid w:val="002007C7"/>
    <w:rsid w:val="002007D9"/>
    <w:rsid w:val="002008CA"/>
    <w:rsid w:val="00200B96"/>
    <w:rsid w:val="00200C14"/>
    <w:rsid w:val="00200C1B"/>
    <w:rsid w:val="00200CB4"/>
    <w:rsid w:val="00200E0C"/>
    <w:rsid w:val="00200EE1"/>
    <w:rsid w:val="00200F30"/>
    <w:rsid w:val="002012A0"/>
    <w:rsid w:val="002012D9"/>
    <w:rsid w:val="00201394"/>
    <w:rsid w:val="002013A0"/>
    <w:rsid w:val="0020149A"/>
    <w:rsid w:val="0020159F"/>
    <w:rsid w:val="002015C8"/>
    <w:rsid w:val="00201817"/>
    <w:rsid w:val="002018E2"/>
    <w:rsid w:val="00201928"/>
    <w:rsid w:val="00201ADA"/>
    <w:rsid w:val="00201CB4"/>
    <w:rsid w:val="00201D4C"/>
    <w:rsid w:val="0020210A"/>
    <w:rsid w:val="00202141"/>
    <w:rsid w:val="002022D1"/>
    <w:rsid w:val="002022F9"/>
    <w:rsid w:val="0020244B"/>
    <w:rsid w:val="0020244E"/>
    <w:rsid w:val="00202755"/>
    <w:rsid w:val="00202874"/>
    <w:rsid w:val="00202AFB"/>
    <w:rsid w:val="00202B24"/>
    <w:rsid w:val="00202F88"/>
    <w:rsid w:val="002030C0"/>
    <w:rsid w:val="0020320B"/>
    <w:rsid w:val="00203368"/>
    <w:rsid w:val="002033C9"/>
    <w:rsid w:val="002033FA"/>
    <w:rsid w:val="00203567"/>
    <w:rsid w:val="00203599"/>
    <w:rsid w:val="00203696"/>
    <w:rsid w:val="002038EC"/>
    <w:rsid w:val="002038FC"/>
    <w:rsid w:val="00203A17"/>
    <w:rsid w:val="00203A22"/>
    <w:rsid w:val="00203C07"/>
    <w:rsid w:val="00203CDE"/>
    <w:rsid w:val="00203D10"/>
    <w:rsid w:val="00203D39"/>
    <w:rsid w:val="00203E05"/>
    <w:rsid w:val="00203E1C"/>
    <w:rsid w:val="00203E5D"/>
    <w:rsid w:val="00203E6E"/>
    <w:rsid w:val="002041BD"/>
    <w:rsid w:val="00204520"/>
    <w:rsid w:val="0020472D"/>
    <w:rsid w:val="002047F2"/>
    <w:rsid w:val="0020480C"/>
    <w:rsid w:val="002049C3"/>
    <w:rsid w:val="00204A96"/>
    <w:rsid w:val="00204AF4"/>
    <w:rsid w:val="00204B16"/>
    <w:rsid w:val="00204BB4"/>
    <w:rsid w:val="00204E08"/>
    <w:rsid w:val="00204E70"/>
    <w:rsid w:val="00204E7F"/>
    <w:rsid w:val="00204F7D"/>
    <w:rsid w:val="002053E8"/>
    <w:rsid w:val="00205555"/>
    <w:rsid w:val="0020555A"/>
    <w:rsid w:val="002055FA"/>
    <w:rsid w:val="00205742"/>
    <w:rsid w:val="002057D1"/>
    <w:rsid w:val="002057D5"/>
    <w:rsid w:val="00205954"/>
    <w:rsid w:val="00205A6B"/>
    <w:rsid w:val="00205AC4"/>
    <w:rsid w:val="00205E15"/>
    <w:rsid w:val="00205EB0"/>
    <w:rsid w:val="002062E8"/>
    <w:rsid w:val="002063AE"/>
    <w:rsid w:val="00206416"/>
    <w:rsid w:val="00206506"/>
    <w:rsid w:val="00206732"/>
    <w:rsid w:val="00206734"/>
    <w:rsid w:val="002068A0"/>
    <w:rsid w:val="002068F9"/>
    <w:rsid w:val="00206C5C"/>
    <w:rsid w:val="00206C5D"/>
    <w:rsid w:val="00206D0B"/>
    <w:rsid w:val="00206DF6"/>
    <w:rsid w:val="00206E5D"/>
    <w:rsid w:val="00206FCB"/>
    <w:rsid w:val="0020724C"/>
    <w:rsid w:val="0020726D"/>
    <w:rsid w:val="002072DB"/>
    <w:rsid w:val="0020733E"/>
    <w:rsid w:val="0020747A"/>
    <w:rsid w:val="00207816"/>
    <w:rsid w:val="002078D2"/>
    <w:rsid w:val="00207904"/>
    <w:rsid w:val="00207939"/>
    <w:rsid w:val="00207C75"/>
    <w:rsid w:val="00207D43"/>
    <w:rsid w:val="00207D5C"/>
    <w:rsid w:val="00207F2F"/>
    <w:rsid w:val="00207F4E"/>
    <w:rsid w:val="00207FA5"/>
    <w:rsid w:val="0021004C"/>
    <w:rsid w:val="0021005C"/>
    <w:rsid w:val="002100D8"/>
    <w:rsid w:val="00210165"/>
    <w:rsid w:val="002102A9"/>
    <w:rsid w:val="00210439"/>
    <w:rsid w:val="002106A4"/>
    <w:rsid w:val="00210713"/>
    <w:rsid w:val="002109D7"/>
    <w:rsid w:val="00210AAD"/>
    <w:rsid w:val="00210AD2"/>
    <w:rsid w:val="00210B78"/>
    <w:rsid w:val="00210BC3"/>
    <w:rsid w:val="00210CBD"/>
    <w:rsid w:val="00210D6D"/>
    <w:rsid w:val="00210E5B"/>
    <w:rsid w:val="002110B5"/>
    <w:rsid w:val="00211243"/>
    <w:rsid w:val="00211341"/>
    <w:rsid w:val="00211444"/>
    <w:rsid w:val="002114B1"/>
    <w:rsid w:val="00211590"/>
    <w:rsid w:val="002115C8"/>
    <w:rsid w:val="002117ED"/>
    <w:rsid w:val="00211850"/>
    <w:rsid w:val="002119E4"/>
    <w:rsid w:val="00211B96"/>
    <w:rsid w:val="00211C31"/>
    <w:rsid w:val="00211DAC"/>
    <w:rsid w:val="00211E32"/>
    <w:rsid w:val="00211F4E"/>
    <w:rsid w:val="00211FC5"/>
    <w:rsid w:val="00212084"/>
    <w:rsid w:val="002120A4"/>
    <w:rsid w:val="002122DE"/>
    <w:rsid w:val="00212489"/>
    <w:rsid w:val="0021280E"/>
    <w:rsid w:val="00212854"/>
    <w:rsid w:val="00212936"/>
    <w:rsid w:val="00212A33"/>
    <w:rsid w:val="00212AD4"/>
    <w:rsid w:val="00212B49"/>
    <w:rsid w:val="00212BA5"/>
    <w:rsid w:val="00212C5B"/>
    <w:rsid w:val="00212D15"/>
    <w:rsid w:val="00212E79"/>
    <w:rsid w:val="00212EBF"/>
    <w:rsid w:val="00212F5A"/>
    <w:rsid w:val="00212FEF"/>
    <w:rsid w:val="00213280"/>
    <w:rsid w:val="0021335C"/>
    <w:rsid w:val="002133CF"/>
    <w:rsid w:val="0021348E"/>
    <w:rsid w:val="00213AF3"/>
    <w:rsid w:val="00213B22"/>
    <w:rsid w:val="00213B7D"/>
    <w:rsid w:val="00213BB2"/>
    <w:rsid w:val="00213F00"/>
    <w:rsid w:val="00214088"/>
    <w:rsid w:val="002144C5"/>
    <w:rsid w:val="0021457F"/>
    <w:rsid w:val="00214AA6"/>
    <w:rsid w:val="00214CCF"/>
    <w:rsid w:val="00214DB8"/>
    <w:rsid w:val="00214E0F"/>
    <w:rsid w:val="0021514F"/>
    <w:rsid w:val="00215162"/>
    <w:rsid w:val="0021547C"/>
    <w:rsid w:val="002155C8"/>
    <w:rsid w:val="002156DA"/>
    <w:rsid w:val="00215744"/>
    <w:rsid w:val="00215789"/>
    <w:rsid w:val="00215793"/>
    <w:rsid w:val="0021593E"/>
    <w:rsid w:val="00215A05"/>
    <w:rsid w:val="00215BC7"/>
    <w:rsid w:val="00215CB7"/>
    <w:rsid w:val="00215EA3"/>
    <w:rsid w:val="002160FA"/>
    <w:rsid w:val="00216161"/>
    <w:rsid w:val="0021619E"/>
    <w:rsid w:val="0021628E"/>
    <w:rsid w:val="00216334"/>
    <w:rsid w:val="00216345"/>
    <w:rsid w:val="00216473"/>
    <w:rsid w:val="00216633"/>
    <w:rsid w:val="0021667B"/>
    <w:rsid w:val="002166F5"/>
    <w:rsid w:val="002167DE"/>
    <w:rsid w:val="0021684B"/>
    <w:rsid w:val="00216892"/>
    <w:rsid w:val="0021689A"/>
    <w:rsid w:val="002169C0"/>
    <w:rsid w:val="00216A1F"/>
    <w:rsid w:val="00216A2D"/>
    <w:rsid w:val="00216A5E"/>
    <w:rsid w:val="00216AD4"/>
    <w:rsid w:val="00216C1A"/>
    <w:rsid w:val="00216C5D"/>
    <w:rsid w:val="00216E4D"/>
    <w:rsid w:val="00216EE1"/>
    <w:rsid w:val="00216F8F"/>
    <w:rsid w:val="00216FEC"/>
    <w:rsid w:val="00216FF0"/>
    <w:rsid w:val="00217146"/>
    <w:rsid w:val="00217196"/>
    <w:rsid w:val="00217248"/>
    <w:rsid w:val="00217289"/>
    <w:rsid w:val="00217299"/>
    <w:rsid w:val="0021731E"/>
    <w:rsid w:val="0021757F"/>
    <w:rsid w:val="00217680"/>
    <w:rsid w:val="002178D0"/>
    <w:rsid w:val="002178D4"/>
    <w:rsid w:val="00217A35"/>
    <w:rsid w:val="00217ACA"/>
    <w:rsid w:val="00217B43"/>
    <w:rsid w:val="002200B6"/>
    <w:rsid w:val="00220185"/>
    <w:rsid w:val="002203BB"/>
    <w:rsid w:val="002203E3"/>
    <w:rsid w:val="00220784"/>
    <w:rsid w:val="002207BE"/>
    <w:rsid w:val="0022080B"/>
    <w:rsid w:val="0022098C"/>
    <w:rsid w:val="002209C7"/>
    <w:rsid w:val="002209D3"/>
    <w:rsid w:val="00220A6A"/>
    <w:rsid w:val="00220BA7"/>
    <w:rsid w:val="00220D0A"/>
    <w:rsid w:val="00220D2E"/>
    <w:rsid w:val="00220E49"/>
    <w:rsid w:val="00220EB6"/>
    <w:rsid w:val="00220F40"/>
    <w:rsid w:val="00220FC3"/>
    <w:rsid w:val="00221014"/>
    <w:rsid w:val="00221274"/>
    <w:rsid w:val="002213ED"/>
    <w:rsid w:val="002214C5"/>
    <w:rsid w:val="002214F6"/>
    <w:rsid w:val="00221631"/>
    <w:rsid w:val="002216C5"/>
    <w:rsid w:val="00221857"/>
    <w:rsid w:val="0022190E"/>
    <w:rsid w:val="00221941"/>
    <w:rsid w:val="00221949"/>
    <w:rsid w:val="00221A5E"/>
    <w:rsid w:val="00221B5D"/>
    <w:rsid w:val="00221BFA"/>
    <w:rsid w:val="00221C1C"/>
    <w:rsid w:val="00221CE4"/>
    <w:rsid w:val="00221D0E"/>
    <w:rsid w:val="00221E26"/>
    <w:rsid w:val="00221EEF"/>
    <w:rsid w:val="00221FF7"/>
    <w:rsid w:val="00222015"/>
    <w:rsid w:val="002220BC"/>
    <w:rsid w:val="002220EE"/>
    <w:rsid w:val="00222240"/>
    <w:rsid w:val="00222457"/>
    <w:rsid w:val="00222715"/>
    <w:rsid w:val="00222934"/>
    <w:rsid w:val="00222A14"/>
    <w:rsid w:val="00222AE9"/>
    <w:rsid w:val="00222B29"/>
    <w:rsid w:val="00222B74"/>
    <w:rsid w:val="00222B97"/>
    <w:rsid w:val="00222BE4"/>
    <w:rsid w:val="00222BE5"/>
    <w:rsid w:val="00222C01"/>
    <w:rsid w:val="00222D2D"/>
    <w:rsid w:val="00222DC3"/>
    <w:rsid w:val="00222E4B"/>
    <w:rsid w:val="00222EDB"/>
    <w:rsid w:val="00222F9E"/>
    <w:rsid w:val="00222FC1"/>
    <w:rsid w:val="00223096"/>
    <w:rsid w:val="0022344F"/>
    <w:rsid w:val="0022346C"/>
    <w:rsid w:val="00223586"/>
    <w:rsid w:val="00223652"/>
    <w:rsid w:val="00223673"/>
    <w:rsid w:val="0022374B"/>
    <w:rsid w:val="0022377D"/>
    <w:rsid w:val="002237CD"/>
    <w:rsid w:val="002238E9"/>
    <w:rsid w:val="00223A23"/>
    <w:rsid w:val="00223F5B"/>
    <w:rsid w:val="00223FA6"/>
    <w:rsid w:val="00223FFE"/>
    <w:rsid w:val="00224122"/>
    <w:rsid w:val="00224147"/>
    <w:rsid w:val="00224177"/>
    <w:rsid w:val="00224205"/>
    <w:rsid w:val="0022428D"/>
    <w:rsid w:val="00224394"/>
    <w:rsid w:val="002243CF"/>
    <w:rsid w:val="0022468E"/>
    <w:rsid w:val="0022477D"/>
    <w:rsid w:val="0022498D"/>
    <w:rsid w:val="002249D4"/>
    <w:rsid w:val="00224A45"/>
    <w:rsid w:val="00224AB4"/>
    <w:rsid w:val="00224CD9"/>
    <w:rsid w:val="00224D71"/>
    <w:rsid w:val="00224E6F"/>
    <w:rsid w:val="00224F21"/>
    <w:rsid w:val="00225008"/>
    <w:rsid w:val="00225139"/>
    <w:rsid w:val="00225141"/>
    <w:rsid w:val="00225315"/>
    <w:rsid w:val="00225481"/>
    <w:rsid w:val="00225589"/>
    <w:rsid w:val="002257D6"/>
    <w:rsid w:val="00225812"/>
    <w:rsid w:val="002258E5"/>
    <w:rsid w:val="00225922"/>
    <w:rsid w:val="00225AC4"/>
    <w:rsid w:val="00225AD9"/>
    <w:rsid w:val="00225C28"/>
    <w:rsid w:val="00225CBB"/>
    <w:rsid w:val="00225FC7"/>
    <w:rsid w:val="00226108"/>
    <w:rsid w:val="00226170"/>
    <w:rsid w:val="0022625C"/>
    <w:rsid w:val="002262A4"/>
    <w:rsid w:val="002262F3"/>
    <w:rsid w:val="002264B0"/>
    <w:rsid w:val="00226613"/>
    <w:rsid w:val="00226723"/>
    <w:rsid w:val="00226729"/>
    <w:rsid w:val="002267C2"/>
    <w:rsid w:val="00226877"/>
    <w:rsid w:val="002268EE"/>
    <w:rsid w:val="002269C1"/>
    <w:rsid w:val="00226A37"/>
    <w:rsid w:val="00226BDD"/>
    <w:rsid w:val="00226BF3"/>
    <w:rsid w:val="00226C2E"/>
    <w:rsid w:val="00226C4D"/>
    <w:rsid w:val="00226D30"/>
    <w:rsid w:val="00226D37"/>
    <w:rsid w:val="00226DA4"/>
    <w:rsid w:val="00226DA7"/>
    <w:rsid w:val="00226DA9"/>
    <w:rsid w:val="00226DC5"/>
    <w:rsid w:val="00226FEC"/>
    <w:rsid w:val="0022700B"/>
    <w:rsid w:val="0022708D"/>
    <w:rsid w:val="0022732D"/>
    <w:rsid w:val="002274BA"/>
    <w:rsid w:val="00227566"/>
    <w:rsid w:val="002276C9"/>
    <w:rsid w:val="00227824"/>
    <w:rsid w:val="00227902"/>
    <w:rsid w:val="00227A2D"/>
    <w:rsid w:val="00227AB4"/>
    <w:rsid w:val="00227AC1"/>
    <w:rsid w:val="00227B88"/>
    <w:rsid w:val="00227CBD"/>
    <w:rsid w:val="00227D6B"/>
    <w:rsid w:val="00227DFF"/>
    <w:rsid w:val="00227F6A"/>
    <w:rsid w:val="002300B3"/>
    <w:rsid w:val="002302AE"/>
    <w:rsid w:val="002303A3"/>
    <w:rsid w:val="00230559"/>
    <w:rsid w:val="0023059C"/>
    <w:rsid w:val="0023060D"/>
    <w:rsid w:val="00230761"/>
    <w:rsid w:val="002307E9"/>
    <w:rsid w:val="00230B86"/>
    <w:rsid w:val="00230BB2"/>
    <w:rsid w:val="00230BD4"/>
    <w:rsid w:val="00230C07"/>
    <w:rsid w:val="00230C79"/>
    <w:rsid w:val="00230F41"/>
    <w:rsid w:val="00231049"/>
    <w:rsid w:val="00231092"/>
    <w:rsid w:val="00231100"/>
    <w:rsid w:val="0023138C"/>
    <w:rsid w:val="00231401"/>
    <w:rsid w:val="0023147C"/>
    <w:rsid w:val="002314AC"/>
    <w:rsid w:val="002314D2"/>
    <w:rsid w:val="002314D9"/>
    <w:rsid w:val="00231572"/>
    <w:rsid w:val="00231606"/>
    <w:rsid w:val="0023166E"/>
    <w:rsid w:val="002317D7"/>
    <w:rsid w:val="00231815"/>
    <w:rsid w:val="00231B1C"/>
    <w:rsid w:val="00231B6A"/>
    <w:rsid w:val="00231B71"/>
    <w:rsid w:val="00231BD8"/>
    <w:rsid w:val="00231C2E"/>
    <w:rsid w:val="00231D48"/>
    <w:rsid w:val="00231D6F"/>
    <w:rsid w:val="00231DDA"/>
    <w:rsid w:val="00231DED"/>
    <w:rsid w:val="00231E4E"/>
    <w:rsid w:val="00231EA4"/>
    <w:rsid w:val="002320DD"/>
    <w:rsid w:val="002320E2"/>
    <w:rsid w:val="002325F5"/>
    <w:rsid w:val="002328BC"/>
    <w:rsid w:val="00232E32"/>
    <w:rsid w:val="00232E39"/>
    <w:rsid w:val="00232F5E"/>
    <w:rsid w:val="00233002"/>
    <w:rsid w:val="00233009"/>
    <w:rsid w:val="002330B1"/>
    <w:rsid w:val="002331C1"/>
    <w:rsid w:val="00233289"/>
    <w:rsid w:val="0023332B"/>
    <w:rsid w:val="002333B6"/>
    <w:rsid w:val="00233468"/>
    <w:rsid w:val="00233483"/>
    <w:rsid w:val="002335C1"/>
    <w:rsid w:val="00233609"/>
    <w:rsid w:val="0023383E"/>
    <w:rsid w:val="002338B0"/>
    <w:rsid w:val="002338C6"/>
    <w:rsid w:val="00233B48"/>
    <w:rsid w:val="00233BA7"/>
    <w:rsid w:val="00233CAF"/>
    <w:rsid w:val="00233CEA"/>
    <w:rsid w:val="00233D1B"/>
    <w:rsid w:val="00233F3C"/>
    <w:rsid w:val="0023405E"/>
    <w:rsid w:val="0023424E"/>
    <w:rsid w:val="00234391"/>
    <w:rsid w:val="00234471"/>
    <w:rsid w:val="002347BD"/>
    <w:rsid w:val="0023480C"/>
    <w:rsid w:val="00234834"/>
    <w:rsid w:val="00234841"/>
    <w:rsid w:val="00234982"/>
    <w:rsid w:val="002349F0"/>
    <w:rsid w:val="002349F1"/>
    <w:rsid w:val="00234B73"/>
    <w:rsid w:val="00234E59"/>
    <w:rsid w:val="00234FBF"/>
    <w:rsid w:val="00234FF3"/>
    <w:rsid w:val="00235001"/>
    <w:rsid w:val="002353D3"/>
    <w:rsid w:val="0023565E"/>
    <w:rsid w:val="0023570B"/>
    <w:rsid w:val="0023575C"/>
    <w:rsid w:val="00235775"/>
    <w:rsid w:val="0023585D"/>
    <w:rsid w:val="00235956"/>
    <w:rsid w:val="00235D44"/>
    <w:rsid w:val="00235D65"/>
    <w:rsid w:val="00235E58"/>
    <w:rsid w:val="00235E5F"/>
    <w:rsid w:val="0023603B"/>
    <w:rsid w:val="0023604F"/>
    <w:rsid w:val="00236287"/>
    <w:rsid w:val="00236332"/>
    <w:rsid w:val="0023633B"/>
    <w:rsid w:val="00236378"/>
    <w:rsid w:val="0023639D"/>
    <w:rsid w:val="0023660A"/>
    <w:rsid w:val="00236686"/>
    <w:rsid w:val="002366A0"/>
    <w:rsid w:val="002367DC"/>
    <w:rsid w:val="002368B0"/>
    <w:rsid w:val="0023699D"/>
    <w:rsid w:val="00236AFB"/>
    <w:rsid w:val="00236B31"/>
    <w:rsid w:val="00236C84"/>
    <w:rsid w:val="00236D6B"/>
    <w:rsid w:val="00236D89"/>
    <w:rsid w:val="00236E09"/>
    <w:rsid w:val="00236EBE"/>
    <w:rsid w:val="002370D8"/>
    <w:rsid w:val="00237111"/>
    <w:rsid w:val="00237138"/>
    <w:rsid w:val="0023715F"/>
    <w:rsid w:val="002372A6"/>
    <w:rsid w:val="00237371"/>
    <w:rsid w:val="0023737F"/>
    <w:rsid w:val="002373D8"/>
    <w:rsid w:val="002374EE"/>
    <w:rsid w:val="002376CE"/>
    <w:rsid w:val="0023775A"/>
    <w:rsid w:val="0023775B"/>
    <w:rsid w:val="00237798"/>
    <w:rsid w:val="002377BE"/>
    <w:rsid w:val="00237874"/>
    <w:rsid w:val="00237959"/>
    <w:rsid w:val="002379AE"/>
    <w:rsid w:val="00237B5C"/>
    <w:rsid w:val="00237EFB"/>
    <w:rsid w:val="00237FC0"/>
    <w:rsid w:val="002400B7"/>
    <w:rsid w:val="0024027A"/>
    <w:rsid w:val="002402B4"/>
    <w:rsid w:val="002402F6"/>
    <w:rsid w:val="002406EA"/>
    <w:rsid w:val="002407E8"/>
    <w:rsid w:val="00240A2D"/>
    <w:rsid w:val="00240BB6"/>
    <w:rsid w:val="00240BDB"/>
    <w:rsid w:val="00240DAD"/>
    <w:rsid w:val="00240E45"/>
    <w:rsid w:val="00240FBD"/>
    <w:rsid w:val="00240FDC"/>
    <w:rsid w:val="0024106E"/>
    <w:rsid w:val="002410D9"/>
    <w:rsid w:val="00241154"/>
    <w:rsid w:val="002411B0"/>
    <w:rsid w:val="002411E8"/>
    <w:rsid w:val="0024120D"/>
    <w:rsid w:val="00241299"/>
    <w:rsid w:val="00241322"/>
    <w:rsid w:val="0024132C"/>
    <w:rsid w:val="00241577"/>
    <w:rsid w:val="0024171D"/>
    <w:rsid w:val="002417CB"/>
    <w:rsid w:val="002418F7"/>
    <w:rsid w:val="0024193D"/>
    <w:rsid w:val="00241988"/>
    <w:rsid w:val="00241B3C"/>
    <w:rsid w:val="00241C25"/>
    <w:rsid w:val="00241F68"/>
    <w:rsid w:val="00242097"/>
    <w:rsid w:val="00242129"/>
    <w:rsid w:val="002421B4"/>
    <w:rsid w:val="00242591"/>
    <w:rsid w:val="002425BB"/>
    <w:rsid w:val="0024282D"/>
    <w:rsid w:val="00242905"/>
    <w:rsid w:val="00242A3C"/>
    <w:rsid w:val="00242A6F"/>
    <w:rsid w:val="00242ABF"/>
    <w:rsid w:val="00242BFB"/>
    <w:rsid w:val="00242C95"/>
    <w:rsid w:val="00242D96"/>
    <w:rsid w:val="00242E75"/>
    <w:rsid w:val="00242FCC"/>
    <w:rsid w:val="00242FFB"/>
    <w:rsid w:val="00243040"/>
    <w:rsid w:val="002431D7"/>
    <w:rsid w:val="00243356"/>
    <w:rsid w:val="00243396"/>
    <w:rsid w:val="002433B9"/>
    <w:rsid w:val="00243435"/>
    <w:rsid w:val="0024345F"/>
    <w:rsid w:val="002435C6"/>
    <w:rsid w:val="0024373A"/>
    <w:rsid w:val="0024388A"/>
    <w:rsid w:val="00243896"/>
    <w:rsid w:val="00243A3F"/>
    <w:rsid w:val="00243B71"/>
    <w:rsid w:val="00243C25"/>
    <w:rsid w:val="00243C42"/>
    <w:rsid w:val="00243D26"/>
    <w:rsid w:val="00243DD0"/>
    <w:rsid w:val="00243E6A"/>
    <w:rsid w:val="00243EC0"/>
    <w:rsid w:val="00243ECC"/>
    <w:rsid w:val="00243FE3"/>
    <w:rsid w:val="0024414B"/>
    <w:rsid w:val="002441A5"/>
    <w:rsid w:val="002443F5"/>
    <w:rsid w:val="00244582"/>
    <w:rsid w:val="0024462B"/>
    <w:rsid w:val="0024471C"/>
    <w:rsid w:val="002448CD"/>
    <w:rsid w:val="0024496A"/>
    <w:rsid w:val="002449C4"/>
    <w:rsid w:val="00244A0A"/>
    <w:rsid w:val="00244C1A"/>
    <w:rsid w:val="00244E44"/>
    <w:rsid w:val="00244F03"/>
    <w:rsid w:val="00244F24"/>
    <w:rsid w:val="00244F27"/>
    <w:rsid w:val="00244F7B"/>
    <w:rsid w:val="00244F84"/>
    <w:rsid w:val="00244FAA"/>
    <w:rsid w:val="0024518A"/>
    <w:rsid w:val="00245262"/>
    <w:rsid w:val="002452D7"/>
    <w:rsid w:val="002452F8"/>
    <w:rsid w:val="002452F9"/>
    <w:rsid w:val="00245354"/>
    <w:rsid w:val="00245381"/>
    <w:rsid w:val="002453E3"/>
    <w:rsid w:val="00245432"/>
    <w:rsid w:val="0024548E"/>
    <w:rsid w:val="0024557F"/>
    <w:rsid w:val="00245765"/>
    <w:rsid w:val="002459B3"/>
    <w:rsid w:val="002459D7"/>
    <w:rsid w:val="00245A05"/>
    <w:rsid w:val="00245ACA"/>
    <w:rsid w:val="00245B13"/>
    <w:rsid w:val="00245BE7"/>
    <w:rsid w:val="00245C69"/>
    <w:rsid w:val="00245DC7"/>
    <w:rsid w:val="00245EC6"/>
    <w:rsid w:val="00245FAB"/>
    <w:rsid w:val="00245FC8"/>
    <w:rsid w:val="002460FA"/>
    <w:rsid w:val="002461B6"/>
    <w:rsid w:val="002461D5"/>
    <w:rsid w:val="002461F9"/>
    <w:rsid w:val="002463CC"/>
    <w:rsid w:val="002464A0"/>
    <w:rsid w:val="002464A6"/>
    <w:rsid w:val="002464EC"/>
    <w:rsid w:val="0024658A"/>
    <w:rsid w:val="002465F5"/>
    <w:rsid w:val="0024664C"/>
    <w:rsid w:val="00246734"/>
    <w:rsid w:val="002467D1"/>
    <w:rsid w:val="002467EE"/>
    <w:rsid w:val="00246819"/>
    <w:rsid w:val="00246882"/>
    <w:rsid w:val="00246966"/>
    <w:rsid w:val="00246A24"/>
    <w:rsid w:val="00246A4E"/>
    <w:rsid w:val="00246ACF"/>
    <w:rsid w:val="00246C24"/>
    <w:rsid w:val="00246CB3"/>
    <w:rsid w:val="00246E5E"/>
    <w:rsid w:val="00246F85"/>
    <w:rsid w:val="00246F96"/>
    <w:rsid w:val="00246FFC"/>
    <w:rsid w:val="002470A4"/>
    <w:rsid w:val="002470FD"/>
    <w:rsid w:val="002471CA"/>
    <w:rsid w:val="0024720A"/>
    <w:rsid w:val="00247307"/>
    <w:rsid w:val="002473FD"/>
    <w:rsid w:val="002474AF"/>
    <w:rsid w:val="0024759B"/>
    <w:rsid w:val="002475C6"/>
    <w:rsid w:val="00247701"/>
    <w:rsid w:val="002478CC"/>
    <w:rsid w:val="00247918"/>
    <w:rsid w:val="0024796D"/>
    <w:rsid w:val="00247AB2"/>
    <w:rsid w:val="00247AC6"/>
    <w:rsid w:val="00247B2B"/>
    <w:rsid w:val="00250000"/>
    <w:rsid w:val="0025014E"/>
    <w:rsid w:val="00250289"/>
    <w:rsid w:val="002502BD"/>
    <w:rsid w:val="0025055E"/>
    <w:rsid w:val="00250638"/>
    <w:rsid w:val="0025065C"/>
    <w:rsid w:val="00250B55"/>
    <w:rsid w:val="00250C56"/>
    <w:rsid w:val="00250EC4"/>
    <w:rsid w:val="00250EF4"/>
    <w:rsid w:val="00250FAA"/>
    <w:rsid w:val="00251114"/>
    <w:rsid w:val="0025112D"/>
    <w:rsid w:val="002513AC"/>
    <w:rsid w:val="0025169D"/>
    <w:rsid w:val="0025185B"/>
    <w:rsid w:val="0025188D"/>
    <w:rsid w:val="002519BD"/>
    <w:rsid w:val="002519DF"/>
    <w:rsid w:val="00251A6E"/>
    <w:rsid w:val="00251B58"/>
    <w:rsid w:val="00251BFE"/>
    <w:rsid w:val="00251CAE"/>
    <w:rsid w:val="00251D44"/>
    <w:rsid w:val="00252002"/>
    <w:rsid w:val="0025202C"/>
    <w:rsid w:val="0025214F"/>
    <w:rsid w:val="0025221D"/>
    <w:rsid w:val="00252286"/>
    <w:rsid w:val="00252325"/>
    <w:rsid w:val="0025232D"/>
    <w:rsid w:val="002524D4"/>
    <w:rsid w:val="0025281F"/>
    <w:rsid w:val="002528E2"/>
    <w:rsid w:val="0025291F"/>
    <w:rsid w:val="00252955"/>
    <w:rsid w:val="00252B7E"/>
    <w:rsid w:val="00252C56"/>
    <w:rsid w:val="00252C6E"/>
    <w:rsid w:val="00252E53"/>
    <w:rsid w:val="00252E6B"/>
    <w:rsid w:val="00252EE3"/>
    <w:rsid w:val="00252F0B"/>
    <w:rsid w:val="0025303B"/>
    <w:rsid w:val="002531A4"/>
    <w:rsid w:val="00253308"/>
    <w:rsid w:val="002533D8"/>
    <w:rsid w:val="002535DC"/>
    <w:rsid w:val="00253641"/>
    <w:rsid w:val="0025365B"/>
    <w:rsid w:val="002536EF"/>
    <w:rsid w:val="00253733"/>
    <w:rsid w:val="00253752"/>
    <w:rsid w:val="002537BA"/>
    <w:rsid w:val="00253AD7"/>
    <w:rsid w:val="00253B17"/>
    <w:rsid w:val="00253B25"/>
    <w:rsid w:val="00253B65"/>
    <w:rsid w:val="00253C04"/>
    <w:rsid w:val="00253CC7"/>
    <w:rsid w:val="00253CFC"/>
    <w:rsid w:val="00253D95"/>
    <w:rsid w:val="00253E00"/>
    <w:rsid w:val="00253E09"/>
    <w:rsid w:val="00253E1B"/>
    <w:rsid w:val="00253E53"/>
    <w:rsid w:val="00253EDA"/>
    <w:rsid w:val="00253EF2"/>
    <w:rsid w:val="00253F95"/>
    <w:rsid w:val="00253FE9"/>
    <w:rsid w:val="00254177"/>
    <w:rsid w:val="002541EF"/>
    <w:rsid w:val="00254372"/>
    <w:rsid w:val="0025443D"/>
    <w:rsid w:val="00254637"/>
    <w:rsid w:val="00254668"/>
    <w:rsid w:val="0025477E"/>
    <w:rsid w:val="00254808"/>
    <w:rsid w:val="0025483F"/>
    <w:rsid w:val="0025497D"/>
    <w:rsid w:val="00254A84"/>
    <w:rsid w:val="00254AD2"/>
    <w:rsid w:val="00254AEA"/>
    <w:rsid w:val="00254B70"/>
    <w:rsid w:val="00254C67"/>
    <w:rsid w:val="00254D1C"/>
    <w:rsid w:val="0025518E"/>
    <w:rsid w:val="0025535D"/>
    <w:rsid w:val="00255362"/>
    <w:rsid w:val="002553DB"/>
    <w:rsid w:val="002555D2"/>
    <w:rsid w:val="00255625"/>
    <w:rsid w:val="002556BF"/>
    <w:rsid w:val="002556EC"/>
    <w:rsid w:val="0025582A"/>
    <w:rsid w:val="0025583B"/>
    <w:rsid w:val="0025584A"/>
    <w:rsid w:val="002558DC"/>
    <w:rsid w:val="00255978"/>
    <w:rsid w:val="002559AC"/>
    <w:rsid w:val="00255B74"/>
    <w:rsid w:val="00255BA1"/>
    <w:rsid w:val="00255CDE"/>
    <w:rsid w:val="00255CDF"/>
    <w:rsid w:val="00255DA3"/>
    <w:rsid w:val="00255E86"/>
    <w:rsid w:val="00255E95"/>
    <w:rsid w:val="00255EBF"/>
    <w:rsid w:val="00256282"/>
    <w:rsid w:val="002564EA"/>
    <w:rsid w:val="0025667A"/>
    <w:rsid w:val="002566A8"/>
    <w:rsid w:val="00256799"/>
    <w:rsid w:val="002567DA"/>
    <w:rsid w:val="002568B9"/>
    <w:rsid w:val="00256ACA"/>
    <w:rsid w:val="00256AD4"/>
    <w:rsid w:val="00256C78"/>
    <w:rsid w:val="00256C89"/>
    <w:rsid w:val="00256EF3"/>
    <w:rsid w:val="00256F6A"/>
    <w:rsid w:val="002570DE"/>
    <w:rsid w:val="0025713B"/>
    <w:rsid w:val="00257189"/>
    <w:rsid w:val="002572B8"/>
    <w:rsid w:val="0025738E"/>
    <w:rsid w:val="0025740C"/>
    <w:rsid w:val="00257527"/>
    <w:rsid w:val="0025755F"/>
    <w:rsid w:val="0025758C"/>
    <w:rsid w:val="0025763A"/>
    <w:rsid w:val="0025783B"/>
    <w:rsid w:val="00257917"/>
    <w:rsid w:val="0025798B"/>
    <w:rsid w:val="00257AEE"/>
    <w:rsid w:val="00257BD8"/>
    <w:rsid w:val="00257C69"/>
    <w:rsid w:val="00257E57"/>
    <w:rsid w:val="00257E74"/>
    <w:rsid w:val="002601A3"/>
    <w:rsid w:val="002601F1"/>
    <w:rsid w:val="002602BE"/>
    <w:rsid w:val="00260352"/>
    <w:rsid w:val="00260402"/>
    <w:rsid w:val="00260461"/>
    <w:rsid w:val="00260592"/>
    <w:rsid w:val="002608C4"/>
    <w:rsid w:val="002609F5"/>
    <w:rsid w:val="00260C45"/>
    <w:rsid w:val="00260C67"/>
    <w:rsid w:val="00260D55"/>
    <w:rsid w:val="00260E2F"/>
    <w:rsid w:val="00260E6B"/>
    <w:rsid w:val="00260F39"/>
    <w:rsid w:val="0026104B"/>
    <w:rsid w:val="00261092"/>
    <w:rsid w:val="0026119E"/>
    <w:rsid w:val="002613B6"/>
    <w:rsid w:val="00261553"/>
    <w:rsid w:val="00261675"/>
    <w:rsid w:val="002617AB"/>
    <w:rsid w:val="002617CF"/>
    <w:rsid w:val="00261A69"/>
    <w:rsid w:val="00261A76"/>
    <w:rsid w:val="00261A77"/>
    <w:rsid w:val="00261AC8"/>
    <w:rsid w:val="00261B52"/>
    <w:rsid w:val="00261CA6"/>
    <w:rsid w:val="00261CD6"/>
    <w:rsid w:val="00261DE6"/>
    <w:rsid w:val="00261DF5"/>
    <w:rsid w:val="00261DFD"/>
    <w:rsid w:val="00261E9F"/>
    <w:rsid w:val="00262072"/>
    <w:rsid w:val="00262137"/>
    <w:rsid w:val="00262268"/>
    <w:rsid w:val="00262272"/>
    <w:rsid w:val="00262310"/>
    <w:rsid w:val="0026238E"/>
    <w:rsid w:val="00262435"/>
    <w:rsid w:val="0026243B"/>
    <w:rsid w:val="0026246E"/>
    <w:rsid w:val="002624F0"/>
    <w:rsid w:val="0026250E"/>
    <w:rsid w:val="0026259A"/>
    <w:rsid w:val="00262729"/>
    <w:rsid w:val="0026275A"/>
    <w:rsid w:val="00262764"/>
    <w:rsid w:val="00262791"/>
    <w:rsid w:val="00262826"/>
    <w:rsid w:val="00262859"/>
    <w:rsid w:val="00262910"/>
    <w:rsid w:val="0026299F"/>
    <w:rsid w:val="00262A27"/>
    <w:rsid w:val="00262A4C"/>
    <w:rsid w:val="00262B2B"/>
    <w:rsid w:val="00262B42"/>
    <w:rsid w:val="00262C0A"/>
    <w:rsid w:val="00262C8C"/>
    <w:rsid w:val="00262F2D"/>
    <w:rsid w:val="00263235"/>
    <w:rsid w:val="00263247"/>
    <w:rsid w:val="00263272"/>
    <w:rsid w:val="00263297"/>
    <w:rsid w:val="002633B0"/>
    <w:rsid w:val="002634E2"/>
    <w:rsid w:val="0026352D"/>
    <w:rsid w:val="00263630"/>
    <w:rsid w:val="002636DA"/>
    <w:rsid w:val="002637D6"/>
    <w:rsid w:val="002637ED"/>
    <w:rsid w:val="00263B6C"/>
    <w:rsid w:val="00263E19"/>
    <w:rsid w:val="00263E23"/>
    <w:rsid w:val="00263E30"/>
    <w:rsid w:val="00263E64"/>
    <w:rsid w:val="0026402E"/>
    <w:rsid w:val="0026412E"/>
    <w:rsid w:val="00264179"/>
    <w:rsid w:val="002641D2"/>
    <w:rsid w:val="00264464"/>
    <w:rsid w:val="002644B0"/>
    <w:rsid w:val="002646E6"/>
    <w:rsid w:val="002646F4"/>
    <w:rsid w:val="0026481B"/>
    <w:rsid w:val="002649F5"/>
    <w:rsid w:val="00264A0D"/>
    <w:rsid w:val="00264B68"/>
    <w:rsid w:val="00264B7B"/>
    <w:rsid w:val="00264D66"/>
    <w:rsid w:val="00264DB0"/>
    <w:rsid w:val="00264DCF"/>
    <w:rsid w:val="00264DD1"/>
    <w:rsid w:val="00264E43"/>
    <w:rsid w:val="00264F15"/>
    <w:rsid w:val="00264F86"/>
    <w:rsid w:val="00264FA1"/>
    <w:rsid w:val="00265317"/>
    <w:rsid w:val="0026561C"/>
    <w:rsid w:val="00265797"/>
    <w:rsid w:val="002659FE"/>
    <w:rsid w:val="00265ACD"/>
    <w:rsid w:val="00265ADE"/>
    <w:rsid w:val="00265BDF"/>
    <w:rsid w:val="00265CC0"/>
    <w:rsid w:val="00265E6B"/>
    <w:rsid w:val="00265ED7"/>
    <w:rsid w:val="00265F2E"/>
    <w:rsid w:val="00265F80"/>
    <w:rsid w:val="002660DE"/>
    <w:rsid w:val="00266255"/>
    <w:rsid w:val="002663A7"/>
    <w:rsid w:val="002663B5"/>
    <w:rsid w:val="002663B6"/>
    <w:rsid w:val="00266614"/>
    <w:rsid w:val="002667AE"/>
    <w:rsid w:val="00266922"/>
    <w:rsid w:val="00266B13"/>
    <w:rsid w:val="00266D9F"/>
    <w:rsid w:val="00266F5A"/>
    <w:rsid w:val="00266F92"/>
    <w:rsid w:val="00267119"/>
    <w:rsid w:val="0026711C"/>
    <w:rsid w:val="00267156"/>
    <w:rsid w:val="00267453"/>
    <w:rsid w:val="002674CB"/>
    <w:rsid w:val="0026756F"/>
    <w:rsid w:val="0026757E"/>
    <w:rsid w:val="00267596"/>
    <w:rsid w:val="002676B9"/>
    <w:rsid w:val="00267788"/>
    <w:rsid w:val="002678BB"/>
    <w:rsid w:val="002678FC"/>
    <w:rsid w:val="00267A46"/>
    <w:rsid w:val="00267CEC"/>
    <w:rsid w:val="00267DDE"/>
    <w:rsid w:val="00267E0B"/>
    <w:rsid w:val="00267EFC"/>
    <w:rsid w:val="00267F0D"/>
    <w:rsid w:val="00267F98"/>
    <w:rsid w:val="00267FB9"/>
    <w:rsid w:val="0027016A"/>
    <w:rsid w:val="0027018D"/>
    <w:rsid w:val="002701BD"/>
    <w:rsid w:val="002701C2"/>
    <w:rsid w:val="00270384"/>
    <w:rsid w:val="00270523"/>
    <w:rsid w:val="00270607"/>
    <w:rsid w:val="00270665"/>
    <w:rsid w:val="00270781"/>
    <w:rsid w:val="002707C0"/>
    <w:rsid w:val="00270852"/>
    <w:rsid w:val="002708DB"/>
    <w:rsid w:val="002708FB"/>
    <w:rsid w:val="0027097E"/>
    <w:rsid w:val="00270A4B"/>
    <w:rsid w:val="00270A82"/>
    <w:rsid w:val="00270A86"/>
    <w:rsid w:val="00270A8E"/>
    <w:rsid w:val="00270C0C"/>
    <w:rsid w:val="00270D11"/>
    <w:rsid w:val="00270DC8"/>
    <w:rsid w:val="00270DE9"/>
    <w:rsid w:val="00270ECD"/>
    <w:rsid w:val="00270ED3"/>
    <w:rsid w:val="00270EF8"/>
    <w:rsid w:val="00270F83"/>
    <w:rsid w:val="00271139"/>
    <w:rsid w:val="00271231"/>
    <w:rsid w:val="00271381"/>
    <w:rsid w:val="0027139A"/>
    <w:rsid w:val="00271611"/>
    <w:rsid w:val="00271785"/>
    <w:rsid w:val="002717F8"/>
    <w:rsid w:val="0027193A"/>
    <w:rsid w:val="0027195C"/>
    <w:rsid w:val="00271983"/>
    <w:rsid w:val="002719A5"/>
    <w:rsid w:val="002719D8"/>
    <w:rsid w:val="00271B2C"/>
    <w:rsid w:val="00271B54"/>
    <w:rsid w:val="00271B8C"/>
    <w:rsid w:val="00271C2A"/>
    <w:rsid w:val="00271C36"/>
    <w:rsid w:val="00271F65"/>
    <w:rsid w:val="00271FD0"/>
    <w:rsid w:val="0027207C"/>
    <w:rsid w:val="002720C3"/>
    <w:rsid w:val="002720F9"/>
    <w:rsid w:val="00272349"/>
    <w:rsid w:val="00272376"/>
    <w:rsid w:val="0027238F"/>
    <w:rsid w:val="002724E0"/>
    <w:rsid w:val="0027259D"/>
    <w:rsid w:val="0027263D"/>
    <w:rsid w:val="002726AF"/>
    <w:rsid w:val="00272A76"/>
    <w:rsid w:val="00272DA9"/>
    <w:rsid w:val="00272DB5"/>
    <w:rsid w:val="00272E08"/>
    <w:rsid w:val="00272E23"/>
    <w:rsid w:val="00273106"/>
    <w:rsid w:val="002731FB"/>
    <w:rsid w:val="00273275"/>
    <w:rsid w:val="002732BA"/>
    <w:rsid w:val="002733C1"/>
    <w:rsid w:val="0027344B"/>
    <w:rsid w:val="00273986"/>
    <w:rsid w:val="00273C72"/>
    <w:rsid w:val="00273D10"/>
    <w:rsid w:val="00273E03"/>
    <w:rsid w:val="00273E3C"/>
    <w:rsid w:val="00273F4F"/>
    <w:rsid w:val="00274107"/>
    <w:rsid w:val="002741E6"/>
    <w:rsid w:val="00274244"/>
    <w:rsid w:val="002744BB"/>
    <w:rsid w:val="002744F5"/>
    <w:rsid w:val="00274603"/>
    <w:rsid w:val="002746CD"/>
    <w:rsid w:val="002746F2"/>
    <w:rsid w:val="00274777"/>
    <w:rsid w:val="002747D7"/>
    <w:rsid w:val="002747F8"/>
    <w:rsid w:val="00274802"/>
    <w:rsid w:val="002748DC"/>
    <w:rsid w:val="00274A4A"/>
    <w:rsid w:val="00274D1E"/>
    <w:rsid w:val="00274D43"/>
    <w:rsid w:val="00274E53"/>
    <w:rsid w:val="0027504E"/>
    <w:rsid w:val="002752FA"/>
    <w:rsid w:val="002753EB"/>
    <w:rsid w:val="0027541A"/>
    <w:rsid w:val="00275424"/>
    <w:rsid w:val="00275575"/>
    <w:rsid w:val="00275622"/>
    <w:rsid w:val="002756DC"/>
    <w:rsid w:val="00275717"/>
    <w:rsid w:val="0027573D"/>
    <w:rsid w:val="0027574A"/>
    <w:rsid w:val="00275775"/>
    <w:rsid w:val="002757CE"/>
    <w:rsid w:val="0027582E"/>
    <w:rsid w:val="00275870"/>
    <w:rsid w:val="0027590B"/>
    <w:rsid w:val="002759DC"/>
    <w:rsid w:val="002759FF"/>
    <w:rsid w:val="00275AA1"/>
    <w:rsid w:val="00275C28"/>
    <w:rsid w:val="00275C79"/>
    <w:rsid w:val="00275CE8"/>
    <w:rsid w:val="00275DA9"/>
    <w:rsid w:val="00275DBC"/>
    <w:rsid w:val="00275DC2"/>
    <w:rsid w:val="00275E82"/>
    <w:rsid w:val="00275F0D"/>
    <w:rsid w:val="00276006"/>
    <w:rsid w:val="0027671F"/>
    <w:rsid w:val="00276729"/>
    <w:rsid w:val="002767A6"/>
    <w:rsid w:val="002768C9"/>
    <w:rsid w:val="0027697E"/>
    <w:rsid w:val="00276A10"/>
    <w:rsid w:val="00276B02"/>
    <w:rsid w:val="00276C02"/>
    <w:rsid w:val="00276CC8"/>
    <w:rsid w:val="00276DDD"/>
    <w:rsid w:val="00276FA4"/>
    <w:rsid w:val="002770A8"/>
    <w:rsid w:val="002770B1"/>
    <w:rsid w:val="00277368"/>
    <w:rsid w:val="00277393"/>
    <w:rsid w:val="002773DB"/>
    <w:rsid w:val="0027748F"/>
    <w:rsid w:val="002774B7"/>
    <w:rsid w:val="0027761F"/>
    <w:rsid w:val="00277659"/>
    <w:rsid w:val="00277669"/>
    <w:rsid w:val="0027767A"/>
    <w:rsid w:val="002776A4"/>
    <w:rsid w:val="0027775B"/>
    <w:rsid w:val="002778B2"/>
    <w:rsid w:val="002778E9"/>
    <w:rsid w:val="00277A0E"/>
    <w:rsid w:val="00277BF8"/>
    <w:rsid w:val="00277D91"/>
    <w:rsid w:val="00277EFB"/>
    <w:rsid w:val="002800EB"/>
    <w:rsid w:val="0028012F"/>
    <w:rsid w:val="00280151"/>
    <w:rsid w:val="002802AC"/>
    <w:rsid w:val="00280499"/>
    <w:rsid w:val="0028051C"/>
    <w:rsid w:val="0028057E"/>
    <w:rsid w:val="00280625"/>
    <w:rsid w:val="00280794"/>
    <w:rsid w:val="00280884"/>
    <w:rsid w:val="002808E5"/>
    <w:rsid w:val="00280A25"/>
    <w:rsid w:val="00280A3C"/>
    <w:rsid w:val="00280B29"/>
    <w:rsid w:val="00280C04"/>
    <w:rsid w:val="00280C05"/>
    <w:rsid w:val="00280CA0"/>
    <w:rsid w:val="00280CF6"/>
    <w:rsid w:val="00280D29"/>
    <w:rsid w:val="00280E66"/>
    <w:rsid w:val="00280E91"/>
    <w:rsid w:val="00280EC4"/>
    <w:rsid w:val="00280FCE"/>
    <w:rsid w:val="00280FE6"/>
    <w:rsid w:val="0028119C"/>
    <w:rsid w:val="002811AB"/>
    <w:rsid w:val="0028182C"/>
    <w:rsid w:val="002818F4"/>
    <w:rsid w:val="00281AA7"/>
    <w:rsid w:val="00281C57"/>
    <w:rsid w:val="00281C86"/>
    <w:rsid w:val="00281D3E"/>
    <w:rsid w:val="00281D9F"/>
    <w:rsid w:val="00281E4B"/>
    <w:rsid w:val="00281E87"/>
    <w:rsid w:val="00281F27"/>
    <w:rsid w:val="00282182"/>
    <w:rsid w:val="002823C4"/>
    <w:rsid w:val="002824E8"/>
    <w:rsid w:val="00282541"/>
    <w:rsid w:val="0028257A"/>
    <w:rsid w:val="0028258B"/>
    <w:rsid w:val="002827EC"/>
    <w:rsid w:val="002829A6"/>
    <w:rsid w:val="00282BAC"/>
    <w:rsid w:val="00282C69"/>
    <w:rsid w:val="00282CA6"/>
    <w:rsid w:val="00282CF2"/>
    <w:rsid w:val="00282E12"/>
    <w:rsid w:val="00283051"/>
    <w:rsid w:val="00283394"/>
    <w:rsid w:val="0028341D"/>
    <w:rsid w:val="002834FD"/>
    <w:rsid w:val="00283547"/>
    <w:rsid w:val="00283551"/>
    <w:rsid w:val="00283587"/>
    <w:rsid w:val="002835CB"/>
    <w:rsid w:val="0028367E"/>
    <w:rsid w:val="00283696"/>
    <w:rsid w:val="0028376B"/>
    <w:rsid w:val="002837F5"/>
    <w:rsid w:val="0028398C"/>
    <w:rsid w:val="00283ACA"/>
    <w:rsid w:val="00283B2E"/>
    <w:rsid w:val="00283B9D"/>
    <w:rsid w:val="00283C94"/>
    <w:rsid w:val="00283D03"/>
    <w:rsid w:val="00283DC2"/>
    <w:rsid w:val="00283E35"/>
    <w:rsid w:val="00283F0E"/>
    <w:rsid w:val="002840C2"/>
    <w:rsid w:val="002843EF"/>
    <w:rsid w:val="00284434"/>
    <w:rsid w:val="00284458"/>
    <w:rsid w:val="00284807"/>
    <w:rsid w:val="00284835"/>
    <w:rsid w:val="002848FC"/>
    <w:rsid w:val="00284A79"/>
    <w:rsid w:val="00284AEF"/>
    <w:rsid w:val="00284B17"/>
    <w:rsid w:val="00284BB6"/>
    <w:rsid w:val="00284D1D"/>
    <w:rsid w:val="0028502E"/>
    <w:rsid w:val="002850E5"/>
    <w:rsid w:val="002850F1"/>
    <w:rsid w:val="00285113"/>
    <w:rsid w:val="002851AB"/>
    <w:rsid w:val="00285319"/>
    <w:rsid w:val="00285399"/>
    <w:rsid w:val="00285454"/>
    <w:rsid w:val="0028561B"/>
    <w:rsid w:val="00285693"/>
    <w:rsid w:val="00285781"/>
    <w:rsid w:val="002857B8"/>
    <w:rsid w:val="00285969"/>
    <w:rsid w:val="002859A9"/>
    <w:rsid w:val="00285A9F"/>
    <w:rsid w:val="00285B36"/>
    <w:rsid w:val="00285BF6"/>
    <w:rsid w:val="00285C28"/>
    <w:rsid w:val="00285C5D"/>
    <w:rsid w:val="00285C9E"/>
    <w:rsid w:val="00285D4D"/>
    <w:rsid w:val="00285E16"/>
    <w:rsid w:val="00285F7B"/>
    <w:rsid w:val="0028601F"/>
    <w:rsid w:val="0028606F"/>
    <w:rsid w:val="00286098"/>
    <w:rsid w:val="00286110"/>
    <w:rsid w:val="002861B4"/>
    <w:rsid w:val="00286250"/>
    <w:rsid w:val="002863BB"/>
    <w:rsid w:val="00286439"/>
    <w:rsid w:val="002866EB"/>
    <w:rsid w:val="00286750"/>
    <w:rsid w:val="002869EB"/>
    <w:rsid w:val="00286A38"/>
    <w:rsid w:val="00286A7A"/>
    <w:rsid w:val="00286B78"/>
    <w:rsid w:val="00286DCE"/>
    <w:rsid w:val="0028702C"/>
    <w:rsid w:val="002871BE"/>
    <w:rsid w:val="00287349"/>
    <w:rsid w:val="002874BC"/>
    <w:rsid w:val="002874FB"/>
    <w:rsid w:val="0028770B"/>
    <w:rsid w:val="00287829"/>
    <w:rsid w:val="00287978"/>
    <w:rsid w:val="00287B0E"/>
    <w:rsid w:val="00287B94"/>
    <w:rsid w:val="00287D78"/>
    <w:rsid w:val="00287E2F"/>
    <w:rsid w:val="00287EF2"/>
    <w:rsid w:val="00287F16"/>
    <w:rsid w:val="0029003F"/>
    <w:rsid w:val="0029037B"/>
    <w:rsid w:val="002904F3"/>
    <w:rsid w:val="002905DF"/>
    <w:rsid w:val="002907B6"/>
    <w:rsid w:val="00290827"/>
    <w:rsid w:val="00290866"/>
    <w:rsid w:val="00290918"/>
    <w:rsid w:val="00290930"/>
    <w:rsid w:val="00290B14"/>
    <w:rsid w:val="00290C71"/>
    <w:rsid w:val="00290CB6"/>
    <w:rsid w:val="00290D3E"/>
    <w:rsid w:val="00290E36"/>
    <w:rsid w:val="00290F4D"/>
    <w:rsid w:val="00290F99"/>
    <w:rsid w:val="00291092"/>
    <w:rsid w:val="00291107"/>
    <w:rsid w:val="002911D0"/>
    <w:rsid w:val="0029120F"/>
    <w:rsid w:val="00291446"/>
    <w:rsid w:val="0029144C"/>
    <w:rsid w:val="00291537"/>
    <w:rsid w:val="0029159F"/>
    <w:rsid w:val="002915AD"/>
    <w:rsid w:val="002915CF"/>
    <w:rsid w:val="00291665"/>
    <w:rsid w:val="002917D2"/>
    <w:rsid w:val="002918AB"/>
    <w:rsid w:val="00291B89"/>
    <w:rsid w:val="00291D19"/>
    <w:rsid w:val="00291D36"/>
    <w:rsid w:val="00291E5E"/>
    <w:rsid w:val="00291E69"/>
    <w:rsid w:val="00292042"/>
    <w:rsid w:val="0029215C"/>
    <w:rsid w:val="00292176"/>
    <w:rsid w:val="00292347"/>
    <w:rsid w:val="00292360"/>
    <w:rsid w:val="0029238A"/>
    <w:rsid w:val="002923A5"/>
    <w:rsid w:val="0029242B"/>
    <w:rsid w:val="002924FA"/>
    <w:rsid w:val="0029292F"/>
    <w:rsid w:val="00292C08"/>
    <w:rsid w:val="00292C92"/>
    <w:rsid w:val="00292EB5"/>
    <w:rsid w:val="00292FF7"/>
    <w:rsid w:val="00293030"/>
    <w:rsid w:val="00293033"/>
    <w:rsid w:val="00293110"/>
    <w:rsid w:val="00293180"/>
    <w:rsid w:val="00293207"/>
    <w:rsid w:val="00293262"/>
    <w:rsid w:val="00293272"/>
    <w:rsid w:val="0029334F"/>
    <w:rsid w:val="00293418"/>
    <w:rsid w:val="0029341C"/>
    <w:rsid w:val="00293454"/>
    <w:rsid w:val="002934F6"/>
    <w:rsid w:val="00293595"/>
    <w:rsid w:val="002936E3"/>
    <w:rsid w:val="00293844"/>
    <w:rsid w:val="00293A51"/>
    <w:rsid w:val="00293D9A"/>
    <w:rsid w:val="00293DBD"/>
    <w:rsid w:val="00293DFD"/>
    <w:rsid w:val="00293E09"/>
    <w:rsid w:val="00293F23"/>
    <w:rsid w:val="002940EC"/>
    <w:rsid w:val="00294168"/>
    <w:rsid w:val="002943D4"/>
    <w:rsid w:val="0029445F"/>
    <w:rsid w:val="00294618"/>
    <w:rsid w:val="002946B8"/>
    <w:rsid w:val="002946C5"/>
    <w:rsid w:val="0029499D"/>
    <w:rsid w:val="002949FF"/>
    <w:rsid w:val="00294A1B"/>
    <w:rsid w:val="00294BBC"/>
    <w:rsid w:val="00294C27"/>
    <w:rsid w:val="00294D7C"/>
    <w:rsid w:val="00294D9D"/>
    <w:rsid w:val="00294DDC"/>
    <w:rsid w:val="00294EC5"/>
    <w:rsid w:val="00294ED1"/>
    <w:rsid w:val="002950FC"/>
    <w:rsid w:val="002955FF"/>
    <w:rsid w:val="002956A3"/>
    <w:rsid w:val="0029579C"/>
    <w:rsid w:val="002957EB"/>
    <w:rsid w:val="00295BE9"/>
    <w:rsid w:val="00295D6D"/>
    <w:rsid w:val="00295E12"/>
    <w:rsid w:val="00295E5B"/>
    <w:rsid w:val="00295EA3"/>
    <w:rsid w:val="00295F18"/>
    <w:rsid w:val="00295FBC"/>
    <w:rsid w:val="0029600D"/>
    <w:rsid w:val="00296059"/>
    <w:rsid w:val="00296172"/>
    <w:rsid w:val="00296200"/>
    <w:rsid w:val="002962A4"/>
    <w:rsid w:val="002962EF"/>
    <w:rsid w:val="00296406"/>
    <w:rsid w:val="00296468"/>
    <w:rsid w:val="0029649C"/>
    <w:rsid w:val="00296568"/>
    <w:rsid w:val="00296621"/>
    <w:rsid w:val="0029664B"/>
    <w:rsid w:val="002966B4"/>
    <w:rsid w:val="002969FC"/>
    <w:rsid w:val="00296C67"/>
    <w:rsid w:val="00296C82"/>
    <w:rsid w:val="00296D19"/>
    <w:rsid w:val="00296D24"/>
    <w:rsid w:val="00296E27"/>
    <w:rsid w:val="0029700C"/>
    <w:rsid w:val="002970C3"/>
    <w:rsid w:val="0029710D"/>
    <w:rsid w:val="00297154"/>
    <w:rsid w:val="002972DC"/>
    <w:rsid w:val="00297323"/>
    <w:rsid w:val="00297350"/>
    <w:rsid w:val="00297384"/>
    <w:rsid w:val="002973CB"/>
    <w:rsid w:val="002973F2"/>
    <w:rsid w:val="00297439"/>
    <w:rsid w:val="00297453"/>
    <w:rsid w:val="002975CC"/>
    <w:rsid w:val="0029777F"/>
    <w:rsid w:val="00297868"/>
    <w:rsid w:val="002978D8"/>
    <w:rsid w:val="0029796A"/>
    <w:rsid w:val="002979BD"/>
    <w:rsid w:val="00297A3D"/>
    <w:rsid w:val="00297A56"/>
    <w:rsid w:val="00297B4E"/>
    <w:rsid w:val="002A0042"/>
    <w:rsid w:val="002A0066"/>
    <w:rsid w:val="002A0120"/>
    <w:rsid w:val="002A014F"/>
    <w:rsid w:val="002A0171"/>
    <w:rsid w:val="002A043A"/>
    <w:rsid w:val="002A0481"/>
    <w:rsid w:val="002A04EC"/>
    <w:rsid w:val="002A059A"/>
    <w:rsid w:val="002A0736"/>
    <w:rsid w:val="002A0748"/>
    <w:rsid w:val="002A07AA"/>
    <w:rsid w:val="002A08CA"/>
    <w:rsid w:val="002A0C97"/>
    <w:rsid w:val="002A0CA6"/>
    <w:rsid w:val="002A0CF8"/>
    <w:rsid w:val="002A1052"/>
    <w:rsid w:val="002A10DB"/>
    <w:rsid w:val="002A111D"/>
    <w:rsid w:val="002A1179"/>
    <w:rsid w:val="002A11F9"/>
    <w:rsid w:val="002A18A6"/>
    <w:rsid w:val="002A1A4C"/>
    <w:rsid w:val="002A1C14"/>
    <w:rsid w:val="002A1C7D"/>
    <w:rsid w:val="002A1D2A"/>
    <w:rsid w:val="002A1DC3"/>
    <w:rsid w:val="002A1EBC"/>
    <w:rsid w:val="002A2063"/>
    <w:rsid w:val="002A208F"/>
    <w:rsid w:val="002A20E9"/>
    <w:rsid w:val="002A23CF"/>
    <w:rsid w:val="002A25EC"/>
    <w:rsid w:val="002A2669"/>
    <w:rsid w:val="002A26BD"/>
    <w:rsid w:val="002A26D2"/>
    <w:rsid w:val="002A271F"/>
    <w:rsid w:val="002A2752"/>
    <w:rsid w:val="002A275A"/>
    <w:rsid w:val="002A27D6"/>
    <w:rsid w:val="002A28D8"/>
    <w:rsid w:val="002A2917"/>
    <w:rsid w:val="002A297F"/>
    <w:rsid w:val="002A2C02"/>
    <w:rsid w:val="002A2DB7"/>
    <w:rsid w:val="002A30DD"/>
    <w:rsid w:val="002A320B"/>
    <w:rsid w:val="002A3225"/>
    <w:rsid w:val="002A32C2"/>
    <w:rsid w:val="002A3328"/>
    <w:rsid w:val="002A334F"/>
    <w:rsid w:val="002A33E2"/>
    <w:rsid w:val="002A341A"/>
    <w:rsid w:val="002A3582"/>
    <w:rsid w:val="002A35D2"/>
    <w:rsid w:val="002A39E0"/>
    <w:rsid w:val="002A3A4B"/>
    <w:rsid w:val="002A3A79"/>
    <w:rsid w:val="002A3CB7"/>
    <w:rsid w:val="002A3CEE"/>
    <w:rsid w:val="002A3F1B"/>
    <w:rsid w:val="002A3F91"/>
    <w:rsid w:val="002A4235"/>
    <w:rsid w:val="002A4324"/>
    <w:rsid w:val="002A43B7"/>
    <w:rsid w:val="002A44A8"/>
    <w:rsid w:val="002A44B5"/>
    <w:rsid w:val="002A44BE"/>
    <w:rsid w:val="002A47C8"/>
    <w:rsid w:val="002A4883"/>
    <w:rsid w:val="002A4943"/>
    <w:rsid w:val="002A49B9"/>
    <w:rsid w:val="002A4BDB"/>
    <w:rsid w:val="002A4DBE"/>
    <w:rsid w:val="002A4DF7"/>
    <w:rsid w:val="002A4E9C"/>
    <w:rsid w:val="002A50CC"/>
    <w:rsid w:val="002A50E5"/>
    <w:rsid w:val="002A52A6"/>
    <w:rsid w:val="002A52E1"/>
    <w:rsid w:val="002A538E"/>
    <w:rsid w:val="002A541F"/>
    <w:rsid w:val="002A54AB"/>
    <w:rsid w:val="002A55CB"/>
    <w:rsid w:val="002A5756"/>
    <w:rsid w:val="002A58CF"/>
    <w:rsid w:val="002A5A0E"/>
    <w:rsid w:val="002A5B62"/>
    <w:rsid w:val="002A5B91"/>
    <w:rsid w:val="002A5C1C"/>
    <w:rsid w:val="002A5C55"/>
    <w:rsid w:val="002A5D45"/>
    <w:rsid w:val="002A5E1B"/>
    <w:rsid w:val="002A5FFB"/>
    <w:rsid w:val="002A627C"/>
    <w:rsid w:val="002A62FE"/>
    <w:rsid w:val="002A6399"/>
    <w:rsid w:val="002A6466"/>
    <w:rsid w:val="002A6765"/>
    <w:rsid w:val="002A67C1"/>
    <w:rsid w:val="002A67CA"/>
    <w:rsid w:val="002A6863"/>
    <w:rsid w:val="002A6887"/>
    <w:rsid w:val="002A693A"/>
    <w:rsid w:val="002A6E01"/>
    <w:rsid w:val="002A6E58"/>
    <w:rsid w:val="002A6EA3"/>
    <w:rsid w:val="002A6F63"/>
    <w:rsid w:val="002A6F6A"/>
    <w:rsid w:val="002A701D"/>
    <w:rsid w:val="002A70AD"/>
    <w:rsid w:val="002A7420"/>
    <w:rsid w:val="002A743C"/>
    <w:rsid w:val="002A7533"/>
    <w:rsid w:val="002A76CD"/>
    <w:rsid w:val="002A7765"/>
    <w:rsid w:val="002A7790"/>
    <w:rsid w:val="002A787E"/>
    <w:rsid w:val="002A78EC"/>
    <w:rsid w:val="002A7A32"/>
    <w:rsid w:val="002A7AD0"/>
    <w:rsid w:val="002A7B4C"/>
    <w:rsid w:val="002A7E8F"/>
    <w:rsid w:val="002A7F54"/>
    <w:rsid w:val="002A7F9B"/>
    <w:rsid w:val="002B014F"/>
    <w:rsid w:val="002B027C"/>
    <w:rsid w:val="002B0353"/>
    <w:rsid w:val="002B0548"/>
    <w:rsid w:val="002B055A"/>
    <w:rsid w:val="002B05DE"/>
    <w:rsid w:val="002B06E9"/>
    <w:rsid w:val="002B0738"/>
    <w:rsid w:val="002B078C"/>
    <w:rsid w:val="002B08B8"/>
    <w:rsid w:val="002B0A2D"/>
    <w:rsid w:val="002B0A39"/>
    <w:rsid w:val="002B0C12"/>
    <w:rsid w:val="002B0F7E"/>
    <w:rsid w:val="002B0FD9"/>
    <w:rsid w:val="002B1173"/>
    <w:rsid w:val="002B118F"/>
    <w:rsid w:val="002B1250"/>
    <w:rsid w:val="002B1656"/>
    <w:rsid w:val="002B1689"/>
    <w:rsid w:val="002B1862"/>
    <w:rsid w:val="002B186B"/>
    <w:rsid w:val="002B18DC"/>
    <w:rsid w:val="002B1A6E"/>
    <w:rsid w:val="002B1AB0"/>
    <w:rsid w:val="002B1ADA"/>
    <w:rsid w:val="002B1B08"/>
    <w:rsid w:val="002B1F7F"/>
    <w:rsid w:val="002B2011"/>
    <w:rsid w:val="002B2080"/>
    <w:rsid w:val="002B2091"/>
    <w:rsid w:val="002B2189"/>
    <w:rsid w:val="002B2248"/>
    <w:rsid w:val="002B236C"/>
    <w:rsid w:val="002B23C0"/>
    <w:rsid w:val="002B2485"/>
    <w:rsid w:val="002B282F"/>
    <w:rsid w:val="002B2898"/>
    <w:rsid w:val="002B2C2A"/>
    <w:rsid w:val="002B2C7F"/>
    <w:rsid w:val="002B2D90"/>
    <w:rsid w:val="002B2DCE"/>
    <w:rsid w:val="002B2DE9"/>
    <w:rsid w:val="002B2DFD"/>
    <w:rsid w:val="002B31D0"/>
    <w:rsid w:val="002B31F3"/>
    <w:rsid w:val="002B3277"/>
    <w:rsid w:val="002B3304"/>
    <w:rsid w:val="002B3355"/>
    <w:rsid w:val="002B3477"/>
    <w:rsid w:val="002B34E7"/>
    <w:rsid w:val="002B34E8"/>
    <w:rsid w:val="002B3665"/>
    <w:rsid w:val="002B372E"/>
    <w:rsid w:val="002B3829"/>
    <w:rsid w:val="002B3B8A"/>
    <w:rsid w:val="002B3C76"/>
    <w:rsid w:val="002B3C7C"/>
    <w:rsid w:val="002B3D3D"/>
    <w:rsid w:val="002B3D43"/>
    <w:rsid w:val="002B3E1B"/>
    <w:rsid w:val="002B3FC4"/>
    <w:rsid w:val="002B4065"/>
    <w:rsid w:val="002B407A"/>
    <w:rsid w:val="002B4185"/>
    <w:rsid w:val="002B42CE"/>
    <w:rsid w:val="002B4698"/>
    <w:rsid w:val="002B46A8"/>
    <w:rsid w:val="002B4915"/>
    <w:rsid w:val="002B4970"/>
    <w:rsid w:val="002B49FD"/>
    <w:rsid w:val="002B4A34"/>
    <w:rsid w:val="002B4A7B"/>
    <w:rsid w:val="002B4B60"/>
    <w:rsid w:val="002B4D4B"/>
    <w:rsid w:val="002B4D4D"/>
    <w:rsid w:val="002B4E86"/>
    <w:rsid w:val="002B5066"/>
    <w:rsid w:val="002B5268"/>
    <w:rsid w:val="002B5416"/>
    <w:rsid w:val="002B5715"/>
    <w:rsid w:val="002B5811"/>
    <w:rsid w:val="002B58F9"/>
    <w:rsid w:val="002B5A2D"/>
    <w:rsid w:val="002B5AB2"/>
    <w:rsid w:val="002B5B0B"/>
    <w:rsid w:val="002B5C39"/>
    <w:rsid w:val="002B5E5B"/>
    <w:rsid w:val="002B5E92"/>
    <w:rsid w:val="002B5F0A"/>
    <w:rsid w:val="002B5F60"/>
    <w:rsid w:val="002B5FC1"/>
    <w:rsid w:val="002B601A"/>
    <w:rsid w:val="002B60EB"/>
    <w:rsid w:val="002B61BB"/>
    <w:rsid w:val="002B61FA"/>
    <w:rsid w:val="002B6259"/>
    <w:rsid w:val="002B62F6"/>
    <w:rsid w:val="002B63E2"/>
    <w:rsid w:val="002B65F0"/>
    <w:rsid w:val="002B66F8"/>
    <w:rsid w:val="002B678F"/>
    <w:rsid w:val="002B67B9"/>
    <w:rsid w:val="002B6AF6"/>
    <w:rsid w:val="002B6BBA"/>
    <w:rsid w:val="002B6C92"/>
    <w:rsid w:val="002B6D4A"/>
    <w:rsid w:val="002B7061"/>
    <w:rsid w:val="002B710A"/>
    <w:rsid w:val="002B72FE"/>
    <w:rsid w:val="002B74B8"/>
    <w:rsid w:val="002B754F"/>
    <w:rsid w:val="002B756A"/>
    <w:rsid w:val="002B75FF"/>
    <w:rsid w:val="002B7650"/>
    <w:rsid w:val="002B7693"/>
    <w:rsid w:val="002B7860"/>
    <w:rsid w:val="002B793D"/>
    <w:rsid w:val="002B7C22"/>
    <w:rsid w:val="002B7E14"/>
    <w:rsid w:val="002C011F"/>
    <w:rsid w:val="002C016E"/>
    <w:rsid w:val="002C0251"/>
    <w:rsid w:val="002C02EC"/>
    <w:rsid w:val="002C030D"/>
    <w:rsid w:val="002C0404"/>
    <w:rsid w:val="002C05F5"/>
    <w:rsid w:val="002C0642"/>
    <w:rsid w:val="002C0770"/>
    <w:rsid w:val="002C081E"/>
    <w:rsid w:val="002C08C5"/>
    <w:rsid w:val="002C09C3"/>
    <w:rsid w:val="002C0A0B"/>
    <w:rsid w:val="002C0AC6"/>
    <w:rsid w:val="002C0C1B"/>
    <w:rsid w:val="002C0C8C"/>
    <w:rsid w:val="002C0D21"/>
    <w:rsid w:val="002C0FBA"/>
    <w:rsid w:val="002C10C1"/>
    <w:rsid w:val="002C10C9"/>
    <w:rsid w:val="002C12BE"/>
    <w:rsid w:val="002C13BD"/>
    <w:rsid w:val="002C1470"/>
    <w:rsid w:val="002C14D4"/>
    <w:rsid w:val="002C18B2"/>
    <w:rsid w:val="002C194B"/>
    <w:rsid w:val="002C1AFF"/>
    <w:rsid w:val="002C1B14"/>
    <w:rsid w:val="002C1DBA"/>
    <w:rsid w:val="002C1DCE"/>
    <w:rsid w:val="002C1E20"/>
    <w:rsid w:val="002C1EEC"/>
    <w:rsid w:val="002C206F"/>
    <w:rsid w:val="002C2160"/>
    <w:rsid w:val="002C21AF"/>
    <w:rsid w:val="002C2208"/>
    <w:rsid w:val="002C2261"/>
    <w:rsid w:val="002C248E"/>
    <w:rsid w:val="002C2501"/>
    <w:rsid w:val="002C26F2"/>
    <w:rsid w:val="002C2804"/>
    <w:rsid w:val="002C28AD"/>
    <w:rsid w:val="002C295D"/>
    <w:rsid w:val="002C29FC"/>
    <w:rsid w:val="002C29FD"/>
    <w:rsid w:val="002C2B4D"/>
    <w:rsid w:val="002C2B59"/>
    <w:rsid w:val="002C2EB5"/>
    <w:rsid w:val="002C2F81"/>
    <w:rsid w:val="002C3058"/>
    <w:rsid w:val="002C30AE"/>
    <w:rsid w:val="002C310F"/>
    <w:rsid w:val="002C335A"/>
    <w:rsid w:val="002C3399"/>
    <w:rsid w:val="002C33C5"/>
    <w:rsid w:val="002C33F9"/>
    <w:rsid w:val="002C346A"/>
    <w:rsid w:val="002C34C7"/>
    <w:rsid w:val="002C3569"/>
    <w:rsid w:val="002C357E"/>
    <w:rsid w:val="002C35EB"/>
    <w:rsid w:val="002C35F2"/>
    <w:rsid w:val="002C365A"/>
    <w:rsid w:val="002C3911"/>
    <w:rsid w:val="002C3B30"/>
    <w:rsid w:val="002C3B89"/>
    <w:rsid w:val="002C3B9A"/>
    <w:rsid w:val="002C3E1A"/>
    <w:rsid w:val="002C3E4E"/>
    <w:rsid w:val="002C3F90"/>
    <w:rsid w:val="002C4164"/>
    <w:rsid w:val="002C4382"/>
    <w:rsid w:val="002C4437"/>
    <w:rsid w:val="002C4527"/>
    <w:rsid w:val="002C4530"/>
    <w:rsid w:val="002C45F2"/>
    <w:rsid w:val="002C4683"/>
    <w:rsid w:val="002C481F"/>
    <w:rsid w:val="002C484B"/>
    <w:rsid w:val="002C4A1D"/>
    <w:rsid w:val="002C4A61"/>
    <w:rsid w:val="002C4CAB"/>
    <w:rsid w:val="002C4EB7"/>
    <w:rsid w:val="002C5103"/>
    <w:rsid w:val="002C52DF"/>
    <w:rsid w:val="002C52EE"/>
    <w:rsid w:val="002C5356"/>
    <w:rsid w:val="002C5497"/>
    <w:rsid w:val="002C5511"/>
    <w:rsid w:val="002C55C6"/>
    <w:rsid w:val="002C573F"/>
    <w:rsid w:val="002C5926"/>
    <w:rsid w:val="002C5972"/>
    <w:rsid w:val="002C5BBF"/>
    <w:rsid w:val="002C5CD0"/>
    <w:rsid w:val="002C5E61"/>
    <w:rsid w:val="002C5E7E"/>
    <w:rsid w:val="002C5F45"/>
    <w:rsid w:val="002C5FAD"/>
    <w:rsid w:val="002C5FCC"/>
    <w:rsid w:val="002C612C"/>
    <w:rsid w:val="002C6207"/>
    <w:rsid w:val="002C6218"/>
    <w:rsid w:val="002C6473"/>
    <w:rsid w:val="002C650A"/>
    <w:rsid w:val="002C6614"/>
    <w:rsid w:val="002C6663"/>
    <w:rsid w:val="002C6806"/>
    <w:rsid w:val="002C6852"/>
    <w:rsid w:val="002C68A5"/>
    <w:rsid w:val="002C69CD"/>
    <w:rsid w:val="002C6B83"/>
    <w:rsid w:val="002C6C8F"/>
    <w:rsid w:val="002C6DC9"/>
    <w:rsid w:val="002C6E3A"/>
    <w:rsid w:val="002C6FB2"/>
    <w:rsid w:val="002C7090"/>
    <w:rsid w:val="002C7319"/>
    <w:rsid w:val="002C7366"/>
    <w:rsid w:val="002C73D7"/>
    <w:rsid w:val="002C742E"/>
    <w:rsid w:val="002C75B5"/>
    <w:rsid w:val="002C75ED"/>
    <w:rsid w:val="002C75FE"/>
    <w:rsid w:val="002C772E"/>
    <w:rsid w:val="002C7A94"/>
    <w:rsid w:val="002C7B03"/>
    <w:rsid w:val="002C7BBE"/>
    <w:rsid w:val="002C7C43"/>
    <w:rsid w:val="002C7D7B"/>
    <w:rsid w:val="002C7DD6"/>
    <w:rsid w:val="002C7DFD"/>
    <w:rsid w:val="002C7E2E"/>
    <w:rsid w:val="002C7E35"/>
    <w:rsid w:val="002D0204"/>
    <w:rsid w:val="002D0249"/>
    <w:rsid w:val="002D0292"/>
    <w:rsid w:val="002D02E0"/>
    <w:rsid w:val="002D0314"/>
    <w:rsid w:val="002D045E"/>
    <w:rsid w:val="002D04F1"/>
    <w:rsid w:val="002D0589"/>
    <w:rsid w:val="002D06D7"/>
    <w:rsid w:val="002D0771"/>
    <w:rsid w:val="002D087C"/>
    <w:rsid w:val="002D0A69"/>
    <w:rsid w:val="002D0A91"/>
    <w:rsid w:val="002D0AD5"/>
    <w:rsid w:val="002D0B7C"/>
    <w:rsid w:val="002D0D44"/>
    <w:rsid w:val="002D0E03"/>
    <w:rsid w:val="002D0E1A"/>
    <w:rsid w:val="002D0EBF"/>
    <w:rsid w:val="002D0FEA"/>
    <w:rsid w:val="002D100C"/>
    <w:rsid w:val="002D1223"/>
    <w:rsid w:val="002D12C8"/>
    <w:rsid w:val="002D156D"/>
    <w:rsid w:val="002D160E"/>
    <w:rsid w:val="002D160F"/>
    <w:rsid w:val="002D168F"/>
    <w:rsid w:val="002D177A"/>
    <w:rsid w:val="002D17A5"/>
    <w:rsid w:val="002D17CE"/>
    <w:rsid w:val="002D191C"/>
    <w:rsid w:val="002D197D"/>
    <w:rsid w:val="002D19FA"/>
    <w:rsid w:val="002D1A5F"/>
    <w:rsid w:val="002D1AE5"/>
    <w:rsid w:val="002D1B3B"/>
    <w:rsid w:val="002D1CB8"/>
    <w:rsid w:val="002D1D48"/>
    <w:rsid w:val="002D1E12"/>
    <w:rsid w:val="002D1EB3"/>
    <w:rsid w:val="002D1F90"/>
    <w:rsid w:val="002D2225"/>
    <w:rsid w:val="002D2511"/>
    <w:rsid w:val="002D26AD"/>
    <w:rsid w:val="002D26B6"/>
    <w:rsid w:val="002D270F"/>
    <w:rsid w:val="002D290A"/>
    <w:rsid w:val="002D2A5F"/>
    <w:rsid w:val="002D2B04"/>
    <w:rsid w:val="002D2B1A"/>
    <w:rsid w:val="002D2B5A"/>
    <w:rsid w:val="002D2C4B"/>
    <w:rsid w:val="002D2C61"/>
    <w:rsid w:val="002D2CF0"/>
    <w:rsid w:val="002D2DDA"/>
    <w:rsid w:val="002D301F"/>
    <w:rsid w:val="002D3118"/>
    <w:rsid w:val="002D32CF"/>
    <w:rsid w:val="002D32DB"/>
    <w:rsid w:val="002D3350"/>
    <w:rsid w:val="002D343C"/>
    <w:rsid w:val="002D344E"/>
    <w:rsid w:val="002D3492"/>
    <w:rsid w:val="002D34FA"/>
    <w:rsid w:val="002D363C"/>
    <w:rsid w:val="002D3656"/>
    <w:rsid w:val="002D366D"/>
    <w:rsid w:val="002D36B5"/>
    <w:rsid w:val="002D36C4"/>
    <w:rsid w:val="002D375A"/>
    <w:rsid w:val="002D3851"/>
    <w:rsid w:val="002D395F"/>
    <w:rsid w:val="002D3B29"/>
    <w:rsid w:val="002D3B73"/>
    <w:rsid w:val="002D3BA6"/>
    <w:rsid w:val="002D3CEF"/>
    <w:rsid w:val="002D3E53"/>
    <w:rsid w:val="002D3E8B"/>
    <w:rsid w:val="002D3EF4"/>
    <w:rsid w:val="002D3F76"/>
    <w:rsid w:val="002D40B6"/>
    <w:rsid w:val="002D41A2"/>
    <w:rsid w:val="002D446B"/>
    <w:rsid w:val="002D44B3"/>
    <w:rsid w:val="002D44C6"/>
    <w:rsid w:val="002D45BB"/>
    <w:rsid w:val="002D477B"/>
    <w:rsid w:val="002D488F"/>
    <w:rsid w:val="002D4AAA"/>
    <w:rsid w:val="002D4AEC"/>
    <w:rsid w:val="002D4BD4"/>
    <w:rsid w:val="002D4DE8"/>
    <w:rsid w:val="002D5132"/>
    <w:rsid w:val="002D5222"/>
    <w:rsid w:val="002D543D"/>
    <w:rsid w:val="002D5562"/>
    <w:rsid w:val="002D55B2"/>
    <w:rsid w:val="002D5758"/>
    <w:rsid w:val="002D58DE"/>
    <w:rsid w:val="002D5927"/>
    <w:rsid w:val="002D59E9"/>
    <w:rsid w:val="002D5A82"/>
    <w:rsid w:val="002D5CE2"/>
    <w:rsid w:val="002D5E2F"/>
    <w:rsid w:val="002D619F"/>
    <w:rsid w:val="002D652F"/>
    <w:rsid w:val="002D65FD"/>
    <w:rsid w:val="002D660F"/>
    <w:rsid w:val="002D670E"/>
    <w:rsid w:val="002D67C4"/>
    <w:rsid w:val="002D6880"/>
    <w:rsid w:val="002D6893"/>
    <w:rsid w:val="002D68E9"/>
    <w:rsid w:val="002D6917"/>
    <w:rsid w:val="002D698E"/>
    <w:rsid w:val="002D6A15"/>
    <w:rsid w:val="002D6BF7"/>
    <w:rsid w:val="002D6CA4"/>
    <w:rsid w:val="002D6E14"/>
    <w:rsid w:val="002D6E4F"/>
    <w:rsid w:val="002D6ED7"/>
    <w:rsid w:val="002D6F1D"/>
    <w:rsid w:val="002D7172"/>
    <w:rsid w:val="002D73DD"/>
    <w:rsid w:val="002D7514"/>
    <w:rsid w:val="002D756D"/>
    <w:rsid w:val="002D7570"/>
    <w:rsid w:val="002D7597"/>
    <w:rsid w:val="002D75B9"/>
    <w:rsid w:val="002D7938"/>
    <w:rsid w:val="002D7972"/>
    <w:rsid w:val="002D7989"/>
    <w:rsid w:val="002D7B13"/>
    <w:rsid w:val="002D7B90"/>
    <w:rsid w:val="002D7DBF"/>
    <w:rsid w:val="002D7DF3"/>
    <w:rsid w:val="002D7FB3"/>
    <w:rsid w:val="002D7FC8"/>
    <w:rsid w:val="002E007F"/>
    <w:rsid w:val="002E01F8"/>
    <w:rsid w:val="002E03CD"/>
    <w:rsid w:val="002E03EA"/>
    <w:rsid w:val="002E03FB"/>
    <w:rsid w:val="002E0468"/>
    <w:rsid w:val="002E04F6"/>
    <w:rsid w:val="002E053D"/>
    <w:rsid w:val="002E0725"/>
    <w:rsid w:val="002E079F"/>
    <w:rsid w:val="002E086C"/>
    <w:rsid w:val="002E09B2"/>
    <w:rsid w:val="002E09B4"/>
    <w:rsid w:val="002E0A18"/>
    <w:rsid w:val="002E0D06"/>
    <w:rsid w:val="002E0DA8"/>
    <w:rsid w:val="002E0E27"/>
    <w:rsid w:val="002E0E3A"/>
    <w:rsid w:val="002E1138"/>
    <w:rsid w:val="002E12D0"/>
    <w:rsid w:val="002E133F"/>
    <w:rsid w:val="002E141E"/>
    <w:rsid w:val="002E1428"/>
    <w:rsid w:val="002E152F"/>
    <w:rsid w:val="002E1592"/>
    <w:rsid w:val="002E1722"/>
    <w:rsid w:val="002E172F"/>
    <w:rsid w:val="002E173C"/>
    <w:rsid w:val="002E1858"/>
    <w:rsid w:val="002E188D"/>
    <w:rsid w:val="002E18B0"/>
    <w:rsid w:val="002E195B"/>
    <w:rsid w:val="002E1A47"/>
    <w:rsid w:val="002E1A7A"/>
    <w:rsid w:val="002E1A81"/>
    <w:rsid w:val="002E1C12"/>
    <w:rsid w:val="002E1D41"/>
    <w:rsid w:val="002E1F18"/>
    <w:rsid w:val="002E2148"/>
    <w:rsid w:val="002E21E1"/>
    <w:rsid w:val="002E2319"/>
    <w:rsid w:val="002E232D"/>
    <w:rsid w:val="002E24EA"/>
    <w:rsid w:val="002E270A"/>
    <w:rsid w:val="002E2745"/>
    <w:rsid w:val="002E27F4"/>
    <w:rsid w:val="002E287F"/>
    <w:rsid w:val="002E289D"/>
    <w:rsid w:val="002E2AF1"/>
    <w:rsid w:val="002E2AF8"/>
    <w:rsid w:val="002E2CEF"/>
    <w:rsid w:val="002E2DF7"/>
    <w:rsid w:val="002E2F3F"/>
    <w:rsid w:val="002E3011"/>
    <w:rsid w:val="002E30AC"/>
    <w:rsid w:val="002E3158"/>
    <w:rsid w:val="002E3160"/>
    <w:rsid w:val="002E31D8"/>
    <w:rsid w:val="002E35E6"/>
    <w:rsid w:val="002E36CE"/>
    <w:rsid w:val="002E371B"/>
    <w:rsid w:val="002E37C3"/>
    <w:rsid w:val="002E38CD"/>
    <w:rsid w:val="002E38D4"/>
    <w:rsid w:val="002E39A5"/>
    <w:rsid w:val="002E3AA8"/>
    <w:rsid w:val="002E3B11"/>
    <w:rsid w:val="002E3B3D"/>
    <w:rsid w:val="002E3B49"/>
    <w:rsid w:val="002E3B61"/>
    <w:rsid w:val="002E3BB6"/>
    <w:rsid w:val="002E3C10"/>
    <w:rsid w:val="002E3C8F"/>
    <w:rsid w:val="002E3D87"/>
    <w:rsid w:val="002E42FD"/>
    <w:rsid w:val="002E4499"/>
    <w:rsid w:val="002E4557"/>
    <w:rsid w:val="002E45F4"/>
    <w:rsid w:val="002E4737"/>
    <w:rsid w:val="002E4850"/>
    <w:rsid w:val="002E4864"/>
    <w:rsid w:val="002E495D"/>
    <w:rsid w:val="002E4A54"/>
    <w:rsid w:val="002E4A80"/>
    <w:rsid w:val="002E4B2E"/>
    <w:rsid w:val="002E4C5A"/>
    <w:rsid w:val="002E4D1A"/>
    <w:rsid w:val="002E4F35"/>
    <w:rsid w:val="002E4FF5"/>
    <w:rsid w:val="002E5202"/>
    <w:rsid w:val="002E5233"/>
    <w:rsid w:val="002E526C"/>
    <w:rsid w:val="002E5362"/>
    <w:rsid w:val="002E5384"/>
    <w:rsid w:val="002E53F8"/>
    <w:rsid w:val="002E56C7"/>
    <w:rsid w:val="002E5A34"/>
    <w:rsid w:val="002E5C28"/>
    <w:rsid w:val="002E5FE1"/>
    <w:rsid w:val="002E60D6"/>
    <w:rsid w:val="002E6142"/>
    <w:rsid w:val="002E6281"/>
    <w:rsid w:val="002E62F9"/>
    <w:rsid w:val="002E6401"/>
    <w:rsid w:val="002E644A"/>
    <w:rsid w:val="002E6475"/>
    <w:rsid w:val="002E64C2"/>
    <w:rsid w:val="002E6530"/>
    <w:rsid w:val="002E6558"/>
    <w:rsid w:val="002E65F4"/>
    <w:rsid w:val="002E6606"/>
    <w:rsid w:val="002E6737"/>
    <w:rsid w:val="002E674A"/>
    <w:rsid w:val="002E67E9"/>
    <w:rsid w:val="002E68EC"/>
    <w:rsid w:val="002E68F9"/>
    <w:rsid w:val="002E693A"/>
    <w:rsid w:val="002E6A3E"/>
    <w:rsid w:val="002E6B01"/>
    <w:rsid w:val="002E6CC6"/>
    <w:rsid w:val="002E6D98"/>
    <w:rsid w:val="002E6E3D"/>
    <w:rsid w:val="002E6E9D"/>
    <w:rsid w:val="002E74F3"/>
    <w:rsid w:val="002E761B"/>
    <w:rsid w:val="002E7636"/>
    <w:rsid w:val="002E7720"/>
    <w:rsid w:val="002E7766"/>
    <w:rsid w:val="002E7867"/>
    <w:rsid w:val="002E7945"/>
    <w:rsid w:val="002E7A4A"/>
    <w:rsid w:val="002E7AB5"/>
    <w:rsid w:val="002E7B4E"/>
    <w:rsid w:val="002E7D6D"/>
    <w:rsid w:val="002E7F66"/>
    <w:rsid w:val="002F0149"/>
    <w:rsid w:val="002F0155"/>
    <w:rsid w:val="002F0163"/>
    <w:rsid w:val="002F02F4"/>
    <w:rsid w:val="002F05C7"/>
    <w:rsid w:val="002F0672"/>
    <w:rsid w:val="002F074B"/>
    <w:rsid w:val="002F0831"/>
    <w:rsid w:val="002F09B3"/>
    <w:rsid w:val="002F0A84"/>
    <w:rsid w:val="002F0B12"/>
    <w:rsid w:val="002F0C7C"/>
    <w:rsid w:val="002F0D64"/>
    <w:rsid w:val="002F0DC7"/>
    <w:rsid w:val="002F0E7C"/>
    <w:rsid w:val="002F10DC"/>
    <w:rsid w:val="002F10E8"/>
    <w:rsid w:val="002F11EB"/>
    <w:rsid w:val="002F11EE"/>
    <w:rsid w:val="002F1252"/>
    <w:rsid w:val="002F12FB"/>
    <w:rsid w:val="002F1328"/>
    <w:rsid w:val="002F1549"/>
    <w:rsid w:val="002F1595"/>
    <w:rsid w:val="002F16A8"/>
    <w:rsid w:val="002F17DE"/>
    <w:rsid w:val="002F17ED"/>
    <w:rsid w:val="002F1945"/>
    <w:rsid w:val="002F1A55"/>
    <w:rsid w:val="002F1B87"/>
    <w:rsid w:val="002F1B98"/>
    <w:rsid w:val="002F1B9D"/>
    <w:rsid w:val="002F1BB3"/>
    <w:rsid w:val="002F1C05"/>
    <w:rsid w:val="002F1CEB"/>
    <w:rsid w:val="002F1D34"/>
    <w:rsid w:val="002F1EB9"/>
    <w:rsid w:val="002F226E"/>
    <w:rsid w:val="002F2327"/>
    <w:rsid w:val="002F2328"/>
    <w:rsid w:val="002F240F"/>
    <w:rsid w:val="002F2552"/>
    <w:rsid w:val="002F2590"/>
    <w:rsid w:val="002F262F"/>
    <w:rsid w:val="002F2730"/>
    <w:rsid w:val="002F298F"/>
    <w:rsid w:val="002F29B1"/>
    <w:rsid w:val="002F29D7"/>
    <w:rsid w:val="002F2C80"/>
    <w:rsid w:val="002F2D29"/>
    <w:rsid w:val="002F2F2A"/>
    <w:rsid w:val="002F2FE6"/>
    <w:rsid w:val="002F315C"/>
    <w:rsid w:val="002F33A9"/>
    <w:rsid w:val="002F33B3"/>
    <w:rsid w:val="002F33B4"/>
    <w:rsid w:val="002F33C5"/>
    <w:rsid w:val="002F3405"/>
    <w:rsid w:val="002F3407"/>
    <w:rsid w:val="002F349A"/>
    <w:rsid w:val="002F34DD"/>
    <w:rsid w:val="002F3565"/>
    <w:rsid w:val="002F364C"/>
    <w:rsid w:val="002F3736"/>
    <w:rsid w:val="002F3784"/>
    <w:rsid w:val="002F37D8"/>
    <w:rsid w:val="002F3829"/>
    <w:rsid w:val="002F3851"/>
    <w:rsid w:val="002F3897"/>
    <w:rsid w:val="002F3A26"/>
    <w:rsid w:val="002F4081"/>
    <w:rsid w:val="002F424C"/>
    <w:rsid w:val="002F42C6"/>
    <w:rsid w:val="002F4396"/>
    <w:rsid w:val="002F4562"/>
    <w:rsid w:val="002F456C"/>
    <w:rsid w:val="002F4744"/>
    <w:rsid w:val="002F4897"/>
    <w:rsid w:val="002F49C8"/>
    <w:rsid w:val="002F4A59"/>
    <w:rsid w:val="002F4AB5"/>
    <w:rsid w:val="002F4E07"/>
    <w:rsid w:val="002F4E19"/>
    <w:rsid w:val="002F4E87"/>
    <w:rsid w:val="002F5161"/>
    <w:rsid w:val="002F53F7"/>
    <w:rsid w:val="002F5412"/>
    <w:rsid w:val="002F56FD"/>
    <w:rsid w:val="002F5815"/>
    <w:rsid w:val="002F58D4"/>
    <w:rsid w:val="002F5978"/>
    <w:rsid w:val="002F5A5E"/>
    <w:rsid w:val="002F5C02"/>
    <w:rsid w:val="002F5C39"/>
    <w:rsid w:val="002F5CC6"/>
    <w:rsid w:val="002F5D42"/>
    <w:rsid w:val="002F5D44"/>
    <w:rsid w:val="002F5DF6"/>
    <w:rsid w:val="002F5E35"/>
    <w:rsid w:val="002F5E99"/>
    <w:rsid w:val="002F5F68"/>
    <w:rsid w:val="002F6071"/>
    <w:rsid w:val="002F617F"/>
    <w:rsid w:val="002F61E6"/>
    <w:rsid w:val="002F624C"/>
    <w:rsid w:val="002F62D0"/>
    <w:rsid w:val="002F635C"/>
    <w:rsid w:val="002F6444"/>
    <w:rsid w:val="002F6516"/>
    <w:rsid w:val="002F66B5"/>
    <w:rsid w:val="002F687C"/>
    <w:rsid w:val="002F68EC"/>
    <w:rsid w:val="002F696C"/>
    <w:rsid w:val="002F69FF"/>
    <w:rsid w:val="002F6B59"/>
    <w:rsid w:val="002F6D58"/>
    <w:rsid w:val="002F71C2"/>
    <w:rsid w:val="002F71F5"/>
    <w:rsid w:val="002F75A1"/>
    <w:rsid w:val="002F75F3"/>
    <w:rsid w:val="002F766A"/>
    <w:rsid w:val="002F77F8"/>
    <w:rsid w:val="002F794D"/>
    <w:rsid w:val="002F79D0"/>
    <w:rsid w:val="002F7B1D"/>
    <w:rsid w:val="002F7BEB"/>
    <w:rsid w:val="002F7C48"/>
    <w:rsid w:val="002F7C93"/>
    <w:rsid w:val="002F7CC1"/>
    <w:rsid w:val="002F7E14"/>
    <w:rsid w:val="002F7EF8"/>
    <w:rsid w:val="002F7F00"/>
    <w:rsid w:val="00300003"/>
    <w:rsid w:val="003001E9"/>
    <w:rsid w:val="003003E6"/>
    <w:rsid w:val="003003EF"/>
    <w:rsid w:val="00300628"/>
    <w:rsid w:val="00300654"/>
    <w:rsid w:val="0030067E"/>
    <w:rsid w:val="003007C3"/>
    <w:rsid w:val="003008B0"/>
    <w:rsid w:val="003008EA"/>
    <w:rsid w:val="00300A19"/>
    <w:rsid w:val="00300A5A"/>
    <w:rsid w:val="00300A90"/>
    <w:rsid w:val="00300CA5"/>
    <w:rsid w:val="00300D8F"/>
    <w:rsid w:val="00300E47"/>
    <w:rsid w:val="0030104E"/>
    <w:rsid w:val="00301117"/>
    <w:rsid w:val="003011CB"/>
    <w:rsid w:val="003011F7"/>
    <w:rsid w:val="003011FC"/>
    <w:rsid w:val="0030120D"/>
    <w:rsid w:val="0030144C"/>
    <w:rsid w:val="0030146C"/>
    <w:rsid w:val="00301486"/>
    <w:rsid w:val="003014D1"/>
    <w:rsid w:val="00301515"/>
    <w:rsid w:val="00301588"/>
    <w:rsid w:val="003016C9"/>
    <w:rsid w:val="0030183C"/>
    <w:rsid w:val="00301879"/>
    <w:rsid w:val="003018CB"/>
    <w:rsid w:val="00301A92"/>
    <w:rsid w:val="00301AC6"/>
    <w:rsid w:val="00301B26"/>
    <w:rsid w:val="00301D87"/>
    <w:rsid w:val="00301F30"/>
    <w:rsid w:val="00301F7A"/>
    <w:rsid w:val="0030218F"/>
    <w:rsid w:val="0030226C"/>
    <w:rsid w:val="003022CA"/>
    <w:rsid w:val="00302374"/>
    <w:rsid w:val="00302498"/>
    <w:rsid w:val="00302539"/>
    <w:rsid w:val="003025B4"/>
    <w:rsid w:val="003026EF"/>
    <w:rsid w:val="0030276C"/>
    <w:rsid w:val="0030277D"/>
    <w:rsid w:val="00302836"/>
    <w:rsid w:val="00302872"/>
    <w:rsid w:val="003028E6"/>
    <w:rsid w:val="00302928"/>
    <w:rsid w:val="00302AEA"/>
    <w:rsid w:val="00302C75"/>
    <w:rsid w:val="00302CA2"/>
    <w:rsid w:val="00302E2B"/>
    <w:rsid w:val="00302F42"/>
    <w:rsid w:val="0030308F"/>
    <w:rsid w:val="00303221"/>
    <w:rsid w:val="003032A6"/>
    <w:rsid w:val="0030337E"/>
    <w:rsid w:val="00303435"/>
    <w:rsid w:val="00303441"/>
    <w:rsid w:val="003036F6"/>
    <w:rsid w:val="0030373A"/>
    <w:rsid w:val="003037D9"/>
    <w:rsid w:val="003037EE"/>
    <w:rsid w:val="00303894"/>
    <w:rsid w:val="00303B52"/>
    <w:rsid w:val="00303C7B"/>
    <w:rsid w:val="00303D19"/>
    <w:rsid w:val="003040B3"/>
    <w:rsid w:val="003041B1"/>
    <w:rsid w:val="00304286"/>
    <w:rsid w:val="0030436A"/>
    <w:rsid w:val="0030439C"/>
    <w:rsid w:val="003043DA"/>
    <w:rsid w:val="003044C5"/>
    <w:rsid w:val="0030457C"/>
    <w:rsid w:val="003045B0"/>
    <w:rsid w:val="003045F4"/>
    <w:rsid w:val="00304A6C"/>
    <w:rsid w:val="00304B48"/>
    <w:rsid w:val="00304B4C"/>
    <w:rsid w:val="00304B7C"/>
    <w:rsid w:val="00304B89"/>
    <w:rsid w:val="00304CE6"/>
    <w:rsid w:val="00304DD0"/>
    <w:rsid w:val="00304E1E"/>
    <w:rsid w:val="00305115"/>
    <w:rsid w:val="00305218"/>
    <w:rsid w:val="0030528F"/>
    <w:rsid w:val="00305443"/>
    <w:rsid w:val="0030544A"/>
    <w:rsid w:val="003054B8"/>
    <w:rsid w:val="00305608"/>
    <w:rsid w:val="00305633"/>
    <w:rsid w:val="0030575F"/>
    <w:rsid w:val="003058E2"/>
    <w:rsid w:val="0030597D"/>
    <w:rsid w:val="003059A5"/>
    <w:rsid w:val="00305A6A"/>
    <w:rsid w:val="00305AFA"/>
    <w:rsid w:val="00305D39"/>
    <w:rsid w:val="003060AA"/>
    <w:rsid w:val="00306273"/>
    <w:rsid w:val="00306298"/>
    <w:rsid w:val="0030639E"/>
    <w:rsid w:val="00306465"/>
    <w:rsid w:val="0030686E"/>
    <w:rsid w:val="00306966"/>
    <w:rsid w:val="0030698C"/>
    <w:rsid w:val="00306D6D"/>
    <w:rsid w:val="00306E92"/>
    <w:rsid w:val="00306F00"/>
    <w:rsid w:val="00306FC0"/>
    <w:rsid w:val="003070CB"/>
    <w:rsid w:val="00307162"/>
    <w:rsid w:val="0030731B"/>
    <w:rsid w:val="00307382"/>
    <w:rsid w:val="00307438"/>
    <w:rsid w:val="0030763C"/>
    <w:rsid w:val="00307714"/>
    <w:rsid w:val="00307788"/>
    <w:rsid w:val="0030794C"/>
    <w:rsid w:val="00307A2F"/>
    <w:rsid w:val="00307ACD"/>
    <w:rsid w:val="00307AFC"/>
    <w:rsid w:val="00307DC5"/>
    <w:rsid w:val="00307DC7"/>
    <w:rsid w:val="00307EC6"/>
    <w:rsid w:val="0031008A"/>
    <w:rsid w:val="003100E8"/>
    <w:rsid w:val="003100E9"/>
    <w:rsid w:val="00310109"/>
    <w:rsid w:val="0031011E"/>
    <w:rsid w:val="003102A6"/>
    <w:rsid w:val="003102DD"/>
    <w:rsid w:val="0031034D"/>
    <w:rsid w:val="00310402"/>
    <w:rsid w:val="00310443"/>
    <w:rsid w:val="0031052C"/>
    <w:rsid w:val="00310763"/>
    <w:rsid w:val="003107D4"/>
    <w:rsid w:val="00310876"/>
    <w:rsid w:val="00310880"/>
    <w:rsid w:val="00310AD0"/>
    <w:rsid w:val="00310AE7"/>
    <w:rsid w:val="00310D2C"/>
    <w:rsid w:val="00310F0E"/>
    <w:rsid w:val="00310F3F"/>
    <w:rsid w:val="00310F79"/>
    <w:rsid w:val="003110A0"/>
    <w:rsid w:val="003110DB"/>
    <w:rsid w:val="00311145"/>
    <w:rsid w:val="003112EF"/>
    <w:rsid w:val="003113FB"/>
    <w:rsid w:val="00311466"/>
    <w:rsid w:val="003115BF"/>
    <w:rsid w:val="003115E1"/>
    <w:rsid w:val="0031162C"/>
    <w:rsid w:val="00311664"/>
    <w:rsid w:val="003116D0"/>
    <w:rsid w:val="003118DB"/>
    <w:rsid w:val="00311B8D"/>
    <w:rsid w:val="00311BC1"/>
    <w:rsid w:val="00311BF1"/>
    <w:rsid w:val="00311CFD"/>
    <w:rsid w:val="00311D27"/>
    <w:rsid w:val="00311DB3"/>
    <w:rsid w:val="00311E4B"/>
    <w:rsid w:val="00311E65"/>
    <w:rsid w:val="00311ED9"/>
    <w:rsid w:val="00311F4F"/>
    <w:rsid w:val="00312065"/>
    <w:rsid w:val="003122F4"/>
    <w:rsid w:val="003124C6"/>
    <w:rsid w:val="003126AB"/>
    <w:rsid w:val="0031275A"/>
    <w:rsid w:val="0031276E"/>
    <w:rsid w:val="00312790"/>
    <w:rsid w:val="0031281A"/>
    <w:rsid w:val="0031292D"/>
    <w:rsid w:val="00312EA9"/>
    <w:rsid w:val="0031322E"/>
    <w:rsid w:val="0031325F"/>
    <w:rsid w:val="003132E4"/>
    <w:rsid w:val="0031351E"/>
    <w:rsid w:val="003135A1"/>
    <w:rsid w:val="003135CD"/>
    <w:rsid w:val="0031386E"/>
    <w:rsid w:val="00313B33"/>
    <w:rsid w:val="00313B52"/>
    <w:rsid w:val="00313BB6"/>
    <w:rsid w:val="00313D01"/>
    <w:rsid w:val="00313D74"/>
    <w:rsid w:val="00313E20"/>
    <w:rsid w:val="00313E62"/>
    <w:rsid w:val="00314082"/>
    <w:rsid w:val="00314110"/>
    <w:rsid w:val="00314243"/>
    <w:rsid w:val="00314245"/>
    <w:rsid w:val="00314271"/>
    <w:rsid w:val="0031437B"/>
    <w:rsid w:val="00314388"/>
    <w:rsid w:val="003143DE"/>
    <w:rsid w:val="0031450B"/>
    <w:rsid w:val="00314525"/>
    <w:rsid w:val="00314530"/>
    <w:rsid w:val="00314642"/>
    <w:rsid w:val="003146C1"/>
    <w:rsid w:val="00314726"/>
    <w:rsid w:val="003147AE"/>
    <w:rsid w:val="0031487B"/>
    <w:rsid w:val="00314892"/>
    <w:rsid w:val="00314B2D"/>
    <w:rsid w:val="00314B40"/>
    <w:rsid w:val="00314C21"/>
    <w:rsid w:val="00314C2B"/>
    <w:rsid w:val="00314D87"/>
    <w:rsid w:val="00314E7B"/>
    <w:rsid w:val="00315170"/>
    <w:rsid w:val="00315258"/>
    <w:rsid w:val="00315409"/>
    <w:rsid w:val="00315497"/>
    <w:rsid w:val="003156D2"/>
    <w:rsid w:val="00315831"/>
    <w:rsid w:val="0031596C"/>
    <w:rsid w:val="00315B28"/>
    <w:rsid w:val="00315B56"/>
    <w:rsid w:val="00315B63"/>
    <w:rsid w:val="00315C19"/>
    <w:rsid w:val="00315F02"/>
    <w:rsid w:val="00316182"/>
    <w:rsid w:val="0031619A"/>
    <w:rsid w:val="003162C0"/>
    <w:rsid w:val="003166B2"/>
    <w:rsid w:val="003166D0"/>
    <w:rsid w:val="00316736"/>
    <w:rsid w:val="003167BB"/>
    <w:rsid w:val="003168AF"/>
    <w:rsid w:val="003169FF"/>
    <w:rsid w:val="00316A03"/>
    <w:rsid w:val="00316AB8"/>
    <w:rsid w:val="00316AF4"/>
    <w:rsid w:val="00316B4C"/>
    <w:rsid w:val="00316BF4"/>
    <w:rsid w:val="00316C02"/>
    <w:rsid w:val="00316C9B"/>
    <w:rsid w:val="00316CAF"/>
    <w:rsid w:val="00316CB3"/>
    <w:rsid w:val="00316CCA"/>
    <w:rsid w:val="00316EF2"/>
    <w:rsid w:val="00316FB4"/>
    <w:rsid w:val="00317071"/>
    <w:rsid w:val="00317140"/>
    <w:rsid w:val="003171C5"/>
    <w:rsid w:val="0031722C"/>
    <w:rsid w:val="0031729C"/>
    <w:rsid w:val="003174D8"/>
    <w:rsid w:val="003174F2"/>
    <w:rsid w:val="003174FE"/>
    <w:rsid w:val="00317634"/>
    <w:rsid w:val="003176CE"/>
    <w:rsid w:val="00317726"/>
    <w:rsid w:val="00317881"/>
    <w:rsid w:val="0031788A"/>
    <w:rsid w:val="003179F1"/>
    <w:rsid w:val="00317A60"/>
    <w:rsid w:val="00317BC1"/>
    <w:rsid w:val="00317C0A"/>
    <w:rsid w:val="00317CA8"/>
    <w:rsid w:val="00317CF1"/>
    <w:rsid w:val="00317DC4"/>
    <w:rsid w:val="00317DE2"/>
    <w:rsid w:val="0032037E"/>
    <w:rsid w:val="00320439"/>
    <w:rsid w:val="00320613"/>
    <w:rsid w:val="00320655"/>
    <w:rsid w:val="003208E5"/>
    <w:rsid w:val="0032094D"/>
    <w:rsid w:val="00320A8B"/>
    <w:rsid w:val="00320B97"/>
    <w:rsid w:val="00320C46"/>
    <w:rsid w:val="00320CEF"/>
    <w:rsid w:val="00320DC6"/>
    <w:rsid w:val="00320EC0"/>
    <w:rsid w:val="00320F55"/>
    <w:rsid w:val="00320F82"/>
    <w:rsid w:val="0032103F"/>
    <w:rsid w:val="003211D8"/>
    <w:rsid w:val="0032133B"/>
    <w:rsid w:val="00321427"/>
    <w:rsid w:val="0032145D"/>
    <w:rsid w:val="0032147D"/>
    <w:rsid w:val="00321599"/>
    <w:rsid w:val="003216FA"/>
    <w:rsid w:val="0032170C"/>
    <w:rsid w:val="00321749"/>
    <w:rsid w:val="003217E0"/>
    <w:rsid w:val="0032197F"/>
    <w:rsid w:val="00321E47"/>
    <w:rsid w:val="00321F13"/>
    <w:rsid w:val="00322126"/>
    <w:rsid w:val="003221E2"/>
    <w:rsid w:val="003222CB"/>
    <w:rsid w:val="00322300"/>
    <w:rsid w:val="00322327"/>
    <w:rsid w:val="00322566"/>
    <w:rsid w:val="00322591"/>
    <w:rsid w:val="00322600"/>
    <w:rsid w:val="00322827"/>
    <w:rsid w:val="00322934"/>
    <w:rsid w:val="0032293A"/>
    <w:rsid w:val="0032297E"/>
    <w:rsid w:val="0032298F"/>
    <w:rsid w:val="00322A7B"/>
    <w:rsid w:val="00322B0F"/>
    <w:rsid w:val="00322B19"/>
    <w:rsid w:val="00322BC8"/>
    <w:rsid w:val="00322CB7"/>
    <w:rsid w:val="00322DC7"/>
    <w:rsid w:val="00322F9A"/>
    <w:rsid w:val="00323087"/>
    <w:rsid w:val="003233B2"/>
    <w:rsid w:val="00323541"/>
    <w:rsid w:val="00323583"/>
    <w:rsid w:val="003235D4"/>
    <w:rsid w:val="00323676"/>
    <w:rsid w:val="00323866"/>
    <w:rsid w:val="00323B6D"/>
    <w:rsid w:val="00323B8E"/>
    <w:rsid w:val="00323E1E"/>
    <w:rsid w:val="00323F8D"/>
    <w:rsid w:val="0032419A"/>
    <w:rsid w:val="003241C2"/>
    <w:rsid w:val="003241E4"/>
    <w:rsid w:val="003241FA"/>
    <w:rsid w:val="0032431D"/>
    <w:rsid w:val="00324495"/>
    <w:rsid w:val="00324524"/>
    <w:rsid w:val="003245C6"/>
    <w:rsid w:val="00324619"/>
    <w:rsid w:val="00324721"/>
    <w:rsid w:val="0032486B"/>
    <w:rsid w:val="00324871"/>
    <w:rsid w:val="0032494C"/>
    <w:rsid w:val="00324A05"/>
    <w:rsid w:val="00324A3A"/>
    <w:rsid w:val="00324A71"/>
    <w:rsid w:val="00324B41"/>
    <w:rsid w:val="00324D00"/>
    <w:rsid w:val="00324D6A"/>
    <w:rsid w:val="00324DEA"/>
    <w:rsid w:val="00324EFB"/>
    <w:rsid w:val="00324FF1"/>
    <w:rsid w:val="0032507D"/>
    <w:rsid w:val="00325187"/>
    <w:rsid w:val="003252D9"/>
    <w:rsid w:val="003254A9"/>
    <w:rsid w:val="00325569"/>
    <w:rsid w:val="003255F4"/>
    <w:rsid w:val="00325676"/>
    <w:rsid w:val="00325697"/>
    <w:rsid w:val="00325797"/>
    <w:rsid w:val="00325967"/>
    <w:rsid w:val="003259C2"/>
    <w:rsid w:val="003259EF"/>
    <w:rsid w:val="00325C04"/>
    <w:rsid w:val="00325ED9"/>
    <w:rsid w:val="003262F8"/>
    <w:rsid w:val="0032635C"/>
    <w:rsid w:val="003264B7"/>
    <w:rsid w:val="0032660F"/>
    <w:rsid w:val="003266E5"/>
    <w:rsid w:val="003268D5"/>
    <w:rsid w:val="00326AC0"/>
    <w:rsid w:val="00326B2E"/>
    <w:rsid w:val="00326D20"/>
    <w:rsid w:val="00326ED4"/>
    <w:rsid w:val="00326F1B"/>
    <w:rsid w:val="00327044"/>
    <w:rsid w:val="003270D5"/>
    <w:rsid w:val="00327133"/>
    <w:rsid w:val="0032720F"/>
    <w:rsid w:val="00327313"/>
    <w:rsid w:val="00327482"/>
    <w:rsid w:val="00327693"/>
    <w:rsid w:val="003277AE"/>
    <w:rsid w:val="0032788C"/>
    <w:rsid w:val="00327896"/>
    <w:rsid w:val="0032791E"/>
    <w:rsid w:val="00327ABF"/>
    <w:rsid w:val="00327C4C"/>
    <w:rsid w:val="00327D5C"/>
    <w:rsid w:val="00327E3F"/>
    <w:rsid w:val="00327E45"/>
    <w:rsid w:val="00327F5F"/>
    <w:rsid w:val="00330014"/>
    <w:rsid w:val="00330100"/>
    <w:rsid w:val="003301FC"/>
    <w:rsid w:val="0033021B"/>
    <w:rsid w:val="0033027F"/>
    <w:rsid w:val="00330280"/>
    <w:rsid w:val="00330308"/>
    <w:rsid w:val="00330389"/>
    <w:rsid w:val="0033048D"/>
    <w:rsid w:val="0033051C"/>
    <w:rsid w:val="0033056C"/>
    <w:rsid w:val="00330657"/>
    <w:rsid w:val="00330789"/>
    <w:rsid w:val="00330812"/>
    <w:rsid w:val="00330885"/>
    <w:rsid w:val="003308A3"/>
    <w:rsid w:val="00330BDF"/>
    <w:rsid w:val="00330DD0"/>
    <w:rsid w:val="00330E5E"/>
    <w:rsid w:val="00330EF2"/>
    <w:rsid w:val="003311EC"/>
    <w:rsid w:val="003311F9"/>
    <w:rsid w:val="00331240"/>
    <w:rsid w:val="003313B0"/>
    <w:rsid w:val="003314F0"/>
    <w:rsid w:val="003315D1"/>
    <w:rsid w:val="0033173F"/>
    <w:rsid w:val="003318E8"/>
    <w:rsid w:val="00331AE9"/>
    <w:rsid w:val="00331B39"/>
    <w:rsid w:val="00331BA8"/>
    <w:rsid w:val="00331CA2"/>
    <w:rsid w:val="00331E0C"/>
    <w:rsid w:val="00331F2C"/>
    <w:rsid w:val="00332045"/>
    <w:rsid w:val="00332091"/>
    <w:rsid w:val="00332176"/>
    <w:rsid w:val="00332188"/>
    <w:rsid w:val="00332380"/>
    <w:rsid w:val="0033238B"/>
    <w:rsid w:val="00332444"/>
    <w:rsid w:val="00332659"/>
    <w:rsid w:val="00332676"/>
    <w:rsid w:val="00332762"/>
    <w:rsid w:val="00332810"/>
    <w:rsid w:val="00332870"/>
    <w:rsid w:val="003329D1"/>
    <w:rsid w:val="00332B1B"/>
    <w:rsid w:val="00332CA6"/>
    <w:rsid w:val="00332DA1"/>
    <w:rsid w:val="00332DE2"/>
    <w:rsid w:val="00332FA2"/>
    <w:rsid w:val="00332FF7"/>
    <w:rsid w:val="00333104"/>
    <w:rsid w:val="0033346B"/>
    <w:rsid w:val="003334D4"/>
    <w:rsid w:val="0033363B"/>
    <w:rsid w:val="00333655"/>
    <w:rsid w:val="00333890"/>
    <w:rsid w:val="003338E1"/>
    <w:rsid w:val="00333925"/>
    <w:rsid w:val="00333998"/>
    <w:rsid w:val="003339B8"/>
    <w:rsid w:val="00333A90"/>
    <w:rsid w:val="00333A9E"/>
    <w:rsid w:val="00333B6D"/>
    <w:rsid w:val="00333CC7"/>
    <w:rsid w:val="00334118"/>
    <w:rsid w:val="0033416B"/>
    <w:rsid w:val="003344D1"/>
    <w:rsid w:val="003346C2"/>
    <w:rsid w:val="0033486F"/>
    <w:rsid w:val="00334922"/>
    <w:rsid w:val="003349B9"/>
    <w:rsid w:val="00334AD6"/>
    <w:rsid w:val="00334B0D"/>
    <w:rsid w:val="00334B15"/>
    <w:rsid w:val="00334B19"/>
    <w:rsid w:val="00334B70"/>
    <w:rsid w:val="00334BE3"/>
    <w:rsid w:val="00334CF0"/>
    <w:rsid w:val="00334EEB"/>
    <w:rsid w:val="00335042"/>
    <w:rsid w:val="003350D4"/>
    <w:rsid w:val="003350D5"/>
    <w:rsid w:val="003351DD"/>
    <w:rsid w:val="0033522E"/>
    <w:rsid w:val="003352A0"/>
    <w:rsid w:val="003352CF"/>
    <w:rsid w:val="00335443"/>
    <w:rsid w:val="00335498"/>
    <w:rsid w:val="003356A9"/>
    <w:rsid w:val="0033585B"/>
    <w:rsid w:val="00335A56"/>
    <w:rsid w:val="00335A81"/>
    <w:rsid w:val="00335C00"/>
    <w:rsid w:val="00335D3C"/>
    <w:rsid w:val="00335E06"/>
    <w:rsid w:val="00335E66"/>
    <w:rsid w:val="00335E6A"/>
    <w:rsid w:val="00335EF2"/>
    <w:rsid w:val="003361B9"/>
    <w:rsid w:val="0033624B"/>
    <w:rsid w:val="00336282"/>
    <w:rsid w:val="003363A8"/>
    <w:rsid w:val="003363DC"/>
    <w:rsid w:val="00336570"/>
    <w:rsid w:val="00336575"/>
    <w:rsid w:val="00336C2C"/>
    <w:rsid w:val="00336EE9"/>
    <w:rsid w:val="00337011"/>
    <w:rsid w:val="003370AC"/>
    <w:rsid w:val="003372CA"/>
    <w:rsid w:val="003372E0"/>
    <w:rsid w:val="00337548"/>
    <w:rsid w:val="003375AF"/>
    <w:rsid w:val="00337609"/>
    <w:rsid w:val="00337712"/>
    <w:rsid w:val="00337730"/>
    <w:rsid w:val="00337767"/>
    <w:rsid w:val="00337939"/>
    <w:rsid w:val="003379D8"/>
    <w:rsid w:val="00337C73"/>
    <w:rsid w:val="00337DD9"/>
    <w:rsid w:val="00337F1B"/>
    <w:rsid w:val="00337F6D"/>
    <w:rsid w:val="00337FB8"/>
    <w:rsid w:val="00340153"/>
    <w:rsid w:val="003401F1"/>
    <w:rsid w:val="0034032E"/>
    <w:rsid w:val="0034075E"/>
    <w:rsid w:val="00340781"/>
    <w:rsid w:val="003407A8"/>
    <w:rsid w:val="00340A96"/>
    <w:rsid w:val="00340B4F"/>
    <w:rsid w:val="00340CF1"/>
    <w:rsid w:val="00340DDB"/>
    <w:rsid w:val="00341161"/>
    <w:rsid w:val="00341338"/>
    <w:rsid w:val="003414FE"/>
    <w:rsid w:val="0034179B"/>
    <w:rsid w:val="003419CF"/>
    <w:rsid w:val="00341B74"/>
    <w:rsid w:val="00341B91"/>
    <w:rsid w:val="00341C8D"/>
    <w:rsid w:val="00341E08"/>
    <w:rsid w:val="00341E32"/>
    <w:rsid w:val="00341E46"/>
    <w:rsid w:val="00341E76"/>
    <w:rsid w:val="003420EC"/>
    <w:rsid w:val="003422F7"/>
    <w:rsid w:val="003422FF"/>
    <w:rsid w:val="00342430"/>
    <w:rsid w:val="00342518"/>
    <w:rsid w:val="00342552"/>
    <w:rsid w:val="0034270A"/>
    <w:rsid w:val="00342889"/>
    <w:rsid w:val="0034297D"/>
    <w:rsid w:val="00342A9F"/>
    <w:rsid w:val="00342BA4"/>
    <w:rsid w:val="00342C5F"/>
    <w:rsid w:val="0034306C"/>
    <w:rsid w:val="00343128"/>
    <w:rsid w:val="00343322"/>
    <w:rsid w:val="0034334D"/>
    <w:rsid w:val="003437D1"/>
    <w:rsid w:val="00343882"/>
    <w:rsid w:val="003439F4"/>
    <w:rsid w:val="00343AEF"/>
    <w:rsid w:val="00343B03"/>
    <w:rsid w:val="00343B90"/>
    <w:rsid w:val="00343CA4"/>
    <w:rsid w:val="00343F70"/>
    <w:rsid w:val="003440AF"/>
    <w:rsid w:val="003441E6"/>
    <w:rsid w:val="0034421B"/>
    <w:rsid w:val="003443DF"/>
    <w:rsid w:val="0034450E"/>
    <w:rsid w:val="003445CA"/>
    <w:rsid w:val="00344681"/>
    <w:rsid w:val="00344779"/>
    <w:rsid w:val="0034480F"/>
    <w:rsid w:val="0034481B"/>
    <w:rsid w:val="00344947"/>
    <w:rsid w:val="00344BB2"/>
    <w:rsid w:val="00344D41"/>
    <w:rsid w:val="00344F30"/>
    <w:rsid w:val="00344F8D"/>
    <w:rsid w:val="00345133"/>
    <w:rsid w:val="00345185"/>
    <w:rsid w:val="003451D3"/>
    <w:rsid w:val="00345275"/>
    <w:rsid w:val="003455AF"/>
    <w:rsid w:val="00345696"/>
    <w:rsid w:val="003457E7"/>
    <w:rsid w:val="0034583E"/>
    <w:rsid w:val="003458BB"/>
    <w:rsid w:val="003458BE"/>
    <w:rsid w:val="003459CA"/>
    <w:rsid w:val="00345A60"/>
    <w:rsid w:val="00345A62"/>
    <w:rsid w:val="00345B39"/>
    <w:rsid w:val="00345B58"/>
    <w:rsid w:val="00345D11"/>
    <w:rsid w:val="00345E18"/>
    <w:rsid w:val="0034602D"/>
    <w:rsid w:val="0034609C"/>
    <w:rsid w:val="0034609E"/>
    <w:rsid w:val="0034609F"/>
    <w:rsid w:val="0034611C"/>
    <w:rsid w:val="0034614D"/>
    <w:rsid w:val="00346298"/>
    <w:rsid w:val="0034662B"/>
    <w:rsid w:val="00346775"/>
    <w:rsid w:val="00346919"/>
    <w:rsid w:val="0034696C"/>
    <w:rsid w:val="00346A91"/>
    <w:rsid w:val="00346B8A"/>
    <w:rsid w:val="00346BC4"/>
    <w:rsid w:val="00346C64"/>
    <w:rsid w:val="00346DA9"/>
    <w:rsid w:val="00346E93"/>
    <w:rsid w:val="00346EB6"/>
    <w:rsid w:val="00346F40"/>
    <w:rsid w:val="00347015"/>
    <w:rsid w:val="0034714D"/>
    <w:rsid w:val="003471A4"/>
    <w:rsid w:val="0034720C"/>
    <w:rsid w:val="003472B1"/>
    <w:rsid w:val="003473FE"/>
    <w:rsid w:val="003474A6"/>
    <w:rsid w:val="00347933"/>
    <w:rsid w:val="00347B18"/>
    <w:rsid w:val="00347C62"/>
    <w:rsid w:val="00347EDD"/>
    <w:rsid w:val="00347EDE"/>
    <w:rsid w:val="00347FC7"/>
    <w:rsid w:val="00347FE0"/>
    <w:rsid w:val="0035000E"/>
    <w:rsid w:val="0035026C"/>
    <w:rsid w:val="003502D1"/>
    <w:rsid w:val="003503A4"/>
    <w:rsid w:val="003503FC"/>
    <w:rsid w:val="0035058B"/>
    <w:rsid w:val="00350692"/>
    <w:rsid w:val="003506B0"/>
    <w:rsid w:val="0035076F"/>
    <w:rsid w:val="00350A35"/>
    <w:rsid w:val="00350B0A"/>
    <w:rsid w:val="00350C6D"/>
    <w:rsid w:val="00350C7B"/>
    <w:rsid w:val="00350CDF"/>
    <w:rsid w:val="00350D01"/>
    <w:rsid w:val="00350E86"/>
    <w:rsid w:val="00351042"/>
    <w:rsid w:val="003511D5"/>
    <w:rsid w:val="00351298"/>
    <w:rsid w:val="00351304"/>
    <w:rsid w:val="00351385"/>
    <w:rsid w:val="003513FE"/>
    <w:rsid w:val="00351438"/>
    <w:rsid w:val="003514A6"/>
    <w:rsid w:val="0035171B"/>
    <w:rsid w:val="003517FC"/>
    <w:rsid w:val="00351866"/>
    <w:rsid w:val="0035186D"/>
    <w:rsid w:val="003519AD"/>
    <w:rsid w:val="003519B9"/>
    <w:rsid w:val="00351C38"/>
    <w:rsid w:val="00351CA7"/>
    <w:rsid w:val="00351E99"/>
    <w:rsid w:val="00351F8C"/>
    <w:rsid w:val="00352250"/>
    <w:rsid w:val="00352467"/>
    <w:rsid w:val="003524B7"/>
    <w:rsid w:val="0035251E"/>
    <w:rsid w:val="003525AE"/>
    <w:rsid w:val="00352AAD"/>
    <w:rsid w:val="00352BB9"/>
    <w:rsid w:val="00352CB3"/>
    <w:rsid w:val="00352DEA"/>
    <w:rsid w:val="00352E80"/>
    <w:rsid w:val="00353046"/>
    <w:rsid w:val="003530DF"/>
    <w:rsid w:val="003531EF"/>
    <w:rsid w:val="00353389"/>
    <w:rsid w:val="0035339A"/>
    <w:rsid w:val="003533D3"/>
    <w:rsid w:val="00353472"/>
    <w:rsid w:val="003534AD"/>
    <w:rsid w:val="00353575"/>
    <w:rsid w:val="00353704"/>
    <w:rsid w:val="003537B8"/>
    <w:rsid w:val="0035393A"/>
    <w:rsid w:val="00353AC4"/>
    <w:rsid w:val="00353B25"/>
    <w:rsid w:val="00353CD4"/>
    <w:rsid w:val="00353E34"/>
    <w:rsid w:val="00353EA3"/>
    <w:rsid w:val="00353EF4"/>
    <w:rsid w:val="00353F55"/>
    <w:rsid w:val="00353F7C"/>
    <w:rsid w:val="003544A9"/>
    <w:rsid w:val="003544C3"/>
    <w:rsid w:val="00354553"/>
    <w:rsid w:val="00354702"/>
    <w:rsid w:val="00354728"/>
    <w:rsid w:val="00354BFA"/>
    <w:rsid w:val="00354D27"/>
    <w:rsid w:val="00354EE8"/>
    <w:rsid w:val="00354F5B"/>
    <w:rsid w:val="00354FBB"/>
    <w:rsid w:val="00355106"/>
    <w:rsid w:val="0035519A"/>
    <w:rsid w:val="00355224"/>
    <w:rsid w:val="00355311"/>
    <w:rsid w:val="0035545C"/>
    <w:rsid w:val="003554D3"/>
    <w:rsid w:val="003554D5"/>
    <w:rsid w:val="0035554C"/>
    <w:rsid w:val="003555D3"/>
    <w:rsid w:val="0035566A"/>
    <w:rsid w:val="00355710"/>
    <w:rsid w:val="003557EF"/>
    <w:rsid w:val="0035582C"/>
    <w:rsid w:val="0035588A"/>
    <w:rsid w:val="003559F9"/>
    <w:rsid w:val="00355B64"/>
    <w:rsid w:val="00355B85"/>
    <w:rsid w:val="00355BD2"/>
    <w:rsid w:val="00355BD3"/>
    <w:rsid w:val="00355D0F"/>
    <w:rsid w:val="0035608E"/>
    <w:rsid w:val="00356140"/>
    <w:rsid w:val="003561FD"/>
    <w:rsid w:val="0035622F"/>
    <w:rsid w:val="0035625B"/>
    <w:rsid w:val="003564F2"/>
    <w:rsid w:val="00356529"/>
    <w:rsid w:val="00356598"/>
    <w:rsid w:val="00356694"/>
    <w:rsid w:val="003569EA"/>
    <w:rsid w:val="00356A26"/>
    <w:rsid w:val="00356AA5"/>
    <w:rsid w:val="00356C38"/>
    <w:rsid w:val="00356D10"/>
    <w:rsid w:val="00356DE6"/>
    <w:rsid w:val="00356FDE"/>
    <w:rsid w:val="00357004"/>
    <w:rsid w:val="00357194"/>
    <w:rsid w:val="00357364"/>
    <w:rsid w:val="003573E8"/>
    <w:rsid w:val="00357418"/>
    <w:rsid w:val="0035741A"/>
    <w:rsid w:val="0035756F"/>
    <w:rsid w:val="00357799"/>
    <w:rsid w:val="0035784A"/>
    <w:rsid w:val="00357920"/>
    <w:rsid w:val="0035795D"/>
    <w:rsid w:val="003579A3"/>
    <w:rsid w:val="00357A4B"/>
    <w:rsid w:val="00357C39"/>
    <w:rsid w:val="00357D0A"/>
    <w:rsid w:val="00357DE4"/>
    <w:rsid w:val="00357E0E"/>
    <w:rsid w:val="00357E57"/>
    <w:rsid w:val="00357EB8"/>
    <w:rsid w:val="00357EC2"/>
    <w:rsid w:val="00357EDE"/>
    <w:rsid w:val="00357F2A"/>
    <w:rsid w:val="00357F90"/>
    <w:rsid w:val="00357FEA"/>
    <w:rsid w:val="00360100"/>
    <w:rsid w:val="003601AC"/>
    <w:rsid w:val="003602EE"/>
    <w:rsid w:val="003603E4"/>
    <w:rsid w:val="00360439"/>
    <w:rsid w:val="0036049C"/>
    <w:rsid w:val="00360533"/>
    <w:rsid w:val="00360555"/>
    <w:rsid w:val="003606F9"/>
    <w:rsid w:val="0036077F"/>
    <w:rsid w:val="003607C5"/>
    <w:rsid w:val="0036088E"/>
    <w:rsid w:val="00360935"/>
    <w:rsid w:val="00360B44"/>
    <w:rsid w:val="00360BB3"/>
    <w:rsid w:val="00360C1F"/>
    <w:rsid w:val="00360C41"/>
    <w:rsid w:val="00360CC6"/>
    <w:rsid w:val="00360E10"/>
    <w:rsid w:val="00360E58"/>
    <w:rsid w:val="00360F4F"/>
    <w:rsid w:val="00361069"/>
    <w:rsid w:val="003610BA"/>
    <w:rsid w:val="0036116E"/>
    <w:rsid w:val="0036120E"/>
    <w:rsid w:val="003612FD"/>
    <w:rsid w:val="003613B5"/>
    <w:rsid w:val="003614D9"/>
    <w:rsid w:val="00361518"/>
    <w:rsid w:val="00361591"/>
    <w:rsid w:val="003617B2"/>
    <w:rsid w:val="003617FA"/>
    <w:rsid w:val="0036195B"/>
    <w:rsid w:val="00361AE9"/>
    <w:rsid w:val="00361B36"/>
    <w:rsid w:val="00361C0A"/>
    <w:rsid w:val="00361CC0"/>
    <w:rsid w:val="00361CC1"/>
    <w:rsid w:val="00361D27"/>
    <w:rsid w:val="00361D4B"/>
    <w:rsid w:val="00361D85"/>
    <w:rsid w:val="00361DDB"/>
    <w:rsid w:val="00361E73"/>
    <w:rsid w:val="00361E8A"/>
    <w:rsid w:val="00361F10"/>
    <w:rsid w:val="00362062"/>
    <w:rsid w:val="00362083"/>
    <w:rsid w:val="00362142"/>
    <w:rsid w:val="00362188"/>
    <w:rsid w:val="0036221C"/>
    <w:rsid w:val="0036224D"/>
    <w:rsid w:val="0036226B"/>
    <w:rsid w:val="0036247A"/>
    <w:rsid w:val="0036256A"/>
    <w:rsid w:val="00362688"/>
    <w:rsid w:val="0036278C"/>
    <w:rsid w:val="00362813"/>
    <w:rsid w:val="0036285C"/>
    <w:rsid w:val="003628C4"/>
    <w:rsid w:val="003629C7"/>
    <w:rsid w:val="00362B37"/>
    <w:rsid w:val="00362C34"/>
    <w:rsid w:val="00362C3D"/>
    <w:rsid w:val="00362D23"/>
    <w:rsid w:val="00362DF5"/>
    <w:rsid w:val="00362E9E"/>
    <w:rsid w:val="00362EB1"/>
    <w:rsid w:val="00362F51"/>
    <w:rsid w:val="00362FAB"/>
    <w:rsid w:val="003630E8"/>
    <w:rsid w:val="00363115"/>
    <w:rsid w:val="003631EE"/>
    <w:rsid w:val="003632C6"/>
    <w:rsid w:val="00363311"/>
    <w:rsid w:val="0036339E"/>
    <w:rsid w:val="0036341E"/>
    <w:rsid w:val="003634F7"/>
    <w:rsid w:val="0036352D"/>
    <w:rsid w:val="00363789"/>
    <w:rsid w:val="003637E8"/>
    <w:rsid w:val="003638F0"/>
    <w:rsid w:val="00363973"/>
    <w:rsid w:val="003639DC"/>
    <w:rsid w:val="00363A07"/>
    <w:rsid w:val="00363AF5"/>
    <w:rsid w:val="00363B0F"/>
    <w:rsid w:val="00363B84"/>
    <w:rsid w:val="00363C25"/>
    <w:rsid w:val="00363C40"/>
    <w:rsid w:val="00363CC5"/>
    <w:rsid w:val="00363CE6"/>
    <w:rsid w:val="00364099"/>
    <w:rsid w:val="003640F9"/>
    <w:rsid w:val="00364167"/>
    <w:rsid w:val="003641EA"/>
    <w:rsid w:val="003642D3"/>
    <w:rsid w:val="00364476"/>
    <w:rsid w:val="0036459D"/>
    <w:rsid w:val="00364666"/>
    <w:rsid w:val="00364802"/>
    <w:rsid w:val="00364B11"/>
    <w:rsid w:val="00364C6E"/>
    <w:rsid w:val="00364CC5"/>
    <w:rsid w:val="00364E00"/>
    <w:rsid w:val="00364E28"/>
    <w:rsid w:val="00364FE6"/>
    <w:rsid w:val="00365047"/>
    <w:rsid w:val="003653FC"/>
    <w:rsid w:val="0036543A"/>
    <w:rsid w:val="003654FD"/>
    <w:rsid w:val="00365635"/>
    <w:rsid w:val="003656C6"/>
    <w:rsid w:val="0036572A"/>
    <w:rsid w:val="00365A79"/>
    <w:rsid w:val="00365B01"/>
    <w:rsid w:val="00365C33"/>
    <w:rsid w:val="00365C46"/>
    <w:rsid w:val="00365F9D"/>
    <w:rsid w:val="0036602B"/>
    <w:rsid w:val="003661A0"/>
    <w:rsid w:val="003661FA"/>
    <w:rsid w:val="00366410"/>
    <w:rsid w:val="00366578"/>
    <w:rsid w:val="0036663F"/>
    <w:rsid w:val="003666A7"/>
    <w:rsid w:val="003668B7"/>
    <w:rsid w:val="00366964"/>
    <w:rsid w:val="00366B1F"/>
    <w:rsid w:val="00366BAC"/>
    <w:rsid w:val="00366C12"/>
    <w:rsid w:val="00366D72"/>
    <w:rsid w:val="00366FC0"/>
    <w:rsid w:val="0036709E"/>
    <w:rsid w:val="00367133"/>
    <w:rsid w:val="00367135"/>
    <w:rsid w:val="00367537"/>
    <w:rsid w:val="00367551"/>
    <w:rsid w:val="00367557"/>
    <w:rsid w:val="00367583"/>
    <w:rsid w:val="00367729"/>
    <w:rsid w:val="00367741"/>
    <w:rsid w:val="00367753"/>
    <w:rsid w:val="00367BC5"/>
    <w:rsid w:val="00367CC5"/>
    <w:rsid w:val="00367D9B"/>
    <w:rsid w:val="003700E2"/>
    <w:rsid w:val="003700E9"/>
    <w:rsid w:val="003701D0"/>
    <w:rsid w:val="0037028E"/>
    <w:rsid w:val="00370483"/>
    <w:rsid w:val="003705E4"/>
    <w:rsid w:val="003707DE"/>
    <w:rsid w:val="00370AC4"/>
    <w:rsid w:val="00370C30"/>
    <w:rsid w:val="00370C71"/>
    <w:rsid w:val="00370D1D"/>
    <w:rsid w:val="00370DB9"/>
    <w:rsid w:val="00370FB7"/>
    <w:rsid w:val="00370FF9"/>
    <w:rsid w:val="003711BF"/>
    <w:rsid w:val="00371201"/>
    <w:rsid w:val="003712D5"/>
    <w:rsid w:val="0037144A"/>
    <w:rsid w:val="00371493"/>
    <w:rsid w:val="003717FF"/>
    <w:rsid w:val="00371857"/>
    <w:rsid w:val="00371A9A"/>
    <w:rsid w:val="00371B9E"/>
    <w:rsid w:val="00371BB4"/>
    <w:rsid w:val="00371F10"/>
    <w:rsid w:val="00372096"/>
    <w:rsid w:val="003721E9"/>
    <w:rsid w:val="0037234E"/>
    <w:rsid w:val="00372359"/>
    <w:rsid w:val="003723CF"/>
    <w:rsid w:val="0037272A"/>
    <w:rsid w:val="00372742"/>
    <w:rsid w:val="003727AF"/>
    <w:rsid w:val="0037288A"/>
    <w:rsid w:val="00372A08"/>
    <w:rsid w:val="00372A18"/>
    <w:rsid w:val="00372ADE"/>
    <w:rsid w:val="00372BCE"/>
    <w:rsid w:val="00372C47"/>
    <w:rsid w:val="00372CE1"/>
    <w:rsid w:val="00372D42"/>
    <w:rsid w:val="00372F24"/>
    <w:rsid w:val="00372F77"/>
    <w:rsid w:val="0037312D"/>
    <w:rsid w:val="003731B9"/>
    <w:rsid w:val="003731EE"/>
    <w:rsid w:val="0037336D"/>
    <w:rsid w:val="00373549"/>
    <w:rsid w:val="00373670"/>
    <w:rsid w:val="003736B4"/>
    <w:rsid w:val="003738EE"/>
    <w:rsid w:val="00373B18"/>
    <w:rsid w:val="00373B4F"/>
    <w:rsid w:val="00373BB7"/>
    <w:rsid w:val="00373CC7"/>
    <w:rsid w:val="00373E59"/>
    <w:rsid w:val="00374050"/>
    <w:rsid w:val="00374165"/>
    <w:rsid w:val="003742F6"/>
    <w:rsid w:val="003744FD"/>
    <w:rsid w:val="00374539"/>
    <w:rsid w:val="0037456D"/>
    <w:rsid w:val="0037478B"/>
    <w:rsid w:val="00374A54"/>
    <w:rsid w:val="00374B5C"/>
    <w:rsid w:val="00374BB1"/>
    <w:rsid w:val="00374F59"/>
    <w:rsid w:val="0037507F"/>
    <w:rsid w:val="0037509B"/>
    <w:rsid w:val="00375139"/>
    <w:rsid w:val="0037520C"/>
    <w:rsid w:val="003753A4"/>
    <w:rsid w:val="0037556D"/>
    <w:rsid w:val="00375BCE"/>
    <w:rsid w:val="00375DD9"/>
    <w:rsid w:val="00375EAF"/>
    <w:rsid w:val="00375F8B"/>
    <w:rsid w:val="00376001"/>
    <w:rsid w:val="0037608F"/>
    <w:rsid w:val="003761FC"/>
    <w:rsid w:val="00376214"/>
    <w:rsid w:val="00376357"/>
    <w:rsid w:val="00376434"/>
    <w:rsid w:val="003765EE"/>
    <w:rsid w:val="003765F2"/>
    <w:rsid w:val="00376789"/>
    <w:rsid w:val="003768EF"/>
    <w:rsid w:val="003769C2"/>
    <w:rsid w:val="00376A08"/>
    <w:rsid w:val="00376A5E"/>
    <w:rsid w:val="00376BF1"/>
    <w:rsid w:val="00377053"/>
    <w:rsid w:val="00377079"/>
    <w:rsid w:val="00377138"/>
    <w:rsid w:val="00377161"/>
    <w:rsid w:val="003772B2"/>
    <w:rsid w:val="0037756D"/>
    <w:rsid w:val="00377623"/>
    <w:rsid w:val="003776CF"/>
    <w:rsid w:val="00377774"/>
    <w:rsid w:val="003777B0"/>
    <w:rsid w:val="0037787E"/>
    <w:rsid w:val="00377934"/>
    <w:rsid w:val="00377A12"/>
    <w:rsid w:val="00377A26"/>
    <w:rsid w:val="00377A97"/>
    <w:rsid w:val="00377C18"/>
    <w:rsid w:val="00377C39"/>
    <w:rsid w:val="00377C99"/>
    <w:rsid w:val="00377CD8"/>
    <w:rsid w:val="00377CFE"/>
    <w:rsid w:val="00377F20"/>
    <w:rsid w:val="003800C0"/>
    <w:rsid w:val="00380140"/>
    <w:rsid w:val="0038021F"/>
    <w:rsid w:val="0038024D"/>
    <w:rsid w:val="00380310"/>
    <w:rsid w:val="00380450"/>
    <w:rsid w:val="0038058D"/>
    <w:rsid w:val="003805F0"/>
    <w:rsid w:val="003806AB"/>
    <w:rsid w:val="00380741"/>
    <w:rsid w:val="00380752"/>
    <w:rsid w:val="00380BAC"/>
    <w:rsid w:val="00380F44"/>
    <w:rsid w:val="00380F88"/>
    <w:rsid w:val="00380FE9"/>
    <w:rsid w:val="003811D2"/>
    <w:rsid w:val="0038120E"/>
    <w:rsid w:val="00381269"/>
    <w:rsid w:val="003812A4"/>
    <w:rsid w:val="00381346"/>
    <w:rsid w:val="0038174F"/>
    <w:rsid w:val="003818B1"/>
    <w:rsid w:val="00381903"/>
    <w:rsid w:val="00381AFD"/>
    <w:rsid w:val="00381CE8"/>
    <w:rsid w:val="00382007"/>
    <w:rsid w:val="00382171"/>
    <w:rsid w:val="003823B3"/>
    <w:rsid w:val="0038249F"/>
    <w:rsid w:val="003824DF"/>
    <w:rsid w:val="00382551"/>
    <w:rsid w:val="00382612"/>
    <w:rsid w:val="00382793"/>
    <w:rsid w:val="003827CD"/>
    <w:rsid w:val="00382836"/>
    <w:rsid w:val="00382915"/>
    <w:rsid w:val="003829C2"/>
    <w:rsid w:val="00382A38"/>
    <w:rsid w:val="00382C28"/>
    <w:rsid w:val="00382C3B"/>
    <w:rsid w:val="00382D1E"/>
    <w:rsid w:val="00382F1A"/>
    <w:rsid w:val="00382F6C"/>
    <w:rsid w:val="00382F80"/>
    <w:rsid w:val="0038300F"/>
    <w:rsid w:val="0038307E"/>
    <w:rsid w:val="00383245"/>
    <w:rsid w:val="00383295"/>
    <w:rsid w:val="003832D9"/>
    <w:rsid w:val="003832F9"/>
    <w:rsid w:val="0038375B"/>
    <w:rsid w:val="003837FC"/>
    <w:rsid w:val="003838A8"/>
    <w:rsid w:val="003839F0"/>
    <w:rsid w:val="00383A51"/>
    <w:rsid w:val="00383A9D"/>
    <w:rsid w:val="00383CA0"/>
    <w:rsid w:val="00383EDB"/>
    <w:rsid w:val="00383F6B"/>
    <w:rsid w:val="00383F81"/>
    <w:rsid w:val="00384161"/>
    <w:rsid w:val="003841CE"/>
    <w:rsid w:val="003842CD"/>
    <w:rsid w:val="003842F2"/>
    <w:rsid w:val="00384414"/>
    <w:rsid w:val="00384493"/>
    <w:rsid w:val="003844E3"/>
    <w:rsid w:val="003845C1"/>
    <w:rsid w:val="003845D1"/>
    <w:rsid w:val="00384694"/>
    <w:rsid w:val="00384723"/>
    <w:rsid w:val="00384805"/>
    <w:rsid w:val="0038481A"/>
    <w:rsid w:val="00384886"/>
    <w:rsid w:val="003848F0"/>
    <w:rsid w:val="00384A40"/>
    <w:rsid w:val="00384A96"/>
    <w:rsid w:val="00384C38"/>
    <w:rsid w:val="00384C4F"/>
    <w:rsid w:val="00384D6C"/>
    <w:rsid w:val="00384E50"/>
    <w:rsid w:val="00384E8C"/>
    <w:rsid w:val="00384FB9"/>
    <w:rsid w:val="0038508B"/>
    <w:rsid w:val="0038524B"/>
    <w:rsid w:val="00385299"/>
    <w:rsid w:val="00385300"/>
    <w:rsid w:val="0038531E"/>
    <w:rsid w:val="0038532A"/>
    <w:rsid w:val="003853D4"/>
    <w:rsid w:val="0038545F"/>
    <w:rsid w:val="00385536"/>
    <w:rsid w:val="0038553E"/>
    <w:rsid w:val="003856AC"/>
    <w:rsid w:val="0038572C"/>
    <w:rsid w:val="0038579B"/>
    <w:rsid w:val="003857DA"/>
    <w:rsid w:val="003858A6"/>
    <w:rsid w:val="0038598D"/>
    <w:rsid w:val="00385A22"/>
    <w:rsid w:val="00385A48"/>
    <w:rsid w:val="00385D95"/>
    <w:rsid w:val="00385E19"/>
    <w:rsid w:val="00385E86"/>
    <w:rsid w:val="00385F3D"/>
    <w:rsid w:val="00385F7F"/>
    <w:rsid w:val="00385FC0"/>
    <w:rsid w:val="00385FD1"/>
    <w:rsid w:val="0038608B"/>
    <w:rsid w:val="003860EA"/>
    <w:rsid w:val="0038612C"/>
    <w:rsid w:val="00386135"/>
    <w:rsid w:val="00386143"/>
    <w:rsid w:val="003863F3"/>
    <w:rsid w:val="00386476"/>
    <w:rsid w:val="003865C1"/>
    <w:rsid w:val="0038660B"/>
    <w:rsid w:val="00386717"/>
    <w:rsid w:val="00386750"/>
    <w:rsid w:val="00386889"/>
    <w:rsid w:val="0038695F"/>
    <w:rsid w:val="00386A2E"/>
    <w:rsid w:val="00386A59"/>
    <w:rsid w:val="00386ADB"/>
    <w:rsid w:val="00386B03"/>
    <w:rsid w:val="00386B0B"/>
    <w:rsid w:val="00386B75"/>
    <w:rsid w:val="00386BF3"/>
    <w:rsid w:val="00386BFE"/>
    <w:rsid w:val="00386C3C"/>
    <w:rsid w:val="00386DA9"/>
    <w:rsid w:val="00386E29"/>
    <w:rsid w:val="00386F81"/>
    <w:rsid w:val="0038710A"/>
    <w:rsid w:val="0038711F"/>
    <w:rsid w:val="00387130"/>
    <w:rsid w:val="003873AF"/>
    <w:rsid w:val="0038754A"/>
    <w:rsid w:val="0038764A"/>
    <w:rsid w:val="003876F1"/>
    <w:rsid w:val="0038772A"/>
    <w:rsid w:val="003877C0"/>
    <w:rsid w:val="00387A40"/>
    <w:rsid w:val="00387B8F"/>
    <w:rsid w:val="00387C43"/>
    <w:rsid w:val="00387C68"/>
    <w:rsid w:val="00387E45"/>
    <w:rsid w:val="00390001"/>
    <w:rsid w:val="00390212"/>
    <w:rsid w:val="003902A1"/>
    <w:rsid w:val="003903FD"/>
    <w:rsid w:val="0039044E"/>
    <w:rsid w:val="003906E2"/>
    <w:rsid w:val="00390B61"/>
    <w:rsid w:val="00390CA1"/>
    <w:rsid w:val="00390D61"/>
    <w:rsid w:val="00390E7E"/>
    <w:rsid w:val="00390F1D"/>
    <w:rsid w:val="003910C8"/>
    <w:rsid w:val="003913A0"/>
    <w:rsid w:val="00391483"/>
    <w:rsid w:val="00391510"/>
    <w:rsid w:val="00391907"/>
    <w:rsid w:val="00391B58"/>
    <w:rsid w:val="00391C8A"/>
    <w:rsid w:val="00391D7F"/>
    <w:rsid w:val="00391DAA"/>
    <w:rsid w:val="00391DDB"/>
    <w:rsid w:val="00391F90"/>
    <w:rsid w:val="00392004"/>
    <w:rsid w:val="00392075"/>
    <w:rsid w:val="00392098"/>
    <w:rsid w:val="003920C8"/>
    <w:rsid w:val="00392156"/>
    <w:rsid w:val="00392223"/>
    <w:rsid w:val="0039232A"/>
    <w:rsid w:val="0039242B"/>
    <w:rsid w:val="0039261B"/>
    <w:rsid w:val="0039268A"/>
    <w:rsid w:val="00392727"/>
    <w:rsid w:val="0039276D"/>
    <w:rsid w:val="00392772"/>
    <w:rsid w:val="0039285C"/>
    <w:rsid w:val="0039289A"/>
    <w:rsid w:val="003929C0"/>
    <w:rsid w:val="003929F1"/>
    <w:rsid w:val="00392AA3"/>
    <w:rsid w:val="00392BA8"/>
    <w:rsid w:val="00392BA9"/>
    <w:rsid w:val="00392DCC"/>
    <w:rsid w:val="00392E30"/>
    <w:rsid w:val="00392E6A"/>
    <w:rsid w:val="00392F49"/>
    <w:rsid w:val="003930AE"/>
    <w:rsid w:val="003930D8"/>
    <w:rsid w:val="003931BD"/>
    <w:rsid w:val="00393247"/>
    <w:rsid w:val="003932D9"/>
    <w:rsid w:val="003933E2"/>
    <w:rsid w:val="003934D0"/>
    <w:rsid w:val="003934DC"/>
    <w:rsid w:val="00393697"/>
    <w:rsid w:val="003936AF"/>
    <w:rsid w:val="003936E2"/>
    <w:rsid w:val="003936F2"/>
    <w:rsid w:val="00393777"/>
    <w:rsid w:val="00393826"/>
    <w:rsid w:val="00393DA8"/>
    <w:rsid w:val="00393DCD"/>
    <w:rsid w:val="00393E14"/>
    <w:rsid w:val="00393E7F"/>
    <w:rsid w:val="00393F6E"/>
    <w:rsid w:val="00394339"/>
    <w:rsid w:val="00394345"/>
    <w:rsid w:val="0039434F"/>
    <w:rsid w:val="00394412"/>
    <w:rsid w:val="003945E1"/>
    <w:rsid w:val="00394755"/>
    <w:rsid w:val="00394764"/>
    <w:rsid w:val="003947A2"/>
    <w:rsid w:val="00394806"/>
    <w:rsid w:val="00394985"/>
    <w:rsid w:val="00394B70"/>
    <w:rsid w:val="00394BC2"/>
    <w:rsid w:val="00394C5A"/>
    <w:rsid w:val="00395288"/>
    <w:rsid w:val="003952B2"/>
    <w:rsid w:val="0039534C"/>
    <w:rsid w:val="003954F1"/>
    <w:rsid w:val="00395550"/>
    <w:rsid w:val="0039565E"/>
    <w:rsid w:val="003958EC"/>
    <w:rsid w:val="003958EF"/>
    <w:rsid w:val="0039598F"/>
    <w:rsid w:val="00395A52"/>
    <w:rsid w:val="00395BD4"/>
    <w:rsid w:val="00395C66"/>
    <w:rsid w:val="00395C7B"/>
    <w:rsid w:val="00395D31"/>
    <w:rsid w:val="00395E00"/>
    <w:rsid w:val="00395E80"/>
    <w:rsid w:val="00396157"/>
    <w:rsid w:val="003961FE"/>
    <w:rsid w:val="0039627E"/>
    <w:rsid w:val="003962D6"/>
    <w:rsid w:val="003963EF"/>
    <w:rsid w:val="003964A9"/>
    <w:rsid w:val="003965C0"/>
    <w:rsid w:val="003966B3"/>
    <w:rsid w:val="00396787"/>
    <w:rsid w:val="003967D3"/>
    <w:rsid w:val="003967E7"/>
    <w:rsid w:val="00396916"/>
    <w:rsid w:val="00396A38"/>
    <w:rsid w:val="00396A94"/>
    <w:rsid w:val="00396AD6"/>
    <w:rsid w:val="00396BC8"/>
    <w:rsid w:val="00396D54"/>
    <w:rsid w:val="00396D5C"/>
    <w:rsid w:val="00396F69"/>
    <w:rsid w:val="00396FAC"/>
    <w:rsid w:val="003977D6"/>
    <w:rsid w:val="00397995"/>
    <w:rsid w:val="003979A4"/>
    <w:rsid w:val="00397B27"/>
    <w:rsid w:val="00397B5E"/>
    <w:rsid w:val="00397E18"/>
    <w:rsid w:val="00397F50"/>
    <w:rsid w:val="00397F75"/>
    <w:rsid w:val="00397FD3"/>
    <w:rsid w:val="003A00CE"/>
    <w:rsid w:val="003A010F"/>
    <w:rsid w:val="003A028F"/>
    <w:rsid w:val="003A05C9"/>
    <w:rsid w:val="003A095A"/>
    <w:rsid w:val="003A0B18"/>
    <w:rsid w:val="003A0B1F"/>
    <w:rsid w:val="003A0BE7"/>
    <w:rsid w:val="003A0C33"/>
    <w:rsid w:val="003A0C43"/>
    <w:rsid w:val="003A0CD1"/>
    <w:rsid w:val="003A0EC6"/>
    <w:rsid w:val="003A1066"/>
    <w:rsid w:val="003A115A"/>
    <w:rsid w:val="003A1181"/>
    <w:rsid w:val="003A11C7"/>
    <w:rsid w:val="003A11EB"/>
    <w:rsid w:val="003A14B0"/>
    <w:rsid w:val="003A161C"/>
    <w:rsid w:val="003A1632"/>
    <w:rsid w:val="003A1752"/>
    <w:rsid w:val="003A1998"/>
    <w:rsid w:val="003A199F"/>
    <w:rsid w:val="003A1A43"/>
    <w:rsid w:val="003A1E54"/>
    <w:rsid w:val="003A1FE4"/>
    <w:rsid w:val="003A1FEC"/>
    <w:rsid w:val="003A2101"/>
    <w:rsid w:val="003A2250"/>
    <w:rsid w:val="003A244D"/>
    <w:rsid w:val="003A24D3"/>
    <w:rsid w:val="003A2540"/>
    <w:rsid w:val="003A2700"/>
    <w:rsid w:val="003A270B"/>
    <w:rsid w:val="003A27EA"/>
    <w:rsid w:val="003A2845"/>
    <w:rsid w:val="003A2880"/>
    <w:rsid w:val="003A2932"/>
    <w:rsid w:val="003A2A7C"/>
    <w:rsid w:val="003A2B4F"/>
    <w:rsid w:val="003A2CA0"/>
    <w:rsid w:val="003A2EDE"/>
    <w:rsid w:val="003A2FF1"/>
    <w:rsid w:val="003A3347"/>
    <w:rsid w:val="003A3349"/>
    <w:rsid w:val="003A33BA"/>
    <w:rsid w:val="003A33C3"/>
    <w:rsid w:val="003A356F"/>
    <w:rsid w:val="003A3741"/>
    <w:rsid w:val="003A3752"/>
    <w:rsid w:val="003A37C5"/>
    <w:rsid w:val="003A3811"/>
    <w:rsid w:val="003A3831"/>
    <w:rsid w:val="003A38F2"/>
    <w:rsid w:val="003A3A88"/>
    <w:rsid w:val="003A3B13"/>
    <w:rsid w:val="003A3B64"/>
    <w:rsid w:val="003A3C73"/>
    <w:rsid w:val="003A3C7C"/>
    <w:rsid w:val="003A3D40"/>
    <w:rsid w:val="003A3DDD"/>
    <w:rsid w:val="003A3E0C"/>
    <w:rsid w:val="003A3E27"/>
    <w:rsid w:val="003A42CA"/>
    <w:rsid w:val="003A4338"/>
    <w:rsid w:val="003A447F"/>
    <w:rsid w:val="003A45A1"/>
    <w:rsid w:val="003A45DA"/>
    <w:rsid w:val="003A4668"/>
    <w:rsid w:val="003A4824"/>
    <w:rsid w:val="003A4874"/>
    <w:rsid w:val="003A4935"/>
    <w:rsid w:val="003A4A0C"/>
    <w:rsid w:val="003A4ABD"/>
    <w:rsid w:val="003A4F56"/>
    <w:rsid w:val="003A5070"/>
    <w:rsid w:val="003A51F0"/>
    <w:rsid w:val="003A5271"/>
    <w:rsid w:val="003A5421"/>
    <w:rsid w:val="003A5527"/>
    <w:rsid w:val="003A57AA"/>
    <w:rsid w:val="003A58E3"/>
    <w:rsid w:val="003A5903"/>
    <w:rsid w:val="003A59BC"/>
    <w:rsid w:val="003A5AA9"/>
    <w:rsid w:val="003A5AF7"/>
    <w:rsid w:val="003A5B9F"/>
    <w:rsid w:val="003A5C3D"/>
    <w:rsid w:val="003A5C75"/>
    <w:rsid w:val="003A60DF"/>
    <w:rsid w:val="003A6251"/>
    <w:rsid w:val="003A6329"/>
    <w:rsid w:val="003A6330"/>
    <w:rsid w:val="003A6337"/>
    <w:rsid w:val="003A6375"/>
    <w:rsid w:val="003A6547"/>
    <w:rsid w:val="003A659B"/>
    <w:rsid w:val="003A65B3"/>
    <w:rsid w:val="003A6619"/>
    <w:rsid w:val="003A666A"/>
    <w:rsid w:val="003A673F"/>
    <w:rsid w:val="003A67F1"/>
    <w:rsid w:val="003A6809"/>
    <w:rsid w:val="003A6973"/>
    <w:rsid w:val="003A6A8B"/>
    <w:rsid w:val="003A6A9E"/>
    <w:rsid w:val="003A6BD5"/>
    <w:rsid w:val="003A6BFF"/>
    <w:rsid w:val="003A6C74"/>
    <w:rsid w:val="003A6F4C"/>
    <w:rsid w:val="003A70C7"/>
    <w:rsid w:val="003A70EE"/>
    <w:rsid w:val="003A738D"/>
    <w:rsid w:val="003A7608"/>
    <w:rsid w:val="003A7645"/>
    <w:rsid w:val="003A76AA"/>
    <w:rsid w:val="003A7867"/>
    <w:rsid w:val="003A7910"/>
    <w:rsid w:val="003A7D04"/>
    <w:rsid w:val="003A7DBC"/>
    <w:rsid w:val="003A7F80"/>
    <w:rsid w:val="003B00CD"/>
    <w:rsid w:val="003B01FF"/>
    <w:rsid w:val="003B0267"/>
    <w:rsid w:val="003B032E"/>
    <w:rsid w:val="003B034B"/>
    <w:rsid w:val="003B0543"/>
    <w:rsid w:val="003B074C"/>
    <w:rsid w:val="003B0809"/>
    <w:rsid w:val="003B08EE"/>
    <w:rsid w:val="003B0AC5"/>
    <w:rsid w:val="003B0B34"/>
    <w:rsid w:val="003B0B5A"/>
    <w:rsid w:val="003B0FFD"/>
    <w:rsid w:val="003B105D"/>
    <w:rsid w:val="003B1278"/>
    <w:rsid w:val="003B1312"/>
    <w:rsid w:val="003B154D"/>
    <w:rsid w:val="003B15DB"/>
    <w:rsid w:val="003B15EF"/>
    <w:rsid w:val="003B163E"/>
    <w:rsid w:val="003B168B"/>
    <w:rsid w:val="003B1700"/>
    <w:rsid w:val="003B17D0"/>
    <w:rsid w:val="003B193D"/>
    <w:rsid w:val="003B198D"/>
    <w:rsid w:val="003B1ACC"/>
    <w:rsid w:val="003B1B05"/>
    <w:rsid w:val="003B1B5F"/>
    <w:rsid w:val="003B1F51"/>
    <w:rsid w:val="003B2096"/>
    <w:rsid w:val="003B2110"/>
    <w:rsid w:val="003B22DF"/>
    <w:rsid w:val="003B2301"/>
    <w:rsid w:val="003B231C"/>
    <w:rsid w:val="003B254F"/>
    <w:rsid w:val="003B27C9"/>
    <w:rsid w:val="003B27EC"/>
    <w:rsid w:val="003B285A"/>
    <w:rsid w:val="003B2A23"/>
    <w:rsid w:val="003B2AA5"/>
    <w:rsid w:val="003B2AF5"/>
    <w:rsid w:val="003B2AFC"/>
    <w:rsid w:val="003B2BD3"/>
    <w:rsid w:val="003B2C02"/>
    <w:rsid w:val="003B2DDF"/>
    <w:rsid w:val="003B2F86"/>
    <w:rsid w:val="003B2F8F"/>
    <w:rsid w:val="003B2F98"/>
    <w:rsid w:val="003B3025"/>
    <w:rsid w:val="003B3256"/>
    <w:rsid w:val="003B3378"/>
    <w:rsid w:val="003B348F"/>
    <w:rsid w:val="003B34A7"/>
    <w:rsid w:val="003B3532"/>
    <w:rsid w:val="003B3664"/>
    <w:rsid w:val="003B37F1"/>
    <w:rsid w:val="003B3867"/>
    <w:rsid w:val="003B3906"/>
    <w:rsid w:val="003B39A9"/>
    <w:rsid w:val="003B3ABA"/>
    <w:rsid w:val="003B3F06"/>
    <w:rsid w:val="003B3F0C"/>
    <w:rsid w:val="003B3F4A"/>
    <w:rsid w:val="003B3F68"/>
    <w:rsid w:val="003B3F81"/>
    <w:rsid w:val="003B3FCA"/>
    <w:rsid w:val="003B4009"/>
    <w:rsid w:val="003B4027"/>
    <w:rsid w:val="003B40A6"/>
    <w:rsid w:val="003B420B"/>
    <w:rsid w:val="003B4266"/>
    <w:rsid w:val="003B431D"/>
    <w:rsid w:val="003B4323"/>
    <w:rsid w:val="003B4371"/>
    <w:rsid w:val="003B45E6"/>
    <w:rsid w:val="003B48E1"/>
    <w:rsid w:val="003B48F6"/>
    <w:rsid w:val="003B49CF"/>
    <w:rsid w:val="003B49D5"/>
    <w:rsid w:val="003B4E8A"/>
    <w:rsid w:val="003B4EEF"/>
    <w:rsid w:val="003B4FBA"/>
    <w:rsid w:val="003B5067"/>
    <w:rsid w:val="003B50B8"/>
    <w:rsid w:val="003B50FF"/>
    <w:rsid w:val="003B514A"/>
    <w:rsid w:val="003B5270"/>
    <w:rsid w:val="003B52E0"/>
    <w:rsid w:val="003B533B"/>
    <w:rsid w:val="003B53A0"/>
    <w:rsid w:val="003B5408"/>
    <w:rsid w:val="003B5495"/>
    <w:rsid w:val="003B54AE"/>
    <w:rsid w:val="003B552C"/>
    <w:rsid w:val="003B5553"/>
    <w:rsid w:val="003B560A"/>
    <w:rsid w:val="003B5652"/>
    <w:rsid w:val="003B56E7"/>
    <w:rsid w:val="003B574B"/>
    <w:rsid w:val="003B57B1"/>
    <w:rsid w:val="003B589F"/>
    <w:rsid w:val="003B58F9"/>
    <w:rsid w:val="003B5B5A"/>
    <w:rsid w:val="003B5BBE"/>
    <w:rsid w:val="003B5E1D"/>
    <w:rsid w:val="003B5F76"/>
    <w:rsid w:val="003B5FA1"/>
    <w:rsid w:val="003B6150"/>
    <w:rsid w:val="003B620E"/>
    <w:rsid w:val="003B62BE"/>
    <w:rsid w:val="003B6328"/>
    <w:rsid w:val="003B6381"/>
    <w:rsid w:val="003B64DA"/>
    <w:rsid w:val="003B66DE"/>
    <w:rsid w:val="003B6803"/>
    <w:rsid w:val="003B6808"/>
    <w:rsid w:val="003B6862"/>
    <w:rsid w:val="003B6956"/>
    <w:rsid w:val="003B6AF2"/>
    <w:rsid w:val="003B6D4E"/>
    <w:rsid w:val="003B6DB0"/>
    <w:rsid w:val="003B6E52"/>
    <w:rsid w:val="003B70CD"/>
    <w:rsid w:val="003B71C6"/>
    <w:rsid w:val="003B723A"/>
    <w:rsid w:val="003B7361"/>
    <w:rsid w:val="003B7461"/>
    <w:rsid w:val="003B7612"/>
    <w:rsid w:val="003B7AD0"/>
    <w:rsid w:val="003B7B5E"/>
    <w:rsid w:val="003B7D51"/>
    <w:rsid w:val="003B7E8B"/>
    <w:rsid w:val="003C01BA"/>
    <w:rsid w:val="003C024F"/>
    <w:rsid w:val="003C02B8"/>
    <w:rsid w:val="003C0372"/>
    <w:rsid w:val="003C0478"/>
    <w:rsid w:val="003C0522"/>
    <w:rsid w:val="003C05FB"/>
    <w:rsid w:val="003C069F"/>
    <w:rsid w:val="003C095B"/>
    <w:rsid w:val="003C09F7"/>
    <w:rsid w:val="003C0B0F"/>
    <w:rsid w:val="003C0CC6"/>
    <w:rsid w:val="003C0D26"/>
    <w:rsid w:val="003C0D55"/>
    <w:rsid w:val="003C0D90"/>
    <w:rsid w:val="003C0F8A"/>
    <w:rsid w:val="003C11E1"/>
    <w:rsid w:val="003C1227"/>
    <w:rsid w:val="003C1249"/>
    <w:rsid w:val="003C137E"/>
    <w:rsid w:val="003C1415"/>
    <w:rsid w:val="003C1460"/>
    <w:rsid w:val="003C14AC"/>
    <w:rsid w:val="003C1701"/>
    <w:rsid w:val="003C17B9"/>
    <w:rsid w:val="003C1884"/>
    <w:rsid w:val="003C18F3"/>
    <w:rsid w:val="003C192C"/>
    <w:rsid w:val="003C1CFF"/>
    <w:rsid w:val="003C1DE4"/>
    <w:rsid w:val="003C1FD4"/>
    <w:rsid w:val="003C21B6"/>
    <w:rsid w:val="003C220A"/>
    <w:rsid w:val="003C2310"/>
    <w:rsid w:val="003C2361"/>
    <w:rsid w:val="003C2420"/>
    <w:rsid w:val="003C24D8"/>
    <w:rsid w:val="003C24FC"/>
    <w:rsid w:val="003C25E7"/>
    <w:rsid w:val="003C2616"/>
    <w:rsid w:val="003C2655"/>
    <w:rsid w:val="003C273E"/>
    <w:rsid w:val="003C285A"/>
    <w:rsid w:val="003C28C5"/>
    <w:rsid w:val="003C2FA5"/>
    <w:rsid w:val="003C2FE0"/>
    <w:rsid w:val="003C3121"/>
    <w:rsid w:val="003C31BD"/>
    <w:rsid w:val="003C324A"/>
    <w:rsid w:val="003C33D0"/>
    <w:rsid w:val="003C352C"/>
    <w:rsid w:val="003C352E"/>
    <w:rsid w:val="003C3736"/>
    <w:rsid w:val="003C37B5"/>
    <w:rsid w:val="003C38C2"/>
    <w:rsid w:val="003C38DB"/>
    <w:rsid w:val="003C3A51"/>
    <w:rsid w:val="003C3AB7"/>
    <w:rsid w:val="003C3B3E"/>
    <w:rsid w:val="003C3CD5"/>
    <w:rsid w:val="003C3CDD"/>
    <w:rsid w:val="003C3DD4"/>
    <w:rsid w:val="003C3FDC"/>
    <w:rsid w:val="003C4147"/>
    <w:rsid w:val="003C42E3"/>
    <w:rsid w:val="003C435F"/>
    <w:rsid w:val="003C4447"/>
    <w:rsid w:val="003C4613"/>
    <w:rsid w:val="003C4783"/>
    <w:rsid w:val="003C499B"/>
    <w:rsid w:val="003C4A52"/>
    <w:rsid w:val="003C4BD6"/>
    <w:rsid w:val="003C4D18"/>
    <w:rsid w:val="003C4D98"/>
    <w:rsid w:val="003C4E06"/>
    <w:rsid w:val="003C4ECF"/>
    <w:rsid w:val="003C4F93"/>
    <w:rsid w:val="003C4FB1"/>
    <w:rsid w:val="003C5069"/>
    <w:rsid w:val="003C50B7"/>
    <w:rsid w:val="003C525E"/>
    <w:rsid w:val="003C5299"/>
    <w:rsid w:val="003C5393"/>
    <w:rsid w:val="003C542B"/>
    <w:rsid w:val="003C5475"/>
    <w:rsid w:val="003C562E"/>
    <w:rsid w:val="003C5680"/>
    <w:rsid w:val="003C5698"/>
    <w:rsid w:val="003C5725"/>
    <w:rsid w:val="003C5825"/>
    <w:rsid w:val="003C5917"/>
    <w:rsid w:val="003C59B5"/>
    <w:rsid w:val="003C5A9D"/>
    <w:rsid w:val="003C5AE0"/>
    <w:rsid w:val="003C5C72"/>
    <w:rsid w:val="003C5C89"/>
    <w:rsid w:val="003C5C95"/>
    <w:rsid w:val="003C5CCA"/>
    <w:rsid w:val="003C5D04"/>
    <w:rsid w:val="003C5DF7"/>
    <w:rsid w:val="003C5EC9"/>
    <w:rsid w:val="003C5EDD"/>
    <w:rsid w:val="003C6147"/>
    <w:rsid w:val="003C6221"/>
    <w:rsid w:val="003C6598"/>
    <w:rsid w:val="003C65E4"/>
    <w:rsid w:val="003C67A8"/>
    <w:rsid w:val="003C68C5"/>
    <w:rsid w:val="003C6B3F"/>
    <w:rsid w:val="003C6B80"/>
    <w:rsid w:val="003C6C4E"/>
    <w:rsid w:val="003C6C5D"/>
    <w:rsid w:val="003C6F66"/>
    <w:rsid w:val="003C7002"/>
    <w:rsid w:val="003C7107"/>
    <w:rsid w:val="003C7117"/>
    <w:rsid w:val="003C7152"/>
    <w:rsid w:val="003C71B0"/>
    <w:rsid w:val="003C71F7"/>
    <w:rsid w:val="003C727D"/>
    <w:rsid w:val="003C737C"/>
    <w:rsid w:val="003C74E1"/>
    <w:rsid w:val="003C74EC"/>
    <w:rsid w:val="003C75D2"/>
    <w:rsid w:val="003C7758"/>
    <w:rsid w:val="003C789E"/>
    <w:rsid w:val="003C79D5"/>
    <w:rsid w:val="003C79E0"/>
    <w:rsid w:val="003C7A33"/>
    <w:rsid w:val="003C7A82"/>
    <w:rsid w:val="003C7B68"/>
    <w:rsid w:val="003C7B8F"/>
    <w:rsid w:val="003C7E21"/>
    <w:rsid w:val="003C7E39"/>
    <w:rsid w:val="003C7F10"/>
    <w:rsid w:val="003D004D"/>
    <w:rsid w:val="003D0161"/>
    <w:rsid w:val="003D0205"/>
    <w:rsid w:val="003D05CB"/>
    <w:rsid w:val="003D05E9"/>
    <w:rsid w:val="003D0639"/>
    <w:rsid w:val="003D081E"/>
    <w:rsid w:val="003D09AB"/>
    <w:rsid w:val="003D09C0"/>
    <w:rsid w:val="003D09DF"/>
    <w:rsid w:val="003D0D67"/>
    <w:rsid w:val="003D0E94"/>
    <w:rsid w:val="003D12F5"/>
    <w:rsid w:val="003D1951"/>
    <w:rsid w:val="003D1990"/>
    <w:rsid w:val="003D1A0F"/>
    <w:rsid w:val="003D1A67"/>
    <w:rsid w:val="003D1B74"/>
    <w:rsid w:val="003D1BC7"/>
    <w:rsid w:val="003D1C39"/>
    <w:rsid w:val="003D1CB2"/>
    <w:rsid w:val="003D1D68"/>
    <w:rsid w:val="003D1E60"/>
    <w:rsid w:val="003D2161"/>
    <w:rsid w:val="003D21B8"/>
    <w:rsid w:val="003D22AF"/>
    <w:rsid w:val="003D22C7"/>
    <w:rsid w:val="003D2392"/>
    <w:rsid w:val="003D243E"/>
    <w:rsid w:val="003D274F"/>
    <w:rsid w:val="003D2969"/>
    <w:rsid w:val="003D2984"/>
    <w:rsid w:val="003D29A2"/>
    <w:rsid w:val="003D29D0"/>
    <w:rsid w:val="003D29F2"/>
    <w:rsid w:val="003D2ABD"/>
    <w:rsid w:val="003D2B7A"/>
    <w:rsid w:val="003D2DDA"/>
    <w:rsid w:val="003D2EF2"/>
    <w:rsid w:val="003D2F4D"/>
    <w:rsid w:val="003D330B"/>
    <w:rsid w:val="003D3377"/>
    <w:rsid w:val="003D33E7"/>
    <w:rsid w:val="003D3419"/>
    <w:rsid w:val="003D3480"/>
    <w:rsid w:val="003D368F"/>
    <w:rsid w:val="003D3692"/>
    <w:rsid w:val="003D36C3"/>
    <w:rsid w:val="003D36E3"/>
    <w:rsid w:val="003D37FE"/>
    <w:rsid w:val="003D3A78"/>
    <w:rsid w:val="003D3BDC"/>
    <w:rsid w:val="003D3DE5"/>
    <w:rsid w:val="003D3FA7"/>
    <w:rsid w:val="003D41DE"/>
    <w:rsid w:val="003D4238"/>
    <w:rsid w:val="003D430D"/>
    <w:rsid w:val="003D43E7"/>
    <w:rsid w:val="003D4492"/>
    <w:rsid w:val="003D44FA"/>
    <w:rsid w:val="003D452B"/>
    <w:rsid w:val="003D455C"/>
    <w:rsid w:val="003D468E"/>
    <w:rsid w:val="003D49FE"/>
    <w:rsid w:val="003D4A98"/>
    <w:rsid w:val="003D4B67"/>
    <w:rsid w:val="003D4DD1"/>
    <w:rsid w:val="003D4E3C"/>
    <w:rsid w:val="003D4E90"/>
    <w:rsid w:val="003D4EE6"/>
    <w:rsid w:val="003D4EEA"/>
    <w:rsid w:val="003D4FC0"/>
    <w:rsid w:val="003D5271"/>
    <w:rsid w:val="003D52D0"/>
    <w:rsid w:val="003D5385"/>
    <w:rsid w:val="003D5394"/>
    <w:rsid w:val="003D5508"/>
    <w:rsid w:val="003D5545"/>
    <w:rsid w:val="003D5773"/>
    <w:rsid w:val="003D586A"/>
    <w:rsid w:val="003D5A8C"/>
    <w:rsid w:val="003D5C9B"/>
    <w:rsid w:val="003D5DA8"/>
    <w:rsid w:val="003D6115"/>
    <w:rsid w:val="003D6146"/>
    <w:rsid w:val="003D6327"/>
    <w:rsid w:val="003D63D7"/>
    <w:rsid w:val="003D63EA"/>
    <w:rsid w:val="003D645C"/>
    <w:rsid w:val="003D6461"/>
    <w:rsid w:val="003D64C8"/>
    <w:rsid w:val="003D66A1"/>
    <w:rsid w:val="003D66D1"/>
    <w:rsid w:val="003D69FB"/>
    <w:rsid w:val="003D6A3F"/>
    <w:rsid w:val="003D6A7C"/>
    <w:rsid w:val="003D6BFA"/>
    <w:rsid w:val="003D6DEB"/>
    <w:rsid w:val="003D6DF3"/>
    <w:rsid w:val="003D6EE5"/>
    <w:rsid w:val="003D70A3"/>
    <w:rsid w:val="003D7114"/>
    <w:rsid w:val="003D72AF"/>
    <w:rsid w:val="003D72FA"/>
    <w:rsid w:val="003D7320"/>
    <w:rsid w:val="003D754B"/>
    <w:rsid w:val="003D75DB"/>
    <w:rsid w:val="003D76C8"/>
    <w:rsid w:val="003D787F"/>
    <w:rsid w:val="003D7923"/>
    <w:rsid w:val="003D7BF8"/>
    <w:rsid w:val="003D7C27"/>
    <w:rsid w:val="003D7C50"/>
    <w:rsid w:val="003D7C52"/>
    <w:rsid w:val="003D7D0D"/>
    <w:rsid w:val="003D7D7F"/>
    <w:rsid w:val="003D7DA7"/>
    <w:rsid w:val="003D7E07"/>
    <w:rsid w:val="003D7E7E"/>
    <w:rsid w:val="003D7F01"/>
    <w:rsid w:val="003E00D9"/>
    <w:rsid w:val="003E011C"/>
    <w:rsid w:val="003E01DA"/>
    <w:rsid w:val="003E02FA"/>
    <w:rsid w:val="003E06FE"/>
    <w:rsid w:val="003E0809"/>
    <w:rsid w:val="003E08AA"/>
    <w:rsid w:val="003E0C13"/>
    <w:rsid w:val="003E0C41"/>
    <w:rsid w:val="003E0E88"/>
    <w:rsid w:val="003E0FB3"/>
    <w:rsid w:val="003E104F"/>
    <w:rsid w:val="003E115F"/>
    <w:rsid w:val="003E11CD"/>
    <w:rsid w:val="003E1417"/>
    <w:rsid w:val="003E14FE"/>
    <w:rsid w:val="003E15B8"/>
    <w:rsid w:val="003E1633"/>
    <w:rsid w:val="003E1695"/>
    <w:rsid w:val="003E183E"/>
    <w:rsid w:val="003E18CE"/>
    <w:rsid w:val="003E1A63"/>
    <w:rsid w:val="003E1AEA"/>
    <w:rsid w:val="003E1C5F"/>
    <w:rsid w:val="003E1CDE"/>
    <w:rsid w:val="003E1FE6"/>
    <w:rsid w:val="003E2138"/>
    <w:rsid w:val="003E2216"/>
    <w:rsid w:val="003E234A"/>
    <w:rsid w:val="003E241C"/>
    <w:rsid w:val="003E2696"/>
    <w:rsid w:val="003E2736"/>
    <w:rsid w:val="003E2975"/>
    <w:rsid w:val="003E2C65"/>
    <w:rsid w:val="003E2E85"/>
    <w:rsid w:val="003E2FBA"/>
    <w:rsid w:val="003E2FD7"/>
    <w:rsid w:val="003E2FEB"/>
    <w:rsid w:val="003E3085"/>
    <w:rsid w:val="003E30A9"/>
    <w:rsid w:val="003E30F6"/>
    <w:rsid w:val="003E3307"/>
    <w:rsid w:val="003E33C7"/>
    <w:rsid w:val="003E33D5"/>
    <w:rsid w:val="003E3589"/>
    <w:rsid w:val="003E3709"/>
    <w:rsid w:val="003E3755"/>
    <w:rsid w:val="003E38B0"/>
    <w:rsid w:val="003E395B"/>
    <w:rsid w:val="003E39C5"/>
    <w:rsid w:val="003E3A98"/>
    <w:rsid w:val="003E3C62"/>
    <w:rsid w:val="003E3D01"/>
    <w:rsid w:val="003E406B"/>
    <w:rsid w:val="003E41C3"/>
    <w:rsid w:val="003E422A"/>
    <w:rsid w:val="003E422C"/>
    <w:rsid w:val="003E4393"/>
    <w:rsid w:val="003E4408"/>
    <w:rsid w:val="003E442F"/>
    <w:rsid w:val="003E4439"/>
    <w:rsid w:val="003E4562"/>
    <w:rsid w:val="003E4592"/>
    <w:rsid w:val="003E48B2"/>
    <w:rsid w:val="003E4969"/>
    <w:rsid w:val="003E49A1"/>
    <w:rsid w:val="003E4A14"/>
    <w:rsid w:val="003E4A15"/>
    <w:rsid w:val="003E4ABE"/>
    <w:rsid w:val="003E4C3A"/>
    <w:rsid w:val="003E4D87"/>
    <w:rsid w:val="003E4E13"/>
    <w:rsid w:val="003E4EEF"/>
    <w:rsid w:val="003E4F1A"/>
    <w:rsid w:val="003E4F64"/>
    <w:rsid w:val="003E50DC"/>
    <w:rsid w:val="003E5205"/>
    <w:rsid w:val="003E5244"/>
    <w:rsid w:val="003E5295"/>
    <w:rsid w:val="003E54D9"/>
    <w:rsid w:val="003E56DE"/>
    <w:rsid w:val="003E5773"/>
    <w:rsid w:val="003E5A2B"/>
    <w:rsid w:val="003E5DEF"/>
    <w:rsid w:val="003E5E6A"/>
    <w:rsid w:val="003E5F20"/>
    <w:rsid w:val="003E6098"/>
    <w:rsid w:val="003E63AE"/>
    <w:rsid w:val="003E6446"/>
    <w:rsid w:val="003E66D1"/>
    <w:rsid w:val="003E67BC"/>
    <w:rsid w:val="003E6815"/>
    <w:rsid w:val="003E6871"/>
    <w:rsid w:val="003E69B4"/>
    <w:rsid w:val="003E6BD6"/>
    <w:rsid w:val="003E6C1B"/>
    <w:rsid w:val="003E6EDF"/>
    <w:rsid w:val="003E6F51"/>
    <w:rsid w:val="003E6FE1"/>
    <w:rsid w:val="003E716B"/>
    <w:rsid w:val="003E71BD"/>
    <w:rsid w:val="003E736B"/>
    <w:rsid w:val="003E74D5"/>
    <w:rsid w:val="003E74F6"/>
    <w:rsid w:val="003E7522"/>
    <w:rsid w:val="003E7A29"/>
    <w:rsid w:val="003E7A61"/>
    <w:rsid w:val="003E7A71"/>
    <w:rsid w:val="003E7C88"/>
    <w:rsid w:val="003E7D15"/>
    <w:rsid w:val="003E7D76"/>
    <w:rsid w:val="003E7D9D"/>
    <w:rsid w:val="003E7F25"/>
    <w:rsid w:val="003E7FBE"/>
    <w:rsid w:val="003F0151"/>
    <w:rsid w:val="003F0561"/>
    <w:rsid w:val="003F0B08"/>
    <w:rsid w:val="003F0B30"/>
    <w:rsid w:val="003F0C78"/>
    <w:rsid w:val="003F103A"/>
    <w:rsid w:val="003F1243"/>
    <w:rsid w:val="003F137E"/>
    <w:rsid w:val="003F13C0"/>
    <w:rsid w:val="003F149C"/>
    <w:rsid w:val="003F153E"/>
    <w:rsid w:val="003F1557"/>
    <w:rsid w:val="003F1560"/>
    <w:rsid w:val="003F175D"/>
    <w:rsid w:val="003F1A6B"/>
    <w:rsid w:val="003F1B4D"/>
    <w:rsid w:val="003F1C72"/>
    <w:rsid w:val="003F1DF0"/>
    <w:rsid w:val="003F1E5C"/>
    <w:rsid w:val="003F1EC7"/>
    <w:rsid w:val="003F1EDB"/>
    <w:rsid w:val="003F20DB"/>
    <w:rsid w:val="003F22BE"/>
    <w:rsid w:val="003F23EB"/>
    <w:rsid w:val="003F2522"/>
    <w:rsid w:val="003F25A0"/>
    <w:rsid w:val="003F25F8"/>
    <w:rsid w:val="003F266A"/>
    <w:rsid w:val="003F268E"/>
    <w:rsid w:val="003F2808"/>
    <w:rsid w:val="003F2867"/>
    <w:rsid w:val="003F28F7"/>
    <w:rsid w:val="003F2A2C"/>
    <w:rsid w:val="003F2AA4"/>
    <w:rsid w:val="003F2B01"/>
    <w:rsid w:val="003F2C71"/>
    <w:rsid w:val="003F2DAD"/>
    <w:rsid w:val="003F2E37"/>
    <w:rsid w:val="003F2F55"/>
    <w:rsid w:val="003F316C"/>
    <w:rsid w:val="003F329A"/>
    <w:rsid w:val="003F330E"/>
    <w:rsid w:val="003F3426"/>
    <w:rsid w:val="003F35B7"/>
    <w:rsid w:val="003F361B"/>
    <w:rsid w:val="003F3623"/>
    <w:rsid w:val="003F37D3"/>
    <w:rsid w:val="003F3B34"/>
    <w:rsid w:val="003F3C2D"/>
    <w:rsid w:val="003F3D50"/>
    <w:rsid w:val="003F3DDB"/>
    <w:rsid w:val="003F3E2F"/>
    <w:rsid w:val="003F3E5F"/>
    <w:rsid w:val="003F3EB1"/>
    <w:rsid w:val="003F3F69"/>
    <w:rsid w:val="003F3FA0"/>
    <w:rsid w:val="003F40A0"/>
    <w:rsid w:val="003F42AC"/>
    <w:rsid w:val="003F4352"/>
    <w:rsid w:val="003F4596"/>
    <w:rsid w:val="003F4622"/>
    <w:rsid w:val="003F4640"/>
    <w:rsid w:val="003F46FB"/>
    <w:rsid w:val="003F4AC0"/>
    <w:rsid w:val="003F4B6A"/>
    <w:rsid w:val="003F4BE2"/>
    <w:rsid w:val="003F4C67"/>
    <w:rsid w:val="003F4D3A"/>
    <w:rsid w:val="003F4EBC"/>
    <w:rsid w:val="003F50A5"/>
    <w:rsid w:val="003F5257"/>
    <w:rsid w:val="003F5260"/>
    <w:rsid w:val="003F53C1"/>
    <w:rsid w:val="003F53C5"/>
    <w:rsid w:val="003F5447"/>
    <w:rsid w:val="003F55BF"/>
    <w:rsid w:val="003F5601"/>
    <w:rsid w:val="003F563C"/>
    <w:rsid w:val="003F5719"/>
    <w:rsid w:val="003F57FE"/>
    <w:rsid w:val="003F5A38"/>
    <w:rsid w:val="003F5A3E"/>
    <w:rsid w:val="003F5BAE"/>
    <w:rsid w:val="003F5C53"/>
    <w:rsid w:val="003F5CBD"/>
    <w:rsid w:val="003F5D36"/>
    <w:rsid w:val="003F5D8A"/>
    <w:rsid w:val="003F5DB3"/>
    <w:rsid w:val="003F63DA"/>
    <w:rsid w:val="003F640A"/>
    <w:rsid w:val="003F6472"/>
    <w:rsid w:val="003F64DD"/>
    <w:rsid w:val="003F66F4"/>
    <w:rsid w:val="003F6775"/>
    <w:rsid w:val="003F67D5"/>
    <w:rsid w:val="003F67D9"/>
    <w:rsid w:val="003F67FE"/>
    <w:rsid w:val="003F6851"/>
    <w:rsid w:val="003F6882"/>
    <w:rsid w:val="003F6AA0"/>
    <w:rsid w:val="003F6AEC"/>
    <w:rsid w:val="003F6B50"/>
    <w:rsid w:val="003F6BD9"/>
    <w:rsid w:val="003F6CF5"/>
    <w:rsid w:val="003F6DD9"/>
    <w:rsid w:val="003F6F1E"/>
    <w:rsid w:val="003F6FE3"/>
    <w:rsid w:val="003F70C5"/>
    <w:rsid w:val="003F70EB"/>
    <w:rsid w:val="003F71F2"/>
    <w:rsid w:val="003F7323"/>
    <w:rsid w:val="003F7426"/>
    <w:rsid w:val="003F7473"/>
    <w:rsid w:val="003F7486"/>
    <w:rsid w:val="003F7611"/>
    <w:rsid w:val="003F7621"/>
    <w:rsid w:val="003F7738"/>
    <w:rsid w:val="003F780C"/>
    <w:rsid w:val="003F7816"/>
    <w:rsid w:val="003F791F"/>
    <w:rsid w:val="003F7A93"/>
    <w:rsid w:val="003F7AC3"/>
    <w:rsid w:val="003F7B4B"/>
    <w:rsid w:val="003F7CDC"/>
    <w:rsid w:val="003F7D4B"/>
    <w:rsid w:val="003F7E4A"/>
    <w:rsid w:val="003F7E93"/>
    <w:rsid w:val="003F7FBC"/>
    <w:rsid w:val="00400217"/>
    <w:rsid w:val="00400261"/>
    <w:rsid w:val="00400524"/>
    <w:rsid w:val="00400549"/>
    <w:rsid w:val="004005A7"/>
    <w:rsid w:val="004005E9"/>
    <w:rsid w:val="004005F2"/>
    <w:rsid w:val="004006FC"/>
    <w:rsid w:val="00400746"/>
    <w:rsid w:val="0040078A"/>
    <w:rsid w:val="004008C1"/>
    <w:rsid w:val="00400A6A"/>
    <w:rsid w:val="00400A91"/>
    <w:rsid w:val="00400B41"/>
    <w:rsid w:val="00400C50"/>
    <w:rsid w:val="00400D85"/>
    <w:rsid w:val="00400DAF"/>
    <w:rsid w:val="00400E05"/>
    <w:rsid w:val="00400F74"/>
    <w:rsid w:val="00400FCA"/>
    <w:rsid w:val="00401222"/>
    <w:rsid w:val="00401278"/>
    <w:rsid w:val="00401326"/>
    <w:rsid w:val="0040150D"/>
    <w:rsid w:val="00401799"/>
    <w:rsid w:val="0040199E"/>
    <w:rsid w:val="004019B2"/>
    <w:rsid w:val="00401A18"/>
    <w:rsid w:val="00401CBE"/>
    <w:rsid w:val="00401D43"/>
    <w:rsid w:val="00401E3E"/>
    <w:rsid w:val="0040207D"/>
    <w:rsid w:val="00402145"/>
    <w:rsid w:val="0040224F"/>
    <w:rsid w:val="00402328"/>
    <w:rsid w:val="0040241F"/>
    <w:rsid w:val="00402507"/>
    <w:rsid w:val="00402542"/>
    <w:rsid w:val="00402821"/>
    <w:rsid w:val="0040284E"/>
    <w:rsid w:val="00402BE1"/>
    <w:rsid w:val="00402BFB"/>
    <w:rsid w:val="00402DE8"/>
    <w:rsid w:val="00402E2F"/>
    <w:rsid w:val="00402E4D"/>
    <w:rsid w:val="00403057"/>
    <w:rsid w:val="004030F5"/>
    <w:rsid w:val="00403263"/>
    <w:rsid w:val="00403664"/>
    <w:rsid w:val="00403728"/>
    <w:rsid w:val="004038D6"/>
    <w:rsid w:val="00403927"/>
    <w:rsid w:val="00403AA6"/>
    <w:rsid w:val="00403BBA"/>
    <w:rsid w:val="00403C0E"/>
    <w:rsid w:val="00403C1B"/>
    <w:rsid w:val="00403CE5"/>
    <w:rsid w:val="00403DCC"/>
    <w:rsid w:val="00403E05"/>
    <w:rsid w:val="0040403F"/>
    <w:rsid w:val="00404090"/>
    <w:rsid w:val="004041A4"/>
    <w:rsid w:val="004041D5"/>
    <w:rsid w:val="00404216"/>
    <w:rsid w:val="0040422A"/>
    <w:rsid w:val="00404260"/>
    <w:rsid w:val="0040446D"/>
    <w:rsid w:val="004045E1"/>
    <w:rsid w:val="00404614"/>
    <w:rsid w:val="0040464B"/>
    <w:rsid w:val="00404695"/>
    <w:rsid w:val="004046D3"/>
    <w:rsid w:val="004047B0"/>
    <w:rsid w:val="00404802"/>
    <w:rsid w:val="00404888"/>
    <w:rsid w:val="00404A5C"/>
    <w:rsid w:val="00404C12"/>
    <w:rsid w:val="00404C8D"/>
    <w:rsid w:val="00404D76"/>
    <w:rsid w:val="00404DF9"/>
    <w:rsid w:val="00404E99"/>
    <w:rsid w:val="00405020"/>
    <w:rsid w:val="00405167"/>
    <w:rsid w:val="00405359"/>
    <w:rsid w:val="00405369"/>
    <w:rsid w:val="0040558A"/>
    <w:rsid w:val="0040568F"/>
    <w:rsid w:val="00405747"/>
    <w:rsid w:val="004057E7"/>
    <w:rsid w:val="00405832"/>
    <w:rsid w:val="00405861"/>
    <w:rsid w:val="00405AEF"/>
    <w:rsid w:val="00405B37"/>
    <w:rsid w:val="00405CC3"/>
    <w:rsid w:val="00405CFF"/>
    <w:rsid w:val="00405D70"/>
    <w:rsid w:val="00405ECF"/>
    <w:rsid w:val="00405F6C"/>
    <w:rsid w:val="004060C8"/>
    <w:rsid w:val="00406153"/>
    <w:rsid w:val="0040623F"/>
    <w:rsid w:val="0040659D"/>
    <w:rsid w:val="004067C6"/>
    <w:rsid w:val="004067D2"/>
    <w:rsid w:val="0040684D"/>
    <w:rsid w:val="00406A33"/>
    <w:rsid w:val="00406A58"/>
    <w:rsid w:val="00406AC5"/>
    <w:rsid w:val="00406BB6"/>
    <w:rsid w:val="00406BE9"/>
    <w:rsid w:val="00407009"/>
    <w:rsid w:val="0040710A"/>
    <w:rsid w:val="0040714C"/>
    <w:rsid w:val="00407158"/>
    <w:rsid w:val="004071AC"/>
    <w:rsid w:val="004075EA"/>
    <w:rsid w:val="00407707"/>
    <w:rsid w:val="00407732"/>
    <w:rsid w:val="004078A7"/>
    <w:rsid w:val="00407945"/>
    <w:rsid w:val="00407D6E"/>
    <w:rsid w:val="00407FF3"/>
    <w:rsid w:val="0041016F"/>
    <w:rsid w:val="004104EF"/>
    <w:rsid w:val="004105C9"/>
    <w:rsid w:val="004106E7"/>
    <w:rsid w:val="004107AE"/>
    <w:rsid w:val="004107C6"/>
    <w:rsid w:val="0041091D"/>
    <w:rsid w:val="00410A15"/>
    <w:rsid w:val="00410A3A"/>
    <w:rsid w:val="00410A9C"/>
    <w:rsid w:val="00410BAA"/>
    <w:rsid w:val="00410D2C"/>
    <w:rsid w:val="00410DD6"/>
    <w:rsid w:val="00410E46"/>
    <w:rsid w:val="00410EC0"/>
    <w:rsid w:val="00410FDE"/>
    <w:rsid w:val="00411014"/>
    <w:rsid w:val="00411163"/>
    <w:rsid w:val="00411443"/>
    <w:rsid w:val="00411560"/>
    <w:rsid w:val="00411688"/>
    <w:rsid w:val="00411912"/>
    <w:rsid w:val="00411992"/>
    <w:rsid w:val="00411A1B"/>
    <w:rsid w:val="00411AA5"/>
    <w:rsid w:val="00411AF3"/>
    <w:rsid w:val="00411B2F"/>
    <w:rsid w:val="00411BC5"/>
    <w:rsid w:val="00411BCF"/>
    <w:rsid w:val="00411D36"/>
    <w:rsid w:val="00411E8A"/>
    <w:rsid w:val="00412020"/>
    <w:rsid w:val="0041214F"/>
    <w:rsid w:val="00412315"/>
    <w:rsid w:val="004127A4"/>
    <w:rsid w:val="004129E5"/>
    <w:rsid w:val="00412C37"/>
    <w:rsid w:val="00412D98"/>
    <w:rsid w:val="00412E87"/>
    <w:rsid w:val="004130D3"/>
    <w:rsid w:val="004132B0"/>
    <w:rsid w:val="004133C0"/>
    <w:rsid w:val="004135CF"/>
    <w:rsid w:val="004136DF"/>
    <w:rsid w:val="004136E8"/>
    <w:rsid w:val="00413756"/>
    <w:rsid w:val="00413942"/>
    <w:rsid w:val="00413A10"/>
    <w:rsid w:val="00413AC3"/>
    <w:rsid w:val="00413EAA"/>
    <w:rsid w:val="00413ECF"/>
    <w:rsid w:val="00413F0A"/>
    <w:rsid w:val="00413FEB"/>
    <w:rsid w:val="0041417F"/>
    <w:rsid w:val="0041422C"/>
    <w:rsid w:val="00414498"/>
    <w:rsid w:val="004144C1"/>
    <w:rsid w:val="00414534"/>
    <w:rsid w:val="004145CC"/>
    <w:rsid w:val="004148BD"/>
    <w:rsid w:val="00414951"/>
    <w:rsid w:val="00414A04"/>
    <w:rsid w:val="00414A7B"/>
    <w:rsid w:val="00414B42"/>
    <w:rsid w:val="00414BA1"/>
    <w:rsid w:val="00414BCB"/>
    <w:rsid w:val="00414CC5"/>
    <w:rsid w:val="00414DF2"/>
    <w:rsid w:val="00414F57"/>
    <w:rsid w:val="00415389"/>
    <w:rsid w:val="004154C4"/>
    <w:rsid w:val="00415587"/>
    <w:rsid w:val="00415611"/>
    <w:rsid w:val="00415833"/>
    <w:rsid w:val="004159A6"/>
    <w:rsid w:val="00415BA6"/>
    <w:rsid w:val="00415D14"/>
    <w:rsid w:val="00415E0F"/>
    <w:rsid w:val="00415E9C"/>
    <w:rsid w:val="00415FD4"/>
    <w:rsid w:val="00416003"/>
    <w:rsid w:val="004160B2"/>
    <w:rsid w:val="00416131"/>
    <w:rsid w:val="0041618E"/>
    <w:rsid w:val="00416238"/>
    <w:rsid w:val="00416248"/>
    <w:rsid w:val="004162A1"/>
    <w:rsid w:val="004162DC"/>
    <w:rsid w:val="00416335"/>
    <w:rsid w:val="00416415"/>
    <w:rsid w:val="0041649D"/>
    <w:rsid w:val="00416551"/>
    <w:rsid w:val="00416762"/>
    <w:rsid w:val="00416765"/>
    <w:rsid w:val="004167FB"/>
    <w:rsid w:val="00416A63"/>
    <w:rsid w:val="00416A7B"/>
    <w:rsid w:val="00416B34"/>
    <w:rsid w:val="00416C37"/>
    <w:rsid w:val="00416D31"/>
    <w:rsid w:val="00416D76"/>
    <w:rsid w:val="00416D93"/>
    <w:rsid w:val="00416EE1"/>
    <w:rsid w:val="00416EF1"/>
    <w:rsid w:val="00416EFE"/>
    <w:rsid w:val="0041701B"/>
    <w:rsid w:val="00417072"/>
    <w:rsid w:val="00417126"/>
    <w:rsid w:val="0041718C"/>
    <w:rsid w:val="00417228"/>
    <w:rsid w:val="00417272"/>
    <w:rsid w:val="0041734B"/>
    <w:rsid w:val="00417403"/>
    <w:rsid w:val="00417460"/>
    <w:rsid w:val="004174CF"/>
    <w:rsid w:val="0041751E"/>
    <w:rsid w:val="004176F9"/>
    <w:rsid w:val="004179B6"/>
    <w:rsid w:val="004179FD"/>
    <w:rsid w:val="00417B43"/>
    <w:rsid w:val="00417C03"/>
    <w:rsid w:val="00417CD6"/>
    <w:rsid w:val="00417DAE"/>
    <w:rsid w:val="00417FBC"/>
    <w:rsid w:val="00417FDE"/>
    <w:rsid w:val="00420061"/>
    <w:rsid w:val="00420184"/>
    <w:rsid w:val="00420320"/>
    <w:rsid w:val="0042032E"/>
    <w:rsid w:val="00420468"/>
    <w:rsid w:val="004205BB"/>
    <w:rsid w:val="00420686"/>
    <w:rsid w:val="004206AB"/>
    <w:rsid w:val="00420703"/>
    <w:rsid w:val="00420951"/>
    <w:rsid w:val="00420B7E"/>
    <w:rsid w:val="00420B91"/>
    <w:rsid w:val="00420C02"/>
    <w:rsid w:val="00420C48"/>
    <w:rsid w:val="00420CAE"/>
    <w:rsid w:val="00420EC3"/>
    <w:rsid w:val="00420FFE"/>
    <w:rsid w:val="004212DB"/>
    <w:rsid w:val="00421351"/>
    <w:rsid w:val="00421353"/>
    <w:rsid w:val="004214AB"/>
    <w:rsid w:val="0042183F"/>
    <w:rsid w:val="00421890"/>
    <w:rsid w:val="00421A95"/>
    <w:rsid w:val="00421AED"/>
    <w:rsid w:val="00421B4E"/>
    <w:rsid w:val="00421B93"/>
    <w:rsid w:val="00421D04"/>
    <w:rsid w:val="00421D9B"/>
    <w:rsid w:val="00421F5B"/>
    <w:rsid w:val="0042204D"/>
    <w:rsid w:val="004220D8"/>
    <w:rsid w:val="0042210F"/>
    <w:rsid w:val="00422150"/>
    <w:rsid w:val="004221F5"/>
    <w:rsid w:val="00422234"/>
    <w:rsid w:val="004223BA"/>
    <w:rsid w:val="0042250B"/>
    <w:rsid w:val="00422514"/>
    <w:rsid w:val="00422945"/>
    <w:rsid w:val="00422A54"/>
    <w:rsid w:val="00422A77"/>
    <w:rsid w:val="00422C51"/>
    <w:rsid w:val="00422C80"/>
    <w:rsid w:val="00422C92"/>
    <w:rsid w:val="00422F60"/>
    <w:rsid w:val="00422F69"/>
    <w:rsid w:val="00423099"/>
    <w:rsid w:val="0042322F"/>
    <w:rsid w:val="004232A4"/>
    <w:rsid w:val="004232C2"/>
    <w:rsid w:val="0042358C"/>
    <w:rsid w:val="00423596"/>
    <w:rsid w:val="004235E1"/>
    <w:rsid w:val="00423651"/>
    <w:rsid w:val="00423727"/>
    <w:rsid w:val="004237FF"/>
    <w:rsid w:val="004238CB"/>
    <w:rsid w:val="004238D7"/>
    <w:rsid w:val="0042398B"/>
    <w:rsid w:val="0042398D"/>
    <w:rsid w:val="00423994"/>
    <w:rsid w:val="004239E3"/>
    <w:rsid w:val="00423A67"/>
    <w:rsid w:val="00423ADB"/>
    <w:rsid w:val="00423AF8"/>
    <w:rsid w:val="00423B65"/>
    <w:rsid w:val="00423BCF"/>
    <w:rsid w:val="00423C45"/>
    <w:rsid w:val="00423CE8"/>
    <w:rsid w:val="00423E99"/>
    <w:rsid w:val="0042406B"/>
    <w:rsid w:val="0042406F"/>
    <w:rsid w:val="0042407E"/>
    <w:rsid w:val="004243C2"/>
    <w:rsid w:val="0042440C"/>
    <w:rsid w:val="00424664"/>
    <w:rsid w:val="00424786"/>
    <w:rsid w:val="0042480F"/>
    <w:rsid w:val="00424A3E"/>
    <w:rsid w:val="00424A8B"/>
    <w:rsid w:val="00424B46"/>
    <w:rsid w:val="00424B81"/>
    <w:rsid w:val="00424DC9"/>
    <w:rsid w:val="00424DD7"/>
    <w:rsid w:val="00424E82"/>
    <w:rsid w:val="00424EBC"/>
    <w:rsid w:val="00424EBE"/>
    <w:rsid w:val="00424F31"/>
    <w:rsid w:val="00425377"/>
    <w:rsid w:val="004253A0"/>
    <w:rsid w:val="0042543B"/>
    <w:rsid w:val="00425466"/>
    <w:rsid w:val="00425510"/>
    <w:rsid w:val="0042552E"/>
    <w:rsid w:val="00425612"/>
    <w:rsid w:val="004256CD"/>
    <w:rsid w:val="00425A59"/>
    <w:rsid w:val="00425BB8"/>
    <w:rsid w:val="00425BBC"/>
    <w:rsid w:val="00425C67"/>
    <w:rsid w:val="00425D6E"/>
    <w:rsid w:val="00425D90"/>
    <w:rsid w:val="00425D98"/>
    <w:rsid w:val="00425E19"/>
    <w:rsid w:val="00425E8C"/>
    <w:rsid w:val="00425E91"/>
    <w:rsid w:val="00425E9A"/>
    <w:rsid w:val="00426021"/>
    <w:rsid w:val="004260ED"/>
    <w:rsid w:val="004262EC"/>
    <w:rsid w:val="00426313"/>
    <w:rsid w:val="0042631C"/>
    <w:rsid w:val="00426408"/>
    <w:rsid w:val="00426655"/>
    <w:rsid w:val="004266A2"/>
    <w:rsid w:val="00426773"/>
    <w:rsid w:val="00426856"/>
    <w:rsid w:val="0042688A"/>
    <w:rsid w:val="0042699B"/>
    <w:rsid w:val="00426AAD"/>
    <w:rsid w:val="00426CD7"/>
    <w:rsid w:val="00426CF8"/>
    <w:rsid w:val="00426D61"/>
    <w:rsid w:val="00426D76"/>
    <w:rsid w:val="00426E48"/>
    <w:rsid w:val="00427124"/>
    <w:rsid w:val="004273C7"/>
    <w:rsid w:val="004273D3"/>
    <w:rsid w:val="004273F3"/>
    <w:rsid w:val="004274CA"/>
    <w:rsid w:val="0042775A"/>
    <w:rsid w:val="00427791"/>
    <w:rsid w:val="00427874"/>
    <w:rsid w:val="00427C64"/>
    <w:rsid w:val="00427D58"/>
    <w:rsid w:val="00427DC9"/>
    <w:rsid w:val="00427F2B"/>
    <w:rsid w:val="00427F41"/>
    <w:rsid w:val="00427F89"/>
    <w:rsid w:val="00427FC0"/>
    <w:rsid w:val="00430082"/>
    <w:rsid w:val="004301FA"/>
    <w:rsid w:val="0043022A"/>
    <w:rsid w:val="0043052A"/>
    <w:rsid w:val="00430555"/>
    <w:rsid w:val="0043074F"/>
    <w:rsid w:val="0043084E"/>
    <w:rsid w:val="00430CB5"/>
    <w:rsid w:val="00430E89"/>
    <w:rsid w:val="00430FC4"/>
    <w:rsid w:val="004312B5"/>
    <w:rsid w:val="00431476"/>
    <w:rsid w:val="00431585"/>
    <w:rsid w:val="004315AD"/>
    <w:rsid w:val="004315F4"/>
    <w:rsid w:val="00431A66"/>
    <w:rsid w:val="00431B6B"/>
    <w:rsid w:val="00431D4B"/>
    <w:rsid w:val="00431E79"/>
    <w:rsid w:val="00431EAA"/>
    <w:rsid w:val="004322C6"/>
    <w:rsid w:val="004322FA"/>
    <w:rsid w:val="004323CD"/>
    <w:rsid w:val="00432458"/>
    <w:rsid w:val="004324F6"/>
    <w:rsid w:val="0043258D"/>
    <w:rsid w:val="004325A6"/>
    <w:rsid w:val="004325E2"/>
    <w:rsid w:val="0043263C"/>
    <w:rsid w:val="004327B7"/>
    <w:rsid w:val="004327D3"/>
    <w:rsid w:val="00432835"/>
    <w:rsid w:val="0043285D"/>
    <w:rsid w:val="004328A5"/>
    <w:rsid w:val="00432982"/>
    <w:rsid w:val="00432A6B"/>
    <w:rsid w:val="00432BE9"/>
    <w:rsid w:val="00432CD3"/>
    <w:rsid w:val="00432E17"/>
    <w:rsid w:val="00432FCE"/>
    <w:rsid w:val="004330F3"/>
    <w:rsid w:val="004331C2"/>
    <w:rsid w:val="004333A1"/>
    <w:rsid w:val="004334DE"/>
    <w:rsid w:val="004334E1"/>
    <w:rsid w:val="00433615"/>
    <w:rsid w:val="0043364D"/>
    <w:rsid w:val="00433681"/>
    <w:rsid w:val="004336B6"/>
    <w:rsid w:val="004336D7"/>
    <w:rsid w:val="00433775"/>
    <w:rsid w:val="00433806"/>
    <w:rsid w:val="004338C1"/>
    <w:rsid w:val="00433909"/>
    <w:rsid w:val="00433B3A"/>
    <w:rsid w:val="00433BA5"/>
    <w:rsid w:val="00433BB9"/>
    <w:rsid w:val="00433D09"/>
    <w:rsid w:val="00434017"/>
    <w:rsid w:val="0043416E"/>
    <w:rsid w:val="004341B1"/>
    <w:rsid w:val="00434241"/>
    <w:rsid w:val="004342C1"/>
    <w:rsid w:val="0043441D"/>
    <w:rsid w:val="0043446A"/>
    <w:rsid w:val="004344C5"/>
    <w:rsid w:val="00434547"/>
    <w:rsid w:val="004345FC"/>
    <w:rsid w:val="0043478A"/>
    <w:rsid w:val="004347D5"/>
    <w:rsid w:val="00434856"/>
    <w:rsid w:val="004348B9"/>
    <w:rsid w:val="00434A2B"/>
    <w:rsid w:val="00434A6B"/>
    <w:rsid w:val="00434C64"/>
    <w:rsid w:val="00434DD1"/>
    <w:rsid w:val="00434E43"/>
    <w:rsid w:val="00434F31"/>
    <w:rsid w:val="0043521C"/>
    <w:rsid w:val="00435632"/>
    <w:rsid w:val="004356D5"/>
    <w:rsid w:val="00435749"/>
    <w:rsid w:val="004358BC"/>
    <w:rsid w:val="004359BC"/>
    <w:rsid w:val="00435A96"/>
    <w:rsid w:val="00435C1A"/>
    <w:rsid w:val="00435E95"/>
    <w:rsid w:val="0043604E"/>
    <w:rsid w:val="004360D6"/>
    <w:rsid w:val="00436241"/>
    <w:rsid w:val="0043656F"/>
    <w:rsid w:val="00436580"/>
    <w:rsid w:val="00436638"/>
    <w:rsid w:val="00436779"/>
    <w:rsid w:val="0043677C"/>
    <w:rsid w:val="004367ED"/>
    <w:rsid w:val="004367FA"/>
    <w:rsid w:val="00436874"/>
    <w:rsid w:val="00436898"/>
    <w:rsid w:val="00436988"/>
    <w:rsid w:val="00436AF9"/>
    <w:rsid w:val="00436D31"/>
    <w:rsid w:val="00436E2F"/>
    <w:rsid w:val="00436F09"/>
    <w:rsid w:val="00436F78"/>
    <w:rsid w:val="004371C9"/>
    <w:rsid w:val="004372CF"/>
    <w:rsid w:val="00437371"/>
    <w:rsid w:val="00437388"/>
    <w:rsid w:val="0043745F"/>
    <w:rsid w:val="0043755B"/>
    <w:rsid w:val="00437640"/>
    <w:rsid w:val="00437714"/>
    <w:rsid w:val="004377EE"/>
    <w:rsid w:val="00437925"/>
    <w:rsid w:val="00437974"/>
    <w:rsid w:val="00437990"/>
    <w:rsid w:val="004379B1"/>
    <w:rsid w:val="00437A51"/>
    <w:rsid w:val="00437B47"/>
    <w:rsid w:val="00437D03"/>
    <w:rsid w:val="00437DFC"/>
    <w:rsid w:val="00437E4F"/>
    <w:rsid w:val="0044033B"/>
    <w:rsid w:val="00440405"/>
    <w:rsid w:val="00440440"/>
    <w:rsid w:val="00440456"/>
    <w:rsid w:val="004405E7"/>
    <w:rsid w:val="0044092B"/>
    <w:rsid w:val="0044098B"/>
    <w:rsid w:val="00440A77"/>
    <w:rsid w:val="00440AB5"/>
    <w:rsid w:val="00440AC2"/>
    <w:rsid w:val="00440D82"/>
    <w:rsid w:val="00441140"/>
    <w:rsid w:val="004412AE"/>
    <w:rsid w:val="0044157F"/>
    <w:rsid w:val="004415E1"/>
    <w:rsid w:val="004416B4"/>
    <w:rsid w:val="00441743"/>
    <w:rsid w:val="004417E0"/>
    <w:rsid w:val="004417EA"/>
    <w:rsid w:val="00441848"/>
    <w:rsid w:val="0044190D"/>
    <w:rsid w:val="00441CB0"/>
    <w:rsid w:val="00441EA1"/>
    <w:rsid w:val="00441F3A"/>
    <w:rsid w:val="0044202D"/>
    <w:rsid w:val="0044215A"/>
    <w:rsid w:val="004421AB"/>
    <w:rsid w:val="004421B7"/>
    <w:rsid w:val="0044228A"/>
    <w:rsid w:val="004422B5"/>
    <w:rsid w:val="00442359"/>
    <w:rsid w:val="004423DE"/>
    <w:rsid w:val="004425A5"/>
    <w:rsid w:val="004425B4"/>
    <w:rsid w:val="0044264F"/>
    <w:rsid w:val="004426AC"/>
    <w:rsid w:val="004426F9"/>
    <w:rsid w:val="0044272E"/>
    <w:rsid w:val="00442899"/>
    <w:rsid w:val="0044291C"/>
    <w:rsid w:val="00442B8B"/>
    <w:rsid w:val="00442C21"/>
    <w:rsid w:val="00442E16"/>
    <w:rsid w:val="00442F17"/>
    <w:rsid w:val="00442FBA"/>
    <w:rsid w:val="00443087"/>
    <w:rsid w:val="00443160"/>
    <w:rsid w:val="004431EE"/>
    <w:rsid w:val="00443391"/>
    <w:rsid w:val="00443490"/>
    <w:rsid w:val="0044358F"/>
    <w:rsid w:val="0044370D"/>
    <w:rsid w:val="004439D3"/>
    <w:rsid w:val="00443A35"/>
    <w:rsid w:val="00443B23"/>
    <w:rsid w:val="00443B3A"/>
    <w:rsid w:val="00443B48"/>
    <w:rsid w:val="00443B56"/>
    <w:rsid w:val="00443BC9"/>
    <w:rsid w:val="00443CF7"/>
    <w:rsid w:val="00443D22"/>
    <w:rsid w:val="00443E29"/>
    <w:rsid w:val="00444011"/>
    <w:rsid w:val="004442AF"/>
    <w:rsid w:val="00444388"/>
    <w:rsid w:val="00444491"/>
    <w:rsid w:val="00444522"/>
    <w:rsid w:val="0044466A"/>
    <w:rsid w:val="00444768"/>
    <w:rsid w:val="0044492F"/>
    <w:rsid w:val="00444B70"/>
    <w:rsid w:val="00444BAA"/>
    <w:rsid w:val="00444D7C"/>
    <w:rsid w:val="00444DC6"/>
    <w:rsid w:val="00444E24"/>
    <w:rsid w:val="00444E8F"/>
    <w:rsid w:val="00444F25"/>
    <w:rsid w:val="00444F53"/>
    <w:rsid w:val="0044523B"/>
    <w:rsid w:val="00445265"/>
    <w:rsid w:val="00445392"/>
    <w:rsid w:val="004453AF"/>
    <w:rsid w:val="00445418"/>
    <w:rsid w:val="0044550A"/>
    <w:rsid w:val="0044568D"/>
    <w:rsid w:val="004457C2"/>
    <w:rsid w:val="004458A4"/>
    <w:rsid w:val="004458B9"/>
    <w:rsid w:val="00445964"/>
    <w:rsid w:val="00445A1E"/>
    <w:rsid w:val="00445B18"/>
    <w:rsid w:val="00445BC2"/>
    <w:rsid w:val="00445DF2"/>
    <w:rsid w:val="00445EB3"/>
    <w:rsid w:val="00445FE1"/>
    <w:rsid w:val="0044605C"/>
    <w:rsid w:val="0044607B"/>
    <w:rsid w:val="0044636D"/>
    <w:rsid w:val="004463C2"/>
    <w:rsid w:val="00446406"/>
    <w:rsid w:val="004465DD"/>
    <w:rsid w:val="004465FF"/>
    <w:rsid w:val="004466E7"/>
    <w:rsid w:val="0044692E"/>
    <w:rsid w:val="00446A91"/>
    <w:rsid w:val="00446ADC"/>
    <w:rsid w:val="00446C04"/>
    <w:rsid w:val="00446C12"/>
    <w:rsid w:val="00446D76"/>
    <w:rsid w:val="00446E97"/>
    <w:rsid w:val="00446EA4"/>
    <w:rsid w:val="00446F91"/>
    <w:rsid w:val="00447047"/>
    <w:rsid w:val="004470FD"/>
    <w:rsid w:val="004474B8"/>
    <w:rsid w:val="00447545"/>
    <w:rsid w:val="0044754F"/>
    <w:rsid w:val="004475C4"/>
    <w:rsid w:val="00447731"/>
    <w:rsid w:val="00447AEA"/>
    <w:rsid w:val="00447B5A"/>
    <w:rsid w:val="00447BF8"/>
    <w:rsid w:val="00447D80"/>
    <w:rsid w:val="00447FCB"/>
    <w:rsid w:val="00450077"/>
    <w:rsid w:val="0045023C"/>
    <w:rsid w:val="00450309"/>
    <w:rsid w:val="00450319"/>
    <w:rsid w:val="00450363"/>
    <w:rsid w:val="00450527"/>
    <w:rsid w:val="00450559"/>
    <w:rsid w:val="004505E9"/>
    <w:rsid w:val="0045064C"/>
    <w:rsid w:val="004506DB"/>
    <w:rsid w:val="00450850"/>
    <w:rsid w:val="004508B8"/>
    <w:rsid w:val="004508DF"/>
    <w:rsid w:val="00450B5B"/>
    <w:rsid w:val="00450B72"/>
    <w:rsid w:val="00450C23"/>
    <w:rsid w:val="00450C74"/>
    <w:rsid w:val="00450DDA"/>
    <w:rsid w:val="00450E3A"/>
    <w:rsid w:val="00450E67"/>
    <w:rsid w:val="004513A4"/>
    <w:rsid w:val="00451491"/>
    <w:rsid w:val="004514B3"/>
    <w:rsid w:val="00451538"/>
    <w:rsid w:val="004516F2"/>
    <w:rsid w:val="004516F3"/>
    <w:rsid w:val="00451740"/>
    <w:rsid w:val="00451821"/>
    <w:rsid w:val="004519D1"/>
    <w:rsid w:val="004519E0"/>
    <w:rsid w:val="00451B98"/>
    <w:rsid w:val="00451C59"/>
    <w:rsid w:val="00451FA4"/>
    <w:rsid w:val="00451FCA"/>
    <w:rsid w:val="00451FE4"/>
    <w:rsid w:val="00452024"/>
    <w:rsid w:val="00452160"/>
    <w:rsid w:val="00452348"/>
    <w:rsid w:val="004523DA"/>
    <w:rsid w:val="0045254E"/>
    <w:rsid w:val="00452878"/>
    <w:rsid w:val="004528AE"/>
    <w:rsid w:val="00452929"/>
    <w:rsid w:val="00452963"/>
    <w:rsid w:val="004529AA"/>
    <w:rsid w:val="004529AF"/>
    <w:rsid w:val="00452A04"/>
    <w:rsid w:val="00452A6C"/>
    <w:rsid w:val="00452B8C"/>
    <w:rsid w:val="00452C9B"/>
    <w:rsid w:val="00452C9E"/>
    <w:rsid w:val="00452EEA"/>
    <w:rsid w:val="00452F8A"/>
    <w:rsid w:val="004531D3"/>
    <w:rsid w:val="0045326D"/>
    <w:rsid w:val="0045349E"/>
    <w:rsid w:val="004535F7"/>
    <w:rsid w:val="00453717"/>
    <w:rsid w:val="0045375F"/>
    <w:rsid w:val="004538B8"/>
    <w:rsid w:val="004539A2"/>
    <w:rsid w:val="00453AA5"/>
    <w:rsid w:val="00453B74"/>
    <w:rsid w:val="00453C2C"/>
    <w:rsid w:val="00453D33"/>
    <w:rsid w:val="00453E8F"/>
    <w:rsid w:val="00453FAD"/>
    <w:rsid w:val="00454083"/>
    <w:rsid w:val="00454115"/>
    <w:rsid w:val="00454271"/>
    <w:rsid w:val="0045440F"/>
    <w:rsid w:val="004544A6"/>
    <w:rsid w:val="004544E0"/>
    <w:rsid w:val="00454640"/>
    <w:rsid w:val="00454647"/>
    <w:rsid w:val="004546A7"/>
    <w:rsid w:val="004547D4"/>
    <w:rsid w:val="00454814"/>
    <w:rsid w:val="00454980"/>
    <w:rsid w:val="00454A3B"/>
    <w:rsid w:val="00454B7C"/>
    <w:rsid w:val="00454DFD"/>
    <w:rsid w:val="00454E86"/>
    <w:rsid w:val="00454FD2"/>
    <w:rsid w:val="00455095"/>
    <w:rsid w:val="00455181"/>
    <w:rsid w:val="004551D2"/>
    <w:rsid w:val="004552E0"/>
    <w:rsid w:val="00455336"/>
    <w:rsid w:val="00455392"/>
    <w:rsid w:val="004553AD"/>
    <w:rsid w:val="004553D9"/>
    <w:rsid w:val="004555DE"/>
    <w:rsid w:val="0045571E"/>
    <w:rsid w:val="004557D4"/>
    <w:rsid w:val="00455857"/>
    <w:rsid w:val="00455873"/>
    <w:rsid w:val="00455931"/>
    <w:rsid w:val="0045594D"/>
    <w:rsid w:val="00455993"/>
    <w:rsid w:val="004559CE"/>
    <w:rsid w:val="00455D0A"/>
    <w:rsid w:val="00455E7B"/>
    <w:rsid w:val="00455F3D"/>
    <w:rsid w:val="004560A7"/>
    <w:rsid w:val="004561F7"/>
    <w:rsid w:val="004563F0"/>
    <w:rsid w:val="00456502"/>
    <w:rsid w:val="0045657D"/>
    <w:rsid w:val="0045663E"/>
    <w:rsid w:val="004566E4"/>
    <w:rsid w:val="004566F4"/>
    <w:rsid w:val="004567D7"/>
    <w:rsid w:val="00456A88"/>
    <w:rsid w:val="00456BDA"/>
    <w:rsid w:val="00456C83"/>
    <w:rsid w:val="00456CFE"/>
    <w:rsid w:val="00456EF9"/>
    <w:rsid w:val="00456FAF"/>
    <w:rsid w:val="00457093"/>
    <w:rsid w:val="0045711C"/>
    <w:rsid w:val="0045713C"/>
    <w:rsid w:val="0045727C"/>
    <w:rsid w:val="004572CB"/>
    <w:rsid w:val="004572DD"/>
    <w:rsid w:val="004573B9"/>
    <w:rsid w:val="004573C4"/>
    <w:rsid w:val="004575AB"/>
    <w:rsid w:val="004575C5"/>
    <w:rsid w:val="00457970"/>
    <w:rsid w:val="00457ACC"/>
    <w:rsid w:val="00457ADC"/>
    <w:rsid w:val="00457AF0"/>
    <w:rsid w:val="00457BA8"/>
    <w:rsid w:val="00457CB5"/>
    <w:rsid w:val="00457DC9"/>
    <w:rsid w:val="00457F98"/>
    <w:rsid w:val="00460113"/>
    <w:rsid w:val="004603D3"/>
    <w:rsid w:val="0046042A"/>
    <w:rsid w:val="0046074A"/>
    <w:rsid w:val="004607F7"/>
    <w:rsid w:val="004609F9"/>
    <w:rsid w:val="00460C89"/>
    <w:rsid w:val="00460D62"/>
    <w:rsid w:val="00460EA0"/>
    <w:rsid w:val="00460F4C"/>
    <w:rsid w:val="00460F7E"/>
    <w:rsid w:val="00460F91"/>
    <w:rsid w:val="004610AB"/>
    <w:rsid w:val="004610D5"/>
    <w:rsid w:val="0046113A"/>
    <w:rsid w:val="0046126A"/>
    <w:rsid w:val="004613BF"/>
    <w:rsid w:val="0046164E"/>
    <w:rsid w:val="004616DF"/>
    <w:rsid w:val="00461746"/>
    <w:rsid w:val="00461803"/>
    <w:rsid w:val="00461A3B"/>
    <w:rsid w:val="00461B07"/>
    <w:rsid w:val="00461BA3"/>
    <w:rsid w:val="00461BA5"/>
    <w:rsid w:val="00461BE4"/>
    <w:rsid w:val="00461CA8"/>
    <w:rsid w:val="00461CFD"/>
    <w:rsid w:val="00461D69"/>
    <w:rsid w:val="00461E8F"/>
    <w:rsid w:val="0046202F"/>
    <w:rsid w:val="0046210B"/>
    <w:rsid w:val="004621AA"/>
    <w:rsid w:val="00462502"/>
    <w:rsid w:val="004625A7"/>
    <w:rsid w:val="00462692"/>
    <w:rsid w:val="00462A08"/>
    <w:rsid w:val="00462AFD"/>
    <w:rsid w:val="00462BCE"/>
    <w:rsid w:val="00462DA2"/>
    <w:rsid w:val="00462DBB"/>
    <w:rsid w:val="00463013"/>
    <w:rsid w:val="00463339"/>
    <w:rsid w:val="004633B8"/>
    <w:rsid w:val="00463402"/>
    <w:rsid w:val="00463495"/>
    <w:rsid w:val="00463577"/>
    <w:rsid w:val="004635C6"/>
    <w:rsid w:val="004636E0"/>
    <w:rsid w:val="00463790"/>
    <w:rsid w:val="0046390F"/>
    <w:rsid w:val="00463CEE"/>
    <w:rsid w:val="00463F11"/>
    <w:rsid w:val="00464010"/>
    <w:rsid w:val="0046401E"/>
    <w:rsid w:val="00464428"/>
    <w:rsid w:val="00464536"/>
    <w:rsid w:val="00464679"/>
    <w:rsid w:val="00464737"/>
    <w:rsid w:val="00464880"/>
    <w:rsid w:val="00464AAA"/>
    <w:rsid w:val="00464B94"/>
    <w:rsid w:val="00464C13"/>
    <w:rsid w:val="00464E30"/>
    <w:rsid w:val="00464FF2"/>
    <w:rsid w:val="004651A3"/>
    <w:rsid w:val="00465214"/>
    <w:rsid w:val="00465218"/>
    <w:rsid w:val="00465435"/>
    <w:rsid w:val="00465436"/>
    <w:rsid w:val="004654B2"/>
    <w:rsid w:val="00465512"/>
    <w:rsid w:val="004659AA"/>
    <w:rsid w:val="00465B22"/>
    <w:rsid w:val="00465F12"/>
    <w:rsid w:val="00466030"/>
    <w:rsid w:val="004660FF"/>
    <w:rsid w:val="00466184"/>
    <w:rsid w:val="00466606"/>
    <w:rsid w:val="00466769"/>
    <w:rsid w:val="00466964"/>
    <w:rsid w:val="00466992"/>
    <w:rsid w:val="00466B85"/>
    <w:rsid w:val="00466C43"/>
    <w:rsid w:val="00466E1F"/>
    <w:rsid w:val="00467008"/>
    <w:rsid w:val="004670AB"/>
    <w:rsid w:val="004670CF"/>
    <w:rsid w:val="0046721C"/>
    <w:rsid w:val="0046738A"/>
    <w:rsid w:val="004673FB"/>
    <w:rsid w:val="0046753B"/>
    <w:rsid w:val="00467540"/>
    <w:rsid w:val="004676F1"/>
    <w:rsid w:val="004679A0"/>
    <w:rsid w:val="00467A7C"/>
    <w:rsid w:val="00467BB2"/>
    <w:rsid w:val="00467BB9"/>
    <w:rsid w:val="00467C0C"/>
    <w:rsid w:val="004700BB"/>
    <w:rsid w:val="0047013A"/>
    <w:rsid w:val="004701BD"/>
    <w:rsid w:val="004702A1"/>
    <w:rsid w:val="00470465"/>
    <w:rsid w:val="0047054B"/>
    <w:rsid w:val="004705F4"/>
    <w:rsid w:val="0047072C"/>
    <w:rsid w:val="004708AD"/>
    <w:rsid w:val="004708E5"/>
    <w:rsid w:val="0047093E"/>
    <w:rsid w:val="00470B06"/>
    <w:rsid w:val="00470B71"/>
    <w:rsid w:val="00470C3F"/>
    <w:rsid w:val="00470D07"/>
    <w:rsid w:val="00470E6A"/>
    <w:rsid w:val="00470F51"/>
    <w:rsid w:val="00470F8A"/>
    <w:rsid w:val="00470FD3"/>
    <w:rsid w:val="0047133D"/>
    <w:rsid w:val="004714A9"/>
    <w:rsid w:val="0047157D"/>
    <w:rsid w:val="00471613"/>
    <w:rsid w:val="004716F2"/>
    <w:rsid w:val="0047171F"/>
    <w:rsid w:val="004718BE"/>
    <w:rsid w:val="004718EA"/>
    <w:rsid w:val="00471931"/>
    <w:rsid w:val="00471A37"/>
    <w:rsid w:val="00471B83"/>
    <w:rsid w:val="00471C15"/>
    <w:rsid w:val="00471C42"/>
    <w:rsid w:val="00471D41"/>
    <w:rsid w:val="00471D5F"/>
    <w:rsid w:val="00471E9A"/>
    <w:rsid w:val="00471ECC"/>
    <w:rsid w:val="00471F42"/>
    <w:rsid w:val="004720C4"/>
    <w:rsid w:val="004720EE"/>
    <w:rsid w:val="004721FD"/>
    <w:rsid w:val="004722A9"/>
    <w:rsid w:val="00472550"/>
    <w:rsid w:val="004726D8"/>
    <w:rsid w:val="004729D7"/>
    <w:rsid w:val="00472A07"/>
    <w:rsid w:val="00472D8B"/>
    <w:rsid w:val="00472F64"/>
    <w:rsid w:val="00472FA2"/>
    <w:rsid w:val="004730DB"/>
    <w:rsid w:val="00473251"/>
    <w:rsid w:val="00473290"/>
    <w:rsid w:val="004732F7"/>
    <w:rsid w:val="0047369C"/>
    <w:rsid w:val="004736DB"/>
    <w:rsid w:val="00473896"/>
    <w:rsid w:val="00473BCD"/>
    <w:rsid w:val="00473DFB"/>
    <w:rsid w:val="00473E51"/>
    <w:rsid w:val="004740AD"/>
    <w:rsid w:val="004741F6"/>
    <w:rsid w:val="0047421B"/>
    <w:rsid w:val="0047421C"/>
    <w:rsid w:val="00474415"/>
    <w:rsid w:val="00474690"/>
    <w:rsid w:val="00474693"/>
    <w:rsid w:val="00474877"/>
    <w:rsid w:val="00474A08"/>
    <w:rsid w:val="00474AD6"/>
    <w:rsid w:val="00474CAE"/>
    <w:rsid w:val="00474D36"/>
    <w:rsid w:val="00474D6D"/>
    <w:rsid w:val="00474D86"/>
    <w:rsid w:val="00474D8B"/>
    <w:rsid w:val="0047500B"/>
    <w:rsid w:val="004750B0"/>
    <w:rsid w:val="004752F2"/>
    <w:rsid w:val="00475336"/>
    <w:rsid w:val="00475375"/>
    <w:rsid w:val="004753E3"/>
    <w:rsid w:val="0047547C"/>
    <w:rsid w:val="00475642"/>
    <w:rsid w:val="004756A2"/>
    <w:rsid w:val="0047578A"/>
    <w:rsid w:val="004757B9"/>
    <w:rsid w:val="00475972"/>
    <w:rsid w:val="00475B31"/>
    <w:rsid w:val="00475B4B"/>
    <w:rsid w:val="00475B7B"/>
    <w:rsid w:val="00475CCF"/>
    <w:rsid w:val="00475CE8"/>
    <w:rsid w:val="00475E38"/>
    <w:rsid w:val="00475F4D"/>
    <w:rsid w:val="00476053"/>
    <w:rsid w:val="0047615E"/>
    <w:rsid w:val="004761BF"/>
    <w:rsid w:val="0047628F"/>
    <w:rsid w:val="0047662C"/>
    <w:rsid w:val="0047666E"/>
    <w:rsid w:val="00476821"/>
    <w:rsid w:val="004768D2"/>
    <w:rsid w:val="00476A68"/>
    <w:rsid w:val="00476B16"/>
    <w:rsid w:val="00476BB8"/>
    <w:rsid w:val="00476D3B"/>
    <w:rsid w:val="00476EFA"/>
    <w:rsid w:val="00476F34"/>
    <w:rsid w:val="00476FAD"/>
    <w:rsid w:val="00476FDD"/>
    <w:rsid w:val="00477045"/>
    <w:rsid w:val="00477067"/>
    <w:rsid w:val="00477116"/>
    <w:rsid w:val="00477324"/>
    <w:rsid w:val="004778AE"/>
    <w:rsid w:val="00477969"/>
    <w:rsid w:val="0047798E"/>
    <w:rsid w:val="004779E0"/>
    <w:rsid w:val="00477B10"/>
    <w:rsid w:val="00477BF1"/>
    <w:rsid w:val="00477C06"/>
    <w:rsid w:val="00477DB1"/>
    <w:rsid w:val="00477DBF"/>
    <w:rsid w:val="00477E06"/>
    <w:rsid w:val="00480024"/>
    <w:rsid w:val="00480120"/>
    <w:rsid w:val="0048015C"/>
    <w:rsid w:val="004801FB"/>
    <w:rsid w:val="0048020D"/>
    <w:rsid w:val="00480252"/>
    <w:rsid w:val="0048027B"/>
    <w:rsid w:val="004802A6"/>
    <w:rsid w:val="004802F8"/>
    <w:rsid w:val="0048041D"/>
    <w:rsid w:val="00480531"/>
    <w:rsid w:val="004805C8"/>
    <w:rsid w:val="0048061E"/>
    <w:rsid w:val="0048065B"/>
    <w:rsid w:val="0048067F"/>
    <w:rsid w:val="004806F8"/>
    <w:rsid w:val="004807D4"/>
    <w:rsid w:val="00480926"/>
    <w:rsid w:val="0048092A"/>
    <w:rsid w:val="00480CBC"/>
    <w:rsid w:val="00480E25"/>
    <w:rsid w:val="004810C8"/>
    <w:rsid w:val="0048129D"/>
    <w:rsid w:val="00481310"/>
    <w:rsid w:val="00481314"/>
    <w:rsid w:val="004814D4"/>
    <w:rsid w:val="00481539"/>
    <w:rsid w:val="004815A6"/>
    <w:rsid w:val="00481682"/>
    <w:rsid w:val="00481A6E"/>
    <w:rsid w:val="00481B82"/>
    <w:rsid w:val="00481C9A"/>
    <w:rsid w:val="00481F03"/>
    <w:rsid w:val="00482004"/>
    <w:rsid w:val="004821E8"/>
    <w:rsid w:val="00482237"/>
    <w:rsid w:val="0048233D"/>
    <w:rsid w:val="00482388"/>
    <w:rsid w:val="00482410"/>
    <w:rsid w:val="004824C2"/>
    <w:rsid w:val="0048269F"/>
    <w:rsid w:val="00482887"/>
    <w:rsid w:val="00482951"/>
    <w:rsid w:val="00482963"/>
    <w:rsid w:val="00482AD1"/>
    <w:rsid w:val="00482B89"/>
    <w:rsid w:val="00482D65"/>
    <w:rsid w:val="00482DA9"/>
    <w:rsid w:val="00482E35"/>
    <w:rsid w:val="00482E79"/>
    <w:rsid w:val="00482EDC"/>
    <w:rsid w:val="00482FEF"/>
    <w:rsid w:val="00483049"/>
    <w:rsid w:val="004830B8"/>
    <w:rsid w:val="0048310F"/>
    <w:rsid w:val="00483233"/>
    <w:rsid w:val="0048333E"/>
    <w:rsid w:val="00483447"/>
    <w:rsid w:val="004837D6"/>
    <w:rsid w:val="00483885"/>
    <w:rsid w:val="004838A1"/>
    <w:rsid w:val="00483A35"/>
    <w:rsid w:val="00483A7B"/>
    <w:rsid w:val="00483B99"/>
    <w:rsid w:val="00483F83"/>
    <w:rsid w:val="00484025"/>
    <w:rsid w:val="004840B6"/>
    <w:rsid w:val="004840E1"/>
    <w:rsid w:val="00484178"/>
    <w:rsid w:val="00484368"/>
    <w:rsid w:val="00484680"/>
    <w:rsid w:val="0048468D"/>
    <w:rsid w:val="0048492A"/>
    <w:rsid w:val="004849B4"/>
    <w:rsid w:val="004849F0"/>
    <w:rsid w:val="004849F8"/>
    <w:rsid w:val="00484C73"/>
    <w:rsid w:val="00484C79"/>
    <w:rsid w:val="00484D97"/>
    <w:rsid w:val="0048508C"/>
    <w:rsid w:val="004850AA"/>
    <w:rsid w:val="004850BE"/>
    <w:rsid w:val="00485103"/>
    <w:rsid w:val="0048532E"/>
    <w:rsid w:val="0048570F"/>
    <w:rsid w:val="0048573C"/>
    <w:rsid w:val="004857E3"/>
    <w:rsid w:val="004858B5"/>
    <w:rsid w:val="004859C0"/>
    <w:rsid w:val="00485A24"/>
    <w:rsid w:val="00485B7C"/>
    <w:rsid w:val="00485F0C"/>
    <w:rsid w:val="00486020"/>
    <w:rsid w:val="0048612A"/>
    <w:rsid w:val="004861CE"/>
    <w:rsid w:val="004863CA"/>
    <w:rsid w:val="00486599"/>
    <w:rsid w:val="0048675E"/>
    <w:rsid w:val="004869EF"/>
    <w:rsid w:val="00486B62"/>
    <w:rsid w:val="00486B84"/>
    <w:rsid w:val="00486BBC"/>
    <w:rsid w:val="00486CEC"/>
    <w:rsid w:val="00486CF4"/>
    <w:rsid w:val="00486D2D"/>
    <w:rsid w:val="00486EFF"/>
    <w:rsid w:val="004871EE"/>
    <w:rsid w:val="00487241"/>
    <w:rsid w:val="0048743A"/>
    <w:rsid w:val="0048756B"/>
    <w:rsid w:val="0048756E"/>
    <w:rsid w:val="00487611"/>
    <w:rsid w:val="0048774B"/>
    <w:rsid w:val="00487773"/>
    <w:rsid w:val="00487794"/>
    <w:rsid w:val="00487966"/>
    <w:rsid w:val="00487A01"/>
    <w:rsid w:val="00487A23"/>
    <w:rsid w:val="00487A49"/>
    <w:rsid w:val="00487B7C"/>
    <w:rsid w:val="00487B81"/>
    <w:rsid w:val="00487BFB"/>
    <w:rsid w:val="00487D57"/>
    <w:rsid w:val="00487EB6"/>
    <w:rsid w:val="00487EC2"/>
    <w:rsid w:val="00487EFB"/>
    <w:rsid w:val="00487F9A"/>
    <w:rsid w:val="00487FC7"/>
    <w:rsid w:val="004901B0"/>
    <w:rsid w:val="004902AE"/>
    <w:rsid w:val="00490350"/>
    <w:rsid w:val="004904BE"/>
    <w:rsid w:val="0049071C"/>
    <w:rsid w:val="0049085A"/>
    <w:rsid w:val="00490BF1"/>
    <w:rsid w:val="00490C09"/>
    <w:rsid w:val="00490C9F"/>
    <w:rsid w:val="00490E5E"/>
    <w:rsid w:val="00490EB9"/>
    <w:rsid w:val="00490EBD"/>
    <w:rsid w:val="004910E9"/>
    <w:rsid w:val="00491202"/>
    <w:rsid w:val="00491443"/>
    <w:rsid w:val="00491475"/>
    <w:rsid w:val="004914FF"/>
    <w:rsid w:val="00491687"/>
    <w:rsid w:val="004917F1"/>
    <w:rsid w:val="00491917"/>
    <w:rsid w:val="004919C1"/>
    <w:rsid w:val="00491AED"/>
    <w:rsid w:val="00491D76"/>
    <w:rsid w:val="004920C2"/>
    <w:rsid w:val="0049259E"/>
    <w:rsid w:val="00492612"/>
    <w:rsid w:val="004926AC"/>
    <w:rsid w:val="004926E0"/>
    <w:rsid w:val="0049273B"/>
    <w:rsid w:val="00492881"/>
    <w:rsid w:val="00492977"/>
    <w:rsid w:val="00492A1B"/>
    <w:rsid w:val="00492AEE"/>
    <w:rsid w:val="00492B13"/>
    <w:rsid w:val="00492C38"/>
    <w:rsid w:val="00492C4A"/>
    <w:rsid w:val="00492CC2"/>
    <w:rsid w:val="00492CDE"/>
    <w:rsid w:val="00492EB0"/>
    <w:rsid w:val="00492FCB"/>
    <w:rsid w:val="0049305A"/>
    <w:rsid w:val="0049305E"/>
    <w:rsid w:val="004930ED"/>
    <w:rsid w:val="004934A1"/>
    <w:rsid w:val="004934E9"/>
    <w:rsid w:val="00493672"/>
    <w:rsid w:val="004938D1"/>
    <w:rsid w:val="004938FC"/>
    <w:rsid w:val="00493920"/>
    <w:rsid w:val="004939B1"/>
    <w:rsid w:val="00493A2C"/>
    <w:rsid w:val="00493B03"/>
    <w:rsid w:val="00493B99"/>
    <w:rsid w:val="00493BAF"/>
    <w:rsid w:val="00493C77"/>
    <w:rsid w:val="00493D8D"/>
    <w:rsid w:val="00493DE5"/>
    <w:rsid w:val="00493FA6"/>
    <w:rsid w:val="0049401D"/>
    <w:rsid w:val="004942AC"/>
    <w:rsid w:val="004943A4"/>
    <w:rsid w:val="004943EE"/>
    <w:rsid w:val="004944BD"/>
    <w:rsid w:val="004944DF"/>
    <w:rsid w:val="004946E9"/>
    <w:rsid w:val="00494734"/>
    <w:rsid w:val="004947EC"/>
    <w:rsid w:val="00494BDB"/>
    <w:rsid w:val="00494CFA"/>
    <w:rsid w:val="00494E58"/>
    <w:rsid w:val="004950A2"/>
    <w:rsid w:val="004950C9"/>
    <w:rsid w:val="004951A8"/>
    <w:rsid w:val="004951B9"/>
    <w:rsid w:val="00495276"/>
    <w:rsid w:val="00495337"/>
    <w:rsid w:val="00495355"/>
    <w:rsid w:val="004954EC"/>
    <w:rsid w:val="004956FB"/>
    <w:rsid w:val="0049573A"/>
    <w:rsid w:val="0049573C"/>
    <w:rsid w:val="00495826"/>
    <w:rsid w:val="00495919"/>
    <w:rsid w:val="0049593D"/>
    <w:rsid w:val="00495E1B"/>
    <w:rsid w:val="00495E9F"/>
    <w:rsid w:val="00495EE4"/>
    <w:rsid w:val="00496020"/>
    <w:rsid w:val="00496078"/>
    <w:rsid w:val="0049629B"/>
    <w:rsid w:val="00496330"/>
    <w:rsid w:val="004965AE"/>
    <w:rsid w:val="004966C4"/>
    <w:rsid w:val="00496908"/>
    <w:rsid w:val="00496AAC"/>
    <w:rsid w:val="00496B58"/>
    <w:rsid w:val="00496C3D"/>
    <w:rsid w:val="00496D5D"/>
    <w:rsid w:val="00496EE8"/>
    <w:rsid w:val="00496EF3"/>
    <w:rsid w:val="00496F34"/>
    <w:rsid w:val="0049701A"/>
    <w:rsid w:val="00497021"/>
    <w:rsid w:val="00497035"/>
    <w:rsid w:val="0049709F"/>
    <w:rsid w:val="0049717C"/>
    <w:rsid w:val="0049742D"/>
    <w:rsid w:val="00497510"/>
    <w:rsid w:val="00497543"/>
    <w:rsid w:val="0049779C"/>
    <w:rsid w:val="0049797C"/>
    <w:rsid w:val="004979C0"/>
    <w:rsid w:val="00497A2B"/>
    <w:rsid w:val="00497A6F"/>
    <w:rsid w:val="00497A99"/>
    <w:rsid w:val="00497B4B"/>
    <w:rsid w:val="00497BC9"/>
    <w:rsid w:val="00497C46"/>
    <w:rsid w:val="00497C4A"/>
    <w:rsid w:val="00497CEF"/>
    <w:rsid w:val="00497CFC"/>
    <w:rsid w:val="00497D45"/>
    <w:rsid w:val="00497D75"/>
    <w:rsid w:val="00497DA8"/>
    <w:rsid w:val="00497F5A"/>
    <w:rsid w:val="004A01E1"/>
    <w:rsid w:val="004A02E4"/>
    <w:rsid w:val="004A03A1"/>
    <w:rsid w:val="004A04EF"/>
    <w:rsid w:val="004A053F"/>
    <w:rsid w:val="004A077D"/>
    <w:rsid w:val="004A0815"/>
    <w:rsid w:val="004A0AA2"/>
    <w:rsid w:val="004A0B34"/>
    <w:rsid w:val="004A0C47"/>
    <w:rsid w:val="004A0C4A"/>
    <w:rsid w:val="004A0D27"/>
    <w:rsid w:val="004A0D3B"/>
    <w:rsid w:val="004A0D5B"/>
    <w:rsid w:val="004A0D63"/>
    <w:rsid w:val="004A0DCF"/>
    <w:rsid w:val="004A10CF"/>
    <w:rsid w:val="004A1171"/>
    <w:rsid w:val="004A117D"/>
    <w:rsid w:val="004A1192"/>
    <w:rsid w:val="004A12DE"/>
    <w:rsid w:val="004A1376"/>
    <w:rsid w:val="004A159B"/>
    <w:rsid w:val="004A178A"/>
    <w:rsid w:val="004A18FF"/>
    <w:rsid w:val="004A1DC1"/>
    <w:rsid w:val="004A1E1C"/>
    <w:rsid w:val="004A1E97"/>
    <w:rsid w:val="004A204A"/>
    <w:rsid w:val="004A21CA"/>
    <w:rsid w:val="004A2247"/>
    <w:rsid w:val="004A2256"/>
    <w:rsid w:val="004A2352"/>
    <w:rsid w:val="004A243A"/>
    <w:rsid w:val="004A2443"/>
    <w:rsid w:val="004A250F"/>
    <w:rsid w:val="004A2581"/>
    <w:rsid w:val="004A265C"/>
    <w:rsid w:val="004A2740"/>
    <w:rsid w:val="004A276A"/>
    <w:rsid w:val="004A287D"/>
    <w:rsid w:val="004A2890"/>
    <w:rsid w:val="004A2AED"/>
    <w:rsid w:val="004A2B2D"/>
    <w:rsid w:val="004A2CB8"/>
    <w:rsid w:val="004A2D01"/>
    <w:rsid w:val="004A2F3C"/>
    <w:rsid w:val="004A30A2"/>
    <w:rsid w:val="004A3205"/>
    <w:rsid w:val="004A326F"/>
    <w:rsid w:val="004A32D8"/>
    <w:rsid w:val="004A35A1"/>
    <w:rsid w:val="004A3755"/>
    <w:rsid w:val="004A38ED"/>
    <w:rsid w:val="004A39C8"/>
    <w:rsid w:val="004A3AA9"/>
    <w:rsid w:val="004A3B7B"/>
    <w:rsid w:val="004A3BB0"/>
    <w:rsid w:val="004A3C1A"/>
    <w:rsid w:val="004A3D3F"/>
    <w:rsid w:val="004A3D78"/>
    <w:rsid w:val="004A3DD2"/>
    <w:rsid w:val="004A3E7D"/>
    <w:rsid w:val="004A3F66"/>
    <w:rsid w:val="004A402F"/>
    <w:rsid w:val="004A4075"/>
    <w:rsid w:val="004A4076"/>
    <w:rsid w:val="004A40D0"/>
    <w:rsid w:val="004A4161"/>
    <w:rsid w:val="004A4211"/>
    <w:rsid w:val="004A4507"/>
    <w:rsid w:val="004A452C"/>
    <w:rsid w:val="004A45F7"/>
    <w:rsid w:val="004A48D5"/>
    <w:rsid w:val="004A492F"/>
    <w:rsid w:val="004A4993"/>
    <w:rsid w:val="004A4A5D"/>
    <w:rsid w:val="004A4AFD"/>
    <w:rsid w:val="004A4C17"/>
    <w:rsid w:val="004A4D15"/>
    <w:rsid w:val="004A4D75"/>
    <w:rsid w:val="004A4F0C"/>
    <w:rsid w:val="004A4FCE"/>
    <w:rsid w:val="004A51D2"/>
    <w:rsid w:val="004A51FF"/>
    <w:rsid w:val="004A5246"/>
    <w:rsid w:val="004A525E"/>
    <w:rsid w:val="004A52A7"/>
    <w:rsid w:val="004A5467"/>
    <w:rsid w:val="004A55A1"/>
    <w:rsid w:val="004A56E5"/>
    <w:rsid w:val="004A58C3"/>
    <w:rsid w:val="004A598A"/>
    <w:rsid w:val="004A59E1"/>
    <w:rsid w:val="004A59F0"/>
    <w:rsid w:val="004A5A38"/>
    <w:rsid w:val="004A5A61"/>
    <w:rsid w:val="004A5AE1"/>
    <w:rsid w:val="004A5B91"/>
    <w:rsid w:val="004A5BBB"/>
    <w:rsid w:val="004A5C73"/>
    <w:rsid w:val="004A5C96"/>
    <w:rsid w:val="004A5CE1"/>
    <w:rsid w:val="004A5CE6"/>
    <w:rsid w:val="004A5EA9"/>
    <w:rsid w:val="004A5EAC"/>
    <w:rsid w:val="004A5EB0"/>
    <w:rsid w:val="004A5EE1"/>
    <w:rsid w:val="004A5F17"/>
    <w:rsid w:val="004A60F8"/>
    <w:rsid w:val="004A6175"/>
    <w:rsid w:val="004A6221"/>
    <w:rsid w:val="004A62F4"/>
    <w:rsid w:val="004A67C6"/>
    <w:rsid w:val="004A67E9"/>
    <w:rsid w:val="004A683D"/>
    <w:rsid w:val="004A6943"/>
    <w:rsid w:val="004A6959"/>
    <w:rsid w:val="004A6A77"/>
    <w:rsid w:val="004A6A89"/>
    <w:rsid w:val="004A6C9F"/>
    <w:rsid w:val="004A6DFF"/>
    <w:rsid w:val="004A7033"/>
    <w:rsid w:val="004A71F4"/>
    <w:rsid w:val="004A734C"/>
    <w:rsid w:val="004A7484"/>
    <w:rsid w:val="004A7625"/>
    <w:rsid w:val="004A7632"/>
    <w:rsid w:val="004A7779"/>
    <w:rsid w:val="004A7BC2"/>
    <w:rsid w:val="004A7D17"/>
    <w:rsid w:val="004A7D4F"/>
    <w:rsid w:val="004B00F0"/>
    <w:rsid w:val="004B018E"/>
    <w:rsid w:val="004B027D"/>
    <w:rsid w:val="004B0646"/>
    <w:rsid w:val="004B07BE"/>
    <w:rsid w:val="004B0921"/>
    <w:rsid w:val="004B0A44"/>
    <w:rsid w:val="004B0C6A"/>
    <w:rsid w:val="004B0C7B"/>
    <w:rsid w:val="004B0F65"/>
    <w:rsid w:val="004B10B5"/>
    <w:rsid w:val="004B1308"/>
    <w:rsid w:val="004B137A"/>
    <w:rsid w:val="004B1425"/>
    <w:rsid w:val="004B14BE"/>
    <w:rsid w:val="004B1741"/>
    <w:rsid w:val="004B174E"/>
    <w:rsid w:val="004B1770"/>
    <w:rsid w:val="004B1778"/>
    <w:rsid w:val="004B1824"/>
    <w:rsid w:val="004B18B2"/>
    <w:rsid w:val="004B1994"/>
    <w:rsid w:val="004B1B2C"/>
    <w:rsid w:val="004B1C91"/>
    <w:rsid w:val="004B1CAA"/>
    <w:rsid w:val="004B1DAD"/>
    <w:rsid w:val="004B1E15"/>
    <w:rsid w:val="004B1F69"/>
    <w:rsid w:val="004B2066"/>
    <w:rsid w:val="004B235F"/>
    <w:rsid w:val="004B23B4"/>
    <w:rsid w:val="004B23BB"/>
    <w:rsid w:val="004B24CF"/>
    <w:rsid w:val="004B24F7"/>
    <w:rsid w:val="004B254E"/>
    <w:rsid w:val="004B25BF"/>
    <w:rsid w:val="004B2752"/>
    <w:rsid w:val="004B280F"/>
    <w:rsid w:val="004B2EC2"/>
    <w:rsid w:val="004B2ECF"/>
    <w:rsid w:val="004B2F42"/>
    <w:rsid w:val="004B3110"/>
    <w:rsid w:val="004B335F"/>
    <w:rsid w:val="004B3497"/>
    <w:rsid w:val="004B3752"/>
    <w:rsid w:val="004B3A90"/>
    <w:rsid w:val="004B3C04"/>
    <w:rsid w:val="004B3C78"/>
    <w:rsid w:val="004B3D7A"/>
    <w:rsid w:val="004B3DB9"/>
    <w:rsid w:val="004B3FF3"/>
    <w:rsid w:val="004B40E2"/>
    <w:rsid w:val="004B415A"/>
    <w:rsid w:val="004B42F5"/>
    <w:rsid w:val="004B4340"/>
    <w:rsid w:val="004B43FE"/>
    <w:rsid w:val="004B44C1"/>
    <w:rsid w:val="004B4517"/>
    <w:rsid w:val="004B4527"/>
    <w:rsid w:val="004B45B7"/>
    <w:rsid w:val="004B462B"/>
    <w:rsid w:val="004B46D9"/>
    <w:rsid w:val="004B47E6"/>
    <w:rsid w:val="004B4B32"/>
    <w:rsid w:val="004B4D8E"/>
    <w:rsid w:val="004B4D9E"/>
    <w:rsid w:val="004B4E32"/>
    <w:rsid w:val="004B4EFF"/>
    <w:rsid w:val="004B4F47"/>
    <w:rsid w:val="004B5291"/>
    <w:rsid w:val="004B542E"/>
    <w:rsid w:val="004B5547"/>
    <w:rsid w:val="004B5626"/>
    <w:rsid w:val="004B5736"/>
    <w:rsid w:val="004B5915"/>
    <w:rsid w:val="004B5967"/>
    <w:rsid w:val="004B5D3D"/>
    <w:rsid w:val="004B5E4D"/>
    <w:rsid w:val="004B61E6"/>
    <w:rsid w:val="004B61EB"/>
    <w:rsid w:val="004B62A5"/>
    <w:rsid w:val="004B634E"/>
    <w:rsid w:val="004B66C4"/>
    <w:rsid w:val="004B67DF"/>
    <w:rsid w:val="004B691A"/>
    <w:rsid w:val="004B693E"/>
    <w:rsid w:val="004B6BBB"/>
    <w:rsid w:val="004B6C59"/>
    <w:rsid w:val="004B6D6E"/>
    <w:rsid w:val="004B6F34"/>
    <w:rsid w:val="004B710B"/>
    <w:rsid w:val="004B7220"/>
    <w:rsid w:val="004B7395"/>
    <w:rsid w:val="004B741D"/>
    <w:rsid w:val="004B7420"/>
    <w:rsid w:val="004B7436"/>
    <w:rsid w:val="004B75A9"/>
    <w:rsid w:val="004B75C6"/>
    <w:rsid w:val="004B760D"/>
    <w:rsid w:val="004B76E7"/>
    <w:rsid w:val="004B780D"/>
    <w:rsid w:val="004B7843"/>
    <w:rsid w:val="004B7898"/>
    <w:rsid w:val="004B79BA"/>
    <w:rsid w:val="004B7A7C"/>
    <w:rsid w:val="004B7BC0"/>
    <w:rsid w:val="004B7D82"/>
    <w:rsid w:val="004B7DA0"/>
    <w:rsid w:val="004B7F2A"/>
    <w:rsid w:val="004B7FB8"/>
    <w:rsid w:val="004C0073"/>
    <w:rsid w:val="004C008C"/>
    <w:rsid w:val="004C0256"/>
    <w:rsid w:val="004C0355"/>
    <w:rsid w:val="004C0356"/>
    <w:rsid w:val="004C0364"/>
    <w:rsid w:val="004C0430"/>
    <w:rsid w:val="004C04EC"/>
    <w:rsid w:val="004C05EA"/>
    <w:rsid w:val="004C087B"/>
    <w:rsid w:val="004C0897"/>
    <w:rsid w:val="004C09CB"/>
    <w:rsid w:val="004C0A00"/>
    <w:rsid w:val="004C0AE0"/>
    <w:rsid w:val="004C0B43"/>
    <w:rsid w:val="004C0B7A"/>
    <w:rsid w:val="004C0CA1"/>
    <w:rsid w:val="004C0CFC"/>
    <w:rsid w:val="004C0F16"/>
    <w:rsid w:val="004C1040"/>
    <w:rsid w:val="004C1210"/>
    <w:rsid w:val="004C1218"/>
    <w:rsid w:val="004C1269"/>
    <w:rsid w:val="004C12B5"/>
    <w:rsid w:val="004C18BB"/>
    <w:rsid w:val="004C1A40"/>
    <w:rsid w:val="004C1B63"/>
    <w:rsid w:val="004C1C9D"/>
    <w:rsid w:val="004C1D3D"/>
    <w:rsid w:val="004C1DA5"/>
    <w:rsid w:val="004C1DB1"/>
    <w:rsid w:val="004C1E0B"/>
    <w:rsid w:val="004C1F6C"/>
    <w:rsid w:val="004C1FF5"/>
    <w:rsid w:val="004C2020"/>
    <w:rsid w:val="004C20C4"/>
    <w:rsid w:val="004C22CB"/>
    <w:rsid w:val="004C2465"/>
    <w:rsid w:val="004C24DF"/>
    <w:rsid w:val="004C2648"/>
    <w:rsid w:val="004C26F3"/>
    <w:rsid w:val="004C2723"/>
    <w:rsid w:val="004C2916"/>
    <w:rsid w:val="004C29D9"/>
    <w:rsid w:val="004C2B62"/>
    <w:rsid w:val="004C2C6D"/>
    <w:rsid w:val="004C2E2F"/>
    <w:rsid w:val="004C2E64"/>
    <w:rsid w:val="004C3070"/>
    <w:rsid w:val="004C3162"/>
    <w:rsid w:val="004C3386"/>
    <w:rsid w:val="004C3414"/>
    <w:rsid w:val="004C3466"/>
    <w:rsid w:val="004C346F"/>
    <w:rsid w:val="004C34CA"/>
    <w:rsid w:val="004C3564"/>
    <w:rsid w:val="004C358A"/>
    <w:rsid w:val="004C363B"/>
    <w:rsid w:val="004C36E2"/>
    <w:rsid w:val="004C3879"/>
    <w:rsid w:val="004C39F2"/>
    <w:rsid w:val="004C3A8A"/>
    <w:rsid w:val="004C3BA6"/>
    <w:rsid w:val="004C3CA0"/>
    <w:rsid w:val="004C4014"/>
    <w:rsid w:val="004C4567"/>
    <w:rsid w:val="004C4687"/>
    <w:rsid w:val="004C46B8"/>
    <w:rsid w:val="004C47A2"/>
    <w:rsid w:val="004C48B1"/>
    <w:rsid w:val="004C49A6"/>
    <w:rsid w:val="004C49BD"/>
    <w:rsid w:val="004C4B1A"/>
    <w:rsid w:val="004C4E70"/>
    <w:rsid w:val="004C4F03"/>
    <w:rsid w:val="004C5105"/>
    <w:rsid w:val="004C525A"/>
    <w:rsid w:val="004C54F1"/>
    <w:rsid w:val="004C5561"/>
    <w:rsid w:val="004C57F1"/>
    <w:rsid w:val="004C5814"/>
    <w:rsid w:val="004C5B8D"/>
    <w:rsid w:val="004C5BA4"/>
    <w:rsid w:val="004C5BBF"/>
    <w:rsid w:val="004C5C44"/>
    <w:rsid w:val="004C5D50"/>
    <w:rsid w:val="004C5FA0"/>
    <w:rsid w:val="004C605D"/>
    <w:rsid w:val="004C60FE"/>
    <w:rsid w:val="004C61B7"/>
    <w:rsid w:val="004C61DF"/>
    <w:rsid w:val="004C63CB"/>
    <w:rsid w:val="004C6474"/>
    <w:rsid w:val="004C669C"/>
    <w:rsid w:val="004C6723"/>
    <w:rsid w:val="004C6988"/>
    <w:rsid w:val="004C6A0D"/>
    <w:rsid w:val="004C6A74"/>
    <w:rsid w:val="004C6BE2"/>
    <w:rsid w:val="004C6D68"/>
    <w:rsid w:val="004C6D77"/>
    <w:rsid w:val="004C6F1E"/>
    <w:rsid w:val="004C7065"/>
    <w:rsid w:val="004C7069"/>
    <w:rsid w:val="004C70DF"/>
    <w:rsid w:val="004C7340"/>
    <w:rsid w:val="004C7383"/>
    <w:rsid w:val="004C73B6"/>
    <w:rsid w:val="004C74F9"/>
    <w:rsid w:val="004C7615"/>
    <w:rsid w:val="004C7802"/>
    <w:rsid w:val="004C79F2"/>
    <w:rsid w:val="004C7C8B"/>
    <w:rsid w:val="004C7CE6"/>
    <w:rsid w:val="004C7CF2"/>
    <w:rsid w:val="004C7E0B"/>
    <w:rsid w:val="004D0039"/>
    <w:rsid w:val="004D0191"/>
    <w:rsid w:val="004D0366"/>
    <w:rsid w:val="004D0416"/>
    <w:rsid w:val="004D050F"/>
    <w:rsid w:val="004D05BD"/>
    <w:rsid w:val="004D0606"/>
    <w:rsid w:val="004D08A3"/>
    <w:rsid w:val="004D08DC"/>
    <w:rsid w:val="004D08FB"/>
    <w:rsid w:val="004D09B9"/>
    <w:rsid w:val="004D09D0"/>
    <w:rsid w:val="004D09FF"/>
    <w:rsid w:val="004D0C8F"/>
    <w:rsid w:val="004D0CAF"/>
    <w:rsid w:val="004D0E48"/>
    <w:rsid w:val="004D106B"/>
    <w:rsid w:val="004D1074"/>
    <w:rsid w:val="004D10E2"/>
    <w:rsid w:val="004D10EE"/>
    <w:rsid w:val="004D1196"/>
    <w:rsid w:val="004D1274"/>
    <w:rsid w:val="004D12EB"/>
    <w:rsid w:val="004D1389"/>
    <w:rsid w:val="004D154A"/>
    <w:rsid w:val="004D180F"/>
    <w:rsid w:val="004D1823"/>
    <w:rsid w:val="004D18E7"/>
    <w:rsid w:val="004D1900"/>
    <w:rsid w:val="004D1965"/>
    <w:rsid w:val="004D198D"/>
    <w:rsid w:val="004D1A5B"/>
    <w:rsid w:val="004D1B8F"/>
    <w:rsid w:val="004D1BEB"/>
    <w:rsid w:val="004D1C1C"/>
    <w:rsid w:val="004D1CD5"/>
    <w:rsid w:val="004D1D5B"/>
    <w:rsid w:val="004D1ECB"/>
    <w:rsid w:val="004D1FB3"/>
    <w:rsid w:val="004D20B2"/>
    <w:rsid w:val="004D2166"/>
    <w:rsid w:val="004D2229"/>
    <w:rsid w:val="004D2411"/>
    <w:rsid w:val="004D2426"/>
    <w:rsid w:val="004D25F4"/>
    <w:rsid w:val="004D28C6"/>
    <w:rsid w:val="004D29EF"/>
    <w:rsid w:val="004D2A8A"/>
    <w:rsid w:val="004D2BA4"/>
    <w:rsid w:val="004D2BB7"/>
    <w:rsid w:val="004D2C8D"/>
    <w:rsid w:val="004D2C9F"/>
    <w:rsid w:val="004D2DB8"/>
    <w:rsid w:val="004D2E4C"/>
    <w:rsid w:val="004D2EA0"/>
    <w:rsid w:val="004D2EC9"/>
    <w:rsid w:val="004D2F0C"/>
    <w:rsid w:val="004D2FB0"/>
    <w:rsid w:val="004D3024"/>
    <w:rsid w:val="004D30DB"/>
    <w:rsid w:val="004D3174"/>
    <w:rsid w:val="004D3252"/>
    <w:rsid w:val="004D32E9"/>
    <w:rsid w:val="004D33E2"/>
    <w:rsid w:val="004D34DA"/>
    <w:rsid w:val="004D3645"/>
    <w:rsid w:val="004D367C"/>
    <w:rsid w:val="004D3724"/>
    <w:rsid w:val="004D388B"/>
    <w:rsid w:val="004D3946"/>
    <w:rsid w:val="004D39D1"/>
    <w:rsid w:val="004D3BA7"/>
    <w:rsid w:val="004D3C63"/>
    <w:rsid w:val="004D3D3F"/>
    <w:rsid w:val="004D3D57"/>
    <w:rsid w:val="004D3E3B"/>
    <w:rsid w:val="004D3EEA"/>
    <w:rsid w:val="004D3F60"/>
    <w:rsid w:val="004D4083"/>
    <w:rsid w:val="004D41A7"/>
    <w:rsid w:val="004D4421"/>
    <w:rsid w:val="004D44ED"/>
    <w:rsid w:val="004D45E4"/>
    <w:rsid w:val="004D470A"/>
    <w:rsid w:val="004D4716"/>
    <w:rsid w:val="004D474F"/>
    <w:rsid w:val="004D481C"/>
    <w:rsid w:val="004D48E0"/>
    <w:rsid w:val="004D4916"/>
    <w:rsid w:val="004D4B17"/>
    <w:rsid w:val="004D4B71"/>
    <w:rsid w:val="004D4BC0"/>
    <w:rsid w:val="004D4BC1"/>
    <w:rsid w:val="004D4CB7"/>
    <w:rsid w:val="004D4E02"/>
    <w:rsid w:val="004D4EC6"/>
    <w:rsid w:val="004D501C"/>
    <w:rsid w:val="004D50F8"/>
    <w:rsid w:val="004D5137"/>
    <w:rsid w:val="004D5241"/>
    <w:rsid w:val="004D54AB"/>
    <w:rsid w:val="004D54AE"/>
    <w:rsid w:val="004D5615"/>
    <w:rsid w:val="004D566D"/>
    <w:rsid w:val="004D56A9"/>
    <w:rsid w:val="004D5744"/>
    <w:rsid w:val="004D5919"/>
    <w:rsid w:val="004D599D"/>
    <w:rsid w:val="004D5DE4"/>
    <w:rsid w:val="004D5E51"/>
    <w:rsid w:val="004D5F56"/>
    <w:rsid w:val="004D602A"/>
    <w:rsid w:val="004D60FB"/>
    <w:rsid w:val="004D61AE"/>
    <w:rsid w:val="004D6221"/>
    <w:rsid w:val="004D6269"/>
    <w:rsid w:val="004D6473"/>
    <w:rsid w:val="004D6703"/>
    <w:rsid w:val="004D6779"/>
    <w:rsid w:val="004D6818"/>
    <w:rsid w:val="004D6A29"/>
    <w:rsid w:val="004D6BB9"/>
    <w:rsid w:val="004D6BC5"/>
    <w:rsid w:val="004D6C3C"/>
    <w:rsid w:val="004D6CEF"/>
    <w:rsid w:val="004D6D63"/>
    <w:rsid w:val="004D6DEC"/>
    <w:rsid w:val="004D6F1E"/>
    <w:rsid w:val="004D701B"/>
    <w:rsid w:val="004D7106"/>
    <w:rsid w:val="004D7191"/>
    <w:rsid w:val="004D71E6"/>
    <w:rsid w:val="004D72AB"/>
    <w:rsid w:val="004D746D"/>
    <w:rsid w:val="004D75A1"/>
    <w:rsid w:val="004D75AB"/>
    <w:rsid w:val="004D7718"/>
    <w:rsid w:val="004D7780"/>
    <w:rsid w:val="004D7804"/>
    <w:rsid w:val="004D7816"/>
    <w:rsid w:val="004D787E"/>
    <w:rsid w:val="004E0086"/>
    <w:rsid w:val="004E0112"/>
    <w:rsid w:val="004E023A"/>
    <w:rsid w:val="004E0279"/>
    <w:rsid w:val="004E02F0"/>
    <w:rsid w:val="004E041B"/>
    <w:rsid w:val="004E0444"/>
    <w:rsid w:val="004E06F8"/>
    <w:rsid w:val="004E0783"/>
    <w:rsid w:val="004E07AD"/>
    <w:rsid w:val="004E0816"/>
    <w:rsid w:val="004E085A"/>
    <w:rsid w:val="004E08A7"/>
    <w:rsid w:val="004E0900"/>
    <w:rsid w:val="004E0B29"/>
    <w:rsid w:val="004E0D59"/>
    <w:rsid w:val="004E0F79"/>
    <w:rsid w:val="004E1004"/>
    <w:rsid w:val="004E1119"/>
    <w:rsid w:val="004E12F3"/>
    <w:rsid w:val="004E134C"/>
    <w:rsid w:val="004E13E6"/>
    <w:rsid w:val="004E15A0"/>
    <w:rsid w:val="004E16B6"/>
    <w:rsid w:val="004E186F"/>
    <w:rsid w:val="004E1CE7"/>
    <w:rsid w:val="004E1D5D"/>
    <w:rsid w:val="004E1DDE"/>
    <w:rsid w:val="004E1E27"/>
    <w:rsid w:val="004E1E7A"/>
    <w:rsid w:val="004E1FDB"/>
    <w:rsid w:val="004E2027"/>
    <w:rsid w:val="004E2067"/>
    <w:rsid w:val="004E212E"/>
    <w:rsid w:val="004E232D"/>
    <w:rsid w:val="004E24DE"/>
    <w:rsid w:val="004E2682"/>
    <w:rsid w:val="004E26E0"/>
    <w:rsid w:val="004E289F"/>
    <w:rsid w:val="004E2A55"/>
    <w:rsid w:val="004E2B0B"/>
    <w:rsid w:val="004E2B22"/>
    <w:rsid w:val="004E2B25"/>
    <w:rsid w:val="004E2BA3"/>
    <w:rsid w:val="004E2DB3"/>
    <w:rsid w:val="004E3367"/>
    <w:rsid w:val="004E344D"/>
    <w:rsid w:val="004E3535"/>
    <w:rsid w:val="004E35A7"/>
    <w:rsid w:val="004E35BA"/>
    <w:rsid w:val="004E37AE"/>
    <w:rsid w:val="004E3A0F"/>
    <w:rsid w:val="004E3DA0"/>
    <w:rsid w:val="004E3E29"/>
    <w:rsid w:val="004E3E45"/>
    <w:rsid w:val="004E3EEA"/>
    <w:rsid w:val="004E3F0E"/>
    <w:rsid w:val="004E3F2F"/>
    <w:rsid w:val="004E3F3A"/>
    <w:rsid w:val="004E3F83"/>
    <w:rsid w:val="004E4003"/>
    <w:rsid w:val="004E4021"/>
    <w:rsid w:val="004E4078"/>
    <w:rsid w:val="004E441D"/>
    <w:rsid w:val="004E4485"/>
    <w:rsid w:val="004E4673"/>
    <w:rsid w:val="004E469D"/>
    <w:rsid w:val="004E4714"/>
    <w:rsid w:val="004E4859"/>
    <w:rsid w:val="004E4865"/>
    <w:rsid w:val="004E4A58"/>
    <w:rsid w:val="004E4AB0"/>
    <w:rsid w:val="004E4CC7"/>
    <w:rsid w:val="004E4DAA"/>
    <w:rsid w:val="004E4DB1"/>
    <w:rsid w:val="004E4E87"/>
    <w:rsid w:val="004E4F41"/>
    <w:rsid w:val="004E4F8F"/>
    <w:rsid w:val="004E5049"/>
    <w:rsid w:val="004E519C"/>
    <w:rsid w:val="004E5486"/>
    <w:rsid w:val="004E5511"/>
    <w:rsid w:val="004E5533"/>
    <w:rsid w:val="004E5557"/>
    <w:rsid w:val="004E5740"/>
    <w:rsid w:val="004E57DD"/>
    <w:rsid w:val="004E590B"/>
    <w:rsid w:val="004E5A4B"/>
    <w:rsid w:val="004E5B54"/>
    <w:rsid w:val="004E5C1E"/>
    <w:rsid w:val="004E5C8D"/>
    <w:rsid w:val="004E5CAB"/>
    <w:rsid w:val="004E6005"/>
    <w:rsid w:val="004E646B"/>
    <w:rsid w:val="004E648C"/>
    <w:rsid w:val="004E6548"/>
    <w:rsid w:val="004E65B3"/>
    <w:rsid w:val="004E6665"/>
    <w:rsid w:val="004E66E1"/>
    <w:rsid w:val="004E67AD"/>
    <w:rsid w:val="004E6801"/>
    <w:rsid w:val="004E680F"/>
    <w:rsid w:val="004E6861"/>
    <w:rsid w:val="004E6B15"/>
    <w:rsid w:val="004E6B88"/>
    <w:rsid w:val="004E6BEB"/>
    <w:rsid w:val="004E6C6B"/>
    <w:rsid w:val="004E6E0C"/>
    <w:rsid w:val="004E6E38"/>
    <w:rsid w:val="004E6E97"/>
    <w:rsid w:val="004E6EE0"/>
    <w:rsid w:val="004E706D"/>
    <w:rsid w:val="004E7241"/>
    <w:rsid w:val="004E75FD"/>
    <w:rsid w:val="004E760F"/>
    <w:rsid w:val="004E76A1"/>
    <w:rsid w:val="004E770A"/>
    <w:rsid w:val="004E7712"/>
    <w:rsid w:val="004E775B"/>
    <w:rsid w:val="004E77F1"/>
    <w:rsid w:val="004E78C8"/>
    <w:rsid w:val="004E7A48"/>
    <w:rsid w:val="004E7A86"/>
    <w:rsid w:val="004E7BA3"/>
    <w:rsid w:val="004E7BF6"/>
    <w:rsid w:val="004E7C11"/>
    <w:rsid w:val="004E7CEF"/>
    <w:rsid w:val="004E7D16"/>
    <w:rsid w:val="004E7E56"/>
    <w:rsid w:val="004E7E74"/>
    <w:rsid w:val="004E7EB3"/>
    <w:rsid w:val="004E7F99"/>
    <w:rsid w:val="004F0069"/>
    <w:rsid w:val="004F02BE"/>
    <w:rsid w:val="004F048E"/>
    <w:rsid w:val="004F0497"/>
    <w:rsid w:val="004F0500"/>
    <w:rsid w:val="004F054B"/>
    <w:rsid w:val="004F0669"/>
    <w:rsid w:val="004F0AF6"/>
    <w:rsid w:val="004F10BC"/>
    <w:rsid w:val="004F1164"/>
    <w:rsid w:val="004F11A3"/>
    <w:rsid w:val="004F11C0"/>
    <w:rsid w:val="004F1308"/>
    <w:rsid w:val="004F15A5"/>
    <w:rsid w:val="004F1611"/>
    <w:rsid w:val="004F165B"/>
    <w:rsid w:val="004F1691"/>
    <w:rsid w:val="004F1785"/>
    <w:rsid w:val="004F1798"/>
    <w:rsid w:val="004F187F"/>
    <w:rsid w:val="004F18A8"/>
    <w:rsid w:val="004F1972"/>
    <w:rsid w:val="004F197D"/>
    <w:rsid w:val="004F19BA"/>
    <w:rsid w:val="004F19F0"/>
    <w:rsid w:val="004F2073"/>
    <w:rsid w:val="004F20FB"/>
    <w:rsid w:val="004F2246"/>
    <w:rsid w:val="004F2277"/>
    <w:rsid w:val="004F23DD"/>
    <w:rsid w:val="004F246E"/>
    <w:rsid w:val="004F25C0"/>
    <w:rsid w:val="004F264F"/>
    <w:rsid w:val="004F26DE"/>
    <w:rsid w:val="004F2788"/>
    <w:rsid w:val="004F27DE"/>
    <w:rsid w:val="004F28DF"/>
    <w:rsid w:val="004F2945"/>
    <w:rsid w:val="004F2994"/>
    <w:rsid w:val="004F29BE"/>
    <w:rsid w:val="004F2ACB"/>
    <w:rsid w:val="004F2C31"/>
    <w:rsid w:val="004F2C89"/>
    <w:rsid w:val="004F2CAC"/>
    <w:rsid w:val="004F2DCD"/>
    <w:rsid w:val="004F2E45"/>
    <w:rsid w:val="004F2F03"/>
    <w:rsid w:val="004F301B"/>
    <w:rsid w:val="004F3135"/>
    <w:rsid w:val="004F319F"/>
    <w:rsid w:val="004F3393"/>
    <w:rsid w:val="004F34A4"/>
    <w:rsid w:val="004F3538"/>
    <w:rsid w:val="004F35AD"/>
    <w:rsid w:val="004F376D"/>
    <w:rsid w:val="004F37CA"/>
    <w:rsid w:val="004F3A35"/>
    <w:rsid w:val="004F3CE8"/>
    <w:rsid w:val="004F3D27"/>
    <w:rsid w:val="004F3F9D"/>
    <w:rsid w:val="004F4047"/>
    <w:rsid w:val="004F41DE"/>
    <w:rsid w:val="004F4286"/>
    <w:rsid w:val="004F42FC"/>
    <w:rsid w:val="004F4455"/>
    <w:rsid w:val="004F459F"/>
    <w:rsid w:val="004F45B7"/>
    <w:rsid w:val="004F45BB"/>
    <w:rsid w:val="004F46C0"/>
    <w:rsid w:val="004F48A3"/>
    <w:rsid w:val="004F4913"/>
    <w:rsid w:val="004F49F1"/>
    <w:rsid w:val="004F4A87"/>
    <w:rsid w:val="004F4D1B"/>
    <w:rsid w:val="004F4DB9"/>
    <w:rsid w:val="004F4F7D"/>
    <w:rsid w:val="004F5191"/>
    <w:rsid w:val="004F51DF"/>
    <w:rsid w:val="004F53CC"/>
    <w:rsid w:val="004F545E"/>
    <w:rsid w:val="004F55E2"/>
    <w:rsid w:val="004F5740"/>
    <w:rsid w:val="004F5838"/>
    <w:rsid w:val="004F5880"/>
    <w:rsid w:val="004F58D3"/>
    <w:rsid w:val="004F58D8"/>
    <w:rsid w:val="004F5AEC"/>
    <w:rsid w:val="004F5C6D"/>
    <w:rsid w:val="004F5CBB"/>
    <w:rsid w:val="004F5D80"/>
    <w:rsid w:val="004F5DF8"/>
    <w:rsid w:val="004F5E28"/>
    <w:rsid w:val="004F5E5E"/>
    <w:rsid w:val="004F5F08"/>
    <w:rsid w:val="004F5F63"/>
    <w:rsid w:val="004F613A"/>
    <w:rsid w:val="004F62EE"/>
    <w:rsid w:val="004F648C"/>
    <w:rsid w:val="004F64D4"/>
    <w:rsid w:val="004F65C9"/>
    <w:rsid w:val="004F677F"/>
    <w:rsid w:val="004F6A68"/>
    <w:rsid w:val="004F6B43"/>
    <w:rsid w:val="004F6DC1"/>
    <w:rsid w:val="004F6F1E"/>
    <w:rsid w:val="004F6F58"/>
    <w:rsid w:val="004F6FCB"/>
    <w:rsid w:val="004F71AA"/>
    <w:rsid w:val="004F7204"/>
    <w:rsid w:val="004F7236"/>
    <w:rsid w:val="004F7287"/>
    <w:rsid w:val="004F72E8"/>
    <w:rsid w:val="004F7340"/>
    <w:rsid w:val="004F7387"/>
    <w:rsid w:val="004F73F0"/>
    <w:rsid w:val="004F74AC"/>
    <w:rsid w:val="004F75F6"/>
    <w:rsid w:val="004F7736"/>
    <w:rsid w:val="004F776D"/>
    <w:rsid w:val="004F7831"/>
    <w:rsid w:val="004F7BAA"/>
    <w:rsid w:val="004F7D72"/>
    <w:rsid w:val="004F7E9F"/>
    <w:rsid w:val="004F7EAD"/>
    <w:rsid w:val="004F7F00"/>
    <w:rsid w:val="0050000C"/>
    <w:rsid w:val="005000FD"/>
    <w:rsid w:val="0050022E"/>
    <w:rsid w:val="005002D6"/>
    <w:rsid w:val="005003E9"/>
    <w:rsid w:val="00500443"/>
    <w:rsid w:val="0050048B"/>
    <w:rsid w:val="00500742"/>
    <w:rsid w:val="005007C2"/>
    <w:rsid w:val="00500B37"/>
    <w:rsid w:val="00500C56"/>
    <w:rsid w:val="00500E42"/>
    <w:rsid w:val="00500EBB"/>
    <w:rsid w:val="00500F08"/>
    <w:rsid w:val="00500F3B"/>
    <w:rsid w:val="0050100E"/>
    <w:rsid w:val="00501074"/>
    <w:rsid w:val="0050112C"/>
    <w:rsid w:val="005011BA"/>
    <w:rsid w:val="0050128C"/>
    <w:rsid w:val="00501358"/>
    <w:rsid w:val="0050143B"/>
    <w:rsid w:val="0050147E"/>
    <w:rsid w:val="005014BF"/>
    <w:rsid w:val="005015F1"/>
    <w:rsid w:val="00501728"/>
    <w:rsid w:val="0050182E"/>
    <w:rsid w:val="005018CD"/>
    <w:rsid w:val="00501AF1"/>
    <w:rsid w:val="00501AFC"/>
    <w:rsid w:val="00501CED"/>
    <w:rsid w:val="00501E0D"/>
    <w:rsid w:val="00502085"/>
    <w:rsid w:val="0050212C"/>
    <w:rsid w:val="005021CB"/>
    <w:rsid w:val="0050222D"/>
    <w:rsid w:val="00502570"/>
    <w:rsid w:val="005026DC"/>
    <w:rsid w:val="00502790"/>
    <w:rsid w:val="00502907"/>
    <w:rsid w:val="00502933"/>
    <w:rsid w:val="00502A62"/>
    <w:rsid w:val="00502AD6"/>
    <w:rsid w:val="00502B56"/>
    <w:rsid w:val="00502B86"/>
    <w:rsid w:val="00502B8B"/>
    <w:rsid w:val="00502D6A"/>
    <w:rsid w:val="00502E1B"/>
    <w:rsid w:val="00502E5F"/>
    <w:rsid w:val="00502FB4"/>
    <w:rsid w:val="005030C9"/>
    <w:rsid w:val="00503122"/>
    <w:rsid w:val="0050316B"/>
    <w:rsid w:val="00503266"/>
    <w:rsid w:val="00503458"/>
    <w:rsid w:val="0050370B"/>
    <w:rsid w:val="00503787"/>
    <w:rsid w:val="0050382B"/>
    <w:rsid w:val="0050394C"/>
    <w:rsid w:val="00503A17"/>
    <w:rsid w:val="00503B49"/>
    <w:rsid w:val="00503C12"/>
    <w:rsid w:val="00503C5C"/>
    <w:rsid w:val="00503CA1"/>
    <w:rsid w:val="00503F7C"/>
    <w:rsid w:val="00504030"/>
    <w:rsid w:val="005041A4"/>
    <w:rsid w:val="005042C4"/>
    <w:rsid w:val="005042E6"/>
    <w:rsid w:val="005043CC"/>
    <w:rsid w:val="00504512"/>
    <w:rsid w:val="00504688"/>
    <w:rsid w:val="00504852"/>
    <w:rsid w:val="005049CE"/>
    <w:rsid w:val="00504BAB"/>
    <w:rsid w:val="00504CDC"/>
    <w:rsid w:val="00504DCA"/>
    <w:rsid w:val="00504DE2"/>
    <w:rsid w:val="00504E2A"/>
    <w:rsid w:val="00504EA0"/>
    <w:rsid w:val="00504EFA"/>
    <w:rsid w:val="005050CD"/>
    <w:rsid w:val="0050525D"/>
    <w:rsid w:val="00505264"/>
    <w:rsid w:val="00505337"/>
    <w:rsid w:val="00505360"/>
    <w:rsid w:val="0050537C"/>
    <w:rsid w:val="005053CB"/>
    <w:rsid w:val="005053E3"/>
    <w:rsid w:val="0050555C"/>
    <w:rsid w:val="005057C2"/>
    <w:rsid w:val="00505901"/>
    <w:rsid w:val="0050596D"/>
    <w:rsid w:val="005059CE"/>
    <w:rsid w:val="00505C91"/>
    <w:rsid w:val="00505D52"/>
    <w:rsid w:val="00505DEE"/>
    <w:rsid w:val="00505FEE"/>
    <w:rsid w:val="0050603B"/>
    <w:rsid w:val="00506446"/>
    <w:rsid w:val="005064D8"/>
    <w:rsid w:val="00506569"/>
    <w:rsid w:val="005066D4"/>
    <w:rsid w:val="00506745"/>
    <w:rsid w:val="00506854"/>
    <w:rsid w:val="005068C3"/>
    <w:rsid w:val="00506909"/>
    <w:rsid w:val="005069B2"/>
    <w:rsid w:val="00506B9C"/>
    <w:rsid w:val="00506C53"/>
    <w:rsid w:val="00506D13"/>
    <w:rsid w:val="00506DE0"/>
    <w:rsid w:val="00506EC8"/>
    <w:rsid w:val="00506F61"/>
    <w:rsid w:val="00507110"/>
    <w:rsid w:val="00507129"/>
    <w:rsid w:val="0050718A"/>
    <w:rsid w:val="00507257"/>
    <w:rsid w:val="00507394"/>
    <w:rsid w:val="005073DB"/>
    <w:rsid w:val="005076F7"/>
    <w:rsid w:val="0050770A"/>
    <w:rsid w:val="0050784C"/>
    <w:rsid w:val="00507889"/>
    <w:rsid w:val="00507892"/>
    <w:rsid w:val="005079A5"/>
    <w:rsid w:val="005079B4"/>
    <w:rsid w:val="00507B40"/>
    <w:rsid w:val="00507BBA"/>
    <w:rsid w:val="00507C18"/>
    <w:rsid w:val="00507CC9"/>
    <w:rsid w:val="00507DC1"/>
    <w:rsid w:val="00507EE9"/>
    <w:rsid w:val="00507EF7"/>
    <w:rsid w:val="00510177"/>
    <w:rsid w:val="005101E1"/>
    <w:rsid w:val="005102A6"/>
    <w:rsid w:val="005102F4"/>
    <w:rsid w:val="00510319"/>
    <w:rsid w:val="00510331"/>
    <w:rsid w:val="00510374"/>
    <w:rsid w:val="00510883"/>
    <w:rsid w:val="00510AE0"/>
    <w:rsid w:val="00510B16"/>
    <w:rsid w:val="00510EE0"/>
    <w:rsid w:val="00510F11"/>
    <w:rsid w:val="00510F30"/>
    <w:rsid w:val="00510F56"/>
    <w:rsid w:val="00510F91"/>
    <w:rsid w:val="00510FDE"/>
    <w:rsid w:val="005111A6"/>
    <w:rsid w:val="00511328"/>
    <w:rsid w:val="00511402"/>
    <w:rsid w:val="00511583"/>
    <w:rsid w:val="00511643"/>
    <w:rsid w:val="0051189B"/>
    <w:rsid w:val="005118C3"/>
    <w:rsid w:val="00511920"/>
    <w:rsid w:val="0051197B"/>
    <w:rsid w:val="005119CF"/>
    <w:rsid w:val="00511AC1"/>
    <w:rsid w:val="00511B2C"/>
    <w:rsid w:val="00511CBD"/>
    <w:rsid w:val="00511CED"/>
    <w:rsid w:val="00511D34"/>
    <w:rsid w:val="00511DEA"/>
    <w:rsid w:val="00511E47"/>
    <w:rsid w:val="00511F78"/>
    <w:rsid w:val="00512078"/>
    <w:rsid w:val="0051213F"/>
    <w:rsid w:val="0051214E"/>
    <w:rsid w:val="005121E4"/>
    <w:rsid w:val="0051270B"/>
    <w:rsid w:val="0051275E"/>
    <w:rsid w:val="00512771"/>
    <w:rsid w:val="005127B2"/>
    <w:rsid w:val="0051286A"/>
    <w:rsid w:val="005129BB"/>
    <w:rsid w:val="00512A1F"/>
    <w:rsid w:val="00512AEB"/>
    <w:rsid w:val="00512E83"/>
    <w:rsid w:val="00512F3D"/>
    <w:rsid w:val="005131F7"/>
    <w:rsid w:val="005132C4"/>
    <w:rsid w:val="005134B0"/>
    <w:rsid w:val="0051379B"/>
    <w:rsid w:val="00513815"/>
    <w:rsid w:val="00513926"/>
    <w:rsid w:val="0051396D"/>
    <w:rsid w:val="00513A1F"/>
    <w:rsid w:val="00513A5B"/>
    <w:rsid w:val="00513B1D"/>
    <w:rsid w:val="00513D3E"/>
    <w:rsid w:val="00513D54"/>
    <w:rsid w:val="00513DB8"/>
    <w:rsid w:val="00513DC7"/>
    <w:rsid w:val="00513DCC"/>
    <w:rsid w:val="00513E8A"/>
    <w:rsid w:val="00513F16"/>
    <w:rsid w:val="005140AE"/>
    <w:rsid w:val="005140C1"/>
    <w:rsid w:val="0051414C"/>
    <w:rsid w:val="00514206"/>
    <w:rsid w:val="005142D0"/>
    <w:rsid w:val="00514485"/>
    <w:rsid w:val="005144A7"/>
    <w:rsid w:val="00514654"/>
    <w:rsid w:val="00514688"/>
    <w:rsid w:val="005146C3"/>
    <w:rsid w:val="005146D7"/>
    <w:rsid w:val="00514ABF"/>
    <w:rsid w:val="00514B54"/>
    <w:rsid w:val="00514B6B"/>
    <w:rsid w:val="00514D06"/>
    <w:rsid w:val="00514DB4"/>
    <w:rsid w:val="00514E85"/>
    <w:rsid w:val="00514F58"/>
    <w:rsid w:val="0051500D"/>
    <w:rsid w:val="005151B2"/>
    <w:rsid w:val="005151E4"/>
    <w:rsid w:val="00515281"/>
    <w:rsid w:val="005153B5"/>
    <w:rsid w:val="005153C7"/>
    <w:rsid w:val="0051559B"/>
    <w:rsid w:val="005156CD"/>
    <w:rsid w:val="005156EB"/>
    <w:rsid w:val="00515714"/>
    <w:rsid w:val="00515825"/>
    <w:rsid w:val="00515A15"/>
    <w:rsid w:val="00515AB6"/>
    <w:rsid w:val="00515C2A"/>
    <w:rsid w:val="00515C40"/>
    <w:rsid w:val="00515C87"/>
    <w:rsid w:val="00515E16"/>
    <w:rsid w:val="00516267"/>
    <w:rsid w:val="005162ED"/>
    <w:rsid w:val="00516337"/>
    <w:rsid w:val="0051636E"/>
    <w:rsid w:val="00516435"/>
    <w:rsid w:val="00516750"/>
    <w:rsid w:val="00516785"/>
    <w:rsid w:val="00516846"/>
    <w:rsid w:val="00516AAB"/>
    <w:rsid w:val="00516AD5"/>
    <w:rsid w:val="00516AF6"/>
    <w:rsid w:val="00516E09"/>
    <w:rsid w:val="00516E2D"/>
    <w:rsid w:val="00516F24"/>
    <w:rsid w:val="00516F2E"/>
    <w:rsid w:val="005170CA"/>
    <w:rsid w:val="0051715E"/>
    <w:rsid w:val="005172CF"/>
    <w:rsid w:val="0051733E"/>
    <w:rsid w:val="00517432"/>
    <w:rsid w:val="0051747C"/>
    <w:rsid w:val="005174A9"/>
    <w:rsid w:val="0051756E"/>
    <w:rsid w:val="0051766C"/>
    <w:rsid w:val="00517729"/>
    <w:rsid w:val="005178E6"/>
    <w:rsid w:val="00517AA5"/>
    <w:rsid w:val="00517CE2"/>
    <w:rsid w:val="00520111"/>
    <w:rsid w:val="005201B0"/>
    <w:rsid w:val="005201D8"/>
    <w:rsid w:val="00520227"/>
    <w:rsid w:val="0052024B"/>
    <w:rsid w:val="0052036A"/>
    <w:rsid w:val="005203C5"/>
    <w:rsid w:val="00520415"/>
    <w:rsid w:val="0052055A"/>
    <w:rsid w:val="00520706"/>
    <w:rsid w:val="00520762"/>
    <w:rsid w:val="0052077B"/>
    <w:rsid w:val="005209F2"/>
    <w:rsid w:val="00520BB1"/>
    <w:rsid w:val="00520F75"/>
    <w:rsid w:val="00520FD7"/>
    <w:rsid w:val="00521017"/>
    <w:rsid w:val="005210D8"/>
    <w:rsid w:val="005212FD"/>
    <w:rsid w:val="005213B7"/>
    <w:rsid w:val="00521766"/>
    <w:rsid w:val="00521769"/>
    <w:rsid w:val="00521982"/>
    <w:rsid w:val="005219C8"/>
    <w:rsid w:val="00521AEB"/>
    <w:rsid w:val="00521B95"/>
    <w:rsid w:val="00521C10"/>
    <w:rsid w:val="005222DD"/>
    <w:rsid w:val="00522485"/>
    <w:rsid w:val="00522550"/>
    <w:rsid w:val="0052259E"/>
    <w:rsid w:val="0052291C"/>
    <w:rsid w:val="00522A74"/>
    <w:rsid w:val="00522ADD"/>
    <w:rsid w:val="00522AE8"/>
    <w:rsid w:val="00522BB0"/>
    <w:rsid w:val="00522DFC"/>
    <w:rsid w:val="00522EB5"/>
    <w:rsid w:val="00522F41"/>
    <w:rsid w:val="00523069"/>
    <w:rsid w:val="005230F0"/>
    <w:rsid w:val="005231B2"/>
    <w:rsid w:val="005231DC"/>
    <w:rsid w:val="00523207"/>
    <w:rsid w:val="00523246"/>
    <w:rsid w:val="00523657"/>
    <w:rsid w:val="005236D7"/>
    <w:rsid w:val="00523772"/>
    <w:rsid w:val="0052391D"/>
    <w:rsid w:val="00523945"/>
    <w:rsid w:val="00523B46"/>
    <w:rsid w:val="00523E4A"/>
    <w:rsid w:val="00523FA6"/>
    <w:rsid w:val="00523FE3"/>
    <w:rsid w:val="00524128"/>
    <w:rsid w:val="0052419D"/>
    <w:rsid w:val="005244FC"/>
    <w:rsid w:val="00524592"/>
    <w:rsid w:val="0052471A"/>
    <w:rsid w:val="00524A18"/>
    <w:rsid w:val="00524BD8"/>
    <w:rsid w:val="00524C36"/>
    <w:rsid w:val="00524C64"/>
    <w:rsid w:val="00524C65"/>
    <w:rsid w:val="00524EE9"/>
    <w:rsid w:val="00524F91"/>
    <w:rsid w:val="005250D4"/>
    <w:rsid w:val="00525248"/>
    <w:rsid w:val="00525266"/>
    <w:rsid w:val="0052529C"/>
    <w:rsid w:val="005252E2"/>
    <w:rsid w:val="005253D9"/>
    <w:rsid w:val="005254C6"/>
    <w:rsid w:val="005255E7"/>
    <w:rsid w:val="005255FC"/>
    <w:rsid w:val="00525612"/>
    <w:rsid w:val="005256A8"/>
    <w:rsid w:val="00525710"/>
    <w:rsid w:val="00525A8D"/>
    <w:rsid w:val="00525BA4"/>
    <w:rsid w:val="00525E0B"/>
    <w:rsid w:val="00525E17"/>
    <w:rsid w:val="00525F0A"/>
    <w:rsid w:val="00526283"/>
    <w:rsid w:val="005262B9"/>
    <w:rsid w:val="005264BC"/>
    <w:rsid w:val="005264DB"/>
    <w:rsid w:val="00526670"/>
    <w:rsid w:val="0052667E"/>
    <w:rsid w:val="00526776"/>
    <w:rsid w:val="0052686F"/>
    <w:rsid w:val="00526879"/>
    <w:rsid w:val="0052687E"/>
    <w:rsid w:val="00526C41"/>
    <w:rsid w:val="00526CB6"/>
    <w:rsid w:val="00527298"/>
    <w:rsid w:val="005272E4"/>
    <w:rsid w:val="005273AF"/>
    <w:rsid w:val="0052744A"/>
    <w:rsid w:val="0052752D"/>
    <w:rsid w:val="005275CC"/>
    <w:rsid w:val="005275E6"/>
    <w:rsid w:val="005279F1"/>
    <w:rsid w:val="00527A39"/>
    <w:rsid w:val="00527A75"/>
    <w:rsid w:val="00527ACB"/>
    <w:rsid w:val="00527B39"/>
    <w:rsid w:val="00527B7C"/>
    <w:rsid w:val="00527B9E"/>
    <w:rsid w:val="00527BD0"/>
    <w:rsid w:val="00527E9B"/>
    <w:rsid w:val="00527F1C"/>
    <w:rsid w:val="00527F74"/>
    <w:rsid w:val="00527FA0"/>
    <w:rsid w:val="00527FA7"/>
    <w:rsid w:val="005301F8"/>
    <w:rsid w:val="005302EF"/>
    <w:rsid w:val="00530343"/>
    <w:rsid w:val="00530354"/>
    <w:rsid w:val="005303F7"/>
    <w:rsid w:val="00530437"/>
    <w:rsid w:val="005304A4"/>
    <w:rsid w:val="005304DE"/>
    <w:rsid w:val="0053051A"/>
    <w:rsid w:val="005306C6"/>
    <w:rsid w:val="005307CB"/>
    <w:rsid w:val="0053088B"/>
    <w:rsid w:val="00530E19"/>
    <w:rsid w:val="00530F10"/>
    <w:rsid w:val="00530F89"/>
    <w:rsid w:val="005310BB"/>
    <w:rsid w:val="005312FC"/>
    <w:rsid w:val="005313E4"/>
    <w:rsid w:val="0053152E"/>
    <w:rsid w:val="005315A4"/>
    <w:rsid w:val="005315CA"/>
    <w:rsid w:val="005315E5"/>
    <w:rsid w:val="005318A1"/>
    <w:rsid w:val="00531A23"/>
    <w:rsid w:val="00531BD8"/>
    <w:rsid w:val="00531C6C"/>
    <w:rsid w:val="00531DC4"/>
    <w:rsid w:val="00531E1B"/>
    <w:rsid w:val="00531F6A"/>
    <w:rsid w:val="00532023"/>
    <w:rsid w:val="005320DD"/>
    <w:rsid w:val="005321CE"/>
    <w:rsid w:val="0053222E"/>
    <w:rsid w:val="005324FB"/>
    <w:rsid w:val="005325EB"/>
    <w:rsid w:val="005325FA"/>
    <w:rsid w:val="00532636"/>
    <w:rsid w:val="00532658"/>
    <w:rsid w:val="0053267F"/>
    <w:rsid w:val="005326A7"/>
    <w:rsid w:val="00532756"/>
    <w:rsid w:val="005327CA"/>
    <w:rsid w:val="0053281F"/>
    <w:rsid w:val="00532837"/>
    <w:rsid w:val="00532A09"/>
    <w:rsid w:val="00532A71"/>
    <w:rsid w:val="00532C12"/>
    <w:rsid w:val="0053303A"/>
    <w:rsid w:val="00533091"/>
    <w:rsid w:val="0053326F"/>
    <w:rsid w:val="00533325"/>
    <w:rsid w:val="00533587"/>
    <w:rsid w:val="005335C5"/>
    <w:rsid w:val="005338B8"/>
    <w:rsid w:val="00533A33"/>
    <w:rsid w:val="00533A81"/>
    <w:rsid w:val="00533CD6"/>
    <w:rsid w:val="00533D4D"/>
    <w:rsid w:val="00533DC1"/>
    <w:rsid w:val="00533F42"/>
    <w:rsid w:val="00533FB9"/>
    <w:rsid w:val="00534271"/>
    <w:rsid w:val="00534399"/>
    <w:rsid w:val="00534920"/>
    <w:rsid w:val="00534971"/>
    <w:rsid w:val="00534B94"/>
    <w:rsid w:val="00534BDF"/>
    <w:rsid w:val="00534FE3"/>
    <w:rsid w:val="00535242"/>
    <w:rsid w:val="0053529D"/>
    <w:rsid w:val="0053538C"/>
    <w:rsid w:val="005354F9"/>
    <w:rsid w:val="0053553B"/>
    <w:rsid w:val="0053562F"/>
    <w:rsid w:val="00535645"/>
    <w:rsid w:val="005356F2"/>
    <w:rsid w:val="0053574A"/>
    <w:rsid w:val="005357D6"/>
    <w:rsid w:val="005357E9"/>
    <w:rsid w:val="0053595E"/>
    <w:rsid w:val="00535979"/>
    <w:rsid w:val="00535AEA"/>
    <w:rsid w:val="00535B08"/>
    <w:rsid w:val="00535C8D"/>
    <w:rsid w:val="00535CD2"/>
    <w:rsid w:val="00535DD5"/>
    <w:rsid w:val="00535DED"/>
    <w:rsid w:val="00535E8F"/>
    <w:rsid w:val="00535F7B"/>
    <w:rsid w:val="0053603D"/>
    <w:rsid w:val="00536150"/>
    <w:rsid w:val="0053636C"/>
    <w:rsid w:val="00536566"/>
    <w:rsid w:val="00536822"/>
    <w:rsid w:val="00536864"/>
    <w:rsid w:val="0053690F"/>
    <w:rsid w:val="00536A5B"/>
    <w:rsid w:val="00536AA1"/>
    <w:rsid w:val="00536B8B"/>
    <w:rsid w:val="00536C42"/>
    <w:rsid w:val="00536E0E"/>
    <w:rsid w:val="00536F01"/>
    <w:rsid w:val="00536FD3"/>
    <w:rsid w:val="0053701A"/>
    <w:rsid w:val="005372C3"/>
    <w:rsid w:val="005372FF"/>
    <w:rsid w:val="005373ED"/>
    <w:rsid w:val="005374D1"/>
    <w:rsid w:val="0053771C"/>
    <w:rsid w:val="00537C98"/>
    <w:rsid w:val="00537CD6"/>
    <w:rsid w:val="00537D5A"/>
    <w:rsid w:val="00537DF1"/>
    <w:rsid w:val="00537F1F"/>
    <w:rsid w:val="005400DF"/>
    <w:rsid w:val="0054016A"/>
    <w:rsid w:val="005403B7"/>
    <w:rsid w:val="005403CF"/>
    <w:rsid w:val="005404A9"/>
    <w:rsid w:val="005405F8"/>
    <w:rsid w:val="0054060C"/>
    <w:rsid w:val="005406E7"/>
    <w:rsid w:val="00540737"/>
    <w:rsid w:val="005407CC"/>
    <w:rsid w:val="005407DF"/>
    <w:rsid w:val="005407E5"/>
    <w:rsid w:val="005409DB"/>
    <w:rsid w:val="005409E4"/>
    <w:rsid w:val="00540B6B"/>
    <w:rsid w:val="00540BD2"/>
    <w:rsid w:val="00540C91"/>
    <w:rsid w:val="00540D6F"/>
    <w:rsid w:val="00540D8B"/>
    <w:rsid w:val="00540DFF"/>
    <w:rsid w:val="00540ED6"/>
    <w:rsid w:val="00541056"/>
    <w:rsid w:val="0054108D"/>
    <w:rsid w:val="0054109D"/>
    <w:rsid w:val="00541283"/>
    <w:rsid w:val="00541393"/>
    <w:rsid w:val="005413CB"/>
    <w:rsid w:val="00541429"/>
    <w:rsid w:val="005414C6"/>
    <w:rsid w:val="00541579"/>
    <w:rsid w:val="00541677"/>
    <w:rsid w:val="00541788"/>
    <w:rsid w:val="00541924"/>
    <w:rsid w:val="005419C1"/>
    <w:rsid w:val="00541A2A"/>
    <w:rsid w:val="00541BE1"/>
    <w:rsid w:val="00541D36"/>
    <w:rsid w:val="00541F1E"/>
    <w:rsid w:val="00541F94"/>
    <w:rsid w:val="00542421"/>
    <w:rsid w:val="005424B8"/>
    <w:rsid w:val="00542601"/>
    <w:rsid w:val="005427DE"/>
    <w:rsid w:val="005429CC"/>
    <w:rsid w:val="00542A00"/>
    <w:rsid w:val="00542D4A"/>
    <w:rsid w:val="00542E87"/>
    <w:rsid w:val="00542F7C"/>
    <w:rsid w:val="00542FA7"/>
    <w:rsid w:val="005430A6"/>
    <w:rsid w:val="005431B9"/>
    <w:rsid w:val="0054321D"/>
    <w:rsid w:val="005436BC"/>
    <w:rsid w:val="005437AC"/>
    <w:rsid w:val="00543B75"/>
    <w:rsid w:val="00543C28"/>
    <w:rsid w:val="00543CAB"/>
    <w:rsid w:val="00543D60"/>
    <w:rsid w:val="00543D9E"/>
    <w:rsid w:val="00543E69"/>
    <w:rsid w:val="00543F1A"/>
    <w:rsid w:val="00543FF5"/>
    <w:rsid w:val="005442B1"/>
    <w:rsid w:val="00544360"/>
    <w:rsid w:val="00544406"/>
    <w:rsid w:val="00544461"/>
    <w:rsid w:val="005444E0"/>
    <w:rsid w:val="005444E6"/>
    <w:rsid w:val="005447FB"/>
    <w:rsid w:val="00544B8C"/>
    <w:rsid w:val="00544C4A"/>
    <w:rsid w:val="00544D98"/>
    <w:rsid w:val="00544E8F"/>
    <w:rsid w:val="00544EDD"/>
    <w:rsid w:val="00544F31"/>
    <w:rsid w:val="00544F72"/>
    <w:rsid w:val="0054502E"/>
    <w:rsid w:val="00545136"/>
    <w:rsid w:val="0054519B"/>
    <w:rsid w:val="00545270"/>
    <w:rsid w:val="005452E2"/>
    <w:rsid w:val="0054531F"/>
    <w:rsid w:val="00545323"/>
    <w:rsid w:val="005453DE"/>
    <w:rsid w:val="00545433"/>
    <w:rsid w:val="00545637"/>
    <w:rsid w:val="00545755"/>
    <w:rsid w:val="0054580F"/>
    <w:rsid w:val="005458D9"/>
    <w:rsid w:val="005458F0"/>
    <w:rsid w:val="00545A5C"/>
    <w:rsid w:val="00545D84"/>
    <w:rsid w:val="00545DA4"/>
    <w:rsid w:val="00545F1D"/>
    <w:rsid w:val="00546143"/>
    <w:rsid w:val="00546280"/>
    <w:rsid w:val="00546747"/>
    <w:rsid w:val="005467C2"/>
    <w:rsid w:val="0054680A"/>
    <w:rsid w:val="0054682E"/>
    <w:rsid w:val="005469FC"/>
    <w:rsid w:val="00546ABF"/>
    <w:rsid w:val="00546B38"/>
    <w:rsid w:val="00546BA8"/>
    <w:rsid w:val="00546BE9"/>
    <w:rsid w:val="00546D19"/>
    <w:rsid w:val="00546DBC"/>
    <w:rsid w:val="00547137"/>
    <w:rsid w:val="00547241"/>
    <w:rsid w:val="00547286"/>
    <w:rsid w:val="00547293"/>
    <w:rsid w:val="0054731D"/>
    <w:rsid w:val="0054733C"/>
    <w:rsid w:val="005473C5"/>
    <w:rsid w:val="00547917"/>
    <w:rsid w:val="00547971"/>
    <w:rsid w:val="005479BF"/>
    <w:rsid w:val="005479E6"/>
    <w:rsid w:val="00547AD4"/>
    <w:rsid w:val="00547CE5"/>
    <w:rsid w:val="00547CFD"/>
    <w:rsid w:val="00550069"/>
    <w:rsid w:val="0055056A"/>
    <w:rsid w:val="00550589"/>
    <w:rsid w:val="00550601"/>
    <w:rsid w:val="0055097A"/>
    <w:rsid w:val="00550B9A"/>
    <w:rsid w:val="00550C4F"/>
    <w:rsid w:val="00550CB1"/>
    <w:rsid w:val="005510BA"/>
    <w:rsid w:val="0055115D"/>
    <w:rsid w:val="005514EB"/>
    <w:rsid w:val="0055191E"/>
    <w:rsid w:val="005519DC"/>
    <w:rsid w:val="00551A34"/>
    <w:rsid w:val="00551A3C"/>
    <w:rsid w:val="0055226B"/>
    <w:rsid w:val="005522DF"/>
    <w:rsid w:val="00552318"/>
    <w:rsid w:val="00552447"/>
    <w:rsid w:val="00552511"/>
    <w:rsid w:val="00552563"/>
    <w:rsid w:val="00552632"/>
    <w:rsid w:val="0055282B"/>
    <w:rsid w:val="00552A12"/>
    <w:rsid w:val="00552A9B"/>
    <w:rsid w:val="00552BD2"/>
    <w:rsid w:val="00552BF4"/>
    <w:rsid w:val="00552CAE"/>
    <w:rsid w:val="00552CEB"/>
    <w:rsid w:val="00552D44"/>
    <w:rsid w:val="00552D5F"/>
    <w:rsid w:val="00552E2A"/>
    <w:rsid w:val="00552E59"/>
    <w:rsid w:val="00553062"/>
    <w:rsid w:val="0055323D"/>
    <w:rsid w:val="00553399"/>
    <w:rsid w:val="00553469"/>
    <w:rsid w:val="005534DD"/>
    <w:rsid w:val="005535D2"/>
    <w:rsid w:val="0055363A"/>
    <w:rsid w:val="005538AA"/>
    <w:rsid w:val="00553989"/>
    <w:rsid w:val="005539C7"/>
    <w:rsid w:val="00553B1E"/>
    <w:rsid w:val="00553C44"/>
    <w:rsid w:val="00553C8F"/>
    <w:rsid w:val="00553D54"/>
    <w:rsid w:val="00553F68"/>
    <w:rsid w:val="005541B9"/>
    <w:rsid w:val="00554607"/>
    <w:rsid w:val="005546CA"/>
    <w:rsid w:val="00554802"/>
    <w:rsid w:val="005549A6"/>
    <w:rsid w:val="00554A4D"/>
    <w:rsid w:val="00554A92"/>
    <w:rsid w:val="00554D54"/>
    <w:rsid w:val="00554DD7"/>
    <w:rsid w:val="00554E1D"/>
    <w:rsid w:val="00554E9F"/>
    <w:rsid w:val="00554EB8"/>
    <w:rsid w:val="00554FBB"/>
    <w:rsid w:val="00555155"/>
    <w:rsid w:val="005552F3"/>
    <w:rsid w:val="005553A4"/>
    <w:rsid w:val="005553CC"/>
    <w:rsid w:val="00555445"/>
    <w:rsid w:val="005554F1"/>
    <w:rsid w:val="0055561F"/>
    <w:rsid w:val="00555670"/>
    <w:rsid w:val="00555778"/>
    <w:rsid w:val="005558B0"/>
    <w:rsid w:val="005558DE"/>
    <w:rsid w:val="00555A80"/>
    <w:rsid w:val="00555CD0"/>
    <w:rsid w:val="00555D14"/>
    <w:rsid w:val="00555D59"/>
    <w:rsid w:val="00555EDC"/>
    <w:rsid w:val="00555FC8"/>
    <w:rsid w:val="0055604E"/>
    <w:rsid w:val="00556181"/>
    <w:rsid w:val="00556306"/>
    <w:rsid w:val="00556330"/>
    <w:rsid w:val="00556543"/>
    <w:rsid w:val="005565E0"/>
    <w:rsid w:val="00556863"/>
    <w:rsid w:val="005568A6"/>
    <w:rsid w:val="00556970"/>
    <w:rsid w:val="005569A3"/>
    <w:rsid w:val="00556A7A"/>
    <w:rsid w:val="00556B2D"/>
    <w:rsid w:val="00556BCF"/>
    <w:rsid w:val="00556C9B"/>
    <w:rsid w:val="00556D13"/>
    <w:rsid w:val="00557057"/>
    <w:rsid w:val="0055741C"/>
    <w:rsid w:val="00557491"/>
    <w:rsid w:val="00557758"/>
    <w:rsid w:val="0055780F"/>
    <w:rsid w:val="0055781B"/>
    <w:rsid w:val="005578C7"/>
    <w:rsid w:val="005579E7"/>
    <w:rsid w:val="00557A39"/>
    <w:rsid w:val="00557A5F"/>
    <w:rsid w:val="00557B24"/>
    <w:rsid w:val="00557B34"/>
    <w:rsid w:val="00557BE2"/>
    <w:rsid w:val="00557BEF"/>
    <w:rsid w:val="00557C0C"/>
    <w:rsid w:val="00557C2A"/>
    <w:rsid w:val="00557C7B"/>
    <w:rsid w:val="00557F35"/>
    <w:rsid w:val="00557F55"/>
    <w:rsid w:val="00560093"/>
    <w:rsid w:val="00560124"/>
    <w:rsid w:val="005601BC"/>
    <w:rsid w:val="00560298"/>
    <w:rsid w:val="00560381"/>
    <w:rsid w:val="005604C8"/>
    <w:rsid w:val="005604D0"/>
    <w:rsid w:val="005606A2"/>
    <w:rsid w:val="00560713"/>
    <w:rsid w:val="005607F1"/>
    <w:rsid w:val="00560843"/>
    <w:rsid w:val="0056088B"/>
    <w:rsid w:val="00560D1D"/>
    <w:rsid w:val="00560E29"/>
    <w:rsid w:val="005610EB"/>
    <w:rsid w:val="0056122B"/>
    <w:rsid w:val="00561294"/>
    <w:rsid w:val="005612B0"/>
    <w:rsid w:val="00561333"/>
    <w:rsid w:val="0056139C"/>
    <w:rsid w:val="00561433"/>
    <w:rsid w:val="00561439"/>
    <w:rsid w:val="005614AD"/>
    <w:rsid w:val="00561519"/>
    <w:rsid w:val="0056158E"/>
    <w:rsid w:val="005617B4"/>
    <w:rsid w:val="0056196B"/>
    <w:rsid w:val="00561994"/>
    <w:rsid w:val="00561C42"/>
    <w:rsid w:val="00561CF5"/>
    <w:rsid w:val="00561DDC"/>
    <w:rsid w:val="00561E04"/>
    <w:rsid w:val="00561E36"/>
    <w:rsid w:val="005621B3"/>
    <w:rsid w:val="005622D5"/>
    <w:rsid w:val="00562571"/>
    <w:rsid w:val="00562602"/>
    <w:rsid w:val="00562734"/>
    <w:rsid w:val="00562750"/>
    <w:rsid w:val="00562915"/>
    <w:rsid w:val="0056296A"/>
    <w:rsid w:val="00562ADD"/>
    <w:rsid w:val="00562B9E"/>
    <w:rsid w:val="00562C75"/>
    <w:rsid w:val="00562CB2"/>
    <w:rsid w:val="00562CBD"/>
    <w:rsid w:val="00562F12"/>
    <w:rsid w:val="00562F17"/>
    <w:rsid w:val="005630FE"/>
    <w:rsid w:val="005631F3"/>
    <w:rsid w:val="00563306"/>
    <w:rsid w:val="005633C5"/>
    <w:rsid w:val="00563472"/>
    <w:rsid w:val="00563473"/>
    <w:rsid w:val="005635FF"/>
    <w:rsid w:val="005638EB"/>
    <w:rsid w:val="00563A58"/>
    <w:rsid w:val="00563C1B"/>
    <w:rsid w:val="00563D53"/>
    <w:rsid w:val="00563E36"/>
    <w:rsid w:val="00564031"/>
    <w:rsid w:val="00564265"/>
    <w:rsid w:val="0056426A"/>
    <w:rsid w:val="00564286"/>
    <w:rsid w:val="00564364"/>
    <w:rsid w:val="005643D6"/>
    <w:rsid w:val="00564912"/>
    <w:rsid w:val="00564AFC"/>
    <w:rsid w:val="00564B51"/>
    <w:rsid w:val="00564BDA"/>
    <w:rsid w:val="00564CD5"/>
    <w:rsid w:val="00564D47"/>
    <w:rsid w:val="00564FF6"/>
    <w:rsid w:val="005652AB"/>
    <w:rsid w:val="0056531D"/>
    <w:rsid w:val="005653A0"/>
    <w:rsid w:val="00565434"/>
    <w:rsid w:val="0056569E"/>
    <w:rsid w:val="005658EE"/>
    <w:rsid w:val="00565990"/>
    <w:rsid w:val="00565A58"/>
    <w:rsid w:val="00565A69"/>
    <w:rsid w:val="00565DBB"/>
    <w:rsid w:val="00565EB4"/>
    <w:rsid w:val="00565F5E"/>
    <w:rsid w:val="00565FAB"/>
    <w:rsid w:val="00565FDB"/>
    <w:rsid w:val="00566008"/>
    <w:rsid w:val="00566059"/>
    <w:rsid w:val="00566061"/>
    <w:rsid w:val="00566068"/>
    <w:rsid w:val="0056607E"/>
    <w:rsid w:val="0056618A"/>
    <w:rsid w:val="0056621E"/>
    <w:rsid w:val="00566299"/>
    <w:rsid w:val="005663F1"/>
    <w:rsid w:val="005665D8"/>
    <w:rsid w:val="005665E6"/>
    <w:rsid w:val="005666C3"/>
    <w:rsid w:val="005667A4"/>
    <w:rsid w:val="00566A0D"/>
    <w:rsid w:val="00566A1C"/>
    <w:rsid w:val="00566A52"/>
    <w:rsid w:val="00566C78"/>
    <w:rsid w:val="00566D94"/>
    <w:rsid w:val="00566DEF"/>
    <w:rsid w:val="00566E6C"/>
    <w:rsid w:val="00567009"/>
    <w:rsid w:val="0056709B"/>
    <w:rsid w:val="00567232"/>
    <w:rsid w:val="00567262"/>
    <w:rsid w:val="00567279"/>
    <w:rsid w:val="0056749C"/>
    <w:rsid w:val="005674C9"/>
    <w:rsid w:val="0056751A"/>
    <w:rsid w:val="0056766B"/>
    <w:rsid w:val="005677DB"/>
    <w:rsid w:val="00567817"/>
    <w:rsid w:val="00567841"/>
    <w:rsid w:val="005679F9"/>
    <w:rsid w:val="00567A90"/>
    <w:rsid w:val="00567D4A"/>
    <w:rsid w:val="00567DAB"/>
    <w:rsid w:val="00567F88"/>
    <w:rsid w:val="00567F95"/>
    <w:rsid w:val="00570154"/>
    <w:rsid w:val="0057020B"/>
    <w:rsid w:val="005702A6"/>
    <w:rsid w:val="005702FD"/>
    <w:rsid w:val="0057037E"/>
    <w:rsid w:val="00570423"/>
    <w:rsid w:val="00570690"/>
    <w:rsid w:val="00570720"/>
    <w:rsid w:val="00570A97"/>
    <w:rsid w:val="00570C5A"/>
    <w:rsid w:val="00570CDE"/>
    <w:rsid w:val="00570E4C"/>
    <w:rsid w:val="00570E87"/>
    <w:rsid w:val="005710A4"/>
    <w:rsid w:val="00571195"/>
    <w:rsid w:val="00571275"/>
    <w:rsid w:val="0057187E"/>
    <w:rsid w:val="00571912"/>
    <w:rsid w:val="0057192C"/>
    <w:rsid w:val="00571956"/>
    <w:rsid w:val="00571B13"/>
    <w:rsid w:val="00571CAF"/>
    <w:rsid w:val="00571F2B"/>
    <w:rsid w:val="00571F94"/>
    <w:rsid w:val="00572040"/>
    <w:rsid w:val="005721BF"/>
    <w:rsid w:val="0057224D"/>
    <w:rsid w:val="0057227B"/>
    <w:rsid w:val="0057240A"/>
    <w:rsid w:val="00572427"/>
    <w:rsid w:val="00572506"/>
    <w:rsid w:val="0057251E"/>
    <w:rsid w:val="00572631"/>
    <w:rsid w:val="0057263A"/>
    <w:rsid w:val="005726BA"/>
    <w:rsid w:val="005727C9"/>
    <w:rsid w:val="00572894"/>
    <w:rsid w:val="00572900"/>
    <w:rsid w:val="00572902"/>
    <w:rsid w:val="00572A1D"/>
    <w:rsid w:val="00572A24"/>
    <w:rsid w:val="00572BBA"/>
    <w:rsid w:val="00572CAB"/>
    <w:rsid w:val="00572CB0"/>
    <w:rsid w:val="00572F0B"/>
    <w:rsid w:val="00572FF8"/>
    <w:rsid w:val="00573001"/>
    <w:rsid w:val="0057303B"/>
    <w:rsid w:val="005730B5"/>
    <w:rsid w:val="005730BA"/>
    <w:rsid w:val="00573251"/>
    <w:rsid w:val="0057329B"/>
    <w:rsid w:val="005734F1"/>
    <w:rsid w:val="005735F9"/>
    <w:rsid w:val="00573757"/>
    <w:rsid w:val="00573765"/>
    <w:rsid w:val="00573780"/>
    <w:rsid w:val="005738DE"/>
    <w:rsid w:val="0057393F"/>
    <w:rsid w:val="005739DA"/>
    <w:rsid w:val="00573E42"/>
    <w:rsid w:val="00573EFA"/>
    <w:rsid w:val="00573F28"/>
    <w:rsid w:val="00574003"/>
    <w:rsid w:val="005740D6"/>
    <w:rsid w:val="00574228"/>
    <w:rsid w:val="00574282"/>
    <w:rsid w:val="00574314"/>
    <w:rsid w:val="005743C2"/>
    <w:rsid w:val="00574528"/>
    <w:rsid w:val="00574737"/>
    <w:rsid w:val="00574884"/>
    <w:rsid w:val="005748C0"/>
    <w:rsid w:val="005748DE"/>
    <w:rsid w:val="005748F5"/>
    <w:rsid w:val="00574AB4"/>
    <w:rsid w:val="00574B03"/>
    <w:rsid w:val="00574C6F"/>
    <w:rsid w:val="00575006"/>
    <w:rsid w:val="00575075"/>
    <w:rsid w:val="005750F3"/>
    <w:rsid w:val="00575126"/>
    <w:rsid w:val="00575177"/>
    <w:rsid w:val="00575568"/>
    <w:rsid w:val="0057567A"/>
    <w:rsid w:val="0057576A"/>
    <w:rsid w:val="005757B6"/>
    <w:rsid w:val="00575BA7"/>
    <w:rsid w:val="00575BB0"/>
    <w:rsid w:val="00575C3E"/>
    <w:rsid w:val="00575C8A"/>
    <w:rsid w:val="00575CAF"/>
    <w:rsid w:val="00575CEF"/>
    <w:rsid w:val="00575D58"/>
    <w:rsid w:val="00575E90"/>
    <w:rsid w:val="005763B4"/>
    <w:rsid w:val="0057652C"/>
    <w:rsid w:val="0057667A"/>
    <w:rsid w:val="005766A3"/>
    <w:rsid w:val="0057674C"/>
    <w:rsid w:val="00576B7E"/>
    <w:rsid w:val="00576D75"/>
    <w:rsid w:val="00576E4E"/>
    <w:rsid w:val="00576FD6"/>
    <w:rsid w:val="00577066"/>
    <w:rsid w:val="0057707D"/>
    <w:rsid w:val="00577140"/>
    <w:rsid w:val="005771E6"/>
    <w:rsid w:val="00577327"/>
    <w:rsid w:val="0057735D"/>
    <w:rsid w:val="005773BD"/>
    <w:rsid w:val="005776E5"/>
    <w:rsid w:val="005777E7"/>
    <w:rsid w:val="00577917"/>
    <w:rsid w:val="00577A65"/>
    <w:rsid w:val="00577B10"/>
    <w:rsid w:val="00577BB8"/>
    <w:rsid w:val="00577BF3"/>
    <w:rsid w:val="00577D2C"/>
    <w:rsid w:val="00577DA4"/>
    <w:rsid w:val="00577E19"/>
    <w:rsid w:val="00577EA1"/>
    <w:rsid w:val="00577F83"/>
    <w:rsid w:val="0058001E"/>
    <w:rsid w:val="00580186"/>
    <w:rsid w:val="005801CA"/>
    <w:rsid w:val="005803DF"/>
    <w:rsid w:val="005803F3"/>
    <w:rsid w:val="005804AD"/>
    <w:rsid w:val="00580504"/>
    <w:rsid w:val="005809D7"/>
    <w:rsid w:val="00580DCB"/>
    <w:rsid w:val="00580F90"/>
    <w:rsid w:val="00581046"/>
    <w:rsid w:val="005810F8"/>
    <w:rsid w:val="005812E6"/>
    <w:rsid w:val="00581317"/>
    <w:rsid w:val="0058153C"/>
    <w:rsid w:val="00581601"/>
    <w:rsid w:val="005816FF"/>
    <w:rsid w:val="0058183E"/>
    <w:rsid w:val="0058194D"/>
    <w:rsid w:val="005819C3"/>
    <w:rsid w:val="00581B63"/>
    <w:rsid w:val="00581B78"/>
    <w:rsid w:val="00581E43"/>
    <w:rsid w:val="00581E7A"/>
    <w:rsid w:val="00581EE9"/>
    <w:rsid w:val="00581EF2"/>
    <w:rsid w:val="00581F28"/>
    <w:rsid w:val="00581FD3"/>
    <w:rsid w:val="00581FFC"/>
    <w:rsid w:val="00581FFF"/>
    <w:rsid w:val="0058209E"/>
    <w:rsid w:val="005820B6"/>
    <w:rsid w:val="005820F7"/>
    <w:rsid w:val="0058226D"/>
    <w:rsid w:val="00582282"/>
    <w:rsid w:val="005824F1"/>
    <w:rsid w:val="0058255F"/>
    <w:rsid w:val="00582690"/>
    <w:rsid w:val="00582752"/>
    <w:rsid w:val="00582860"/>
    <w:rsid w:val="00582985"/>
    <w:rsid w:val="0058299D"/>
    <w:rsid w:val="00582AF7"/>
    <w:rsid w:val="00582B2C"/>
    <w:rsid w:val="00582C7A"/>
    <w:rsid w:val="00582CCC"/>
    <w:rsid w:val="00582E80"/>
    <w:rsid w:val="00583351"/>
    <w:rsid w:val="005833B0"/>
    <w:rsid w:val="00583404"/>
    <w:rsid w:val="00583460"/>
    <w:rsid w:val="005834D5"/>
    <w:rsid w:val="0058351F"/>
    <w:rsid w:val="005835AA"/>
    <w:rsid w:val="0058378E"/>
    <w:rsid w:val="0058379E"/>
    <w:rsid w:val="00583894"/>
    <w:rsid w:val="005839A3"/>
    <w:rsid w:val="005839AF"/>
    <w:rsid w:val="00583A32"/>
    <w:rsid w:val="00583B90"/>
    <w:rsid w:val="00583B9D"/>
    <w:rsid w:val="00583C89"/>
    <w:rsid w:val="00583E36"/>
    <w:rsid w:val="00583E44"/>
    <w:rsid w:val="00583F72"/>
    <w:rsid w:val="00583FF6"/>
    <w:rsid w:val="00584050"/>
    <w:rsid w:val="00584124"/>
    <w:rsid w:val="00584293"/>
    <w:rsid w:val="0058431F"/>
    <w:rsid w:val="00584322"/>
    <w:rsid w:val="00584616"/>
    <w:rsid w:val="00584811"/>
    <w:rsid w:val="00584816"/>
    <w:rsid w:val="0058494B"/>
    <w:rsid w:val="00584959"/>
    <w:rsid w:val="005849DE"/>
    <w:rsid w:val="00584B8F"/>
    <w:rsid w:val="00584BD4"/>
    <w:rsid w:val="00584BE9"/>
    <w:rsid w:val="00584D9B"/>
    <w:rsid w:val="00584DEE"/>
    <w:rsid w:val="00584FD8"/>
    <w:rsid w:val="005851DD"/>
    <w:rsid w:val="00585399"/>
    <w:rsid w:val="00585469"/>
    <w:rsid w:val="00585A6A"/>
    <w:rsid w:val="00585A9C"/>
    <w:rsid w:val="00585AA4"/>
    <w:rsid w:val="00585B5E"/>
    <w:rsid w:val="00585BE7"/>
    <w:rsid w:val="00585C40"/>
    <w:rsid w:val="00585EF8"/>
    <w:rsid w:val="00585F36"/>
    <w:rsid w:val="00585F5E"/>
    <w:rsid w:val="00585FCD"/>
    <w:rsid w:val="00585FDD"/>
    <w:rsid w:val="0058602C"/>
    <w:rsid w:val="005860B6"/>
    <w:rsid w:val="00586163"/>
    <w:rsid w:val="0058617E"/>
    <w:rsid w:val="005866D2"/>
    <w:rsid w:val="00586784"/>
    <w:rsid w:val="005868D1"/>
    <w:rsid w:val="005868DE"/>
    <w:rsid w:val="00586A6B"/>
    <w:rsid w:val="00586AB8"/>
    <w:rsid w:val="00586B5D"/>
    <w:rsid w:val="00586D7F"/>
    <w:rsid w:val="00586E6D"/>
    <w:rsid w:val="0058709F"/>
    <w:rsid w:val="005872C7"/>
    <w:rsid w:val="00587326"/>
    <w:rsid w:val="005873C5"/>
    <w:rsid w:val="00587626"/>
    <w:rsid w:val="0058798D"/>
    <w:rsid w:val="005879F5"/>
    <w:rsid w:val="00587A7C"/>
    <w:rsid w:val="00587AF8"/>
    <w:rsid w:val="00587B27"/>
    <w:rsid w:val="00587BD1"/>
    <w:rsid w:val="00587BD8"/>
    <w:rsid w:val="00587D04"/>
    <w:rsid w:val="00587D41"/>
    <w:rsid w:val="00587D42"/>
    <w:rsid w:val="00587D6E"/>
    <w:rsid w:val="00587DD1"/>
    <w:rsid w:val="00587EEA"/>
    <w:rsid w:val="00587EEB"/>
    <w:rsid w:val="00590220"/>
    <w:rsid w:val="00590349"/>
    <w:rsid w:val="00590370"/>
    <w:rsid w:val="0059045F"/>
    <w:rsid w:val="005904D9"/>
    <w:rsid w:val="005906DE"/>
    <w:rsid w:val="005907CB"/>
    <w:rsid w:val="00590836"/>
    <w:rsid w:val="00590847"/>
    <w:rsid w:val="005908FC"/>
    <w:rsid w:val="00590946"/>
    <w:rsid w:val="00590B38"/>
    <w:rsid w:val="00590C84"/>
    <w:rsid w:val="00590D5C"/>
    <w:rsid w:val="00590FD1"/>
    <w:rsid w:val="005910B5"/>
    <w:rsid w:val="00591213"/>
    <w:rsid w:val="0059157E"/>
    <w:rsid w:val="00591769"/>
    <w:rsid w:val="0059183A"/>
    <w:rsid w:val="00591A43"/>
    <w:rsid w:val="00591A7E"/>
    <w:rsid w:val="00591AAD"/>
    <w:rsid w:val="00591BDF"/>
    <w:rsid w:val="00591BEB"/>
    <w:rsid w:val="00591DE1"/>
    <w:rsid w:val="00591DF7"/>
    <w:rsid w:val="00592107"/>
    <w:rsid w:val="0059219C"/>
    <w:rsid w:val="005921E7"/>
    <w:rsid w:val="0059220C"/>
    <w:rsid w:val="0059231B"/>
    <w:rsid w:val="00592355"/>
    <w:rsid w:val="00592441"/>
    <w:rsid w:val="005924E3"/>
    <w:rsid w:val="00592602"/>
    <w:rsid w:val="005926BB"/>
    <w:rsid w:val="005927D9"/>
    <w:rsid w:val="00592A45"/>
    <w:rsid w:val="00592A52"/>
    <w:rsid w:val="00592B0C"/>
    <w:rsid w:val="00592C98"/>
    <w:rsid w:val="00592E31"/>
    <w:rsid w:val="00592EA6"/>
    <w:rsid w:val="00593057"/>
    <w:rsid w:val="005930E0"/>
    <w:rsid w:val="00593262"/>
    <w:rsid w:val="00593380"/>
    <w:rsid w:val="00593427"/>
    <w:rsid w:val="0059343E"/>
    <w:rsid w:val="0059353C"/>
    <w:rsid w:val="005935FB"/>
    <w:rsid w:val="00593695"/>
    <w:rsid w:val="005936BE"/>
    <w:rsid w:val="00593750"/>
    <w:rsid w:val="00593779"/>
    <w:rsid w:val="005937C5"/>
    <w:rsid w:val="00593809"/>
    <w:rsid w:val="0059384E"/>
    <w:rsid w:val="00593881"/>
    <w:rsid w:val="00593911"/>
    <w:rsid w:val="00593930"/>
    <w:rsid w:val="00593961"/>
    <w:rsid w:val="00593A66"/>
    <w:rsid w:val="00593AE1"/>
    <w:rsid w:val="00593D38"/>
    <w:rsid w:val="00593D76"/>
    <w:rsid w:val="00593E22"/>
    <w:rsid w:val="00593ED9"/>
    <w:rsid w:val="00594019"/>
    <w:rsid w:val="0059410E"/>
    <w:rsid w:val="0059440C"/>
    <w:rsid w:val="00594495"/>
    <w:rsid w:val="00594500"/>
    <w:rsid w:val="0059460F"/>
    <w:rsid w:val="0059482B"/>
    <w:rsid w:val="00594A30"/>
    <w:rsid w:val="00594A85"/>
    <w:rsid w:val="00594B74"/>
    <w:rsid w:val="00594BC6"/>
    <w:rsid w:val="00594C7C"/>
    <w:rsid w:val="00594C7F"/>
    <w:rsid w:val="00594DBE"/>
    <w:rsid w:val="00594E1A"/>
    <w:rsid w:val="00594EA1"/>
    <w:rsid w:val="00594EAE"/>
    <w:rsid w:val="00594ECE"/>
    <w:rsid w:val="0059506C"/>
    <w:rsid w:val="0059511F"/>
    <w:rsid w:val="0059529D"/>
    <w:rsid w:val="005952AA"/>
    <w:rsid w:val="0059534F"/>
    <w:rsid w:val="0059539A"/>
    <w:rsid w:val="00595591"/>
    <w:rsid w:val="005955AB"/>
    <w:rsid w:val="005957FE"/>
    <w:rsid w:val="00595916"/>
    <w:rsid w:val="00595A50"/>
    <w:rsid w:val="00595B21"/>
    <w:rsid w:val="00595B7A"/>
    <w:rsid w:val="00595D5E"/>
    <w:rsid w:val="00595DAF"/>
    <w:rsid w:val="00595DC2"/>
    <w:rsid w:val="00595E29"/>
    <w:rsid w:val="00595FA2"/>
    <w:rsid w:val="0059610C"/>
    <w:rsid w:val="0059618D"/>
    <w:rsid w:val="00596210"/>
    <w:rsid w:val="00596427"/>
    <w:rsid w:val="00596454"/>
    <w:rsid w:val="005966CC"/>
    <w:rsid w:val="005966FB"/>
    <w:rsid w:val="0059679F"/>
    <w:rsid w:val="00596835"/>
    <w:rsid w:val="005969AB"/>
    <w:rsid w:val="00596A9C"/>
    <w:rsid w:val="00596BB4"/>
    <w:rsid w:val="00596BE5"/>
    <w:rsid w:val="00596C66"/>
    <w:rsid w:val="00596CA6"/>
    <w:rsid w:val="00596CBE"/>
    <w:rsid w:val="00596D15"/>
    <w:rsid w:val="00596E4B"/>
    <w:rsid w:val="005971B8"/>
    <w:rsid w:val="005972C6"/>
    <w:rsid w:val="005972E0"/>
    <w:rsid w:val="005973F8"/>
    <w:rsid w:val="00597502"/>
    <w:rsid w:val="0059767A"/>
    <w:rsid w:val="005976B3"/>
    <w:rsid w:val="005976BC"/>
    <w:rsid w:val="00597780"/>
    <w:rsid w:val="0059786A"/>
    <w:rsid w:val="00597A6B"/>
    <w:rsid w:val="00597C49"/>
    <w:rsid w:val="00597CFD"/>
    <w:rsid w:val="00597E40"/>
    <w:rsid w:val="00597EB3"/>
    <w:rsid w:val="00597F04"/>
    <w:rsid w:val="00597F9D"/>
    <w:rsid w:val="00597FC4"/>
    <w:rsid w:val="00597FD4"/>
    <w:rsid w:val="00597FF2"/>
    <w:rsid w:val="005A0009"/>
    <w:rsid w:val="005A0019"/>
    <w:rsid w:val="005A030D"/>
    <w:rsid w:val="005A04DA"/>
    <w:rsid w:val="005A0517"/>
    <w:rsid w:val="005A0574"/>
    <w:rsid w:val="005A05C1"/>
    <w:rsid w:val="005A074A"/>
    <w:rsid w:val="005A07B9"/>
    <w:rsid w:val="005A08C3"/>
    <w:rsid w:val="005A0909"/>
    <w:rsid w:val="005A0926"/>
    <w:rsid w:val="005A095E"/>
    <w:rsid w:val="005A0AB4"/>
    <w:rsid w:val="005A0CA5"/>
    <w:rsid w:val="005A0D52"/>
    <w:rsid w:val="005A0DA9"/>
    <w:rsid w:val="005A0F1D"/>
    <w:rsid w:val="005A0F47"/>
    <w:rsid w:val="005A0FA7"/>
    <w:rsid w:val="005A1027"/>
    <w:rsid w:val="005A154A"/>
    <w:rsid w:val="005A1550"/>
    <w:rsid w:val="005A156A"/>
    <w:rsid w:val="005A18AE"/>
    <w:rsid w:val="005A1964"/>
    <w:rsid w:val="005A1971"/>
    <w:rsid w:val="005A1B41"/>
    <w:rsid w:val="005A1D58"/>
    <w:rsid w:val="005A1E71"/>
    <w:rsid w:val="005A2206"/>
    <w:rsid w:val="005A2266"/>
    <w:rsid w:val="005A2283"/>
    <w:rsid w:val="005A2325"/>
    <w:rsid w:val="005A2328"/>
    <w:rsid w:val="005A241A"/>
    <w:rsid w:val="005A244D"/>
    <w:rsid w:val="005A24C5"/>
    <w:rsid w:val="005A25A4"/>
    <w:rsid w:val="005A2715"/>
    <w:rsid w:val="005A2983"/>
    <w:rsid w:val="005A2ABD"/>
    <w:rsid w:val="005A2AD7"/>
    <w:rsid w:val="005A2B1C"/>
    <w:rsid w:val="005A2CC2"/>
    <w:rsid w:val="005A2D04"/>
    <w:rsid w:val="005A2DCC"/>
    <w:rsid w:val="005A2E03"/>
    <w:rsid w:val="005A2E93"/>
    <w:rsid w:val="005A2F1B"/>
    <w:rsid w:val="005A2FE4"/>
    <w:rsid w:val="005A30D8"/>
    <w:rsid w:val="005A3115"/>
    <w:rsid w:val="005A32FE"/>
    <w:rsid w:val="005A338A"/>
    <w:rsid w:val="005A348F"/>
    <w:rsid w:val="005A3534"/>
    <w:rsid w:val="005A379A"/>
    <w:rsid w:val="005A37AC"/>
    <w:rsid w:val="005A3805"/>
    <w:rsid w:val="005A38FD"/>
    <w:rsid w:val="005A3AEB"/>
    <w:rsid w:val="005A3B25"/>
    <w:rsid w:val="005A3C4A"/>
    <w:rsid w:val="005A3CBA"/>
    <w:rsid w:val="005A3EFE"/>
    <w:rsid w:val="005A3F16"/>
    <w:rsid w:val="005A3F86"/>
    <w:rsid w:val="005A4090"/>
    <w:rsid w:val="005A4119"/>
    <w:rsid w:val="005A423F"/>
    <w:rsid w:val="005A4279"/>
    <w:rsid w:val="005A4286"/>
    <w:rsid w:val="005A42D9"/>
    <w:rsid w:val="005A4312"/>
    <w:rsid w:val="005A43BC"/>
    <w:rsid w:val="005A43CD"/>
    <w:rsid w:val="005A472D"/>
    <w:rsid w:val="005A4764"/>
    <w:rsid w:val="005A4858"/>
    <w:rsid w:val="005A4AF7"/>
    <w:rsid w:val="005A4BE2"/>
    <w:rsid w:val="005A4C6B"/>
    <w:rsid w:val="005A4CE3"/>
    <w:rsid w:val="005A4DD3"/>
    <w:rsid w:val="005A4E85"/>
    <w:rsid w:val="005A4EE0"/>
    <w:rsid w:val="005A52E7"/>
    <w:rsid w:val="005A5322"/>
    <w:rsid w:val="005A5345"/>
    <w:rsid w:val="005A543E"/>
    <w:rsid w:val="005A5475"/>
    <w:rsid w:val="005A549B"/>
    <w:rsid w:val="005A55B4"/>
    <w:rsid w:val="005A5658"/>
    <w:rsid w:val="005A56C0"/>
    <w:rsid w:val="005A5824"/>
    <w:rsid w:val="005A5871"/>
    <w:rsid w:val="005A5D01"/>
    <w:rsid w:val="005A5D04"/>
    <w:rsid w:val="005A5D2A"/>
    <w:rsid w:val="005A5EEA"/>
    <w:rsid w:val="005A5FBE"/>
    <w:rsid w:val="005A6173"/>
    <w:rsid w:val="005A62E1"/>
    <w:rsid w:val="005A6301"/>
    <w:rsid w:val="005A6330"/>
    <w:rsid w:val="005A642C"/>
    <w:rsid w:val="005A67B7"/>
    <w:rsid w:val="005A67D1"/>
    <w:rsid w:val="005A6901"/>
    <w:rsid w:val="005A697C"/>
    <w:rsid w:val="005A6AAB"/>
    <w:rsid w:val="005A6B71"/>
    <w:rsid w:val="005A6C40"/>
    <w:rsid w:val="005A6C9B"/>
    <w:rsid w:val="005A6CDD"/>
    <w:rsid w:val="005A6E6E"/>
    <w:rsid w:val="005A6FBD"/>
    <w:rsid w:val="005A71EC"/>
    <w:rsid w:val="005A72C4"/>
    <w:rsid w:val="005A738F"/>
    <w:rsid w:val="005A73BC"/>
    <w:rsid w:val="005A7537"/>
    <w:rsid w:val="005A75C3"/>
    <w:rsid w:val="005A7782"/>
    <w:rsid w:val="005A7792"/>
    <w:rsid w:val="005A7857"/>
    <w:rsid w:val="005A7871"/>
    <w:rsid w:val="005A7916"/>
    <w:rsid w:val="005A7A40"/>
    <w:rsid w:val="005A7B4D"/>
    <w:rsid w:val="005A7B62"/>
    <w:rsid w:val="005A7C53"/>
    <w:rsid w:val="005A7DDE"/>
    <w:rsid w:val="005A7ED5"/>
    <w:rsid w:val="005A7FF2"/>
    <w:rsid w:val="005B009C"/>
    <w:rsid w:val="005B014E"/>
    <w:rsid w:val="005B03E6"/>
    <w:rsid w:val="005B05ED"/>
    <w:rsid w:val="005B0781"/>
    <w:rsid w:val="005B0819"/>
    <w:rsid w:val="005B08CC"/>
    <w:rsid w:val="005B0958"/>
    <w:rsid w:val="005B09B9"/>
    <w:rsid w:val="005B0ABF"/>
    <w:rsid w:val="005B0AC6"/>
    <w:rsid w:val="005B0AF3"/>
    <w:rsid w:val="005B0C83"/>
    <w:rsid w:val="005B0DCA"/>
    <w:rsid w:val="005B0E85"/>
    <w:rsid w:val="005B1132"/>
    <w:rsid w:val="005B11AA"/>
    <w:rsid w:val="005B11EE"/>
    <w:rsid w:val="005B1351"/>
    <w:rsid w:val="005B1430"/>
    <w:rsid w:val="005B1439"/>
    <w:rsid w:val="005B14AA"/>
    <w:rsid w:val="005B1609"/>
    <w:rsid w:val="005B1614"/>
    <w:rsid w:val="005B167B"/>
    <w:rsid w:val="005B18C9"/>
    <w:rsid w:val="005B1BB5"/>
    <w:rsid w:val="005B1CD9"/>
    <w:rsid w:val="005B2159"/>
    <w:rsid w:val="005B23EA"/>
    <w:rsid w:val="005B2605"/>
    <w:rsid w:val="005B27AA"/>
    <w:rsid w:val="005B280F"/>
    <w:rsid w:val="005B2A12"/>
    <w:rsid w:val="005B2A4A"/>
    <w:rsid w:val="005B2A6C"/>
    <w:rsid w:val="005B2B82"/>
    <w:rsid w:val="005B2BB0"/>
    <w:rsid w:val="005B2C7F"/>
    <w:rsid w:val="005B2CC0"/>
    <w:rsid w:val="005B2CC8"/>
    <w:rsid w:val="005B2CE7"/>
    <w:rsid w:val="005B2D1E"/>
    <w:rsid w:val="005B2DB0"/>
    <w:rsid w:val="005B2E6E"/>
    <w:rsid w:val="005B2E94"/>
    <w:rsid w:val="005B3091"/>
    <w:rsid w:val="005B32F0"/>
    <w:rsid w:val="005B3417"/>
    <w:rsid w:val="005B346A"/>
    <w:rsid w:val="005B3559"/>
    <w:rsid w:val="005B3668"/>
    <w:rsid w:val="005B3690"/>
    <w:rsid w:val="005B370D"/>
    <w:rsid w:val="005B37EC"/>
    <w:rsid w:val="005B3852"/>
    <w:rsid w:val="005B3879"/>
    <w:rsid w:val="005B3895"/>
    <w:rsid w:val="005B3BB7"/>
    <w:rsid w:val="005B3D64"/>
    <w:rsid w:val="005B3E35"/>
    <w:rsid w:val="005B3E72"/>
    <w:rsid w:val="005B4062"/>
    <w:rsid w:val="005B40B0"/>
    <w:rsid w:val="005B4162"/>
    <w:rsid w:val="005B419F"/>
    <w:rsid w:val="005B4236"/>
    <w:rsid w:val="005B42BE"/>
    <w:rsid w:val="005B43F1"/>
    <w:rsid w:val="005B4476"/>
    <w:rsid w:val="005B448E"/>
    <w:rsid w:val="005B4576"/>
    <w:rsid w:val="005B4612"/>
    <w:rsid w:val="005B48C6"/>
    <w:rsid w:val="005B49E6"/>
    <w:rsid w:val="005B4A5D"/>
    <w:rsid w:val="005B4A97"/>
    <w:rsid w:val="005B4BF8"/>
    <w:rsid w:val="005B4CB1"/>
    <w:rsid w:val="005B4D14"/>
    <w:rsid w:val="005B5277"/>
    <w:rsid w:val="005B5473"/>
    <w:rsid w:val="005B5626"/>
    <w:rsid w:val="005B58F9"/>
    <w:rsid w:val="005B5940"/>
    <w:rsid w:val="005B5A7D"/>
    <w:rsid w:val="005B5CFE"/>
    <w:rsid w:val="005B5D21"/>
    <w:rsid w:val="005B5D49"/>
    <w:rsid w:val="005B5DAB"/>
    <w:rsid w:val="005B6055"/>
    <w:rsid w:val="005B61BB"/>
    <w:rsid w:val="005B6221"/>
    <w:rsid w:val="005B626D"/>
    <w:rsid w:val="005B62D5"/>
    <w:rsid w:val="005B62E2"/>
    <w:rsid w:val="005B64DF"/>
    <w:rsid w:val="005B6543"/>
    <w:rsid w:val="005B69AE"/>
    <w:rsid w:val="005B6A50"/>
    <w:rsid w:val="005B6D03"/>
    <w:rsid w:val="005B6ECB"/>
    <w:rsid w:val="005B6FF4"/>
    <w:rsid w:val="005B70F2"/>
    <w:rsid w:val="005B7131"/>
    <w:rsid w:val="005B7158"/>
    <w:rsid w:val="005B71E0"/>
    <w:rsid w:val="005B7242"/>
    <w:rsid w:val="005B74CB"/>
    <w:rsid w:val="005B7526"/>
    <w:rsid w:val="005B75BD"/>
    <w:rsid w:val="005B791F"/>
    <w:rsid w:val="005B7981"/>
    <w:rsid w:val="005B7A5C"/>
    <w:rsid w:val="005B7AE8"/>
    <w:rsid w:val="005B7BCD"/>
    <w:rsid w:val="005B7D8D"/>
    <w:rsid w:val="005B7F11"/>
    <w:rsid w:val="005C010A"/>
    <w:rsid w:val="005C02B9"/>
    <w:rsid w:val="005C02C5"/>
    <w:rsid w:val="005C03DD"/>
    <w:rsid w:val="005C042B"/>
    <w:rsid w:val="005C0449"/>
    <w:rsid w:val="005C04B1"/>
    <w:rsid w:val="005C0863"/>
    <w:rsid w:val="005C0870"/>
    <w:rsid w:val="005C09AF"/>
    <w:rsid w:val="005C09B6"/>
    <w:rsid w:val="005C09C9"/>
    <w:rsid w:val="005C0A0B"/>
    <w:rsid w:val="005C0A7F"/>
    <w:rsid w:val="005C0AB6"/>
    <w:rsid w:val="005C0BE8"/>
    <w:rsid w:val="005C0C23"/>
    <w:rsid w:val="005C0DC1"/>
    <w:rsid w:val="005C0E45"/>
    <w:rsid w:val="005C123D"/>
    <w:rsid w:val="005C1313"/>
    <w:rsid w:val="005C1374"/>
    <w:rsid w:val="005C13F1"/>
    <w:rsid w:val="005C14D3"/>
    <w:rsid w:val="005C1531"/>
    <w:rsid w:val="005C15B5"/>
    <w:rsid w:val="005C15FA"/>
    <w:rsid w:val="005C166C"/>
    <w:rsid w:val="005C18C4"/>
    <w:rsid w:val="005C1912"/>
    <w:rsid w:val="005C1B92"/>
    <w:rsid w:val="005C1C60"/>
    <w:rsid w:val="005C1E28"/>
    <w:rsid w:val="005C1F57"/>
    <w:rsid w:val="005C2075"/>
    <w:rsid w:val="005C2129"/>
    <w:rsid w:val="005C218A"/>
    <w:rsid w:val="005C219E"/>
    <w:rsid w:val="005C2587"/>
    <w:rsid w:val="005C25B1"/>
    <w:rsid w:val="005C268C"/>
    <w:rsid w:val="005C278F"/>
    <w:rsid w:val="005C27DA"/>
    <w:rsid w:val="005C29B2"/>
    <w:rsid w:val="005C29C5"/>
    <w:rsid w:val="005C2BBC"/>
    <w:rsid w:val="005C2D39"/>
    <w:rsid w:val="005C30DD"/>
    <w:rsid w:val="005C3349"/>
    <w:rsid w:val="005C3495"/>
    <w:rsid w:val="005C369A"/>
    <w:rsid w:val="005C3827"/>
    <w:rsid w:val="005C391C"/>
    <w:rsid w:val="005C3925"/>
    <w:rsid w:val="005C39AE"/>
    <w:rsid w:val="005C3A7E"/>
    <w:rsid w:val="005C3AC9"/>
    <w:rsid w:val="005C3B38"/>
    <w:rsid w:val="005C3BEA"/>
    <w:rsid w:val="005C3C31"/>
    <w:rsid w:val="005C3E61"/>
    <w:rsid w:val="005C3FFB"/>
    <w:rsid w:val="005C401B"/>
    <w:rsid w:val="005C417D"/>
    <w:rsid w:val="005C41EA"/>
    <w:rsid w:val="005C425F"/>
    <w:rsid w:val="005C42C6"/>
    <w:rsid w:val="005C4418"/>
    <w:rsid w:val="005C44E5"/>
    <w:rsid w:val="005C4590"/>
    <w:rsid w:val="005C45B6"/>
    <w:rsid w:val="005C46D0"/>
    <w:rsid w:val="005C46E7"/>
    <w:rsid w:val="005C4771"/>
    <w:rsid w:val="005C47FE"/>
    <w:rsid w:val="005C481B"/>
    <w:rsid w:val="005C48D9"/>
    <w:rsid w:val="005C493C"/>
    <w:rsid w:val="005C4B39"/>
    <w:rsid w:val="005C4B8D"/>
    <w:rsid w:val="005C4D1B"/>
    <w:rsid w:val="005C4DF1"/>
    <w:rsid w:val="005C504E"/>
    <w:rsid w:val="005C53D2"/>
    <w:rsid w:val="005C53D6"/>
    <w:rsid w:val="005C564A"/>
    <w:rsid w:val="005C5683"/>
    <w:rsid w:val="005C5753"/>
    <w:rsid w:val="005C57BC"/>
    <w:rsid w:val="005C597B"/>
    <w:rsid w:val="005C5A0E"/>
    <w:rsid w:val="005C5A7E"/>
    <w:rsid w:val="005C5AB8"/>
    <w:rsid w:val="005C5B26"/>
    <w:rsid w:val="005C5CC1"/>
    <w:rsid w:val="005C5D7F"/>
    <w:rsid w:val="005C5EFB"/>
    <w:rsid w:val="005C5F5D"/>
    <w:rsid w:val="005C5FB0"/>
    <w:rsid w:val="005C607E"/>
    <w:rsid w:val="005C6211"/>
    <w:rsid w:val="005C62AD"/>
    <w:rsid w:val="005C62BD"/>
    <w:rsid w:val="005C6379"/>
    <w:rsid w:val="005C6469"/>
    <w:rsid w:val="005C6738"/>
    <w:rsid w:val="005C6782"/>
    <w:rsid w:val="005C683D"/>
    <w:rsid w:val="005C6907"/>
    <w:rsid w:val="005C6A93"/>
    <w:rsid w:val="005C6BE5"/>
    <w:rsid w:val="005C6BE7"/>
    <w:rsid w:val="005C6F40"/>
    <w:rsid w:val="005C7089"/>
    <w:rsid w:val="005C721B"/>
    <w:rsid w:val="005C73A2"/>
    <w:rsid w:val="005C73F5"/>
    <w:rsid w:val="005C75E3"/>
    <w:rsid w:val="005C762D"/>
    <w:rsid w:val="005C77E9"/>
    <w:rsid w:val="005C78F7"/>
    <w:rsid w:val="005C7A2D"/>
    <w:rsid w:val="005C7A39"/>
    <w:rsid w:val="005C7A50"/>
    <w:rsid w:val="005C7ACD"/>
    <w:rsid w:val="005C7ADB"/>
    <w:rsid w:val="005C7BDE"/>
    <w:rsid w:val="005C7CB8"/>
    <w:rsid w:val="005C7DB9"/>
    <w:rsid w:val="005C7DFC"/>
    <w:rsid w:val="005C7E2E"/>
    <w:rsid w:val="005C7F25"/>
    <w:rsid w:val="005C7F38"/>
    <w:rsid w:val="005D01ED"/>
    <w:rsid w:val="005D02EE"/>
    <w:rsid w:val="005D0422"/>
    <w:rsid w:val="005D04D9"/>
    <w:rsid w:val="005D05AD"/>
    <w:rsid w:val="005D0704"/>
    <w:rsid w:val="005D0876"/>
    <w:rsid w:val="005D09FE"/>
    <w:rsid w:val="005D0A21"/>
    <w:rsid w:val="005D0A2A"/>
    <w:rsid w:val="005D0A99"/>
    <w:rsid w:val="005D0BAD"/>
    <w:rsid w:val="005D0C01"/>
    <w:rsid w:val="005D0F0E"/>
    <w:rsid w:val="005D0FFE"/>
    <w:rsid w:val="005D1028"/>
    <w:rsid w:val="005D1251"/>
    <w:rsid w:val="005D12C8"/>
    <w:rsid w:val="005D13B9"/>
    <w:rsid w:val="005D1532"/>
    <w:rsid w:val="005D1545"/>
    <w:rsid w:val="005D159C"/>
    <w:rsid w:val="005D1682"/>
    <w:rsid w:val="005D1780"/>
    <w:rsid w:val="005D19D8"/>
    <w:rsid w:val="005D19FD"/>
    <w:rsid w:val="005D1B2C"/>
    <w:rsid w:val="005D1B6F"/>
    <w:rsid w:val="005D1C92"/>
    <w:rsid w:val="005D1FBE"/>
    <w:rsid w:val="005D2248"/>
    <w:rsid w:val="005D2387"/>
    <w:rsid w:val="005D238B"/>
    <w:rsid w:val="005D2555"/>
    <w:rsid w:val="005D25DE"/>
    <w:rsid w:val="005D26F9"/>
    <w:rsid w:val="005D2748"/>
    <w:rsid w:val="005D2782"/>
    <w:rsid w:val="005D2878"/>
    <w:rsid w:val="005D28FD"/>
    <w:rsid w:val="005D29D2"/>
    <w:rsid w:val="005D2A3D"/>
    <w:rsid w:val="005D2AC4"/>
    <w:rsid w:val="005D2ACF"/>
    <w:rsid w:val="005D2B59"/>
    <w:rsid w:val="005D2B6B"/>
    <w:rsid w:val="005D2B76"/>
    <w:rsid w:val="005D2B8C"/>
    <w:rsid w:val="005D2BD7"/>
    <w:rsid w:val="005D2C87"/>
    <w:rsid w:val="005D2CA1"/>
    <w:rsid w:val="005D2DC4"/>
    <w:rsid w:val="005D2E98"/>
    <w:rsid w:val="005D2F65"/>
    <w:rsid w:val="005D2FDE"/>
    <w:rsid w:val="005D308D"/>
    <w:rsid w:val="005D312B"/>
    <w:rsid w:val="005D3228"/>
    <w:rsid w:val="005D330D"/>
    <w:rsid w:val="005D3333"/>
    <w:rsid w:val="005D3390"/>
    <w:rsid w:val="005D33E1"/>
    <w:rsid w:val="005D3451"/>
    <w:rsid w:val="005D35E2"/>
    <w:rsid w:val="005D3831"/>
    <w:rsid w:val="005D38F4"/>
    <w:rsid w:val="005D3A67"/>
    <w:rsid w:val="005D3C62"/>
    <w:rsid w:val="005D3C77"/>
    <w:rsid w:val="005D3CB0"/>
    <w:rsid w:val="005D3F4B"/>
    <w:rsid w:val="005D3FA6"/>
    <w:rsid w:val="005D40B5"/>
    <w:rsid w:val="005D40C0"/>
    <w:rsid w:val="005D410F"/>
    <w:rsid w:val="005D429A"/>
    <w:rsid w:val="005D4354"/>
    <w:rsid w:val="005D4378"/>
    <w:rsid w:val="005D44EC"/>
    <w:rsid w:val="005D4516"/>
    <w:rsid w:val="005D4641"/>
    <w:rsid w:val="005D469A"/>
    <w:rsid w:val="005D4820"/>
    <w:rsid w:val="005D48E1"/>
    <w:rsid w:val="005D4933"/>
    <w:rsid w:val="005D4A02"/>
    <w:rsid w:val="005D4A0D"/>
    <w:rsid w:val="005D4A5F"/>
    <w:rsid w:val="005D4A6D"/>
    <w:rsid w:val="005D4AA4"/>
    <w:rsid w:val="005D4AA6"/>
    <w:rsid w:val="005D4B18"/>
    <w:rsid w:val="005D4C04"/>
    <w:rsid w:val="005D4C4E"/>
    <w:rsid w:val="005D4CD9"/>
    <w:rsid w:val="005D4FBB"/>
    <w:rsid w:val="005D5387"/>
    <w:rsid w:val="005D5409"/>
    <w:rsid w:val="005D547D"/>
    <w:rsid w:val="005D5700"/>
    <w:rsid w:val="005D5736"/>
    <w:rsid w:val="005D58A3"/>
    <w:rsid w:val="005D599D"/>
    <w:rsid w:val="005D5B0B"/>
    <w:rsid w:val="005D5B16"/>
    <w:rsid w:val="005D5B7E"/>
    <w:rsid w:val="005D5E32"/>
    <w:rsid w:val="005D5F0E"/>
    <w:rsid w:val="005D5F1B"/>
    <w:rsid w:val="005D5FC4"/>
    <w:rsid w:val="005D603B"/>
    <w:rsid w:val="005D6279"/>
    <w:rsid w:val="005D630A"/>
    <w:rsid w:val="005D6321"/>
    <w:rsid w:val="005D650E"/>
    <w:rsid w:val="005D657A"/>
    <w:rsid w:val="005D6595"/>
    <w:rsid w:val="005D65F2"/>
    <w:rsid w:val="005D66BA"/>
    <w:rsid w:val="005D66FC"/>
    <w:rsid w:val="005D6788"/>
    <w:rsid w:val="005D682B"/>
    <w:rsid w:val="005D6A57"/>
    <w:rsid w:val="005D6BBA"/>
    <w:rsid w:val="005D6BD1"/>
    <w:rsid w:val="005D6BE5"/>
    <w:rsid w:val="005D6DCA"/>
    <w:rsid w:val="005D7021"/>
    <w:rsid w:val="005D702F"/>
    <w:rsid w:val="005D7040"/>
    <w:rsid w:val="005D7291"/>
    <w:rsid w:val="005D72B5"/>
    <w:rsid w:val="005D735A"/>
    <w:rsid w:val="005D74FC"/>
    <w:rsid w:val="005D76E2"/>
    <w:rsid w:val="005D779D"/>
    <w:rsid w:val="005D78E7"/>
    <w:rsid w:val="005D79A7"/>
    <w:rsid w:val="005D7B64"/>
    <w:rsid w:val="005D7BA0"/>
    <w:rsid w:val="005D7CDD"/>
    <w:rsid w:val="005D7EA3"/>
    <w:rsid w:val="005D7EEC"/>
    <w:rsid w:val="005D7FD4"/>
    <w:rsid w:val="005E0018"/>
    <w:rsid w:val="005E0199"/>
    <w:rsid w:val="005E02C4"/>
    <w:rsid w:val="005E03EB"/>
    <w:rsid w:val="005E040D"/>
    <w:rsid w:val="005E0746"/>
    <w:rsid w:val="005E07C7"/>
    <w:rsid w:val="005E086B"/>
    <w:rsid w:val="005E0A8E"/>
    <w:rsid w:val="005E0B24"/>
    <w:rsid w:val="005E0BCD"/>
    <w:rsid w:val="005E0D79"/>
    <w:rsid w:val="005E0F0F"/>
    <w:rsid w:val="005E0F10"/>
    <w:rsid w:val="005E0F7B"/>
    <w:rsid w:val="005E0FEA"/>
    <w:rsid w:val="005E1008"/>
    <w:rsid w:val="005E1157"/>
    <w:rsid w:val="005E11EB"/>
    <w:rsid w:val="005E129E"/>
    <w:rsid w:val="005E12CD"/>
    <w:rsid w:val="005E1339"/>
    <w:rsid w:val="005E13C2"/>
    <w:rsid w:val="005E1409"/>
    <w:rsid w:val="005E153B"/>
    <w:rsid w:val="005E16B0"/>
    <w:rsid w:val="005E16C3"/>
    <w:rsid w:val="005E1857"/>
    <w:rsid w:val="005E1875"/>
    <w:rsid w:val="005E18CC"/>
    <w:rsid w:val="005E18F4"/>
    <w:rsid w:val="005E1A49"/>
    <w:rsid w:val="005E1A5C"/>
    <w:rsid w:val="005E1DC7"/>
    <w:rsid w:val="005E1E81"/>
    <w:rsid w:val="005E1F50"/>
    <w:rsid w:val="005E1F89"/>
    <w:rsid w:val="005E1FFD"/>
    <w:rsid w:val="005E20B3"/>
    <w:rsid w:val="005E20D3"/>
    <w:rsid w:val="005E21FE"/>
    <w:rsid w:val="005E22C4"/>
    <w:rsid w:val="005E2322"/>
    <w:rsid w:val="005E2327"/>
    <w:rsid w:val="005E2352"/>
    <w:rsid w:val="005E241F"/>
    <w:rsid w:val="005E242A"/>
    <w:rsid w:val="005E24EF"/>
    <w:rsid w:val="005E24F0"/>
    <w:rsid w:val="005E24FB"/>
    <w:rsid w:val="005E2668"/>
    <w:rsid w:val="005E2737"/>
    <w:rsid w:val="005E276E"/>
    <w:rsid w:val="005E2786"/>
    <w:rsid w:val="005E2805"/>
    <w:rsid w:val="005E2A0B"/>
    <w:rsid w:val="005E2AB4"/>
    <w:rsid w:val="005E2AE5"/>
    <w:rsid w:val="005E2BC0"/>
    <w:rsid w:val="005E2E3D"/>
    <w:rsid w:val="005E2E9C"/>
    <w:rsid w:val="005E2FC0"/>
    <w:rsid w:val="005E30F5"/>
    <w:rsid w:val="005E3187"/>
    <w:rsid w:val="005E32E0"/>
    <w:rsid w:val="005E32E7"/>
    <w:rsid w:val="005E3367"/>
    <w:rsid w:val="005E3381"/>
    <w:rsid w:val="005E366D"/>
    <w:rsid w:val="005E36F7"/>
    <w:rsid w:val="005E379A"/>
    <w:rsid w:val="005E3949"/>
    <w:rsid w:val="005E3A22"/>
    <w:rsid w:val="005E3A98"/>
    <w:rsid w:val="005E3D41"/>
    <w:rsid w:val="005E3E4D"/>
    <w:rsid w:val="005E3F5D"/>
    <w:rsid w:val="005E3F9F"/>
    <w:rsid w:val="005E4008"/>
    <w:rsid w:val="005E40BC"/>
    <w:rsid w:val="005E420D"/>
    <w:rsid w:val="005E44D9"/>
    <w:rsid w:val="005E44E9"/>
    <w:rsid w:val="005E4537"/>
    <w:rsid w:val="005E456B"/>
    <w:rsid w:val="005E4695"/>
    <w:rsid w:val="005E4720"/>
    <w:rsid w:val="005E489E"/>
    <w:rsid w:val="005E496A"/>
    <w:rsid w:val="005E4A25"/>
    <w:rsid w:val="005E4CB8"/>
    <w:rsid w:val="005E4E5C"/>
    <w:rsid w:val="005E4EA2"/>
    <w:rsid w:val="005E4F05"/>
    <w:rsid w:val="005E50B9"/>
    <w:rsid w:val="005E5137"/>
    <w:rsid w:val="005E5177"/>
    <w:rsid w:val="005E520A"/>
    <w:rsid w:val="005E52CB"/>
    <w:rsid w:val="005E52D4"/>
    <w:rsid w:val="005E53CA"/>
    <w:rsid w:val="005E5532"/>
    <w:rsid w:val="005E55A4"/>
    <w:rsid w:val="005E5696"/>
    <w:rsid w:val="005E56A8"/>
    <w:rsid w:val="005E575D"/>
    <w:rsid w:val="005E583E"/>
    <w:rsid w:val="005E58DB"/>
    <w:rsid w:val="005E58F3"/>
    <w:rsid w:val="005E5BEA"/>
    <w:rsid w:val="005E5CE4"/>
    <w:rsid w:val="005E5EDC"/>
    <w:rsid w:val="005E62F2"/>
    <w:rsid w:val="005E64BE"/>
    <w:rsid w:val="005E67A8"/>
    <w:rsid w:val="005E69BD"/>
    <w:rsid w:val="005E6B2E"/>
    <w:rsid w:val="005E6C7C"/>
    <w:rsid w:val="005E6D58"/>
    <w:rsid w:val="005E6E5F"/>
    <w:rsid w:val="005E6EC9"/>
    <w:rsid w:val="005E6F38"/>
    <w:rsid w:val="005E6FF7"/>
    <w:rsid w:val="005E7083"/>
    <w:rsid w:val="005E72DD"/>
    <w:rsid w:val="005E7346"/>
    <w:rsid w:val="005E75E2"/>
    <w:rsid w:val="005E7646"/>
    <w:rsid w:val="005E781E"/>
    <w:rsid w:val="005E7850"/>
    <w:rsid w:val="005E7A9F"/>
    <w:rsid w:val="005E7ABF"/>
    <w:rsid w:val="005E7BBE"/>
    <w:rsid w:val="005E7C1F"/>
    <w:rsid w:val="005E7CEC"/>
    <w:rsid w:val="005F00AA"/>
    <w:rsid w:val="005F0127"/>
    <w:rsid w:val="005F01B9"/>
    <w:rsid w:val="005F01F1"/>
    <w:rsid w:val="005F02F1"/>
    <w:rsid w:val="005F047D"/>
    <w:rsid w:val="005F04C3"/>
    <w:rsid w:val="005F07C1"/>
    <w:rsid w:val="005F0838"/>
    <w:rsid w:val="005F0A37"/>
    <w:rsid w:val="005F0A5C"/>
    <w:rsid w:val="005F0BF7"/>
    <w:rsid w:val="005F0C36"/>
    <w:rsid w:val="005F0F9F"/>
    <w:rsid w:val="005F1087"/>
    <w:rsid w:val="005F111C"/>
    <w:rsid w:val="005F1335"/>
    <w:rsid w:val="005F1398"/>
    <w:rsid w:val="005F143A"/>
    <w:rsid w:val="005F143D"/>
    <w:rsid w:val="005F1480"/>
    <w:rsid w:val="005F151F"/>
    <w:rsid w:val="005F1530"/>
    <w:rsid w:val="005F154B"/>
    <w:rsid w:val="005F15FB"/>
    <w:rsid w:val="005F1855"/>
    <w:rsid w:val="005F186D"/>
    <w:rsid w:val="005F1884"/>
    <w:rsid w:val="005F1ACD"/>
    <w:rsid w:val="005F1C70"/>
    <w:rsid w:val="005F1CB3"/>
    <w:rsid w:val="005F1D6D"/>
    <w:rsid w:val="005F1FE0"/>
    <w:rsid w:val="005F22FF"/>
    <w:rsid w:val="005F239B"/>
    <w:rsid w:val="005F2485"/>
    <w:rsid w:val="005F2689"/>
    <w:rsid w:val="005F26B9"/>
    <w:rsid w:val="005F2730"/>
    <w:rsid w:val="005F29D0"/>
    <w:rsid w:val="005F29D6"/>
    <w:rsid w:val="005F2F66"/>
    <w:rsid w:val="005F2FE0"/>
    <w:rsid w:val="005F3151"/>
    <w:rsid w:val="005F3313"/>
    <w:rsid w:val="005F333A"/>
    <w:rsid w:val="005F336E"/>
    <w:rsid w:val="005F33A5"/>
    <w:rsid w:val="005F33BB"/>
    <w:rsid w:val="005F3508"/>
    <w:rsid w:val="005F3568"/>
    <w:rsid w:val="005F37D2"/>
    <w:rsid w:val="005F3862"/>
    <w:rsid w:val="005F3905"/>
    <w:rsid w:val="005F397F"/>
    <w:rsid w:val="005F3A63"/>
    <w:rsid w:val="005F3AED"/>
    <w:rsid w:val="005F3AFC"/>
    <w:rsid w:val="005F3BA0"/>
    <w:rsid w:val="005F3CAC"/>
    <w:rsid w:val="005F3E9D"/>
    <w:rsid w:val="005F3FC7"/>
    <w:rsid w:val="005F4519"/>
    <w:rsid w:val="005F45D0"/>
    <w:rsid w:val="005F4A5E"/>
    <w:rsid w:val="005F4ACD"/>
    <w:rsid w:val="005F4B2C"/>
    <w:rsid w:val="005F4B4B"/>
    <w:rsid w:val="005F4C4F"/>
    <w:rsid w:val="005F4C78"/>
    <w:rsid w:val="005F4CA0"/>
    <w:rsid w:val="005F4F77"/>
    <w:rsid w:val="005F4FF2"/>
    <w:rsid w:val="005F5050"/>
    <w:rsid w:val="005F5147"/>
    <w:rsid w:val="005F51C4"/>
    <w:rsid w:val="005F5367"/>
    <w:rsid w:val="005F53AE"/>
    <w:rsid w:val="005F545D"/>
    <w:rsid w:val="005F54F4"/>
    <w:rsid w:val="005F554B"/>
    <w:rsid w:val="005F555C"/>
    <w:rsid w:val="005F57C9"/>
    <w:rsid w:val="005F58A7"/>
    <w:rsid w:val="005F590B"/>
    <w:rsid w:val="005F5AA9"/>
    <w:rsid w:val="005F5CF0"/>
    <w:rsid w:val="005F5D3C"/>
    <w:rsid w:val="005F5D9E"/>
    <w:rsid w:val="005F5DFE"/>
    <w:rsid w:val="005F6079"/>
    <w:rsid w:val="005F60EE"/>
    <w:rsid w:val="005F622A"/>
    <w:rsid w:val="005F655E"/>
    <w:rsid w:val="005F659C"/>
    <w:rsid w:val="005F6674"/>
    <w:rsid w:val="005F667B"/>
    <w:rsid w:val="005F66CF"/>
    <w:rsid w:val="005F67A5"/>
    <w:rsid w:val="005F6815"/>
    <w:rsid w:val="005F6976"/>
    <w:rsid w:val="005F69AF"/>
    <w:rsid w:val="005F6A36"/>
    <w:rsid w:val="005F6B87"/>
    <w:rsid w:val="005F6BFF"/>
    <w:rsid w:val="005F6C97"/>
    <w:rsid w:val="005F6EA8"/>
    <w:rsid w:val="005F6FB8"/>
    <w:rsid w:val="005F7162"/>
    <w:rsid w:val="005F726A"/>
    <w:rsid w:val="005F72B9"/>
    <w:rsid w:val="005F7376"/>
    <w:rsid w:val="005F73A6"/>
    <w:rsid w:val="005F7480"/>
    <w:rsid w:val="005F752A"/>
    <w:rsid w:val="005F758D"/>
    <w:rsid w:val="005F75CF"/>
    <w:rsid w:val="005F7714"/>
    <w:rsid w:val="005F7805"/>
    <w:rsid w:val="005F783F"/>
    <w:rsid w:val="005F7996"/>
    <w:rsid w:val="005F7B81"/>
    <w:rsid w:val="005F7BDC"/>
    <w:rsid w:val="005F7CAC"/>
    <w:rsid w:val="005F7EFF"/>
    <w:rsid w:val="005F7F4C"/>
    <w:rsid w:val="00600170"/>
    <w:rsid w:val="006002F2"/>
    <w:rsid w:val="0060046A"/>
    <w:rsid w:val="006004CD"/>
    <w:rsid w:val="0060054D"/>
    <w:rsid w:val="006005C4"/>
    <w:rsid w:val="0060068E"/>
    <w:rsid w:val="006006FA"/>
    <w:rsid w:val="0060071D"/>
    <w:rsid w:val="0060075F"/>
    <w:rsid w:val="00600820"/>
    <w:rsid w:val="006008E2"/>
    <w:rsid w:val="00600A40"/>
    <w:rsid w:val="00600AB0"/>
    <w:rsid w:val="00600B3F"/>
    <w:rsid w:val="00600B69"/>
    <w:rsid w:val="00600C82"/>
    <w:rsid w:val="00600F44"/>
    <w:rsid w:val="00600FBA"/>
    <w:rsid w:val="006010AB"/>
    <w:rsid w:val="006011DB"/>
    <w:rsid w:val="00601249"/>
    <w:rsid w:val="0060130C"/>
    <w:rsid w:val="006013BB"/>
    <w:rsid w:val="00601621"/>
    <w:rsid w:val="0060162A"/>
    <w:rsid w:val="006016A6"/>
    <w:rsid w:val="006017BD"/>
    <w:rsid w:val="006017FC"/>
    <w:rsid w:val="00601ABC"/>
    <w:rsid w:val="00601B0D"/>
    <w:rsid w:val="00601BD2"/>
    <w:rsid w:val="00601C8D"/>
    <w:rsid w:val="00601EF3"/>
    <w:rsid w:val="00601FB2"/>
    <w:rsid w:val="006020F7"/>
    <w:rsid w:val="0060219F"/>
    <w:rsid w:val="006021FF"/>
    <w:rsid w:val="00602211"/>
    <w:rsid w:val="006023C2"/>
    <w:rsid w:val="00602411"/>
    <w:rsid w:val="0060248F"/>
    <w:rsid w:val="00602572"/>
    <w:rsid w:val="006025BA"/>
    <w:rsid w:val="006026B5"/>
    <w:rsid w:val="006028BF"/>
    <w:rsid w:val="00602A86"/>
    <w:rsid w:val="00602AAA"/>
    <w:rsid w:val="00602D7E"/>
    <w:rsid w:val="00602E64"/>
    <w:rsid w:val="006031D0"/>
    <w:rsid w:val="0060321B"/>
    <w:rsid w:val="0060342A"/>
    <w:rsid w:val="00603552"/>
    <w:rsid w:val="006035E5"/>
    <w:rsid w:val="00603687"/>
    <w:rsid w:val="006036BB"/>
    <w:rsid w:val="00603706"/>
    <w:rsid w:val="0060370B"/>
    <w:rsid w:val="006037A2"/>
    <w:rsid w:val="006039AF"/>
    <w:rsid w:val="00603AB3"/>
    <w:rsid w:val="00603C15"/>
    <w:rsid w:val="00603C2D"/>
    <w:rsid w:val="00603CC6"/>
    <w:rsid w:val="00603FCA"/>
    <w:rsid w:val="00604112"/>
    <w:rsid w:val="00604186"/>
    <w:rsid w:val="00604194"/>
    <w:rsid w:val="006041F8"/>
    <w:rsid w:val="006044B8"/>
    <w:rsid w:val="006044E2"/>
    <w:rsid w:val="00604535"/>
    <w:rsid w:val="00604581"/>
    <w:rsid w:val="00604934"/>
    <w:rsid w:val="00604A0E"/>
    <w:rsid w:val="00604A6D"/>
    <w:rsid w:val="00604AF6"/>
    <w:rsid w:val="00604D89"/>
    <w:rsid w:val="00604E79"/>
    <w:rsid w:val="00604EED"/>
    <w:rsid w:val="00604F0A"/>
    <w:rsid w:val="00604F4E"/>
    <w:rsid w:val="00605002"/>
    <w:rsid w:val="006051A8"/>
    <w:rsid w:val="0060529C"/>
    <w:rsid w:val="00605343"/>
    <w:rsid w:val="00605528"/>
    <w:rsid w:val="0060595B"/>
    <w:rsid w:val="00605A06"/>
    <w:rsid w:val="00605A7D"/>
    <w:rsid w:val="00605A97"/>
    <w:rsid w:val="00605AFD"/>
    <w:rsid w:val="00605DD3"/>
    <w:rsid w:val="00605EE8"/>
    <w:rsid w:val="0060610A"/>
    <w:rsid w:val="006062DC"/>
    <w:rsid w:val="00606326"/>
    <w:rsid w:val="0060635C"/>
    <w:rsid w:val="006063C5"/>
    <w:rsid w:val="00606529"/>
    <w:rsid w:val="00606560"/>
    <w:rsid w:val="0060676E"/>
    <w:rsid w:val="00606775"/>
    <w:rsid w:val="0060682D"/>
    <w:rsid w:val="006068D9"/>
    <w:rsid w:val="006068E4"/>
    <w:rsid w:val="006069C8"/>
    <w:rsid w:val="00606A2E"/>
    <w:rsid w:val="00606A42"/>
    <w:rsid w:val="00606A76"/>
    <w:rsid w:val="00606B42"/>
    <w:rsid w:val="00606E9B"/>
    <w:rsid w:val="00606F12"/>
    <w:rsid w:val="00607159"/>
    <w:rsid w:val="00607277"/>
    <w:rsid w:val="0060730F"/>
    <w:rsid w:val="00607376"/>
    <w:rsid w:val="006073E6"/>
    <w:rsid w:val="0060765A"/>
    <w:rsid w:val="006077C5"/>
    <w:rsid w:val="006077DC"/>
    <w:rsid w:val="006078B1"/>
    <w:rsid w:val="006078B9"/>
    <w:rsid w:val="006078DB"/>
    <w:rsid w:val="006078F1"/>
    <w:rsid w:val="00607923"/>
    <w:rsid w:val="00607A3E"/>
    <w:rsid w:val="00607A71"/>
    <w:rsid w:val="00607BA9"/>
    <w:rsid w:val="00607C7C"/>
    <w:rsid w:val="00607C8D"/>
    <w:rsid w:val="00607D1F"/>
    <w:rsid w:val="00607D99"/>
    <w:rsid w:val="00607E09"/>
    <w:rsid w:val="00610001"/>
    <w:rsid w:val="006101A6"/>
    <w:rsid w:val="006102B3"/>
    <w:rsid w:val="00610377"/>
    <w:rsid w:val="0061044E"/>
    <w:rsid w:val="00610644"/>
    <w:rsid w:val="00610771"/>
    <w:rsid w:val="0061079B"/>
    <w:rsid w:val="00610833"/>
    <w:rsid w:val="00610897"/>
    <w:rsid w:val="00610906"/>
    <w:rsid w:val="0061090E"/>
    <w:rsid w:val="0061093E"/>
    <w:rsid w:val="00610986"/>
    <w:rsid w:val="00610B77"/>
    <w:rsid w:val="0061105F"/>
    <w:rsid w:val="006110D9"/>
    <w:rsid w:val="006112A8"/>
    <w:rsid w:val="006112B6"/>
    <w:rsid w:val="006114DE"/>
    <w:rsid w:val="006115CF"/>
    <w:rsid w:val="00611639"/>
    <w:rsid w:val="006116B4"/>
    <w:rsid w:val="006117D3"/>
    <w:rsid w:val="00611839"/>
    <w:rsid w:val="00611850"/>
    <w:rsid w:val="006118F3"/>
    <w:rsid w:val="00611900"/>
    <w:rsid w:val="00611A88"/>
    <w:rsid w:val="00611D8D"/>
    <w:rsid w:val="00611DC4"/>
    <w:rsid w:val="00611E31"/>
    <w:rsid w:val="00611E6D"/>
    <w:rsid w:val="0061231D"/>
    <w:rsid w:val="006123AB"/>
    <w:rsid w:val="006123AC"/>
    <w:rsid w:val="006123D4"/>
    <w:rsid w:val="0061248F"/>
    <w:rsid w:val="00612522"/>
    <w:rsid w:val="00612530"/>
    <w:rsid w:val="00612802"/>
    <w:rsid w:val="006128AC"/>
    <w:rsid w:val="0061296E"/>
    <w:rsid w:val="006129AB"/>
    <w:rsid w:val="00612BEA"/>
    <w:rsid w:val="00612BF3"/>
    <w:rsid w:val="00612CBB"/>
    <w:rsid w:val="00612DC6"/>
    <w:rsid w:val="006130A3"/>
    <w:rsid w:val="00613117"/>
    <w:rsid w:val="006131E8"/>
    <w:rsid w:val="006132CA"/>
    <w:rsid w:val="0061334E"/>
    <w:rsid w:val="006133A3"/>
    <w:rsid w:val="00613AFD"/>
    <w:rsid w:val="00613B57"/>
    <w:rsid w:val="00613B7E"/>
    <w:rsid w:val="00613CBE"/>
    <w:rsid w:val="00613D46"/>
    <w:rsid w:val="00613E77"/>
    <w:rsid w:val="00613F1C"/>
    <w:rsid w:val="00613F61"/>
    <w:rsid w:val="006141B8"/>
    <w:rsid w:val="00614412"/>
    <w:rsid w:val="0061456A"/>
    <w:rsid w:val="006147A5"/>
    <w:rsid w:val="006148B8"/>
    <w:rsid w:val="00614971"/>
    <w:rsid w:val="00614977"/>
    <w:rsid w:val="006149BB"/>
    <w:rsid w:val="00614BE3"/>
    <w:rsid w:val="00614C0D"/>
    <w:rsid w:val="00614D67"/>
    <w:rsid w:val="00614E01"/>
    <w:rsid w:val="00614F1F"/>
    <w:rsid w:val="00614F69"/>
    <w:rsid w:val="006151CE"/>
    <w:rsid w:val="006153C6"/>
    <w:rsid w:val="006153E0"/>
    <w:rsid w:val="00615780"/>
    <w:rsid w:val="0061594E"/>
    <w:rsid w:val="00615D45"/>
    <w:rsid w:val="00615D58"/>
    <w:rsid w:val="00615D63"/>
    <w:rsid w:val="00615DC0"/>
    <w:rsid w:val="0061613E"/>
    <w:rsid w:val="00616160"/>
    <w:rsid w:val="006161C0"/>
    <w:rsid w:val="0061631D"/>
    <w:rsid w:val="00616381"/>
    <w:rsid w:val="006168DD"/>
    <w:rsid w:val="0061690F"/>
    <w:rsid w:val="00616A14"/>
    <w:rsid w:val="00616A5A"/>
    <w:rsid w:val="00616A84"/>
    <w:rsid w:val="00616ADE"/>
    <w:rsid w:val="00616B71"/>
    <w:rsid w:val="00616B89"/>
    <w:rsid w:val="00616BE5"/>
    <w:rsid w:val="00616C5F"/>
    <w:rsid w:val="00616CD7"/>
    <w:rsid w:val="00616E4B"/>
    <w:rsid w:val="00616E80"/>
    <w:rsid w:val="00616EA9"/>
    <w:rsid w:val="00616EFF"/>
    <w:rsid w:val="006171FD"/>
    <w:rsid w:val="0061728C"/>
    <w:rsid w:val="006172E4"/>
    <w:rsid w:val="006174CE"/>
    <w:rsid w:val="00617671"/>
    <w:rsid w:val="006176A2"/>
    <w:rsid w:val="006179AD"/>
    <w:rsid w:val="00617AC2"/>
    <w:rsid w:val="00617D8F"/>
    <w:rsid w:val="006201E2"/>
    <w:rsid w:val="006202B7"/>
    <w:rsid w:val="0062046B"/>
    <w:rsid w:val="00620515"/>
    <w:rsid w:val="00620737"/>
    <w:rsid w:val="00620792"/>
    <w:rsid w:val="006207DC"/>
    <w:rsid w:val="00620911"/>
    <w:rsid w:val="00620AD8"/>
    <w:rsid w:val="00620B54"/>
    <w:rsid w:val="00620D1C"/>
    <w:rsid w:val="00620F43"/>
    <w:rsid w:val="0062115B"/>
    <w:rsid w:val="0062132A"/>
    <w:rsid w:val="00621360"/>
    <w:rsid w:val="006214A7"/>
    <w:rsid w:val="00621605"/>
    <w:rsid w:val="00621939"/>
    <w:rsid w:val="00621993"/>
    <w:rsid w:val="00621BD5"/>
    <w:rsid w:val="00621C91"/>
    <w:rsid w:val="00621F1C"/>
    <w:rsid w:val="006220D5"/>
    <w:rsid w:val="006220FE"/>
    <w:rsid w:val="00622182"/>
    <w:rsid w:val="00622196"/>
    <w:rsid w:val="00622222"/>
    <w:rsid w:val="006222DC"/>
    <w:rsid w:val="006224D4"/>
    <w:rsid w:val="0062252A"/>
    <w:rsid w:val="00622744"/>
    <w:rsid w:val="00622B3C"/>
    <w:rsid w:val="00622C03"/>
    <w:rsid w:val="00622C70"/>
    <w:rsid w:val="00622CDD"/>
    <w:rsid w:val="00622EDF"/>
    <w:rsid w:val="006233B5"/>
    <w:rsid w:val="006233E9"/>
    <w:rsid w:val="006234C5"/>
    <w:rsid w:val="006235EF"/>
    <w:rsid w:val="006236F9"/>
    <w:rsid w:val="0062386D"/>
    <w:rsid w:val="006239DC"/>
    <w:rsid w:val="006239FA"/>
    <w:rsid w:val="00623BF8"/>
    <w:rsid w:val="00623C25"/>
    <w:rsid w:val="00623C34"/>
    <w:rsid w:val="00624071"/>
    <w:rsid w:val="00624289"/>
    <w:rsid w:val="0062431D"/>
    <w:rsid w:val="00624336"/>
    <w:rsid w:val="0062458D"/>
    <w:rsid w:val="006245B7"/>
    <w:rsid w:val="00624977"/>
    <w:rsid w:val="00624A1D"/>
    <w:rsid w:val="00624C86"/>
    <w:rsid w:val="00624CED"/>
    <w:rsid w:val="00625060"/>
    <w:rsid w:val="00625192"/>
    <w:rsid w:val="00625386"/>
    <w:rsid w:val="00625480"/>
    <w:rsid w:val="006254B6"/>
    <w:rsid w:val="006255B4"/>
    <w:rsid w:val="00625772"/>
    <w:rsid w:val="0062579D"/>
    <w:rsid w:val="006257C5"/>
    <w:rsid w:val="00625925"/>
    <w:rsid w:val="00625971"/>
    <w:rsid w:val="00625A4F"/>
    <w:rsid w:val="00625A80"/>
    <w:rsid w:val="00625B4E"/>
    <w:rsid w:val="00625EC3"/>
    <w:rsid w:val="00625EFA"/>
    <w:rsid w:val="0062614D"/>
    <w:rsid w:val="00626383"/>
    <w:rsid w:val="00626543"/>
    <w:rsid w:val="006265ED"/>
    <w:rsid w:val="0062679C"/>
    <w:rsid w:val="00626973"/>
    <w:rsid w:val="00626A4C"/>
    <w:rsid w:val="00626A8A"/>
    <w:rsid w:val="00626AC4"/>
    <w:rsid w:val="00626BA3"/>
    <w:rsid w:val="00626C68"/>
    <w:rsid w:val="00626C97"/>
    <w:rsid w:val="00626CAD"/>
    <w:rsid w:val="00626E89"/>
    <w:rsid w:val="00626E9B"/>
    <w:rsid w:val="00626F24"/>
    <w:rsid w:val="00626F27"/>
    <w:rsid w:val="00627069"/>
    <w:rsid w:val="006270DA"/>
    <w:rsid w:val="00627491"/>
    <w:rsid w:val="006274D8"/>
    <w:rsid w:val="006274F0"/>
    <w:rsid w:val="0062768C"/>
    <w:rsid w:val="006276CB"/>
    <w:rsid w:val="006277A8"/>
    <w:rsid w:val="00627827"/>
    <w:rsid w:val="00627876"/>
    <w:rsid w:val="006278B0"/>
    <w:rsid w:val="00627967"/>
    <w:rsid w:val="00627992"/>
    <w:rsid w:val="00627AEA"/>
    <w:rsid w:val="00627B80"/>
    <w:rsid w:val="00627C2C"/>
    <w:rsid w:val="00627C80"/>
    <w:rsid w:val="00627CDB"/>
    <w:rsid w:val="00627D56"/>
    <w:rsid w:val="00627DD6"/>
    <w:rsid w:val="00627E9A"/>
    <w:rsid w:val="00627F63"/>
    <w:rsid w:val="006300AC"/>
    <w:rsid w:val="006300EA"/>
    <w:rsid w:val="00630100"/>
    <w:rsid w:val="006303A5"/>
    <w:rsid w:val="006303D0"/>
    <w:rsid w:val="00630462"/>
    <w:rsid w:val="006305CE"/>
    <w:rsid w:val="006305FC"/>
    <w:rsid w:val="006306B2"/>
    <w:rsid w:val="00630705"/>
    <w:rsid w:val="0063083B"/>
    <w:rsid w:val="00630929"/>
    <w:rsid w:val="00630A70"/>
    <w:rsid w:val="00630A94"/>
    <w:rsid w:val="00630D0E"/>
    <w:rsid w:val="00630D40"/>
    <w:rsid w:val="00630E75"/>
    <w:rsid w:val="00630F16"/>
    <w:rsid w:val="00630F63"/>
    <w:rsid w:val="00630FBE"/>
    <w:rsid w:val="006310E0"/>
    <w:rsid w:val="00631109"/>
    <w:rsid w:val="0063112D"/>
    <w:rsid w:val="006311CB"/>
    <w:rsid w:val="00631204"/>
    <w:rsid w:val="00631361"/>
    <w:rsid w:val="006316FF"/>
    <w:rsid w:val="00631786"/>
    <w:rsid w:val="006317E0"/>
    <w:rsid w:val="00631819"/>
    <w:rsid w:val="00631824"/>
    <w:rsid w:val="006318CC"/>
    <w:rsid w:val="00631A40"/>
    <w:rsid w:val="00631B84"/>
    <w:rsid w:val="00631D31"/>
    <w:rsid w:val="00632150"/>
    <w:rsid w:val="006321D4"/>
    <w:rsid w:val="006321DC"/>
    <w:rsid w:val="00632319"/>
    <w:rsid w:val="0063238E"/>
    <w:rsid w:val="006323B7"/>
    <w:rsid w:val="0063246E"/>
    <w:rsid w:val="00632486"/>
    <w:rsid w:val="00632535"/>
    <w:rsid w:val="00632719"/>
    <w:rsid w:val="006327D0"/>
    <w:rsid w:val="00632B0F"/>
    <w:rsid w:val="00632CB2"/>
    <w:rsid w:val="00632D96"/>
    <w:rsid w:val="00632FC9"/>
    <w:rsid w:val="00632FCF"/>
    <w:rsid w:val="0063304B"/>
    <w:rsid w:val="00633083"/>
    <w:rsid w:val="00633103"/>
    <w:rsid w:val="00633414"/>
    <w:rsid w:val="00633423"/>
    <w:rsid w:val="0063345C"/>
    <w:rsid w:val="00633726"/>
    <w:rsid w:val="00633737"/>
    <w:rsid w:val="00633788"/>
    <w:rsid w:val="00633810"/>
    <w:rsid w:val="0063391B"/>
    <w:rsid w:val="00633A11"/>
    <w:rsid w:val="00633A40"/>
    <w:rsid w:val="00633CFB"/>
    <w:rsid w:val="00633D33"/>
    <w:rsid w:val="00633E11"/>
    <w:rsid w:val="00633EC3"/>
    <w:rsid w:val="00633F3D"/>
    <w:rsid w:val="00634152"/>
    <w:rsid w:val="00634206"/>
    <w:rsid w:val="00634265"/>
    <w:rsid w:val="006342F3"/>
    <w:rsid w:val="00634363"/>
    <w:rsid w:val="00634398"/>
    <w:rsid w:val="006343A6"/>
    <w:rsid w:val="006347E2"/>
    <w:rsid w:val="00634867"/>
    <w:rsid w:val="006349B7"/>
    <w:rsid w:val="00634C4E"/>
    <w:rsid w:val="00634CA7"/>
    <w:rsid w:val="00634FA2"/>
    <w:rsid w:val="00634FBE"/>
    <w:rsid w:val="006352AF"/>
    <w:rsid w:val="006352FC"/>
    <w:rsid w:val="00635361"/>
    <w:rsid w:val="0063548B"/>
    <w:rsid w:val="006354D2"/>
    <w:rsid w:val="00635572"/>
    <w:rsid w:val="0063584B"/>
    <w:rsid w:val="006358D3"/>
    <w:rsid w:val="00635969"/>
    <w:rsid w:val="00635AAF"/>
    <w:rsid w:val="00635AE7"/>
    <w:rsid w:val="00635CD5"/>
    <w:rsid w:val="00635CF7"/>
    <w:rsid w:val="00635D98"/>
    <w:rsid w:val="00635E0C"/>
    <w:rsid w:val="006361AC"/>
    <w:rsid w:val="00636219"/>
    <w:rsid w:val="00636229"/>
    <w:rsid w:val="00636420"/>
    <w:rsid w:val="006364E1"/>
    <w:rsid w:val="00636673"/>
    <w:rsid w:val="006369D2"/>
    <w:rsid w:val="00636AFA"/>
    <w:rsid w:val="00636C14"/>
    <w:rsid w:val="00636CF5"/>
    <w:rsid w:val="00636E82"/>
    <w:rsid w:val="00637028"/>
    <w:rsid w:val="006371B8"/>
    <w:rsid w:val="006372E6"/>
    <w:rsid w:val="006374B9"/>
    <w:rsid w:val="0063752F"/>
    <w:rsid w:val="00637634"/>
    <w:rsid w:val="00637664"/>
    <w:rsid w:val="00637681"/>
    <w:rsid w:val="00637684"/>
    <w:rsid w:val="00637732"/>
    <w:rsid w:val="006378D7"/>
    <w:rsid w:val="00637A84"/>
    <w:rsid w:val="00637B5E"/>
    <w:rsid w:val="00637B60"/>
    <w:rsid w:val="00637BAB"/>
    <w:rsid w:val="00637C14"/>
    <w:rsid w:val="00637CC5"/>
    <w:rsid w:val="00637DFE"/>
    <w:rsid w:val="00637F49"/>
    <w:rsid w:val="00637F5B"/>
    <w:rsid w:val="0064014E"/>
    <w:rsid w:val="00640174"/>
    <w:rsid w:val="0064054F"/>
    <w:rsid w:val="0064056D"/>
    <w:rsid w:val="00640607"/>
    <w:rsid w:val="0064060A"/>
    <w:rsid w:val="006406E8"/>
    <w:rsid w:val="00640797"/>
    <w:rsid w:val="006408A0"/>
    <w:rsid w:val="006409AA"/>
    <w:rsid w:val="00640A69"/>
    <w:rsid w:val="00640BD8"/>
    <w:rsid w:val="00640C99"/>
    <w:rsid w:val="00640D04"/>
    <w:rsid w:val="00640DBF"/>
    <w:rsid w:val="00640E5D"/>
    <w:rsid w:val="00641003"/>
    <w:rsid w:val="00641181"/>
    <w:rsid w:val="00641345"/>
    <w:rsid w:val="0064139E"/>
    <w:rsid w:val="0064148C"/>
    <w:rsid w:val="0064148F"/>
    <w:rsid w:val="006417F2"/>
    <w:rsid w:val="00641860"/>
    <w:rsid w:val="0064187C"/>
    <w:rsid w:val="00641934"/>
    <w:rsid w:val="00641A03"/>
    <w:rsid w:val="00641A23"/>
    <w:rsid w:val="00641A6D"/>
    <w:rsid w:val="00641C5A"/>
    <w:rsid w:val="00641CCC"/>
    <w:rsid w:val="00641E72"/>
    <w:rsid w:val="00641EB0"/>
    <w:rsid w:val="00641F96"/>
    <w:rsid w:val="006420BF"/>
    <w:rsid w:val="0064219C"/>
    <w:rsid w:val="00642268"/>
    <w:rsid w:val="006422F3"/>
    <w:rsid w:val="006423B0"/>
    <w:rsid w:val="006423CC"/>
    <w:rsid w:val="006423DA"/>
    <w:rsid w:val="006425D1"/>
    <w:rsid w:val="0064273A"/>
    <w:rsid w:val="0064274E"/>
    <w:rsid w:val="0064282F"/>
    <w:rsid w:val="006428F7"/>
    <w:rsid w:val="00642991"/>
    <w:rsid w:val="006429F9"/>
    <w:rsid w:val="00642AC7"/>
    <w:rsid w:val="00642B57"/>
    <w:rsid w:val="00642BB3"/>
    <w:rsid w:val="00642BEB"/>
    <w:rsid w:val="00642C97"/>
    <w:rsid w:val="00642EFA"/>
    <w:rsid w:val="00642F16"/>
    <w:rsid w:val="00643097"/>
    <w:rsid w:val="00643279"/>
    <w:rsid w:val="006433B5"/>
    <w:rsid w:val="00643492"/>
    <w:rsid w:val="006435BE"/>
    <w:rsid w:val="00643677"/>
    <w:rsid w:val="00643756"/>
    <w:rsid w:val="0064377B"/>
    <w:rsid w:val="00643788"/>
    <w:rsid w:val="006437AF"/>
    <w:rsid w:val="00643888"/>
    <w:rsid w:val="00643B55"/>
    <w:rsid w:val="00643B99"/>
    <w:rsid w:val="00643BAF"/>
    <w:rsid w:val="00643C35"/>
    <w:rsid w:val="00643CF5"/>
    <w:rsid w:val="00643E44"/>
    <w:rsid w:val="00643F01"/>
    <w:rsid w:val="00643F71"/>
    <w:rsid w:val="0064401D"/>
    <w:rsid w:val="006442B0"/>
    <w:rsid w:val="00644468"/>
    <w:rsid w:val="00644550"/>
    <w:rsid w:val="00644679"/>
    <w:rsid w:val="006448AA"/>
    <w:rsid w:val="00644A19"/>
    <w:rsid w:val="00644A92"/>
    <w:rsid w:val="00644B45"/>
    <w:rsid w:val="00644CA5"/>
    <w:rsid w:val="0064515C"/>
    <w:rsid w:val="00645380"/>
    <w:rsid w:val="0064554F"/>
    <w:rsid w:val="00645663"/>
    <w:rsid w:val="00645671"/>
    <w:rsid w:val="00645710"/>
    <w:rsid w:val="0064579F"/>
    <w:rsid w:val="00645839"/>
    <w:rsid w:val="0064597A"/>
    <w:rsid w:val="0064597F"/>
    <w:rsid w:val="00645A89"/>
    <w:rsid w:val="00645AA8"/>
    <w:rsid w:val="00645BEA"/>
    <w:rsid w:val="00645C48"/>
    <w:rsid w:val="00645CA8"/>
    <w:rsid w:val="00645E59"/>
    <w:rsid w:val="00645E65"/>
    <w:rsid w:val="00645ED8"/>
    <w:rsid w:val="0064600B"/>
    <w:rsid w:val="006462ED"/>
    <w:rsid w:val="006462FB"/>
    <w:rsid w:val="00646331"/>
    <w:rsid w:val="006463EB"/>
    <w:rsid w:val="00646402"/>
    <w:rsid w:val="00646518"/>
    <w:rsid w:val="006467B6"/>
    <w:rsid w:val="0064694A"/>
    <w:rsid w:val="00646A7A"/>
    <w:rsid w:val="00646C26"/>
    <w:rsid w:val="00646D0A"/>
    <w:rsid w:val="00646D29"/>
    <w:rsid w:val="00646D45"/>
    <w:rsid w:val="00646D5C"/>
    <w:rsid w:val="00646E04"/>
    <w:rsid w:val="00647050"/>
    <w:rsid w:val="00647138"/>
    <w:rsid w:val="006471A2"/>
    <w:rsid w:val="00647253"/>
    <w:rsid w:val="00647293"/>
    <w:rsid w:val="006472CB"/>
    <w:rsid w:val="00647394"/>
    <w:rsid w:val="006474FA"/>
    <w:rsid w:val="0064750C"/>
    <w:rsid w:val="006475F1"/>
    <w:rsid w:val="006476DF"/>
    <w:rsid w:val="00647770"/>
    <w:rsid w:val="006478C1"/>
    <w:rsid w:val="00647AB2"/>
    <w:rsid w:val="00647ABC"/>
    <w:rsid w:val="00647B24"/>
    <w:rsid w:val="00647C96"/>
    <w:rsid w:val="00647CF6"/>
    <w:rsid w:val="00647CFA"/>
    <w:rsid w:val="00647D6D"/>
    <w:rsid w:val="00647DCE"/>
    <w:rsid w:val="00647F26"/>
    <w:rsid w:val="00647F63"/>
    <w:rsid w:val="006500AB"/>
    <w:rsid w:val="006500D9"/>
    <w:rsid w:val="0065013B"/>
    <w:rsid w:val="0065013C"/>
    <w:rsid w:val="00650146"/>
    <w:rsid w:val="00650334"/>
    <w:rsid w:val="00650439"/>
    <w:rsid w:val="0065045D"/>
    <w:rsid w:val="0065049A"/>
    <w:rsid w:val="00650814"/>
    <w:rsid w:val="0065092A"/>
    <w:rsid w:val="0065095D"/>
    <w:rsid w:val="00650C45"/>
    <w:rsid w:val="00650CB9"/>
    <w:rsid w:val="00650CFC"/>
    <w:rsid w:val="00650E9A"/>
    <w:rsid w:val="00650FEB"/>
    <w:rsid w:val="00651208"/>
    <w:rsid w:val="006512FE"/>
    <w:rsid w:val="0065153F"/>
    <w:rsid w:val="0065172B"/>
    <w:rsid w:val="00651749"/>
    <w:rsid w:val="00651808"/>
    <w:rsid w:val="006518A5"/>
    <w:rsid w:val="00651BF9"/>
    <w:rsid w:val="00651C09"/>
    <w:rsid w:val="00651CBE"/>
    <w:rsid w:val="00651D38"/>
    <w:rsid w:val="00651DF5"/>
    <w:rsid w:val="00652092"/>
    <w:rsid w:val="006520D5"/>
    <w:rsid w:val="006520E1"/>
    <w:rsid w:val="0065211A"/>
    <w:rsid w:val="00652352"/>
    <w:rsid w:val="00652488"/>
    <w:rsid w:val="006524A5"/>
    <w:rsid w:val="006524E4"/>
    <w:rsid w:val="00652922"/>
    <w:rsid w:val="00652B73"/>
    <w:rsid w:val="00652BEB"/>
    <w:rsid w:val="00652C36"/>
    <w:rsid w:val="00652CC8"/>
    <w:rsid w:val="00652E3B"/>
    <w:rsid w:val="00652F2A"/>
    <w:rsid w:val="00652FF2"/>
    <w:rsid w:val="006530B1"/>
    <w:rsid w:val="00653242"/>
    <w:rsid w:val="00653673"/>
    <w:rsid w:val="00653714"/>
    <w:rsid w:val="0065381B"/>
    <w:rsid w:val="006538E7"/>
    <w:rsid w:val="00653924"/>
    <w:rsid w:val="00653AEA"/>
    <w:rsid w:val="00653BD2"/>
    <w:rsid w:val="00653C18"/>
    <w:rsid w:val="00653D51"/>
    <w:rsid w:val="00653E6F"/>
    <w:rsid w:val="00653F22"/>
    <w:rsid w:val="00653F5D"/>
    <w:rsid w:val="00654233"/>
    <w:rsid w:val="00654411"/>
    <w:rsid w:val="00654476"/>
    <w:rsid w:val="006544A9"/>
    <w:rsid w:val="006544DA"/>
    <w:rsid w:val="00654583"/>
    <w:rsid w:val="00654590"/>
    <w:rsid w:val="00654666"/>
    <w:rsid w:val="00654A43"/>
    <w:rsid w:val="00654C9E"/>
    <w:rsid w:val="00654CD4"/>
    <w:rsid w:val="00654CE0"/>
    <w:rsid w:val="00654F72"/>
    <w:rsid w:val="006551A5"/>
    <w:rsid w:val="006551A9"/>
    <w:rsid w:val="006552AE"/>
    <w:rsid w:val="0065534A"/>
    <w:rsid w:val="00655541"/>
    <w:rsid w:val="006557B3"/>
    <w:rsid w:val="00655A1E"/>
    <w:rsid w:val="00655A81"/>
    <w:rsid w:val="00655BC6"/>
    <w:rsid w:val="00655C1E"/>
    <w:rsid w:val="00655C8A"/>
    <w:rsid w:val="00655EA1"/>
    <w:rsid w:val="00655FF4"/>
    <w:rsid w:val="00656004"/>
    <w:rsid w:val="006560DE"/>
    <w:rsid w:val="00656133"/>
    <w:rsid w:val="00656206"/>
    <w:rsid w:val="00656356"/>
    <w:rsid w:val="006564AC"/>
    <w:rsid w:val="006564EC"/>
    <w:rsid w:val="0065653F"/>
    <w:rsid w:val="006569D7"/>
    <w:rsid w:val="00656B77"/>
    <w:rsid w:val="00656B94"/>
    <w:rsid w:val="00656BEC"/>
    <w:rsid w:val="00656DCC"/>
    <w:rsid w:val="00656DE1"/>
    <w:rsid w:val="00656F2E"/>
    <w:rsid w:val="0065708F"/>
    <w:rsid w:val="006570A8"/>
    <w:rsid w:val="00657266"/>
    <w:rsid w:val="0065727C"/>
    <w:rsid w:val="0065728B"/>
    <w:rsid w:val="00657297"/>
    <w:rsid w:val="0065743F"/>
    <w:rsid w:val="006574FC"/>
    <w:rsid w:val="00657571"/>
    <w:rsid w:val="00657644"/>
    <w:rsid w:val="0065769E"/>
    <w:rsid w:val="0065773E"/>
    <w:rsid w:val="00657743"/>
    <w:rsid w:val="00657B9F"/>
    <w:rsid w:val="00657D52"/>
    <w:rsid w:val="00657FF8"/>
    <w:rsid w:val="00660134"/>
    <w:rsid w:val="0066044F"/>
    <w:rsid w:val="00660513"/>
    <w:rsid w:val="006607AF"/>
    <w:rsid w:val="006607BB"/>
    <w:rsid w:val="006607EA"/>
    <w:rsid w:val="006607FC"/>
    <w:rsid w:val="00660820"/>
    <w:rsid w:val="00660962"/>
    <w:rsid w:val="00660AA3"/>
    <w:rsid w:val="00660F09"/>
    <w:rsid w:val="006613E4"/>
    <w:rsid w:val="00661589"/>
    <w:rsid w:val="0066159E"/>
    <w:rsid w:val="006615AF"/>
    <w:rsid w:val="0066187D"/>
    <w:rsid w:val="0066188C"/>
    <w:rsid w:val="00661A12"/>
    <w:rsid w:val="00661A1D"/>
    <w:rsid w:val="00661BD7"/>
    <w:rsid w:val="00661C92"/>
    <w:rsid w:val="00661CFB"/>
    <w:rsid w:val="00661E63"/>
    <w:rsid w:val="00662057"/>
    <w:rsid w:val="00662360"/>
    <w:rsid w:val="0066244A"/>
    <w:rsid w:val="006624BE"/>
    <w:rsid w:val="00662664"/>
    <w:rsid w:val="00662771"/>
    <w:rsid w:val="006627AF"/>
    <w:rsid w:val="006627DB"/>
    <w:rsid w:val="0066285E"/>
    <w:rsid w:val="00662966"/>
    <w:rsid w:val="00662A38"/>
    <w:rsid w:val="00662BA3"/>
    <w:rsid w:val="00662D0A"/>
    <w:rsid w:val="00662E33"/>
    <w:rsid w:val="00662E83"/>
    <w:rsid w:val="00662F6F"/>
    <w:rsid w:val="0066317C"/>
    <w:rsid w:val="0066324B"/>
    <w:rsid w:val="00663270"/>
    <w:rsid w:val="0066329F"/>
    <w:rsid w:val="00663713"/>
    <w:rsid w:val="00663855"/>
    <w:rsid w:val="0066395F"/>
    <w:rsid w:val="00663BD5"/>
    <w:rsid w:val="00663C27"/>
    <w:rsid w:val="00663CEB"/>
    <w:rsid w:val="00663D17"/>
    <w:rsid w:val="00663DE9"/>
    <w:rsid w:val="00663EC2"/>
    <w:rsid w:val="00663F3F"/>
    <w:rsid w:val="006640E1"/>
    <w:rsid w:val="00664331"/>
    <w:rsid w:val="0066433D"/>
    <w:rsid w:val="006645AA"/>
    <w:rsid w:val="006649ED"/>
    <w:rsid w:val="00664C13"/>
    <w:rsid w:val="00664E13"/>
    <w:rsid w:val="00664FE7"/>
    <w:rsid w:val="00665098"/>
    <w:rsid w:val="006651D7"/>
    <w:rsid w:val="006652B0"/>
    <w:rsid w:val="0066531B"/>
    <w:rsid w:val="0066549F"/>
    <w:rsid w:val="006654B1"/>
    <w:rsid w:val="0066571B"/>
    <w:rsid w:val="0066578A"/>
    <w:rsid w:val="0066579F"/>
    <w:rsid w:val="006658A8"/>
    <w:rsid w:val="006658BD"/>
    <w:rsid w:val="006659E9"/>
    <w:rsid w:val="00665B15"/>
    <w:rsid w:val="00665B5B"/>
    <w:rsid w:val="00665C81"/>
    <w:rsid w:val="00665CB1"/>
    <w:rsid w:val="00665D3A"/>
    <w:rsid w:val="00665F93"/>
    <w:rsid w:val="00665FAC"/>
    <w:rsid w:val="00666020"/>
    <w:rsid w:val="00666063"/>
    <w:rsid w:val="006661A5"/>
    <w:rsid w:val="00666240"/>
    <w:rsid w:val="00666297"/>
    <w:rsid w:val="006662C3"/>
    <w:rsid w:val="006663C8"/>
    <w:rsid w:val="0066648F"/>
    <w:rsid w:val="006664B0"/>
    <w:rsid w:val="006664F2"/>
    <w:rsid w:val="00666531"/>
    <w:rsid w:val="0066673F"/>
    <w:rsid w:val="006668CD"/>
    <w:rsid w:val="006668F3"/>
    <w:rsid w:val="006668FB"/>
    <w:rsid w:val="0066693C"/>
    <w:rsid w:val="00666A61"/>
    <w:rsid w:val="00666AB1"/>
    <w:rsid w:val="00666B69"/>
    <w:rsid w:val="00666BA2"/>
    <w:rsid w:val="00666C38"/>
    <w:rsid w:val="00666D01"/>
    <w:rsid w:val="00666DE1"/>
    <w:rsid w:val="00667008"/>
    <w:rsid w:val="006672AA"/>
    <w:rsid w:val="00667327"/>
    <w:rsid w:val="0066742C"/>
    <w:rsid w:val="006674DC"/>
    <w:rsid w:val="0066754F"/>
    <w:rsid w:val="006675A9"/>
    <w:rsid w:val="0066764A"/>
    <w:rsid w:val="00667751"/>
    <w:rsid w:val="00667796"/>
    <w:rsid w:val="006677D6"/>
    <w:rsid w:val="00667894"/>
    <w:rsid w:val="0066797F"/>
    <w:rsid w:val="00667DF9"/>
    <w:rsid w:val="00667ECF"/>
    <w:rsid w:val="00667FD9"/>
    <w:rsid w:val="0067006B"/>
    <w:rsid w:val="0067007A"/>
    <w:rsid w:val="00670199"/>
    <w:rsid w:val="006702C2"/>
    <w:rsid w:val="00670673"/>
    <w:rsid w:val="00670A36"/>
    <w:rsid w:val="00670AAD"/>
    <w:rsid w:val="00670BA8"/>
    <w:rsid w:val="00670BC4"/>
    <w:rsid w:val="00670CFD"/>
    <w:rsid w:val="00670DB6"/>
    <w:rsid w:val="00670E67"/>
    <w:rsid w:val="00670EA5"/>
    <w:rsid w:val="006710DF"/>
    <w:rsid w:val="00671171"/>
    <w:rsid w:val="006711D2"/>
    <w:rsid w:val="0067133A"/>
    <w:rsid w:val="0067135C"/>
    <w:rsid w:val="006713CF"/>
    <w:rsid w:val="006714E2"/>
    <w:rsid w:val="0067162D"/>
    <w:rsid w:val="00671790"/>
    <w:rsid w:val="006717F6"/>
    <w:rsid w:val="00671980"/>
    <w:rsid w:val="00671A1A"/>
    <w:rsid w:val="00671A64"/>
    <w:rsid w:val="00671AEB"/>
    <w:rsid w:val="00671BA8"/>
    <w:rsid w:val="00671D9B"/>
    <w:rsid w:val="00671F84"/>
    <w:rsid w:val="00671FD8"/>
    <w:rsid w:val="0067204D"/>
    <w:rsid w:val="0067214F"/>
    <w:rsid w:val="006721B4"/>
    <w:rsid w:val="006726E9"/>
    <w:rsid w:val="00672717"/>
    <w:rsid w:val="006727BD"/>
    <w:rsid w:val="0067280C"/>
    <w:rsid w:val="0067296C"/>
    <w:rsid w:val="00672A40"/>
    <w:rsid w:val="00672BCB"/>
    <w:rsid w:val="00672F08"/>
    <w:rsid w:val="0067302A"/>
    <w:rsid w:val="00673042"/>
    <w:rsid w:val="0067314B"/>
    <w:rsid w:val="00673388"/>
    <w:rsid w:val="00673452"/>
    <w:rsid w:val="006734D0"/>
    <w:rsid w:val="006736C0"/>
    <w:rsid w:val="00673784"/>
    <w:rsid w:val="00673A6F"/>
    <w:rsid w:val="00673C32"/>
    <w:rsid w:val="00673C7D"/>
    <w:rsid w:val="00673EA8"/>
    <w:rsid w:val="00673FBC"/>
    <w:rsid w:val="00674083"/>
    <w:rsid w:val="00674134"/>
    <w:rsid w:val="006742AC"/>
    <w:rsid w:val="006742F1"/>
    <w:rsid w:val="00674397"/>
    <w:rsid w:val="00674404"/>
    <w:rsid w:val="006744B5"/>
    <w:rsid w:val="006744C9"/>
    <w:rsid w:val="00674658"/>
    <w:rsid w:val="006746C0"/>
    <w:rsid w:val="006747C1"/>
    <w:rsid w:val="00674826"/>
    <w:rsid w:val="00674874"/>
    <w:rsid w:val="0067489F"/>
    <w:rsid w:val="006749EF"/>
    <w:rsid w:val="00674C7D"/>
    <w:rsid w:val="00674CAA"/>
    <w:rsid w:val="00674CAE"/>
    <w:rsid w:val="00674DDA"/>
    <w:rsid w:val="00674F96"/>
    <w:rsid w:val="00674FB0"/>
    <w:rsid w:val="00675130"/>
    <w:rsid w:val="0067515B"/>
    <w:rsid w:val="006752C2"/>
    <w:rsid w:val="006753BD"/>
    <w:rsid w:val="006753FB"/>
    <w:rsid w:val="006755AC"/>
    <w:rsid w:val="006755BF"/>
    <w:rsid w:val="00675660"/>
    <w:rsid w:val="006756B1"/>
    <w:rsid w:val="00675819"/>
    <w:rsid w:val="006759BC"/>
    <w:rsid w:val="00675BFB"/>
    <w:rsid w:val="00675D15"/>
    <w:rsid w:val="00675D8C"/>
    <w:rsid w:val="00675DA8"/>
    <w:rsid w:val="00676257"/>
    <w:rsid w:val="00676317"/>
    <w:rsid w:val="00676944"/>
    <w:rsid w:val="006769E8"/>
    <w:rsid w:val="006769FA"/>
    <w:rsid w:val="00676B5E"/>
    <w:rsid w:val="00676BC0"/>
    <w:rsid w:val="00676BC9"/>
    <w:rsid w:val="00676C35"/>
    <w:rsid w:val="00676E04"/>
    <w:rsid w:val="00676FF9"/>
    <w:rsid w:val="0067728D"/>
    <w:rsid w:val="006772A6"/>
    <w:rsid w:val="006773F1"/>
    <w:rsid w:val="00677476"/>
    <w:rsid w:val="00677490"/>
    <w:rsid w:val="006774EF"/>
    <w:rsid w:val="00677640"/>
    <w:rsid w:val="006777B2"/>
    <w:rsid w:val="00677C7C"/>
    <w:rsid w:val="00677D82"/>
    <w:rsid w:val="00677E32"/>
    <w:rsid w:val="006800B2"/>
    <w:rsid w:val="006803C1"/>
    <w:rsid w:val="00680402"/>
    <w:rsid w:val="00680468"/>
    <w:rsid w:val="0068048A"/>
    <w:rsid w:val="0068049D"/>
    <w:rsid w:val="006804D7"/>
    <w:rsid w:val="00680523"/>
    <w:rsid w:val="006806EA"/>
    <w:rsid w:val="0068075F"/>
    <w:rsid w:val="006808FD"/>
    <w:rsid w:val="00680936"/>
    <w:rsid w:val="00680B99"/>
    <w:rsid w:val="00680F1F"/>
    <w:rsid w:val="00680F2E"/>
    <w:rsid w:val="00680F8A"/>
    <w:rsid w:val="00680F97"/>
    <w:rsid w:val="006810A5"/>
    <w:rsid w:val="00681161"/>
    <w:rsid w:val="006811A3"/>
    <w:rsid w:val="0068122E"/>
    <w:rsid w:val="00681446"/>
    <w:rsid w:val="00681477"/>
    <w:rsid w:val="0068165C"/>
    <w:rsid w:val="0068182E"/>
    <w:rsid w:val="00681999"/>
    <w:rsid w:val="00681AAF"/>
    <w:rsid w:val="00681AC9"/>
    <w:rsid w:val="00681AEE"/>
    <w:rsid w:val="00681BCA"/>
    <w:rsid w:val="00681D0A"/>
    <w:rsid w:val="006820A7"/>
    <w:rsid w:val="00682122"/>
    <w:rsid w:val="006821D5"/>
    <w:rsid w:val="0068223A"/>
    <w:rsid w:val="006822C5"/>
    <w:rsid w:val="006823C4"/>
    <w:rsid w:val="00682435"/>
    <w:rsid w:val="0068258D"/>
    <w:rsid w:val="006825B9"/>
    <w:rsid w:val="006825D6"/>
    <w:rsid w:val="00682635"/>
    <w:rsid w:val="00682688"/>
    <w:rsid w:val="006827B5"/>
    <w:rsid w:val="0068281B"/>
    <w:rsid w:val="0068282D"/>
    <w:rsid w:val="0068283A"/>
    <w:rsid w:val="00682968"/>
    <w:rsid w:val="00682A24"/>
    <w:rsid w:val="00682BF3"/>
    <w:rsid w:val="00682C09"/>
    <w:rsid w:val="00682DEF"/>
    <w:rsid w:val="00682FEC"/>
    <w:rsid w:val="00682FFF"/>
    <w:rsid w:val="0068305E"/>
    <w:rsid w:val="00683258"/>
    <w:rsid w:val="0068326F"/>
    <w:rsid w:val="00683303"/>
    <w:rsid w:val="00683477"/>
    <w:rsid w:val="006834A0"/>
    <w:rsid w:val="0068358F"/>
    <w:rsid w:val="00683593"/>
    <w:rsid w:val="006835BE"/>
    <w:rsid w:val="0068363D"/>
    <w:rsid w:val="0068366E"/>
    <w:rsid w:val="00683731"/>
    <w:rsid w:val="006837AC"/>
    <w:rsid w:val="006837DA"/>
    <w:rsid w:val="00683881"/>
    <w:rsid w:val="006839B8"/>
    <w:rsid w:val="006839E4"/>
    <w:rsid w:val="00683AA2"/>
    <w:rsid w:val="00683B04"/>
    <w:rsid w:val="00683BDC"/>
    <w:rsid w:val="00683CD2"/>
    <w:rsid w:val="00683CE0"/>
    <w:rsid w:val="00683D1C"/>
    <w:rsid w:val="00683D5C"/>
    <w:rsid w:val="00683E35"/>
    <w:rsid w:val="00683EEA"/>
    <w:rsid w:val="00684004"/>
    <w:rsid w:val="0068423B"/>
    <w:rsid w:val="006842C0"/>
    <w:rsid w:val="006842C8"/>
    <w:rsid w:val="00684303"/>
    <w:rsid w:val="00684379"/>
    <w:rsid w:val="0068445B"/>
    <w:rsid w:val="006847BA"/>
    <w:rsid w:val="006847D7"/>
    <w:rsid w:val="006847D8"/>
    <w:rsid w:val="006847FF"/>
    <w:rsid w:val="0068481D"/>
    <w:rsid w:val="00684A1D"/>
    <w:rsid w:val="00684B03"/>
    <w:rsid w:val="00684C8C"/>
    <w:rsid w:val="00684E94"/>
    <w:rsid w:val="00684FAC"/>
    <w:rsid w:val="006850C8"/>
    <w:rsid w:val="006852AD"/>
    <w:rsid w:val="00685419"/>
    <w:rsid w:val="006854A1"/>
    <w:rsid w:val="006854B0"/>
    <w:rsid w:val="00685745"/>
    <w:rsid w:val="006857C9"/>
    <w:rsid w:val="00685997"/>
    <w:rsid w:val="00685D32"/>
    <w:rsid w:val="00685F2F"/>
    <w:rsid w:val="00685F46"/>
    <w:rsid w:val="00685FDE"/>
    <w:rsid w:val="00686165"/>
    <w:rsid w:val="006862B7"/>
    <w:rsid w:val="006862BE"/>
    <w:rsid w:val="006862CA"/>
    <w:rsid w:val="006864FA"/>
    <w:rsid w:val="006865F0"/>
    <w:rsid w:val="006867BF"/>
    <w:rsid w:val="0068692F"/>
    <w:rsid w:val="006869DA"/>
    <w:rsid w:val="00686A46"/>
    <w:rsid w:val="00686B44"/>
    <w:rsid w:val="00686C50"/>
    <w:rsid w:val="00686D71"/>
    <w:rsid w:val="00686F44"/>
    <w:rsid w:val="00686F61"/>
    <w:rsid w:val="00686F9B"/>
    <w:rsid w:val="006871B0"/>
    <w:rsid w:val="00687491"/>
    <w:rsid w:val="006874D3"/>
    <w:rsid w:val="006874DB"/>
    <w:rsid w:val="006874EB"/>
    <w:rsid w:val="0068760F"/>
    <w:rsid w:val="00687675"/>
    <w:rsid w:val="0068770E"/>
    <w:rsid w:val="00687791"/>
    <w:rsid w:val="00687814"/>
    <w:rsid w:val="006878E9"/>
    <w:rsid w:val="00687B3C"/>
    <w:rsid w:val="00687BEE"/>
    <w:rsid w:val="00687C61"/>
    <w:rsid w:val="00687C62"/>
    <w:rsid w:val="00687C98"/>
    <w:rsid w:val="00687D4C"/>
    <w:rsid w:val="00687E9A"/>
    <w:rsid w:val="00690136"/>
    <w:rsid w:val="006903E8"/>
    <w:rsid w:val="006904EA"/>
    <w:rsid w:val="006905D7"/>
    <w:rsid w:val="0069065D"/>
    <w:rsid w:val="00690971"/>
    <w:rsid w:val="006909C0"/>
    <w:rsid w:val="00690C32"/>
    <w:rsid w:val="00690CC2"/>
    <w:rsid w:val="00690D8D"/>
    <w:rsid w:val="00690E91"/>
    <w:rsid w:val="00690EA8"/>
    <w:rsid w:val="00690EDF"/>
    <w:rsid w:val="00690FB5"/>
    <w:rsid w:val="00691022"/>
    <w:rsid w:val="0069117A"/>
    <w:rsid w:val="006911DF"/>
    <w:rsid w:val="00691303"/>
    <w:rsid w:val="0069136B"/>
    <w:rsid w:val="00691420"/>
    <w:rsid w:val="006916FC"/>
    <w:rsid w:val="0069171D"/>
    <w:rsid w:val="00691823"/>
    <w:rsid w:val="00691903"/>
    <w:rsid w:val="006919DE"/>
    <w:rsid w:val="00691B0D"/>
    <w:rsid w:val="00691BF0"/>
    <w:rsid w:val="00691C57"/>
    <w:rsid w:val="00691CB5"/>
    <w:rsid w:val="00691D27"/>
    <w:rsid w:val="00691E39"/>
    <w:rsid w:val="0069205A"/>
    <w:rsid w:val="00692192"/>
    <w:rsid w:val="00692498"/>
    <w:rsid w:val="006924AA"/>
    <w:rsid w:val="006925A8"/>
    <w:rsid w:val="0069266C"/>
    <w:rsid w:val="006926D8"/>
    <w:rsid w:val="00692970"/>
    <w:rsid w:val="006929C0"/>
    <w:rsid w:val="00692B05"/>
    <w:rsid w:val="00692BAE"/>
    <w:rsid w:val="00692D14"/>
    <w:rsid w:val="00692E4D"/>
    <w:rsid w:val="00692EDE"/>
    <w:rsid w:val="00692EEE"/>
    <w:rsid w:val="00692F46"/>
    <w:rsid w:val="00692FF0"/>
    <w:rsid w:val="0069309F"/>
    <w:rsid w:val="0069339D"/>
    <w:rsid w:val="006934E7"/>
    <w:rsid w:val="006937D7"/>
    <w:rsid w:val="00693869"/>
    <w:rsid w:val="00693926"/>
    <w:rsid w:val="0069392C"/>
    <w:rsid w:val="00693973"/>
    <w:rsid w:val="00693C6C"/>
    <w:rsid w:val="00693D13"/>
    <w:rsid w:val="00693FA5"/>
    <w:rsid w:val="00694114"/>
    <w:rsid w:val="006942A2"/>
    <w:rsid w:val="006942E2"/>
    <w:rsid w:val="0069438C"/>
    <w:rsid w:val="00694587"/>
    <w:rsid w:val="00694727"/>
    <w:rsid w:val="00694844"/>
    <w:rsid w:val="00694A95"/>
    <w:rsid w:val="00694AA8"/>
    <w:rsid w:val="00694AB4"/>
    <w:rsid w:val="00694AEE"/>
    <w:rsid w:val="00694B9C"/>
    <w:rsid w:val="00694C64"/>
    <w:rsid w:val="006950E6"/>
    <w:rsid w:val="006952C5"/>
    <w:rsid w:val="00695484"/>
    <w:rsid w:val="006954CA"/>
    <w:rsid w:val="006956BE"/>
    <w:rsid w:val="00695747"/>
    <w:rsid w:val="00695A40"/>
    <w:rsid w:val="00695A61"/>
    <w:rsid w:val="00695B40"/>
    <w:rsid w:val="00695BAD"/>
    <w:rsid w:val="00695C0B"/>
    <w:rsid w:val="00695CC1"/>
    <w:rsid w:val="00695D0B"/>
    <w:rsid w:val="00695DDD"/>
    <w:rsid w:val="00695F64"/>
    <w:rsid w:val="006960B5"/>
    <w:rsid w:val="0069615A"/>
    <w:rsid w:val="00696199"/>
    <w:rsid w:val="006962A1"/>
    <w:rsid w:val="00696313"/>
    <w:rsid w:val="0069636B"/>
    <w:rsid w:val="0069656B"/>
    <w:rsid w:val="00696774"/>
    <w:rsid w:val="006967C8"/>
    <w:rsid w:val="006967D2"/>
    <w:rsid w:val="0069695D"/>
    <w:rsid w:val="00696C9E"/>
    <w:rsid w:val="00696DF2"/>
    <w:rsid w:val="006970C2"/>
    <w:rsid w:val="00697420"/>
    <w:rsid w:val="00697586"/>
    <w:rsid w:val="006975A2"/>
    <w:rsid w:val="006975B9"/>
    <w:rsid w:val="0069761E"/>
    <w:rsid w:val="00697663"/>
    <w:rsid w:val="00697759"/>
    <w:rsid w:val="006978B2"/>
    <w:rsid w:val="006978E9"/>
    <w:rsid w:val="00697937"/>
    <w:rsid w:val="0069793F"/>
    <w:rsid w:val="006979A2"/>
    <w:rsid w:val="00697A9F"/>
    <w:rsid w:val="00697B2F"/>
    <w:rsid w:val="00697BB7"/>
    <w:rsid w:val="00697BF7"/>
    <w:rsid w:val="00697C46"/>
    <w:rsid w:val="00697CC7"/>
    <w:rsid w:val="00697DCB"/>
    <w:rsid w:val="00697E22"/>
    <w:rsid w:val="00697F0F"/>
    <w:rsid w:val="006A0048"/>
    <w:rsid w:val="006A004C"/>
    <w:rsid w:val="006A0343"/>
    <w:rsid w:val="006A0359"/>
    <w:rsid w:val="006A039A"/>
    <w:rsid w:val="006A0472"/>
    <w:rsid w:val="006A0622"/>
    <w:rsid w:val="006A0805"/>
    <w:rsid w:val="006A08B5"/>
    <w:rsid w:val="006A09C2"/>
    <w:rsid w:val="006A0B72"/>
    <w:rsid w:val="006A0BFE"/>
    <w:rsid w:val="006A0D59"/>
    <w:rsid w:val="006A0D78"/>
    <w:rsid w:val="006A0D8D"/>
    <w:rsid w:val="006A0F28"/>
    <w:rsid w:val="006A12D3"/>
    <w:rsid w:val="006A12EF"/>
    <w:rsid w:val="006A143B"/>
    <w:rsid w:val="006A14A4"/>
    <w:rsid w:val="006A14FE"/>
    <w:rsid w:val="006A1566"/>
    <w:rsid w:val="006A15D1"/>
    <w:rsid w:val="006A1623"/>
    <w:rsid w:val="006A1631"/>
    <w:rsid w:val="006A1665"/>
    <w:rsid w:val="006A1780"/>
    <w:rsid w:val="006A18D1"/>
    <w:rsid w:val="006A1941"/>
    <w:rsid w:val="006A1AEE"/>
    <w:rsid w:val="006A1B11"/>
    <w:rsid w:val="006A1BA5"/>
    <w:rsid w:val="006A1D88"/>
    <w:rsid w:val="006A1E2F"/>
    <w:rsid w:val="006A201D"/>
    <w:rsid w:val="006A206A"/>
    <w:rsid w:val="006A225A"/>
    <w:rsid w:val="006A238B"/>
    <w:rsid w:val="006A2395"/>
    <w:rsid w:val="006A23A4"/>
    <w:rsid w:val="006A2463"/>
    <w:rsid w:val="006A24A7"/>
    <w:rsid w:val="006A2641"/>
    <w:rsid w:val="006A26F3"/>
    <w:rsid w:val="006A2765"/>
    <w:rsid w:val="006A27A8"/>
    <w:rsid w:val="006A288D"/>
    <w:rsid w:val="006A2A8A"/>
    <w:rsid w:val="006A2C69"/>
    <w:rsid w:val="006A2D3A"/>
    <w:rsid w:val="006A2E6A"/>
    <w:rsid w:val="006A2F54"/>
    <w:rsid w:val="006A3041"/>
    <w:rsid w:val="006A3079"/>
    <w:rsid w:val="006A30AE"/>
    <w:rsid w:val="006A320F"/>
    <w:rsid w:val="006A32D7"/>
    <w:rsid w:val="006A35EC"/>
    <w:rsid w:val="006A360B"/>
    <w:rsid w:val="006A369D"/>
    <w:rsid w:val="006A37B1"/>
    <w:rsid w:val="006A37BA"/>
    <w:rsid w:val="006A394C"/>
    <w:rsid w:val="006A3960"/>
    <w:rsid w:val="006A3A21"/>
    <w:rsid w:val="006A3A73"/>
    <w:rsid w:val="006A3BCF"/>
    <w:rsid w:val="006A3C4F"/>
    <w:rsid w:val="006A3C89"/>
    <w:rsid w:val="006A3EC9"/>
    <w:rsid w:val="006A3FC4"/>
    <w:rsid w:val="006A4098"/>
    <w:rsid w:val="006A4171"/>
    <w:rsid w:val="006A4340"/>
    <w:rsid w:val="006A448D"/>
    <w:rsid w:val="006A47C9"/>
    <w:rsid w:val="006A47D3"/>
    <w:rsid w:val="006A48A8"/>
    <w:rsid w:val="006A4991"/>
    <w:rsid w:val="006A4AFE"/>
    <w:rsid w:val="006A4B15"/>
    <w:rsid w:val="006A4B38"/>
    <w:rsid w:val="006A4C41"/>
    <w:rsid w:val="006A4CFB"/>
    <w:rsid w:val="006A4DB0"/>
    <w:rsid w:val="006A4E7E"/>
    <w:rsid w:val="006A507D"/>
    <w:rsid w:val="006A50B8"/>
    <w:rsid w:val="006A5143"/>
    <w:rsid w:val="006A531D"/>
    <w:rsid w:val="006A53DF"/>
    <w:rsid w:val="006A5406"/>
    <w:rsid w:val="006A5559"/>
    <w:rsid w:val="006A5773"/>
    <w:rsid w:val="006A57DA"/>
    <w:rsid w:val="006A599B"/>
    <w:rsid w:val="006A599F"/>
    <w:rsid w:val="006A5CB9"/>
    <w:rsid w:val="006A5E32"/>
    <w:rsid w:val="006A611C"/>
    <w:rsid w:val="006A6149"/>
    <w:rsid w:val="006A61BB"/>
    <w:rsid w:val="006A6210"/>
    <w:rsid w:val="006A64C3"/>
    <w:rsid w:val="006A64FA"/>
    <w:rsid w:val="006A653D"/>
    <w:rsid w:val="006A65ED"/>
    <w:rsid w:val="006A6644"/>
    <w:rsid w:val="006A66B4"/>
    <w:rsid w:val="006A67CA"/>
    <w:rsid w:val="006A67DB"/>
    <w:rsid w:val="006A68D1"/>
    <w:rsid w:val="006A6967"/>
    <w:rsid w:val="006A697B"/>
    <w:rsid w:val="006A69C2"/>
    <w:rsid w:val="006A6BF7"/>
    <w:rsid w:val="006A6D72"/>
    <w:rsid w:val="006A6ECD"/>
    <w:rsid w:val="006A6EE1"/>
    <w:rsid w:val="006A7181"/>
    <w:rsid w:val="006A7321"/>
    <w:rsid w:val="006A733D"/>
    <w:rsid w:val="006A7380"/>
    <w:rsid w:val="006A739E"/>
    <w:rsid w:val="006A73F8"/>
    <w:rsid w:val="006A741D"/>
    <w:rsid w:val="006A743D"/>
    <w:rsid w:val="006A771E"/>
    <w:rsid w:val="006A7B8A"/>
    <w:rsid w:val="006A7B97"/>
    <w:rsid w:val="006A7DF4"/>
    <w:rsid w:val="006A7DFE"/>
    <w:rsid w:val="006A7E3A"/>
    <w:rsid w:val="006A7F09"/>
    <w:rsid w:val="006A7FC6"/>
    <w:rsid w:val="006B003C"/>
    <w:rsid w:val="006B0292"/>
    <w:rsid w:val="006B02DF"/>
    <w:rsid w:val="006B0313"/>
    <w:rsid w:val="006B0624"/>
    <w:rsid w:val="006B071C"/>
    <w:rsid w:val="006B07C5"/>
    <w:rsid w:val="006B0862"/>
    <w:rsid w:val="006B086F"/>
    <w:rsid w:val="006B08AD"/>
    <w:rsid w:val="006B0985"/>
    <w:rsid w:val="006B0995"/>
    <w:rsid w:val="006B0A6D"/>
    <w:rsid w:val="006B0B6B"/>
    <w:rsid w:val="006B0B80"/>
    <w:rsid w:val="006B0CA2"/>
    <w:rsid w:val="006B0CBC"/>
    <w:rsid w:val="006B0CF5"/>
    <w:rsid w:val="006B0D5B"/>
    <w:rsid w:val="006B0FD6"/>
    <w:rsid w:val="006B1203"/>
    <w:rsid w:val="006B1557"/>
    <w:rsid w:val="006B15FE"/>
    <w:rsid w:val="006B1704"/>
    <w:rsid w:val="006B17B8"/>
    <w:rsid w:val="006B17E1"/>
    <w:rsid w:val="006B1816"/>
    <w:rsid w:val="006B1857"/>
    <w:rsid w:val="006B1AFC"/>
    <w:rsid w:val="006B1B06"/>
    <w:rsid w:val="006B1BE9"/>
    <w:rsid w:val="006B1BF2"/>
    <w:rsid w:val="006B1D74"/>
    <w:rsid w:val="006B1D77"/>
    <w:rsid w:val="006B1D83"/>
    <w:rsid w:val="006B1E47"/>
    <w:rsid w:val="006B1E6D"/>
    <w:rsid w:val="006B1F31"/>
    <w:rsid w:val="006B1FD5"/>
    <w:rsid w:val="006B2155"/>
    <w:rsid w:val="006B22FE"/>
    <w:rsid w:val="006B2303"/>
    <w:rsid w:val="006B249A"/>
    <w:rsid w:val="006B24FB"/>
    <w:rsid w:val="006B25A0"/>
    <w:rsid w:val="006B25FA"/>
    <w:rsid w:val="006B274F"/>
    <w:rsid w:val="006B277D"/>
    <w:rsid w:val="006B27B8"/>
    <w:rsid w:val="006B27D1"/>
    <w:rsid w:val="006B28D2"/>
    <w:rsid w:val="006B296B"/>
    <w:rsid w:val="006B2998"/>
    <w:rsid w:val="006B2A63"/>
    <w:rsid w:val="006B2B80"/>
    <w:rsid w:val="006B2BBA"/>
    <w:rsid w:val="006B2C14"/>
    <w:rsid w:val="006B2D4C"/>
    <w:rsid w:val="006B2E73"/>
    <w:rsid w:val="006B2EDF"/>
    <w:rsid w:val="006B2F5A"/>
    <w:rsid w:val="006B3138"/>
    <w:rsid w:val="006B3263"/>
    <w:rsid w:val="006B33C2"/>
    <w:rsid w:val="006B3559"/>
    <w:rsid w:val="006B373F"/>
    <w:rsid w:val="006B3802"/>
    <w:rsid w:val="006B38CF"/>
    <w:rsid w:val="006B3956"/>
    <w:rsid w:val="006B3C2A"/>
    <w:rsid w:val="006B3DD4"/>
    <w:rsid w:val="006B3E15"/>
    <w:rsid w:val="006B3E51"/>
    <w:rsid w:val="006B3E90"/>
    <w:rsid w:val="006B3F1F"/>
    <w:rsid w:val="006B4011"/>
    <w:rsid w:val="006B4012"/>
    <w:rsid w:val="006B41E1"/>
    <w:rsid w:val="006B42D1"/>
    <w:rsid w:val="006B42D3"/>
    <w:rsid w:val="006B42F1"/>
    <w:rsid w:val="006B43F7"/>
    <w:rsid w:val="006B456C"/>
    <w:rsid w:val="006B4694"/>
    <w:rsid w:val="006B46C6"/>
    <w:rsid w:val="006B46FE"/>
    <w:rsid w:val="006B49F6"/>
    <w:rsid w:val="006B4AA5"/>
    <w:rsid w:val="006B4CA3"/>
    <w:rsid w:val="006B4CB9"/>
    <w:rsid w:val="006B4DC5"/>
    <w:rsid w:val="006B518F"/>
    <w:rsid w:val="006B51AB"/>
    <w:rsid w:val="006B51C8"/>
    <w:rsid w:val="006B5277"/>
    <w:rsid w:val="006B52B5"/>
    <w:rsid w:val="006B52B7"/>
    <w:rsid w:val="006B55BA"/>
    <w:rsid w:val="006B56CA"/>
    <w:rsid w:val="006B5765"/>
    <w:rsid w:val="006B5891"/>
    <w:rsid w:val="006B589B"/>
    <w:rsid w:val="006B58C9"/>
    <w:rsid w:val="006B5B2B"/>
    <w:rsid w:val="006B5C70"/>
    <w:rsid w:val="006B5D62"/>
    <w:rsid w:val="006B5E7C"/>
    <w:rsid w:val="006B5E92"/>
    <w:rsid w:val="006B5F40"/>
    <w:rsid w:val="006B61AD"/>
    <w:rsid w:val="006B6388"/>
    <w:rsid w:val="006B653C"/>
    <w:rsid w:val="006B660E"/>
    <w:rsid w:val="006B6658"/>
    <w:rsid w:val="006B66F9"/>
    <w:rsid w:val="006B671B"/>
    <w:rsid w:val="006B67E5"/>
    <w:rsid w:val="006B6891"/>
    <w:rsid w:val="006B692E"/>
    <w:rsid w:val="006B6AAE"/>
    <w:rsid w:val="006B6EB9"/>
    <w:rsid w:val="006B6EDA"/>
    <w:rsid w:val="006B6F46"/>
    <w:rsid w:val="006B6FDB"/>
    <w:rsid w:val="006B7168"/>
    <w:rsid w:val="006B7374"/>
    <w:rsid w:val="006B740C"/>
    <w:rsid w:val="006B7480"/>
    <w:rsid w:val="006B74D4"/>
    <w:rsid w:val="006B74F1"/>
    <w:rsid w:val="006B7537"/>
    <w:rsid w:val="006B7686"/>
    <w:rsid w:val="006B76CA"/>
    <w:rsid w:val="006B7705"/>
    <w:rsid w:val="006B79D1"/>
    <w:rsid w:val="006B7BC5"/>
    <w:rsid w:val="006B7BE9"/>
    <w:rsid w:val="006B7BEB"/>
    <w:rsid w:val="006B7C03"/>
    <w:rsid w:val="006B7D2C"/>
    <w:rsid w:val="006B7DCE"/>
    <w:rsid w:val="006B7E36"/>
    <w:rsid w:val="006B7E44"/>
    <w:rsid w:val="006B7E52"/>
    <w:rsid w:val="006C0091"/>
    <w:rsid w:val="006C02AF"/>
    <w:rsid w:val="006C049B"/>
    <w:rsid w:val="006C04A2"/>
    <w:rsid w:val="006C07B7"/>
    <w:rsid w:val="006C0927"/>
    <w:rsid w:val="006C0B1A"/>
    <w:rsid w:val="006C0B81"/>
    <w:rsid w:val="006C0D77"/>
    <w:rsid w:val="006C0DB8"/>
    <w:rsid w:val="006C1343"/>
    <w:rsid w:val="006C1402"/>
    <w:rsid w:val="006C146D"/>
    <w:rsid w:val="006C14DC"/>
    <w:rsid w:val="006C15E5"/>
    <w:rsid w:val="006C1622"/>
    <w:rsid w:val="006C1679"/>
    <w:rsid w:val="006C179E"/>
    <w:rsid w:val="006C1BE5"/>
    <w:rsid w:val="006C1CA3"/>
    <w:rsid w:val="006C1CE4"/>
    <w:rsid w:val="006C1D49"/>
    <w:rsid w:val="006C1DAF"/>
    <w:rsid w:val="006C1EF1"/>
    <w:rsid w:val="006C1F76"/>
    <w:rsid w:val="006C20E7"/>
    <w:rsid w:val="006C225A"/>
    <w:rsid w:val="006C22B6"/>
    <w:rsid w:val="006C23CE"/>
    <w:rsid w:val="006C243C"/>
    <w:rsid w:val="006C248B"/>
    <w:rsid w:val="006C2626"/>
    <w:rsid w:val="006C2A1A"/>
    <w:rsid w:val="006C2ACF"/>
    <w:rsid w:val="006C2B5C"/>
    <w:rsid w:val="006C2BF8"/>
    <w:rsid w:val="006C2C0C"/>
    <w:rsid w:val="006C2C13"/>
    <w:rsid w:val="006C2C7B"/>
    <w:rsid w:val="006C2CAA"/>
    <w:rsid w:val="006C2CF2"/>
    <w:rsid w:val="006C2D28"/>
    <w:rsid w:val="006C2E39"/>
    <w:rsid w:val="006C2EA6"/>
    <w:rsid w:val="006C2FA8"/>
    <w:rsid w:val="006C3262"/>
    <w:rsid w:val="006C3268"/>
    <w:rsid w:val="006C347B"/>
    <w:rsid w:val="006C35DA"/>
    <w:rsid w:val="006C35E1"/>
    <w:rsid w:val="006C3616"/>
    <w:rsid w:val="006C3828"/>
    <w:rsid w:val="006C3A00"/>
    <w:rsid w:val="006C3CE4"/>
    <w:rsid w:val="006C3D6D"/>
    <w:rsid w:val="006C3DEF"/>
    <w:rsid w:val="006C3F28"/>
    <w:rsid w:val="006C405E"/>
    <w:rsid w:val="006C40EE"/>
    <w:rsid w:val="006C43A9"/>
    <w:rsid w:val="006C441C"/>
    <w:rsid w:val="006C444C"/>
    <w:rsid w:val="006C45C7"/>
    <w:rsid w:val="006C471E"/>
    <w:rsid w:val="006C475D"/>
    <w:rsid w:val="006C48E3"/>
    <w:rsid w:val="006C49C1"/>
    <w:rsid w:val="006C4BAC"/>
    <w:rsid w:val="006C4BC4"/>
    <w:rsid w:val="006C4C5D"/>
    <w:rsid w:val="006C4DBB"/>
    <w:rsid w:val="006C4E61"/>
    <w:rsid w:val="006C4EB1"/>
    <w:rsid w:val="006C4EDB"/>
    <w:rsid w:val="006C4F66"/>
    <w:rsid w:val="006C4FC0"/>
    <w:rsid w:val="006C5017"/>
    <w:rsid w:val="006C50A7"/>
    <w:rsid w:val="006C543D"/>
    <w:rsid w:val="006C5672"/>
    <w:rsid w:val="006C568B"/>
    <w:rsid w:val="006C56D6"/>
    <w:rsid w:val="006C5757"/>
    <w:rsid w:val="006C57B1"/>
    <w:rsid w:val="006C591E"/>
    <w:rsid w:val="006C5964"/>
    <w:rsid w:val="006C5A7F"/>
    <w:rsid w:val="006C5AD1"/>
    <w:rsid w:val="006C5B97"/>
    <w:rsid w:val="006C5E39"/>
    <w:rsid w:val="006C6083"/>
    <w:rsid w:val="006C6220"/>
    <w:rsid w:val="006C6249"/>
    <w:rsid w:val="006C6427"/>
    <w:rsid w:val="006C645D"/>
    <w:rsid w:val="006C6535"/>
    <w:rsid w:val="006C675C"/>
    <w:rsid w:val="006C67EF"/>
    <w:rsid w:val="006C6821"/>
    <w:rsid w:val="006C6874"/>
    <w:rsid w:val="006C687D"/>
    <w:rsid w:val="006C68AF"/>
    <w:rsid w:val="006C6935"/>
    <w:rsid w:val="006C6981"/>
    <w:rsid w:val="006C6B05"/>
    <w:rsid w:val="006C6C08"/>
    <w:rsid w:val="006C6C2B"/>
    <w:rsid w:val="006C6D83"/>
    <w:rsid w:val="006C6EFA"/>
    <w:rsid w:val="006C6F56"/>
    <w:rsid w:val="006C6F74"/>
    <w:rsid w:val="006C6FE8"/>
    <w:rsid w:val="006C7159"/>
    <w:rsid w:val="006C7284"/>
    <w:rsid w:val="006C7286"/>
    <w:rsid w:val="006C7317"/>
    <w:rsid w:val="006C731D"/>
    <w:rsid w:val="006C7349"/>
    <w:rsid w:val="006C7640"/>
    <w:rsid w:val="006C76EA"/>
    <w:rsid w:val="006C7812"/>
    <w:rsid w:val="006C7AF5"/>
    <w:rsid w:val="006C7BC9"/>
    <w:rsid w:val="006C7D74"/>
    <w:rsid w:val="006C7E9D"/>
    <w:rsid w:val="006C7EF4"/>
    <w:rsid w:val="006C7FF6"/>
    <w:rsid w:val="006D005C"/>
    <w:rsid w:val="006D00BF"/>
    <w:rsid w:val="006D0137"/>
    <w:rsid w:val="006D021F"/>
    <w:rsid w:val="006D02BA"/>
    <w:rsid w:val="006D0363"/>
    <w:rsid w:val="006D0401"/>
    <w:rsid w:val="006D0426"/>
    <w:rsid w:val="006D0432"/>
    <w:rsid w:val="006D05F3"/>
    <w:rsid w:val="006D064D"/>
    <w:rsid w:val="006D06B5"/>
    <w:rsid w:val="006D08A3"/>
    <w:rsid w:val="006D08D3"/>
    <w:rsid w:val="006D08F7"/>
    <w:rsid w:val="006D090B"/>
    <w:rsid w:val="006D0CE0"/>
    <w:rsid w:val="006D0CF3"/>
    <w:rsid w:val="006D0E30"/>
    <w:rsid w:val="006D11BE"/>
    <w:rsid w:val="006D12A3"/>
    <w:rsid w:val="006D139B"/>
    <w:rsid w:val="006D1404"/>
    <w:rsid w:val="006D1406"/>
    <w:rsid w:val="006D1567"/>
    <w:rsid w:val="006D162F"/>
    <w:rsid w:val="006D1837"/>
    <w:rsid w:val="006D1884"/>
    <w:rsid w:val="006D188C"/>
    <w:rsid w:val="006D1BC3"/>
    <w:rsid w:val="006D1C79"/>
    <w:rsid w:val="006D1C87"/>
    <w:rsid w:val="006D1D0D"/>
    <w:rsid w:val="006D1F46"/>
    <w:rsid w:val="006D1F73"/>
    <w:rsid w:val="006D1F97"/>
    <w:rsid w:val="006D2115"/>
    <w:rsid w:val="006D2122"/>
    <w:rsid w:val="006D218B"/>
    <w:rsid w:val="006D233D"/>
    <w:rsid w:val="006D2363"/>
    <w:rsid w:val="006D2376"/>
    <w:rsid w:val="006D237B"/>
    <w:rsid w:val="006D2477"/>
    <w:rsid w:val="006D2494"/>
    <w:rsid w:val="006D24EF"/>
    <w:rsid w:val="006D252A"/>
    <w:rsid w:val="006D25E6"/>
    <w:rsid w:val="006D272C"/>
    <w:rsid w:val="006D2882"/>
    <w:rsid w:val="006D2989"/>
    <w:rsid w:val="006D2D1E"/>
    <w:rsid w:val="006D2DD9"/>
    <w:rsid w:val="006D2E2C"/>
    <w:rsid w:val="006D2EB3"/>
    <w:rsid w:val="006D2F63"/>
    <w:rsid w:val="006D2FC3"/>
    <w:rsid w:val="006D31E4"/>
    <w:rsid w:val="006D32AE"/>
    <w:rsid w:val="006D3446"/>
    <w:rsid w:val="006D3708"/>
    <w:rsid w:val="006D38E3"/>
    <w:rsid w:val="006D3946"/>
    <w:rsid w:val="006D3D34"/>
    <w:rsid w:val="006D3DE4"/>
    <w:rsid w:val="006D3E09"/>
    <w:rsid w:val="006D3E1B"/>
    <w:rsid w:val="006D3F79"/>
    <w:rsid w:val="006D41AA"/>
    <w:rsid w:val="006D41F4"/>
    <w:rsid w:val="006D42C7"/>
    <w:rsid w:val="006D45FB"/>
    <w:rsid w:val="006D46BC"/>
    <w:rsid w:val="006D478C"/>
    <w:rsid w:val="006D4B68"/>
    <w:rsid w:val="006D4CF2"/>
    <w:rsid w:val="006D4DF1"/>
    <w:rsid w:val="006D5370"/>
    <w:rsid w:val="006D53B1"/>
    <w:rsid w:val="006D545C"/>
    <w:rsid w:val="006D55A4"/>
    <w:rsid w:val="006D5649"/>
    <w:rsid w:val="006D5696"/>
    <w:rsid w:val="006D56D2"/>
    <w:rsid w:val="006D597D"/>
    <w:rsid w:val="006D5A19"/>
    <w:rsid w:val="006D5ADF"/>
    <w:rsid w:val="006D5C5C"/>
    <w:rsid w:val="006D5CC9"/>
    <w:rsid w:val="006D5D9F"/>
    <w:rsid w:val="006D5E65"/>
    <w:rsid w:val="006D5F30"/>
    <w:rsid w:val="006D6051"/>
    <w:rsid w:val="006D61E7"/>
    <w:rsid w:val="006D62D7"/>
    <w:rsid w:val="006D6380"/>
    <w:rsid w:val="006D642D"/>
    <w:rsid w:val="006D658D"/>
    <w:rsid w:val="006D66C1"/>
    <w:rsid w:val="006D677B"/>
    <w:rsid w:val="006D685B"/>
    <w:rsid w:val="006D695B"/>
    <w:rsid w:val="006D69C6"/>
    <w:rsid w:val="006D6A24"/>
    <w:rsid w:val="006D6BED"/>
    <w:rsid w:val="006D6C06"/>
    <w:rsid w:val="006D6CD9"/>
    <w:rsid w:val="006D6E6E"/>
    <w:rsid w:val="006D6EC7"/>
    <w:rsid w:val="006D70A1"/>
    <w:rsid w:val="006D714F"/>
    <w:rsid w:val="006D72B3"/>
    <w:rsid w:val="006D73B5"/>
    <w:rsid w:val="006D7443"/>
    <w:rsid w:val="006D7479"/>
    <w:rsid w:val="006D762E"/>
    <w:rsid w:val="006D76F3"/>
    <w:rsid w:val="006D77EF"/>
    <w:rsid w:val="006D7957"/>
    <w:rsid w:val="006D7B1E"/>
    <w:rsid w:val="006D7C0C"/>
    <w:rsid w:val="006D7D05"/>
    <w:rsid w:val="006D7DAE"/>
    <w:rsid w:val="006D7E1C"/>
    <w:rsid w:val="006D7E78"/>
    <w:rsid w:val="006D7ED7"/>
    <w:rsid w:val="006D7F1C"/>
    <w:rsid w:val="006E0201"/>
    <w:rsid w:val="006E021D"/>
    <w:rsid w:val="006E04ED"/>
    <w:rsid w:val="006E0656"/>
    <w:rsid w:val="006E076D"/>
    <w:rsid w:val="006E07A5"/>
    <w:rsid w:val="006E07D8"/>
    <w:rsid w:val="006E0ADC"/>
    <w:rsid w:val="006E0B7B"/>
    <w:rsid w:val="006E0D19"/>
    <w:rsid w:val="006E0D84"/>
    <w:rsid w:val="006E0DB2"/>
    <w:rsid w:val="006E0E3C"/>
    <w:rsid w:val="006E0E66"/>
    <w:rsid w:val="006E107D"/>
    <w:rsid w:val="006E10D5"/>
    <w:rsid w:val="006E1208"/>
    <w:rsid w:val="006E1260"/>
    <w:rsid w:val="006E1577"/>
    <w:rsid w:val="006E15AA"/>
    <w:rsid w:val="006E17D0"/>
    <w:rsid w:val="006E1981"/>
    <w:rsid w:val="006E1BFB"/>
    <w:rsid w:val="006E1CBA"/>
    <w:rsid w:val="006E1CE0"/>
    <w:rsid w:val="006E214A"/>
    <w:rsid w:val="006E21F2"/>
    <w:rsid w:val="006E2294"/>
    <w:rsid w:val="006E22D7"/>
    <w:rsid w:val="006E238E"/>
    <w:rsid w:val="006E25D9"/>
    <w:rsid w:val="006E262E"/>
    <w:rsid w:val="006E27CA"/>
    <w:rsid w:val="006E2810"/>
    <w:rsid w:val="006E2989"/>
    <w:rsid w:val="006E2ACD"/>
    <w:rsid w:val="006E2B98"/>
    <w:rsid w:val="006E2D83"/>
    <w:rsid w:val="006E3068"/>
    <w:rsid w:val="006E3102"/>
    <w:rsid w:val="006E3217"/>
    <w:rsid w:val="006E3305"/>
    <w:rsid w:val="006E339E"/>
    <w:rsid w:val="006E346F"/>
    <w:rsid w:val="006E353D"/>
    <w:rsid w:val="006E356E"/>
    <w:rsid w:val="006E3648"/>
    <w:rsid w:val="006E371B"/>
    <w:rsid w:val="006E3778"/>
    <w:rsid w:val="006E3813"/>
    <w:rsid w:val="006E38AF"/>
    <w:rsid w:val="006E3BA4"/>
    <w:rsid w:val="006E3CC3"/>
    <w:rsid w:val="006E3DE7"/>
    <w:rsid w:val="006E3DFF"/>
    <w:rsid w:val="006E3FA1"/>
    <w:rsid w:val="006E40F2"/>
    <w:rsid w:val="006E413B"/>
    <w:rsid w:val="006E428B"/>
    <w:rsid w:val="006E4532"/>
    <w:rsid w:val="006E4630"/>
    <w:rsid w:val="006E46B6"/>
    <w:rsid w:val="006E477E"/>
    <w:rsid w:val="006E48E8"/>
    <w:rsid w:val="006E491A"/>
    <w:rsid w:val="006E4B2B"/>
    <w:rsid w:val="006E4B9E"/>
    <w:rsid w:val="006E4DCF"/>
    <w:rsid w:val="006E4EEB"/>
    <w:rsid w:val="006E503C"/>
    <w:rsid w:val="006E5070"/>
    <w:rsid w:val="006E5095"/>
    <w:rsid w:val="006E521C"/>
    <w:rsid w:val="006E52C7"/>
    <w:rsid w:val="006E535E"/>
    <w:rsid w:val="006E539A"/>
    <w:rsid w:val="006E53CF"/>
    <w:rsid w:val="006E53E8"/>
    <w:rsid w:val="006E5455"/>
    <w:rsid w:val="006E54AB"/>
    <w:rsid w:val="006E55C0"/>
    <w:rsid w:val="006E55FA"/>
    <w:rsid w:val="006E563E"/>
    <w:rsid w:val="006E566F"/>
    <w:rsid w:val="006E56B1"/>
    <w:rsid w:val="006E57A3"/>
    <w:rsid w:val="006E5809"/>
    <w:rsid w:val="006E5961"/>
    <w:rsid w:val="006E5E47"/>
    <w:rsid w:val="006E5F98"/>
    <w:rsid w:val="006E60A8"/>
    <w:rsid w:val="006E60BD"/>
    <w:rsid w:val="006E6230"/>
    <w:rsid w:val="006E652C"/>
    <w:rsid w:val="006E65E8"/>
    <w:rsid w:val="006E6699"/>
    <w:rsid w:val="006E6760"/>
    <w:rsid w:val="006E68FA"/>
    <w:rsid w:val="006E695F"/>
    <w:rsid w:val="006E69E4"/>
    <w:rsid w:val="006E6B88"/>
    <w:rsid w:val="006E6D1E"/>
    <w:rsid w:val="006E6D3E"/>
    <w:rsid w:val="006E6DE1"/>
    <w:rsid w:val="006E6E52"/>
    <w:rsid w:val="006E6E7A"/>
    <w:rsid w:val="006E6F15"/>
    <w:rsid w:val="006E7029"/>
    <w:rsid w:val="006E70A7"/>
    <w:rsid w:val="006E7126"/>
    <w:rsid w:val="006E7137"/>
    <w:rsid w:val="006E714A"/>
    <w:rsid w:val="006E71EF"/>
    <w:rsid w:val="006E7571"/>
    <w:rsid w:val="006E76DA"/>
    <w:rsid w:val="006E792D"/>
    <w:rsid w:val="006E79A5"/>
    <w:rsid w:val="006E7B2A"/>
    <w:rsid w:val="006E7C27"/>
    <w:rsid w:val="006E7EE1"/>
    <w:rsid w:val="006E7F12"/>
    <w:rsid w:val="006E7F67"/>
    <w:rsid w:val="006F002F"/>
    <w:rsid w:val="006F0159"/>
    <w:rsid w:val="006F0179"/>
    <w:rsid w:val="006F01ED"/>
    <w:rsid w:val="006F027B"/>
    <w:rsid w:val="006F0308"/>
    <w:rsid w:val="006F0417"/>
    <w:rsid w:val="006F04C8"/>
    <w:rsid w:val="006F07F5"/>
    <w:rsid w:val="006F08B8"/>
    <w:rsid w:val="006F090E"/>
    <w:rsid w:val="006F0A7F"/>
    <w:rsid w:val="006F0AC8"/>
    <w:rsid w:val="006F0B92"/>
    <w:rsid w:val="006F0CB8"/>
    <w:rsid w:val="006F0CCA"/>
    <w:rsid w:val="006F0F8A"/>
    <w:rsid w:val="006F11C1"/>
    <w:rsid w:val="006F132A"/>
    <w:rsid w:val="006F140C"/>
    <w:rsid w:val="006F1817"/>
    <w:rsid w:val="006F1889"/>
    <w:rsid w:val="006F1B82"/>
    <w:rsid w:val="006F1BA5"/>
    <w:rsid w:val="006F1BCD"/>
    <w:rsid w:val="006F1C46"/>
    <w:rsid w:val="006F1C6B"/>
    <w:rsid w:val="006F1DDE"/>
    <w:rsid w:val="006F208A"/>
    <w:rsid w:val="006F208C"/>
    <w:rsid w:val="006F23D0"/>
    <w:rsid w:val="006F255D"/>
    <w:rsid w:val="006F26F9"/>
    <w:rsid w:val="006F282A"/>
    <w:rsid w:val="006F284A"/>
    <w:rsid w:val="006F2AE9"/>
    <w:rsid w:val="006F2B0C"/>
    <w:rsid w:val="006F2C9E"/>
    <w:rsid w:val="006F2D3B"/>
    <w:rsid w:val="006F2E64"/>
    <w:rsid w:val="006F2E83"/>
    <w:rsid w:val="006F2ECF"/>
    <w:rsid w:val="006F2FA9"/>
    <w:rsid w:val="006F312E"/>
    <w:rsid w:val="006F321B"/>
    <w:rsid w:val="006F334A"/>
    <w:rsid w:val="006F33A8"/>
    <w:rsid w:val="006F33B9"/>
    <w:rsid w:val="006F34DD"/>
    <w:rsid w:val="006F35E3"/>
    <w:rsid w:val="006F35ED"/>
    <w:rsid w:val="006F36C1"/>
    <w:rsid w:val="006F37D4"/>
    <w:rsid w:val="006F37E7"/>
    <w:rsid w:val="006F3AA6"/>
    <w:rsid w:val="006F3BB3"/>
    <w:rsid w:val="006F3BB7"/>
    <w:rsid w:val="006F3D73"/>
    <w:rsid w:val="006F3F9F"/>
    <w:rsid w:val="006F3FD1"/>
    <w:rsid w:val="006F4200"/>
    <w:rsid w:val="006F430C"/>
    <w:rsid w:val="006F4346"/>
    <w:rsid w:val="006F4417"/>
    <w:rsid w:val="006F44DF"/>
    <w:rsid w:val="006F45EA"/>
    <w:rsid w:val="006F45FB"/>
    <w:rsid w:val="006F480A"/>
    <w:rsid w:val="006F4A1C"/>
    <w:rsid w:val="006F4AE9"/>
    <w:rsid w:val="006F4F17"/>
    <w:rsid w:val="006F505E"/>
    <w:rsid w:val="006F5152"/>
    <w:rsid w:val="006F51B8"/>
    <w:rsid w:val="006F5329"/>
    <w:rsid w:val="006F534F"/>
    <w:rsid w:val="006F5376"/>
    <w:rsid w:val="006F53C4"/>
    <w:rsid w:val="006F55F0"/>
    <w:rsid w:val="006F56AA"/>
    <w:rsid w:val="006F575F"/>
    <w:rsid w:val="006F57CB"/>
    <w:rsid w:val="006F57F3"/>
    <w:rsid w:val="006F5892"/>
    <w:rsid w:val="006F58D6"/>
    <w:rsid w:val="006F5981"/>
    <w:rsid w:val="006F59D3"/>
    <w:rsid w:val="006F5A3D"/>
    <w:rsid w:val="006F5AEA"/>
    <w:rsid w:val="006F5B6C"/>
    <w:rsid w:val="006F5B81"/>
    <w:rsid w:val="006F5C4C"/>
    <w:rsid w:val="006F5C9C"/>
    <w:rsid w:val="006F607C"/>
    <w:rsid w:val="006F625B"/>
    <w:rsid w:val="006F656C"/>
    <w:rsid w:val="006F6595"/>
    <w:rsid w:val="006F6689"/>
    <w:rsid w:val="006F66CD"/>
    <w:rsid w:val="006F670A"/>
    <w:rsid w:val="006F6917"/>
    <w:rsid w:val="006F6E42"/>
    <w:rsid w:val="006F6EE2"/>
    <w:rsid w:val="006F6EFB"/>
    <w:rsid w:val="006F6F81"/>
    <w:rsid w:val="006F7028"/>
    <w:rsid w:val="006F702F"/>
    <w:rsid w:val="006F711F"/>
    <w:rsid w:val="006F712B"/>
    <w:rsid w:val="006F731F"/>
    <w:rsid w:val="006F73B0"/>
    <w:rsid w:val="006F741A"/>
    <w:rsid w:val="006F74E1"/>
    <w:rsid w:val="006F76BA"/>
    <w:rsid w:val="006F77DF"/>
    <w:rsid w:val="006F7C3D"/>
    <w:rsid w:val="006F7C8C"/>
    <w:rsid w:val="006F7D15"/>
    <w:rsid w:val="006F7DD6"/>
    <w:rsid w:val="006F7E87"/>
    <w:rsid w:val="006F7F66"/>
    <w:rsid w:val="007002EB"/>
    <w:rsid w:val="0070037D"/>
    <w:rsid w:val="007004D2"/>
    <w:rsid w:val="007005E3"/>
    <w:rsid w:val="0070065C"/>
    <w:rsid w:val="007006ED"/>
    <w:rsid w:val="007009BA"/>
    <w:rsid w:val="00700C75"/>
    <w:rsid w:val="00700C76"/>
    <w:rsid w:val="00700E00"/>
    <w:rsid w:val="00700E2B"/>
    <w:rsid w:val="00700F45"/>
    <w:rsid w:val="00700F66"/>
    <w:rsid w:val="0070103D"/>
    <w:rsid w:val="007011E4"/>
    <w:rsid w:val="007012F7"/>
    <w:rsid w:val="007013DD"/>
    <w:rsid w:val="007014D3"/>
    <w:rsid w:val="007016AA"/>
    <w:rsid w:val="0070173C"/>
    <w:rsid w:val="007017DA"/>
    <w:rsid w:val="00701805"/>
    <w:rsid w:val="0070181B"/>
    <w:rsid w:val="00701983"/>
    <w:rsid w:val="00701AF9"/>
    <w:rsid w:val="00701B3E"/>
    <w:rsid w:val="00701C12"/>
    <w:rsid w:val="00701C62"/>
    <w:rsid w:val="00701C7F"/>
    <w:rsid w:val="00701D48"/>
    <w:rsid w:val="00701DDA"/>
    <w:rsid w:val="00701E0C"/>
    <w:rsid w:val="00701E12"/>
    <w:rsid w:val="00701E78"/>
    <w:rsid w:val="00702045"/>
    <w:rsid w:val="007020E4"/>
    <w:rsid w:val="007022A3"/>
    <w:rsid w:val="007022B9"/>
    <w:rsid w:val="007023E3"/>
    <w:rsid w:val="00702559"/>
    <w:rsid w:val="007025F1"/>
    <w:rsid w:val="00702641"/>
    <w:rsid w:val="00702674"/>
    <w:rsid w:val="00702812"/>
    <w:rsid w:val="00702975"/>
    <w:rsid w:val="00702994"/>
    <w:rsid w:val="00702ABE"/>
    <w:rsid w:val="00702B1D"/>
    <w:rsid w:val="00702B9C"/>
    <w:rsid w:val="00702FB5"/>
    <w:rsid w:val="00703099"/>
    <w:rsid w:val="0070313B"/>
    <w:rsid w:val="00703307"/>
    <w:rsid w:val="00703347"/>
    <w:rsid w:val="00703405"/>
    <w:rsid w:val="007037A3"/>
    <w:rsid w:val="0070391A"/>
    <w:rsid w:val="0070391B"/>
    <w:rsid w:val="0070392D"/>
    <w:rsid w:val="00703A18"/>
    <w:rsid w:val="00703A59"/>
    <w:rsid w:val="00703AC5"/>
    <w:rsid w:val="00703BD7"/>
    <w:rsid w:val="00703EDD"/>
    <w:rsid w:val="00703F26"/>
    <w:rsid w:val="00703FFD"/>
    <w:rsid w:val="007040D3"/>
    <w:rsid w:val="00704278"/>
    <w:rsid w:val="00704377"/>
    <w:rsid w:val="0070454F"/>
    <w:rsid w:val="0070458F"/>
    <w:rsid w:val="007045E4"/>
    <w:rsid w:val="007047A3"/>
    <w:rsid w:val="007047B6"/>
    <w:rsid w:val="0070486F"/>
    <w:rsid w:val="0070490F"/>
    <w:rsid w:val="00704978"/>
    <w:rsid w:val="00704A48"/>
    <w:rsid w:val="00704C45"/>
    <w:rsid w:val="00704C7D"/>
    <w:rsid w:val="00704CD6"/>
    <w:rsid w:val="00704D16"/>
    <w:rsid w:val="00704D6F"/>
    <w:rsid w:val="00704DBF"/>
    <w:rsid w:val="00704DCB"/>
    <w:rsid w:val="0070504F"/>
    <w:rsid w:val="007051B6"/>
    <w:rsid w:val="00705254"/>
    <w:rsid w:val="007052DA"/>
    <w:rsid w:val="007052E5"/>
    <w:rsid w:val="0070567D"/>
    <w:rsid w:val="00705699"/>
    <w:rsid w:val="007056F0"/>
    <w:rsid w:val="00705798"/>
    <w:rsid w:val="00705A94"/>
    <w:rsid w:val="00705B1F"/>
    <w:rsid w:val="00705CED"/>
    <w:rsid w:val="00705D3D"/>
    <w:rsid w:val="00705DEB"/>
    <w:rsid w:val="00706073"/>
    <w:rsid w:val="0070608D"/>
    <w:rsid w:val="00706090"/>
    <w:rsid w:val="007060D2"/>
    <w:rsid w:val="00706102"/>
    <w:rsid w:val="007063B7"/>
    <w:rsid w:val="007063FC"/>
    <w:rsid w:val="00706546"/>
    <w:rsid w:val="00706626"/>
    <w:rsid w:val="007068CE"/>
    <w:rsid w:val="00706A61"/>
    <w:rsid w:val="00706BF0"/>
    <w:rsid w:val="00706DC0"/>
    <w:rsid w:val="00706EC8"/>
    <w:rsid w:val="00706F7D"/>
    <w:rsid w:val="00707014"/>
    <w:rsid w:val="00707095"/>
    <w:rsid w:val="0070710F"/>
    <w:rsid w:val="007071A7"/>
    <w:rsid w:val="007072E1"/>
    <w:rsid w:val="0070735A"/>
    <w:rsid w:val="00707362"/>
    <w:rsid w:val="007073CE"/>
    <w:rsid w:val="00707413"/>
    <w:rsid w:val="00707437"/>
    <w:rsid w:val="00707665"/>
    <w:rsid w:val="007076D9"/>
    <w:rsid w:val="007077C6"/>
    <w:rsid w:val="00707889"/>
    <w:rsid w:val="0070794C"/>
    <w:rsid w:val="00707A58"/>
    <w:rsid w:val="00707A68"/>
    <w:rsid w:val="00707B03"/>
    <w:rsid w:val="00707C45"/>
    <w:rsid w:val="00707D8F"/>
    <w:rsid w:val="00707E31"/>
    <w:rsid w:val="00707E85"/>
    <w:rsid w:val="00707F6C"/>
    <w:rsid w:val="00707FB7"/>
    <w:rsid w:val="007100B9"/>
    <w:rsid w:val="00710183"/>
    <w:rsid w:val="007101E6"/>
    <w:rsid w:val="007101FE"/>
    <w:rsid w:val="00710257"/>
    <w:rsid w:val="0071026B"/>
    <w:rsid w:val="007103D3"/>
    <w:rsid w:val="007103F0"/>
    <w:rsid w:val="00710497"/>
    <w:rsid w:val="007104B7"/>
    <w:rsid w:val="00710518"/>
    <w:rsid w:val="00710689"/>
    <w:rsid w:val="007108F5"/>
    <w:rsid w:val="00710973"/>
    <w:rsid w:val="007109D8"/>
    <w:rsid w:val="00710B21"/>
    <w:rsid w:val="00710BD0"/>
    <w:rsid w:val="00710D47"/>
    <w:rsid w:val="00710E13"/>
    <w:rsid w:val="00710FBC"/>
    <w:rsid w:val="007114D0"/>
    <w:rsid w:val="007114E3"/>
    <w:rsid w:val="007115CF"/>
    <w:rsid w:val="0071171C"/>
    <w:rsid w:val="00711835"/>
    <w:rsid w:val="007118BB"/>
    <w:rsid w:val="00711C59"/>
    <w:rsid w:val="00711CD5"/>
    <w:rsid w:val="00711DBE"/>
    <w:rsid w:val="00711DC8"/>
    <w:rsid w:val="00711DE9"/>
    <w:rsid w:val="00711E4B"/>
    <w:rsid w:val="00711EA8"/>
    <w:rsid w:val="007122FC"/>
    <w:rsid w:val="00712840"/>
    <w:rsid w:val="0071286B"/>
    <w:rsid w:val="00712A27"/>
    <w:rsid w:val="00712B7B"/>
    <w:rsid w:val="00712D13"/>
    <w:rsid w:val="00712D5C"/>
    <w:rsid w:val="00712DB9"/>
    <w:rsid w:val="00712EC9"/>
    <w:rsid w:val="00712F44"/>
    <w:rsid w:val="00712F60"/>
    <w:rsid w:val="00713010"/>
    <w:rsid w:val="007130B6"/>
    <w:rsid w:val="007130E0"/>
    <w:rsid w:val="007131E5"/>
    <w:rsid w:val="0071320A"/>
    <w:rsid w:val="007132FD"/>
    <w:rsid w:val="00713569"/>
    <w:rsid w:val="00713615"/>
    <w:rsid w:val="00713634"/>
    <w:rsid w:val="007137A2"/>
    <w:rsid w:val="007137A7"/>
    <w:rsid w:val="007137B9"/>
    <w:rsid w:val="007137D9"/>
    <w:rsid w:val="007138DC"/>
    <w:rsid w:val="007139CA"/>
    <w:rsid w:val="00713A6E"/>
    <w:rsid w:val="00713BA2"/>
    <w:rsid w:val="00713C1F"/>
    <w:rsid w:val="00713CEF"/>
    <w:rsid w:val="00713D13"/>
    <w:rsid w:val="00713D5A"/>
    <w:rsid w:val="0071405A"/>
    <w:rsid w:val="00714345"/>
    <w:rsid w:val="007143B1"/>
    <w:rsid w:val="007143FF"/>
    <w:rsid w:val="0071444A"/>
    <w:rsid w:val="007144BC"/>
    <w:rsid w:val="007147E7"/>
    <w:rsid w:val="007149A7"/>
    <w:rsid w:val="00714A33"/>
    <w:rsid w:val="00714AE3"/>
    <w:rsid w:val="00714CFC"/>
    <w:rsid w:val="00714E09"/>
    <w:rsid w:val="00714EE3"/>
    <w:rsid w:val="00714F49"/>
    <w:rsid w:val="00715183"/>
    <w:rsid w:val="00715229"/>
    <w:rsid w:val="0071529A"/>
    <w:rsid w:val="00715396"/>
    <w:rsid w:val="00715601"/>
    <w:rsid w:val="00715618"/>
    <w:rsid w:val="00715619"/>
    <w:rsid w:val="007156F8"/>
    <w:rsid w:val="00715723"/>
    <w:rsid w:val="00715AB5"/>
    <w:rsid w:val="00715CFB"/>
    <w:rsid w:val="00715D8A"/>
    <w:rsid w:val="00715E93"/>
    <w:rsid w:val="00715F41"/>
    <w:rsid w:val="00715FE5"/>
    <w:rsid w:val="00716141"/>
    <w:rsid w:val="00716176"/>
    <w:rsid w:val="00716499"/>
    <w:rsid w:val="007165D0"/>
    <w:rsid w:val="00716609"/>
    <w:rsid w:val="00716762"/>
    <w:rsid w:val="00716993"/>
    <w:rsid w:val="00716C30"/>
    <w:rsid w:val="00716CDD"/>
    <w:rsid w:val="00716D4F"/>
    <w:rsid w:val="00716E13"/>
    <w:rsid w:val="00717012"/>
    <w:rsid w:val="00717100"/>
    <w:rsid w:val="00717250"/>
    <w:rsid w:val="0071727A"/>
    <w:rsid w:val="007174AF"/>
    <w:rsid w:val="00717984"/>
    <w:rsid w:val="007179E1"/>
    <w:rsid w:val="00717A85"/>
    <w:rsid w:val="00717CBC"/>
    <w:rsid w:val="00717CE9"/>
    <w:rsid w:val="00717D3F"/>
    <w:rsid w:val="00717DA4"/>
    <w:rsid w:val="00717DAC"/>
    <w:rsid w:val="00717DD9"/>
    <w:rsid w:val="00717E5B"/>
    <w:rsid w:val="0072008B"/>
    <w:rsid w:val="00720379"/>
    <w:rsid w:val="00720488"/>
    <w:rsid w:val="007204F7"/>
    <w:rsid w:val="00720882"/>
    <w:rsid w:val="00720907"/>
    <w:rsid w:val="0072090E"/>
    <w:rsid w:val="00720A37"/>
    <w:rsid w:val="00720ADC"/>
    <w:rsid w:val="00720BC2"/>
    <w:rsid w:val="00720BF2"/>
    <w:rsid w:val="00720C2C"/>
    <w:rsid w:val="00720DBC"/>
    <w:rsid w:val="00720E36"/>
    <w:rsid w:val="00720E91"/>
    <w:rsid w:val="007210DC"/>
    <w:rsid w:val="00721554"/>
    <w:rsid w:val="00721572"/>
    <w:rsid w:val="00721587"/>
    <w:rsid w:val="007215B1"/>
    <w:rsid w:val="007215EF"/>
    <w:rsid w:val="00721827"/>
    <w:rsid w:val="00721848"/>
    <w:rsid w:val="00721944"/>
    <w:rsid w:val="00721ADF"/>
    <w:rsid w:val="00721CCD"/>
    <w:rsid w:val="00721DE6"/>
    <w:rsid w:val="00721FBF"/>
    <w:rsid w:val="00722071"/>
    <w:rsid w:val="007222E7"/>
    <w:rsid w:val="00722389"/>
    <w:rsid w:val="0072238C"/>
    <w:rsid w:val="00722410"/>
    <w:rsid w:val="00722444"/>
    <w:rsid w:val="00722469"/>
    <w:rsid w:val="007225ED"/>
    <w:rsid w:val="00722603"/>
    <w:rsid w:val="0072281E"/>
    <w:rsid w:val="007228AA"/>
    <w:rsid w:val="007228CE"/>
    <w:rsid w:val="00722D08"/>
    <w:rsid w:val="00722DD7"/>
    <w:rsid w:val="00722E14"/>
    <w:rsid w:val="00722E1D"/>
    <w:rsid w:val="00723050"/>
    <w:rsid w:val="007230FF"/>
    <w:rsid w:val="00723137"/>
    <w:rsid w:val="00723355"/>
    <w:rsid w:val="0072336A"/>
    <w:rsid w:val="007233B2"/>
    <w:rsid w:val="00723416"/>
    <w:rsid w:val="0072343E"/>
    <w:rsid w:val="00723721"/>
    <w:rsid w:val="00723733"/>
    <w:rsid w:val="00723831"/>
    <w:rsid w:val="007238DC"/>
    <w:rsid w:val="007239AC"/>
    <w:rsid w:val="00723A31"/>
    <w:rsid w:val="00723B17"/>
    <w:rsid w:val="00723CBF"/>
    <w:rsid w:val="00723DB6"/>
    <w:rsid w:val="00723E3F"/>
    <w:rsid w:val="00723EB4"/>
    <w:rsid w:val="0072417C"/>
    <w:rsid w:val="007242ED"/>
    <w:rsid w:val="00724316"/>
    <w:rsid w:val="0072437C"/>
    <w:rsid w:val="00724428"/>
    <w:rsid w:val="00724C6E"/>
    <w:rsid w:val="00724C72"/>
    <w:rsid w:val="00724E00"/>
    <w:rsid w:val="00724F0B"/>
    <w:rsid w:val="00724F2A"/>
    <w:rsid w:val="0072512F"/>
    <w:rsid w:val="00725152"/>
    <w:rsid w:val="007251DE"/>
    <w:rsid w:val="00725558"/>
    <w:rsid w:val="00725593"/>
    <w:rsid w:val="007257BF"/>
    <w:rsid w:val="007257D3"/>
    <w:rsid w:val="00725805"/>
    <w:rsid w:val="007258F3"/>
    <w:rsid w:val="007259D5"/>
    <w:rsid w:val="007259FB"/>
    <w:rsid w:val="00725A02"/>
    <w:rsid w:val="00725B0C"/>
    <w:rsid w:val="00725BDC"/>
    <w:rsid w:val="00725DA1"/>
    <w:rsid w:val="0072614B"/>
    <w:rsid w:val="0072621E"/>
    <w:rsid w:val="007262EB"/>
    <w:rsid w:val="007263A2"/>
    <w:rsid w:val="00726908"/>
    <w:rsid w:val="007269AB"/>
    <w:rsid w:val="00726A40"/>
    <w:rsid w:val="00726AEC"/>
    <w:rsid w:val="00726B52"/>
    <w:rsid w:val="00726B75"/>
    <w:rsid w:val="00726CF8"/>
    <w:rsid w:val="00726D06"/>
    <w:rsid w:val="00726E01"/>
    <w:rsid w:val="00726F82"/>
    <w:rsid w:val="00726F9D"/>
    <w:rsid w:val="00726FE9"/>
    <w:rsid w:val="0072701B"/>
    <w:rsid w:val="007270FA"/>
    <w:rsid w:val="00727460"/>
    <w:rsid w:val="007274E7"/>
    <w:rsid w:val="007275F4"/>
    <w:rsid w:val="00727692"/>
    <w:rsid w:val="007278DD"/>
    <w:rsid w:val="00727A34"/>
    <w:rsid w:val="00727AD1"/>
    <w:rsid w:val="00727BC3"/>
    <w:rsid w:val="00727BCE"/>
    <w:rsid w:val="00727C84"/>
    <w:rsid w:val="00727CA5"/>
    <w:rsid w:val="00727D2A"/>
    <w:rsid w:val="00727E21"/>
    <w:rsid w:val="00727E97"/>
    <w:rsid w:val="00727ECB"/>
    <w:rsid w:val="00727F8E"/>
    <w:rsid w:val="00727FB5"/>
    <w:rsid w:val="00730279"/>
    <w:rsid w:val="00730386"/>
    <w:rsid w:val="00730536"/>
    <w:rsid w:val="0073068E"/>
    <w:rsid w:val="0073073E"/>
    <w:rsid w:val="00730875"/>
    <w:rsid w:val="007308C2"/>
    <w:rsid w:val="00730A37"/>
    <w:rsid w:val="00730D35"/>
    <w:rsid w:val="00730E67"/>
    <w:rsid w:val="00730EF9"/>
    <w:rsid w:val="00731005"/>
    <w:rsid w:val="00731054"/>
    <w:rsid w:val="007311B5"/>
    <w:rsid w:val="0073124B"/>
    <w:rsid w:val="00731317"/>
    <w:rsid w:val="00731325"/>
    <w:rsid w:val="00731343"/>
    <w:rsid w:val="007315EB"/>
    <w:rsid w:val="00731659"/>
    <w:rsid w:val="00731681"/>
    <w:rsid w:val="007316D5"/>
    <w:rsid w:val="00731739"/>
    <w:rsid w:val="0073178A"/>
    <w:rsid w:val="0073178E"/>
    <w:rsid w:val="00731832"/>
    <w:rsid w:val="00731856"/>
    <w:rsid w:val="00731954"/>
    <w:rsid w:val="00731B7B"/>
    <w:rsid w:val="00731BD0"/>
    <w:rsid w:val="00731C82"/>
    <w:rsid w:val="00731CB0"/>
    <w:rsid w:val="00731CDE"/>
    <w:rsid w:val="00731D71"/>
    <w:rsid w:val="00731FCE"/>
    <w:rsid w:val="00732168"/>
    <w:rsid w:val="007323C2"/>
    <w:rsid w:val="007323EB"/>
    <w:rsid w:val="0073245A"/>
    <w:rsid w:val="007324B9"/>
    <w:rsid w:val="007326A6"/>
    <w:rsid w:val="0073280D"/>
    <w:rsid w:val="0073291F"/>
    <w:rsid w:val="0073298C"/>
    <w:rsid w:val="00732A8E"/>
    <w:rsid w:val="00732AF2"/>
    <w:rsid w:val="00732C3D"/>
    <w:rsid w:val="00732EAA"/>
    <w:rsid w:val="00732F9D"/>
    <w:rsid w:val="00732FAA"/>
    <w:rsid w:val="00733007"/>
    <w:rsid w:val="007331CC"/>
    <w:rsid w:val="00733203"/>
    <w:rsid w:val="0073329C"/>
    <w:rsid w:val="007332F8"/>
    <w:rsid w:val="00733394"/>
    <w:rsid w:val="00733619"/>
    <w:rsid w:val="00733620"/>
    <w:rsid w:val="007336FA"/>
    <w:rsid w:val="00733802"/>
    <w:rsid w:val="0073382B"/>
    <w:rsid w:val="0073399E"/>
    <w:rsid w:val="007339BC"/>
    <w:rsid w:val="00733A15"/>
    <w:rsid w:val="00733B9A"/>
    <w:rsid w:val="00733BDE"/>
    <w:rsid w:val="00733BF7"/>
    <w:rsid w:val="00733CBC"/>
    <w:rsid w:val="00733CFF"/>
    <w:rsid w:val="00733EEB"/>
    <w:rsid w:val="00733F00"/>
    <w:rsid w:val="00733F90"/>
    <w:rsid w:val="007340F8"/>
    <w:rsid w:val="0073418F"/>
    <w:rsid w:val="007341F4"/>
    <w:rsid w:val="00734298"/>
    <w:rsid w:val="0073434A"/>
    <w:rsid w:val="00734352"/>
    <w:rsid w:val="0073449A"/>
    <w:rsid w:val="007344AA"/>
    <w:rsid w:val="00734555"/>
    <w:rsid w:val="007345A6"/>
    <w:rsid w:val="007345E4"/>
    <w:rsid w:val="0073473E"/>
    <w:rsid w:val="007348D4"/>
    <w:rsid w:val="00734AE9"/>
    <w:rsid w:val="00734C08"/>
    <w:rsid w:val="00734D18"/>
    <w:rsid w:val="00734E89"/>
    <w:rsid w:val="00734EA8"/>
    <w:rsid w:val="00734FA8"/>
    <w:rsid w:val="0073512C"/>
    <w:rsid w:val="00735155"/>
    <w:rsid w:val="00735273"/>
    <w:rsid w:val="007352D0"/>
    <w:rsid w:val="007352DB"/>
    <w:rsid w:val="007352DE"/>
    <w:rsid w:val="00735358"/>
    <w:rsid w:val="0073541F"/>
    <w:rsid w:val="0073559A"/>
    <w:rsid w:val="0073570A"/>
    <w:rsid w:val="007357FE"/>
    <w:rsid w:val="00735AF6"/>
    <w:rsid w:val="00735B2D"/>
    <w:rsid w:val="00735E13"/>
    <w:rsid w:val="00735F14"/>
    <w:rsid w:val="00735F40"/>
    <w:rsid w:val="00735F6E"/>
    <w:rsid w:val="00735FB7"/>
    <w:rsid w:val="00736018"/>
    <w:rsid w:val="007360BC"/>
    <w:rsid w:val="0073610B"/>
    <w:rsid w:val="0073617F"/>
    <w:rsid w:val="0073622D"/>
    <w:rsid w:val="007362C4"/>
    <w:rsid w:val="00736447"/>
    <w:rsid w:val="0073647D"/>
    <w:rsid w:val="0073649F"/>
    <w:rsid w:val="00736517"/>
    <w:rsid w:val="007365D6"/>
    <w:rsid w:val="00736750"/>
    <w:rsid w:val="00736816"/>
    <w:rsid w:val="00736C18"/>
    <w:rsid w:val="00736DBE"/>
    <w:rsid w:val="00736E46"/>
    <w:rsid w:val="00736EF7"/>
    <w:rsid w:val="007371FB"/>
    <w:rsid w:val="00737280"/>
    <w:rsid w:val="0073734C"/>
    <w:rsid w:val="007373FF"/>
    <w:rsid w:val="0073759A"/>
    <w:rsid w:val="0073763E"/>
    <w:rsid w:val="007377EA"/>
    <w:rsid w:val="00737971"/>
    <w:rsid w:val="0073799D"/>
    <w:rsid w:val="007379CF"/>
    <w:rsid w:val="00737AC2"/>
    <w:rsid w:val="00737B32"/>
    <w:rsid w:val="00737B3F"/>
    <w:rsid w:val="00737B4A"/>
    <w:rsid w:val="00737C51"/>
    <w:rsid w:val="00737C5D"/>
    <w:rsid w:val="00737CA7"/>
    <w:rsid w:val="00737CE7"/>
    <w:rsid w:val="00737D07"/>
    <w:rsid w:val="00737D9D"/>
    <w:rsid w:val="0074048B"/>
    <w:rsid w:val="0074060E"/>
    <w:rsid w:val="0074063C"/>
    <w:rsid w:val="00740684"/>
    <w:rsid w:val="00740845"/>
    <w:rsid w:val="0074085B"/>
    <w:rsid w:val="007408B2"/>
    <w:rsid w:val="00740C78"/>
    <w:rsid w:val="00740DE0"/>
    <w:rsid w:val="00740DF7"/>
    <w:rsid w:val="00740E40"/>
    <w:rsid w:val="00740E57"/>
    <w:rsid w:val="00740EDB"/>
    <w:rsid w:val="00740EE5"/>
    <w:rsid w:val="00740EF1"/>
    <w:rsid w:val="00741128"/>
    <w:rsid w:val="007412F7"/>
    <w:rsid w:val="00741386"/>
    <w:rsid w:val="007415DE"/>
    <w:rsid w:val="0074162B"/>
    <w:rsid w:val="00741687"/>
    <w:rsid w:val="007417A3"/>
    <w:rsid w:val="00741A30"/>
    <w:rsid w:val="00741B72"/>
    <w:rsid w:val="00741C3F"/>
    <w:rsid w:val="00741C84"/>
    <w:rsid w:val="00741C8C"/>
    <w:rsid w:val="00741DAD"/>
    <w:rsid w:val="00741E48"/>
    <w:rsid w:val="007421ED"/>
    <w:rsid w:val="00742275"/>
    <w:rsid w:val="0074259F"/>
    <w:rsid w:val="007425CC"/>
    <w:rsid w:val="007426AC"/>
    <w:rsid w:val="00742972"/>
    <w:rsid w:val="00742D36"/>
    <w:rsid w:val="00742D40"/>
    <w:rsid w:val="00742D9B"/>
    <w:rsid w:val="00743167"/>
    <w:rsid w:val="0074336B"/>
    <w:rsid w:val="00743387"/>
    <w:rsid w:val="007433D6"/>
    <w:rsid w:val="00743406"/>
    <w:rsid w:val="007434FB"/>
    <w:rsid w:val="00743672"/>
    <w:rsid w:val="007436F6"/>
    <w:rsid w:val="007437DE"/>
    <w:rsid w:val="0074398F"/>
    <w:rsid w:val="007439EF"/>
    <w:rsid w:val="00743AD8"/>
    <w:rsid w:val="00743CE3"/>
    <w:rsid w:val="0074400D"/>
    <w:rsid w:val="007442B5"/>
    <w:rsid w:val="007442DF"/>
    <w:rsid w:val="00744554"/>
    <w:rsid w:val="007445B4"/>
    <w:rsid w:val="007447D2"/>
    <w:rsid w:val="00744894"/>
    <w:rsid w:val="00744A08"/>
    <w:rsid w:val="00744B9E"/>
    <w:rsid w:val="00744BB9"/>
    <w:rsid w:val="00744CDB"/>
    <w:rsid w:val="00744CF2"/>
    <w:rsid w:val="00744F03"/>
    <w:rsid w:val="00744F24"/>
    <w:rsid w:val="007450B7"/>
    <w:rsid w:val="0074518A"/>
    <w:rsid w:val="007451C7"/>
    <w:rsid w:val="007451E3"/>
    <w:rsid w:val="00745368"/>
    <w:rsid w:val="00745394"/>
    <w:rsid w:val="007454A9"/>
    <w:rsid w:val="0074553E"/>
    <w:rsid w:val="0074570F"/>
    <w:rsid w:val="00745847"/>
    <w:rsid w:val="0074584F"/>
    <w:rsid w:val="007458CD"/>
    <w:rsid w:val="007458D8"/>
    <w:rsid w:val="007458F2"/>
    <w:rsid w:val="0074592F"/>
    <w:rsid w:val="00745943"/>
    <w:rsid w:val="00745A87"/>
    <w:rsid w:val="00745A8D"/>
    <w:rsid w:val="00745AC9"/>
    <w:rsid w:val="00745D2D"/>
    <w:rsid w:val="00745E16"/>
    <w:rsid w:val="00745E92"/>
    <w:rsid w:val="00745F2E"/>
    <w:rsid w:val="007460AA"/>
    <w:rsid w:val="007461EE"/>
    <w:rsid w:val="007464CF"/>
    <w:rsid w:val="007465DD"/>
    <w:rsid w:val="00746733"/>
    <w:rsid w:val="0074676E"/>
    <w:rsid w:val="00746A81"/>
    <w:rsid w:val="00746B3D"/>
    <w:rsid w:val="00746C57"/>
    <w:rsid w:val="00746C78"/>
    <w:rsid w:val="00746D68"/>
    <w:rsid w:val="00746E37"/>
    <w:rsid w:val="0074700B"/>
    <w:rsid w:val="00747279"/>
    <w:rsid w:val="007472A0"/>
    <w:rsid w:val="0074733A"/>
    <w:rsid w:val="00747578"/>
    <w:rsid w:val="00747596"/>
    <w:rsid w:val="0074772D"/>
    <w:rsid w:val="007477C5"/>
    <w:rsid w:val="00747880"/>
    <w:rsid w:val="00747A1F"/>
    <w:rsid w:val="00747A65"/>
    <w:rsid w:val="00747B04"/>
    <w:rsid w:val="00747BA5"/>
    <w:rsid w:val="00747C44"/>
    <w:rsid w:val="00747C5C"/>
    <w:rsid w:val="00747D94"/>
    <w:rsid w:val="00747E4E"/>
    <w:rsid w:val="00747EA4"/>
    <w:rsid w:val="00747F1A"/>
    <w:rsid w:val="00747F6E"/>
    <w:rsid w:val="007500AB"/>
    <w:rsid w:val="007502CF"/>
    <w:rsid w:val="007504F8"/>
    <w:rsid w:val="0075055D"/>
    <w:rsid w:val="0075072C"/>
    <w:rsid w:val="00750832"/>
    <w:rsid w:val="007508F5"/>
    <w:rsid w:val="00750986"/>
    <w:rsid w:val="00750A18"/>
    <w:rsid w:val="00750A27"/>
    <w:rsid w:val="00750CF7"/>
    <w:rsid w:val="00750D94"/>
    <w:rsid w:val="007510D6"/>
    <w:rsid w:val="00751116"/>
    <w:rsid w:val="0075128E"/>
    <w:rsid w:val="007512FD"/>
    <w:rsid w:val="00751313"/>
    <w:rsid w:val="00751347"/>
    <w:rsid w:val="00751582"/>
    <w:rsid w:val="007515A0"/>
    <w:rsid w:val="00751736"/>
    <w:rsid w:val="007517C4"/>
    <w:rsid w:val="0075183E"/>
    <w:rsid w:val="007518C8"/>
    <w:rsid w:val="007518FA"/>
    <w:rsid w:val="00751929"/>
    <w:rsid w:val="00751A40"/>
    <w:rsid w:val="00751EDB"/>
    <w:rsid w:val="00751EF8"/>
    <w:rsid w:val="00752100"/>
    <w:rsid w:val="0075224B"/>
    <w:rsid w:val="0075235A"/>
    <w:rsid w:val="0075239B"/>
    <w:rsid w:val="00752469"/>
    <w:rsid w:val="0075252A"/>
    <w:rsid w:val="007525DA"/>
    <w:rsid w:val="00752703"/>
    <w:rsid w:val="00752778"/>
    <w:rsid w:val="007527BE"/>
    <w:rsid w:val="007529A1"/>
    <w:rsid w:val="00752B5B"/>
    <w:rsid w:val="00753035"/>
    <w:rsid w:val="00753041"/>
    <w:rsid w:val="00753079"/>
    <w:rsid w:val="00753086"/>
    <w:rsid w:val="007530E3"/>
    <w:rsid w:val="007530FF"/>
    <w:rsid w:val="00753154"/>
    <w:rsid w:val="00753196"/>
    <w:rsid w:val="00753358"/>
    <w:rsid w:val="0075368C"/>
    <w:rsid w:val="007536CD"/>
    <w:rsid w:val="0075370A"/>
    <w:rsid w:val="0075378E"/>
    <w:rsid w:val="0075379C"/>
    <w:rsid w:val="00753905"/>
    <w:rsid w:val="0075397D"/>
    <w:rsid w:val="007539D6"/>
    <w:rsid w:val="00753A43"/>
    <w:rsid w:val="00753A45"/>
    <w:rsid w:val="00753A66"/>
    <w:rsid w:val="00753CA5"/>
    <w:rsid w:val="00754003"/>
    <w:rsid w:val="00754238"/>
    <w:rsid w:val="00754283"/>
    <w:rsid w:val="007544B8"/>
    <w:rsid w:val="00754605"/>
    <w:rsid w:val="0075476C"/>
    <w:rsid w:val="007547A8"/>
    <w:rsid w:val="00754A3F"/>
    <w:rsid w:val="00754B3F"/>
    <w:rsid w:val="00754C4E"/>
    <w:rsid w:val="00754CA5"/>
    <w:rsid w:val="00754D1D"/>
    <w:rsid w:val="00754E96"/>
    <w:rsid w:val="00754F64"/>
    <w:rsid w:val="007551C3"/>
    <w:rsid w:val="00755457"/>
    <w:rsid w:val="0075597B"/>
    <w:rsid w:val="00755A7C"/>
    <w:rsid w:val="00755C04"/>
    <w:rsid w:val="00755C3C"/>
    <w:rsid w:val="00755C53"/>
    <w:rsid w:val="007561B8"/>
    <w:rsid w:val="007562DA"/>
    <w:rsid w:val="007563BA"/>
    <w:rsid w:val="00756678"/>
    <w:rsid w:val="0075672F"/>
    <w:rsid w:val="00756849"/>
    <w:rsid w:val="007568FC"/>
    <w:rsid w:val="00756938"/>
    <w:rsid w:val="00756942"/>
    <w:rsid w:val="00756A41"/>
    <w:rsid w:val="00756C55"/>
    <w:rsid w:val="00756C86"/>
    <w:rsid w:val="00756DEC"/>
    <w:rsid w:val="00756DEE"/>
    <w:rsid w:val="00756F08"/>
    <w:rsid w:val="00756F45"/>
    <w:rsid w:val="00756FF3"/>
    <w:rsid w:val="00757149"/>
    <w:rsid w:val="007571D4"/>
    <w:rsid w:val="00757255"/>
    <w:rsid w:val="0075755F"/>
    <w:rsid w:val="00757690"/>
    <w:rsid w:val="00757816"/>
    <w:rsid w:val="007578F1"/>
    <w:rsid w:val="007578F3"/>
    <w:rsid w:val="0075792B"/>
    <w:rsid w:val="00757A0A"/>
    <w:rsid w:val="00757AC4"/>
    <w:rsid w:val="00757AE4"/>
    <w:rsid w:val="00757B4D"/>
    <w:rsid w:val="00757B7C"/>
    <w:rsid w:val="00757BE8"/>
    <w:rsid w:val="00757C8D"/>
    <w:rsid w:val="00757E45"/>
    <w:rsid w:val="00757FA6"/>
    <w:rsid w:val="00757FE2"/>
    <w:rsid w:val="00760126"/>
    <w:rsid w:val="00760151"/>
    <w:rsid w:val="007601C6"/>
    <w:rsid w:val="0076029C"/>
    <w:rsid w:val="007604C8"/>
    <w:rsid w:val="00760570"/>
    <w:rsid w:val="007605DF"/>
    <w:rsid w:val="007605F4"/>
    <w:rsid w:val="0076076A"/>
    <w:rsid w:val="00760829"/>
    <w:rsid w:val="00760955"/>
    <w:rsid w:val="00760AA3"/>
    <w:rsid w:val="00760B3D"/>
    <w:rsid w:val="00760B66"/>
    <w:rsid w:val="00760D56"/>
    <w:rsid w:val="00760E23"/>
    <w:rsid w:val="00760E65"/>
    <w:rsid w:val="00760FF0"/>
    <w:rsid w:val="00761129"/>
    <w:rsid w:val="00761206"/>
    <w:rsid w:val="00761378"/>
    <w:rsid w:val="00761483"/>
    <w:rsid w:val="00761495"/>
    <w:rsid w:val="00761506"/>
    <w:rsid w:val="007615E9"/>
    <w:rsid w:val="007616A3"/>
    <w:rsid w:val="0076175D"/>
    <w:rsid w:val="0076178D"/>
    <w:rsid w:val="007618B1"/>
    <w:rsid w:val="00761AC8"/>
    <w:rsid w:val="00761D82"/>
    <w:rsid w:val="00761DB3"/>
    <w:rsid w:val="00761EC0"/>
    <w:rsid w:val="00761FE4"/>
    <w:rsid w:val="00761FEE"/>
    <w:rsid w:val="007620A7"/>
    <w:rsid w:val="00762137"/>
    <w:rsid w:val="0076222D"/>
    <w:rsid w:val="0076231C"/>
    <w:rsid w:val="00762474"/>
    <w:rsid w:val="00762516"/>
    <w:rsid w:val="007625BB"/>
    <w:rsid w:val="007625DB"/>
    <w:rsid w:val="007626B9"/>
    <w:rsid w:val="007626DB"/>
    <w:rsid w:val="00762767"/>
    <w:rsid w:val="00762902"/>
    <w:rsid w:val="0076290B"/>
    <w:rsid w:val="00762BA9"/>
    <w:rsid w:val="00762CFE"/>
    <w:rsid w:val="00762D56"/>
    <w:rsid w:val="00762F01"/>
    <w:rsid w:val="00762F58"/>
    <w:rsid w:val="007630A4"/>
    <w:rsid w:val="007631CE"/>
    <w:rsid w:val="007631FF"/>
    <w:rsid w:val="007632C6"/>
    <w:rsid w:val="007633F4"/>
    <w:rsid w:val="007634A1"/>
    <w:rsid w:val="007634A8"/>
    <w:rsid w:val="007634EE"/>
    <w:rsid w:val="00763527"/>
    <w:rsid w:val="0076362F"/>
    <w:rsid w:val="007637B8"/>
    <w:rsid w:val="0076387B"/>
    <w:rsid w:val="007638EE"/>
    <w:rsid w:val="00763923"/>
    <w:rsid w:val="0076392B"/>
    <w:rsid w:val="00763951"/>
    <w:rsid w:val="007639EE"/>
    <w:rsid w:val="00763A83"/>
    <w:rsid w:val="00763AA7"/>
    <w:rsid w:val="00763AC4"/>
    <w:rsid w:val="00763B9B"/>
    <w:rsid w:val="00763C11"/>
    <w:rsid w:val="00763C22"/>
    <w:rsid w:val="00763CFC"/>
    <w:rsid w:val="00763D2F"/>
    <w:rsid w:val="00763DAE"/>
    <w:rsid w:val="00764084"/>
    <w:rsid w:val="007640C1"/>
    <w:rsid w:val="007640D0"/>
    <w:rsid w:val="00764121"/>
    <w:rsid w:val="0076416E"/>
    <w:rsid w:val="0076417A"/>
    <w:rsid w:val="007641A6"/>
    <w:rsid w:val="00764336"/>
    <w:rsid w:val="00764369"/>
    <w:rsid w:val="0076438E"/>
    <w:rsid w:val="007643DA"/>
    <w:rsid w:val="007643F3"/>
    <w:rsid w:val="00764877"/>
    <w:rsid w:val="007648E0"/>
    <w:rsid w:val="00764999"/>
    <w:rsid w:val="00764F09"/>
    <w:rsid w:val="0076512F"/>
    <w:rsid w:val="00765227"/>
    <w:rsid w:val="00765292"/>
    <w:rsid w:val="00765364"/>
    <w:rsid w:val="007653C7"/>
    <w:rsid w:val="007654CA"/>
    <w:rsid w:val="00765581"/>
    <w:rsid w:val="007655F6"/>
    <w:rsid w:val="00765747"/>
    <w:rsid w:val="00765893"/>
    <w:rsid w:val="007658E1"/>
    <w:rsid w:val="00765905"/>
    <w:rsid w:val="007659A5"/>
    <w:rsid w:val="00765A1A"/>
    <w:rsid w:val="00765ACC"/>
    <w:rsid w:val="00765B80"/>
    <w:rsid w:val="00765D54"/>
    <w:rsid w:val="00765E5F"/>
    <w:rsid w:val="00765EB4"/>
    <w:rsid w:val="00765F0E"/>
    <w:rsid w:val="00766103"/>
    <w:rsid w:val="00766120"/>
    <w:rsid w:val="0076612E"/>
    <w:rsid w:val="007661CF"/>
    <w:rsid w:val="007663B9"/>
    <w:rsid w:val="00766410"/>
    <w:rsid w:val="007664B5"/>
    <w:rsid w:val="007664DE"/>
    <w:rsid w:val="00766511"/>
    <w:rsid w:val="0076651A"/>
    <w:rsid w:val="00766557"/>
    <w:rsid w:val="0076669E"/>
    <w:rsid w:val="007666A8"/>
    <w:rsid w:val="007666C8"/>
    <w:rsid w:val="007666FF"/>
    <w:rsid w:val="0076685A"/>
    <w:rsid w:val="007669CC"/>
    <w:rsid w:val="007669E2"/>
    <w:rsid w:val="00766AF5"/>
    <w:rsid w:val="00766B70"/>
    <w:rsid w:val="00766B8B"/>
    <w:rsid w:val="00766B9E"/>
    <w:rsid w:val="00766CC4"/>
    <w:rsid w:val="00766CD7"/>
    <w:rsid w:val="00766D9B"/>
    <w:rsid w:val="00766DCC"/>
    <w:rsid w:val="00767118"/>
    <w:rsid w:val="007672EF"/>
    <w:rsid w:val="0076744A"/>
    <w:rsid w:val="00767540"/>
    <w:rsid w:val="0076757E"/>
    <w:rsid w:val="007675D6"/>
    <w:rsid w:val="00767674"/>
    <w:rsid w:val="00767855"/>
    <w:rsid w:val="0076791E"/>
    <w:rsid w:val="00767C4C"/>
    <w:rsid w:val="00767CE7"/>
    <w:rsid w:val="00767E35"/>
    <w:rsid w:val="00767EA1"/>
    <w:rsid w:val="00767EBE"/>
    <w:rsid w:val="0077009C"/>
    <w:rsid w:val="0077011B"/>
    <w:rsid w:val="00770173"/>
    <w:rsid w:val="007701AC"/>
    <w:rsid w:val="007702EA"/>
    <w:rsid w:val="007703CB"/>
    <w:rsid w:val="007704FA"/>
    <w:rsid w:val="00770719"/>
    <w:rsid w:val="007707D0"/>
    <w:rsid w:val="0077085D"/>
    <w:rsid w:val="00770885"/>
    <w:rsid w:val="0077098C"/>
    <w:rsid w:val="00770A69"/>
    <w:rsid w:val="00770C06"/>
    <w:rsid w:val="00770C84"/>
    <w:rsid w:val="00770DF3"/>
    <w:rsid w:val="00770F7E"/>
    <w:rsid w:val="007711ED"/>
    <w:rsid w:val="00771267"/>
    <w:rsid w:val="007714E0"/>
    <w:rsid w:val="00771520"/>
    <w:rsid w:val="0077174E"/>
    <w:rsid w:val="00771778"/>
    <w:rsid w:val="0077183A"/>
    <w:rsid w:val="007719DC"/>
    <w:rsid w:val="00771AD8"/>
    <w:rsid w:val="00771AEB"/>
    <w:rsid w:val="00771B44"/>
    <w:rsid w:val="00771BF1"/>
    <w:rsid w:val="00771CAB"/>
    <w:rsid w:val="00771E23"/>
    <w:rsid w:val="00771EF1"/>
    <w:rsid w:val="00772050"/>
    <w:rsid w:val="00772163"/>
    <w:rsid w:val="00772379"/>
    <w:rsid w:val="007724EA"/>
    <w:rsid w:val="0077254F"/>
    <w:rsid w:val="007725DA"/>
    <w:rsid w:val="007726DE"/>
    <w:rsid w:val="0077276A"/>
    <w:rsid w:val="0077280F"/>
    <w:rsid w:val="0077292D"/>
    <w:rsid w:val="00772AF8"/>
    <w:rsid w:val="00772D3F"/>
    <w:rsid w:val="00772DAD"/>
    <w:rsid w:val="00772DEA"/>
    <w:rsid w:val="00772F77"/>
    <w:rsid w:val="00772F94"/>
    <w:rsid w:val="00773029"/>
    <w:rsid w:val="007731A8"/>
    <w:rsid w:val="007732AD"/>
    <w:rsid w:val="007732C7"/>
    <w:rsid w:val="0077345E"/>
    <w:rsid w:val="0077350A"/>
    <w:rsid w:val="00773625"/>
    <w:rsid w:val="007738EA"/>
    <w:rsid w:val="007739DC"/>
    <w:rsid w:val="00773AA3"/>
    <w:rsid w:val="00773AB0"/>
    <w:rsid w:val="00773AF7"/>
    <w:rsid w:val="00773B7B"/>
    <w:rsid w:val="00773BCA"/>
    <w:rsid w:val="00773BF1"/>
    <w:rsid w:val="00773C53"/>
    <w:rsid w:val="00773D3B"/>
    <w:rsid w:val="00773D72"/>
    <w:rsid w:val="00773DB2"/>
    <w:rsid w:val="00773E5E"/>
    <w:rsid w:val="0077403A"/>
    <w:rsid w:val="00774154"/>
    <w:rsid w:val="00774262"/>
    <w:rsid w:val="007743A9"/>
    <w:rsid w:val="007744B0"/>
    <w:rsid w:val="007744CB"/>
    <w:rsid w:val="0077467C"/>
    <w:rsid w:val="00774681"/>
    <w:rsid w:val="00774682"/>
    <w:rsid w:val="007746B1"/>
    <w:rsid w:val="0077473F"/>
    <w:rsid w:val="007749CF"/>
    <w:rsid w:val="00774AC0"/>
    <w:rsid w:val="00774D74"/>
    <w:rsid w:val="00774F49"/>
    <w:rsid w:val="00774F6A"/>
    <w:rsid w:val="0077502C"/>
    <w:rsid w:val="00775327"/>
    <w:rsid w:val="0077553F"/>
    <w:rsid w:val="00775634"/>
    <w:rsid w:val="00775702"/>
    <w:rsid w:val="00775799"/>
    <w:rsid w:val="007757AD"/>
    <w:rsid w:val="007758A4"/>
    <w:rsid w:val="00775992"/>
    <w:rsid w:val="00775B98"/>
    <w:rsid w:val="00775C0A"/>
    <w:rsid w:val="00775C37"/>
    <w:rsid w:val="00775C3C"/>
    <w:rsid w:val="00775CA3"/>
    <w:rsid w:val="00775CB4"/>
    <w:rsid w:val="00775D3F"/>
    <w:rsid w:val="00775D76"/>
    <w:rsid w:val="00775DBC"/>
    <w:rsid w:val="00775DF6"/>
    <w:rsid w:val="00775DFA"/>
    <w:rsid w:val="00775E67"/>
    <w:rsid w:val="00775FB3"/>
    <w:rsid w:val="00776266"/>
    <w:rsid w:val="007764A6"/>
    <w:rsid w:val="00776558"/>
    <w:rsid w:val="0077657F"/>
    <w:rsid w:val="00776650"/>
    <w:rsid w:val="00776678"/>
    <w:rsid w:val="00776696"/>
    <w:rsid w:val="0077669E"/>
    <w:rsid w:val="007766CE"/>
    <w:rsid w:val="00776790"/>
    <w:rsid w:val="0077690F"/>
    <w:rsid w:val="00776949"/>
    <w:rsid w:val="00776A00"/>
    <w:rsid w:val="00776B53"/>
    <w:rsid w:val="00776B6B"/>
    <w:rsid w:val="00776BE1"/>
    <w:rsid w:val="00776C17"/>
    <w:rsid w:val="00776C78"/>
    <w:rsid w:val="00776C92"/>
    <w:rsid w:val="00776E8C"/>
    <w:rsid w:val="00776E95"/>
    <w:rsid w:val="00776F53"/>
    <w:rsid w:val="0077713C"/>
    <w:rsid w:val="0077721E"/>
    <w:rsid w:val="007772A9"/>
    <w:rsid w:val="007772D0"/>
    <w:rsid w:val="0077733A"/>
    <w:rsid w:val="0077735A"/>
    <w:rsid w:val="007773E6"/>
    <w:rsid w:val="00777527"/>
    <w:rsid w:val="007775AC"/>
    <w:rsid w:val="0077761E"/>
    <w:rsid w:val="007776D5"/>
    <w:rsid w:val="00777864"/>
    <w:rsid w:val="0077791A"/>
    <w:rsid w:val="00777966"/>
    <w:rsid w:val="007779C4"/>
    <w:rsid w:val="007779FD"/>
    <w:rsid w:val="00777A21"/>
    <w:rsid w:val="00777A2D"/>
    <w:rsid w:val="00777A55"/>
    <w:rsid w:val="00777C60"/>
    <w:rsid w:val="00777E79"/>
    <w:rsid w:val="00777EB3"/>
    <w:rsid w:val="00777F7B"/>
    <w:rsid w:val="00780045"/>
    <w:rsid w:val="0078011C"/>
    <w:rsid w:val="007805FC"/>
    <w:rsid w:val="00780627"/>
    <w:rsid w:val="007806DA"/>
    <w:rsid w:val="0078073D"/>
    <w:rsid w:val="007807FC"/>
    <w:rsid w:val="00780944"/>
    <w:rsid w:val="00780A46"/>
    <w:rsid w:val="00780B35"/>
    <w:rsid w:val="00780BAD"/>
    <w:rsid w:val="00780C0B"/>
    <w:rsid w:val="00780C6B"/>
    <w:rsid w:val="00780D03"/>
    <w:rsid w:val="00780E2E"/>
    <w:rsid w:val="00780EEA"/>
    <w:rsid w:val="00780F20"/>
    <w:rsid w:val="0078100D"/>
    <w:rsid w:val="00781061"/>
    <w:rsid w:val="0078129C"/>
    <w:rsid w:val="007812E0"/>
    <w:rsid w:val="007815BA"/>
    <w:rsid w:val="007815E8"/>
    <w:rsid w:val="007817F8"/>
    <w:rsid w:val="00781AAF"/>
    <w:rsid w:val="00781BD3"/>
    <w:rsid w:val="00781E37"/>
    <w:rsid w:val="00781EE5"/>
    <w:rsid w:val="0078208E"/>
    <w:rsid w:val="0078210F"/>
    <w:rsid w:val="0078257A"/>
    <w:rsid w:val="0078258D"/>
    <w:rsid w:val="0078263C"/>
    <w:rsid w:val="007826C7"/>
    <w:rsid w:val="007826FC"/>
    <w:rsid w:val="00782785"/>
    <w:rsid w:val="007828D8"/>
    <w:rsid w:val="007828F4"/>
    <w:rsid w:val="00782A60"/>
    <w:rsid w:val="00782B47"/>
    <w:rsid w:val="00782E60"/>
    <w:rsid w:val="00782EF6"/>
    <w:rsid w:val="00783232"/>
    <w:rsid w:val="007832BF"/>
    <w:rsid w:val="0078330E"/>
    <w:rsid w:val="00783398"/>
    <w:rsid w:val="007833A5"/>
    <w:rsid w:val="007833C2"/>
    <w:rsid w:val="00783514"/>
    <w:rsid w:val="00783693"/>
    <w:rsid w:val="007839E8"/>
    <w:rsid w:val="00783B12"/>
    <w:rsid w:val="00783BB4"/>
    <w:rsid w:val="00783C4E"/>
    <w:rsid w:val="00783CC1"/>
    <w:rsid w:val="00783E79"/>
    <w:rsid w:val="00783E94"/>
    <w:rsid w:val="00783E9E"/>
    <w:rsid w:val="00783E9F"/>
    <w:rsid w:val="00783F85"/>
    <w:rsid w:val="00783F8E"/>
    <w:rsid w:val="007840AB"/>
    <w:rsid w:val="007840C2"/>
    <w:rsid w:val="007840FF"/>
    <w:rsid w:val="00784368"/>
    <w:rsid w:val="0078438E"/>
    <w:rsid w:val="00784394"/>
    <w:rsid w:val="00784531"/>
    <w:rsid w:val="007845B8"/>
    <w:rsid w:val="00784630"/>
    <w:rsid w:val="0078465B"/>
    <w:rsid w:val="00784735"/>
    <w:rsid w:val="00784745"/>
    <w:rsid w:val="00784948"/>
    <w:rsid w:val="00784AC3"/>
    <w:rsid w:val="00784C3C"/>
    <w:rsid w:val="00784D44"/>
    <w:rsid w:val="00784D67"/>
    <w:rsid w:val="00784D96"/>
    <w:rsid w:val="00784E9F"/>
    <w:rsid w:val="00784EA1"/>
    <w:rsid w:val="00784EA2"/>
    <w:rsid w:val="00784F66"/>
    <w:rsid w:val="00784F76"/>
    <w:rsid w:val="00784F96"/>
    <w:rsid w:val="00785090"/>
    <w:rsid w:val="0078509F"/>
    <w:rsid w:val="00785184"/>
    <w:rsid w:val="00785205"/>
    <w:rsid w:val="0078525B"/>
    <w:rsid w:val="007852EA"/>
    <w:rsid w:val="007856D2"/>
    <w:rsid w:val="007856E5"/>
    <w:rsid w:val="00785835"/>
    <w:rsid w:val="0078588C"/>
    <w:rsid w:val="00785AE8"/>
    <w:rsid w:val="00785DF9"/>
    <w:rsid w:val="00785F68"/>
    <w:rsid w:val="007861CD"/>
    <w:rsid w:val="00786212"/>
    <w:rsid w:val="0078649A"/>
    <w:rsid w:val="007864DF"/>
    <w:rsid w:val="0078672B"/>
    <w:rsid w:val="0078676F"/>
    <w:rsid w:val="007869EC"/>
    <w:rsid w:val="00786AD3"/>
    <w:rsid w:val="00786B34"/>
    <w:rsid w:val="00786C26"/>
    <w:rsid w:val="00786C68"/>
    <w:rsid w:val="00786CE3"/>
    <w:rsid w:val="00786CEC"/>
    <w:rsid w:val="00786DA4"/>
    <w:rsid w:val="00786DBF"/>
    <w:rsid w:val="00786E35"/>
    <w:rsid w:val="00786EE7"/>
    <w:rsid w:val="0078708B"/>
    <w:rsid w:val="00787165"/>
    <w:rsid w:val="007871DA"/>
    <w:rsid w:val="0078748B"/>
    <w:rsid w:val="00787523"/>
    <w:rsid w:val="00787530"/>
    <w:rsid w:val="0078753F"/>
    <w:rsid w:val="007877F1"/>
    <w:rsid w:val="007878B3"/>
    <w:rsid w:val="007878C6"/>
    <w:rsid w:val="00787901"/>
    <w:rsid w:val="00787947"/>
    <w:rsid w:val="007879B8"/>
    <w:rsid w:val="00787BF4"/>
    <w:rsid w:val="00787CB4"/>
    <w:rsid w:val="00787F47"/>
    <w:rsid w:val="00787F4E"/>
    <w:rsid w:val="007900EE"/>
    <w:rsid w:val="007900F8"/>
    <w:rsid w:val="007903ED"/>
    <w:rsid w:val="007904FC"/>
    <w:rsid w:val="0079062A"/>
    <w:rsid w:val="0079065B"/>
    <w:rsid w:val="007906BD"/>
    <w:rsid w:val="007908D5"/>
    <w:rsid w:val="00790A7C"/>
    <w:rsid w:val="00790AE7"/>
    <w:rsid w:val="00790AF6"/>
    <w:rsid w:val="00790B0E"/>
    <w:rsid w:val="00790D86"/>
    <w:rsid w:val="00790E3A"/>
    <w:rsid w:val="00790EA9"/>
    <w:rsid w:val="00791016"/>
    <w:rsid w:val="00791108"/>
    <w:rsid w:val="00791128"/>
    <w:rsid w:val="007913A0"/>
    <w:rsid w:val="00791474"/>
    <w:rsid w:val="007914AC"/>
    <w:rsid w:val="007915EE"/>
    <w:rsid w:val="007915F6"/>
    <w:rsid w:val="0079166E"/>
    <w:rsid w:val="00791803"/>
    <w:rsid w:val="00791861"/>
    <w:rsid w:val="007918DA"/>
    <w:rsid w:val="007918F3"/>
    <w:rsid w:val="00791A3A"/>
    <w:rsid w:val="00791EB4"/>
    <w:rsid w:val="00791FA3"/>
    <w:rsid w:val="00791FAF"/>
    <w:rsid w:val="00792018"/>
    <w:rsid w:val="007920A3"/>
    <w:rsid w:val="00792178"/>
    <w:rsid w:val="0079230D"/>
    <w:rsid w:val="00792344"/>
    <w:rsid w:val="0079237E"/>
    <w:rsid w:val="007924CF"/>
    <w:rsid w:val="007924E8"/>
    <w:rsid w:val="00792519"/>
    <w:rsid w:val="0079252A"/>
    <w:rsid w:val="007927AB"/>
    <w:rsid w:val="0079288C"/>
    <w:rsid w:val="007928BB"/>
    <w:rsid w:val="007928BE"/>
    <w:rsid w:val="00792BFE"/>
    <w:rsid w:val="00792D0F"/>
    <w:rsid w:val="00792D81"/>
    <w:rsid w:val="00792F2C"/>
    <w:rsid w:val="00793122"/>
    <w:rsid w:val="00793149"/>
    <w:rsid w:val="00793198"/>
    <w:rsid w:val="00793261"/>
    <w:rsid w:val="00793310"/>
    <w:rsid w:val="00793364"/>
    <w:rsid w:val="0079362D"/>
    <w:rsid w:val="007936BD"/>
    <w:rsid w:val="007936DE"/>
    <w:rsid w:val="00793749"/>
    <w:rsid w:val="00793882"/>
    <w:rsid w:val="00793956"/>
    <w:rsid w:val="00793AAC"/>
    <w:rsid w:val="00793BBC"/>
    <w:rsid w:val="00793C8A"/>
    <w:rsid w:val="00793C9F"/>
    <w:rsid w:val="00793DF8"/>
    <w:rsid w:val="00793F3D"/>
    <w:rsid w:val="007942BB"/>
    <w:rsid w:val="00794499"/>
    <w:rsid w:val="007944F0"/>
    <w:rsid w:val="007945BA"/>
    <w:rsid w:val="00794674"/>
    <w:rsid w:val="00794677"/>
    <w:rsid w:val="007946E5"/>
    <w:rsid w:val="00794702"/>
    <w:rsid w:val="00794AFA"/>
    <w:rsid w:val="00794B4D"/>
    <w:rsid w:val="00794BA7"/>
    <w:rsid w:val="00794C65"/>
    <w:rsid w:val="00794CA0"/>
    <w:rsid w:val="00795007"/>
    <w:rsid w:val="00795019"/>
    <w:rsid w:val="0079504B"/>
    <w:rsid w:val="0079531C"/>
    <w:rsid w:val="0079544F"/>
    <w:rsid w:val="00795458"/>
    <w:rsid w:val="00795506"/>
    <w:rsid w:val="00795635"/>
    <w:rsid w:val="007956B3"/>
    <w:rsid w:val="007956E2"/>
    <w:rsid w:val="0079572A"/>
    <w:rsid w:val="007958B8"/>
    <w:rsid w:val="007959CA"/>
    <w:rsid w:val="007959F4"/>
    <w:rsid w:val="00795A5F"/>
    <w:rsid w:val="00795AD4"/>
    <w:rsid w:val="00795B1E"/>
    <w:rsid w:val="00795DCE"/>
    <w:rsid w:val="00795ECC"/>
    <w:rsid w:val="00796288"/>
    <w:rsid w:val="007964AF"/>
    <w:rsid w:val="007964B5"/>
    <w:rsid w:val="00796534"/>
    <w:rsid w:val="00796542"/>
    <w:rsid w:val="007965A2"/>
    <w:rsid w:val="007965B8"/>
    <w:rsid w:val="0079666F"/>
    <w:rsid w:val="00796676"/>
    <w:rsid w:val="007966C2"/>
    <w:rsid w:val="007967F8"/>
    <w:rsid w:val="0079682C"/>
    <w:rsid w:val="00796A3A"/>
    <w:rsid w:val="00796B93"/>
    <w:rsid w:val="00796C03"/>
    <w:rsid w:val="00796D87"/>
    <w:rsid w:val="00796D90"/>
    <w:rsid w:val="00796EE2"/>
    <w:rsid w:val="00796EEE"/>
    <w:rsid w:val="00796F34"/>
    <w:rsid w:val="00796F83"/>
    <w:rsid w:val="007971E3"/>
    <w:rsid w:val="0079760A"/>
    <w:rsid w:val="00797819"/>
    <w:rsid w:val="00797887"/>
    <w:rsid w:val="00797917"/>
    <w:rsid w:val="00797C2E"/>
    <w:rsid w:val="00797C75"/>
    <w:rsid w:val="00797F41"/>
    <w:rsid w:val="00797F60"/>
    <w:rsid w:val="00797F79"/>
    <w:rsid w:val="007A00BA"/>
    <w:rsid w:val="007A013E"/>
    <w:rsid w:val="007A029E"/>
    <w:rsid w:val="007A03F9"/>
    <w:rsid w:val="007A06D7"/>
    <w:rsid w:val="007A09CD"/>
    <w:rsid w:val="007A0A95"/>
    <w:rsid w:val="007A0B0E"/>
    <w:rsid w:val="007A0B66"/>
    <w:rsid w:val="007A0C46"/>
    <w:rsid w:val="007A0D11"/>
    <w:rsid w:val="007A0EE2"/>
    <w:rsid w:val="007A0FB8"/>
    <w:rsid w:val="007A0FBE"/>
    <w:rsid w:val="007A1035"/>
    <w:rsid w:val="007A10F9"/>
    <w:rsid w:val="007A116D"/>
    <w:rsid w:val="007A1224"/>
    <w:rsid w:val="007A12AB"/>
    <w:rsid w:val="007A1614"/>
    <w:rsid w:val="007A17F7"/>
    <w:rsid w:val="007A1AC2"/>
    <w:rsid w:val="007A1B14"/>
    <w:rsid w:val="007A1BC3"/>
    <w:rsid w:val="007A1BCE"/>
    <w:rsid w:val="007A1BD1"/>
    <w:rsid w:val="007A1C31"/>
    <w:rsid w:val="007A1D9A"/>
    <w:rsid w:val="007A1E19"/>
    <w:rsid w:val="007A21BE"/>
    <w:rsid w:val="007A233C"/>
    <w:rsid w:val="007A2348"/>
    <w:rsid w:val="007A23F3"/>
    <w:rsid w:val="007A2453"/>
    <w:rsid w:val="007A25C3"/>
    <w:rsid w:val="007A2774"/>
    <w:rsid w:val="007A2A06"/>
    <w:rsid w:val="007A2C70"/>
    <w:rsid w:val="007A2C9C"/>
    <w:rsid w:val="007A2E72"/>
    <w:rsid w:val="007A305B"/>
    <w:rsid w:val="007A3273"/>
    <w:rsid w:val="007A3367"/>
    <w:rsid w:val="007A3558"/>
    <w:rsid w:val="007A357E"/>
    <w:rsid w:val="007A3656"/>
    <w:rsid w:val="007A373B"/>
    <w:rsid w:val="007A37D3"/>
    <w:rsid w:val="007A3956"/>
    <w:rsid w:val="007A39D7"/>
    <w:rsid w:val="007A3B47"/>
    <w:rsid w:val="007A3E22"/>
    <w:rsid w:val="007A40F6"/>
    <w:rsid w:val="007A4114"/>
    <w:rsid w:val="007A412F"/>
    <w:rsid w:val="007A443C"/>
    <w:rsid w:val="007A44A5"/>
    <w:rsid w:val="007A44CE"/>
    <w:rsid w:val="007A453A"/>
    <w:rsid w:val="007A45AD"/>
    <w:rsid w:val="007A45FD"/>
    <w:rsid w:val="007A46BF"/>
    <w:rsid w:val="007A4789"/>
    <w:rsid w:val="007A48BB"/>
    <w:rsid w:val="007A4AE3"/>
    <w:rsid w:val="007A4F55"/>
    <w:rsid w:val="007A50A8"/>
    <w:rsid w:val="007A5146"/>
    <w:rsid w:val="007A51EE"/>
    <w:rsid w:val="007A55D9"/>
    <w:rsid w:val="007A58EC"/>
    <w:rsid w:val="007A5989"/>
    <w:rsid w:val="007A59E8"/>
    <w:rsid w:val="007A59EB"/>
    <w:rsid w:val="007A5A3F"/>
    <w:rsid w:val="007A5AB0"/>
    <w:rsid w:val="007A5C71"/>
    <w:rsid w:val="007A5E1A"/>
    <w:rsid w:val="007A6042"/>
    <w:rsid w:val="007A6074"/>
    <w:rsid w:val="007A61AC"/>
    <w:rsid w:val="007A61BB"/>
    <w:rsid w:val="007A61F0"/>
    <w:rsid w:val="007A6347"/>
    <w:rsid w:val="007A651B"/>
    <w:rsid w:val="007A665B"/>
    <w:rsid w:val="007A697E"/>
    <w:rsid w:val="007A6991"/>
    <w:rsid w:val="007A6B55"/>
    <w:rsid w:val="007A6BAD"/>
    <w:rsid w:val="007A6D0A"/>
    <w:rsid w:val="007A6EA5"/>
    <w:rsid w:val="007A6EFB"/>
    <w:rsid w:val="007A6FC0"/>
    <w:rsid w:val="007A7035"/>
    <w:rsid w:val="007A711E"/>
    <w:rsid w:val="007A71B5"/>
    <w:rsid w:val="007A71DC"/>
    <w:rsid w:val="007A72C8"/>
    <w:rsid w:val="007A756E"/>
    <w:rsid w:val="007A77ED"/>
    <w:rsid w:val="007A7823"/>
    <w:rsid w:val="007A7A2E"/>
    <w:rsid w:val="007A7B30"/>
    <w:rsid w:val="007A7BBB"/>
    <w:rsid w:val="007A7BE3"/>
    <w:rsid w:val="007A7D00"/>
    <w:rsid w:val="007A7DF2"/>
    <w:rsid w:val="007A7E51"/>
    <w:rsid w:val="007A7EAC"/>
    <w:rsid w:val="007B0073"/>
    <w:rsid w:val="007B00E0"/>
    <w:rsid w:val="007B013D"/>
    <w:rsid w:val="007B01EF"/>
    <w:rsid w:val="007B0580"/>
    <w:rsid w:val="007B0608"/>
    <w:rsid w:val="007B0900"/>
    <w:rsid w:val="007B094C"/>
    <w:rsid w:val="007B09B4"/>
    <w:rsid w:val="007B0B7D"/>
    <w:rsid w:val="007B0BC5"/>
    <w:rsid w:val="007B0C32"/>
    <w:rsid w:val="007B0CC3"/>
    <w:rsid w:val="007B0CEF"/>
    <w:rsid w:val="007B0D91"/>
    <w:rsid w:val="007B0E7A"/>
    <w:rsid w:val="007B0F0B"/>
    <w:rsid w:val="007B0F17"/>
    <w:rsid w:val="007B1000"/>
    <w:rsid w:val="007B1001"/>
    <w:rsid w:val="007B100C"/>
    <w:rsid w:val="007B13B7"/>
    <w:rsid w:val="007B1481"/>
    <w:rsid w:val="007B1571"/>
    <w:rsid w:val="007B1647"/>
    <w:rsid w:val="007B19AC"/>
    <w:rsid w:val="007B1AA4"/>
    <w:rsid w:val="007B1BF0"/>
    <w:rsid w:val="007B1D72"/>
    <w:rsid w:val="007B1E29"/>
    <w:rsid w:val="007B1E45"/>
    <w:rsid w:val="007B1F15"/>
    <w:rsid w:val="007B2076"/>
    <w:rsid w:val="007B20FF"/>
    <w:rsid w:val="007B217C"/>
    <w:rsid w:val="007B219C"/>
    <w:rsid w:val="007B21A8"/>
    <w:rsid w:val="007B23EF"/>
    <w:rsid w:val="007B2455"/>
    <w:rsid w:val="007B250E"/>
    <w:rsid w:val="007B2699"/>
    <w:rsid w:val="007B2723"/>
    <w:rsid w:val="007B274C"/>
    <w:rsid w:val="007B29D7"/>
    <w:rsid w:val="007B2AA8"/>
    <w:rsid w:val="007B2B00"/>
    <w:rsid w:val="007B2B05"/>
    <w:rsid w:val="007B2B4C"/>
    <w:rsid w:val="007B2B76"/>
    <w:rsid w:val="007B2D95"/>
    <w:rsid w:val="007B2EE2"/>
    <w:rsid w:val="007B3147"/>
    <w:rsid w:val="007B3246"/>
    <w:rsid w:val="007B326B"/>
    <w:rsid w:val="007B32A1"/>
    <w:rsid w:val="007B341B"/>
    <w:rsid w:val="007B34BA"/>
    <w:rsid w:val="007B34DD"/>
    <w:rsid w:val="007B3613"/>
    <w:rsid w:val="007B368C"/>
    <w:rsid w:val="007B37C0"/>
    <w:rsid w:val="007B3ACC"/>
    <w:rsid w:val="007B3AF7"/>
    <w:rsid w:val="007B3BBC"/>
    <w:rsid w:val="007B3E45"/>
    <w:rsid w:val="007B3FE2"/>
    <w:rsid w:val="007B40A6"/>
    <w:rsid w:val="007B4107"/>
    <w:rsid w:val="007B4133"/>
    <w:rsid w:val="007B41F9"/>
    <w:rsid w:val="007B41FE"/>
    <w:rsid w:val="007B42A0"/>
    <w:rsid w:val="007B4560"/>
    <w:rsid w:val="007B4633"/>
    <w:rsid w:val="007B47D4"/>
    <w:rsid w:val="007B4802"/>
    <w:rsid w:val="007B492F"/>
    <w:rsid w:val="007B4A74"/>
    <w:rsid w:val="007B4C63"/>
    <w:rsid w:val="007B5132"/>
    <w:rsid w:val="007B5305"/>
    <w:rsid w:val="007B558D"/>
    <w:rsid w:val="007B5A8E"/>
    <w:rsid w:val="007B5AE0"/>
    <w:rsid w:val="007B5C15"/>
    <w:rsid w:val="007B5C35"/>
    <w:rsid w:val="007B5C4A"/>
    <w:rsid w:val="007B5C77"/>
    <w:rsid w:val="007B5D33"/>
    <w:rsid w:val="007B5D50"/>
    <w:rsid w:val="007B5DE7"/>
    <w:rsid w:val="007B5E31"/>
    <w:rsid w:val="007B601E"/>
    <w:rsid w:val="007B6028"/>
    <w:rsid w:val="007B6054"/>
    <w:rsid w:val="007B6071"/>
    <w:rsid w:val="007B6217"/>
    <w:rsid w:val="007B63BE"/>
    <w:rsid w:val="007B6433"/>
    <w:rsid w:val="007B6510"/>
    <w:rsid w:val="007B6512"/>
    <w:rsid w:val="007B6640"/>
    <w:rsid w:val="007B692E"/>
    <w:rsid w:val="007B6957"/>
    <w:rsid w:val="007B6962"/>
    <w:rsid w:val="007B698F"/>
    <w:rsid w:val="007B69FC"/>
    <w:rsid w:val="007B6A66"/>
    <w:rsid w:val="007B6A9B"/>
    <w:rsid w:val="007B6BB4"/>
    <w:rsid w:val="007B6CEB"/>
    <w:rsid w:val="007B6DA5"/>
    <w:rsid w:val="007B6F5A"/>
    <w:rsid w:val="007B7072"/>
    <w:rsid w:val="007B721C"/>
    <w:rsid w:val="007B7233"/>
    <w:rsid w:val="007B7270"/>
    <w:rsid w:val="007B738B"/>
    <w:rsid w:val="007B76DB"/>
    <w:rsid w:val="007B78CB"/>
    <w:rsid w:val="007B7913"/>
    <w:rsid w:val="007B79FD"/>
    <w:rsid w:val="007B7B56"/>
    <w:rsid w:val="007B7BB9"/>
    <w:rsid w:val="007B7BED"/>
    <w:rsid w:val="007B7D97"/>
    <w:rsid w:val="007B7E3C"/>
    <w:rsid w:val="007B7E4C"/>
    <w:rsid w:val="007B7EAA"/>
    <w:rsid w:val="007B7EE5"/>
    <w:rsid w:val="007C0055"/>
    <w:rsid w:val="007C0086"/>
    <w:rsid w:val="007C00F7"/>
    <w:rsid w:val="007C03B4"/>
    <w:rsid w:val="007C03C5"/>
    <w:rsid w:val="007C042D"/>
    <w:rsid w:val="007C0442"/>
    <w:rsid w:val="007C05A7"/>
    <w:rsid w:val="007C082F"/>
    <w:rsid w:val="007C097F"/>
    <w:rsid w:val="007C09FE"/>
    <w:rsid w:val="007C0AD3"/>
    <w:rsid w:val="007C0B20"/>
    <w:rsid w:val="007C0B5B"/>
    <w:rsid w:val="007C0B6B"/>
    <w:rsid w:val="007C0B97"/>
    <w:rsid w:val="007C0BC2"/>
    <w:rsid w:val="007C0C2D"/>
    <w:rsid w:val="007C0C7F"/>
    <w:rsid w:val="007C0F83"/>
    <w:rsid w:val="007C114F"/>
    <w:rsid w:val="007C140E"/>
    <w:rsid w:val="007C142B"/>
    <w:rsid w:val="007C1768"/>
    <w:rsid w:val="007C1896"/>
    <w:rsid w:val="007C18F2"/>
    <w:rsid w:val="007C195D"/>
    <w:rsid w:val="007C1980"/>
    <w:rsid w:val="007C199C"/>
    <w:rsid w:val="007C1AD1"/>
    <w:rsid w:val="007C1B5B"/>
    <w:rsid w:val="007C1C89"/>
    <w:rsid w:val="007C1D0C"/>
    <w:rsid w:val="007C1EE1"/>
    <w:rsid w:val="007C1F15"/>
    <w:rsid w:val="007C206C"/>
    <w:rsid w:val="007C22CB"/>
    <w:rsid w:val="007C232B"/>
    <w:rsid w:val="007C2520"/>
    <w:rsid w:val="007C26AD"/>
    <w:rsid w:val="007C2818"/>
    <w:rsid w:val="007C28B1"/>
    <w:rsid w:val="007C2A74"/>
    <w:rsid w:val="007C2AA0"/>
    <w:rsid w:val="007C2AB9"/>
    <w:rsid w:val="007C2B03"/>
    <w:rsid w:val="007C2B86"/>
    <w:rsid w:val="007C2C79"/>
    <w:rsid w:val="007C2CE4"/>
    <w:rsid w:val="007C2F3B"/>
    <w:rsid w:val="007C2F4D"/>
    <w:rsid w:val="007C30BF"/>
    <w:rsid w:val="007C3297"/>
    <w:rsid w:val="007C34C3"/>
    <w:rsid w:val="007C3551"/>
    <w:rsid w:val="007C35C6"/>
    <w:rsid w:val="007C36D5"/>
    <w:rsid w:val="007C37B7"/>
    <w:rsid w:val="007C388E"/>
    <w:rsid w:val="007C3962"/>
    <w:rsid w:val="007C3B0A"/>
    <w:rsid w:val="007C3C01"/>
    <w:rsid w:val="007C3E99"/>
    <w:rsid w:val="007C3F67"/>
    <w:rsid w:val="007C4193"/>
    <w:rsid w:val="007C430E"/>
    <w:rsid w:val="007C4362"/>
    <w:rsid w:val="007C4376"/>
    <w:rsid w:val="007C43C1"/>
    <w:rsid w:val="007C43FC"/>
    <w:rsid w:val="007C46C6"/>
    <w:rsid w:val="007C476F"/>
    <w:rsid w:val="007C4770"/>
    <w:rsid w:val="007C48C1"/>
    <w:rsid w:val="007C49AA"/>
    <w:rsid w:val="007C4A1E"/>
    <w:rsid w:val="007C4B3F"/>
    <w:rsid w:val="007C4C7F"/>
    <w:rsid w:val="007C4FF6"/>
    <w:rsid w:val="007C500D"/>
    <w:rsid w:val="007C5022"/>
    <w:rsid w:val="007C50B1"/>
    <w:rsid w:val="007C517C"/>
    <w:rsid w:val="007C51B8"/>
    <w:rsid w:val="007C5214"/>
    <w:rsid w:val="007C5313"/>
    <w:rsid w:val="007C5483"/>
    <w:rsid w:val="007C5652"/>
    <w:rsid w:val="007C56CD"/>
    <w:rsid w:val="007C56D4"/>
    <w:rsid w:val="007C57AD"/>
    <w:rsid w:val="007C57D2"/>
    <w:rsid w:val="007C5AA0"/>
    <w:rsid w:val="007C5DF7"/>
    <w:rsid w:val="007C5E43"/>
    <w:rsid w:val="007C5FE9"/>
    <w:rsid w:val="007C6169"/>
    <w:rsid w:val="007C62CA"/>
    <w:rsid w:val="007C632B"/>
    <w:rsid w:val="007C63F9"/>
    <w:rsid w:val="007C6475"/>
    <w:rsid w:val="007C64B5"/>
    <w:rsid w:val="007C64D5"/>
    <w:rsid w:val="007C65ED"/>
    <w:rsid w:val="007C664B"/>
    <w:rsid w:val="007C6725"/>
    <w:rsid w:val="007C6769"/>
    <w:rsid w:val="007C6803"/>
    <w:rsid w:val="007C68BC"/>
    <w:rsid w:val="007C6BC0"/>
    <w:rsid w:val="007C6E00"/>
    <w:rsid w:val="007C7038"/>
    <w:rsid w:val="007C710C"/>
    <w:rsid w:val="007C738A"/>
    <w:rsid w:val="007C75EE"/>
    <w:rsid w:val="007C7627"/>
    <w:rsid w:val="007C76F3"/>
    <w:rsid w:val="007C76FB"/>
    <w:rsid w:val="007C772E"/>
    <w:rsid w:val="007C774A"/>
    <w:rsid w:val="007C774C"/>
    <w:rsid w:val="007C77DB"/>
    <w:rsid w:val="007C7863"/>
    <w:rsid w:val="007C7BDA"/>
    <w:rsid w:val="007C7D95"/>
    <w:rsid w:val="007C7F6F"/>
    <w:rsid w:val="007D0037"/>
    <w:rsid w:val="007D0047"/>
    <w:rsid w:val="007D0075"/>
    <w:rsid w:val="007D012E"/>
    <w:rsid w:val="007D0366"/>
    <w:rsid w:val="007D0374"/>
    <w:rsid w:val="007D03A4"/>
    <w:rsid w:val="007D0569"/>
    <w:rsid w:val="007D059F"/>
    <w:rsid w:val="007D0694"/>
    <w:rsid w:val="007D074C"/>
    <w:rsid w:val="007D090D"/>
    <w:rsid w:val="007D09D4"/>
    <w:rsid w:val="007D09F9"/>
    <w:rsid w:val="007D0AF1"/>
    <w:rsid w:val="007D0C10"/>
    <w:rsid w:val="007D0C27"/>
    <w:rsid w:val="007D0C3A"/>
    <w:rsid w:val="007D0C48"/>
    <w:rsid w:val="007D0CFB"/>
    <w:rsid w:val="007D0D1D"/>
    <w:rsid w:val="007D0D7C"/>
    <w:rsid w:val="007D0E6A"/>
    <w:rsid w:val="007D0F91"/>
    <w:rsid w:val="007D0FEB"/>
    <w:rsid w:val="007D1203"/>
    <w:rsid w:val="007D122F"/>
    <w:rsid w:val="007D1262"/>
    <w:rsid w:val="007D12CD"/>
    <w:rsid w:val="007D12F3"/>
    <w:rsid w:val="007D14FE"/>
    <w:rsid w:val="007D15D1"/>
    <w:rsid w:val="007D16FB"/>
    <w:rsid w:val="007D19F5"/>
    <w:rsid w:val="007D1A0B"/>
    <w:rsid w:val="007D1A6B"/>
    <w:rsid w:val="007D1AD2"/>
    <w:rsid w:val="007D1B1D"/>
    <w:rsid w:val="007D1B8D"/>
    <w:rsid w:val="007D1C84"/>
    <w:rsid w:val="007D1EDA"/>
    <w:rsid w:val="007D2033"/>
    <w:rsid w:val="007D20BA"/>
    <w:rsid w:val="007D20DA"/>
    <w:rsid w:val="007D2242"/>
    <w:rsid w:val="007D23E2"/>
    <w:rsid w:val="007D2457"/>
    <w:rsid w:val="007D2466"/>
    <w:rsid w:val="007D261F"/>
    <w:rsid w:val="007D2840"/>
    <w:rsid w:val="007D288C"/>
    <w:rsid w:val="007D2962"/>
    <w:rsid w:val="007D2BD9"/>
    <w:rsid w:val="007D2C77"/>
    <w:rsid w:val="007D2C9D"/>
    <w:rsid w:val="007D2CE8"/>
    <w:rsid w:val="007D2F54"/>
    <w:rsid w:val="007D3063"/>
    <w:rsid w:val="007D30FB"/>
    <w:rsid w:val="007D31B8"/>
    <w:rsid w:val="007D3228"/>
    <w:rsid w:val="007D329B"/>
    <w:rsid w:val="007D33F1"/>
    <w:rsid w:val="007D3425"/>
    <w:rsid w:val="007D354A"/>
    <w:rsid w:val="007D36BE"/>
    <w:rsid w:val="007D3748"/>
    <w:rsid w:val="007D3780"/>
    <w:rsid w:val="007D37CD"/>
    <w:rsid w:val="007D397D"/>
    <w:rsid w:val="007D39A0"/>
    <w:rsid w:val="007D39A9"/>
    <w:rsid w:val="007D3A5D"/>
    <w:rsid w:val="007D3ACA"/>
    <w:rsid w:val="007D3AD4"/>
    <w:rsid w:val="007D3AF4"/>
    <w:rsid w:val="007D3BB0"/>
    <w:rsid w:val="007D3D1F"/>
    <w:rsid w:val="007D3DDF"/>
    <w:rsid w:val="007D3E6E"/>
    <w:rsid w:val="007D3E8E"/>
    <w:rsid w:val="007D3E98"/>
    <w:rsid w:val="007D3F16"/>
    <w:rsid w:val="007D3FF9"/>
    <w:rsid w:val="007D404E"/>
    <w:rsid w:val="007D40C3"/>
    <w:rsid w:val="007D41A2"/>
    <w:rsid w:val="007D423F"/>
    <w:rsid w:val="007D42CB"/>
    <w:rsid w:val="007D4559"/>
    <w:rsid w:val="007D45A9"/>
    <w:rsid w:val="007D45C4"/>
    <w:rsid w:val="007D45EE"/>
    <w:rsid w:val="007D48B7"/>
    <w:rsid w:val="007D49A7"/>
    <w:rsid w:val="007D4A2F"/>
    <w:rsid w:val="007D4ACC"/>
    <w:rsid w:val="007D4D8C"/>
    <w:rsid w:val="007D4D93"/>
    <w:rsid w:val="007D4EBF"/>
    <w:rsid w:val="007D4EC6"/>
    <w:rsid w:val="007D5029"/>
    <w:rsid w:val="007D51FC"/>
    <w:rsid w:val="007D5265"/>
    <w:rsid w:val="007D538F"/>
    <w:rsid w:val="007D53DC"/>
    <w:rsid w:val="007D5509"/>
    <w:rsid w:val="007D5684"/>
    <w:rsid w:val="007D57DA"/>
    <w:rsid w:val="007D589C"/>
    <w:rsid w:val="007D58FD"/>
    <w:rsid w:val="007D5900"/>
    <w:rsid w:val="007D5984"/>
    <w:rsid w:val="007D59AE"/>
    <w:rsid w:val="007D5AA6"/>
    <w:rsid w:val="007D5E78"/>
    <w:rsid w:val="007D6057"/>
    <w:rsid w:val="007D62DF"/>
    <w:rsid w:val="007D6384"/>
    <w:rsid w:val="007D63ED"/>
    <w:rsid w:val="007D64A7"/>
    <w:rsid w:val="007D64FA"/>
    <w:rsid w:val="007D6739"/>
    <w:rsid w:val="007D6887"/>
    <w:rsid w:val="007D68FD"/>
    <w:rsid w:val="007D6948"/>
    <w:rsid w:val="007D69E5"/>
    <w:rsid w:val="007D6BC5"/>
    <w:rsid w:val="007D6C4A"/>
    <w:rsid w:val="007D6D9F"/>
    <w:rsid w:val="007D6DDC"/>
    <w:rsid w:val="007D6DE2"/>
    <w:rsid w:val="007D6EF6"/>
    <w:rsid w:val="007D7067"/>
    <w:rsid w:val="007D7129"/>
    <w:rsid w:val="007D71F4"/>
    <w:rsid w:val="007D72D5"/>
    <w:rsid w:val="007D75BB"/>
    <w:rsid w:val="007D76D8"/>
    <w:rsid w:val="007D792A"/>
    <w:rsid w:val="007D7A9A"/>
    <w:rsid w:val="007D7C19"/>
    <w:rsid w:val="007D7D14"/>
    <w:rsid w:val="007D7D22"/>
    <w:rsid w:val="007E017E"/>
    <w:rsid w:val="007E0242"/>
    <w:rsid w:val="007E0484"/>
    <w:rsid w:val="007E057D"/>
    <w:rsid w:val="007E05FC"/>
    <w:rsid w:val="007E0628"/>
    <w:rsid w:val="007E06FE"/>
    <w:rsid w:val="007E0832"/>
    <w:rsid w:val="007E0837"/>
    <w:rsid w:val="007E0850"/>
    <w:rsid w:val="007E08DB"/>
    <w:rsid w:val="007E0A39"/>
    <w:rsid w:val="007E0ABF"/>
    <w:rsid w:val="007E0BB1"/>
    <w:rsid w:val="007E0BD1"/>
    <w:rsid w:val="007E0C0F"/>
    <w:rsid w:val="007E0D2B"/>
    <w:rsid w:val="007E0D3E"/>
    <w:rsid w:val="007E0E7E"/>
    <w:rsid w:val="007E0EEA"/>
    <w:rsid w:val="007E0FC4"/>
    <w:rsid w:val="007E1049"/>
    <w:rsid w:val="007E1349"/>
    <w:rsid w:val="007E1512"/>
    <w:rsid w:val="007E1652"/>
    <w:rsid w:val="007E16CC"/>
    <w:rsid w:val="007E1764"/>
    <w:rsid w:val="007E1769"/>
    <w:rsid w:val="007E1843"/>
    <w:rsid w:val="007E1989"/>
    <w:rsid w:val="007E1E99"/>
    <w:rsid w:val="007E1F50"/>
    <w:rsid w:val="007E2004"/>
    <w:rsid w:val="007E200F"/>
    <w:rsid w:val="007E21B1"/>
    <w:rsid w:val="007E21CF"/>
    <w:rsid w:val="007E237A"/>
    <w:rsid w:val="007E23CB"/>
    <w:rsid w:val="007E2534"/>
    <w:rsid w:val="007E265F"/>
    <w:rsid w:val="007E2675"/>
    <w:rsid w:val="007E2723"/>
    <w:rsid w:val="007E288B"/>
    <w:rsid w:val="007E2988"/>
    <w:rsid w:val="007E2A04"/>
    <w:rsid w:val="007E2AB9"/>
    <w:rsid w:val="007E2E98"/>
    <w:rsid w:val="007E2F3D"/>
    <w:rsid w:val="007E2F9F"/>
    <w:rsid w:val="007E30C3"/>
    <w:rsid w:val="007E30E8"/>
    <w:rsid w:val="007E316A"/>
    <w:rsid w:val="007E331C"/>
    <w:rsid w:val="007E33B5"/>
    <w:rsid w:val="007E3470"/>
    <w:rsid w:val="007E36F8"/>
    <w:rsid w:val="007E382D"/>
    <w:rsid w:val="007E3978"/>
    <w:rsid w:val="007E3DF8"/>
    <w:rsid w:val="007E3E5B"/>
    <w:rsid w:val="007E40D2"/>
    <w:rsid w:val="007E40E0"/>
    <w:rsid w:val="007E4113"/>
    <w:rsid w:val="007E4272"/>
    <w:rsid w:val="007E4291"/>
    <w:rsid w:val="007E44B3"/>
    <w:rsid w:val="007E44C9"/>
    <w:rsid w:val="007E4547"/>
    <w:rsid w:val="007E47BD"/>
    <w:rsid w:val="007E47FA"/>
    <w:rsid w:val="007E48C7"/>
    <w:rsid w:val="007E4A0D"/>
    <w:rsid w:val="007E4AB5"/>
    <w:rsid w:val="007E4C95"/>
    <w:rsid w:val="007E4CD1"/>
    <w:rsid w:val="007E4D3A"/>
    <w:rsid w:val="007E4D97"/>
    <w:rsid w:val="007E4E2B"/>
    <w:rsid w:val="007E5175"/>
    <w:rsid w:val="007E51F3"/>
    <w:rsid w:val="007E5257"/>
    <w:rsid w:val="007E536F"/>
    <w:rsid w:val="007E549E"/>
    <w:rsid w:val="007E54F6"/>
    <w:rsid w:val="007E5546"/>
    <w:rsid w:val="007E56EB"/>
    <w:rsid w:val="007E583A"/>
    <w:rsid w:val="007E583F"/>
    <w:rsid w:val="007E5980"/>
    <w:rsid w:val="007E5BBF"/>
    <w:rsid w:val="007E5EE1"/>
    <w:rsid w:val="007E5F18"/>
    <w:rsid w:val="007E5F95"/>
    <w:rsid w:val="007E5FB8"/>
    <w:rsid w:val="007E5FFA"/>
    <w:rsid w:val="007E601B"/>
    <w:rsid w:val="007E60A8"/>
    <w:rsid w:val="007E60E9"/>
    <w:rsid w:val="007E6124"/>
    <w:rsid w:val="007E61E1"/>
    <w:rsid w:val="007E6270"/>
    <w:rsid w:val="007E636F"/>
    <w:rsid w:val="007E644C"/>
    <w:rsid w:val="007E6456"/>
    <w:rsid w:val="007E662C"/>
    <w:rsid w:val="007E67E2"/>
    <w:rsid w:val="007E6848"/>
    <w:rsid w:val="007E684C"/>
    <w:rsid w:val="007E68A4"/>
    <w:rsid w:val="007E68B9"/>
    <w:rsid w:val="007E6907"/>
    <w:rsid w:val="007E69E5"/>
    <w:rsid w:val="007E6A37"/>
    <w:rsid w:val="007E6CAA"/>
    <w:rsid w:val="007E6E3D"/>
    <w:rsid w:val="007E71B4"/>
    <w:rsid w:val="007E7260"/>
    <w:rsid w:val="007E7577"/>
    <w:rsid w:val="007E7880"/>
    <w:rsid w:val="007E78B1"/>
    <w:rsid w:val="007E78CD"/>
    <w:rsid w:val="007E78E6"/>
    <w:rsid w:val="007E79E9"/>
    <w:rsid w:val="007E79F7"/>
    <w:rsid w:val="007E7A4A"/>
    <w:rsid w:val="007E7B9D"/>
    <w:rsid w:val="007E7C59"/>
    <w:rsid w:val="007E7E0F"/>
    <w:rsid w:val="007E7F22"/>
    <w:rsid w:val="007E7F83"/>
    <w:rsid w:val="007F004F"/>
    <w:rsid w:val="007F0061"/>
    <w:rsid w:val="007F0239"/>
    <w:rsid w:val="007F0262"/>
    <w:rsid w:val="007F0286"/>
    <w:rsid w:val="007F03F2"/>
    <w:rsid w:val="007F048D"/>
    <w:rsid w:val="007F0604"/>
    <w:rsid w:val="007F0652"/>
    <w:rsid w:val="007F0707"/>
    <w:rsid w:val="007F0799"/>
    <w:rsid w:val="007F07F2"/>
    <w:rsid w:val="007F0895"/>
    <w:rsid w:val="007F0924"/>
    <w:rsid w:val="007F0B31"/>
    <w:rsid w:val="007F0D05"/>
    <w:rsid w:val="007F0DB7"/>
    <w:rsid w:val="007F0E44"/>
    <w:rsid w:val="007F0E96"/>
    <w:rsid w:val="007F11DF"/>
    <w:rsid w:val="007F1213"/>
    <w:rsid w:val="007F12A8"/>
    <w:rsid w:val="007F134E"/>
    <w:rsid w:val="007F1515"/>
    <w:rsid w:val="007F153E"/>
    <w:rsid w:val="007F17A9"/>
    <w:rsid w:val="007F182C"/>
    <w:rsid w:val="007F183E"/>
    <w:rsid w:val="007F190C"/>
    <w:rsid w:val="007F1962"/>
    <w:rsid w:val="007F1AC8"/>
    <w:rsid w:val="007F1B1A"/>
    <w:rsid w:val="007F1D6D"/>
    <w:rsid w:val="007F1E54"/>
    <w:rsid w:val="007F2001"/>
    <w:rsid w:val="007F2400"/>
    <w:rsid w:val="007F25FE"/>
    <w:rsid w:val="007F26B9"/>
    <w:rsid w:val="007F26D6"/>
    <w:rsid w:val="007F283B"/>
    <w:rsid w:val="007F28D4"/>
    <w:rsid w:val="007F2911"/>
    <w:rsid w:val="007F29DF"/>
    <w:rsid w:val="007F29EB"/>
    <w:rsid w:val="007F2AC1"/>
    <w:rsid w:val="007F2B93"/>
    <w:rsid w:val="007F2C53"/>
    <w:rsid w:val="007F2C7D"/>
    <w:rsid w:val="007F3012"/>
    <w:rsid w:val="007F3079"/>
    <w:rsid w:val="007F30B2"/>
    <w:rsid w:val="007F31A3"/>
    <w:rsid w:val="007F3347"/>
    <w:rsid w:val="007F3450"/>
    <w:rsid w:val="007F34CC"/>
    <w:rsid w:val="007F34E8"/>
    <w:rsid w:val="007F350C"/>
    <w:rsid w:val="007F352E"/>
    <w:rsid w:val="007F35FD"/>
    <w:rsid w:val="007F3623"/>
    <w:rsid w:val="007F3708"/>
    <w:rsid w:val="007F37B8"/>
    <w:rsid w:val="007F3883"/>
    <w:rsid w:val="007F3885"/>
    <w:rsid w:val="007F397E"/>
    <w:rsid w:val="007F39D3"/>
    <w:rsid w:val="007F3A7B"/>
    <w:rsid w:val="007F3B33"/>
    <w:rsid w:val="007F3D68"/>
    <w:rsid w:val="007F3E4B"/>
    <w:rsid w:val="007F3EAF"/>
    <w:rsid w:val="007F4127"/>
    <w:rsid w:val="007F4202"/>
    <w:rsid w:val="007F42E3"/>
    <w:rsid w:val="007F44C0"/>
    <w:rsid w:val="007F4598"/>
    <w:rsid w:val="007F4699"/>
    <w:rsid w:val="007F476D"/>
    <w:rsid w:val="007F4851"/>
    <w:rsid w:val="007F487B"/>
    <w:rsid w:val="007F4A35"/>
    <w:rsid w:val="007F4A5B"/>
    <w:rsid w:val="007F4ACD"/>
    <w:rsid w:val="007F4B11"/>
    <w:rsid w:val="007F4B75"/>
    <w:rsid w:val="007F4D29"/>
    <w:rsid w:val="007F4E77"/>
    <w:rsid w:val="007F4ED8"/>
    <w:rsid w:val="007F4F0C"/>
    <w:rsid w:val="007F4FAB"/>
    <w:rsid w:val="007F5019"/>
    <w:rsid w:val="007F5152"/>
    <w:rsid w:val="007F533B"/>
    <w:rsid w:val="007F56E2"/>
    <w:rsid w:val="007F5775"/>
    <w:rsid w:val="007F59E0"/>
    <w:rsid w:val="007F5A6B"/>
    <w:rsid w:val="007F5A86"/>
    <w:rsid w:val="007F5B40"/>
    <w:rsid w:val="007F5C0A"/>
    <w:rsid w:val="007F5F89"/>
    <w:rsid w:val="007F6089"/>
    <w:rsid w:val="007F60C6"/>
    <w:rsid w:val="007F6273"/>
    <w:rsid w:val="007F62EB"/>
    <w:rsid w:val="007F6305"/>
    <w:rsid w:val="007F64FD"/>
    <w:rsid w:val="007F658E"/>
    <w:rsid w:val="007F68C3"/>
    <w:rsid w:val="007F6A4D"/>
    <w:rsid w:val="007F6AC7"/>
    <w:rsid w:val="007F6AE1"/>
    <w:rsid w:val="007F6AE5"/>
    <w:rsid w:val="007F6F14"/>
    <w:rsid w:val="007F6F43"/>
    <w:rsid w:val="007F7116"/>
    <w:rsid w:val="007F712A"/>
    <w:rsid w:val="007F71C3"/>
    <w:rsid w:val="007F73CA"/>
    <w:rsid w:val="007F7593"/>
    <w:rsid w:val="007F75EB"/>
    <w:rsid w:val="007F767D"/>
    <w:rsid w:val="007F76F8"/>
    <w:rsid w:val="007F7775"/>
    <w:rsid w:val="007F78ED"/>
    <w:rsid w:val="007F79C7"/>
    <w:rsid w:val="007F79C8"/>
    <w:rsid w:val="007F7B94"/>
    <w:rsid w:val="007F7BA5"/>
    <w:rsid w:val="007F7CC8"/>
    <w:rsid w:val="007F7D58"/>
    <w:rsid w:val="007F7E53"/>
    <w:rsid w:val="0080017B"/>
    <w:rsid w:val="00800189"/>
    <w:rsid w:val="008002AD"/>
    <w:rsid w:val="00800368"/>
    <w:rsid w:val="0080049E"/>
    <w:rsid w:val="00800596"/>
    <w:rsid w:val="008005A1"/>
    <w:rsid w:val="00800616"/>
    <w:rsid w:val="00800629"/>
    <w:rsid w:val="00800762"/>
    <w:rsid w:val="00800820"/>
    <w:rsid w:val="00800C34"/>
    <w:rsid w:val="00800C43"/>
    <w:rsid w:val="00800CD7"/>
    <w:rsid w:val="00800D21"/>
    <w:rsid w:val="00800D2E"/>
    <w:rsid w:val="00800E5A"/>
    <w:rsid w:val="00800EDA"/>
    <w:rsid w:val="00800F83"/>
    <w:rsid w:val="00801007"/>
    <w:rsid w:val="00801061"/>
    <w:rsid w:val="00801119"/>
    <w:rsid w:val="0080118A"/>
    <w:rsid w:val="008011C1"/>
    <w:rsid w:val="00801231"/>
    <w:rsid w:val="0080127C"/>
    <w:rsid w:val="0080129A"/>
    <w:rsid w:val="00801403"/>
    <w:rsid w:val="00801446"/>
    <w:rsid w:val="008014DD"/>
    <w:rsid w:val="008015A2"/>
    <w:rsid w:val="008016F9"/>
    <w:rsid w:val="00801D8B"/>
    <w:rsid w:val="00801E03"/>
    <w:rsid w:val="00801F5B"/>
    <w:rsid w:val="0080209A"/>
    <w:rsid w:val="008020ED"/>
    <w:rsid w:val="008021C5"/>
    <w:rsid w:val="00802445"/>
    <w:rsid w:val="008024DB"/>
    <w:rsid w:val="008024F6"/>
    <w:rsid w:val="00802532"/>
    <w:rsid w:val="00802549"/>
    <w:rsid w:val="008025A3"/>
    <w:rsid w:val="008025A5"/>
    <w:rsid w:val="00802B98"/>
    <w:rsid w:val="00802CA2"/>
    <w:rsid w:val="00802D88"/>
    <w:rsid w:val="0080300A"/>
    <w:rsid w:val="0080313A"/>
    <w:rsid w:val="00803160"/>
    <w:rsid w:val="008031F0"/>
    <w:rsid w:val="008032C9"/>
    <w:rsid w:val="008033F7"/>
    <w:rsid w:val="00803464"/>
    <w:rsid w:val="0080350D"/>
    <w:rsid w:val="0080369F"/>
    <w:rsid w:val="00803703"/>
    <w:rsid w:val="008037B9"/>
    <w:rsid w:val="0080384E"/>
    <w:rsid w:val="0080390D"/>
    <w:rsid w:val="00803979"/>
    <w:rsid w:val="008039FB"/>
    <w:rsid w:val="00803A7F"/>
    <w:rsid w:val="00803AC9"/>
    <w:rsid w:val="00803BB3"/>
    <w:rsid w:val="00803D45"/>
    <w:rsid w:val="00803EDC"/>
    <w:rsid w:val="00803F69"/>
    <w:rsid w:val="00804039"/>
    <w:rsid w:val="0080417A"/>
    <w:rsid w:val="00804297"/>
    <w:rsid w:val="008043EA"/>
    <w:rsid w:val="0080443F"/>
    <w:rsid w:val="00804442"/>
    <w:rsid w:val="0080458B"/>
    <w:rsid w:val="008045B3"/>
    <w:rsid w:val="008045E5"/>
    <w:rsid w:val="00804600"/>
    <w:rsid w:val="008046B0"/>
    <w:rsid w:val="008046D3"/>
    <w:rsid w:val="00804749"/>
    <w:rsid w:val="008047EB"/>
    <w:rsid w:val="00804865"/>
    <w:rsid w:val="008048A4"/>
    <w:rsid w:val="008048BC"/>
    <w:rsid w:val="008048F3"/>
    <w:rsid w:val="00804955"/>
    <w:rsid w:val="00804AF3"/>
    <w:rsid w:val="00804B64"/>
    <w:rsid w:val="00804B65"/>
    <w:rsid w:val="00804C1F"/>
    <w:rsid w:val="00804D1E"/>
    <w:rsid w:val="00804E2E"/>
    <w:rsid w:val="00804ED0"/>
    <w:rsid w:val="00804EFB"/>
    <w:rsid w:val="00805269"/>
    <w:rsid w:val="008052C9"/>
    <w:rsid w:val="008053AB"/>
    <w:rsid w:val="00805608"/>
    <w:rsid w:val="008056BD"/>
    <w:rsid w:val="0080571F"/>
    <w:rsid w:val="00805847"/>
    <w:rsid w:val="0080591C"/>
    <w:rsid w:val="00805B4B"/>
    <w:rsid w:val="00805E05"/>
    <w:rsid w:val="00805E11"/>
    <w:rsid w:val="00805F10"/>
    <w:rsid w:val="00805F9F"/>
    <w:rsid w:val="00805FD9"/>
    <w:rsid w:val="00806177"/>
    <w:rsid w:val="008061E9"/>
    <w:rsid w:val="0080622C"/>
    <w:rsid w:val="0080638C"/>
    <w:rsid w:val="008063DD"/>
    <w:rsid w:val="008064B6"/>
    <w:rsid w:val="008065A2"/>
    <w:rsid w:val="00806603"/>
    <w:rsid w:val="00806985"/>
    <w:rsid w:val="00806B54"/>
    <w:rsid w:val="00806BD7"/>
    <w:rsid w:val="00806C91"/>
    <w:rsid w:val="00806CBF"/>
    <w:rsid w:val="00806D83"/>
    <w:rsid w:val="00806E4D"/>
    <w:rsid w:val="00806F8B"/>
    <w:rsid w:val="00806F9F"/>
    <w:rsid w:val="0080704C"/>
    <w:rsid w:val="00807084"/>
    <w:rsid w:val="0080747A"/>
    <w:rsid w:val="0080763D"/>
    <w:rsid w:val="008076E9"/>
    <w:rsid w:val="0080772C"/>
    <w:rsid w:val="00807797"/>
    <w:rsid w:val="0080792F"/>
    <w:rsid w:val="0080795C"/>
    <w:rsid w:val="00807B04"/>
    <w:rsid w:val="00807B3D"/>
    <w:rsid w:val="00807C58"/>
    <w:rsid w:val="00807E11"/>
    <w:rsid w:val="00807E4F"/>
    <w:rsid w:val="0081031F"/>
    <w:rsid w:val="008105C4"/>
    <w:rsid w:val="00810725"/>
    <w:rsid w:val="008107C3"/>
    <w:rsid w:val="00810816"/>
    <w:rsid w:val="00810827"/>
    <w:rsid w:val="0081092C"/>
    <w:rsid w:val="008109F1"/>
    <w:rsid w:val="00810F91"/>
    <w:rsid w:val="00810FA0"/>
    <w:rsid w:val="00811280"/>
    <w:rsid w:val="008112E2"/>
    <w:rsid w:val="00811462"/>
    <w:rsid w:val="008114DA"/>
    <w:rsid w:val="0081161A"/>
    <w:rsid w:val="008116B1"/>
    <w:rsid w:val="008116EC"/>
    <w:rsid w:val="0081175C"/>
    <w:rsid w:val="00811788"/>
    <w:rsid w:val="008117EE"/>
    <w:rsid w:val="008119FA"/>
    <w:rsid w:val="00811AAF"/>
    <w:rsid w:val="00811AC8"/>
    <w:rsid w:val="00811AD1"/>
    <w:rsid w:val="00811AF9"/>
    <w:rsid w:val="00811B86"/>
    <w:rsid w:val="00812171"/>
    <w:rsid w:val="00812207"/>
    <w:rsid w:val="0081230A"/>
    <w:rsid w:val="008123C9"/>
    <w:rsid w:val="008123CC"/>
    <w:rsid w:val="008124AE"/>
    <w:rsid w:val="00812558"/>
    <w:rsid w:val="008126D4"/>
    <w:rsid w:val="0081275B"/>
    <w:rsid w:val="0081281C"/>
    <w:rsid w:val="00812876"/>
    <w:rsid w:val="008128C8"/>
    <w:rsid w:val="008129B8"/>
    <w:rsid w:val="00812B40"/>
    <w:rsid w:val="00812BFE"/>
    <w:rsid w:val="00812C0F"/>
    <w:rsid w:val="00812C60"/>
    <w:rsid w:val="00812D74"/>
    <w:rsid w:val="00812D94"/>
    <w:rsid w:val="00812ED5"/>
    <w:rsid w:val="00812EF7"/>
    <w:rsid w:val="00812EFD"/>
    <w:rsid w:val="00812F47"/>
    <w:rsid w:val="00812FB4"/>
    <w:rsid w:val="00813099"/>
    <w:rsid w:val="0081343F"/>
    <w:rsid w:val="00813529"/>
    <w:rsid w:val="00813573"/>
    <w:rsid w:val="008136B0"/>
    <w:rsid w:val="00813961"/>
    <w:rsid w:val="00813A8E"/>
    <w:rsid w:val="00813AC8"/>
    <w:rsid w:val="00813AE9"/>
    <w:rsid w:val="00813CDA"/>
    <w:rsid w:val="00813E15"/>
    <w:rsid w:val="00813F1A"/>
    <w:rsid w:val="00813FA5"/>
    <w:rsid w:val="008140B8"/>
    <w:rsid w:val="0081413F"/>
    <w:rsid w:val="00814189"/>
    <w:rsid w:val="0081424C"/>
    <w:rsid w:val="00814314"/>
    <w:rsid w:val="00814370"/>
    <w:rsid w:val="008143B6"/>
    <w:rsid w:val="008143DE"/>
    <w:rsid w:val="00814484"/>
    <w:rsid w:val="008144E6"/>
    <w:rsid w:val="008144F9"/>
    <w:rsid w:val="00814519"/>
    <w:rsid w:val="0081468A"/>
    <w:rsid w:val="00814696"/>
    <w:rsid w:val="0081469B"/>
    <w:rsid w:val="008146DD"/>
    <w:rsid w:val="008148D7"/>
    <w:rsid w:val="0081493A"/>
    <w:rsid w:val="00814946"/>
    <w:rsid w:val="00814A5A"/>
    <w:rsid w:val="00814C86"/>
    <w:rsid w:val="00814D25"/>
    <w:rsid w:val="00814D3F"/>
    <w:rsid w:val="00814D69"/>
    <w:rsid w:val="00814E17"/>
    <w:rsid w:val="00814E18"/>
    <w:rsid w:val="00814E54"/>
    <w:rsid w:val="00814E84"/>
    <w:rsid w:val="0081501E"/>
    <w:rsid w:val="008150A7"/>
    <w:rsid w:val="00815122"/>
    <w:rsid w:val="008152E6"/>
    <w:rsid w:val="0081535A"/>
    <w:rsid w:val="00815462"/>
    <w:rsid w:val="0081546A"/>
    <w:rsid w:val="00815513"/>
    <w:rsid w:val="00815570"/>
    <w:rsid w:val="0081571D"/>
    <w:rsid w:val="008159AA"/>
    <w:rsid w:val="00815A00"/>
    <w:rsid w:val="00815A6B"/>
    <w:rsid w:val="00815B35"/>
    <w:rsid w:val="00815E34"/>
    <w:rsid w:val="00815E53"/>
    <w:rsid w:val="00815E89"/>
    <w:rsid w:val="0081601C"/>
    <w:rsid w:val="00816155"/>
    <w:rsid w:val="00816209"/>
    <w:rsid w:val="00816231"/>
    <w:rsid w:val="008165D7"/>
    <w:rsid w:val="00816643"/>
    <w:rsid w:val="00816855"/>
    <w:rsid w:val="008169F5"/>
    <w:rsid w:val="00816A8D"/>
    <w:rsid w:val="00816AAB"/>
    <w:rsid w:val="00816AF3"/>
    <w:rsid w:val="00816C53"/>
    <w:rsid w:val="00816D08"/>
    <w:rsid w:val="00816DFA"/>
    <w:rsid w:val="00816E0B"/>
    <w:rsid w:val="00817094"/>
    <w:rsid w:val="008170E7"/>
    <w:rsid w:val="00817140"/>
    <w:rsid w:val="00817326"/>
    <w:rsid w:val="00817395"/>
    <w:rsid w:val="008173D6"/>
    <w:rsid w:val="008177B8"/>
    <w:rsid w:val="008179CE"/>
    <w:rsid w:val="008179EC"/>
    <w:rsid w:val="00817AE2"/>
    <w:rsid w:val="00817CF8"/>
    <w:rsid w:val="00817D4D"/>
    <w:rsid w:val="00817E30"/>
    <w:rsid w:val="00817F09"/>
    <w:rsid w:val="00817F6D"/>
    <w:rsid w:val="00817FF3"/>
    <w:rsid w:val="0082027B"/>
    <w:rsid w:val="0082036A"/>
    <w:rsid w:val="00820422"/>
    <w:rsid w:val="008206E2"/>
    <w:rsid w:val="008206FA"/>
    <w:rsid w:val="00820742"/>
    <w:rsid w:val="008207C5"/>
    <w:rsid w:val="0082081A"/>
    <w:rsid w:val="008208B9"/>
    <w:rsid w:val="00820A10"/>
    <w:rsid w:val="00820A12"/>
    <w:rsid w:val="00820A2D"/>
    <w:rsid w:val="00820BA6"/>
    <w:rsid w:val="00820BC4"/>
    <w:rsid w:val="00820C13"/>
    <w:rsid w:val="00820F28"/>
    <w:rsid w:val="008211CA"/>
    <w:rsid w:val="00821209"/>
    <w:rsid w:val="00821268"/>
    <w:rsid w:val="00821517"/>
    <w:rsid w:val="008215C3"/>
    <w:rsid w:val="00821724"/>
    <w:rsid w:val="0082173A"/>
    <w:rsid w:val="008217C1"/>
    <w:rsid w:val="00821889"/>
    <w:rsid w:val="00821935"/>
    <w:rsid w:val="00821969"/>
    <w:rsid w:val="00821A2F"/>
    <w:rsid w:val="00821B34"/>
    <w:rsid w:val="00821B51"/>
    <w:rsid w:val="00821B92"/>
    <w:rsid w:val="00821B95"/>
    <w:rsid w:val="00821CF0"/>
    <w:rsid w:val="00821D79"/>
    <w:rsid w:val="00821E47"/>
    <w:rsid w:val="00821E66"/>
    <w:rsid w:val="00821F15"/>
    <w:rsid w:val="00822165"/>
    <w:rsid w:val="00822220"/>
    <w:rsid w:val="0082265A"/>
    <w:rsid w:val="008228C8"/>
    <w:rsid w:val="0082292E"/>
    <w:rsid w:val="008229BF"/>
    <w:rsid w:val="00822DB4"/>
    <w:rsid w:val="00822E90"/>
    <w:rsid w:val="00822EB7"/>
    <w:rsid w:val="00822F88"/>
    <w:rsid w:val="008231FC"/>
    <w:rsid w:val="0082325C"/>
    <w:rsid w:val="00823383"/>
    <w:rsid w:val="00823428"/>
    <w:rsid w:val="008234B6"/>
    <w:rsid w:val="00823569"/>
    <w:rsid w:val="0082359D"/>
    <w:rsid w:val="008235A9"/>
    <w:rsid w:val="00823825"/>
    <w:rsid w:val="00823875"/>
    <w:rsid w:val="00823A4C"/>
    <w:rsid w:val="00823A66"/>
    <w:rsid w:val="00823AF4"/>
    <w:rsid w:val="00823B66"/>
    <w:rsid w:val="00823DB6"/>
    <w:rsid w:val="00823E0D"/>
    <w:rsid w:val="00823E85"/>
    <w:rsid w:val="00823ED0"/>
    <w:rsid w:val="00823F61"/>
    <w:rsid w:val="00823F76"/>
    <w:rsid w:val="00824012"/>
    <w:rsid w:val="00824079"/>
    <w:rsid w:val="008241B6"/>
    <w:rsid w:val="0082432B"/>
    <w:rsid w:val="00824345"/>
    <w:rsid w:val="0082443E"/>
    <w:rsid w:val="008244CE"/>
    <w:rsid w:val="008245D8"/>
    <w:rsid w:val="008245EC"/>
    <w:rsid w:val="008245F4"/>
    <w:rsid w:val="00824620"/>
    <w:rsid w:val="0082464E"/>
    <w:rsid w:val="00824706"/>
    <w:rsid w:val="008247C4"/>
    <w:rsid w:val="008248BD"/>
    <w:rsid w:val="00824A5D"/>
    <w:rsid w:val="00824A9E"/>
    <w:rsid w:val="00824AFC"/>
    <w:rsid w:val="00824C63"/>
    <w:rsid w:val="00824E15"/>
    <w:rsid w:val="00824EB1"/>
    <w:rsid w:val="0082516E"/>
    <w:rsid w:val="00825289"/>
    <w:rsid w:val="0082537B"/>
    <w:rsid w:val="008253A7"/>
    <w:rsid w:val="008253D9"/>
    <w:rsid w:val="008253E7"/>
    <w:rsid w:val="0082551E"/>
    <w:rsid w:val="008256E6"/>
    <w:rsid w:val="00825885"/>
    <w:rsid w:val="008259E3"/>
    <w:rsid w:val="00825A66"/>
    <w:rsid w:val="00825BC9"/>
    <w:rsid w:val="00825BE4"/>
    <w:rsid w:val="00825C95"/>
    <w:rsid w:val="00825DC2"/>
    <w:rsid w:val="00825E10"/>
    <w:rsid w:val="00825E8D"/>
    <w:rsid w:val="00825EAB"/>
    <w:rsid w:val="00825F27"/>
    <w:rsid w:val="00826004"/>
    <w:rsid w:val="008260BF"/>
    <w:rsid w:val="008260FD"/>
    <w:rsid w:val="008262C1"/>
    <w:rsid w:val="00826332"/>
    <w:rsid w:val="008265E8"/>
    <w:rsid w:val="0082684A"/>
    <w:rsid w:val="0082697A"/>
    <w:rsid w:val="008269AF"/>
    <w:rsid w:val="00826A28"/>
    <w:rsid w:val="00826A5D"/>
    <w:rsid w:val="00826C30"/>
    <w:rsid w:val="00826D27"/>
    <w:rsid w:val="0082700D"/>
    <w:rsid w:val="0082704A"/>
    <w:rsid w:val="00827219"/>
    <w:rsid w:val="0082756F"/>
    <w:rsid w:val="00827586"/>
    <w:rsid w:val="00827622"/>
    <w:rsid w:val="00827630"/>
    <w:rsid w:val="008277BC"/>
    <w:rsid w:val="0082784A"/>
    <w:rsid w:val="008278CE"/>
    <w:rsid w:val="008278E9"/>
    <w:rsid w:val="00827962"/>
    <w:rsid w:val="008279BC"/>
    <w:rsid w:val="00827B52"/>
    <w:rsid w:val="00827BB3"/>
    <w:rsid w:val="00827C92"/>
    <w:rsid w:val="00827D93"/>
    <w:rsid w:val="00827DCF"/>
    <w:rsid w:val="00827ED0"/>
    <w:rsid w:val="00827F1E"/>
    <w:rsid w:val="008300AE"/>
    <w:rsid w:val="008300AF"/>
    <w:rsid w:val="0083010E"/>
    <w:rsid w:val="00830131"/>
    <w:rsid w:val="00830413"/>
    <w:rsid w:val="00830533"/>
    <w:rsid w:val="0083054C"/>
    <w:rsid w:val="0083055B"/>
    <w:rsid w:val="0083059F"/>
    <w:rsid w:val="008306C4"/>
    <w:rsid w:val="008306EC"/>
    <w:rsid w:val="0083075F"/>
    <w:rsid w:val="008307B4"/>
    <w:rsid w:val="008307BD"/>
    <w:rsid w:val="008308C0"/>
    <w:rsid w:val="008308D3"/>
    <w:rsid w:val="008309D8"/>
    <w:rsid w:val="00830C94"/>
    <w:rsid w:val="00830D36"/>
    <w:rsid w:val="00830D8D"/>
    <w:rsid w:val="008310FE"/>
    <w:rsid w:val="0083112C"/>
    <w:rsid w:val="00831324"/>
    <w:rsid w:val="008314B6"/>
    <w:rsid w:val="00831620"/>
    <w:rsid w:val="00831642"/>
    <w:rsid w:val="00831665"/>
    <w:rsid w:val="008316D5"/>
    <w:rsid w:val="00831715"/>
    <w:rsid w:val="0083181F"/>
    <w:rsid w:val="00831944"/>
    <w:rsid w:val="00831952"/>
    <w:rsid w:val="00831BF5"/>
    <w:rsid w:val="00831CDD"/>
    <w:rsid w:val="00832307"/>
    <w:rsid w:val="00832376"/>
    <w:rsid w:val="00832773"/>
    <w:rsid w:val="0083289F"/>
    <w:rsid w:val="00832AD7"/>
    <w:rsid w:val="00832BA8"/>
    <w:rsid w:val="00832E89"/>
    <w:rsid w:val="00832F9C"/>
    <w:rsid w:val="00833244"/>
    <w:rsid w:val="0083338D"/>
    <w:rsid w:val="008335F2"/>
    <w:rsid w:val="00833894"/>
    <w:rsid w:val="008338B1"/>
    <w:rsid w:val="00833A4E"/>
    <w:rsid w:val="00833AAA"/>
    <w:rsid w:val="00833AEF"/>
    <w:rsid w:val="00833B47"/>
    <w:rsid w:val="00833C49"/>
    <w:rsid w:val="00833C70"/>
    <w:rsid w:val="00833D47"/>
    <w:rsid w:val="00833DD4"/>
    <w:rsid w:val="00833EE9"/>
    <w:rsid w:val="00833EF1"/>
    <w:rsid w:val="00834108"/>
    <w:rsid w:val="00834161"/>
    <w:rsid w:val="00834243"/>
    <w:rsid w:val="00834266"/>
    <w:rsid w:val="00834294"/>
    <w:rsid w:val="008346F0"/>
    <w:rsid w:val="00834932"/>
    <w:rsid w:val="00834D2A"/>
    <w:rsid w:val="00834E78"/>
    <w:rsid w:val="00834E9B"/>
    <w:rsid w:val="00835161"/>
    <w:rsid w:val="00835178"/>
    <w:rsid w:val="0083517D"/>
    <w:rsid w:val="008351BA"/>
    <w:rsid w:val="00835214"/>
    <w:rsid w:val="00835287"/>
    <w:rsid w:val="008352DE"/>
    <w:rsid w:val="008352FF"/>
    <w:rsid w:val="00835370"/>
    <w:rsid w:val="00835581"/>
    <w:rsid w:val="008355F9"/>
    <w:rsid w:val="0083568A"/>
    <w:rsid w:val="008356BA"/>
    <w:rsid w:val="00835B47"/>
    <w:rsid w:val="00835C48"/>
    <w:rsid w:val="00835D73"/>
    <w:rsid w:val="00835F34"/>
    <w:rsid w:val="00836062"/>
    <w:rsid w:val="00836104"/>
    <w:rsid w:val="0083615B"/>
    <w:rsid w:val="008361B4"/>
    <w:rsid w:val="008361C8"/>
    <w:rsid w:val="0083627F"/>
    <w:rsid w:val="0083634C"/>
    <w:rsid w:val="0083636D"/>
    <w:rsid w:val="008363A4"/>
    <w:rsid w:val="008364AC"/>
    <w:rsid w:val="00836504"/>
    <w:rsid w:val="0083650A"/>
    <w:rsid w:val="00836582"/>
    <w:rsid w:val="008365DA"/>
    <w:rsid w:val="008366B0"/>
    <w:rsid w:val="008367AB"/>
    <w:rsid w:val="00836B08"/>
    <w:rsid w:val="00836E8D"/>
    <w:rsid w:val="00836FE2"/>
    <w:rsid w:val="0083718E"/>
    <w:rsid w:val="00837334"/>
    <w:rsid w:val="00837343"/>
    <w:rsid w:val="008376C3"/>
    <w:rsid w:val="008378AE"/>
    <w:rsid w:val="008378E1"/>
    <w:rsid w:val="008378EC"/>
    <w:rsid w:val="00837935"/>
    <w:rsid w:val="008379C5"/>
    <w:rsid w:val="008379E5"/>
    <w:rsid w:val="00837A88"/>
    <w:rsid w:val="00837D8F"/>
    <w:rsid w:val="00837F13"/>
    <w:rsid w:val="00837F4E"/>
    <w:rsid w:val="00837FA2"/>
    <w:rsid w:val="00837FB0"/>
    <w:rsid w:val="00837FEA"/>
    <w:rsid w:val="00837FF1"/>
    <w:rsid w:val="0084014D"/>
    <w:rsid w:val="008401D3"/>
    <w:rsid w:val="00840209"/>
    <w:rsid w:val="00840268"/>
    <w:rsid w:val="0084029C"/>
    <w:rsid w:val="008402ED"/>
    <w:rsid w:val="0084033E"/>
    <w:rsid w:val="00840535"/>
    <w:rsid w:val="00840549"/>
    <w:rsid w:val="008407F3"/>
    <w:rsid w:val="008408FB"/>
    <w:rsid w:val="0084091A"/>
    <w:rsid w:val="008409A7"/>
    <w:rsid w:val="00840A4E"/>
    <w:rsid w:val="00840A88"/>
    <w:rsid w:val="00840B4A"/>
    <w:rsid w:val="00840F84"/>
    <w:rsid w:val="008410E6"/>
    <w:rsid w:val="00841109"/>
    <w:rsid w:val="008411BC"/>
    <w:rsid w:val="008411C5"/>
    <w:rsid w:val="0084123D"/>
    <w:rsid w:val="008412D6"/>
    <w:rsid w:val="00841364"/>
    <w:rsid w:val="008413E1"/>
    <w:rsid w:val="00841466"/>
    <w:rsid w:val="008414C3"/>
    <w:rsid w:val="008415D2"/>
    <w:rsid w:val="008417E6"/>
    <w:rsid w:val="00841834"/>
    <w:rsid w:val="00841A09"/>
    <w:rsid w:val="00841D74"/>
    <w:rsid w:val="00841DC3"/>
    <w:rsid w:val="00841DE6"/>
    <w:rsid w:val="00841E04"/>
    <w:rsid w:val="00841FF5"/>
    <w:rsid w:val="0084202B"/>
    <w:rsid w:val="008422EE"/>
    <w:rsid w:val="00842710"/>
    <w:rsid w:val="008427D8"/>
    <w:rsid w:val="0084284D"/>
    <w:rsid w:val="00842993"/>
    <w:rsid w:val="00842AE9"/>
    <w:rsid w:val="00842B9C"/>
    <w:rsid w:val="00842BFE"/>
    <w:rsid w:val="00842C2B"/>
    <w:rsid w:val="00842CBA"/>
    <w:rsid w:val="00842DD4"/>
    <w:rsid w:val="00842F37"/>
    <w:rsid w:val="00842FA8"/>
    <w:rsid w:val="00842FEB"/>
    <w:rsid w:val="0084301B"/>
    <w:rsid w:val="00843126"/>
    <w:rsid w:val="00843193"/>
    <w:rsid w:val="00843198"/>
    <w:rsid w:val="008431F0"/>
    <w:rsid w:val="008431F8"/>
    <w:rsid w:val="008434ED"/>
    <w:rsid w:val="008436BE"/>
    <w:rsid w:val="008436EC"/>
    <w:rsid w:val="00843816"/>
    <w:rsid w:val="008438BF"/>
    <w:rsid w:val="0084394D"/>
    <w:rsid w:val="00843969"/>
    <w:rsid w:val="00843A54"/>
    <w:rsid w:val="00843BC7"/>
    <w:rsid w:val="00843CAF"/>
    <w:rsid w:val="00843CF2"/>
    <w:rsid w:val="00843D82"/>
    <w:rsid w:val="00843E32"/>
    <w:rsid w:val="00843E3F"/>
    <w:rsid w:val="00843F7D"/>
    <w:rsid w:val="008442E0"/>
    <w:rsid w:val="00844309"/>
    <w:rsid w:val="00844380"/>
    <w:rsid w:val="0084441E"/>
    <w:rsid w:val="00844496"/>
    <w:rsid w:val="008445BA"/>
    <w:rsid w:val="008446B9"/>
    <w:rsid w:val="00844813"/>
    <w:rsid w:val="008449CE"/>
    <w:rsid w:val="00844AB9"/>
    <w:rsid w:val="00844BF1"/>
    <w:rsid w:val="00844BFE"/>
    <w:rsid w:val="00844CFD"/>
    <w:rsid w:val="00844E54"/>
    <w:rsid w:val="00844EC7"/>
    <w:rsid w:val="00845058"/>
    <w:rsid w:val="0084524D"/>
    <w:rsid w:val="00845255"/>
    <w:rsid w:val="00845289"/>
    <w:rsid w:val="0084530E"/>
    <w:rsid w:val="008453EE"/>
    <w:rsid w:val="00845468"/>
    <w:rsid w:val="0084548C"/>
    <w:rsid w:val="008454B6"/>
    <w:rsid w:val="00845508"/>
    <w:rsid w:val="00845743"/>
    <w:rsid w:val="008458AA"/>
    <w:rsid w:val="008458B6"/>
    <w:rsid w:val="008458B7"/>
    <w:rsid w:val="0084592B"/>
    <w:rsid w:val="00845990"/>
    <w:rsid w:val="00845B89"/>
    <w:rsid w:val="00845E25"/>
    <w:rsid w:val="00845EBA"/>
    <w:rsid w:val="00845F1B"/>
    <w:rsid w:val="008461B0"/>
    <w:rsid w:val="00846458"/>
    <w:rsid w:val="008464F2"/>
    <w:rsid w:val="0084658E"/>
    <w:rsid w:val="0084669E"/>
    <w:rsid w:val="008467AA"/>
    <w:rsid w:val="0084688C"/>
    <w:rsid w:val="00846AEC"/>
    <w:rsid w:val="00846BA9"/>
    <w:rsid w:val="00846BC8"/>
    <w:rsid w:val="00846CA5"/>
    <w:rsid w:val="00846D79"/>
    <w:rsid w:val="00846DA2"/>
    <w:rsid w:val="00846DDC"/>
    <w:rsid w:val="00846E25"/>
    <w:rsid w:val="00846E2D"/>
    <w:rsid w:val="00846E6E"/>
    <w:rsid w:val="00846EB2"/>
    <w:rsid w:val="008471BD"/>
    <w:rsid w:val="00847227"/>
    <w:rsid w:val="0084724A"/>
    <w:rsid w:val="00847270"/>
    <w:rsid w:val="00847350"/>
    <w:rsid w:val="0084742D"/>
    <w:rsid w:val="00847478"/>
    <w:rsid w:val="008474C5"/>
    <w:rsid w:val="0084755B"/>
    <w:rsid w:val="00847658"/>
    <w:rsid w:val="00847724"/>
    <w:rsid w:val="008479B6"/>
    <w:rsid w:val="00847AAA"/>
    <w:rsid w:val="00847ABA"/>
    <w:rsid w:val="00847AF3"/>
    <w:rsid w:val="00847B9D"/>
    <w:rsid w:val="00847BE4"/>
    <w:rsid w:val="00847D5D"/>
    <w:rsid w:val="00847F37"/>
    <w:rsid w:val="00847F40"/>
    <w:rsid w:val="00850262"/>
    <w:rsid w:val="0085064B"/>
    <w:rsid w:val="00850674"/>
    <w:rsid w:val="00850713"/>
    <w:rsid w:val="00850833"/>
    <w:rsid w:val="00850B85"/>
    <w:rsid w:val="00850C48"/>
    <w:rsid w:val="00850C4E"/>
    <w:rsid w:val="00850D0F"/>
    <w:rsid w:val="00850D7E"/>
    <w:rsid w:val="00850E1D"/>
    <w:rsid w:val="00850FE4"/>
    <w:rsid w:val="00851047"/>
    <w:rsid w:val="0085111A"/>
    <w:rsid w:val="0085117B"/>
    <w:rsid w:val="0085129F"/>
    <w:rsid w:val="008514C2"/>
    <w:rsid w:val="00851605"/>
    <w:rsid w:val="0085172C"/>
    <w:rsid w:val="008519DE"/>
    <w:rsid w:val="00851B31"/>
    <w:rsid w:val="00851BFB"/>
    <w:rsid w:val="00851D1A"/>
    <w:rsid w:val="00851D20"/>
    <w:rsid w:val="00851E16"/>
    <w:rsid w:val="00851F82"/>
    <w:rsid w:val="008520B0"/>
    <w:rsid w:val="008520E6"/>
    <w:rsid w:val="008520FA"/>
    <w:rsid w:val="008521C4"/>
    <w:rsid w:val="0085224F"/>
    <w:rsid w:val="0085233F"/>
    <w:rsid w:val="0085247B"/>
    <w:rsid w:val="008524D5"/>
    <w:rsid w:val="008528C9"/>
    <w:rsid w:val="008529BB"/>
    <w:rsid w:val="00852B65"/>
    <w:rsid w:val="00852C8F"/>
    <w:rsid w:val="00852CD9"/>
    <w:rsid w:val="00852E09"/>
    <w:rsid w:val="00852F3B"/>
    <w:rsid w:val="00852F8F"/>
    <w:rsid w:val="0085318D"/>
    <w:rsid w:val="008531B5"/>
    <w:rsid w:val="008531FE"/>
    <w:rsid w:val="00853432"/>
    <w:rsid w:val="0085346B"/>
    <w:rsid w:val="0085357D"/>
    <w:rsid w:val="008536B3"/>
    <w:rsid w:val="00853A1D"/>
    <w:rsid w:val="00853C56"/>
    <w:rsid w:val="00853D5E"/>
    <w:rsid w:val="00853E0C"/>
    <w:rsid w:val="008540C6"/>
    <w:rsid w:val="00854110"/>
    <w:rsid w:val="0085426E"/>
    <w:rsid w:val="0085428C"/>
    <w:rsid w:val="008542EC"/>
    <w:rsid w:val="00854420"/>
    <w:rsid w:val="008545B1"/>
    <w:rsid w:val="00854B08"/>
    <w:rsid w:val="00854D02"/>
    <w:rsid w:val="00854FC3"/>
    <w:rsid w:val="00855071"/>
    <w:rsid w:val="00855145"/>
    <w:rsid w:val="008551AA"/>
    <w:rsid w:val="008551EB"/>
    <w:rsid w:val="008552D2"/>
    <w:rsid w:val="008553C2"/>
    <w:rsid w:val="00855464"/>
    <w:rsid w:val="008555A9"/>
    <w:rsid w:val="008555CC"/>
    <w:rsid w:val="00855618"/>
    <w:rsid w:val="008556D4"/>
    <w:rsid w:val="0085578D"/>
    <w:rsid w:val="008557CE"/>
    <w:rsid w:val="0085595A"/>
    <w:rsid w:val="00855998"/>
    <w:rsid w:val="00855D3F"/>
    <w:rsid w:val="00855D5A"/>
    <w:rsid w:val="00855DB3"/>
    <w:rsid w:val="00855FA6"/>
    <w:rsid w:val="00856014"/>
    <w:rsid w:val="008560E5"/>
    <w:rsid w:val="008561A0"/>
    <w:rsid w:val="008561F1"/>
    <w:rsid w:val="00856454"/>
    <w:rsid w:val="0085645A"/>
    <w:rsid w:val="00856479"/>
    <w:rsid w:val="008565D2"/>
    <w:rsid w:val="00856613"/>
    <w:rsid w:val="008566BA"/>
    <w:rsid w:val="008566FB"/>
    <w:rsid w:val="0085672F"/>
    <w:rsid w:val="00856734"/>
    <w:rsid w:val="0085674A"/>
    <w:rsid w:val="008567B0"/>
    <w:rsid w:val="0085681C"/>
    <w:rsid w:val="0085682B"/>
    <w:rsid w:val="00856875"/>
    <w:rsid w:val="008568F5"/>
    <w:rsid w:val="00856B32"/>
    <w:rsid w:val="00856BC1"/>
    <w:rsid w:val="00856C22"/>
    <w:rsid w:val="00856F72"/>
    <w:rsid w:val="00856FFD"/>
    <w:rsid w:val="00857033"/>
    <w:rsid w:val="008570A7"/>
    <w:rsid w:val="008570C2"/>
    <w:rsid w:val="00857259"/>
    <w:rsid w:val="0085765A"/>
    <w:rsid w:val="00857788"/>
    <w:rsid w:val="0085779C"/>
    <w:rsid w:val="0085783E"/>
    <w:rsid w:val="008578D5"/>
    <w:rsid w:val="00857969"/>
    <w:rsid w:val="008579D9"/>
    <w:rsid w:val="00857A1D"/>
    <w:rsid w:val="00857B5F"/>
    <w:rsid w:val="00857BC2"/>
    <w:rsid w:val="00857BD0"/>
    <w:rsid w:val="00857DA6"/>
    <w:rsid w:val="00857E94"/>
    <w:rsid w:val="00860016"/>
    <w:rsid w:val="0086005A"/>
    <w:rsid w:val="00860090"/>
    <w:rsid w:val="0086021A"/>
    <w:rsid w:val="008602B6"/>
    <w:rsid w:val="0086031C"/>
    <w:rsid w:val="008603AF"/>
    <w:rsid w:val="0086072B"/>
    <w:rsid w:val="008607E4"/>
    <w:rsid w:val="008609E0"/>
    <w:rsid w:val="00860AE8"/>
    <w:rsid w:val="00860B28"/>
    <w:rsid w:val="00860DE4"/>
    <w:rsid w:val="00860E30"/>
    <w:rsid w:val="00860E3F"/>
    <w:rsid w:val="00860EC5"/>
    <w:rsid w:val="00860ECC"/>
    <w:rsid w:val="00860F32"/>
    <w:rsid w:val="00860F36"/>
    <w:rsid w:val="00861095"/>
    <w:rsid w:val="008611A7"/>
    <w:rsid w:val="00861312"/>
    <w:rsid w:val="00861370"/>
    <w:rsid w:val="00861405"/>
    <w:rsid w:val="00861420"/>
    <w:rsid w:val="00861589"/>
    <w:rsid w:val="00861724"/>
    <w:rsid w:val="00861946"/>
    <w:rsid w:val="00861A95"/>
    <w:rsid w:val="00861B3E"/>
    <w:rsid w:val="00861CC6"/>
    <w:rsid w:val="00861CCB"/>
    <w:rsid w:val="00861D78"/>
    <w:rsid w:val="00861D84"/>
    <w:rsid w:val="00861F5B"/>
    <w:rsid w:val="00861F70"/>
    <w:rsid w:val="00861FA9"/>
    <w:rsid w:val="00861FFE"/>
    <w:rsid w:val="0086209F"/>
    <w:rsid w:val="008621B8"/>
    <w:rsid w:val="00862276"/>
    <w:rsid w:val="008622DC"/>
    <w:rsid w:val="008623A2"/>
    <w:rsid w:val="0086242B"/>
    <w:rsid w:val="008626D8"/>
    <w:rsid w:val="008627E5"/>
    <w:rsid w:val="00862872"/>
    <w:rsid w:val="0086296F"/>
    <w:rsid w:val="00862DF0"/>
    <w:rsid w:val="00862E33"/>
    <w:rsid w:val="00862E4D"/>
    <w:rsid w:val="00862EF1"/>
    <w:rsid w:val="00862F4B"/>
    <w:rsid w:val="00862FBA"/>
    <w:rsid w:val="00863078"/>
    <w:rsid w:val="0086312A"/>
    <w:rsid w:val="00863596"/>
    <w:rsid w:val="00863644"/>
    <w:rsid w:val="00863709"/>
    <w:rsid w:val="00863765"/>
    <w:rsid w:val="008638AA"/>
    <w:rsid w:val="0086397D"/>
    <w:rsid w:val="008639E1"/>
    <w:rsid w:val="00863C77"/>
    <w:rsid w:val="00863E67"/>
    <w:rsid w:val="00863ECD"/>
    <w:rsid w:val="00863FEC"/>
    <w:rsid w:val="00864037"/>
    <w:rsid w:val="0086410E"/>
    <w:rsid w:val="00864168"/>
    <w:rsid w:val="0086417A"/>
    <w:rsid w:val="00864182"/>
    <w:rsid w:val="008641B6"/>
    <w:rsid w:val="008642A2"/>
    <w:rsid w:val="008642FF"/>
    <w:rsid w:val="00864718"/>
    <w:rsid w:val="00864906"/>
    <w:rsid w:val="00864973"/>
    <w:rsid w:val="008649A8"/>
    <w:rsid w:val="00864B0A"/>
    <w:rsid w:val="00864CC8"/>
    <w:rsid w:val="00864E04"/>
    <w:rsid w:val="00864FA2"/>
    <w:rsid w:val="008650CE"/>
    <w:rsid w:val="00865284"/>
    <w:rsid w:val="00865328"/>
    <w:rsid w:val="0086537E"/>
    <w:rsid w:val="008655DF"/>
    <w:rsid w:val="008657C0"/>
    <w:rsid w:val="00865869"/>
    <w:rsid w:val="00865980"/>
    <w:rsid w:val="00865A1B"/>
    <w:rsid w:val="00865C48"/>
    <w:rsid w:val="00865C94"/>
    <w:rsid w:val="00865CB5"/>
    <w:rsid w:val="00865D27"/>
    <w:rsid w:val="00865DAD"/>
    <w:rsid w:val="00866039"/>
    <w:rsid w:val="0086611C"/>
    <w:rsid w:val="008661F6"/>
    <w:rsid w:val="00866323"/>
    <w:rsid w:val="008665A5"/>
    <w:rsid w:val="008666D0"/>
    <w:rsid w:val="008666D3"/>
    <w:rsid w:val="008668F3"/>
    <w:rsid w:val="00866A44"/>
    <w:rsid w:val="00866B41"/>
    <w:rsid w:val="00866BB3"/>
    <w:rsid w:val="00866BC2"/>
    <w:rsid w:val="00866E21"/>
    <w:rsid w:val="00866E4B"/>
    <w:rsid w:val="00866EDC"/>
    <w:rsid w:val="008671CD"/>
    <w:rsid w:val="0086763B"/>
    <w:rsid w:val="008677FB"/>
    <w:rsid w:val="00867A4C"/>
    <w:rsid w:val="00867AB6"/>
    <w:rsid w:val="00867B11"/>
    <w:rsid w:val="00867CED"/>
    <w:rsid w:val="00867D5A"/>
    <w:rsid w:val="00867E1F"/>
    <w:rsid w:val="00867F08"/>
    <w:rsid w:val="00867FB9"/>
    <w:rsid w:val="008701F1"/>
    <w:rsid w:val="00870268"/>
    <w:rsid w:val="008702B7"/>
    <w:rsid w:val="008702EC"/>
    <w:rsid w:val="0087034E"/>
    <w:rsid w:val="0087035F"/>
    <w:rsid w:val="008703E0"/>
    <w:rsid w:val="0087091F"/>
    <w:rsid w:val="008709F7"/>
    <w:rsid w:val="00870A1C"/>
    <w:rsid w:val="00870A6F"/>
    <w:rsid w:val="00870A72"/>
    <w:rsid w:val="00870CCC"/>
    <w:rsid w:val="00870FC9"/>
    <w:rsid w:val="00870FCC"/>
    <w:rsid w:val="00871051"/>
    <w:rsid w:val="008710BD"/>
    <w:rsid w:val="008710DF"/>
    <w:rsid w:val="008710F3"/>
    <w:rsid w:val="00871205"/>
    <w:rsid w:val="0087128B"/>
    <w:rsid w:val="00871518"/>
    <w:rsid w:val="0087158C"/>
    <w:rsid w:val="0087166F"/>
    <w:rsid w:val="00871745"/>
    <w:rsid w:val="00871790"/>
    <w:rsid w:val="00871813"/>
    <w:rsid w:val="00871880"/>
    <w:rsid w:val="00871A20"/>
    <w:rsid w:val="00871AD2"/>
    <w:rsid w:val="00871B6B"/>
    <w:rsid w:val="00871C66"/>
    <w:rsid w:val="00871CFB"/>
    <w:rsid w:val="00871D56"/>
    <w:rsid w:val="00871D96"/>
    <w:rsid w:val="00871DCE"/>
    <w:rsid w:val="00871ECD"/>
    <w:rsid w:val="008721C4"/>
    <w:rsid w:val="008722F7"/>
    <w:rsid w:val="0087241D"/>
    <w:rsid w:val="00872459"/>
    <w:rsid w:val="008725A9"/>
    <w:rsid w:val="008726DC"/>
    <w:rsid w:val="0087273B"/>
    <w:rsid w:val="008727EC"/>
    <w:rsid w:val="00872825"/>
    <w:rsid w:val="0087291C"/>
    <w:rsid w:val="0087294D"/>
    <w:rsid w:val="00872A49"/>
    <w:rsid w:val="00872B5E"/>
    <w:rsid w:val="00872B95"/>
    <w:rsid w:val="00872CC6"/>
    <w:rsid w:val="00872D60"/>
    <w:rsid w:val="00872E55"/>
    <w:rsid w:val="008730C0"/>
    <w:rsid w:val="008730D0"/>
    <w:rsid w:val="008731F8"/>
    <w:rsid w:val="008734C5"/>
    <w:rsid w:val="00873503"/>
    <w:rsid w:val="00873722"/>
    <w:rsid w:val="00873788"/>
    <w:rsid w:val="00873842"/>
    <w:rsid w:val="00873B60"/>
    <w:rsid w:val="00873E8E"/>
    <w:rsid w:val="00873EC6"/>
    <w:rsid w:val="00874061"/>
    <w:rsid w:val="0087418E"/>
    <w:rsid w:val="00874421"/>
    <w:rsid w:val="008744B5"/>
    <w:rsid w:val="008745B8"/>
    <w:rsid w:val="008747DC"/>
    <w:rsid w:val="008748D3"/>
    <w:rsid w:val="00874925"/>
    <w:rsid w:val="0087495D"/>
    <w:rsid w:val="00874B50"/>
    <w:rsid w:val="00875024"/>
    <w:rsid w:val="0087503F"/>
    <w:rsid w:val="0087513D"/>
    <w:rsid w:val="008751CD"/>
    <w:rsid w:val="008752AB"/>
    <w:rsid w:val="00875325"/>
    <w:rsid w:val="008754B2"/>
    <w:rsid w:val="00875577"/>
    <w:rsid w:val="008755AC"/>
    <w:rsid w:val="00875610"/>
    <w:rsid w:val="00875625"/>
    <w:rsid w:val="00875631"/>
    <w:rsid w:val="008757FD"/>
    <w:rsid w:val="0087597A"/>
    <w:rsid w:val="0087598B"/>
    <w:rsid w:val="008759F5"/>
    <w:rsid w:val="00875A8C"/>
    <w:rsid w:val="00875CE1"/>
    <w:rsid w:val="00875E61"/>
    <w:rsid w:val="00875E96"/>
    <w:rsid w:val="0087603C"/>
    <w:rsid w:val="0087614A"/>
    <w:rsid w:val="00876173"/>
    <w:rsid w:val="00876229"/>
    <w:rsid w:val="00876284"/>
    <w:rsid w:val="00876305"/>
    <w:rsid w:val="0087647C"/>
    <w:rsid w:val="008764F5"/>
    <w:rsid w:val="00876718"/>
    <w:rsid w:val="00876854"/>
    <w:rsid w:val="0087692A"/>
    <w:rsid w:val="008769B6"/>
    <w:rsid w:val="00876B46"/>
    <w:rsid w:val="00876CC1"/>
    <w:rsid w:val="00876DCA"/>
    <w:rsid w:val="00876E47"/>
    <w:rsid w:val="00876F07"/>
    <w:rsid w:val="0087708C"/>
    <w:rsid w:val="008770C3"/>
    <w:rsid w:val="008771B1"/>
    <w:rsid w:val="008771EA"/>
    <w:rsid w:val="0087720C"/>
    <w:rsid w:val="00877349"/>
    <w:rsid w:val="00877361"/>
    <w:rsid w:val="0087743F"/>
    <w:rsid w:val="008774CB"/>
    <w:rsid w:val="00877541"/>
    <w:rsid w:val="0087770A"/>
    <w:rsid w:val="00877891"/>
    <w:rsid w:val="00877997"/>
    <w:rsid w:val="00877CAC"/>
    <w:rsid w:val="00877DC1"/>
    <w:rsid w:val="00877E6C"/>
    <w:rsid w:val="00877FC2"/>
    <w:rsid w:val="008802B3"/>
    <w:rsid w:val="00880324"/>
    <w:rsid w:val="008803EB"/>
    <w:rsid w:val="00880473"/>
    <w:rsid w:val="00880493"/>
    <w:rsid w:val="008804FE"/>
    <w:rsid w:val="00880608"/>
    <w:rsid w:val="00880690"/>
    <w:rsid w:val="00880797"/>
    <w:rsid w:val="0088084B"/>
    <w:rsid w:val="00880978"/>
    <w:rsid w:val="008809BA"/>
    <w:rsid w:val="008809C1"/>
    <w:rsid w:val="00880A24"/>
    <w:rsid w:val="00880A39"/>
    <w:rsid w:val="00880C05"/>
    <w:rsid w:val="00880C13"/>
    <w:rsid w:val="00880C4B"/>
    <w:rsid w:val="00880C75"/>
    <w:rsid w:val="00880CF0"/>
    <w:rsid w:val="00880D0A"/>
    <w:rsid w:val="00880DE2"/>
    <w:rsid w:val="00881309"/>
    <w:rsid w:val="0088149B"/>
    <w:rsid w:val="00881529"/>
    <w:rsid w:val="00881774"/>
    <w:rsid w:val="008817E6"/>
    <w:rsid w:val="00881912"/>
    <w:rsid w:val="00881B63"/>
    <w:rsid w:val="00881BFB"/>
    <w:rsid w:val="00881EBA"/>
    <w:rsid w:val="00881F2F"/>
    <w:rsid w:val="00881F54"/>
    <w:rsid w:val="00881FDD"/>
    <w:rsid w:val="008820B2"/>
    <w:rsid w:val="008820F0"/>
    <w:rsid w:val="008821D9"/>
    <w:rsid w:val="008822FE"/>
    <w:rsid w:val="00882329"/>
    <w:rsid w:val="00882723"/>
    <w:rsid w:val="00882764"/>
    <w:rsid w:val="00882773"/>
    <w:rsid w:val="0088288B"/>
    <w:rsid w:val="00882A5F"/>
    <w:rsid w:val="00882B88"/>
    <w:rsid w:val="00882BC1"/>
    <w:rsid w:val="00882D25"/>
    <w:rsid w:val="00882F44"/>
    <w:rsid w:val="00882F8D"/>
    <w:rsid w:val="008830BF"/>
    <w:rsid w:val="008830CC"/>
    <w:rsid w:val="008830E1"/>
    <w:rsid w:val="00883200"/>
    <w:rsid w:val="0088321C"/>
    <w:rsid w:val="0088336D"/>
    <w:rsid w:val="00883431"/>
    <w:rsid w:val="008834C5"/>
    <w:rsid w:val="0088359C"/>
    <w:rsid w:val="00883701"/>
    <w:rsid w:val="00883722"/>
    <w:rsid w:val="0088385F"/>
    <w:rsid w:val="0088393D"/>
    <w:rsid w:val="008839D7"/>
    <w:rsid w:val="008839DE"/>
    <w:rsid w:val="008839E5"/>
    <w:rsid w:val="00883A57"/>
    <w:rsid w:val="00883C3B"/>
    <w:rsid w:val="00883C90"/>
    <w:rsid w:val="00883CF8"/>
    <w:rsid w:val="00883D64"/>
    <w:rsid w:val="00883D90"/>
    <w:rsid w:val="0088400E"/>
    <w:rsid w:val="00884307"/>
    <w:rsid w:val="00884463"/>
    <w:rsid w:val="00884545"/>
    <w:rsid w:val="00884740"/>
    <w:rsid w:val="0088475E"/>
    <w:rsid w:val="008847A9"/>
    <w:rsid w:val="008848D8"/>
    <w:rsid w:val="00884A8B"/>
    <w:rsid w:val="00884A91"/>
    <w:rsid w:val="00884DC0"/>
    <w:rsid w:val="00884E21"/>
    <w:rsid w:val="00885388"/>
    <w:rsid w:val="008854EF"/>
    <w:rsid w:val="00885615"/>
    <w:rsid w:val="008856C8"/>
    <w:rsid w:val="00885903"/>
    <w:rsid w:val="00885A60"/>
    <w:rsid w:val="00885AB6"/>
    <w:rsid w:val="00885AC2"/>
    <w:rsid w:val="00885D10"/>
    <w:rsid w:val="00885D92"/>
    <w:rsid w:val="00885EA4"/>
    <w:rsid w:val="00885EAB"/>
    <w:rsid w:val="00885EB7"/>
    <w:rsid w:val="00885EBB"/>
    <w:rsid w:val="00885FDD"/>
    <w:rsid w:val="0088600B"/>
    <w:rsid w:val="00886168"/>
    <w:rsid w:val="00886369"/>
    <w:rsid w:val="00886437"/>
    <w:rsid w:val="00886627"/>
    <w:rsid w:val="008866D3"/>
    <w:rsid w:val="008867AE"/>
    <w:rsid w:val="008867B7"/>
    <w:rsid w:val="008867FD"/>
    <w:rsid w:val="0088688F"/>
    <w:rsid w:val="00886940"/>
    <w:rsid w:val="00886A7A"/>
    <w:rsid w:val="00886B4A"/>
    <w:rsid w:val="00886F35"/>
    <w:rsid w:val="00886F9E"/>
    <w:rsid w:val="00886FD4"/>
    <w:rsid w:val="00887142"/>
    <w:rsid w:val="00887186"/>
    <w:rsid w:val="008871E3"/>
    <w:rsid w:val="00887207"/>
    <w:rsid w:val="008872DA"/>
    <w:rsid w:val="0088733B"/>
    <w:rsid w:val="00887587"/>
    <w:rsid w:val="008875AC"/>
    <w:rsid w:val="008875F1"/>
    <w:rsid w:val="00887622"/>
    <w:rsid w:val="008876E5"/>
    <w:rsid w:val="00887AA3"/>
    <w:rsid w:val="00887AB7"/>
    <w:rsid w:val="00887AC0"/>
    <w:rsid w:val="00887B04"/>
    <w:rsid w:val="00887B6B"/>
    <w:rsid w:val="00887BF9"/>
    <w:rsid w:val="00887CC4"/>
    <w:rsid w:val="00887DA0"/>
    <w:rsid w:val="008905C0"/>
    <w:rsid w:val="0089064E"/>
    <w:rsid w:val="00890789"/>
    <w:rsid w:val="00890963"/>
    <w:rsid w:val="00890BE1"/>
    <w:rsid w:val="00890BFD"/>
    <w:rsid w:val="00890BFE"/>
    <w:rsid w:val="00890D4B"/>
    <w:rsid w:val="00890E74"/>
    <w:rsid w:val="00890F4F"/>
    <w:rsid w:val="00890F6C"/>
    <w:rsid w:val="00891248"/>
    <w:rsid w:val="0089131E"/>
    <w:rsid w:val="00891360"/>
    <w:rsid w:val="008913CA"/>
    <w:rsid w:val="008913EF"/>
    <w:rsid w:val="008914F3"/>
    <w:rsid w:val="00891932"/>
    <w:rsid w:val="00891AA3"/>
    <w:rsid w:val="00891AED"/>
    <w:rsid w:val="00891BA7"/>
    <w:rsid w:val="00891C88"/>
    <w:rsid w:val="00891E14"/>
    <w:rsid w:val="00891F8F"/>
    <w:rsid w:val="00892036"/>
    <w:rsid w:val="008921BE"/>
    <w:rsid w:val="00892262"/>
    <w:rsid w:val="008922E5"/>
    <w:rsid w:val="00892415"/>
    <w:rsid w:val="008924BE"/>
    <w:rsid w:val="00892595"/>
    <w:rsid w:val="00892598"/>
    <w:rsid w:val="00892648"/>
    <w:rsid w:val="00892659"/>
    <w:rsid w:val="008926F0"/>
    <w:rsid w:val="0089270A"/>
    <w:rsid w:val="008927F4"/>
    <w:rsid w:val="00892840"/>
    <w:rsid w:val="008928CD"/>
    <w:rsid w:val="0089296D"/>
    <w:rsid w:val="008929B3"/>
    <w:rsid w:val="00892B8E"/>
    <w:rsid w:val="00892C08"/>
    <w:rsid w:val="00892C5D"/>
    <w:rsid w:val="00892CFE"/>
    <w:rsid w:val="00892F11"/>
    <w:rsid w:val="00892F98"/>
    <w:rsid w:val="0089306E"/>
    <w:rsid w:val="008932F8"/>
    <w:rsid w:val="008934DA"/>
    <w:rsid w:val="0089392E"/>
    <w:rsid w:val="00893971"/>
    <w:rsid w:val="00893B06"/>
    <w:rsid w:val="00893B6E"/>
    <w:rsid w:val="00893D29"/>
    <w:rsid w:val="00893DE9"/>
    <w:rsid w:val="00893EEF"/>
    <w:rsid w:val="00893FD4"/>
    <w:rsid w:val="008940B3"/>
    <w:rsid w:val="0089420E"/>
    <w:rsid w:val="00894301"/>
    <w:rsid w:val="00894437"/>
    <w:rsid w:val="0089446E"/>
    <w:rsid w:val="008947C7"/>
    <w:rsid w:val="008947CE"/>
    <w:rsid w:val="008947D6"/>
    <w:rsid w:val="008948F7"/>
    <w:rsid w:val="0089493C"/>
    <w:rsid w:val="00894982"/>
    <w:rsid w:val="00894B73"/>
    <w:rsid w:val="00894B9A"/>
    <w:rsid w:val="00894BEA"/>
    <w:rsid w:val="00894CEF"/>
    <w:rsid w:val="00894E6E"/>
    <w:rsid w:val="00894EB6"/>
    <w:rsid w:val="00894FAF"/>
    <w:rsid w:val="00894FE4"/>
    <w:rsid w:val="0089503C"/>
    <w:rsid w:val="008950F3"/>
    <w:rsid w:val="00895302"/>
    <w:rsid w:val="0089556C"/>
    <w:rsid w:val="008955E7"/>
    <w:rsid w:val="008956E5"/>
    <w:rsid w:val="0089575D"/>
    <w:rsid w:val="00895779"/>
    <w:rsid w:val="00895830"/>
    <w:rsid w:val="0089587E"/>
    <w:rsid w:val="00895A7E"/>
    <w:rsid w:val="00895B4B"/>
    <w:rsid w:val="00895BAC"/>
    <w:rsid w:val="00895C79"/>
    <w:rsid w:val="00895C82"/>
    <w:rsid w:val="00895DD0"/>
    <w:rsid w:val="00895F73"/>
    <w:rsid w:val="00896159"/>
    <w:rsid w:val="00896233"/>
    <w:rsid w:val="008965C0"/>
    <w:rsid w:val="008965E5"/>
    <w:rsid w:val="008968C4"/>
    <w:rsid w:val="00896905"/>
    <w:rsid w:val="00896A8F"/>
    <w:rsid w:val="00896D2C"/>
    <w:rsid w:val="00896DC6"/>
    <w:rsid w:val="00896E4C"/>
    <w:rsid w:val="00897108"/>
    <w:rsid w:val="00897296"/>
    <w:rsid w:val="0089765B"/>
    <w:rsid w:val="00897717"/>
    <w:rsid w:val="008979B3"/>
    <w:rsid w:val="008979C9"/>
    <w:rsid w:val="008979E4"/>
    <w:rsid w:val="00897A57"/>
    <w:rsid w:val="00897BDD"/>
    <w:rsid w:val="00897CC4"/>
    <w:rsid w:val="00897CC9"/>
    <w:rsid w:val="00897D28"/>
    <w:rsid w:val="00897DBC"/>
    <w:rsid w:val="008A0033"/>
    <w:rsid w:val="008A027F"/>
    <w:rsid w:val="008A02B5"/>
    <w:rsid w:val="008A0462"/>
    <w:rsid w:val="008A0476"/>
    <w:rsid w:val="008A04A5"/>
    <w:rsid w:val="008A0501"/>
    <w:rsid w:val="008A052E"/>
    <w:rsid w:val="008A07C9"/>
    <w:rsid w:val="008A08D3"/>
    <w:rsid w:val="008A0AE1"/>
    <w:rsid w:val="008A0C8D"/>
    <w:rsid w:val="008A0CEF"/>
    <w:rsid w:val="008A0D5A"/>
    <w:rsid w:val="008A0DE7"/>
    <w:rsid w:val="008A0EBD"/>
    <w:rsid w:val="008A1187"/>
    <w:rsid w:val="008A1233"/>
    <w:rsid w:val="008A1249"/>
    <w:rsid w:val="008A13D5"/>
    <w:rsid w:val="008A1651"/>
    <w:rsid w:val="008A16F9"/>
    <w:rsid w:val="008A1732"/>
    <w:rsid w:val="008A175A"/>
    <w:rsid w:val="008A1784"/>
    <w:rsid w:val="008A17AB"/>
    <w:rsid w:val="008A1A08"/>
    <w:rsid w:val="008A1AF3"/>
    <w:rsid w:val="008A1C67"/>
    <w:rsid w:val="008A1C6F"/>
    <w:rsid w:val="008A1C70"/>
    <w:rsid w:val="008A1D37"/>
    <w:rsid w:val="008A1DCF"/>
    <w:rsid w:val="008A2000"/>
    <w:rsid w:val="008A2031"/>
    <w:rsid w:val="008A21F3"/>
    <w:rsid w:val="008A2497"/>
    <w:rsid w:val="008A256A"/>
    <w:rsid w:val="008A2597"/>
    <w:rsid w:val="008A25C5"/>
    <w:rsid w:val="008A264E"/>
    <w:rsid w:val="008A28F2"/>
    <w:rsid w:val="008A2937"/>
    <w:rsid w:val="008A2B4A"/>
    <w:rsid w:val="008A2B58"/>
    <w:rsid w:val="008A2D89"/>
    <w:rsid w:val="008A2DA6"/>
    <w:rsid w:val="008A2DF4"/>
    <w:rsid w:val="008A2E07"/>
    <w:rsid w:val="008A2EB3"/>
    <w:rsid w:val="008A2ECC"/>
    <w:rsid w:val="008A2EF5"/>
    <w:rsid w:val="008A310C"/>
    <w:rsid w:val="008A32E1"/>
    <w:rsid w:val="008A3349"/>
    <w:rsid w:val="008A3378"/>
    <w:rsid w:val="008A3459"/>
    <w:rsid w:val="008A3703"/>
    <w:rsid w:val="008A3718"/>
    <w:rsid w:val="008A38D7"/>
    <w:rsid w:val="008A392A"/>
    <w:rsid w:val="008A3969"/>
    <w:rsid w:val="008A3BAD"/>
    <w:rsid w:val="008A3D50"/>
    <w:rsid w:val="008A3EC9"/>
    <w:rsid w:val="008A3FD5"/>
    <w:rsid w:val="008A3FDA"/>
    <w:rsid w:val="008A4013"/>
    <w:rsid w:val="008A4034"/>
    <w:rsid w:val="008A40DE"/>
    <w:rsid w:val="008A40F6"/>
    <w:rsid w:val="008A42C1"/>
    <w:rsid w:val="008A42CF"/>
    <w:rsid w:val="008A4465"/>
    <w:rsid w:val="008A4573"/>
    <w:rsid w:val="008A46B2"/>
    <w:rsid w:val="008A48B8"/>
    <w:rsid w:val="008A48B9"/>
    <w:rsid w:val="008A49F1"/>
    <w:rsid w:val="008A4B95"/>
    <w:rsid w:val="008A4C39"/>
    <w:rsid w:val="008A4CDA"/>
    <w:rsid w:val="008A4CFB"/>
    <w:rsid w:val="008A4DD2"/>
    <w:rsid w:val="008A4E8E"/>
    <w:rsid w:val="008A4FEA"/>
    <w:rsid w:val="008A50CA"/>
    <w:rsid w:val="008A520E"/>
    <w:rsid w:val="008A5291"/>
    <w:rsid w:val="008A53C3"/>
    <w:rsid w:val="008A53C7"/>
    <w:rsid w:val="008A5435"/>
    <w:rsid w:val="008A5B76"/>
    <w:rsid w:val="008A5E32"/>
    <w:rsid w:val="008A5F99"/>
    <w:rsid w:val="008A6221"/>
    <w:rsid w:val="008A6236"/>
    <w:rsid w:val="008A6257"/>
    <w:rsid w:val="008A6263"/>
    <w:rsid w:val="008A6271"/>
    <w:rsid w:val="008A62DE"/>
    <w:rsid w:val="008A632E"/>
    <w:rsid w:val="008A633F"/>
    <w:rsid w:val="008A6354"/>
    <w:rsid w:val="008A6388"/>
    <w:rsid w:val="008A6685"/>
    <w:rsid w:val="008A671F"/>
    <w:rsid w:val="008A67D4"/>
    <w:rsid w:val="008A6831"/>
    <w:rsid w:val="008A6889"/>
    <w:rsid w:val="008A6B88"/>
    <w:rsid w:val="008A6C18"/>
    <w:rsid w:val="008A6E47"/>
    <w:rsid w:val="008A6F72"/>
    <w:rsid w:val="008A7040"/>
    <w:rsid w:val="008A704A"/>
    <w:rsid w:val="008A7072"/>
    <w:rsid w:val="008A717F"/>
    <w:rsid w:val="008A7237"/>
    <w:rsid w:val="008A72D7"/>
    <w:rsid w:val="008A744B"/>
    <w:rsid w:val="008A76D4"/>
    <w:rsid w:val="008A7707"/>
    <w:rsid w:val="008A77E9"/>
    <w:rsid w:val="008A78B7"/>
    <w:rsid w:val="008A7A75"/>
    <w:rsid w:val="008A7AC1"/>
    <w:rsid w:val="008A7B62"/>
    <w:rsid w:val="008A7D8B"/>
    <w:rsid w:val="008A7E2C"/>
    <w:rsid w:val="008A7EBE"/>
    <w:rsid w:val="008B01CD"/>
    <w:rsid w:val="008B028A"/>
    <w:rsid w:val="008B031C"/>
    <w:rsid w:val="008B0334"/>
    <w:rsid w:val="008B033E"/>
    <w:rsid w:val="008B0408"/>
    <w:rsid w:val="008B0471"/>
    <w:rsid w:val="008B04C9"/>
    <w:rsid w:val="008B0534"/>
    <w:rsid w:val="008B0573"/>
    <w:rsid w:val="008B0582"/>
    <w:rsid w:val="008B0585"/>
    <w:rsid w:val="008B068C"/>
    <w:rsid w:val="008B06E6"/>
    <w:rsid w:val="008B0751"/>
    <w:rsid w:val="008B0825"/>
    <w:rsid w:val="008B08F7"/>
    <w:rsid w:val="008B0DEB"/>
    <w:rsid w:val="008B0E22"/>
    <w:rsid w:val="008B0F1E"/>
    <w:rsid w:val="008B0F63"/>
    <w:rsid w:val="008B1242"/>
    <w:rsid w:val="008B1443"/>
    <w:rsid w:val="008B1499"/>
    <w:rsid w:val="008B16C6"/>
    <w:rsid w:val="008B179E"/>
    <w:rsid w:val="008B17D8"/>
    <w:rsid w:val="008B1999"/>
    <w:rsid w:val="008B1A17"/>
    <w:rsid w:val="008B1BC4"/>
    <w:rsid w:val="008B1BF4"/>
    <w:rsid w:val="008B1F42"/>
    <w:rsid w:val="008B204E"/>
    <w:rsid w:val="008B20EB"/>
    <w:rsid w:val="008B2236"/>
    <w:rsid w:val="008B22FE"/>
    <w:rsid w:val="008B23A8"/>
    <w:rsid w:val="008B25A8"/>
    <w:rsid w:val="008B26F9"/>
    <w:rsid w:val="008B2909"/>
    <w:rsid w:val="008B2A11"/>
    <w:rsid w:val="008B2AE2"/>
    <w:rsid w:val="008B2EBA"/>
    <w:rsid w:val="008B2F29"/>
    <w:rsid w:val="008B323C"/>
    <w:rsid w:val="008B3295"/>
    <w:rsid w:val="008B32E1"/>
    <w:rsid w:val="008B3328"/>
    <w:rsid w:val="008B33FC"/>
    <w:rsid w:val="008B354D"/>
    <w:rsid w:val="008B36C6"/>
    <w:rsid w:val="008B3850"/>
    <w:rsid w:val="008B38AA"/>
    <w:rsid w:val="008B3981"/>
    <w:rsid w:val="008B3AB5"/>
    <w:rsid w:val="008B3C0E"/>
    <w:rsid w:val="008B3C8A"/>
    <w:rsid w:val="008B3D1B"/>
    <w:rsid w:val="008B3F8F"/>
    <w:rsid w:val="008B433D"/>
    <w:rsid w:val="008B43A3"/>
    <w:rsid w:val="008B4474"/>
    <w:rsid w:val="008B44EC"/>
    <w:rsid w:val="008B4826"/>
    <w:rsid w:val="008B4921"/>
    <w:rsid w:val="008B4AAF"/>
    <w:rsid w:val="008B4B27"/>
    <w:rsid w:val="008B4C50"/>
    <w:rsid w:val="008B4DBC"/>
    <w:rsid w:val="008B4DBD"/>
    <w:rsid w:val="008B4DF9"/>
    <w:rsid w:val="008B4E75"/>
    <w:rsid w:val="008B4E76"/>
    <w:rsid w:val="008B4E90"/>
    <w:rsid w:val="008B4F2F"/>
    <w:rsid w:val="008B4FB4"/>
    <w:rsid w:val="008B5008"/>
    <w:rsid w:val="008B5065"/>
    <w:rsid w:val="008B5077"/>
    <w:rsid w:val="008B5137"/>
    <w:rsid w:val="008B5170"/>
    <w:rsid w:val="008B52AA"/>
    <w:rsid w:val="008B52DA"/>
    <w:rsid w:val="008B5352"/>
    <w:rsid w:val="008B581F"/>
    <w:rsid w:val="008B597F"/>
    <w:rsid w:val="008B599C"/>
    <w:rsid w:val="008B59BA"/>
    <w:rsid w:val="008B5A21"/>
    <w:rsid w:val="008B5AF1"/>
    <w:rsid w:val="008B5E52"/>
    <w:rsid w:val="008B60E4"/>
    <w:rsid w:val="008B63DF"/>
    <w:rsid w:val="008B63EB"/>
    <w:rsid w:val="008B6849"/>
    <w:rsid w:val="008B6860"/>
    <w:rsid w:val="008B68B1"/>
    <w:rsid w:val="008B6914"/>
    <w:rsid w:val="008B69AB"/>
    <w:rsid w:val="008B69C4"/>
    <w:rsid w:val="008B6A35"/>
    <w:rsid w:val="008B6B48"/>
    <w:rsid w:val="008B6B91"/>
    <w:rsid w:val="008B6C2A"/>
    <w:rsid w:val="008B6C5F"/>
    <w:rsid w:val="008B6CAB"/>
    <w:rsid w:val="008B6E39"/>
    <w:rsid w:val="008B6EDE"/>
    <w:rsid w:val="008B6EF2"/>
    <w:rsid w:val="008B6F5E"/>
    <w:rsid w:val="008B6F69"/>
    <w:rsid w:val="008B6F78"/>
    <w:rsid w:val="008B6F92"/>
    <w:rsid w:val="008B70DE"/>
    <w:rsid w:val="008B73C5"/>
    <w:rsid w:val="008B7431"/>
    <w:rsid w:val="008B74D6"/>
    <w:rsid w:val="008B75B8"/>
    <w:rsid w:val="008B7638"/>
    <w:rsid w:val="008B776C"/>
    <w:rsid w:val="008B77CE"/>
    <w:rsid w:val="008B781F"/>
    <w:rsid w:val="008B78B7"/>
    <w:rsid w:val="008B7922"/>
    <w:rsid w:val="008B7D57"/>
    <w:rsid w:val="008B7E55"/>
    <w:rsid w:val="008B7F2C"/>
    <w:rsid w:val="008B7F30"/>
    <w:rsid w:val="008B7F98"/>
    <w:rsid w:val="008B7FBE"/>
    <w:rsid w:val="008B7FE1"/>
    <w:rsid w:val="008C0331"/>
    <w:rsid w:val="008C039D"/>
    <w:rsid w:val="008C03CE"/>
    <w:rsid w:val="008C0420"/>
    <w:rsid w:val="008C0634"/>
    <w:rsid w:val="008C0A65"/>
    <w:rsid w:val="008C0D5F"/>
    <w:rsid w:val="008C0E18"/>
    <w:rsid w:val="008C0E46"/>
    <w:rsid w:val="008C0F0A"/>
    <w:rsid w:val="008C10C9"/>
    <w:rsid w:val="008C1161"/>
    <w:rsid w:val="008C1206"/>
    <w:rsid w:val="008C12AE"/>
    <w:rsid w:val="008C168F"/>
    <w:rsid w:val="008C1834"/>
    <w:rsid w:val="008C18A2"/>
    <w:rsid w:val="008C1B0A"/>
    <w:rsid w:val="008C1CAC"/>
    <w:rsid w:val="008C1D23"/>
    <w:rsid w:val="008C1D43"/>
    <w:rsid w:val="008C1EB5"/>
    <w:rsid w:val="008C2017"/>
    <w:rsid w:val="008C2136"/>
    <w:rsid w:val="008C21A5"/>
    <w:rsid w:val="008C21FA"/>
    <w:rsid w:val="008C220A"/>
    <w:rsid w:val="008C226C"/>
    <w:rsid w:val="008C2377"/>
    <w:rsid w:val="008C23BF"/>
    <w:rsid w:val="008C23E1"/>
    <w:rsid w:val="008C2576"/>
    <w:rsid w:val="008C25BD"/>
    <w:rsid w:val="008C2604"/>
    <w:rsid w:val="008C268C"/>
    <w:rsid w:val="008C26D2"/>
    <w:rsid w:val="008C278E"/>
    <w:rsid w:val="008C2AA0"/>
    <w:rsid w:val="008C2AD3"/>
    <w:rsid w:val="008C2B10"/>
    <w:rsid w:val="008C2B4E"/>
    <w:rsid w:val="008C2D19"/>
    <w:rsid w:val="008C2DB5"/>
    <w:rsid w:val="008C2E2A"/>
    <w:rsid w:val="008C2E48"/>
    <w:rsid w:val="008C2EEB"/>
    <w:rsid w:val="008C2F28"/>
    <w:rsid w:val="008C303B"/>
    <w:rsid w:val="008C3106"/>
    <w:rsid w:val="008C33E3"/>
    <w:rsid w:val="008C34E5"/>
    <w:rsid w:val="008C37D1"/>
    <w:rsid w:val="008C3DAF"/>
    <w:rsid w:val="008C3DC3"/>
    <w:rsid w:val="008C3F00"/>
    <w:rsid w:val="008C408E"/>
    <w:rsid w:val="008C4125"/>
    <w:rsid w:val="008C4239"/>
    <w:rsid w:val="008C46B8"/>
    <w:rsid w:val="008C476E"/>
    <w:rsid w:val="008C484C"/>
    <w:rsid w:val="008C498A"/>
    <w:rsid w:val="008C4A28"/>
    <w:rsid w:val="008C4A95"/>
    <w:rsid w:val="008C4B0F"/>
    <w:rsid w:val="008C4BDC"/>
    <w:rsid w:val="008C5191"/>
    <w:rsid w:val="008C5447"/>
    <w:rsid w:val="008C5579"/>
    <w:rsid w:val="008C5665"/>
    <w:rsid w:val="008C599B"/>
    <w:rsid w:val="008C5A8B"/>
    <w:rsid w:val="008C5CFD"/>
    <w:rsid w:val="008C5F23"/>
    <w:rsid w:val="008C6036"/>
    <w:rsid w:val="008C610F"/>
    <w:rsid w:val="008C61E7"/>
    <w:rsid w:val="008C63B2"/>
    <w:rsid w:val="008C63E3"/>
    <w:rsid w:val="008C654B"/>
    <w:rsid w:val="008C65E7"/>
    <w:rsid w:val="008C6695"/>
    <w:rsid w:val="008C672A"/>
    <w:rsid w:val="008C67CA"/>
    <w:rsid w:val="008C6927"/>
    <w:rsid w:val="008C6B70"/>
    <w:rsid w:val="008C6BC1"/>
    <w:rsid w:val="008C6C31"/>
    <w:rsid w:val="008C6D18"/>
    <w:rsid w:val="008C6D5B"/>
    <w:rsid w:val="008C6D5D"/>
    <w:rsid w:val="008C6E1F"/>
    <w:rsid w:val="008C6E99"/>
    <w:rsid w:val="008C6F41"/>
    <w:rsid w:val="008C6F7D"/>
    <w:rsid w:val="008C706F"/>
    <w:rsid w:val="008C71EC"/>
    <w:rsid w:val="008C726F"/>
    <w:rsid w:val="008C7492"/>
    <w:rsid w:val="008C7592"/>
    <w:rsid w:val="008C75B9"/>
    <w:rsid w:val="008C761F"/>
    <w:rsid w:val="008C7713"/>
    <w:rsid w:val="008C784B"/>
    <w:rsid w:val="008C7992"/>
    <w:rsid w:val="008C7C10"/>
    <w:rsid w:val="008C7D5F"/>
    <w:rsid w:val="008C7DFD"/>
    <w:rsid w:val="008C7EDA"/>
    <w:rsid w:val="008C7F6F"/>
    <w:rsid w:val="008D0196"/>
    <w:rsid w:val="008D01F0"/>
    <w:rsid w:val="008D03E1"/>
    <w:rsid w:val="008D0442"/>
    <w:rsid w:val="008D044A"/>
    <w:rsid w:val="008D06BD"/>
    <w:rsid w:val="008D06C8"/>
    <w:rsid w:val="008D06E3"/>
    <w:rsid w:val="008D077E"/>
    <w:rsid w:val="008D091F"/>
    <w:rsid w:val="008D0924"/>
    <w:rsid w:val="008D0BB9"/>
    <w:rsid w:val="008D0C33"/>
    <w:rsid w:val="008D0CB7"/>
    <w:rsid w:val="008D0CF6"/>
    <w:rsid w:val="008D0D0A"/>
    <w:rsid w:val="008D0D57"/>
    <w:rsid w:val="008D0F93"/>
    <w:rsid w:val="008D0FFD"/>
    <w:rsid w:val="008D1128"/>
    <w:rsid w:val="008D11B5"/>
    <w:rsid w:val="008D1370"/>
    <w:rsid w:val="008D1495"/>
    <w:rsid w:val="008D14BF"/>
    <w:rsid w:val="008D14CD"/>
    <w:rsid w:val="008D15BA"/>
    <w:rsid w:val="008D1660"/>
    <w:rsid w:val="008D1705"/>
    <w:rsid w:val="008D1778"/>
    <w:rsid w:val="008D17A0"/>
    <w:rsid w:val="008D18A3"/>
    <w:rsid w:val="008D192F"/>
    <w:rsid w:val="008D1A77"/>
    <w:rsid w:val="008D1ABB"/>
    <w:rsid w:val="008D1BF7"/>
    <w:rsid w:val="008D1F06"/>
    <w:rsid w:val="008D1FCD"/>
    <w:rsid w:val="008D2010"/>
    <w:rsid w:val="008D2123"/>
    <w:rsid w:val="008D215A"/>
    <w:rsid w:val="008D21F4"/>
    <w:rsid w:val="008D230A"/>
    <w:rsid w:val="008D273D"/>
    <w:rsid w:val="008D28A7"/>
    <w:rsid w:val="008D28A9"/>
    <w:rsid w:val="008D29D2"/>
    <w:rsid w:val="008D2A48"/>
    <w:rsid w:val="008D2B2E"/>
    <w:rsid w:val="008D2B71"/>
    <w:rsid w:val="008D2D15"/>
    <w:rsid w:val="008D2DB7"/>
    <w:rsid w:val="008D3061"/>
    <w:rsid w:val="008D306E"/>
    <w:rsid w:val="008D3221"/>
    <w:rsid w:val="008D3381"/>
    <w:rsid w:val="008D339F"/>
    <w:rsid w:val="008D359B"/>
    <w:rsid w:val="008D36AE"/>
    <w:rsid w:val="008D3747"/>
    <w:rsid w:val="008D3811"/>
    <w:rsid w:val="008D3948"/>
    <w:rsid w:val="008D39D3"/>
    <w:rsid w:val="008D3A3B"/>
    <w:rsid w:val="008D3E77"/>
    <w:rsid w:val="008D3E86"/>
    <w:rsid w:val="008D3EB0"/>
    <w:rsid w:val="008D3EB8"/>
    <w:rsid w:val="008D3F8A"/>
    <w:rsid w:val="008D3FDA"/>
    <w:rsid w:val="008D41C7"/>
    <w:rsid w:val="008D429E"/>
    <w:rsid w:val="008D444B"/>
    <w:rsid w:val="008D44B9"/>
    <w:rsid w:val="008D4523"/>
    <w:rsid w:val="008D474E"/>
    <w:rsid w:val="008D4770"/>
    <w:rsid w:val="008D47C7"/>
    <w:rsid w:val="008D488E"/>
    <w:rsid w:val="008D4B82"/>
    <w:rsid w:val="008D4C41"/>
    <w:rsid w:val="008D4D21"/>
    <w:rsid w:val="008D4E5B"/>
    <w:rsid w:val="008D4E5C"/>
    <w:rsid w:val="008D4EA1"/>
    <w:rsid w:val="008D4EA7"/>
    <w:rsid w:val="008D4EF2"/>
    <w:rsid w:val="008D4FCA"/>
    <w:rsid w:val="008D501D"/>
    <w:rsid w:val="008D5378"/>
    <w:rsid w:val="008D53DF"/>
    <w:rsid w:val="008D5438"/>
    <w:rsid w:val="008D5463"/>
    <w:rsid w:val="008D55BC"/>
    <w:rsid w:val="008D5751"/>
    <w:rsid w:val="008D57B7"/>
    <w:rsid w:val="008D5864"/>
    <w:rsid w:val="008D58BB"/>
    <w:rsid w:val="008D59AF"/>
    <w:rsid w:val="008D5A4E"/>
    <w:rsid w:val="008D5B94"/>
    <w:rsid w:val="008D5BB1"/>
    <w:rsid w:val="008D5C3A"/>
    <w:rsid w:val="008D5CCD"/>
    <w:rsid w:val="008D5D9C"/>
    <w:rsid w:val="008D5DBA"/>
    <w:rsid w:val="008D5F04"/>
    <w:rsid w:val="008D62A2"/>
    <w:rsid w:val="008D6312"/>
    <w:rsid w:val="008D640F"/>
    <w:rsid w:val="008D6447"/>
    <w:rsid w:val="008D6459"/>
    <w:rsid w:val="008D6538"/>
    <w:rsid w:val="008D658C"/>
    <w:rsid w:val="008D66C2"/>
    <w:rsid w:val="008D677C"/>
    <w:rsid w:val="008D67F9"/>
    <w:rsid w:val="008D6824"/>
    <w:rsid w:val="008D6831"/>
    <w:rsid w:val="008D68AB"/>
    <w:rsid w:val="008D6AB7"/>
    <w:rsid w:val="008D6C7A"/>
    <w:rsid w:val="008D6CD6"/>
    <w:rsid w:val="008D6EE0"/>
    <w:rsid w:val="008D6EE7"/>
    <w:rsid w:val="008D6F75"/>
    <w:rsid w:val="008D7046"/>
    <w:rsid w:val="008D708C"/>
    <w:rsid w:val="008D70E4"/>
    <w:rsid w:val="008D710A"/>
    <w:rsid w:val="008D7211"/>
    <w:rsid w:val="008D72AF"/>
    <w:rsid w:val="008D734D"/>
    <w:rsid w:val="008D7533"/>
    <w:rsid w:val="008D7575"/>
    <w:rsid w:val="008D7749"/>
    <w:rsid w:val="008D779B"/>
    <w:rsid w:val="008D77E2"/>
    <w:rsid w:val="008D77E3"/>
    <w:rsid w:val="008D78B2"/>
    <w:rsid w:val="008D7BAD"/>
    <w:rsid w:val="008D7BB4"/>
    <w:rsid w:val="008D7F38"/>
    <w:rsid w:val="008D7F6D"/>
    <w:rsid w:val="008E01D3"/>
    <w:rsid w:val="008E026C"/>
    <w:rsid w:val="008E027D"/>
    <w:rsid w:val="008E0365"/>
    <w:rsid w:val="008E044D"/>
    <w:rsid w:val="008E04AF"/>
    <w:rsid w:val="008E0609"/>
    <w:rsid w:val="008E0655"/>
    <w:rsid w:val="008E0733"/>
    <w:rsid w:val="008E077C"/>
    <w:rsid w:val="008E0834"/>
    <w:rsid w:val="008E0890"/>
    <w:rsid w:val="008E0A03"/>
    <w:rsid w:val="008E0B80"/>
    <w:rsid w:val="008E0C4E"/>
    <w:rsid w:val="008E0D35"/>
    <w:rsid w:val="008E0D61"/>
    <w:rsid w:val="008E0D85"/>
    <w:rsid w:val="008E0F46"/>
    <w:rsid w:val="008E100B"/>
    <w:rsid w:val="008E1017"/>
    <w:rsid w:val="008E1082"/>
    <w:rsid w:val="008E1396"/>
    <w:rsid w:val="008E13A5"/>
    <w:rsid w:val="008E143D"/>
    <w:rsid w:val="008E14AD"/>
    <w:rsid w:val="008E1676"/>
    <w:rsid w:val="008E1832"/>
    <w:rsid w:val="008E18D5"/>
    <w:rsid w:val="008E1A75"/>
    <w:rsid w:val="008E1E6C"/>
    <w:rsid w:val="008E1E71"/>
    <w:rsid w:val="008E1F8C"/>
    <w:rsid w:val="008E2057"/>
    <w:rsid w:val="008E206D"/>
    <w:rsid w:val="008E209C"/>
    <w:rsid w:val="008E21B1"/>
    <w:rsid w:val="008E22E9"/>
    <w:rsid w:val="008E23A9"/>
    <w:rsid w:val="008E255B"/>
    <w:rsid w:val="008E26A8"/>
    <w:rsid w:val="008E26E6"/>
    <w:rsid w:val="008E2786"/>
    <w:rsid w:val="008E27B8"/>
    <w:rsid w:val="008E28EE"/>
    <w:rsid w:val="008E2ABF"/>
    <w:rsid w:val="008E2C40"/>
    <w:rsid w:val="008E2D07"/>
    <w:rsid w:val="008E2D26"/>
    <w:rsid w:val="008E2F91"/>
    <w:rsid w:val="008E2F99"/>
    <w:rsid w:val="008E30EC"/>
    <w:rsid w:val="008E3120"/>
    <w:rsid w:val="008E3249"/>
    <w:rsid w:val="008E331E"/>
    <w:rsid w:val="008E35B4"/>
    <w:rsid w:val="008E36B8"/>
    <w:rsid w:val="008E3719"/>
    <w:rsid w:val="008E3966"/>
    <w:rsid w:val="008E3B22"/>
    <w:rsid w:val="008E3BE5"/>
    <w:rsid w:val="008E3C84"/>
    <w:rsid w:val="008E3C9E"/>
    <w:rsid w:val="008E3F35"/>
    <w:rsid w:val="008E4070"/>
    <w:rsid w:val="008E4121"/>
    <w:rsid w:val="008E4139"/>
    <w:rsid w:val="008E425B"/>
    <w:rsid w:val="008E45BC"/>
    <w:rsid w:val="008E467D"/>
    <w:rsid w:val="008E47B1"/>
    <w:rsid w:val="008E4899"/>
    <w:rsid w:val="008E49F9"/>
    <w:rsid w:val="008E4AB3"/>
    <w:rsid w:val="008E4B29"/>
    <w:rsid w:val="008E4C8B"/>
    <w:rsid w:val="008E4E87"/>
    <w:rsid w:val="008E5095"/>
    <w:rsid w:val="008E5193"/>
    <w:rsid w:val="008E51BD"/>
    <w:rsid w:val="008E51E9"/>
    <w:rsid w:val="008E54EC"/>
    <w:rsid w:val="008E550E"/>
    <w:rsid w:val="008E556F"/>
    <w:rsid w:val="008E55C5"/>
    <w:rsid w:val="008E56CF"/>
    <w:rsid w:val="008E5AA9"/>
    <w:rsid w:val="008E5B17"/>
    <w:rsid w:val="008E5B94"/>
    <w:rsid w:val="008E5BD5"/>
    <w:rsid w:val="008E5BF9"/>
    <w:rsid w:val="008E5CF5"/>
    <w:rsid w:val="008E5DF0"/>
    <w:rsid w:val="008E5E04"/>
    <w:rsid w:val="008E5F40"/>
    <w:rsid w:val="008E5FF9"/>
    <w:rsid w:val="008E60CD"/>
    <w:rsid w:val="008E6292"/>
    <w:rsid w:val="008E63F9"/>
    <w:rsid w:val="008E6412"/>
    <w:rsid w:val="008E6484"/>
    <w:rsid w:val="008E656A"/>
    <w:rsid w:val="008E669F"/>
    <w:rsid w:val="008E66BB"/>
    <w:rsid w:val="008E66EA"/>
    <w:rsid w:val="008E66EC"/>
    <w:rsid w:val="008E6709"/>
    <w:rsid w:val="008E6770"/>
    <w:rsid w:val="008E67A3"/>
    <w:rsid w:val="008E67BA"/>
    <w:rsid w:val="008E68E0"/>
    <w:rsid w:val="008E6CDB"/>
    <w:rsid w:val="008E6D21"/>
    <w:rsid w:val="008E6DCB"/>
    <w:rsid w:val="008E6EB9"/>
    <w:rsid w:val="008E7122"/>
    <w:rsid w:val="008E7497"/>
    <w:rsid w:val="008E760D"/>
    <w:rsid w:val="008E7733"/>
    <w:rsid w:val="008E7826"/>
    <w:rsid w:val="008E783A"/>
    <w:rsid w:val="008E78D5"/>
    <w:rsid w:val="008E79CC"/>
    <w:rsid w:val="008E79F2"/>
    <w:rsid w:val="008E7C0C"/>
    <w:rsid w:val="008E7EB4"/>
    <w:rsid w:val="008F0078"/>
    <w:rsid w:val="008F00C2"/>
    <w:rsid w:val="008F03B1"/>
    <w:rsid w:val="008F04F2"/>
    <w:rsid w:val="008F0676"/>
    <w:rsid w:val="008F0745"/>
    <w:rsid w:val="008F0A74"/>
    <w:rsid w:val="008F0A92"/>
    <w:rsid w:val="008F0AE0"/>
    <w:rsid w:val="008F0CCF"/>
    <w:rsid w:val="008F0DDD"/>
    <w:rsid w:val="008F1106"/>
    <w:rsid w:val="008F1248"/>
    <w:rsid w:val="008F1321"/>
    <w:rsid w:val="008F152E"/>
    <w:rsid w:val="008F1561"/>
    <w:rsid w:val="008F1571"/>
    <w:rsid w:val="008F16E1"/>
    <w:rsid w:val="008F183F"/>
    <w:rsid w:val="008F1A25"/>
    <w:rsid w:val="008F1CB0"/>
    <w:rsid w:val="008F1D3E"/>
    <w:rsid w:val="008F1D63"/>
    <w:rsid w:val="008F1D8E"/>
    <w:rsid w:val="008F1E96"/>
    <w:rsid w:val="008F2460"/>
    <w:rsid w:val="008F25A3"/>
    <w:rsid w:val="008F25FF"/>
    <w:rsid w:val="008F2857"/>
    <w:rsid w:val="008F2931"/>
    <w:rsid w:val="008F29C9"/>
    <w:rsid w:val="008F2A6F"/>
    <w:rsid w:val="008F2B0B"/>
    <w:rsid w:val="008F2B21"/>
    <w:rsid w:val="008F2B61"/>
    <w:rsid w:val="008F2C7D"/>
    <w:rsid w:val="008F2CC6"/>
    <w:rsid w:val="008F2D81"/>
    <w:rsid w:val="008F2D89"/>
    <w:rsid w:val="008F2DC7"/>
    <w:rsid w:val="008F2E78"/>
    <w:rsid w:val="008F2ED7"/>
    <w:rsid w:val="008F2EE6"/>
    <w:rsid w:val="008F3004"/>
    <w:rsid w:val="008F3080"/>
    <w:rsid w:val="008F30F0"/>
    <w:rsid w:val="008F314C"/>
    <w:rsid w:val="008F31B0"/>
    <w:rsid w:val="008F3476"/>
    <w:rsid w:val="008F3500"/>
    <w:rsid w:val="008F36D0"/>
    <w:rsid w:val="008F3725"/>
    <w:rsid w:val="008F3786"/>
    <w:rsid w:val="008F3857"/>
    <w:rsid w:val="008F3872"/>
    <w:rsid w:val="008F38C2"/>
    <w:rsid w:val="008F399B"/>
    <w:rsid w:val="008F3ABA"/>
    <w:rsid w:val="008F405A"/>
    <w:rsid w:val="008F43A4"/>
    <w:rsid w:val="008F43E4"/>
    <w:rsid w:val="008F4533"/>
    <w:rsid w:val="008F45DC"/>
    <w:rsid w:val="008F4671"/>
    <w:rsid w:val="008F46A3"/>
    <w:rsid w:val="008F47AB"/>
    <w:rsid w:val="008F49D6"/>
    <w:rsid w:val="008F4A44"/>
    <w:rsid w:val="008F4AAC"/>
    <w:rsid w:val="008F4AE4"/>
    <w:rsid w:val="008F4B46"/>
    <w:rsid w:val="008F4C07"/>
    <w:rsid w:val="008F4DD3"/>
    <w:rsid w:val="008F4E4D"/>
    <w:rsid w:val="008F4E5A"/>
    <w:rsid w:val="008F4EAB"/>
    <w:rsid w:val="008F4F76"/>
    <w:rsid w:val="008F4FA6"/>
    <w:rsid w:val="008F5012"/>
    <w:rsid w:val="008F51D1"/>
    <w:rsid w:val="008F521D"/>
    <w:rsid w:val="008F5281"/>
    <w:rsid w:val="008F5293"/>
    <w:rsid w:val="008F52CA"/>
    <w:rsid w:val="008F533E"/>
    <w:rsid w:val="008F53C8"/>
    <w:rsid w:val="008F544E"/>
    <w:rsid w:val="008F54DB"/>
    <w:rsid w:val="008F56B3"/>
    <w:rsid w:val="008F56C0"/>
    <w:rsid w:val="008F5841"/>
    <w:rsid w:val="008F5B3B"/>
    <w:rsid w:val="008F5B4C"/>
    <w:rsid w:val="008F5BD0"/>
    <w:rsid w:val="008F5CE5"/>
    <w:rsid w:val="008F5D4D"/>
    <w:rsid w:val="008F5DB9"/>
    <w:rsid w:val="008F5F84"/>
    <w:rsid w:val="008F5FC5"/>
    <w:rsid w:val="008F6119"/>
    <w:rsid w:val="008F618F"/>
    <w:rsid w:val="008F61EB"/>
    <w:rsid w:val="008F61EC"/>
    <w:rsid w:val="008F61FE"/>
    <w:rsid w:val="008F6222"/>
    <w:rsid w:val="008F6269"/>
    <w:rsid w:val="008F637E"/>
    <w:rsid w:val="008F65C1"/>
    <w:rsid w:val="008F662D"/>
    <w:rsid w:val="008F6830"/>
    <w:rsid w:val="008F6B56"/>
    <w:rsid w:val="008F6B6A"/>
    <w:rsid w:val="008F6BBF"/>
    <w:rsid w:val="008F6C68"/>
    <w:rsid w:val="008F6CDF"/>
    <w:rsid w:val="008F6E2D"/>
    <w:rsid w:val="008F6F8E"/>
    <w:rsid w:val="008F702C"/>
    <w:rsid w:val="008F70E2"/>
    <w:rsid w:val="008F7134"/>
    <w:rsid w:val="008F715A"/>
    <w:rsid w:val="008F7266"/>
    <w:rsid w:val="008F7407"/>
    <w:rsid w:val="008F7489"/>
    <w:rsid w:val="008F755C"/>
    <w:rsid w:val="008F7682"/>
    <w:rsid w:val="008F789C"/>
    <w:rsid w:val="008F78B3"/>
    <w:rsid w:val="008F7901"/>
    <w:rsid w:val="008F7987"/>
    <w:rsid w:val="008F7B59"/>
    <w:rsid w:val="008F7B78"/>
    <w:rsid w:val="008F7CF3"/>
    <w:rsid w:val="008F7D1D"/>
    <w:rsid w:val="008F7EA2"/>
    <w:rsid w:val="008F7EF7"/>
    <w:rsid w:val="008F7FD5"/>
    <w:rsid w:val="00900031"/>
    <w:rsid w:val="009003A4"/>
    <w:rsid w:val="009005B3"/>
    <w:rsid w:val="009008AB"/>
    <w:rsid w:val="009008FB"/>
    <w:rsid w:val="009009EF"/>
    <w:rsid w:val="00900AAB"/>
    <w:rsid w:val="00900B1C"/>
    <w:rsid w:val="00900E53"/>
    <w:rsid w:val="00900FC5"/>
    <w:rsid w:val="00900FFB"/>
    <w:rsid w:val="0090102F"/>
    <w:rsid w:val="0090123E"/>
    <w:rsid w:val="0090125E"/>
    <w:rsid w:val="00901311"/>
    <w:rsid w:val="009015C5"/>
    <w:rsid w:val="009015D9"/>
    <w:rsid w:val="009015F3"/>
    <w:rsid w:val="009016B1"/>
    <w:rsid w:val="009017F8"/>
    <w:rsid w:val="00901890"/>
    <w:rsid w:val="00901B60"/>
    <w:rsid w:val="00901BA3"/>
    <w:rsid w:val="00901DD8"/>
    <w:rsid w:val="00901F69"/>
    <w:rsid w:val="0090200D"/>
    <w:rsid w:val="0090200E"/>
    <w:rsid w:val="009020A8"/>
    <w:rsid w:val="009021D5"/>
    <w:rsid w:val="0090220E"/>
    <w:rsid w:val="009024A3"/>
    <w:rsid w:val="009024BA"/>
    <w:rsid w:val="00902508"/>
    <w:rsid w:val="00902563"/>
    <w:rsid w:val="009025B3"/>
    <w:rsid w:val="009025EC"/>
    <w:rsid w:val="009029EB"/>
    <w:rsid w:val="00902ACA"/>
    <w:rsid w:val="00902B70"/>
    <w:rsid w:val="00902D85"/>
    <w:rsid w:val="00902D89"/>
    <w:rsid w:val="00902D9D"/>
    <w:rsid w:val="00902F56"/>
    <w:rsid w:val="00902FBE"/>
    <w:rsid w:val="00903069"/>
    <w:rsid w:val="009030F2"/>
    <w:rsid w:val="009031B5"/>
    <w:rsid w:val="009031F2"/>
    <w:rsid w:val="0090326F"/>
    <w:rsid w:val="00903378"/>
    <w:rsid w:val="00903409"/>
    <w:rsid w:val="00903421"/>
    <w:rsid w:val="00903588"/>
    <w:rsid w:val="0090359E"/>
    <w:rsid w:val="009036A8"/>
    <w:rsid w:val="009036DB"/>
    <w:rsid w:val="0090372C"/>
    <w:rsid w:val="00903778"/>
    <w:rsid w:val="0090382C"/>
    <w:rsid w:val="00903A06"/>
    <w:rsid w:val="00903B4A"/>
    <w:rsid w:val="00903C1D"/>
    <w:rsid w:val="00903C9E"/>
    <w:rsid w:val="00903D9D"/>
    <w:rsid w:val="00903EBD"/>
    <w:rsid w:val="00904032"/>
    <w:rsid w:val="0090406F"/>
    <w:rsid w:val="009040CB"/>
    <w:rsid w:val="00904105"/>
    <w:rsid w:val="00904242"/>
    <w:rsid w:val="0090431A"/>
    <w:rsid w:val="00904342"/>
    <w:rsid w:val="009043A0"/>
    <w:rsid w:val="009043D9"/>
    <w:rsid w:val="009046E1"/>
    <w:rsid w:val="00904979"/>
    <w:rsid w:val="00904A57"/>
    <w:rsid w:val="00904B2E"/>
    <w:rsid w:val="00904B8C"/>
    <w:rsid w:val="00904C65"/>
    <w:rsid w:val="00904CA1"/>
    <w:rsid w:val="00904CBC"/>
    <w:rsid w:val="00904DD3"/>
    <w:rsid w:val="00904E29"/>
    <w:rsid w:val="00904F79"/>
    <w:rsid w:val="00904F9B"/>
    <w:rsid w:val="00905207"/>
    <w:rsid w:val="00905395"/>
    <w:rsid w:val="0090539F"/>
    <w:rsid w:val="009053CC"/>
    <w:rsid w:val="00905409"/>
    <w:rsid w:val="0090540D"/>
    <w:rsid w:val="00905524"/>
    <w:rsid w:val="009055C1"/>
    <w:rsid w:val="00905753"/>
    <w:rsid w:val="00905973"/>
    <w:rsid w:val="00905BB7"/>
    <w:rsid w:val="00905C63"/>
    <w:rsid w:val="00905F05"/>
    <w:rsid w:val="009060A9"/>
    <w:rsid w:val="009061FB"/>
    <w:rsid w:val="00906277"/>
    <w:rsid w:val="0090627A"/>
    <w:rsid w:val="00906594"/>
    <w:rsid w:val="00906604"/>
    <w:rsid w:val="00906692"/>
    <w:rsid w:val="009067A1"/>
    <w:rsid w:val="0090684C"/>
    <w:rsid w:val="0090691A"/>
    <w:rsid w:val="0090696D"/>
    <w:rsid w:val="009069F9"/>
    <w:rsid w:val="00906B1D"/>
    <w:rsid w:val="00906C1F"/>
    <w:rsid w:val="00906C55"/>
    <w:rsid w:val="00906D93"/>
    <w:rsid w:val="00906F5F"/>
    <w:rsid w:val="00906F68"/>
    <w:rsid w:val="00906FF8"/>
    <w:rsid w:val="009071B6"/>
    <w:rsid w:val="009072EA"/>
    <w:rsid w:val="0090730B"/>
    <w:rsid w:val="00907315"/>
    <w:rsid w:val="0090734D"/>
    <w:rsid w:val="00907353"/>
    <w:rsid w:val="00907360"/>
    <w:rsid w:val="009074C9"/>
    <w:rsid w:val="00907545"/>
    <w:rsid w:val="0090757E"/>
    <w:rsid w:val="0090778D"/>
    <w:rsid w:val="009077F1"/>
    <w:rsid w:val="00907823"/>
    <w:rsid w:val="009078A1"/>
    <w:rsid w:val="00907966"/>
    <w:rsid w:val="00907A10"/>
    <w:rsid w:val="00907AB3"/>
    <w:rsid w:val="00907B4E"/>
    <w:rsid w:val="00907C79"/>
    <w:rsid w:val="00907DA4"/>
    <w:rsid w:val="00907DDD"/>
    <w:rsid w:val="00907EBB"/>
    <w:rsid w:val="00907FEE"/>
    <w:rsid w:val="0091011D"/>
    <w:rsid w:val="00910248"/>
    <w:rsid w:val="0091033A"/>
    <w:rsid w:val="00910393"/>
    <w:rsid w:val="009108A9"/>
    <w:rsid w:val="00910957"/>
    <w:rsid w:val="0091099F"/>
    <w:rsid w:val="00910A72"/>
    <w:rsid w:val="00910C02"/>
    <w:rsid w:val="00910DD7"/>
    <w:rsid w:val="00910EC3"/>
    <w:rsid w:val="00910F0B"/>
    <w:rsid w:val="00910F84"/>
    <w:rsid w:val="00911245"/>
    <w:rsid w:val="009115C7"/>
    <w:rsid w:val="00911930"/>
    <w:rsid w:val="009119B8"/>
    <w:rsid w:val="00911A11"/>
    <w:rsid w:val="00911A86"/>
    <w:rsid w:val="00911B07"/>
    <w:rsid w:val="00911B65"/>
    <w:rsid w:val="00911C9A"/>
    <w:rsid w:val="00911CE2"/>
    <w:rsid w:val="00911DFD"/>
    <w:rsid w:val="00911E3B"/>
    <w:rsid w:val="00911F24"/>
    <w:rsid w:val="00912369"/>
    <w:rsid w:val="00912453"/>
    <w:rsid w:val="00912617"/>
    <w:rsid w:val="0091265B"/>
    <w:rsid w:val="00912709"/>
    <w:rsid w:val="0091278A"/>
    <w:rsid w:val="00912868"/>
    <w:rsid w:val="009129EB"/>
    <w:rsid w:val="00912DA3"/>
    <w:rsid w:val="00912E93"/>
    <w:rsid w:val="00912E9C"/>
    <w:rsid w:val="00912F59"/>
    <w:rsid w:val="00912F61"/>
    <w:rsid w:val="00913043"/>
    <w:rsid w:val="00913194"/>
    <w:rsid w:val="009132C6"/>
    <w:rsid w:val="009132CB"/>
    <w:rsid w:val="009135C4"/>
    <w:rsid w:val="0091371D"/>
    <w:rsid w:val="00913A3A"/>
    <w:rsid w:val="00913B92"/>
    <w:rsid w:val="00913C5F"/>
    <w:rsid w:val="0091409B"/>
    <w:rsid w:val="009143C3"/>
    <w:rsid w:val="0091447A"/>
    <w:rsid w:val="0091453D"/>
    <w:rsid w:val="00914D94"/>
    <w:rsid w:val="00914E72"/>
    <w:rsid w:val="00914EA8"/>
    <w:rsid w:val="00915082"/>
    <w:rsid w:val="009150F2"/>
    <w:rsid w:val="00915146"/>
    <w:rsid w:val="00915175"/>
    <w:rsid w:val="0091522A"/>
    <w:rsid w:val="00915413"/>
    <w:rsid w:val="0091545B"/>
    <w:rsid w:val="00915571"/>
    <w:rsid w:val="009155A2"/>
    <w:rsid w:val="009155A3"/>
    <w:rsid w:val="009157C1"/>
    <w:rsid w:val="0091582B"/>
    <w:rsid w:val="00915953"/>
    <w:rsid w:val="009159A1"/>
    <w:rsid w:val="00915A2F"/>
    <w:rsid w:val="00915B18"/>
    <w:rsid w:val="00915B59"/>
    <w:rsid w:val="00915C36"/>
    <w:rsid w:val="00915CAA"/>
    <w:rsid w:val="00915CEF"/>
    <w:rsid w:val="00915F01"/>
    <w:rsid w:val="00915F41"/>
    <w:rsid w:val="00915FEC"/>
    <w:rsid w:val="0091607C"/>
    <w:rsid w:val="009160C0"/>
    <w:rsid w:val="009163C4"/>
    <w:rsid w:val="009166AB"/>
    <w:rsid w:val="00916715"/>
    <w:rsid w:val="00916CBB"/>
    <w:rsid w:val="00916D6F"/>
    <w:rsid w:val="00916DBC"/>
    <w:rsid w:val="00916E7B"/>
    <w:rsid w:val="00916F5C"/>
    <w:rsid w:val="00916FDD"/>
    <w:rsid w:val="00917038"/>
    <w:rsid w:val="00917053"/>
    <w:rsid w:val="00917105"/>
    <w:rsid w:val="0091716A"/>
    <w:rsid w:val="00917204"/>
    <w:rsid w:val="00917206"/>
    <w:rsid w:val="00917355"/>
    <w:rsid w:val="0091739B"/>
    <w:rsid w:val="009174DE"/>
    <w:rsid w:val="00917564"/>
    <w:rsid w:val="009175FE"/>
    <w:rsid w:val="00917691"/>
    <w:rsid w:val="00917740"/>
    <w:rsid w:val="0091775A"/>
    <w:rsid w:val="009178BE"/>
    <w:rsid w:val="00917966"/>
    <w:rsid w:val="00917A4E"/>
    <w:rsid w:val="00917BCA"/>
    <w:rsid w:val="00917C25"/>
    <w:rsid w:val="00917CDF"/>
    <w:rsid w:val="00917D59"/>
    <w:rsid w:val="00917D87"/>
    <w:rsid w:val="00917E7B"/>
    <w:rsid w:val="0092007C"/>
    <w:rsid w:val="009200F8"/>
    <w:rsid w:val="00920123"/>
    <w:rsid w:val="00920141"/>
    <w:rsid w:val="00920239"/>
    <w:rsid w:val="009202AA"/>
    <w:rsid w:val="009203D7"/>
    <w:rsid w:val="00920475"/>
    <w:rsid w:val="0092055B"/>
    <w:rsid w:val="0092060E"/>
    <w:rsid w:val="00920611"/>
    <w:rsid w:val="009207B6"/>
    <w:rsid w:val="009208C5"/>
    <w:rsid w:val="0092091D"/>
    <w:rsid w:val="0092096A"/>
    <w:rsid w:val="00920C79"/>
    <w:rsid w:val="00920D7A"/>
    <w:rsid w:val="00920F6F"/>
    <w:rsid w:val="00920FB9"/>
    <w:rsid w:val="00921044"/>
    <w:rsid w:val="009212E0"/>
    <w:rsid w:val="009213DE"/>
    <w:rsid w:val="0092152A"/>
    <w:rsid w:val="0092163D"/>
    <w:rsid w:val="00921686"/>
    <w:rsid w:val="0092168B"/>
    <w:rsid w:val="00921875"/>
    <w:rsid w:val="00921907"/>
    <w:rsid w:val="00921B1D"/>
    <w:rsid w:val="00921B63"/>
    <w:rsid w:val="00921B9D"/>
    <w:rsid w:val="00921BFC"/>
    <w:rsid w:val="00921CF1"/>
    <w:rsid w:val="00921DFD"/>
    <w:rsid w:val="00921EB6"/>
    <w:rsid w:val="00921FD5"/>
    <w:rsid w:val="0092206C"/>
    <w:rsid w:val="00922208"/>
    <w:rsid w:val="00922469"/>
    <w:rsid w:val="0092253D"/>
    <w:rsid w:val="009225FC"/>
    <w:rsid w:val="009227CE"/>
    <w:rsid w:val="0092294A"/>
    <w:rsid w:val="0092294F"/>
    <w:rsid w:val="00922C34"/>
    <w:rsid w:val="00922CFB"/>
    <w:rsid w:val="00922E7E"/>
    <w:rsid w:val="00922E8F"/>
    <w:rsid w:val="00922EC6"/>
    <w:rsid w:val="00922EDE"/>
    <w:rsid w:val="00923314"/>
    <w:rsid w:val="00923323"/>
    <w:rsid w:val="00923442"/>
    <w:rsid w:val="00923559"/>
    <w:rsid w:val="00923586"/>
    <w:rsid w:val="009235CE"/>
    <w:rsid w:val="00923827"/>
    <w:rsid w:val="00923907"/>
    <w:rsid w:val="00923BD2"/>
    <w:rsid w:val="00923BEF"/>
    <w:rsid w:val="00923CC1"/>
    <w:rsid w:val="00923F57"/>
    <w:rsid w:val="00923F8A"/>
    <w:rsid w:val="00924025"/>
    <w:rsid w:val="00924052"/>
    <w:rsid w:val="00924109"/>
    <w:rsid w:val="009241DF"/>
    <w:rsid w:val="00924224"/>
    <w:rsid w:val="009246DA"/>
    <w:rsid w:val="00924782"/>
    <w:rsid w:val="009247DC"/>
    <w:rsid w:val="00924A0E"/>
    <w:rsid w:val="00924B7E"/>
    <w:rsid w:val="00924BC6"/>
    <w:rsid w:val="00924CCF"/>
    <w:rsid w:val="00924D8B"/>
    <w:rsid w:val="00924DAC"/>
    <w:rsid w:val="00924ED2"/>
    <w:rsid w:val="00924F9F"/>
    <w:rsid w:val="0092500D"/>
    <w:rsid w:val="00925268"/>
    <w:rsid w:val="00925288"/>
    <w:rsid w:val="009252B1"/>
    <w:rsid w:val="009252B3"/>
    <w:rsid w:val="009252D3"/>
    <w:rsid w:val="00925311"/>
    <w:rsid w:val="0092545F"/>
    <w:rsid w:val="00925486"/>
    <w:rsid w:val="009254DA"/>
    <w:rsid w:val="009254F1"/>
    <w:rsid w:val="00925636"/>
    <w:rsid w:val="0092566E"/>
    <w:rsid w:val="00925755"/>
    <w:rsid w:val="00925AA5"/>
    <w:rsid w:val="00925B3C"/>
    <w:rsid w:val="00925EA9"/>
    <w:rsid w:val="00925ECF"/>
    <w:rsid w:val="00925FDE"/>
    <w:rsid w:val="00926502"/>
    <w:rsid w:val="00926516"/>
    <w:rsid w:val="00926661"/>
    <w:rsid w:val="0092675D"/>
    <w:rsid w:val="0092677C"/>
    <w:rsid w:val="009267A6"/>
    <w:rsid w:val="00926816"/>
    <w:rsid w:val="00926873"/>
    <w:rsid w:val="00926931"/>
    <w:rsid w:val="00926C9E"/>
    <w:rsid w:val="00926CB0"/>
    <w:rsid w:val="00926EA2"/>
    <w:rsid w:val="0092707F"/>
    <w:rsid w:val="009271E7"/>
    <w:rsid w:val="00927227"/>
    <w:rsid w:val="0092739D"/>
    <w:rsid w:val="009275B5"/>
    <w:rsid w:val="0092760C"/>
    <w:rsid w:val="00927690"/>
    <w:rsid w:val="0092777F"/>
    <w:rsid w:val="009277C3"/>
    <w:rsid w:val="00927ABE"/>
    <w:rsid w:val="00927B29"/>
    <w:rsid w:val="00927B45"/>
    <w:rsid w:val="00927DA6"/>
    <w:rsid w:val="00927E48"/>
    <w:rsid w:val="00930207"/>
    <w:rsid w:val="0093027A"/>
    <w:rsid w:val="0093038F"/>
    <w:rsid w:val="00930402"/>
    <w:rsid w:val="009306F3"/>
    <w:rsid w:val="0093070E"/>
    <w:rsid w:val="00930DDE"/>
    <w:rsid w:val="00930DEF"/>
    <w:rsid w:val="00930E05"/>
    <w:rsid w:val="00930E84"/>
    <w:rsid w:val="00930FC2"/>
    <w:rsid w:val="00931099"/>
    <w:rsid w:val="009311A8"/>
    <w:rsid w:val="00931259"/>
    <w:rsid w:val="00931276"/>
    <w:rsid w:val="009312E8"/>
    <w:rsid w:val="00931447"/>
    <w:rsid w:val="00931486"/>
    <w:rsid w:val="009314F1"/>
    <w:rsid w:val="0093197F"/>
    <w:rsid w:val="00931B3F"/>
    <w:rsid w:val="00931C20"/>
    <w:rsid w:val="00931C98"/>
    <w:rsid w:val="00931C99"/>
    <w:rsid w:val="00931F09"/>
    <w:rsid w:val="00932013"/>
    <w:rsid w:val="00932042"/>
    <w:rsid w:val="0093223B"/>
    <w:rsid w:val="009324D6"/>
    <w:rsid w:val="00932520"/>
    <w:rsid w:val="009325B5"/>
    <w:rsid w:val="0093261F"/>
    <w:rsid w:val="009326AB"/>
    <w:rsid w:val="009326B2"/>
    <w:rsid w:val="00932729"/>
    <w:rsid w:val="009327D0"/>
    <w:rsid w:val="00932868"/>
    <w:rsid w:val="00932B05"/>
    <w:rsid w:val="00932BA8"/>
    <w:rsid w:val="00932CE4"/>
    <w:rsid w:val="00932D0A"/>
    <w:rsid w:val="00932DE2"/>
    <w:rsid w:val="00932E6E"/>
    <w:rsid w:val="00932E91"/>
    <w:rsid w:val="00933238"/>
    <w:rsid w:val="00933296"/>
    <w:rsid w:val="00933304"/>
    <w:rsid w:val="0093340C"/>
    <w:rsid w:val="00933650"/>
    <w:rsid w:val="00933758"/>
    <w:rsid w:val="0093381E"/>
    <w:rsid w:val="0093384A"/>
    <w:rsid w:val="00933AA9"/>
    <w:rsid w:val="00933E91"/>
    <w:rsid w:val="00934012"/>
    <w:rsid w:val="0093409E"/>
    <w:rsid w:val="009340DF"/>
    <w:rsid w:val="00934567"/>
    <w:rsid w:val="009345A8"/>
    <w:rsid w:val="00934655"/>
    <w:rsid w:val="0093484B"/>
    <w:rsid w:val="00934C75"/>
    <w:rsid w:val="00934E15"/>
    <w:rsid w:val="00934E8B"/>
    <w:rsid w:val="00935338"/>
    <w:rsid w:val="00935696"/>
    <w:rsid w:val="009356FC"/>
    <w:rsid w:val="00935889"/>
    <w:rsid w:val="00935961"/>
    <w:rsid w:val="009359A9"/>
    <w:rsid w:val="00935A8F"/>
    <w:rsid w:val="00935ADD"/>
    <w:rsid w:val="00935B7E"/>
    <w:rsid w:val="00935BEC"/>
    <w:rsid w:val="00935D41"/>
    <w:rsid w:val="00935DB4"/>
    <w:rsid w:val="00935DEE"/>
    <w:rsid w:val="00935E68"/>
    <w:rsid w:val="00935E8F"/>
    <w:rsid w:val="00935EF6"/>
    <w:rsid w:val="00935F9B"/>
    <w:rsid w:val="009360FD"/>
    <w:rsid w:val="00936120"/>
    <w:rsid w:val="009361D5"/>
    <w:rsid w:val="0093628C"/>
    <w:rsid w:val="00936318"/>
    <w:rsid w:val="00936346"/>
    <w:rsid w:val="00936442"/>
    <w:rsid w:val="00936469"/>
    <w:rsid w:val="00936541"/>
    <w:rsid w:val="00936571"/>
    <w:rsid w:val="00936655"/>
    <w:rsid w:val="00936694"/>
    <w:rsid w:val="00936A26"/>
    <w:rsid w:val="00936A6F"/>
    <w:rsid w:val="00936A88"/>
    <w:rsid w:val="00936C94"/>
    <w:rsid w:val="00936CA5"/>
    <w:rsid w:val="00936DD1"/>
    <w:rsid w:val="00936DDD"/>
    <w:rsid w:val="00936E1B"/>
    <w:rsid w:val="00936ED2"/>
    <w:rsid w:val="00937107"/>
    <w:rsid w:val="0093718D"/>
    <w:rsid w:val="00937234"/>
    <w:rsid w:val="009372D4"/>
    <w:rsid w:val="0093731A"/>
    <w:rsid w:val="00937860"/>
    <w:rsid w:val="009379B4"/>
    <w:rsid w:val="00937CF0"/>
    <w:rsid w:val="00937D76"/>
    <w:rsid w:val="00937F70"/>
    <w:rsid w:val="0094019D"/>
    <w:rsid w:val="00940250"/>
    <w:rsid w:val="0094049D"/>
    <w:rsid w:val="009405A0"/>
    <w:rsid w:val="009405ED"/>
    <w:rsid w:val="0094074D"/>
    <w:rsid w:val="00940A22"/>
    <w:rsid w:val="00940AB3"/>
    <w:rsid w:val="00940B7F"/>
    <w:rsid w:val="00940B9D"/>
    <w:rsid w:val="00940D50"/>
    <w:rsid w:val="00940E75"/>
    <w:rsid w:val="00940ED1"/>
    <w:rsid w:val="00940F16"/>
    <w:rsid w:val="00940F37"/>
    <w:rsid w:val="009411D2"/>
    <w:rsid w:val="009412E9"/>
    <w:rsid w:val="0094132F"/>
    <w:rsid w:val="0094136F"/>
    <w:rsid w:val="009414CA"/>
    <w:rsid w:val="0094165E"/>
    <w:rsid w:val="00941844"/>
    <w:rsid w:val="00941A15"/>
    <w:rsid w:val="00941BC3"/>
    <w:rsid w:val="00941ED7"/>
    <w:rsid w:val="00941F4A"/>
    <w:rsid w:val="00942054"/>
    <w:rsid w:val="00942174"/>
    <w:rsid w:val="00942197"/>
    <w:rsid w:val="009422BF"/>
    <w:rsid w:val="00942473"/>
    <w:rsid w:val="009426FD"/>
    <w:rsid w:val="00942733"/>
    <w:rsid w:val="00942968"/>
    <w:rsid w:val="00942AC6"/>
    <w:rsid w:val="00942B15"/>
    <w:rsid w:val="00942C11"/>
    <w:rsid w:val="00942C17"/>
    <w:rsid w:val="00942DA0"/>
    <w:rsid w:val="00942DB0"/>
    <w:rsid w:val="00942DFB"/>
    <w:rsid w:val="00942E89"/>
    <w:rsid w:val="00942F28"/>
    <w:rsid w:val="00942F36"/>
    <w:rsid w:val="00942F82"/>
    <w:rsid w:val="00942FB6"/>
    <w:rsid w:val="0094307A"/>
    <w:rsid w:val="0094308E"/>
    <w:rsid w:val="009430FB"/>
    <w:rsid w:val="00943196"/>
    <w:rsid w:val="00943232"/>
    <w:rsid w:val="0094332E"/>
    <w:rsid w:val="0094333F"/>
    <w:rsid w:val="00943432"/>
    <w:rsid w:val="009435C5"/>
    <w:rsid w:val="009436AB"/>
    <w:rsid w:val="009436F6"/>
    <w:rsid w:val="0094392E"/>
    <w:rsid w:val="009439EA"/>
    <w:rsid w:val="00943AE6"/>
    <w:rsid w:val="00943B48"/>
    <w:rsid w:val="00943B61"/>
    <w:rsid w:val="00943B73"/>
    <w:rsid w:val="00943BB4"/>
    <w:rsid w:val="00943CAD"/>
    <w:rsid w:val="00943CB2"/>
    <w:rsid w:val="00943F59"/>
    <w:rsid w:val="009442A8"/>
    <w:rsid w:val="00944584"/>
    <w:rsid w:val="00944679"/>
    <w:rsid w:val="009446D8"/>
    <w:rsid w:val="00944845"/>
    <w:rsid w:val="00944A41"/>
    <w:rsid w:val="00944A75"/>
    <w:rsid w:val="00944B37"/>
    <w:rsid w:val="00944C29"/>
    <w:rsid w:val="00944CCD"/>
    <w:rsid w:val="00944DAE"/>
    <w:rsid w:val="00944E6E"/>
    <w:rsid w:val="00945057"/>
    <w:rsid w:val="0094509D"/>
    <w:rsid w:val="009450CB"/>
    <w:rsid w:val="009450CD"/>
    <w:rsid w:val="00945226"/>
    <w:rsid w:val="009453A8"/>
    <w:rsid w:val="009454F2"/>
    <w:rsid w:val="009457AD"/>
    <w:rsid w:val="00945829"/>
    <w:rsid w:val="00945872"/>
    <w:rsid w:val="00945885"/>
    <w:rsid w:val="00945A2A"/>
    <w:rsid w:val="00945A5D"/>
    <w:rsid w:val="00945AB0"/>
    <w:rsid w:val="00945CD1"/>
    <w:rsid w:val="00945E11"/>
    <w:rsid w:val="00945E74"/>
    <w:rsid w:val="00945EDD"/>
    <w:rsid w:val="00945F38"/>
    <w:rsid w:val="00946020"/>
    <w:rsid w:val="009461C5"/>
    <w:rsid w:val="0094627C"/>
    <w:rsid w:val="00946287"/>
    <w:rsid w:val="009462B3"/>
    <w:rsid w:val="00946362"/>
    <w:rsid w:val="0094654E"/>
    <w:rsid w:val="00946885"/>
    <w:rsid w:val="00946974"/>
    <w:rsid w:val="00946A45"/>
    <w:rsid w:val="00946A4A"/>
    <w:rsid w:val="00946A81"/>
    <w:rsid w:val="00946AC0"/>
    <w:rsid w:val="00946AEC"/>
    <w:rsid w:val="00946B91"/>
    <w:rsid w:val="00946B99"/>
    <w:rsid w:val="00946C9E"/>
    <w:rsid w:val="00946D1B"/>
    <w:rsid w:val="0094700D"/>
    <w:rsid w:val="0094703A"/>
    <w:rsid w:val="009471BC"/>
    <w:rsid w:val="0094724E"/>
    <w:rsid w:val="00947513"/>
    <w:rsid w:val="00947554"/>
    <w:rsid w:val="009476C1"/>
    <w:rsid w:val="00947920"/>
    <w:rsid w:val="00947991"/>
    <w:rsid w:val="009479E7"/>
    <w:rsid w:val="00947A8B"/>
    <w:rsid w:val="00947CFD"/>
    <w:rsid w:val="00947EBB"/>
    <w:rsid w:val="00947F9C"/>
    <w:rsid w:val="00947FC1"/>
    <w:rsid w:val="009500D4"/>
    <w:rsid w:val="009502B5"/>
    <w:rsid w:val="00950315"/>
    <w:rsid w:val="00950519"/>
    <w:rsid w:val="00950581"/>
    <w:rsid w:val="00950628"/>
    <w:rsid w:val="0095063F"/>
    <w:rsid w:val="0095066A"/>
    <w:rsid w:val="00950672"/>
    <w:rsid w:val="00950694"/>
    <w:rsid w:val="00950765"/>
    <w:rsid w:val="00950AA7"/>
    <w:rsid w:val="00950AB0"/>
    <w:rsid w:val="00950AEC"/>
    <w:rsid w:val="00950B10"/>
    <w:rsid w:val="00950B64"/>
    <w:rsid w:val="00950B8E"/>
    <w:rsid w:val="00950C22"/>
    <w:rsid w:val="00950CC4"/>
    <w:rsid w:val="00950D1C"/>
    <w:rsid w:val="00950DD0"/>
    <w:rsid w:val="00950F03"/>
    <w:rsid w:val="00950F6C"/>
    <w:rsid w:val="00951299"/>
    <w:rsid w:val="009512BB"/>
    <w:rsid w:val="009513A6"/>
    <w:rsid w:val="009513E7"/>
    <w:rsid w:val="00951983"/>
    <w:rsid w:val="00951AE8"/>
    <w:rsid w:val="00951B52"/>
    <w:rsid w:val="00951C83"/>
    <w:rsid w:val="00951E7B"/>
    <w:rsid w:val="00951F12"/>
    <w:rsid w:val="009520C3"/>
    <w:rsid w:val="009523C8"/>
    <w:rsid w:val="009524D6"/>
    <w:rsid w:val="009527F2"/>
    <w:rsid w:val="0095295E"/>
    <w:rsid w:val="0095297A"/>
    <w:rsid w:val="00952A6F"/>
    <w:rsid w:val="00952B88"/>
    <w:rsid w:val="00952CA6"/>
    <w:rsid w:val="00952E6B"/>
    <w:rsid w:val="00953210"/>
    <w:rsid w:val="00953936"/>
    <w:rsid w:val="00953986"/>
    <w:rsid w:val="00953A18"/>
    <w:rsid w:val="00953ACE"/>
    <w:rsid w:val="00953DF8"/>
    <w:rsid w:val="00954106"/>
    <w:rsid w:val="009541B4"/>
    <w:rsid w:val="00954468"/>
    <w:rsid w:val="00954585"/>
    <w:rsid w:val="009547EC"/>
    <w:rsid w:val="00954929"/>
    <w:rsid w:val="0095493F"/>
    <w:rsid w:val="00954946"/>
    <w:rsid w:val="00954988"/>
    <w:rsid w:val="009549DB"/>
    <w:rsid w:val="009549F9"/>
    <w:rsid w:val="00954A74"/>
    <w:rsid w:val="00954AC4"/>
    <w:rsid w:val="00954BE6"/>
    <w:rsid w:val="00954C1B"/>
    <w:rsid w:val="00954F71"/>
    <w:rsid w:val="00954FD0"/>
    <w:rsid w:val="00955079"/>
    <w:rsid w:val="009552CA"/>
    <w:rsid w:val="009555E6"/>
    <w:rsid w:val="00955762"/>
    <w:rsid w:val="009558BD"/>
    <w:rsid w:val="009558C1"/>
    <w:rsid w:val="009559AA"/>
    <w:rsid w:val="009559CE"/>
    <w:rsid w:val="00955B9C"/>
    <w:rsid w:val="00955C5C"/>
    <w:rsid w:val="00955C76"/>
    <w:rsid w:val="00955CF3"/>
    <w:rsid w:val="00955D28"/>
    <w:rsid w:val="00955DD6"/>
    <w:rsid w:val="00955DF5"/>
    <w:rsid w:val="00955EE6"/>
    <w:rsid w:val="0095608B"/>
    <w:rsid w:val="009560BE"/>
    <w:rsid w:val="00956301"/>
    <w:rsid w:val="009563FB"/>
    <w:rsid w:val="00956687"/>
    <w:rsid w:val="0095670D"/>
    <w:rsid w:val="00956762"/>
    <w:rsid w:val="00956824"/>
    <w:rsid w:val="00956882"/>
    <w:rsid w:val="009568F8"/>
    <w:rsid w:val="009569E6"/>
    <w:rsid w:val="00956A6E"/>
    <w:rsid w:val="00956A7E"/>
    <w:rsid w:val="00956AEC"/>
    <w:rsid w:val="00956B4D"/>
    <w:rsid w:val="00956B5A"/>
    <w:rsid w:val="00956B8A"/>
    <w:rsid w:val="00956BEF"/>
    <w:rsid w:val="00956C94"/>
    <w:rsid w:val="00956F2D"/>
    <w:rsid w:val="00956F9E"/>
    <w:rsid w:val="00957054"/>
    <w:rsid w:val="009570E8"/>
    <w:rsid w:val="0095722A"/>
    <w:rsid w:val="0095733A"/>
    <w:rsid w:val="009573DF"/>
    <w:rsid w:val="009573FB"/>
    <w:rsid w:val="00957459"/>
    <w:rsid w:val="0095746B"/>
    <w:rsid w:val="0095754E"/>
    <w:rsid w:val="0095796B"/>
    <w:rsid w:val="009579FA"/>
    <w:rsid w:val="00957A24"/>
    <w:rsid w:val="00957A3B"/>
    <w:rsid w:val="00957B72"/>
    <w:rsid w:val="00957DDD"/>
    <w:rsid w:val="00957DE1"/>
    <w:rsid w:val="00957F3D"/>
    <w:rsid w:val="00960058"/>
    <w:rsid w:val="0096010F"/>
    <w:rsid w:val="0096013E"/>
    <w:rsid w:val="00960217"/>
    <w:rsid w:val="00960274"/>
    <w:rsid w:val="009602E7"/>
    <w:rsid w:val="00960332"/>
    <w:rsid w:val="0096051F"/>
    <w:rsid w:val="0096067F"/>
    <w:rsid w:val="009606BA"/>
    <w:rsid w:val="00960999"/>
    <w:rsid w:val="009609BD"/>
    <w:rsid w:val="00960A79"/>
    <w:rsid w:val="009610B1"/>
    <w:rsid w:val="009610BD"/>
    <w:rsid w:val="00961189"/>
    <w:rsid w:val="0096125D"/>
    <w:rsid w:val="0096129F"/>
    <w:rsid w:val="009612F8"/>
    <w:rsid w:val="009613B6"/>
    <w:rsid w:val="009613DB"/>
    <w:rsid w:val="00961498"/>
    <w:rsid w:val="0096153C"/>
    <w:rsid w:val="00961619"/>
    <w:rsid w:val="0096169D"/>
    <w:rsid w:val="009617DC"/>
    <w:rsid w:val="00961852"/>
    <w:rsid w:val="00961857"/>
    <w:rsid w:val="0096189C"/>
    <w:rsid w:val="009619DC"/>
    <w:rsid w:val="00961A1B"/>
    <w:rsid w:val="00961ACA"/>
    <w:rsid w:val="00961B95"/>
    <w:rsid w:val="00961C34"/>
    <w:rsid w:val="00961C86"/>
    <w:rsid w:val="00961CE0"/>
    <w:rsid w:val="00961DB7"/>
    <w:rsid w:val="00961E8F"/>
    <w:rsid w:val="00961F10"/>
    <w:rsid w:val="00961F56"/>
    <w:rsid w:val="00962169"/>
    <w:rsid w:val="009622FD"/>
    <w:rsid w:val="009626A5"/>
    <w:rsid w:val="00962B94"/>
    <w:rsid w:val="00962D18"/>
    <w:rsid w:val="00962D57"/>
    <w:rsid w:val="00962DAA"/>
    <w:rsid w:val="00962DE2"/>
    <w:rsid w:val="00962EBD"/>
    <w:rsid w:val="00962EE4"/>
    <w:rsid w:val="00962F8E"/>
    <w:rsid w:val="00963187"/>
    <w:rsid w:val="009632EC"/>
    <w:rsid w:val="009633FF"/>
    <w:rsid w:val="009634AA"/>
    <w:rsid w:val="009634BE"/>
    <w:rsid w:val="0096350A"/>
    <w:rsid w:val="009635B2"/>
    <w:rsid w:val="009636A3"/>
    <w:rsid w:val="009636D0"/>
    <w:rsid w:val="0096371F"/>
    <w:rsid w:val="009637B4"/>
    <w:rsid w:val="00963824"/>
    <w:rsid w:val="00963972"/>
    <w:rsid w:val="00963998"/>
    <w:rsid w:val="00963B02"/>
    <w:rsid w:val="00963BA9"/>
    <w:rsid w:val="00963BFF"/>
    <w:rsid w:val="00963E8D"/>
    <w:rsid w:val="00963E91"/>
    <w:rsid w:val="00963EDF"/>
    <w:rsid w:val="00963F06"/>
    <w:rsid w:val="00963FB3"/>
    <w:rsid w:val="009640FD"/>
    <w:rsid w:val="00964102"/>
    <w:rsid w:val="0096438C"/>
    <w:rsid w:val="0096438E"/>
    <w:rsid w:val="009643C9"/>
    <w:rsid w:val="00964467"/>
    <w:rsid w:val="00964508"/>
    <w:rsid w:val="0096453E"/>
    <w:rsid w:val="00964559"/>
    <w:rsid w:val="009645F2"/>
    <w:rsid w:val="00964802"/>
    <w:rsid w:val="00964840"/>
    <w:rsid w:val="009648E7"/>
    <w:rsid w:val="00964900"/>
    <w:rsid w:val="00964998"/>
    <w:rsid w:val="009649BC"/>
    <w:rsid w:val="009649BD"/>
    <w:rsid w:val="009649D3"/>
    <w:rsid w:val="00964B07"/>
    <w:rsid w:val="00964B5B"/>
    <w:rsid w:val="00964D32"/>
    <w:rsid w:val="00964F90"/>
    <w:rsid w:val="0096504A"/>
    <w:rsid w:val="0096508F"/>
    <w:rsid w:val="00965135"/>
    <w:rsid w:val="009651A7"/>
    <w:rsid w:val="009651ED"/>
    <w:rsid w:val="0096521B"/>
    <w:rsid w:val="0096527B"/>
    <w:rsid w:val="009652EC"/>
    <w:rsid w:val="009652FA"/>
    <w:rsid w:val="00965350"/>
    <w:rsid w:val="00965385"/>
    <w:rsid w:val="00965522"/>
    <w:rsid w:val="009656A9"/>
    <w:rsid w:val="009656F2"/>
    <w:rsid w:val="00965799"/>
    <w:rsid w:val="009658F6"/>
    <w:rsid w:val="00965922"/>
    <w:rsid w:val="00965ABF"/>
    <w:rsid w:val="00965AC8"/>
    <w:rsid w:val="00965AE4"/>
    <w:rsid w:val="00965B3F"/>
    <w:rsid w:val="00965CCD"/>
    <w:rsid w:val="00965D93"/>
    <w:rsid w:val="00965FBA"/>
    <w:rsid w:val="009664B6"/>
    <w:rsid w:val="0096653C"/>
    <w:rsid w:val="0096660F"/>
    <w:rsid w:val="0096669C"/>
    <w:rsid w:val="009666E5"/>
    <w:rsid w:val="00966753"/>
    <w:rsid w:val="00966781"/>
    <w:rsid w:val="009667D7"/>
    <w:rsid w:val="0096682B"/>
    <w:rsid w:val="009669FC"/>
    <w:rsid w:val="00966A48"/>
    <w:rsid w:val="00966A78"/>
    <w:rsid w:val="00966AE9"/>
    <w:rsid w:val="00966B4A"/>
    <w:rsid w:val="00966BE7"/>
    <w:rsid w:val="00966C5D"/>
    <w:rsid w:val="00966D35"/>
    <w:rsid w:val="00966E51"/>
    <w:rsid w:val="00966F6E"/>
    <w:rsid w:val="00967018"/>
    <w:rsid w:val="009670A9"/>
    <w:rsid w:val="0096732C"/>
    <w:rsid w:val="009676A1"/>
    <w:rsid w:val="009677EF"/>
    <w:rsid w:val="009677F3"/>
    <w:rsid w:val="0096793D"/>
    <w:rsid w:val="00967996"/>
    <w:rsid w:val="00967F9F"/>
    <w:rsid w:val="00967FCA"/>
    <w:rsid w:val="009700A3"/>
    <w:rsid w:val="00970179"/>
    <w:rsid w:val="00970216"/>
    <w:rsid w:val="00970326"/>
    <w:rsid w:val="0097032F"/>
    <w:rsid w:val="0097046A"/>
    <w:rsid w:val="00970605"/>
    <w:rsid w:val="009709B2"/>
    <w:rsid w:val="009709DD"/>
    <w:rsid w:val="00970A34"/>
    <w:rsid w:val="00970AA7"/>
    <w:rsid w:val="00970AF5"/>
    <w:rsid w:val="00970C5E"/>
    <w:rsid w:val="00970DBF"/>
    <w:rsid w:val="00970DE2"/>
    <w:rsid w:val="00970E7A"/>
    <w:rsid w:val="00970EDB"/>
    <w:rsid w:val="00970F97"/>
    <w:rsid w:val="00970FAC"/>
    <w:rsid w:val="00970FE3"/>
    <w:rsid w:val="009712C3"/>
    <w:rsid w:val="009712D6"/>
    <w:rsid w:val="009712E6"/>
    <w:rsid w:val="0097142B"/>
    <w:rsid w:val="0097158B"/>
    <w:rsid w:val="0097179F"/>
    <w:rsid w:val="0097184C"/>
    <w:rsid w:val="00971A82"/>
    <w:rsid w:val="00971A9F"/>
    <w:rsid w:val="00971BFD"/>
    <w:rsid w:val="00971D15"/>
    <w:rsid w:val="00971F11"/>
    <w:rsid w:val="00971F2F"/>
    <w:rsid w:val="0097212C"/>
    <w:rsid w:val="00972175"/>
    <w:rsid w:val="00972206"/>
    <w:rsid w:val="00972386"/>
    <w:rsid w:val="009723F7"/>
    <w:rsid w:val="00972505"/>
    <w:rsid w:val="00972565"/>
    <w:rsid w:val="00972589"/>
    <w:rsid w:val="009726DE"/>
    <w:rsid w:val="009726E6"/>
    <w:rsid w:val="0097270D"/>
    <w:rsid w:val="00972750"/>
    <w:rsid w:val="009727D3"/>
    <w:rsid w:val="009728C6"/>
    <w:rsid w:val="009729E7"/>
    <w:rsid w:val="00972A89"/>
    <w:rsid w:val="00972AB9"/>
    <w:rsid w:val="00972B62"/>
    <w:rsid w:val="00972CEB"/>
    <w:rsid w:val="00972D7D"/>
    <w:rsid w:val="00972EB6"/>
    <w:rsid w:val="00973047"/>
    <w:rsid w:val="0097305D"/>
    <w:rsid w:val="00973232"/>
    <w:rsid w:val="009732EC"/>
    <w:rsid w:val="00973378"/>
    <w:rsid w:val="00973408"/>
    <w:rsid w:val="00973824"/>
    <w:rsid w:val="00973A29"/>
    <w:rsid w:val="00973AB8"/>
    <w:rsid w:val="00973B0D"/>
    <w:rsid w:val="00973B10"/>
    <w:rsid w:val="00973B84"/>
    <w:rsid w:val="00973D83"/>
    <w:rsid w:val="00973F03"/>
    <w:rsid w:val="00973F3C"/>
    <w:rsid w:val="009741C3"/>
    <w:rsid w:val="0097430D"/>
    <w:rsid w:val="0097438F"/>
    <w:rsid w:val="0097460E"/>
    <w:rsid w:val="00974802"/>
    <w:rsid w:val="0097482F"/>
    <w:rsid w:val="009748CA"/>
    <w:rsid w:val="00974B1F"/>
    <w:rsid w:val="00974DA5"/>
    <w:rsid w:val="00974F0C"/>
    <w:rsid w:val="00974FCC"/>
    <w:rsid w:val="00975058"/>
    <w:rsid w:val="00975433"/>
    <w:rsid w:val="009755B0"/>
    <w:rsid w:val="00975640"/>
    <w:rsid w:val="00975647"/>
    <w:rsid w:val="00975712"/>
    <w:rsid w:val="00975716"/>
    <w:rsid w:val="009757BA"/>
    <w:rsid w:val="009758CE"/>
    <w:rsid w:val="00975982"/>
    <w:rsid w:val="009759CB"/>
    <w:rsid w:val="00975A07"/>
    <w:rsid w:val="00975B08"/>
    <w:rsid w:val="00975BC6"/>
    <w:rsid w:val="00975BE9"/>
    <w:rsid w:val="00975C18"/>
    <w:rsid w:val="00975C52"/>
    <w:rsid w:val="00975C63"/>
    <w:rsid w:val="00975D87"/>
    <w:rsid w:val="00975E9D"/>
    <w:rsid w:val="00975EEB"/>
    <w:rsid w:val="00975FD5"/>
    <w:rsid w:val="009760B1"/>
    <w:rsid w:val="0097620E"/>
    <w:rsid w:val="00976312"/>
    <w:rsid w:val="009763C1"/>
    <w:rsid w:val="009763E9"/>
    <w:rsid w:val="009765AD"/>
    <w:rsid w:val="009767EB"/>
    <w:rsid w:val="0097683B"/>
    <w:rsid w:val="009768D5"/>
    <w:rsid w:val="0097696E"/>
    <w:rsid w:val="00976993"/>
    <w:rsid w:val="00976B51"/>
    <w:rsid w:val="00976BC4"/>
    <w:rsid w:val="00976CEE"/>
    <w:rsid w:val="00976D74"/>
    <w:rsid w:val="00976E43"/>
    <w:rsid w:val="00976F2E"/>
    <w:rsid w:val="009770C4"/>
    <w:rsid w:val="00977161"/>
    <w:rsid w:val="00977241"/>
    <w:rsid w:val="0097725F"/>
    <w:rsid w:val="0097740E"/>
    <w:rsid w:val="00977447"/>
    <w:rsid w:val="0097768D"/>
    <w:rsid w:val="009776F2"/>
    <w:rsid w:val="0097770E"/>
    <w:rsid w:val="009777EA"/>
    <w:rsid w:val="0097780F"/>
    <w:rsid w:val="009778EF"/>
    <w:rsid w:val="00977A50"/>
    <w:rsid w:val="00977B18"/>
    <w:rsid w:val="00977C42"/>
    <w:rsid w:val="00977CFD"/>
    <w:rsid w:val="00977D33"/>
    <w:rsid w:val="00980003"/>
    <w:rsid w:val="0098009B"/>
    <w:rsid w:val="009800E4"/>
    <w:rsid w:val="00980110"/>
    <w:rsid w:val="009803DD"/>
    <w:rsid w:val="009804BD"/>
    <w:rsid w:val="0098058F"/>
    <w:rsid w:val="00980626"/>
    <w:rsid w:val="00980738"/>
    <w:rsid w:val="00980A97"/>
    <w:rsid w:val="00980B3A"/>
    <w:rsid w:val="00980B62"/>
    <w:rsid w:val="00980C5D"/>
    <w:rsid w:val="00980C87"/>
    <w:rsid w:val="00980D78"/>
    <w:rsid w:val="00980D9D"/>
    <w:rsid w:val="00980E9A"/>
    <w:rsid w:val="00980F08"/>
    <w:rsid w:val="00980FCD"/>
    <w:rsid w:val="009810C5"/>
    <w:rsid w:val="0098143F"/>
    <w:rsid w:val="009815B5"/>
    <w:rsid w:val="009816FF"/>
    <w:rsid w:val="009817D5"/>
    <w:rsid w:val="00981843"/>
    <w:rsid w:val="00981975"/>
    <w:rsid w:val="009819BF"/>
    <w:rsid w:val="00981A22"/>
    <w:rsid w:val="00981B4C"/>
    <w:rsid w:val="00981B55"/>
    <w:rsid w:val="00981B8B"/>
    <w:rsid w:val="00981C98"/>
    <w:rsid w:val="00981CA1"/>
    <w:rsid w:val="00981D9F"/>
    <w:rsid w:val="009821CE"/>
    <w:rsid w:val="009822A6"/>
    <w:rsid w:val="009822B0"/>
    <w:rsid w:val="00982370"/>
    <w:rsid w:val="009823D2"/>
    <w:rsid w:val="0098263A"/>
    <w:rsid w:val="0098263E"/>
    <w:rsid w:val="00982806"/>
    <w:rsid w:val="009828DC"/>
    <w:rsid w:val="009829BC"/>
    <w:rsid w:val="00982A51"/>
    <w:rsid w:val="00982AA3"/>
    <w:rsid w:val="00982B5B"/>
    <w:rsid w:val="00982BEA"/>
    <w:rsid w:val="00982BEE"/>
    <w:rsid w:val="00982C36"/>
    <w:rsid w:val="00982D25"/>
    <w:rsid w:val="00982D28"/>
    <w:rsid w:val="00982D58"/>
    <w:rsid w:val="00982DE6"/>
    <w:rsid w:val="00982FD4"/>
    <w:rsid w:val="00982FF9"/>
    <w:rsid w:val="00983005"/>
    <w:rsid w:val="009833E7"/>
    <w:rsid w:val="009834E7"/>
    <w:rsid w:val="0098362F"/>
    <w:rsid w:val="00983644"/>
    <w:rsid w:val="009836D5"/>
    <w:rsid w:val="009836FE"/>
    <w:rsid w:val="009837DB"/>
    <w:rsid w:val="009838C3"/>
    <w:rsid w:val="009839B3"/>
    <w:rsid w:val="00983BD9"/>
    <w:rsid w:val="00983DC9"/>
    <w:rsid w:val="009841C9"/>
    <w:rsid w:val="0098425E"/>
    <w:rsid w:val="00984324"/>
    <w:rsid w:val="00984559"/>
    <w:rsid w:val="0098459C"/>
    <w:rsid w:val="0098474F"/>
    <w:rsid w:val="0098486F"/>
    <w:rsid w:val="0098497C"/>
    <w:rsid w:val="00984A26"/>
    <w:rsid w:val="00984A9E"/>
    <w:rsid w:val="00984B1B"/>
    <w:rsid w:val="00984B27"/>
    <w:rsid w:val="00984CE9"/>
    <w:rsid w:val="00984D4B"/>
    <w:rsid w:val="00984DB7"/>
    <w:rsid w:val="00984E96"/>
    <w:rsid w:val="00984EC3"/>
    <w:rsid w:val="0098502F"/>
    <w:rsid w:val="0098505D"/>
    <w:rsid w:val="00985084"/>
    <w:rsid w:val="009852CF"/>
    <w:rsid w:val="009852F7"/>
    <w:rsid w:val="00985447"/>
    <w:rsid w:val="009855F6"/>
    <w:rsid w:val="00985602"/>
    <w:rsid w:val="009856BF"/>
    <w:rsid w:val="009856F2"/>
    <w:rsid w:val="0098584D"/>
    <w:rsid w:val="0098590F"/>
    <w:rsid w:val="00985ACC"/>
    <w:rsid w:val="00985AF3"/>
    <w:rsid w:val="00985B6E"/>
    <w:rsid w:val="00985C81"/>
    <w:rsid w:val="00985C82"/>
    <w:rsid w:val="00985C87"/>
    <w:rsid w:val="00985CAF"/>
    <w:rsid w:val="00985D7A"/>
    <w:rsid w:val="00985E59"/>
    <w:rsid w:val="00986259"/>
    <w:rsid w:val="009863F2"/>
    <w:rsid w:val="009864F7"/>
    <w:rsid w:val="00986645"/>
    <w:rsid w:val="009867B2"/>
    <w:rsid w:val="009868DD"/>
    <w:rsid w:val="00986A79"/>
    <w:rsid w:val="00986ACF"/>
    <w:rsid w:val="00986ADC"/>
    <w:rsid w:val="00986AE5"/>
    <w:rsid w:val="00986B38"/>
    <w:rsid w:val="00986CB7"/>
    <w:rsid w:val="00986E58"/>
    <w:rsid w:val="009870FC"/>
    <w:rsid w:val="00987136"/>
    <w:rsid w:val="00987147"/>
    <w:rsid w:val="0098716B"/>
    <w:rsid w:val="0098724D"/>
    <w:rsid w:val="00987473"/>
    <w:rsid w:val="00987491"/>
    <w:rsid w:val="00987745"/>
    <w:rsid w:val="00987755"/>
    <w:rsid w:val="009878EC"/>
    <w:rsid w:val="009878F7"/>
    <w:rsid w:val="00987919"/>
    <w:rsid w:val="00987986"/>
    <w:rsid w:val="00987ACB"/>
    <w:rsid w:val="00987AFE"/>
    <w:rsid w:val="00987DBC"/>
    <w:rsid w:val="00987DC4"/>
    <w:rsid w:val="00987DE5"/>
    <w:rsid w:val="00987E88"/>
    <w:rsid w:val="00987E8F"/>
    <w:rsid w:val="00987ECD"/>
    <w:rsid w:val="00987F72"/>
    <w:rsid w:val="00987F99"/>
    <w:rsid w:val="00990287"/>
    <w:rsid w:val="0099029E"/>
    <w:rsid w:val="009902BC"/>
    <w:rsid w:val="009902D5"/>
    <w:rsid w:val="00990667"/>
    <w:rsid w:val="00990916"/>
    <w:rsid w:val="00990923"/>
    <w:rsid w:val="009909A4"/>
    <w:rsid w:val="009909A8"/>
    <w:rsid w:val="00990B4C"/>
    <w:rsid w:val="00990B7C"/>
    <w:rsid w:val="00990BE0"/>
    <w:rsid w:val="00990BF3"/>
    <w:rsid w:val="00990BF6"/>
    <w:rsid w:val="00990D50"/>
    <w:rsid w:val="00990DAC"/>
    <w:rsid w:val="00990E7C"/>
    <w:rsid w:val="00990EA0"/>
    <w:rsid w:val="00990F41"/>
    <w:rsid w:val="009910DC"/>
    <w:rsid w:val="009910FC"/>
    <w:rsid w:val="0099120F"/>
    <w:rsid w:val="0099123B"/>
    <w:rsid w:val="009917D7"/>
    <w:rsid w:val="00991816"/>
    <w:rsid w:val="009918B1"/>
    <w:rsid w:val="009918F7"/>
    <w:rsid w:val="00991C17"/>
    <w:rsid w:val="00991D8C"/>
    <w:rsid w:val="00991DB9"/>
    <w:rsid w:val="00991E8D"/>
    <w:rsid w:val="00991EA6"/>
    <w:rsid w:val="00991EC1"/>
    <w:rsid w:val="00991F95"/>
    <w:rsid w:val="0099206E"/>
    <w:rsid w:val="009921F9"/>
    <w:rsid w:val="00992256"/>
    <w:rsid w:val="00992416"/>
    <w:rsid w:val="009926F0"/>
    <w:rsid w:val="009927E5"/>
    <w:rsid w:val="0099284E"/>
    <w:rsid w:val="0099287B"/>
    <w:rsid w:val="009928D6"/>
    <w:rsid w:val="00992B04"/>
    <w:rsid w:val="00992B9F"/>
    <w:rsid w:val="00992C9F"/>
    <w:rsid w:val="00992EC5"/>
    <w:rsid w:val="00993029"/>
    <w:rsid w:val="009931CE"/>
    <w:rsid w:val="00993250"/>
    <w:rsid w:val="00993486"/>
    <w:rsid w:val="009934B5"/>
    <w:rsid w:val="0099351B"/>
    <w:rsid w:val="0099358D"/>
    <w:rsid w:val="0099364A"/>
    <w:rsid w:val="009937F0"/>
    <w:rsid w:val="00993A2B"/>
    <w:rsid w:val="00993A49"/>
    <w:rsid w:val="00993A96"/>
    <w:rsid w:val="00993AB3"/>
    <w:rsid w:val="00993B03"/>
    <w:rsid w:val="00993BDA"/>
    <w:rsid w:val="00993D07"/>
    <w:rsid w:val="00993F52"/>
    <w:rsid w:val="00993F6D"/>
    <w:rsid w:val="00994346"/>
    <w:rsid w:val="0099445C"/>
    <w:rsid w:val="009944F4"/>
    <w:rsid w:val="00994817"/>
    <w:rsid w:val="0099498D"/>
    <w:rsid w:val="00994A44"/>
    <w:rsid w:val="00994B89"/>
    <w:rsid w:val="00994D08"/>
    <w:rsid w:val="00994E86"/>
    <w:rsid w:val="00994EE3"/>
    <w:rsid w:val="009950CB"/>
    <w:rsid w:val="00995297"/>
    <w:rsid w:val="00995391"/>
    <w:rsid w:val="0099539D"/>
    <w:rsid w:val="0099540E"/>
    <w:rsid w:val="00995609"/>
    <w:rsid w:val="009958CF"/>
    <w:rsid w:val="009959A9"/>
    <w:rsid w:val="00995C4E"/>
    <w:rsid w:val="00995E5B"/>
    <w:rsid w:val="009960BB"/>
    <w:rsid w:val="00996150"/>
    <w:rsid w:val="00996163"/>
    <w:rsid w:val="00996216"/>
    <w:rsid w:val="0099628E"/>
    <w:rsid w:val="00996397"/>
    <w:rsid w:val="00996482"/>
    <w:rsid w:val="00996502"/>
    <w:rsid w:val="0099654F"/>
    <w:rsid w:val="009967F2"/>
    <w:rsid w:val="00996991"/>
    <w:rsid w:val="00996A3A"/>
    <w:rsid w:val="00996A65"/>
    <w:rsid w:val="00996AB2"/>
    <w:rsid w:val="00996C5F"/>
    <w:rsid w:val="00996EEB"/>
    <w:rsid w:val="00996F32"/>
    <w:rsid w:val="0099719A"/>
    <w:rsid w:val="009971A1"/>
    <w:rsid w:val="009973CA"/>
    <w:rsid w:val="009974EE"/>
    <w:rsid w:val="0099752C"/>
    <w:rsid w:val="009977C1"/>
    <w:rsid w:val="009977E2"/>
    <w:rsid w:val="0099781A"/>
    <w:rsid w:val="00997826"/>
    <w:rsid w:val="00997957"/>
    <w:rsid w:val="009979AB"/>
    <w:rsid w:val="00997A6C"/>
    <w:rsid w:val="00997A91"/>
    <w:rsid w:val="00997BCA"/>
    <w:rsid w:val="00997CFE"/>
    <w:rsid w:val="00997E22"/>
    <w:rsid w:val="00997E52"/>
    <w:rsid w:val="00997FE3"/>
    <w:rsid w:val="009A00C9"/>
    <w:rsid w:val="009A0109"/>
    <w:rsid w:val="009A0123"/>
    <w:rsid w:val="009A02CE"/>
    <w:rsid w:val="009A0390"/>
    <w:rsid w:val="009A047D"/>
    <w:rsid w:val="009A0623"/>
    <w:rsid w:val="009A0722"/>
    <w:rsid w:val="009A0743"/>
    <w:rsid w:val="009A0816"/>
    <w:rsid w:val="009A0A62"/>
    <w:rsid w:val="009A0B7E"/>
    <w:rsid w:val="009A0C76"/>
    <w:rsid w:val="009A0D87"/>
    <w:rsid w:val="009A0D8C"/>
    <w:rsid w:val="009A0DBE"/>
    <w:rsid w:val="009A0F57"/>
    <w:rsid w:val="009A107B"/>
    <w:rsid w:val="009A125C"/>
    <w:rsid w:val="009A12E6"/>
    <w:rsid w:val="009A1337"/>
    <w:rsid w:val="009A1396"/>
    <w:rsid w:val="009A13F9"/>
    <w:rsid w:val="009A1472"/>
    <w:rsid w:val="009A15A2"/>
    <w:rsid w:val="009A173C"/>
    <w:rsid w:val="009A1757"/>
    <w:rsid w:val="009A1959"/>
    <w:rsid w:val="009A1A6A"/>
    <w:rsid w:val="009A1AB2"/>
    <w:rsid w:val="009A1BC0"/>
    <w:rsid w:val="009A1D03"/>
    <w:rsid w:val="009A1FD3"/>
    <w:rsid w:val="009A229D"/>
    <w:rsid w:val="009A231F"/>
    <w:rsid w:val="009A23B3"/>
    <w:rsid w:val="009A23E9"/>
    <w:rsid w:val="009A2674"/>
    <w:rsid w:val="009A271E"/>
    <w:rsid w:val="009A272E"/>
    <w:rsid w:val="009A28A5"/>
    <w:rsid w:val="009A28CA"/>
    <w:rsid w:val="009A2B68"/>
    <w:rsid w:val="009A2B6B"/>
    <w:rsid w:val="009A2C0C"/>
    <w:rsid w:val="009A2EC1"/>
    <w:rsid w:val="009A2F02"/>
    <w:rsid w:val="009A2FAF"/>
    <w:rsid w:val="009A316A"/>
    <w:rsid w:val="009A31E7"/>
    <w:rsid w:val="009A3294"/>
    <w:rsid w:val="009A3300"/>
    <w:rsid w:val="009A3748"/>
    <w:rsid w:val="009A37D8"/>
    <w:rsid w:val="009A3820"/>
    <w:rsid w:val="009A3E6D"/>
    <w:rsid w:val="009A3F57"/>
    <w:rsid w:val="009A3F67"/>
    <w:rsid w:val="009A3FDE"/>
    <w:rsid w:val="009A3FFF"/>
    <w:rsid w:val="009A4162"/>
    <w:rsid w:val="009A4270"/>
    <w:rsid w:val="009A43D1"/>
    <w:rsid w:val="009A44F7"/>
    <w:rsid w:val="009A460E"/>
    <w:rsid w:val="009A463B"/>
    <w:rsid w:val="009A46DC"/>
    <w:rsid w:val="009A4860"/>
    <w:rsid w:val="009A4943"/>
    <w:rsid w:val="009A49D5"/>
    <w:rsid w:val="009A4AA5"/>
    <w:rsid w:val="009A4AD5"/>
    <w:rsid w:val="009A4AFD"/>
    <w:rsid w:val="009A4CD2"/>
    <w:rsid w:val="009A4DB2"/>
    <w:rsid w:val="009A4DB6"/>
    <w:rsid w:val="009A4EEC"/>
    <w:rsid w:val="009A50AB"/>
    <w:rsid w:val="009A5291"/>
    <w:rsid w:val="009A52FC"/>
    <w:rsid w:val="009A5320"/>
    <w:rsid w:val="009A53DE"/>
    <w:rsid w:val="009A5432"/>
    <w:rsid w:val="009A546D"/>
    <w:rsid w:val="009A5498"/>
    <w:rsid w:val="009A550E"/>
    <w:rsid w:val="009A5927"/>
    <w:rsid w:val="009A5AA7"/>
    <w:rsid w:val="009A5BCD"/>
    <w:rsid w:val="009A5DA7"/>
    <w:rsid w:val="009A5EBC"/>
    <w:rsid w:val="009A5EE9"/>
    <w:rsid w:val="009A61C4"/>
    <w:rsid w:val="009A63F4"/>
    <w:rsid w:val="009A64B5"/>
    <w:rsid w:val="009A658F"/>
    <w:rsid w:val="009A668A"/>
    <w:rsid w:val="009A6706"/>
    <w:rsid w:val="009A6733"/>
    <w:rsid w:val="009A68FA"/>
    <w:rsid w:val="009A6970"/>
    <w:rsid w:val="009A6A0E"/>
    <w:rsid w:val="009A6A81"/>
    <w:rsid w:val="009A6B69"/>
    <w:rsid w:val="009A6C27"/>
    <w:rsid w:val="009A6C81"/>
    <w:rsid w:val="009A6CAB"/>
    <w:rsid w:val="009A7020"/>
    <w:rsid w:val="009A70E7"/>
    <w:rsid w:val="009A727A"/>
    <w:rsid w:val="009A72C2"/>
    <w:rsid w:val="009A72D5"/>
    <w:rsid w:val="009A7375"/>
    <w:rsid w:val="009A73B8"/>
    <w:rsid w:val="009A73CF"/>
    <w:rsid w:val="009A76D1"/>
    <w:rsid w:val="009A77AB"/>
    <w:rsid w:val="009A790B"/>
    <w:rsid w:val="009A7A1D"/>
    <w:rsid w:val="009A7AFF"/>
    <w:rsid w:val="009A7C1B"/>
    <w:rsid w:val="009A7D89"/>
    <w:rsid w:val="009A7E5F"/>
    <w:rsid w:val="009A7F33"/>
    <w:rsid w:val="009B007C"/>
    <w:rsid w:val="009B0173"/>
    <w:rsid w:val="009B01B0"/>
    <w:rsid w:val="009B041C"/>
    <w:rsid w:val="009B0605"/>
    <w:rsid w:val="009B0780"/>
    <w:rsid w:val="009B08DE"/>
    <w:rsid w:val="009B08FB"/>
    <w:rsid w:val="009B08FD"/>
    <w:rsid w:val="009B0904"/>
    <w:rsid w:val="009B0910"/>
    <w:rsid w:val="009B0A08"/>
    <w:rsid w:val="009B0CD7"/>
    <w:rsid w:val="009B0F4A"/>
    <w:rsid w:val="009B131F"/>
    <w:rsid w:val="009B13FE"/>
    <w:rsid w:val="009B15F7"/>
    <w:rsid w:val="009B1828"/>
    <w:rsid w:val="009B188D"/>
    <w:rsid w:val="009B19AF"/>
    <w:rsid w:val="009B1A2E"/>
    <w:rsid w:val="009B1A65"/>
    <w:rsid w:val="009B1A95"/>
    <w:rsid w:val="009B1AEA"/>
    <w:rsid w:val="009B1B15"/>
    <w:rsid w:val="009B1CB6"/>
    <w:rsid w:val="009B1D5F"/>
    <w:rsid w:val="009B1D6C"/>
    <w:rsid w:val="009B1D92"/>
    <w:rsid w:val="009B1DB9"/>
    <w:rsid w:val="009B1E1E"/>
    <w:rsid w:val="009B1EF2"/>
    <w:rsid w:val="009B1F60"/>
    <w:rsid w:val="009B1FC5"/>
    <w:rsid w:val="009B213D"/>
    <w:rsid w:val="009B2646"/>
    <w:rsid w:val="009B27AC"/>
    <w:rsid w:val="009B289C"/>
    <w:rsid w:val="009B2994"/>
    <w:rsid w:val="009B29B0"/>
    <w:rsid w:val="009B2A92"/>
    <w:rsid w:val="009B2A9D"/>
    <w:rsid w:val="009B2B64"/>
    <w:rsid w:val="009B2DA8"/>
    <w:rsid w:val="009B2DC4"/>
    <w:rsid w:val="009B2E2F"/>
    <w:rsid w:val="009B2E71"/>
    <w:rsid w:val="009B2E8F"/>
    <w:rsid w:val="009B2E93"/>
    <w:rsid w:val="009B2F0C"/>
    <w:rsid w:val="009B2FBC"/>
    <w:rsid w:val="009B310B"/>
    <w:rsid w:val="009B3252"/>
    <w:rsid w:val="009B3258"/>
    <w:rsid w:val="009B35E4"/>
    <w:rsid w:val="009B36D0"/>
    <w:rsid w:val="009B381F"/>
    <w:rsid w:val="009B3A9E"/>
    <w:rsid w:val="009B3A9F"/>
    <w:rsid w:val="009B3B9A"/>
    <w:rsid w:val="009B3C0D"/>
    <w:rsid w:val="009B3CAC"/>
    <w:rsid w:val="009B3D6D"/>
    <w:rsid w:val="009B3DAB"/>
    <w:rsid w:val="009B3E1F"/>
    <w:rsid w:val="009B40B6"/>
    <w:rsid w:val="009B41EF"/>
    <w:rsid w:val="009B44C4"/>
    <w:rsid w:val="009B4546"/>
    <w:rsid w:val="009B45BF"/>
    <w:rsid w:val="009B46C1"/>
    <w:rsid w:val="009B4754"/>
    <w:rsid w:val="009B481E"/>
    <w:rsid w:val="009B4BA2"/>
    <w:rsid w:val="009B503D"/>
    <w:rsid w:val="009B5040"/>
    <w:rsid w:val="009B5141"/>
    <w:rsid w:val="009B51A8"/>
    <w:rsid w:val="009B538E"/>
    <w:rsid w:val="009B53A2"/>
    <w:rsid w:val="009B5512"/>
    <w:rsid w:val="009B5517"/>
    <w:rsid w:val="009B5524"/>
    <w:rsid w:val="009B5640"/>
    <w:rsid w:val="009B5948"/>
    <w:rsid w:val="009B5962"/>
    <w:rsid w:val="009B59AF"/>
    <w:rsid w:val="009B5A35"/>
    <w:rsid w:val="009B5B64"/>
    <w:rsid w:val="009B5BBE"/>
    <w:rsid w:val="009B5D2E"/>
    <w:rsid w:val="009B5E23"/>
    <w:rsid w:val="009B5E62"/>
    <w:rsid w:val="009B5F68"/>
    <w:rsid w:val="009B5F72"/>
    <w:rsid w:val="009B603D"/>
    <w:rsid w:val="009B604F"/>
    <w:rsid w:val="009B607B"/>
    <w:rsid w:val="009B6371"/>
    <w:rsid w:val="009B63AF"/>
    <w:rsid w:val="009B63E4"/>
    <w:rsid w:val="009B66BF"/>
    <w:rsid w:val="009B6976"/>
    <w:rsid w:val="009B69A7"/>
    <w:rsid w:val="009B6AB3"/>
    <w:rsid w:val="009B6ADC"/>
    <w:rsid w:val="009B6D2D"/>
    <w:rsid w:val="009B6DAA"/>
    <w:rsid w:val="009B6F9D"/>
    <w:rsid w:val="009B72B7"/>
    <w:rsid w:val="009B7396"/>
    <w:rsid w:val="009B7398"/>
    <w:rsid w:val="009B740D"/>
    <w:rsid w:val="009B76F6"/>
    <w:rsid w:val="009B7755"/>
    <w:rsid w:val="009B798C"/>
    <w:rsid w:val="009B7AFA"/>
    <w:rsid w:val="009B7B56"/>
    <w:rsid w:val="009B7C97"/>
    <w:rsid w:val="009B7D63"/>
    <w:rsid w:val="009B7F5B"/>
    <w:rsid w:val="009C0010"/>
    <w:rsid w:val="009C0147"/>
    <w:rsid w:val="009C02C3"/>
    <w:rsid w:val="009C04A2"/>
    <w:rsid w:val="009C051E"/>
    <w:rsid w:val="009C0539"/>
    <w:rsid w:val="009C05DC"/>
    <w:rsid w:val="009C05F3"/>
    <w:rsid w:val="009C0662"/>
    <w:rsid w:val="009C0721"/>
    <w:rsid w:val="009C0789"/>
    <w:rsid w:val="009C07A2"/>
    <w:rsid w:val="009C080C"/>
    <w:rsid w:val="009C08A0"/>
    <w:rsid w:val="009C09C7"/>
    <w:rsid w:val="009C0A83"/>
    <w:rsid w:val="009C0D1B"/>
    <w:rsid w:val="009C0D6D"/>
    <w:rsid w:val="009C0E51"/>
    <w:rsid w:val="009C0EE1"/>
    <w:rsid w:val="009C0F5E"/>
    <w:rsid w:val="009C11AA"/>
    <w:rsid w:val="009C11D9"/>
    <w:rsid w:val="009C1347"/>
    <w:rsid w:val="009C140B"/>
    <w:rsid w:val="009C147D"/>
    <w:rsid w:val="009C15CD"/>
    <w:rsid w:val="009C160C"/>
    <w:rsid w:val="009C1670"/>
    <w:rsid w:val="009C1751"/>
    <w:rsid w:val="009C19AA"/>
    <w:rsid w:val="009C19E2"/>
    <w:rsid w:val="009C19FE"/>
    <w:rsid w:val="009C1ABC"/>
    <w:rsid w:val="009C1BF2"/>
    <w:rsid w:val="009C1BF4"/>
    <w:rsid w:val="009C1BF6"/>
    <w:rsid w:val="009C1C9E"/>
    <w:rsid w:val="009C1D69"/>
    <w:rsid w:val="009C1F44"/>
    <w:rsid w:val="009C2116"/>
    <w:rsid w:val="009C214F"/>
    <w:rsid w:val="009C22E9"/>
    <w:rsid w:val="009C2387"/>
    <w:rsid w:val="009C23AE"/>
    <w:rsid w:val="009C23D6"/>
    <w:rsid w:val="009C2404"/>
    <w:rsid w:val="009C240C"/>
    <w:rsid w:val="009C25B2"/>
    <w:rsid w:val="009C2816"/>
    <w:rsid w:val="009C287A"/>
    <w:rsid w:val="009C2A53"/>
    <w:rsid w:val="009C2DE2"/>
    <w:rsid w:val="009C2F91"/>
    <w:rsid w:val="009C2F97"/>
    <w:rsid w:val="009C3081"/>
    <w:rsid w:val="009C315E"/>
    <w:rsid w:val="009C31C7"/>
    <w:rsid w:val="009C3526"/>
    <w:rsid w:val="009C35E7"/>
    <w:rsid w:val="009C36FF"/>
    <w:rsid w:val="009C375F"/>
    <w:rsid w:val="009C38E4"/>
    <w:rsid w:val="009C39AE"/>
    <w:rsid w:val="009C3A2D"/>
    <w:rsid w:val="009C3C76"/>
    <w:rsid w:val="009C3C89"/>
    <w:rsid w:val="009C3CE2"/>
    <w:rsid w:val="009C3D68"/>
    <w:rsid w:val="009C3E03"/>
    <w:rsid w:val="009C3EFB"/>
    <w:rsid w:val="009C3F21"/>
    <w:rsid w:val="009C3FAD"/>
    <w:rsid w:val="009C404F"/>
    <w:rsid w:val="009C416C"/>
    <w:rsid w:val="009C434C"/>
    <w:rsid w:val="009C466F"/>
    <w:rsid w:val="009C4730"/>
    <w:rsid w:val="009C482D"/>
    <w:rsid w:val="009C4859"/>
    <w:rsid w:val="009C49D0"/>
    <w:rsid w:val="009C49F9"/>
    <w:rsid w:val="009C4BBD"/>
    <w:rsid w:val="009C4D5F"/>
    <w:rsid w:val="009C4EA6"/>
    <w:rsid w:val="009C4EF0"/>
    <w:rsid w:val="009C4F91"/>
    <w:rsid w:val="009C4F99"/>
    <w:rsid w:val="009C5272"/>
    <w:rsid w:val="009C53BE"/>
    <w:rsid w:val="009C5642"/>
    <w:rsid w:val="009C5674"/>
    <w:rsid w:val="009C56CB"/>
    <w:rsid w:val="009C56D9"/>
    <w:rsid w:val="009C56E2"/>
    <w:rsid w:val="009C5747"/>
    <w:rsid w:val="009C57A3"/>
    <w:rsid w:val="009C58F6"/>
    <w:rsid w:val="009C590C"/>
    <w:rsid w:val="009C5989"/>
    <w:rsid w:val="009C5C6E"/>
    <w:rsid w:val="009C5D45"/>
    <w:rsid w:val="009C6204"/>
    <w:rsid w:val="009C642B"/>
    <w:rsid w:val="009C6474"/>
    <w:rsid w:val="009C669C"/>
    <w:rsid w:val="009C6711"/>
    <w:rsid w:val="009C6805"/>
    <w:rsid w:val="009C686D"/>
    <w:rsid w:val="009C69B6"/>
    <w:rsid w:val="009C69E7"/>
    <w:rsid w:val="009C6B4E"/>
    <w:rsid w:val="009C6B7F"/>
    <w:rsid w:val="009C6E1E"/>
    <w:rsid w:val="009C706B"/>
    <w:rsid w:val="009C708A"/>
    <w:rsid w:val="009C7160"/>
    <w:rsid w:val="009C71FC"/>
    <w:rsid w:val="009C73C0"/>
    <w:rsid w:val="009C760B"/>
    <w:rsid w:val="009C764A"/>
    <w:rsid w:val="009C7678"/>
    <w:rsid w:val="009C76F3"/>
    <w:rsid w:val="009C7766"/>
    <w:rsid w:val="009C77E3"/>
    <w:rsid w:val="009C7B62"/>
    <w:rsid w:val="009C7C81"/>
    <w:rsid w:val="009C7EDD"/>
    <w:rsid w:val="009C7F59"/>
    <w:rsid w:val="009D02AE"/>
    <w:rsid w:val="009D04B3"/>
    <w:rsid w:val="009D055A"/>
    <w:rsid w:val="009D0586"/>
    <w:rsid w:val="009D05E5"/>
    <w:rsid w:val="009D060E"/>
    <w:rsid w:val="009D0851"/>
    <w:rsid w:val="009D08B2"/>
    <w:rsid w:val="009D095D"/>
    <w:rsid w:val="009D0997"/>
    <w:rsid w:val="009D0A9E"/>
    <w:rsid w:val="009D0AB9"/>
    <w:rsid w:val="009D0AC7"/>
    <w:rsid w:val="009D0CAC"/>
    <w:rsid w:val="009D0DC5"/>
    <w:rsid w:val="009D0ED3"/>
    <w:rsid w:val="009D0ED4"/>
    <w:rsid w:val="009D0F56"/>
    <w:rsid w:val="009D1022"/>
    <w:rsid w:val="009D1197"/>
    <w:rsid w:val="009D120C"/>
    <w:rsid w:val="009D121F"/>
    <w:rsid w:val="009D123D"/>
    <w:rsid w:val="009D1248"/>
    <w:rsid w:val="009D1349"/>
    <w:rsid w:val="009D13CF"/>
    <w:rsid w:val="009D14A3"/>
    <w:rsid w:val="009D16CE"/>
    <w:rsid w:val="009D1898"/>
    <w:rsid w:val="009D1A59"/>
    <w:rsid w:val="009D1B73"/>
    <w:rsid w:val="009D1C14"/>
    <w:rsid w:val="009D1E3E"/>
    <w:rsid w:val="009D1F37"/>
    <w:rsid w:val="009D1F3C"/>
    <w:rsid w:val="009D2037"/>
    <w:rsid w:val="009D2151"/>
    <w:rsid w:val="009D22D8"/>
    <w:rsid w:val="009D22EE"/>
    <w:rsid w:val="009D2332"/>
    <w:rsid w:val="009D2454"/>
    <w:rsid w:val="009D255E"/>
    <w:rsid w:val="009D2582"/>
    <w:rsid w:val="009D2618"/>
    <w:rsid w:val="009D26A4"/>
    <w:rsid w:val="009D2723"/>
    <w:rsid w:val="009D27A7"/>
    <w:rsid w:val="009D283C"/>
    <w:rsid w:val="009D299A"/>
    <w:rsid w:val="009D2A4C"/>
    <w:rsid w:val="009D2C7B"/>
    <w:rsid w:val="009D2C81"/>
    <w:rsid w:val="009D2D37"/>
    <w:rsid w:val="009D2ED7"/>
    <w:rsid w:val="009D2F34"/>
    <w:rsid w:val="009D3006"/>
    <w:rsid w:val="009D3057"/>
    <w:rsid w:val="009D3130"/>
    <w:rsid w:val="009D3249"/>
    <w:rsid w:val="009D3263"/>
    <w:rsid w:val="009D326D"/>
    <w:rsid w:val="009D3318"/>
    <w:rsid w:val="009D33B9"/>
    <w:rsid w:val="009D34CE"/>
    <w:rsid w:val="009D354F"/>
    <w:rsid w:val="009D35B3"/>
    <w:rsid w:val="009D360A"/>
    <w:rsid w:val="009D367F"/>
    <w:rsid w:val="009D3761"/>
    <w:rsid w:val="009D38BC"/>
    <w:rsid w:val="009D39AA"/>
    <w:rsid w:val="009D39C5"/>
    <w:rsid w:val="009D3A18"/>
    <w:rsid w:val="009D3B5A"/>
    <w:rsid w:val="009D3C4B"/>
    <w:rsid w:val="009D3EF5"/>
    <w:rsid w:val="009D3FDA"/>
    <w:rsid w:val="009D407B"/>
    <w:rsid w:val="009D409C"/>
    <w:rsid w:val="009D441C"/>
    <w:rsid w:val="009D4516"/>
    <w:rsid w:val="009D47CA"/>
    <w:rsid w:val="009D4992"/>
    <w:rsid w:val="009D4ABD"/>
    <w:rsid w:val="009D4D40"/>
    <w:rsid w:val="009D4F28"/>
    <w:rsid w:val="009D4FF0"/>
    <w:rsid w:val="009D501E"/>
    <w:rsid w:val="009D5094"/>
    <w:rsid w:val="009D5097"/>
    <w:rsid w:val="009D5122"/>
    <w:rsid w:val="009D5141"/>
    <w:rsid w:val="009D5173"/>
    <w:rsid w:val="009D528A"/>
    <w:rsid w:val="009D536D"/>
    <w:rsid w:val="009D546A"/>
    <w:rsid w:val="009D5517"/>
    <w:rsid w:val="009D565F"/>
    <w:rsid w:val="009D580D"/>
    <w:rsid w:val="009D5837"/>
    <w:rsid w:val="009D589C"/>
    <w:rsid w:val="009D58FF"/>
    <w:rsid w:val="009D5AC3"/>
    <w:rsid w:val="009D5AE1"/>
    <w:rsid w:val="009D5B2B"/>
    <w:rsid w:val="009D5C2B"/>
    <w:rsid w:val="009D5C95"/>
    <w:rsid w:val="009D5D6E"/>
    <w:rsid w:val="009D5D96"/>
    <w:rsid w:val="009D5EAB"/>
    <w:rsid w:val="009D5F6F"/>
    <w:rsid w:val="009D6237"/>
    <w:rsid w:val="009D642B"/>
    <w:rsid w:val="009D6448"/>
    <w:rsid w:val="009D64F1"/>
    <w:rsid w:val="009D657C"/>
    <w:rsid w:val="009D65D1"/>
    <w:rsid w:val="009D65FD"/>
    <w:rsid w:val="009D6626"/>
    <w:rsid w:val="009D66B3"/>
    <w:rsid w:val="009D670E"/>
    <w:rsid w:val="009D6784"/>
    <w:rsid w:val="009D6B06"/>
    <w:rsid w:val="009D6B43"/>
    <w:rsid w:val="009D6C11"/>
    <w:rsid w:val="009D6F67"/>
    <w:rsid w:val="009D6FE3"/>
    <w:rsid w:val="009D70E0"/>
    <w:rsid w:val="009D7208"/>
    <w:rsid w:val="009D7386"/>
    <w:rsid w:val="009D743D"/>
    <w:rsid w:val="009D756C"/>
    <w:rsid w:val="009D75C7"/>
    <w:rsid w:val="009D7635"/>
    <w:rsid w:val="009D763A"/>
    <w:rsid w:val="009D767F"/>
    <w:rsid w:val="009D7AE0"/>
    <w:rsid w:val="009D7B8F"/>
    <w:rsid w:val="009D7C28"/>
    <w:rsid w:val="009D7DB8"/>
    <w:rsid w:val="009D7E11"/>
    <w:rsid w:val="009D7F21"/>
    <w:rsid w:val="009E0058"/>
    <w:rsid w:val="009E0175"/>
    <w:rsid w:val="009E0197"/>
    <w:rsid w:val="009E0238"/>
    <w:rsid w:val="009E02C5"/>
    <w:rsid w:val="009E0421"/>
    <w:rsid w:val="009E0493"/>
    <w:rsid w:val="009E04FF"/>
    <w:rsid w:val="009E0505"/>
    <w:rsid w:val="009E0532"/>
    <w:rsid w:val="009E06E3"/>
    <w:rsid w:val="009E070B"/>
    <w:rsid w:val="009E07C8"/>
    <w:rsid w:val="009E083C"/>
    <w:rsid w:val="009E08B6"/>
    <w:rsid w:val="009E0963"/>
    <w:rsid w:val="009E0ACE"/>
    <w:rsid w:val="009E0B82"/>
    <w:rsid w:val="009E0D9D"/>
    <w:rsid w:val="009E0DC6"/>
    <w:rsid w:val="009E0FBE"/>
    <w:rsid w:val="009E0FD5"/>
    <w:rsid w:val="009E10E4"/>
    <w:rsid w:val="009E13CF"/>
    <w:rsid w:val="009E1480"/>
    <w:rsid w:val="009E1510"/>
    <w:rsid w:val="009E193A"/>
    <w:rsid w:val="009E19EA"/>
    <w:rsid w:val="009E1AC6"/>
    <w:rsid w:val="009E1AEB"/>
    <w:rsid w:val="009E1CCA"/>
    <w:rsid w:val="009E1F8C"/>
    <w:rsid w:val="009E21B3"/>
    <w:rsid w:val="009E2340"/>
    <w:rsid w:val="009E276B"/>
    <w:rsid w:val="009E27A1"/>
    <w:rsid w:val="009E27D2"/>
    <w:rsid w:val="009E29C2"/>
    <w:rsid w:val="009E29C7"/>
    <w:rsid w:val="009E2A70"/>
    <w:rsid w:val="009E2ACF"/>
    <w:rsid w:val="009E2DC8"/>
    <w:rsid w:val="009E2EDB"/>
    <w:rsid w:val="009E3001"/>
    <w:rsid w:val="009E30B3"/>
    <w:rsid w:val="009E3144"/>
    <w:rsid w:val="009E3422"/>
    <w:rsid w:val="009E3489"/>
    <w:rsid w:val="009E35F9"/>
    <w:rsid w:val="009E3776"/>
    <w:rsid w:val="009E386D"/>
    <w:rsid w:val="009E38FF"/>
    <w:rsid w:val="009E3955"/>
    <w:rsid w:val="009E39A5"/>
    <w:rsid w:val="009E39DF"/>
    <w:rsid w:val="009E39EB"/>
    <w:rsid w:val="009E3AD5"/>
    <w:rsid w:val="009E3C35"/>
    <w:rsid w:val="009E3C38"/>
    <w:rsid w:val="009E3EBB"/>
    <w:rsid w:val="009E3F45"/>
    <w:rsid w:val="009E3FF6"/>
    <w:rsid w:val="009E43BD"/>
    <w:rsid w:val="009E45FE"/>
    <w:rsid w:val="009E463F"/>
    <w:rsid w:val="009E465D"/>
    <w:rsid w:val="009E46F1"/>
    <w:rsid w:val="009E48E8"/>
    <w:rsid w:val="009E4A45"/>
    <w:rsid w:val="009E4B29"/>
    <w:rsid w:val="009E4C69"/>
    <w:rsid w:val="009E4CB5"/>
    <w:rsid w:val="009E4CD0"/>
    <w:rsid w:val="009E4DEA"/>
    <w:rsid w:val="009E4E2E"/>
    <w:rsid w:val="009E4FFE"/>
    <w:rsid w:val="009E514E"/>
    <w:rsid w:val="009E51A4"/>
    <w:rsid w:val="009E5291"/>
    <w:rsid w:val="009E5316"/>
    <w:rsid w:val="009E53FF"/>
    <w:rsid w:val="009E54B8"/>
    <w:rsid w:val="009E54DA"/>
    <w:rsid w:val="009E550B"/>
    <w:rsid w:val="009E55FD"/>
    <w:rsid w:val="009E56B6"/>
    <w:rsid w:val="009E57A3"/>
    <w:rsid w:val="009E58F2"/>
    <w:rsid w:val="009E5944"/>
    <w:rsid w:val="009E5962"/>
    <w:rsid w:val="009E59AD"/>
    <w:rsid w:val="009E5A75"/>
    <w:rsid w:val="009E5B27"/>
    <w:rsid w:val="009E5C59"/>
    <w:rsid w:val="009E5DB3"/>
    <w:rsid w:val="009E5DCB"/>
    <w:rsid w:val="009E5E28"/>
    <w:rsid w:val="009E5EB3"/>
    <w:rsid w:val="009E5F67"/>
    <w:rsid w:val="009E5FB2"/>
    <w:rsid w:val="009E6031"/>
    <w:rsid w:val="009E63B6"/>
    <w:rsid w:val="009E642A"/>
    <w:rsid w:val="009E64B3"/>
    <w:rsid w:val="009E65DA"/>
    <w:rsid w:val="009E6692"/>
    <w:rsid w:val="009E6977"/>
    <w:rsid w:val="009E6A7D"/>
    <w:rsid w:val="009E6AD0"/>
    <w:rsid w:val="009E6ADF"/>
    <w:rsid w:val="009E6AE1"/>
    <w:rsid w:val="009E6B50"/>
    <w:rsid w:val="009E6C90"/>
    <w:rsid w:val="009E6C95"/>
    <w:rsid w:val="009E6E17"/>
    <w:rsid w:val="009E6E4F"/>
    <w:rsid w:val="009E6FC5"/>
    <w:rsid w:val="009E70A0"/>
    <w:rsid w:val="009E71A2"/>
    <w:rsid w:val="009E7215"/>
    <w:rsid w:val="009E728C"/>
    <w:rsid w:val="009E7315"/>
    <w:rsid w:val="009E7348"/>
    <w:rsid w:val="009E74BC"/>
    <w:rsid w:val="009E74CE"/>
    <w:rsid w:val="009E7573"/>
    <w:rsid w:val="009E77A7"/>
    <w:rsid w:val="009E7979"/>
    <w:rsid w:val="009E7A8C"/>
    <w:rsid w:val="009E7C1E"/>
    <w:rsid w:val="009E7D26"/>
    <w:rsid w:val="009E7E56"/>
    <w:rsid w:val="009E7E70"/>
    <w:rsid w:val="009F00B7"/>
    <w:rsid w:val="009F00F2"/>
    <w:rsid w:val="009F0140"/>
    <w:rsid w:val="009F0245"/>
    <w:rsid w:val="009F039C"/>
    <w:rsid w:val="009F0419"/>
    <w:rsid w:val="009F0738"/>
    <w:rsid w:val="009F0800"/>
    <w:rsid w:val="009F08E4"/>
    <w:rsid w:val="009F0C78"/>
    <w:rsid w:val="009F0D09"/>
    <w:rsid w:val="009F0FD2"/>
    <w:rsid w:val="009F11CC"/>
    <w:rsid w:val="009F12BD"/>
    <w:rsid w:val="009F13B8"/>
    <w:rsid w:val="009F13BB"/>
    <w:rsid w:val="009F162F"/>
    <w:rsid w:val="009F1742"/>
    <w:rsid w:val="009F17D3"/>
    <w:rsid w:val="009F198E"/>
    <w:rsid w:val="009F19EF"/>
    <w:rsid w:val="009F1A03"/>
    <w:rsid w:val="009F1B40"/>
    <w:rsid w:val="009F1C98"/>
    <w:rsid w:val="009F1D04"/>
    <w:rsid w:val="009F1D76"/>
    <w:rsid w:val="009F203D"/>
    <w:rsid w:val="009F2197"/>
    <w:rsid w:val="009F221E"/>
    <w:rsid w:val="009F22F8"/>
    <w:rsid w:val="009F23FD"/>
    <w:rsid w:val="009F2427"/>
    <w:rsid w:val="009F242D"/>
    <w:rsid w:val="009F243E"/>
    <w:rsid w:val="009F244C"/>
    <w:rsid w:val="009F25A6"/>
    <w:rsid w:val="009F2644"/>
    <w:rsid w:val="009F26B0"/>
    <w:rsid w:val="009F26C1"/>
    <w:rsid w:val="009F27CA"/>
    <w:rsid w:val="009F280E"/>
    <w:rsid w:val="009F29BE"/>
    <w:rsid w:val="009F29E2"/>
    <w:rsid w:val="009F2BAB"/>
    <w:rsid w:val="009F2BE1"/>
    <w:rsid w:val="009F2C9B"/>
    <w:rsid w:val="009F2FDA"/>
    <w:rsid w:val="009F3123"/>
    <w:rsid w:val="009F31BE"/>
    <w:rsid w:val="009F33C5"/>
    <w:rsid w:val="009F3523"/>
    <w:rsid w:val="009F35CC"/>
    <w:rsid w:val="009F35EF"/>
    <w:rsid w:val="009F3613"/>
    <w:rsid w:val="009F369B"/>
    <w:rsid w:val="009F36DA"/>
    <w:rsid w:val="009F3950"/>
    <w:rsid w:val="009F3A04"/>
    <w:rsid w:val="009F3A2C"/>
    <w:rsid w:val="009F3B7E"/>
    <w:rsid w:val="009F3B81"/>
    <w:rsid w:val="009F3C91"/>
    <w:rsid w:val="009F3CE2"/>
    <w:rsid w:val="009F3E95"/>
    <w:rsid w:val="009F3EE9"/>
    <w:rsid w:val="009F3FE5"/>
    <w:rsid w:val="009F4047"/>
    <w:rsid w:val="009F408A"/>
    <w:rsid w:val="009F409E"/>
    <w:rsid w:val="009F4246"/>
    <w:rsid w:val="009F43ED"/>
    <w:rsid w:val="009F448C"/>
    <w:rsid w:val="009F44F6"/>
    <w:rsid w:val="009F4553"/>
    <w:rsid w:val="009F458D"/>
    <w:rsid w:val="009F45F7"/>
    <w:rsid w:val="009F4636"/>
    <w:rsid w:val="009F467E"/>
    <w:rsid w:val="009F46A7"/>
    <w:rsid w:val="009F4899"/>
    <w:rsid w:val="009F49BA"/>
    <w:rsid w:val="009F4BC2"/>
    <w:rsid w:val="009F4D24"/>
    <w:rsid w:val="009F4DFC"/>
    <w:rsid w:val="009F4F20"/>
    <w:rsid w:val="009F4F55"/>
    <w:rsid w:val="009F4FA9"/>
    <w:rsid w:val="009F50D8"/>
    <w:rsid w:val="009F530D"/>
    <w:rsid w:val="009F5469"/>
    <w:rsid w:val="009F54E5"/>
    <w:rsid w:val="009F54F3"/>
    <w:rsid w:val="009F567D"/>
    <w:rsid w:val="009F568F"/>
    <w:rsid w:val="009F59B0"/>
    <w:rsid w:val="009F5D25"/>
    <w:rsid w:val="009F5D39"/>
    <w:rsid w:val="009F5E32"/>
    <w:rsid w:val="009F5F2A"/>
    <w:rsid w:val="009F6001"/>
    <w:rsid w:val="009F628F"/>
    <w:rsid w:val="009F632B"/>
    <w:rsid w:val="009F6383"/>
    <w:rsid w:val="009F6445"/>
    <w:rsid w:val="009F6482"/>
    <w:rsid w:val="009F6579"/>
    <w:rsid w:val="009F6656"/>
    <w:rsid w:val="009F6744"/>
    <w:rsid w:val="009F6A74"/>
    <w:rsid w:val="009F6AE8"/>
    <w:rsid w:val="009F6E0B"/>
    <w:rsid w:val="009F6EC2"/>
    <w:rsid w:val="009F7019"/>
    <w:rsid w:val="009F7155"/>
    <w:rsid w:val="009F7199"/>
    <w:rsid w:val="009F7476"/>
    <w:rsid w:val="009F75B6"/>
    <w:rsid w:val="009F75FE"/>
    <w:rsid w:val="009F760D"/>
    <w:rsid w:val="009F7656"/>
    <w:rsid w:val="009F7827"/>
    <w:rsid w:val="009F7A66"/>
    <w:rsid w:val="009F7AC4"/>
    <w:rsid w:val="009F7D22"/>
    <w:rsid w:val="009F7D4B"/>
    <w:rsid w:val="009F7D6A"/>
    <w:rsid w:val="009F7E20"/>
    <w:rsid w:val="009F7E44"/>
    <w:rsid w:val="009F7E70"/>
    <w:rsid w:val="009F7E72"/>
    <w:rsid w:val="009F7F10"/>
    <w:rsid w:val="00A00012"/>
    <w:rsid w:val="00A00109"/>
    <w:rsid w:val="00A00131"/>
    <w:rsid w:val="00A0015A"/>
    <w:rsid w:val="00A00426"/>
    <w:rsid w:val="00A0052D"/>
    <w:rsid w:val="00A00544"/>
    <w:rsid w:val="00A00796"/>
    <w:rsid w:val="00A008F7"/>
    <w:rsid w:val="00A008FF"/>
    <w:rsid w:val="00A009A3"/>
    <w:rsid w:val="00A00A06"/>
    <w:rsid w:val="00A00A3F"/>
    <w:rsid w:val="00A00AB8"/>
    <w:rsid w:val="00A00AC0"/>
    <w:rsid w:val="00A00B47"/>
    <w:rsid w:val="00A00DEB"/>
    <w:rsid w:val="00A01021"/>
    <w:rsid w:val="00A01075"/>
    <w:rsid w:val="00A010B4"/>
    <w:rsid w:val="00A010C5"/>
    <w:rsid w:val="00A010F5"/>
    <w:rsid w:val="00A01154"/>
    <w:rsid w:val="00A0119C"/>
    <w:rsid w:val="00A01376"/>
    <w:rsid w:val="00A014EB"/>
    <w:rsid w:val="00A0165E"/>
    <w:rsid w:val="00A01A74"/>
    <w:rsid w:val="00A01E44"/>
    <w:rsid w:val="00A020A4"/>
    <w:rsid w:val="00A0212E"/>
    <w:rsid w:val="00A0235E"/>
    <w:rsid w:val="00A023B3"/>
    <w:rsid w:val="00A023DA"/>
    <w:rsid w:val="00A02457"/>
    <w:rsid w:val="00A024B5"/>
    <w:rsid w:val="00A0261B"/>
    <w:rsid w:val="00A02696"/>
    <w:rsid w:val="00A0283F"/>
    <w:rsid w:val="00A0286E"/>
    <w:rsid w:val="00A028E5"/>
    <w:rsid w:val="00A029B2"/>
    <w:rsid w:val="00A029DF"/>
    <w:rsid w:val="00A02A42"/>
    <w:rsid w:val="00A02AC4"/>
    <w:rsid w:val="00A02B73"/>
    <w:rsid w:val="00A02D83"/>
    <w:rsid w:val="00A02DDD"/>
    <w:rsid w:val="00A02E35"/>
    <w:rsid w:val="00A02E5E"/>
    <w:rsid w:val="00A02F15"/>
    <w:rsid w:val="00A02F49"/>
    <w:rsid w:val="00A02FEC"/>
    <w:rsid w:val="00A030C1"/>
    <w:rsid w:val="00A031CA"/>
    <w:rsid w:val="00A032A1"/>
    <w:rsid w:val="00A032D7"/>
    <w:rsid w:val="00A03392"/>
    <w:rsid w:val="00A0343C"/>
    <w:rsid w:val="00A034F8"/>
    <w:rsid w:val="00A03628"/>
    <w:rsid w:val="00A03630"/>
    <w:rsid w:val="00A036D8"/>
    <w:rsid w:val="00A03A52"/>
    <w:rsid w:val="00A03AEB"/>
    <w:rsid w:val="00A03AEF"/>
    <w:rsid w:val="00A03B48"/>
    <w:rsid w:val="00A03EF1"/>
    <w:rsid w:val="00A03F89"/>
    <w:rsid w:val="00A0409A"/>
    <w:rsid w:val="00A04337"/>
    <w:rsid w:val="00A04577"/>
    <w:rsid w:val="00A0458E"/>
    <w:rsid w:val="00A04769"/>
    <w:rsid w:val="00A04896"/>
    <w:rsid w:val="00A04898"/>
    <w:rsid w:val="00A048AC"/>
    <w:rsid w:val="00A04902"/>
    <w:rsid w:val="00A04957"/>
    <w:rsid w:val="00A04A6D"/>
    <w:rsid w:val="00A04AB7"/>
    <w:rsid w:val="00A04B14"/>
    <w:rsid w:val="00A04BB9"/>
    <w:rsid w:val="00A04C0F"/>
    <w:rsid w:val="00A04DE3"/>
    <w:rsid w:val="00A04EAD"/>
    <w:rsid w:val="00A04EE7"/>
    <w:rsid w:val="00A04EE8"/>
    <w:rsid w:val="00A050A6"/>
    <w:rsid w:val="00A052B5"/>
    <w:rsid w:val="00A053BB"/>
    <w:rsid w:val="00A05488"/>
    <w:rsid w:val="00A055F7"/>
    <w:rsid w:val="00A05783"/>
    <w:rsid w:val="00A05793"/>
    <w:rsid w:val="00A057C5"/>
    <w:rsid w:val="00A05844"/>
    <w:rsid w:val="00A05869"/>
    <w:rsid w:val="00A05961"/>
    <w:rsid w:val="00A05993"/>
    <w:rsid w:val="00A05B42"/>
    <w:rsid w:val="00A05F27"/>
    <w:rsid w:val="00A05F46"/>
    <w:rsid w:val="00A05FCB"/>
    <w:rsid w:val="00A05FE0"/>
    <w:rsid w:val="00A05FFC"/>
    <w:rsid w:val="00A06070"/>
    <w:rsid w:val="00A0625F"/>
    <w:rsid w:val="00A063B1"/>
    <w:rsid w:val="00A063C1"/>
    <w:rsid w:val="00A06412"/>
    <w:rsid w:val="00A0642D"/>
    <w:rsid w:val="00A06501"/>
    <w:rsid w:val="00A06504"/>
    <w:rsid w:val="00A06733"/>
    <w:rsid w:val="00A06C83"/>
    <w:rsid w:val="00A06D98"/>
    <w:rsid w:val="00A06DF1"/>
    <w:rsid w:val="00A06E6E"/>
    <w:rsid w:val="00A06EFE"/>
    <w:rsid w:val="00A06F02"/>
    <w:rsid w:val="00A07107"/>
    <w:rsid w:val="00A0712C"/>
    <w:rsid w:val="00A071AA"/>
    <w:rsid w:val="00A071AC"/>
    <w:rsid w:val="00A07482"/>
    <w:rsid w:val="00A074A0"/>
    <w:rsid w:val="00A074CE"/>
    <w:rsid w:val="00A07505"/>
    <w:rsid w:val="00A0751B"/>
    <w:rsid w:val="00A0759F"/>
    <w:rsid w:val="00A075A5"/>
    <w:rsid w:val="00A07641"/>
    <w:rsid w:val="00A07913"/>
    <w:rsid w:val="00A079D7"/>
    <w:rsid w:val="00A07C9A"/>
    <w:rsid w:val="00A07E0F"/>
    <w:rsid w:val="00A07E30"/>
    <w:rsid w:val="00A1015D"/>
    <w:rsid w:val="00A101AE"/>
    <w:rsid w:val="00A103A7"/>
    <w:rsid w:val="00A104A2"/>
    <w:rsid w:val="00A104C3"/>
    <w:rsid w:val="00A1052A"/>
    <w:rsid w:val="00A107AB"/>
    <w:rsid w:val="00A1089E"/>
    <w:rsid w:val="00A109C5"/>
    <w:rsid w:val="00A109C7"/>
    <w:rsid w:val="00A10FD5"/>
    <w:rsid w:val="00A1106E"/>
    <w:rsid w:val="00A111E4"/>
    <w:rsid w:val="00A111FE"/>
    <w:rsid w:val="00A11374"/>
    <w:rsid w:val="00A113DF"/>
    <w:rsid w:val="00A11429"/>
    <w:rsid w:val="00A1146E"/>
    <w:rsid w:val="00A114BB"/>
    <w:rsid w:val="00A114EC"/>
    <w:rsid w:val="00A115A3"/>
    <w:rsid w:val="00A11662"/>
    <w:rsid w:val="00A118E1"/>
    <w:rsid w:val="00A11A37"/>
    <w:rsid w:val="00A11A77"/>
    <w:rsid w:val="00A11ADC"/>
    <w:rsid w:val="00A11B91"/>
    <w:rsid w:val="00A11BC1"/>
    <w:rsid w:val="00A11E4C"/>
    <w:rsid w:val="00A11E8F"/>
    <w:rsid w:val="00A11F80"/>
    <w:rsid w:val="00A12036"/>
    <w:rsid w:val="00A1206F"/>
    <w:rsid w:val="00A1207E"/>
    <w:rsid w:val="00A1226C"/>
    <w:rsid w:val="00A123C9"/>
    <w:rsid w:val="00A1244A"/>
    <w:rsid w:val="00A124B2"/>
    <w:rsid w:val="00A126CA"/>
    <w:rsid w:val="00A12754"/>
    <w:rsid w:val="00A127C3"/>
    <w:rsid w:val="00A1290D"/>
    <w:rsid w:val="00A12974"/>
    <w:rsid w:val="00A1299D"/>
    <w:rsid w:val="00A12A73"/>
    <w:rsid w:val="00A12A96"/>
    <w:rsid w:val="00A12B6A"/>
    <w:rsid w:val="00A12C9C"/>
    <w:rsid w:val="00A12CDF"/>
    <w:rsid w:val="00A12EA9"/>
    <w:rsid w:val="00A13209"/>
    <w:rsid w:val="00A13530"/>
    <w:rsid w:val="00A13540"/>
    <w:rsid w:val="00A13664"/>
    <w:rsid w:val="00A1372D"/>
    <w:rsid w:val="00A137F3"/>
    <w:rsid w:val="00A13871"/>
    <w:rsid w:val="00A13877"/>
    <w:rsid w:val="00A13B0C"/>
    <w:rsid w:val="00A13CE0"/>
    <w:rsid w:val="00A13E93"/>
    <w:rsid w:val="00A13F1B"/>
    <w:rsid w:val="00A13FE0"/>
    <w:rsid w:val="00A141C0"/>
    <w:rsid w:val="00A14335"/>
    <w:rsid w:val="00A14391"/>
    <w:rsid w:val="00A143E9"/>
    <w:rsid w:val="00A143FB"/>
    <w:rsid w:val="00A145CA"/>
    <w:rsid w:val="00A14735"/>
    <w:rsid w:val="00A14786"/>
    <w:rsid w:val="00A14896"/>
    <w:rsid w:val="00A14955"/>
    <w:rsid w:val="00A14D42"/>
    <w:rsid w:val="00A14E9F"/>
    <w:rsid w:val="00A1556F"/>
    <w:rsid w:val="00A155BD"/>
    <w:rsid w:val="00A156DA"/>
    <w:rsid w:val="00A157AA"/>
    <w:rsid w:val="00A15C7C"/>
    <w:rsid w:val="00A15CA6"/>
    <w:rsid w:val="00A15E02"/>
    <w:rsid w:val="00A15ECC"/>
    <w:rsid w:val="00A15F6D"/>
    <w:rsid w:val="00A16062"/>
    <w:rsid w:val="00A162B3"/>
    <w:rsid w:val="00A16325"/>
    <w:rsid w:val="00A16486"/>
    <w:rsid w:val="00A16761"/>
    <w:rsid w:val="00A1676D"/>
    <w:rsid w:val="00A16871"/>
    <w:rsid w:val="00A16A10"/>
    <w:rsid w:val="00A16A7C"/>
    <w:rsid w:val="00A16AD3"/>
    <w:rsid w:val="00A16AD8"/>
    <w:rsid w:val="00A16B4B"/>
    <w:rsid w:val="00A16C8F"/>
    <w:rsid w:val="00A16E03"/>
    <w:rsid w:val="00A16F00"/>
    <w:rsid w:val="00A1705E"/>
    <w:rsid w:val="00A17061"/>
    <w:rsid w:val="00A17073"/>
    <w:rsid w:val="00A1720B"/>
    <w:rsid w:val="00A1722E"/>
    <w:rsid w:val="00A175A9"/>
    <w:rsid w:val="00A175FF"/>
    <w:rsid w:val="00A176D9"/>
    <w:rsid w:val="00A17742"/>
    <w:rsid w:val="00A17767"/>
    <w:rsid w:val="00A178A7"/>
    <w:rsid w:val="00A178B9"/>
    <w:rsid w:val="00A1792D"/>
    <w:rsid w:val="00A17A76"/>
    <w:rsid w:val="00A17C52"/>
    <w:rsid w:val="00A17E13"/>
    <w:rsid w:val="00A17E3A"/>
    <w:rsid w:val="00A17ECD"/>
    <w:rsid w:val="00A17F30"/>
    <w:rsid w:val="00A200D7"/>
    <w:rsid w:val="00A202F6"/>
    <w:rsid w:val="00A2036F"/>
    <w:rsid w:val="00A20387"/>
    <w:rsid w:val="00A203AD"/>
    <w:rsid w:val="00A204EF"/>
    <w:rsid w:val="00A2070D"/>
    <w:rsid w:val="00A207EB"/>
    <w:rsid w:val="00A207F5"/>
    <w:rsid w:val="00A208AE"/>
    <w:rsid w:val="00A20B11"/>
    <w:rsid w:val="00A20B1F"/>
    <w:rsid w:val="00A20BA4"/>
    <w:rsid w:val="00A20BD1"/>
    <w:rsid w:val="00A20D2E"/>
    <w:rsid w:val="00A20FBB"/>
    <w:rsid w:val="00A210A6"/>
    <w:rsid w:val="00A212A6"/>
    <w:rsid w:val="00A212FF"/>
    <w:rsid w:val="00A2166E"/>
    <w:rsid w:val="00A216BF"/>
    <w:rsid w:val="00A21744"/>
    <w:rsid w:val="00A21C36"/>
    <w:rsid w:val="00A21DAB"/>
    <w:rsid w:val="00A21E22"/>
    <w:rsid w:val="00A220BD"/>
    <w:rsid w:val="00A220E5"/>
    <w:rsid w:val="00A221A5"/>
    <w:rsid w:val="00A221F2"/>
    <w:rsid w:val="00A22324"/>
    <w:rsid w:val="00A22330"/>
    <w:rsid w:val="00A22369"/>
    <w:rsid w:val="00A2260F"/>
    <w:rsid w:val="00A226BE"/>
    <w:rsid w:val="00A22745"/>
    <w:rsid w:val="00A227B4"/>
    <w:rsid w:val="00A2285F"/>
    <w:rsid w:val="00A2289A"/>
    <w:rsid w:val="00A228B6"/>
    <w:rsid w:val="00A22C3B"/>
    <w:rsid w:val="00A22C6F"/>
    <w:rsid w:val="00A22D3B"/>
    <w:rsid w:val="00A22D42"/>
    <w:rsid w:val="00A22D50"/>
    <w:rsid w:val="00A22F5E"/>
    <w:rsid w:val="00A22F77"/>
    <w:rsid w:val="00A22FE9"/>
    <w:rsid w:val="00A23112"/>
    <w:rsid w:val="00A23181"/>
    <w:rsid w:val="00A231F3"/>
    <w:rsid w:val="00A23238"/>
    <w:rsid w:val="00A23295"/>
    <w:rsid w:val="00A235F0"/>
    <w:rsid w:val="00A23618"/>
    <w:rsid w:val="00A2369A"/>
    <w:rsid w:val="00A236D2"/>
    <w:rsid w:val="00A2381C"/>
    <w:rsid w:val="00A23AFB"/>
    <w:rsid w:val="00A23D5B"/>
    <w:rsid w:val="00A2414C"/>
    <w:rsid w:val="00A2433C"/>
    <w:rsid w:val="00A24424"/>
    <w:rsid w:val="00A2444D"/>
    <w:rsid w:val="00A24478"/>
    <w:rsid w:val="00A244D4"/>
    <w:rsid w:val="00A245E0"/>
    <w:rsid w:val="00A245E5"/>
    <w:rsid w:val="00A246CC"/>
    <w:rsid w:val="00A2474A"/>
    <w:rsid w:val="00A24B4C"/>
    <w:rsid w:val="00A24BE3"/>
    <w:rsid w:val="00A24D07"/>
    <w:rsid w:val="00A24D9F"/>
    <w:rsid w:val="00A24DF2"/>
    <w:rsid w:val="00A24E21"/>
    <w:rsid w:val="00A24E7B"/>
    <w:rsid w:val="00A25051"/>
    <w:rsid w:val="00A250D3"/>
    <w:rsid w:val="00A250EA"/>
    <w:rsid w:val="00A25124"/>
    <w:rsid w:val="00A2519D"/>
    <w:rsid w:val="00A25441"/>
    <w:rsid w:val="00A25593"/>
    <w:rsid w:val="00A2564F"/>
    <w:rsid w:val="00A25940"/>
    <w:rsid w:val="00A25AE1"/>
    <w:rsid w:val="00A25C38"/>
    <w:rsid w:val="00A25CA6"/>
    <w:rsid w:val="00A25CEC"/>
    <w:rsid w:val="00A25EE3"/>
    <w:rsid w:val="00A25F67"/>
    <w:rsid w:val="00A260CD"/>
    <w:rsid w:val="00A2614F"/>
    <w:rsid w:val="00A261F9"/>
    <w:rsid w:val="00A263C2"/>
    <w:rsid w:val="00A264C1"/>
    <w:rsid w:val="00A264CF"/>
    <w:rsid w:val="00A265FF"/>
    <w:rsid w:val="00A26742"/>
    <w:rsid w:val="00A26786"/>
    <w:rsid w:val="00A267C8"/>
    <w:rsid w:val="00A268D7"/>
    <w:rsid w:val="00A26BB0"/>
    <w:rsid w:val="00A26C15"/>
    <w:rsid w:val="00A26C30"/>
    <w:rsid w:val="00A26C84"/>
    <w:rsid w:val="00A26C88"/>
    <w:rsid w:val="00A26CFC"/>
    <w:rsid w:val="00A26EB0"/>
    <w:rsid w:val="00A26F0C"/>
    <w:rsid w:val="00A26FCF"/>
    <w:rsid w:val="00A27320"/>
    <w:rsid w:val="00A27380"/>
    <w:rsid w:val="00A275CA"/>
    <w:rsid w:val="00A2768F"/>
    <w:rsid w:val="00A276B3"/>
    <w:rsid w:val="00A278AF"/>
    <w:rsid w:val="00A27959"/>
    <w:rsid w:val="00A27BE5"/>
    <w:rsid w:val="00A27D79"/>
    <w:rsid w:val="00A27EE4"/>
    <w:rsid w:val="00A30006"/>
    <w:rsid w:val="00A30013"/>
    <w:rsid w:val="00A300B5"/>
    <w:rsid w:val="00A3031F"/>
    <w:rsid w:val="00A305C5"/>
    <w:rsid w:val="00A305EC"/>
    <w:rsid w:val="00A3068A"/>
    <w:rsid w:val="00A3070B"/>
    <w:rsid w:val="00A30736"/>
    <w:rsid w:val="00A307FF"/>
    <w:rsid w:val="00A30961"/>
    <w:rsid w:val="00A30C38"/>
    <w:rsid w:val="00A30D30"/>
    <w:rsid w:val="00A30EF6"/>
    <w:rsid w:val="00A30F34"/>
    <w:rsid w:val="00A3100D"/>
    <w:rsid w:val="00A3119E"/>
    <w:rsid w:val="00A31374"/>
    <w:rsid w:val="00A3137A"/>
    <w:rsid w:val="00A31425"/>
    <w:rsid w:val="00A31546"/>
    <w:rsid w:val="00A31661"/>
    <w:rsid w:val="00A31980"/>
    <w:rsid w:val="00A31997"/>
    <w:rsid w:val="00A31A32"/>
    <w:rsid w:val="00A31A4B"/>
    <w:rsid w:val="00A31BA0"/>
    <w:rsid w:val="00A31C08"/>
    <w:rsid w:val="00A31D6A"/>
    <w:rsid w:val="00A31E07"/>
    <w:rsid w:val="00A31F25"/>
    <w:rsid w:val="00A31FBD"/>
    <w:rsid w:val="00A32040"/>
    <w:rsid w:val="00A324CD"/>
    <w:rsid w:val="00A324EA"/>
    <w:rsid w:val="00A324EF"/>
    <w:rsid w:val="00A3257E"/>
    <w:rsid w:val="00A325CB"/>
    <w:rsid w:val="00A325CF"/>
    <w:rsid w:val="00A3263B"/>
    <w:rsid w:val="00A328EB"/>
    <w:rsid w:val="00A32ACD"/>
    <w:rsid w:val="00A32CD0"/>
    <w:rsid w:val="00A32D53"/>
    <w:rsid w:val="00A32E59"/>
    <w:rsid w:val="00A33008"/>
    <w:rsid w:val="00A33028"/>
    <w:rsid w:val="00A33238"/>
    <w:rsid w:val="00A33308"/>
    <w:rsid w:val="00A33349"/>
    <w:rsid w:val="00A33353"/>
    <w:rsid w:val="00A33412"/>
    <w:rsid w:val="00A33477"/>
    <w:rsid w:val="00A3347E"/>
    <w:rsid w:val="00A3352B"/>
    <w:rsid w:val="00A3370A"/>
    <w:rsid w:val="00A337A3"/>
    <w:rsid w:val="00A3387C"/>
    <w:rsid w:val="00A33ADB"/>
    <w:rsid w:val="00A33AEB"/>
    <w:rsid w:val="00A33B0D"/>
    <w:rsid w:val="00A33B5A"/>
    <w:rsid w:val="00A33D05"/>
    <w:rsid w:val="00A33DF9"/>
    <w:rsid w:val="00A33F1C"/>
    <w:rsid w:val="00A33FE5"/>
    <w:rsid w:val="00A3402C"/>
    <w:rsid w:val="00A3414F"/>
    <w:rsid w:val="00A34171"/>
    <w:rsid w:val="00A3432B"/>
    <w:rsid w:val="00A3443C"/>
    <w:rsid w:val="00A3454F"/>
    <w:rsid w:val="00A3461F"/>
    <w:rsid w:val="00A34781"/>
    <w:rsid w:val="00A347BE"/>
    <w:rsid w:val="00A34AC1"/>
    <w:rsid w:val="00A34AE4"/>
    <w:rsid w:val="00A34DE3"/>
    <w:rsid w:val="00A3500E"/>
    <w:rsid w:val="00A351AB"/>
    <w:rsid w:val="00A351F6"/>
    <w:rsid w:val="00A3522F"/>
    <w:rsid w:val="00A353E7"/>
    <w:rsid w:val="00A357AE"/>
    <w:rsid w:val="00A35814"/>
    <w:rsid w:val="00A35840"/>
    <w:rsid w:val="00A358FD"/>
    <w:rsid w:val="00A35B51"/>
    <w:rsid w:val="00A35C6D"/>
    <w:rsid w:val="00A35D9E"/>
    <w:rsid w:val="00A36104"/>
    <w:rsid w:val="00A361D6"/>
    <w:rsid w:val="00A36208"/>
    <w:rsid w:val="00A3626B"/>
    <w:rsid w:val="00A362DB"/>
    <w:rsid w:val="00A36431"/>
    <w:rsid w:val="00A3649C"/>
    <w:rsid w:val="00A366CC"/>
    <w:rsid w:val="00A3680A"/>
    <w:rsid w:val="00A36928"/>
    <w:rsid w:val="00A36A9C"/>
    <w:rsid w:val="00A36CBA"/>
    <w:rsid w:val="00A36CC6"/>
    <w:rsid w:val="00A36CE6"/>
    <w:rsid w:val="00A36D11"/>
    <w:rsid w:val="00A36D64"/>
    <w:rsid w:val="00A36F74"/>
    <w:rsid w:val="00A3702D"/>
    <w:rsid w:val="00A37180"/>
    <w:rsid w:val="00A37490"/>
    <w:rsid w:val="00A3749B"/>
    <w:rsid w:val="00A375B3"/>
    <w:rsid w:val="00A375CB"/>
    <w:rsid w:val="00A3769F"/>
    <w:rsid w:val="00A37783"/>
    <w:rsid w:val="00A377E3"/>
    <w:rsid w:val="00A37A00"/>
    <w:rsid w:val="00A37A40"/>
    <w:rsid w:val="00A37B65"/>
    <w:rsid w:val="00A37CE1"/>
    <w:rsid w:val="00A37CF5"/>
    <w:rsid w:val="00A37D91"/>
    <w:rsid w:val="00A37F05"/>
    <w:rsid w:val="00A37F46"/>
    <w:rsid w:val="00A37F9B"/>
    <w:rsid w:val="00A4006F"/>
    <w:rsid w:val="00A40096"/>
    <w:rsid w:val="00A4024A"/>
    <w:rsid w:val="00A402A1"/>
    <w:rsid w:val="00A4035A"/>
    <w:rsid w:val="00A40540"/>
    <w:rsid w:val="00A4056A"/>
    <w:rsid w:val="00A406FE"/>
    <w:rsid w:val="00A40756"/>
    <w:rsid w:val="00A408B4"/>
    <w:rsid w:val="00A4092E"/>
    <w:rsid w:val="00A40A15"/>
    <w:rsid w:val="00A40A18"/>
    <w:rsid w:val="00A40CD3"/>
    <w:rsid w:val="00A40D83"/>
    <w:rsid w:val="00A40EEF"/>
    <w:rsid w:val="00A40F8A"/>
    <w:rsid w:val="00A41018"/>
    <w:rsid w:val="00A410CD"/>
    <w:rsid w:val="00A412DA"/>
    <w:rsid w:val="00A41442"/>
    <w:rsid w:val="00A41513"/>
    <w:rsid w:val="00A4152E"/>
    <w:rsid w:val="00A41622"/>
    <w:rsid w:val="00A4184F"/>
    <w:rsid w:val="00A41989"/>
    <w:rsid w:val="00A419C6"/>
    <w:rsid w:val="00A419D0"/>
    <w:rsid w:val="00A419DB"/>
    <w:rsid w:val="00A41A59"/>
    <w:rsid w:val="00A41A84"/>
    <w:rsid w:val="00A41BB9"/>
    <w:rsid w:val="00A41BCF"/>
    <w:rsid w:val="00A41BD5"/>
    <w:rsid w:val="00A41C44"/>
    <w:rsid w:val="00A41CAA"/>
    <w:rsid w:val="00A41DA4"/>
    <w:rsid w:val="00A42192"/>
    <w:rsid w:val="00A421BE"/>
    <w:rsid w:val="00A42370"/>
    <w:rsid w:val="00A4245C"/>
    <w:rsid w:val="00A427AC"/>
    <w:rsid w:val="00A427B4"/>
    <w:rsid w:val="00A42A53"/>
    <w:rsid w:val="00A42A7F"/>
    <w:rsid w:val="00A42B08"/>
    <w:rsid w:val="00A42BC1"/>
    <w:rsid w:val="00A42C0E"/>
    <w:rsid w:val="00A42C6A"/>
    <w:rsid w:val="00A42CA8"/>
    <w:rsid w:val="00A42CFC"/>
    <w:rsid w:val="00A42E68"/>
    <w:rsid w:val="00A42F41"/>
    <w:rsid w:val="00A43048"/>
    <w:rsid w:val="00A43094"/>
    <w:rsid w:val="00A43240"/>
    <w:rsid w:val="00A43F18"/>
    <w:rsid w:val="00A440AA"/>
    <w:rsid w:val="00A440B8"/>
    <w:rsid w:val="00A440CB"/>
    <w:rsid w:val="00A44101"/>
    <w:rsid w:val="00A44114"/>
    <w:rsid w:val="00A44130"/>
    <w:rsid w:val="00A441CB"/>
    <w:rsid w:val="00A44571"/>
    <w:rsid w:val="00A44AA6"/>
    <w:rsid w:val="00A44B14"/>
    <w:rsid w:val="00A44B86"/>
    <w:rsid w:val="00A44BEF"/>
    <w:rsid w:val="00A44BF5"/>
    <w:rsid w:val="00A44CB0"/>
    <w:rsid w:val="00A44CD6"/>
    <w:rsid w:val="00A44E23"/>
    <w:rsid w:val="00A44E74"/>
    <w:rsid w:val="00A44FE3"/>
    <w:rsid w:val="00A44FEF"/>
    <w:rsid w:val="00A44FF8"/>
    <w:rsid w:val="00A45088"/>
    <w:rsid w:val="00A45288"/>
    <w:rsid w:val="00A4528E"/>
    <w:rsid w:val="00A45790"/>
    <w:rsid w:val="00A4584A"/>
    <w:rsid w:val="00A45B0E"/>
    <w:rsid w:val="00A45F34"/>
    <w:rsid w:val="00A45FC6"/>
    <w:rsid w:val="00A46019"/>
    <w:rsid w:val="00A4607D"/>
    <w:rsid w:val="00A460AD"/>
    <w:rsid w:val="00A4611D"/>
    <w:rsid w:val="00A46137"/>
    <w:rsid w:val="00A46148"/>
    <w:rsid w:val="00A46154"/>
    <w:rsid w:val="00A462EB"/>
    <w:rsid w:val="00A46325"/>
    <w:rsid w:val="00A46494"/>
    <w:rsid w:val="00A464B0"/>
    <w:rsid w:val="00A4676F"/>
    <w:rsid w:val="00A468D0"/>
    <w:rsid w:val="00A46A42"/>
    <w:rsid w:val="00A46A93"/>
    <w:rsid w:val="00A46AE1"/>
    <w:rsid w:val="00A46DE5"/>
    <w:rsid w:val="00A46F5C"/>
    <w:rsid w:val="00A47149"/>
    <w:rsid w:val="00A47285"/>
    <w:rsid w:val="00A4733A"/>
    <w:rsid w:val="00A47462"/>
    <w:rsid w:val="00A475AB"/>
    <w:rsid w:val="00A475B7"/>
    <w:rsid w:val="00A475D2"/>
    <w:rsid w:val="00A47636"/>
    <w:rsid w:val="00A47904"/>
    <w:rsid w:val="00A47A06"/>
    <w:rsid w:val="00A47A2C"/>
    <w:rsid w:val="00A47A5E"/>
    <w:rsid w:val="00A47B62"/>
    <w:rsid w:val="00A5018A"/>
    <w:rsid w:val="00A50277"/>
    <w:rsid w:val="00A50295"/>
    <w:rsid w:val="00A5043A"/>
    <w:rsid w:val="00A505EA"/>
    <w:rsid w:val="00A50646"/>
    <w:rsid w:val="00A50651"/>
    <w:rsid w:val="00A506A9"/>
    <w:rsid w:val="00A509EC"/>
    <w:rsid w:val="00A50A6D"/>
    <w:rsid w:val="00A50C93"/>
    <w:rsid w:val="00A50E48"/>
    <w:rsid w:val="00A50E81"/>
    <w:rsid w:val="00A50F17"/>
    <w:rsid w:val="00A50F99"/>
    <w:rsid w:val="00A51164"/>
    <w:rsid w:val="00A511C5"/>
    <w:rsid w:val="00A51479"/>
    <w:rsid w:val="00A51522"/>
    <w:rsid w:val="00A5160F"/>
    <w:rsid w:val="00A5168A"/>
    <w:rsid w:val="00A516BE"/>
    <w:rsid w:val="00A51755"/>
    <w:rsid w:val="00A51789"/>
    <w:rsid w:val="00A517D1"/>
    <w:rsid w:val="00A51831"/>
    <w:rsid w:val="00A519CC"/>
    <w:rsid w:val="00A51A5A"/>
    <w:rsid w:val="00A51AF4"/>
    <w:rsid w:val="00A51D18"/>
    <w:rsid w:val="00A51E9E"/>
    <w:rsid w:val="00A51F32"/>
    <w:rsid w:val="00A52166"/>
    <w:rsid w:val="00A5217B"/>
    <w:rsid w:val="00A5221C"/>
    <w:rsid w:val="00A5228F"/>
    <w:rsid w:val="00A52355"/>
    <w:rsid w:val="00A52371"/>
    <w:rsid w:val="00A52618"/>
    <w:rsid w:val="00A52661"/>
    <w:rsid w:val="00A526B7"/>
    <w:rsid w:val="00A5270E"/>
    <w:rsid w:val="00A527A7"/>
    <w:rsid w:val="00A52A47"/>
    <w:rsid w:val="00A52A72"/>
    <w:rsid w:val="00A52C8F"/>
    <w:rsid w:val="00A52D9F"/>
    <w:rsid w:val="00A52E42"/>
    <w:rsid w:val="00A52E50"/>
    <w:rsid w:val="00A5316C"/>
    <w:rsid w:val="00A5319A"/>
    <w:rsid w:val="00A5355B"/>
    <w:rsid w:val="00A53574"/>
    <w:rsid w:val="00A53671"/>
    <w:rsid w:val="00A53767"/>
    <w:rsid w:val="00A537EA"/>
    <w:rsid w:val="00A538AF"/>
    <w:rsid w:val="00A538DE"/>
    <w:rsid w:val="00A53935"/>
    <w:rsid w:val="00A539A6"/>
    <w:rsid w:val="00A53AE2"/>
    <w:rsid w:val="00A53B48"/>
    <w:rsid w:val="00A53BB5"/>
    <w:rsid w:val="00A53BE9"/>
    <w:rsid w:val="00A53F54"/>
    <w:rsid w:val="00A5416B"/>
    <w:rsid w:val="00A543AF"/>
    <w:rsid w:val="00A5457E"/>
    <w:rsid w:val="00A54608"/>
    <w:rsid w:val="00A54662"/>
    <w:rsid w:val="00A548AA"/>
    <w:rsid w:val="00A54CB9"/>
    <w:rsid w:val="00A54DC6"/>
    <w:rsid w:val="00A54DC9"/>
    <w:rsid w:val="00A54F85"/>
    <w:rsid w:val="00A55260"/>
    <w:rsid w:val="00A5536E"/>
    <w:rsid w:val="00A55422"/>
    <w:rsid w:val="00A5543F"/>
    <w:rsid w:val="00A55497"/>
    <w:rsid w:val="00A5552F"/>
    <w:rsid w:val="00A55611"/>
    <w:rsid w:val="00A5567E"/>
    <w:rsid w:val="00A5574B"/>
    <w:rsid w:val="00A55941"/>
    <w:rsid w:val="00A55BEC"/>
    <w:rsid w:val="00A55BFC"/>
    <w:rsid w:val="00A55CED"/>
    <w:rsid w:val="00A55CEF"/>
    <w:rsid w:val="00A55DA6"/>
    <w:rsid w:val="00A55EAD"/>
    <w:rsid w:val="00A55EF9"/>
    <w:rsid w:val="00A56065"/>
    <w:rsid w:val="00A560D9"/>
    <w:rsid w:val="00A560DC"/>
    <w:rsid w:val="00A56136"/>
    <w:rsid w:val="00A5620B"/>
    <w:rsid w:val="00A562B3"/>
    <w:rsid w:val="00A562D3"/>
    <w:rsid w:val="00A563C8"/>
    <w:rsid w:val="00A564DB"/>
    <w:rsid w:val="00A56540"/>
    <w:rsid w:val="00A565FF"/>
    <w:rsid w:val="00A56743"/>
    <w:rsid w:val="00A567C3"/>
    <w:rsid w:val="00A568AF"/>
    <w:rsid w:val="00A569D4"/>
    <w:rsid w:val="00A56AD2"/>
    <w:rsid w:val="00A56BB3"/>
    <w:rsid w:val="00A56CC1"/>
    <w:rsid w:val="00A56CC4"/>
    <w:rsid w:val="00A56DE6"/>
    <w:rsid w:val="00A5708A"/>
    <w:rsid w:val="00A570C9"/>
    <w:rsid w:val="00A5724F"/>
    <w:rsid w:val="00A574AA"/>
    <w:rsid w:val="00A5755F"/>
    <w:rsid w:val="00A5760E"/>
    <w:rsid w:val="00A57757"/>
    <w:rsid w:val="00A577C5"/>
    <w:rsid w:val="00A578E9"/>
    <w:rsid w:val="00A579F9"/>
    <w:rsid w:val="00A57C2B"/>
    <w:rsid w:val="00A57DCF"/>
    <w:rsid w:val="00A6004A"/>
    <w:rsid w:val="00A60069"/>
    <w:rsid w:val="00A600FB"/>
    <w:rsid w:val="00A60133"/>
    <w:rsid w:val="00A601E7"/>
    <w:rsid w:val="00A602AE"/>
    <w:rsid w:val="00A603AE"/>
    <w:rsid w:val="00A603F1"/>
    <w:rsid w:val="00A605B7"/>
    <w:rsid w:val="00A606EF"/>
    <w:rsid w:val="00A60750"/>
    <w:rsid w:val="00A608DC"/>
    <w:rsid w:val="00A60985"/>
    <w:rsid w:val="00A60A8E"/>
    <w:rsid w:val="00A60AFC"/>
    <w:rsid w:val="00A60B93"/>
    <w:rsid w:val="00A60D10"/>
    <w:rsid w:val="00A60D42"/>
    <w:rsid w:val="00A60EFB"/>
    <w:rsid w:val="00A60FCB"/>
    <w:rsid w:val="00A6101A"/>
    <w:rsid w:val="00A61060"/>
    <w:rsid w:val="00A612FD"/>
    <w:rsid w:val="00A61327"/>
    <w:rsid w:val="00A614A4"/>
    <w:rsid w:val="00A614C8"/>
    <w:rsid w:val="00A6152B"/>
    <w:rsid w:val="00A617B0"/>
    <w:rsid w:val="00A618E8"/>
    <w:rsid w:val="00A61A53"/>
    <w:rsid w:val="00A61B04"/>
    <w:rsid w:val="00A61E92"/>
    <w:rsid w:val="00A61F6F"/>
    <w:rsid w:val="00A620BF"/>
    <w:rsid w:val="00A621EC"/>
    <w:rsid w:val="00A624A8"/>
    <w:rsid w:val="00A624BE"/>
    <w:rsid w:val="00A62539"/>
    <w:rsid w:val="00A62668"/>
    <w:rsid w:val="00A6269A"/>
    <w:rsid w:val="00A626B2"/>
    <w:rsid w:val="00A62751"/>
    <w:rsid w:val="00A62785"/>
    <w:rsid w:val="00A62A3C"/>
    <w:rsid w:val="00A62AAC"/>
    <w:rsid w:val="00A62C1C"/>
    <w:rsid w:val="00A62D40"/>
    <w:rsid w:val="00A62E42"/>
    <w:rsid w:val="00A62ED2"/>
    <w:rsid w:val="00A6309A"/>
    <w:rsid w:val="00A63146"/>
    <w:rsid w:val="00A63393"/>
    <w:rsid w:val="00A633A9"/>
    <w:rsid w:val="00A63455"/>
    <w:rsid w:val="00A634A6"/>
    <w:rsid w:val="00A635D7"/>
    <w:rsid w:val="00A63637"/>
    <w:rsid w:val="00A63807"/>
    <w:rsid w:val="00A638F6"/>
    <w:rsid w:val="00A63A3C"/>
    <w:rsid w:val="00A63CDC"/>
    <w:rsid w:val="00A63D10"/>
    <w:rsid w:val="00A63D58"/>
    <w:rsid w:val="00A63F9E"/>
    <w:rsid w:val="00A6412B"/>
    <w:rsid w:val="00A642C4"/>
    <w:rsid w:val="00A642FB"/>
    <w:rsid w:val="00A642FD"/>
    <w:rsid w:val="00A64429"/>
    <w:rsid w:val="00A6455B"/>
    <w:rsid w:val="00A646ED"/>
    <w:rsid w:val="00A6499F"/>
    <w:rsid w:val="00A64A71"/>
    <w:rsid w:val="00A64A79"/>
    <w:rsid w:val="00A64CB1"/>
    <w:rsid w:val="00A64D60"/>
    <w:rsid w:val="00A64E63"/>
    <w:rsid w:val="00A64E8F"/>
    <w:rsid w:val="00A64ED8"/>
    <w:rsid w:val="00A64F38"/>
    <w:rsid w:val="00A64F5B"/>
    <w:rsid w:val="00A64F81"/>
    <w:rsid w:val="00A64FAE"/>
    <w:rsid w:val="00A65085"/>
    <w:rsid w:val="00A6509A"/>
    <w:rsid w:val="00A65192"/>
    <w:rsid w:val="00A652B8"/>
    <w:rsid w:val="00A652F4"/>
    <w:rsid w:val="00A6546C"/>
    <w:rsid w:val="00A654B6"/>
    <w:rsid w:val="00A65679"/>
    <w:rsid w:val="00A6568E"/>
    <w:rsid w:val="00A656B6"/>
    <w:rsid w:val="00A657BB"/>
    <w:rsid w:val="00A6588D"/>
    <w:rsid w:val="00A658B5"/>
    <w:rsid w:val="00A6591B"/>
    <w:rsid w:val="00A659B7"/>
    <w:rsid w:val="00A65C50"/>
    <w:rsid w:val="00A65C86"/>
    <w:rsid w:val="00A65DBB"/>
    <w:rsid w:val="00A65F0B"/>
    <w:rsid w:val="00A660C8"/>
    <w:rsid w:val="00A661B4"/>
    <w:rsid w:val="00A661FA"/>
    <w:rsid w:val="00A6631C"/>
    <w:rsid w:val="00A6633D"/>
    <w:rsid w:val="00A6643B"/>
    <w:rsid w:val="00A664D4"/>
    <w:rsid w:val="00A668E5"/>
    <w:rsid w:val="00A66985"/>
    <w:rsid w:val="00A66A1C"/>
    <w:rsid w:val="00A66AF6"/>
    <w:rsid w:val="00A66B79"/>
    <w:rsid w:val="00A66CA6"/>
    <w:rsid w:val="00A66EB8"/>
    <w:rsid w:val="00A67209"/>
    <w:rsid w:val="00A67229"/>
    <w:rsid w:val="00A67246"/>
    <w:rsid w:val="00A67249"/>
    <w:rsid w:val="00A67345"/>
    <w:rsid w:val="00A6744B"/>
    <w:rsid w:val="00A6750E"/>
    <w:rsid w:val="00A67550"/>
    <w:rsid w:val="00A675B4"/>
    <w:rsid w:val="00A67614"/>
    <w:rsid w:val="00A67616"/>
    <w:rsid w:val="00A676A0"/>
    <w:rsid w:val="00A67790"/>
    <w:rsid w:val="00A67814"/>
    <w:rsid w:val="00A6786E"/>
    <w:rsid w:val="00A678A0"/>
    <w:rsid w:val="00A678CA"/>
    <w:rsid w:val="00A6795A"/>
    <w:rsid w:val="00A67BAF"/>
    <w:rsid w:val="00A67C1D"/>
    <w:rsid w:val="00A67E4C"/>
    <w:rsid w:val="00A67E5B"/>
    <w:rsid w:val="00A67ECF"/>
    <w:rsid w:val="00A67F6E"/>
    <w:rsid w:val="00A67FCC"/>
    <w:rsid w:val="00A700A2"/>
    <w:rsid w:val="00A701BA"/>
    <w:rsid w:val="00A701E5"/>
    <w:rsid w:val="00A70319"/>
    <w:rsid w:val="00A70410"/>
    <w:rsid w:val="00A70444"/>
    <w:rsid w:val="00A70499"/>
    <w:rsid w:val="00A70594"/>
    <w:rsid w:val="00A70622"/>
    <w:rsid w:val="00A706B0"/>
    <w:rsid w:val="00A7077A"/>
    <w:rsid w:val="00A70AC5"/>
    <w:rsid w:val="00A70B61"/>
    <w:rsid w:val="00A70B87"/>
    <w:rsid w:val="00A7109E"/>
    <w:rsid w:val="00A712A8"/>
    <w:rsid w:val="00A71425"/>
    <w:rsid w:val="00A71493"/>
    <w:rsid w:val="00A71583"/>
    <w:rsid w:val="00A7175A"/>
    <w:rsid w:val="00A7178D"/>
    <w:rsid w:val="00A717AF"/>
    <w:rsid w:val="00A717C5"/>
    <w:rsid w:val="00A7192F"/>
    <w:rsid w:val="00A71B18"/>
    <w:rsid w:val="00A71B62"/>
    <w:rsid w:val="00A71BDE"/>
    <w:rsid w:val="00A71D09"/>
    <w:rsid w:val="00A71FDD"/>
    <w:rsid w:val="00A71FFE"/>
    <w:rsid w:val="00A720C1"/>
    <w:rsid w:val="00A72145"/>
    <w:rsid w:val="00A7216E"/>
    <w:rsid w:val="00A7217A"/>
    <w:rsid w:val="00A72242"/>
    <w:rsid w:val="00A7274C"/>
    <w:rsid w:val="00A727DA"/>
    <w:rsid w:val="00A72869"/>
    <w:rsid w:val="00A728DB"/>
    <w:rsid w:val="00A729C7"/>
    <w:rsid w:val="00A72B44"/>
    <w:rsid w:val="00A72C2D"/>
    <w:rsid w:val="00A72DE7"/>
    <w:rsid w:val="00A72E8A"/>
    <w:rsid w:val="00A73161"/>
    <w:rsid w:val="00A732CB"/>
    <w:rsid w:val="00A7337A"/>
    <w:rsid w:val="00A733AD"/>
    <w:rsid w:val="00A733AE"/>
    <w:rsid w:val="00A734C9"/>
    <w:rsid w:val="00A736F3"/>
    <w:rsid w:val="00A73758"/>
    <w:rsid w:val="00A7386E"/>
    <w:rsid w:val="00A73B1E"/>
    <w:rsid w:val="00A73B20"/>
    <w:rsid w:val="00A73D17"/>
    <w:rsid w:val="00A73D4E"/>
    <w:rsid w:val="00A73E89"/>
    <w:rsid w:val="00A73E94"/>
    <w:rsid w:val="00A73EC0"/>
    <w:rsid w:val="00A73ECC"/>
    <w:rsid w:val="00A740DF"/>
    <w:rsid w:val="00A74129"/>
    <w:rsid w:val="00A74154"/>
    <w:rsid w:val="00A74563"/>
    <w:rsid w:val="00A745E8"/>
    <w:rsid w:val="00A74656"/>
    <w:rsid w:val="00A74949"/>
    <w:rsid w:val="00A74A52"/>
    <w:rsid w:val="00A74A6D"/>
    <w:rsid w:val="00A74B66"/>
    <w:rsid w:val="00A74C9A"/>
    <w:rsid w:val="00A74C9E"/>
    <w:rsid w:val="00A74D42"/>
    <w:rsid w:val="00A74ED1"/>
    <w:rsid w:val="00A74F05"/>
    <w:rsid w:val="00A74F1B"/>
    <w:rsid w:val="00A74F7D"/>
    <w:rsid w:val="00A74FCF"/>
    <w:rsid w:val="00A75005"/>
    <w:rsid w:val="00A75147"/>
    <w:rsid w:val="00A7536A"/>
    <w:rsid w:val="00A753C2"/>
    <w:rsid w:val="00A75445"/>
    <w:rsid w:val="00A7551E"/>
    <w:rsid w:val="00A75538"/>
    <w:rsid w:val="00A75970"/>
    <w:rsid w:val="00A75BB4"/>
    <w:rsid w:val="00A76032"/>
    <w:rsid w:val="00A7606A"/>
    <w:rsid w:val="00A761FD"/>
    <w:rsid w:val="00A7627B"/>
    <w:rsid w:val="00A762B6"/>
    <w:rsid w:val="00A76394"/>
    <w:rsid w:val="00A764B6"/>
    <w:rsid w:val="00A76555"/>
    <w:rsid w:val="00A7662E"/>
    <w:rsid w:val="00A76636"/>
    <w:rsid w:val="00A76705"/>
    <w:rsid w:val="00A768F5"/>
    <w:rsid w:val="00A76A07"/>
    <w:rsid w:val="00A76A90"/>
    <w:rsid w:val="00A76E18"/>
    <w:rsid w:val="00A76F30"/>
    <w:rsid w:val="00A76F85"/>
    <w:rsid w:val="00A7712E"/>
    <w:rsid w:val="00A775C4"/>
    <w:rsid w:val="00A77606"/>
    <w:rsid w:val="00A77DB5"/>
    <w:rsid w:val="00A77DB7"/>
    <w:rsid w:val="00A77E33"/>
    <w:rsid w:val="00A77F61"/>
    <w:rsid w:val="00A8019C"/>
    <w:rsid w:val="00A804A1"/>
    <w:rsid w:val="00A80669"/>
    <w:rsid w:val="00A8066D"/>
    <w:rsid w:val="00A8069F"/>
    <w:rsid w:val="00A807A3"/>
    <w:rsid w:val="00A807E7"/>
    <w:rsid w:val="00A8082A"/>
    <w:rsid w:val="00A80B42"/>
    <w:rsid w:val="00A80C02"/>
    <w:rsid w:val="00A80DFA"/>
    <w:rsid w:val="00A80E39"/>
    <w:rsid w:val="00A80F59"/>
    <w:rsid w:val="00A810AC"/>
    <w:rsid w:val="00A810DF"/>
    <w:rsid w:val="00A81279"/>
    <w:rsid w:val="00A8136F"/>
    <w:rsid w:val="00A8149A"/>
    <w:rsid w:val="00A81A77"/>
    <w:rsid w:val="00A81BE6"/>
    <w:rsid w:val="00A81BEB"/>
    <w:rsid w:val="00A81BF7"/>
    <w:rsid w:val="00A81C56"/>
    <w:rsid w:val="00A81CE1"/>
    <w:rsid w:val="00A81D49"/>
    <w:rsid w:val="00A81E74"/>
    <w:rsid w:val="00A82086"/>
    <w:rsid w:val="00A820AB"/>
    <w:rsid w:val="00A82105"/>
    <w:rsid w:val="00A823B3"/>
    <w:rsid w:val="00A825F1"/>
    <w:rsid w:val="00A8264F"/>
    <w:rsid w:val="00A826E1"/>
    <w:rsid w:val="00A8278F"/>
    <w:rsid w:val="00A82861"/>
    <w:rsid w:val="00A82890"/>
    <w:rsid w:val="00A82AF7"/>
    <w:rsid w:val="00A82B14"/>
    <w:rsid w:val="00A82BDA"/>
    <w:rsid w:val="00A82BE7"/>
    <w:rsid w:val="00A82CCA"/>
    <w:rsid w:val="00A82D0C"/>
    <w:rsid w:val="00A82D80"/>
    <w:rsid w:val="00A82F9C"/>
    <w:rsid w:val="00A8306A"/>
    <w:rsid w:val="00A830EB"/>
    <w:rsid w:val="00A83493"/>
    <w:rsid w:val="00A837BE"/>
    <w:rsid w:val="00A839B8"/>
    <w:rsid w:val="00A83AF7"/>
    <w:rsid w:val="00A83CB9"/>
    <w:rsid w:val="00A83E48"/>
    <w:rsid w:val="00A83FE8"/>
    <w:rsid w:val="00A8401B"/>
    <w:rsid w:val="00A8402E"/>
    <w:rsid w:val="00A84106"/>
    <w:rsid w:val="00A8418F"/>
    <w:rsid w:val="00A8425C"/>
    <w:rsid w:val="00A842E0"/>
    <w:rsid w:val="00A8438F"/>
    <w:rsid w:val="00A843BF"/>
    <w:rsid w:val="00A84480"/>
    <w:rsid w:val="00A8448B"/>
    <w:rsid w:val="00A845AE"/>
    <w:rsid w:val="00A845CA"/>
    <w:rsid w:val="00A84653"/>
    <w:rsid w:val="00A847DC"/>
    <w:rsid w:val="00A84887"/>
    <w:rsid w:val="00A84A09"/>
    <w:rsid w:val="00A84BA2"/>
    <w:rsid w:val="00A84BE7"/>
    <w:rsid w:val="00A84CF1"/>
    <w:rsid w:val="00A84DF9"/>
    <w:rsid w:val="00A84E03"/>
    <w:rsid w:val="00A84F78"/>
    <w:rsid w:val="00A85110"/>
    <w:rsid w:val="00A85168"/>
    <w:rsid w:val="00A85200"/>
    <w:rsid w:val="00A852BD"/>
    <w:rsid w:val="00A85344"/>
    <w:rsid w:val="00A8551E"/>
    <w:rsid w:val="00A85564"/>
    <w:rsid w:val="00A856D8"/>
    <w:rsid w:val="00A85726"/>
    <w:rsid w:val="00A857DF"/>
    <w:rsid w:val="00A85B8C"/>
    <w:rsid w:val="00A85C90"/>
    <w:rsid w:val="00A86004"/>
    <w:rsid w:val="00A8612F"/>
    <w:rsid w:val="00A86469"/>
    <w:rsid w:val="00A864C6"/>
    <w:rsid w:val="00A86572"/>
    <w:rsid w:val="00A86892"/>
    <w:rsid w:val="00A86B60"/>
    <w:rsid w:val="00A86D27"/>
    <w:rsid w:val="00A86FCB"/>
    <w:rsid w:val="00A87192"/>
    <w:rsid w:val="00A87262"/>
    <w:rsid w:val="00A872B4"/>
    <w:rsid w:val="00A874BE"/>
    <w:rsid w:val="00A874E8"/>
    <w:rsid w:val="00A875C3"/>
    <w:rsid w:val="00A87648"/>
    <w:rsid w:val="00A876AE"/>
    <w:rsid w:val="00A876EF"/>
    <w:rsid w:val="00A877B9"/>
    <w:rsid w:val="00A87A51"/>
    <w:rsid w:val="00A87B02"/>
    <w:rsid w:val="00A87C5D"/>
    <w:rsid w:val="00A87D02"/>
    <w:rsid w:val="00A90158"/>
    <w:rsid w:val="00A90216"/>
    <w:rsid w:val="00A90347"/>
    <w:rsid w:val="00A9037D"/>
    <w:rsid w:val="00A90460"/>
    <w:rsid w:val="00A9057C"/>
    <w:rsid w:val="00A90685"/>
    <w:rsid w:val="00A9068C"/>
    <w:rsid w:val="00A90717"/>
    <w:rsid w:val="00A90770"/>
    <w:rsid w:val="00A90870"/>
    <w:rsid w:val="00A908DF"/>
    <w:rsid w:val="00A90974"/>
    <w:rsid w:val="00A90A2D"/>
    <w:rsid w:val="00A90A61"/>
    <w:rsid w:val="00A90A88"/>
    <w:rsid w:val="00A90ABA"/>
    <w:rsid w:val="00A90D80"/>
    <w:rsid w:val="00A90E6A"/>
    <w:rsid w:val="00A9111C"/>
    <w:rsid w:val="00A9114B"/>
    <w:rsid w:val="00A9122D"/>
    <w:rsid w:val="00A913CA"/>
    <w:rsid w:val="00A9159F"/>
    <w:rsid w:val="00A91624"/>
    <w:rsid w:val="00A91647"/>
    <w:rsid w:val="00A91702"/>
    <w:rsid w:val="00A917E6"/>
    <w:rsid w:val="00A917F6"/>
    <w:rsid w:val="00A91880"/>
    <w:rsid w:val="00A91B49"/>
    <w:rsid w:val="00A91CA7"/>
    <w:rsid w:val="00A91CFE"/>
    <w:rsid w:val="00A91E9A"/>
    <w:rsid w:val="00A91FB8"/>
    <w:rsid w:val="00A920BB"/>
    <w:rsid w:val="00A9218B"/>
    <w:rsid w:val="00A923C9"/>
    <w:rsid w:val="00A92457"/>
    <w:rsid w:val="00A928BD"/>
    <w:rsid w:val="00A92907"/>
    <w:rsid w:val="00A9298C"/>
    <w:rsid w:val="00A92E03"/>
    <w:rsid w:val="00A92F60"/>
    <w:rsid w:val="00A92FAC"/>
    <w:rsid w:val="00A93059"/>
    <w:rsid w:val="00A930BF"/>
    <w:rsid w:val="00A931A3"/>
    <w:rsid w:val="00A93238"/>
    <w:rsid w:val="00A93306"/>
    <w:rsid w:val="00A93489"/>
    <w:rsid w:val="00A93654"/>
    <w:rsid w:val="00A9397D"/>
    <w:rsid w:val="00A93A1F"/>
    <w:rsid w:val="00A93B4C"/>
    <w:rsid w:val="00A93DCC"/>
    <w:rsid w:val="00A93E2D"/>
    <w:rsid w:val="00A93ED3"/>
    <w:rsid w:val="00A9406A"/>
    <w:rsid w:val="00A94099"/>
    <w:rsid w:val="00A941F6"/>
    <w:rsid w:val="00A94217"/>
    <w:rsid w:val="00A942DF"/>
    <w:rsid w:val="00A944E5"/>
    <w:rsid w:val="00A945A9"/>
    <w:rsid w:val="00A945D5"/>
    <w:rsid w:val="00A945E0"/>
    <w:rsid w:val="00A9466E"/>
    <w:rsid w:val="00A9466F"/>
    <w:rsid w:val="00A94686"/>
    <w:rsid w:val="00A946A4"/>
    <w:rsid w:val="00A948EF"/>
    <w:rsid w:val="00A948F1"/>
    <w:rsid w:val="00A94945"/>
    <w:rsid w:val="00A9498B"/>
    <w:rsid w:val="00A94C8B"/>
    <w:rsid w:val="00A94CDB"/>
    <w:rsid w:val="00A94D83"/>
    <w:rsid w:val="00A94DA2"/>
    <w:rsid w:val="00A94EA4"/>
    <w:rsid w:val="00A94F98"/>
    <w:rsid w:val="00A95396"/>
    <w:rsid w:val="00A953A8"/>
    <w:rsid w:val="00A9545E"/>
    <w:rsid w:val="00A95564"/>
    <w:rsid w:val="00A9573B"/>
    <w:rsid w:val="00A957C1"/>
    <w:rsid w:val="00A957D0"/>
    <w:rsid w:val="00A957F8"/>
    <w:rsid w:val="00A958C4"/>
    <w:rsid w:val="00A9590C"/>
    <w:rsid w:val="00A959A9"/>
    <w:rsid w:val="00A95A9A"/>
    <w:rsid w:val="00A95B44"/>
    <w:rsid w:val="00A95C85"/>
    <w:rsid w:val="00A95C97"/>
    <w:rsid w:val="00A95E03"/>
    <w:rsid w:val="00A95EB2"/>
    <w:rsid w:val="00A95F1A"/>
    <w:rsid w:val="00A96111"/>
    <w:rsid w:val="00A96254"/>
    <w:rsid w:val="00A962A0"/>
    <w:rsid w:val="00A962D6"/>
    <w:rsid w:val="00A96319"/>
    <w:rsid w:val="00A96502"/>
    <w:rsid w:val="00A96561"/>
    <w:rsid w:val="00A965F4"/>
    <w:rsid w:val="00A9665A"/>
    <w:rsid w:val="00A9668D"/>
    <w:rsid w:val="00A966A0"/>
    <w:rsid w:val="00A967D8"/>
    <w:rsid w:val="00A96807"/>
    <w:rsid w:val="00A96ADC"/>
    <w:rsid w:val="00A96B03"/>
    <w:rsid w:val="00A96C2E"/>
    <w:rsid w:val="00A96CA3"/>
    <w:rsid w:val="00A96CC2"/>
    <w:rsid w:val="00A96D05"/>
    <w:rsid w:val="00A96D70"/>
    <w:rsid w:val="00A96DB0"/>
    <w:rsid w:val="00A96EC3"/>
    <w:rsid w:val="00A96F1B"/>
    <w:rsid w:val="00A96FDB"/>
    <w:rsid w:val="00A97013"/>
    <w:rsid w:val="00A97032"/>
    <w:rsid w:val="00A97124"/>
    <w:rsid w:val="00A9713C"/>
    <w:rsid w:val="00A97191"/>
    <w:rsid w:val="00A9721C"/>
    <w:rsid w:val="00A972D1"/>
    <w:rsid w:val="00A9742F"/>
    <w:rsid w:val="00A975F2"/>
    <w:rsid w:val="00A97656"/>
    <w:rsid w:val="00A97761"/>
    <w:rsid w:val="00A9776F"/>
    <w:rsid w:val="00A977C9"/>
    <w:rsid w:val="00A97810"/>
    <w:rsid w:val="00A978F1"/>
    <w:rsid w:val="00A97923"/>
    <w:rsid w:val="00A97D06"/>
    <w:rsid w:val="00A97D30"/>
    <w:rsid w:val="00A97DCF"/>
    <w:rsid w:val="00A97E44"/>
    <w:rsid w:val="00A97ECB"/>
    <w:rsid w:val="00AA002B"/>
    <w:rsid w:val="00AA00E0"/>
    <w:rsid w:val="00AA02F9"/>
    <w:rsid w:val="00AA053A"/>
    <w:rsid w:val="00AA068C"/>
    <w:rsid w:val="00AA06DA"/>
    <w:rsid w:val="00AA070F"/>
    <w:rsid w:val="00AA08FA"/>
    <w:rsid w:val="00AA0A04"/>
    <w:rsid w:val="00AA0C63"/>
    <w:rsid w:val="00AA0E01"/>
    <w:rsid w:val="00AA0E34"/>
    <w:rsid w:val="00AA0EEB"/>
    <w:rsid w:val="00AA0FB9"/>
    <w:rsid w:val="00AA105F"/>
    <w:rsid w:val="00AA1145"/>
    <w:rsid w:val="00AA11E3"/>
    <w:rsid w:val="00AA12E3"/>
    <w:rsid w:val="00AA13FC"/>
    <w:rsid w:val="00AA156B"/>
    <w:rsid w:val="00AA161B"/>
    <w:rsid w:val="00AA16CB"/>
    <w:rsid w:val="00AA17A0"/>
    <w:rsid w:val="00AA17FD"/>
    <w:rsid w:val="00AA1947"/>
    <w:rsid w:val="00AA195E"/>
    <w:rsid w:val="00AA1972"/>
    <w:rsid w:val="00AA19AA"/>
    <w:rsid w:val="00AA19E6"/>
    <w:rsid w:val="00AA1A44"/>
    <w:rsid w:val="00AA1DD3"/>
    <w:rsid w:val="00AA1E17"/>
    <w:rsid w:val="00AA2230"/>
    <w:rsid w:val="00AA2316"/>
    <w:rsid w:val="00AA2371"/>
    <w:rsid w:val="00AA2440"/>
    <w:rsid w:val="00AA244A"/>
    <w:rsid w:val="00AA2497"/>
    <w:rsid w:val="00AA25AB"/>
    <w:rsid w:val="00AA25AF"/>
    <w:rsid w:val="00AA2608"/>
    <w:rsid w:val="00AA26EB"/>
    <w:rsid w:val="00AA27EA"/>
    <w:rsid w:val="00AA2874"/>
    <w:rsid w:val="00AA28AE"/>
    <w:rsid w:val="00AA29A5"/>
    <w:rsid w:val="00AA2B4F"/>
    <w:rsid w:val="00AA2D21"/>
    <w:rsid w:val="00AA2D29"/>
    <w:rsid w:val="00AA2EE2"/>
    <w:rsid w:val="00AA3086"/>
    <w:rsid w:val="00AA30A0"/>
    <w:rsid w:val="00AA3194"/>
    <w:rsid w:val="00AA324E"/>
    <w:rsid w:val="00AA331B"/>
    <w:rsid w:val="00AA3361"/>
    <w:rsid w:val="00AA3636"/>
    <w:rsid w:val="00AA3AFF"/>
    <w:rsid w:val="00AA3B4A"/>
    <w:rsid w:val="00AA3BA1"/>
    <w:rsid w:val="00AA3BF1"/>
    <w:rsid w:val="00AA3C02"/>
    <w:rsid w:val="00AA3D50"/>
    <w:rsid w:val="00AA3DBB"/>
    <w:rsid w:val="00AA3FE1"/>
    <w:rsid w:val="00AA3FE5"/>
    <w:rsid w:val="00AA3FE7"/>
    <w:rsid w:val="00AA4310"/>
    <w:rsid w:val="00AA44ED"/>
    <w:rsid w:val="00AA4595"/>
    <w:rsid w:val="00AA4669"/>
    <w:rsid w:val="00AA487D"/>
    <w:rsid w:val="00AA4A05"/>
    <w:rsid w:val="00AA4A14"/>
    <w:rsid w:val="00AA4B1A"/>
    <w:rsid w:val="00AA4BB8"/>
    <w:rsid w:val="00AA4C86"/>
    <w:rsid w:val="00AA4D02"/>
    <w:rsid w:val="00AA4D50"/>
    <w:rsid w:val="00AA4F22"/>
    <w:rsid w:val="00AA4F59"/>
    <w:rsid w:val="00AA519F"/>
    <w:rsid w:val="00AA51C0"/>
    <w:rsid w:val="00AA532F"/>
    <w:rsid w:val="00AA5528"/>
    <w:rsid w:val="00AA5993"/>
    <w:rsid w:val="00AA59A3"/>
    <w:rsid w:val="00AA5A25"/>
    <w:rsid w:val="00AA5C24"/>
    <w:rsid w:val="00AA5C50"/>
    <w:rsid w:val="00AA5C96"/>
    <w:rsid w:val="00AA5D29"/>
    <w:rsid w:val="00AA5D46"/>
    <w:rsid w:val="00AA5DFA"/>
    <w:rsid w:val="00AA5F55"/>
    <w:rsid w:val="00AA5F69"/>
    <w:rsid w:val="00AA5F6B"/>
    <w:rsid w:val="00AA5FC1"/>
    <w:rsid w:val="00AA6000"/>
    <w:rsid w:val="00AA603A"/>
    <w:rsid w:val="00AA6048"/>
    <w:rsid w:val="00AA606C"/>
    <w:rsid w:val="00AA6627"/>
    <w:rsid w:val="00AA6671"/>
    <w:rsid w:val="00AA6746"/>
    <w:rsid w:val="00AA6763"/>
    <w:rsid w:val="00AA6765"/>
    <w:rsid w:val="00AA6853"/>
    <w:rsid w:val="00AA68AA"/>
    <w:rsid w:val="00AA6920"/>
    <w:rsid w:val="00AA6A5C"/>
    <w:rsid w:val="00AA6A8A"/>
    <w:rsid w:val="00AA6B76"/>
    <w:rsid w:val="00AA6C34"/>
    <w:rsid w:val="00AA6C3A"/>
    <w:rsid w:val="00AA6CB4"/>
    <w:rsid w:val="00AA6D52"/>
    <w:rsid w:val="00AA6D5A"/>
    <w:rsid w:val="00AA6DEC"/>
    <w:rsid w:val="00AA6E18"/>
    <w:rsid w:val="00AA6E90"/>
    <w:rsid w:val="00AA6FAE"/>
    <w:rsid w:val="00AA703F"/>
    <w:rsid w:val="00AA7159"/>
    <w:rsid w:val="00AA7167"/>
    <w:rsid w:val="00AA7191"/>
    <w:rsid w:val="00AA7286"/>
    <w:rsid w:val="00AA72EE"/>
    <w:rsid w:val="00AA7441"/>
    <w:rsid w:val="00AA7584"/>
    <w:rsid w:val="00AA76BB"/>
    <w:rsid w:val="00AA7721"/>
    <w:rsid w:val="00AA77AB"/>
    <w:rsid w:val="00AA77D1"/>
    <w:rsid w:val="00AA784B"/>
    <w:rsid w:val="00AA78EF"/>
    <w:rsid w:val="00AA7951"/>
    <w:rsid w:val="00AA7C3C"/>
    <w:rsid w:val="00AA7C9D"/>
    <w:rsid w:val="00AA7D56"/>
    <w:rsid w:val="00AA7DCE"/>
    <w:rsid w:val="00AA7EA4"/>
    <w:rsid w:val="00AA7F6D"/>
    <w:rsid w:val="00AB01D8"/>
    <w:rsid w:val="00AB0224"/>
    <w:rsid w:val="00AB0329"/>
    <w:rsid w:val="00AB037C"/>
    <w:rsid w:val="00AB062C"/>
    <w:rsid w:val="00AB06A8"/>
    <w:rsid w:val="00AB080A"/>
    <w:rsid w:val="00AB0B41"/>
    <w:rsid w:val="00AB0B79"/>
    <w:rsid w:val="00AB0BF2"/>
    <w:rsid w:val="00AB0C91"/>
    <w:rsid w:val="00AB0E96"/>
    <w:rsid w:val="00AB0FCD"/>
    <w:rsid w:val="00AB10F7"/>
    <w:rsid w:val="00AB1259"/>
    <w:rsid w:val="00AB15B4"/>
    <w:rsid w:val="00AB16AC"/>
    <w:rsid w:val="00AB16D1"/>
    <w:rsid w:val="00AB18D4"/>
    <w:rsid w:val="00AB1954"/>
    <w:rsid w:val="00AB19BF"/>
    <w:rsid w:val="00AB19CA"/>
    <w:rsid w:val="00AB1A7F"/>
    <w:rsid w:val="00AB1C88"/>
    <w:rsid w:val="00AB1EF0"/>
    <w:rsid w:val="00AB1F22"/>
    <w:rsid w:val="00AB1F8D"/>
    <w:rsid w:val="00AB1FEB"/>
    <w:rsid w:val="00AB218B"/>
    <w:rsid w:val="00AB230B"/>
    <w:rsid w:val="00AB231E"/>
    <w:rsid w:val="00AB2565"/>
    <w:rsid w:val="00AB26D8"/>
    <w:rsid w:val="00AB2738"/>
    <w:rsid w:val="00AB27FB"/>
    <w:rsid w:val="00AB29A2"/>
    <w:rsid w:val="00AB2ABA"/>
    <w:rsid w:val="00AB2B4C"/>
    <w:rsid w:val="00AB2DC3"/>
    <w:rsid w:val="00AB2F61"/>
    <w:rsid w:val="00AB30AF"/>
    <w:rsid w:val="00AB3156"/>
    <w:rsid w:val="00AB32C2"/>
    <w:rsid w:val="00AB3347"/>
    <w:rsid w:val="00AB3356"/>
    <w:rsid w:val="00AB3360"/>
    <w:rsid w:val="00AB34AE"/>
    <w:rsid w:val="00AB3570"/>
    <w:rsid w:val="00AB357C"/>
    <w:rsid w:val="00AB3687"/>
    <w:rsid w:val="00AB3728"/>
    <w:rsid w:val="00AB37D5"/>
    <w:rsid w:val="00AB3945"/>
    <w:rsid w:val="00AB39A7"/>
    <w:rsid w:val="00AB3A8C"/>
    <w:rsid w:val="00AB3BEE"/>
    <w:rsid w:val="00AB3DB4"/>
    <w:rsid w:val="00AB3DDB"/>
    <w:rsid w:val="00AB3DFA"/>
    <w:rsid w:val="00AB3E10"/>
    <w:rsid w:val="00AB3F18"/>
    <w:rsid w:val="00AB40C4"/>
    <w:rsid w:val="00AB4137"/>
    <w:rsid w:val="00AB415B"/>
    <w:rsid w:val="00AB41E2"/>
    <w:rsid w:val="00AB4218"/>
    <w:rsid w:val="00AB42BD"/>
    <w:rsid w:val="00AB45AD"/>
    <w:rsid w:val="00AB45F3"/>
    <w:rsid w:val="00AB470B"/>
    <w:rsid w:val="00AB48C9"/>
    <w:rsid w:val="00AB498D"/>
    <w:rsid w:val="00AB4A37"/>
    <w:rsid w:val="00AB4DB0"/>
    <w:rsid w:val="00AB4DEF"/>
    <w:rsid w:val="00AB4E8F"/>
    <w:rsid w:val="00AB4F6C"/>
    <w:rsid w:val="00AB4FE9"/>
    <w:rsid w:val="00AB5015"/>
    <w:rsid w:val="00AB533F"/>
    <w:rsid w:val="00AB53D6"/>
    <w:rsid w:val="00AB53DB"/>
    <w:rsid w:val="00AB546A"/>
    <w:rsid w:val="00AB5585"/>
    <w:rsid w:val="00AB58A6"/>
    <w:rsid w:val="00AB59FE"/>
    <w:rsid w:val="00AB5A6C"/>
    <w:rsid w:val="00AB5C06"/>
    <w:rsid w:val="00AB5E65"/>
    <w:rsid w:val="00AB5EF0"/>
    <w:rsid w:val="00AB6099"/>
    <w:rsid w:val="00AB6304"/>
    <w:rsid w:val="00AB646A"/>
    <w:rsid w:val="00AB649C"/>
    <w:rsid w:val="00AB6534"/>
    <w:rsid w:val="00AB6791"/>
    <w:rsid w:val="00AB6794"/>
    <w:rsid w:val="00AB67B2"/>
    <w:rsid w:val="00AB6825"/>
    <w:rsid w:val="00AB698A"/>
    <w:rsid w:val="00AB69AA"/>
    <w:rsid w:val="00AB69B1"/>
    <w:rsid w:val="00AB6AC9"/>
    <w:rsid w:val="00AB6CC4"/>
    <w:rsid w:val="00AB6D76"/>
    <w:rsid w:val="00AB6DF5"/>
    <w:rsid w:val="00AB6E39"/>
    <w:rsid w:val="00AB7099"/>
    <w:rsid w:val="00AB71BE"/>
    <w:rsid w:val="00AB7319"/>
    <w:rsid w:val="00AB7382"/>
    <w:rsid w:val="00AB7805"/>
    <w:rsid w:val="00AB7844"/>
    <w:rsid w:val="00AB78B3"/>
    <w:rsid w:val="00AB7973"/>
    <w:rsid w:val="00AB7AA1"/>
    <w:rsid w:val="00AB7C38"/>
    <w:rsid w:val="00AB7DED"/>
    <w:rsid w:val="00AB7E7C"/>
    <w:rsid w:val="00AB7ED2"/>
    <w:rsid w:val="00AB7F0F"/>
    <w:rsid w:val="00AB7FC5"/>
    <w:rsid w:val="00AB7FF7"/>
    <w:rsid w:val="00AC0027"/>
    <w:rsid w:val="00AC008A"/>
    <w:rsid w:val="00AC00A0"/>
    <w:rsid w:val="00AC02EC"/>
    <w:rsid w:val="00AC0329"/>
    <w:rsid w:val="00AC03ED"/>
    <w:rsid w:val="00AC0417"/>
    <w:rsid w:val="00AC0462"/>
    <w:rsid w:val="00AC04C1"/>
    <w:rsid w:val="00AC07A2"/>
    <w:rsid w:val="00AC082E"/>
    <w:rsid w:val="00AC0943"/>
    <w:rsid w:val="00AC095B"/>
    <w:rsid w:val="00AC0A34"/>
    <w:rsid w:val="00AC0B2C"/>
    <w:rsid w:val="00AC0B81"/>
    <w:rsid w:val="00AC0C69"/>
    <w:rsid w:val="00AC0D15"/>
    <w:rsid w:val="00AC0DC5"/>
    <w:rsid w:val="00AC0E98"/>
    <w:rsid w:val="00AC11DB"/>
    <w:rsid w:val="00AC1200"/>
    <w:rsid w:val="00AC120B"/>
    <w:rsid w:val="00AC12BA"/>
    <w:rsid w:val="00AC1303"/>
    <w:rsid w:val="00AC1328"/>
    <w:rsid w:val="00AC1390"/>
    <w:rsid w:val="00AC13D8"/>
    <w:rsid w:val="00AC14B0"/>
    <w:rsid w:val="00AC150D"/>
    <w:rsid w:val="00AC15B1"/>
    <w:rsid w:val="00AC1609"/>
    <w:rsid w:val="00AC1679"/>
    <w:rsid w:val="00AC197F"/>
    <w:rsid w:val="00AC19F8"/>
    <w:rsid w:val="00AC1C3A"/>
    <w:rsid w:val="00AC1D18"/>
    <w:rsid w:val="00AC1D7C"/>
    <w:rsid w:val="00AC1EC2"/>
    <w:rsid w:val="00AC1EFD"/>
    <w:rsid w:val="00AC1F06"/>
    <w:rsid w:val="00AC20FB"/>
    <w:rsid w:val="00AC2253"/>
    <w:rsid w:val="00AC24AE"/>
    <w:rsid w:val="00AC2589"/>
    <w:rsid w:val="00AC259F"/>
    <w:rsid w:val="00AC260C"/>
    <w:rsid w:val="00AC2687"/>
    <w:rsid w:val="00AC2798"/>
    <w:rsid w:val="00AC2845"/>
    <w:rsid w:val="00AC2958"/>
    <w:rsid w:val="00AC2979"/>
    <w:rsid w:val="00AC29E1"/>
    <w:rsid w:val="00AC2A33"/>
    <w:rsid w:val="00AC2B87"/>
    <w:rsid w:val="00AC2C38"/>
    <w:rsid w:val="00AC2C74"/>
    <w:rsid w:val="00AC2DDF"/>
    <w:rsid w:val="00AC2ED4"/>
    <w:rsid w:val="00AC2F58"/>
    <w:rsid w:val="00AC312E"/>
    <w:rsid w:val="00AC31FF"/>
    <w:rsid w:val="00AC3391"/>
    <w:rsid w:val="00AC33EB"/>
    <w:rsid w:val="00AC348E"/>
    <w:rsid w:val="00AC35AB"/>
    <w:rsid w:val="00AC377E"/>
    <w:rsid w:val="00AC3893"/>
    <w:rsid w:val="00AC38CA"/>
    <w:rsid w:val="00AC3B6E"/>
    <w:rsid w:val="00AC3C20"/>
    <w:rsid w:val="00AC3EC9"/>
    <w:rsid w:val="00AC4163"/>
    <w:rsid w:val="00AC4171"/>
    <w:rsid w:val="00AC4259"/>
    <w:rsid w:val="00AC433E"/>
    <w:rsid w:val="00AC4352"/>
    <w:rsid w:val="00AC4378"/>
    <w:rsid w:val="00AC43A8"/>
    <w:rsid w:val="00AC44B1"/>
    <w:rsid w:val="00AC4517"/>
    <w:rsid w:val="00AC454E"/>
    <w:rsid w:val="00AC49EE"/>
    <w:rsid w:val="00AC4A41"/>
    <w:rsid w:val="00AC4C03"/>
    <w:rsid w:val="00AC4CC5"/>
    <w:rsid w:val="00AC4DEE"/>
    <w:rsid w:val="00AC4EEA"/>
    <w:rsid w:val="00AC4FB7"/>
    <w:rsid w:val="00AC5054"/>
    <w:rsid w:val="00AC5135"/>
    <w:rsid w:val="00AC52E4"/>
    <w:rsid w:val="00AC53CD"/>
    <w:rsid w:val="00AC5481"/>
    <w:rsid w:val="00AC55E9"/>
    <w:rsid w:val="00AC56E0"/>
    <w:rsid w:val="00AC5892"/>
    <w:rsid w:val="00AC5A10"/>
    <w:rsid w:val="00AC5A37"/>
    <w:rsid w:val="00AC5A6A"/>
    <w:rsid w:val="00AC5AE5"/>
    <w:rsid w:val="00AC5C80"/>
    <w:rsid w:val="00AC5CCF"/>
    <w:rsid w:val="00AC5CDC"/>
    <w:rsid w:val="00AC5E2C"/>
    <w:rsid w:val="00AC5E82"/>
    <w:rsid w:val="00AC5EDE"/>
    <w:rsid w:val="00AC5FB9"/>
    <w:rsid w:val="00AC600E"/>
    <w:rsid w:val="00AC6021"/>
    <w:rsid w:val="00AC6073"/>
    <w:rsid w:val="00AC6099"/>
    <w:rsid w:val="00AC60F5"/>
    <w:rsid w:val="00AC63FD"/>
    <w:rsid w:val="00AC64EF"/>
    <w:rsid w:val="00AC654E"/>
    <w:rsid w:val="00AC6571"/>
    <w:rsid w:val="00AC65E6"/>
    <w:rsid w:val="00AC684A"/>
    <w:rsid w:val="00AC686F"/>
    <w:rsid w:val="00AC6A2E"/>
    <w:rsid w:val="00AC6B34"/>
    <w:rsid w:val="00AC6B57"/>
    <w:rsid w:val="00AC6EE4"/>
    <w:rsid w:val="00AC70FA"/>
    <w:rsid w:val="00AC71DA"/>
    <w:rsid w:val="00AC72D3"/>
    <w:rsid w:val="00AC7304"/>
    <w:rsid w:val="00AC7511"/>
    <w:rsid w:val="00AC75CE"/>
    <w:rsid w:val="00AC75D2"/>
    <w:rsid w:val="00AC7820"/>
    <w:rsid w:val="00AC782D"/>
    <w:rsid w:val="00AC7A79"/>
    <w:rsid w:val="00AC7C86"/>
    <w:rsid w:val="00AC7D5F"/>
    <w:rsid w:val="00AC7D60"/>
    <w:rsid w:val="00AC7DE3"/>
    <w:rsid w:val="00AC7E34"/>
    <w:rsid w:val="00AC7E50"/>
    <w:rsid w:val="00AC7ED4"/>
    <w:rsid w:val="00AC7F50"/>
    <w:rsid w:val="00AD0103"/>
    <w:rsid w:val="00AD02B2"/>
    <w:rsid w:val="00AD03BC"/>
    <w:rsid w:val="00AD0419"/>
    <w:rsid w:val="00AD0435"/>
    <w:rsid w:val="00AD0474"/>
    <w:rsid w:val="00AD0534"/>
    <w:rsid w:val="00AD06FB"/>
    <w:rsid w:val="00AD07F8"/>
    <w:rsid w:val="00AD0829"/>
    <w:rsid w:val="00AD0A5F"/>
    <w:rsid w:val="00AD0AE1"/>
    <w:rsid w:val="00AD0B72"/>
    <w:rsid w:val="00AD0C3B"/>
    <w:rsid w:val="00AD0F06"/>
    <w:rsid w:val="00AD0FD1"/>
    <w:rsid w:val="00AD1087"/>
    <w:rsid w:val="00AD1139"/>
    <w:rsid w:val="00AD115B"/>
    <w:rsid w:val="00AD11A5"/>
    <w:rsid w:val="00AD1448"/>
    <w:rsid w:val="00AD1472"/>
    <w:rsid w:val="00AD1570"/>
    <w:rsid w:val="00AD15D2"/>
    <w:rsid w:val="00AD170F"/>
    <w:rsid w:val="00AD176F"/>
    <w:rsid w:val="00AD17AB"/>
    <w:rsid w:val="00AD17F7"/>
    <w:rsid w:val="00AD188B"/>
    <w:rsid w:val="00AD1893"/>
    <w:rsid w:val="00AD1C79"/>
    <w:rsid w:val="00AD1CD6"/>
    <w:rsid w:val="00AD1CEB"/>
    <w:rsid w:val="00AD1E46"/>
    <w:rsid w:val="00AD205B"/>
    <w:rsid w:val="00AD206F"/>
    <w:rsid w:val="00AD2108"/>
    <w:rsid w:val="00AD2238"/>
    <w:rsid w:val="00AD22AD"/>
    <w:rsid w:val="00AD22B3"/>
    <w:rsid w:val="00AD22DF"/>
    <w:rsid w:val="00AD2AED"/>
    <w:rsid w:val="00AD2B47"/>
    <w:rsid w:val="00AD2D96"/>
    <w:rsid w:val="00AD2DC9"/>
    <w:rsid w:val="00AD2E55"/>
    <w:rsid w:val="00AD2F60"/>
    <w:rsid w:val="00AD30FF"/>
    <w:rsid w:val="00AD3397"/>
    <w:rsid w:val="00AD3442"/>
    <w:rsid w:val="00AD34EE"/>
    <w:rsid w:val="00AD3501"/>
    <w:rsid w:val="00AD360A"/>
    <w:rsid w:val="00AD3708"/>
    <w:rsid w:val="00AD37D2"/>
    <w:rsid w:val="00AD38FA"/>
    <w:rsid w:val="00AD38FB"/>
    <w:rsid w:val="00AD3B17"/>
    <w:rsid w:val="00AD3C33"/>
    <w:rsid w:val="00AD3CC9"/>
    <w:rsid w:val="00AD3D90"/>
    <w:rsid w:val="00AD3DAE"/>
    <w:rsid w:val="00AD3E21"/>
    <w:rsid w:val="00AD3E5B"/>
    <w:rsid w:val="00AD3E75"/>
    <w:rsid w:val="00AD3E7C"/>
    <w:rsid w:val="00AD4017"/>
    <w:rsid w:val="00AD423E"/>
    <w:rsid w:val="00AD447C"/>
    <w:rsid w:val="00AD450C"/>
    <w:rsid w:val="00AD4540"/>
    <w:rsid w:val="00AD4549"/>
    <w:rsid w:val="00AD45BD"/>
    <w:rsid w:val="00AD4750"/>
    <w:rsid w:val="00AD47FF"/>
    <w:rsid w:val="00AD4906"/>
    <w:rsid w:val="00AD494E"/>
    <w:rsid w:val="00AD4ADC"/>
    <w:rsid w:val="00AD4BD4"/>
    <w:rsid w:val="00AD4BE2"/>
    <w:rsid w:val="00AD4C54"/>
    <w:rsid w:val="00AD4D90"/>
    <w:rsid w:val="00AD4EC6"/>
    <w:rsid w:val="00AD508A"/>
    <w:rsid w:val="00AD510C"/>
    <w:rsid w:val="00AD5396"/>
    <w:rsid w:val="00AD56F6"/>
    <w:rsid w:val="00AD5710"/>
    <w:rsid w:val="00AD581E"/>
    <w:rsid w:val="00AD5AEE"/>
    <w:rsid w:val="00AD5B56"/>
    <w:rsid w:val="00AD5BAC"/>
    <w:rsid w:val="00AD5C43"/>
    <w:rsid w:val="00AD5CB2"/>
    <w:rsid w:val="00AD5E9B"/>
    <w:rsid w:val="00AD60FA"/>
    <w:rsid w:val="00AD6123"/>
    <w:rsid w:val="00AD636E"/>
    <w:rsid w:val="00AD6408"/>
    <w:rsid w:val="00AD6558"/>
    <w:rsid w:val="00AD6658"/>
    <w:rsid w:val="00AD68C3"/>
    <w:rsid w:val="00AD6C54"/>
    <w:rsid w:val="00AD6CF2"/>
    <w:rsid w:val="00AD6E29"/>
    <w:rsid w:val="00AD6F81"/>
    <w:rsid w:val="00AD7162"/>
    <w:rsid w:val="00AD7224"/>
    <w:rsid w:val="00AD7272"/>
    <w:rsid w:val="00AD7274"/>
    <w:rsid w:val="00AD7299"/>
    <w:rsid w:val="00AD73D7"/>
    <w:rsid w:val="00AD73E1"/>
    <w:rsid w:val="00AD74A9"/>
    <w:rsid w:val="00AD7629"/>
    <w:rsid w:val="00AD7696"/>
    <w:rsid w:val="00AD79B1"/>
    <w:rsid w:val="00AD7AFE"/>
    <w:rsid w:val="00AD7C03"/>
    <w:rsid w:val="00AD7C7B"/>
    <w:rsid w:val="00AD7CCE"/>
    <w:rsid w:val="00AE00F2"/>
    <w:rsid w:val="00AE0179"/>
    <w:rsid w:val="00AE017F"/>
    <w:rsid w:val="00AE03A8"/>
    <w:rsid w:val="00AE03D8"/>
    <w:rsid w:val="00AE06E1"/>
    <w:rsid w:val="00AE0728"/>
    <w:rsid w:val="00AE0843"/>
    <w:rsid w:val="00AE0929"/>
    <w:rsid w:val="00AE092A"/>
    <w:rsid w:val="00AE0A5C"/>
    <w:rsid w:val="00AE0BE3"/>
    <w:rsid w:val="00AE0BEC"/>
    <w:rsid w:val="00AE0C5B"/>
    <w:rsid w:val="00AE0CF2"/>
    <w:rsid w:val="00AE0F22"/>
    <w:rsid w:val="00AE105E"/>
    <w:rsid w:val="00AE10BF"/>
    <w:rsid w:val="00AE11F7"/>
    <w:rsid w:val="00AE12B1"/>
    <w:rsid w:val="00AE1386"/>
    <w:rsid w:val="00AE145E"/>
    <w:rsid w:val="00AE1548"/>
    <w:rsid w:val="00AE154C"/>
    <w:rsid w:val="00AE15EF"/>
    <w:rsid w:val="00AE1751"/>
    <w:rsid w:val="00AE1AAF"/>
    <w:rsid w:val="00AE1B03"/>
    <w:rsid w:val="00AE1BFF"/>
    <w:rsid w:val="00AE1D4E"/>
    <w:rsid w:val="00AE1DE6"/>
    <w:rsid w:val="00AE1F22"/>
    <w:rsid w:val="00AE20CB"/>
    <w:rsid w:val="00AE21CD"/>
    <w:rsid w:val="00AE23FB"/>
    <w:rsid w:val="00AE243A"/>
    <w:rsid w:val="00AE253E"/>
    <w:rsid w:val="00AE272D"/>
    <w:rsid w:val="00AE2736"/>
    <w:rsid w:val="00AE2A1F"/>
    <w:rsid w:val="00AE2B1F"/>
    <w:rsid w:val="00AE2CFB"/>
    <w:rsid w:val="00AE2CFE"/>
    <w:rsid w:val="00AE2DD6"/>
    <w:rsid w:val="00AE2E84"/>
    <w:rsid w:val="00AE2EF9"/>
    <w:rsid w:val="00AE2F6B"/>
    <w:rsid w:val="00AE2F90"/>
    <w:rsid w:val="00AE3003"/>
    <w:rsid w:val="00AE3178"/>
    <w:rsid w:val="00AE31D3"/>
    <w:rsid w:val="00AE32A9"/>
    <w:rsid w:val="00AE332C"/>
    <w:rsid w:val="00AE3465"/>
    <w:rsid w:val="00AE357D"/>
    <w:rsid w:val="00AE35E4"/>
    <w:rsid w:val="00AE3AF4"/>
    <w:rsid w:val="00AE3AFA"/>
    <w:rsid w:val="00AE3C82"/>
    <w:rsid w:val="00AE3E04"/>
    <w:rsid w:val="00AE3E57"/>
    <w:rsid w:val="00AE3F77"/>
    <w:rsid w:val="00AE40F8"/>
    <w:rsid w:val="00AE415B"/>
    <w:rsid w:val="00AE426E"/>
    <w:rsid w:val="00AE42D6"/>
    <w:rsid w:val="00AE467F"/>
    <w:rsid w:val="00AE4882"/>
    <w:rsid w:val="00AE490C"/>
    <w:rsid w:val="00AE4996"/>
    <w:rsid w:val="00AE49AE"/>
    <w:rsid w:val="00AE4A31"/>
    <w:rsid w:val="00AE4B45"/>
    <w:rsid w:val="00AE4B62"/>
    <w:rsid w:val="00AE4DA0"/>
    <w:rsid w:val="00AE4E35"/>
    <w:rsid w:val="00AE4E36"/>
    <w:rsid w:val="00AE4FCF"/>
    <w:rsid w:val="00AE507F"/>
    <w:rsid w:val="00AE5120"/>
    <w:rsid w:val="00AE5214"/>
    <w:rsid w:val="00AE52BD"/>
    <w:rsid w:val="00AE52E6"/>
    <w:rsid w:val="00AE54DB"/>
    <w:rsid w:val="00AE54F8"/>
    <w:rsid w:val="00AE5554"/>
    <w:rsid w:val="00AE556D"/>
    <w:rsid w:val="00AE556F"/>
    <w:rsid w:val="00AE579A"/>
    <w:rsid w:val="00AE5846"/>
    <w:rsid w:val="00AE5862"/>
    <w:rsid w:val="00AE5922"/>
    <w:rsid w:val="00AE5937"/>
    <w:rsid w:val="00AE5A3B"/>
    <w:rsid w:val="00AE5D41"/>
    <w:rsid w:val="00AE617F"/>
    <w:rsid w:val="00AE624D"/>
    <w:rsid w:val="00AE62C7"/>
    <w:rsid w:val="00AE6384"/>
    <w:rsid w:val="00AE640B"/>
    <w:rsid w:val="00AE65D6"/>
    <w:rsid w:val="00AE6626"/>
    <w:rsid w:val="00AE668E"/>
    <w:rsid w:val="00AE6853"/>
    <w:rsid w:val="00AE68AE"/>
    <w:rsid w:val="00AE6BFC"/>
    <w:rsid w:val="00AE6D4B"/>
    <w:rsid w:val="00AE711C"/>
    <w:rsid w:val="00AE7196"/>
    <w:rsid w:val="00AE71C7"/>
    <w:rsid w:val="00AE71D7"/>
    <w:rsid w:val="00AE74A3"/>
    <w:rsid w:val="00AE757B"/>
    <w:rsid w:val="00AE761C"/>
    <w:rsid w:val="00AE7633"/>
    <w:rsid w:val="00AE79D0"/>
    <w:rsid w:val="00AE7B1B"/>
    <w:rsid w:val="00AE7D59"/>
    <w:rsid w:val="00AE7DD8"/>
    <w:rsid w:val="00AE7DFB"/>
    <w:rsid w:val="00AE7E20"/>
    <w:rsid w:val="00AE7EA4"/>
    <w:rsid w:val="00AF00FA"/>
    <w:rsid w:val="00AF0124"/>
    <w:rsid w:val="00AF036A"/>
    <w:rsid w:val="00AF0496"/>
    <w:rsid w:val="00AF0535"/>
    <w:rsid w:val="00AF057C"/>
    <w:rsid w:val="00AF0651"/>
    <w:rsid w:val="00AF066A"/>
    <w:rsid w:val="00AF0706"/>
    <w:rsid w:val="00AF085F"/>
    <w:rsid w:val="00AF0C33"/>
    <w:rsid w:val="00AF0E23"/>
    <w:rsid w:val="00AF0E26"/>
    <w:rsid w:val="00AF0E4F"/>
    <w:rsid w:val="00AF0EF0"/>
    <w:rsid w:val="00AF0F06"/>
    <w:rsid w:val="00AF0F37"/>
    <w:rsid w:val="00AF1119"/>
    <w:rsid w:val="00AF1169"/>
    <w:rsid w:val="00AF1252"/>
    <w:rsid w:val="00AF12D0"/>
    <w:rsid w:val="00AF1333"/>
    <w:rsid w:val="00AF135A"/>
    <w:rsid w:val="00AF16BB"/>
    <w:rsid w:val="00AF16C9"/>
    <w:rsid w:val="00AF16EB"/>
    <w:rsid w:val="00AF1A62"/>
    <w:rsid w:val="00AF1A6C"/>
    <w:rsid w:val="00AF1C42"/>
    <w:rsid w:val="00AF1C51"/>
    <w:rsid w:val="00AF1C68"/>
    <w:rsid w:val="00AF1CCC"/>
    <w:rsid w:val="00AF1CD1"/>
    <w:rsid w:val="00AF1D8E"/>
    <w:rsid w:val="00AF1FAE"/>
    <w:rsid w:val="00AF1FEA"/>
    <w:rsid w:val="00AF2088"/>
    <w:rsid w:val="00AF20D1"/>
    <w:rsid w:val="00AF2311"/>
    <w:rsid w:val="00AF2315"/>
    <w:rsid w:val="00AF2393"/>
    <w:rsid w:val="00AF2482"/>
    <w:rsid w:val="00AF25B2"/>
    <w:rsid w:val="00AF2758"/>
    <w:rsid w:val="00AF275D"/>
    <w:rsid w:val="00AF292C"/>
    <w:rsid w:val="00AF2A6C"/>
    <w:rsid w:val="00AF2AAB"/>
    <w:rsid w:val="00AF2ABF"/>
    <w:rsid w:val="00AF2B48"/>
    <w:rsid w:val="00AF2C65"/>
    <w:rsid w:val="00AF2DC8"/>
    <w:rsid w:val="00AF2EB0"/>
    <w:rsid w:val="00AF2F17"/>
    <w:rsid w:val="00AF2F19"/>
    <w:rsid w:val="00AF2F23"/>
    <w:rsid w:val="00AF2F70"/>
    <w:rsid w:val="00AF3237"/>
    <w:rsid w:val="00AF34E8"/>
    <w:rsid w:val="00AF354D"/>
    <w:rsid w:val="00AF38A4"/>
    <w:rsid w:val="00AF3904"/>
    <w:rsid w:val="00AF390E"/>
    <w:rsid w:val="00AF393F"/>
    <w:rsid w:val="00AF3980"/>
    <w:rsid w:val="00AF3A58"/>
    <w:rsid w:val="00AF3B1F"/>
    <w:rsid w:val="00AF3BE7"/>
    <w:rsid w:val="00AF3D1D"/>
    <w:rsid w:val="00AF3D24"/>
    <w:rsid w:val="00AF3D79"/>
    <w:rsid w:val="00AF3D7F"/>
    <w:rsid w:val="00AF3EA5"/>
    <w:rsid w:val="00AF410A"/>
    <w:rsid w:val="00AF4164"/>
    <w:rsid w:val="00AF422D"/>
    <w:rsid w:val="00AF42B4"/>
    <w:rsid w:val="00AF437D"/>
    <w:rsid w:val="00AF43AB"/>
    <w:rsid w:val="00AF4549"/>
    <w:rsid w:val="00AF469D"/>
    <w:rsid w:val="00AF46D3"/>
    <w:rsid w:val="00AF484F"/>
    <w:rsid w:val="00AF49DA"/>
    <w:rsid w:val="00AF49FA"/>
    <w:rsid w:val="00AF4A02"/>
    <w:rsid w:val="00AF4ACC"/>
    <w:rsid w:val="00AF4CB4"/>
    <w:rsid w:val="00AF4D68"/>
    <w:rsid w:val="00AF4D85"/>
    <w:rsid w:val="00AF4E4F"/>
    <w:rsid w:val="00AF4F97"/>
    <w:rsid w:val="00AF5044"/>
    <w:rsid w:val="00AF507A"/>
    <w:rsid w:val="00AF5102"/>
    <w:rsid w:val="00AF5170"/>
    <w:rsid w:val="00AF51FB"/>
    <w:rsid w:val="00AF5226"/>
    <w:rsid w:val="00AF5285"/>
    <w:rsid w:val="00AF550A"/>
    <w:rsid w:val="00AF557C"/>
    <w:rsid w:val="00AF59A5"/>
    <w:rsid w:val="00AF5B5C"/>
    <w:rsid w:val="00AF5C1D"/>
    <w:rsid w:val="00AF5DDA"/>
    <w:rsid w:val="00AF5E8E"/>
    <w:rsid w:val="00AF5F7D"/>
    <w:rsid w:val="00AF6033"/>
    <w:rsid w:val="00AF6098"/>
    <w:rsid w:val="00AF617B"/>
    <w:rsid w:val="00AF62A4"/>
    <w:rsid w:val="00AF62F5"/>
    <w:rsid w:val="00AF6482"/>
    <w:rsid w:val="00AF64B8"/>
    <w:rsid w:val="00AF6729"/>
    <w:rsid w:val="00AF6806"/>
    <w:rsid w:val="00AF683B"/>
    <w:rsid w:val="00AF6889"/>
    <w:rsid w:val="00AF6915"/>
    <w:rsid w:val="00AF6ABC"/>
    <w:rsid w:val="00AF6B9C"/>
    <w:rsid w:val="00AF6C19"/>
    <w:rsid w:val="00AF6CB8"/>
    <w:rsid w:val="00AF6CD5"/>
    <w:rsid w:val="00AF6CEC"/>
    <w:rsid w:val="00AF6DD4"/>
    <w:rsid w:val="00AF6E2E"/>
    <w:rsid w:val="00AF6E56"/>
    <w:rsid w:val="00AF6EE3"/>
    <w:rsid w:val="00AF6EF2"/>
    <w:rsid w:val="00AF6F1F"/>
    <w:rsid w:val="00AF6F6A"/>
    <w:rsid w:val="00AF6FDB"/>
    <w:rsid w:val="00AF7173"/>
    <w:rsid w:val="00AF74CB"/>
    <w:rsid w:val="00AF753B"/>
    <w:rsid w:val="00AF76BE"/>
    <w:rsid w:val="00AF7704"/>
    <w:rsid w:val="00AF7740"/>
    <w:rsid w:val="00AF7782"/>
    <w:rsid w:val="00AF77F3"/>
    <w:rsid w:val="00AF78A3"/>
    <w:rsid w:val="00AF78AD"/>
    <w:rsid w:val="00AF7AFB"/>
    <w:rsid w:val="00AF7FCC"/>
    <w:rsid w:val="00B00018"/>
    <w:rsid w:val="00B001D8"/>
    <w:rsid w:val="00B0024D"/>
    <w:rsid w:val="00B0038A"/>
    <w:rsid w:val="00B004A2"/>
    <w:rsid w:val="00B005C6"/>
    <w:rsid w:val="00B00866"/>
    <w:rsid w:val="00B0094E"/>
    <w:rsid w:val="00B0098A"/>
    <w:rsid w:val="00B00A07"/>
    <w:rsid w:val="00B00A71"/>
    <w:rsid w:val="00B00C36"/>
    <w:rsid w:val="00B00E74"/>
    <w:rsid w:val="00B00E89"/>
    <w:rsid w:val="00B00EE2"/>
    <w:rsid w:val="00B00F30"/>
    <w:rsid w:val="00B00F5E"/>
    <w:rsid w:val="00B00FEB"/>
    <w:rsid w:val="00B01128"/>
    <w:rsid w:val="00B0120B"/>
    <w:rsid w:val="00B0129E"/>
    <w:rsid w:val="00B012D2"/>
    <w:rsid w:val="00B012DB"/>
    <w:rsid w:val="00B012F0"/>
    <w:rsid w:val="00B0130B"/>
    <w:rsid w:val="00B01368"/>
    <w:rsid w:val="00B01691"/>
    <w:rsid w:val="00B017F1"/>
    <w:rsid w:val="00B01830"/>
    <w:rsid w:val="00B01AA3"/>
    <w:rsid w:val="00B01B30"/>
    <w:rsid w:val="00B01B9B"/>
    <w:rsid w:val="00B01F32"/>
    <w:rsid w:val="00B01FA1"/>
    <w:rsid w:val="00B023D1"/>
    <w:rsid w:val="00B024C7"/>
    <w:rsid w:val="00B02602"/>
    <w:rsid w:val="00B0264D"/>
    <w:rsid w:val="00B02873"/>
    <w:rsid w:val="00B0291A"/>
    <w:rsid w:val="00B02934"/>
    <w:rsid w:val="00B029FD"/>
    <w:rsid w:val="00B02A13"/>
    <w:rsid w:val="00B02C13"/>
    <w:rsid w:val="00B02C2D"/>
    <w:rsid w:val="00B02D12"/>
    <w:rsid w:val="00B02D6A"/>
    <w:rsid w:val="00B02D71"/>
    <w:rsid w:val="00B02E5E"/>
    <w:rsid w:val="00B02ECE"/>
    <w:rsid w:val="00B02FAA"/>
    <w:rsid w:val="00B03012"/>
    <w:rsid w:val="00B031F8"/>
    <w:rsid w:val="00B0325A"/>
    <w:rsid w:val="00B032BF"/>
    <w:rsid w:val="00B03345"/>
    <w:rsid w:val="00B033AD"/>
    <w:rsid w:val="00B034C0"/>
    <w:rsid w:val="00B03837"/>
    <w:rsid w:val="00B038FA"/>
    <w:rsid w:val="00B03985"/>
    <w:rsid w:val="00B03A3C"/>
    <w:rsid w:val="00B03A54"/>
    <w:rsid w:val="00B03BC6"/>
    <w:rsid w:val="00B03BE6"/>
    <w:rsid w:val="00B03C9B"/>
    <w:rsid w:val="00B03E1C"/>
    <w:rsid w:val="00B03EB9"/>
    <w:rsid w:val="00B03FBB"/>
    <w:rsid w:val="00B03FDA"/>
    <w:rsid w:val="00B0450E"/>
    <w:rsid w:val="00B04533"/>
    <w:rsid w:val="00B048B4"/>
    <w:rsid w:val="00B048E0"/>
    <w:rsid w:val="00B0492C"/>
    <w:rsid w:val="00B04B39"/>
    <w:rsid w:val="00B04C0E"/>
    <w:rsid w:val="00B04EA3"/>
    <w:rsid w:val="00B05001"/>
    <w:rsid w:val="00B05142"/>
    <w:rsid w:val="00B05180"/>
    <w:rsid w:val="00B05255"/>
    <w:rsid w:val="00B052F4"/>
    <w:rsid w:val="00B053DF"/>
    <w:rsid w:val="00B053E9"/>
    <w:rsid w:val="00B05556"/>
    <w:rsid w:val="00B055AF"/>
    <w:rsid w:val="00B055FA"/>
    <w:rsid w:val="00B0562C"/>
    <w:rsid w:val="00B0565E"/>
    <w:rsid w:val="00B05929"/>
    <w:rsid w:val="00B05A60"/>
    <w:rsid w:val="00B05AAD"/>
    <w:rsid w:val="00B05AB9"/>
    <w:rsid w:val="00B05E84"/>
    <w:rsid w:val="00B05FD0"/>
    <w:rsid w:val="00B0604E"/>
    <w:rsid w:val="00B06388"/>
    <w:rsid w:val="00B06401"/>
    <w:rsid w:val="00B064FB"/>
    <w:rsid w:val="00B06525"/>
    <w:rsid w:val="00B06AD4"/>
    <w:rsid w:val="00B06B1E"/>
    <w:rsid w:val="00B06B2C"/>
    <w:rsid w:val="00B06BFB"/>
    <w:rsid w:val="00B06C91"/>
    <w:rsid w:val="00B06E63"/>
    <w:rsid w:val="00B071B8"/>
    <w:rsid w:val="00B07229"/>
    <w:rsid w:val="00B072FF"/>
    <w:rsid w:val="00B073E5"/>
    <w:rsid w:val="00B07552"/>
    <w:rsid w:val="00B07694"/>
    <w:rsid w:val="00B0769B"/>
    <w:rsid w:val="00B076D4"/>
    <w:rsid w:val="00B077D5"/>
    <w:rsid w:val="00B07853"/>
    <w:rsid w:val="00B07857"/>
    <w:rsid w:val="00B078C8"/>
    <w:rsid w:val="00B079CE"/>
    <w:rsid w:val="00B079FC"/>
    <w:rsid w:val="00B07A89"/>
    <w:rsid w:val="00B07ABC"/>
    <w:rsid w:val="00B07AC7"/>
    <w:rsid w:val="00B07C53"/>
    <w:rsid w:val="00B07C9B"/>
    <w:rsid w:val="00B07CD4"/>
    <w:rsid w:val="00B07DE9"/>
    <w:rsid w:val="00B07EA3"/>
    <w:rsid w:val="00B100C3"/>
    <w:rsid w:val="00B10206"/>
    <w:rsid w:val="00B10238"/>
    <w:rsid w:val="00B10267"/>
    <w:rsid w:val="00B1026F"/>
    <w:rsid w:val="00B102C5"/>
    <w:rsid w:val="00B10309"/>
    <w:rsid w:val="00B10316"/>
    <w:rsid w:val="00B103AB"/>
    <w:rsid w:val="00B10411"/>
    <w:rsid w:val="00B10503"/>
    <w:rsid w:val="00B1053F"/>
    <w:rsid w:val="00B10854"/>
    <w:rsid w:val="00B109DB"/>
    <w:rsid w:val="00B10ABC"/>
    <w:rsid w:val="00B10BD6"/>
    <w:rsid w:val="00B10CDB"/>
    <w:rsid w:val="00B10D3F"/>
    <w:rsid w:val="00B10DD5"/>
    <w:rsid w:val="00B10E29"/>
    <w:rsid w:val="00B10EEC"/>
    <w:rsid w:val="00B10F3C"/>
    <w:rsid w:val="00B11230"/>
    <w:rsid w:val="00B112C1"/>
    <w:rsid w:val="00B112D9"/>
    <w:rsid w:val="00B11448"/>
    <w:rsid w:val="00B11505"/>
    <w:rsid w:val="00B11624"/>
    <w:rsid w:val="00B1187F"/>
    <w:rsid w:val="00B11AB5"/>
    <w:rsid w:val="00B11ABA"/>
    <w:rsid w:val="00B11B63"/>
    <w:rsid w:val="00B11C25"/>
    <w:rsid w:val="00B11DEA"/>
    <w:rsid w:val="00B1204B"/>
    <w:rsid w:val="00B122CA"/>
    <w:rsid w:val="00B12312"/>
    <w:rsid w:val="00B123E9"/>
    <w:rsid w:val="00B123FB"/>
    <w:rsid w:val="00B1250D"/>
    <w:rsid w:val="00B1257D"/>
    <w:rsid w:val="00B125BA"/>
    <w:rsid w:val="00B126C7"/>
    <w:rsid w:val="00B12847"/>
    <w:rsid w:val="00B12858"/>
    <w:rsid w:val="00B128D5"/>
    <w:rsid w:val="00B12B5E"/>
    <w:rsid w:val="00B12EFF"/>
    <w:rsid w:val="00B1303D"/>
    <w:rsid w:val="00B13224"/>
    <w:rsid w:val="00B132AA"/>
    <w:rsid w:val="00B132D8"/>
    <w:rsid w:val="00B134C2"/>
    <w:rsid w:val="00B1352A"/>
    <w:rsid w:val="00B13542"/>
    <w:rsid w:val="00B13B96"/>
    <w:rsid w:val="00B13C32"/>
    <w:rsid w:val="00B13C5B"/>
    <w:rsid w:val="00B13CBF"/>
    <w:rsid w:val="00B13D74"/>
    <w:rsid w:val="00B13FC5"/>
    <w:rsid w:val="00B13FE1"/>
    <w:rsid w:val="00B141DF"/>
    <w:rsid w:val="00B14303"/>
    <w:rsid w:val="00B1443C"/>
    <w:rsid w:val="00B1444B"/>
    <w:rsid w:val="00B14704"/>
    <w:rsid w:val="00B1477E"/>
    <w:rsid w:val="00B147BE"/>
    <w:rsid w:val="00B147E3"/>
    <w:rsid w:val="00B14807"/>
    <w:rsid w:val="00B14878"/>
    <w:rsid w:val="00B14964"/>
    <w:rsid w:val="00B14AEE"/>
    <w:rsid w:val="00B14C1A"/>
    <w:rsid w:val="00B14D38"/>
    <w:rsid w:val="00B14D91"/>
    <w:rsid w:val="00B14FC9"/>
    <w:rsid w:val="00B1516A"/>
    <w:rsid w:val="00B15185"/>
    <w:rsid w:val="00B1531F"/>
    <w:rsid w:val="00B15406"/>
    <w:rsid w:val="00B15527"/>
    <w:rsid w:val="00B1564F"/>
    <w:rsid w:val="00B15671"/>
    <w:rsid w:val="00B156A6"/>
    <w:rsid w:val="00B1587F"/>
    <w:rsid w:val="00B1593F"/>
    <w:rsid w:val="00B15B37"/>
    <w:rsid w:val="00B15C4E"/>
    <w:rsid w:val="00B15CB0"/>
    <w:rsid w:val="00B15F76"/>
    <w:rsid w:val="00B16255"/>
    <w:rsid w:val="00B162D4"/>
    <w:rsid w:val="00B163B3"/>
    <w:rsid w:val="00B1646C"/>
    <w:rsid w:val="00B16519"/>
    <w:rsid w:val="00B16651"/>
    <w:rsid w:val="00B166D0"/>
    <w:rsid w:val="00B166EF"/>
    <w:rsid w:val="00B16915"/>
    <w:rsid w:val="00B16953"/>
    <w:rsid w:val="00B16F83"/>
    <w:rsid w:val="00B17037"/>
    <w:rsid w:val="00B17159"/>
    <w:rsid w:val="00B17217"/>
    <w:rsid w:val="00B17531"/>
    <w:rsid w:val="00B175EB"/>
    <w:rsid w:val="00B179CC"/>
    <w:rsid w:val="00B17A15"/>
    <w:rsid w:val="00B17A45"/>
    <w:rsid w:val="00B17B1E"/>
    <w:rsid w:val="00B17B91"/>
    <w:rsid w:val="00B17C41"/>
    <w:rsid w:val="00B17CA6"/>
    <w:rsid w:val="00B17D19"/>
    <w:rsid w:val="00B17D4C"/>
    <w:rsid w:val="00B200D9"/>
    <w:rsid w:val="00B2015F"/>
    <w:rsid w:val="00B20172"/>
    <w:rsid w:val="00B201A0"/>
    <w:rsid w:val="00B20380"/>
    <w:rsid w:val="00B20397"/>
    <w:rsid w:val="00B20509"/>
    <w:rsid w:val="00B208DF"/>
    <w:rsid w:val="00B20CBC"/>
    <w:rsid w:val="00B20DF0"/>
    <w:rsid w:val="00B20DF7"/>
    <w:rsid w:val="00B20E52"/>
    <w:rsid w:val="00B21141"/>
    <w:rsid w:val="00B21145"/>
    <w:rsid w:val="00B21160"/>
    <w:rsid w:val="00B2139E"/>
    <w:rsid w:val="00B213ED"/>
    <w:rsid w:val="00B2148F"/>
    <w:rsid w:val="00B215D4"/>
    <w:rsid w:val="00B216F6"/>
    <w:rsid w:val="00B2185C"/>
    <w:rsid w:val="00B21A43"/>
    <w:rsid w:val="00B21A5C"/>
    <w:rsid w:val="00B21B1C"/>
    <w:rsid w:val="00B21D0E"/>
    <w:rsid w:val="00B21D50"/>
    <w:rsid w:val="00B21E5D"/>
    <w:rsid w:val="00B21FFE"/>
    <w:rsid w:val="00B2208B"/>
    <w:rsid w:val="00B222CB"/>
    <w:rsid w:val="00B222D7"/>
    <w:rsid w:val="00B223A0"/>
    <w:rsid w:val="00B2245C"/>
    <w:rsid w:val="00B224FB"/>
    <w:rsid w:val="00B225AB"/>
    <w:rsid w:val="00B225E8"/>
    <w:rsid w:val="00B225EB"/>
    <w:rsid w:val="00B2270D"/>
    <w:rsid w:val="00B227F7"/>
    <w:rsid w:val="00B22A01"/>
    <w:rsid w:val="00B22A52"/>
    <w:rsid w:val="00B22C25"/>
    <w:rsid w:val="00B22C49"/>
    <w:rsid w:val="00B22E76"/>
    <w:rsid w:val="00B22F09"/>
    <w:rsid w:val="00B23014"/>
    <w:rsid w:val="00B230D2"/>
    <w:rsid w:val="00B2314E"/>
    <w:rsid w:val="00B23155"/>
    <w:rsid w:val="00B2315D"/>
    <w:rsid w:val="00B23294"/>
    <w:rsid w:val="00B23520"/>
    <w:rsid w:val="00B235E6"/>
    <w:rsid w:val="00B235F4"/>
    <w:rsid w:val="00B23812"/>
    <w:rsid w:val="00B23B1A"/>
    <w:rsid w:val="00B23C84"/>
    <w:rsid w:val="00B23CFC"/>
    <w:rsid w:val="00B23E66"/>
    <w:rsid w:val="00B23F3A"/>
    <w:rsid w:val="00B23FAA"/>
    <w:rsid w:val="00B2426C"/>
    <w:rsid w:val="00B242E2"/>
    <w:rsid w:val="00B2437F"/>
    <w:rsid w:val="00B24431"/>
    <w:rsid w:val="00B2445E"/>
    <w:rsid w:val="00B245F6"/>
    <w:rsid w:val="00B2463F"/>
    <w:rsid w:val="00B247C8"/>
    <w:rsid w:val="00B2484D"/>
    <w:rsid w:val="00B24C8C"/>
    <w:rsid w:val="00B24D27"/>
    <w:rsid w:val="00B25237"/>
    <w:rsid w:val="00B2526D"/>
    <w:rsid w:val="00B252FC"/>
    <w:rsid w:val="00B25312"/>
    <w:rsid w:val="00B2538C"/>
    <w:rsid w:val="00B2553A"/>
    <w:rsid w:val="00B255A3"/>
    <w:rsid w:val="00B255DD"/>
    <w:rsid w:val="00B25709"/>
    <w:rsid w:val="00B25882"/>
    <w:rsid w:val="00B2594C"/>
    <w:rsid w:val="00B259BA"/>
    <w:rsid w:val="00B25A84"/>
    <w:rsid w:val="00B25B31"/>
    <w:rsid w:val="00B25B44"/>
    <w:rsid w:val="00B25B9A"/>
    <w:rsid w:val="00B25C18"/>
    <w:rsid w:val="00B25CC2"/>
    <w:rsid w:val="00B25D3E"/>
    <w:rsid w:val="00B25D5C"/>
    <w:rsid w:val="00B25F06"/>
    <w:rsid w:val="00B25F1B"/>
    <w:rsid w:val="00B261DF"/>
    <w:rsid w:val="00B264E7"/>
    <w:rsid w:val="00B2653A"/>
    <w:rsid w:val="00B26749"/>
    <w:rsid w:val="00B269AF"/>
    <w:rsid w:val="00B26B4D"/>
    <w:rsid w:val="00B26BC4"/>
    <w:rsid w:val="00B26CAC"/>
    <w:rsid w:val="00B26D7D"/>
    <w:rsid w:val="00B27084"/>
    <w:rsid w:val="00B2711C"/>
    <w:rsid w:val="00B272BF"/>
    <w:rsid w:val="00B272D5"/>
    <w:rsid w:val="00B272F6"/>
    <w:rsid w:val="00B272F8"/>
    <w:rsid w:val="00B2748E"/>
    <w:rsid w:val="00B27622"/>
    <w:rsid w:val="00B276D9"/>
    <w:rsid w:val="00B2781B"/>
    <w:rsid w:val="00B27B17"/>
    <w:rsid w:val="00B27FF2"/>
    <w:rsid w:val="00B3006B"/>
    <w:rsid w:val="00B300F9"/>
    <w:rsid w:val="00B3046C"/>
    <w:rsid w:val="00B305F6"/>
    <w:rsid w:val="00B306D3"/>
    <w:rsid w:val="00B307C1"/>
    <w:rsid w:val="00B307C7"/>
    <w:rsid w:val="00B307D1"/>
    <w:rsid w:val="00B30817"/>
    <w:rsid w:val="00B3090D"/>
    <w:rsid w:val="00B309F0"/>
    <w:rsid w:val="00B30A62"/>
    <w:rsid w:val="00B30BE9"/>
    <w:rsid w:val="00B30C49"/>
    <w:rsid w:val="00B30EC7"/>
    <w:rsid w:val="00B31009"/>
    <w:rsid w:val="00B3103D"/>
    <w:rsid w:val="00B310AE"/>
    <w:rsid w:val="00B310F1"/>
    <w:rsid w:val="00B3120B"/>
    <w:rsid w:val="00B3125C"/>
    <w:rsid w:val="00B3140F"/>
    <w:rsid w:val="00B3148F"/>
    <w:rsid w:val="00B3149D"/>
    <w:rsid w:val="00B3159D"/>
    <w:rsid w:val="00B315EB"/>
    <w:rsid w:val="00B3163F"/>
    <w:rsid w:val="00B318FF"/>
    <w:rsid w:val="00B31935"/>
    <w:rsid w:val="00B3195F"/>
    <w:rsid w:val="00B31AE5"/>
    <w:rsid w:val="00B31B51"/>
    <w:rsid w:val="00B31BDA"/>
    <w:rsid w:val="00B31C95"/>
    <w:rsid w:val="00B32027"/>
    <w:rsid w:val="00B32395"/>
    <w:rsid w:val="00B324CE"/>
    <w:rsid w:val="00B324E4"/>
    <w:rsid w:val="00B3285C"/>
    <w:rsid w:val="00B3289C"/>
    <w:rsid w:val="00B329EB"/>
    <w:rsid w:val="00B32A23"/>
    <w:rsid w:val="00B32A31"/>
    <w:rsid w:val="00B32A5C"/>
    <w:rsid w:val="00B32B0E"/>
    <w:rsid w:val="00B32B32"/>
    <w:rsid w:val="00B32F6F"/>
    <w:rsid w:val="00B330B1"/>
    <w:rsid w:val="00B330EF"/>
    <w:rsid w:val="00B33308"/>
    <w:rsid w:val="00B33418"/>
    <w:rsid w:val="00B33464"/>
    <w:rsid w:val="00B334A6"/>
    <w:rsid w:val="00B335AF"/>
    <w:rsid w:val="00B3385C"/>
    <w:rsid w:val="00B33A0E"/>
    <w:rsid w:val="00B33A79"/>
    <w:rsid w:val="00B33B46"/>
    <w:rsid w:val="00B33C66"/>
    <w:rsid w:val="00B33CBC"/>
    <w:rsid w:val="00B33E58"/>
    <w:rsid w:val="00B33F1A"/>
    <w:rsid w:val="00B33F2E"/>
    <w:rsid w:val="00B33F59"/>
    <w:rsid w:val="00B33F9C"/>
    <w:rsid w:val="00B340B4"/>
    <w:rsid w:val="00B340C6"/>
    <w:rsid w:val="00B3458C"/>
    <w:rsid w:val="00B34695"/>
    <w:rsid w:val="00B347BE"/>
    <w:rsid w:val="00B347F3"/>
    <w:rsid w:val="00B347F4"/>
    <w:rsid w:val="00B34836"/>
    <w:rsid w:val="00B349A5"/>
    <w:rsid w:val="00B34B9A"/>
    <w:rsid w:val="00B34C38"/>
    <w:rsid w:val="00B34C3C"/>
    <w:rsid w:val="00B34C46"/>
    <w:rsid w:val="00B34F18"/>
    <w:rsid w:val="00B34F3C"/>
    <w:rsid w:val="00B35006"/>
    <w:rsid w:val="00B35023"/>
    <w:rsid w:val="00B35062"/>
    <w:rsid w:val="00B3515A"/>
    <w:rsid w:val="00B351FB"/>
    <w:rsid w:val="00B35239"/>
    <w:rsid w:val="00B352ED"/>
    <w:rsid w:val="00B3530C"/>
    <w:rsid w:val="00B35335"/>
    <w:rsid w:val="00B354D7"/>
    <w:rsid w:val="00B3560C"/>
    <w:rsid w:val="00B35783"/>
    <w:rsid w:val="00B3583A"/>
    <w:rsid w:val="00B3589A"/>
    <w:rsid w:val="00B35A44"/>
    <w:rsid w:val="00B35A61"/>
    <w:rsid w:val="00B35B7D"/>
    <w:rsid w:val="00B35ECA"/>
    <w:rsid w:val="00B35FA9"/>
    <w:rsid w:val="00B3601B"/>
    <w:rsid w:val="00B36065"/>
    <w:rsid w:val="00B361B8"/>
    <w:rsid w:val="00B36241"/>
    <w:rsid w:val="00B362E7"/>
    <w:rsid w:val="00B36552"/>
    <w:rsid w:val="00B366DA"/>
    <w:rsid w:val="00B3674A"/>
    <w:rsid w:val="00B36896"/>
    <w:rsid w:val="00B368FC"/>
    <w:rsid w:val="00B36940"/>
    <w:rsid w:val="00B36971"/>
    <w:rsid w:val="00B36977"/>
    <w:rsid w:val="00B3699D"/>
    <w:rsid w:val="00B369C0"/>
    <w:rsid w:val="00B36A97"/>
    <w:rsid w:val="00B36C37"/>
    <w:rsid w:val="00B36C7F"/>
    <w:rsid w:val="00B36DC0"/>
    <w:rsid w:val="00B36E57"/>
    <w:rsid w:val="00B36ED1"/>
    <w:rsid w:val="00B37050"/>
    <w:rsid w:val="00B37121"/>
    <w:rsid w:val="00B37246"/>
    <w:rsid w:val="00B373E3"/>
    <w:rsid w:val="00B374D4"/>
    <w:rsid w:val="00B37635"/>
    <w:rsid w:val="00B37681"/>
    <w:rsid w:val="00B377E7"/>
    <w:rsid w:val="00B3787E"/>
    <w:rsid w:val="00B37AD4"/>
    <w:rsid w:val="00B37AF2"/>
    <w:rsid w:val="00B37BD8"/>
    <w:rsid w:val="00B37D20"/>
    <w:rsid w:val="00B37E57"/>
    <w:rsid w:val="00B40102"/>
    <w:rsid w:val="00B40179"/>
    <w:rsid w:val="00B4025D"/>
    <w:rsid w:val="00B40334"/>
    <w:rsid w:val="00B40453"/>
    <w:rsid w:val="00B404D7"/>
    <w:rsid w:val="00B40622"/>
    <w:rsid w:val="00B4069F"/>
    <w:rsid w:val="00B406C9"/>
    <w:rsid w:val="00B40741"/>
    <w:rsid w:val="00B40795"/>
    <w:rsid w:val="00B407F6"/>
    <w:rsid w:val="00B40800"/>
    <w:rsid w:val="00B40949"/>
    <w:rsid w:val="00B40A18"/>
    <w:rsid w:val="00B40ABE"/>
    <w:rsid w:val="00B40BE0"/>
    <w:rsid w:val="00B40E86"/>
    <w:rsid w:val="00B40EE0"/>
    <w:rsid w:val="00B40EEA"/>
    <w:rsid w:val="00B410D8"/>
    <w:rsid w:val="00B410EF"/>
    <w:rsid w:val="00B411F8"/>
    <w:rsid w:val="00B411FD"/>
    <w:rsid w:val="00B41333"/>
    <w:rsid w:val="00B41496"/>
    <w:rsid w:val="00B417AB"/>
    <w:rsid w:val="00B4186F"/>
    <w:rsid w:val="00B41ACD"/>
    <w:rsid w:val="00B41C41"/>
    <w:rsid w:val="00B41D15"/>
    <w:rsid w:val="00B41D36"/>
    <w:rsid w:val="00B41EED"/>
    <w:rsid w:val="00B41FFF"/>
    <w:rsid w:val="00B42018"/>
    <w:rsid w:val="00B4216B"/>
    <w:rsid w:val="00B42377"/>
    <w:rsid w:val="00B4238F"/>
    <w:rsid w:val="00B428D1"/>
    <w:rsid w:val="00B4291C"/>
    <w:rsid w:val="00B42B29"/>
    <w:rsid w:val="00B42B2C"/>
    <w:rsid w:val="00B42B2E"/>
    <w:rsid w:val="00B42E24"/>
    <w:rsid w:val="00B42F22"/>
    <w:rsid w:val="00B42FC2"/>
    <w:rsid w:val="00B42FE9"/>
    <w:rsid w:val="00B431C7"/>
    <w:rsid w:val="00B431EA"/>
    <w:rsid w:val="00B4321F"/>
    <w:rsid w:val="00B43334"/>
    <w:rsid w:val="00B433D5"/>
    <w:rsid w:val="00B434A2"/>
    <w:rsid w:val="00B434DA"/>
    <w:rsid w:val="00B43599"/>
    <w:rsid w:val="00B43658"/>
    <w:rsid w:val="00B43987"/>
    <w:rsid w:val="00B43A35"/>
    <w:rsid w:val="00B43A89"/>
    <w:rsid w:val="00B43A90"/>
    <w:rsid w:val="00B43AD7"/>
    <w:rsid w:val="00B43C4A"/>
    <w:rsid w:val="00B43C9D"/>
    <w:rsid w:val="00B43D6F"/>
    <w:rsid w:val="00B43DBB"/>
    <w:rsid w:val="00B43DF0"/>
    <w:rsid w:val="00B43F16"/>
    <w:rsid w:val="00B43F25"/>
    <w:rsid w:val="00B43F52"/>
    <w:rsid w:val="00B44021"/>
    <w:rsid w:val="00B44131"/>
    <w:rsid w:val="00B4415F"/>
    <w:rsid w:val="00B4416A"/>
    <w:rsid w:val="00B4422F"/>
    <w:rsid w:val="00B4428A"/>
    <w:rsid w:val="00B44318"/>
    <w:rsid w:val="00B443AE"/>
    <w:rsid w:val="00B44464"/>
    <w:rsid w:val="00B4457A"/>
    <w:rsid w:val="00B44693"/>
    <w:rsid w:val="00B44798"/>
    <w:rsid w:val="00B44863"/>
    <w:rsid w:val="00B448ED"/>
    <w:rsid w:val="00B44CB0"/>
    <w:rsid w:val="00B44D03"/>
    <w:rsid w:val="00B44D12"/>
    <w:rsid w:val="00B44D70"/>
    <w:rsid w:val="00B44F54"/>
    <w:rsid w:val="00B4504E"/>
    <w:rsid w:val="00B45377"/>
    <w:rsid w:val="00B45756"/>
    <w:rsid w:val="00B4597D"/>
    <w:rsid w:val="00B45B13"/>
    <w:rsid w:val="00B45BA4"/>
    <w:rsid w:val="00B45C06"/>
    <w:rsid w:val="00B460A6"/>
    <w:rsid w:val="00B46158"/>
    <w:rsid w:val="00B461AE"/>
    <w:rsid w:val="00B46245"/>
    <w:rsid w:val="00B46269"/>
    <w:rsid w:val="00B46297"/>
    <w:rsid w:val="00B463EC"/>
    <w:rsid w:val="00B4646F"/>
    <w:rsid w:val="00B46510"/>
    <w:rsid w:val="00B46526"/>
    <w:rsid w:val="00B4654E"/>
    <w:rsid w:val="00B46589"/>
    <w:rsid w:val="00B46707"/>
    <w:rsid w:val="00B4671F"/>
    <w:rsid w:val="00B46774"/>
    <w:rsid w:val="00B4679B"/>
    <w:rsid w:val="00B46848"/>
    <w:rsid w:val="00B46BBB"/>
    <w:rsid w:val="00B46C38"/>
    <w:rsid w:val="00B46C44"/>
    <w:rsid w:val="00B46C5B"/>
    <w:rsid w:val="00B46E81"/>
    <w:rsid w:val="00B47119"/>
    <w:rsid w:val="00B471DA"/>
    <w:rsid w:val="00B472C6"/>
    <w:rsid w:val="00B47545"/>
    <w:rsid w:val="00B47568"/>
    <w:rsid w:val="00B4766E"/>
    <w:rsid w:val="00B47692"/>
    <w:rsid w:val="00B479B9"/>
    <w:rsid w:val="00B479F4"/>
    <w:rsid w:val="00B47A23"/>
    <w:rsid w:val="00B47A9D"/>
    <w:rsid w:val="00B47AF1"/>
    <w:rsid w:val="00B47B29"/>
    <w:rsid w:val="00B47B5F"/>
    <w:rsid w:val="00B47B90"/>
    <w:rsid w:val="00B47B98"/>
    <w:rsid w:val="00B5008D"/>
    <w:rsid w:val="00B50145"/>
    <w:rsid w:val="00B501B2"/>
    <w:rsid w:val="00B501BC"/>
    <w:rsid w:val="00B501CD"/>
    <w:rsid w:val="00B50284"/>
    <w:rsid w:val="00B50482"/>
    <w:rsid w:val="00B5083B"/>
    <w:rsid w:val="00B50B6F"/>
    <w:rsid w:val="00B50CC6"/>
    <w:rsid w:val="00B50E22"/>
    <w:rsid w:val="00B50E41"/>
    <w:rsid w:val="00B50E74"/>
    <w:rsid w:val="00B50FEF"/>
    <w:rsid w:val="00B51209"/>
    <w:rsid w:val="00B512E3"/>
    <w:rsid w:val="00B51303"/>
    <w:rsid w:val="00B516C3"/>
    <w:rsid w:val="00B51719"/>
    <w:rsid w:val="00B5189A"/>
    <w:rsid w:val="00B518A6"/>
    <w:rsid w:val="00B51928"/>
    <w:rsid w:val="00B51939"/>
    <w:rsid w:val="00B51A8D"/>
    <w:rsid w:val="00B51C91"/>
    <w:rsid w:val="00B51CE3"/>
    <w:rsid w:val="00B51D10"/>
    <w:rsid w:val="00B51E29"/>
    <w:rsid w:val="00B51EDE"/>
    <w:rsid w:val="00B51EE5"/>
    <w:rsid w:val="00B51F95"/>
    <w:rsid w:val="00B52118"/>
    <w:rsid w:val="00B5211F"/>
    <w:rsid w:val="00B52369"/>
    <w:rsid w:val="00B524B4"/>
    <w:rsid w:val="00B524C3"/>
    <w:rsid w:val="00B5279C"/>
    <w:rsid w:val="00B52965"/>
    <w:rsid w:val="00B529A8"/>
    <w:rsid w:val="00B52C69"/>
    <w:rsid w:val="00B52F04"/>
    <w:rsid w:val="00B52F85"/>
    <w:rsid w:val="00B52F88"/>
    <w:rsid w:val="00B52F8F"/>
    <w:rsid w:val="00B52FDD"/>
    <w:rsid w:val="00B530D7"/>
    <w:rsid w:val="00B5313F"/>
    <w:rsid w:val="00B532CC"/>
    <w:rsid w:val="00B532E5"/>
    <w:rsid w:val="00B53387"/>
    <w:rsid w:val="00B533CE"/>
    <w:rsid w:val="00B53417"/>
    <w:rsid w:val="00B534CC"/>
    <w:rsid w:val="00B535ED"/>
    <w:rsid w:val="00B53634"/>
    <w:rsid w:val="00B536E8"/>
    <w:rsid w:val="00B53708"/>
    <w:rsid w:val="00B53792"/>
    <w:rsid w:val="00B53798"/>
    <w:rsid w:val="00B53865"/>
    <w:rsid w:val="00B53889"/>
    <w:rsid w:val="00B539AF"/>
    <w:rsid w:val="00B539F8"/>
    <w:rsid w:val="00B53CBA"/>
    <w:rsid w:val="00B53CD8"/>
    <w:rsid w:val="00B53D39"/>
    <w:rsid w:val="00B54021"/>
    <w:rsid w:val="00B5402D"/>
    <w:rsid w:val="00B54091"/>
    <w:rsid w:val="00B540D0"/>
    <w:rsid w:val="00B540FF"/>
    <w:rsid w:val="00B5418A"/>
    <w:rsid w:val="00B541D9"/>
    <w:rsid w:val="00B543A1"/>
    <w:rsid w:val="00B543EC"/>
    <w:rsid w:val="00B54434"/>
    <w:rsid w:val="00B5443C"/>
    <w:rsid w:val="00B544DE"/>
    <w:rsid w:val="00B5457A"/>
    <w:rsid w:val="00B5470C"/>
    <w:rsid w:val="00B548A2"/>
    <w:rsid w:val="00B548DB"/>
    <w:rsid w:val="00B5491B"/>
    <w:rsid w:val="00B54BDE"/>
    <w:rsid w:val="00B54BEF"/>
    <w:rsid w:val="00B55033"/>
    <w:rsid w:val="00B5509B"/>
    <w:rsid w:val="00B551D3"/>
    <w:rsid w:val="00B55241"/>
    <w:rsid w:val="00B55382"/>
    <w:rsid w:val="00B553EA"/>
    <w:rsid w:val="00B55610"/>
    <w:rsid w:val="00B55660"/>
    <w:rsid w:val="00B55883"/>
    <w:rsid w:val="00B559E3"/>
    <w:rsid w:val="00B55A84"/>
    <w:rsid w:val="00B55AB4"/>
    <w:rsid w:val="00B55BA2"/>
    <w:rsid w:val="00B55BE2"/>
    <w:rsid w:val="00B55BF4"/>
    <w:rsid w:val="00B55D92"/>
    <w:rsid w:val="00B55E03"/>
    <w:rsid w:val="00B55EEE"/>
    <w:rsid w:val="00B55F49"/>
    <w:rsid w:val="00B5600B"/>
    <w:rsid w:val="00B563A2"/>
    <w:rsid w:val="00B56471"/>
    <w:rsid w:val="00B5647F"/>
    <w:rsid w:val="00B5658F"/>
    <w:rsid w:val="00B5659F"/>
    <w:rsid w:val="00B565EE"/>
    <w:rsid w:val="00B566B6"/>
    <w:rsid w:val="00B567F3"/>
    <w:rsid w:val="00B569E1"/>
    <w:rsid w:val="00B56A5C"/>
    <w:rsid w:val="00B56C61"/>
    <w:rsid w:val="00B56DF0"/>
    <w:rsid w:val="00B56E3A"/>
    <w:rsid w:val="00B56EA4"/>
    <w:rsid w:val="00B56EB1"/>
    <w:rsid w:val="00B56FB6"/>
    <w:rsid w:val="00B57018"/>
    <w:rsid w:val="00B570BC"/>
    <w:rsid w:val="00B570C3"/>
    <w:rsid w:val="00B57134"/>
    <w:rsid w:val="00B57206"/>
    <w:rsid w:val="00B57451"/>
    <w:rsid w:val="00B574D5"/>
    <w:rsid w:val="00B574F2"/>
    <w:rsid w:val="00B57660"/>
    <w:rsid w:val="00B57681"/>
    <w:rsid w:val="00B57EF4"/>
    <w:rsid w:val="00B60019"/>
    <w:rsid w:val="00B60077"/>
    <w:rsid w:val="00B60102"/>
    <w:rsid w:val="00B60308"/>
    <w:rsid w:val="00B605A8"/>
    <w:rsid w:val="00B605E1"/>
    <w:rsid w:val="00B6086D"/>
    <w:rsid w:val="00B60A02"/>
    <w:rsid w:val="00B60A8E"/>
    <w:rsid w:val="00B60A94"/>
    <w:rsid w:val="00B60B27"/>
    <w:rsid w:val="00B60B7C"/>
    <w:rsid w:val="00B60BDF"/>
    <w:rsid w:val="00B60E47"/>
    <w:rsid w:val="00B60F28"/>
    <w:rsid w:val="00B60FD9"/>
    <w:rsid w:val="00B60FF3"/>
    <w:rsid w:val="00B61094"/>
    <w:rsid w:val="00B610FD"/>
    <w:rsid w:val="00B61108"/>
    <w:rsid w:val="00B613A6"/>
    <w:rsid w:val="00B61461"/>
    <w:rsid w:val="00B614B6"/>
    <w:rsid w:val="00B617EE"/>
    <w:rsid w:val="00B6189A"/>
    <w:rsid w:val="00B61A83"/>
    <w:rsid w:val="00B61BBE"/>
    <w:rsid w:val="00B61BE4"/>
    <w:rsid w:val="00B61CAA"/>
    <w:rsid w:val="00B61DDA"/>
    <w:rsid w:val="00B61F99"/>
    <w:rsid w:val="00B62233"/>
    <w:rsid w:val="00B62238"/>
    <w:rsid w:val="00B62306"/>
    <w:rsid w:val="00B6240D"/>
    <w:rsid w:val="00B624C1"/>
    <w:rsid w:val="00B62643"/>
    <w:rsid w:val="00B62880"/>
    <w:rsid w:val="00B62933"/>
    <w:rsid w:val="00B629AF"/>
    <w:rsid w:val="00B62B10"/>
    <w:rsid w:val="00B62B28"/>
    <w:rsid w:val="00B62BB4"/>
    <w:rsid w:val="00B62D3F"/>
    <w:rsid w:val="00B62F00"/>
    <w:rsid w:val="00B62F32"/>
    <w:rsid w:val="00B62FF2"/>
    <w:rsid w:val="00B6301C"/>
    <w:rsid w:val="00B63073"/>
    <w:rsid w:val="00B6307A"/>
    <w:rsid w:val="00B63147"/>
    <w:rsid w:val="00B631C0"/>
    <w:rsid w:val="00B633E8"/>
    <w:rsid w:val="00B63451"/>
    <w:rsid w:val="00B63452"/>
    <w:rsid w:val="00B634C4"/>
    <w:rsid w:val="00B6360D"/>
    <w:rsid w:val="00B63668"/>
    <w:rsid w:val="00B63688"/>
    <w:rsid w:val="00B636C4"/>
    <w:rsid w:val="00B636C5"/>
    <w:rsid w:val="00B637AF"/>
    <w:rsid w:val="00B639DE"/>
    <w:rsid w:val="00B63A54"/>
    <w:rsid w:val="00B63AEA"/>
    <w:rsid w:val="00B63CAC"/>
    <w:rsid w:val="00B63FF7"/>
    <w:rsid w:val="00B6406D"/>
    <w:rsid w:val="00B640DE"/>
    <w:rsid w:val="00B64300"/>
    <w:rsid w:val="00B64516"/>
    <w:rsid w:val="00B6452E"/>
    <w:rsid w:val="00B6453F"/>
    <w:rsid w:val="00B6487C"/>
    <w:rsid w:val="00B64945"/>
    <w:rsid w:val="00B64AAE"/>
    <w:rsid w:val="00B64B73"/>
    <w:rsid w:val="00B64B9F"/>
    <w:rsid w:val="00B64BCC"/>
    <w:rsid w:val="00B64C2C"/>
    <w:rsid w:val="00B64D78"/>
    <w:rsid w:val="00B64E8A"/>
    <w:rsid w:val="00B64EF0"/>
    <w:rsid w:val="00B64F18"/>
    <w:rsid w:val="00B651F0"/>
    <w:rsid w:val="00B652DE"/>
    <w:rsid w:val="00B6530C"/>
    <w:rsid w:val="00B6532C"/>
    <w:rsid w:val="00B653CA"/>
    <w:rsid w:val="00B653E2"/>
    <w:rsid w:val="00B65429"/>
    <w:rsid w:val="00B65439"/>
    <w:rsid w:val="00B655C2"/>
    <w:rsid w:val="00B6585C"/>
    <w:rsid w:val="00B65868"/>
    <w:rsid w:val="00B6588A"/>
    <w:rsid w:val="00B65971"/>
    <w:rsid w:val="00B65996"/>
    <w:rsid w:val="00B65A04"/>
    <w:rsid w:val="00B65A40"/>
    <w:rsid w:val="00B65A47"/>
    <w:rsid w:val="00B65AD0"/>
    <w:rsid w:val="00B65CFA"/>
    <w:rsid w:val="00B65D04"/>
    <w:rsid w:val="00B65D2C"/>
    <w:rsid w:val="00B66022"/>
    <w:rsid w:val="00B660D0"/>
    <w:rsid w:val="00B6611D"/>
    <w:rsid w:val="00B6614E"/>
    <w:rsid w:val="00B6618C"/>
    <w:rsid w:val="00B6651A"/>
    <w:rsid w:val="00B665E2"/>
    <w:rsid w:val="00B6660B"/>
    <w:rsid w:val="00B66857"/>
    <w:rsid w:val="00B66A9B"/>
    <w:rsid w:val="00B66BB8"/>
    <w:rsid w:val="00B66C28"/>
    <w:rsid w:val="00B66DE8"/>
    <w:rsid w:val="00B66F56"/>
    <w:rsid w:val="00B671F0"/>
    <w:rsid w:val="00B67216"/>
    <w:rsid w:val="00B67A30"/>
    <w:rsid w:val="00B67AD5"/>
    <w:rsid w:val="00B67B66"/>
    <w:rsid w:val="00B67C80"/>
    <w:rsid w:val="00B67D2B"/>
    <w:rsid w:val="00B67D8E"/>
    <w:rsid w:val="00B70173"/>
    <w:rsid w:val="00B703D2"/>
    <w:rsid w:val="00B70426"/>
    <w:rsid w:val="00B704FD"/>
    <w:rsid w:val="00B7062A"/>
    <w:rsid w:val="00B70778"/>
    <w:rsid w:val="00B70981"/>
    <w:rsid w:val="00B70EF4"/>
    <w:rsid w:val="00B70F17"/>
    <w:rsid w:val="00B70F42"/>
    <w:rsid w:val="00B71352"/>
    <w:rsid w:val="00B713A4"/>
    <w:rsid w:val="00B714C9"/>
    <w:rsid w:val="00B715F8"/>
    <w:rsid w:val="00B716C6"/>
    <w:rsid w:val="00B71799"/>
    <w:rsid w:val="00B71935"/>
    <w:rsid w:val="00B719F6"/>
    <w:rsid w:val="00B71B49"/>
    <w:rsid w:val="00B71B60"/>
    <w:rsid w:val="00B71B8C"/>
    <w:rsid w:val="00B71BAD"/>
    <w:rsid w:val="00B7208B"/>
    <w:rsid w:val="00B720DD"/>
    <w:rsid w:val="00B72131"/>
    <w:rsid w:val="00B721F9"/>
    <w:rsid w:val="00B72584"/>
    <w:rsid w:val="00B72588"/>
    <w:rsid w:val="00B725A8"/>
    <w:rsid w:val="00B727A6"/>
    <w:rsid w:val="00B72B28"/>
    <w:rsid w:val="00B72CA7"/>
    <w:rsid w:val="00B72CD7"/>
    <w:rsid w:val="00B72D05"/>
    <w:rsid w:val="00B72D8E"/>
    <w:rsid w:val="00B72D91"/>
    <w:rsid w:val="00B72DAA"/>
    <w:rsid w:val="00B73123"/>
    <w:rsid w:val="00B7332F"/>
    <w:rsid w:val="00B73340"/>
    <w:rsid w:val="00B73376"/>
    <w:rsid w:val="00B734A2"/>
    <w:rsid w:val="00B73623"/>
    <w:rsid w:val="00B7369C"/>
    <w:rsid w:val="00B7373A"/>
    <w:rsid w:val="00B737B8"/>
    <w:rsid w:val="00B73907"/>
    <w:rsid w:val="00B73A82"/>
    <w:rsid w:val="00B73BC3"/>
    <w:rsid w:val="00B73DE3"/>
    <w:rsid w:val="00B74146"/>
    <w:rsid w:val="00B74187"/>
    <w:rsid w:val="00B743F4"/>
    <w:rsid w:val="00B745C7"/>
    <w:rsid w:val="00B74924"/>
    <w:rsid w:val="00B74973"/>
    <w:rsid w:val="00B74B21"/>
    <w:rsid w:val="00B74C30"/>
    <w:rsid w:val="00B74CBE"/>
    <w:rsid w:val="00B74CE0"/>
    <w:rsid w:val="00B74CF8"/>
    <w:rsid w:val="00B74E9A"/>
    <w:rsid w:val="00B74F6B"/>
    <w:rsid w:val="00B7535C"/>
    <w:rsid w:val="00B7536B"/>
    <w:rsid w:val="00B75425"/>
    <w:rsid w:val="00B75438"/>
    <w:rsid w:val="00B75462"/>
    <w:rsid w:val="00B758F2"/>
    <w:rsid w:val="00B75992"/>
    <w:rsid w:val="00B75A87"/>
    <w:rsid w:val="00B75C7B"/>
    <w:rsid w:val="00B75CB5"/>
    <w:rsid w:val="00B75D2A"/>
    <w:rsid w:val="00B75D43"/>
    <w:rsid w:val="00B75DD0"/>
    <w:rsid w:val="00B75EEA"/>
    <w:rsid w:val="00B75F6F"/>
    <w:rsid w:val="00B7615A"/>
    <w:rsid w:val="00B761C8"/>
    <w:rsid w:val="00B76344"/>
    <w:rsid w:val="00B76554"/>
    <w:rsid w:val="00B765AA"/>
    <w:rsid w:val="00B76677"/>
    <w:rsid w:val="00B76721"/>
    <w:rsid w:val="00B76831"/>
    <w:rsid w:val="00B76977"/>
    <w:rsid w:val="00B76A4D"/>
    <w:rsid w:val="00B76A8F"/>
    <w:rsid w:val="00B76ACA"/>
    <w:rsid w:val="00B76C41"/>
    <w:rsid w:val="00B76C42"/>
    <w:rsid w:val="00B76D13"/>
    <w:rsid w:val="00B76D55"/>
    <w:rsid w:val="00B76E44"/>
    <w:rsid w:val="00B76EC9"/>
    <w:rsid w:val="00B770F5"/>
    <w:rsid w:val="00B770FF"/>
    <w:rsid w:val="00B7727A"/>
    <w:rsid w:val="00B77284"/>
    <w:rsid w:val="00B774D2"/>
    <w:rsid w:val="00B77AA2"/>
    <w:rsid w:val="00B77D6C"/>
    <w:rsid w:val="00B77DE3"/>
    <w:rsid w:val="00B77DFD"/>
    <w:rsid w:val="00B77E4E"/>
    <w:rsid w:val="00B77E7F"/>
    <w:rsid w:val="00B77EF9"/>
    <w:rsid w:val="00B80183"/>
    <w:rsid w:val="00B80212"/>
    <w:rsid w:val="00B80260"/>
    <w:rsid w:val="00B80420"/>
    <w:rsid w:val="00B8061D"/>
    <w:rsid w:val="00B80751"/>
    <w:rsid w:val="00B80770"/>
    <w:rsid w:val="00B80944"/>
    <w:rsid w:val="00B809A8"/>
    <w:rsid w:val="00B809EE"/>
    <w:rsid w:val="00B80A41"/>
    <w:rsid w:val="00B80A54"/>
    <w:rsid w:val="00B80AD1"/>
    <w:rsid w:val="00B80BDB"/>
    <w:rsid w:val="00B80D7F"/>
    <w:rsid w:val="00B80DFF"/>
    <w:rsid w:val="00B80F8A"/>
    <w:rsid w:val="00B80FB9"/>
    <w:rsid w:val="00B810AD"/>
    <w:rsid w:val="00B810EB"/>
    <w:rsid w:val="00B811BC"/>
    <w:rsid w:val="00B8126A"/>
    <w:rsid w:val="00B812FF"/>
    <w:rsid w:val="00B81405"/>
    <w:rsid w:val="00B8142E"/>
    <w:rsid w:val="00B81443"/>
    <w:rsid w:val="00B814F8"/>
    <w:rsid w:val="00B815FF"/>
    <w:rsid w:val="00B81652"/>
    <w:rsid w:val="00B81678"/>
    <w:rsid w:val="00B8173F"/>
    <w:rsid w:val="00B81771"/>
    <w:rsid w:val="00B817D6"/>
    <w:rsid w:val="00B81869"/>
    <w:rsid w:val="00B818BB"/>
    <w:rsid w:val="00B819EC"/>
    <w:rsid w:val="00B81B47"/>
    <w:rsid w:val="00B81B9A"/>
    <w:rsid w:val="00B81BD5"/>
    <w:rsid w:val="00B81F11"/>
    <w:rsid w:val="00B81F69"/>
    <w:rsid w:val="00B81FE1"/>
    <w:rsid w:val="00B8211B"/>
    <w:rsid w:val="00B821C3"/>
    <w:rsid w:val="00B821E9"/>
    <w:rsid w:val="00B821FC"/>
    <w:rsid w:val="00B8220E"/>
    <w:rsid w:val="00B82238"/>
    <w:rsid w:val="00B824E6"/>
    <w:rsid w:val="00B8252A"/>
    <w:rsid w:val="00B82693"/>
    <w:rsid w:val="00B82831"/>
    <w:rsid w:val="00B828B6"/>
    <w:rsid w:val="00B8292E"/>
    <w:rsid w:val="00B829A9"/>
    <w:rsid w:val="00B82A75"/>
    <w:rsid w:val="00B82AD3"/>
    <w:rsid w:val="00B82B1E"/>
    <w:rsid w:val="00B82C48"/>
    <w:rsid w:val="00B82CB3"/>
    <w:rsid w:val="00B82D5B"/>
    <w:rsid w:val="00B82DDA"/>
    <w:rsid w:val="00B82DFD"/>
    <w:rsid w:val="00B82E9C"/>
    <w:rsid w:val="00B82EF9"/>
    <w:rsid w:val="00B82EFF"/>
    <w:rsid w:val="00B82F08"/>
    <w:rsid w:val="00B82F0B"/>
    <w:rsid w:val="00B83095"/>
    <w:rsid w:val="00B83153"/>
    <w:rsid w:val="00B83183"/>
    <w:rsid w:val="00B83202"/>
    <w:rsid w:val="00B83217"/>
    <w:rsid w:val="00B8323A"/>
    <w:rsid w:val="00B83503"/>
    <w:rsid w:val="00B8350B"/>
    <w:rsid w:val="00B835FB"/>
    <w:rsid w:val="00B836BB"/>
    <w:rsid w:val="00B83875"/>
    <w:rsid w:val="00B8399C"/>
    <w:rsid w:val="00B83ABC"/>
    <w:rsid w:val="00B83B48"/>
    <w:rsid w:val="00B83B6C"/>
    <w:rsid w:val="00B83C15"/>
    <w:rsid w:val="00B83C4B"/>
    <w:rsid w:val="00B83CF5"/>
    <w:rsid w:val="00B83E90"/>
    <w:rsid w:val="00B84073"/>
    <w:rsid w:val="00B84167"/>
    <w:rsid w:val="00B84186"/>
    <w:rsid w:val="00B8430E"/>
    <w:rsid w:val="00B84420"/>
    <w:rsid w:val="00B84423"/>
    <w:rsid w:val="00B844C1"/>
    <w:rsid w:val="00B84511"/>
    <w:rsid w:val="00B845E6"/>
    <w:rsid w:val="00B84600"/>
    <w:rsid w:val="00B84664"/>
    <w:rsid w:val="00B84675"/>
    <w:rsid w:val="00B846B6"/>
    <w:rsid w:val="00B84796"/>
    <w:rsid w:val="00B8479A"/>
    <w:rsid w:val="00B847EE"/>
    <w:rsid w:val="00B849A0"/>
    <w:rsid w:val="00B84BCC"/>
    <w:rsid w:val="00B84BD5"/>
    <w:rsid w:val="00B84D67"/>
    <w:rsid w:val="00B84D74"/>
    <w:rsid w:val="00B84DB0"/>
    <w:rsid w:val="00B84E5D"/>
    <w:rsid w:val="00B84EBC"/>
    <w:rsid w:val="00B84F35"/>
    <w:rsid w:val="00B84FB0"/>
    <w:rsid w:val="00B84FE5"/>
    <w:rsid w:val="00B85065"/>
    <w:rsid w:val="00B853CB"/>
    <w:rsid w:val="00B85496"/>
    <w:rsid w:val="00B856B7"/>
    <w:rsid w:val="00B85BE4"/>
    <w:rsid w:val="00B85D34"/>
    <w:rsid w:val="00B85F33"/>
    <w:rsid w:val="00B85F47"/>
    <w:rsid w:val="00B86243"/>
    <w:rsid w:val="00B862CA"/>
    <w:rsid w:val="00B863EE"/>
    <w:rsid w:val="00B864A6"/>
    <w:rsid w:val="00B86538"/>
    <w:rsid w:val="00B86577"/>
    <w:rsid w:val="00B865D3"/>
    <w:rsid w:val="00B865F4"/>
    <w:rsid w:val="00B86C50"/>
    <w:rsid w:val="00B86C55"/>
    <w:rsid w:val="00B86C5E"/>
    <w:rsid w:val="00B86EE2"/>
    <w:rsid w:val="00B86F5D"/>
    <w:rsid w:val="00B87251"/>
    <w:rsid w:val="00B872CB"/>
    <w:rsid w:val="00B872F1"/>
    <w:rsid w:val="00B87369"/>
    <w:rsid w:val="00B875CD"/>
    <w:rsid w:val="00B87927"/>
    <w:rsid w:val="00B879BC"/>
    <w:rsid w:val="00B879E6"/>
    <w:rsid w:val="00B87A6A"/>
    <w:rsid w:val="00B87B37"/>
    <w:rsid w:val="00B87C46"/>
    <w:rsid w:val="00B900B1"/>
    <w:rsid w:val="00B901A5"/>
    <w:rsid w:val="00B9027C"/>
    <w:rsid w:val="00B9040D"/>
    <w:rsid w:val="00B90444"/>
    <w:rsid w:val="00B90516"/>
    <w:rsid w:val="00B90AD7"/>
    <w:rsid w:val="00B90AF5"/>
    <w:rsid w:val="00B90B5A"/>
    <w:rsid w:val="00B90D51"/>
    <w:rsid w:val="00B90D91"/>
    <w:rsid w:val="00B90E65"/>
    <w:rsid w:val="00B90F3B"/>
    <w:rsid w:val="00B910A5"/>
    <w:rsid w:val="00B910E3"/>
    <w:rsid w:val="00B9139E"/>
    <w:rsid w:val="00B913A3"/>
    <w:rsid w:val="00B914E4"/>
    <w:rsid w:val="00B91502"/>
    <w:rsid w:val="00B91527"/>
    <w:rsid w:val="00B916E1"/>
    <w:rsid w:val="00B9171C"/>
    <w:rsid w:val="00B9178E"/>
    <w:rsid w:val="00B91804"/>
    <w:rsid w:val="00B91812"/>
    <w:rsid w:val="00B918CD"/>
    <w:rsid w:val="00B91AA1"/>
    <w:rsid w:val="00B91B9B"/>
    <w:rsid w:val="00B91BE5"/>
    <w:rsid w:val="00B91BF1"/>
    <w:rsid w:val="00B91C02"/>
    <w:rsid w:val="00B91FC6"/>
    <w:rsid w:val="00B923DC"/>
    <w:rsid w:val="00B9243A"/>
    <w:rsid w:val="00B92619"/>
    <w:rsid w:val="00B92631"/>
    <w:rsid w:val="00B92707"/>
    <w:rsid w:val="00B9270E"/>
    <w:rsid w:val="00B9275D"/>
    <w:rsid w:val="00B9280C"/>
    <w:rsid w:val="00B92855"/>
    <w:rsid w:val="00B928FC"/>
    <w:rsid w:val="00B92951"/>
    <w:rsid w:val="00B92986"/>
    <w:rsid w:val="00B92A7A"/>
    <w:rsid w:val="00B92B28"/>
    <w:rsid w:val="00B92BA3"/>
    <w:rsid w:val="00B92E59"/>
    <w:rsid w:val="00B92ECB"/>
    <w:rsid w:val="00B92F87"/>
    <w:rsid w:val="00B92FC3"/>
    <w:rsid w:val="00B93043"/>
    <w:rsid w:val="00B93120"/>
    <w:rsid w:val="00B93135"/>
    <w:rsid w:val="00B931F2"/>
    <w:rsid w:val="00B93213"/>
    <w:rsid w:val="00B932AB"/>
    <w:rsid w:val="00B933AA"/>
    <w:rsid w:val="00B93484"/>
    <w:rsid w:val="00B93502"/>
    <w:rsid w:val="00B93573"/>
    <w:rsid w:val="00B9360F"/>
    <w:rsid w:val="00B93632"/>
    <w:rsid w:val="00B936A1"/>
    <w:rsid w:val="00B936D3"/>
    <w:rsid w:val="00B93704"/>
    <w:rsid w:val="00B937FC"/>
    <w:rsid w:val="00B93A20"/>
    <w:rsid w:val="00B93BFB"/>
    <w:rsid w:val="00B93C06"/>
    <w:rsid w:val="00B9404D"/>
    <w:rsid w:val="00B940EE"/>
    <w:rsid w:val="00B9422A"/>
    <w:rsid w:val="00B94316"/>
    <w:rsid w:val="00B943FB"/>
    <w:rsid w:val="00B946C0"/>
    <w:rsid w:val="00B946E9"/>
    <w:rsid w:val="00B9481F"/>
    <w:rsid w:val="00B948DB"/>
    <w:rsid w:val="00B94A93"/>
    <w:rsid w:val="00B94BBD"/>
    <w:rsid w:val="00B94C1B"/>
    <w:rsid w:val="00B94D9D"/>
    <w:rsid w:val="00B94EA7"/>
    <w:rsid w:val="00B94F68"/>
    <w:rsid w:val="00B94F6D"/>
    <w:rsid w:val="00B95103"/>
    <w:rsid w:val="00B95112"/>
    <w:rsid w:val="00B951B6"/>
    <w:rsid w:val="00B95344"/>
    <w:rsid w:val="00B9534B"/>
    <w:rsid w:val="00B953CB"/>
    <w:rsid w:val="00B9541F"/>
    <w:rsid w:val="00B95517"/>
    <w:rsid w:val="00B955A1"/>
    <w:rsid w:val="00B95600"/>
    <w:rsid w:val="00B95721"/>
    <w:rsid w:val="00B95745"/>
    <w:rsid w:val="00B95A57"/>
    <w:rsid w:val="00B95CF1"/>
    <w:rsid w:val="00B9602D"/>
    <w:rsid w:val="00B960BC"/>
    <w:rsid w:val="00B96105"/>
    <w:rsid w:val="00B96288"/>
    <w:rsid w:val="00B962BB"/>
    <w:rsid w:val="00B96494"/>
    <w:rsid w:val="00B96641"/>
    <w:rsid w:val="00B9667A"/>
    <w:rsid w:val="00B966D2"/>
    <w:rsid w:val="00B968BD"/>
    <w:rsid w:val="00B96A27"/>
    <w:rsid w:val="00B96B25"/>
    <w:rsid w:val="00B96BC5"/>
    <w:rsid w:val="00B96E55"/>
    <w:rsid w:val="00B96E7E"/>
    <w:rsid w:val="00B96F12"/>
    <w:rsid w:val="00B96F27"/>
    <w:rsid w:val="00B96F2B"/>
    <w:rsid w:val="00B96FFC"/>
    <w:rsid w:val="00B97026"/>
    <w:rsid w:val="00B97047"/>
    <w:rsid w:val="00B9706A"/>
    <w:rsid w:val="00B97137"/>
    <w:rsid w:val="00B972DD"/>
    <w:rsid w:val="00B97343"/>
    <w:rsid w:val="00B974EA"/>
    <w:rsid w:val="00B97518"/>
    <w:rsid w:val="00B975F4"/>
    <w:rsid w:val="00B9765D"/>
    <w:rsid w:val="00B9768B"/>
    <w:rsid w:val="00B976EC"/>
    <w:rsid w:val="00B97702"/>
    <w:rsid w:val="00B97844"/>
    <w:rsid w:val="00B9792F"/>
    <w:rsid w:val="00B97EC4"/>
    <w:rsid w:val="00B97EC5"/>
    <w:rsid w:val="00BA03B8"/>
    <w:rsid w:val="00BA0411"/>
    <w:rsid w:val="00BA04C9"/>
    <w:rsid w:val="00BA05F6"/>
    <w:rsid w:val="00BA0637"/>
    <w:rsid w:val="00BA070E"/>
    <w:rsid w:val="00BA077A"/>
    <w:rsid w:val="00BA082B"/>
    <w:rsid w:val="00BA0A83"/>
    <w:rsid w:val="00BA0ABB"/>
    <w:rsid w:val="00BA0CFD"/>
    <w:rsid w:val="00BA0D78"/>
    <w:rsid w:val="00BA0F7F"/>
    <w:rsid w:val="00BA1180"/>
    <w:rsid w:val="00BA1205"/>
    <w:rsid w:val="00BA121A"/>
    <w:rsid w:val="00BA133B"/>
    <w:rsid w:val="00BA135B"/>
    <w:rsid w:val="00BA1395"/>
    <w:rsid w:val="00BA1530"/>
    <w:rsid w:val="00BA175B"/>
    <w:rsid w:val="00BA17B0"/>
    <w:rsid w:val="00BA1861"/>
    <w:rsid w:val="00BA1A1C"/>
    <w:rsid w:val="00BA1BE4"/>
    <w:rsid w:val="00BA1DAF"/>
    <w:rsid w:val="00BA2071"/>
    <w:rsid w:val="00BA2083"/>
    <w:rsid w:val="00BA20A8"/>
    <w:rsid w:val="00BA20C9"/>
    <w:rsid w:val="00BA22C1"/>
    <w:rsid w:val="00BA22EE"/>
    <w:rsid w:val="00BA23A5"/>
    <w:rsid w:val="00BA24F7"/>
    <w:rsid w:val="00BA2560"/>
    <w:rsid w:val="00BA2707"/>
    <w:rsid w:val="00BA2812"/>
    <w:rsid w:val="00BA28D1"/>
    <w:rsid w:val="00BA2911"/>
    <w:rsid w:val="00BA2B12"/>
    <w:rsid w:val="00BA2BB5"/>
    <w:rsid w:val="00BA2CA9"/>
    <w:rsid w:val="00BA2CBE"/>
    <w:rsid w:val="00BA2DCC"/>
    <w:rsid w:val="00BA2E08"/>
    <w:rsid w:val="00BA2EEA"/>
    <w:rsid w:val="00BA30AA"/>
    <w:rsid w:val="00BA30E5"/>
    <w:rsid w:val="00BA326B"/>
    <w:rsid w:val="00BA34A5"/>
    <w:rsid w:val="00BA3677"/>
    <w:rsid w:val="00BA3754"/>
    <w:rsid w:val="00BA3900"/>
    <w:rsid w:val="00BA3A55"/>
    <w:rsid w:val="00BA3A6D"/>
    <w:rsid w:val="00BA3B38"/>
    <w:rsid w:val="00BA3DAD"/>
    <w:rsid w:val="00BA3DD2"/>
    <w:rsid w:val="00BA3E29"/>
    <w:rsid w:val="00BA3F17"/>
    <w:rsid w:val="00BA40FA"/>
    <w:rsid w:val="00BA4293"/>
    <w:rsid w:val="00BA42BD"/>
    <w:rsid w:val="00BA430B"/>
    <w:rsid w:val="00BA44AA"/>
    <w:rsid w:val="00BA44AC"/>
    <w:rsid w:val="00BA457F"/>
    <w:rsid w:val="00BA45F9"/>
    <w:rsid w:val="00BA47AC"/>
    <w:rsid w:val="00BA4810"/>
    <w:rsid w:val="00BA4849"/>
    <w:rsid w:val="00BA4898"/>
    <w:rsid w:val="00BA490D"/>
    <w:rsid w:val="00BA490E"/>
    <w:rsid w:val="00BA4B22"/>
    <w:rsid w:val="00BA4B34"/>
    <w:rsid w:val="00BA4C83"/>
    <w:rsid w:val="00BA4CD8"/>
    <w:rsid w:val="00BA4D85"/>
    <w:rsid w:val="00BA4FD0"/>
    <w:rsid w:val="00BA4FE2"/>
    <w:rsid w:val="00BA50C9"/>
    <w:rsid w:val="00BA511F"/>
    <w:rsid w:val="00BA5180"/>
    <w:rsid w:val="00BA51CD"/>
    <w:rsid w:val="00BA5212"/>
    <w:rsid w:val="00BA521E"/>
    <w:rsid w:val="00BA52C8"/>
    <w:rsid w:val="00BA5314"/>
    <w:rsid w:val="00BA5389"/>
    <w:rsid w:val="00BA5434"/>
    <w:rsid w:val="00BA5539"/>
    <w:rsid w:val="00BA579E"/>
    <w:rsid w:val="00BA581C"/>
    <w:rsid w:val="00BA591C"/>
    <w:rsid w:val="00BA5BA6"/>
    <w:rsid w:val="00BA5BD3"/>
    <w:rsid w:val="00BA5C93"/>
    <w:rsid w:val="00BA5F85"/>
    <w:rsid w:val="00BA5FA5"/>
    <w:rsid w:val="00BA5FDF"/>
    <w:rsid w:val="00BA6005"/>
    <w:rsid w:val="00BA6082"/>
    <w:rsid w:val="00BA60AB"/>
    <w:rsid w:val="00BA6128"/>
    <w:rsid w:val="00BA6366"/>
    <w:rsid w:val="00BA63DE"/>
    <w:rsid w:val="00BA6454"/>
    <w:rsid w:val="00BA6555"/>
    <w:rsid w:val="00BA6596"/>
    <w:rsid w:val="00BA6598"/>
    <w:rsid w:val="00BA67B8"/>
    <w:rsid w:val="00BA6806"/>
    <w:rsid w:val="00BA685C"/>
    <w:rsid w:val="00BA6A5A"/>
    <w:rsid w:val="00BA6AA4"/>
    <w:rsid w:val="00BA6BB9"/>
    <w:rsid w:val="00BA6D0A"/>
    <w:rsid w:val="00BA6D2B"/>
    <w:rsid w:val="00BA6DCB"/>
    <w:rsid w:val="00BA6F8B"/>
    <w:rsid w:val="00BA7261"/>
    <w:rsid w:val="00BA7282"/>
    <w:rsid w:val="00BA7329"/>
    <w:rsid w:val="00BA73AC"/>
    <w:rsid w:val="00BA73D7"/>
    <w:rsid w:val="00BA7556"/>
    <w:rsid w:val="00BA76F8"/>
    <w:rsid w:val="00BA777F"/>
    <w:rsid w:val="00BA778E"/>
    <w:rsid w:val="00BA78D7"/>
    <w:rsid w:val="00BA794A"/>
    <w:rsid w:val="00BA797D"/>
    <w:rsid w:val="00BA79F0"/>
    <w:rsid w:val="00BA7DBF"/>
    <w:rsid w:val="00BA7E57"/>
    <w:rsid w:val="00BA7E5D"/>
    <w:rsid w:val="00BB003F"/>
    <w:rsid w:val="00BB00A4"/>
    <w:rsid w:val="00BB03F4"/>
    <w:rsid w:val="00BB042B"/>
    <w:rsid w:val="00BB0601"/>
    <w:rsid w:val="00BB06D8"/>
    <w:rsid w:val="00BB0736"/>
    <w:rsid w:val="00BB077C"/>
    <w:rsid w:val="00BB0851"/>
    <w:rsid w:val="00BB0852"/>
    <w:rsid w:val="00BB089F"/>
    <w:rsid w:val="00BB08E3"/>
    <w:rsid w:val="00BB09E4"/>
    <w:rsid w:val="00BB0A55"/>
    <w:rsid w:val="00BB0BD0"/>
    <w:rsid w:val="00BB0C1D"/>
    <w:rsid w:val="00BB1038"/>
    <w:rsid w:val="00BB10D3"/>
    <w:rsid w:val="00BB1112"/>
    <w:rsid w:val="00BB12A4"/>
    <w:rsid w:val="00BB1337"/>
    <w:rsid w:val="00BB1350"/>
    <w:rsid w:val="00BB1388"/>
    <w:rsid w:val="00BB144D"/>
    <w:rsid w:val="00BB156F"/>
    <w:rsid w:val="00BB1596"/>
    <w:rsid w:val="00BB15C7"/>
    <w:rsid w:val="00BB173B"/>
    <w:rsid w:val="00BB1746"/>
    <w:rsid w:val="00BB17A2"/>
    <w:rsid w:val="00BB190E"/>
    <w:rsid w:val="00BB1A6C"/>
    <w:rsid w:val="00BB1B45"/>
    <w:rsid w:val="00BB1C06"/>
    <w:rsid w:val="00BB1C0E"/>
    <w:rsid w:val="00BB1D03"/>
    <w:rsid w:val="00BB1D1A"/>
    <w:rsid w:val="00BB1DB6"/>
    <w:rsid w:val="00BB1E02"/>
    <w:rsid w:val="00BB1E70"/>
    <w:rsid w:val="00BB2048"/>
    <w:rsid w:val="00BB2526"/>
    <w:rsid w:val="00BB25F1"/>
    <w:rsid w:val="00BB2645"/>
    <w:rsid w:val="00BB266D"/>
    <w:rsid w:val="00BB26C3"/>
    <w:rsid w:val="00BB2921"/>
    <w:rsid w:val="00BB29A7"/>
    <w:rsid w:val="00BB29D9"/>
    <w:rsid w:val="00BB2AB7"/>
    <w:rsid w:val="00BB2B9F"/>
    <w:rsid w:val="00BB2CCC"/>
    <w:rsid w:val="00BB2D54"/>
    <w:rsid w:val="00BB2D78"/>
    <w:rsid w:val="00BB2E92"/>
    <w:rsid w:val="00BB2EFB"/>
    <w:rsid w:val="00BB2F09"/>
    <w:rsid w:val="00BB30D5"/>
    <w:rsid w:val="00BB31E3"/>
    <w:rsid w:val="00BB33FA"/>
    <w:rsid w:val="00BB3629"/>
    <w:rsid w:val="00BB367B"/>
    <w:rsid w:val="00BB36E2"/>
    <w:rsid w:val="00BB36FE"/>
    <w:rsid w:val="00BB383B"/>
    <w:rsid w:val="00BB3A68"/>
    <w:rsid w:val="00BB3C35"/>
    <w:rsid w:val="00BB3CAF"/>
    <w:rsid w:val="00BB3CDD"/>
    <w:rsid w:val="00BB3F67"/>
    <w:rsid w:val="00BB40A9"/>
    <w:rsid w:val="00BB42FB"/>
    <w:rsid w:val="00BB445C"/>
    <w:rsid w:val="00BB4509"/>
    <w:rsid w:val="00BB459D"/>
    <w:rsid w:val="00BB45EF"/>
    <w:rsid w:val="00BB4786"/>
    <w:rsid w:val="00BB47FC"/>
    <w:rsid w:val="00BB48B0"/>
    <w:rsid w:val="00BB4A1C"/>
    <w:rsid w:val="00BB4B44"/>
    <w:rsid w:val="00BB4B9D"/>
    <w:rsid w:val="00BB4CFF"/>
    <w:rsid w:val="00BB4FE3"/>
    <w:rsid w:val="00BB5048"/>
    <w:rsid w:val="00BB5133"/>
    <w:rsid w:val="00BB51A0"/>
    <w:rsid w:val="00BB540D"/>
    <w:rsid w:val="00BB5530"/>
    <w:rsid w:val="00BB5544"/>
    <w:rsid w:val="00BB5558"/>
    <w:rsid w:val="00BB55AC"/>
    <w:rsid w:val="00BB55E8"/>
    <w:rsid w:val="00BB5686"/>
    <w:rsid w:val="00BB573C"/>
    <w:rsid w:val="00BB57B2"/>
    <w:rsid w:val="00BB58B3"/>
    <w:rsid w:val="00BB59C6"/>
    <w:rsid w:val="00BB5BE7"/>
    <w:rsid w:val="00BB5D25"/>
    <w:rsid w:val="00BB633B"/>
    <w:rsid w:val="00BB63E2"/>
    <w:rsid w:val="00BB648E"/>
    <w:rsid w:val="00BB6594"/>
    <w:rsid w:val="00BB659D"/>
    <w:rsid w:val="00BB67EC"/>
    <w:rsid w:val="00BB67F4"/>
    <w:rsid w:val="00BB6882"/>
    <w:rsid w:val="00BB69BA"/>
    <w:rsid w:val="00BB6A56"/>
    <w:rsid w:val="00BB6B74"/>
    <w:rsid w:val="00BB6C3C"/>
    <w:rsid w:val="00BB7053"/>
    <w:rsid w:val="00BB709C"/>
    <w:rsid w:val="00BB7218"/>
    <w:rsid w:val="00BB7225"/>
    <w:rsid w:val="00BB733A"/>
    <w:rsid w:val="00BB7382"/>
    <w:rsid w:val="00BB75F3"/>
    <w:rsid w:val="00BB7797"/>
    <w:rsid w:val="00BB7868"/>
    <w:rsid w:val="00BB78EA"/>
    <w:rsid w:val="00BB7927"/>
    <w:rsid w:val="00BB7A01"/>
    <w:rsid w:val="00BB7A7A"/>
    <w:rsid w:val="00BB7B3A"/>
    <w:rsid w:val="00BB7C7C"/>
    <w:rsid w:val="00BB7C89"/>
    <w:rsid w:val="00BB7CDD"/>
    <w:rsid w:val="00BB7D3B"/>
    <w:rsid w:val="00BB7D77"/>
    <w:rsid w:val="00BC0058"/>
    <w:rsid w:val="00BC0165"/>
    <w:rsid w:val="00BC043A"/>
    <w:rsid w:val="00BC050B"/>
    <w:rsid w:val="00BC06EF"/>
    <w:rsid w:val="00BC06FD"/>
    <w:rsid w:val="00BC081C"/>
    <w:rsid w:val="00BC0997"/>
    <w:rsid w:val="00BC0B92"/>
    <w:rsid w:val="00BC0BC8"/>
    <w:rsid w:val="00BC0D9E"/>
    <w:rsid w:val="00BC0EFC"/>
    <w:rsid w:val="00BC1404"/>
    <w:rsid w:val="00BC1460"/>
    <w:rsid w:val="00BC14D4"/>
    <w:rsid w:val="00BC1553"/>
    <w:rsid w:val="00BC1629"/>
    <w:rsid w:val="00BC16A8"/>
    <w:rsid w:val="00BC1735"/>
    <w:rsid w:val="00BC1782"/>
    <w:rsid w:val="00BC17BA"/>
    <w:rsid w:val="00BC17EE"/>
    <w:rsid w:val="00BC183B"/>
    <w:rsid w:val="00BC18F1"/>
    <w:rsid w:val="00BC199B"/>
    <w:rsid w:val="00BC1B97"/>
    <w:rsid w:val="00BC1DD0"/>
    <w:rsid w:val="00BC1E1F"/>
    <w:rsid w:val="00BC1E4B"/>
    <w:rsid w:val="00BC20F9"/>
    <w:rsid w:val="00BC26A0"/>
    <w:rsid w:val="00BC274E"/>
    <w:rsid w:val="00BC2763"/>
    <w:rsid w:val="00BC278B"/>
    <w:rsid w:val="00BC27BF"/>
    <w:rsid w:val="00BC2ABA"/>
    <w:rsid w:val="00BC2AC4"/>
    <w:rsid w:val="00BC2ACA"/>
    <w:rsid w:val="00BC2AF7"/>
    <w:rsid w:val="00BC2BB0"/>
    <w:rsid w:val="00BC2C79"/>
    <w:rsid w:val="00BC2DC7"/>
    <w:rsid w:val="00BC2DE9"/>
    <w:rsid w:val="00BC2FD1"/>
    <w:rsid w:val="00BC31CC"/>
    <w:rsid w:val="00BC321F"/>
    <w:rsid w:val="00BC32B8"/>
    <w:rsid w:val="00BC3303"/>
    <w:rsid w:val="00BC35C4"/>
    <w:rsid w:val="00BC3732"/>
    <w:rsid w:val="00BC37A4"/>
    <w:rsid w:val="00BC390B"/>
    <w:rsid w:val="00BC397A"/>
    <w:rsid w:val="00BC3A36"/>
    <w:rsid w:val="00BC3A9D"/>
    <w:rsid w:val="00BC3F16"/>
    <w:rsid w:val="00BC3FE6"/>
    <w:rsid w:val="00BC416B"/>
    <w:rsid w:val="00BC433B"/>
    <w:rsid w:val="00BC44A6"/>
    <w:rsid w:val="00BC4564"/>
    <w:rsid w:val="00BC462D"/>
    <w:rsid w:val="00BC47ED"/>
    <w:rsid w:val="00BC48F6"/>
    <w:rsid w:val="00BC49C1"/>
    <w:rsid w:val="00BC4B1C"/>
    <w:rsid w:val="00BC4C79"/>
    <w:rsid w:val="00BC4C83"/>
    <w:rsid w:val="00BC4CCF"/>
    <w:rsid w:val="00BC5072"/>
    <w:rsid w:val="00BC5199"/>
    <w:rsid w:val="00BC51BE"/>
    <w:rsid w:val="00BC523F"/>
    <w:rsid w:val="00BC5420"/>
    <w:rsid w:val="00BC5448"/>
    <w:rsid w:val="00BC5491"/>
    <w:rsid w:val="00BC55AC"/>
    <w:rsid w:val="00BC55E0"/>
    <w:rsid w:val="00BC55F0"/>
    <w:rsid w:val="00BC5843"/>
    <w:rsid w:val="00BC5A20"/>
    <w:rsid w:val="00BC5A5E"/>
    <w:rsid w:val="00BC5A88"/>
    <w:rsid w:val="00BC5CA0"/>
    <w:rsid w:val="00BC5E1A"/>
    <w:rsid w:val="00BC5E5A"/>
    <w:rsid w:val="00BC5FF2"/>
    <w:rsid w:val="00BC61B8"/>
    <w:rsid w:val="00BC64FA"/>
    <w:rsid w:val="00BC65AC"/>
    <w:rsid w:val="00BC6824"/>
    <w:rsid w:val="00BC69C6"/>
    <w:rsid w:val="00BC6AC0"/>
    <w:rsid w:val="00BC6AE8"/>
    <w:rsid w:val="00BC6B20"/>
    <w:rsid w:val="00BC6B82"/>
    <w:rsid w:val="00BC6D6A"/>
    <w:rsid w:val="00BC6EF7"/>
    <w:rsid w:val="00BC6F57"/>
    <w:rsid w:val="00BC700F"/>
    <w:rsid w:val="00BC7046"/>
    <w:rsid w:val="00BC717C"/>
    <w:rsid w:val="00BC7377"/>
    <w:rsid w:val="00BC73A7"/>
    <w:rsid w:val="00BC73E4"/>
    <w:rsid w:val="00BC7681"/>
    <w:rsid w:val="00BC7930"/>
    <w:rsid w:val="00BC7949"/>
    <w:rsid w:val="00BC7AAF"/>
    <w:rsid w:val="00BC7B3B"/>
    <w:rsid w:val="00BC7D5C"/>
    <w:rsid w:val="00BC7E2C"/>
    <w:rsid w:val="00BC7EC3"/>
    <w:rsid w:val="00BC7F07"/>
    <w:rsid w:val="00BD00B7"/>
    <w:rsid w:val="00BD03A0"/>
    <w:rsid w:val="00BD0575"/>
    <w:rsid w:val="00BD0617"/>
    <w:rsid w:val="00BD0830"/>
    <w:rsid w:val="00BD0DC1"/>
    <w:rsid w:val="00BD0E0F"/>
    <w:rsid w:val="00BD0E27"/>
    <w:rsid w:val="00BD0F01"/>
    <w:rsid w:val="00BD1170"/>
    <w:rsid w:val="00BD1344"/>
    <w:rsid w:val="00BD14BF"/>
    <w:rsid w:val="00BD1526"/>
    <w:rsid w:val="00BD153B"/>
    <w:rsid w:val="00BD160E"/>
    <w:rsid w:val="00BD1858"/>
    <w:rsid w:val="00BD19E6"/>
    <w:rsid w:val="00BD1C07"/>
    <w:rsid w:val="00BD1DC2"/>
    <w:rsid w:val="00BD1FFD"/>
    <w:rsid w:val="00BD2078"/>
    <w:rsid w:val="00BD20A0"/>
    <w:rsid w:val="00BD2115"/>
    <w:rsid w:val="00BD2116"/>
    <w:rsid w:val="00BD211E"/>
    <w:rsid w:val="00BD227E"/>
    <w:rsid w:val="00BD22A8"/>
    <w:rsid w:val="00BD23BA"/>
    <w:rsid w:val="00BD2466"/>
    <w:rsid w:val="00BD2489"/>
    <w:rsid w:val="00BD250F"/>
    <w:rsid w:val="00BD255A"/>
    <w:rsid w:val="00BD27F9"/>
    <w:rsid w:val="00BD2947"/>
    <w:rsid w:val="00BD2BDF"/>
    <w:rsid w:val="00BD2EAE"/>
    <w:rsid w:val="00BD2EF2"/>
    <w:rsid w:val="00BD3114"/>
    <w:rsid w:val="00BD315B"/>
    <w:rsid w:val="00BD32D6"/>
    <w:rsid w:val="00BD3400"/>
    <w:rsid w:val="00BD3543"/>
    <w:rsid w:val="00BD36B3"/>
    <w:rsid w:val="00BD36EB"/>
    <w:rsid w:val="00BD392A"/>
    <w:rsid w:val="00BD39AA"/>
    <w:rsid w:val="00BD39C8"/>
    <w:rsid w:val="00BD3AFE"/>
    <w:rsid w:val="00BD3B43"/>
    <w:rsid w:val="00BD3B75"/>
    <w:rsid w:val="00BD3BBC"/>
    <w:rsid w:val="00BD3BCD"/>
    <w:rsid w:val="00BD3C2D"/>
    <w:rsid w:val="00BD3CA4"/>
    <w:rsid w:val="00BD3E52"/>
    <w:rsid w:val="00BD3FA8"/>
    <w:rsid w:val="00BD4071"/>
    <w:rsid w:val="00BD40D9"/>
    <w:rsid w:val="00BD4158"/>
    <w:rsid w:val="00BD4332"/>
    <w:rsid w:val="00BD438F"/>
    <w:rsid w:val="00BD43D9"/>
    <w:rsid w:val="00BD4423"/>
    <w:rsid w:val="00BD445E"/>
    <w:rsid w:val="00BD4474"/>
    <w:rsid w:val="00BD44FC"/>
    <w:rsid w:val="00BD453A"/>
    <w:rsid w:val="00BD45EE"/>
    <w:rsid w:val="00BD460A"/>
    <w:rsid w:val="00BD471B"/>
    <w:rsid w:val="00BD4909"/>
    <w:rsid w:val="00BD4B4D"/>
    <w:rsid w:val="00BD4B66"/>
    <w:rsid w:val="00BD4CB6"/>
    <w:rsid w:val="00BD4CF2"/>
    <w:rsid w:val="00BD4E70"/>
    <w:rsid w:val="00BD4EA4"/>
    <w:rsid w:val="00BD513E"/>
    <w:rsid w:val="00BD51C6"/>
    <w:rsid w:val="00BD532C"/>
    <w:rsid w:val="00BD5392"/>
    <w:rsid w:val="00BD53E9"/>
    <w:rsid w:val="00BD5538"/>
    <w:rsid w:val="00BD55E0"/>
    <w:rsid w:val="00BD5650"/>
    <w:rsid w:val="00BD5811"/>
    <w:rsid w:val="00BD5948"/>
    <w:rsid w:val="00BD5A18"/>
    <w:rsid w:val="00BD5B23"/>
    <w:rsid w:val="00BD5BCC"/>
    <w:rsid w:val="00BD5CA8"/>
    <w:rsid w:val="00BD5E37"/>
    <w:rsid w:val="00BD5E43"/>
    <w:rsid w:val="00BD5F32"/>
    <w:rsid w:val="00BD60FD"/>
    <w:rsid w:val="00BD621B"/>
    <w:rsid w:val="00BD621F"/>
    <w:rsid w:val="00BD6386"/>
    <w:rsid w:val="00BD6507"/>
    <w:rsid w:val="00BD652D"/>
    <w:rsid w:val="00BD6606"/>
    <w:rsid w:val="00BD680E"/>
    <w:rsid w:val="00BD688E"/>
    <w:rsid w:val="00BD6CF3"/>
    <w:rsid w:val="00BD6D5B"/>
    <w:rsid w:val="00BD6E29"/>
    <w:rsid w:val="00BD6E6E"/>
    <w:rsid w:val="00BD6E96"/>
    <w:rsid w:val="00BD6EF1"/>
    <w:rsid w:val="00BD7012"/>
    <w:rsid w:val="00BD7095"/>
    <w:rsid w:val="00BD7109"/>
    <w:rsid w:val="00BD7389"/>
    <w:rsid w:val="00BD746C"/>
    <w:rsid w:val="00BD74D5"/>
    <w:rsid w:val="00BD75F7"/>
    <w:rsid w:val="00BD781E"/>
    <w:rsid w:val="00BD78E8"/>
    <w:rsid w:val="00BD7972"/>
    <w:rsid w:val="00BD79B0"/>
    <w:rsid w:val="00BD7B1F"/>
    <w:rsid w:val="00BD7B3A"/>
    <w:rsid w:val="00BD7BF0"/>
    <w:rsid w:val="00BD7C75"/>
    <w:rsid w:val="00BD7D05"/>
    <w:rsid w:val="00BD7D89"/>
    <w:rsid w:val="00BD7DE8"/>
    <w:rsid w:val="00BD7F9C"/>
    <w:rsid w:val="00BE00D9"/>
    <w:rsid w:val="00BE0151"/>
    <w:rsid w:val="00BE0264"/>
    <w:rsid w:val="00BE07CB"/>
    <w:rsid w:val="00BE082E"/>
    <w:rsid w:val="00BE0842"/>
    <w:rsid w:val="00BE08E5"/>
    <w:rsid w:val="00BE0B12"/>
    <w:rsid w:val="00BE0BAF"/>
    <w:rsid w:val="00BE0C60"/>
    <w:rsid w:val="00BE0D24"/>
    <w:rsid w:val="00BE0D53"/>
    <w:rsid w:val="00BE0DAA"/>
    <w:rsid w:val="00BE0FCC"/>
    <w:rsid w:val="00BE105D"/>
    <w:rsid w:val="00BE11AA"/>
    <w:rsid w:val="00BE11CF"/>
    <w:rsid w:val="00BE11E1"/>
    <w:rsid w:val="00BE11E3"/>
    <w:rsid w:val="00BE1220"/>
    <w:rsid w:val="00BE132A"/>
    <w:rsid w:val="00BE1725"/>
    <w:rsid w:val="00BE17D2"/>
    <w:rsid w:val="00BE17EA"/>
    <w:rsid w:val="00BE18D2"/>
    <w:rsid w:val="00BE1906"/>
    <w:rsid w:val="00BE1910"/>
    <w:rsid w:val="00BE1944"/>
    <w:rsid w:val="00BE19A9"/>
    <w:rsid w:val="00BE1C2D"/>
    <w:rsid w:val="00BE1D3A"/>
    <w:rsid w:val="00BE1E27"/>
    <w:rsid w:val="00BE20E1"/>
    <w:rsid w:val="00BE2123"/>
    <w:rsid w:val="00BE2170"/>
    <w:rsid w:val="00BE2186"/>
    <w:rsid w:val="00BE21A4"/>
    <w:rsid w:val="00BE21D0"/>
    <w:rsid w:val="00BE21E4"/>
    <w:rsid w:val="00BE2247"/>
    <w:rsid w:val="00BE2330"/>
    <w:rsid w:val="00BE2433"/>
    <w:rsid w:val="00BE253C"/>
    <w:rsid w:val="00BE255F"/>
    <w:rsid w:val="00BE2627"/>
    <w:rsid w:val="00BE271A"/>
    <w:rsid w:val="00BE2936"/>
    <w:rsid w:val="00BE2A07"/>
    <w:rsid w:val="00BE2CAD"/>
    <w:rsid w:val="00BE2CB8"/>
    <w:rsid w:val="00BE2D7D"/>
    <w:rsid w:val="00BE2E0E"/>
    <w:rsid w:val="00BE2F12"/>
    <w:rsid w:val="00BE30EE"/>
    <w:rsid w:val="00BE3245"/>
    <w:rsid w:val="00BE33F0"/>
    <w:rsid w:val="00BE3407"/>
    <w:rsid w:val="00BE384C"/>
    <w:rsid w:val="00BE3871"/>
    <w:rsid w:val="00BE391F"/>
    <w:rsid w:val="00BE39E7"/>
    <w:rsid w:val="00BE3A78"/>
    <w:rsid w:val="00BE3AA9"/>
    <w:rsid w:val="00BE3B38"/>
    <w:rsid w:val="00BE3B93"/>
    <w:rsid w:val="00BE3C04"/>
    <w:rsid w:val="00BE3C72"/>
    <w:rsid w:val="00BE3CDD"/>
    <w:rsid w:val="00BE3DAF"/>
    <w:rsid w:val="00BE3EA4"/>
    <w:rsid w:val="00BE3EBE"/>
    <w:rsid w:val="00BE3FAB"/>
    <w:rsid w:val="00BE3FD0"/>
    <w:rsid w:val="00BE4032"/>
    <w:rsid w:val="00BE4091"/>
    <w:rsid w:val="00BE42B3"/>
    <w:rsid w:val="00BE42E1"/>
    <w:rsid w:val="00BE4376"/>
    <w:rsid w:val="00BE437C"/>
    <w:rsid w:val="00BE439E"/>
    <w:rsid w:val="00BE45A0"/>
    <w:rsid w:val="00BE4758"/>
    <w:rsid w:val="00BE47A0"/>
    <w:rsid w:val="00BE4A04"/>
    <w:rsid w:val="00BE4A90"/>
    <w:rsid w:val="00BE4C1E"/>
    <w:rsid w:val="00BE4CEA"/>
    <w:rsid w:val="00BE4D12"/>
    <w:rsid w:val="00BE4D43"/>
    <w:rsid w:val="00BE4E03"/>
    <w:rsid w:val="00BE5022"/>
    <w:rsid w:val="00BE5262"/>
    <w:rsid w:val="00BE52D7"/>
    <w:rsid w:val="00BE5355"/>
    <w:rsid w:val="00BE53BD"/>
    <w:rsid w:val="00BE53F2"/>
    <w:rsid w:val="00BE53F3"/>
    <w:rsid w:val="00BE5707"/>
    <w:rsid w:val="00BE57F3"/>
    <w:rsid w:val="00BE588D"/>
    <w:rsid w:val="00BE5C24"/>
    <w:rsid w:val="00BE5C7C"/>
    <w:rsid w:val="00BE5D1A"/>
    <w:rsid w:val="00BE5DF5"/>
    <w:rsid w:val="00BE5E65"/>
    <w:rsid w:val="00BE6099"/>
    <w:rsid w:val="00BE6157"/>
    <w:rsid w:val="00BE63B6"/>
    <w:rsid w:val="00BE645D"/>
    <w:rsid w:val="00BE64A0"/>
    <w:rsid w:val="00BE65D3"/>
    <w:rsid w:val="00BE665F"/>
    <w:rsid w:val="00BE66D0"/>
    <w:rsid w:val="00BE6A49"/>
    <w:rsid w:val="00BE6A66"/>
    <w:rsid w:val="00BE6BF0"/>
    <w:rsid w:val="00BE6C39"/>
    <w:rsid w:val="00BE6C7A"/>
    <w:rsid w:val="00BE6CAC"/>
    <w:rsid w:val="00BE6D99"/>
    <w:rsid w:val="00BE6DA9"/>
    <w:rsid w:val="00BE6DD9"/>
    <w:rsid w:val="00BE6DEB"/>
    <w:rsid w:val="00BE6E6A"/>
    <w:rsid w:val="00BE6EA4"/>
    <w:rsid w:val="00BE70FB"/>
    <w:rsid w:val="00BE718C"/>
    <w:rsid w:val="00BE719A"/>
    <w:rsid w:val="00BE7300"/>
    <w:rsid w:val="00BE7804"/>
    <w:rsid w:val="00BE790D"/>
    <w:rsid w:val="00BE791E"/>
    <w:rsid w:val="00BE7963"/>
    <w:rsid w:val="00BE7A4F"/>
    <w:rsid w:val="00BE7B45"/>
    <w:rsid w:val="00BE7CC7"/>
    <w:rsid w:val="00BE7D3A"/>
    <w:rsid w:val="00BE7D5F"/>
    <w:rsid w:val="00BE7F5F"/>
    <w:rsid w:val="00BF0166"/>
    <w:rsid w:val="00BF01CE"/>
    <w:rsid w:val="00BF0789"/>
    <w:rsid w:val="00BF0960"/>
    <w:rsid w:val="00BF0B4D"/>
    <w:rsid w:val="00BF0D03"/>
    <w:rsid w:val="00BF0F79"/>
    <w:rsid w:val="00BF0F7F"/>
    <w:rsid w:val="00BF0FA4"/>
    <w:rsid w:val="00BF0FEA"/>
    <w:rsid w:val="00BF12BA"/>
    <w:rsid w:val="00BF12F6"/>
    <w:rsid w:val="00BF1479"/>
    <w:rsid w:val="00BF14D4"/>
    <w:rsid w:val="00BF162F"/>
    <w:rsid w:val="00BF16CE"/>
    <w:rsid w:val="00BF1842"/>
    <w:rsid w:val="00BF1B43"/>
    <w:rsid w:val="00BF1C4A"/>
    <w:rsid w:val="00BF1DD6"/>
    <w:rsid w:val="00BF1E9C"/>
    <w:rsid w:val="00BF1ECE"/>
    <w:rsid w:val="00BF2095"/>
    <w:rsid w:val="00BF2107"/>
    <w:rsid w:val="00BF23FE"/>
    <w:rsid w:val="00BF268C"/>
    <w:rsid w:val="00BF280E"/>
    <w:rsid w:val="00BF2830"/>
    <w:rsid w:val="00BF3241"/>
    <w:rsid w:val="00BF32E7"/>
    <w:rsid w:val="00BF355C"/>
    <w:rsid w:val="00BF3610"/>
    <w:rsid w:val="00BF36E3"/>
    <w:rsid w:val="00BF3954"/>
    <w:rsid w:val="00BF3B1A"/>
    <w:rsid w:val="00BF3B92"/>
    <w:rsid w:val="00BF3BE3"/>
    <w:rsid w:val="00BF3C68"/>
    <w:rsid w:val="00BF3F05"/>
    <w:rsid w:val="00BF412D"/>
    <w:rsid w:val="00BF415F"/>
    <w:rsid w:val="00BF4457"/>
    <w:rsid w:val="00BF45AB"/>
    <w:rsid w:val="00BF45BB"/>
    <w:rsid w:val="00BF4660"/>
    <w:rsid w:val="00BF4667"/>
    <w:rsid w:val="00BF4737"/>
    <w:rsid w:val="00BF4879"/>
    <w:rsid w:val="00BF4906"/>
    <w:rsid w:val="00BF4941"/>
    <w:rsid w:val="00BF4996"/>
    <w:rsid w:val="00BF4A6E"/>
    <w:rsid w:val="00BF4BC3"/>
    <w:rsid w:val="00BF4BF7"/>
    <w:rsid w:val="00BF4C1E"/>
    <w:rsid w:val="00BF4C28"/>
    <w:rsid w:val="00BF4C58"/>
    <w:rsid w:val="00BF4D26"/>
    <w:rsid w:val="00BF4F09"/>
    <w:rsid w:val="00BF4F6D"/>
    <w:rsid w:val="00BF50DE"/>
    <w:rsid w:val="00BF5177"/>
    <w:rsid w:val="00BF52FF"/>
    <w:rsid w:val="00BF53EB"/>
    <w:rsid w:val="00BF5414"/>
    <w:rsid w:val="00BF54AF"/>
    <w:rsid w:val="00BF558F"/>
    <w:rsid w:val="00BF5623"/>
    <w:rsid w:val="00BF5883"/>
    <w:rsid w:val="00BF596A"/>
    <w:rsid w:val="00BF5A91"/>
    <w:rsid w:val="00BF5B91"/>
    <w:rsid w:val="00BF5C56"/>
    <w:rsid w:val="00BF5C79"/>
    <w:rsid w:val="00BF5CB0"/>
    <w:rsid w:val="00BF5D26"/>
    <w:rsid w:val="00BF5DEB"/>
    <w:rsid w:val="00BF5E11"/>
    <w:rsid w:val="00BF5E6C"/>
    <w:rsid w:val="00BF5E94"/>
    <w:rsid w:val="00BF5FFF"/>
    <w:rsid w:val="00BF6267"/>
    <w:rsid w:val="00BF62BA"/>
    <w:rsid w:val="00BF667F"/>
    <w:rsid w:val="00BF67CE"/>
    <w:rsid w:val="00BF6813"/>
    <w:rsid w:val="00BF6897"/>
    <w:rsid w:val="00BF6932"/>
    <w:rsid w:val="00BF6C6A"/>
    <w:rsid w:val="00BF6C88"/>
    <w:rsid w:val="00BF6ECB"/>
    <w:rsid w:val="00BF6F3C"/>
    <w:rsid w:val="00BF6F7F"/>
    <w:rsid w:val="00BF6F8C"/>
    <w:rsid w:val="00BF6FC0"/>
    <w:rsid w:val="00BF70AA"/>
    <w:rsid w:val="00BF720E"/>
    <w:rsid w:val="00BF7278"/>
    <w:rsid w:val="00BF72D1"/>
    <w:rsid w:val="00BF72F3"/>
    <w:rsid w:val="00BF738F"/>
    <w:rsid w:val="00BF740E"/>
    <w:rsid w:val="00BF7450"/>
    <w:rsid w:val="00BF7478"/>
    <w:rsid w:val="00BF7527"/>
    <w:rsid w:val="00BF785F"/>
    <w:rsid w:val="00BF78AF"/>
    <w:rsid w:val="00BF78E6"/>
    <w:rsid w:val="00BF795A"/>
    <w:rsid w:val="00BF7A71"/>
    <w:rsid w:val="00BF7AC4"/>
    <w:rsid w:val="00BF7AE0"/>
    <w:rsid w:val="00BF7C51"/>
    <w:rsid w:val="00BF7C99"/>
    <w:rsid w:val="00BF7CB1"/>
    <w:rsid w:val="00BF7D12"/>
    <w:rsid w:val="00BF7EE7"/>
    <w:rsid w:val="00BF7F6D"/>
    <w:rsid w:val="00C000F4"/>
    <w:rsid w:val="00C003AB"/>
    <w:rsid w:val="00C004E4"/>
    <w:rsid w:val="00C00845"/>
    <w:rsid w:val="00C008E1"/>
    <w:rsid w:val="00C00992"/>
    <w:rsid w:val="00C00993"/>
    <w:rsid w:val="00C00A7D"/>
    <w:rsid w:val="00C00DD3"/>
    <w:rsid w:val="00C00E94"/>
    <w:rsid w:val="00C01091"/>
    <w:rsid w:val="00C01285"/>
    <w:rsid w:val="00C012CB"/>
    <w:rsid w:val="00C012DC"/>
    <w:rsid w:val="00C01331"/>
    <w:rsid w:val="00C01414"/>
    <w:rsid w:val="00C015FB"/>
    <w:rsid w:val="00C01750"/>
    <w:rsid w:val="00C018A4"/>
    <w:rsid w:val="00C019C6"/>
    <w:rsid w:val="00C01A25"/>
    <w:rsid w:val="00C01AC3"/>
    <w:rsid w:val="00C01BC6"/>
    <w:rsid w:val="00C01D3C"/>
    <w:rsid w:val="00C01DE3"/>
    <w:rsid w:val="00C01FD8"/>
    <w:rsid w:val="00C0214A"/>
    <w:rsid w:val="00C02347"/>
    <w:rsid w:val="00C024B5"/>
    <w:rsid w:val="00C024CB"/>
    <w:rsid w:val="00C025B2"/>
    <w:rsid w:val="00C02606"/>
    <w:rsid w:val="00C0277B"/>
    <w:rsid w:val="00C028AD"/>
    <w:rsid w:val="00C02944"/>
    <w:rsid w:val="00C02AA4"/>
    <w:rsid w:val="00C02B21"/>
    <w:rsid w:val="00C02B96"/>
    <w:rsid w:val="00C02DAA"/>
    <w:rsid w:val="00C02DD2"/>
    <w:rsid w:val="00C02E2F"/>
    <w:rsid w:val="00C02E3C"/>
    <w:rsid w:val="00C02E8B"/>
    <w:rsid w:val="00C03196"/>
    <w:rsid w:val="00C03226"/>
    <w:rsid w:val="00C032E9"/>
    <w:rsid w:val="00C0348C"/>
    <w:rsid w:val="00C034F9"/>
    <w:rsid w:val="00C035E3"/>
    <w:rsid w:val="00C038EF"/>
    <w:rsid w:val="00C039E9"/>
    <w:rsid w:val="00C03A49"/>
    <w:rsid w:val="00C03A80"/>
    <w:rsid w:val="00C0430E"/>
    <w:rsid w:val="00C0440E"/>
    <w:rsid w:val="00C0448A"/>
    <w:rsid w:val="00C044C0"/>
    <w:rsid w:val="00C0457D"/>
    <w:rsid w:val="00C04685"/>
    <w:rsid w:val="00C0475A"/>
    <w:rsid w:val="00C04818"/>
    <w:rsid w:val="00C04A9C"/>
    <w:rsid w:val="00C04AF0"/>
    <w:rsid w:val="00C04F6D"/>
    <w:rsid w:val="00C050D8"/>
    <w:rsid w:val="00C05211"/>
    <w:rsid w:val="00C0534F"/>
    <w:rsid w:val="00C053B4"/>
    <w:rsid w:val="00C05430"/>
    <w:rsid w:val="00C055BA"/>
    <w:rsid w:val="00C05919"/>
    <w:rsid w:val="00C05A25"/>
    <w:rsid w:val="00C05A73"/>
    <w:rsid w:val="00C05C0D"/>
    <w:rsid w:val="00C05C4B"/>
    <w:rsid w:val="00C05DF7"/>
    <w:rsid w:val="00C05FFA"/>
    <w:rsid w:val="00C06009"/>
    <w:rsid w:val="00C06056"/>
    <w:rsid w:val="00C060A4"/>
    <w:rsid w:val="00C062A8"/>
    <w:rsid w:val="00C062B9"/>
    <w:rsid w:val="00C0637C"/>
    <w:rsid w:val="00C06393"/>
    <w:rsid w:val="00C06399"/>
    <w:rsid w:val="00C065AC"/>
    <w:rsid w:val="00C066FA"/>
    <w:rsid w:val="00C067FF"/>
    <w:rsid w:val="00C06802"/>
    <w:rsid w:val="00C06911"/>
    <w:rsid w:val="00C0691F"/>
    <w:rsid w:val="00C06A25"/>
    <w:rsid w:val="00C06AA0"/>
    <w:rsid w:val="00C06BB2"/>
    <w:rsid w:val="00C06E22"/>
    <w:rsid w:val="00C06F61"/>
    <w:rsid w:val="00C06FD1"/>
    <w:rsid w:val="00C06FE8"/>
    <w:rsid w:val="00C0700B"/>
    <w:rsid w:val="00C07010"/>
    <w:rsid w:val="00C07162"/>
    <w:rsid w:val="00C07200"/>
    <w:rsid w:val="00C074AC"/>
    <w:rsid w:val="00C074C0"/>
    <w:rsid w:val="00C074FC"/>
    <w:rsid w:val="00C07589"/>
    <w:rsid w:val="00C0778A"/>
    <w:rsid w:val="00C0779A"/>
    <w:rsid w:val="00C0783D"/>
    <w:rsid w:val="00C0787A"/>
    <w:rsid w:val="00C07986"/>
    <w:rsid w:val="00C07C51"/>
    <w:rsid w:val="00C07E73"/>
    <w:rsid w:val="00C07F07"/>
    <w:rsid w:val="00C07F7C"/>
    <w:rsid w:val="00C100F3"/>
    <w:rsid w:val="00C104C1"/>
    <w:rsid w:val="00C10539"/>
    <w:rsid w:val="00C10642"/>
    <w:rsid w:val="00C10707"/>
    <w:rsid w:val="00C10802"/>
    <w:rsid w:val="00C109E1"/>
    <w:rsid w:val="00C10A79"/>
    <w:rsid w:val="00C10A7E"/>
    <w:rsid w:val="00C10C76"/>
    <w:rsid w:val="00C10F2B"/>
    <w:rsid w:val="00C11010"/>
    <w:rsid w:val="00C1115B"/>
    <w:rsid w:val="00C11316"/>
    <w:rsid w:val="00C11594"/>
    <w:rsid w:val="00C115CB"/>
    <w:rsid w:val="00C1171E"/>
    <w:rsid w:val="00C1182D"/>
    <w:rsid w:val="00C118BE"/>
    <w:rsid w:val="00C119E6"/>
    <w:rsid w:val="00C11AC8"/>
    <w:rsid w:val="00C11ADB"/>
    <w:rsid w:val="00C11B65"/>
    <w:rsid w:val="00C11B7F"/>
    <w:rsid w:val="00C11B9C"/>
    <w:rsid w:val="00C11BF5"/>
    <w:rsid w:val="00C11C8C"/>
    <w:rsid w:val="00C11C90"/>
    <w:rsid w:val="00C11CA4"/>
    <w:rsid w:val="00C11E3B"/>
    <w:rsid w:val="00C11EAA"/>
    <w:rsid w:val="00C12008"/>
    <w:rsid w:val="00C12068"/>
    <w:rsid w:val="00C120C5"/>
    <w:rsid w:val="00C12150"/>
    <w:rsid w:val="00C12190"/>
    <w:rsid w:val="00C12258"/>
    <w:rsid w:val="00C1228B"/>
    <w:rsid w:val="00C12532"/>
    <w:rsid w:val="00C126E7"/>
    <w:rsid w:val="00C12807"/>
    <w:rsid w:val="00C1285B"/>
    <w:rsid w:val="00C12884"/>
    <w:rsid w:val="00C129CA"/>
    <w:rsid w:val="00C12B08"/>
    <w:rsid w:val="00C12CA5"/>
    <w:rsid w:val="00C12D0B"/>
    <w:rsid w:val="00C13023"/>
    <w:rsid w:val="00C130D2"/>
    <w:rsid w:val="00C132B1"/>
    <w:rsid w:val="00C13501"/>
    <w:rsid w:val="00C135FB"/>
    <w:rsid w:val="00C1373C"/>
    <w:rsid w:val="00C13804"/>
    <w:rsid w:val="00C13862"/>
    <w:rsid w:val="00C138AA"/>
    <w:rsid w:val="00C1399D"/>
    <w:rsid w:val="00C13AAB"/>
    <w:rsid w:val="00C13BF3"/>
    <w:rsid w:val="00C13C12"/>
    <w:rsid w:val="00C13C2D"/>
    <w:rsid w:val="00C13D61"/>
    <w:rsid w:val="00C13E93"/>
    <w:rsid w:val="00C13FE8"/>
    <w:rsid w:val="00C140A4"/>
    <w:rsid w:val="00C140EA"/>
    <w:rsid w:val="00C1412E"/>
    <w:rsid w:val="00C141A7"/>
    <w:rsid w:val="00C141A8"/>
    <w:rsid w:val="00C14230"/>
    <w:rsid w:val="00C14287"/>
    <w:rsid w:val="00C1451E"/>
    <w:rsid w:val="00C14568"/>
    <w:rsid w:val="00C14639"/>
    <w:rsid w:val="00C14753"/>
    <w:rsid w:val="00C14770"/>
    <w:rsid w:val="00C14ACC"/>
    <w:rsid w:val="00C14D5D"/>
    <w:rsid w:val="00C14DD8"/>
    <w:rsid w:val="00C14F83"/>
    <w:rsid w:val="00C15381"/>
    <w:rsid w:val="00C1546B"/>
    <w:rsid w:val="00C15499"/>
    <w:rsid w:val="00C155A2"/>
    <w:rsid w:val="00C155AD"/>
    <w:rsid w:val="00C15669"/>
    <w:rsid w:val="00C1567F"/>
    <w:rsid w:val="00C15712"/>
    <w:rsid w:val="00C1574D"/>
    <w:rsid w:val="00C1576E"/>
    <w:rsid w:val="00C159BE"/>
    <w:rsid w:val="00C15A02"/>
    <w:rsid w:val="00C15A59"/>
    <w:rsid w:val="00C15B62"/>
    <w:rsid w:val="00C15B8D"/>
    <w:rsid w:val="00C15C06"/>
    <w:rsid w:val="00C15CB5"/>
    <w:rsid w:val="00C160E1"/>
    <w:rsid w:val="00C160F2"/>
    <w:rsid w:val="00C161D9"/>
    <w:rsid w:val="00C16214"/>
    <w:rsid w:val="00C163E6"/>
    <w:rsid w:val="00C16528"/>
    <w:rsid w:val="00C16555"/>
    <w:rsid w:val="00C167E5"/>
    <w:rsid w:val="00C16911"/>
    <w:rsid w:val="00C16956"/>
    <w:rsid w:val="00C169AD"/>
    <w:rsid w:val="00C169C4"/>
    <w:rsid w:val="00C16A4C"/>
    <w:rsid w:val="00C16B9A"/>
    <w:rsid w:val="00C16CAD"/>
    <w:rsid w:val="00C16DF3"/>
    <w:rsid w:val="00C16EA5"/>
    <w:rsid w:val="00C16EFD"/>
    <w:rsid w:val="00C1700A"/>
    <w:rsid w:val="00C171F1"/>
    <w:rsid w:val="00C1721E"/>
    <w:rsid w:val="00C172FB"/>
    <w:rsid w:val="00C17315"/>
    <w:rsid w:val="00C17369"/>
    <w:rsid w:val="00C17384"/>
    <w:rsid w:val="00C174C9"/>
    <w:rsid w:val="00C174CD"/>
    <w:rsid w:val="00C17757"/>
    <w:rsid w:val="00C17788"/>
    <w:rsid w:val="00C178FB"/>
    <w:rsid w:val="00C17964"/>
    <w:rsid w:val="00C179AC"/>
    <w:rsid w:val="00C17DE8"/>
    <w:rsid w:val="00C17FA4"/>
    <w:rsid w:val="00C200C9"/>
    <w:rsid w:val="00C2021D"/>
    <w:rsid w:val="00C203CE"/>
    <w:rsid w:val="00C203E0"/>
    <w:rsid w:val="00C2051A"/>
    <w:rsid w:val="00C205CC"/>
    <w:rsid w:val="00C205D3"/>
    <w:rsid w:val="00C206F1"/>
    <w:rsid w:val="00C2081C"/>
    <w:rsid w:val="00C20972"/>
    <w:rsid w:val="00C209B8"/>
    <w:rsid w:val="00C209EF"/>
    <w:rsid w:val="00C20A69"/>
    <w:rsid w:val="00C20B02"/>
    <w:rsid w:val="00C20B40"/>
    <w:rsid w:val="00C20D17"/>
    <w:rsid w:val="00C20D18"/>
    <w:rsid w:val="00C20E30"/>
    <w:rsid w:val="00C21037"/>
    <w:rsid w:val="00C210BF"/>
    <w:rsid w:val="00C213D0"/>
    <w:rsid w:val="00C2151C"/>
    <w:rsid w:val="00C2157E"/>
    <w:rsid w:val="00C215BD"/>
    <w:rsid w:val="00C216C8"/>
    <w:rsid w:val="00C2174A"/>
    <w:rsid w:val="00C2190C"/>
    <w:rsid w:val="00C21A48"/>
    <w:rsid w:val="00C21B30"/>
    <w:rsid w:val="00C21C8E"/>
    <w:rsid w:val="00C21D86"/>
    <w:rsid w:val="00C21FB3"/>
    <w:rsid w:val="00C220B9"/>
    <w:rsid w:val="00C22101"/>
    <w:rsid w:val="00C22180"/>
    <w:rsid w:val="00C22187"/>
    <w:rsid w:val="00C22188"/>
    <w:rsid w:val="00C22272"/>
    <w:rsid w:val="00C224D4"/>
    <w:rsid w:val="00C224E2"/>
    <w:rsid w:val="00C2257B"/>
    <w:rsid w:val="00C227D7"/>
    <w:rsid w:val="00C22B8F"/>
    <w:rsid w:val="00C22CB2"/>
    <w:rsid w:val="00C22D26"/>
    <w:rsid w:val="00C22E85"/>
    <w:rsid w:val="00C22F62"/>
    <w:rsid w:val="00C2301B"/>
    <w:rsid w:val="00C23056"/>
    <w:rsid w:val="00C23159"/>
    <w:rsid w:val="00C2323A"/>
    <w:rsid w:val="00C23352"/>
    <w:rsid w:val="00C233D8"/>
    <w:rsid w:val="00C23508"/>
    <w:rsid w:val="00C23587"/>
    <w:rsid w:val="00C237BD"/>
    <w:rsid w:val="00C237E1"/>
    <w:rsid w:val="00C23801"/>
    <w:rsid w:val="00C239AF"/>
    <w:rsid w:val="00C23B8B"/>
    <w:rsid w:val="00C23E06"/>
    <w:rsid w:val="00C23EA1"/>
    <w:rsid w:val="00C23F55"/>
    <w:rsid w:val="00C241AF"/>
    <w:rsid w:val="00C241C7"/>
    <w:rsid w:val="00C2424A"/>
    <w:rsid w:val="00C24358"/>
    <w:rsid w:val="00C2455D"/>
    <w:rsid w:val="00C24576"/>
    <w:rsid w:val="00C24644"/>
    <w:rsid w:val="00C24755"/>
    <w:rsid w:val="00C24762"/>
    <w:rsid w:val="00C24846"/>
    <w:rsid w:val="00C2489E"/>
    <w:rsid w:val="00C24A54"/>
    <w:rsid w:val="00C24A67"/>
    <w:rsid w:val="00C24A8E"/>
    <w:rsid w:val="00C24BA4"/>
    <w:rsid w:val="00C24D9F"/>
    <w:rsid w:val="00C24E6C"/>
    <w:rsid w:val="00C24E7C"/>
    <w:rsid w:val="00C24F37"/>
    <w:rsid w:val="00C25233"/>
    <w:rsid w:val="00C25255"/>
    <w:rsid w:val="00C25288"/>
    <w:rsid w:val="00C2533F"/>
    <w:rsid w:val="00C2546D"/>
    <w:rsid w:val="00C25489"/>
    <w:rsid w:val="00C2559E"/>
    <w:rsid w:val="00C255A9"/>
    <w:rsid w:val="00C255B7"/>
    <w:rsid w:val="00C255E7"/>
    <w:rsid w:val="00C255F2"/>
    <w:rsid w:val="00C25701"/>
    <w:rsid w:val="00C258D6"/>
    <w:rsid w:val="00C25989"/>
    <w:rsid w:val="00C259DC"/>
    <w:rsid w:val="00C25B14"/>
    <w:rsid w:val="00C25BDC"/>
    <w:rsid w:val="00C25F24"/>
    <w:rsid w:val="00C25F8E"/>
    <w:rsid w:val="00C260F7"/>
    <w:rsid w:val="00C26134"/>
    <w:rsid w:val="00C26135"/>
    <w:rsid w:val="00C26427"/>
    <w:rsid w:val="00C26504"/>
    <w:rsid w:val="00C2651E"/>
    <w:rsid w:val="00C265DE"/>
    <w:rsid w:val="00C26706"/>
    <w:rsid w:val="00C2675D"/>
    <w:rsid w:val="00C268C6"/>
    <w:rsid w:val="00C26A50"/>
    <w:rsid w:val="00C26AA8"/>
    <w:rsid w:val="00C26CF3"/>
    <w:rsid w:val="00C26E2C"/>
    <w:rsid w:val="00C26E74"/>
    <w:rsid w:val="00C26E78"/>
    <w:rsid w:val="00C26EFB"/>
    <w:rsid w:val="00C26F14"/>
    <w:rsid w:val="00C26FBD"/>
    <w:rsid w:val="00C27122"/>
    <w:rsid w:val="00C271DB"/>
    <w:rsid w:val="00C273D3"/>
    <w:rsid w:val="00C27437"/>
    <w:rsid w:val="00C276C8"/>
    <w:rsid w:val="00C2773B"/>
    <w:rsid w:val="00C277BC"/>
    <w:rsid w:val="00C27829"/>
    <w:rsid w:val="00C27A09"/>
    <w:rsid w:val="00C27B67"/>
    <w:rsid w:val="00C3001D"/>
    <w:rsid w:val="00C300C4"/>
    <w:rsid w:val="00C3017C"/>
    <w:rsid w:val="00C301A3"/>
    <w:rsid w:val="00C3028C"/>
    <w:rsid w:val="00C30297"/>
    <w:rsid w:val="00C3056A"/>
    <w:rsid w:val="00C306C6"/>
    <w:rsid w:val="00C306D7"/>
    <w:rsid w:val="00C30709"/>
    <w:rsid w:val="00C3081F"/>
    <w:rsid w:val="00C30833"/>
    <w:rsid w:val="00C308D3"/>
    <w:rsid w:val="00C309DA"/>
    <w:rsid w:val="00C30ABC"/>
    <w:rsid w:val="00C30C8D"/>
    <w:rsid w:val="00C30CA7"/>
    <w:rsid w:val="00C30CD9"/>
    <w:rsid w:val="00C30D75"/>
    <w:rsid w:val="00C30EBD"/>
    <w:rsid w:val="00C30EDA"/>
    <w:rsid w:val="00C31029"/>
    <w:rsid w:val="00C3133B"/>
    <w:rsid w:val="00C3139E"/>
    <w:rsid w:val="00C316BC"/>
    <w:rsid w:val="00C31778"/>
    <w:rsid w:val="00C31C25"/>
    <w:rsid w:val="00C31CAC"/>
    <w:rsid w:val="00C31D4D"/>
    <w:rsid w:val="00C31DCC"/>
    <w:rsid w:val="00C31EFB"/>
    <w:rsid w:val="00C31F14"/>
    <w:rsid w:val="00C31FAC"/>
    <w:rsid w:val="00C320EC"/>
    <w:rsid w:val="00C32127"/>
    <w:rsid w:val="00C32196"/>
    <w:rsid w:val="00C3219E"/>
    <w:rsid w:val="00C321A2"/>
    <w:rsid w:val="00C3220C"/>
    <w:rsid w:val="00C3236A"/>
    <w:rsid w:val="00C32438"/>
    <w:rsid w:val="00C32634"/>
    <w:rsid w:val="00C3294B"/>
    <w:rsid w:val="00C329A8"/>
    <w:rsid w:val="00C329C5"/>
    <w:rsid w:val="00C329D3"/>
    <w:rsid w:val="00C32A2D"/>
    <w:rsid w:val="00C32ACB"/>
    <w:rsid w:val="00C32D8C"/>
    <w:rsid w:val="00C32E19"/>
    <w:rsid w:val="00C32E6D"/>
    <w:rsid w:val="00C32EF3"/>
    <w:rsid w:val="00C32EFA"/>
    <w:rsid w:val="00C33056"/>
    <w:rsid w:val="00C3305B"/>
    <w:rsid w:val="00C3331D"/>
    <w:rsid w:val="00C33336"/>
    <w:rsid w:val="00C33479"/>
    <w:rsid w:val="00C334DB"/>
    <w:rsid w:val="00C334EF"/>
    <w:rsid w:val="00C33504"/>
    <w:rsid w:val="00C33668"/>
    <w:rsid w:val="00C33764"/>
    <w:rsid w:val="00C33967"/>
    <w:rsid w:val="00C33A29"/>
    <w:rsid w:val="00C33C0A"/>
    <w:rsid w:val="00C33D53"/>
    <w:rsid w:val="00C33EF0"/>
    <w:rsid w:val="00C34048"/>
    <w:rsid w:val="00C341B4"/>
    <w:rsid w:val="00C3443C"/>
    <w:rsid w:val="00C3447C"/>
    <w:rsid w:val="00C346AC"/>
    <w:rsid w:val="00C3471A"/>
    <w:rsid w:val="00C3476B"/>
    <w:rsid w:val="00C34B00"/>
    <w:rsid w:val="00C34B05"/>
    <w:rsid w:val="00C34CB1"/>
    <w:rsid w:val="00C34D05"/>
    <w:rsid w:val="00C34D9A"/>
    <w:rsid w:val="00C34DDA"/>
    <w:rsid w:val="00C34F76"/>
    <w:rsid w:val="00C35007"/>
    <w:rsid w:val="00C35035"/>
    <w:rsid w:val="00C35269"/>
    <w:rsid w:val="00C35385"/>
    <w:rsid w:val="00C3539F"/>
    <w:rsid w:val="00C3552C"/>
    <w:rsid w:val="00C35557"/>
    <w:rsid w:val="00C3555D"/>
    <w:rsid w:val="00C355AE"/>
    <w:rsid w:val="00C35606"/>
    <w:rsid w:val="00C3569D"/>
    <w:rsid w:val="00C356C9"/>
    <w:rsid w:val="00C35727"/>
    <w:rsid w:val="00C357E6"/>
    <w:rsid w:val="00C3593E"/>
    <w:rsid w:val="00C35977"/>
    <w:rsid w:val="00C35ACD"/>
    <w:rsid w:val="00C35C66"/>
    <w:rsid w:val="00C35CEA"/>
    <w:rsid w:val="00C35DB9"/>
    <w:rsid w:val="00C35E49"/>
    <w:rsid w:val="00C35F17"/>
    <w:rsid w:val="00C36019"/>
    <w:rsid w:val="00C36034"/>
    <w:rsid w:val="00C360FD"/>
    <w:rsid w:val="00C361FF"/>
    <w:rsid w:val="00C3622A"/>
    <w:rsid w:val="00C362EF"/>
    <w:rsid w:val="00C36332"/>
    <w:rsid w:val="00C36356"/>
    <w:rsid w:val="00C36383"/>
    <w:rsid w:val="00C3642B"/>
    <w:rsid w:val="00C364AE"/>
    <w:rsid w:val="00C364E4"/>
    <w:rsid w:val="00C36661"/>
    <w:rsid w:val="00C3666F"/>
    <w:rsid w:val="00C36741"/>
    <w:rsid w:val="00C367D2"/>
    <w:rsid w:val="00C36904"/>
    <w:rsid w:val="00C36A4D"/>
    <w:rsid w:val="00C36A77"/>
    <w:rsid w:val="00C36B4D"/>
    <w:rsid w:val="00C36B64"/>
    <w:rsid w:val="00C36B76"/>
    <w:rsid w:val="00C36CEA"/>
    <w:rsid w:val="00C36F04"/>
    <w:rsid w:val="00C3705E"/>
    <w:rsid w:val="00C3706D"/>
    <w:rsid w:val="00C37103"/>
    <w:rsid w:val="00C3714D"/>
    <w:rsid w:val="00C3723D"/>
    <w:rsid w:val="00C37246"/>
    <w:rsid w:val="00C373C8"/>
    <w:rsid w:val="00C37411"/>
    <w:rsid w:val="00C374E0"/>
    <w:rsid w:val="00C37504"/>
    <w:rsid w:val="00C37677"/>
    <w:rsid w:val="00C37693"/>
    <w:rsid w:val="00C377B1"/>
    <w:rsid w:val="00C377EA"/>
    <w:rsid w:val="00C37836"/>
    <w:rsid w:val="00C3789D"/>
    <w:rsid w:val="00C37B7E"/>
    <w:rsid w:val="00C37B85"/>
    <w:rsid w:val="00C37DB8"/>
    <w:rsid w:val="00C37DBF"/>
    <w:rsid w:val="00C37FA0"/>
    <w:rsid w:val="00C37FC6"/>
    <w:rsid w:val="00C4009B"/>
    <w:rsid w:val="00C40168"/>
    <w:rsid w:val="00C4016B"/>
    <w:rsid w:val="00C40546"/>
    <w:rsid w:val="00C40624"/>
    <w:rsid w:val="00C40634"/>
    <w:rsid w:val="00C40785"/>
    <w:rsid w:val="00C40897"/>
    <w:rsid w:val="00C408C4"/>
    <w:rsid w:val="00C409F7"/>
    <w:rsid w:val="00C409FA"/>
    <w:rsid w:val="00C40B88"/>
    <w:rsid w:val="00C40D50"/>
    <w:rsid w:val="00C40DCD"/>
    <w:rsid w:val="00C40DF7"/>
    <w:rsid w:val="00C40EDA"/>
    <w:rsid w:val="00C40F58"/>
    <w:rsid w:val="00C40FD6"/>
    <w:rsid w:val="00C40FE7"/>
    <w:rsid w:val="00C4105C"/>
    <w:rsid w:val="00C411AB"/>
    <w:rsid w:val="00C41207"/>
    <w:rsid w:val="00C41266"/>
    <w:rsid w:val="00C41290"/>
    <w:rsid w:val="00C41345"/>
    <w:rsid w:val="00C4142E"/>
    <w:rsid w:val="00C4161A"/>
    <w:rsid w:val="00C41633"/>
    <w:rsid w:val="00C4186B"/>
    <w:rsid w:val="00C418C7"/>
    <w:rsid w:val="00C41C01"/>
    <w:rsid w:val="00C41D2D"/>
    <w:rsid w:val="00C41E62"/>
    <w:rsid w:val="00C41F64"/>
    <w:rsid w:val="00C420EA"/>
    <w:rsid w:val="00C422A3"/>
    <w:rsid w:val="00C42432"/>
    <w:rsid w:val="00C424BC"/>
    <w:rsid w:val="00C42684"/>
    <w:rsid w:val="00C428B4"/>
    <w:rsid w:val="00C428D2"/>
    <w:rsid w:val="00C42976"/>
    <w:rsid w:val="00C42A17"/>
    <w:rsid w:val="00C42A39"/>
    <w:rsid w:val="00C42A3D"/>
    <w:rsid w:val="00C42A50"/>
    <w:rsid w:val="00C42C58"/>
    <w:rsid w:val="00C42D20"/>
    <w:rsid w:val="00C42D7D"/>
    <w:rsid w:val="00C43048"/>
    <w:rsid w:val="00C43076"/>
    <w:rsid w:val="00C43476"/>
    <w:rsid w:val="00C43580"/>
    <w:rsid w:val="00C435E9"/>
    <w:rsid w:val="00C437C9"/>
    <w:rsid w:val="00C439B5"/>
    <w:rsid w:val="00C43BA0"/>
    <w:rsid w:val="00C43D3C"/>
    <w:rsid w:val="00C43D86"/>
    <w:rsid w:val="00C43F81"/>
    <w:rsid w:val="00C43FCC"/>
    <w:rsid w:val="00C440A2"/>
    <w:rsid w:val="00C441A9"/>
    <w:rsid w:val="00C44220"/>
    <w:rsid w:val="00C4437F"/>
    <w:rsid w:val="00C44432"/>
    <w:rsid w:val="00C4443F"/>
    <w:rsid w:val="00C44719"/>
    <w:rsid w:val="00C44747"/>
    <w:rsid w:val="00C44A96"/>
    <w:rsid w:val="00C44CEC"/>
    <w:rsid w:val="00C44D97"/>
    <w:rsid w:val="00C44DE2"/>
    <w:rsid w:val="00C44E1B"/>
    <w:rsid w:val="00C44F59"/>
    <w:rsid w:val="00C44F8A"/>
    <w:rsid w:val="00C4529B"/>
    <w:rsid w:val="00C454D4"/>
    <w:rsid w:val="00C45732"/>
    <w:rsid w:val="00C45A9F"/>
    <w:rsid w:val="00C45AE8"/>
    <w:rsid w:val="00C45D57"/>
    <w:rsid w:val="00C45E44"/>
    <w:rsid w:val="00C45FD0"/>
    <w:rsid w:val="00C460CA"/>
    <w:rsid w:val="00C46281"/>
    <w:rsid w:val="00C4643A"/>
    <w:rsid w:val="00C4652C"/>
    <w:rsid w:val="00C46668"/>
    <w:rsid w:val="00C4667F"/>
    <w:rsid w:val="00C46766"/>
    <w:rsid w:val="00C467FE"/>
    <w:rsid w:val="00C468C3"/>
    <w:rsid w:val="00C4699A"/>
    <w:rsid w:val="00C46A2A"/>
    <w:rsid w:val="00C46A9D"/>
    <w:rsid w:val="00C46ABE"/>
    <w:rsid w:val="00C46B83"/>
    <w:rsid w:val="00C46CCE"/>
    <w:rsid w:val="00C46F33"/>
    <w:rsid w:val="00C46FE5"/>
    <w:rsid w:val="00C47054"/>
    <w:rsid w:val="00C474A5"/>
    <w:rsid w:val="00C474CF"/>
    <w:rsid w:val="00C476BB"/>
    <w:rsid w:val="00C47759"/>
    <w:rsid w:val="00C477BC"/>
    <w:rsid w:val="00C477F7"/>
    <w:rsid w:val="00C478D0"/>
    <w:rsid w:val="00C47CAF"/>
    <w:rsid w:val="00C47EF4"/>
    <w:rsid w:val="00C5001D"/>
    <w:rsid w:val="00C50061"/>
    <w:rsid w:val="00C500CC"/>
    <w:rsid w:val="00C5029B"/>
    <w:rsid w:val="00C50311"/>
    <w:rsid w:val="00C503E0"/>
    <w:rsid w:val="00C504E3"/>
    <w:rsid w:val="00C504EE"/>
    <w:rsid w:val="00C505A4"/>
    <w:rsid w:val="00C50616"/>
    <w:rsid w:val="00C506E0"/>
    <w:rsid w:val="00C507BE"/>
    <w:rsid w:val="00C508EB"/>
    <w:rsid w:val="00C50A8C"/>
    <w:rsid w:val="00C50B36"/>
    <w:rsid w:val="00C50C87"/>
    <w:rsid w:val="00C50D86"/>
    <w:rsid w:val="00C50EB7"/>
    <w:rsid w:val="00C50FC9"/>
    <w:rsid w:val="00C51004"/>
    <w:rsid w:val="00C5127C"/>
    <w:rsid w:val="00C51294"/>
    <w:rsid w:val="00C512D0"/>
    <w:rsid w:val="00C512E8"/>
    <w:rsid w:val="00C5134E"/>
    <w:rsid w:val="00C513A5"/>
    <w:rsid w:val="00C513D0"/>
    <w:rsid w:val="00C5144B"/>
    <w:rsid w:val="00C5152C"/>
    <w:rsid w:val="00C5156A"/>
    <w:rsid w:val="00C5157D"/>
    <w:rsid w:val="00C518A1"/>
    <w:rsid w:val="00C518BB"/>
    <w:rsid w:val="00C51BB7"/>
    <w:rsid w:val="00C51D06"/>
    <w:rsid w:val="00C51EC9"/>
    <w:rsid w:val="00C51EED"/>
    <w:rsid w:val="00C51F38"/>
    <w:rsid w:val="00C51FB3"/>
    <w:rsid w:val="00C520EA"/>
    <w:rsid w:val="00C52141"/>
    <w:rsid w:val="00C522A0"/>
    <w:rsid w:val="00C522F2"/>
    <w:rsid w:val="00C52346"/>
    <w:rsid w:val="00C52355"/>
    <w:rsid w:val="00C52393"/>
    <w:rsid w:val="00C523F7"/>
    <w:rsid w:val="00C524E3"/>
    <w:rsid w:val="00C524EF"/>
    <w:rsid w:val="00C524F0"/>
    <w:rsid w:val="00C5253F"/>
    <w:rsid w:val="00C5258A"/>
    <w:rsid w:val="00C525DC"/>
    <w:rsid w:val="00C52621"/>
    <w:rsid w:val="00C52707"/>
    <w:rsid w:val="00C5275A"/>
    <w:rsid w:val="00C528EF"/>
    <w:rsid w:val="00C5296B"/>
    <w:rsid w:val="00C529D8"/>
    <w:rsid w:val="00C52A73"/>
    <w:rsid w:val="00C52CA5"/>
    <w:rsid w:val="00C53187"/>
    <w:rsid w:val="00C532AE"/>
    <w:rsid w:val="00C532B3"/>
    <w:rsid w:val="00C5339F"/>
    <w:rsid w:val="00C5346A"/>
    <w:rsid w:val="00C53555"/>
    <w:rsid w:val="00C5365D"/>
    <w:rsid w:val="00C53770"/>
    <w:rsid w:val="00C53832"/>
    <w:rsid w:val="00C53889"/>
    <w:rsid w:val="00C53B59"/>
    <w:rsid w:val="00C53C31"/>
    <w:rsid w:val="00C53C8F"/>
    <w:rsid w:val="00C53D08"/>
    <w:rsid w:val="00C53D7E"/>
    <w:rsid w:val="00C53FC2"/>
    <w:rsid w:val="00C54147"/>
    <w:rsid w:val="00C543A5"/>
    <w:rsid w:val="00C54469"/>
    <w:rsid w:val="00C54527"/>
    <w:rsid w:val="00C54650"/>
    <w:rsid w:val="00C54761"/>
    <w:rsid w:val="00C54790"/>
    <w:rsid w:val="00C54835"/>
    <w:rsid w:val="00C54AEE"/>
    <w:rsid w:val="00C54AF3"/>
    <w:rsid w:val="00C54B03"/>
    <w:rsid w:val="00C54BB0"/>
    <w:rsid w:val="00C54E4E"/>
    <w:rsid w:val="00C54EE1"/>
    <w:rsid w:val="00C54F9E"/>
    <w:rsid w:val="00C551FF"/>
    <w:rsid w:val="00C5523B"/>
    <w:rsid w:val="00C553E1"/>
    <w:rsid w:val="00C557C0"/>
    <w:rsid w:val="00C557C2"/>
    <w:rsid w:val="00C557E0"/>
    <w:rsid w:val="00C558C2"/>
    <w:rsid w:val="00C558E8"/>
    <w:rsid w:val="00C5597C"/>
    <w:rsid w:val="00C55A57"/>
    <w:rsid w:val="00C55B6E"/>
    <w:rsid w:val="00C56164"/>
    <w:rsid w:val="00C56186"/>
    <w:rsid w:val="00C561AB"/>
    <w:rsid w:val="00C56273"/>
    <w:rsid w:val="00C562C5"/>
    <w:rsid w:val="00C5637F"/>
    <w:rsid w:val="00C5645D"/>
    <w:rsid w:val="00C56527"/>
    <w:rsid w:val="00C565B3"/>
    <w:rsid w:val="00C565B4"/>
    <w:rsid w:val="00C5661B"/>
    <w:rsid w:val="00C566FA"/>
    <w:rsid w:val="00C56776"/>
    <w:rsid w:val="00C56835"/>
    <w:rsid w:val="00C5686D"/>
    <w:rsid w:val="00C5690E"/>
    <w:rsid w:val="00C56983"/>
    <w:rsid w:val="00C56A4A"/>
    <w:rsid w:val="00C56B9B"/>
    <w:rsid w:val="00C56C39"/>
    <w:rsid w:val="00C56C43"/>
    <w:rsid w:val="00C56F05"/>
    <w:rsid w:val="00C56F47"/>
    <w:rsid w:val="00C57027"/>
    <w:rsid w:val="00C57191"/>
    <w:rsid w:val="00C571C0"/>
    <w:rsid w:val="00C57431"/>
    <w:rsid w:val="00C5746B"/>
    <w:rsid w:val="00C57539"/>
    <w:rsid w:val="00C57623"/>
    <w:rsid w:val="00C57625"/>
    <w:rsid w:val="00C5785D"/>
    <w:rsid w:val="00C57B37"/>
    <w:rsid w:val="00C57C8A"/>
    <w:rsid w:val="00C57C93"/>
    <w:rsid w:val="00C57C96"/>
    <w:rsid w:val="00C57CEB"/>
    <w:rsid w:val="00C57D38"/>
    <w:rsid w:val="00C57D82"/>
    <w:rsid w:val="00C57DC5"/>
    <w:rsid w:val="00C57DD4"/>
    <w:rsid w:val="00C57F98"/>
    <w:rsid w:val="00C601C5"/>
    <w:rsid w:val="00C60289"/>
    <w:rsid w:val="00C6043E"/>
    <w:rsid w:val="00C6047D"/>
    <w:rsid w:val="00C604AC"/>
    <w:rsid w:val="00C6057C"/>
    <w:rsid w:val="00C6065C"/>
    <w:rsid w:val="00C60975"/>
    <w:rsid w:val="00C60A36"/>
    <w:rsid w:val="00C60A49"/>
    <w:rsid w:val="00C60AF6"/>
    <w:rsid w:val="00C60B21"/>
    <w:rsid w:val="00C60B50"/>
    <w:rsid w:val="00C60D3B"/>
    <w:rsid w:val="00C60DC4"/>
    <w:rsid w:val="00C60F3D"/>
    <w:rsid w:val="00C6103F"/>
    <w:rsid w:val="00C6122D"/>
    <w:rsid w:val="00C6146D"/>
    <w:rsid w:val="00C614DA"/>
    <w:rsid w:val="00C614FD"/>
    <w:rsid w:val="00C61541"/>
    <w:rsid w:val="00C61543"/>
    <w:rsid w:val="00C61622"/>
    <w:rsid w:val="00C616FA"/>
    <w:rsid w:val="00C6187F"/>
    <w:rsid w:val="00C618AD"/>
    <w:rsid w:val="00C61AE7"/>
    <w:rsid w:val="00C61C05"/>
    <w:rsid w:val="00C61CC1"/>
    <w:rsid w:val="00C61ED9"/>
    <w:rsid w:val="00C61F21"/>
    <w:rsid w:val="00C61F82"/>
    <w:rsid w:val="00C62034"/>
    <w:rsid w:val="00C62100"/>
    <w:rsid w:val="00C62166"/>
    <w:rsid w:val="00C6217B"/>
    <w:rsid w:val="00C622DB"/>
    <w:rsid w:val="00C62335"/>
    <w:rsid w:val="00C62493"/>
    <w:rsid w:val="00C62516"/>
    <w:rsid w:val="00C625ED"/>
    <w:rsid w:val="00C62686"/>
    <w:rsid w:val="00C626D2"/>
    <w:rsid w:val="00C62915"/>
    <w:rsid w:val="00C62A3D"/>
    <w:rsid w:val="00C62B96"/>
    <w:rsid w:val="00C62BA2"/>
    <w:rsid w:val="00C62C0B"/>
    <w:rsid w:val="00C62D24"/>
    <w:rsid w:val="00C62E75"/>
    <w:rsid w:val="00C62E87"/>
    <w:rsid w:val="00C62F57"/>
    <w:rsid w:val="00C62F5C"/>
    <w:rsid w:val="00C630F9"/>
    <w:rsid w:val="00C63151"/>
    <w:rsid w:val="00C631BB"/>
    <w:rsid w:val="00C63229"/>
    <w:rsid w:val="00C63240"/>
    <w:rsid w:val="00C63325"/>
    <w:rsid w:val="00C634B8"/>
    <w:rsid w:val="00C63504"/>
    <w:rsid w:val="00C635ED"/>
    <w:rsid w:val="00C63939"/>
    <w:rsid w:val="00C6394A"/>
    <w:rsid w:val="00C63983"/>
    <w:rsid w:val="00C63BD0"/>
    <w:rsid w:val="00C63C45"/>
    <w:rsid w:val="00C63E37"/>
    <w:rsid w:val="00C6416C"/>
    <w:rsid w:val="00C6420C"/>
    <w:rsid w:val="00C643C3"/>
    <w:rsid w:val="00C64613"/>
    <w:rsid w:val="00C647C8"/>
    <w:rsid w:val="00C647D5"/>
    <w:rsid w:val="00C6487B"/>
    <w:rsid w:val="00C648A6"/>
    <w:rsid w:val="00C64AC8"/>
    <w:rsid w:val="00C64B38"/>
    <w:rsid w:val="00C64C47"/>
    <w:rsid w:val="00C64D3D"/>
    <w:rsid w:val="00C64EEE"/>
    <w:rsid w:val="00C64F6F"/>
    <w:rsid w:val="00C6503A"/>
    <w:rsid w:val="00C650EA"/>
    <w:rsid w:val="00C65208"/>
    <w:rsid w:val="00C65260"/>
    <w:rsid w:val="00C65344"/>
    <w:rsid w:val="00C653A6"/>
    <w:rsid w:val="00C653C4"/>
    <w:rsid w:val="00C6573B"/>
    <w:rsid w:val="00C65761"/>
    <w:rsid w:val="00C65770"/>
    <w:rsid w:val="00C658DE"/>
    <w:rsid w:val="00C659B3"/>
    <w:rsid w:val="00C659E9"/>
    <w:rsid w:val="00C65A00"/>
    <w:rsid w:val="00C65B43"/>
    <w:rsid w:val="00C65D13"/>
    <w:rsid w:val="00C65F65"/>
    <w:rsid w:val="00C65F74"/>
    <w:rsid w:val="00C65F9F"/>
    <w:rsid w:val="00C660B9"/>
    <w:rsid w:val="00C6621C"/>
    <w:rsid w:val="00C662E4"/>
    <w:rsid w:val="00C66319"/>
    <w:rsid w:val="00C66394"/>
    <w:rsid w:val="00C663AB"/>
    <w:rsid w:val="00C66590"/>
    <w:rsid w:val="00C66A45"/>
    <w:rsid w:val="00C66B10"/>
    <w:rsid w:val="00C66C66"/>
    <w:rsid w:val="00C66D4D"/>
    <w:rsid w:val="00C66E95"/>
    <w:rsid w:val="00C66EB6"/>
    <w:rsid w:val="00C67014"/>
    <w:rsid w:val="00C671AE"/>
    <w:rsid w:val="00C6752A"/>
    <w:rsid w:val="00C67543"/>
    <w:rsid w:val="00C6754A"/>
    <w:rsid w:val="00C67570"/>
    <w:rsid w:val="00C6775C"/>
    <w:rsid w:val="00C6775F"/>
    <w:rsid w:val="00C6785F"/>
    <w:rsid w:val="00C678FA"/>
    <w:rsid w:val="00C67C30"/>
    <w:rsid w:val="00C67C67"/>
    <w:rsid w:val="00C67C7A"/>
    <w:rsid w:val="00C67D27"/>
    <w:rsid w:val="00C67DC6"/>
    <w:rsid w:val="00C67FA2"/>
    <w:rsid w:val="00C70014"/>
    <w:rsid w:val="00C70059"/>
    <w:rsid w:val="00C70321"/>
    <w:rsid w:val="00C703DD"/>
    <w:rsid w:val="00C70668"/>
    <w:rsid w:val="00C70721"/>
    <w:rsid w:val="00C7072A"/>
    <w:rsid w:val="00C707BD"/>
    <w:rsid w:val="00C707FF"/>
    <w:rsid w:val="00C70878"/>
    <w:rsid w:val="00C708EA"/>
    <w:rsid w:val="00C70D7D"/>
    <w:rsid w:val="00C70DFB"/>
    <w:rsid w:val="00C70EF5"/>
    <w:rsid w:val="00C70EFE"/>
    <w:rsid w:val="00C70F9D"/>
    <w:rsid w:val="00C711BA"/>
    <w:rsid w:val="00C712C9"/>
    <w:rsid w:val="00C7132A"/>
    <w:rsid w:val="00C71541"/>
    <w:rsid w:val="00C71547"/>
    <w:rsid w:val="00C715CD"/>
    <w:rsid w:val="00C715D1"/>
    <w:rsid w:val="00C71623"/>
    <w:rsid w:val="00C71789"/>
    <w:rsid w:val="00C71928"/>
    <w:rsid w:val="00C719BB"/>
    <w:rsid w:val="00C71AC0"/>
    <w:rsid w:val="00C71D3D"/>
    <w:rsid w:val="00C71E01"/>
    <w:rsid w:val="00C72029"/>
    <w:rsid w:val="00C72199"/>
    <w:rsid w:val="00C721AB"/>
    <w:rsid w:val="00C722A5"/>
    <w:rsid w:val="00C724A2"/>
    <w:rsid w:val="00C725E3"/>
    <w:rsid w:val="00C7266E"/>
    <w:rsid w:val="00C727D2"/>
    <w:rsid w:val="00C7282C"/>
    <w:rsid w:val="00C729C9"/>
    <w:rsid w:val="00C72BA5"/>
    <w:rsid w:val="00C72C5C"/>
    <w:rsid w:val="00C72DEB"/>
    <w:rsid w:val="00C72DFE"/>
    <w:rsid w:val="00C72E47"/>
    <w:rsid w:val="00C72F25"/>
    <w:rsid w:val="00C72F7D"/>
    <w:rsid w:val="00C731F8"/>
    <w:rsid w:val="00C7324E"/>
    <w:rsid w:val="00C733CC"/>
    <w:rsid w:val="00C73597"/>
    <w:rsid w:val="00C7370B"/>
    <w:rsid w:val="00C7385F"/>
    <w:rsid w:val="00C7386E"/>
    <w:rsid w:val="00C7390C"/>
    <w:rsid w:val="00C73CBE"/>
    <w:rsid w:val="00C73CF1"/>
    <w:rsid w:val="00C74003"/>
    <w:rsid w:val="00C74121"/>
    <w:rsid w:val="00C742C0"/>
    <w:rsid w:val="00C743A3"/>
    <w:rsid w:val="00C74502"/>
    <w:rsid w:val="00C74666"/>
    <w:rsid w:val="00C748BE"/>
    <w:rsid w:val="00C74921"/>
    <w:rsid w:val="00C749F5"/>
    <w:rsid w:val="00C74A94"/>
    <w:rsid w:val="00C74BEA"/>
    <w:rsid w:val="00C74CD5"/>
    <w:rsid w:val="00C74E2A"/>
    <w:rsid w:val="00C7503F"/>
    <w:rsid w:val="00C75100"/>
    <w:rsid w:val="00C75154"/>
    <w:rsid w:val="00C75163"/>
    <w:rsid w:val="00C75306"/>
    <w:rsid w:val="00C75422"/>
    <w:rsid w:val="00C757A4"/>
    <w:rsid w:val="00C7583D"/>
    <w:rsid w:val="00C75852"/>
    <w:rsid w:val="00C759DB"/>
    <w:rsid w:val="00C75A10"/>
    <w:rsid w:val="00C75AA1"/>
    <w:rsid w:val="00C75B7E"/>
    <w:rsid w:val="00C75D1C"/>
    <w:rsid w:val="00C75D3B"/>
    <w:rsid w:val="00C75F72"/>
    <w:rsid w:val="00C75F8D"/>
    <w:rsid w:val="00C75F94"/>
    <w:rsid w:val="00C7602C"/>
    <w:rsid w:val="00C76112"/>
    <w:rsid w:val="00C76132"/>
    <w:rsid w:val="00C761BB"/>
    <w:rsid w:val="00C7623A"/>
    <w:rsid w:val="00C762D7"/>
    <w:rsid w:val="00C763AE"/>
    <w:rsid w:val="00C765C4"/>
    <w:rsid w:val="00C765CA"/>
    <w:rsid w:val="00C76681"/>
    <w:rsid w:val="00C76776"/>
    <w:rsid w:val="00C76819"/>
    <w:rsid w:val="00C768B6"/>
    <w:rsid w:val="00C76939"/>
    <w:rsid w:val="00C769D6"/>
    <w:rsid w:val="00C769E7"/>
    <w:rsid w:val="00C76A6A"/>
    <w:rsid w:val="00C76AF6"/>
    <w:rsid w:val="00C76B56"/>
    <w:rsid w:val="00C76BFF"/>
    <w:rsid w:val="00C76C21"/>
    <w:rsid w:val="00C76F46"/>
    <w:rsid w:val="00C76F50"/>
    <w:rsid w:val="00C76F68"/>
    <w:rsid w:val="00C76F79"/>
    <w:rsid w:val="00C77043"/>
    <w:rsid w:val="00C7705C"/>
    <w:rsid w:val="00C7730D"/>
    <w:rsid w:val="00C7769E"/>
    <w:rsid w:val="00C77B56"/>
    <w:rsid w:val="00C77BCF"/>
    <w:rsid w:val="00C77BDE"/>
    <w:rsid w:val="00C77CE9"/>
    <w:rsid w:val="00C77D57"/>
    <w:rsid w:val="00C77DD3"/>
    <w:rsid w:val="00C77E0D"/>
    <w:rsid w:val="00C77ED9"/>
    <w:rsid w:val="00C77EE4"/>
    <w:rsid w:val="00C801DB"/>
    <w:rsid w:val="00C80202"/>
    <w:rsid w:val="00C80395"/>
    <w:rsid w:val="00C804EB"/>
    <w:rsid w:val="00C80542"/>
    <w:rsid w:val="00C80555"/>
    <w:rsid w:val="00C80692"/>
    <w:rsid w:val="00C8082D"/>
    <w:rsid w:val="00C80843"/>
    <w:rsid w:val="00C80883"/>
    <w:rsid w:val="00C809D1"/>
    <w:rsid w:val="00C80B61"/>
    <w:rsid w:val="00C80BE5"/>
    <w:rsid w:val="00C80C4B"/>
    <w:rsid w:val="00C80C7E"/>
    <w:rsid w:val="00C80CEA"/>
    <w:rsid w:val="00C80CF7"/>
    <w:rsid w:val="00C80D47"/>
    <w:rsid w:val="00C80D5D"/>
    <w:rsid w:val="00C80D7D"/>
    <w:rsid w:val="00C80E69"/>
    <w:rsid w:val="00C81138"/>
    <w:rsid w:val="00C812A2"/>
    <w:rsid w:val="00C812C9"/>
    <w:rsid w:val="00C8140B"/>
    <w:rsid w:val="00C8148D"/>
    <w:rsid w:val="00C81588"/>
    <w:rsid w:val="00C81A01"/>
    <w:rsid w:val="00C81E67"/>
    <w:rsid w:val="00C81ED3"/>
    <w:rsid w:val="00C820BF"/>
    <w:rsid w:val="00C82255"/>
    <w:rsid w:val="00C82265"/>
    <w:rsid w:val="00C822F6"/>
    <w:rsid w:val="00C82383"/>
    <w:rsid w:val="00C823D2"/>
    <w:rsid w:val="00C82402"/>
    <w:rsid w:val="00C8252F"/>
    <w:rsid w:val="00C825E1"/>
    <w:rsid w:val="00C82679"/>
    <w:rsid w:val="00C827B6"/>
    <w:rsid w:val="00C827FD"/>
    <w:rsid w:val="00C82CFB"/>
    <w:rsid w:val="00C82D1A"/>
    <w:rsid w:val="00C82DA2"/>
    <w:rsid w:val="00C82EF6"/>
    <w:rsid w:val="00C82F0A"/>
    <w:rsid w:val="00C83065"/>
    <w:rsid w:val="00C8308C"/>
    <w:rsid w:val="00C8308E"/>
    <w:rsid w:val="00C8310A"/>
    <w:rsid w:val="00C8312C"/>
    <w:rsid w:val="00C83169"/>
    <w:rsid w:val="00C831EF"/>
    <w:rsid w:val="00C83492"/>
    <w:rsid w:val="00C834D1"/>
    <w:rsid w:val="00C83532"/>
    <w:rsid w:val="00C8356D"/>
    <w:rsid w:val="00C835C0"/>
    <w:rsid w:val="00C8375B"/>
    <w:rsid w:val="00C83A9F"/>
    <w:rsid w:val="00C83ABC"/>
    <w:rsid w:val="00C83B36"/>
    <w:rsid w:val="00C83B3D"/>
    <w:rsid w:val="00C83B3E"/>
    <w:rsid w:val="00C83C91"/>
    <w:rsid w:val="00C83CBE"/>
    <w:rsid w:val="00C83DA1"/>
    <w:rsid w:val="00C83DD5"/>
    <w:rsid w:val="00C83EDE"/>
    <w:rsid w:val="00C8407F"/>
    <w:rsid w:val="00C84162"/>
    <w:rsid w:val="00C841C4"/>
    <w:rsid w:val="00C8423A"/>
    <w:rsid w:val="00C84258"/>
    <w:rsid w:val="00C84291"/>
    <w:rsid w:val="00C8443B"/>
    <w:rsid w:val="00C845CF"/>
    <w:rsid w:val="00C84651"/>
    <w:rsid w:val="00C84776"/>
    <w:rsid w:val="00C8491E"/>
    <w:rsid w:val="00C84A9B"/>
    <w:rsid w:val="00C84AF2"/>
    <w:rsid w:val="00C84B43"/>
    <w:rsid w:val="00C84B46"/>
    <w:rsid w:val="00C84B8C"/>
    <w:rsid w:val="00C84C29"/>
    <w:rsid w:val="00C84D77"/>
    <w:rsid w:val="00C84DFC"/>
    <w:rsid w:val="00C84E34"/>
    <w:rsid w:val="00C84E9D"/>
    <w:rsid w:val="00C84EB4"/>
    <w:rsid w:val="00C84F4F"/>
    <w:rsid w:val="00C851E3"/>
    <w:rsid w:val="00C85272"/>
    <w:rsid w:val="00C852B3"/>
    <w:rsid w:val="00C85314"/>
    <w:rsid w:val="00C85443"/>
    <w:rsid w:val="00C854A5"/>
    <w:rsid w:val="00C8578C"/>
    <w:rsid w:val="00C857F9"/>
    <w:rsid w:val="00C858F7"/>
    <w:rsid w:val="00C8590D"/>
    <w:rsid w:val="00C85978"/>
    <w:rsid w:val="00C85A09"/>
    <w:rsid w:val="00C85B6C"/>
    <w:rsid w:val="00C85BA4"/>
    <w:rsid w:val="00C85BB1"/>
    <w:rsid w:val="00C85C54"/>
    <w:rsid w:val="00C85C77"/>
    <w:rsid w:val="00C85CB3"/>
    <w:rsid w:val="00C85D5E"/>
    <w:rsid w:val="00C85DA1"/>
    <w:rsid w:val="00C85DA4"/>
    <w:rsid w:val="00C85EB0"/>
    <w:rsid w:val="00C85F5B"/>
    <w:rsid w:val="00C85F91"/>
    <w:rsid w:val="00C85FAD"/>
    <w:rsid w:val="00C85FCA"/>
    <w:rsid w:val="00C86030"/>
    <w:rsid w:val="00C86291"/>
    <w:rsid w:val="00C8631A"/>
    <w:rsid w:val="00C863CF"/>
    <w:rsid w:val="00C8648E"/>
    <w:rsid w:val="00C86547"/>
    <w:rsid w:val="00C86628"/>
    <w:rsid w:val="00C8684D"/>
    <w:rsid w:val="00C86861"/>
    <w:rsid w:val="00C86AB3"/>
    <w:rsid w:val="00C86ACA"/>
    <w:rsid w:val="00C86B64"/>
    <w:rsid w:val="00C86C4A"/>
    <w:rsid w:val="00C86C77"/>
    <w:rsid w:val="00C86D76"/>
    <w:rsid w:val="00C86F6D"/>
    <w:rsid w:val="00C86FAD"/>
    <w:rsid w:val="00C86FCA"/>
    <w:rsid w:val="00C8710A"/>
    <w:rsid w:val="00C872A8"/>
    <w:rsid w:val="00C872D7"/>
    <w:rsid w:val="00C872DF"/>
    <w:rsid w:val="00C872F8"/>
    <w:rsid w:val="00C873E2"/>
    <w:rsid w:val="00C873EA"/>
    <w:rsid w:val="00C87679"/>
    <w:rsid w:val="00C8777E"/>
    <w:rsid w:val="00C877B9"/>
    <w:rsid w:val="00C87897"/>
    <w:rsid w:val="00C8798E"/>
    <w:rsid w:val="00C87A36"/>
    <w:rsid w:val="00C87ACD"/>
    <w:rsid w:val="00C87B27"/>
    <w:rsid w:val="00C87B28"/>
    <w:rsid w:val="00C87B42"/>
    <w:rsid w:val="00C87C04"/>
    <w:rsid w:val="00C87C32"/>
    <w:rsid w:val="00C87E35"/>
    <w:rsid w:val="00C87FDD"/>
    <w:rsid w:val="00C903E1"/>
    <w:rsid w:val="00C90401"/>
    <w:rsid w:val="00C9043D"/>
    <w:rsid w:val="00C9057C"/>
    <w:rsid w:val="00C9059A"/>
    <w:rsid w:val="00C905A8"/>
    <w:rsid w:val="00C90855"/>
    <w:rsid w:val="00C90872"/>
    <w:rsid w:val="00C908A5"/>
    <w:rsid w:val="00C909F1"/>
    <w:rsid w:val="00C90A04"/>
    <w:rsid w:val="00C90BAD"/>
    <w:rsid w:val="00C90C6B"/>
    <w:rsid w:val="00C90CEB"/>
    <w:rsid w:val="00C90E0B"/>
    <w:rsid w:val="00C90EBC"/>
    <w:rsid w:val="00C90F73"/>
    <w:rsid w:val="00C9102C"/>
    <w:rsid w:val="00C910BD"/>
    <w:rsid w:val="00C91114"/>
    <w:rsid w:val="00C9115F"/>
    <w:rsid w:val="00C91168"/>
    <w:rsid w:val="00C911D3"/>
    <w:rsid w:val="00C911DA"/>
    <w:rsid w:val="00C9125E"/>
    <w:rsid w:val="00C91265"/>
    <w:rsid w:val="00C912CB"/>
    <w:rsid w:val="00C914E4"/>
    <w:rsid w:val="00C91525"/>
    <w:rsid w:val="00C91751"/>
    <w:rsid w:val="00C9182F"/>
    <w:rsid w:val="00C918C7"/>
    <w:rsid w:val="00C918F4"/>
    <w:rsid w:val="00C919A6"/>
    <w:rsid w:val="00C919C8"/>
    <w:rsid w:val="00C91AF6"/>
    <w:rsid w:val="00C91C92"/>
    <w:rsid w:val="00C9207C"/>
    <w:rsid w:val="00C920EB"/>
    <w:rsid w:val="00C9212E"/>
    <w:rsid w:val="00C924A3"/>
    <w:rsid w:val="00C9275D"/>
    <w:rsid w:val="00C92772"/>
    <w:rsid w:val="00C927CA"/>
    <w:rsid w:val="00C927D8"/>
    <w:rsid w:val="00C927E3"/>
    <w:rsid w:val="00C928DF"/>
    <w:rsid w:val="00C928E4"/>
    <w:rsid w:val="00C92A65"/>
    <w:rsid w:val="00C92B04"/>
    <w:rsid w:val="00C92B91"/>
    <w:rsid w:val="00C92BB0"/>
    <w:rsid w:val="00C92C58"/>
    <w:rsid w:val="00C92F59"/>
    <w:rsid w:val="00C93008"/>
    <w:rsid w:val="00C9305D"/>
    <w:rsid w:val="00C93094"/>
    <w:rsid w:val="00C930A4"/>
    <w:rsid w:val="00C933A8"/>
    <w:rsid w:val="00C933B2"/>
    <w:rsid w:val="00C9340A"/>
    <w:rsid w:val="00C93423"/>
    <w:rsid w:val="00C934A6"/>
    <w:rsid w:val="00C93639"/>
    <w:rsid w:val="00C93856"/>
    <w:rsid w:val="00C938DF"/>
    <w:rsid w:val="00C939C2"/>
    <w:rsid w:val="00C93A02"/>
    <w:rsid w:val="00C93A0D"/>
    <w:rsid w:val="00C93AA4"/>
    <w:rsid w:val="00C93ED0"/>
    <w:rsid w:val="00C93FFC"/>
    <w:rsid w:val="00C9402B"/>
    <w:rsid w:val="00C94248"/>
    <w:rsid w:val="00C944BD"/>
    <w:rsid w:val="00C94670"/>
    <w:rsid w:val="00C946F9"/>
    <w:rsid w:val="00C947D8"/>
    <w:rsid w:val="00C9484F"/>
    <w:rsid w:val="00C948CD"/>
    <w:rsid w:val="00C948D3"/>
    <w:rsid w:val="00C94D94"/>
    <w:rsid w:val="00C94DBC"/>
    <w:rsid w:val="00C94DC7"/>
    <w:rsid w:val="00C94DD0"/>
    <w:rsid w:val="00C94EA3"/>
    <w:rsid w:val="00C95048"/>
    <w:rsid w:val="00C95394"/>
    <w:rsid w:val="00C953C8"/>
    <w:rsid w:val="00C954F1"/>
    <w:rsid w:val="00C95501"/>
    <w:rsid w:val="00C9565D"/>
    <w:rsid w:val="00C9582C"/>
    <w:rsid w:val="00C95A48"/>
    <w:rsid w:val="00C95DBB"/>
    <w:rsid w:val="00C95DEF"/>
    <w:rsid w:val="00C96031"/>
    <w:rsid w:val="00C96395"/>
    <w:rsid w:val="00C963A4"/>
    <w:rsid w:val="00C966B2"/>
    <w:rsid w:val="00C967BC"/>
    <w:rsid w:val="00C96809"/>
    <w:rsid w:val="00C9682F"/>
    <w:rsid w:val="00C96839"/>
    <w:rsid w:val="00C968B6"/>
    <w:rsid w:val="00C96995"/>
    <w:rsid w:val="00C969CC"/>
    <w:rsid w:val="00C96F17"/>
    <w:rsid w:val="00C96FC5"/>
    <w:rsid w:val="00C97008"/>
    <w:rsid w:val="00C9714F"/>
    <w:rsid w:val="00C971C4"/>
    <w:rsid w:val="00C97201"/>
    <w:rsid w:val="00C972E7"/>
    <w:rsid w:val="00C976A1"/>
    <w:rsid w:val="00C976B4"/>
    <w:rsid w:val="00C9797E"/>
    <w:rsid w:val="00C97A75"/>
    <w:rsid w:val="00C97CCE"/>
    <w:rsid w:val="00C97DB6"/>
    <w:rsid w:val="00C97ECD"/>
    <w:rsid w:val="00C97F26"/>
    <w:rsid w:val="00C97F85"/>
    <w:rsid w:val="00C97F8B"/>
    <w:rsid w:val="00CA0066"/>
    <w:rsid w:val="00CA0077"/>
    <w:rsid w:val="00CA00B5"/>
    <w:rsid w:val="00CA0257"/>
    <w:rsid w:val="00CA0357"/>
    <w:rsid w:val="00CA0450"/>
    <w:rsid w:val="00CA04CB"/>
    <w:rsid w:val="00CA04E8"/>
    <w:rsid w:val="00CA050E"/>
    <w:rsid w:val="00CA06E3"/>
    <w:rsid w:val="00CA0741"/>
    <w:rsid w:val="00CA07BD"/>
    <w:rsid w:val="00CA082C"/>
    <w:rsid w:val="00CA082E"/>
    <w:rsid w:val="00CA092D"/>
    <w:rsid w:val="00CA0999"/>
    <w:rsid w:val="00CA0C42"/>
    <w:rsid w:val="00CA0C66"/>
    <w:rsid w:val="00CA1437"/>
    <w:rsid w:val="00CA15DF"/>
    <w:rsid w:val="00CA1942"/>
    <w:rsid w:val="00CA1B71"/>
    <w:rsid w:val="00CA1BE3"/>
    <w:rsid w:val="00CA1D84"/>
    <w:rsid w:val="00CA2033"/>
    <w:rsid w:val="00CA20A3"/>
    <w:rsid w:val="00CA20E2"/>
    <w:rsid w:val="00CA20F7"/>
    <w:rsid w:val="00CA2152"/>
    <w:rsid w:val="00CA2303"/>
    <w:rsid w:val="00CA2662"/>
    <w:rsid w:val="00CA272C"/>
    <w:rsid w:val="00CA2784"/>
    <w:rsid w:val="00CA27C9"/>
    <w:rsid w:val="00CA27D0"/>
    <w:rsid w:val="00CA27FF"/>
    <w:rsid w:val="00CA28D7"/>
    <w:rsid w:val="00CA2966"/>
    <w:rsid w:val="00CA297D"/>
    <w:rsid w:val="00CA29B0"/>
    <w:rsid w:val="00CA2A7F"/>
    <w:rsid w:val="00CA2AE8"/>
    <w:rsid w:val="00CA2B02"/>
    <w:rsid w:val="00CA2CB5"/>
    <w:rsid w:val="00CA2DED"/>
    <w:rsid w:val="00CA2F6E"/>
    <w:rsid w:val="00CA30F6"/>
    <w:rsid w:val="00CA314D"/>
    <w:rsid w:val="00CA321B"/>
    <w:rsid w:val="00CA349A"/>
    <w:rsid w:val="00CA35E6"/>
    <w:rsid w:val="00CA3715"/>
    <w:rsid w:val="00CA38FA"/>
    <w:rsid w:val="00CA3B6C"/>
    <w:rsid w:val="00CA3B8C"/>
    <w:rsid w:val="00CA3C6F"/>
    <w:rsid w:val="00CA3C83"/>
    <w:rsid w:val="00CA3C92"/>
    <w:rsid w:val="00CA3EB0"/>
    <w:rsid w:val="00CA3FAD"/>
    <w:rsid w:val="00CA3FE8"/>
    <w:rsid w:val="00CA437C"/>
    <w:rsid w:val="00CA4594"/>
    <w:rsid w:val="00CA45D8"/>
    <w:rsid w:val="00CA4656"/>
    <w:rsid w:val="00CA46A1"/>
    <w:rsid w:val="00CA46D6"/>
    <w:rsid w:val="00CA47D0"/>
    <w:rsid w:val="00CA4983"/>
    <w:rsid w:val="00CA49A6"/>
    <w:rsid w:val="00CA49BA"/>
    <w:rsid w:val="00CA4BBE"/>
    <w:rsid w:val="00CA4BC0"/>
    <w:rsid w:val="00CA4D7A"/>
    <w:rsid w:val="00CA4E9B"/>
    <w:rsid w:val="00CA4F2F"/>
    <w:rsid w:val="00CA5092"/>
    <w:rsid w:val="00CA50F4"/>
    <w:rsid w:val="00CA5260"/>
    <w:rsid w:val="00CA534C"/>
    <w:rsid w:val="00CA53A0"/>
    <w:rsid w:val="00CA53B4"/>
    <w:rsid w:val="00CA54AA"/>
    <w:rsid w:val="00CA562A"/>
    <w:rsid w:val="00CA566B"/>
    <w:rsid w:val="00CA588C"/>
    <w:rsid w:val="00CA5925"/>
    <w:rsid w:val="00CA5A0F"/>
    <w:rsid w:val="00CA5A74"/>
    <w:rsid w:val="00CA5B88"/>
    <w:rsid w:val="00CA5C8E"/>
    <w:rsid w:val="00CA5D20"/>
    <w:rsid w:val="00CA5DAD"/>
    <w:rsid w:val="00CA5E36"/>
    <w:rsid w:val="00CA6047"/>
    <w:rsid w:val="00CA60A3"/>
    <w:rsid w:val="00CA6110"/>
    <w:rsid w:val="00CA61F6"/>
    <w:rsid w:val="00CA63EB"/>
    <w:rsid w:val="00CA6654"/>
    <w:rsid w:val="00CA677A"/>
    <w:rsid w:val="00CA682A"/>
    <w:rsid w:val="00CA6C3B"/>
    <w:rsid w:val="00CA6D50"/>
    <w:rsid w:val="00CA6D6A"/>
    <w:rsid w:val="00CA6DC4"/>
    <w:rsid w:val="00CA6EB0"/>
    <w:rsid w:val="00CA6EBE"/>
    <w:rsid w:val="00CA7139"/>
    <w:rsid w:val="00CA722B"/>
    <w:rsid w:val="00CA72A7"/>
    <w:rsid w:val="00CA72C4"/>
    <w:rsid w:val="00CA72EF"/>
    <w:rsid w:val="00CA734A"/>
    <w:rsid w:val="00CA73AD"/>
    <w:rsid w:val="00CA73DD"/>
    <w:rsid w:val="00CA768A"/>
    <w:rsid w:val="00CA7791"/>
    <w:rsid w:val="00CA796F"/>
    <w:rsid w:val="00CA7BB3"/>
    <w:rsid w:val="00CA7BC1"/>
    <w:rsid w:val="00CA7C7D"/>
    <w:rsid w:val="00CA7CB1"/>
    <w:rsid w:val="00CA7D52"/>
    <w:rsid w:val="00CA7E17"/>
    <w:rsid w:val="00CA7E8B"/>
    <w:rsid w:val="00CA7EE0"/>
    <w:rsid w:val="00CA7F43"/>
    <w:rsid w:val="00CB0041"/>
    <w:rsid w:val="00CB00DE"/>
    <w:rsid w:val="00CB013A"/>
    <w:rsid w:val="00CB0150"/>
    <w:rsid w:val="00CB060F"/>
    <w:rsid w:val="00CB0728"/>
    <w:rsid w:val="00CB0899"/>
    <w:rsid w:val="00CB0935"/>
    <w:rsid w:val="00CB094F"/>
    <w:rsid w:val="00CB0AD8"/>
    <w:rsid w:val="00CB0BF2"/>
    <w:rsid w:val="00CB0DB2"/>
    <w:rsid w:val="00CB0E9E"/>
    <w:rsid w:val="00CB1143"/>
    <w:rsid w:val="00CB116B"/>
    <w:rsid w:val="00CB11E1"/>
    <w:rsid w:val="00CB1204"/>
    <w:rsid w:val="00CB1273"/>
    <w:rsid w:val="00CB12A2"/>
    <w:rsid w:val="00CB132F"/>
    <w:rsid w:val="00CB14D2"/>
    <w:rsid w:val="00CB1760"/>
    <w:rsid w:val="00CB18AC"/>
    <w:rsid w:val="00CB1A95"/>
    <w:rsid w:val="00CB1A9E"/>
    <w:rsid w:val="00CB1BCF"/>
    <w:rsid w:val="00CB1C85"/>
    <w:rsid w:val="00CB1C9F"/>
    <w:rsid w:val="00CB1CFD"/>
    <w:rsid w:val="00CB1E7F"/>
    <w:rsid w:val="00CB20BA"/>
    <w:rsid w:val="00CB2231"/>
    <w:rsid w:val="00CB25A8"/>
    <w:rsid w:val="00CB2650"/>
    <w:rsid w:val="00CB276A"/>
    <w:rsid w:val="00CB2790"/>
    <w:rsid w:val="00CB28C6"/>
    <w:rsid w:val="00CB28CE"/>
    <w:rsid w:val="00CB2B96"/>
    <w:rsid w:val="00CB2BDD"/>
    <w:rsid w:val="00CB2E30"/>
    <w:rsid w:val="00CB2F14"/>
    <w:rsid w:val="00CB3030"/>
    <w:rsid w:val="00CB3037"/>
    <w:rsid w:val="00CB3146"/>
    <w:rsid w:val="00CB34EA"/>
    <w:rsid w:val="00CB36AA"/>
    <w:rsid w:val="00CB36CA"/>
    <w:rsid w:val="00CB3A41"/>
    <w:rsid w:val="00CB3A80"/>
    <w:rsid w:val="00CB3EE7"/>
    <w:rsid w:val="00CB402E"/>
    <w:rsid w:val="00CB40E5"/>
    <w:rsid w:val="00CB410F"/>
    <w:rsid w:val="00CB4139"/>
    <w:rsid w:val="00CB41A5"/>
    <w:rsid w:val="00CB4333"/>
    <w:rsid w:val="00CB464B"/>
    <w:rsid w:val="00CB47C1"/>
    <w:rsid w:val="00CB4800"/>
    <w:rsid w:val="00CB480E"/>
    <w:rsid w:val="00CB488D"/>
    <w:rsid w:val="00CB489F"/>
    <w:rsid w:val="00CB48DB"/>
    <w:rsid w:val="00CB48EC"/>
    <w:rsid w:val="00CB4957"/>
    <w:rsid w:val="00CB49BB"/>
    <w:rsid w:val="00CB4AC2"/>
    <w:rsid w:val="00CB4B29"/>
    <w:rsid w:val="00CB4BD5"/>
    <w:rsid w:val="00CB4D8A"/>
    <w:rsid w:val="00CB4F6E"/>
    <w:rsid w:val="00CB4F8E"/>
    <w:rsid w:val="00CB5101"/>
    <w:rsid w:val="00CB5161"/>
    <w:rsid w:val="00CB523E"/>
    <w:rsid w:val="00CB529C"/>
    <w:rsid w:val="00CB52F0"/>
    <w:rsid w:val="00CB53A9"/>
    <w:rsid w:val="00CB5440"/>
    <w:rsid w:val="00CB5627"/>
    <w:rsid w:val="00CB58B9"/>
    <w:rsid w:val="00CB58C4"/>
    <w:rsid w:val="00CB5A1B"/>
    <w:rsid w:val="00CB5A5B"/>
    <w:rsid w:val="00CB5B3A"/>
    <w:rsid w:val="00CB5BCA"/>
    <w:rsid w:val="00CB5BCB"/>
    <w:rsid w:val="00CB5C79"/>
    <w:rsid w:val="00CB5CB7"/>
    <w:rsid w:val="00CB5F21"/>
    <w:rsid w:val="00CB5F25"/>
    <w:rsid w:val="00CB5FB9"/>
    <w:rsid w:val="00CB60C4"/>
    <w:rsid w:val="00CB60D3"/>
    <w:rsid w:val="00CB60FB"/>
    <w:rsid w:val="00CB6150"/>
    <w:rsid w:val="00CB62C5"/>
    <w:rsid w:val="00CB6355"/>
    <w:rsid w:val="00CB636A"/>
    <w:rsid w:val="00CB643C"/>
    <w:rsid w:val="00CB64DD"/>
    <w:rsid w:val="00CB6535"/>
    <w:rsid w:val="00CB6555"/>
    <w:rsid w:val="00CB662D"/>
    <w:rsid w:val="00CB673D"/>
    <w:rsid w:val="00CB684E"/>
    <w:rsid w:val="00CB68CA"/>
    <w:rsid w:val="00CB6A1C"/>
    <w:rsid w:val="00CB6C18"/>
    <w:rsid w:val="00CB6D0F"/>
    <w:rsid w:val="00CB6E4F"/>
    <w:rsid w:val="00CB6F8F"/>
    <w:rsid w:val="00CB6FF2"/>
    <w:rsid w:val="00CB7155"/>
    <w:rsid w:val="00CB7197"/>
    <w:rsid w:val="00CB71B9"/>
    <w:rsid w:val="00CB722A"/>
    <w:rsid w:val="00CB72E6"/>
    <w:rsid w:val="00CB747C"/>
    <w:rsid w:val="00CB7518"/>
    <w:rsid w:val="00CB751B"/>
    <w:rsid w:val="00CB75A6"/>
    <w:rsid w:val="00CB764B"/>
    <w:rsid w:val="00CB79EF"/>
    <w:rsid w:val="00CB7AA8"/>
    <w:rsid w:val="00CB7AD3"/>
    <w:rsid w:val="00CB7D04"/>
    <w:rsid w:val="00CB7D08"/>
    <w:rsid w:val="00CB7D40"/>
    <w:rsid w:val="00CB7DF8"/>
    <w:rsid w:val="00CB7E46"/>
    <w:rsid w:val="00CB7E72"/>
    <w:rsid w:val="00CB7E97"/>
    <w:rsid w:val="00CC00B1"/>
    <w:rsid w:val="00CC042C"/>
    <w:rsid w:val="00CC0627"/>
    <w:rsid w:val="00CC063C"/>
    <w:rsid w:val="00CC077A"/>
    <w:rsid w:val="00CC07FC"/>
    <w:rsid w:val="00CC0861"/>
    <w:rsid w:val="00CC08E3"/>
    <w:rsid w:val="00CC08E6"/>
    <w:rsid w:val="00CC0A34"/>
    <w:rsid w:val="00CC0B11"/>
    <w:rsid w:val="00CC0CCA"/>
    <w:rsid w:val="00CC0E76"/>
    <w:rsid w:val="00CC0FAF"/>
    <w:rsid w:val="00CC1005"/>
    <w:rsid w:val="00CC1058"/>
    <w:rsid w:val="00CC1441"/>
    <w:rsid w:val="00CC1718"/>
    <w:rsid w:val="00CC1807"/>
    <w:rsid w:val="00CC1B27"/>
    <w:rsid w:val="00CC1B29"/>
    <w:rsid w:val="00CC1B7F"/>
    <w:rsid w:val="00CC1BCA"/>
    <w:rsid w:val="00CC1E27"/>
    <w:rsid w:val="00CC1EB2"/>
    <w:rsid w:val="00CC1F71"/>
    <w:rsid w:val="00CC2073"/>
    <w:rsid w:val="00CC20B2"/>
    <w:rsid w:val="00CC2165"/>
    <w:rsid w:val="00CC225E"/>
    <w:rsid w:val="00CC2346"/>
    <w:rsid w:val="00CC2356"/>
    <w:rsid w:val="00CC238A"/>
    <w:rsid w:val="00CC23FC"/>
    <w:rsid w:val="00CC266B"/>
    <w:rsid w:val="00CC26E5"/>
    <w:rsid w:val="00CC28CF"/>
    <w:rsid w:val="00CC2985"/>
    <w:rsid w:val="00CC2A48"/>
    <w:rsid w:val="00CC2A5E"/>
    <w:rsid w:val="00CC2ACB"/>
    <w:rsid w:val="00CC2B5C"/>
    <w:rsid w:val="00CC2D21"/>
    <w:rsid w:val="00CC315F"/>
    <w:rsid w:val="00CC3299"/>
    <w:rsid w:val="00CC338C"/>
    <w:rsid w:val="00CC3482"/>
    <w:rsid w:val="00CC356D"/>
    <w:rsid w:val="00CC357E"/>
    <w:rsid w:val="00CC359E"/>
    <w:rsid w:val="00CC375E"/>
    <w:rsid w:val="00CC37D9"/>
    <w:rsid w:val="00CC3900"/>
    <w:rsid w:val="00CC3901"/>
    <w:rsid w:val="00CC3B2F"/>
    <w:rsid w:val="00CC3BCE"/>
    <w:rsid w:val="00CC3E9C"/>
    <w:rsid w:val="00CC3EB9"/>
    <w:rsid w:val="00CC3F4E"/>
    <w:rsid w:val="00CC4049"/>
    <w:rsid w:val="00CC4197"/>
    <w:rsid w:val="00CC4209"/>
    <w:rsid w:val="00CC423E"/>
    <w:rsid w:val="00CC4269"/>
    <w:rsid w:val="00CC42D2"/>
    <w:rsid w:val="00CC4412"/>
    <w:rsid w:val="00CC453C"/>
    <w:rsid w:val="00CC45AF"/>
    <w:rsid w:val="00CC45C9"/>
    <w:rsid w:val="00CC471C"/>
    <w:rsid w:val="00CC47E8"/>
    <w:rsid w:val="00CC4800"/>
    <w:rsid w:val="00CC4893"/>
    <w:rsid w:val="00CC49D7"/>
    <w:rsid w:val="00CC4E7A"/>
    <w:rsid w:val="00CC4EDD"/>
    <w:rsid w:val="00CC530F"/>
    <w:rsid w:val="00CC5330"/>
    <w:rsid w:val="00CC5359"/>
    <w:rsid w:val="00CC559D"/>
    <w:rsid w:val="00CC57AF"/>
    <w:rsid w:val="00CC5B00"/>
    <w:rsid w:val="00CC5B1E"/>
    <w:rsid w:val="00CC5B8A"/>
    <w:rsid w:val="00CC5B91"/>
    <w:rsid w:val="00CC5CC1"/>
    <w:rsid w:val="00CC5D47"/>
    <w:rsid w:val="00CC5D68"/>
    <w:rsid w:val="00CC5F64"/>
    <w:rsid w:val="00CC5F73"/>
    <w:rsid w:val="00CC615F"/>
    <w:rsid w:val="00CC619C"/>
    <w:rsid w:val="00CC61EC"/>
    <w:rsid w:val="00CC628D"/>
    <w:rsid w:val="00CC6335"/>
    <w:rsid w:val="00CC633C"/>
    <w:rsid w:val="00CC63A7"/>
    <w:rsid w:val="00CC640F"/>
    <w:rsid w:val="00CC6454"/>
    <w:rsid w:val="00CC6749"/>
    <w:rsid w:val="00CC67AE"/>
    <w:rsid w:val="00CC680D"/>
    <w:rsid w:val="00CC688C"/>
    <w:rsid w:val="00CC6891"/>
    <w:rsid w:val="00CC689F"/>
    <w:rsid w:val="00CC6A96"/>
    <w:rsid w:val="00CC6B99"/>
    <w:rsid w:val="00CC6C09"/>
    <w:rsid w:val="00CC6C0D"/>
    <w:rsid w:val="00CC6D61"/>
    <w:rsid w:val="00CC7041"/>
    <w:rsid w:val="00CC7205"/>
    <w:rsid w:val="00CC72A0"/>
    <w:rsid w:val="00CC73B9"/>
    <w:rsid w:val="00CC78AD"/>
    <w:rsid w:val="00CC79E1"/>
    <w:rsid w:val="00CC7A56"/>
    <w:rsid w:val="00CC7CFF"/>
    <w:rsid w:val="00CC7D43"/>
    <w:rsid w:val="00CC7D52"/>
    <w:rsid w:val="00CC7DCF"/>
    <w:rsid w:val="00CC7E8E"/>
    <w:rsid w:val="00CC7EC4"/>
    <w:rsid w:val="00CD00CF"/>
    <w:rsid w:val="00CD0229"/>
    <w:rsid w:val="00CD0440"/>
    <w:rsid w:val="00CD0630"/>
    <w:rsid w:val="00CD067C"/>
    <w:rsid w:val="00CD074C"/>
    <w:rsid w:val="00CD0800"/>
    <w:rsid w:val="00CD08C3"/>
    <w:rsid w:val="00CD090F"/>
    <w:rsid w:val="00CD09D7"/>
    <w:rsid w:val="00CD0A86"/>
    <w:rsid w:val="00CD0AC9"/>
    <w:rsid w:val="00CD0B13"/>
    <w:rsid w:val="00CD0B14"/>
    <w:rsid w:val="00CD0C81"/>
    <w:rsid w:val="00CD0E27"/>
    <w:rsid w:val="00CD1050"/>
    <w:rsid w:val="00CD10D4"/>
    <w:rsid w:val="00CD113D"/>
    <w:rsid w:val="00CD11A9"/>
    <w:rsid w:val="00CD11AC"/>
    <w:rsid w:val="00CD142F"/>
    <w:rsid w:val="00CD1493"/>
    <w:rsid w:val="00CD153E"/>
    <w:rsid w:val="00CD1644"/>
    <w:rsid w:val="00CD1843"/>
    <w:rsid w:val="00CD19D7"/>
    <w:rsid w:val="00CD1AAB"/>
    <w:rsid w:val="00CD1CA8"/>
    <w:rsid w:val="00CD1D0E"/>
    <w:rsid w:val="00CD1D4D"/>
    <w:rsid w:val="00CD1E15"/>
    <w:rsid w:val="00CD1E57"/>
    <w:rsid w:val="00CD1FBF"/>
    <w:rsid w:val="00CD1FC5"/>
    <w:rsid w:val="00CD21B2"/>
    <w:rsid w:val="00CD2261"/>
    <w:rsid w:val="00CD2831"/>
    <w:rsid w:val="00CD28E6"/>
    <w:rsid w:val="00CD29E2"/>
    <w:rsid w:val="00CD2AE8"/>
    <w:rsid w:val="00CD2BC6"/>
    <w:rsid w:val="00CD2DB2"/>
    <w:rsid w:val="00CD2ED0"/>
    <w:rsid w:val="00CD30C7"/>
    <w:rsid w:val="00CD32CB"/>
    <w:rsid w:val="00CD32F1"/>
    <w:rsid w:val="00CD3393"/>
    <w:rsid w:val="00CD344F"/>
    <w:rsid w:val="00CD350B"/>
    <w:rsid w:val="00CD37A3"/>
    <w:rsid w:val="00CD37D9"/>
    <w:rsid w:val="00CD392A"/>
    <w:rsid w:val="00CD39E1"/>
    <w:rsid w:val="00CD3B7C"/>
    <w:rsid w:val="00CD3CE4"/>
    <w:rsid w:val="00CD3CFC"/>
    <w:rsid w:val="00CD3DE9"/>
    <w:rsid w:val="00CD3DFF"/>
    <w:rsid w:val="00CD3F1C"/>
    <w:rsid w:val="00CD3F2C"/>
    <w:rsid w:val="00CD3F31"/>
    <w:rsid w:val="00CD40DD"/>
    <w:rsid w:val="00CD43BF"/>
    <w:rsid w:val="00CD44A5"/>
    <w:rsid w:val="00CD462D"/>
    <w:rsid w:val="00CD473B"/>
    <w:rsid w:val="00CD47A7"/>
    <w:rsid w:val="00CD4806"/>
    <w:rsid w:val="00CD49BD"/>
    <w:rsid w:val="00CD4AD4"/>
    <w:rsid w:val="00CD4DB9"/>
    <w:rsid w:val="00CD4E48"/>
    <w:rsid w:val="00CD4E68"/>
    <w:rsid w:val="00CD4E7C"/>
    <w:rsid w:val="00CD4F76"/>
    <w:rsid w:val="00CD4FB8"/>
    <w:rsid w:val="00CD5012"/>
    <w:rsid w:val="00CD5196"/>
    <w:rsid w:val="00CD5259"/>
    <w:rsid w:val="00CD52B8"/>
    <w:rsid w:val="00CD58A0"/>
    <w:rsid w:val="00CD5A82"/>
    <w:rsid w:val="00CD5BEA"/>
    <w:rsid w:val="00CD5BFD"/>
    <w:rsid w:val="00CD5DCE"/>
    <w:rsid w:val="00CD5F83"/>
    <w:rsid w:val="00CD5FC1"/>
    <w:rsid w:val="00CD6150"/>
    <w:rsid w:val="00CD623F"/>
    <w:rsid w:val="00CD62E7"/>
    <w:rsid w:val="00CD654B"/>
    <w:rsid w:val="00CD65C6"/>
    <w:rsid w:val="00CD65CE"/>
    <w:rsid w:val="00CD6888"/>
    <w:rsid w:val="00CD6936"/>
    <w:rsid w:val="00CD694C"/>
    <w:rsid w:val="00CD6A5B"/>
    <w:rsid w:val="00CD6BD4"/>
    <w:rsid w:val="00CD6C1C"/>
    <w:rsid w:val="00CD6C1E"/>
    <w:rsid w:val="00CD6CEF"/>
    <w:rsid w:val="00CD6DA8"/>
    <w:rsid w:val="00CD6DAD"/>
    <w:rsid w:val="00CD6DEB"/>
    <w:rsid w:val="00CD710F"/>
    <w:rsid w:val="00CD71A8"/>
    <w:rsid w:val="00CD72A4"/>
    <w:rsid w:val="00CD7452"/>
    <w:rsid w:val="00CD771C"/>
    <w:rsid w:val="00CD774B"/>
    <w:rsid w:val="00CD7831"/>
    <w:rsid w:val="00CD7919"/>
    <w:rsid w:val="00CD7986"/>
    <w:rsid w:val="00CD7B24"/>
    <w:rsid w:val="00CD7B3A"/>
    <w:rsid w:val="00CD7C49"/>
    <w:rsid w:val="00CD7C6B"/>
    <w:rsid w:val="00CD7E22"/>
    <w:rsid w:val="00CD7E39"/>
    <w:rsid w:val="00CE00B2"/>
    <w:rsid w:val="00CE00ED"/>
    <w:rsid w:val="00CE0188"/>
    <w:rsid w:val="00CE0199"/>
    <w:rsid w:val="00CE01C8"/>
    <w:rsid w:val="00CE047E"/>
    <w:rsid w:val="00CE04A5"/>
    <w:rsid w:val="00CE04B0"/>
    <w:rsid w:val="00CE04FC"/>
    <w:rsid w:val="00CE061A"/>
    <w:rsid w:val="00CE066A"/>
    <w:rsid w:val="00CE07B3"/>
    <w:rsid w:val="00CE08EB"/>
    <w:rsid w:val="00CE09CB"/>
    <w:rsid w:val="00CE09E6"/>
    <w:rsid w:val="00CE0A1E"/>
    <w:rsid w:val="00CE0C28"/>
    <w:rsid w:val="00CE0C3E"/>
    <w:rsid w:val="00CE0C5F"/>
    <w:rsid w:val="00CE0CE4"/>
    <w:rsid w:val="00CE0F2F"/>
    <w:rsid w:val="00CE0F63"/>
    <w:rsid w:val="00CE1046"/>
    <w:rsid w:val="00CE127F"/>
    <w:rsid w:val="00CE12C9"/>
    <w:rsid w:val="00CE156F"/>
    <w:rsid w:val="00CE1613"/>
    <w:rsid w:val="00CE171B"/>
    <w:rsid w:val="00CE175B"/>
    <w:rsid w:val="00CE196F"/>
    <w:rsid w:val="00CE1978"/>
    <w:rsid w:val="00CE1C14"/>
    <w:rsid w:val="00CE1C7A"/>
    <w:rsid w:val="00CE1CC3"/>
    <w:rsid w:val="00CE1CD2"/>
    <w:rsid w:val="00CE1CF4"/>
    <w:rsid w:val="00CE1DB7"/>
    <w:rsid w:val="00CE1EC1"/>
    <w:rsid w:val="00CE1F44"/>
    <w:rsid w:val="00CE221B"/>
    <w:rsid w:val="00CE223E"/>
    <w:rsid w:val="00CE2336"/>
    <w:rsid w:val="00CE246E"/>
    <w:rsid w:val="00CE272D"/>
    <w:rsid w:val="00CE27E5"/>
    <w:rsid w:val="00CE28AA"/>
    <w:rsid w:val="00CE293D"/>
    <w:rsid w:val="00CE2942"/>
    <w:rsid w:val="00CE29B1"/>
    <w:rsid w:val="00CE2BD1"/>
    <w:rsid w:val="00CE2DAA"/>
    <w:rsid w:val="00CE2DCD"/>
    <w:rsid w:val="00CE2E2E"/>
    <w:rsid w:val="00CE2EC1"/>
    <w:rsid w:val="00CE2F63"/>
    <w:rsid w:val="00CE3150"/>
    <w:rsid w:val="00CE322D"/>
    <w:rsid w:val="00CE3279"/>
    <w:rsid w:val="00CE3332"/>
    <w:rsid w:val="00CE349A"/>
    <w:rsid w:val="00CE38B0"/>
    <w:rsid w:val="00CE3AD0"/>
    <w:rsid w:val="00CE3CCD"/>
    <w:rsid w:val="00CE3D3E"/>
    <w:rsid w:val="00CE3DE2"/>
    <w:rsid w:val="00CE3DEC"/>
    <w:rsid w:val="00CE3EEC"/>
    <w:rsid w:val="00CE3FC3"/>
    <w:rsid w:val="00CE40AD"/>
    <w:rsid w:val="00CE4290"/>
    <w:rsid w:val="00CE42C3"/>
    <w:rsid w:val="00CE45BD"/>
    <w:rsid w:val="00CE45C1"/>
    <w:rsid w:val="00CE4703"/>
    <w:rsid w:val="00CE479E"/>
    <w:rsid w:val="00CE4882"/>
    <w:rsid w:val="00CE4A7A"/>
    <w:rsid w:val="00CE4AAE"/>
    <w:rsid w:val="00CE4BB8"/>
    <w:rsid w:val="00CE4BBF"/>
    <w:rsid w:val="00CE4BF1"/>
    <w:rsid w:val="00CE4F3F"/>
    <w:rsid w:val="00CE5041"/>
    <w:rsid w:val="00CE504E"/>
    <w:rsid w:val="00CE507D"/>
    <w:rsid w:val="00CE5081"/>
    <w:rsid w:val="00CE5122"/>
    <w:rsid w:val="00CE5491"/>
    <w:rsid w:val="00CE555B"/>
    <w:rsid w:val="00CE55F2"/>
    <w:rsid w:val="00CE57BB"/>
    <w:rsid w:val="00CE58C0"/>
    <w:rsid w:val="00CE597D"/>
    <w:rsid w:val="00CE5B0C"/>
    <w:rsid w:val="00CE5B2F"/>
    <w:rsid w:val="00CE5E17"/>
    <w:rsid w:val="00CE5EB9"/>
    <w:rsid w:val="00CE5EFC"/>
    <w:rsid w:val="00CE61AF"/>
    <w:rsid w:val="00CE6210"/>
    <w:rsid w:val="00CE63C9"/>
    <w:rsid w:val="00CE63CF"/>
    <w:rsid w:val="00CE64BB"/>
    <w:rsid w:val="00CE64C2"/>
    <w:rsid w:val="00CE6812"/>
    <w:rsid w:val="00CE691C"/>
    <w:rsid w:val="00CE6AB5"/>
    <w:rsid w:val="00CE6AC5"/>
    <w:rsid w:val="00CE6C38"/>
    <w:rsid w:val="00CE6C50"/>
    <w:rsid w:val="00CE6C5D"/>
    <w:rsid w:val="00CE6DE8"/>
    <w:rsid w:val="00CE6EC4"/>
    <w:rsid w:val="00CE6F5E"/>
    <w:rsid w:val="00CE7021"/>
    <w:rsid w:val="00CE7102"/>
    <w:rsid w:val="00CE7311"/>
    <w:rsid w:val="00CE7312"/>
    <w:rsid w:val="00CE743F"/>
    <w:rsid w:val="00CE74AD"/>
    <w:rsid w:val="00CE7839"/>
    <w:rsid w:val="00CE7850"/>
    <w:rsid w:val="00CE787F"/>
    <w:rsid w:val="00CE7A00"/>
    <w:rsid w:val="00CE7AEF"/>
    <w:rsid w:val="00CE7B38"/>
    <w:rsid w:val="00CE7BBE"/>
    <w:rsid w:val="00CE7C78"/>
    <w:rsid w:val="00CE7CFB"/>
    <w:rsid w:val="00CE7D3C"/>
    <w:rsid w:val="00CE7D71"/>
    <w:rsid w:val="00CE7F2A"/>
    <w:rsid w:val="00CE7F65"/>
    <w:rsid w:val="00CF01E0"/>
    <w:rsid w:val="00CF03C2"/>
    <w:rsid w:val="00CF03DA"/>
    <w:rsid w:val="00CF04BE"/>
    <w:rsid w:val="00CF0691"/>
    <w:rsid w:val="00CF0D8F"/>
    <w:rsid w:val="00CF0E52"/>
    <w:rsid w:val="00CF0F36"/>
    <w:rsid w:val="00CF1065"/>
    <w:rsid w:val="00CF11D8"/>
    <w:rsid w:val="00CF1228"/>
    <w:rsid w:val="00CF12F5"/>
    <w:rsid w:val="00CF1337"/>
    <w:rsid w:val="00CF16B4"/>
    <w:rsid w:val="00CF17FD"/>
    <w:rsid w:val="00CF19A9"/>
    <w:rsid w:val="00CF1A1B"/>
    <w:rsid w:val="00CF1AA6"/>
    <w:rsid w:val="00CF1B57"/>
    <w:rsid w:val="00CF1B97"/>
    <w:rsid w:val="00CF1BA4"/>
    <w:rsid w:val="00CF1CDD"/>
    <w:rsid w:val="00CF1D04"/>
    <w:rsid w:val="00CF1E2A"/>
    <w:rsid w:val="00CF1E38"/>
    <w:rsid w:val="00CF1E8A"/>
    <w:rsid w:val="00CF2038"/>
    <w:rsid w:val="00CF207C"/>
    <w:rsid w:val="00CF228F"/>
    <w:rsid w:val="00CF23C6"/>
    <w:rsid w:val="00CF2477"/>
    <w:rsid w:val="00CF25EA"/>
    <w:rsid w:val="00CF277C"/>
    <w:rsid w:val="00CF286E"/>
    <w:rsid w:val="00CF28BE"/>
    <w:rsid w:val="00CF2A73"/>
    <w:rsid w:val="00CF2ACC"/>
    <w:rsid w:val="00CF2C27"/>
    <w:rsid w:val="00CF2F02"/>
    <w:rsid w:val="00CF312E"/>
    <w:rsid w:val="00CF314B"/>
    <w:rsid w:val="00CF342B"/>
    <w:rsid w:val="00CF34C3"/>
    <w:rsid w:val="00CF34F5"/>
    <w:rsid w:val="00CF3529"/>
    <w:rsid w:val="00CF35AE"/>
    <w:rsid w:val="00CF3771"/>
    <w:rsid w:val="00CF3822"/>
    <w:rsid w:val="00CF3832"/>
    <w:rsid w:val="00CF3A02"/>
    <w:rsid w:val="00CF3A67"/>
    <w:rsid w:val="00CF3CD6"/>
    <w:rsid w:val="00CF40C4"/>
    <w:rsid w:val="00CF43BA"/>
    <w:rsid w:val="00CF44CE"/>
    <w:rsid w:val="00CF4525"/>
    <w:rsid w:val="00CF473E"/>
    <w:rsid w:val="00CF4754"/>
    <w:rsid w:val="00CF485A"/>
    <w:rsid w:val="00CF4976"/>
    <w:rsid w:val="00CF4B0F"/>
    <w:rsid w:val="00CF4B7A"/>
    <w:rsid w:val="00CF4CC9"/>
    <w:rsid w:val="00CF4D06"/>
    <w:rsid w:val="00CF5024"/>
    <w:rsid w:val="00CF514B"/>
    <w:rsid w:val="00CF519D"/>
    <w:rsid w:val="00CF522E"/>
    <w:rsid w:val="00CF5448"/>
    <w:rsid w:val="00CF5619"/>
    <w:rsid w:val="00CF56E4"/>
    <w:rsid w:val="00CF5801"/>
    <w:rsid w:val="00CF598D"/>
    <w:rsid w:val="00CF59A7"/>
    <w:rsid w:val="00CF5ACD"/>
    <w:rsid w:val="00CF5AF6"/>
    <w:rsid w:val="00CF5CAA"/>
    <w:rsid w:val="00CF5CE5"/>
    <w:rsid w:val="00CF5DDE"/>
    <w:rsid w:val="00CF5E1C"/>
    <w:rsid w:val="00CF5E82"/>
    <w:rsid w:val="00CF5EC3"/>
    <w:rsid w:val="00CF5F83"/>
    <w:rsid w:val="00CF624B"/>
    <w:rsid w:val="00CF6326"/>
    <w:rsid w:val="00CF633B"/>
    <w:rsid w:val="00CF6389"/>
    <w:rsid w:val="00CF639E"/>
    <w:rsid w:val="00CF63CD"/>
    <w:rsid w:val="00CF6567"/>
    <w:rsid w:val="00CF674D"/>
    <w:rsid w:val="00CF6820"/>
    <w:rsid w:val="00CF6A21"/>
    <w:rsid w:val="00CF6A6C"/>
    <w:rsid w:val="00CF6ABC"/>
    <w:rsid w:val="00CF6BB1"/>
    <w:rsid w:val="00CF6C07"/>
    <w:rsid w:val="00CF6C0B"/>
    <w:rsid w:val="00CF6C33"/>
    <w:rsid w:val="00CF6D0D"/>
    <w:rsid w:val="00CF6ECB"/>
    <w:rsid w:val="00CF7061"/>
    <w:rsid w:val="00CF70C5"/>
    <w:rsid w:val="00CF74F4"/>
    <w:rsid w:val="00CF7645"/>
    <w:rsid w:val="00CF7688"/>
    <w:rsid w:val="00CF76D5"/>
    <w:rsid w:val="00CF77B6"/>
    <w:rsid w:val="00CF793A"/>
    <w:rsid w:val="00CF7E97"/>
    <w:rsid w:val="00D004AA"/>
    <w:rsid w:val="00D004FF"/>
    <w:rsid w:val="00D005AA"/>
    <w:rsid w:val="00D0095C"/>
    <w:rsid w:val="00D0095E"/>
    <w:rsid w:val="00D00AF4"/>
    <w:rsid w:val="00D00CF8"/>
    <w:rsid w:val="00D00D7A"/>
    <w:rsid w:val="00D00D80"/>
    <w:rsid w:val="00D00E1C"/>
    <w:rsid w:val="00D00FCC"/>
    <w:rsid w:val="00D0104C"/>
    <w:rsid w:val="00D01136"/>
    <w:rsid w:val="00D01198"/>
    <w:rsid w:val="00D01433"/>
    <w:rsid w:val="00D016A1"/>
    <w:rsid w:val="00D01753"/>
    <w:rsid w:val="00D01854"/>
    <w:rsid w:val="00D018BE"/>
    <w:rsid w:val="00D01BE7"/>
    <w:rsid w:val="00D01D0B"/>
    <w:rsid w:val="00D01E5C"/>
    <w:rsid w:val="00D01E80"/>
    <w:rsid w:val="00D02140"/>
    <w:rsid w:val="00D0219F"/>
    <w:rsid w:val="00D023DA"/>
    <w:rsid w:val="00D02548"/>
    <w:rsid w:val="00D027DA"/>
    <w:rsid w:val="00D029D6"/>
    <w:rsid w:val="00D02AC9"/>
    <w:rsid w:val="00D02BA1"/>
    <w:rsid w:val="00D02BC7"/>
    <w:rsid w:val="00D02D54"/>
    <w:rsid w:val="00D02D5D"/>
    <w:rsid w:val="00D02F22"/>
    <w:rsid w:val="00D02F4D"/>
    <w:rsid w:val="00D030BA"/>
    <w:rsid w:val="00D030E7"/>
    <w:rsid w:val="00D0311C"/>
    <w:rsid w:val="00D032A0"/>
    <w:rsid w:val="00D0335D"/>
    <w:rsid w:val="00D03475"/>
    <w:rsid w:val="00D035B2"/>
    <w:rsid w:val="00D036F0"/>
    <w:rsid w:val="00D03706"/>
    <w:rsid w:val="00D03941"/>
    <w:rsid w:val="00D039AC"/>
    <w:rsid w:val="00D03EA6"/>
    <w:rsid w:val="00D03EE3"/>
    <w:rsid w:val="00D043DA"/>
    <w:rsid w:val="00D043F4"/>
    <w:rsid w:val="00D04430"/>
    <w:rsid w:val="00D04482"/>
    <w:rsid w:val="00D0448B"/>
    <w:rsid w:val="00D044C8"/>
    <w:rsid w:val="00D044CA"/>
    <w:rsid w:val="00D0452B"/>
    <w:rsid w:val="00D04724"/>
    <w:rsid w:val="00D04879"/>
    <w:rsid w:val="00D04A30"/>
    <w:rsid w:val="00D04BAE"/>
    <w:rsid w:val="00D04CF7"/>
    <w:rsid w:val="00D04DDB"/>
    <w:rsid w:val="00D04F34"/>
    <w:rsid w:val="00D04F61"/>
    <w:rsid w:val="00D04F97"/>
    <w:rsid w:val="00D05040"/>
    <w:rsid w:val="00D05152"/>
    <w:rsid w:val="00D05282"/>
    <w:rsid w:val="00D05287"/>
    <w:rsid w:val="00D0533A"/>
    <w:rsid w:val="00D05426"/>
    <w:rsid w:val="00D054B7"/>
    <w:rsid w:val="00D054F8"/>
    <w:rsid w:val="00D05532"/>
    <w:rsid w:val="00D0578F"/>
    <w:rsid w:val="00D0584D"/>
    <w:rsid w:val="00D0590B"/>
    <w:rsid w:val="00D05942"/>
    <w:rsid w:val="00D05C49"/>
    <w:rsid w:val="00D05EB7"/>
    <w:rsid w:val="00D05EDE"/>
    <w:rsid w:val="00D05F06"/>
    <w:rsid w:val="00D05FCF"/>
    <w:rsid w:val="00D0606E"/>
    <w:rsid w:val="00D06184"/>
    <w:rsid w:val="00D061D3"/>
    <w:rsid w:val="00D06241"/>
    <w:rsid w:val="00D0629C"/>
    <w:rsid w:val="00D06300"/>
    <w:rsid w:val="00D063B7"/>
    <w:rsid w:val="00D06585"/>
    <w:rsid w:val="00D067A8"/>
    <w:rsid w:val="00D067EB"/>
    <w:rsid w:val="00D06972"/>
    <w:rsid w:val="00D06A92"/>
    <w:rsid w:val="00D06C3F"/>
    <w:rsid w:val="00D06C8B"/>
    <w:rsid w:val="00D06DCE"/>
    <w:rsid w:val="00D07049"/>
    <w:rsid w:val="00D07101"/>
    <w:rsid w:val="00D07113"/>
    <w:rsid w:val="00D072B0"/>
    <w:rsid w:val="00D075B8"/>
    <w:rsid w:val="00D07632"/>
    <w:rsid w:val="00D076E9"/>
    <w:rsid w:val="00D0774F"/>
    <w:rsid w:val="00D077D5"/>
    <w:rsid w:val="00D07A17"/>
    <w:rsid w:val="00D07A1F"/>
    <w:rsid w:val="00D07AC6"/>
    <w:rsid w:val="00D07C25"/>
    <w:rsid w:val="00D07C9E"/>
    <w:rsid w:val="00D07E2F"/>
    <w:rsid w:val="00D07EA0"/>
    <w:rsid w:val="00D103A2"/>
    <w:rsid w:val="00D103B9"/>
    <w:rsid w:val="00D1070D"/>
    <w:rsid w:val="00D1072B"/>
    <w:rsid w:val="00D108C3"/>
    <w:rsid w:val="00D10AEB"/>
    <w:rsid w:val="00D10B27"/>
    <w:rsid w:val="00D10BEB"/>
    <w:rsid w:val="00D10CC3"/>
    <w:rsid w:val="00D10D42"/>
    <w:rsid w:val="00D10DA7"/>
    <w:rsid w:val="00D10DC5"/>
    <w:rsid w:val="00D10EEC"/>
    <w:rsid w:val="00D10F1C"/>
    <w:rsid w:val="00D10F2A"/>
    <w:rsid w:val="00D11019"/>
    <w:rsid w:val="00D1104E"/>
    <w:rsid w:val="00D110E6"/>
    <w:rsid w:val="00D11130"/>
    <w:rsid w:val="00D11199"/>
    <w:rsid w:val="00D1129D"/>
    <w:rsid w:val="00D1142B"/>
    <w:rsid w:val="00D11649"/>
    <w:rsid w:val="00D11650"/>
    <w:rsid w:val="00D11857"/>
    <w:rsid w:val="00D11904"/>
    <w:rsid w:val="00D11912"/>
    <w:rsid w:val="00D1194A"/>
    <w:rsid w:val="00D119B5"/>
    <w:rsid w:val="00D11ADB"/>
    <w:rsid w:val="00D11C90"/>
    <w:rsid w:val="00D11E67"/>
    <w:rsid w:val="00D11E9A"/>
    <w:rsid w:val="00D11F0C"/>
    <w:rsid w:val="00D11F10"/>
    <w:rsid w:val="00D11FC8"/>
    <w:rsid w:val="00D1202D"/>
    <w:rsid w:val="00D12037"/>
    <w:rsid w:val="00D12053"/>
    <w:rsid w:val="00D120B7"/>
    <w:rsid w:val="00D12260"/>
    <w:rsid w:val="00D1228D"/>
    <w:rsid w:val="00D122BB"/>
    <w:rsid w:val="00D12314"/>
    <w:rsid w:val="00D123BC"/>
    <w:rsid w:val="00D1253D"/>
    <w:rsid w:val="00D12684"/>
    <w:rsid w:val="00D127F5"/>
    <w:rsid w:val="00D1286B"/>
    <w:rsid w:val="00D12979"/>
    <w:rsid w:val="00D12A89"/>
    <w:rsid w:val="00D12B22"/>
    <w:rsid w:val="00D12BA5"/>
    <w:rsid w:val="00D12BEA"/>
    <w:rsid w:val="00D12C65"/>
    <w:rsid w:val="00D12DE3"/>
    <w:rsid w:val="00D12F76"/>
    <w:rsid w:val="00D13198"/>
    <w:rsid w:val="00D132E0"/>
    <w:rsid w:val="00D13303"/>
    <w:rsid w:val="00D1357A"/>
    <w:rsid w:val="00D135A2"/>
    <w:rsid w:val="00D135B4"/>
    <w:rsid w:val="00D1374E"/>
    <w:rsid w:val="00D138DF"/>
    <w:rsid w:val="00D13B90"/>
    <w:rsid w:val="00D1416D"/>
    <w:rsid w:val="00D141B2"/>
    <w:rsid w:val="00D143BD"/>
    <w:rsid w:val="00D14509"/>
    <w:rsid w:val="00D14568"/>
    <w:rsid w:val="00D14588"/>
    <w:rsid w:val="00D145EB"/>
    <w:rsid w:val="00D145F5"/>
    <w:rsid w:val="00D14611"/>
    <w:rsid w:val="00D14693"/>
    <w:rsid w:val="00D14723"/>
    <w:rsid w:val="00D147B1"/>
    <w:rsid w:val="00D1482D"/>
    <w:rsid w:val="00D148E4"/>
    <w:rsid w:val="00D14907"/>
    <w:rsid w:val="00D14926"/>
    <w:rsid w:val="00D14C68"/>
    <w:rsid w:val="00D14EFF"/>
    <w:rsid w:val="00D15046"/>
    <w:rsid w:val="00D15172"/>
    <w:rsid w:val="00D151C1"/>
    <w:rsid w:val="00D1534E"/>
    <w:rsid w:val="00D15381"/>
    <w:rsid w:val="00D15422"/>
    <w:rsid w:val="00D15518"/>
    <w:rsid w:val="00D15692"/>
    <w:rsid w:val="00D156C4"/>
    <w:rsid w:val="00D15778"/>
    <w:rsid w:val="00D15A55"/>
    <w:rsid w:val="00D15C6D"/>
    <w:rsid w:val="00D15CA4"/>
    <w:rsid w:val="00D15DFB"/>
    <w:rsid w:val="00D16121"/>
    <w:rsid w:val="00D163B3"/>
    <w:rsid w:val="00D16602"/>
    <w:rsid w:val="00D16653"/>
    <w:rsid w:val="00D16684"/>
    <w:rsid w:val="00D1672D"/>
    <w:rsid w:val="00D167E0"/>
    <w:rsid w:val="00D16804"/>
    <w:rsid w:val="00D1688B"/>
    <w:rsid w:val="00D168B7"/>
    <w:rsid w:val="00D16A47"/>
    <w:rsid w:val="00D16D43"/>
    <w:rsid w:val="00D16E99"/>
    <w:rsid w:val="00D16EF4"/>
    <w:rsid w:val="00D16EFD"/>
    <w:rsid w:val="00D16F01"/>
    <w:rsid w:val="00D16F32"/>
    <w:rsid w:val="00D16F85"/>
    <w:rsid w:val="00D17143"/>
    <w:rsid w:val="00D171ED"/>
    <w:rsid w:val="00D171F8"/>
    <w:rsid w:val="00D172DF"/>
    <w:rsid w:val="00D174CD"/>
    <w:rsid w:val="00D175EA"/>
    <w:rsid w:val="00D17665"/>
    <w:rsid w:val="00D176B2"/>
    <w:rsid w:val="00D176CC"/>
    <w:rsid w:val="00D17820"/>
    <w:rsid w:val="00D179FF"/>
    <w:rsid w:val="00D17AD4"/>
    <w:rsid w:val="00D17BA0"/>
    <w:rsid w:val="00D17BE9"/>
    <w:rsid w:val="00D17CD0"/>
    <w:rsid w:val="00D17F32"/>
    <w:rsid w:val="00D20055"/>
    <w:rsid w:val="00D202A3"/>
    <w:rsid w:val="00D203E2"/>
    <w:rsid w:val="00D20690"/>
    <w:rsid w:val="00D206C0"/>
    <w:rsid w:val="00D20717"/>
    <w:rsid w:val="00D20860"/>
    <w:rsid w:val="00D2087E"/>
    <w:rsid w:val="00D20F25"/>
    <w:rsid w:val="00D2100F"/>
    <w:rsid w:val="00D210DF"/>
    <w:rsid w:val="00D210E3"/>
    <w:rsid w:val="00D2127E"/>
    <w:rsid w:val="00D2135B"/>
    <w:rsid w:val="00D21527"/>
    <w:rsid w:val="00D21529"/>
    <w:rsid w:val="00D2169D"/>
    <w:rsid w:val="00D2174C"/>
    <w:rsid w:val="00D21799"/>
    <w:rsid w:val="00D21B5D"/>
    <w:rsid w:val="00D21B9C"/>
    <w:rsid w:val="00D21D42"/>
    <w:rsid w:val="00D21DEB"/>
    <w:rsid w:val="00D21EC2"/>
    <w:rsid w:val="00D21F05"/>
    <w:rsid w:val="00D21F97"/>
    <w:rsid w:val="00D21FFF"/>
    <w:rsid w:val="00D220F6"/>
    <w:rsid w:val="00D2214B"/>
    <w:rsid w:val="00D222EB"/>
    <w:rsid w:val="00D22320"/>
    <w:rsid w:val="00D2236F"/>
    <w:rsid w:val="00D2240A"/>
    <w:rsid w:val="00D2284D"/>
    <w:rsid w:val="00D228AF"/>
    <w:rsid w:val="00D22989"/>
    <w:rsid w:val="00D229ED"/>
    <w:rsid w:val="00D22C9D"/>
    <w:rsid w:val="00D22D1D"/>
    <w:rsid w:val="00D22D9D"/>
    <w:rsid w:val="00D22EE4"/>
    <w:rsid w:val="00D23040"/>
    <w:rsid w:val="00D230DE"/>
    <w:rsid w:val="00D23666"/>
    <w:rsid w:val="00D23670"/>
    <w:rsid w:val="00D236D6"/>
    <w:rsid w:val="00D236FA"/>
    <w:rsid w:val="00D23734"/>
    <w:rsid w:val="00D23809"/>
    <w:rsid w:val="00D238A2"/>
    <w:rsid w:val="00D238AE"/>
    <w:rsid w:val="00D23AEF"/>
    <w:rsid w:val="00D23B1B"/>
    <w:rsid w:val="00D23B4F"/>
    <w:rsid w:val="00D23C89"/>
    <w:rsid w:val="00D23E54"/>
    <w:rsid w:val="00D23E7B"/>
    <w:rsid w:val="00D23F64"/>
    <w:rsid w:val="00D240D4"/>
    <w:rsid w:val="00D2423D"/>
    <w:rsid w:val="00D24568"/>
    <w:rsid w:val="00D246DE"/>
    <w:rsid w:val="00D24913"/>
    <w:rsid w:val="00D249C2"/>
    <w:rsid w:val="00D24C35"/>
    <w:rsid w:val="00D24C3F"/>
    <w:rsid w:val="00D24DA9"/>
    <w:rsid w:val="00D24E50"/>
    <w:rsid w:val="00D24F08"/>
    <w:rsid w:val="00D25039"/>
    <w:rsid w:val="00D25060"/>
    <w:rsid w:val="00D25093"/>
    <w:rsid w:val="00D250A8"/>
    <w:rsid w:val="00D2517E"/>
    <w:rsid w:val="00D25252"/>
    <w:rsid w:val="00D25571"/>
    <w:rsid w:val="00D256C8"/>
    <w:rsid w:val="00D25790"/>
    <w:rsid w:val="00D257EB"/>
    <w:rsid w:val="00D25A32"/>
    <w:rsid w:val="00D25B0C"/>
    <w:rsid w:val="00D25BC2"/>
    <w:rsid w:val="00D25C64"/>
    <w:rsid w:val="00D25E66"/>
    <w:rsid w:val="00D26044"/>
    <w:rsid w:val="00D2605F"/>
    <w:rsid w:val="00D260C9"/>
    <w:rsid w:val="00D265B2"/>
    <w:rsid w:val="00D26764"/>
    <w:rsid w:val="00D26874"/>
    <w:rsid w:val="00D26954"/>
    <w:rsid w:val="00D269B2"/>
    <w:rsid w:val="00D26A01"/>
    <w:rsid w:val="00D26AD7"/>
    <w:rsid w:val="00D26B92"/>
    <w:rsid w:val="00D26D2A"/>
    <w:rsid w:val="00D26E65"/>
    <w:rsid w:val="00D26ED6"/>
    <w:rsid w:val="00D26F4B"/>
    <w:rsid w:val="00D26FA9"/>
    <w:rsid w:val="00D27030"/>
    <w:rsid w:val="00D271B5"/>
    <w:rsid w:val="00D273BD"/>
    <w:rsid w:val="00D27457"/>
    <w:rsid w:val="00D27537"/>
    <w:rsid w:val="00D275F0"/>
    <w:rsid w:val="00D2788E"/>
    <w:rsid w:val="00D27A56"/>
    <w:rsid w:val="00D27BC8"/>
    <w:rsid w:val="00D27CB9"/>
    <w:rsid w:val="00D27CBB"/>
    <w:rsid w:val="00D27D18"/>
    <w:rsid w:val="00D27F55"/>
    <w:rsid w:val="00D27FB6"/>
    <w:rsid w:val="00D3001A"/>
    <w:rsid w:val="00D30073"/>
    <w:rsid w:val="00D300AC"/>
    <w:rsid w:val="00D301D5"/>
    <w:rsid w:val="00D30484"/>
    <w:rsid w:val="00D304E1"/>
    <w:rsid w:val="00D306E1"/>
    <w:rsid w:val="00D30778"/>
    <w:rsid w:val="00D3083D"/>
    <w:rsid w:val="00D30973"/>
    <w:rsid w:val="00D30A96"/>
    <w:rsid w:val="00D30B06"/>
    <w:rsid w:val="00D30CA7"/>
    <w:rsid w:val="00D30D11"/>
    <w:rsid w:val="00D31086"/>
    <w:rsid w:val="00D310E9"/>
    <w:rsid w:val="00D31131"/>
    <w:rsid w:val="00D311E2"/>
    <w:rsid w:val="00D31404"/>
    <w:rsid w:val="00D314EF"/>
    <w:rsid w:val="00D3169A"/>
    <w:rsid w:val="00D318B2"/>
    <w:rsid w:val="00D31A16"/>
    <w:rsid w:val="00D31A73"/>
    <w:rsid w:val="00D31BB2"/>
    <w:rsid w:val="00D31D50"/>
    <w:rsid w:val="00D31F3F"/>
    <w:rsid w:val="00D31F90"/>
    <w:rsid w:val="00D32330"/>
    <w:rsid w:val="00D32401"/>
    <w:rsid w:val="00D32409"/>
    <w:rsid w:val="00D324B1"/>
    <w:rsid w:val="00D326A5"/>
    <w:rsid w:val="00D326B6"/>
    <w:rsid w:val="00D32882"/>
    <w:rsid w:val="00D328D5"/>
    <w:rsid w:val="00D32AD3"/>
    <w:rsid w:val="00D32BEB"/>
    <w:rsid w:val="00D32D45"/>
    <w:rsid w:val="00D32DD0"/>
    <w:rsid w:val="00D32EB9"/>
    <w:rsid w:val="00D33168"/>
    <w:rsid w:val="00D331D1"/>
    <w:rsid w:val="00D33210"/>
    <w:rsid w:val="00D332CE"/>
    <w:rsid w:val="00D33420"/>
    <w:rsid w:val="00D334CE"/>
    <w:rsid w:val="00D334D9"/>
    <w:rsid w:val="00D335E3"/>
    <w:rsid w:val="00D336E8"/>
    <w:rsid w:val="00D3386F"/>
    <w:rsid w:val="00D3397C"/>
    <w:rsid w:val="00D339EE"/>
    <w:rsid w:val="00D33A79"/>
    <w:rsid w:val="00D33AE4"/>
    <w:rsid w:val="00D33BC9"/>
    <w:rsid w:val="00D33BF3"/>
    <w:rsid w:val="00D33CEF"/>
    <w:rsid w:val="00D3432B"/>
    <w:rsid w:val="00D343D7"/>
    <w:rsid w:val="00D3451B"/>
    <w:rsid w:val="00D345AB"/>
    <w:rsid w:val="00D345F0"/>
    <w:rsid w:val="00D3469F"/>
    <w:rsid w:val="00D346BC"/>
    <w:rsid w:val="00D34896"/>
    <w:rsid w:val="00D3497A"/>
    <w:rsid w:val="00D34996"/>
    <w:rsid w:val="00D349B4"/>
    <w:rsid w:val="00D34AD3"/>
    <w:rsid w:val="00D34BEE"/>
    <w:rsid w:val="00D34C66"/>
    <w:rsid w:val="00D34DF4"/>
    <w:rsid w:val="00D34E77"/>
    <w:rsid w:val="00D34E7D"/>
    <w:rsid w:val="00D34F31"/>
    <w:rsid w:val="00D351D6"/>
    <w:rsid w:val="00D35326"/>
    <w:rsid w:val="00D3539F"/>
    <w:rsid w:val="00D353DA"/>
    <w:rsid w:val="00D35423"/>
    <w:rsid w:val="00D354C0"/>
    <w:rsid w:val="00D35597"/>
    <w:rsid w:val="00D355F0"/>
    <w:rsid w:val="00D35643"/>
    <w:rsid w:val="00D3591F"/>
    <w:rsid w:val="00D3594C"/>
    <w:rsid w:val="00D35A4F"/>
    <w:rsid w:val="00D35AEA"/>
    <w:rsid w:val="00D35BD1"/>
    <w:rsid w:val="00D35CE4"/>
    <w:rsid w:val="00D35D12"/>
    <w:rsid w:val="00D35DDD"/>
    <w:rsid w:val="00D35E0D"/>
    <w:rsid w:val="00D35EB8"/>
    <w:rsid w:val="00D35F37"/>
    <w:rsid w:val="00D36249"/>
    <w:rsid w:val="00D365DF"/>
    <w:rsid w:val="00D36647"/>
    <w:rsid w:val="00D366F3"/>
    <w:rsid w:val="00D367A3"/>
    <w:rsid w:val="00D36B90"/>
    <w:rsid w:val="00D36BA3"/>
    <w:rsid w:val="00D36C81"/>
    <w:rsid w:val="00D36C92"/>
    <w:rsid w:val="00D36D1B"/>
    <w:rsid w:val="00D36D48"/>
    <w:rsid w:val="00D36DEA"/>
    <w:rsid w:val="00D36EB7"/>
    <w:rsid w:val="00D36F2F"/>
    <w:rsid w:val="00D37000"/>
    <w:rsid w:val="00D3720D"/>
    <w:rsid w:val="00D372F7"/>
    <w:rsid w:val="00D37574"/>
    <w:rsid w:val="00D375E3"/>
    <w:rsid w:val="00D377FB"/>
    <w:rsid w:val="00D37808"/>
    <w:rsid w:val="00D379A9"/>
    <w:rsid w:val="00D379F3"/>
    <w:rsid w:val="00D37B76"/>
    <w:rsid w:val="00D37BB3"/>
    <w:rsid w:val="00D37BB7"/>
    <w:rsid w:val="00D37CEA"/>
    <w:rsid w:val="00D37E11"/>
    <w:rsid w:val="00D40168"/>
    <w:rsid w:val="00D40273"/>
    <w:rsid w:val="00D402DF"/>
    <w:rsid w:val="00D4043E"/>
    <w:rsid w:val="00D4060C"/>
    <w:rsid w:val="00D40763"/>
    <w:rsid w:val="00D4077E"/>
    <w:rsid w:val="00D40831"/>
    <w:rsid w:val="00D408AA"/>
    <w:rsid w:val="00D408D0"/>
    <w:rsid w:val="00D4090C"/>
    <w:rsid w:val="00D40A29"/>
    <w:rsid w:val="00D40C1B"/>
    <w:rsid w:val="00D40D11"/>
    <w:rsid w:val="00D40D3E"/>
    <w:rsid w:val="00D40D5E"/>
    <w:rsid w:val="00D40E06"/>
    <w:rsid w:val="00D40F95"/>
    <w:rsid w:val="00D41134"/>
    <w:rsid w:val="00D412A0"/>
    <w:rsid w:val="00D414C2"/>
    <w:rsid w:val="00D41545"/>
    <w:rsid w:val="00D41616"/>
    <w:rsid w:val="00D41639"/>
    <w:rsid w:val="00D41757"/>
    <w:rsid w:val="00D41769"/>
    <w:rsid w:val="00D41904"/>
    <w:rsid w:val="00D4199C"/>
    <w:rsid w:val="00D41B26"/>
    <w:rsid w:val="00D41CBB"/>
    <w:rsid w:val="00D41DF3"/>
    <w:rsid w:val="00D41E96"/>
    <w:rsid w:val="00D41F64"/>
    <w:rsid w:val="00D420D8"/>
    <w:rsid w:val="00D42110"/>
    <w:rsid w:val="00D42196"/>
    <w:rsid w:val="00D42350"/>
    <w:rsid w:val="00D423A7"/>
    <w:rsid w:val="00D423D4"/>
    <w:rsid w:val="00D4247D"/>
    <w:rsid w:val="00D425FF"/>
    <w:rsid w:val="00D4278E"/>
    <w:rsid w:val="00D427B0"/>
    <w:rsid w:val="00D42931"/>
    <w:rsid w:val="00D42983"/>
    <w:rsid w:val="00D42A38"/>
    <w:rsid w:val="00D42BDA"/>
    <w:rsid w:val="00D42CB9"/>
    <w:rsid w:val="00D42DEE"/>
    <w:rsid w:val="00D42F4B"/>
    <w:rsid w:val="00D430CF"/>
    <w:rsid w:val="00D431B7"/>
    <w:rsid w:val="00D4336B"/>
    <w:rsid w:val="00D4337A"/>
    <w:rsid w:val="00D433CC"/>
    <w:rsid w:val="00D43401"/>
    <w:rsid w:val="00D4350E"/>
    <w:rsid w:val="00D43543"/>
    <w:rsid w:val="00D4357F"/>
    <w:rsid w:val="00D43583"/>
    <w:rsid w:val="00D435B8"/>
    <w:rsid w:val="00D436EF"/>
    <w:rsid w:val="00D439DB"/>
    <w:rsid w:val="00D43C03"/>
    <w:rsid w:val="00D43CC6"/>
    <w:rsid w:val="00D43CD2"/>
    <w:rsid w:val="00D43DBD"/>
    <w:rsid w:val="00D43E38"/>
    <w:rsid w:val="00D43E82"/>
    <w:rsid w:val="00D43EE3"/>
    <w:rsid w:val="00D43EF6"/>
    <w:rsid w:val="00D43F36"/>
    <w:rsid w:val="00D43FA7"/>
    <w:rsid w:val="00D44359"/>
    <w:rsid w:val="00D443AC"/>
    <w:rsid w:val="00D44482"/>
    <w:rsid w:val="00D44500"/>
    <w:rsid w:val="00D4485C"/>
    <w:rsid w:val="00D44921"/>
    <w:rsid w:val="00D4498B"/>
    <w:rsid w:val="00D44BAB"/>
    <w:rsid w:val="00D44E91"/>
    <w:rsid w:val="00D450BF"/>
    <w:rsid w:val="00D4516E"/>
    <w:rsid w:val="00D45228"/>
    <w:rsid w:val="00D45248"/>
    <w:rsid w:val="00D45602"/>
    <w:rsid w:val="00D45761"/>
    <w:rsid w:val="00D45865"/>
    <w:rsid w:val="00D458F6"/>
    <w:rsid w:val="00D45AF8"/>
    <w:rsid w:val="00D45B5E"/>
    <w:rsid w:val="00D45CCE"/>
    <w:rsid w:val="00D45CD2"/>
    <w:rsid w:val="00D45F02"/>
    <w:rsid w:val="00D46039"/>
    <w:rsid w:val="00D4603E"/>
    <w:rsid w:val="00D46114"/>
    <w:rsid w:val="00D46222"/>
    <w:rsid w:val="00D46340"/>
    <w:rsid w:val="00D463B9"/>
    <w:rsid w:val="00D463BF"/>
    <w:rsid w:val="00D464F3"/>
    <w:rsid w:val="00D46538"/>
    <w:rsid w:val="00D465D6"/>
    <w:rsid w:val="00D46614"/>
    <w:rsid w:val="00D46741"/>
    <w:rsid w:val="00D4674C"/>
    <w:rsid w:val="00D46765"/>
    <w:rsid w:val="00D46774"/>
    <w:rsid w:val="00D46800"/>
    <w:rsid w:val="00D469FE"/>
    <w:rsid w:val="00D46B97"/>
    <w:rsid w:val="00D46CF3"/>
    <w:rsid w:val="00D46D01"/>
    <w:rsid w:val="00D46D0E"/>
    <w:rsid w:val="00D46D9C"/>
    <w:rsid w:val="00D46E8A"/>
    <w:rsid w:val="00D4717D"/>
    <w:rsid w:val="00D47219"/>
    <w:rsid w:val="00D4721A"/>
    <w:rsid w:val="00D4731A"/>
    <w:rsid w:val="00D4749D"/>
    <w:rsid w:val="00D4753A"/>
    <w:rsid w:val="00D475EE"/>
    <w:rsid w:val="00D47668"/>
    <w:rsid w:val="00D476D7"/>
    <w:rsid w:val="00D476E5"/>
    <w:rsid w:val="00D4775E"/>
    <w:rsid w:val="00D477C0"/>
    <w:rsid w:val="00D47933"/>
    <w:rsid w:val="00D47F3F"/>
    <w:rsid w:val="00D47F97"/>
    <w:rsid w:val="00D47FF1"/>
    <w:rsid w:val="00D500FC"/>
    <w:rsid w:val="00D5012E"/>
    <w:rsid w:val="00D501C3"/>
    <w:rsid w:val="00D50328"/>
    <w:rsid w:val="00D5034A"/>
    <w:rsid w:val="00D50380"/>
    <w:rsid w:val="00D50483"/>
    <w:rsid w:val="00D506A1"/>
    <w:rsid w:val="00D506B2"/>
    <w:rsid w:val="00D507ED"/>
    <w:rsid w:val="00D508F5"/>
    <w:rsid w:val="00D50B20"/>
    <w:rsid w:val="00D50BF5"/>
    <w:rsid w:val="00D50DC7"/>
    <w:rsid w:val="00D50F2A"/>
    <w:rsid w:val="00D50F2C"/>
    <w:rsid w:val="00D510CD"/>
    <w:rsid w:val="00D51103"/>
    <w:rsid w:val="00D511B5"/>
    <w:rsid w:val="00D51200"/>
    <w:rsid w:val="00D512AE"/>
    <w:rsid w:val="00D512B1"/>
    <w:rsid w:val="00D513E9"/>
    <w:rsid w:val="00D5143D"/>
    <w:rsid w:val="00D51441"/>
    <w:rsid w:val="00D515EA"/>
    <w:rsid w:val="00D51740"/>
    <w:rsid w:val="00D518BE"/>
    <w:rsid w:val="00D51963"/>
    <w:rsid w:val="00D51A54"/>
    <w:rsid w:val="00D51AA1"/>
    <w:rsid w:val="00D51BAB"/>
    <w:rsid w:val="00D51BF8"/>
    <w:rsid w:val="00D51C05"/>
    <w:rsid w:val="00D51DD6"/>
    <w:rsid w:val="00D51FCF"/>
    <w:rsid w:val="00D521BF"/>
    <w:rsid w:val="00D521C8"/>
    <w:rsid w:val="00D521E1"/>
    <w:rsid w:val="00D5235F"/>
    <w:rsid w:val="00D52428"/>
    <w:rsid w:val="00D5257E"/>
    <w:rsid w:val="00D52654"/>
    <w:rsid w:val="00D52814"/>
    <w:rsid w:val="00D52836"/>
    <w:rsid w:val="00D52853"/>
    <w:rsid w:val="00D529A1"/>
    <w:rsid w:val="00D529DC"/>
    <w:rsid w:val="00D52A26"/>
    <w:rsid w:val="00D52A3F"/>
    <w:rsid w:val="00D52D09"/>
    <w:rsid w:val="00D52DF9"/>
    <w:rsid w:val="00D52E8D"/>
    <w:rsid w:val="00D52EDC"/>
    <w:rsid w:val="00D52F0B"/>
    <w:rsid w:val="00D52FE9"/>
    <w:rsid w:val="00D530FB"/>
    <w:rsid w:val="00D531E0"/>
    <w:rsid w:val="00D532CD"/>
    <w:rsid w:val="00D534FF"/>
    <w:rsid w:val="00D53559"/>
    <w:rsid w:val="00D536D0"/>
    <w:rsid w:val="00D5377A"/>
    <w:rsid w:val="00D53942"/>
    <w:rsid w:val="00D5398F"/>
    <w:rsid w:val="00D53A6B"/>
    <w:rsid w:val="00D53A7C"/>
    <w:rsid w:val="00D53AFC"/>
    <w:rsid w:val="00D53C70"/>
    <w:rsid w:val="00D53D95"/>
    <w:rsid w:val="00D540ED"/>
    <w:rsid w:val="00D542C2"/>
    <w:rsid w:val="00D542EE"/>
    <w:rsid w:val="00D5459A"/>
    <w:rsid w:val="00D5474B"/>
    <w:rsid w:val="00D547D5"/>
    <w:rsid w:val="00D54955"/>
    <w:rsid w:val="00D5496F"/>
    <w:rsid w:val="00D54A9D"/>
    <w:rsid w:val="00D54C59"/>
    <w:rsid w:val="00D54EC8"/>
    <w:rsid w:val="00D54EF7"/>
    <w:rsid w:val="00D5513D"/>
    <w:rsid w:val="00D5544D"/>
    <w:rsid w:val="00D55631"/>
    <w:rsid w:val="00D55668"/>
    <w:rsid w:val="00D5582D"/>
    <w:rsid w:val="00D5597D"/>
    <w:rsid w:val="00D559E8"/>
    <w:rsid w:val="00D55A76"/>
    <w:rsid w:val="00D55A93"/>
    <w:rsid w:val="00D55B9B"/>
    <w:rsid w:val="00D55BB8"/>
    <w:rsid w:val="00D55BC9"/>
    <w:rsid w:val="00D55D13"/>
    <w:rsid w:val="00D55D2D"/>
    <w:rsid w:val="00D55EDB"/>
    <w:rsid w:val="00D55F2E"/>
    <w:rsid w:val="00D561EB"/>
    <w:rsid w:val="00D56230"/>
    <w:rsid w:val="00D56337"/>
    <w:rsid w:val="00D5648A"/>
    <w:rsid w:val="00D564B4"/>
    <w:rsid w:val="00D56522"/>
    <w:rsid w:val="00D56576"/>
    <w:rsid w:val="00D565F6"/>
    <w:rsid w:val="00D56678"/>
    <w:rsid w:val="00D56686"/>
    <w:rsid w:val="00D568BB"/>
    <w:rsid w:val="00D568F9"/>
    <w:rsid w:val="00D56967"/>
    <w:rsid w:val="00D569D0"/>
    <w:rsid w:val="00D56A67"/>
    <w:rsid w:val="00D56C8B"/>
    <w:rsid w:val="00D56CC3"/>
    <w:rsid w:val="00D56CFD"/>
    <w:rsid w:val="00D56D3A"/>
    <w:rsid w:val="00D56D44"/>
    <w:rsid w:val="00D57312"/>
    <w:rsid w:val="00D5782B"/>
    <w:rsid w:val="00D57833"/>
    <w:rsid w:val="00D578B8"/>
    <w:rsid w:val="00D5790F"/>
    <w:rsid w:val="00D579F6"/>
    <w:rsid w:val="00D57C8D"/>
    <w:rsid w:val="00D57CF8"/>
    <w:rsid w:val="00D57E54"/>
    <w:rsid w:val="00D57E5C"/>
    <w:rsid w:val="00D60428"/>
    <w:rsid w:val="00D607F2"/>
    <w:rsid w:val="00D608E2"/>
    <w:rsid w:val="00D60B2E"/>
    <w:rsid w:val="00D60C47"/>
    <w:rsid w:val="00D60C5E"/>
    <w:rsid w:val="00D60D34"/>
    <w:rsid w:val="00D60D5B"/>
    <w:rsid w:val="00D60D6B"/>
    <w:rsid w:val="00D60DB4"/>
    <w:rsid w:val="00D60E09"/>
    <w:rsid w:val="00D60E63"/>
    <w:rsid w:val="00D60F15"/>
    <w:rsid w:val="00D6109B"/>
    <w:rsid w:val="00D61201"/>
    <w:rsid w:val="00D612DB"/>
    <w:rsid w:val="00D613C7"/>
    <w:rsid w:val="00D61498"/>
    <w:rsid w:val="00D619B3"/>
    <w:rsid w:val="00D61E8C"/>
    <w:rsid w:val="00D621AF"/>
    <w:rsid w:val="00D62322"/>
    <w:rsid w:val="00D6232F"/>
    <w:rsid w:val="00D6248F"/>
    <w:rsid w:val="00D625C5"/>
    <w:rsid w:val="00D628BF"/>
    <w:rsid w:val="00D629ED"/>
    <w:rsid w:val="00D62A4D"/>
    <w:rsid w:val="00D62AAF"/>
    <w:rsid w:val="00D62B55"/>
    <w:rsid w:val="00D62C7C"/>
    <w:rsid w:val="00D62D49"/>
    <w:rsid w:val="00D62D4D"/>
    <w:rsid w:val="00D62D9D"/>
    <w:rsid w:val="00D62E52"/>
    <w:rsid w:val="00D630CA"/>
    <w:rsid w:val="00D6311C"/>
    <w:rsid w:val="00D633AA"/>
    <w:rsid w:val="00D6355D"/>
    <w:rsid w:val="00D63639"/>
    <w:rsid w:val="00D63648"/>
    <w:rsid w:val="00D63752"/>
    <w:rsid w:val="00D637FA"/>
    <w:rsid w:val="00D63801"/>
    <w:rsid w:val="00D63A54"/>
    <w:rsid w:val="00D63BF3"/>
    <w:rsid w:val="00D63CA9"/>
    <w:rsid w:val="00D63CFC"/>
    <w:rsid w:val="00D63D48"/>
    <w:rsid w:val="00D63E02"/>
    <w:rsid w:val="00D63EDC"/>
    <w:rsid w:val="00D63EE4"/>
    <w:rsid w:val="00D63F69"/>
    <w:rsid w:val="00D63FD8"/>
    <w:rsid w:val="00D64183"/>
    <w:rsid w:val="00D6427E"/>
    <w:rsid w:val="00D645BB"/>
    <w:rsid w:val="00D647BA"/>
    <w:rsid w:val="00D647DB"/>
    <w:rsid w:val="00D64904"/>
    <w:rsid w:val="00D6490E"/>
    <w:rsid w:val="00D64925"/>
    <w:rsid w:val="00D649C0"/>
    <w:rsid w:val="00D64A73"/>
    <w:rsid w:val="00D64A9A"/>
    <w:rsid w:val="00D64ADF"/>
    <w:rsid w:val="00D64AE5"/>
    <w:rsid w:val="00D64B7E"/>
    <w:rsid w:val="00D64C59"/>
    <w:rsid w:val="00D64C86"/>
    <w:rsid w:val="00D64DD6"/>
    <w:rsid w:val="00D64E60"/>
    <w:rsid w:val="00D64E88"/>
    <w:rsid w:val="00D6515C"/>
    <w:rsid w:val="00D651CD"/>
    <w:rsid w:val="00D6552C"/>
    <w:rsid w:val="00D6556D"/>
    <w:rsid w:val="00D65871"/>
    <w:rsid w:val="00D658FD"/>
    <w:rsid w:val="00D659B1"/>
    <w:rsid w:val="00D65AFC"/>
    <w:rsid w:val="00D65B4D"/>
    <w:rsid w:val="00D65C03"/>
    <w:rsid w:val="00D65C86"/>
    <w:rsid w:val="00D65C8B"/>
    <w:rsid w:val="00D65D51"/>
    <w:rsid w:val="00D66087"/>
    <w:rsid w:val="00D66140"/>
    <w:rsid w:val="00D6628D"/>
    <w:rsid w:val="00D6628E"/>
    <w:rsid w:val="00D66403"/>
    <w:rsid w:val="00D665AD"/>
    <w:rsid w:val="00D66AD6"/>
    <w:rsid w:val="00D66B2B"/>
    <w:rsid w:val="00D66B90"/>
    <w:rsid w:val="00D66BBE"/>
    <w:rsid w:val="00D66C5E"/>
    <w:rsid w:val="00D66CC3"/>
    <w:rsid w:val="00D66D0F"/>
    <w:rsid w:val="00D66E47"/>
    <w:rsid w:val="00D67146"/>
    <w:rsid w:val="00D67206"/>
    <w:rsid w:val="00D6731E"/>
    <w:rsid w:val="00D67484"/>
    <w:rsid w:val="00D674A6"/>
    <w:rsid w:val="00D674B8"/>
    <w:rsid w:val="00D6783F"/>
    <w:rsid w:val="00D67868"/>
    <w:rsid w:val="00D67C50"/>
    <w:rsid w:val="00D67C5D"/>
    <w:rsid w:val="00D67C61"/>
    <w:rsid w:val="00D67C89"/>
    <w:rsid w:val="00D67DF8"/>
    <w:rsid w:val="00D67E35"/>
    <w:rsid w:val="00D67EA1"/>
    <w:rsid w:val="00D67F36"/>
    <w:rsid w:val="00D70152"/>
    <w:rsid w:val="00D701EA"/>
    <w:rsid w:val="00D70211"/>
    <w:rsid w:val="00D702DE"/>
    <w:rsid w:val="00D70359"/>
    <w:rsid w:val="00D704BF"/>
    <w:rsid w:val="00D706A3"/>
    <w:rsid w:val="00D706C4"/>
    <w:rsid w:val="00D70745"/>
    <w:rsid w:val="00D70CE2"/>
    <w:rsid w:val="00D70D28"/>
    <w:rsid w:val="00D70D58"/>
    <w:rsid w:val="00D70E91"/>
    <w:rsid w:val="00D70EAB"/>
    <w:rsid w:val="00D70F9E"/>
    <w:rsid w:val="00D70FF2"/>
    <w:rsid w:val="00D71098"/>
    <w:rsid w:val="00D71444"/>
    <w:rsid w:val="00D715C3"/>
    <w:rsid w:val="00D718B7"/>
    <w:rsid w:val="00D71985"/>
    <w:rsid w:val="00D71AEA"/>
    <w:rsid w:val="00D71C4B"/>
    <w:rsid w:val="00D71C89"/>
    <w:rsid w:val="00D71D10"/>
    <w:rsid w:val="00D71ED2"/>
    <w:rsid w:val="00D71F10"/>
    <w:rsid w:val="00D7205B"/>
    <w:rsid w:val="00D72117"/>
    <w:rsid w:val="00D7215E"/>
    <w:rsid w:val="00D721A6"/>
    <w:rsid w:val="00D721C9"/>
    <w:rsid w:val="00D72332"/>
    <w:rsid w:val="00D72340"/>
    <w:rsid w:val="00D723D3"/>
    <w:rsid w:val="00D72532"/>
    <w:rsid w:val="00D725D5"/>
    <w:rsid w:val="00D7279B"/>
    <w:rsid w:val="00D727B3"/>
    <w:rsid w:val="00D728FE"/>
    <w:rsid w:val="00D729D6"/>
    <w:rsid w:val="00D72A0F"/>
    <w:rsid w:val="00D72A1C"/>
    <w:rsid w:val="00D72B2F"/>
    <w:rsid w:val="00D730A5"/>
    <w:rsid w:val="00D73244"/>
    <w:rsid w:val="00D73322"/>
    <w:rsid w:val="00D733CC"/>
    <w:rsid w:val="00D733EA"/>
    <w:rsid w:val="00D733F1"/>
    <w:rsid w:val="00D73419"/>
    <w:rsid w:val="00D734CF"/>
    <w:rsid w:val="00D73532"/>
    <w:rsid w:val="00D73615"/>
    <w:rsid w:val="00D73AF9"/>
    <w:rsid w:val="00D73B9A"/>
    <w:rsid w:val="00D73BE9"/>
    <w:rsid w:val="00D73D10"/>
    <w:rsid w:val="00D73D6F"/>
    <w:rsid w:val="00D73ECA"/>
    <w:rsid w:val="00D73F45"/>
    <w:rsid w:val="00D73FA1"/>
    <w:rsid w:val="00D74067"/>
    <w:rsid w:val="00D740F6"/>
    <w:rsid w:val="00D7428A"/>
    <w:rsid w:val="00D742E8"/>
    <w:rsid w:val="00D7435B"/>
    <w:rsid w:val="00D74366"/>
    <w:rsid w:val="00D744A6"/>
    <w:rsid w:val="00D744AA"/>
    <w:rsid w:val="00D7454D"/>
    <w:rsid w:val="00D74574"/>
    <w:rsid w:val="00D74617"/>
    <w:rsid w:val="00D74645"/>
    <w:rsid w:val="00D74738"/>
    <w:rsid w:val="00D74861"/>
    <w:rsid w:val="00D749C7"/>
    <w:rsid w:val="00D74C45"/>
    <w:rsid w:val="00D74D79"/>
    <w:rsid w:val="00D74FEE"/>
    <w:rsid w:val="00D750DF"/>
    <w:rsid w:val="00D75165"/>
    <w:rsid w:val="00D75498"/>
    <w:rsid w:val="00D754AE"/>
    <w:rsid w:val="00D75501"/>
    <w:rsid w:val="00D7558A"/>
    <w:rsid w:val="00D755D2"/>
    <w:rsid w:val="00D7566A"/>
    <w:rsid w:val="00D75684"/>
    <w:rsid w:val="00D758DD"/>
    <w:rsid w:val="00D758FD"/>
    <w:rsid w:val="00D759C4"/>
    <w:rsid w:val="00D75D74"/>
    <w:rsid w:val="00D75DDB"/>
    <w:rsid w:val="00D76034"/>
    <w:rsid w:val="00D7646E"/>
    <w:rsid w:val="00D764AB"/>
    <w:rsid w:val="00D76518"/>
    <w:rsid w:val="00D76536"/>
    <w:rsid w:val="00D7666E"/>
    <w:rsid w:val="00D76DBC"/>
    <w:rsid w:val="00D76DD6"/>
    <w:rsid w:val="00D76E1B"/>
    <w:rsid w:val="00D76EA8"/>
    <w:rsid w:val="00D77008"/>
    <w:rsid w:val="00D770F6"/>
    <w:rsid w:val="00D771C8"/>
    <w:rsid w:val="00D7729A"/>
    <w:rsid w:val="00D7734F"/>
    <w:rsid w:val="00D77454"/>
    <w:rsid w:val="00D777C6"/>
    <w:rsid w:val="00D77810"/>
    <w:rsid w:val="00D77AD4"/>
    <w:rsid w:val="00D77BBA"/>
    <w:rsid w:val="00D77C28"/>
    <w:rsid w:val="00D77C72"/>
    <w:rsid w:val="00D77C91"/>
    <w:rsid w:val="00D77CA9"/>
    <w:rsid w:val="00D77D03"/>
    <w:rsid w:val="00D77E54"/>
    <w:rsid w:val="00D77E7F"/>
    <w:rsid w:val="00D800F9"/>
    <w:rsid w:val="00D80236"/>
    <w:rsid w:val="00D802E2"/>
    <w:rsid w:val="00D8042C"/>
    <w:rsid w:val="00D804DF"/>
    <w:rsid w:val="00D80574"/>
    <w:rsid w:val="00D80596"/>
    <w:rsid w:val="00D8068B"/>
    <w:rsid w:val="00D806A7"/>
    <w:rsid w:val="00D806A9"/>
    <w:rsid w:val="00D80787"/>
    <w:rsid w:val="00D80897"/>
    <w:rsid w:val="00D808AD"/>
    <w:rsid w:val="00D808BA"/>
    <w:rsid w:val="00D809AA"/>
    <w:rsid w:val="00D809BA"/>
    <w:rsid w:val="00D80A12"/>
    <w:rsid w:val="00D80AA2"/>
    <w:rsid w:val="00D80B0C"/>
    <w:rsid w:val="00D80B20"/>
    <w:rsid w:val="00D80CB1"/>
    <w:rsid w:val="00D80D06"/>
    <w:rsid w:val="00D80D8D"/>
    <w:rsid w:val="00D80E8E"/>
    <w:rsid w:val="00D81244"/>
    <w:rsid w:val="00D8126A"/>
    <w:rsid w:val="00D81276"/>
    <w:rsid w:val="00D813C4"/>
    <w:rsid w:val="00D813F9"/>
    <w:rsid w:val="00D81618"/>
    <w:rsid w:val="00D81798"/>
    <w:rsid w:val="00D8186B"/>
    <w:rsid w:val="00D818D6"/>
    <w:rsid w:val="00D819B4"/>
    <w:rsid w:val="00D81D33"/>
    <w:rsid w:val="00D81D3A"/>
    <w:rsid w:val="00D81D9B"/>
    <w:rsid w:val="00D81E06"/>
    <w:rsid w:val="00D82220"/>
    <w:rsid w:val="00D82271"/>
    <w:rsid w:val="00D82393"/>
    <w:rsid w:val="00D82417"/>
    <w:rsid w:val="00D82445"/>
    <w:rsid w:val="00D82530"/>
    <w:rsid w:val="00D8256C"/>
    <w:rsid w:val="00D82597"/>
    <w:rsid w:val="00D825BB"/>
    <w:rsid w:val="00D826A1"/>
    <w:rsid w:val="00D82746"/>
    <w:rsid w:val="00D8275C"/>
    <w:rsid w:val="00D828B5"/>
    <w:rsid w:val="00D82A6B"/>
    <w:rsid w:val="00D82A9E"/>
    <w:rsid w:val="00D82B79"/>
    <w:rsid w:val="00D82B81"/>
    <w:rsid w:val="00D82C6B"/>
    <w:rsid w:val="00D82E3F"/>
    <w:rsid w:val="00D82EFB"/>
    <w:rsid w:val="00D8306F"/>
    <w:rsid w:val="00D8311D"/>
    <w:rsid w:val="00D83255"/>
    <w:rsid w:val="00D832A2"/>
    <w:rsid w:val="00D83324"/>
    <w:rsid w:val="00D8332B"/>
    <w:rsid w:val="00D833D0"/>
    <w:rsid w:val="00D83414"/>
    <w:rsid w:val="00D8343D"/>
    <w:rsid w:val="00D837F7"/>
    <w:rsid w:val="00D838BA"/>
    <w:rsid w:val="00D838C8"/>
    <w:rsid w:val="00D83951"/>
    <w:rsid w:val="00D839C8"/>
    <w:rsid w:val="00D839D6"/>
    <w:rsid w:val="00D83A28"/>
    <w:rsid w:val="00D83A51"/>
    <w:rsid w:val="00D83A7F"/>
    <w:rsid w:val="00D83B9B"/>
    <w:rsid w:val="00D83BD9"/>
    <w:rsid w:val="00D83C68"/>
    <w:rsid w:val="00D83D62"/>
    <w:rsid w:val="00D83D9B"/>
    <w:rsid w:val="00D83E50"/>
    <w:rsid w:val="00D83EC3"/>
    <w:rsid w:val="00D8407F"/>
    <w:rsid w:val="00D842CF"/>
    <w:rsid w:val="00D84300"/>
    <w:rsid w:val="00D84315"/>
    <w:rsid w:val="00D843F7"/>
    <w:rsid w:val="00D84492"/>
    <w:rsid w:val="00D846C5"/>
    <w:rsid w:val="00D846D3"/>
    <w:rsid w:val="00D848DA"/>
    <w:rsid w:val="00D84A37"/>
    <w:rsid w:val="00D84A6A"/>
    <w:rsid w:val="00D84C8A"/>
    <w:rsid w:val="00D84DD3"/>
    <w:rsid w:val="00D84DF6"/>
    <w:rsid w:val="00D84E2C"/>
    <w:rsid w:val="00D84F05"/>
    <w:rsid w:val="00D84F4D"/>
    <w:rsid w:val="00D84F89"/>
    <w:rsid w:val="00D84FC7"/>
    <w:rsid w:val="00D84FD3"/>
    <w:rsid w:val="00D8503F"/>
    <w:rsid w:val="00D8525D"/>
    <w:rsid w:val="00D8528A"/>
    <w:rsid w:val="00D85330"/>
    <w:rsid w:val="00D85403"/>
    <w:rsid w:val="00D856C9"/>
    <w:rsid w:val="00D85702"/>
    <w:rsid w:val="00D8585F"/>
    <w:rsid w:val="00D858B4"/>
    <w:rsid w:val="00D85901"/>
    <w:rsid w:val="00D85BEB"/>
    <w:rsid w:val="00D85F28"/>
    <w:rsid w:val="00D85FF8"/>
    <w:rsid w:val="00D86522"/>
    <w:rsid w:val="00D865D8"/>
    <w:rsid w:val="00D865EB"/>
    <w:rsid w:val="00D86833"/>
    <w:rsid w:val="00D869B6"/>
    <w:rsid w:val="00D86AAF"/>
    <w:rsid w:val="00D86BE3"/>
    <w:rsid w:val="00D86E65"/>
    <w:rsid w:val="00D86E9F"/>
    <w:rsid w:val="00D87646"/>
    <w:rsid w:val="00D8765E"/>
    <w:rsid w:val="00D87730"/>
    <w:rsid w:val="00D87796"/>
    <w:rsid w:val="00D87A8A"/>
    <w:rsid w:val="00D87C0F"/>
    <w:rsid w:val="00D87CD0"/>
    <w:rsid w:val="00D87CD6"/>
    <w:rsid w:val="00D90087"/>
    <w:rsid w:val="00D900E7"/>
    <w:rsid w:val="00D900F5"/>
    <w:rsid w:val="00D90268"/>
    <w:rsid w:val="00D90302"/>
    <w:rsid w:val="00D90343"/>
    <w:rsid w:val="00D90524"/>
    <w:rsid w:val="00D906A3"/>
    <w:rsid w:val="00D90740"/>
    <w:rsid w:val="00D90872"/>
    <w:rsid w:val="00D90998"/>
    <w:rsid w:val="00D909E4"/>
    <w:rsid w:val="00D90D5F"/>
    <w:rsid w:val="00D90DA6"/>
    <w:rsid w:val="00D90DAF"/>
    <w:rsid w:val="00D90DF4"/>
    <w:rsid w:val="00D90EE4"/>
    <w:rsid w:val="00D90F04"/>
    <w:rsid w:val="00D910C6"/>
    <w:rsid w:val="00D91112"/>
    <w:rsid w:val="00D91120"/>
    <w:rsid w:val="00D911B2"/>
    <w:rsid w:val="00D911C9"/>
    <w:rsid w:val="00D9130B"/>
    <w:rsid w:val="00D915AB"/>
    <w:rsid w:val="00D916A8"/>
    <w:rsid w:val="00D91726"/>
    <w:rsid w:val="00D917B6"/>
    <w:rsid w:val="00D91843"/>
    <w:rsid w:val="00D918E4"/>
    <w:rsid w:val="00D91969"/>
    <w:rsid w:val="00D91A1A"/>
    <w:rsid w:val="00D91AED"/>
    <w:rsid w:val="00D91C12"/>
    <w:rsid w:val="00D91C24"/>
    <w:rsid w:val="00D91D39"/>
    <w:rsid w:val="00D91D72"/>
    <w:rsid w:val="00D91DCA"/>
    <w:rsid w:val="00D91E45"/>
    <w:rsid w:val="00D91FF3"/>
    <w:rsid w:val="00D920CE"/>
    <w:rsid w:val="00D9211C"/>
    <w:rsid w:val="00D922BE"/>
    <w:rsid w:val="00D92325"/>
    <w:rsid w:val="00D92387"/>
    <w:rsid w:val="00D923F6"/>
    <w:rsid w:val="00D92571"/>
    <w:rsid w:val="00D92673"/>
    <w:rsid w:val="00D92745"/>
    <w:rsid w:val="00D9275D"/>
    <w:rsid w:val="00D9285A"/>
    <w:rsid w:val="00D929B5"/>
    <w:rsid w:val="00D92BC6"/>
    <w:rsid w:val="00D92C66"/>
    <w:rsid w:val="00D92DB6"/>
    <w:rsid w:val="00D92ED0"/>
    <w:rsid w:val="00D92EDF"/>
    <w:rsid w:val="00D92FA9"/>
    <w:rsid w:val="00D92FC2"/>
    <w:rsid w:val="00D93058"/>
    <w:rsid w:val="00D930D1"/>
    <w:rsid w:val="00D9313E"/>
    <w:rsid w:val="00D93262"/>
    <w:rsid w:val="00D932A1"/>
    <w:rsid w:val="00D932AC"/>
    <w:rsid w:val="00D93307"/>
    <w:rsid w:val="00D93348"/>
    <w:rsid w:val="00D93409"/>
    <w:rsid w:val="00D934D3"/>
    <w:rsid w:val="00D934FA"/>
    <w:rsid w:val="00D93536"/>
    <w:rsid w:val="00D93617"/>
    <w:rsid w:val="00D93742"/>
    <w:rsid w:val="00D939EC"/>
    <w:rsid w:val="00D93A53"/>
    <w:rsid w:val="00D93A62"/>
    <w:rsid w:val="00D93B30"/>
    <w:rsid w:val="00D93CCB"/>
    <w:rsid w:val="00D93CF7"/>
    <w:rsid w:val="00D93D80"/>
    <w:rsid w:val="00D93E79"/>
    <w:rsid w:val="00D94011"/>
    <w:rsid w:val="00D94132"/>
    <w:rsid w:val="00D942F7"/>
    <w:rsid w:val="00D94431"/>
    <w:rsid w:val="00D94481"/>
    <w:rsid w:val="00D94604"/>
    <w:rsid w:val="00D946D6"/>
    <w:rsid w:val="00D9489E"/>
    <w:rsid w:val="00D9493F"/>
    <w:rsid w:val="00D94970"/>
    <w:rsid w:val="00D949B2"/>
    <w:rsid w:val="00D949B7"/>
    <w:rsid w:val="00D94ABF"/>
    <w:rsid w:val="00D94D1D"/>
    <w:rsid w:val="00D94D58"/>
    <w:rsid w:val="00D95068"/>
    <w:rsid w:val="00D9513E"/>
    <w:rsid w:val="00D951AC"/>
    <w:rsid w:val="00D951CC"/>
    <w:rsid w:val="00D9522A"/>
    <w:rsid w:val="00D9524A"/>
    <w:rsid w:val="00D95260"/>
    <w:rsid w:val="00D9526F"/>
    <w:rsid w:val="00D952DD"/>
    <w:rsid w:val="00D95617"/>
    <w:rsid w:val="00D95687"/>
    <w:rsid w:val="00D958D6"/>
    <w:rsid w:val="00D95955"/>
    <w:rsid w:val="00D95A1B"/>
    <w:rsid w:val="00D95CC2"/>
    <w:rsid w:val="00D95D68"/>
    <w:rsid w:val="00D95E7F"/>
    <w:rsid w:val="00D95F6B"/>
    <w:rsid w:val="00D95FB9"/>
    <w:rsid w:val="00D9629E"/>
    <w:rsid w:val="00D964D4"/>
    <w:rsid w:val="00D964F1"/>
    <w:rsid w:val="00D965C2"/>
    <w:rsid w:val="00D965CE"/>
    <w:rsid w:val="00D969F0"/>
    <w:rsid w:val="00D96A2D"/>
    <w:rsid w:val="00D96A56"/>
    <w:rsid w:val="00D96D2E"/>
    <w:rsid w:val="00D96D57"/>
    <w:rsid w:val="00D96D8F"/>
    <w:rsid w:val="00D96E87"/>
    <w:rsid w:val="00D96ED4"/>
    <w:rsid w:val="00D970AC"/>
    <w:rsid w:val="00D97189"/>
    <w:rsid w:val="00D9724A"/>
    <w:rsid w:val="00D973F2"/>
    <w:rsid w:val="00D97502"/>
    <w:rsid w:val="00D975DF"/>
    <w:rsid w:val="00D97679"/>
    <w:rsid w:val="00D977CF"/>
    <w:rsid w:val="00D97B03"/>
    <w:rsid w:val="00D97B5E"/>
    <w:rsid w:val="00D97BA7"/>
    <w:rsid w:val="00D97C06"/>
    <w:rsid w:val="00D97C79"/>
    <w:rsid w:val="00D97C7F"/>
    <w:rsid w:val="00D97C9E"/>
    <w:rsid w:val="00D97F12"/>
    <w:rsid w:val="00D97FDD"/>
    <w:rsid w:val="00DA0188"/>
    <w:rsid w:val="00DA024E"/>
    <w:rsid w:val="00DA02F3"/>
    <w:rsid w:val="00DA0420"/>
    <w:rsid w:val="00DA0615"/>
    <w:rsid w:val="00DA06DA"/>
    <w:rsid w:val="00DA07B3"/>
    <w:rsid w:val="00DA082D"/>
    <w:rsid w:val="00DA0956"/>
    <w:rsid w:val="00DA0C01"/>
    <w:rsid w:val="00DA0D67"/>
    <w:rsid w:val="00DA0E76"/>
    <w:rsid w:val="00DA0E81"/>
    <w:rsid w:val="00DA0F6D"/>
    <w:rsid w:val="00DA0FE9"/>
    <w:rsid w:val="00DA107C"/>
    <w:rsid w:val="00DA107F"/>
    <w:rsid w:val="00DA12E4"/>
    <w:rsid w:val="00DA1402"/>
    <w:rsid w:val="00DA14DE"/>
    <w:rsid w:val="00DA160B"/>
    <w:rsid w:val="00DA17BB"/>
    <w:rsid w:val="00DA18F2"/>
    <w:rsid w:val="00DA1950"/>
    <w:rsid w:val="00DA19B6"/>
    <w:rsid w:val="00DA1A70"/>
    <w:rsid w:val="00DA1A95"/>
    <w:rsid w:val="00DA1AEE"/>
    <w:rsid w:val="00DA1DCF"/>
    <w:rsid w:val="00DA1DD7"/>
    <w:rsid w:val="00DA1E24"/>
    <w:rsid w:val="00DA1E93"/>
    <w:rsid w:val="00DA1EBD"/>
    <w:rsid w:val="00DA1EE3"/>
    <w:rsid w:val="00DA1F0A"/>
    <w:rsid w:val="00DA1F85"/>
    <w:rsid w:val="00DA204B"/>
    <w:rsid w:val="00DA21FE"/>
    <w:rsid w:val="00DA2289"/>
    <w:rsid w:val="00DA231A"/>
    <w:rsid w:val="00DA233A"/>
    <w:rsid w:val="00DA23CE"/>
    <w:rsid w:val="00DA23FC"/>
    <w:rsid w:val="00DA25A2"/>
    <w:rsid w:val="00DA2640"/>
    <w:rsid w:val="00DA2674"/>
    <w:rsid w:val="00DA2856"/>
    <w:rsid w:val="00DA29AD"/>
    <w:rsid w:val="00DA2AC9"/>
    <w:rsid w:val="00DA2ADB"/>
    <w:rsid w:val="00DA2CFC"/>
    <w:rsid w:val="00DA2E3C"/>
    <w:rsid w:val="00DA2E8B"/>
    <w:rsid w:val="00DA2F0F"/>
    <w:rsid w:val="00DA2F68"/>
    <w:rsid w:val="00DA3183"/>
    <w:rsid w:val="00DA328F"/>
    <w:rsid w:val="00DA32D4"/>
    <w:rsid w:val="00DA32FB"/>
    <w:rsid w:val="00DA332D"/>
    <w:rsid w:val="00DA3374"/>
    <w:rsid w:val="00DA33C1"/>
    <w:rsid w:val="00DA3587"/>
    <w:rsid w:val="00DA358C"/>
    <w:rsid w:val="00DA36EC"/>
    <w:rsid w:val="00DA37D2"/>
    <w:rsid w:val="00DA37E9"/>
    <w:rsid w:val="00DA3840"/>
    <w:rsid w:val="00DA393D"/>
    <w:rsid w:val="00DA3A33"/>
    <w:rsid w:val="00DA3AD1"/>
    <w:rsid w:val="00DA3D5E"/>
    <w:rsid w:val="00DA3E97"/>
    <w:rsid w:val="00DA4061"/>
    <w:rsid w:val="00DA4169"/>
    <w:rsid w:val="00DA419A"/>
    <w:rsid w:val="00DA43BA"/>
    <w:rsid w:val="00DA43ED"/>
    <w:rsid w:val="00DA4419"/>
    <w:rsid w:val="00DA46CB"/>
    <w:rsid w:val="00DA4723"/>
    <w:rsid w:val="00DA4803"/>
    <w:rsid w:val="00DA4829"/>
    <w:rsid w:val="00DA489C"/>
    <w:rsid w:val="00DA4956"/>
    <w:rsid w:val="00DA4A15"/>
    <w:rsid w:val="00DA4B37"/>
    <w:rsid w:val="00DA4B83"/>
    <w:rsid w:val="00DA4CAD"/>
    <w:rsid w:val="00DA4CFD"/>
    <w:rsid w:val="00DA4D84"/>
    <w:rsid w:val="00DA4EC2"/>
    <w:rsid w:val="00DA4F15"/>
    <w:rsid w:val="00DA501E"/>
    <w:rsid w:val="00DA5039"/>
    <w:rsid w:val="00DA511A"/>
    <w:rsid w:val="00DA51D0"/>
    <w:rsid w:val="00DA51FF"/>
    <w:rsid w:val="00DA5277"/>
    <w:rsid w:val="00DA52F7"/>
    <w:rsid w:val="00DA532C"/>
    <w:rsid w:val="00DA5467"/>
    <w:rsid w:val="00DA5495"/>
    <w:rsid w:val="00DA5590"/>
    <w:rsid w:val="00DA571D"/>
    <w:rsid w:val="00DA5929"/>
    <w:rsid w:val="00DA5982"/>
    <w:rsid w:val="00DA5A61"/>
    <w:rsid w:val="00DA5A8F"/>
    <w:rsid w:val="00DA5CB5"/>
    <w:rsid w:val="00DA5D91"/>
    <w:rsid w:val="00DA5DAE"/>
    <w:rsid w:val="00DA5F1D"/>
    <w:rsid w:val="00DA5F63"/>
    <w:rsid w:val="00DA5F96"/>
    <w:rsid w:val="00DA6066"/>
    <w:rsid w:val="00DA6175"/>
    <w:rsid w:val="00DA6293"/>
    <w:rsid w:val="00DA62FD"/>
    <w:rsid w:val="00DA6354"/>
    <w:rsid w:val="00DA6369"/>
    <w:rsid w:val="00DA6584"/>
    <w:rsid w:val="00DA663A"/>
    <w:rsid w:val="00DA664C"/>
    <w:rsid w:val="00DA6690"/>
    <w:rsid w:val="00DA680C"/>
    <w:rsid w:val="00DA681C"/>
    <w:rsid w:val="00DA6835"/>
    <w:rsid w:val="00DA686B"/>
    <w:rsid w:val="00DA691F"/>
    <w:rsid w:val="00DA6C42"/>
    <w:rsid w:val="00DA7030"/>
    <w:rsid w:val="00DA719E"/>
    <w:rsid w:val="00DA720A"/>
    <w:rsid w:val="00DA728B"/>
    <w:rsid w:val="00DA73D9"/>
    <w:rsid w:val="00DA73E5"/>
    <w:rsid w:val="00DA7413"/>
    <w:rsid w:val="00DA7455"/>
    <w:rsid w:val="00DA7614"/>
    <w:rsid w:val="00DA7679"/>
    <w:rsid w:val="00DA7712"/>
    <w:rsid w:val="00DA77BC"/>
    <w:rsid w:val="00DA78BD"/>
    <w:rsid w:val="00DA7A1F"/>
    <w:rsid w:val="00DA7A41"/>
    <w:rsid w:val="00DA7BCF"/>
    <w:rsid w:val="00DA7E9B"/>
    <w:rsid w:val="00DA7FD6"/>
    <w:rsid w:val="00DB01D8"/>
    <w:rsid w:val="00DB037D"/>
    <w:rsid w:val="00DB039C"/>
    <w:rsid w:val="00DB03AB"/>
    <w:rsid w:val="00DB03BA"/>
    <w:rsid w:val="00DB0611"/>
    <w:rsid w:val="00DB07E9"/>
    <w:rsid w:val="00DB08B0"/>
    <w:rsid w:val="00DB0968"/>
    <w:rsid w:val="00DB0C44"/>
    <w:rsid w:val="00DB0CC1"/>
    <w:rsid w:val="00DB0FB3"/>
    <w:rsid w:val="00DB1044"/>
    <w:rsid w:val="00DB11D5"/>
    <w:rsid w:val="00DB1230"/>
    <w:rsid w:val="00DB1437"/>
    <w:rsid w:val="00DB14A2"/>
    <w:rsid w:val="00DB14C2"/>
    <w:rsid w:val="00DB1510"/>
    <w:rsid w:val="00DB15E5"/>
    <w:rsid w:val="00DB1656"/>
    <w:rsid w:val="00DB1789"/>
    <w:rsid w:val="00DB1837"/>
    <w:rsid w:val="00DB18B0"/>
    <w:rsid w:val="00DB194E"/>
    <w:rsid w:val="00DB1AB2"/>
    <w:rsid w:val="00DB1B08"/>
    <w:rsid w:val="00DB1C01"/>
    <w:rsid w:val="00DB1C3B"/>
    <w:rsid w:val="00DB1CE9"/>
    <w:rsid w:val="00DB1E7D"/>
    <w:rsid w:val="00DB1FF5"/>
    <w:rsid w:val="00DB22E8"/>
    <w:rsid w:val="00DB22FB"/>
    <w:rsid w:val="00DB24C1"/>
    <w:rsid w:val="00DB25B3"/>
    <w:rsid w:val="00DB27FC"/>
    <w:rsid w:val="00DB282C"/>
    <w:rsid w:val="00DB2AED"/>
    <w:rsid w:val="00DB2AF8"/>
    <w:rsid w:val="00DB2B52"/>
    <w:rsid w:val="00DB2E7A"/>
    <w:rsid w:val="00DB2F81"/>
    <w:rsid w:val="00DB30EE"/>
    <w:rsid w:val="00DB310C"/>
    <w:rsid w:val="00DB31C6"/>
    <w:rsid w:val="00DB31DE"/>
    <w:rsid w:val="00DB336F"/>
    <w:rsid w:val="00DB3587"/>
    <w:rsid w:val="00DB38D6"/>
    <w:rsid w:val="00DB3909"/>
    <w:rsid w:val="00DB39BD"/>
    <w:rsid w:val="00DB3B84"/>
    <w:rsid w:val="00DB3E91"/>
    <w:rsid w:val="00DB40A1"/>
    <w:rsid w:val="00DB41E6"/>
    <w:rsid w:val="00DB42F2"/>
    <w:rsid w:val="00DB43EB"/>
    <w:rsid w:val="00DB4513"/>
    <w:rsid w:val="00DB453D"/>
    <w:rsid w:val="00DB4555"/>
    <w:rsid w:val="00DB469F"/>
    <w:rsid w:val="00DB471A"/>
    <w:rsid w:val="00DB4738"/>
    <w:rsid w:val="00DB477D"/>
    <w:rsid w:val="00DB47E5"/>
    <w:rsid w:val="00DB4813"/>
    <w:rsid w:val="00DB4A41"/>
    <w:rsid w:val="00DB4A65"/>
    <w:rsid w:val="00DB4B1A"/>
    <w:rsid w:val="00DB4EFE"/>
    <w:rsid w:val="00DB500F"/>
    <w:rsid w:val="00DB5130"/>
    <w:rsid w:val="00DB53F1"/>
    <w:rsid w:val="00DB5422"/>
    <w:rsid w:val="00DB5486"/>
    <w:rsid w:val="00DB577C"/>
    <w:rsid w:val="00DB58D7"/>
    <w:rsid w:val="00DB59BF"/>
    <w:rsid w:val="00DB5A7D"/>
    <w:rsid w:val="00DB5B3E"/>
    <w:rsid w:val="00DB5C7B"/>
    <w:rsid w:val="00DB5C84"/>
    <w:rsid w:val="00DB5E87"/>
    <w:rsid w:val="00DB5E91"/>
    <w:rsid w:val="00DB6171"/>
    <w:rsid w:val="00DB6184"/>
    <w:rsid w:val="00DB6329"/>
    <w:rsid w:val="00DB642A"/>
    <w:rsid w:val="00DB643C"/>
    <w:rsid w:val="00DB6462"/>
    <w:rsid w:val="00DB6532"/>
    <w:rsid w:val="00DB6911"/>
    <w:rsid w:val="00DB6974"/>
    <w:rsid w:val="00DB6AB8"/>
    <w:rsid w:val="00DB6B82"/>
    <w:rsid w:val="00DB6E16"/>
    <w:rsid w:val="00DB6E7C"/>
    <w:rsid w:val="00DB6E98"/>
    <w:rsid w:val="00DB71D0"/>
    <w:rsid w:val="00DB7213"/>
    <w:rsid w:val="00DB72DE"/>
    <w:rsid w:val="00DB73FB"/>
    <w:rsid w:val="00DB7451"/>
    <w:rsid w:val="00DB75BA"/>
    <w:rsid w:val="00DB76B4"/>
    <w:rsid w:val="00DB78E8"/>
    <w:rsid w:val="00DB79A1"/>
    <w:rsid w:val="00DB7A9A"/>
    <w:rsid w:val="00DB7AA4"/>
    <w:rsid w:val="00DB7AAF"/>
    <w:rsid w:val="00DB7D56"/>
    <w:rsid w:val="00DB7DC0"/>
    <w:rsid w:val="00DB7E48"/>
    <w:rsid w:val="00DB7F09"/>
    <w:rsid w:val="00DB7F3E"/>
    <w:rsid w:val="00DC00E8"/>
    <w:rsid w:val="00DC00FD"/>
    <w:rsid w:val="00DC0103"/>
    <w:rsid w:val="00DC0126"/>
    <w:rsid w:val="00DC0187"/>
    <w:rsid w:val="00DC01B7"/>
    <w:rsid w:val="00DC031F"/>
    <w:rsid w:val="00DC046A"/>
    <w:rsid w:val="00DC04EB"/>
    <w:rsid w:val="00DC0653"/>
    <w:rsid w:val="00DC07CB"/>
    <w:rsid w:val="00DC08AC"/>
    <w:rsid w:val="00DC08EE"/>
    <w:rsid w:val="00DC0AFE"/>
    <w:rsid w:val="00DC0B75"/>
    <w:rsid w:val="00DC0CD1"/>
    <w:rsid w:val="00DC0E41"/>
    <w:rsid w:val="00DC0EEB"/>
    <w:rsid w:val="00DC0F30"/>
    <w:rsid w:val="00DC0FA6"/>
    <w:rsid w:val="00DC13D7"/>
    <w:rsid w:val="00DC1584"/>
    <w:rsid w:val="00DC1687"/>
    <w:rsid w:val="00DC190A"/>
    <w:rsid w:val="00DC1BD0"/>
    <w:rsid w:val="00DC1D93"/>
    <w:rsid w:val="00DC1D96"/>
    <w:rsid w:val="00DC1F6A"/>
    <w:rsid w:val="00DC208B"/>
    <w:rsid w:val="00DC20E3"/>
    <w:rsid w:val="00DC214F"/>
    <w:rsid w:val="00DC2281"/>
    <w:rsid w:val="00DC241F"/>
    <w:rsid w:val="00DC2423"/>
    <w:rsid w:val="00DC2616"/>
    <w:rsid w:val="00DC2701"/>
    <w:rsid w:val="00DC276C"/>
    <w:rsid w:val="00DC2781"/>
    <w:rsid w:val="00DC27AC"/>
    <w:rsid w:val="00DC27C7"/>
    <w:rsid w:val="00DC2ACE"/>
    <w:rsid w:val="00DC2B2F"/>
    <w:rsid w:val="00DC2E70"/>
    <w:rsid w:val="00DC2F30"/>
    <w:rsid w:val="00DC30F6"/>
    <w:rsid w:val="00DC3213"/>
    <w:rsid w:val="00DC33C2"/>
    <w:rsid w:val="00DC33DB"/>
    <w:rsid w:val="00DC34F1"/>
    <w:rsid w:val="00DC35F2"/>
    <w:rsid w:val="00DC36DB"/>
    <w:rsid w:val="00DC3826"/>
    <w:rsid w:val="00DC3959"/>
    <w:rsid w:val="00DC3AA9"/>
    <w:rsid w:val="00DC3BF1"/>
    <w:rsid w:val="00DC3C81"/>
    <w:rsid w:val="00DC3CE4"/>
    <w:rsid w:val="00DC3E3D"/>
    <w:rsid w:val="00DC3F1E"/>
    <w:rsid w:val="00DC3F2A"/>
    <w:rsid w:val="00DC3F4A"/>
    <w:rsid w:val="00DC421B"/>
    <w:rsid w:val="00DC428A"/>
    <w:rsid w:val="00DC4339"/>
    <w:rsid w:val="00DC44E6"/>
    <w:rsid w:val="00DC489E"/>
    <w:rsid w:val="00DC4942"/>
    <w:rsid w:val="00DC4951"/>
    <w:rsid w:val="00DC4ADB"/>
    <w:rsid w:val="00DC4D02"/>
    <w:rsid w:val="00DC4DB0"/>
    <w:rsid w:val="00DC4ED1"/>
    <w:rsid w:val="00DC4EDF"/>
    <w:rsid w:val="00DC4F39"/>
    <w:rsid w:val="00DC5559"/>
    <w:rsid w:val="00DC5595"/>
    <w:rsid w:val="00DC55A9"/>
    <w:rsid w:val="00DC56CD"/>
    <w:rsid w:val="00DC5875"/>
    <w:rsid w:val="00DC5AD9"/>
    <w:rsid w:val="00DC5B27"/>
    <w:rsid w:val="00DC5C8E"/>
    <w:rsid w:val="00DC5D7A"/>
    <w:rsid w:val="00DC5E6F"/>
    <w:rsid w:val="00DC5EBE"/>
    <w:rsid w:val="00DC5FD7"/>
    <w:rsid w:val="00DC6291"/>
    <w:rsid w:val="00DC64BD"/>
    <w:rsid w:val="00DC650C"/>
    <w:rsid w:val="00DC6682"/>
    <w:rsid w:val="00DC6700"/>
    <w:rsid w:val="00DC670F"/>
    <w:rsid w:val="00DC69DA"/>
    <w:rsid w:val="00DC69FD"/>
    <w:rsid w:val="00DC6B5E"/>
    <w:rsid w:val="00DC6D5D"/>
    <w:rsid w:val="00DC6D70"/>
    <w:rsid w:val="00DC7011"/>
    <w:rsid w:val="00DC70A1"/>
    <w:rsid w:val="00DC714A"/>
    <w:rsid w:val="00DC7166"/>
    <w:rsid w:val="00DC7233"/>
    <w:rsid w:val="00DC736E"/>
    <w:rsid w:val="00DC73B8"/>
    <w:rsid w:val="00DC7478"/>
    <w:rsid w:val="00DC7580"/>
    <w:rsid w:val="00DC76AC"/>
    <w:rsid w:val="00DC7727"/>
    <w:rsid w:val="00DC77CD"/>
    <w:rsid w:val="00DC796C"/>
    <w:rsid w:val="00DC79BB"/>
    <w:rsid w:val="00DC7AE5"/>
    <w:rsid w:val="00DC7D31"/>
    <w:rsid w:val="00DC7D46"/>
    <w:rsid w:val="00DC7E24"/>
    <w:rsid w:val="00DD00B3"/>
    <w:rsid w:val="00DD0134"/>
    <w:rsid w:val="00DD016B"/>
    <w:rsid w:val="00DD0400"/>
    <w:rsid w:val="00DD053D"/>
    <w:rsid w:val="00DD057F"/>
    <w:rsid w:val="00DD064F"/>
    <w:rsid w:val="00DD0791"/>
    <w:rsid w:val="00DD07EA"/>
    <w:rsid w:val="00DD086E"/>
    <w:rsid w:val="00DD08FA"/>
    <w:rsid w:val="00DD0906"/>
    <w:rsid w:val="00DD0AAF"/>
    <w:rsid w:val="00DD0AB1"/>
    <w:rsid w:val="00DD0BFA"/>
    <w:rsid w:val="00DD0D25"/>
    <w:rsid w:val="00DD0DE4"/>
    <w:rsid w:val="00DD0E19"/>
    <w:rsid w:val="00DD0E86"/>
    <w:rsid w:val="00DD0F01"/>
    <w:rsid w:val="00DD1066"/>
    <w:rsid w:val="00DD11F4"/>
    <w:rsid w:val="00DD12A3"/>
    <w:rsid w:val="00DD1303"/>
    <w:rsid w:val="00DD14B9"/>
    <w:rsid w:val="00DD1656"/>
    <w:rsid w:val="00DD16EC"/>
    <w:rsid w:val="00DD1823"/>
    <w:rsid w:val="00DD191B"/>
    <w:rsid w:val="00DD1A71"/>
    <w:rsid w:val="00DD1AA8"/>
    <w:rsid w:val="00DD1B10"/>
    <w:rsid w:val="00DD1B3C"/>
    <w:rsid w:val="00DD20A1"/>
    <w:rsid w:val="00DD21C6"/>
    <w:rsid w:val="00DD2224"/>
    <w:rsid w:val="00DD24A7"/>
    <w:rsid w:val="00DD25DC"/>
    <w:rsid w:val="00DD25F1"/>
    <w:rsid w:val="00DD27E4"/>
    <w:rsid w:val="00DD286E"/>
    <w:rsid w:val="00DD28CE"/>
    <w:rsid w:val="00DD2D2E"/>
    <w:rsid w:val="00DD2ECF"/>
    <w:rsid w:val="00DD2F60"/>
    <w:rsid w:val="00DD314D"/>
    <w:rsid w:val="00DD3200"/>
    <w:rsid w:val="00DD3281"/>
    <w:rsid w:val="00DD32B7"/>
    <w:rsid w:val="00DD32EB"/>
    <w:rsid w:val="00DD3448"/>
    <w:rsid w:val="00DD34BE"/>
    <w:rsid w:val="00DD34D3"/>
    <w:rsid w:val="00DD3516"/>
    <w:rsid w:val="00DD3587"/>
    <w:rsid w:val="00DD3617"/>
    <w:rsid w:val="00DD365F"/>
    <w:rsid w:val="00DD3AB7"/>
    <w:rsid w:val="00DD3BB5"/>
    <w:rsid w:val="00DD3C06"/>
    <w:rsid w:val="00DD3DD1"/>
    <w:rsid w:val="00DD3EBE"/>
    <w:rsid w:val="00DD3ED3"/>
    <w:rsid w:val="00DD3FDF"/>
    <w:rsid w:val="00DD405C"/>
    <w:rsid w:val="00DD409C"/>
    <w:rsid w:val="00DD40EA"/>
    <w:rsid w:val="00DD4183"/>
    <w:rsid w:val="00DD442A"/>
    <w:rsid w:val="00DD4439"/>
    <w:rsid w:val="00DD46BB"/>
    <w:rsid w:val="00DD4727"/>
    <w:rsid w:val="00DD47EB"/>
    <w:rsid w:val="00DD48E4"/>
    <w:rsid w:val="00DD49C7"/>
    <w:rsid w:val="00DD49EB"/>
    <w:rsid w:val="00DD4A9D"/>
    <w:rsid w:val="00DD4B0E"/>
    <w:rsid w:val="00DD4B60"/>
    <w:rsid w:val="00DD4C45"/>
    <w:rsid w:val="00DD4CD2"/>
    <w:rsid w:val="00DD4CDF"/>
    <w:rsid w:val="00DD4D20"/>
    <w:rsid w:val="00DD4D76"/>
    <w:rsid w:val="00DD4D8F"/>
    <w:rsid w:val="00DD4E35"/>
    <w:rsid w:val="00DD4E45"/>
    <w:rsid w:val="00DD4F56"/>
    <w:rsid w:val="00DD5212"/>
    <w:rsid w:val="00DD523E"/>
    <w:rsid w:val="00DD5293"/>
    <w:rsid w:val="00DD5631"/>
    <w:rsid w:val="00DD56CD"/>
    <w:rsid w:val="00DD56D1"/>
    <w:rsid w:val="00DD5754"/>
    <w:rsid w:val="00DD57BB"/>
    <w:rsid w:val="00DD57BE"/>
    <w:rsid w:val="00DD5870"/>
    <w:rsid w:val="00DD58F0"/>
    <w:rsid w:val="00DD58F6"/>
    <w:rsid w:val="00DD598D"/>
    <w:rsid w:val="00DD5A4A"/>
    <w:rsid w:val="00DD5A4E"/>
    <w:rsid w:val="00DD5AE3"/>
    <w:rsid w:val="00DD5B0C"/>
    <w:rsid w:val="00DD5C1E"/>
    <w:rsid w:val="00DD5CA6"/>
    <w:rsid w:val="00DD5D6F"/>
    <w:rsid w:val="00DD5E80"/>
    <w:rsid w:val="00DD5F88"/>
    <w:rsid w:val="00DD6232"/>
    <w:rsid w:val="00DD6379"/>
    <w:rsid w:val="00DD657B"/>
    <w:rsid w:val="00DD66C1"/>
    <w:rsid w:val="00DD66E9"/>
    <w:rsid w:val="00DD6877"/>
    <w:rsid w:val="00DD68EF"/>
    <w:rsid w:val="00DD6937"/>
    <w:rsid w:val="00DD69AF"/>
    <w:rsid w:val="00DD6A13"/>
    <w:rsid w:val="00DD6AB4"/>
    <w:rsid w:val="00DD6B48"/>
    <w:rsid w:val="00DD6C4F"/>
    <w:rsid w:val="00DD6C6E"/>
    <w:rsid w:val="00DD6DA5"/>
    <w:rsid w:val="00DD70BC"/>
    <w:rsid w:val="00DD71A4"/>
    <w:rsid w:val="00DD71D3"/>
    <w:rsid w:val="00DD71D9"/>
    <w:rsid w:val="00DD7341"/>
    <w:rsid w:val="00DD736B"/>
    <w:rsid w:val="00DD76D0"/>
    <w:rsid w:val="00DD79E9"/>
    <w:rsid w:val="00DD7AEE"/>
    <w:rsid w:val="00DD7B5B"/>
    <w:rsid w:val="00DD7BAA"/>
    <w:rsid w:val="00DD7BE5"/>
    <w:rsid w:val="00DD7DC9"/>
    <w:rsid w:val="00DD7E86"/>
    <w:rsid w:val="00DD7FF0"/>
    <w:rsid w:val="00DD7FF5"/>
    <w:rsid w:val="00DE0463"/>
    <w:rsid w:val="00DE0543"/>
    <w:rsid w:val="00DE071A"/>
    <w:rsid w:val="00DE07EC"/>
    <w:rsid w:val="00DE0995"/>
    <w:rsid w:val="00DE09CD"/>
    <w:rsid w:val="00DE0ACE"/>
    <w:rsid w:val="00DE0AD6"/>
    <w:rsid w:val="00DE0B71"/>
    <w:rsid w:val="00DE0BF8"/>
    <w:rsid w:val="00DE0CD9"/>
    <w:rsid w:val="00DE0D1F"/>
    <w:rsid w:val="00DE0DF3"/>
    <w:rsid w:val="00DE0ED8"/>
    <w:rsid w:val="00DE0F66"/>
    <w:rsid w:val="00DE1414"/>
    <w:rsid w:val="00DE165D"/>
    <w:rsid w:val="00DE17EC"/>
    <w:rsid w:val="00DE187F"/>
    <w:rsid w:val="00DE19CE"/>
    <w:rsid w:val="00DE19D5"/>
    <w:rsid w:val="00DE1A77"/>
    <w:rsid w:val="00DE1B02"/>
    <w:rsid w:val="00DE1B1B"/>
    <w:rsid w:val="00DE1CEB"/>
    <w:rsid w:val="00DE1D61"/>
    <w:rsid w:val="00DE1E0D"/>
    <w:rsid w:val="00DE1F4B"/>
    <w:rsid w:val="00DE1F78"/>
    <w:rsid w:val="00DE1FF0"/>
    <w:rsid w:val="00DE230B"/>
    <w:rsid w:val="00DE23C2"/>
    <w:rsid w:val="00DE242E"/>
    <w:rsid w:val="00DE2477"/>
    <w:rsid w:val="00DE2677"/>
    <w:rsid w:val="00DE26C9"/>
    <w:rsid w:val="00DE281F"/>
    <w:rsid w:val="00DE2941"/>
    <w:rsid w:val="00DE29D1"/>
    <w:rsid w:val="00DE2C28"/>
    <w:rsid w:val="00DE2CA6"/>
    <w:rsid w:val="00DE2E50"/>
    <w:rsid w:val="00DE2EF2"/>
    <w:rsid w:val="00DE3150"/>
    <w:rsid w:val="00DE31DC"/>
    <w:rsid w:val="00DE36CB"/>
    <w:rsid w:val="00DE3BA7"/>
    <w:rsid w:val="00DE3CA1"/>
    <w:rsid w:val="00DE3EAE"/>
    <w:rsid w:val="00DE3FE8"/>
    <w:rsid w:val="00DE3FFB"/>
    <w:rsid w:val="00DE4113"/>
    <w:rsid w:val="00DE414A"/>
    <w:rsid w:val="00DE41A5"/>
    <w:rsid w:val="00DE4291"/>
    <w:rsid w:val="00DE439D"/>
    <w:rsid w:val="00DE4432"/>
    <w:rsid w:val="00DE44AA"/>
    <w:rsid w:val="00DE45C0"/>
    <w:rsid w:val="00DE4626"/>
    <w:rsid w:val="00DE4631"/>
    <w:rsid w:val="00DE4677"/>
    <w:rsid w:val="00DE46AE"/>
    <w:rsid w:val="00DE4761"/>
    <w:rsid w:val="00DE4894"/>
    <w:rsid w:val="00DE4982"/>
    <w:rsid w:val="00DE4B36"/>
    <w:rsid w:val="00DE4DC8"/>
    <w:rsid w:val="00DE518E"/>
    <w:rsid w:val="00DE5212"/>
    <w:rsid w:val="00DE52E8"/>
    <w:rsid w:val="00DE5333"/>
    <w:rsid w:val="00DE546E"/>
    <w:rsid w:val="00DE5476"/>
    <w:rsid w:val="00DE55F0"/>
    <w:rsid w:val="00DE56A0"/>
    <w:rsid w:val="00DE56FA"/>
    <w:rsid w:val="00DE5827"/>
    <w:rsid w:val="00DE5887"/>
    <w:rsid w:val="00DE5A2F"/>
    <w:rsid w:val="00DE5A70"/>
    <w:rsid w:val="00DE5AD5"/>
    <w:rsid w:val="00DE5BB4"/>
    <w:rsid w:val="00DE5C6E"/>
    <w:rsid w:val="00DE5D4A"/>
    <w:rsid w:val="00DE5D5C"/>
    <w:rsid w:val="00DE5DEE"/>
    <w:rsid w:val="00DE5F9A"/>
    <w:rsid w:val="00DE6086"/>
    <w:rsid w:val="00DE60A9"/>
    <w:rsid w:val="00DE616B"/>
    <w:rsid w:val="00DE6303"/>
    <w:rsid w:val="00DE637D"/>
    <w:rsid w:val="00DE63DC"/>
    <w:rsid w:val="00DE63E7"/>
    <w:rsid w:val="00DE6517"/>
    <w:rsid w:val="00DE6631"/>
    <w:rsid w:val="00DE6790"/>
    <w:rsid w:val="00DE67CD"/>
    <w:rsid w:val="00DE6881"/>
    <w:rsid w:val="00DE689F"/>
    <w:rsid w:val="00DE690F"/>
    <w:rsid w:val="00DE6927"/>
    <w:rsid w:val="00DE69E5"/>
    <w:rsid w:val="00DE6BDE"/>
    <w:rsid w:val="00DE6EFD"/>
    <w:rsid w:val="00DE6F0F"/>
    <w:rsid w:val="00DE7002"/>
    <w:rsid w:val="00DE719D"/>
    <w:rsid w:val="00DE7225"/>
    <w:rsid w:val="00DE728D"/>
    <w:rsid w:val="00DE72D8"/>
    <w:rsid w:val="00DE737B"/>
    <w:rsid w:val="00DE73DA"/>
    <w:rsid w:val="00DE7610"/>
    <w:rsid w:val="00DE7669"/>
    <w:rsid w:val="00DE7727"/>
    <w:rsid w:val="00DE794B"/>
    <w:rsid w:val="00DE795A"/>
    <w:rsid w:val="00DE7A6C"/>
    <w:rsid w:val="00DE7ADF"/>
    <w:rsid w:val="00DE7CB7"/>
    <w:rsid w:val="00DE7CF3"/>
    <w:rsid w:val="00DE7F1D"/>
    <w:rsid w:val="00DE7F57"/>
    <w:rsid w:val="00DF002A"/>
    <w:rsid w:val="00DF00F8"/>
    <w:rsid w:val="00DF0185"/>
    <w:rsid w:val="00DF0222"/>
    <w:rsid w:val="00DF0359"/>
    <w:rsid w:val="00DF03A6"/>
    <w:rsid w:val="00DF03AF"/>
    <w:rsid w:val="00DF0416"/>
    <w:rsid w:val="00DF0421"/>
    <w:rsid w:val="00DF04AC"/>
    <w:rsid w:val="00DF05B0"/>
    <w:rsid w:val="00DF05E2"/>
    <w:rsid w:val="00DF066D"/>
    <w:rsid w:val="00DF0802"/>
    <w:rsid w:val="00DF08CC"/>
    <w:rsid w:val="00DF0955"/>
    <w:rsid w:val="00DF0A80"/>
    <w:rsid w:val="00DF0B11"/>
    <w:rsid w:val="00DF0B16"/>
    <w:rsid w:val="00DF0B18"/>
    <w:rsid w:val="00DF0B23"/>
    <w:rsid w:val="00DF0BB3"/>
    <w:rsid w:val="00DF0BFE"/>
    <w:rsid w:val="00DF0C71"/>
    <w:rsid w:val="00DF0D64"/>
    <w:rsid w:val="00DF0D96"/>
    <w:rsid w:val="00DF0E6D"/>
    <w:rsid w:val="00DF0FB9"/>
    <w:rsid w:val="00DF103C"/>
    <w:rsid w:val="00DF1198"/>
    <w:rsid w:val="00DF1383"/>
    <w:rsid w:val="00DF1440"/>
    <w:rsid w:val="00DF162B"/>
    <w:rsid w:val="00DF16B1"/>
    <w:rsid w:val="00DF1AA0"/>
    <w:rsid w:val="00DF1B47"/>
    <w:rsid w:val="00DF1BC9"/>
    <w:rsid w:val="00DF1CC7"/>
    <w:rsid w:val="00DF1CFF"/>
    <w:rsid w:val="00DF1D03"/>
    <w:rsid w:val="00DF1D2F"/>
    <w:rsid w:val="00DF1FBE"/>
    <w:rsid w:val="00DF1FF0"/>
    <w:rsid w:val="00DF2067"/>
    <w:rsid w:val="00DF2334"/>
    <w:rsid w:val="00DF2591"/>
    <w:rsid w:val="00DF26AA"/>
    <w:rsid w:val="00DF2B20"/>
    <w:rsid w:val="00DF2BC5"/>
    <w:rsid w:val="00DF2E34"/>
    <w:rsid w:val="00DF2EDD"/>
    <w:rsid w:val="00DF2EEE"/>
    <w:rsid w:val="00DF2F67"/>
    <w:rsid w:val="00DF2F9A"/>
    <w:rsid w:val="00DF2FAB"/>
    <w:rsid w:val="00DF3211"/>
    <w:rsid w:val="00DF3271"/>
    <w:rsid w:val="00DF353C"/>
    <w:rsid w:val="00DF357A"/>
    <w:rsid w:val="00DF37BB"/>
    <w:rsid w:val="00DF37F3"/>
    <w:rsid w:val="00DF38A1"/>
    <w:rsid w:val="00DF39B6"/>
    <w:rsid w:val="00DF3B6F"/>
    <w:rsid w:val="00DF3BF4"/>
    <w:rsid w:val="00DF3C13"/>
    <w:rsid w:val="00DF3C6D"/>
    <w:rsid w:val="00DF3D76"/>
    <w:rsid w:val="00DF3DAF"/>
    <w:rsid w:val="00DF3DEB"/>
    <w:rsid w:val="00DF3EA1"/>
    <w:rsid w:val="00DF4086"/>
    <w:rsid w:val="00DF4329"/>
    <w:rsid w:val="00DF4393"/>
    <w:rsid w:val="00DF45B2"/>
    <w:rsid w:val="00DF465D"/>
    <w:rsid w:val="00DF46B8"/>
    <w:rsid w:val="00DF46D7"/>
    <w:rsid w:val="00DF490F"/>
    <w:rsid w:val="00DF4A59"/>
    <w:rsid w:val="00DF4A7D"/>
    <w:rsid w:val="00DF4A90"/>
    <w:rsid w:val="00DF4B5E"/>
    <w:rsid w:val="00DF4DA9"/>
    <w:rsid w:val="00DF4DCE"/>
    <w:rsid w:val="00DF4E35"/>
    <w:rsid w:val="00DF4EE2"/>
    <w:rsid w:val="00DF4EF1"/>
    <w:rsid w:val="00DF4F4F"/>
    <w:rsid w:val="00DF4F93"/>
    <w:rsid w:val="00DF5043"/>
    <w:rsid w:val="00DF50C8"/>
    <w:rsid w:val="00DF51EE"/>
    <w:rsid w:val="00DF5223"/>
    <w:rsid w:val="00DF5269"/>
    <w:rsid w:val="00DF5332"/>
    <w:rsid w:val="00DF5376"/>
    <w:rsid w:val="00DF569E"/>
    <w:rsid w:val="00DF57B8"/>
    <w:rsid w:val="00DF5816"/>
    <w:rsid w:val="00DF5945"/>
    <w:rsid w:val="00DF59B0"/>
    <w:rsid w:val="00DF5B5B"/>
    <w:rsid w:val="00DF5B91"/>
    <w:rsid w:val="00DF5CC9"/>
    <w:rsid w:val="00DF5DD7"/>
    <w:rsid w:val="00DF5F42"/>
    <w:rsid w:val="00DF5F5A"/>
    <w:rsid w:val="00DF5FCB"/>
    <w:rsid w:val="00DF6096"/>
    <w:rsid w:val="00DF60A6"/>
    <w:rsid w:val="00DF61F9"/>
    <w:rsid w:val="00DF6237"/>
    <w:rsid w:val="00DF6366"/>
    <w:rsid w:val="00DF63F1"/>
    <w:rsid w:val="00DF64A3"/>
    <w:rsid w:val="00DF6582"/>
    <w:rsid w:val="00DF660C"/>
    <w:rsid w:val="00DF662A"/>
    <w:rsid w:val="00DF67DB"/>
    <w:rsid w:val="00DF67FD"/>
    <w:rsid w:val="00DF67FF"/>
    <w:rsid w:val="00DF69FD"/>
    <w:rsid w:val="00DF6AA7"/>
    <w:rsid w:val="00DF6BE4"/>
    <w:rsid w:val="00DF6CDE"/>
    <w:rsid w:val="00DF6D0F"/>
    <w:rsid w:val="00DF6D28"/>
    <w:rsid w:val="00DF6D48"/>
    <w:rsid w:val="00DF6E55"/>
    <w:rsid w:val="00DF6EF1"/>
    <w:rsid w:val="00DF6F2F"/>
    <w:rsid w:val="00DF6F9A"/>
    <w:rsid w:val="00DF70D8"/>
    <w:rsid w:val="00DF71FF"/>
    <w:rsid w:val="00DF725F"/>
    <w:rsid w:val="00DF731C"/>
    <w:rsid w:val="00DF7323"/>
    <w:rsid w:val="00DF736C"/>
    <w:rsid w:val="00DF73B2"/>
    <w:rsid w:val="00DF73FB"/>
    <w:rsid w:val="00DF747C"/>
    <w:rsid w:val="00DF750C"/>
    <w:rsid w:val="00DF7607"/>
    <w:rsid w:val="00DF7789"/>
    <w:rsid w:val="00DF77BF"/>
    <w:rsid w:val="00DF7BBE"/>
    <w:rsid w:val="00DF7BDB"/>
    <w:rsid w:val="00DF7D66"/>
    <w:rsid w:val="00DF7D93"/>
    <w:rsid w:val="00DF7EFE"/>
    <w:rsid w:val="00DF7FEF"/>
    <w:rsid w:val="00E00056"/>
    <w:rsid w:val="00E001FF"/>
    <w:rsid w:val="00E00277"/>
    <w:rsid w:val="00E00295"/>
    <w:rsid w:val="00E002EC"/>
    <w:rsid w:val="00E003FD"/>
    <w:rsid w:val="00E00448"/>
    <w:rsid w:val="00E005EC"/>
    <w:rsid w:val="00E0062B"/>
    <w:rsid w:val="00E006EC"/>
    <w:rsid w:val="00E00778"/>
    <w:rsid w:val="00E00925"/>
    <w:rsid w:val="00E00972"/>
    <w:rsid w:val="00E00A7E"/>
    <w:rsid w:val="00E00D5E"/>
    <w:rsid w:val="00E00E10"/>
    <w:rsid w:val="00E00E45"/>
    <w:rsid w:val="00E00F83"/>
    <w:rsid w:val="00E00FA3"/>
    <w:rsid w:val="00E00FE8"/>
    <w:rsid w:val="00E01059"/>
    <w:rsid w:val="00E010AA"/>
    <w:rsid w:val="00E01277"/>
    <w:rsid w:val="00E0130A"/>
    <w:rsid w:val="00E0140A"/>
    <w:rsid w:val="00E014AC"/>
    <w:rsid w:val="00E014CC"/>
    <w:rsid w:val="00E01560"/>
    <w:rsid w:val="00E017CA"/>
    <w:rsid w:val="00E017DD"/>
    <w:rsid w:val="00E018C1"/>
    <w:rsid w:val="00E01948"/>
    <w:rsid w:val="00E01991"/>
    <w:rsid w:val="00E01A08"/>
    <w:rsid w:val="00E01B2C"/>
    <w:rsid w:val="00E01C3D"/>
    <w:rsid w:val="00E01D5C"/>
    <w:rsid w:val="00E01E96"/>
    <w:rsid w:val="00E01EE6"/>
    <w:rsid w:val="00E01F01"/>
    <w:rsid w:val="00E01FB5"/>
    <w:rsid w:val="00E01FD2"/>
    <w:rsid w:val="00E02309"/>
    <w:rsid w:val="00E0233A"/>
    <w:rsid w:val="00E0237E"/>
    <w:rsid w:val="00E02383"/>
    <w:rsid w:val="00E023C2"/>
    <w:rsid w:val="00E023E3"/>
    <w:rsid w:val="00E024B0"/>
    <w:rsid w:val="00E027A4"/>
    <w:rsid w:val="00E0282C"/>
    <w:rsid w:val="00E0288F"/>
    <w:rsid w:val="00E02A42"/>
    <w:rsid w:val="00E02C42"/>
    <w:rsid w:val="00E02CB2"/>
    <w:rsid w:val="00E02EC5"/>
    <w:rsid w:val="00E02FE3"/>
    <w:rsid w:val="00E03103"/>
    <w:rsid w:val="00E03150"/>
    <w:rsid w:val="00E0324F"/>
    <w:rsid w:val="00E032CF"/>
    <w:rsid w:val="00E03412"/>
    <w:rsid w:val="00E034CE"/>
    <w:rsid w:val="00E037BD"/>
    <w:rsid w:val="00E03990"/>
    <w:rsid w:val="00E03BC9"/>
    <w:rsid w:val="00E03C6A"/>
    <w:rsid w:val="00E03D52"/>
    <w:rsid w:val="00E03DA0"/>
    <w:rsid w:val="00E03E0B"/>
    <w:rsid w:val="00E03E3C"/>
    <w:rsid w:val="00E03F89"/>
    <w:rsid w:val="00E040AE"/>
    <w:rsid w:val="00E041F5"/>
    <w:rsid w:val="00E04381"/>
    <w:rsid w:val="00E04440"/>
    <w:rsid w:val="00E04478"/>
    <w:rsid w:val="00E044CE"/>
    <w:rsid w:val="00E044CF"/>
    <w:rsid w:val="00E04518"/>
    <w:rsid w:val="00E045C9"/>
    <w:rsid w:val="00E0473A"/>
    <w:rsid w:val="00E04752"/>
    <w:rsid w:val="00E04912"/>
    <w:rsid w:val="00E04916"/>
    <w:rsid w:val="00E0492D"/>
    <w:rsid w:val="00E04A58"/>
    <w:rsid w:val="00E04A81"/>
    <w:rsid w:val="00E04C14"/>
    <w:rsid w:val="00E04DDB"/>
    <w:rsid w:val="00E04E1F"/>
    <w:rsid w:val="00E04FE7"/>
    <w:rsid w:val="00E05016"/>
    <w:rsid w:val="00E054FB"/>
    <w:rsid w:val="00E0566C"/>
    <w:rsid w:val="00E0578E"/>
    <w:rsid w:val="00E058AB"/>
    <w:rsid w:val="00E05977"/>
    <w:rsid w:val="00E05ADD"/>
    <w:rsid w:val="00E05C15"/>
    <w:rsid w:val="00E05E9A"/>
    <w:rsid w:val="00E05FD8"/>
    <w:rsid w:val="00E0600E"/>
    <w:rsid w:val="00E060B2"/>
    <w:rsid w:val="00E06172"/>
    <w:rsid w:val="00E061A1"/>
    <w:rsid w:val="00E0623F"/>
    <w:rsid w:val="00E06256"/>
    <w:rsid w:val="00E0626B"/>
    <w:rsid w:val="00E062D2"/>
    <w:rsid w:val="00E0643C"/>
    <w:rsid w:val="00E066B1"/>
    <w:rsid w:val="00E068CD"/>
    <w:rsid w:val="00E06AF3"/>
    <w:rsid w:val="00E06BF3"/>
    <w:rsid w:val="00E06C1C"/>
    <w:rsid w:val="00E06C84"/>
    <w:rsid w:val="00E06D93"/>
    <w:rsid w:val="00E06ED4"/>
    <w:rsid w:val="00E0703F"/>
    <w:rsid w:val="00E07097"/>
    <w:rsid w:val="00E07266"/>
    <w:rsid w:val="00E07406"/>
    <w:rsid w:val="00E074C5"/>
    <w:rsid w:val="00E074FD"/>
    <w:rsid w:val="00E07503"/>
    <w:rsid w:val="00E07674"/>
    <w:rsid w:val="00E07692"/>
    <w:rsid w:val="00E07699"/>
    <w:rsid w:val="00E07A08"/>
    <w:rsid w:val="00E07AEC"/>
    <w:rsid w:val="00E07B45"/>
    <w:rsid w:val="00E07B9B"/>
    <w:rsid w:val="00E07C8F"/>
    <w:rsid w:val="00E10026"/>
    <w:rsid w:val="00E10072"/>
    <w:rsid w:val="00E10096"/>
    <w:rsid w:val="00E100F7"/>
    <w:rsid w:val="00E10272"/>
    <w:rsid w:val="00E1050C"/>
    <w:rsid w:val="00E10693"/>
    <w:rsid w:val="00E106A0"/>
    <w:rsid w:val="00E10733"/>
    <w:rsid w:val="00E10754"/>
    <w:rsid w:val="00E10824"/>
    <w:rsid w:val="00E10ABB"/>
    <w:rsid w:val="00E10C31"/>
    <w:rsid w:val="00E10CEF"/>
    <w:rsid w:val="00E10D39"/>
    <w:rsid w:val="00E10E91"/>
    <w:rsid w:val="00E10F9B"/>
    <w:rsid w:val="00E1115D"/>
    <w:rsid w:val="00E11168"/>
    <w:rsid w:val="00E1136B"/>
    <w:rsid w:val="00E1145F"/>
    <w:rsid w:val="00E114D0"/>
    <w:rsid w:val="00E114EC"/>
    <w:rsid w:val="00E115FD"/>
    <w:rsid w:val="00E11628"/>
    <w:rsid w:val="00E11643"/>
    <w:rsid w:val="00E1167E"/>
    <w:rsid w:val="00E116D1"/>
    <w:rsid w:val="00E119BF"/>
    <w:rsid w:val="00E119F3"/>
    <w:rsid w:val="00E11AC6"/>
    <w:rsid w:val="00E11B00"/>
    <w:rsid w:val="00E11BE7"/>
    <w:rsid w:val="00E11DF4"/>
    <w:rsid w:val="00E11E7F"/>
    <w:rsid w:val="00E11EA1"/>
    <w:rsid w:val="00E11F4B"/>
    <w:rsid w:val="00E11FF0"/>
    <w:rsid w:val="00E1219B"/>
    <w:rsid w:val="00E121FE"/>
    <w:rsid w:val="00E12209"/>
    <w:rsid w:val="00E12292"/>
    <w:rsid w:val="00E1232E"/>
    <w:rsid w:val="00E1242B"/>
    <w:rsid w:val="00E124ED"/>
    <w:rsid w:val="00E1267B"/>
    <w:rsid w:val="00E126A2"/>
    <w:rsid w:val="00E12925"/>
    <w:rsid w:val="00E12967"/>
    <w:rsid w:val="00E12B67"/>
    <w:rsid w:val="00E12D25"/>
    <w:rsid w:val="00E12F24"/>
    <w:rsid w:val="00E13093"/>
    <w:rsid w:val="00E13110"/>
    <w:rsid w:val="00E1340D"/>
    <w:rsid w:val="00E13454"/>
    <w:rsid w:val="00E13596"/>
    <w:rsid w:val="00E135D7"/>
    <w:rsid w:val="00E13651"/>
    <w:rsid w:val="00E136D0"/>
    <w:rsid w:val="00E136DD"/>
    <w:rsid w:val="00E13842"/>
    <w:rsid w:val="00E1388F"/>
    <w:rsid w:val="00E13A9C"/>
    <w:rsid w:val="00E13E2A"/>
    <w:rsid w:val="00E13E90"/>
    <w:rsid w:val="00E13EE5"/>
    <w:rsid w:val="00E13F71"/>
    <w:rsid w:val="00E141FF"/>
    <w:rsid w:val="00E1424C"/>
    <w:rsid w:val="00E14492"/>
    <w:rsid w:val="00E14561"/>
    <w:rsid w:val="00E14573"/>
    <w:rsid w:val="00E145D8"/>
    <w:rsid w:val="00E1470E"/>
    <w:rsid w:val="00E1477F"/>
    <w:rsid w:val="00E14819"/>
    <w:rsid w:val="00E148AC"/>
    <w:rsid w:val="00E1493B"/>
    <w:rsid w:val="00E14A6B"/>
    <w:rsid w:val="00E14BE7"/>
    <w:rsid w:val="00E14C03"/>
    <w:rsid w:val="00E14C39"/>
    <w:rsid w:val="00E14C3F"/>
    <w:rsid w:val="00E14CDB"/>
    <w:rsid w:val="00E14D58"/>
    <w:rsid w:val="00E14D90"/>
    <w:rsid w:val="00E14D9E"/>
    <w:rsid w:val="00E15018"/>
    <w:rsid w:val="00E150AA"/>
    <w:rsid w:val="00E1513C"/>
    <w:rsid w:val="00E15260"/>
    <w:rsid w:val="00E15350"/>
    <w:rsid w:val="00E15532"/>
    <w:rsid w:val="00E15565"/>
    <w:rsid w:val="00E15644"/>
    <w:rsid w:val="00E157A7"/>
    <w:rsid w:val="00E1585D"/>
    <w:rsid w:val="00E15870"/>
    <w:rsid w:val="00E15AA4"/>
    <w:rsid w:val="00E15B0D"/>
    <w:rsid w:val="00E15C7F"/>
    <w:rsid w:val="00E15C91"/>
    <w:rsid w:val="00E15D7F"/>
    <w:rsid w:val="00E15E2D"/>
    <w:rsid w:val="00E15FA2"/>
    <w:rsid w:val="00E16093"/>
    <w:rsid w:val="00E160BE"/>
    <w:rsid w:val="00E16430"/>
    <w:rsid w:val="00E16470"/>
    <w:rsid w:val="00E1649A"/>
    <w:rsid w:val="00E164B1"/>
    <w:rsid w:val="00E16510"/>
    <w:rsid w:val="00E1680F"/>
    <w:rsid w:val="00E16932"/>
    <w:rsid w:val="00E16974"/>
    <w:rsid w:val="00E16AAD"/>
    <w:rsid w:val="00E16BA3"/>
    <w:rsid w:val="00E16CCD"/>
    <w:rsid w:val="00E16D13"/>
    <w:rsid w:val="00E170F8"/>
    <w:rsid w:val="00E1714D"/>
    <w:rsid w:val="00E1734B"/>
    <w:rsid w:val="00E17C99"/>
    <w:rsid w:val="00E17D16"/>
    <w:rsid w:val="00E17D44"/>
    <w:rsid w:val="00E17D5D"/>
    <w:rsid w:val="00E17D8E"/>
    <w:rsid w:val="00E20032"/>
    <w:rsid w:val="00E200B3"/>
    <w:rsid w:val="00E2017C"/>
    <w:rsid w:val="00E2021A"/>
    <w:rsid w:val="00E2026A"/>
    <w:rsid w:val="00E20392"/>
    <w:rsid w:val="00E20440"/>
    <w:rsid w:val="00E20542"/>
    <w:rsid w:val="00E20885"/>
    <w:rsid w:val="00E209A3"/>
    <w:rsid w:val="00E20A19"/>
    <w:rsid w:val="00E20A37"/>
    <w:rsid w:val="00E20AC8"/>
    <w:rsid w:val="00E20B2A"/>
    <w:rsid w:val="00E20BC0"/>
    <w:rsid w:val="00E20BED"/>
    <w:rsid w:val="00E20C06"/>
    <w:rsid w:val="00E20F47"/>
    <w:rsid w:val="00E20F7F"/>
    <w:rsid w:val="00E21045"/>
    <w:rsid w:val="00E210C2"/>
    <w:rsid w:val="00E21133"/>
    <w:rsid w:val="00E21244"/>
    <w:rsid w:val="00E2124A"/>
    <w:rsid w:val="00E214A5"/>
    <w:rsid w:val="00E215AF"/>
    <w:rsid w:val="00E2169E"/>
    <w:rsid w:val="00E21894"/>
    <w:rsid w:val="00E2190D"/>
    <w:rsid w:val="00E21959"/>
    <w:rsid w:val="00E21D95"/>
    <w:rsid w:val="00E21E93"/>
    <w:rsid w:val="00E2205F"/>
    <w:rsid w:val="00E221DF"/>
    <w:rsid w:val="00E22222"/>
    <w:rsid w:val="00E22816"/>
    <w:rsid w:val="00E22ABB"/>
    <w:rsid w:val="00E22B45"/>
    <w:rsid w:val="00E22D51"/>
    <w:rsid w:val="00E2301B"/>
    <w:rsid w:val="00E2309E"/>
    <w:rsid w:val="00E232FD"/>
    <w:rsid w:val="00E23347"/>
    <w:rsid w:val="00E233DE"/>
    <w:rsid w:val="00E23747"/>
    <w:rsid w:val="00E23853"/>
    <w:rsid w:val="00E23961"/>
    <w:rsid w:val="00E23A3E"/>
    <w:rsid w:val="00E23E16"/>
    <w:rsid w:val="00E2413F"/>
    <w:rsid w:val="00E242EB"/>
    <w:rsid w:val="00E24438"/>
    <w:rsid w:val="00E2453F"/>
    <w:rsid w:val="00E245B2"/>
    <w:rsid w:val="00E2466A"/>
    <w:rsid w:val="00E246E6"/>
    <w:rsid w:val="00E246FF"/>
    <w:rsid w:val="00E2485D"/>
    <w:rsid w:val="00E2487D"/>
    <w:rsid w:val="00E24994"/>
    <w:rsid w:val="00E24AB0"/>
    <w:rsid w:val="00E24B74"/>
    <w:rsid w:val="00E24BE4"/>
    <w:rsid w:val="00E24C7D"/>
    <w:rsid w:val="00E24CC2"/>
    <w:rsid w:val="00E24D45"/>
    <w:rsid w:val="00E24E2D"/>
    <w:rsid w:val="00E24EE8"/>
    <w:rsid w:val="00E25070"/>
    <w:rsid w:val="00E251C0"/>
    <w:rsid w:val="00E25519"/>
    <w:rsid w:val="00E2553A"/>
    <w:rsid w:val="00E255AE"/>
    <w:rsid w:val="00E256DA"/>
    <w:rsid w:val="00E256F8"/>
    <w:rsid w:val="00E256FF"/>
    <w:rsid w:val="00E25820"/>
    <w:rsid w:val="00E259EE"/>
    <w:rsid w:val="00E25BD0"/>
    <w:rsid w:val="00E25BF3"/>
    <w:rsid w:val="00E25F8F"/>
    <w:rsid w:val="00E26012"/>
    <w:rsid w:val="00E2610F"/>
    <w:rsid w:val="00E26139"/>
    <w:rsid w:val="00E26240"/>
    <w:rsid w:val="00E262A3"/>
    <w:rsid w:val="00E263C6"/>
    <w:rsid w:val="00E2647A"/>
    <w:rsid w:val="00E265E3"/>
    <w:rsid w:val="00E26853"/>
    <w:rsid w:val="00E26881"/>
    <w:rsid w:val="00E268E7"/>
    <w:rsid w:val="00E269C5"/>
    <w:rsid w:val="00E26D90"/>
    <w:rsid w:val="00E27054"/>
    <w:rsid w:val="00E2727F"/>
    <w:rsid w:val="00E275A2"/>
    <w:rsid w:val="00E275A3"/>
    <w:rsid w:val="00E2766D"/>
    <w:rsid w:val="00E276EA"/>
    <w:rsid w:val="00E27751"/>
    <w:rsid w:val="00E2775E"/>
    <w:rsid w:val="00E27787"/>
    <w:rsid w:val="00E27909"/>
    <w:rsid w:val="00E27965"/>
    <w:rsid w:val="00E27AFD"/>
    <w:rsid w:val="00E27BB0"/>
    <w:rsid w:val="00E27C3D"/>
    <w:rsid w:val="00E27D39"/>
    <w:rsid w:val="00E27DD7"/>
    <w:rsid w:val="00E27FA0"/>
    <w:rsid w:val="00E30049"/>
    <w:rsid w:val="00E3004A"/>
    <w:rsid w:val="00E30056"/>
    <w:rsid w:val="00E300E1"/>
    <w:rsid w:val="00E30179"/>
    <w:rsid w:val="00E301DE"/>
    <w:rsid w:val="00E30249"/>
    <w:rsid w:val="00E304DA"/>
    <w:rsid w:val="00E30511"/>
    <w:rsid w:val="00E30524"/>
    <w:rsid w:val="00E305B0"/>
    <w:rsid w:val="00E30926"/>
    <w:rsid w:val="00E30989"/>
    <w:rsid w:val="00E309C6"/>
    <w:rsid w:val="00E30AC4"/>
    <w:rsid w:val="00E30B89"/>
    <w:rsid w:val="00E30B8A"/>
    <w:rsid w:val="00E30CC9"/>
    <w:rsid w:val="00E30D11"/>
    <w:rsid w:val="00E30D9A"/>
    <w:rsid w:val="00E30DE3"/>
    <w:rsid w:val="00E30F83"/>
    <w:rsid w:val="00E30FBF"/>
    <w:rsid w:val="00E30FDA"/>
    <w:rsid w:val="00E3110E"/>
    <w:rsid w:val="00E31150"/>
    <w:rsid w:val="00E311A0"/>
    <w:rsid w:val="00E311CE"/>
    <w:rsid w:val="00E31307"/>
    <w:rsid w:val="00E31396"/>
    <w:rsid w:val="00E313EF"/>
    <w:rsid w:val="00E31559"/>
    <w:rsid w:val="00E3155C"/>
    <w:rsid w:val="00E31568"/>
    <w:rsid w:val="00E31650"/>
    <w:rsid w:val="00E316B6"/>
    <w:rsid w:val="00E3186F"/>
    <w:rsid w:val="00E3195B"/>
    <w:rsid w:val="00E31B3E"/>
    <w:rsid w:val="00E31B5D"/>
    <w:rsid w:val="00E31E71"/>
    <w:rsid w:val="00E31E83"/>
    <w:rsid w:val="00E31ECE"/>
    <w:rsid w:val="00E3205F"/>
    <w:rsid w:val="00E32126"/>
    <w:rsid w:val="00E32167"/>
    <w:rsid w:val="00E321BF"/>
    <w:rsid w:val="00E322A2"/>
    <w:rsid w:val="00E32565"/>
    <w:rsid w:val="00E32688"/>
    <w:rsid w:val="00E329C4"/>
    <w:rsid w:val="00E32AA2"/>
    <w:rsid w:val="00E32AB1"/>
    <w:rsid w:val="00E32B1B"/>
    <w:rsid w:val="00E32BBB"/>
    <w:rsid w:val="00E32CE8"/>
    <w:rsid w:val="00E32CF6"/>
    <w:rsid w:val="00E32D92"/>
    <w:rsid w:val="00E32E32"/>
    <w:rsid w:val="00E32E53"/>
    <w:rsid w:val="00E32EA5"/>
    <w:rsid w:val="00E33070"/>
    <w:rsid w:val="00E333AC"/>
    <w:rsid w:val="00E33634"/>
    <w:rsid w:val="00E33B17"/>
    <w:rsid w:val="00E33C18"/>
    <w:rsid w:val="00E33C2E"/>
    <w:rsid w:val="00E33D09"/>
    <w:rsid w:val="00E33D98"/>
    <w:rsid w:val="00E33DD1"/>
    <w:rsid w:val="00E33EAD"/>
    <w:rsid w:val="00E33F23"/>
    <w:rsid w:val="00E3413C"/>
    <w:rsid w:val="00E34163"/>
    <w:rsid w:val="00E341AD"/>
    <w:rsid w:val="00E343FF"/>
    <w:rsid w:val="00E3464F"/>
    <w:rsid w:val="00E34780"/>
    <w:rsid w:val="00E347A2"/>
    <w:rsid w:val="00E34852"/>
    <w:rsid w:val="00E3490A"/>
    <w:rsid w:val="00E349E7"/>
    <w:rsid w:val="00E34A1C"/>
    <w:rsid w:val="00E34B0B"/>
    <w:rsid w:val="00E34CE2"/>
    <w:rsid w:val="00E34CE6"/>
    <w:rsid w:val="00E34DE7"/>
    <w:rsid w:val="00E34EC5"/>
    <w:rsid w:val="00E34EEC"/>
    <w:rsid w:val="00E34F02"/>
    <w:rsid w:val="00E34F84"/>
    <w:rsid w:val="00E35112"/>
    <w:rsid w:val="00E35191"/>
    <w:rsid w:val="00E352ED"/>
    <w:rsid w:val="00E3533E"/>
    <w:rsid w:val="00E35498"/>
    <w:rsid w:val="00E354CB"/>
    <w:rsid w:val="00E354D1"/>
    <w:rsid w:val="00E35537"/>
    <w:rsid w:val="00E3553C"/>
    <w:rsid w:val="00E35544"/>
    <w:rsid w:val="00E3573F"/>
    <w:rsid w:val="00E35757"/>
    <w:rsid w:val="00E35787"/>
    <w:rsid w:val="00E358F4"/>
    <w:rsid w:val="00E35A7B"/>
    <w:rsid w:val="00E35AA6"/>
    <w:rsid w:val="00E35AB9"/>
    <w:rsid w:val="00E35B15"/>
    <w:rsid w:val="00E35B2C"/>
    <w:rsid w:val="00E35B3F"/>
    <w:rsid w:val="00E35D03"/>
    <w:rsid w:val="00E35E58"/>
    <w:rsid w:val="00E35F7E"/>
    <w:rsid w:val="00E35F9F"/>
    <w:rsid w:val="00E35FA1"/>
    <w:rsid w:val="00E36094"/>
    <w:rsid w:val="00E3634B"/>
    <w:rsid w:val="00E363BE"/>
    <w:rsid w:val="00E36418"/>
    <w:rsid w:val="00E36512"/>
    <w:rsid w:val="00E365E9"/>
    <w:rsid w:val="00E36789"/>
    <w:rsid w:val="00E3679E"/>
    <w:rsid w:val="00E3682B"/>
    <w:rsid w:val="00E3687E"/>
    <w:rsid w:val="00E36ADA"/>
    <w:rsid w:val="00E36AEC"/>
    <w:rsid w:val="00E36AF1"/>
    <w:rsid w:val="00E36B73"/>
    <w:rsid w:val="00E36BA5"/>
    <w:rsid w:val="00E36BBF"/>
    <w:rsid w:val="00E36C36"/>
    <w:rsid w:val="00E36E60"/>
    <w:rsid w:val="00E37048"/>
    <w:rsid w:val="00E372E5"/>
    <w:rsid w:val="00E37682"/>
    <w:rsid w:val="00E377B2"/>
    <w:rsid w:val="00E378AE"/>
    <w:rsid w:val="00E3793D"/>
    <w:rsid w:val="00E37A55"/>
    <w:rsid w:val="00E37AAC"/>
    <w:rsid w:val="00E37BEF"/>
    <w:rsid w:val="00E37C5F"/>
    <w:rsid w:val="00E37C62"/>
    <w:rsid w:val="00E37CEB"/>
    <w:rsid w:val="00E37D26"/>
    <w:rsid w:val="00E37E28"/>
    <w:rsid w:val="00E37E2B"/>
    <w:rsid w:val="00E37F8A"/>
    <w:rsid w:val="00E40236"/>
    <w:rsid w:val="00E402D0"/>
    <w:rsid w:val="00E404FC"/>
    <w:rsid w:val="00E40565"/>
    <w:rsid w:val="00E407C1"/>
    <w:rsid w:val="00E4081E"/>
    <w:rsid w:val="00E40A86"/>
    <w:rsid w:val="00E40AAF"/>
    <w:rsid w:val="00E40DF4"/>
    <w:rsid w:val="00E4115F"/>
    <w:rsid w:val="00E41400"/>
    <w:rsid w:val="00E415C5"/>
    <w:rsid w:val="00E41699"/>
    <w:rsid w:val="00E416AA"/>
    <w:rsid w:val="00E418C1"/>
    <w:rsid w:val="00E4196D"/>
    <w:rsid w:val="00E419FF"/>
    <w:rsid w:val="00E41AD5"/>
    <w:rsid w:val="00E41AE3"/>
    <w:rsid w:val="00E41B31"/>
    <w:rsid w:val="00E41B3A"/>
    <w:rsid w:val="00E41C2E"/>
    <w:rsid w:val="00E41C6B"/>
    <w:rsid w:val="00E41D1A"/>
    <w:rsid w:val="00E41F65"/>
    <w:rsid w:val="00E41FA1"/>
    <w:rsid w:val="00E421DF"/>
    <w:rsid w:val="00E42445"/>
    <w:rsid w:val="00E425FA"/>
    <w:rsid w:val="00E42741"/>
    <w:rsid w:val="00E42845"/>
    <w:rsid w:val="00E428B0"/>
    <w:rsid w:val="00E42ABE"/>
    <w:rsid w:val="00E42B7B"/>
    <w:rsid w:val="00E42BF6"/>
    <w:rsid w:val="00E42C3A"/>
    <w:rsid w:val="00E42C67"/>
    <w:rsid w:val="00E42CD4"/>
    <w:rsid w:val="00E42CFA"/>
    <w:rsid w:val="00E42E47"/>
    <w:rsid w:val="00E430C1"/>
    <w:rsid w:val="00E43176"/>
    <w:rsid w:val="00E4334A"/>
    <w:rsid w:val="00E43491"/>
    <w:rsid w:val="00E43508"/>
    <w:rsid w:val="00E43543"/>
    <w:rsid w:val="00E43887"/>
    <w:rsid w:val="00E4391D"/>
    <w:rsid w:val="00E43938"/>
    <w:rsid w:val="00E439B9"/>
    <w:rsid w:val="00E439E1"/>
    <w:rsid w:val="00E43B0B"/>
    <w:rsid w:val="00E43B2C"/>
    <w:rsid w:val="00E43C5B"/>
    <w:rsid w:val="00E43CBD"/>
    <w:rsid w:val="00E43E01"/>
    <w:rsid w:val="00E43EE9"/>
    <w:rsid w:val="00E4419F"/>
    <w:rsid w:val="00E44278"/>
    <w:rsid w:val="00E44304"/>
    <w:rsid w:val="00E44463"/>
    <w:rsid w:val="00E444A8"/>
    <w:rsid w:val="00E445D3"/>
    <w:rsid w:val="00E44783"/>
    <w:rsid w:val="00E44801"/>
    <w:rsid w:val="00E448E7"/>
    <w:rsid w:val="00E44A44"/>
    <w:rsid w:val="00E44AB1"/>
    <w:rsid w:val="00E44AC0"/>
    <w:rsid w:val="00E44AE0"/>
    <w:rsid w:val="00E44AFE"/>
    <w:rsid w:val="00E44BF1"/>
    <w:rsid w:val="00E44D0A"/>
    <w:rsid w:val="00E44E8E"/>
    <w:rsid w:val="00E451E4"/>
    <w:rsid w:val="00E45255"/>
    <w:rsid w:val="00E4531B"/>
    <w:rsid w:val="00E4533E"/>
    <w:rsid w:val="00E453D7"/>
    <w:rsid w:val="00E454DA"/>
    <w:rsid w:val="00E4559C"/>
    <w:rsid w:val="00E456C1"/>
    <w:rsid w:val="00E457EC"/>
    <w:rsid w:val="00E45830"/>
    <w:rsid w:val="00E4588A"/>
    <w:rsid w:val="00E458CA"/>
    <w:rsid w:val="00E45909"/>
    <w:rsid w:val="00E459AF"/>
    <w:rsid w:val="00E459D5"/>
    <w:rsid w:val="00E45AA0"/>
    <w:rsid w:val="00E45B3F"/>
    <w:rsid w:val="00E45BD8"/>
    <w:rsid w:val="00E45C67"/>
    <w:rsid w:val="00E45C88"/>
    <w:rsid w:val="00E45CCE"/>
    <w:rsid w:val="00E45DFC"/>
    <w:rsid w:val="00E45F44"/>
    <w:rsid w:val="00E45FCD"/>
    <w:rsid w:val="00E46070"/>
    <w:rsid w:val="00E46100"/>
    <w:rsid w:val="00E46117"/>
    <w:rsid w:val="00E46584"/>
    <w:rsid w:val="00E4663E"/>
    <w:rsid w:val="00E46744"/>
    <w:rsid w:val="00E46778"/>
    <w:rsid w:val="00E4687A"/>
    <w:rsid w:val="00E46AAF"/>
    <w:rsid w:val="00E46BB5"/>
    <w:rsid w:val="00E46CB0"/>
    <w:rsid w:val="00E46E9B"/>
    <w:rsid w:val="00E46F85"/>
    <w:rsid w:val="00E4706B"/>
    <w:rsid w:val="00E471AF"/>
    <w:rsid w:val="00E47222"/>
    <w:rsid w:val="00E472A1"/>
    <w:rsid w:val="00E472F9"/>
    <w:rsid w:val="00E47301"/>
    <w:rsid w:val="00E47616"/>
    <w:rsid w:val="00E476D8"/>
    <w:rsid w:val="00E47759"/>
    <w:rsid w:val="00E478CB"/>
    <w:rsid w:val="00E47982"/>
    <w:rsid w:val="00E479EA"/>
    <w:rsid w:val="00E47AAB"/>
    <w:rsid w:val="00E47B30"/>
    <w:rsid w:val="00E47B82"/>
    <w:rsid w:val="00E47C14"/>
    <w:rsid w:val="00E47C97"/>
    <w:rsid w:val="00E47D1D"/>
    <w:rsid w:val="00E47D86"/>
    <w:rsid w:val="00E47DB7"/>
    <w:rsid w:val="00E47F3E"/>
    <w:rsid w:val="00E50134"/>
    <w:rsid w:val="00E50329"/>
    <w:rsid w:val="00E503E9"/>
    <w:rsid w:val="00E5066D"/>
    <w:rsid w:val="00E50A43"/>
    <w:rsid w:val="00E50A50"/>
    <w:rsid w:val="00E50A91"/>
    <w:rsid w:val="00E50AAF"/>
    <w:rsid w:val="00E50ACA"/>
    <w:rsid w:val="00E50C44"/>
    <w:rsid w:val="00E50DA2"/>
    <w:rsid w:val="00E50E3D"/>
    <w:rsid w:val="00E50E7C"/>
    <w:rsid w:val="00E50FB6"/>
    <w:rsid w:val="00E5103E"/>
    <w:rsid w:val="00E5113F"/>
    <w:rsid w:val="00E51261"/>
    <w:rsid w:val="00E51317"/>
    <w:rsid w:val="00E51545"/>
    <w:rsid w:val="00E5185C"/>
    <w:rsid w:val="00E518C1"/>
    <w:rsid w:val="00E51C0D"/>
    <w:rsid w:val="00E51FD5"/>
    <w:rsid w:val="00E51FDE"/>
    <w:rsid w:val="00E52160"/>
    <w:rsid w:val="00E5218A"/>
    <w:rsid w:val="00E521C8"/>
    <w:rsid w:val="00E5227C"/>
    <w:rsid w:val="00E524C9"/>
    <w:rsid w:val="00E52617"/>
    <w:rsid w:val="00E5278A"/>
    <w:rsid w:val="00E5283E"/>
    <w:rsid w:val="00E529C7"/>
    <w:rsid w:val="00E52A5B"/>
    <w:rsid w:val="00E52F58"/>
    <w:rsid w:val="00E52FBA"/>
    <w:rsid w:val="00E52FDC"/>
    <w:rsid w:val="00E53176"/>
    <w:rsid w:val="00E5337E"/>
    <w:rsid w:val="00E533EE"/>
    <w:rsid w:val="00E53400"/>
    <w:rsid w:val="00E53664"/>
    <w:rsid w:val="00E53688"/>
    <w:rsid w:val="00E537C3"/>
    <w:rsid w:val="00E53954"/>
    <w:rsid w:val="00E53955"/>
    <w:rsid w:val="00E5398A"/>
    <w:rsid w:val="00E539EB"/>
    <w:rsid w:val="00E53BFB"/>
    <w:rsid w:val="00E53D89"/>
    <w:rsid w:val="00E5409C"/>
    <w:rsid w:val="00E540D3"/>
    <w:rsid w:val="00E542C5"/>
    <w:rsid w:val="00E542F2"/>
    <w:rsid w:val="00E54440"/>
    <w:rsid w:val="00E54579"/>
    <w:rsid w:val="00E54642"/>
    <w:rsid w:val="00E546C0"/>
    <w:rsid w:val="00E5492E"/>
    <w:rsid w:val="00E549FA"/>
    <w:rsid w:val="00E54AAC"/>
    <w:rsid w:val="00E54AC3"/>
    <w:rsid w:val="00E54BEA"/>
    <w:rsid w:val="00E54D8D"/>
    <w:rsid w:val="00E54E3D"/>
    <w:rsid w:val="00E54E73"/>
    <w:rsid w:val="00E54EA9"/>
    <w:rsid w:val="00E54FA9"/>
    <w:rsid w:val="00E55048"/>
    <w:rsid w:val="00E55187"/>
    <w:rsid w:val="00E5524A"/>
    <w:rsid w:val="00E55326"/>
    <w:rsid w:val="00E55360"/>
    <w:rsid w:val="00E555A1"/>
    <w:rsid w:val="00E555FC"/>
    <w:rsid w:val="00E55703"/>
    <w:rsid w:val="00E557B7"/>
    <w:rsid w:val="00E557CE"/>
    <w:rsid w:val="00E55889"/>
    <w:rsid w:val="00E559A0"/>
    <w:rsid w:val="00E55AB7"/>
    <w:rsid w:val="00E55AEF"/>
    <w:rsid w:val="00E55B4B"/>
    <w:rsid w:val="00E55BA3"/>
    <w:rsid w:val="00E55C28"/>
    <w:rsid w:val="00E55C55"/>
    <w:rsid w:val="00E55D0F"/>
    <w:rsid w:val="00E55D92"/>
    <w:rsid w:val="00E55E24"/>
    <w:rsid w:val="00E55EF3"/>
    <w:rsid w:val="00E56053"/>
    <w:rsid w:val="00E561E2"/>
    <w:rsid w:val="00E56349"/>
    <w:rsid w:val="00E56397"/>
    <w:rsid w:val="00E5641B"/>
    <w:rsid w:val="00E56734"/>
    <w:rsid w:val="00E56844"/>
    <w:rsid w:val="00E5688C"/>
    <w:rsid w:val="00E568D8"/>
    <w:rsid w:val="00E56A28"/>
    <w:rsid w:val="00E56B88"/>
    <w:rsid w:val="00E56BB6"/>
    <w:rsid w:val="00E56BB9"/>
    <w:rsid w:val="00E56E18"/>
    <w:rsid w:val="00E56E28"/>
    <w:rsid w:val="00E56EB7"/>
    <w:rsid w:val="00E56ECE"/>
    <w:rsid w:val="00E57156"/>
    <w:rsid w:val="00E5726E"/>
    <w:rsid w:val="00E5729A"/>
    <w:rsid w:val="00E574A2"/>
    <w:rsid w:val="00E575F1"/>
    <w:rsid w:val="00E5767E"/>
    <w:rsid w:val="00E576BC"/>
    <w:rsid w:val="00E578F5"/>
    <w:rsid w:val="00E57903"/>
    <w:rsid w:val="00E57B77"/>
    <w:rsid w:val="00E57CC9"/>
    <w:rsid w:val="00E57D3D"/>
    <w:rsid w:val="00E57EDF"/>
    <w:rsid w:val="00E57F60"/>
    <w:rsid w:val="00E57FC4"/>
    <w:rsid w:val="00E600B0"/>
    <w:rsid w:val="00E600B6"/>
    <w:rsid w:val="00E60125"/>
    <w:rsid w:val="00E604D1"/>
    <w:rsid w:val="00E60517"/>
    <w:rsid w:val="00E605D7"/>
    <w:rsid w:val="00E60647"/>
    <w:rsid w:val="00E607A1"/>
    <w:rsid w:val="00E607DC"/>
    <w:rsid w:val="00E6086C"/>
    <w:rsid w:val="00E608EB"/>
    <w:rsid w:val="00E60B1D"/>
    <w:rsid w:val="00E60EAB"/>
    <w:rsid w:val="00E60ECF"/>
    <w:rsid w:val="00E60F2C"/>
    <w:rsid w:val="00E61016"/>
    <w:rsid w:val="00E61049"/>
    <w:rsid w:val="00E6123F"/>
    <w:rsid w:val="00E615D6"/>
    <w:rsid w:val="00E61643"/>
    <w:rsid w:val="00E61741"/>
    <w:rsid w:val="00E61747"/>
    <w:rsid w:val="00E6198B"/>
    <w:rsid w:val="00E619C5"/>
    <w:rsid w:val="00E619EA"/>
    <w:rsid w:val="00E61D4B"/>
    <w:rsid w:val="00E61D69"/>
    <w:rsid w:val="00E61DD9"/>
    <w:rsid w:val="00E61E78"/>
    <w:rsid w:val="00E61EC4"/>
    <w:rsid w:val="00E62191"/>
    <w:rsid w:val="00E6221E"/>
    <w:rsid w:val="00E622A8"/>
    <w:rsid w:val="00E6249D"/>
    <w:rsid w:val="00E6277C"/>
    <w:rsid w:val="00E62833"/>
    <w:rsid w:val="00E628F6"/>
    <w:rsid w:val="00E62A9B"/>
    <w:rsid w:val="00E62B69"/>
    <w:rsid w:val="00E62BB1"/>
    <w:rsid w:val="00E62BB8"/>
    <w:rsid w:val="00E62CBA"/>
    <w:rsid w:val="00E62E74"/>
    <w:rsid w:val="00E62F89"/>
    <w:rsid w:val="00E62FD9"/>
    <w:rsid w:val="00E62FE4"/>
    <w:rsid w:val="00E631A7"/>
    <w:rsid w:val="00E631FC"/>
    <w:rsid w:val="00E632EA"/>
    <w:rsid w:val="00E63300"/>
    <w:rsid w:val="00E6362C"/>
    <w:rsid w:val="00E63705"/>
    <w:rsid w:val="00E637DD"/>
    <w:rsid w:val="00E637F9"/>
    <w:rsid w:val="00E63843"/>
    <w:rsid w:val="00E63A03"/>
    <w:rsid w:val="00E63A6C"/>
    <w:rsid w:val="00E63AC5"/>
    <w:rsid w:val="00E63C83"/>
    <w:rsid w:val="00E63CC3"/>
    <w:rsid w:val="00E63CE9"/>
    <w:rsid w:val="00E63F65"/>
    <w:rsid w:val="00E64006"/>
    <w:rsid w:val="00E64086"/>
    <w:rsid w:val="00E64190"/>
    <w:rsid w:val="00E6420A"/>
    <w:rsid w:val="00E64353"/>
    <w:rsid w:val="00E6450D"/>
    <w:rsid w:val="00E64595"/>
    <w:rsid w:val="00E6460F"/>
    <w:rsid w:val="00E6463E"/>
    <w:rsid w:val="00E647C5"/>
    <w:rsid w:val="00E6484F"/>
    <w:rsid w:val="00E648AF"/>
    <w:rsid w:val="00E64930"/>
    <w:rsid w:val="00E64BA6"/>
    <w:rsid w:val="00E64CE0"/>
    <w:rsid w:val="00E64D6D"/>
    <w:rsid w:val="00E65075"/>
    <w:rsid w:val="00E65099"/>
    <w:rsid w:val="00E65132"/>
    <w:rsid w:val="00E65225"/>
    <w:rsid w:val="00E65300"/>
    <w:rsid w:val="00E656C8"/>
    <w:rsid w:val="00E65735"/>
    <w:rsid w:val="00E657F2"/>
    <w:rsid w:val="00E658C3"/>
    <w:rsid w:val="00E65A21"/>
    <w:rsid w:val="00E65A46"/>
    <w:rsid w:val="00E65B39"/>
    <w:rsid w:val="00E65B85"/>
    <w:rsid w:val="00E65C41"/>
    <w:rsid w:val="00E65FE0"/>
    <w:rsid w:val="00E661FC"/>
    <w:rsid w:val="00E6620A"/>
    <w:rsid w:val="00E66238"/>
    <w:rsid w:val="00E6626E"/>
    <w:rsid w:val="00E66299"/>
    <w:rsid w:val="00E66554"/>
    <w:rsid w:val="00E66960"/>
    <w:rsid w:val="00E669C8"/>
    <w:rsid w:val="00E66A77"/>
    <w:rsid w:val="00E66D7C"/>
    <w:rsid w:val="00E66EC5"/>
    <w:rsid w:val="00E66F33"/>
    <w:rsid w:val="00E66FDC"/>
    <w:rsid w:val="00E6704D"/>
    <w:rsid w:val="00E67060"/>
    <w:rsid w:val="00E67093"/>
    <w:rsid w:val="00E670AC"/>
    <w:rsid w:val="00E67120"/>
    <w:rsid w:val="00E67245"/>
    <w:rsid w:val="00E67411"/>
    <w:rsid w:val="00E67450"/>
    <w:rsid w:val="00E674E8"/>
    <w:rsid w:val="00E675CD"/>
    <w:rsid w:val="00E677C7"/>
    <w:rsid w:val="00E678A7"/>
    <w:rsid w:val="00E678DB"/>
    <w:rsid w:val="00E679C8"/>
    <w:rsid w:val="00E679CF"/>
    <w:rsid w:val="00E67D75"/>
    <w:rsid w:val="00E67DFA"/>
    <w:rsid w:val="00E67F7C"/>
    <w:rsid w:val="00E67F9D"/>
    <w:rsid w:val="00E70040"/>
    <w:rsid w:val="00E7024E"/>
    <w:rsid w:val="00E702A3"/>
    <w:rsid w:val="00E703E2"/>
    <w:rsid w:val="00E705A7"/>
    <w:rsid w:val="00E70752"/>
    <w:rsid w:val="00E7092E"/>
    <w:rsid w:val="00E70B5B"/>
    <w:rsid w:val="00E70C75"/>
    <w:rsid w:val="00E70C83"/>
    <w:rsid w:val="00E70D52"/>
    <w:rsid w:val="00E70D8F"/>
    <w:rsid w:val="00E70DE4"/>
    <w:rsid w:val="00E70EF6"/>
    <w:rsid w:val="00E70F1C"/>
    <w:rsid w:val="00E70F27"/>
    <w:rsid w:val="00E71009"/>
    <w:rsid w:val="00E710F1"/>
    <w:rsid w:val="00E711A5"/>
    <w:rsid w:val="00E711D7"/>
    <w:rsid w:val="00E715B0"/>
    <w:rsid w:val="00E7170E"/>
    <w:rsid w:val="00E71759"/>
    <w:rsid w:val="00E7177A"/>
    <w:rsid w:val="00E71805"/>
    <w:rsid w:val="00E718B5"/>
    <w:rsid w:val="00E71AE9"/>
    <w:rsid w:val="00E71C04"/>
    <w:rsid w:val="00E71C1F"/>
    <w:rsid w:val="00E71C55"/>
    <w:rsid w:val="00E71C95"/>
    <w:rsid w:val="00E71CA3"/>
    <w:rsid w:val="00E72107"/>
    <w:rsid w:val="00E72246"/>
    <w:rsid w:val="00E72250"/>
    <w:rsid w:val="00E726F1"/>
    <w:rsid w:val="00E728B7"/>
    <w:rsid w:val="00E72A2E"/>
    <w:rsid w:val="00E72BAC"/>
    <w:rsid w:val="00E72CA9"/>
    <w:rsid w:val="00E72D57"/>
    <w:rsid w:val="00E72EE0"/>
    <w:rsid w:val="00E72F6C"/>
    <w:rsid w:val="00E7308E"/>
    <w:rsid w:val="00E730C9"/>
    <w:rsid w:val="00E73119"/>
    <w:rsid w:val="00E73152"/>
    <w:rsid w:val="00E73384"/>
    <w:rsid w:val="00E733E0"/>
    <w:rsid w:val="00E734E7"/>
    <w:rsid w:val="00E7350E"/>
    <w:rsid w:val="00E73618"/>
    <w:rsid w:val="00E736CD"/>
    <w:rsid w:val="00E73704"/>
    <w:rsid w:val="00E73778"/>
    <w:rsid w:val="00E7386B"/>
    <w:rsid w:val="00E73998"/>
    <w:rsid w:val="00E73A81"/>
    <w:rsid w:val="00E73B9B"/>
    <w:rsid w:val="00E73FEC"/>
    <w:rsid w:val="00E7420F"/>
    <w:rsid w:val="00E74216"/>
    <w:rsid w:val="00E742CD"/>
    <w:rsid w:val="00E74393"/>
    <w:rsid w:val="00E7442C"/>
    <w:rsid w:val="00E744E5"/>
    <w:rsid w:val="00E74655"/>
    <w:rsid w:val="00E74703"/>
    <w:rsid w:val="00E7472D"/>
    <w:rsid w:val="00E74875"/>
    <w:rsid w:val="00E74A55"/>
    <w:rsid w:val="00E74A93"/>
    <w:rsid w:val="00E74BBE"/>
    <w:rsid w:val="00E74BED"/>
    <w:rsid w:val="00E74C26"/>
    <w:rsid w:val="00E74CBC"/>
    <w:rsid w:val="00E74CBD"/>
    <w:rsid w:val="00E74D7F"/>
    <w:rsid w:val="00E74D8C"/>
    <w:rsid w:val="00E74F10"/>
    <w:rsid w:val="00E752D0"/>
    <w:rsid w:val="00E752F5"/>
    <w:rsid w:val="00E753DC"/>
    <w:rsid w:val="00E75555"/>
    <w:rsid w:val="00E75585"/>
    <w:rsid w:val="00E757D9"/>
    <w:rsid w:val="00E75897"/>
    <w:rsid w:val="00E758C5"/>
    <w:rsid w:val="00E75933"/>
    <w:rsid w:val="00E75B0B"/>
    <w:rsid w:val="00E75BA9"/>
    <w:rsid w:val="00E75BC6"/>
    <w:rsid w:val="00E75CC7"/>
    <w:rsid w:val="00E75E64"/>
    <w:rsid w:val="00E76036"/>
    <w:rsid w:val="00E760BA"/>
    <w:rsid w:val="00E76140"/>
    <w:rsid w:val="00E76260"/>
    <w:rsid w:val="00E7635C"/>
    <w:rsid w:val="00E7637E"/>
    <w:rsid w:val="00E763D3"/>
    <w:rsid w:val="00E769CF"/>
    <w:rsid w:val="00E76A6A"/>
    <w:rsid w:val="00E76B7F"/>
    <w:rsid w:val="00E76BB5"/>
    <w:rsid w:val="00E76E40"/>
    <w:rsid w:val="00E76E79"/>
    <w:rsid w:val="00E76F09"/>
    <w:rsid w:val="00E76F85"/>
    <w:rsid w:val="00E76FA5"/>
    <w:rsid w:val="00E76FAA"/>
    <w:rsid w:val="00E770BD"/>
    <w:rsid w:val="00E77128"/>
    <w:rsid w:val="00E7724D"/>
    <w:rsid w:val="00E772BF"/>
    <w:rsid w:val="00E774D9"/>
    <w:rsid w:val="00E774F0"/>
    <w:rsid w:val="00E77604"/>
    <w:rsid w:val="00E7765D"/>
    <w:rsid w:val="00E778B9"/>
    <w:rsid w:val="00E77A6D"/>
    <w:rsid w:val="00E77A93"/>
    <w:rsid w:val="00E77AD3"/>
    <w:rsid w:val="00E77B41"/>
    <w:rsid w:val="00E77B50"/>
    <w:rsid w:val="00E77C66"/>
    <w:rsid w:val="00E77C7F"/>
    <w:rsid w:val="00E77C8E"/>
    <w:rsid w:val="00E77D1B"/>
    <w:rsid w:val="00E77E11"/>
    <w:rsid w:val="00E8026F"/>
    <w:rsid w:val="00E8027E"/>
    <w:rsid w:val="00E80304"/>
    <w:rsid w:val="00E80305"/>
    <w:rsid w:val="00E803BD"/>
    <w:rsid w:val="00E80451"/>
    <w:rsid w:val="00E804B7"/>
    <w:rsid w:val="00E805AD"/>
    <w:rsid w:val="00E80A69"/>
    <w:rsid w:val="00E80A72"/>
    <w:rsid w:val="00E80BA1"/>
    <w:rsid w:val="00E80BD4"/>
    <w:rsid w:val="00E80DC0"/>
    <w:rsid w:val="00E810CD"/>
    <w:rsid w:val="00E810FD"/>
    <w:rsid w:val="00E8115C"/>
    <w:rsid w:val="00E81173"/>
    <w:rsid w:val="00E8119E"/>
    <w:rsid w:val="00E813CA"/>
    <w:rsid w:val="00E8140E"/>
    <w:rsid w:val="00E81421"/>
    <w:rsid w:val="00E814DF"/>
    <w:rsid w:val="00E816BF"/>
    <w:rsid w:val="00E81A40"/>
    <w:rsid w:val="00E81B08"/>
    <w:rsid w:val="00E81B68"/>
    <w:rsid w:val="00E81BAE"/>
    <w:rsid w:val="00E81F5A"/>
    <w:rsid w:val="00E81F75"/>
    <w:rsid w:val="00E8213D"/>
    <w:rsid w:val="00E8223F"/>
    <w:rsid w:val="00E82386"/>
    <w:rsid w:val="00E823F0"/>
    <w:rsid w:val="00E82501"/>
    <w:rsid w:val="00E82547"/>
    <w:rsid w:val="00E8284D"/>
    <w:rsid w:val="00E82A01"/>
    <w:rsid w:val="00E82A54"/>
    <w:rsid w:val="00E82DD8"/>
    <w:rsid w:val="00E82E51"/>
    <w:rsid w:val="00E82EEF"/>
    <w:rsid w:val="00E82F29"/>
    <w:rsid w:val="00E82F32"/>
    <w:rsid w:val="00E82F65"/>
    <w:rsid w:val="00E8321A"/>
    <w:rsid w:val="00E8324D"/>
    <w:rsid w:val="00E8331F"/>
    <w:rsid w:val="00E83637"/>
    <w:rsid w:val="00E83711"/>
    <w:rsid w:val="00E8388F"/>
    <w:rsid w:val="00E83A50"/>
    <w:rsid w:val="00E83B0D"/>
    <w:rsid w:val="00E83B6D"/>
    <w:rsid w:val="00E83B95"/>
    <w:rsid w:val="00E83D67"/>
    <w:rsid w:val="00E83D8A"/>
    <w:rsid w:val="00E83DA3"/>
    <w:rsid w:val="00E83DA9"/>
    <w:rsid w:val="00E83FC4"/>
    <w:rsid w:val="00E84253"/>
    <w:rsid w:val="00E842F1"/>
    <w:rsid w:val="00E842FD"/>
    <w:rsid w:val="00E84434"/>
    <w:rsid w:val="00E8448C"/>
    <w:rsid w:val="00E844C7"/>
    <w:rsid w:val="00E845A4"/>
    <w:rsid w:val="00E84613"/>
    <w:rsid w:val="00E847B9"/>
    <w:rsid w:val="00E84921"/>
    <w:rsid w:val="00E84AEC"/>
    <w:rsid w:val="00E84CE8"/>
    <w:rsid w:val="00E850CF"/>
    <w:rsid w:val="00E850E7"/>
    <w:rsid w:val="00E8522C"/>
    <w:rsid w:val="00E853DE"/>
    <w:rsid w:val="00E85559"/>
    <w:rsid w:val="00E8556E"/>
    <w:rsid w:val="00E856CF"/>
    <w:rsid w:val="00E85777"/>
    <w:rsid w:val="00E857AA"/>
    <w:rsid w:val="00E857CA"/>
    <w:rsid w:val="00E85862"/>
    <w:rsid w:val="00E8588F"/>
    <w:rsid w:val="00E8593B"/>
    <w:rsid w:val="00E85A86"/>
    <w:rsid w:val="00E85D41"/>
    <w:rsid w:val="00E85FBA"/>
    <w:rsid w:val="00E85FC8"/>
    <w:rsid w:val="00E85FF8"/>
    <w:rsid w:val="00E8628C"/>
    <w:rsid w:val="00E865EB"/>
    <w:rsid w:val="00E86818"/>
    <w:rsid w:val="00E86878"/>
    <w:rsid w:val="00E868DA"/>
    <w:rsid w:val="00E86A71"/>
    <w:rsid w:val="00E86B9F"/>
    <w:rsid w:val="00E86C87"/>
    <w:rsid w:val="00E86E17"/>
    <w:rsid w:val="00E871A4"/>
    <w:rsid w:val="00E8721F"/>
    <w:rsid w:val="00E872FF"/>
    <w:rsid w:val="00E87358"/>
    <w:rsid w:val="00E873A1"/>
    <w:rsid w:val="00E873D3"/>
    <w:rsid w:val="00E874FE"/>
    <w:rsid w:val="00E875D8"/>
    <w:rsid w:val="00E87673"/>
    <w:rsid w:val="00E876E7"/>
    <w:rsid w:val="00E87784"/>
    <w:rsid w:val="00E877A6"/>
    <w:rsid w:val="00E877E5"/>
    <w:rsid w:val="00E879FA"/>
    <w:rsid w:val="00E87A04"/>
    <w:rsid w:val="00E87C94"/>
    <w:rsid w:val="00E87CA7"/>
    <w:rsid w:val="00E87D30"/>
    <w:rsid w:val="00E87D37"/>
    <w:rsid w:val="00E87D9A"/>
    <w:rsid w:val="00E87E34"/>
    <w:rsid w:val="00E87FD2"/>
    <w:rsid w:val="00E902B0"/>
    <w:rsid w:val="00E902E8"/>
    <w:rsid w:val="00E90498"/>
    <w:rsid w:val="00E904AA"/>
    <w:rsid w:val="00E904B7"/>
    <w:rsid w:val="00E9074A"/>
    <w:rsid w:val="00E90823"/>
    <w:rsid w:val="00E9087F"/>
    <w:rsid w:val="00E908F6"/>
    <w:rsid w:val="00E9090D"/>
    <w:rsid w:val="00E90972"/>
    <w:rsid w:val="00E90BF0"/>
    <w:rsid w:val="00E90CCC"/>
    <w:rsid w:val="00E90D3B"/>
    <w:rsid w:val="00E90DFA"/>
    <w:rsid w:val="00E90DFC"/>
    <w:rsid w:val="00E90E7D"/>
    <w:rsid w:val="00E90FC9"/>
    <w:rsid w:val="00E9100D"/>
    <w:rsid w:val="00E91020"/>
    <w:rsid w:val="00E91176"/>
    <w:rsid w:val="00E911F2"/>
    <w:rsid w:val="00E91201"/>
    <w:rsid w:val="00E913DE"/>
    <w:rsid w:val="00E91423"/>
    <w:rsid w:val="00E91485"/>
    <w:rsid w:val="00E91557"/>
    <w:rsid w:val="00E918A3"/>
    <w:rsid w:val="00E91A23"/>
    <w:rsid w:val="00E91B3F"/>
    <w:rsid w:val="00E91B53"/>
    <w:rsid w:val="00E91C15"/>
    <w:rsid w:val="00E91C16"/>
    <w:rsid w:val="00E91ED9"/>
    <w:rsid w:val="00E91FC0"/>
    <w:rsid w:val="00E91FEF"/>
    <w:rsid w:val="00E923E6"/>
    <w:rsid w:val="00E924DD"/>
    <w:rsid w:val="00E926CD"/>
    <w:rsid w:val="00E92852"/>
    <w:rsid w:val="00E9296E"/>
    <w:rsid w:val="00E92B05"/>
    <w:rsid w:val="00E92C33"/>
    <w:rsid w:val="00E92C93"/>
    <w:rsid w:val="00E92D50"/>
    <w:rsid w:val="00E92DAB"/>
    <w:rsid w:val="00E92E79"/>
    <w:rsid w:val="00E931AF"/>
    <w:rsid w:val="00E93201"/>
    <w:rsid w:val="00E93259"/>
    <w:rsid w:val="00E93486"/>
    <w:rsid w:val="00E9348C"/>
    <w:rsid w:val="00E934F1"/>
    <w:rsid w:val="00E93971"/>
    <w:rsid w:val="00E93978"/>
    <w:rsid w:val="00E93B85"/>
    <w:rsid w:val="00E93C6F"/>
    <w:rsid w:val="00E93DA0"/>
    <w:rsid w:val="00E940D0"/>
    <w:rsid w:val="00E94121"/>
    <w:rsid w:val="00E94135"/>
    <w:rsid w:val="00E941CB"/>
    <w:rsid w:val="00E94364"/>
    <w:rsid w:val="00E9445A"/>
    <w:rsid w:val="00E94480"/>
    <w:rsid w:val="00E94890"/>
    <w:rsid w:val="00E948A7"/>
    <w:rsid w:val="00E949DA"/>
    <w:rsid w:val="00E94B03"/>
    <w:rsid w:val="00E94BDD"/>
    <w:rsid w:val="00E94C25"/>
    <w:rsid w:val="00E94F22"/>
    <w:rsid w:val="00E94F23"/>
    <w:rsid w:val="00E94FB1"/>
    <w:rsid w:val="00E94FB3"/>
    <w:rsid w:val="00E950BA"/>
    <w:rsid w:val="00E95501"/>
    <w:rsid w:val="00E95555"/>
    <w:rsid w:val="00E9568C"/>
    <w:rsid w:val="00E9569A"/>
    <w:rsid w:val="00E9573A"/>
    <w:rsid w:val="00E9575C"/>
    <w:rsid w:val="00E95780"/>
    <w:rsid w:val="00E957F9"/>
    <w:rsid w:val="00E95870"/>
    <w:rsid w:val="00E9588A"/>
    <w:rsid w:val="00E958B6"/>
    <w:rsid w:val="00E95B5A"/>
    <w:rsid w:val="00E95BF3"/>
    <w:rsid w:val="00E95DA2"/>
    <w:rsid w:val="00E95F5A"/>
    <w:rsid w:val="00E96077"/>
    <w:rsid w:val="00E963A0"/>
    <w:rsid w:val="00E96645"/>
    <w:rsid w:val="00E96657"/>
    <w:rsid w:val="00E9667C"/>
    <w:rsid w:val="00E966B4"/>
    <w:rsid w:val="00E966C2"/>
    <w:rsid w:val="00E967FB"/>
    <w:rsid w:val="00E968E5"/>
    <w:rsid w:val="00E969D5"/>
    <w:rsid w:val="00E96D16"/>
    <w:rsid w:val="00E97032"/>
    <w:rsid w:val="00E9718E"/>
    <w:rsid w:val="00E97413"/>
    <w:rsid w:val="00E974CA"/>
    <w:rsid w:val="00E97501"/>
    <w:rsid w:val="00E9757A"/>
    <w:rsid w:val="00E97633"/>
    <w:rsid w:val="00E97683"/>
    <w:rsid w:val="00E97A50"/>
    <w:rsid w:val="00E97A7A"/>
    <w:rsid w:val="00E97C97"/>
    <w:rsid w:val="00E97CB4"/>
    <w:rsid w:val="00E97CC7"/>
    <w:rsid w:val="00E97DA4"/>
    <w:rsid w:val="00E97F0F"/>
    <w:rsid w:val="00EA008E"/>
    <w:rsid w:val="00EA01A8"/>
    <w:rsid w:val="00EA0237"/>
    <w:rsid w:val="00EA0289"/>
    <w:rsid w:val="00EA0386"/>
    <w:rsid w:val="00EA0575"/>
    <w:rsid w:val="00EA05B2"/>
    <w:rsid w:val="00EA05B5"/>
    <w:rsid w:val="00EA05F0"/>
    <w:rsid w:val="00EA0680"/>
    <w:rsid w:val="00EA0691"/>
    <w:rsid w:val="00EA082D"/>
    <w:rsid w:val="00EA08B7"/>
    <w:rsid w:val="00EA0A53"/>
    <w:rsid w:val="00EA0A88"/>
    <w:rsid w:val="00EA0B98"/>
    <w:rsid w:val="00EA0BC9"/>
    <w:rsid w:val="00EA0D41"/>
    <w:rsid w:val="00EA0D91"/>
    <w:rsid w:val="00EA0DD3"/>
    <w:rsid w:val="00EA0FB0"/>
    <w:rsid w:val="00EA0FB7"/>
    <w:rsid w:val="00EA1007"/>
    <w:rsid w:val="00EA1096"/>
    <w:rsid w:val="00EA1156"/>
    <w:rsid w:val="00EA1159"/>
    <w:rsid w:val="00EA15CE"/>
    <w:rsid w:val="00EA1641"/>
    <w:rsid w:val="00EA1676"/>
    <w:rsid w:val="00EA16FA"/>
    <w:rsid w:val="00EA170A"/>
    <w:rsid w:val="00EA1716"/>
    <w:rsid w:val="00EA1867"/>
    <w:rsid w:val="00EA1896"/>
    <w:rsid w:val="00EA1C6D"/>
    <w:rsid w:val="00EA1DA5"/>
    <w:rsid w:val="00EA1DD4"/>
    <w:rsid w:val="00EA1E00"/>
    <w:rsid w:val="00EA1E10"/>
    <w:rsid w:val="00EA1E23"/>
    <w:rsid w:val="00EA20EF"/>
    <w:rsid w:val="00EA2427"/>
    <w:rsid w:val="00EA246E"/>
    <w:rsid w:val="00EA268E"/>
    <w:rsid w:val="00EA26D6"/>
    <w:rsid w:val="00EA2794"/>
    <w:rsid w:val="00EA2841"/>
    <w:rsid w:val="00EA2891"/>
    <w:rsid w:val="00EA2A4B"/>
    <w:rsid w:val="00EA2ADB"/>
    <w:rsid w:val="00EA2C2A"/>
    <w:rsid w:val="00EA2CC2"/>
    <w:rsid w:val="00EA2D49"/>
    <w:rsid w:val="00EA2DFE"/>
    <w:rsid w:val="00EA30F9"/>
    <w:rsid w:val="00EA311E"/>
    <w:rsid w:val="00EA331D"/>
    <w:rsid w:val="00EA341B"/>
    <w:rsid w:val="00EA3447"/>
    <w:rsid w:val="00EA3498"/>
    <w:rsid w:val="00EA34EA"/>
    <w:rsid w:val="00EA3585"/>
    <w:rsid w:val="00EA35BB"/>
    <w:rsid w:val="00EA381D"/>
    <w:rsid w:val="00EA3B14"/>
    <w:rsid w:val="00EA3ECF"/>
    <w:rsid w:val="00EA3F54"/>
    <w:rsid w:val="00EA3F7C"/>
    <w:rsid w:val="00EA4251"/>
    <w:rsid w:val="00EA42D6"/>
    <w:rsid w:val="00EA4375"/>
    <w:rsid w:val="00EA43C3"/>
    <w:rsid w:val="00EA4726"/>
    <w:rsid w:val="00EA475C"/>
    <w:rsid w:val="00EA47ED"/>
    <w:rsid w:val="00EA487B"/>
    <w:rsid w:val="00EA496A"/>
    <w:rsid w:val="00EA49AC"/>
    <w:rsid w:val="00EA4AD0"/>
    <w:rsid w:val="00EA4B05"/>
    <w:rsid w:val="00EA4BB4"/>
    <w:rsid w:val="00EA4BD2"/>
    <w:rsid w:val="00EA4E16"/>
    <w:rsid w:val="00EA4F0C"/>
    <w:rsid w:val="00EA4F19"/>
    <w:rsid w:val="00EA4FC6"/>
    <w:rsid w:val="00EA5181"/>
    <w:rsid w:val="00EA51D3"/>
    <w:rsid w:val="00EA525F"/>
    <w:rsid w:val="00EA53DA"/>
    <w:rsid w:val="00EA54F8"/>
    <w:rsid w:val="00EA55CA"/>
    <w:rsid w:val="00EA56C0"/>
    <w:rsid w:val="00EA592C"/>
    <w:rsid w:val="00EA5964"/>
    <w:rsid w:val="00EA5B43"/>
    <w:rsid w:val="00EA5BE2"/>
    <w:rsid w:val="00EA5C73"/>
    <w:rsid w:val="00EA5E88"/>
    <w:rsid w:val="00EA5ED0"/>
    <w:rsid w:val="00EA5EF8"/>
    <w:rsid w:val="00EA5F20"/>
    <w:rsid w:val="00EA60F7"/>
    <w:rsid w:val="00EA62D8"/>
    <w:rsid w:val="00EA630F"/>
    <w:rsid w:val="00EA6318"/>
    <w:rsid w:val="00EA6435"/>
    <w:rsid w:val="00EA6484"/>
    <w:rsid w:val="00EA6496"/>
    <w:rsid w:val="00EA65E9"/>
    <w:rsid w:val="00EA65EB"/>
    <w:rsid w:val="00EA6624"/>
    <w:rsid w:val="00EA6637"/>
    <w:rsid w:val="00EA6647"/>
    <w:rsid w:val="00EA6655"/>
    <w:rsid w:val="00EA66B5"/>
    <w:rsid w:val="00EA66CC"/>
    <w:rsid w:val="00EA66EB"/>
    <w:rsid w:val="00EA6782"/>
    <w:rsid w:val="00EA68C9"/>
    <w:rsid w:val="00EA6939"/>
    <w:rsid w:val="00EA6AA1"/>
    <w:rsid w:val="00EA6C8B"/>
    <w:rsid w:val="00EA6D1B"/>
    <w:rsid w:val="00EA6E9B"/>
    <w:rsid w:val="00EA6F14"/>
    <w:rsid w:val="00EA6F68"/>
    <w:rsid w:val="00EA726B"/>
    <w:rsid w:val="00EA72E2"/>
    <w:rsid w:val="00EA76BF"/>
    <w:rsid w:val="00EA7777"/>
    <w:rsid w:val="00EA78A5"/>
    <w:rsid w:val="00EA7A08"/>
    <w:rsid w:val="00EA7B77"/>
    <w:rsid w:val="00EA7BD4"/>
    <w:rsid w:val="00EA7CCD"/>
    <w:rsid w:val="00EA7DFE"/>
    <w:rsid w:val="00EA7F33"/>
    <w:rsid w:val="00EB02D8"/>
    <w:rsid w:val="00EB030F"/>
    <w:rsid w:val="00EB04FF"/>
    <w:rsid w:val="00EB0559"/>
    <w:rsid w:val="00EB05DF"/>
    <w:rsid w:val="00EB0680"/>
    <w:rsid w:val="00EB07F4"/>
    <w:rsid w:val="00EB09D5"/>
    <w:rsid w:val="00EB0A5F"/>
    <w:rsid w:val="00EB0AE6"/>
    <w:rsid w:val="00EB0B3D"/>
    <w:rsid w:val="00EB0B42"/>
    <w:rsid w:val="00EB0D29"/>
    <w:rsid w:val="00EB0DEC"/>
    <w:rsid w:val="00EB0E3D"/>
    <w:rsid w:val="00EB0EF3"/>
    <w:rsid w:val="00EB11AE"/>
    <w:rsid w:val="00EB11CF"/>
    <w:rsid w:val="00EB1212"/>
    <w:rsid w:val="00EB1238"/>
    <w:rsid w:val="00EB12A6"/>
    <w:rsid w:val="00EB1359"/>
    <w:rsid w:val="00EB13BC"/>
    <w:rsid w:val="00EB150E"/>
    <w:rsid w:val="00EB16C5"/>
    <w:rsid w:val="00EB179B"/>
    <w:rsid w:val="00EB1844"/>
    <w:rsid w:val="00EB18F9"/>
    <w:rsid w:val="00EB1ADA"/>
    <w:rsid w:val="00EB1BF1"/>
    <w:rsid w:val="00EB1DA9"/>
    <w:rsid w:val="00EB1DD4"/>
    <w:rsid w:val="00EB1F64"/>
    <w:rsid w:val="00EB2075"/>
    <w:rsid w:val="00EB210A"/>
    <w:rsid w:val="00EB237A"/>
    <w:rsid w:val="00EB2574"/>
    <w:rsid w:val="00EB281B"/>
    <w:rsid w:val="00EB2A74"/>
    <w:rsid w:val="00EB2AC0"/>
    <w:rsid w:val="00EB2B3F"/>
    <w:rsid w:val="00EB2D1F"/>
    <w:rsid w:val="00EB2F53"/>
    <w:rsid w:val="00EB2FB7"/>
    <w:rsid w:val="00EB302C"/>
    <w:rsid w:val="00EB3037"/>
    <w:rsid w:val="00EB3183"/>
    <w:rsid w:val="00EB325A"/>
    <w:rsid w:val="00EB329A"/>
    <w:rsid w:val="00EB3317"/>
    <w:rsid w:val="00EB3347"/>
    <w:rsid w:val="00EB34F8"/>
    <w:rsid w:val="00EB35AF"/>
    <w:rsid w:val="00EB3711"/>
    <w:rsid w:val="00EB3753"/>
    <w:rsid w:val="00EB3775"/>
    <w:rsid w:val="00EB37C9"/>
    <w:rsid w:val="00EB393E"/>
    <w:rsid w:val="00EB3986"/>
    <w:rsid w:val="00EB3A15"/>
    <w:rsid w:val="00EB3A56"/>
    <w:rsid w:val="00EB3ADA"/>
    <w:rsid w:val="00EB3B6B"/>
    <w:rsid w:val="00EB3EBB"/>
    <w:rsid w:val="00EB3EE9"/>
    <w:rsid w:val="00EB3F6B"/>
    <w:rsid w:val="00EB4173"/>
    <w:rsid w:val="00EB43BE"/>
    <w:rsid w:val="00EB456A"/>
    <w:rsid w:val="00EB45E2"/>
    <w:rsid w:val="00EB4612"/>
    <w:rsid w:val="00EB48BE"/>
    <w:rsid w:val="00EB48C3"/>
    <w:rsid w:val="00EB48DF"/>
    <w:rsid w:val="00EB4A15"/>
    <w:rsid w:val="00EB4A31"/>
    <w:rsid w:val="00EB4AA1"/>
    <w:rsid w:val="00EB4C5F"/>
    <w:rsid w:val="00EB4C7D"/>
    <w:rsid w:val="00EB4E0A"/>
    <w:rsid w:val="00EB4E60"/>
    <w:rsid w:val="00EB4ECB"/>
    <w:rsid w:val="00EB5068"/>
    <w:rsid w:val="00EB50A0"/>
    <w:rsid w:val="00EB51B1"/>
    <w:rsid w:val="00EB533B"/>
    <w:rsid w:val="00EB534D"/>
    <w:rsid w:val="00EB5366"/>
    <w:rsid w:val="00EB54BA"/>
    <w:rsid w:val="00EB54FC"/>
    <w:rsid w:val="00EB559E"/>
    <w:rsid w:val="00EB596A"/>
    <w:rsid w:val="00EB5AD0"/>
    <w:rsid w:val="00EB5AD8"/>
    <w:rsid w:val="00EB5BCB"/>
    <w:rsid w:val="00EB5F05"/>
    <w:rsid w:val="00EB6107"/>
    <w:rsid w:val="00EB61B2"/>
    <w:rsid w:val="00EB62A4"/>
    <w:rsid w:val="00EB62B8"/>
    <w:rsid w:val="00EB631F"/>
    <w:rsid w:val="00EB6449"/>
    <w:rsid w:val="00EB67C9"/>
    <w:rsid w:val="00EB6896"/>
    <w:rsid w:val="00EB6915"/>
    <w:rsid w:val="00EB6ABA"/>
    <w:rsid w:val="00EB6CB4"/>
    <w:rsid w:val="00EB6D9E"/>
    <w:rsid w:val="00EB6E0F"/>
    <w:rsid w:val="00EB6E5E"/>
    <w:rsid w:val="00EB6E88"/>
    <w:rsid w:val="00EB6F6F"/>
    <w:rsid w:val="00EB6FC5"/>
    <w:rsid w:val="00EB72DD"/>
    <w:rsid w:val="00EB7A24"/>
    <w:rsid w:val="00EB7AFC"/>
    <w:rsid w:val="00EB7D10"/>
    <w:rsid w:val="00EB7D84"/>
    <w:rsid w:val="00EB7E54"/>
    <w:rsid w:val="00EC001C"/>
    <w:rsid w:val="00EC023E"/>
    <w:rsid w:val="00EC0278"/>
    <w:rsid w:val="00EC04C3"/>
    <w:rsid w:val="00EC05DB"/>
    <w:rsid w:val="00EC07DF"/>
    <w:rsid w:val="00EC0A7A"/>
    <w:rsid w:val="00EC0B90"/>
    <w:rsid w:val="00EC0BCA"/>
    <w:rsid w:val="00EC0C65"/>
    <w:rsid w:val="00EC0D00"/>
    <w:rsid w:val="00EC0DEE"/>
    <w:rsid w:val="00EC0E87"/>
    <w:rsid w:val="00EC0EED"/>
    <w:rsid w:val="00EC11CF"/>
    <w:rsid w:val="00EC11D0"/>
    <w:rsid w:val="00EC13D6"/>
    <w:rsid w:val="00EC1465"/>
    <w:rsid w:val="00EC14C8"/>
    <w:rsid w:val="00EC14CE"/>
    <w:rsid w:val="00EC1536"/>
    <w:rsid w:val="00EC162C"/>
    <w:rsid w:val="00EC1736"/>
    <w:rsid w:val="00EC19D7"/>
    <w:rsid w:val="00EC1BCE"/>
    <w:rsid w:val="00EC1CFC"/>
    <w:rsid w:val="00EC1D04"/>
    <w:rsid w:val="00EC1DFD"/>
    <w:rsid w:val="00EC1E95"/>
    <w:rsid w:val="00EC20B6"/>
    <w:rsid w:val="00EC22C8"/>
    <w:rsid w:val="00EC2331"/>
    <w:rsid w:val="00EC23CF"/>
    <w:rsid w:val="00EC23D0"/>
    <w:rsid w:val="00EC2423"/>
    <w:rsid w:val="00EC24D2"/>
    <w:rsid w:val="00EC2541"/>
    <w:rsid w:val="00EC29DC"/>
    <w:rsid w:val="00EC29E7"/>
    <w:rsid w:val="00EC2B66"/>
    <w:rsid w:val="00EC2EB0"/>
    <w:rsid w:val="00EC2ED9"/>
    <w:rsid w:val="00EC3067"/>
    <w:rsid w:val="00EC31F8"/>
    <w:rsid w:val="00EC3201"/>
    <w:rsid w:val="00EC341B"/>
    <w:rsid w:val="00EC3557"/>
    <w:rsid w:val="00EC36C7"/>
    <w:rsid w:val="00EC3772"/>
    <w:rsid w:val="00EC3974"/>
    <w:rsid w:val="00EC39DC"/>
    <w:rsid w:val="00EC3B32"/>
    <w:rsid w:val="00EC3C7F"/>
    <w:rsid w:val="00EC3EBB"/>
    <w:rsid w:val="00EC3ECA"/>
    <w:rsid w:val="00EC3FA8"/>
    <w:rsid w:val="00EC40C4"/>
    <w:rsid w:val="00EC417F"/>
    <w:rsid w:val="00EC4200"/>
    <w:rsid w:val="00EC4203"/>
    <w:rsid w:val="00EC4227"/>
    <w:rsid w:val="00EC4327"/>
    <w:rsid w:val="00EC435B"/>
    <w:rsid w:val="00EC4537"/>
    <w:rsid w:val="00EC457E"/>
    <w:rsid w:val="00EC4667"/>
    <w:rsid w:val="00EC48FA"/>
    <w:rsid w:val="00EC4A40"/>
    <w:rsid w:val="00EC4ACC"/>
    <w:rsid w:val="00EC4CB7"/>
    <w:rsid w:val="00EC4D11"/>
    <w:rsid w:val="00EC4D98"/>
    <w:rsid w:val="00EC4DE2"/>
    <w:rsid w:val="00EC4E91"/>
    <w:rsid w:val="00EC4EA6"/>
    <w:rsid w:val="00EC4EBE"/>
    <w:rsid w:val="00EC4F74"/>
    <w:rsid w:val="00EC4FA0"/>
    <w:rsid w:val="00EC519A"/>
    <w:rsid w:val="00EC53BC"/>
    <w:rsid w:val="00EC53FE"/>
    <w:rsid w:val="00EC57CF"/>
    <w:rsid w:val="00EC5874"/>
    <w:rsid w:val="00EC5901"/>
    <w:rsid w:val="00EC59A1"/>
    <w:rsid w:val="00EC5ADC"/>
    <w:rsid w:val="00EC5B4A"/>
    <w:rsid w:val="00EC5B9D"/>
    <w:rsid w:val="00EC5C3C"/>
    <w:rsid w:val="00EC5CFF"/>
    <w:rsid w:val="00EC5E01"/>
    <w:rsid w:val="00EC5F24"/>
    <w:rsid w:val="00EC5FAB"/>
    <w:rsid w:val="00EC6013"/>
    <w:rsid w:val="00EC60F1"/>
    <w:rsid w:val="00EC6285"/>
    <w:rsid w:val="00EC62BE"/>
    <w:rsid w:val="00EC632F"/>
    <w:rsid w:val="00EC6450"/>
    <w:rsid w:val="00EC6483"/>
    <w:rsid w:val="00EC6501"/>
    <w:rsid w:val="00EC6625"/>
    <w:rsid w:val="00EC662B"/>
    <w:rsid w:val="00EC6773"/>
    <w:rsid w:val="00EC69C1"/>
    <w:rsid w:val="00EC69D0"/>
    <w:rsid w:val="00EC6A06"/>
    <w:rsid w:val="00EC6A15"/>
    <w:rsid w:val="00EC6A99"/>
    <w:rsid w:val="00EC6B16"/>
    <w:rsid w:val="00EC6BE0"/>
    <w:rsid w:val="00EC6C5A"/>
    <w:rsid w:val="00EC6D24"/>
    <w:rsid w:val="00EC6D6F"/>
    <w:rsid w:val="00EC6E30"/>
    <w:rsid w:val="00EC6EB2"/>
    <w:rsid w:val="00EC6FF0"/>
    <w:rsid w:val="00EC7025"/>
    <w:rsid w:val="00EC7122"/>
    <w:rsid w:val="00EC71D3"/>
    <w:rsid w:val="00EC72B6"/>
    <w:rsid w:val="00EC7419"/>
    <w:rsid w:val="00EC74EC"/>
    <w:rsid w:val="00EC765D"/>
    <w:rsid w:val="00EC781C"/>
    <w:rsid w:val="00EC78B8"/>
    <w:rsid w:val="00EC79BD"/>
    <w:rsid w:val="00EC79CB"/>
    <w:rsid w:val="00EC7A03"/>
    <w:rsid w:val="00EC7AB6"/>
    <w:rsid w:val="00EC7BAB"/>
    <w:rsid w:val="00EC7C3C"/>
    <w:rsid w:val="00EC7D5F"/>
    <w:rsid w:val="00EC7D65"/>
    <w:rsid w:val="00EC7E5B"/>
    <w:rsid w:val="00EC7EA6"/>
    <w:rsid w:val="00ED0018"/>
    <w:rsid w:val="00ED002D"/>
    <w:rsid w:val="00ED0161"/>
    <w:rsid w:val="00ED0296"/>
    <w:rsid w:val="00ED0331"/>
    <w:rsid w:val="00ED0376"/>
    <w:rsid w:val="00ED04BD"/>
    <w:rsid w:val="00ED04C1"/>
    <w:rsid w:val="00ED052F"/>
    <w:rsid w:val="00ED0A5A"/>
    <w:rsid w:val="00ED0A60"/>
    <w:rsid w:val="00ED0D19"/>
    <w:rsid w:val="00ED0EDA"/>
    <w:rsid w:val="00ED1318"/>
    <w:rsid w:val="00ED14A3"/>
    <w:rsid w:val="00ED14F1"/>
    <w:rsid w:val="00ED14FB"/>
    <w:rsid w:val="00ED155B"/>
    <w:rsid w:val="00ED16A4"/>
    <w:rsid w:val="00ED178F"/>
    <w:rsid w:val="00ED1A0F"/>
    <w:rsid w:val="00ED1A35"/>
    <w:rsid w:val="00ED1ABE"/>
    <w:rsid w:val="00ED1B9B"/>
    <w:rsid w:val="00ED1C3E"/>
    <w:rsid w:val="00ED1DDB"/>
    <w:rsid w:val="00ED1F79"/>
    <w:rsid w:val="00ED2245"/>
    <w:rsid w:val="00ED2344"/>
    <w:rsid w:val="00ED23B0"/>
    <w:rsid w:val="00ED2529"/>
    <w:rsid w:val="00ED26A8"/>
    <w:rsid w:val="00ED26F6"/>
    <w:rsid w:val="00ED2965"/>
    <w:rsid w:val="00ED2ACE"/>
    <w:rsid w:val="00ED2E7E"/>
    <w:rsid w:val="00ED3145"/>
    <w:rsid w:val="00ED31D9"/>
    <w:rsid w:val="00ED3337"/>
    <w:rsid w:val="00ED33DF"/>
    <w:rsid w:val="00ED3435"/>
    <w:rsid w:val="00ED3756"/>
    <w:rsid w:val="00ED3766"/>
    <w:rsid w:val="00ED396A"/>
    <w:rsid w:val="00ED3A2C"/>
    <w:rsid w:val="00ED3A37"/>
    <w:rsid w:val="00ED3A45"/>
    <w:rsid w:val="00ED3AE2"/>
    <w:rsid w:val="00ED3B68"/>
    <w:rsid w:val="00ED3D20"/>
    <w:rsid w:val="00ED3D9B"/>
    <w:rsid w:val="00ED3EF5"/>
    <w:rsid w:val="00ED4043"/>
    <w:rsid w:val="00ED4073"/>
    <w:rsid w:val="00ED40AA"/>
    <w:rsid w:val="00ED41FC"/>
    <w:rsid w:val="00ED42C3"/>
    <w:rsid w:val="00ED4531"/>
    <w:rsid w:val="00ED4616"/>
    <w:rsid w:val="00ED4633"/>
    <w:rsid w:val="00ED4678"/>
    <w:rsid w:val="00ED4744"/>
    <w:rsid w:val="00ED475E"/>
    <w:rsid w:val="00ED47AA"/>
    <w:rsid w:val="00ED483C"/>
    <w:rsid w:val="00ED48AA"/>
    <w:rsid w:val="00ED497C"/>
    <w:rsid w:val="00ED499C"/>
    <w:rsid w:val="00ED4A83"/>
    <w:rsid w:val="00ED4AE7"/>
    <w:rsid w:val="00ED4F56"/>
    <w:rsid w:val="00ED505D"/>
    <w:rsid w:val="00ED5080"/>
    <w:rsid w:val="00ED50DC"/>
    <w:rsid w:val="00ED51C6"/>
    <w:rsid w:val="00ED52A5"/>
    <w:rsid w:val="00ED5339"/>
    <w:rsid w:val="00ED534D"/>
    <w:rsid w:val="00ED537D"/>
    <w:rsid w:val="00ED539D"/>
    <w:rsid w:val="00ED55BB"/>
    <w:rsid w:val="00ED5603"/>
    <w:rsid w:val="00ED5750"/>
    <w:rsid w:val="00ED578E"/>
    <w:rsid w:val="00ED592E"/>
    <w:rsid w:val="00ED5B86"/>
    <w:rsid w:val="00ED5C19"/>
    <w:rsid w:val="00ED5CA9"/>
    <w:rsid w:val="00ED5D9B"/>
    <w:rsid w:val="00ED5DC7"/>
    <w:rsid w:val="00ED5FE5"/>
    <w:rsid w:val="00ED6057"/>
    <w:rsid w:val="00ED61E8"/>
    <w:rsid w:val="00ED6631"/>
    <w:rsid w:val="00ED6751"/>
    <w:rsid w:val="00ED6884"/>
    <w:rsid w:val="00ED69E5"/>
    <w:rsid w:val="00ED6A22"/>
    <w:rsid w:val="00ED6A6C"/>
    <w:rsid w:val="00ED6A98"/>
    <w:rsid w:val="00ED6C36"/>
    <w:rsid w:val="00ED6FB9"/>
    <w:rsid w:val="00ED7416"/>
    <w:rsid w:val="00ED743F"/>
    <w:rsid w:val="00ED7602"/>
    <w:rsid w:val="00ED7715"/>
    <w:rsid w:val="00ED7834"/>
    <w:rsid w:val="00ED79D1"/>
    <w:rsid w:val="00ED79D3"/>
    <w:rsid w:val="00ED7A9C"/>
    <w:rsid w:val="00ED7B2D"/>
    <w:rsid w:val="00ED7B81"/>
    <w:rsid w:val="00ED7C59"/>
    <w:rsid w:val="00ED7CD2"/>
    <w:rsid w:val="00ED7CE5"/>
    <w:rsid w:val="00ED7D87"/>
    <w:rsid w:val="00ED7DB8"/>
    <w:rsid w:val="00ED7F8A"/>
    <w:rsid w:val="00EE008E"/>
    <w:rsid w:val="00EE00D2"/>
    <w:rsid w:val="00EE0395"/>
    <w:rsid w:val="00EE03F7"/>
    <w:rsid w:val="00EE047D"/>
    <w:rsid w:val="00EE0501"/>
    <w:rsid w:val="00EE0686"/>
    <w:rsid w:val="00EE0815"/>
    <w:rsid w:val="00EE081A"/>
    <w:rsid w:val="00EE0886"/>
    <w:rsid w:val="00EE0889"/>
    <w:rsid w:val="00EE0ACB"/>
    <w:rsid w:val="00EE0B72"/>
    <w:rsid w:val="00EE103A"/>
    <w:rsid w:val="00EE1101"/>
    <w:rsid w:val="00EE1235"/>
    <w:rsid w:val="00EE147E"/>
    <w:rsid w:val="00EE154C"/>
    <w:rsid w:val="00EE16ED"/>
    <w:rsid w:val="00EE1742"/>
    <w:rsid w:val="00EE175C"/>
    <w:rsid w:val="00EE1762"/>
    <w:rsid w:val="00EE177F"/>
    <w:rsid w:val="00EE17BD"/>
    <w:rsid w:val="00EE17BE"/>
    <w:rsid w:val="00EE1852"/>
    <w:rsid w:val="00EE187C"/>
    <w:rsid w:val="00EE1AE4"/>
    <w:rsid w:val="00EE1E36"/>
    <w:rsid w:val="00EE2098"/>
    <w:rsid w:val="00EE210F"/>
    <w:rsid w:val="00EE2139"/>
    <w:rsid w:val="00EE22BE"/>
    <w:rsid w:val="00EE2335"/>
    <w:rsid w:val="00EE2474"/>
    <w:rsid w:val="00EE2679"/>
    <w:rsid w:val="00EE26D3"/>
    <w:rsid w:val="00EE28DF"/>
    <w:rsid w:val="00EE2980"/>
    <w:rsid w:val="00EE2B8C"/>
    <w:rsid w:val="00EE2E17"/>
    <w:rsid w:val="00EE2E85"/>
    <w:rsid w:val="00EE2EC5"/>
    <w:rsid w:val="00EE2F49"/>
    <w:rsid w:val="00EE2F57"/>
    <w:rsid w:val="00EE3007"/>
    <w:rsid w:val="00EE3025"/>
    <w:rsid w:val="00EE323D"/>
    <w:rsid w:val="00EE323F"/>
    <w:rsid w:val="00EE3323"/>
    <w:rsid w:val="00EE3347"/>
    <w:rsid w:val="00EE337D"/>
    <w:rsid w:val="00EE338B"/>
    <w:rsid w:val="00EE33D8"/>
    <w:rsid w:val="00EE37E3"/>
    <w:rsid w:val="00EE39BD"/>
    <w:rsid w:val="00EE3A9C"/>
    <w:rsid w:val="00EE3B8B"/>
    <w:rsid w:val="00EE3BAA"/>
    <w:rsid w:val="00EE3BDF"/>
    <w:rsid w:val="00EE3BE5"/>
    <w:rsid w:val="00EE3F1E"/>
    <w:rsid w:val="00EE3F4F"/>
    <w:rsid w:val="00EE40E4"/>
    <w:rsid w:val="00EE44AB"/>
    <w:rsid w:val="00EE4589"/>
    <w:rsid w:val="00EE45BB"/>
    <w:rsid w:val="00EE46F9"/>
    <w:rsid w:val="00EE4716"/>
    <w:rsid w:val="00EE489F"/>
    <w:rsid w:val="00EE4A80"/>
    <w:rsid w:val="00EE4DC9"/>
    <w:rsid w:val="00EE4DE8"/>
    <w:rsid w:val="00EE4DEB"/>
    <w:rsid w:val="00EE50D6"/>
    <w:rsid w:val="00EE50F2"/>
    <w:rsid w:val="00EE518F"/>
    <w:rsid w:val="00EE5202"/>
    <w:rsid w:val="00EE5306"/>
    <w:rsid w:val="00EE544B"/>
    <w:rsid w:val="00EE54D1"/>
    <w:rsid w:val="00EE56A0"/>
    <w:rsid w:val="00EE56AA"/>
    <w:rsid w:val="00EE5751"/>
    <w:rsid w:val="00EE58E1"/>
    <w:rsid w:val="00EE5A59"/>
    <w:rsid w:val="00EE5C6A"/>
    <w:rsid w:val="00EE5CE9"/>
    <w:rsid w:val="00EE5D92"/>
    <w:rsid w:val="00EE5DF1"/>
    <w:rsid w:val="00EE6204"/>
    <w:rsid w:val="00EE62C3"/>
    <w:rsid w:val="00EE62E0"/>
    <w:rsid w:val="00EE63CD"/>
    <w:rsid w:val="00EE6412"/>
    <w:rsid w:val="00EE64F4"/>
    <w:rsid w:val="00EE65EB"/>
    <w:rsid w:val="00EE66F6"/>
    <w:rsid w:val="00EE677F"/>
    <w:rsid w:val="00EE679C"/>
    <w:rsid w:val="00EE67FE"/>
    <w:rsid w:val="00EE684A"/>
    <w:rsid w:val="00EE690E"/>
    <w:rsid w:val="00EE6966"/>
    <w:rsid w:val="00EE69A2"/>
    <w:rsid w:val="00EE69AB"/>
    <w:rsid w:val="00EE6A35"/>
    <w:rsid w:val="00EE6B20"/>
    <w:rsid w:val="00EE6C54"/>
    <w:rsid w:val="00EE6CFD"/>
    <w:rsid w:val="00EE6D26"/>
    <w:rsid w:val="00EE6D8F"/>
    <w:rsid w:val="00EE6DE4"/>
    <w:rsid w:val="00EE6E51"/>
    <w:rsid w:val="00EE709C"/>
    <w:rsid w:val="00EE70C2"/>
    <w:rsid w:val="00EE7192"/>
    <w:rsid w:val="00EE72EA"/>
    <w:rsid w:val="00EE738A"/>
    <w:rsid w:val="00EE7390"/>
    <w:rsid w:val="00EE7574"/>
    <w:rsid w:val="00EE761C"/>
    <w:rsid w:val="00EE7634"/>
    <w:rsid w:val="00EE76D2"/>
    <w:rsid w:val="00EE7971"/>
    <w:rsid w:val="00EE7995"/>
    <w:rsid w:val="00EE7A17"/>
    <w:rsid w:val="00EE7B10"/>
    <w:rsid w:val="00EE7B77"/>
    <w:rsid w:val="00EE7D99"/>
    <w:rsid w:val="00EE7E2A"/>
    <w:rsid w:val="00EE7E9F"/>
    <w:rsid w:val="00EE7FF3"/>
    <w:rsid w:val="00EF0014"/>
    <w:rsid w:val="00EF00C2"/>
    <w:rsid w:val="00EF0112"/>
    <w:rsid w:val="00EF017B"/>
    <w:rsid w:val="00EF01EB"/>
    <w:rsid w:val="00EF04D0"/>
    <w:rsid w:val="00EF0500"/>
    <w:rsid w:val="00EF058F"/>
    <w:rsid w:val="00EF05D2"/>
    <w:rsid w:val="00EF05F7"/>
    <w:rsid w:val="00EF06AD"/>
    <w:rsid w:val="00EF0714"/>
    <w:rsid w:val="00EF0A77"/>
    <w:rsid w:val="00EF0B53"/>
    <w:rsid w:val="00EF0E4B"/>
    <w:rsid w:val="00EF1014"/>
    <w:rsid w:val="00EF10F8"/>
    <w:rsid w:val="00EF1203"/>
    <w:rsid w:val="00EF1232"/>
    <w:rsid w:val="00EF126B"/>
    <w:rsid w:val="00EF12D7"/>
    <w:rsid w:val="00EF12E7"/>
    <w:rsid w:val="00EF12EC"/>
    <w:rsid w:val="00EF12FE"/>
    <w:rsid w:val="00EF14A4"/>
    <w:rsid w:val="00EF1615"/>
    <w:rsid w:val="00EF1644"/>
    <w:rsid w:val="00EF1688"/>
    <w:rsid w:val="00EF16CB"/>
    <w:rsid w:val="00EF18D7"/>
    <w:rsid w:val="00EF1981"/>
    <w:rsid w:val="00EF1C2D"/>
    <w:rsid w:val="00EF1CE0"/>
    <w:rsid w:val="00EF1F1F"/>
    <w:rsid w:val="00EF1F23"/>
    <w:rsid w:val="00EF1FD0"/>
    <w:rsid w:val="00EF1FF6"/>
    <w:rsid w:val="00EF227E"/>
    <w:rsid w:val="00EF2553"/>
    <w:rsid w:val="00EF256D"/>
    <w:rsid w:val="00EF2572"/>
    <w:rsid w:val="00EF27AF"/>
    <w:rsid w:val="00EF28E8"/>
    <w:rsid w:val="00EF2998"/>
    <w:rsid w:val="00EF2AE5"/>
    <w:rsid w:val="00EF2BEE"/>
    <w:rsid w:val="00EF2CD2"/>
    <w:rsid w:val="00EF2E9A"/>
    <w:rsid w:val="00EF2F36"/>
    <w:rsid w:val="00EF2F57"/>
    <w:rsid w:val="00EF2FBF"/>
    <w:rsid w:val="00EF2FD7"/>
    <w:rsid w:val="00EF3041"/>
    <w:rsid w:val="00EF33E5"/>
    <w:rsid w:val="00EF35B1"/>
    <w:rsid w:val="00EF35C2"/>
    <w:rsid w:val="00EF3837"/>
    <w:rsid w:val="00EF385C"/>
    <w:rsid w:val="00EF38C7"/>
    <w:rsid w:val="00EF3918"/>
    <w:rsid w:val="00EF392B"/>
    <w:rsid w:val="00EF3F31"/>
    <w:rsid w:val="00EF3FB0"/>
    <w:rsid w:val="00EF3FB6"/>
    <w:rsid w:val="00EF3FB7"/>
    <w:rsid w:val="00EF400A"/>
    <w:rsid w:val="00EF42A3"/>
    <w:rsid w:val="00EF4351"/>
    <w:rsid w:val="00EF440A"/>
    <w:rsid w:val="00EF44FE"/>
    <w:rsid w:val="00EF4505"/>
    <w:rsid w:val="00EF4600"/>
    <w:rsid w:val="00EF47AC"/>
    <w:rsid w:val="00EF47E9"/>
    <w:rsid w:val="00EF48A4"/>
    <w:rsid w:val="00EF48F3"/>
    <w:rsid w:val="00EF498F"/>
    <w:rsid w:val="00EF49F4"/>
    <w:rsid w:val="00EF4AA5"/>
    <w:rsid w:val="00EF4B35"/>
    <w:rsid w:val="00EF4D1C"/>
    <w:rsid w:val="00EF4D68"/>
    <w:rsid w:val="00EF4DD0"/>
    <w:rsid w:val="00EF51C4"/>
    <w:rsid w:val="00EF524F"/>
    <w:rsid w:val="00EF52DD"/>
    <w:rsid w:val="00EF539F"/>
    <w:rsid w:val="00EF5437"/>
    <w:rsid w:val="00EF554D"/>
    <w:rsid w:val="00EF563F"/>
    <w:rsid w:val="00EF56C5"/>
    <w:rsid w:val="00EF57EE"/>
    <w:rsid w:val="00EF58DD"/>
    <w:rsid w:val="00EF5AC9"/>
    <w:rsid w:val="00EF5AEA"/>
    <w:rsid w:val="00EF5C96"/>
    <w:rsid w:val="00EF5D18"/>
    <w:rsid w:val="00EF5DAF"/>
    <w:rsid w:val="00EF5EAC"/>
    <w:rsid w:val="00EF615C"/>
    <w:rsid w:val="00EF61FC"/>
    <w:rsid w:val="00EF6530"/>
    <w:rsid w:val="00EF6571"/>
    <w:rsid w:val="00EF6607"/>
    <w:rsid w:val="00EF678C"/>
    <w:rsid w:val="00EF68A7"/>
    <w:rsid w:val="00EF6A1E"/>
    <w:rsid w:val="00EF6F55"/>
    <w:rsid w:val="00EF719A"/>
    <w:rsid w:val="00EF71C5"/>
    <w:rsid w:val="00EF7326"/>
    <w:rsid w:val="00EF7344"/>
    <w:rsid w:val="00EF73D4"/>
    <w:rsid w:val="00EF752D"/>
    <w:rsid w:val="00EF7590"/>
    <w:rsid w:val="00EF759E"/>
    <w:rsid w:val="00EF7694"/>
    <w:rsid w:val="00EF78EE"/>
    <w:rsid w:val="00EF796E"/>
    <w:rsid w:val="00EF7A3B"/>
    <w:rsid w:val="00EF7AFC"/>
    <w:rsid w:val="00EF7B05"/>
    <w:rsid w:val="00EF7B16"/>
    <w:rsid w:val="00EF7B79"/>
    <w:rsid w:val="00EF7B9B"/>
    <w:rsid w:val="00EF7D2A"/>
    <w:rsid w:val="00EF7E0F"/>
    <w:rsid w:val="00EF7ECE"/>
    <w:rsid w:val="00EF7FB0"/>
    <w:rsid w:val="00F00030"/>
    <w:rsid w:val="00F00127"/>
    <w:rsid w:val="00F001F4"/>
    <w:rsid w:val="00F002A0"/>
    <w:rsid w:val="00F002CA"/>
    <w:rsid w:val="00F00468"/>
    <w:rsid w:val="00F0082D"/>
    <w:rsid w:val="00F00873"/>
    <w:rsid w:val="00F0088E"/>
    <w:rsid w:val="00F0089E"/>
    <w:rsid w:val="00F008B4"/>
    <w:rsid w:val="00F0090C"/>
    <w:rsid w:val="00F00952"/>
    <w:rsid w:val="00F00CAA"/>
    <w:rsid w:val="00F00D0C"/>
    <w:rsid w:val="00F00D50"/>
    <w:rsid w:val="00F00D78"/>
    <w:rsid w:val="00F00EBD"/>
    <w:rsid w:val="00F00ED0"/>
    <w:rsid w:val="00F00F7F"/>
    <w:rsid w:val="00F00F93"/>
    <w:rsid w:val="00F01187"/>
    <w:rsid w:val="00F011A7"/>
    <w:rsid w:val="00F01242"/>
    <w:rsid w:val="00F01307"/>
    <w:rsid w:val="00F0138C"/>
    <w:rsid w:val="00F013F6"/>
    <w:rsid w:val="00F01408"/>
    <w:rsid w:val="00F0141C"/>
    <w:rsid w:val="00F017E9"/>
    <w:rsid w:val="00F018DC"/>
    <w:rsid w:val="00F01A17"/>
    <w:rsid w:val="00F01AD7"/>
    <w:rsid w:val="00F01BE5"/>
    <w:rsid w:val="00F01C46"/>
    <w:rsid w:val="00F01D7F"/>
    <w:rsid w:val="00F01E0E"/>
    <w:rsid w:val="00F01E75"/>
    <w:rsid w:val="00F01EEC"/>
    <w:rsid w:val="00F0200F"/>
    <w:rsid w:val="00F02192"/>
    <w:rsid w:val="00F0219C"/>
    <w:rsid w:val="00F02209"/>
    <w:rsid w:val="00F0223E"/>
    <w:rsid w:val="00F022AC"/>
    <w:rsid w:val="00F022C9"/>
    <w:rsid w:val="00F02563"/>
    <w:rsid w:val="00F025BB"/>
    <w:rsid w:val="00F0262F"/>
    <w:rsid w:val="00F02787"/>
    <w:rsid w:val="00F027CE"/>
    <w:rsid w:val="00F0284F"/>
    <w:rsid w:val="00F02864"/>
    <w:rsid w:val="00F029BB"/>
    <w:rsid w:val="00F02A48"/>
    <w:rsid w:val="00F02B46"/>
    <w:rsid w:val="00F02B6C"/>
    <w:rsid w:val="00F02C8E"/>
    <w:rsid w:val="00F02D59"/>
    <w:rsid w:val="00F0327B"/>
    <w:rsid w:val="00F03342"/>
    <w:rsid w:val="00F03384"/>
    <w:rsid w:val="00F03631"/>
    <w:rsid w:val="00F036BA"/>
    <w:rsid w:val="00F038A1"/>
    <w:rsid w:val="00F038AC"/>
    <w:rsid w:val="00F03B0E"/>
    <w:rsid w:val="00F03B83"/>
    <w:rsid w:val="00F03C95"/>
    <w:rsid w:val="00F03C99"/>
    <w:rsid w:val="00F03CE1"/>
    <w:rsid w:val="00F03E97"/>
    <w:rsid w:val="00F04001"/>
    <w:rsid w:val="00F04039"/>
    <w:rsid w:val="00F04107"/>
    <w:rsid w:val="00F04244"/>
    <w:rsid w:val="00F04296"/>
    <w:rsid w:val="00F0429F"/>
    <w:rsid w:val="00F042F3"/>
    <w:rsid w:val="00F0431F"/>
    <w:rsid w:val="00F0439A"/>
    <w:rsid w:val="00F043AF"/>
    <w:rsid w:val="00F0444C"/>
    <w:rsid w:val="00F04884"/>
    <w:rsid w:val="00F04A2C"/>
    <w:rsid w:val="00F04A7A"/>
    <w:rsid w:val="00F04B4C"/>
    <w:rsid w:val="00F04BEA"/>
    <w:rsid w:val="00F04C7A"/>
    <w:rsid w:val="00F04C8D"/>
    <w:rsid w:val="00F04EA2"/>
    <w:rsid w:val="00F04EC1"/>
    <w:rsid w:val="00F05065"/>
    <w:rsid w:val="00F05080"/>
    <w:rsid w:val="00F0510B"/>
    <w:rsid w:val="00F051B1"/>
    <w:rsid w:val="00F052CB"/>
    <w:rsid w:val="00F054FE"/>
    <w:rsid w:val="00F055C9"/>
    <w:rsid w:val="00F05814"/>
    <w:rsid w:val="00F05852"/>
    <w:rsid w:val="00F05A1F"/>
    <w:rsid w:val="00F05B31"/>
    <w:rsid w:val="00F05B33"/>
    <w:rsid w:val="00F05CC3"/>
    <w:rsid w:val="00F05D48"/>
    <w:rsid w:val="00F05DD3"/>
    <w:rsid w:val="00F05E1E"/>
    <w:rsid w:val="00F0607E"/>
    <w:rsid w:val="00F060C4"/>
    <w:rsid w:val="00F0615E"/>
    <w:rsid w:val="00F062CB"/>
    <w:rsid w:val="00F06414"/>
    <w:rsid w:val="00F06433"/>
    <w:rsid w:val="00F066AA"/>
    <w:rsid w:val="00F06704"/>
    <w:rsid w:val="00F0687B"/>
    <w:rsid w:val="00F0689B"/>
    <w:rsid w:val="00F069BB"/>
    <w:rsid w:val="00F06A3C"/>
    <w:rsid w:val="00F06A67"/>
    <w:rsid w:val="00F06B86"/>
    <w:rsid w:val="00F06CFC"/>
    <w:rsid w:val="00F06DCA"/>
    <w:rsid w:val="00F06FDE"/>
    <w:rsid w:val="00F07072"/>
    <w:rsid w:val="00F07235"/>
    <w:rsid w:val="00F07338"/>
    <w:rsid w:val="00F0764F"/>
    <w:rsid w:val="00F07699"/>
    <w:rsid w:val="00F0769C"/>
    <w:rsid w:val="00F07709"/>
    <w:rsid w:val="00F07729"/>
    <w:rsid w:val="00F078F4"/>
    <w:rsid w:val="00F07A27"/>
    <w:rsid w:val="00F07C46"/>
    <w:rsid w:val="00F07C90"/>
    <w:rsid w:val="00F07F2D"/>
    <w:rsid w:val="00F07F68"/>
    <w:rsid w:val="00F07FA6"/>
    <w:rsid w:val="00F100C2"/>
    <w:rsid w:val="00F10304"/>
    <w:rsid w:val="00F1034D"/>
    <w:rsid w:val="00F1054F"/>
    <w:rsid w:val="00F1057E"/>
    <w:rsid w:val="00F105B4"/>
    <w:rsid w:val="00F10771"/>
    <w:rsid w:val="00F107E6"/>
    <w:rsid w:val="00F10EAA"/>
    <w:rsid w:val="00F10F76"/>
    <w:rsid w:val="00F110FA"/>
    <w:rsid w:val="00F11139"/>
    <w:rsid w:val="00F1114D"/>
    <w:rsid w:val="00F11249"/>
    <w:rsid w:val="00F11259"/>
    <w:rsid w:val="00F112BA"/>
    <w:rsid w:val="00F11393"/>
    <w:rsid w:val="00F113B7"/>
    <w:rsid w:val="00F11542"/>
    <w:rsid w:val="00F115AA"/>
    <w:rsid w:val="00F117C3"/>
    <w:rsid w:val="00F11837"/>
    <w:rsid w:val="00F1184F"/>
    <w:rsid w:val="00F11A1A"/>
    <w:rsid w:val="00F11AEB"/>
    <w:rsid w:val="00F11D74"/>
    <w:rsid w:val="00F11F07"/>
    <w:rsid w:val="00F1201F"/>
    <w:rsid w:val="00F1207E"/>
    <w:rsid w:val="00F120AF"/>
    <w:rsid w:val="00F12340"/>
    <w:rsid w:val="00F123F6"/>
    <w:rsid w:val="00F12412"/>
    <w:rsid w:val="00F1254B"/>
    <w:rsid w:val="00F1255B"/>
    <w:rsid w:val="00F12730"/>
    <w:rsid w:val="00F1284D"/>
    <w:rsid w:val="00F128A3"/>
    <w:rsid w:val="00F128E2"/>
    <w:rsid w:val="00F12A3F"/>
    <w:rsid w:val="00F12BFB"/>
    <w:rsid w:val="00F12CFF"/>
    <w:rsid w:val="00F12D37"/>
    <w:rsid w:val="00F130D6"/>
    <w:rsid w:val="00F13246"/>
    <w:rsid w:val="00F1333F"/>
    <w:rsid w:val="00F1336D"/>
    <w:rsid w:val="00F133F8"/>
    <w:rsid w:val="00F1345B"/>
    <w:rsid w:val="00F13530"/>
    <w:rsid w:val="00F136DB"/>
    <w:rsid w:val="00F13772"/>
    <w:rsid w:val="00F13786"/>
    <w:rsid w:val="00F137E6"/>
    <w:rsid w:val="00F13810"/>
    <w:rsid w:val="00F139F0"/>
    <w:rsid w:val="00F13AC4"/>
    <w:rsid w:val="00F13AEE"/>
    <w:rsid w:val="00F13B55"/>
    <w:rsid w:val="00F13C75"/>
    <w:rsid w:val="00F13E59"/>
    <w:rsid w:val="00F13E68"/>
    <w:rsid w:val="00F13E6A"/>
    <w:rsid w:val="00F13E8F"/>
    <w:rsid w:val="00F13EB5"/>
    <w:rsid w:val="00F14085"/>
    <w:rsid w:val="00F1419A"/>
    <w:rsid w:val="00F1428E"/>
    <w:rsid w:val="00F14454"/>
    <w:rsid w:val="00F1450F"/>
    <w:rsid w:val="00F145B7"/>
    <w:rsid w:val="00F14707"/>
    <w:rsid w:val="00F14758"/>
    <w:rsid w:val="00F1475B"/>
    <w:rsid w:val="00F14786"/>
    <w:rsid w:val="00F147FC"/>
    <w:rsid w:val="00F1482E"/>
    <w:rsid w:val="00F1485E"/>
    <w:rsid w:val="00F14976"/>
    <w:rsid w:val="00F149DA"/>
    <w:rsid w:val="00F14E27"/>
    <w:rsid w:val="00F14E3F"/>
    <w:rsid w:val="00F14F3B"/>
    <w:rsid w:val="00F14FBE"/>
    <w:rsid w:val="00F15105"/>
    <w:rsid w:val="00F15253"/>
    <w:rsid w:val="00F153FD"/>
    <w:rsid w:val="00F15452"/>
    <w:rsid w:val="00F15546"/>
    <w:rsid w:val="00F15595"/>
    <w:rsid w:val="00F15614"/>
    <w:rsid w:val="00F15751"/>
    <w:rsid w:val="00F158F2"/>
    <w:rsid w:val="00F15931"/>
    <w:rsid w:val="00F159E1"/>
    <w:rsid w:val="00F15AF8"/>
    <w:rsid w:val="00F15C29"/>
    <w:rsid w:val="00F15D47"/>
    <w:rsid w:val="00F15D5B"/>
    <w:rsid w:val="00F15E49"/>
    <w:rsid w:val="00F15F2F"/>
    <w:rsid w:val="00F15FB4"/>
    <w:rsid w:val="00F1603A"/>
    <w:rsid w:val="00F1607D"/>
    <w:rsid w:val="00F1622C"/>
    <w:rsid w:val="00F162DA"/>
    <w:rsid w:val="00F164F2"/>
    <w:rsid w:val="00F16726"/>
    <w:rsid w:val="00F1675D"/>
    <w:rsid w:val="00F16785"/>
    <w:rsid w:val="00F169D7"/>
    <w:rsid w:val="00F16AB3"/>
    <w:rsid w:val="00F16ABA"/>
    <w:rsid w:val="00F16B2B"/>
    <w:rsid w:val="00F16D9C"/>
    <w:rsid w:val="00F16FF7"/>
    <w:rsid w:val="00F17025"/>
    <w:rsid w:val="00F172C5"/>
    <w:rsid w:val="00F17387"/>
    <w:rsid w:val="00F17462"/>
    <w:rsid w:val="00F175B6"/>
    <w:rsid w:val="00F175BE"/>
    <w:rsid w:val="00F176E8"/>
    <w:rsid w:val="00F1791A"/>
    <w:rsid w:val="00F17ADF"/>
    <w:rsid w:val="00F17CBE"/>
    <w:rsid w:val="00F17D2A"/>
    <w:rsid w:val="00F20069"/>
    <w:rsid w:val="00F20297"/>
    <w:rsid w:val="00F20348"/>
    <w:rsid w:val="00F20469"/>
    <w:rsid w:val="00F2046A"/>
    <w:rsid w:val="00F205AB"/>
    <w:rsid w:val="00F205F3"/>
    <w:rsid w:val="00F205F8"/>
    <w:rsid w:val="00F20734"/>
    <w:rsid w:val="00F2073F"/>
    <w:rsid w:val="00F20745"/>
    <w:rsid w:val="00F20747"/>
    <w:rsid w:val="00F2083B"/>
    <w:rsid w:val="00F20961"/>
    <w:rsid w:val="00F20A12"/>
    <w:rsid w:val="00F20A56"/>
    <w:rsid w:val="00F20BF8"/>
    <w:rsid w:val="00F20C80"/>
    <w:rsid w:val="00F20FC4"/>
    <w:rsid w:val="00F2110C"/>
    <w:rsid w:val="00F21146"/>
    <w:rsid w:val="00F21231"/>
    <w:rsid w:val="00F212EA"/>
    <w:rsid w:val="00F2131B"/>
    <w:rsid w:val="00F21483"/>
    <w:rsid w:val="00F21614"/>
    <w:rsid w:val="00F2194C"/>
    <w:rsid w:val="00F21A34"/>
    <w:rsid w:val="00F21B78"/>
    <w:rsid w:val="00F21C36"/>
    <w:rsid w:val="00F21DD3"/>
    <w:rsid w:val="00F21E24"/>
    <w:rsid w:val="00F21F80"/>
    <w:rsid w:val="00F21FC4"/>
    <w:rsid w:val="00F22048"/>
    <w:rsid w:val="00F2204E"/>
    <w:rsid w:val="00F223EA"/>
    <w:rsid w:val="00F223F1"/>
    <w:rsid w:val="00F22418"/>
    <w:rsid w:val="00F22427"/>
    <w:rsid w:val="00F2246B"/>
    <w:rsid w:val="00F2261E"/>
    <w:rsid w:val="00F22694"/>
    <w:rsid w:val="00F22778"/>
    <w:rsid w:val="00F22836"/>
    <w:rsid w:val="00F228D1"/>
    <w:rsid w:val="00F22974"/>
    <w:rsid w:val="00F22AF3"/>
    <w:rsid w:val="00F22BBA"/>
    <w:rsid w:val="00F22D47"/>
    <w:rsid w:val="00F23094"/>
    <w:rsid w:val="00F2309F"/>
    <w:rsid w:val="00F2313D"/>
    <w:rsid w:val="00F231E1"/>
    <w:rsid w:val="00F2325B"/>
    <w:rsid w:val="00F23263"/>
    <w:rsid w:val="00F2327E"/>
    <w:rsid w:val="00F23288"/>
    <w:rsid w:val="00F23357"/>
    <w:rsid w:val="00F233AA"/>
    <w:rsid w:val="00F23442"/>
    <w:rsid w:val="00F234D1"/>
    <w:rsid w:val="00F23506"/>
    <w:rsid w:val="00F2351C"/>
    <w:rsid w:val="00F23936"/>
    <w:rsid w:val="00F23948"/>
    <w:rsid w:val="00F23961"/>
    <w:rsid w:val="00F23C55"/>
    <w:rsid w:val="00F23D65"/>
    <w:rsid w:val="00F23D75"/>
    <w:rsid w:val="00F23E5E"/>
    <w:rsid w:val="00F24081"/>
    <w:rsid w:val="00F240C1"/>
    <w:rsid w:val="00F243F9"/>
    <w:rsid w:val="00F24419"/>
    <w:rsid w:val="00F247A7"/>
    <w:rsid w:val="00F24917"/>
    <w:rsid w:val="00F24B56"/>
    <w:rsid w:val="00F24DBB"/>
    <w:rsid w:val="00F24E0E"/>
    <w:rsid w:val="00F24F3D"/>
    <w:rsid w:val="00F24FBC"/>
    <w:rsid w:val="00F250A6"/>
    <w:rsid w:val="00F25156"/>
    <w:rsid w:val="00F25248"/>
    <w:rsid w:val="00F25306"/>
    <w:rsid w:val="00F25773"/>
    <w:rsid w:val="00F259C6"/>
    <w:rsid w:val="00F25B29"/>
    <w:rsid w:val="00F25C04"/>
    <w:rsid w:val="00F25C6B"/>
    <w:rsid w:val="00F25CA7"/>
    <w:rsid w:val="00F25DC2"/>
    <w:rsid w:val="00F25FC2"/>
    <w:rsid w:val="00F25FE4"/>
    <w:rsid w:val="00F26095"/>
    <w:rsid w:val="00F260CB"/>
    <w:rsid w:val="00F261E2"/>
    <w:rsid w:val="00F263A4"/>
    <w:rsid w:val="00F2663E"/>
    <w:rsid w:val="00F2668C"/>
    <w:rsid w:val="00F266AB"/>
    <w:rsid w:val="00F26725"/>
    <w:rsid w:val="00F26821"/>
    <w:rsid w:val="00F26855"/>
    <w:rsid w:val="00F2689A"/>
    <w:rsid w:val="00F26E16"/>
    <w:rsid w:val="00F26E6D"/>
    <w:rsid w:val="00F27006"/>
    <w:rsid w:val="00F273E3"/>
    <w:rsid w:val="00F274C4"/>
    <w:rsid w:val="00F27503"/>
    <w:rsid w:val="00F27514"/>
    <w:rsid w:val="00F27635"/>
    <w:rsid w:val="00F278BD"/>
    <w:rsid w:val="00F2790D"/>
    <w:rsid w:val="00F2797E"/>
    <w:rsid w:val="00F27A40"/>
    <w:rsid w:val="00F27C14"/>
    <w:rsid w:val="00F27C64"/>
    <w:rsid w:val="00F27D08"/>
    <w:rsid w:val="00F27D4F"/>
    <w:rsid w:val="00F27EB7"/>
    <w:rsid w:val="00F30015"/>
    <w:rsid w:val="00F30029"/>
    <w:rsid w:val="00F30176"/>
    <w:rsid w:val="00F3034E"/>
    <w:rsid w:val="00F3047A"/>
    <w:rsid w:val="00F30518"/>
    <w:rsid w:val="00F30526"/>
    <w:rsid w:val="00F30856"/>
    <w:rsid w:val="00F30941"/>
    <w:rsid w:val="00F30A57"/>
    <w:rsid w:val="00F30A6C"/>
    <w:rsid w:val="00F30A6D"/>
    <w:rsid w:val="00F30A8B"/>
    <w:rsid w:val="00F30D2E"/>
    <w:rsid w:val="00F30E84"/>
    <w:rsid w:val="00F30F8A"/>
    <w:rsid w:val="00F31035"/>
    <w:rsid w:val="00F31092"/>
    <w:rsid w:val="00F310F4"/>
    <w:rsid w:val="00F31149"/>
    <w:rsid w:val="00F312AE"/>
    <w:rsid w:val="00F31350"/>
    <w:rsid w:val="00F313F8"/>
    <w:rsid w:val="00F3143E"/>
    <w:rsid w:val="00F3147B"/>
    <w:rsid w:val="00F3147E"/>
    <w:rsid w:val="00F3162A"/>
    <w:rsid w:val="00F316AC"/>
    <w:rsid w:val="00F316DA"/>
    <w:rsid w:val="00F31710"/>
    <w:rsid w:val="00F3190B"/>
    <w:rsid w:val="00F31A53"/>
    <w:rsid w:val="00F31CAC"/>
    <w:rsid w:val="00F31D14"/>
    <w:rsid w:val="00F31E02"/>
    <w:rsid w:val="00F31FAE"/>
    <w:rsid w:val="00F32137"/>
    <w:rsid w:val="00F32337"/>
    <w:rsid w:val="00F32557"/>
    <w:rsid w:val="00F325CE"/>
    <w:rsid w:val="00F32770"/>
    <w:rsid w:val="00F32857"/>
    <w:rsid w:val="00F32A4E"/>
    <w:rsid w:val="00F32AE0"/>
    <w:rsid w:val="00F32BB9"/>
    <w:rsid w:val="00F32D5B"/>
    <w:rsid w:val="00F32E71"/>
    <w:rsid w:val="00F32F43"/>
    <w:rsid w:val="00F32F75"/>
    <w:rsid w:val="00F32FB1"/>
    <w:rsid w:val="00F32FB8"/>
    <w:rsid w:val="00F33000"/>
    <w:rsid w:val="00F330B0"/>
    <w:rsid w:val="00F331BF"/>
    <w:rsid w:val="00F3329A"/>
    <w:rsid w:val="00F332DB"/>
    <w:rsid w:val="00F3336B"/>
    <w:rsid w:val="00F339C4"/>
    <w:rsid w:val="00F33AC3"/>
    <w:rsid w:val="00F33B25"/>
    <w:rsid w:val="00F33C68"/>
    <w:rsid w:val="00F33C74"/>
    <w:rsid w:val="00F33CF5"/>
    <w:rsid w:val="00F33D81"/>
    <w:rsid w:val="00F33DBB"/>
    <w:rsid w:val="00F33F44"/>
    <w:rsid w:val="00F341DE"/>
    <w:rsid w:val="00F34260"/>
    <w:rsid w:val="00F34280"/>
    <w:rsid w:val="00F3433C"/>
    <w:rsid w:val="00F343C9"/>
    <w:rsid w:val="00F34415"/>
    <w:rsid w:val="00F34501"/>
    <w:rsid w:val="00F345C2"/>
    <w:rsid w:val="00F34656"/>
    <w:rsid w:val="00F346D9"/>
    <w:rsid w:val="00F3471D"/>
    <w:rsid w:val="00F347A4"/>
    <w:rsid w:val="00F347CF"/>
    <w:rsid w:val="00F34980"/>
    <w:rsid w:val="00F34A07"/>
    <w:rsid w:val="00F34AC8"/>
    <w:rsid w:val="00F34B05"/>
    <w:rsid w:val="00F34E85"/>
    <w:rsid w:val="00F34F07"/>
    <w:rsid w:val="00F3505B"/>
    <w:rsid w:val="00F35089"/>
    <w:rsid w:val="00F3518A"/>
    <w:rsid w:val="00F3532A"/>
    <w:rsid w:val="00F35356"/>
    <w:rsid w:val="00F3543F"/>
    <w:rsid w:val="00F3547A"/>
    <w:rsid w:val="00F355B6"/>
    <w:rsid w:val="00F356D2"/>
    <w:rsid w:val="00F3588E"/>
    <w:rsid w:val="00F35981"/>
    <w:rsid w:val="00F361D3"/>
    <w:rsid w:val="00F363BE"/>
    <w:rsid w:val="00F365D6"/>
    <w:rsid w:val="00F36747"/>
    <w:rsid w:val="00F3700D"/>
    <w:rsid w:val="00F37047"/>
    <w:rsid w:val="00F37187"/>
    <w:rsid w:val="00F371EF"/>
    <w:rsid w:val="00F37252"/>
    <w:rsid w:val="00F372B0"/>
    <w:rsid w:val="00F372BA"/>
    <w:rsid w:val="00F373AF"/>
    <w:rsid w:val="00F3756E"/>
    <w:rsid w:val="00F37638"/>
    <w:rsid w:val="00F3769B"/>
    <w:rsid w:val="00F37799"/>
    <w:rsid w:val="00F377D9"/>
    <w:rsid w:val="00F37A13"/>
    <w:rsid w:val="00F37A9C"/>
    <w:rsid w:val="00F37C0A"/>
    <w:rsid w:val="00F37C11"/>
    <w:rsid w:val="00F37CCF"/>
    <w:rsid w:val="00F37CF9"/>
    <w:rsid w:val="00F37D30"/>
    <w:rsid w:val="00F37D31"/>
    <w:rsid w:val="00F37EAE"/>
    <w:rsid w:val="00F37F5C"/>
    <w:rsid w:val="00F37F68"/>
    <w:rsid w:val="00F37F9C"/>
    <w:rsid w:val="00F404BE"/>
    <w:rsid w:val="00F4057D"/>
    <w:rsid w:val="00F4072C"/>
    <w:rsid w:val="00F4081A"/>
    <w:rsid w:val="00F40852"/>
    <w:rsid w:val="00F40893"/>
    <w:rsid w:val="00F40B04"/>
    <w:rsid w:val="00F40C60"/>
    <w:rsid w:val="00F40D05"/>
    <w:rsid w:val="00F40DF7"/>
    <w:rsid w:val="00F40E5D"/>
    <w:rsid w:val="00F40F46"/>
    <w:rsid w:val="00F40FB2"/>
    <w:rsid w:val="00F41011"/>
    <w:rsid w:val="00F41112"/>
    <w:rsid w:val="00F41205"/>
    <w:rsid w:val="00F41273"/>
    <w:rsid w:val="00F412B4"/>
    <w:rsid w:val="00F41416"/>
    <w:rsid w:val="00F4145D"/>
    <w:rsid w:val="00F414F8"/>
    <w:rsid w:val="00F41708"/>
    <w:rsid w:val="00F417DC"/>
    <w:rsid w:val="00F4187B"/>
    <w:rsid w:val="00F418B2"/>
    <w:rsid w:val="00F41906"/>
    <w:rsid w:val="00F41A79"/>
    <w:rsid w:val="00F41B1F"/>
    <w:rsid w:val="00F41B75"/>
    <w:rsid w:val="00F41B78"/>
    <w:rsid w:val="00F41C07"/>
    <w:rsid w:val="00F420FF"/>
    <w:rsid w:val="00F4217B"/>
    <w:rsid w:val="00F422C1"/>
    <w:rsid w:val="00F422E5"/>
    <w:rsid w:val="00F423EC"/>
    <w:rsid w:val="00F424A4"/>
    <w:rsid w:val="00F4255A"/>
    <w:rsid w:val="00F42643"/>
    <w:rsid w:val="00F426CE"/>
    <w:rsid w:val="00F42834"/>
    <w:rsid w:val="00F42CC7"/>
    <w:rsid w:val="00F43114"/>
    <w:rsid w:val="00F43165"/>
    <w:rsid w:val="00F43175"/>
    <w:rsid w:val="00F4333D"/>
    <w:rsid w:val="00F4336F"/>
    <w:rsid w:val="00F43579"/>
    <w:rsid w:val="00F43695"/>
    <w:rsid w:val="00F43A47"/>
    <w:rsid w:val="00F43AC1"/>
    <w:rsid w:val="00F43D49"/>
    <w:rsid w:val="00F43DD6"/>
    <w:rsid w:val="00F43E37"/>
    <w:rsid w:val="00F43E7E"/>
    <w:rsid w:val="00F43F54"/>
    <w:rsid w:val="00F4418F"/>
    <w:rsid w:val="00F441E7"/>
    <w:rsid w:val="00F4436C"/>
    <w:rsid w:val="00F44732"/>
    <w:rsid w:val="00F44737"/>
    <w:rsid w:val="00F44749"/>
    <w:rsid w:val="00F447BF"/>
    <w:rsid w:val="00F44AE1"/>
    <w:rsid w:val="00F44BD4"/>
    <w:rsid w:val="00F44D26"/>
    <w:rsid w:val="00F44D51"/>
    <w:rsid w:val="00F44D9D"/>
    <w:rsid w:val="00F44DB8"/>
    <w:rsid w:val="00F44E17"/>
    <w:rsid w:val="00F44E35"/>
    <w:rsid w:val="00F44E91"/>
    <w:rsid w:val="00F45266"/>
    <w:rsid w:val="00F4527F"/>
    <w:rsid w:val="00F452D8"/>
    <w:rsid w:val="00F45900"/>
    <w:rsid w:val="00F45B9F"/>
    <w:rsid w:val="00F45BDE"/>
    <w:rsid w:val="00F45D92"/>
    <w:rsid w:val="00F45DC9"/>
    <w:rsid w:val="00F45DCC"/>
    <w:rsid w:val="00F45E00"/>
    <w:rsid w:val="00F46137"/>
    <w:rsid w:val="00F462E5"/>
    <w:rsid w:val="00F46365"/>
    <w:rsid w:val="00F464B2"/>
    <w:rsid w:val="00F4684D"/>
    <w:rsid w:val="00F46897"/>
    <w:rsid w:val="00F468F1"/>
    <w:rsid w:val="00F46A01"/>
    <w:rsid w:val="00F46A3C"/>
    <w:rsid w:val="00F46AC9"/>
    <w:rsid w:val="00F46B1A"/>
    <w:rsid w:val="00F46D09"/>
    <w:rsid w:val="00F47078"/>
    <w:rsid w:val="00F471E7"/>
    <w:rsid w:val="00F47326"/>
    <w:rsid w:val="00F473BC"/>
    <w:rsid w:val="00F47543"/>
    <w:rsid w:val="00F47545"/>
    <w:rsid w:val="00F47587"/>
    <w:rsid w:val="00F475E5"/>
    <w:rsid w:val="00F47936"/>
    <w:rsid w:val="00F47B37"/>
    <w:rsid w:val="00F47C94"/>
    <w:rsid w:val="00F47DF3"/>
    <w:rsid w:val="00F47E79"/>
    <w:rsid w:val="00F47E9C"/>
    <w:rsid w:val="00F50020"/>
    <w:rsid w:val="00F50083"/>
    <w:rsid w:val="00F50192"/>
    <w:rsid w:val="00F501DB"/>
    <w:rsid w:val="00F5056D"/>
    <w:rsid w:val="00F50783"/>
    <w:rsid w:val="00F50816"/>
    <w:rsid w:val="00F508B8"/>
    <w:rsid w:val="00F50AB3"/>
    <w:rsid w:val="00F50ADB"/>
    <w:rsid w:val="00F50BE4"/>
    <w:rsid w:val="00F50C23"/>
    <w:rsid w:val="00F50C24"/>
    <w:rsid w:val="00F50D2A"/>
    <w:rsid w:val="00F50D8B"/>
    <w:rsid w:val="00F51018"/>
    <w:rsid w:val="00F511E6"/>
    <w:rsid w:val="00F51276"/>
    <w:rsid w:val="00F5128D"/>
    <w:rsid w:val="00F51336"/>
    <w:rsid w:val="00F518DD"/>
    <w:rsid w:val="00F51AEC"/>
    <w:rsid w:val="00F51B69"/>
    <w:rsid w:val="00F51F8B"/>
    <w:rsid w:val="00F5216D"/>
    <w:rsid w:val="00F52339"/>
    <w:rsid w:val="00F52462"/>
    <w:rsid w:val="00F52463"/>
    <w:rsid w:val="00F52559"/>
    <w:rsid w:val="00F5261F"/>
    <w:rsid w:val="00F52768"/>
    <w:rsid w:val="00F52BBB"/>
    <w:rsid w:val="00F52BC2"/>
    <w:rsid w:val="00F52BCE"/>
    <w:rsid w:val="00F52C65"/>
    <w:rsid w:val="00F52D74"/>
    <w:rsid w:val="00F52EAC"/>
    <w:rsid w:val="00F52FB6"/>
    <w:rsid w:val="00F530EB"/>
    <w:rsid w:val="00F5365A"/>
    <w:rsid w:val="00F53848"/>
    <w:rsid w:val="00F53938"/>
    <w:rsid w:val="00F53BC9"/>
    <w:rsid w:val="00F53E82"/>
    <w:rsid w:val="00F53FB8"/>
    <w:rsid w:val="00F53FBE"/>
    <w:rsid w:val="00F5407A"/>
    <w:rsid w:val="00F54182"/>
    <w:rsid w:val="00F543A5"/>
    <w:rsid w:val="00F543A7"/>
    <w:rsid w:val="00F54411"/>
    <w:rsid w:val="00F545AD"/>
    <w:rsid w:val="00F546B4"/>
    <w:rsid w:val="00F547A9"/>
    <w:rsid w:val="00F54842"/>
    <w:rsid w:val="00F54948"/>
    <w:rsid w:val="00F54BDD"/>
    <w:rsid w:val="00F54EA9"/>
    <w:rsid w:val="00F55017"/>
    <w:rsid w:val="00F55065"/>
    <w:rsid w:val="00F550E7"/>
    <w:rsid w:val="00F551E4"/>
    <w:rsid w:val="00F5520C"/>
    <w:rsid w:val="00F55283"/>
    <w:rsid w:val="00F552BA"/>
    <w:rsid w:val="00F55303"/>
    <w:rsid w:val="00F55439"/>
    <w:rsid w:val="00F5559F"/>
    <w:rsid w:val="00F558A1"/>
    <w:rsid w:val="00F558E2"/>
    <w:rsid w:val="00F55C62"/>
    <w:rsid w:val="00F55CBD"/>
    <w:rsid w:val="00F55DB0"/>
    <w:rsid w:val="00F55E8E"/>
    <w:rsid w:val="00F55E99"/>
    <w:rsid w:val="00F55F56"/>
    <w:rsid w:val="00F55FCD"/>
    <w:rsid w:val="00F5608B"/>
    <w:rsid w:val="00F56237"/>
    <w:rsid w:val="00F562F2"/>
    <w:rsid w:val="00F5672E"/>
    <w:rsid w:val="00F56986"/>
    <w:rsid w:val="00F56AD8"/>
    <w:rsid w:val="00F56B55"/>
    <w:rsid w:val="00F56C0F"/>
    <w:rsid w:val="00F56C25"/>
    <w:rsid w:val="00F56CC3"/>
    <w:rsid w:val="00F56D09"/>
    <w:rsid w:val="00F56DD6"/>
    <w:rsid w:val="00F56F9E"/>
    <w:rsid w:val="00F57087"/>
    <w:rsid w:val="00F57208"/>
    <w:rsid w:val="00F57234"/>
    <w:rsid w:val="00F57246"/>
    <w:rsid w:val="00F573F2"/>
    <w:rsid w:val="00F57436"/>
    <w:rsid w:val="00F5750F"/>
    <w:rsid w:val="00F57635"/>
    <w:rsid w:val="00F57656"/>
    <w:rsid w:val="00F578E1"/>
    <w:rsid w:val="00F578F6"/>
    <w:rsid w:val="00F57ADA"/>
    <w:rsid w:val="00F57B11"/>
    <w:rsid w:val="00F57B2A"/>
    <w:rsid w:val="00F57B5F"/>
    <w:rsid w:val="00F57C45"/>
    <w:rsid w:val="00F57D0B"/>
    <w:rsid w:val="00F57D74"/>
    <w:rsid w:val="00F57DBA"/>
    <w:rsid w:val="00F57E17"/>
    <w:rsid w:val="00F57E40"/>
    <w:rsid w:val="00F57ECE"/>
    <w:rsid w:val="00F57F15"/>
    <w:rsid w:val="00F60250"/>
    <w:rsid w:val="00F602AC"/>
    <w:rsid w:val="00F60337"/>
    <w:rsid w:val="00F603F5"/>
    <w:rsid w:val="00F60463"/>
    <w:rsid w:val="00F604E2"/>
    <w:rsid w:val="00F6052D"/>
    <w:rsid w:val="00F607D0"/>
    <w:rsid w:val="00F60903"/>
    <w:rsid w:val="00F6092B"/>
    <w:rsid w:val="00F60AEA"/>
    <w:rsid w:val="00F60D5C"/>
    <w:rsid w:val="00F60E52"/>
    <w:rsid w:val="00F60FAC"/>
    <w:rsid w:val="00F60FC2"/>
    <w:rsid w:val="00F61065"/>
    <w:rsid w:val="00F61098"/>
    <w:rsid w:val="00F610E9"/>
    <w:rsid w:val="00F611F3"/>
    <w:rsid w:val="00F612A3"/>
    <w:rsid w:val="00F614CA"/>
    <w:rsid w:val="00F6153B"/>
    <w:rsid w:val="00F615F2"/>
    <w:rsid w:val="00F616FB"/>
    <w:rsid w:val="00F6185D"/>
    <w:rsid w:val="00F618C0"/>
    <w:rsid w:val="00F6190C"/>
    <w:rsid w:val="00F61A6C"/>
    <w:rsid w:val="00F61AE7"/>
    <w:rsid w:val="00F61C8F"/>
    <w:rsid w:val="00F61D22"/>
    <w:rsid w:val="00F61D8A"/>
    <w:rsid w:val="00F61DCB"/>
    <w:rsid w:val="00F61E7D"/>
    <w:rsid w:val="00F61EFA"/>
    <w:rsid w:val="00F61F86"/>
    <w:rsid w:val="00F61FDE"/>
    <w:rsid w:val="00F620AF"/>
    <w:rsid w:val="00F620D1"/>
    <w:rsid w:val="00F621B9"/>
    <w:rsid w:val="00F621C4"/>
    <w:rsid w:val="00F6238A"/>
    <w:rsid w:val="00F62643"/>
    <w:rsid w:val="00F62662"/>
    <w:rsid w:val="00F62677"/>
    <w:rsid w:val="00F62699"/>
    <w:rsid w:val="00F626E5"/>
    <w:rsid w:val="00F6284F"/>
    <w:rsid w:val="00F629E4"/>
    <w:rsid w:val="00F62C00"/>
    <w:rsid w:val="00F62C76"/>
    <w:rsid w:val="00F62CBE"/>
    <w:rsid w:val="00F62DFC"/>
    <w:rsid w:val="00F62E54"/>
    <w:rsid w:val="00F62F68"/>
    <w:rsid w:val="00F6303A"/>
    <w:rsid w:val="00F6312A"/>
    <w:rsid w:val="00F633CA"/>
    <w:rsid w:val="00F6352D"/>
    <w:rsid w:val="00F63693"/>
    <w:rsid w:val="00F636DF"/>
    <w:rsid w:val="00F63817"/>
    <w:rsid w:val="00F63822"/>
    <w:rsid w:val="00F6389A"/>
    <w:rsid w:val="00F6396E"/>
    <w:rsid w:val="00F63A26"/>
    <w:rsid w:val="00F63A73"/>
    <w:rsid w:val="00F63B6A"/>
    <w:rsid w:val="00F63D7C"/>
    <w:rsid w:val="00F63E05"/>
    <w:rsid w:val="00F63EFD"/>
    <w:rsid w:val="00F640C9"/>
    <w:rsid w:val="00F640D4"/>
    <w:rsid w:val="00F64148"/>
    <w:rsid w:val="00F641C8"/>
    <w:rsid w:val="00F643B4"/>
    <w:rsid w:val="00F645FD"/>
    <w:rsid w:val="00F64625"/>
    <w:rsid w:val="00F646C3"/>
    <w:rsid w:val="00F646F5"/>
    <w:rsid w:val="00F648A9"/>
    <w:rsid w:val="00F648EA"/>
    <w:rsid w:val="00F64CC6"/>
    <w:rsid w:val="00F64DBA"/>
    <w:rsid w:val="00F64EED"/>
    <w:rsid w:val="00F64F37"/>
    <w:rsid w:val="00F64F75"/>
    <w:rsid w:val="00F64FF0"/>
    <w:rsid w:val="00F650CD"/>
    <w:rsid w:val="00F651A5"/>
    <w:rsid w:val="00F6520F"/>
    <w:rsid w:val="00F65295"/>
    <w:rsid w:val="00F652D3"/>
    <w:rsid w:val="00F6550C"/>
    <w:rsid w:val="00F65521"/>
    <w:rsid w:val="00F6554D"/>
    <w:rsid w:val="00F6554F"/>
    <w:rsid w:val="00F6556D"/>
    <w:rsid w:val="00F657A3"/>
    <w:rsid w:val="00F6584F"/>
    <w:rsid w:val="00F659FB"/>
    <w:rsid w:val="00F65A35"/>
    <w:rsid w:val="00F65B08"/>
    <w:rsid w:val="00F65BAC"/>
    <w:rsid w:val="00F65CFD"/>
    <w:rsid w:val="00F65D0C"/>
    <w:rsid w:val="00F65DF0"/>
    <w:rsid w:val="00F65E2F"/>
    <w:rsid w:val="00F65E8D"/>
    <w:rsid w:val="00F65F08"/>
    <w:rsid w:val="00F65F5F"/>
    <w:rsid w:val="00F65F94"/>
    <w:rsid w:val="00F6631C"/>
    <w:rsid w:val="00F6645B"/>
    <w:rsid w:val="00F664EF"/>
    <w:rsid w:val="00F66510"/>
    <w:rsid w:val="00F66528"/>
    <w:rsid w:val="00F66579"/>
    <w:rsid w:val="00F6658F"/>
    <w:rsid w:val="00F6659D"/>
    <w:rsid w:val="00F668D7"/>
    <w:rsid w:val="00F66946"/>
    <w:rsid w:val="00F66983"/>
    <w:rsid w:val="00F669BB"/>
    <w:rsid w:val="00F669CD"/>
    <w:rsid w:val="00F66B47"/>
    <w:rsid w:val="00F66B5C"/>
    <w:rsid w:val="00F66B9F"/>
    <w:rsid w:val="00F66BC9"/>
    <w:rsid w:val="00F66DBE"/>
    <w:rsid w:val="00F6710D"/>
    <w:rsid w:val="00F671E1"/>
    <w:rsid w:val="00F672B6"/>
    <w:rsid w:val="00F672C3"/>
    <w:rsid w:val="00F672F1"/>
    <w:rsid w:val="00F673EB"/>
    <w:rsid w:val="00F6760C"/>
    <w:rsid w:val="00F6772A"/>
    <w:rsid w:val="00F67A40"/>
    <w:rsid w:val="00F67AC7"/>
    <w:rsid w:val="00F67B6E"/>
    <w:rsid w:val="00F67C81"/>
    <w:rsid w:val="00F67D99"/>
    <w:rsid w:val="00F67EB0"/>
    <w:rsid w:val="00F67F4D"/>
    <w:rsid w:val="00F702B7"/>
    <w:rsid w:val="00F70349"/>
    <w:rsid w:val="00F70385"/>
    <w:rsid w:val="00F70564"/>
    <w:rsid w:val="00F705FC"/>
    <w:rsid w:val="00F70789"/>
    <w:rsid w:val="00F7083A"/>
    <w:rsid w:val="00F70A88"/>
    <w:rsid w:val="00F70B32"/>
    <w:rsid w:val="00F70B6F"/>
    <w:rsid w:val="00F70BAE"/>
    <w:rsid w:val="00F70CF5"/>
    <w:rsid w:val="00F7102A"/>
    <w:rsid w:val="00F710DF"/>
    <w:rsid w:val="00F7114E"/>
    <w:rsid w:val="00F711A7"/>
    <w:rsid w:val="00F711D1"/>
    <w:rsid w:val="00F71306"/>
    <w:rsid w:val="00F71340"/>
    <w:rsid w:val="00F7146A"/>
    <w:rsid w:val="00F714CC"/>
    <w:rsid w:val="00F71613"/>
    <w:rsid w:val="00F7192B"/>
    <w:rsid w:val="00F719E1"/>
    <w:rsid w:val="00F71A0E"/>
    <w:rsid w:val="00F71B12"/>
    <w:rsid w:val="00F71D17"/>
    <w:rsid w:val="00F71FD4"/>
    <w:rsid w:val="00F72078"/>
    <w:rsid w:val="00F7209D"/>
    <w:rsid w:val="00F7215A"/>
    <w:rsid w:val="00F721E3"/>
    <w:rsid w:val="00F72241"/>
    <w:rsid w:val="00F722BD"/>
    <w:rsid w:val="00F722C7"/>
    <w:rsid w:val="00F7257F"/>
    <w:rsid w:val="00F72748"/>
    <w:rsid w:val="00F7283B"/>
    <w:rsid w:val="00F72A79"/>
    <w:rsid w:val="00F72AD3"/>
    <w:rsid w:val="00F72AE4"/>
    <w:rsid w:val="00F72B0C"/>
    <w:rsid w:val="00F72B86"/>
    <w:rsid w:val="00F72D7D"/>
    <w:rsid w:val="00F72DE8"/>
    <w:rsid w:val="00F72F39"/>
    <w:rsid w:val="00F73026"/>
    <w:rsid w:val="00F730D9"/>
    <w:rsid w:val="00F731C3"/>
    <w:rsid w:val="00F73628"/>
    <w:rsid w:val="00F7365F"/>
    <w:rsid w:val="00F73685"/>
    <w:rsid w:val="00F73696"/>
    <w:rsid w:val="00F737B4"/>
    <w:rsid w:val="00F737BC"/>
    <w:rsid w:val="00F73A5B"/>
    <w:rsid w:val="00F73BB6"/>
    <w:rsid w:val="00F73C0E"/>
    <w:rsid w:val="00F73E88"/>
    <w:rsid w:val="00F73ED5"/>
    <w:rsid w:val="00F73F74"/>
    <w:rsid w:val="00F73FFB"/>
    <w:rsid w:val="00F7400E"/>
    <w:rsid w:val="00F740F9"/>
    <w:rsid w:val="00F741F3"/>
    <w:rsid w:val="00F742AA"/>
    <w:rsid w:val="00F74514"/>
    <w:rsid w:val="00F7453F"/>
    <w:rsid w:val="00F745BA"/>
    <w:rsid w:val="00F745C7"/>
    <w:rsid w:val="00F74659"/>
    <w:rsid w:val="00F7466F"/>
    <w:rsid w:val="00F74707"/>
    <w:rsid w:val="00F7471E"/>
    <w:rsid w:val="00F747C3"/>
    <w:rsid w:val="00F74889"/>
    <w:rsid w:val="00F74966"/>
    <w:rsid w:val="00F749CE"/>
    <w:rsid w:val="00F74A0E"/>
    <w:rsid w:val="00F74A4A"/>
    <w:rsid w:val="00F74C14"/>
    <w:rsid w:val="00F74C73"/>
    <w:rsid w:val="00F74DE1"/>
    <w:rsid w:val="00F74E6D"/>
    <w:rsid w:val="00F74E74"/>
    <w:rsid w:val="00F74F17"/>
    <w:rsid w:val="00F75273"/>
    <w:rsid w:val="00F752B7"/>
    <w:rsid w:val="00F753E9"/>
    <w:rsid w:val="00F75419"/>
    <w:rsid w:val="00F754AA"/>
    <w:rsid w:val="00F754CE"/>
    <w:rsid w:val="00F75907"/>
    <w:rsid w:val="00F75A07"/>
    <w:rsid w:val="00F75AAC"/>
    <w:rsid w:val="00F75BF2"/>
    <w:rsid w:val="00F75C55"/>
    <w:rsid w:val="00F75E30"/>
    <w:rsid w:val="00F75E9F"/>
    <w:rsid w:val="00F75EE1"/>
    <w:rsid w:val="00F75FE8"/>
    <w:rsid w:val="00F760AE"/>
    <w:rsid w:val="00F760BC"/>
    <w:rsid w:val="00F761B0"/>
    <w:rsid w:val="00F763C0"/>
    <w:rsid w:val="00F7642F"/>
    <w:rsid w:val="00F764BE"/>
    <w:rsid w:val="00F765BC"/>
    <w:rsid w:val="00F767B1"/>
    <w:rsid w:val="00F767ED"/>
    <w:rsid w:val="00F7690A"/>
    <w:rsid w:val="00F769C8"/>
    <w:rsid w:val="00F769D1"/>
    <w:rsid w:val="00F769F7"/>
    <w:rsid w:val="00F76A4F"/>
    <w:rsid w:val="00F76AD5"/>
    <w:rsid w:val="00F76B6C"/>
    <w:rsid w:val="00F76BE6"/>
    <w:rsid w:val="00F76C12"/>
    <w:rsid w:val="00F76C7F"/>
    <w:rsid w:val="00F76F30"/>
    <w:rsid w:val="00F7705C"/>
    <w:rsid w:val="00F770B1"/>
    <w:rsid w:val="00F77656"/>
    <w:rsid w:val="00F7777B"/>
    <w:rsid w:val="00F778B3"/>
    <w:rsid w:val="00F77B0C"/>
    <w:rsid w:val="00F77B54"/>
    <w:rsid w:val="00F77CFD"/>
    <w:rsid w:val="00F77F81"/>
    <w:rsid w:val="00F800AC"/>
    <w:rsid w:val="00F803E3"/>
    <w:rsid w:val="00F80471"/>
    <w:rsid w:val="00F80504"/>
    <w:rsid w:val="00F80668"/>
    <w:rsid w:val="00F80683"/>
    <w:rsid w:val="00F80699"/>
    <w:rsid w:val="00F8076D"/>
    <w:rsid w:val="00F80815"/>
    <w:rsid w:val="00F80818"/>
    <w:rsid w:val="00F808A6"/>
    <w:rsid w:val="00F808B7"/>
    <w:rsid w:val="00F80B1C"/>
    <w:rsid w:val="00F81130"/>
    <w:rsid w:val="00F81173"/>
    <w:rsid w:val="00F8122F"/>
    <w:rsid w:val="00F81231"/>
    <w:rsid w:val="00F81361"/>
    <w:rsid w:val="00F8138A"/>
    <w:rsid w:val="00F8167B"/>
    <w:rsid w:val="00F816B9"/>
    <w:rsid w:val="00F817A1"/>
    <w:rsid w:val="00F8186D"/>
    <w:rsid w:val="00F818FE"/>
    <w:rsid w:val="00F81A52"/>
    <w:rsid w:val="00F81A57"/>
    <w:rsid w:val="00F81AC6"/>
    <w:rsid w:val="00F81B69"/>
    <w:rsid w:val="00F81B8C"/>
    <w:rsid w:val="00F81BF6"/>
    <w:rsid w:val="00F81C45"/>
    <w:rsid w:val="00F81C8E"/>
    <w:rsid w:val="00F81C9F"/>
    <w:rsid w:val="00F81D44"/>
    <w:rsid w:val="00F81DD8"/>
    <w:rsid w:val="00F81E5E"/>
    <w:rsid w:val="00F821DB"/>
    <w:rsid w:val="00F82212"/>
    <w:rsid w:val="00F82220"/>
    <w:rsid w:val="00F822C6"/>
    <w:rsid w:val="00F82375"/>
    <w:rsid w:val="00F823B6"/>
    <w:rsid w:val="00F8242F"/>
    <w:rsid w:val="00F82545"/>
    <w:rsid w:val="00F82614"/>
    <w:rsid w:val="00F82799"/>
    <w:rsid w:val="00F827DE"/>
    <w:rsid w:val="00F82A7E"/>
    <w:rsid w:val="00F82B24"/>
    <w:rsid w:val="00F82B3A"/>
    <w:rsid w:val="00F82BDA"/>
    <w:rsid w:val="00F82BFC"/>
    <w:rsid w:val="00F82C19"/>
    <w:rsid w:val="00F82C45"/>
    <w:rsid w:val="00F82CD4"/>
    <w:rsid w:val="00F82D5F"/>
    <w:rsid w:val="00F82D63"/>
    <w:rsid w:val="00F82D7C"/>
    <w:rsid w:val="00F82E1C"/>
    <w:rsid w:val="00F82E5F"/>
    <w:rsid w:val="00F82E7A"/>
    <w:rsid w:val="00F82E88"/>
    <w:rsid w:val="00F82EC0"/>
    <w:rsid w:val="00F830E8"/>
    <w:rsid w:val="00F83162"/>
    <w:rsid w:val="00F8319B"/>
    <w:rsid w:val="00F832B3"/>
    <w:rsid w:val="00F83373"/>
    <w:rsid w:val="00F83383"/>
    <w:rsid w:val="00F833CB"/>
    <w:rsid w:val="00F8361A"/>
    <w:rsid w:val="00F836A0"/>
    <w:rsid w:val="00F83725"/>
    <w:rsid w:val="00F83898"/>
    <w:rsid w:val="00F839B3"/>
    <w:rsid w:val="00F83A54"/>
    <w:rsid w:val="00F83C01"/>
    <w:rsid w:val="00F83D07"/>
    <w:rsid w:val="00F83D13"/>
    <w:rsid w:val="00F83D9A"/>
    <w:rsid w:val="00F84134"/>
    <w:rsid w:val="00F841BE"/>
    <w:rsid w:val="00F841F6"/>
    <w:rsid w:val="00F842BC"/>
    <w:rsid w:val="00F842C8"/>
    <w:rsid w:val="00F842CE"/>
    <w:rsid w:val="00F842E4"/>
    <w:rsid w:val="00F8450D"/>
    <w:rsid w:val="00F84588"/>
    <w:rsid w:val="00F8466C"/>
    <w:rsid w:val="00F847DF"/>
    <w:rsid w:val="00F848B5"/>
    <w:rsid w:val="00F848F7"/>
    <w:rsid w:val="00F84967"/>
    <w:rsid w:val="00F849C7"/>
    <w:rsid w:val="00F84A53"/>
    <w:rsid w:val="00F84B6B"/>
    <w:rsid w:val="00F84CAD"/>
    <w:rsid w:val="00F84E64"/>
    <w:rsid w:val="00F84F5A"/>
    <w:rsid w:val="00F84F95"/>
    <w:rsid w:val="00F84FA2"/>
    <w:rsid w:val="00F8504B"/>
    <w:rsid w:val="00F851BB"/>
    <w:rsid w:val="00F85410"/>
    <w:rsid w:val="00F8544E"/>
    <w:rsid w:val="00F854AC"/>
    <w:rsid w:val="00F8558F"/>
    <w:rsid w:val="00F85611"/>
    <w:rsid w:val="00F85652"/>
    <w:rsid w:val="00F856A0"/>
    <w:rsid w:val="00F8570D"/>
    <w:rsid w:val="00F8589F"/>
    <w:rsid w:val="00F85934"/>
    <w:rsid w:val="00F8593F"/>
    <w:rsid w:val="00F8594F"/>
    <w:rsid w:val="00F85BC1"/>
    <w:rsid w:val="00F85BCE"/>
    <w:rsid w:val="00F85CB0"/>
    <w:rsid w:val="00F85DA2"/>
    <w:rsid w:val="00F85F60"/>
    <w:rsid w:val="00F85FAF"/>
    <w:rsid w:val="00F85FC0"/>
    <w:rsid w:val="00F8601B"/>
    <w:rsid w:val="00F86146"/>
    <w:rsid w:val="00F861C0"/>
    <w:rsid w:val="00F862B9"/>
    <w:rsid w:val="00F86348"/>
    <w:rsid w:val="00F864E7"/>
    <w:rsid w:val="00F8666B"/>
    <w:rsid w:val="00F86751"/>
    <w:rsid w:val="00F86964"/>
    <w:rsid w:val="00F869EF"/>
    <w:rsid w:val="00F86ACF"/>
    <w:rsid w:val="00F86BB1"/>
    <w:rsid w:val="00F86C2C"/>
    <w:rsid w:val="00F86C2E"/>
    <w:rsid w:val="00F86E3D"/>
    <w:rsid w:val="00F86FD5"/>
    <w:rsid w:val="00F8703B"/>
    <w:rsid w:val="00F870F0"/>
    <w:rsid w:val="00F870F2"/>
    <w:rsid w:val="00F8716F"/>
    <w:rsid w:val="00F873C0"/>
    <w:rsid w:val="00F875A5"/>
    <w:rsid w:val="00F8766A"/>
    <w:rsid w:val="00F876AE"/>
    <w:rsid w:val="00F87708"/>
    <w:rsid w:val="00F87727"/>
    <w:rsid w:val="00F877E1"/>
    <w:rsid w:val="00F87A56"/>
    <w:rsid w:val="00F87A9D"/>
    <w:rsid w:val="00F87C77"/>
    <w:rsid w:val="00F87D59"/>
    <w:rsid w:val="00F87DBF"/>
    <w:rsid w:val="00F87DEE"/>
    <w:rsid w:val="00F87E08"/>
    <w:rsid w:val="00F87E17"/>
    <w:rsid w:val="00F87E65"/>
    <w:rsid w:val="00F90091"/>
    <w:rsid w:val="00F900C7"/>
    <w:rsid w:val="00F90315"/>
    <w:rsid w:val="00F908BA"/>
    <w:rsid w:val="00F90E03"/>
    <w:rsid w:val="00F91001"/>
    <w:rsid w:val="00F91019"/>
    <w:rsid w:val="00F910D3"/>
    <w:rsid w:val="00F910E6"/>
    <w:rsid w:val="00F910E7"/>
    <w:rsid w:val="00F91122"/>
    <w:rsid w:val="00F9128F"/>
    <w:rsid w:val="00F91448"/>
    <w:rsid w:val="00F91451"/>
    <w:rsid w:val="00F91453"/>
    <w:rsid w:val="00F9168D"/>
    <w:rsid w:val="00F9188C"/>
    <w:rsid w:val="00F91898"/>
    <w:rsid w:val="00F91A26"/>
    <w:rsid w:val="00F91A43"/>
    <w:rsid w:val="00F91B7D"/>
    <w:rsid w:val="00F91CEF"/>
    <w:rsid w:val="00F91D4F"/>
    <w:rsid w:val="00F91E19"/>
    <w:rsid w:val="00F91E64"/>
    <w:rsid w:val="00F9204D"/>
    <w:rsid w:val="00F9221A"/>
    <w:rsid w:val="00F92279"/>
    <w:rsid w:val="00F9230E"/>
    <w:rsid w:val="00F925B7"/>
    <w:rsid w:val="00F926F3"/>
    <w:rsid w:val="00F92711"/>
    <w:rsid w:val="00F92733"/>
    <w:rsid w:val="00F92781"/>
    <w:rsid w:val="00F927F6"/>
    <w:rsid w:val="00F92922"/>
    <w:rsid w:val="00F929A6"/>
    <w:rsid w:val="00F929B8"/>
    <w:rsid w:val="00F929C5"/>
    <w:rsid w:val="00F92A1B"/>
    <w:rsid w:val="00F92B98"/>
    <w:rsid w:val="00F92C16"/>
    <w:rsid w:val="00F92C74"/>
    <w:rsid w:val="00F92CA9"/>
    <w:rsid w:val="00F92CC7"/>
    <w:rsid w:val="00F92DD3"/>
    <w:rsid w:val="00F92E2F"/>
    <w:rsid w:val="00F92EF2"/>
    <w:rsid w:val="00F92F0C"/>
    <w:rsid w:val="00F93001"/>
    <w:rsid w:val="00F930BD"/>
    <w:rsid w:val="00F934AF"/>
    <w:rsid w:val="00F93753"/>
    <w:rsid w:val="00F93941"/>
    <w:rsid w:val="00F9397B"/>
    <w:rsid w:val="00F939E7"/>
    <w:rsid w:val="00F93B56"/>
    <w:rsid w:val="00F93D34"/>
    <w:rsid w:val="00F93E88"/>
    <w:rsid w:val="00F93EA6"/>
    <w:rsid w:val="00F93FAD"/>
    <w:rsid w:val="00F9400F"/>
    <w:rsid w:val="00F94014"/>
    <w:rsid w:val="00F94090"/>
    <w:rsid w:val="00F943EF"/>
    <w:rsid w:val="00F9477B"/>
    <w:rsid w:val="00F94818"/>
    <w:rsid w:val="00F9488B"/>
    <w:rsid w:val="00F949F2"/>
    <w:rsid w:val="00F94A72"/>
    <w:rsid w:val="00F94A9E"/>
    <w:rsid w:val="00F94BB2"/>
    <w:rsid w:val="00F94D17"/>
    <w:rsid w:val="00F94D40"/>
    <w:rsid w:val="00F95321"/>
    <w:rsid w:val="00F954B5"/>
    <w:rsid w:val="00F95549"/>
    <w:rsid w:val="00F957E8"/>
    <w:rsid w:val="00F9595B"/>
    <w:rsid w:val="00F95999"/>
    <w:rsid w:val="00F959BF"/>
    <w:rsid w:val="00F95A0D"/>
    <w:rsid w:val="00F95A32"/>
    <w:rsid w:val="00F95A3E"/>
    <w:rsid w:val="00F95AAE"/>
    <w:rsid w:val="00F95AD4"/>
    <w:rsid w:val="00F95DFB"/>
    <w:rsid w:val="00F95F46"/>
    <w:rsid w:val="00F96054"/>
    <w:rsid w:val="00F96130"/>
    <w:rsid w:val="00F96408"/>
    <w:rsid w:val="00F96442"/>
    <w:rsid w:val="00F96470"/>
    <w:rsid w:val="00F96592"/>
    <w:rsid w:val="00F965B7"/>
    <w:rsid w:val="00F9666E"/>
    <w:rsid w:val="00F968B8"/>
    <w:rsid w:val="00F969FF"/>
    <w:rsid w:val="00F96AE3"/>
    <w:rsid w:val="00F96B55"/>
    <w:rsid w:val="00F96B5E"/>
    <w:rsid w:val="00F96C68"/>
    <w:rsid w:val="00F96CB1"/>
    <w:rsid w:val="00F96DBC"/>
    <w:rsid w:val="00F96E33"/>
    <w:rsid w:val="00F96EF6"/>
    <w:rsid w:val="00F96F39"/>
    <w:rsid w:val="00F96FB6"/>
    <w:rsid w:val="00F9709D"/>
    <w:rsid w:val="00F970F5"/>
    <w:rsid w:val="00F9718C"/>
    <w:rsid w:val="00F97205"/>
    <w:rsid w:val="00F973DB"/>
    <w:rsid w:val="00F975A6"/>
    <w:rsid w:val="00F97986"/>
    <w:rsid w:val="00F97A29"/>
    <w:rsid w:val="00F97A48"/>
    <w:rsid w:val="00F97C68"/>
    <w:rsid w:val="00F97DAC"/>
    <w:rsid w:val="00F97E35"/>
    <w:rsid w:val="00F97E3B"/>
    <w:rsid w:val="00F97F3B"/>
    <w:rsid w:val="00F97FD0"/>
    <w:rsid w:val="00FA0153"/>
    <w:rsid w:val="00FA02C4"/>
    <w:rsid w:val="00FA036F"/>
    <w:rsid w:val="00FA03F7"/>
    <w:rsid w:val="00FA0553"/>
    <w:rsid w:val="00FA05D1"/>
    <w:rsid w:val="00FA0797"/>
    <w:rsid w:val="00FA092B"/>
    <w:rsid w:val="00FA0949"/>
    <w:rsid w:val="00FA0A55"/>
    <w:rsid w:val="00FA0A5F"/>
    <w:rsid w:val="00FA0A98"/>
    <w:rsid w:val="00FA0B07"/>
    <w:rsid w:val="00FA0CB9"/>
    <w:rsid w:val="00FA0D51"/>
    <w:rsid w:val="00FA0DEF"/>
    <w:rsid w:val="00FA0F13"/>
    <w:rsid w:val="00FA1047"/>
    <w:rsid w:val="00FA15AF"/>
    <w:rsid w:val="00FA1681"/>
    <w:rsid w:val="00FA16DE"/>
    <w:rsid w:val="00FA1881"/>
    <w:rsid w:val="00FA18B7"/>
    <w:rsid w:val="00FA1A4A"/>
    <w:rsid w:val="00FA1D1C"/>
    <w:rsid w:val="00FA1FB7"/>
    <w:rsid w:val="00FA2282"/>
    <w:rsid w:val="00FA243D"/>
    <w:rsid w:val="00FA251B"/>
    <w:rsid w:val="00FA25AC"/>
    <w:rsid w:val="00FA2B4E"/>
    <w:rsid w:val="00FA2DBE"/>
    <w:rsid w:val="00FA2DDE"/>
    <w:rsid w:val="00FA2E2F"/>
    <w:rsid w:val="00FA2E53"/>
    <w:rsid w:val="00FA2E72"/>
    <w:rsid w:val="00FA2E9B"/>
    <w:rsid w:val="00FA2EFD"/>
    <w:rsid w:val="00FA2EFF"/>
    <w:rsid w:val="00FA2F57"/>
    <w:rsid w:val="00FA2FC2"/>
    <w:rsid w:val="00FA3012"/>
    <w:rsid w:val="00FA308F"/>
    <w:rsid w:val="00FA3109"/>
    <w:rsid w:val="00FA330A"/>
    <w:rsid w:val="00FA33A4"/>
    <w:rsid w:val="00FA33BE"/>
    <w:rsid w:val="00FA33FA"/>
    <w:rsid w:val="00FA3426"/>
    <w:rsid w:val="00FA34FC"/>
    <w:rsid w:val="00FA3549"/>
    <w:rsid w:val="00FA3600"/>
    <w:rsid w:val="00FA3621"/>
    <w:rsid w:val="00FA36F5"/>
    <w:rsid w:val="00FA37EB"/>
    <w:rsid w:val="00FA37F5"/>
    <w:rsid w:val="00FA37F8"/>
    <w:rsid w:val="00FA38E6"/>
    <w:rsid w:val="00FA3BB6"/>
    <w:rsid w:val="00FA3BEB"/>
    <w:rsid w:val="00FA3F4C"/>
    <w:rsid w:val="00FA3FA0"/>
    <w:rsid w:val="00FA3FB3"/>
    <w:rsid w:val="00FA3FBB"/>
    <w:rsid w:val="00FA40C2"/>
    <w:rsid w:val="00FA448B"/>
    <w:rsid w:val="00FA44B6"/>
    <w:rsid w:val="00FA44CA"/>
    <w:rsid w:val="00FA44D1"/>
    <w:rsid w:val="00FA44F8"/>
    <w:rsid w:val="00FA465E"/>
    <w:rsid w:val="00FA4701"/>
    <w:rsid w:val="00FA4791"/>
    <w:rsid w:val="00FA48E9"/>
    <w:rsid w:val="00FA4A59"/>
    <w:rsid w:val="00FA4A61"/>
    <w:rsid w:val="00FA4A69"/>
    <w:rsid w:val="00FA4B2E"/>
    <w:rsid w:val="00FA4C60"/>
    <w:rsid w:val="00FA4DAB"/>
    <w:rsid w:val="00FA5146"/>
    <w:rsid w:val="00FA524B"/>
    <w:rsid w:val="00FA526F"/>
    <w:rsid w:val="00FA5523"/>
    <w:rsid w:val="00FA5621"/>
    <w:rsid w:val="00FA5629"/>
    <w:rsid w:val="00FA5660"/>
    <w:rsid w:val="00FA5767"/>
    <w:rsid w:val="00FA579D"/>
    <w:rsid w:val="00FA57B7"/>
    <w:rsid w:val="00FA5982"/>
    <w:rsid w:val="00FA5A29"/>
    <w:rsid w:val="00FA5A31"/>
    <w:rsid w:val="00FA5ADF"/>
    <w:rsid w:val="00FA5BF7"/>
    <w:rsid w:val="00FA5C09"/>
    <w:rsid w:val="00FA5CEB"/>
    <w:rsid w:val="00FA5E10"/>
    <w:rsid w:val="00FA5E66"/>
    <w:rsid w:val="00FA5EBC"/>
    <w:rsid w:val="00FA5F8C"/>
    <w:rsid w:val="00FA6036"/>
    <w:rsid w:val="00FA6038"/>
    <w:rsid w:val="00FA6072"/>
    <w:rsid w:val="00FA62BB"/>
    <w:rsid w:val="00FA63B9"/>
    <w:rsid w:val="00FA63F6"/>
    <w:rsid w:val="00FA63FE"/>
    <w:rsid w:val="00FA6446"/>
    <w:rsid w:val="00FA66C0"/>
    <w:rsid w:val="00FA670B"/>
    <w:rsid w:val="00FA6767"/>
    <w:rsid w:val="00FA6898"/>
    <w:rsid w:val="00FA68F8"/>
    <w:rsid w:val="00FA696E"/>
    <w:rsid w:val="00FA69CC"/>
    <w:rsid w:val="00FA6A5C"/>
    <w:rsid w:val="00FA6B4E"/>
    <w:rsid w:val="00FA6B56"/>
    <w:rsid w:val="00FA6B66"/>
    <w:rsid w:val="00FA6B85"/>
    <w:rsid w:val="00FA6DC9"/>
    <w:rsid w:val="00FA6DD4"/>
    <w:rsid w:val="00FA6E00"/>
    <w:rsid w:val="00FA6E96"/>
    <w:rsid w:val="00FA6F56"/>
    <w:rsid w:val="00FA7175"/>
    <w:rsid w:val="00FA74BC"/>
    <w:rsid w:val="00FA74E5"/>
    <w:rsid w:val="00FA7612"/>
    <w:rsid w:val="00FA7738"/>
    <w:rsid w:val="00FA7955"/>
    <w:rsid w:val="00FA79D2"/>
    <w:rsid w:val="00FA7AF4"/>
    <w:rsid w:val="00FA7B9D"/>
    <w:rsid w:val="00FA7ED2"/>
    <w:rsid w:val="00FA7FB6"/>
    <w:rsid w:val="00FB0028"/>
    <w:rsid w:val="00FB0081"/>
    <w:rsid w:val="00FB009B"/>
    <w:rsid w:val="00FB01AA"/>
    <w:rsid w:val="00FB01E4"/>
    <w:rsid w:val="00FB02B2"/>
    <w:rsid w:val="00FB0474"/>
    <w:rsid w:val="00FB04FC"/>
    <w:rsid w:val="00FB053C"/>
    <w:rsid w:val="00FB0808"/>
    <w:rsid w:val="00FB0908"/>
    <w:rsid w:val="00FB0AD2"/>
    <w:rsid w:val="00FB0D72"/>
    <w:rsid w:val="00FB0E66"/>
    <w:rsid w:val="00FB10BE"/>
    <w:rsid w:val="00FB1108"/>
    <w:rsid w:val="00FB11B4"/>
    <w:rsid w:val="00FB11C6"/>
    <w:rsid w:val="00FB12E3"/>
    <w:rsid w:val="00FB1307"/>
    <w:rsid w:val="00FB13B1"/>
    <w:rsid w:val="00FB1466"/>
    <w:rsid w:val="00FB1484"/>
    <w:rsid w:val="00FB15A0"/>
    <w:rsid w:val="00FB15C6"/>
    <w:rsid w:val="00FB1957"/>
    <w:rsid w:val="00FB19C6"/>
    <w:rsid w:val="00FB1A97"/>
    <w:rsid w:val="00FB1ABA"/>
    <w:rsid w:val="00FB1E16"/>
    <w:rsid w:val="00FB1E7B"/>
    <w:rsid w:val="00FB23EA"/>
    <w:rsid w:val="00FB2465"/>
    <w:rsid w:val="00FB26FF"/>
    <w:rsid w:val="00FB270A"/>
    <w:rsid w:val="00FB287B"/>
    <w:rsid w:val="00FB29B6"/>
    <w:rsid w:val="00FB2A06"/>
    <w:rsid w:val="00FB2A10"/>
    <w:rsid w:val="00FB2BDA"/>
    <w:rsid w:val="00FB2C5E"/>
    <w:rsid w:val="00FB2DE7"/>
    <w:rsid w:val="00FB2E3A"/>
    <w:rsid w:val="00FB2E82"/>
    <w:rsid w:val="00FB2EFE"/>
    <w:rsid w:val="00FB2FEE"/>
    <w:rsid w:val="00FB3082"/>
    <w:rsid w:val="00FB30AE"/>
    <w:rsid w:val="00FB34C6"/>
    <w:rsid w:val="00FB3592"/>
    <w:rsid w:val="00FB3660"/>
    <w:rsid w:val="00FB375B"/>
    <w:rsid w:val="00FB38B4"/>
    <w:rsid w:val="00FB392B"/>
    <w:rsid w:val="00FB3C33"/>
    <w:rsid w:val="00FB3DDC"/>
    <w:rsid w:val="00FB40A2"/>
    <w:rsid w:val="00FB417B"/>
    <w:rsid w:val="00FB433B"/>
    <w:rsid w:val="00FB43EC"/>
    <w:rsid w:val="00FB4562"/>
    <w:rsid w:val="00FB4599"/>
    <w:rsid w:val="00FB4876"/>
    <w:rsid w:val="00FB4B57"/>
    <w:rsid w:val="00FB4D3A"/>
    <w:rsid w:val="00FB4DF4"/>
    <w:rsid w:val="00FB4EDA"/>
    <w:rsid w:val="00FB5049"/>
    <w:rsid w:val="00FB534C"/>
    <w:rsid w:val="00FB5416"/>
    <w:rsid w:val="00FB5420"/>
    <w:rsid w:val="00FB5456"/>
    <w:rsid w:val="00FB54F0"/>
    <w:rsid w:val="00FB5620"/>
    <w:rsid w:val="00FB563F"/>
    <w:rsid w:val="00FB576E"/>
    <w:rsid w:val="00FB5B35"/>
    <w:rsid w:val="00FB5BFE"/>
    <w:rsid w:val="00FB5C47"/>
    <w:rsid w:val="00FB5CC4"/>
    <w:rsid w:val="00FB5D73"/>
    <w:rsid w:val="00FB5F02"/>
    <w:rsid w:val="00FB602A"/>
    <w:rsid w:val="00FB6051"/>
    <w:rsid w:val="00FB6133"/>
    <w:rsid w:val="00FB61B2"/>
    <w:rsid w:val="00FB61F0"/>
    <w:rsid w:val="00FB623A"/>
    <w:rsid w:val="00FB6294"/>
    <w:rsid w:val="00FB6308"/>
    <w:rsid w:val="00FB63E9"/>
    <w:rsid w:val="00FB64AA"/>
    <w:rsid w:val="00FB655F"/>
    <w:rsid w:val="00FB65D6"/>
    <w:rsid w:val="00FB670C"/>
    <w:rsid w:val="00FB68B9"/>
    <w:rsid w:val="00FB68F8"/>
    <w:rsid w:val="00FB69D9"/>
    <w:rsid w:val="00FB6BAF"/>
    <w:rsid w:val="00FB6C00"/>
    <w:rsid w:val="00FB6C76"/>
    <w:rsid w:val="00FB6DF0"/>
    <w:rsid w:val="00FB6E3C"/>
    <w:rsid w:val="00FB6E5E"/>
    <w:rsid w:val="00FB6FAD"/>
    <w:rsid w:val="00FB7085"/>
    <w:rsid w:val="00FB708A"/>
    <w:rsid w:val="00FB70A0"/>
    <w:rsid w:val="00FB7101"/>
    <w:rsid w:val="00FB7318"/>
    <w:rsid w:val="00FB7355"/>
    <w:rsid w:val="00FB735F"/>
    <w:rsid w:val="00FB738D"/>
    <w:rsid w:val="00FB73D7"/>
    <w:rsid w:val="00FB740D"/>
    <w:rsid w:val="00FB748C"/>
    <w:rsid w:val="00FB74F2"/>
    <w:rsid w:val="00FB75BD"/>
    <w:rsid w:val="00FB767B"/>
    <w:rsid w:val="00FB77A9"/>
    <w:rsid w:val="00FB7850"/>
    <w:rsid w:val="00FB7B85"/>
    <w:rsid w:val="00FB7BB0"/>
    <w:rsid w:val="00FB7DFC"/>
    <w:rsid w:val="00FC00C4"/>
    <w:rsid w:val="00FC0323"/>
    <w:rsid w:val="00FC0357"/>
    <w:rsid w:val="00FC04A3"/>
    <w:rsid w:val="00FC0559"/>
    <w:rsid w:val="00FC0580"/>
    <w:rsid w:val="00FC069C"/>
    <w:rsid w:val="00FC06D1"/>
    <w:rsid w:val="00FC070F"/>
    <w:rsid w:val="00FC0757"/>
    <w:rsid w:val="00FC083D"/>
    <w:rsid w:val="00FC08FA"/>
    <w:rsid w:val="00FC0B36"/>
    <w:rsid w:val="00FC0B99"/>
    <w:rsid w:val="00FC0D53"/>
    <w:rsid w:val="00FC10AD"/>
    <w:rsid w:val="00FC1290"/>
    <w:rsid w:val="00FC12E3"/>
    <w:rsid w:val="00FC138B"/>
    <w:rsid w:val="00FC1395"/>
    <w:rsid w:val="00FC15CF"/>
    <w:rsid w:val="00FC166C"/>
    <w:rsid w:val="00FC174A"/>
    <w:rsid w:val="00FC182D"/>
    <w:rsid w:val="00FC1843"/>
    <w:rsid w:val="00FC188A"/>
    <w:rsid w:val="00FC1961"/>
    <w:rsid w:val="00FC1992"/>
    <w:rsid w:val="00FC1C30"/>
    <w:rsid w:val="00FC1C55"/>
    <w:rsid w:val="00FC2179"/>
    <w:rsid w:val="00FC2187"/>
    <w:rsid w:val="00FC218D"/>
    <w:rsid w:val="00FC24D0"/>
    <w:rsid w:val="00FC274C"/>
    <w:rsid w:val="00FC27DE"/>
    <w:rsid w:val="00FC2844"/>
    <w:rsid w:val="00FC2965"/>
    <w:rsid w:val="00FC2ACB"/>
    <w:rsid w:val="00FC2C37"/>
    <w:rsid w:val="00FC2C86"/>
    <w:rsid w:val="00FC2CC9"/>
    <w:rsid w:val="00FC2D12"/>
    <w:rsid w:val="00FC2F30"/>
    <w:rsid w:val="00FC2F78"/>
    <w:rsid w:val="00FC3040"/>
    <w:rsid w:val="00FC30AE"/>
    <w:rsid w:val="00FC30D6"/>
    <w:rsid w:val="00FC30EB"/>
    <w:rsid w:val="00FC30F2"/>
    <w:rsid w:val="00FC3193"/>
    <w:rsid w:val="00FC323E"/>
    <w:rsid w:val="00FC3398"/>
    <w:rsid w:val="00FC37FE"/>
    <w:rsid w:val="00FC3A3C"/>
    <w:rsid w:val="00FC3B4D"/>
    <w:rsid w:val="00FC3B5A"/>
    <w:rsid w:val="00FC3BA7"/>
    <w:rsid w:val="00FC3D6A"/>
    <w:rsid w:val="00FC3D8B"/>
    <w:rsid w:val="00FC3DDE"/>
    <w:rsid w:val="00FC4016"/>
    <w:rsid w:val="00FC4057"/>
    <w:rsid w:val="00FC4143"/>
    <w:rsid w:val="00FC43A5"/>
    <w:rsid w:val="00FC43B4"/>
    <w:rsid w:val="00FC43F7"/>
    <w:rsid w:val="00FC44A8"/>
    <w:rsid w:val="00FC4501"/>
    <w:rsid w:val="00FC451B"/>
    <w:rsid w:val="00FC4643"/>
    <w:rsid w:val="00FC466D"/>
    <w:rsid w:val="00FC46AC"/>
    <w:rsid w:val="00FC4827"/>
    <w:rsid w:val="00FC4906"/>
    <w:rsid w:val="00FC496A"/>
    <w:rsid w:val="00FC4B5D"/>
    <w:rsid w:val="00FC4C14"/>
    <w:rsid w:val="00FC4C26"/>
    <w:rsid w:val="00FC5182"/>
    <w:rsid w:val="00FC51EF"/>
    <w:rsid w:val="00FC5239"/>
    <w:rsid w:val="00FC523C"/>
    <w:rsid w:val="00FC52AA"/>
    <w:rsid w:val="00FC54DC"/>
    <w:rsid w:val="00FC5524"/>
    <w:rsid w:val="00FC55D3"/>
    <w:rsid w:val="00FC5813"/>
    <w:rsid w:val="00FC58DE"/>
    <w:rsid w:val="00FC58E2"/>
    <w:rsid w:val="00FC5B1E"/>
    <w:rsid w:val="00FC5C9A"/>
    <w:rsid w:val="00FC5D11"/>
    <w:rsid w:val="00FC5D6E"/>
    <w:rsid w:val="00FC5DA0"/>
    <w:rsid w:val="00FC5DF0"/>
    <w:rsid w:val="00FC60C9"/>
    <w:rsid w:val="00FC628C"/>
    <w:rsid w:val="00FC62C3"/>
    <w:rsid w:val="00FC6611"/>
    <w:rsid w:val="00FC66F5"/>
    <w:rsid w:val="00FC67B2"/>
    <w:rsid w:val="00FC68C0"/>
    <w:rsid w:val="00FC68ED"/>
    <w:rsid w:val="00FC690F"/>
    <w:rsid w:val="00FC6ADA"/>
    <w:rsid w:val="00FC6D9C"/>
    <w:rsid w:val="00FC6E37"/>
    <w:rsid w:val="00FC6FF0"/>
    <w:rsid w:val="00FC7089"/>
    <w:rsid w:val="00FC7104"/>
    <w:rsid w:val="00FC7178"/>
    <w:rsid w:val="00FC71C8"/>
    <w:rsid w:val="00FC7409"/>
    <w:rsid w:val="00FC7521"/>
    <w:rsid w:val="00FC76F0"/>
    <w:rsid w:val="00FC7738"/>
    <w:rsid w:val="00FC792A"/>
    <w:rsid w:val="00FC7945"/>
    <w:rsid w:val="00FC796C"/>
    <w:rsid w:val="00FC7A7C"/>
    <w:rsid w:val="00FC7C0D"/>
    <w:rsid w:val="00FC7D75"/>
    <w:rsid w:val="00FC7DEA"/>
    <w:rsid w:val="00FC7E3E"/>
    <w:rsid w:val="00FC7E85"/>
    <w:rsid w:val="00FC7EB1"/>
    <w:rsid w:val="00FC7EB9"/>
    <w:rsid w:val="00FC7EF7"/>
    <w:rsid w:val="00FC7F76"/>
    <w:rsid w:val="00FD0023"/>
    <w:rsid w:val="00FD00C5"/>
    <w:rsid w:val="00FD0123"/>
    <w:rsid w:val="00FD013F"/>
    <w:rsid w:val="00FD0155"/>
    <w:rsid w:val="00FD01D9"/>
    <w:rsid w:val="00FD028B"/>
    <w:rsid w:val="00FD03BF"/>
    <w:rsid w:val="00FD0410"/>
    <w:rsid w:val="00FD0412"/>
    <w:rsid w:val="00FD05B4"/>
    <w:rsid w:val="00FD05DF"/>
    <w:rsid w:val="00FD084C"/>
    <w:rsid w:val="00FD0959"/>
    <w:rsid w:val="00FD0C2F"/>
    <w:rsid w:val="00FD0C9D"/>
    <w:rsid w:val="00FD0CC3"/>
    <w:rsid w:val="00FD0EC2"/>
    <w:rsid w:val="00FD0EDB"/>
    <w:rsid w:val="00FD0FA0"/>
    <w:rsid w:val="00FD0FD2"/>
    <w:rsid w:val="00FD1198"/>
    <w:rsid w:val="00FD12BA"/>
    <w:rsid w:val="00FD182A"/>
    <w:rsid w:val="00FD19D1"/>
    <w:rsid w:val="00FD1BFB"/>
    <w:rsid w:val="00FD1D44"/>
    <w:rsid w:val="00FD1D53"/>
    <w:rsid w:val="00FD1E66"/>
    <w:rsid w:val="00FD1F48"/>
    <w:rsid w:val="00FD1FC0"/>
    <w:rsid w:val="00FD2400"/>
    <w:rsid w:val="00FD2556"/>
    <w:rsid w:val="00FD2718"/>
    <w:rsid w:val="00FD27D3"/>
    <w:rsid w:val="00FD285D"/>
    <w:rsid w:val="00FD2A56"/>
    <w:rsid w:val="00FD2ACE"/>
    <w:rsid w:val="00FD2C30"/>
    <w:rsid w:val="00FD2C67"/>
    <w:rsid w:val="00FD2CA3"/>
    <w:rsid w:val="00FD2CF5"/>
    <w:rsid w:val="00FD2EBD"/>
    <w:rsid w:val="00FD2F23"/>
    <w:rsid w:val="00FD30A3"/>
    <w:rsid w:val="00FD3249"/>
    <w:rsid w:val="00FD32A3"/>
    <w:rsid w:val="00FD3358"/>
    <w:rsid w:val="00FD33CA"/>
    <w:rsid w:val="00FD34C6"/>
    <w:rsid w:val="00FD34E9"/>
    <w:rsid w:val="00FD3568"/>
    <w:rsid w:val="00FD35E9"/>
    <w:rsid w:val="00FD35FE"/>
    <w:rsid w:val="00FD36D3"/>
    <w:rsid w:val="00FD36DA"/>
    <w:rsid w:val="00FD37A6"/>
    <w:rsid w:val="00FD38FC"/>
    <w:rsid w:val="00FD39D4"/>
    <w:rsid w:val="00FD3DE4"/>
    <w:rsid w:val="00FD3F16"/>
    <w:rsid w:val="00FD41BF"/>
    <w:rsid w:val="00FD426D"/>
    <w:rsid w:val="00FD42F9"/>
    <w:rsid w:val="00FD4394"/>
    <w:rsid w:val="00FD4460"/>
    <w:rsid w:val="00FD4695"/>
    <w:rsid w:val="00FD4943"/>
    <w:rsid w:val="00FD4A96"/>
    <w:rsid w:val="00FD4B11"/>
    <w:rsid w:val="00FD4B76"/>
    <w:rsid w:val="00FD4C94"/>
    <w:rsid w:val="00FD4E73"/>
    <w:rsid w:val="00FD4EB9"/>
    <w:rsid w:val="00FD5190"/>
    <w:rsid w:val="00FD519A"/>
    <w:rsid w:val="00FD5395"/>
    <w:rsid w:val="00FD546E"/>
    <w:rsid w:val="00FD5473"/>
    <w:rsid w:val="00FD54B9"/>
    <w:rsid w:val="00FD54C4"/>
    <w:rsid w:val="00FD5631"/>
    <w:rsid w:val="00FD56CF"/>
    <w:rsid w:val="00FD5848"/>
    <w:rsid w:val="00FD585A"/>
    <w:rsid w:val="00FD5A97"/>
    <w:rsid w:val="00FD5B80"/>
    <w:rsid w:val="00FD5C20"/>
    <w:rsid w:val="00FD5D03"/>
    <w:rsid w:val="00FD5ED6"/>
    <w:rsid w:val="00FD5F14"/>
    <w:rsid w:val="00FD5F73"/>
    <w:rsid w:val="00FD621B"/>
    <w:rsid w:val="00FD6275"/>
    <w:rsid w:val="00FD62AB"/>
    <w:rsid w:val="00FD6302"/>
    <w:rsid w:val="00FD63FD"/>
    <w:rsid w:val="00FD6435"/>
    <w:rsid w:val="00FD6541"/>
    <w:rsid w:val="00FD65A9"/>
    <w:rsid w:val="00FD65C2"/>
    <w:rsid w:val="00FD6684"/>
    <w:rsid w:val="00FD6695"/>
    <w:rsid w:val="00FD66D8"/>
    <w:rsid w:val="00FD6743"/>
    <w:rsid w:val="00FD676F"/>
    <w:rsid w:val="00FD67CD"/>
    <w:rsid w:val="00FD6824"/>
    <w:rsid w:val="00FD684B"/>
    <w:rsid w:val="00FD6BB9"/>
    <w:rsid w:val="00FD6C7B"/>
    <w:rsid w:val="00FD6C9D"/>
    <w:rsid w:val="00FD6E67"/>
    <w:rsid w:val="00FD6EC9"/>
    <w:rsid w:val="00FD7080"/>
    <w:rsid w:val="00FD7270"/>
    <w:rsid w:val="00FD727F"/>
    <w:rsid w:val="00FD73EF"/>
    <w:rsid w:val="00FD74BD"/>
    <w:rsid w:val="00FD7681"/>
    <w:rsid w:val="00FD7710"/>
    <w:rsid w:val="00FD7858"/>
    <w:rsid w:val="00FD7AAF"/>
    <w:rsid w:val="00FD7B0A"/>
    <w:rsid w:val="00FD7B92"/>
    <w:rsid w:val="00FD7C76"/>
    <w:rsid w:val="00FD7C82"/>
    <w:rsid w:val="00FD7CA4"/>
    <w:rsid w:val="00FD7EAC"/>
    <w:rsid w:val="00FD7ED9"/>
    <w:rsid w:val="00FE0125"/>
    <w:rsid w:val="00FE01A7"/>
    <w:rsid w:val="00FE0263"/>
    <w:rsid w:val="00FE02E1"/>
    <w:rsid w:val="00FE036F"/>
    <w:rsid w:val="00FE04BC"/>
    <w:rsid w:val="00FE05E8"/>
    <w:rsid w:val="00FE0688"/>
    <w:rsid w:val="00FE0768"/>
    <w:rsid w:val="00FE0A08"/>
    <w:rsid w:val="00FE0B1D"/>
    <w:rsid w:val="00FE0B8E"/>
    <w:rsid w:val="00FE0BE3"/>
    <w:rsid w:val="00FE0CAC"/>
    <w:rsid w:val="00FE0CCC"/>
    <w:rsid w:val="00FE0D61"/>
    <w:rsid w:val="00FE0E1A"/>
    <w:rsid w:val="00FE0E2B"/>
    <w:rsid w:val="00FE0E98"/>
    <w:rsid w:val="00FE0F7D"/>
    <w:rsid w:val="00FE1056"/>
    <w:rsid w:val="00FE10F3"/>
    <w:rsid w:val="00FE13C8"/>
    <w:rsid w:val="00FE14B3"/>
    <w:rsid w:val="00FE1688"/>
    <w:rsid w:val="00FE16B3"/>
    <w:rsid w:val="00FE1719"/>
    <w:rsid w:val="00FE175C"/>
    <w:rsid w:val="00FE17AC"/>
    <w:rsid w:val="00FE1823"/>
    <w:rsid w:val="00FE1848"/>
    <w:rsid w:val="00FE1B47"/>
    <w:rsid w:val="00FE1DD6"/>
    <w:rsid w:val="00FE1E2B"/>
    <w:rsid w:val="00FE1E4A"/>
    <w:rsid w:val="00FE1F72"/>
    <w:rsid w:val="00FE2035"/>
    <w:rsid w:val="00FE2139"/>
    <w:rsid w:val="00FE22CA"/>
    <w:rsid w:val="00FE2332"/>
    <w:rsid w:val="00FE24B1"/>
    <w:rsid w:val="00FE2C09"/>
    <w:rsid w:val="00FE2CFB"/>
    <w:rsid w:val="00FE2EBA"/>
    <w:rsid w:val="00FE2F4F"/>
    <w:rsid w:val="00FE2F90"/>
    <w:rsid w:val="00FE2FB0"/>
    <w:rsid w:val="00FE348C"/>
    <w:rsid w:val="00FE3531"/>
    <w:rsid w:val="00FE3577"/>
    <w:rsid w:val="00FE35B3"/>
    <w:rsid w:val="00FE3797"/>
    <w:rsid w:val="00FE38CA"/>
    <w:rsid w:val="00FE39C3"/>
    <w:rsid w:val="00FE3BA3"/>
    <w:rsid w:val="00FE3CB9"/>
    <w:rsid w:val="00FE3CCB"/>
    <w:rsid w:val="00FE3CDF"/>
    <w:rsid w:val="00FE3D45"/>
    <w:rsid w:val="00FE3E73"/>
    <w:rsid w:val="00FE3F27"/>
    <w:rsid w:val="00FE40AA"/>
    <w:rsid w:val="00FE4137"/>
    <w:rsid w:val="00FE4145"/>
    <w:rsid w:val="00FE4165"/>
    <w:rsid w:val="00FE423C"/>
    <w:rsid w:val="00FE4472"/>
    <w:rsid w:val="00FE4693"/>
    <w:rsid w:val="00FE4879"/>
    <w:rsid w:val="00FE48F3"/>
    <w:rsid w:val="00FE4938"/>
    <w:rsid w:val="00FE4A11"/>
    <w:rsid w:val="00FE4AB9"/>
    <w:rsid w:val="00FE4BD8"/>
    <w:rsid w:val="00FE4C72"/>
    <w:rsid w:val="00FE4D0D"/>
    <w:rsid w:val="00FE4D5E"/>
    <w:rsid w:val="00FE4DCB"/>
    <w:rsid w:val="00FE4E67"/>
    <w:rsid w:val="00FE4F49"/>
    <w:rsid w:val="00FE4F71"/>
    <w:rsid w:val="00FE4FBC"/>
    <w:rsid w:val="00FE5042"/>
    <w:rsid w:val="00FE517A"/>
    <w:rsid w:val="00FE51C3"/>
    <w:rsid w:val="00FE534F"/>
    <w:rsid w:val="00FE5377"/>
    <w:rsid w:val="00FE5392"/>
    <w:rsid w:val="00FE53C8"/>
    <w:rsid w:val="00FE5424"/>
    <w:rsid w:val="00FE5531"/>
    <w:rsid w:val="00FE554F"/>
    <w:rsid w:val="00FE559D"/>
    <w:rsid w:val="00FE56ED"/>
    <w:rsid w:val="00FE57CD"/>
    <w:rsid w:val="00FE5955"/>
    <w:rsid w:val="00FE5D85"/>
    <w:rsid w:val="00FE5F90"/>
    <w:rsid w:val="00FE5F93"/>
    <w:rsid w:val="00FE6019"/>
    <w:rsid w:val="00FE6100"/>
    <w:rsid w:val="00FE61D1"/>
    <w:rsid w:val="00FE6257"/>
    <w:rsid w:val="00FE62AC"/>
    <w:rsid w:val="00FE62B3"/>
    <w:rsid w:val="00FE63BC"/>
    <w:rsid w:val="00FE64E8"/>
    <w:rsid w:val="00FE6548"/>
    <w:rsid w:val="00FE66A7"/>
    <w:rsid w:val="00FE67D5"/>
    <w:rsid w:val="00FE6880"/>
    <w:rsid w:val="00FE6A13"/>
    <w:rsid w:val="00FE6B47"/>
    <w:rsid w:val="00FE6BA0"/>
    <w:rsid w:val="00FE6BAF"/>
    <w:rsid w:val="00FE6C35"/>
    <w:rsid w:val="00FE6CFF"/>
    <w:rsid w:val="00FE6E01"/>
    <w:rsid w:val="00FE6E08"/>
    <w:rsid w:val="00FE6EAD"/>
    <w:rsid w:val="00FE706B"/>
    <w:rsid w:val="00FE7070"/>
    <w:rsid w:val="00FE711A"/>
    <w:rsid w:val="00FE7140"/>
    <w:rsid w:val="00FE7216"/>
    <w:rsid w:val="00FE72D6"/>
    <w:rsid w:val="00FE7410"/>
    <w:rsid w:val="00FE745B"/>
    <w:rsid w:val="00FE750E"/>
    <w:rsid w:val="00FE7833"/>
    <w:rsid w:val="00FE7A40"/>
    <w:rsid w:val="00FE7AF3"/>
    <w:rsid w:val="00FE7B39"/>
    <w:rsid w:val="00FE7BDA"/>
    <w:rsid w:val="00FE7C59"/>
    <w:rsid w:val="00FE7C8F"/>
    <w:rsid w:val="00FE7D19"/>
    <w:rsid w:val="00FE7F73"/>
    <w:rsid w:val="00FF0194"/>
    <w:rsid w:val="00FF06A1"/>
    <w:rsid w:val="00FF06EA"/>
    <w:rsid w:val="00FF0743"/>
    <w:rsid w:val="00FF07AA"/>
    <w:rsid w:val="00FF08AE"/>
    <w:rsid w:val="00FF0A26"/>
    <w:rsid w:val="00FF0C70"/>
    <w:rsid w:val="00FF0CE6"/>
    <w:rsid w:val="00FF0E35"/>
    <w:rsid w:val="00FF0F75"/>
    <w:rsid w:val="00FF10E8"/>
    <w:rsid w:val="00FF124D"/>
    <w:rsid w:val="00FF13EE"/>
    <w:rsid w:val="00FF17D5"/>
    <w:rsid w:val="00FF1822"/>
    <w:rsid w:val="00FF1A4C"/>
    <w:rsid w:val="00FF1ACC"/>
    <w:rsid w:val="00FF1BD1"/>
    <w:rsid w:val="00FF1CB7"/>
    <w:rsid w:val="00FF1EC0"/>
    <w:rsid w:val="00FF1F14"/>
    <w:rsid w:val="00FF2012"/>
    <w:rsid w:val="00FF214F"/>
    <w:rsid w:val="00FF22A7"/>
    <w:rsid w:val="00FF2534"/>
    <w:rsid w:val="00FF2574"/>
    <w:rsid w:val="00FF26C8"/>
    <w:rsid w:val="00FF2851"/>
    <w:rsid w:val="00FF2876"/>
    <w:rsid w:val="00FF2BC7"/>
    <w:rsid w:val="00FF2BFC"/>
    <w:rsid w:val="00FF2C00"/>
    <w:rsid w:val="00FF2CB0"/>
    <w:rsid w:val="00FF2D75"/>
    <w:rsid w:val="00FF2E2D"/>
    <w:rsid w:val="00FF2E85"/>
    <w:rsid w:val="00FF2EAA"/>
    <w:rsid w:val="00FF2FBB"/>
    <w:rsid w:val="00FF307A"/>
    <w:rsid w:val="00FF307C"/>
    <w:rsid w:val="00FF30AD"/>
    <w:rsid w:val="00FF30D3"/>
    <w:rsid w:val="00FF316C"/>
    <w:rsid w:val="00FF335C"/>
    <w:rsid w:val="00FF350B"/>
    <w:rsid w:val="00FF3589"/>
    <w:rsid w:val="00FF3594"/>
    <w:rsid w:val="00FF35C9"/>
    <w:rsid w:val="00FF361E"/>
    <w:rsid w:val="00FF3697"/>
    <w:rsid w:val="00FF390D"/>
    <w:rsid w:val="00FF39A7"/>
    <w:rsid w:val="00FF3B2F"/>
    <w:rsid w:val="00FF3C3D"/>
    <w:rsid w:val="00FF3C75"/>
    <w:rsid w:val="00FF3D77"/>
    <w:rsid w:val="00FF3DD6"/>
    <w:rsid w:val="00FF3DF9"/>
    <w:rsid w:val="00FF3EF7"/>
    <w:rsid w:val="00FF40BD"/>
    <w:rsid w:val="00FF40C3"/>
    <w:rsid w:val="00FF4110"/>
    <w:rsid w:val="00FF415E"/>
    <w:rsid w:val="00FF4190"/>
    <w:rsid w:val="00FF41A4"/>
    <w:rsid w:val="00FF41EC"/>
    <w:rsid w:val="00FF4246"/>
    <w:rsid w:val="00FF446E"/>
    <w:rsid w:val="00FF44FE"/>
    <w:rsid w:val="00FF45C8"/>
    <w:rsid w:val="00FF48FC"/>
    <w:rsid w:val="00FF4A0D"/>
    <w:rsid w:val="00FF4A9E"/>
    <w:rsid w:val="00FF4B58"/>
    <w:rsid w:val="00FF4BBC"/>
    <w:rsid w:val="00FF4C3A"/>
    <w:rsid w:val="00FF4EB5"/>
    <w:rsid w:val="00FF4F39"/>
    <w:rsid w:val="00FF4FE9"/>
    <w:rsid w:val="00FF4FFE"/>
    <w:rsid w:val="00FF5227"/>
    <w:rsid w:val="00FF55B2"/>
    <w:rsid w:val="00FF55ED"/>
    <w:rsid w:val="00FF57FA"/>
    <w:rsid w:val="00FF5856"/>
    <w:rsid w:val="00FF5889"/>
    <w:rsid w:val="00FF58E2"/>
    <w:rsid w:val="00FF59CB"/>
    <w:rsid w:val="00FF5AD1"/>
    <w:rsid w:val="00FF5B16"/>
    <w:rsid w:val="00FF5B4D"/>
    <w:rsid w:val="00FF5C25"/>
    <w:rsid w:val="00FF5D1F"/>
    <w:rsid w:val="00FF5E25"/>
    <w:rsid w:val="00FF5E99"/>
    <w:rsid w:val="00FF5F2A"/>
    <w:rsid w:val="00FF6008"/>
    <w:rsid w:val="00FF6203"/>
    <w:rsid w:val="00FF65CD"/>
    <w:rsid w:val="00FF66D8"/>
    <w:rsid w:val="00FF68DD"/>
    <w:rsid w:val="00FF691D"/>
    <w:rsid w:val="00FF6A46"/>
    <w:rsid w:val="00FF6BBB"/>
    <w:rsid w:val="00FF6CDD"/>
    <w:rsid w:val="00FF6DEF"/>
    <w:rsid w:val="00FF6DF4"/>
    <w:rsid w:val="00FF709F"/>
    <w:rsid w:val="00FF7117"/>
    <w:rsid w:val="00FF719D"/>
    <w:rsid w:val="00FF7245"/>
    <w:rsid w:val="00FF727E"/>
    <w:rsid w:val="00FF7350"/>
    <w:rsid w:val="00FF74CD"/>
    <w:rsid w:val="00FF7527"/>
    <w:rsid w:val="00FF763C"/>
    <w:rsid w:val="00FF76BF"/>
    <w:rsid w:val="00FF76D4"/>
    <w:rsid w:val="00FF78D2"/>
    <w:rsid w:val="00FF7A21"/>
    <w:rsid w:val="00FF7BE5"/>
    <w:rsid w:val="00FF7CD6"/>
    <w:rsid w:val="00FF7CEA"/>
    <w:rsid w:val="00FF7D2C"/>
    <w:rsid w:val="00FF7E5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A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DC3"/>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0"/>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ullet + line,b,b + line,b1,level 1,BodyNum,bulleted,Bullet Char1,Bullet Char1 Char Char Char Char,b1 Char Char Char,Bullet Char1 Char Char Char Char Char,Bullet Char1 Char Char Char"/>
    <w:basedOn w:val="Normal"/>
    <w:link w:val="BulletChar"/>
    <w:qFormat/>
    <w:rsid w:val="008043EA"/>
    <w:pPr>
      <w:numPr>
        <w:numId w:val="7"/>
      </w:numPr>
      <w:tabs>
        <w:tab w:val="left" w:pos="720"/>
      </w:tabs>
      <w:spacing w:after="0" w:line="276" w:lineRule="auto"/>
    </w:pPr>
  </w:style>
  <w:style w:type="paragraph" w:customStyle="1" w:styleId="ChartandTableFootnoteAlpha">
    <w:name w:val="Chart and Table Footnote Alpha"/>
    <w:rsid w:val="008043EA"/>
    <w:pPr>
      <w:tabs>
        <w:tab w:val="num" w:pos="851"/>
      </w:tabs>
      <w:spacing w:after="0" w:line="240" w:lineRule="auto"/>
      <w:ind w:left="851" w:hanging="851"/>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8"/>
      </w:numPr>
      <w:spacing w:before="0"/>
    </w:pPr>
  </w:style>
  <w:style w:type="paragraph" w:customStyle="1" w:styleId="DoubleDot">
    <w:name w:val="Double Dot"/>
    <w:basedOn w:val="Normal"/>
    <w:link w:val="DoubleDotChar"/>
    <w:qFormat/>
    <w:rsid w:val="008043EA"/>
    <w:pPr>
      <w:numPr>
        <w:ilvl w:val="2"/>
        <w:numId w:val="8"/>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6"/>
      </w:numPr>
      <w:spacing w:before="0"/>
    </w:pPr>
  </w:style>
  <w:style w:type="paragraph" w:customStyle="1" w:styleId="OneLevelNumberedParagraph">
    <w:name w:val="One Level Numbered Paragraph"/>
    <w:basedOn w:val="Normal"/>
    <w:rsid w:val="008043EA"/>
    <w:pPr>
      <w:numPr>
        <w:numId w:val="5"/>
      </w:numPr>
      <w:tabs>
        <w:tab w:val="clear" w:pos="284"/>
        <w:tab w:val="num" w:pos="360"/>
      </w:tabs>
      <w:spacing w:before="0"/>
    </w:pPr>
  </w:style>
  <w:style w:type="paragraph" w:customStyle="1" w:styleId="OutlineNumbered2">
    <w:name w:val="Outline Numbered 2"/>
    <w:basedOn w:val="Normal"/>
    <w:rsid w:val="008043EA"/>
    <w:pPr>
      <w:numPr>
        <w:ilvl w:val="1"/>
        <w:numId w:val="6"/>
      </w:numPr>
      <w:spacing w:before="0"/>
    </w:pPr>
  </w:style>
  <w:style w:type="paragraph" w:customStyle="1" w:styleId="OutlineNumbered3">
    <w:name w:val="Outline Numbered 3"/>
    <w:basedOn w:val="Normal"/>
    <w:rsid w:val="008043EA"/>
    <w:pPr>
      <w:numPr>
        <w:ilvl w:val="2"/>
        <w:numId w:val="6"/>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uiPriority w:val="39"/>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16"/>
      </w:numPr>
    </w:pPr>
  </w:style>
  <w:style w:type="paragraph" w:customStyle="1" w:styleId="Heading1Numbered">
    <w:name w:val="Heading 1 Numbered"/>
    <w:basedOn w:val="Heading1"/>
    <w:next w:val="Normal"/>
    <w:rsid w:val="008043EA"/>
    <w:pPr>
      <w:numPr>
        <w:numId w:val="9"/>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9"/>
      </w:numPr>
    </w:pPr>
  </w:style>
  <w:style w:type="paragraph" w:customStyle="1" w:styleId="Heading3Numbered">
    <w:name w:val="Heading 3 Numbered"/>
    <w:basedOn w:val="Heading3"/>
    <w:rsid w:val="008043EA"/>
    <w:pPr>
      <w:numPr>
        <w:ilvl w:val="2"/>
        <w:numId w:val="9"/>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b + line Char,b + line Char Char,b Char,b Char Char,b1 Char,level 1 Char,Bullet + line Char,Bullets Char,L Char,List Paragraph1 Char,List Paragraph11 Char,List Paragraph2 Char,Number Char,Recommendation Char,List Paragraph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CommentReference">
    <w:name w:val="annotation reference"/>
    <w:basedOn w:val="DefaultParagraphFont"/>
    <w:uiPriority w:val="99"/>
    <w:semiHidden/>
    <w:unhideWhenUsed/>
    <w:rsid w:val="00A53AE2"/>
    <w:rPr>
      <w:sz w:val="16"/>
      <w:szCs w:val="16"/>
    </w:rPr>
  </w:style>
  <w:style w:type="paragraph" w:styleId="CommentText">
    <w:name w:val="annotation text"/>
    <w:basedOn w:val="Normal"/>
    <w:link w:val="CommentTextChar"/>
    <w:uiPriority w:val="99"/>
    <w:unhideWhenUsed/>
    <w:rsid w:val="00A53AE2"/>
    <w:rPr>
      <w:sz w:val="20"/>
    </w:rPr>
  </w:style>
  <w:style w:type="character" w:customStyle="1" w:styleId="CommentTextChar">
    <w:name w:val="Comment Text Char"/>
    <w:basedOn w:val="DefaultParagraphFont"/>
    <w:link w:val="CommentText"/>
    <w:uiPriority w:val="99"/>
    <w:rsid w:val="00A53AE2"/>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53AE2"/>
    <w:rPr>
      <w:b/>
      <w:bCs/>
    </w:rPr>
  </w:style>
  <w:style w:type="character" w:customStyle="1" w:styleId="CommentSubjectChar">
    <w:name w:val="Comment Subject Char"/>
    <w:basedOn w:val="CommentTextChar"/>
    <w:link w:val="CommentSubject"/>
    <w:uiPriority w:val="99"/>
    <w:semiHidden/>
    <w:rsid w:val="00A53AE2"/>
    <w:rPr>
      <w:rFonts w:ascii="Calibri Light" w:eastAsia="Times New Roman" w:hAnsi="Calibri Light" w:cs="Times New Roman"/>
      <w:b/>
      <w:bCs/>
      <w:sz w:val="20"/>
      <w:szCs w:val="20"/>
      <w:lang w:eastAsia="en-AU"/>
    </w:rPr>
  </w:style>
  <w:style w:type="paragraph" w:styleId="Revision">
    <w:name w:val="Revision"/>
    <w:hidden/>
    <w:uiPriority w:val="99"/>
    <w:semiHidden/>
    <w:rsid w:val="00264F86"/>
    <w:pPr>
      <w:spacing w:after="0" w:line="240" w:lineRule="auto"/>
    </w:pPr>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38531E"/>
    <w:rPr>
      <w:color w:val="844D9E" w:themeColor="followedHyperlink"/>
      <w:u w:val="single"/>
    </w:rPr>
  </w:style>
  <w:style w:type="paragraph" w:customStyle="1" w:styleId="SecurityClassificationHeader">
    <w:name w:val="Security Classification Header"/>
    <w:link w:val="SecurityClassificationHeaderChar"/>
    <w:rsid w:val="00863709"/>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863709"/>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863709"/>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863709"/>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863709"/>
    <w:pPr>
      <w:spacing w:before="360" w:after="6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863709"/>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863709"/>
    <w:pPr>
      <w:spacing w:before="36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863709"/>
    <w:rPr>
      <w:rFonts w:ascii="Calibri" w:eastAsia="Times New Roman" w:hAnsi="Calibri" w:cs="Calibri"/>
      <w:b/>
      <w:color w:val="FF0000"/>
      <w:sz w:val="24"/>
      <w:szCs w:val="20"/>
      <w:lang w:eastAsia="en-AU"/>
    </w:rPr>
  </w:style>
  <w:style w:type="character" w:styleId="Mention">
    <w:name w:val="Mention"/>
    <w:basedOn w:val="DefaultParagraphFont"/>
    <w:uiPriority w:val="99"/>
    <w:unhideWhenUsed/>
    <w:rsid w:val="00EC14CE"/>
    <w:rPr>
      <w:color w:val="2B579A"/>
      <w:shd w:val="clear" w:color="auto" w:fill="E1DFDD"/>
    </w:rPr>
  </w:style>
  <w:style w:type="paragraph" w:styleId="ListParagraph">
    <w:name w:val="List Paragraph"/>
    <w:aliases w:val="CAB - List Bullet,List Bullet Cab"/>
    <w:basedOn w:val="Normal"/>
    <w:uiPriority w:val="34"/>
    <w:qFormat/>
    <w:rsid w:val="004A21CA"/>
    <w:pPr>
      <w:ind w:left="720"/>
      <w:contextualSpacing/>
    </w:pPr>
  </w:style>
  <w:style w:type="paragraph" w:customStyle="1" w:styleId="pf0">
    <w:name w:val="pf0"/>
    <w:basedOn w:val="Normal"/>
    <w:rsid w:val="00964840"/>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964840"/>
    <w:rPr>
      <w:rFonts w:ascii="Segoe UI" w:hAnsi="Segoe UI" w:cs="Segoe UI" w:hint="default"/>
      <w:sz w:val="18"/>
      <w:szCs w:val="18"/>
    </w:rPr>
  </w:style>
  <w:style w:type="paragraph" w:styleId="EndnoteText">
    <w:name w:val="endnote text"/>
    <w:basedOn w:val="Normal"/>
    <w:link w:val="EndnoteTextChar"/>
    <w:uiPriority w:val="99"/>
    <w:semiHidden/>
    <w:unhideWhenUsed/>
    <w:rsid w:val="002015C8"/>
    <w:pPr>
      <w:spacing w:before="0" w:after="0"/>
    </w:pPr>
    <w:rPr>
      <w:sz w:val="20"/>
    </w:rPr>
  </w:style>
  <w:style w:type="character" w:customStyle="1" w:styleId="EndnoteTextChar">
    <w:name w:val="Endnote Text Char"/>
    <w:basedOn w:val="DefaultParagraphFont"/>
    <w:link w:val="EndnoteText"/>
    <w:uiPriority w:val="99"/>
    <w:semiHidden/>
    <w:rsid w:val="002015C8"/>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2015C8"/>
    <w:rPr>
      <w:vertAlign w:val="superscript"/>
    </w:rPr>
  </w:style>
  <w:style w:type="paragraph" w:styleId="NormalWeb">
    <w:name w:val="Normal (Web)"/>
    <w:basedOn w:val="Normal"/>
    <w:uiPriority w:val="99"/>
    <w:unhideWhenUsed/>
    <w:rsid w:val="00E03103"/>
    <w:pPr>
      <w:spacing w:before="100" w:beforeAutospacing="1" w:after="100" w:afterAutospacing="1"/>
    </w:pPr>
    <w:rPr>
      <w:rFonts w:ascii="Times New Roman" w:hAnsi="Times New Roman"/>
      <w:sz w:val="24"/>
      <w:szCs w:val="24"/>
    </w:rPr>
  </w:style>
  <w:style w:type="paragraph" w:styleId="ListBullet2">
    <w:name w:val="List Bullet 2"/>
    <w:basedOn w:val="ListBullet"/>
    <w:uiPriority w:val="13"/>
    <w:qFormat/>
    <w:rsid w:val="00B97702"/>
    <w:pPr>
      <w:numPr>
        <w:numId w:val="0"/>
      </w:numPr>
      <w:tabs>
        <w:tab w:val="num" w:pos="425"/>
      </w:tabs>
      <w:spacing w:before="0" w:after="240"/>
      <w:ind w:left="425" w:hanging="425"/>
      <w:contextualSpacing w:val="0"/>
      <w:jc w:val="both"/>
    </w:pPr>
    <w:rPr>
      <w:rFonts w:ascii="Arial" w:eastAsiaTheme="minorHAnsi" w:hAnsi="Arial" w:cstheme="minorBidi"/>
      <w:color w:val="000000"/>
      <w:szCs w:val="22"/>
      <w:lang w:eastAsia="en-US"/>
    </w:rPr>
  </w:style>
  <w:style w:type="paragraph" w:customStyle="1" w:styleId="Heading1Numbers">
    <w:name w:val="Heading 1 Numbers"/>
    <w:basedOn w:val="Heading1"/>
    <w:next w:val="Normal"/>
    <w:uiPriority w:val="9"/>
    <w:qFormat/>
    <w:rsid w:val="00B97702"/>
    <w:pPr>
      <w:keepLines/>
      <w:numPr>
        <w:numId w:val="19"/>
      </w:numPr>
      <w:spacing w:before="360" w:after="240" w:line="240" w:lineRule="auto"/>
    </w:pPr>
    <w:rPr>
      <w:rFonts w:asciiTheme="majorHAnsi" w:eastAsiaTheme="majorEastAsia" w:hAnsiTheme="majorHAnsi" w:cstheme="majorBidi"/>
      <w:bCs/>
      <w:color w:val="2C384A" w:themeColor="accent1"/>
      <w:kern w:val="0"/>
      <w:sz w:val="32"/>
      <w:szCs w:val="28"/>
      <w:lang w:eastAsia="en-US"/>
    </w:rPr>
  </w:style>
  <w:style w:type="paragraph" w:customStyle="1" w:styleId="Heading2Numbers">
    <w:name w:val="Heading 2 Numbers"/>
    <w:basedOn w:val="Heading2"/>
    <w:next w:val="Normal"/>
    <w:uiPriority w:val="9"/>
    <w:qFormat/>
    <w:rsid w:val="00B97702"/>
    <w:pPr>
      <w:keepLines/>
      <w:numPr>
        <w:ilvl w:val="1"/>
        <w:numId w:val="19"/>
      </w:numPr>
      <w:spacing w:after="240" w:line="240" w:lineRule="auto"/>
      <w:jc w:val="both"/>
    </w:pPr>
    <w:rPr>
      <w:rFonts w:asciiTheme="majorHAnsi" w:eastAsiaTheme="majorEastAsia" w:hAnsiTheme="majorHAnsi" w:cstheme="majorBidi"/>
      <w:b/>
      <w:iCs w:val="0"/>
      <w:color w:val="2C384A" w:themeColor="accent1"/>
      <w:kern w:val="0"/>
      <w:sz w:val="28"/>
      <w:szCs w:val="26"/>
      <w:lang w:eastAsia="en-US"/>
    </w:rPr>
  </w:style>
  <w:style w:type="paragraph" w:customStyle="1" w:styleId="Heading3Numbers">
    <w:name w:val="Heading 3 Numbers"/>
    <w:basedOn w:val="Heading3"/>
    <w:next w:val="Normal"/>
    <w:uiPriority w:val="9"/>
    <w:qFormat/>
    <w:rsid w:val="00B97702"/>
    <w:pPr>
      <w:keepLines/>
      <w:numPr>
        <w:ilvl w:val="2"/>
        <w:numId w:val="19"/>
      </w:numPr>
      <w:spacing w:before="240" w:after="120" w:line="240" w:lineRule="auto"/>
      <w:jc w:val="both"/>
    </w:pPr>
    <w:rPr>
      <w:rFonts w:asciiTheme="majorHAnsi" w:eastAsiaTheme="majorEastAsia" w:hAnsiTheme="majorHAnsi" w:cstheme="majorBidi"/>
      <w:bCs/>
      <w:color w:val="000000" w:themeColor="text1"/>
      <w:kern w:val="0"/>
      <w:sz w:val="24"/>
      <w:szCs w:val="22"/>
      <w:lang w:eastAsia="en-US"/>
    </w:rPr>
  </w:style>
  <w:style w:type="paragraph" w:customStyle="1" w:styleId="Heading4NoNumber">
    <w:name w:val="Heading 4 No Number"/>
    <w:basedOn w:val="Heading4"/>
    <w:uiPriority w:val="9"/>
    <w:qFormat/>
    <w:rsid w:val="00B97702"/>
    <w:pPr>
      <w:keepLines/>
      <w:numPr>
        <w:ilvl w:val="3"/>
        <w:numId w:val="19"/>
      </w:numPr>
      <w:spacing w:before="240" w:after="120" w:line="240" w:lineRule="auto"/>
      <w:jc w:val="both"/>
    </w:pPr>
    <w:rPr>
      <w:rFonts w:asciiTheme="majorHAnsi" w:eastAsiaTheme="majorEastAsia" w:hAnsiTheme="majorHAnsi" w:cstheme="majorBidi"/>
      <w:b/>
      <w:bCs/>
      <w:i/>
      <w:iCs/>
      <w:color w:val="000000" w:themeColor="text1"/>
      <w:kern w:val="0"/>
      <w:sz w:val="22"/>
      <w:szCs w:val="22"/>
      <w:lang w:eastAsia="en-US"/>
    </w:rPr>
  </w:style>
  <w:style w:type="paragraph" w:styleId="ListBullet">
    <w:name w:val="List Bullet"/>
    <w:basedOn w:val="Normal"/>
    <w:uiPriority w:val="99"/>
    <w:semiHidden/>
    <w:unhideWhenUsed/>
    <w:rsid w:val="00B97702"/>
    <w:pPr>
      <w:numPr>
        <w:numId w:val="20"/>
      </w:numPr>
      <w:contextualSpacing/>
    </w:pPr>
  </w:style>
  <w:style w:type="table" w:styleId="GridTable5Dark-Accent5">
    <w:name w:val="Grid Table 5 Dark Accent 5"/>
    <w:basedOn w:val="TableNormal"/>
    <w:uiPriority w:val="50"/>
    <w:rsid w:val="009702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0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B6F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B6F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B6F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B6F0" w:themeFill="accent5"/>
      </w:tcPr>
    </w:tblStylePr>
    <w:tblStylePr w:type="band1Vert">
      <w:tblPr/>
      <w:tcPr>
        <w:shd w:val="clear" w:color="auto" w:fill="D2E1F9" w:themeFill="accent5" w:themeFillTint="66"/>
      </w:tcPr>
    </w:tblStylePr>
    <w:tblStylePr w:type="band1Horz">
      <w:tblPr/>
      <w:tcPr>
        <w:shd w:val="clear" w:color="auto" w:fill="D2E1F9" w:themeFill="accent5" w:themeFillTint="66"/>
      </w:tcPr>
    </w:tblStylePr>
  </w:style>
  <w:style w:type="table" w:customStyle="1" w:styleId="TableGrid1">
    <w:name w:val="Table Grid1"/>
    <w:basedOn w:val="TableNormal"/>
    <w:next w:val="TableGrid"/>
    <w:uiPriority w:val="39"/>
    <w:rsid w:val="00C4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3451">
      <w:bodyDiv w:val="1"/>
      <w:marLeft w:val="0"/>
      <w:marRight w:val="0"/>
      <w:marTop w:val="0"/>
      <w:marBottom w:val="0"/>
      <w:divBdr>
        <w:top w:val="none" w:sz="0" w:space="0" w:color="auto"/>
        <w:left w:val="none" w:sz="0" w:space="0" w:color="auto"/>
        <w:bottom w:val="none" w:sz="0" w:space="0" w:color="auto"/>
        <w:right w:val="none" w:sz="0" w:space="0" w:color="auto"/>
      </w:divBdr>
    </w:div>
    <w:div w:id="129639354">
      <w:bodyDiv w:val="1"/>
      <w:marLeft w:val="0"/>
      <w:marRight w:val="0"/>
      <w:marTop w:val="0"/>
      <w:marBottom w:val="0"/>
      <w:divBdr>
        <w:top w:val="none" w:sz="0" w:space="0" w:color="auto"/>
        <w:left w:val="none" w:sz="0" w:space="0" w:color="auto"/>
        <w:bottom w:val="none" w:sz="0" w:space="0" w:color="auto"/>
        <w:right w:val="none" w:sz="0" w:space="0" w:color="auto"/>
      </w:divBdr>
    </w:div>
    <w:div w:id="132254385">
      <w:bodyDiv w:val="1"/>
      <w:marLeft w:val="0"/>
      <w:marRight w:val="0"/>
      <w:marTop w:val="0"/>
      <w:marBottom w:val="0"/>
      <w:divBdr>
        <w:top w:val="none" w:sz="0" w:space="0" w:color="auto"/>
        <w:left w:val="none" w:sz="0" w:space="0" w:color="auto"/>
        <w:bottom w:val="none" w:sz="0" w:space="0" w:color="auto"/>
        <w:right w:val="none" w:sz="0" w:space="0" w:color="auto"/>
      </w:divBdr>
    </w:div>
    <w:div w:id="195585034">
      <w:bodyDiv w:val="1"/>
      <w:marLeft w:val="0"/>
      <w:marRight w:val="0"/>
      <w:marTop w:val="0"/>
      <w:marBottom w:val="0"/>
      <w:divBdr>
        <w:top w:val="none" w:sz="0" w:space="0" w:color="auto"/>
        <w:left w:val="none" w:sz="0" w:space="0" w:color="auto"/>
        <w:bottom w:val="none" w:sz="0" w:space="0" w:color="auto"/>
        <w:right w:val="none" w:sz="0" w:space="0" w:color="auto"/>
      </w:divBdr>
    </w:div>
    <w:div w:id="396174030">
      <w:bodyDiv w:val="1"/>
      <w:marLeft w:val="0"/>
      <w:marRight w:val="0"/>
      <w:marTop w:val="0"/>
      <w:marBottom w:val="0"/>
      <w:divBdr>
        <w:top w:val="none" w:sz="0" w:space="0" w:color="auto"/>
        <w:left w:val="none" w:sz="0" w:space="0" w:color="auto"/>
        <w:bottom w:val="none" w:sz="0" w:space="0" w:color="auto"/>
        <w:right w:val="none" w:sz="0" w:space="0" w:color="auto"/>
      </w:divBdr>
    </w:div>
    <w:div w:id="654842149">
      <w:bodyDiv w:val="1"/>
      <w:marLeft w:val="0"/>
      <w:marRight w:val="0"/>
      <w:marTop w:val="0"/>
      <w:marBottom w:val="0"/>
      <w:divBdr>
        <w:top w:val="none" w:sz="0" w:space="0" w:color="auto"/>
        <w:left w:val="none" w:sz="0" w:space="0" w:color="auto"/>
        <w:bottom w:val="none" w:sz="0" w:space="0" w:color="auto"/>
        <w:right w:val="none" w:sz="0" w:space="0" w:color="auto"/>
      </w:divBdr>
    </w:div>
    <w:div w:id="700202116">
      <w:bodyDiv w:val="1"/>
      <w:marLeft w:val="0"/>
      <w:marRight w:val="0"/>
      <w:marTop w:val="0"/>
      <w:marBottom w:val="0"/>
      <w:divBdr>
        <w:top w:val="none" w:sz="0" w:space="0" w:color="auto"/>
        <w:left w:val="none" w:sz="0" w:space="0" w:color="auto"/>
        <w:bottom w:val="none" w:sz="0" w:space="0" w:color="auto"/>
        <w:right w:val="none" w:sz="0" w:space="0" w:color="auto"/>
      </w:divBdr>
    </w:div>
    <w:div w:id="850342944">
      <w:bodyDiv w:val="1"/>
      <w:marLeft w:val="0"/>
      <w:marRight w:val="0"/>
      <w:marTop w:val="0"/>
      <w:marBottom w:val="0"/>
      <w:divBdr>
        <w:top w:val="none" w:sz="0" w:space="0" w:color="auto"/>
        <w:left w:val="none" w:sz="0" w:space="0" w:color="auto"/>
        <w:bottom w:val="none" w:sz="0" w:space="0" w:color="auto"/>
        <w:right w:val="none" w:sz="0" w:space="0" w:color="auto"/>
      </w:divBdr>
    </w:div>
    <w:div w:id="134999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legalcode" TargetMode="Externa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image" Target="media/image7.png"/><Relationship Id="rId42" Type="http://schemas.openxmlformats.org/officeDocument/2006/relationships/glossaryDocument" Target="glossary/document.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pmc.gov.au/government/commonwealth-coat-arms" TargetMode="External"/><Relationship Id="rId20" Type="http://schemas.openxmlformats.org/officeDocument/2006/relationships/footer" Target="footer4.xm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image" Target="media/image9.png"/><Relationship Id="rId40"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yperlink" Target="http://creativecommons.org/licenses/by/3.0/au/deed.en" TargetMode="Externa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yperlink" Target="https://treasury.gov.au/consultation/c2022-313936" TargetMode="External"/><Relationship Id="rId35" Type="http://schemas.openxmlformats.org/officeDocument/2006/relationships/image" Target="media/image8.png"/><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creativecommons.org/licenses/by/3.0/au/deed.en" TargetMode="External"/><Relationship Id="rId17" Type="http://schemas.openxmlformats.org/officeDocument/2006/relationships/hyperlink" Target="mailto:media@treasury.gov.au" TargetMode="External"/><Relationship Id="rId25" Type="http://schemas.openxmlformats.org/officeDocument/2006/relationships/footer" Target="footer7.xml"/><Relationship Id="rId33" Type="http://schemas.openxmlformats.org/officeDocument/2006/relationships/image" Target="media/image6.png"/><Relationship Id="rId38" Type="http://schemas.openxmlformats.org/officeDocument/2006/relationships/hyperlink" Target="https://treasury.gov.au/consultation/c2023-441613"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1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1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1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1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www.apra.gov.au/quarterly-superannuation-industry-publication" TargetMode="External"/><Relationship Id="rId3" Type="http://schemas.openxmlformats.org/officeDocument/2006/relationships/hyperlink" Target="https://www.apra.gov.au/annual-mysuper-statistics" TargetMode="External"/><Relationship Id="rId7" Type="http://schemas.openxmlformats.org/officeDocument/2006/relationships/hyperlink" Target="https://www.apra.gov.au/superannuation-heatmaps" TargetMode="External"/><Relationship Id="rId12" Type="http://schemas.openxmlformats.org/officeDocument/2006/relationships/hyperlink" Target="https://theconexusinstitute.org.au/wp-content/uploads/2023/06/Quantitative-Assessement-of-RIS-Conexus-Institute-20230622.pdf" TargetMode="External"/><Relationship Id="rId2" Type="http://schemas.openxmlformats.org/officeDocument/2006/relationships/hyperlink" Target="https://www.apra.gov.au/superannuation-australia-a-timeline" TargetMode="External"/><Relationship Id="rId1" Type="http://schemas.openxmlformats.org/officeDocument/2006/relationships/hyperlink" Target="https://www.abs.gov.au/statistics/economy/finance/household-income-and-wealth-australia/latest-release" TargetMode="External"/><Relationship Id="rId6" Type="http://schemas.openxmlformats.org/officeDocument/2006/relationships/hyperlink" Target="https://www.apra.gov.au/superannuation-heatmaps" TargetMode="External"/><Relationship Id="rId11" Type="http://schemas.openxmlformats.org/officeDocument/2006/relationships/hyperlink" Target="https://www.apra.gov.au/quarterly-superannuation-industry-publication" TargetMode="External"/><Relationship Id="rId5" Type="http://schemas.openxmlformats.org/officeDocument/2006/relationships/hyperlink" Target="https://treasury.gov.au/consultation/c2023-456756" TargetMode="External"/><Relationship Id="rId10" Type="http://schemas.openxmlformats.org/officeDocument/2006/relationships/hyperlink" Target="https://www.apra.gov.au/quarterly-superannuation-industry-publication" TargetMode="External"/><Relationship Id="rId4" Type="http://schemas.openxmlformats.org/officeDocument/2006/relationships/hyperlink" Target="https://www.apra.gov.au/superannuation-heatmaps" TargetMode="External"/><Relationship Id="rId9" Type="http://schemas.openxmlformats.org/officeDocument/2006/relationships/hyperlink" Target="https://www.apra.gov.au/quarterly-superannuation-industry-public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0F61E708C0429B88B55F6F9D3DDE46"/>
        <w:category>
          <w:name w:val="General"/>
          <w:gallery w:val="placeholder"/>
        </w:category>
        <w:types>
          <w:type w:val="bbPlcHdr"/>
        </w:types>
        <w:behaviors>
          <w:behavior w:val="content"/>
        </w:behaviors>
        <w:guid w:val="{BB628598-F2EB-4DF7-B19C-5A7D700255D7}"/>
      </w:docPartPr>
      <w:docPartBody>
        <w:p w:rsidR="003B3F41" w:rsidRDefault="003B3F41" w:rsidP="003B3F41">
          <w:pPr>
            <w:pStyle w:val="A10F61E708C0429B88B55F6F9D3DDE46"/>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D9"/>
    <w:rsid w:val="00001430"/>
    <w:rsid w:val="00040860"/>
    <w:rsid w:val="00061AE5"/>
    <w:rsid w:val="000B3B99"/>
    <w:rsid w:val="000C6A00"/>
    <w:rsid w:val="000E460B"/>
    <w:rsid w:val="000F4B9F"/>
    <w:rsid w:val="001014F9"/>
    <w:rsid w:val="00133C05"/>
    <w:rsid w:val="00141DC6"/>
    <w:rsid w:val="00156723"/>
    <w:rsid w:val="00180443"/>
    <w:rsid w:val="001A20BE"/>
    <w:rsid w:val="001C113C"/>
    <w:rsid w:val="001D181E"/>
    <w:rsid w:val="001F1C00"/>
    <w:rsid w:val="001F48D7"/>
    <w:rsid w:val="0022608C"/>
    <w:rsid w:val="0023682F"/>
    <w:rsid w:val="0027581F"/>
    <w:rsid w:val="002B4AF7"/>
    <w:rsid w:val="002B6D40"/>
    <w:rsid w:val="002D421F"/>
    <w:rsid w:val="002E3120"/>
    <w:rsid w:val="002F3FDC"/>
    <w:rsid w:val="00304B9F"/>
    <w:rsid w:val="00382913"/>
    <w:rsid w:val="003B1FBA"/>
    <w:rsid w:val="003B3F41"/>
    <w:rsid w:val="003C5601"/>
    <w:rsid w:val="003D5BD7"/>
    <w:rsid w:val="00401EBD"/>
    <w:rsid w:val="00407718"/>
    <w:rsid w:val="00413791"/>
    <w:rsid w:val="004324AB"/>
    <w:rsid w:val="0044240D"/>
    <w:rsid w:val="00445F8D"/>
    <w:rsid w:val="0045104A"/>
    <w:rsid w:val="0046414B"/>
    <w:rsid w:val="00466B8D"/>
    <w:rsid w:val="00515A76"/>
    <w:rsid w:val="00565746"/>
    <w:rsid w:val="00565999"/>
    <w:rsid w:val="005F2F5F"/>
    <w:rsid w:val="00624135"/>
    <w:rsid w:val="00625987"/>
    <w:rsid w:val="006261DD"/>
    <w:rsid w:val="00633D32"/>
    <w:rsid w:val="00640CEA"/>
    <w:rsid w:val="006527D9"/>
    <w:rsid w:val="00677BC8"/>
    <w:rsid w:val="00681C6F"/>
    <w:rsid w:val="00690992"/>
    <w:rsid w:val="007057A9"/>
    <w:rsid w:val="00706DFB"/>
    <w:rsid w:val="00716A64"/>
    <w:rsid w:val="007308A5"/>
    <w:rsid w:val="00732A9D"/>
    <w:rsid w:val="007558C2"/>
    <w:rsid w:val="007611BF"/>
    <w:rsid w:val="00763B38"/>
    <w:rsid w:val="007647CE"/>
    <w:rsid w:val="00777A33"/>
    <w:rsid w:val="007C63B2"/>
    <w:rsid w:val="007C70AC"/>
    <w:rsid w:val="007D3065"/>
    <w:rsid w:val="007D35DF"/>
    <w:rsid w:val="00810A22"/>
    <w:rsid w:val="008B7ADF"/>
    <w:rsid w:val="008C360B"/>
    <w:rsid w:val="008F2D2D"/>
    <w:rsid w:val="00900394"/>
    <w:rsid w:val="00924110"/>
    <w:rsid w:val="00924220"/>
    <w:rsid w:val="00964BF3"/>
    <w:rsid w:val="009963FB"/>
    <w:rsid w:val="009A5735"/>
    <w:rsid w:val="009C104E"/>
    <w:rsid w:val="00A103C0"/>
    <w:rsid w:val="00A54578"/>
    <w:rsid w:val="00A71416"/>
    <w:rsid w:val="00A81E07"/>
    <w:rsid w:val="00A822EC"/>
    <w:rsid w:val="00A82BE1"/>
    <w:rsid w:val="00A870E6"/>
    <w:rsid w:val="00AC3F0E"/>
    <w:rsid w:val="00AD5934"/>
    <w:rsid w:val="00AF2EDE"/>
    <w:rsid w:val="00B1152B"/>
    <w:rsid w:val="00B369AC"/>
    <w:rsid w:val="00B55A9D"/>
    <w:rsid w:val="00B73F16"/>
    <w:rsid w:val="00B85129"/>
    <w:rsid w:val="00BA39B7"/>
    <w:rsid w:val="00BA4502"/>
    <w:rsid w:val="00BB7C1A"/>
    <w:rsid w:val="00BC61E6"/>
    <w:rsid w:val="00BF0F95"/>
    <w:rsid w:val="00C067FF"/>
    <w:rsid w:val="00C47F03"/>
    <w:rsid w:val="00C53F79"/>
    <w:rsid w:val="00C76AC7"/>
    <w:rsid w:val="00C94BF9"/>
    <w:rsid w:val="00CE00B5"/>
    <w:rsid w:val="00CE0620"/>
    <w:rsid w:val="00CE0AB3"/>
    <w:rsid w:val="00CE322E"/>
    <w:rsid w:val="00CF6F6E"/>
    <w:rsid w:val="00D24E98"/>
    <w:rsid w:val="00D32885"/>
    <w:rsid w:val="00D40A36"/>
    <w:rsid w:val="00D61CFB"/>
    <w:rsid w:val="00D7148A"/>
    <w:rsid w:val="00D863A1"/>
    <w:rsid w:val="00DD2BB5"/>
    <w:rsid w:val="00DE3DCE"/>
    <w:rsid w:val="00DF094F"/>
    <w:rsid w:val="00E72EF4"/>
    <w:rsid w:val="00E85A3F"/>
    <w:rsid w:val="00EB17A5"/>
    <w:rsid w:val="00EC2A0B"/>
    <w:rsid w:val="00EC71B0"/>
    <w:rsid w:val="00ED1126"/>
    <w:rsid w:val="00ED78C0"/>
    <w:rsid w:val="00F42062"/>
    <w:rsid w:val="00F4370B"/>
    <w:rsid w:val="00F506F7"/>
    <w:rsid w:val="00FA595D"/>
    <w:rsid w:val="00FC1E74"/>
    <w:rsid w:val="00FC2E4B"/>
    <w:rsid w:val="00FD22BD"/>
    <w:rsid w:val="00FF70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1803F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F41"/>
    <w:rPr>
      <w:color w:val="808080"/>
    </w:rPr>
  </w:style>
  <w:style w:type="paragraph" w:customStyle="1" w:styleId="A10F61E708C0429B88B55F6F9D3DDE46">
    <w:name w:val="A10F61E708C0429B88B55F6F9D3DDE46"/>
    <w:rsid w:val="003B3F4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14260</Words>
  <Characters>79542</Characters>
  <Application>Microsoft Office Word</Application>
  <DocSecurity>0</DocSecurity>
  <Lines>1723</Lines>
  <Paragraphs>805</Paragraphs>
  <ScaleCrop>false</ScaleCrop>
  <HeadingPairs>
    <vt:vector size="2" baseType="variant">
      <vt:variant>
        <vt:lpstr>Title</vt:lpstr>
      </vt:variant>
      <vt:variant>
        <vt:i4>1</vt:i4>
      </vt:variant>
    </vt:vector>
  </HeadingPairs>
  <TitlesOfParts>
    <vt:vector size="1" baseType="lpstr">
      <vt:lpstr>Annual Superannuation Performance Test – design options</vt:lpstr>
    </vt:vector>
  </TitlesOfParts>
  <Company/>
  <LinksUpToDate>false</LinksUpToDate>
  <CharactersWithSpaces>93322</CharactersWithSpaces>
  <SharedDoc>false</SharedDoc>
  <HLinks>
    <vt:vector size="228" baseType="variant">
      <vt:variant>
        <vt:i4>1245277</vt:i4>
      </vt:variant>
      <vt:variant>
        <vt:i4>135</vt:i4>
      </vt:variant>
      <vt:variant>
        <vt:i4>0</vt:i4>
      </vt:variant>
      <vt:variant>
        <vt:i4>5</vt:i4>
      </vt:variant>
      <vt:variant>
        <vt:lpwstr>https://treasury.gov.au/consultation/c2023-441613</vt:lpwstr>
      </vt:variant>
      <vt:variant>
        <vt:lpwstr/>
      </vt:variant>
      <vt:variant>
        <vt:i4>1376343</vt:i4>
      </vt:variant>
      <vt:variant>
        <vt:i4>132</vt:i4>
      </vt:variant>
      <vt:variant>
        <vt:i4>0</vt:i4>
      </vt:variant>
      <vt:variant>
        <vt:i4>5</vt:i4>
      </vt:variant>
      <vt:variant>
        <vt:lpwstr>https://treasury.gov.au/consultation/c2022-313936</vt:lpwstr>
      </vt:variant>
      <vt:variant>
        <vt:lpwstr/>
      </vt:variant>
      <vt:variant>
        <vt:i4>1507376</vt:i4>
      </vt:variant>
      <vt:variant>
        <vt:i4>125</vt:i4>
      </vt:variant>
      <vt:variant>
        <vt:i4>0</vt:i4>
      </vt:variant>
      <vt:variant>
        <vt:i4>5</vt:i4>
      </vt:variant>
      <vt:variant>
        <vt:lpwstr/>
      </vt:variant>
      <vt:variant>
        <vt:lpwstr>_Toc155955193</vt:lpwstr>
      </vt:variant>
      <vt:variant>
        <vt:i4>1507376</vt:i4>
      </vt:variant>
      <vt:variant>
        <vt:i4>119</vt:i4>
      </vt:variant>
      <vt:variant>
        <vt:i4>0</vt:i4>
      </vt:variant>
      <vt:variant>
        <vt:i4>5</vt:i4>
      </vt:variant>
      <vt:variant>
        <vt:lpwstr/>
      </vt:variant>
      <vt:variant>
        <vt:lpwstr>_Toc155955192</vt:lpwstr>
      </vt:variant>
      <vt:variant>
        <vt:i4>1507376</vt:i4>
      </vt:variant>
      <vt:variant>
        <vt:i4>113</vt:i4>
      </vt:variant>
      <vt:variant>
        <vt:i4>0</vt:i4>
      </vt:variant>
      <vt:variant>
        <vt:i4>5</vt:i4>
      </vt:variant>
      <vt:variant>
        <vt:lpwstr/>
      </vt:variant>
      <vt:variant>
        <vt:lpwstr>_Toc155955191</vt:lpwstr>
      </vt:variant>
      <vt:variant>
        <vt:i4>1507376</vt:i4>
      </vt:variant>
      <vt:variant>
        <vt:i4>107</vt:i4>
      </vt:variant>
      <vt:variant>
        <vt:i4>0</vt:i4>
      </vt:variant>
      <vt:variant>
        <vt:i4>5</vt:i4>
      </vt:variant>
      <vt:variant>
        <vt:lpwstr/>
      </vt:variant>
      <vt:variant>
        <vt:lpwstr>_Toc155955190</vt:lpwstr>
      </vt:variant>
      <vt:variant>
        <vt:i4>1441840</vt:i4>
      </vt:variant>
      <vt:variant>
        <vt:i4>101</vt:i4>
      </vt:variant>
      <vt:variant>
        <vt:i4>0</vt:i4>
      </vt:variant>
      <vt:variant>
        <vt:i4>5</vt:i4>
      </vt:variant>
      <vt:variant>
        <vt:lpwstr/>
      </vt:variant>
      <vt:variant>
        <vt:lpwstr>_Toc155955189</vt:lpwstr>
      </vt:variant>
      <vt:variant>
        <vt:i4>1441840</vt:i4>
      </vt:variant>
      <vt:variant>
        <vt:i4>95</vt:i4>
      </vt:variant>
      <vt:variant>
        <vt:i4>0</vt:i4>
      </vt:variant>
      <vt:variant>
        <vt:i4>5</vt:i4>
      </vt:variant>
      <vt:variant>
        <vt:lpwstr/>
      </vt:variant>
      <vt:variant>
        <vt:lpwstr>_Toc155955188</vt:lpwstr>
      </vt:variant>
      <vt:variant>
        <vt:i4>1441840</vt:i4>
      </vt:variant>
      <vt:variant>
        <vt:i4>89</vt:i4>
      </vt:variant>
      <vt:variant>
        <vt:i4>0</vt:i4>
      </vt:variant>
      <vt:variant>
        <vt:i4>5</vt:i4>
      </vt:variant>
      <vt:variant>
        <vt:lpwstr/>
      </vt:variant>
      <vt:variant>
        <vt:lpwstr>_Toc155955184</vt:lpwstr>
      </vt:variant>
      <vt:variant>
        <vt:i4>1441840</vt:i4>
      </vt:variant>
      <vt:variant>
        <vt:i4>83</vt:i4>
      </vt:variant>
      <vt:variant>
        <vt:i4>0</vt:i4>
      </vt:variant>
      <vt:variant>
        <vt:i4>5</vt:i4>
      </vt:variant>
      <vt:variant>
        <vt:lpwstr/>
      </vt:variant>
      <vt:variant>
        <vt:lpwstr>_Toc155955182</vt:lpwstr>
      </vt:variant>
      <vt:variant>
        <vt:i4>1441840</vt:i4>
      </vt:variant>
      <vt:variant>
        <vt:i4>77</vt:i4>
      </vt:variant>
      <vt:variant>
        <vt:i4>0</vt:i4>
      </vt:variant>
      <vt:variant>
        <vt:i4>5</vt:i4>
      </vt:variant>
      <vt:variant>
        <vt:lpwstr/>
      </vt:variant>
      <vt:variant>
        <vt:lpwstr>_Toc155955181</vt:lpwstr>
      </vt:variant>
      <vt:variant>
        <vt:i4>1441840</vt:i4>
      </vt:variant>
      <vt:variant>
        <vt:i4>71</vt:i4>
      </vt:variant>
      <vt:variant>
        <vt:i4>0</vt:i4>
      </vt:variant>
      <vt:variant>
        <vt:i4>5</vt:i4>
      </vt:variant>
      <vt:variant>
        <vt:lpwstr/>
      </vt:variant>
      <vt:variant>
        <vt:lpwstr>_Toc155955180</vt:lpwstr>
      </vt:variant>
      <vt:variant>
        <vt:i4>1638448</vt:i4>
      </vt:variant>
      <vt:variant>
        <vt:i4>65</vt:i4>
      </vt:variant>
      <vt:variant>
        <vt:i4>0</vt:i4>
      </vt:variant>
      <vt:variant>
        <vt:i4>5</vt:i4>
      </vt:variant>
      <vt:variant>
        <vt:lpwstr/>
      </vt:variant>
      <vt:variant>
        <vt:lpwstr>_Toc155955178</vt:lpwstr>
      </vt:variant>
      <vt:variant>
        <vt:i4>1638448</vt:i4>
      </vt:variant>
      <vt:variant>
        <vt:i4>59</vt:i4>
      </vt:variant>
      <vt:variant>
        <vt:i4>0</vt:i4>
      </vt:variant>
      <vt:variant>
        <vt:i4>5</vt:i4>
      </vt:variant>
      <vt:variant>
        <vt:lpwstr/>
      </vt:variant>
      <vt:variant>
        <vt:lpwstr>_Toc155955175</vt:lpwstr>
      </vt:variant>
      <vt:variant>
        <vt:i4>1638448</vt:i4>
      </vt:variant>
      <vt:variant>
        <vt:i4>53</vt:i4>
      </vt:variant>
      <vt:variant>
        <vt:i4>0</vt:i4>
      </vt:variant>
      <vt:variant>
        <vt:i4>5</vt:i4>
      </vt:variant>
      <vt:variant>
        <vt:lpwstr/>
      </vt:variant>
      <vt:variant>
        <vt:lpwstr>_Toc155955174</vt:lpwstr>
      </vt:variant>
      <vt:variant>
        <vt:i4>1638448</vt:i4>
      </vt:variant>
      <vt:variant>
        <vt:i4>47</vt:i4>
      </vt:variant>
      <vt:variant>
        <vt:i4>0</vt:i4>
      </vt:variant>
      <vt:variant>
        <vt:i4>5</vt:i4>
      </vt:variant>
      <vt:variant>
        <vt:lpwstr/>
      </vt:variant>
      <vt:variant>
        <vt:lpwstr>_Toc155955173</vt:lpwstr>
      </vt:variant>
      <vt:variant>
        <vt:i4>1638448</vt:i4>
      </vt:variant>
      <vt:variant>
        <vt:i4>41</vt:i4>
      </vt:variant>
      <vt:variant>
        <vt:i4>0</vt:i4>
      </vt:variant>
      <vt:variant>
        <vt:i4>5</vt:i4>
      </vt:variant>
      <vt:variant>
        <vt:lpwstr/>
      </vt:variant>
      <vt:variant>
        <vt:lpwstr>_Toc155955172</vt:lpwstr>
      </vt:variant>
      <vt:variant>
        <vt:i4>1638448</vt:i4>
      </vt:variant>
      <vt:variant>
        <vt:i4>35</vt:i4>
      </vt:variant>
      <vt:variant>
        <vt:i4>0</vt:i4>
      </vt:variant>
      <vt:variant>
        <vt:i4>5</vt:i4>
      </vt:variant>
      <vt:variant>
        <vt:lpwstr/>
      </vt:variant>
      <vt:variant>
        <vt:lpwstr>_Toc155955170</vt:lpwstr>
      </vt:variant>
      <vt:variant>
        <vt:i4>1572912</vt:i4>
      </vt:variant>
      <vt:variant>
        <vt:i4>29</vt:i4>
      </vt:variant>
      <vt:variant>
        <vt:i4>0</vt:i4>
      </vt:variant>
      <vt:variant>
        <vt:i4>5</vt:i4>
      </vt:variant>
      <vt:variant>
        <vt:lpwstr/>
      </vt:variant>
      <vt:variant>
        <vt:lpwstr>_Toc155955169</vt:lpwstr>
      </vt:variant>
      <vt:variant>
        <vt:i4>1572912</vt:i4>
      </vt:variant>
      <vt:variant>
        <vt:i4>23</vt:i4>
      </vt:variant>
      <vt:variant>
        <vt:i4>0</vt:i4>
      </vt:variant>
      <vt:variant>
        <vt:i4>5</vt:i4>
      </vt:variant>
      <vt:variant>
        <vt:lpwstr/>
      </vt:variant>
      <vt:variant>
        <vt:lpwstr>_Toc155955168</vt:lpwstr>
      </vt:variant>
      <vt:variant>
        <vt:i4>1572912</vt:i4>
      </vt:variant>
      <vt:variant>
        <vt:i4>17</vt:i4>
      </vt:variant>
      <vt:variant>
        <vt:i4>0</vt:i4>
      </vt:variant>
      <vt:variant>
        <vt:i4>5</vt:i4>
      </vt:variant>
      <vt:variant>
        <vt:lpwstr/>
      </vt:variant>
      <vt:variant>
        <vt:lpwstr>_Toc155955167</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5374027</vt:i4>
      </vt:variant>
      <vt:variant>
        <vt:i4>33</vt:i4>
      </vt:variant>
      <vt:variant>
        <vt:i4>0</vt:i4>
      </vt:variant>
      <vt:variant>
        <vt:i4>5</vt:i4>
      </vt:variant>
      <vt:variant>
        <vt:lpwstr>https://theconexusinstitute.org.au/wp-content/uploads/2023/06/Quantitative-Assessement-of-RIS-Conexus-Institute-20230622.pdf</vt:lpwstr>
      </vt:variant>
      <vt:variant>
        <vt:lpwstr/>
      </vt:variant>
      <vt:variant>
        <vt:i4>1835039</vt:i4>
      </vt:variant>
      <vt:variant>
        <vt:i4>30</vt:i4>
      </vt:variant>
      <vt:variant>
        <vt:i4>0</vt:i4>
      </vt:variant>
      <vt:variant>
        <vt:i4>5</vt:i4>
      </vt:variant>
      <vt:variant>
        <vt:lpwstr>https://www.apra.gov.au/quarterly-superannuation-industry-publication</vt:lpwstr>
      </vt:variant>
      <vt:variant>
        <vt:lpwstr/>
      </vt:variant>
      <vt:variant>
        <vt:i4>1835039</vt:i4>
      </vt:variant>
      <vt:variant>
        <vt:i4>27</vt:i4>
      </vt:variant>
      <vt:variant>
        <vt:i4>0</vt:i4>
      </vt:variant>
      <vt:variant>
        <vt:i4>5</vt:i4>
      </vt:variant>
      <vt:variant>
        <vt:lpwstr>https://www.apra.gov.au/quarterly-superannuation-industry-publication</vt:lpwstr>
      </vt:variant>
      <vt:variant>
        <vt:lpwstr/>
      </vt:variant>
      <vt:variant>
        <vt:i4>1835039</vt:i4>
      </vt:variant>
      <vt:variant>
        <vt:i4>24</vt:i4>
      </vt:variant>
      <vt:variant>
        <vt:i4>0</vt:i4>
      </vt:variant>
      <vt:variant>
        <vt:i4>5</vt:i4>
      </vt:variant>
      <vt:variant>
        <vt:lpwstr>https://www.apra.gov.au/quarterly-superannuation-industry-publication</vt:lpwstr>
      </vt:variant>
      <vt:variant>
        <vt:lpwstr/>
      </vt:variant>
      <vt:variant>
        <vt:i4>1835039</vt:i4>
      </vt:variant>
      <vt:variant>
        <vt:i4>21</vt:i4>
      </vt:variant>
      <vt:variant>
        <vt:i4>0</vt:i4>
      </vt:variant>
      <vt:variant>
        <vt:i4>5</vt:i4>
      </vt:variant>
      <vt:variant>
        <vt:lpwstr>https://www.apra.gov.au/quarterly-superannuation-industry-publication</vt:lpwstr>
      </vt:variant>
      <vt:variant>
        <vt:lpwstr/>
      </vt:variant>
      <vt:variant>
        <vt:i4>7012453</vt:i4>
      </vt:variant>
      <vt:variant>
        <vt:i4>18</vt:i4>
      </vt:variant>
      <vt:variant>
        <vt:i4>0</vt:i4>
      </vt:variant>
      <vt:variant>
        <vt:i4>5</vt:i4>
      </vt:variant>
      <vt:variant>
        <vt:lpwstr>https://www.apra.gov.au/superannuation-heatmaps</vt:lpwstr>
      </vt:variant>
      <vt:variant>
        <vt:lpwstr/>
      </vt:variant>
      <vt:variant>
        <vt:i4>7012453</vt:i4>
      </vt:variant>
      <vt:variant>
        <vt:i4>15</vt:i4>
      </vt:variant>
      <vt:variant>
        <vt:i4>0</vt:i4>
      </vt:variant>
      <vt:variant>
        <vt:i4>5</vt:i4>
      </vt:variant>
      <vt:variant>
        <vt:lpwstr>https://www.apra.gov.au/superannuation-heatmaps</vt:lpwstr>
      </vt:variant>
      <vt:variant>
        <vt:lpwstr/>
      </vt:variant>
      <vt:variant>
        <vt:i4>1048669</vt:i4>
      </vt:variant>
      <vt:variant>
        <vt:i4>12</vt:i4>
      </vt:variant>
      <vt:variant>
        <vt:i4>0</vt:i4>
      </vt:variant>
      <vt:variant>
        <vt:i4>5</vt:i4>
      </vt:variant>
      <vt:variant>
        <vt:lpwstr>https://treasury.gov.au/consultation/c2023-456756</vt:lpwstr>
      </vt:variant>
      <vt:variant>
        <vt:lpwstr/>
      </vt:variant>
      <vt:variant>
        <vt:i4>7012453</vt:i4>
      </vt:variant>
      <vt:variant>
        <vt:i4>9</vt:i4>
      </vt:variant>
      <vt:variant>
        <vt:i4>0</vt:i4>
      </vt:variant>
      <vt:variant>
        <vt:i4>5</vt:i4>
      </vt:variant>
      <vt:variant>
        <vt:lpwstr>https://www.apra.gov.au/superannuation-heatmaps</vt:lpwstr>
      </vt:variant>
      <vt:variant>
        <vt:lpwstr/>
      </vt:variant>
      <vt:variant>
        <vt:i4>65620</vt:i4>
      </vt:variant>
      <vt:variant>
        <vt:i4>6</vt:i4>
      </vt:variant>
      <vt:variant>
        <vt:i4>0</vt:i4>
      </vt:variant>
      <vt:variant>
        <vt:i4>5</vt:i4>
      </vt:variant>
      <vt:variant>
        <vt:lpwstr>https://www.apra.gov.au/annual-mysuper-statistics</vt:lpwstr>
      </vt:variant>
      <vt:variant>
        <vt:lpwstr/>
      </vt:variant>
      <vt:variant>
        <vt:i4>6815865</vt:i4>
      </vt:variant>
      <vt:variant>
        <vt:i4>3</vt:i4>
      </vt:variant>
      <vt:variant>
        <vt:i4>0</vt:i4>
      </vt:variant>
      <vt:variant>
        <vt:i4>5</vt:i4>
      </vt:variant>
      <vt:variant>
        <vt:lpwstr>https://www.apra.gov.au/superannuation-australia-a-timeline</vt:lpwstr>
      </vt:variant>
      <vt:variant>
        <vt:lpwstr/>
      </vt:variant>
      <vt:variant>
        <vt:i4>3080248</vt:i4>
      </vt:variant>
      <vt:variant>
        <vt:i4>0</vt:i4>
      </vt:variant>
      <vt:variant>
        <vt:i4>0</vt:i4>
      </vt:variant>
      <vt:variant>
        <vt:i4>5</vt:i4>
      </vt:variant>
      <vt:variant>
        <vt:lpwstr>https://www.abs.gov.au/statistics/economy/finance/household-income-and-wealth-australia/latest-release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Superannuation Performance Test – design options</dc:title>
  <dc:subject/>
  <dc:creator/>
  <cp:keywords/>
  <dc:description/>
  <cp:lastModifiedBy/>
  <cp:revision>1</cp:revision>
  <dcterms:created xsi:type="dcterms:W3CDTF">2024-03-07T05:23:00Z</dcterms:created>
  <dcterms:modified xsi:type="dcterms:W3CDTF">2024-03-07T05:26:00Z</dcterms:modified>
  <cp:category/>
</cp:coreProperties>
</file>