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FA5A7" w14:textId="7C6A92DC" w:rsidR="003C7B82" w:rsidRDefault="003C7B82" w:rsidP="004A27A8">
      <w:pPr>
        <w:pStyle w:val="Bullet"/>
        <w:numPr>
          <w:ilvl w:val="0"/>
          <w:numId w:val="0"/>
        </w:numPr>
        <w:spacing w:before="0"/>
        <w:ind w:left="567"/>
        <w:rPr>
          <w:rFonts w:ascii="Arial" w:hAnsi="Arial" w:cs="Arial"/>
          <w:color w:val="FF0000"/>
          <w:sz w:val="22"/>
          <w:szCs w:val="22"/>
        </w:rPr>
      </w:pPr>
    </w:p>
    <w:p w14:paraId="6912F818"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17C49773" w14:textId="1B26500D"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A1B487D6C7B449ED8BD9E8A31234764F"/>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3B660A">
            <w:rPr>
              <w:rStyle w:val="DefaultChar"/>
            </w:rPr>
            <w:t>the Assistant Treasurer and Minister for Financial Services</w:t>
          </w:r>
        </w:sdtContent>
      </w:sdt>
      <w:r w:rsidR="00076178" w:rsidRPr="003C5719">
        <w:rPr>
          <w:sz w:val="24"/>
          <w:szCs w:val="24"/>
        </w:rPr>
        <w:t xml:space="preserve"> </w:t>
      </w:r>
    </w:p>
    <w:p w14:paraId="6BF2CB60" w14:textId="77E5EFDF" w:rsidR="00F109D4" w:rsidRPr="00550058" w:rsidRDefault="00792B1E" w:rsidP="004A27A8">
      <w:pPr>
        <w:spacing w:before="240" w:after="240"/>
        <w:jc w:val="center"/>
        <w:rPr>
          <w:i/>
        </w:rPr>
      </w:pPr>
      <w:r w:rsidRPr="00550058">
        <w:rPr>
          <w:i/>
        </w:rPr>
        <w:t xml:space="preserve">National Consumer Credit Protection </w:t>
      </w:r>
      <w:r w:rsidR="002E03C2">
        <w:rPr>
          <w:i/>
        </w:rPr>
        <w:t>Act 2009</w:t>
      </w:r>
    </w:p>
    <w:p w14:paraId="4738EBA3" w14:textId="77777777" w:rsidR="004971CA" w:rsidRPr="00550058" w:rsidRDefault="004971CA" w:rsidP="004971CA">
      <w:pPr>
        <w:spacing w:before="240" w:after="240"/>
        <w:jc w:val="center"/>
        <w:rPr>
          <w:i/>
        </w:rPr>
      </w:pPr>
      <w:r w:rsidRPr="00550058">
        <w:rPr>
          <w:i/>
        </w:rPr>
        <w:t>National Consumer Credit Protection Amendment (Low Cost Credit) Regulations 2024</w:t>
      </w:r>
    </w:p>
    <w:p w14:paraId="78668B57" w14:textId="0759EF7E" w:rsidR="00892D3B" w:rsidRDefault="00C55D29" w:rsidP="004A27A8">
      <w:pPr>
        <w:spacing w:before="240"/>
      </w:pPr>
      <w:r w:rsidRPr="00550058">
        <w:t xml:space="preserve">Section </w:t>
      </w:r>
      <w:r w:rsidR="006459BF">
        <w:t>329</w:t>
      </w:r>
      <w:r w:rsidR="005E4BAC" w:rsidRPr="00550058">
        <w:t xml:space="preserve"> </w:t>
      </w:r>
      <w:r w:rsidR="00F109D4" w:rsidRPr="00550058">
        <w:t xml:space="preserve">of the </w:t>
      </w:r>
      <w:r w:rsidR="00550058" w:rsidRPr="15704D26">
        <w:rPr>
          <w:i/>
          <w:iCs/>
        </w:rPr>
        <w:t>National Consumer Credit Protection Act 2009</w:t>
      </w:r>
      <w:r w:rsidR="00F109D4" w:rsidRPr="00550058">
        <w:t xml:space="preserve"> (the </w:t>
      </w:r>
      <w:r w:rsidR="00D30B4E">
        <w:t xml:space="preserve">Credit </w:t>
      </w:r>
      <w:r w:rsidR="00F109D4" w:rsidRPr="00550058">
        <w:t>Act) provides that the Governor</w:t>
      </w:r>
      <w:r w:rsidR="3746E188" w:rsidRPr="00550058">
        <w:t>-</w:t>
      </w:r>
      <w:r w:rsidR="00F109D4" w:rsidRPr="00550058">
        <w:t xml:space="preserve">General may make regulations prescribing matters required or permitted by the </w:t>
      </w:r>
      <w:r w:rsidR="1D01C206" w:rsidRPr="00550058">
        <w:t xml:space="preserve">Credit </w:t>
      </w:r>
      <w:r w:rsidR="00F109D4" w:rsidRPr="00550058">
        <w:t xml:space="preserve">Act to be prescribed, or necessary or convenient to be prescribed for carrying out or giving effect to the </w:t>
      </w:r>
      <w:r w:rsidR="004242AB">
        <w:t xml:space="preserve">Credit </w:t>
      </w:r>
      <w:r w:rsidR="00F109D4" w:rsidRPr="00550058">
        <w:t>Act.</w:t>
      </w:r>
    </w:p>
    <w:p w14:paraId="30FDC90C" w14:textId="266ECEAF" w:rsidR="00F35CDD" w:rsidRDefault="71DFBECF" w:rsidP="004A27A8">
      <w:pPr>
        <w:spacing w:before="240"/>
      </w:pPr>
      <w:r>
        <w:t xml:space="preserve">The </w:t>
      </w:r>
      <w:r w:rsidR="00FB5CC4" w:rsidRPr="00FB5CC4">
        <w:rPr>
          <w:i/>
          <w:iCs/>
        </w:rPr>
        <w:t>Treasury Laws Amendment Bill 2024: Buy now, pay later</w:t>
      </w:r>
      <w:r w:rsidR="00E61253" w:rsidRPr="00E61253">
        <w:t xml:space="preserve"> </w:t>
      </w:r>
      <w:r w:rsidRPr="00E61253">
        <w:t>amends</w:t>
      </w:r>
      <w:r>
        <w:t xml:space="preserve"> the Credit Act </w:t>
      </w:r>
      <w:r w:rsidR="313EF731">
        <w:t xml:space="preserve">and the Credit Code (i.e. Schedule 1 to the Credit Act) </w:t>
      </w:r>
      <w:r>
        <w:t>to provide the means for regulating low cost credit contracts (LCCC), which include Buy Now Pay Later (BNPL) arrangements. LCCCs are continuing or non-continuing credit contracts that involve the provision of credit to consumers that is low cost, interest free</w:t>
      </w:r>
      <w:r w:rsidR="00D66CBD">
        <w:t>, and generally short term</w:t>
      </w:r>
      <w:r>
        <w:t xml:space="preserve">. </w:t>
      </w:r>
    </w:p>
    <w:p w14:paraId="5595B2D1" w14:textId="77777777" w:rsidR="00761618" w:rsidRDefault="00761618" w:rsidP="00761618">
      <w:pPr>
        <w:spacing w:before="240"/>
      </w:pPr>
      <w:r w:rsidRPr="00E60AE3">
        <w:t xml:space="preserve">The </w:t>
      </w:r>
      <w:r>
        <w:t>new</w:t>
      </w:r>
      <w:r w:rsidRPr="00E60AE3">
        <w:t xml:space="preserve"> regulatory framework for </w:t>
      </w:r>
      <w:r>
        <w:t>LCCCs</w:t>
      </w:r>
      <w:r w:rsidRPr="00E60AE3">
        <w:t xml:space="preserve"> is intended to maintain the benefits of </w:t>
      </w:r>
      <w:r>
        <w:t xml:space="preserve">consumer </w:t>
      </w:r>
      <w:r w:rsidRPr="00E60AE3">
        <w:t xml:space="preserve">access to </w:t>
      </w:r>
      <w:r>
        <w:t xml:space="preserve">these kinds of </w:t>
      </w:r>
      <w:r w:rsidRPr="00E60AE3">
        <w:t>credit</w:t>
      </w:r>
      <w:r>
        <w:t xml:space="preserve"> products</w:t>
      </w:r>
      <w:r w:rsidRPr="00E60AE3">
        <w:t>, while providing appropriate and proportionate protections.</w:t>
      </w:r>
      <w:r>
        <w:t xml:space="preserve"> </w:t>
      </w:r>
      <w:r w:rsidRPr="003C02B2">
        <w:t xml:space="preserve">It </w:t>
      </w:r>
      <w:r>
        <w:t>seeks to</w:t>
      </w:r>
      <w:r w:rsidRPr="003C02B2">
        <w:t xml:space="preserve"> achieve this outcome by</w:t>
      </w:r>
      <w:r>
        <w:t xml:space="preserve"> the following means:</w:t>
      </w:r>
    </w:p>
    <w:p w14:paraId="6AF9D803" w14:textId="297EE3E9" w:rsidR="00761618" w:rsidRPr="00761618" w:rsidRDefault="1130E52D" w:rsidP="00761618">
      <w:pPr>
        <w:pStyle w:val="Bullet"/>
        <w:keepNext/>
      </w:pPr>
      <w:r>
        <w:t>ensuring that LCCCs are a form of credit regulated under the Credit Act and extending the application of the Credit Code to cover LCCCs;</w:t>
      </w:r>
    </w:p>
    <w:p w14:paraId="044B807D" w14:textId="03771AD5" w:rsidR="00761618" w:rsidRPr="00850E31" w:rsidRDefault="00761618" w:rsidP="00761618">
      <w:pPr>
        <w:pStyle w:val="Bullet"/>
        <w:keepNext/>
      </w:pPr>
      <w:r>
        <w:t>r</w:t>
      </w:r>
      <w:r w:rsidRPr="003C02B2">
        <w:t>equiring providers</w:t>
      </w:r>
      <w:r w:rsidRPr="00761618">
        <w:t xml:space="preserve"> of LCCCs to hold and maintain an Australian credit licence</w:t>
      </w:r>
      <w:r w:rsidR="00A47335">
        <w:t>,</w:t>
      </w:r>
      <w:r w:rsidRPr="00761618">
        <w:t xml:space="preserve"> and comply with the relevant licensing requirements and licensee obligations</w:t>
      </w:r>
      <w:r w:rsidR="002778FC">
        <w:t>, with some modifications to ensure regulation is proportionate</w:t>
      </w:r>
      <w:r w:rsidRPr="00761618">
        <w:t>;</w:t>
      </w:r>
    </w:p>
    <w:p w14:paraId="5F8CEE82" w14:textId="4192EE43" w:rsidR="00761618" w:rsidRPr="00761618" w:rsidRDefault="7FF93FF1" w:rsidP="00761618">
      <w:pPr>
        <w:pStyle w:val="Bullet"/>
        <w:keepNext/>
      </w:pPr>
      <w:r>
        <w:t xml:space="preserve">modifying the existing </w:t>
      </w:r>
      <w:r w:rsidR="08B800A2">
        <w:t>Responsible Lending Obligations (</w:t>
      </w:r>
      <w:r>
        <w:t>RLO</w:t>
      </w:r>
      <w:r w:rsidR="454B0C89">
        <w:t>)</w:t>
      </w:r>
      <w:r>
        <w:t xml:space="preserve"> framework to create an opt-in RLO framework</w:t>
      </w:r>
      <w:r w:rsidR="37E316C8">
        <w:t xml:space="preserve"> that scales </w:t>
      </w:r>
      <w:r w:rsidR="1130E52D">
        <w:t>better with</w:t>
      </w:r>
      <w:r w:rsidR="37E316C8">
        <w:t xml:space="preserve"> </w:t>
      </w:r>
      <w:r w:rsidR="47BBD5FE">
        <w:t xml:space="preserve">the </w:t>
      </w:r>
      <w:r w:rsidR="37E316C8">
        <w:t>risks posed to consumers, including</w:t>
      </w:r>
      <w:r>
        <w:t xml:space="preserve"> requiring providers of LCCCs to develop and review </w:t>
      </w:r>
      <w:r w:rsidR="59694E48">
        <w:t>a written policy on</w:t>
      </w:r>
      <w:r>
        <w:t xml:space="preserve"> </w:t>
      </w:r>
      <w:r w:rsidR="24572E20">
        <w:t>assessing</w:t>
      </w:r>
      <w:r>
        <w:t xml:space="preserve"> whether the contract will be unsuitable for the consumer; </w:t>
      </w:r>
      <w:r w:rsidR="052471F2">
        <w:t xml:space="preserve">and </w:t>
      </w:r>
    </w:p>
    <w:p w14:paraId="034DB091" w14:textId="03B057FD" w:rsidR="00761618" w:rsidRDefault="00761618" w:rsidP="00DC51D3">
      <w:pPr>
        <w:pStyle w:val="Bullet"/>
      </w:pPr>
      <w:r>
        <w:t>establishing anti-avoidance protections to prevent providers</w:t>
      </w:r>
      <w:r w:rsidR="6CF3E317">
        <w:t xml:space="preserve"> of LCCCs</w:t>
      </w:r>
      <w:r>
        <w:t xml:space="preserve"> from structuring their business models to avoid regulation.</w:t>
      </w:r>
    </w:p>
    <w:p w14:paraId="7258E8A9" w14:textId="6C4695E5" w:rsidR="00801F00" w:rsidRDefault="004F03F4" w:rsidP="00DC51D3">
      <w:pPr>
        <w:keepNext/>
        <w:spacing w:before="240"/>
      </w:pPr>
      <w:r w:rsidRPr="003C5719">
        <w:lastRenderedPageBreak/>
        <w:t xml:space="preserve">The purpose of the </w:t>
      </w:r>
      <w:r w:rsidR="00550058" w:rsidRPr="00550058">
        <w:rPr>
          <w:i/>
        </w:rPr>
        <w:t>National Consumer Credit Protection Amendment (Low Cost Credit) Regulations 2024</w:t>
      </w:r>
      <w:r w:rsidR="00B5581D">
        <w:rPr>
          <w:iCs/>
        </w:rPr>
        <w:t xml:space="preserve"> (the Regulations)</w:t>
      </w:r>
      <w:r w:rsidR="00550058">
        <w:rPr>
          <w:i/>
        </w:rPr>
        <w:t xml:space="preserve"> </w:t>
      </w:r>
      <w:r w:rsidRPr="003C5719">
        <w:t>is to</w:t>
      </w:r>
      <w:r w:rsidR="00D9656C">
        <w:t xml:space="preserve"> prescribe</w:t>
      </w:r>
      <w:r w:rsidR="00801F00">
        <w:t>:</w:t>
      </w:r>
      <w:r w:rsidR="00062544">
        <w:t xml:space="preserve"> </w:t>
      </w:r>
    </w:p>
    <w:p w14:paraId="6AAAAEEE" w14:textId="0C87E4FB" w:rsidR="00FB0C8B" w:rsidRPr="0041592F" w:rsidRDefault="008D02B8" w:rsidP="00DC51D3">
      <w:pPr>
        <w:pStyle w:val="Bullet"/>
        <w:keepNext/>
      </w:pPr>
      <w:r>
        <w:t xml:space="preserve">other matters </w:t>
      </w:r>
      <w:r w:rsidR="004B06B3">
        <w:t xml:space="preserve">that indicate </w:t>
      </w:r>
      <w:r w:rsidR="00062544">
        <w:t>when a</w:t>
      </w:r>
      <w:r w:rsidR="2F86CF06">
        <w:t>n</w:t>
      </w:r>
      <w:r w:rsidR="00062544">
        <w:t xml:space="preserve"> </w:t>
      </w:r>
      <w:r w:rsidR="00F35CDD">
        <w:t>LCCC</w:t>
      </w:r>
      <w:r w:rsidR="00B5581D">
        <w:t xml:space="preserve"> licensee</w:t>
      </w:r>
      <w:r w:rsidR="00062544">
        <w:t xml:space="preserve"> </w:t>
      </w:r>
      <w:r w:rsidR="00740492">
        <w:t xml:space="preserve">has made </w:t>
      </w:r>
      <w:r w:rsidR="00062544">
        <w:t xml:space="preserve">reasonable </w:t>
      </w:r>
      <w:r w:rsidR="73C59183">
        <w:t xml:space="preserve">inquiries </w:t>
      </w:r>
      <w:r w:rsidR="00062544">
        <w:t xml:space="preserve">about </w:t>
      </w:r>
      <w:r w:rsidR="00A526EE">
        <w:t xml:space="preserve">the </w:t>
      </w:r>
      <w:r w:rsidR="00062544">
        <w:t>consumer</w:t>
      </w:r>
      <w:r w:rsidR="00740492">
        <w:t>’s requirements and objectives</w:t>
      </w:r>
      <w:r w:rsidR="00CF5618">
        <w:t xml:space="preserve"> and</w:t>
      </w:r>
      <w:r w:rsidR="00740492">
        <w:t xml:space="preserve"> </w:t>
      </w:r>
      <w:r w:rsidR="00A526EE">
        <w:t xml:space="preserve">the </w:t>
      </w:r>
      <w:r w:rsidR="00740492">
        <w:t xml:space="preserve">consumer’s financial situation, and </w:t>
      </w:r>
      <w:r w:rsidR="00A526EE">
        <w:t>taken reasonable steps to verify the consumer’s financial situation</w:t>
      </w:r>
      <w:r w:rsidR="006E1B73">
        <w:t xml:space="preserve">; </w:t>
      </w:r>
    </w:p>
    <w:p w14:paraId="2D4F13A2" w14:textId="0845C01D" w:rsidR="0030332B" w:rsidRDefault="005C2D01" w:rsidP="00801F00">
      <w:pPr>
        <w:pStyle w:val="Bullet"/>
        <w:keepNext/>
      </w:pPr>
      <w:r>
        <w:t>requirements relating to a</w:t>
      </w:r>
      <w:r w:rsidR="4E74AB2E">
        <w:t>n</w:t>
      </w:r>
      <w:r>
        <w:t xml:space="preserve"> </w:t>
      </w:r>
      <w:r w:rsidR="003978E8">
        <w:t>LCCC licen</w:t>
      </w:r>
      <w:r w:rsidR="006110A5">
        <w:t>s</w:t>
      </w:r>
      <w:r w:rsidR="003978E8">
        <w:t>ee’s unsuitability assessment policy</w:t>
      </w:r>
      <w:r w:rsidR="0C5CC498">
        <w:t xml:space="preserve">, </w:t>
      </w:r>
      <w:r w:rsidR="004B4609">
        <w:t xml:space="preserve">including </w:t>
      </w:r>
      <w:r w:rsidR="00F02ACA">
        <w:t xml:space="preserve">the content of </w:t>
      </w:r>
      <w:r w:rsidR="2111F935">
        <w:t xml:space="preserve">the policy, </w:t>
      </w:r>
      <w:r w:rsidR="28E9E775">
        <w:t xml:space="preserve">conducting reviews of </w:t>
      </w:r>
      <w:r w:rsidR="2111F935">
        <w:t>the policy and updating the policy</w:t>
      </w:r>
      <w:r w:rsidR="0030332B">
        <w:t>; and</w:t>
      </w:r>
    </w:p>
    <w:p w14:paraId="13EFF215" w14:textId="44DE6D01" w:rsidR="006E1B73" w:rsidRPr="0041592F" w:rsidRDefault="2B2ACC5A" w:rsidP="00801F00">
      <w:pPr>
        <w:pStyle w:val="Bullet"/>
        <w:keepNext/>
      </w:pPr>
      <w:r>
        <w:t xml:space="preserve">to </w:t>
      </w:r>
      <w:r w:rsidR="5D9AB088">
        <w:t xml:space="preserve">set the </w:t>
      </w:r>
      <w:r w:rsidR="78B46A1B">
        <w:t xml:space="preserve">maximum </w:t>
      </w:r>
      <w:r w:rsidR="5D9AB088">
        <w:t xml:space="preserve">level of </w:t>
      </w:r>
      <w:r w:rsidR="78B46A1B">
        <w:t xml:space="preserve">fees and charges (including default fees or charges) </w:t>
      </w:r>
      <w:r w:rsidR="34D9E8F4">
        <w:t xml:space="preserve">for </w:t>
      </w:r>
      <w:r w:rsidR="5577C0F3">
        <w:t xml:space="preserve">a credit product to be </w:t>
      </w:r>
      <w:r w:rsidR="25A78C75">
        <w:t>considered to be an LCCC (including to be BNPL)</w:t>
      </w:r>
      <w:r w:rsidR="50AF7648">
        <w:t>.</w:t>
      </w:r>
      <w:r w:rsidR="010BF577">
        <w:t xml:space="preserve"> </w:t>
      </w:r>
    </w:p>
    <w:p w14:paraId="75E0FACD" w14:textId="0DE32278" w:rsidR="00B13E8C" w:rsidRDefault="00B13E8C" w:rsidP="00A47335">
      <w:pPr>
        <w:spacing w:before="240"/>
      </w:pPr>
      <w:r>
        <w:t xml:space="preserve">Historically, credit regulation in Australia has focused on protecting consumers from deceptive or predatory lending practices and being charged excessively high fees. This is reflected in the Credit Act, which does not apply to </w:t>
      </w:r>
      <w:r w:rsidR="10F234F7">
        <w:t xml:space="preserve">new </w:t>
      </w:r>
      <w:r>
        <w:t xml:space="preserve">low cost continuing credit </w:t>
      </w:r>
      <w:r w:rsidR="146212FA">
        <w:t xml:space="preserve">products </w:t>
      </w:r>
      <w:r>
        <w:t xml:space="preserve">and </w:t>
      </w:r>
      <w:r w:rsidR="6E63D8AD">
        <w:t xml:space="preserve">other </w:t>
      </w:r>
      <w:r>
        <w:t>low cost</w:t>
      </w:r>
      <w:r w:rsidR="008469BF">
        <w:t>,</w:t>
      </w:r>
      <w:r>
        <w:t xml:space="preserve"> short term credit products. BNPL arrangements are an example of these new credit products, which offer consumers a cheaper and easier way to access forms of credit when compared to traditional forms of credit such as credit cards, payday loans, and consumer leases. </w:t>
      </w:r>
      <w:r w:rsidR="10F234F7">
        <w:t>These credit products</w:t>
      </w:r>
      <w:r>
        <w:t xml:space="preserve"> are not regulated under the Credit Act because they typically fall under the exemptions available to certain types of credit in </w:t>
      </w:r>
      <w:r w:rsidR="13C178F7">
        <w:t>the Credit Code</w:t>
      </w:r>
      <w:r>
        <w:t xml:space="preserve">. </w:t>
      </w:r>
    </w:p>
    <w:p w14:paraId="53027BB0" w14:textId="16927E1D" w:rsidR="00B13E8C" w:rsidRDefault="00C9182E" w:rsidP="00B13E8C">
      <w:pPr>
        <w:spacing w:before="240"/>
      </w:pPr>
      <w:r>
        <w:t>For example, u</w:t>
      </w:r>
      <w:r w:rsidR="00B13E8C">
        <w:t>nder BNPL</w:t>
      </w:r>
      <w:r w:rsidR="00B13E8C" w:rsidRPr="00970ED6">
        <w:t xml:space="preserve"> </w:t>
      </w:r>
      <w:r w:rsidR="00B13E8C">
        <w:t xml:space="preserve">arrangements, </w:t>
      </w:r>
      <w:r>
        <w:t xml:space="preserve">a </w:t>
      </w:r>
      <w:r w:rsidR="00B13E8C">
        <w:t>c</w:t>
      </w:r>
      <w:r w:rsidR="00B13E8C" w:rsidRPr="00970ED6">
        <w:t xml:space="preserve">onsumer </w:t>
      </w:r>
      <w:r>
        <w:t xml:space="preserve">is </w:t>
      </w:r>
      <w:r w:rsidR="00B13E8C" w:rsidRPr="00970ED6">
        <w:t xml:space="preserve">charged low (or no) fixed fees and no </w:t>
      </w:r>
      <w:r w:rsidR="00DB4B7C">
        <w:t xml:space="preserve">(or potentially depending upon the exemption relied upon, low) </w:t>
      </w:r>
      <w:r w:rsidR="00B13E8C" w:rsidRPr="00970ED6">
        <w:t xml:space="preserve">interest for using the </w:t>
      </w:r>
      <w:r>
        <w:t xml:space="preserve">BNPL </w:t>
      </w:r>
      <w:r w:rsidR="000D6D3B">
        <w:t>product</w:t>
      </w:r>
      <w:r w:rsidR="00B13E8C" w:rsidRPr="00970ED6">
        <w:t xml:space="preserve">. </w:t>
      </w:r>
      <w:r w:rsidR="00A410A7">
        <w:t>Additionally</w:t>
      </w:r>
      <w:r w:rsidR="00B13E8C" w:rsidRPr="00970ED6">
        <w:t xml:space="preserve">, </w:t>
      </w:r>
      <w:r>
        <w:t xml:space="preserve">the </w:t>
      </w:r>
      <w:r w:rsidR="00B13E8C">
        <w:t>BNPL</w:t>
      </w:r>
      <w:r w:rsidR="00B13E8C" w:rsidRPr="00970ED6">
        <w:t xml:space="preserve"> provider charge</w:t>
      </w:r>
      <w:r>
        <w:t>s</w:t>
      </w:r>
      <w:r w:rsidR="00B13E8C" w:rsidRPr="00970ED6">
        <w:t xml:space="preserve"> </w:t>
      </w:r>
      <w:r w:rsidR="00B13E8C">
        <w:t xml:space="preserve">the </w:t>
      </w:r>
      <w:r w:rsidR="00B13E8C" w:rsidRPr="00970ED6">
        <w:t xml:space="preserve">merchant </w:t>
      </w:r>
      <w:r w:rsidR="00B13E8C">
        <w:t xml:space="preserve">a </w:t>
      </w:r>
      <w:r w:rsidR="00B13E8C" w:rsidRPr="00970ED6">
        <w:t xml:space="preserve">service fee for accepting the </w:t>
      </w:r>
      <w:r w:rsidR="0061351C">
        <w:t xml:space="preserve">use of the </w:t>
      </w:r>
      <w:r w:rsidR="00B13E8C">
        <w:t xml:space="preserve">BNPL </w:t>
      </w:r>
      <w:r w:rsidR="0061351C">
        <w:t xml:space="preserve">product to fund the </w:t>
      </w:r>
      <w:r w:rsidR="00B13E8C">
        <w:t>transaction</w:t>
      </w:r>
      <w:r w:rsidR="00B13E8C" w:rsidRPr="00970ED6">
        <w:t xml:space="preserve"> and </w:t>
      </w:r>
      <w:r>
        <w:t xml:space="preserve">it </w:t>
      </w:r>
      <w:r w:rsidR="00B13E8C" w:rsidRPr="00970ED6">
        <w:t>pay</w:t>
      </w:r>
      <w:r>
        <w:t>s</w:t>
      </w:r>
      <w:r w:rsidR="00B13E8C" w:rsidRPr="00970ED6">
        <w:t xml:space="preserve"> the merchant the value of the purchase upfront</w:t>
      </w:r>
      <w:r w:rsidR="007A2C65">
        <w:t xml:space="preserve"> (less the merchant service fee)</w:t>
      </w:r>
      <w:r w:rsidR="00B13E8C" w:rsidRPr="00970ED6">
        <w:t xml:space="preserve">. </w:t>
      </w:r>
      <w:r>
        <w:t xml:space="preserve">The </w:t>
      </w:r>
      <w:r w:rsidR="00B13E8C">
        <w:t>BNPL p</w:t>
      </w:r>
      <w:r w:rsidR="00B13E8C" w:rsidRPr="00970ED6">
        <w:t>rovider then collect</w:t>
      </w:r>
      <w:r>
        <w:t>s</w:t>
      </w:r>
      <w:r w:rsidR="00B13E8C" w:rsidRPr="00970ED6">
        <w:t xml:space="preserve"> </w:t>
      </w:r>
      <w:r w:rsidR="00E2166C">
        <w:t xml:space="preserve">the purchase price from the consumer via </w:t>
      </w:r>
      <w:r w:rsidR="00B13E8C" w:rsidRPr="00970ED6">
        <w:t>repayments in instalments.</w:t>
      </w:r>
    </w:p>
    <w:p w14:paraId="214FFA76" w14:textId="3460CF1F" w:rsidR="00B13E8C" w:rsidRDefault="19C4DFCC" w:rsidP="00B13E8C">
      <w:pPr>
        <w:spacing w:before="240"/>
      </w:pPr>
      <w:r>
        <w:t xml:space="preserve">Credit products that operate within these exemptions, such as BNPL arrangements, are not subject to </w:t>
      </w:r>
      <w:r w:rsidR="30784798">
        <w:t>RLOs</w:t>
      </w:r>
      <w:r>
        <w:t xml:space="preserve"> or other requirements of the Credit Act, and providers </w:t>
      </w:r>
      <w:r w:rsidR="45D55CA8">
        <w:t xml:space="preserve">of these credit products </w:t>
      </w:r>
      <w:r>
        <w:t xml:space="preserve">do not need an Australian credit </w:t>
      </w:r>
      <w:r w:rsidR="5C2BE031">
        <w:t>licence</w:t>
      </w:r>
      <w:r>
        <w:t xml:space="preserve">. </w:t>
      </w:r>
      <w:r w:rsidR="6FC06DA8">
        <w:t>While t</w:t>
      </w:r>
      <w:r>
        <w:t>hese exemptions have supported the growth of BNPL arrangements</w:t>
      </w:r>
      <w:r w:rsidR="6FC06DA8">
        <w:t>,</w:t>
      </w:r>
      <w:r>
        <w:t xml:space="preserve"> they were not designed with that outcome in mind. This regulatory gap creates the potential for consumer harm, including </w:t>
      </w:r>
      <w:r w:rsidR="2D6ECE27">
        <w:t>through</w:t>
      </w:r>
      <w:r>
        <w:t xml:space="preserve"> unaffordable lending practices, unsatisfactory complaint resolution and hardship assistance, the charging of excessive </w:t>
      </w:r>
      <w:r w:rsidR="71B126F4">
        <w:t xml:space="preserve">default </w:t>
      </w:r>
      <w:r>
        <w:t xml:space="preserve">fees and a lack of transparency surrounding product disclosures and warnings. </w:t>
      </w:r>
    </w:p>
    <w:p w14:paraId="49AB29E1" w14:textId="779DEFAF" w:rsidR="00FB0C8B" w:rsidRDefault="00137174" w:rsidP="004A27A8">
      <w:pPr>
        <w:spacing w:before="240"/>
      </w:pPr>
      <w:r>
        <w:t xml:space="preserve">The Regulations </w:t>
      </w:r>
      <w:r w:rsidR="004A0179">
        <w:t>outline</w:t>
      </w:r>
      <w:r w:rsidR="00F66C17">
        <w:t xml:space="preserve"> that a</w:t>
      </w:r>
      <w:r w:rsidR="50866820">
        <w:t>n</w:t>
      </w:r>
      <w:r w:rsidR="00F66C17">
        <w:t xml:space="preserve"> LCCC licensee must </w:t>
      </w:r>
      <w:r w:rsidR="003129D9">
        <w:t>seek to obtain</w:t>
      </w:r>
      <w:r w:rsidR="00F66C17">
        <w:t xml:space="preserve"> </w:t>
      </w:r>
      <w:r w:rsidR="00A9230F">
        <w:t xml:space="preserve">from a </w:t>
      </w:r>
      <w:r w:rsidR="007C07FC">
        <w:t xml:space="preserve">credit reporting body </w:t>
      </w:r>
      <w:r w:rsidR="00F66C17">
        <w:t xml:space="preserve">the following </w:t>
      </w:r>
      <w:r w:rsidR="003129D9">
        <w:t xml:space="preserve">information </w:t>
      </w:r>
      <w:r w:rsidR="00F66C17">
        <w:t>about the financial situation of a consumer who is, or will be, a debtor under a</w:t>
      </w:r>
      <w:r w:rsidR="3B8B694C">
        <w:t>n</w:t>
      </w:r>
      <w:r w:rsidR="00F66C17">
        <w:t xml:space="preserve"> LCCC</w:t>
      </w:r>
      <w:r w:rsidR="003129D9">
        <w:t xml:space="preserve"> that has a value of less than $2,000:</w:t>
      </w:r>
    </w:p>
    <w:p w14:paraId="6A2E644E" w14:textId="5928A689" w:rsidR="00C7046D" w:rsidRPr="00C7046D" w:rsidRDefault="30413107" w:rsidP="00C7046D">
      <w:pPr>
        <w:pStyle w:val="Bullet"/>
        <w:rPr>
          <w:szCs w:val="20"/>
        </w:rPr>
      </w:pPr>
      <w:r>
        <w:t xml:space="preserve">identification information (within the meaning of the </w:t>
      </w:r>
      <w:r w:rsidRPr="11A03816">
        <w:rPr>
          <w:i/>
          <w:iCs/>
        </w:rPr>
        <w:t>Privacy Act 1988</w:t>
      </w:r>
      <w:r w:rsidR="2DEFDDDA">
        <w:t xml:space="preserve"> (Privacy Act)</w:t>
      </w:r>
      <w:r>
        <w:t>) about the individual;</w:t>
      </w:r>
    </w:p>
    <w:p w14:paraId="10CAE320" w14:textId="00F6AE49" w:rsidR="00C7046D" w:rsidRPr="00C7046D" w:rsidRDefault="065FD656" w:rsidP="00C7046D">
      <w:pPr>
        <w:pStyle w:val="Bullet"/>
      </w:pPr>
      <w:r>
        <w:t>d</w:t>
      </w:r>
      <w:r w:rsidR="33B3DD98">
        <w:t>etails of</w:t>
      </w:r>
      <w:r w:rsidR="30413107">
        <w:t xml:space="preserve"> an</w:t>
      </w:r>
      <w:r w:rsidR="523B5BDC">
        <w:t>y</w:t>
      </w:r>
      <w:r w:rsidR="30413107">
        <w:t xml:space="preserve"> information request</w:t>
      </w:r>
      <w:r w:rsidR="3EC2E0AC">
        <w:t>s</w:t>
      </w:r>
      <w:r w:rsidR="30413107">
        <w:t xml:space="preserve"> (within the meaning of the Privacy Act)</w:t>
      </w:r>
      <w:r w:rsidR="4D1DAE5E">
        <w:t xml:space="preserve"> that have been made</w:t>
      </w:r>
      <w:r w:rsidR="30413107">
        <w:t xml:space="preserve"> in relation to the individual;</w:t>
      </w:r>
    </w:p>
    <w:p w14:paraId="5277F8F2" w14:textId="1A0351BE" w:rsidR="00C7046D" w:rsidRPr="00C7046D" w:rsidRDefault="30413107" w:rsidP="00C7046D">
      <w:pPr>
        <w:pStyle w:val="Bullet"/>
        <w:rPr>
          <w:szCs w:val="20"/>
        </w:rPr>
      </w:pPr>
      <w:r>
        <w:lastRenderedPageBreak/>
        <w:t>default information (within the meaning of subsection 6Q(1) or (2) of the Privacy</w:t>
      </w:r>
      <w:r w:rsidR="2DEFDDDA">
        <w:t> </w:t>
      </w:r>
      <w:r>
        <w:t>Act) about the individual;</w:t>
      </w:r>
    </w:p>
    <w:p w14:paraId="5F965033" w14:textId="0C63A1AB" w:rsidR="00C7046D" w:rsidRPr="00C7046D" w:rsidRDefault="30413107" w:rsidP="00C7046D">
      <w:pPr>
        <w:pStyle w:val="Bullet"/>
        <w:rPr>
          <w:szCs w:val="20"/>
        </w:rPr>
      </w:pPr>
      <w:r>
        <w:t>payment information (within the meaning of the Privacy Act) about the individual;</w:t>
      </w:r>
    </w:p>
    <w:p w14:paraId="248FB123" w14:textId="653DE713" w:rsidR="00C7046D" w:rsidRPr="00C7046D" w:rsidRDefault="30413107" w:rsidP="00C7046D">
      <w:pPr>
        <w:pStyle w:val="Bullet"/>
        <w:rPr>
          <w:szCs w:val="20"/>
        </w:rPr>
      </w:pPr>
      <w:r>
        <w:t>personal insolvency information (within the meaning of the Privacy Act) about the individual;</w:t>
      </w:r>
    </w:p>
    <w:p w14:paraId="378B41D0" w14:textId="60A67773" w:rsidR="00C7046D" w:rsidRPr="00C7046D" w:rsidRDefault="30413107" w:rsidP="00C7046D">
      <w:pPr>
        <w:pStyle w:val="Bullet"/>
      </w:pPr>
      <w:r>
        <w:t xml:space="preserve">information about the individual </w:t>
      </w:r>
      <w:r w:rsidR="7A1A5C9F">
        <w:t xml:space="preserve">that is information </w:t>
      </w:r>
      <w:r>
        <w:t>covered by paragraph 6N(k) of the Privacy Act (which covers certain kinds of publicly available information);</w:t>
      </w:r>
    </w:p>
    <w:p w14:paraId="7468A7F1" w14:textId="69D8800D" w:rsidR="00C7046D" w:rsidRPr="00C7046D" w:rsidRDefault="30413107" w:rsidP="00C7046D">
      <w:pPr>
        <w:pStyle w:val="Bullet"/>
      </w:pPr>
      <w:r>
        <w:t>new arrangement information (within the meaning of the Privacy Act) about the individual;</w:t>
      </w:r>
      <w:r w:rsidR="67910CC8">
        <w:t xml:space="preserve"> and</w:t>
      </w:r>
    </w:p>
    <w:p w14:paraId="6DFFD184" w14:textId="12E2D36C" w:rsidR="00C7046D" w:rsidRPr="00C7046D" w:rsidRDefault="30413107" w:rsidP="00C7046D">
      <w:pPr>
        <w:pStyle w:val="Bullet"/>
        <w:rPr>
          <w:szCs w:val="20"/>
        </w:rPr>
      </w:pPr>
      <w:r>
        <w:t>court proceedings information (within the meaning of the Privacy Act) about the individual.</w:t>
      </w:r>
    </w:p>
    <w:p w14:paraId="6E0AD1D0" w14:textId="1288C7B7" w:rsidR="00B13E8C" w:rsidRDefault="38CAF385" w:rsidP="004A27A8">
      <w:pPr>
        <w:spacing w:before="240"/>
      </w:pPr>
      <w:r>
        <w:t xml:space="preserve">If the value of the LCCC is $2,000 or greater, the LCCC licensee must seek to obtain the information identified above as well as information about </w:t>
      </w:r>
      <w:r w:rsidR="17B483F1">
        <w:t xml:space="preserve">consumer credit </w:t>
      </w:r>
      <w:r w:rsidR="51323281">
        <w:t xml:space="preserve">(within the meaning of the Privacy Act) </w:t>
      </w:r>
      <w:r w:rsidR="461DD7C8">
        <w:t xml:space="preserve">provided to the individual </w:t>
      </w:r>
      <w:r w:rsidR="17B483F1">
        <w:t xml:space="preserve">that is consumer credit liability information </w:t>
      </w:r>
      <w:r w:rsidR="2A7F835D">
        <w:t xml:space="preserve">(within the meaning of the Privacy Act) </w:t>
      </w:r>
      <w:r w:rsidR="17B483F1">
        <w:t xml:space="preserve">about the </w:t>
      </w:r>
      <w:r w:rsidR="34D90D3C">
        <w:t>individual</w:t>
      </w:r>
      <w:r w:rsidR="17B483F1">
        <w:t>.</w:t>
      </w:r>
    </w:p>
    <w:p w14:paraId="25E1D263" w14:textId="1B528042" w:rsidR="61583325" w:rsidRDefault="344CA325" w:rsidP="51ED4F61">
      <w:pPr>
        <w:spacing w:before="240"/>
      </w:pPr>
      <w:r>
        <w:t xml:space="preserve">Access to information from credit reporting bodies may be subject to requirements such as </w:t>
      </w:r>
      <w:r w:rsidR="504A443D">
        <w:t xml:space="preserve">those </w:t>
      </w:r>
      <w:r w:rsidR="248553F4">
        <w:t>set out in Part IIIA of the</w:t>
      </w:r>
      <w:r w:rsidR="2065E623">
        <w:t xml:space="preserve"> Privacy Act</w:t>
      </w:r>
      <w:r w:rsidR="248553F4">
        <w:t xml:space="preserve">, the </w:t>
      </w:r>
      <w:r w:rsidR="3430AC8F" w:rsidRPr="00135DD3">
        <w:t>Privacy (Credit Reporting) Code 2014</w:t>
      </w:r>
      <w:r w:rsidR="1C1BF284">
        <w:t xml:space="preserve"> and the Principles of Reciprocity and Data Exchange</w:t>
      </w:r>
      <w:r w:rsidR="2B14ACBF">
        <w:t xml:space="preserve"> (PRDE)</w:t>
      </w:r>
      <w:r>
        <w:t xml:space="preserve">. Seeking to obtain information includes </w:t>
      </w:r>
      <w:r w:rsidR="226CECE3">
        <w:t xml:space="preserve">complying with these requirements. </w:t>
      </w:r>
    </w:p>
    <w:p w14:paraId="31A1C02A" w14:textId="7522A588" w:rsidR="00EF6554" w:rsidRDefault="17B483F1" w:rsidP="004A27A8">
      <w:pPr>
        <w:spacing w:before="240"/>
      </w:pPr>
      <w:r>
        <w:t xml:space="preserve">Regardless of the value of the LCCC, the LCCC licensee </w:t>
      </w:r>
      <w:r w:rsidR="1C1C2C51">
        <w:t xml:space="preserve">is </w:t>
      </w:r>
      <w:r w:rsidR="58B35DFF">
        <w:t xml:space="preserve">also </w:t>
      </w:r>
      <w:r>
        <w:t xml:space="preserve">required to seek to obtain </w:t>
      </w:r>
      <w:r w:rsidR="749F04DE">
        <w:t>information about the income of the consumer</w:t>
      </w:r>
      <w:r w:rsidR="2F4E7060">
        <w:t>;</w:t>
      </w:r>
      <w:r w:rsidR="749F04DE">
        <w:t xml:space="preserve"> the consumer’s expenditure</w:t>
      </w:r>
      <w:r w:rsidR="2F4E7060">
        <w:t>;</w:t>
      </w:r>
      <w:r w:rsidR="749F04DE">
        <w:t xml:space="preserve"> and </w:t>
      </w:r>
      <w:r w:rsidR="201B5E3B">
        <w:t>the details of any</w:t>
      </w:r>
      <w:r w:rsidR="749F04DE">
        <w:t xml:space="preserve"> </w:t>
      </w:r>
      <w:r w:rsidR="201B5E3B">
        <w:t xml:space="preserve">other </w:t>
      </w:r>
      <w:r w:rsidR="749F04DE">
        <w:t>LCCCs, small amount credit contracts</w:t>
      </w:r>
      <w:r w:rsidR="201B5E3B">
        <w:t>,</w:t>
      </w:r>
      <w:r w:rsidR="749F04DE">
        <w:t xml:space="preserve"> or consumer leases</w:t>
      </w:r>
      <w:r w:rsidR="201B5E3B">
        <w:t xml:space="preserve"> that the consumer </w:t>
      </w:r>
      <w:r w:rsidR="1C803424">
        <w:t>has entered into</w:t>
      </w:r>
      <w:r w:rsidR="749F04DE">
        <w:t>.</w:t>
      </w:r>
    </w:p>
    <w:p w14:paraId="4A43346E" w14:textId="5068A285" w:rsidR="00075C19" w:rsidRDefault="00BA230C" w:rsidP="004A27A8">
      <w:pPr>
        <w:spacing w:before="240"/>
      </w:pPr>
      <w:r>
        <w:rPr>
          <w:noProof/>
        </w:rPr>
        <mc:AlternateContent>
          <mc:Choice Requires="wps">
            <w:drawing>
              <wp:anchor distT="45720" distB="45720" distL="114300" distR="114300" simplePos="0" relativeHeight="251658240" behindDoc="0" locked="0" layoutInCell="1" allowOverlap="1" wp14:anchorId="6BBBCB5E" wp14:editId="5AE8D114">
                <wp:simplePos x="0" y="0"/>
                <wp:positionH relativeFrom="margin">
                  <wp:posOffset>4267</wp:posOffset>
                </wp:positionH>
                <wp:positionV relativeFrom="paragraph">
                  <wp:posOffset>925043</wp:posOffset>
                </wp:positionV>
                <wp:extent cx="5943600" cy="2589580"/>
                <wp:effectExtent l="0" t="0" r="19050"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89580"/>
                        </a:xfrm>
                        <a:prstGeom prst="rect">
                          <a:avLst/>
                        </a:prstGeom>
                        <a:solidFill>
                          <a:srgbClr val="FFFFFF"/>
                        </a:solidFill>
                        <a:ln w="9525">
                          <a:solidFill>
                            <a:srgbClr val="000000"/>
                          </a:solidFill>
                          <a:miter lim="800000"/>
                          <a:headEnd/>
                          <a:tailEnd/>
                        </a:ln>
                      </wps:spPr>
                      <wps:txbx>
                        <w:txbxContent>
                          <w:p w14:paraId="02F9981C" w14:textId="7D3C9E03" w:rsidR="00E17321" w:rsidRDefault="00E17321" w:rsidP="00E17321">
                            <w:pPr>
                              <w:spacing w:before="240"/>
                            </w:pPr>
                            <w:r>
                              <w:t xml:space="preserve">IntervalCash is a LCCC licensee designing a new webform </w:t>
                            </w:r>
                            <w:r w:rsidR="00A27C5A">
                              <w:t>for consumers to use when applying for</w:t>
                            </w:r>
                            <w:r>
                              <w:t xml:space="preserve"> credit. IntervalCash </w:t>
                            </w:r>
                            <w:r w:rsidR="00F17E7E">
                              <w:t xml:space="preserve">plans to use the webform to </w:t>
                            </w:r>
                            <w:r>
                              <w:t xml:space="preserve">obtain </w:t>
                            </w:r>
                            <w:r w:rsidR="00F17E7E">
                              <w:t xml:space="preserve">the required information about each </w:t>
                            </w:r>
                            <w:r>
                              <w:t>consumer’s income, expenditure and use of other credit products. IntervalCash’s options include:</w:t>
                            </w:r>
                          </w:p>
                          <w:p w14:paraId="3C4D1D33" w14:textId="1D3CFA06" w:rsidR="00E17321" w:rsidRPr="005F23DF" w:rsidRDefault="00E17321" w:rsidP="00E17321">
                            <w:pPr>
                              <w:pStyle w:val="Dotpoint1"/>
                              <w:rPr>
                                <w:sz w:val="24"/>
                                <w:szCs w:val="24"/>
                              </w:rPr>
                            </w:pPr>
                            <w:r w:rsidRPr="005F23DF">
                              <w:rPr>
                                <w:sz w:val="24"/>
                                <w:szCs w:val="24"/>
                              </w:rPr>
                              <w:t>Asking the consumer to supply a response in a free text field;</w:t>
                            </w:r>
                          </w:p>
                          <w:p w14:paraId="7565FBC0" w14:textId="77777777" w:rsidR="00E17321" w:rsidRPr="005F23DF" w:rsidRDefault="00E17321" w:rsidP="00E17321">
                            <w:pPr>
                              <w:pStyle w:val="Dotpoint1"/>
                              <w:rPr>
                                <w:sz w:val="24"/>
                                <w:szCs w:val="24"/>
                              </w:rPr>
                            </w:pPr>
                            <w:r w:rsidRPr="005F23DF">
                              <w:rPr>
                                <w:sz w:val="24"/>
                                <w:szCs w:val="24"/>
                              </w:rPr>
                              <w:t>Asking the consumer to upload documents such as payslips and bank statements;</w:t>
                            </w:r>
                          </w:p>
                          <w:p w14:paraId="6477FDDE" w14:textId="04296E2F" w:rsidR="00E17321" w:rsidRPr="005F23DF" w:rsidRDefault="00E17321" w:rsidP="00E17321">
                            <w:pPr>
                              <w:pStyle w:val="Dotpoint1"/>
                              <w:rPr>
                                <w:sz w:val="24"/>
                                <w:szCs w:val="24"/>
                              </w:rPr>
                            </w:pPr>
                            <w:r w:rsidRPr="005F23DF">
                              <w:rPr>
                                <w:sz w:val="24"/>
                                <w:szCs w:val="24"/>
                              </w:rPr>
                              <w:t xml:space="preserve">Asking the consumer to authorise IntervalCash to access the consumer’s information through a third party </w:t>
                            </w:r>
                            <w:r w:rsidR="00603699" w:rsidRPr="005F23DF">
                              <w:rPr>
                                <w:sz w:val="24"/>
                                <w:szCs w:val="24"/>
                              </w:rPr>
                              <w:t>banking transaction data</w:t>
                            </w:r>
                            <w:r w:rsidRPr="005F23DF">
                              <w:rPr>
                                <w:sz w:val="24"/>
                                <w:szCs w:val="24"/>
                              </w:rPr>
                              <w:t xml:space="preserve"> </w:t>
                            </w:r>
                            <w:r w:rsidR="0024148E" w:rsidRPr="005F23DF">
                              <w:rPr>
                                <w:sz w:val="24"/>
                                <w:szCs w:val="24"/>
                              </w:rPr>
                              <w:t>service</w:t>
                            </w:r>
                            <w:r w:rsidRPr="005F23DF">
                              <w:rPr>
                                <w:sz w:val="24"/>
                                <w:szCs w:val="24"/>
                              </w:rPr>
                              <w:t xml:space="preserve">. </w:t>
                            </w:r>
                          </w:p>
                          <w:p w14:paraId="6A531712" w14:textId="1E524050" w:rsidR="00E17321" w:rsidRDefault="00E17321" w:rsidP="00E17321">
                            <w:pPr>
                              <w:spacing w:before="240"/>
                            </w:pPr>
                            <w:r>
                              <w:t>IntervalCash elect</w:t>
                            </w:r>
                            <w:r w:rsidR="0049291D">
                              <w:t>s</w:t>
                            </w:r>
                            <w:r>
                              <w:t xml:space="preserve"> to</w:t>
                            </w:r>
                            <w:r w:rsidR="00721C50">
                              <w:t xml:space="preserve"> make all of these options available</w:t>
                            </w:r>
                            <w:r w:rsidR="0059067D">
                              <w:t xml:space="preserve"> to consumers</w:t>
                            </w:r>
                            <w:r>
                              <w:t>.</w:t>
                            </w:r>
                            <w:r w:rsidR="0016318D">
                              <w:t xml:space="preserve">  </w:t>
                            </w:r>
                            <w:r w:rsidR="00D372C6">
                              <w:t>In some cases, when they already hold this information on a customer, they instead rely on that information.</w:t>
                            </w:r>
                          </w:p>
                          <w:p w14:paraId="5AFEA7E8" w14:textId="0C86260A" w:rsidR="00E17321" w:rsidRDefault="00E173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BBBCB5E" id="_x0000_t202" coordsize="21600,21600" o:spt="202" path="m,l,21600r21600,l21600,xe">
                <v:stroke joinstyle="miter"/>
                <v:path gradientshapeok="t" o:connecttype="rect"/>
              </v:shapetype>
              <v:shape id="Text Box 217" o:spid="_x0000_s1026" type="#_x0000_t202" style="position:absolute;margin-left:.35pt;margin-top:72.85pt;width:468pt;height:203.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">
                <v:textbox>
                  <w:txbxContent>
                    <w:p w14:paraId="02F9981C" w14:textId="7D3C9E03" w:rsidR="00E17321" w:rsidRDefault="00E17321" w:rsidP="00E17321">
                      <w:pPr>
                        <w:spacing w:before="240"/>
                      </w:pPr>
                      <w:r>
                        <w:t xml:space="preserve">IntervalCash is a LCCC licensee designing a new webform </w:t>
                      </w:r>
                      <w:r w:rsidR="00A27C5A">
                        <w:t>for consumers to use when applying for</w:t>
                      </w:r>
                      <w:r>
                        <w:t xml:space="preserve"> credit. IntervalCash </w:t>
                      </w:r>
                      <w:r w:rsidR="00F17E7E">
                        <w:t xml:space="preserve">plans to use the webform to </w:t>
                      </w:r>
                      <w:r>
                        <w:t xml:space="preserve">obtain </w:t>
                      </w:r>
                      <w:r w:rsidR="00F17E7E">
                        <w:t xml:space="preserve">the required information about each </w:t>
                      </w:r>
                      <w:r>
                        <w:t>consumer’s income, expenditure and use of other credit products. IntervalCash’s options include:</w:t>
                      </w:r>
                    </w:p>
                    <w:p w14:paraId="3C4D1D33" w14:textId="1D3CFA06" w:rsidR="00E17321" w:rsidRPr="005F23DF" w:rsidRDefault="00E17321" w:rsidP="00E17321">
                      <w:pPr>
                        <w:pStyle w:val="Dotpoint1"/>
                        <w:rPr>
                          <w:sz w:val="24"/>
                          <w:szCs w:val="24"/>
                        </w:rPr>
                      </w:pPr>
                      <w:r w:rsidRPr="005F23DF">
                        <w:rPr>
                          <w:sz w:val="24"/>
                          <w:szCs w:val="24"/>
                        </w:rPr>
                        <w:t>Asking the consumer to supply a response in a free text field;</w:t>
                      </w:r>
                    </w:p>
                    <w:p w14:paraId="7565FBC0" w14:textId="77777777" w:rsidR="00E17321" w:rsidRPr="005F23DF" w:rsidRDefault="00E17321" w:rsidP="00E17321">
                      <w:pPr>
                        <w:pStyle w:val="Dotpoint1"/>
                        <w:rPr>
                          <w:sz w:val="24"/>
                          <w:szCs w:val="24"/>
                        </w:rPr>
                      </w:pPr>
                      <w:r w:rsidRPr="005F23DF">
                        <w:rPr>
                          <w:sz w:val="24"/>
                          <w:szCs w:val="24"/>
                        </w:rPr>
                        <w:t>Asking the consumer to upload documents such as payslips and bank statements;</w:t>
                      </w:r>
                    </w:p>
                    <w:p w14:paraId="6477FDDE" w14:textId="04296E2F" w:rsidR="00E17321" w:rsidRPr="005F23DF" w:rsidRDefault="00E17321" w:rsidP="00E17321">
                      <w:pPr>
                        <w:pStyle w:val="Dotpoint1"/>
                        <w:rPr>
                          <w:sz w:val="24"/>
                          <w:szCs w:val="24"/>
                        </w:rPr>
                      </w:pPr>
                      <w:r w:rsidRPr="005F23DF">
                        <w:rPr>
                          <w:sz w:val="24"/>
                          <w:szCs w:val="24"/>
                        </w:rPr>
                        <w:t xml:space="preserve">Asking the consumer to authorise IntervalCash to access the consumer’s information through a third party </w:t>
                      </w:r>
                      <w:r w:rsidR="00603699" w:rsidRPr="005F23DF">
                        <w:rPr>
                          <w:sz w:val="24"/>
                          <w:szCs w:val="24"/>
                        </w:rPr>
                        <w:t>banking transaction data</w:t>
                      </w:r>
                      <w:r w:rsidRPr="005F23DF">
                        <w:rPr>
                          <w:sz w:val="24"/>
                          <w:szCs w:val="24"/>
                        </w:rPr>
                        <w:t xml:space="preserve"> </w:t>
                      </w:r>
                      <w:r w:rsidR="0024148E" w:rsidRPr="005F23DF">
                        <w:rPr>
                          <w:sz w:val="24"/>
                          <w:szCs w:val="24"/>
                        </w:rPr>
                        <w:t>service</w:t>
                      </w:r>
                      <w:r w:rsidRPr="005F23DF">
                        <w:rPr>
                          <w:sz w:val="24"/>
                          <w:szCs w:val="24"/>
                        </w:rPr>
                        <w:t xml:space="preserve">. </w:t>
                      </w:r>
                    </w:p>
                    <w:p w14:paraId="6A531712" w14:textId="1E524050" w:rsidR="00E17321" w:rsidRDefault="00E17321" w:rsidP="00E17321">
                      <w:pPr>
                        <w:spacing w:before="240"/>
                      </w:pPr>
                      <w:r>
                        <w:t>IntervalCash elect</w:t>
                      </w:r>
                      <w:r w:rsidR="0049291D">
                        <w:t>s</w:t>
                      </w:r>
                      <w:r>
                        <w:t xml:space="preserve"> to</w:t>
                      </w:r>
                      <w:r w:rsidR="00721C50">
                        <w:t xml:space="preserve"> make all of these options available</w:t>
                      </w:r>
                      <w:r w:rsidR="0059067D">
                        <w:t xml:space="preserve"> to consumers</w:t>
                      </w:r>
                      <w:r>
                        <w:t>.</w:t>
                      </w:r>
                      <w:r w:rsidR="0016318D">
                        <w:t xml:space="preserve">  </w:t>
                      </w:r>
                      <w:r w:rsidR="00D372C6">
                        <w:t>In some cases, when they already hold this information on a customer, they instead rely on that information.</w:t>
                      </w:r>
                    </w:p>
                    <w:p w14:paraId="5AFEA7E8" w14:textId="0C86260A" w:rsidR="00E17321" w:rsidRDefault="00E17321"/>
                  </w:txbxContent>
                </v:textbox>
                <w10:wrap type="square" anchorx="margin"/>
              </v:shape>
            </w:pict>
          </mc:Fallback>
        </mc:AlternateContent>
      </w:r>
      <w:r w:rsidR="00F43DB8">
        <w:t>It is open to the LCCC licensee to determine how</w:t>
      </w:r>
      <w:r w:rsidR="004F5D12">
        <w:t xml:space="preserve">, from where, and </w:t>
      </w:r>
      <w:r w:rsidR="000F6915">
        <w:t>in what form</w:t>
      </w:r>
      <w:r w:rsidR="00F43DB8">
        <w:t xml:space="preserve"> </w:t>
      </w:r>
      <w:r w:rsidR="00D35F6E">
        <w:t>to obtain this information</w:t>
      </w:r>
      <w:r w:rsidR="00F43DB8">
        <w:t xml:space="preserve">. </w:t>
      </w:r>
      <w:r w:rsidR="00EE1531">
        <w:t xml:space="preserve">The Regulations do not prescribe </w:t>
      </w:r>
      <w:r w:rsidR="003A34F9">
        <w:t>a</w:t>
      </w:r>
      <w:r w:rsidR="00FC3900">
        <w:t>ny</w:t>
      </w:r>
      <w:r w:rsidR="003A34F9">
        <w:t xml:space="preserve"> particular</w:t>
      </w:r>
      <w:r w:rsidR="00EE1531">
        <w:t xml:space="preserve"> </w:t>
      </w:r>
      <w:r w:rsidR="003A34F9">
        <w:t xml:space="preserve">source, </w:t>
      </w:r>
      <w:r w:rsidR="00617841">
        <w:t>means</w:t>
      </w:r>
      <w:r w:rsidR="003A34F9">
        <w:t xml:space="preserve"> or format</w:t>
      </w:r>
      <w:r w:rsidR="00DF2469">
        <w:t>.</w:t>
      </w:r>
      <w:r w:rsidR="004F64BF">
        <w:t xml:space="preserve"> </w:t>
      </w:r>
      <w:r w:rsidR="00D12838">
        <w:t xml:space="preserve">However, </w:t>
      </w:r>
      <w:r w:rsidR="008917BF">
        <w:t>these thing</w:t>
      </w:r>
      <w:r w:rsidR="00B64F99">
        <w:t xml:space="preserve">s may influence </w:t>
      </w:r>
      <w:r w:rsidR="00112E47">
        <w:t>the licensee’s belief in the accuracy of the information.</w:t>
      </w:r>
    </w:p>
    <w:p w14:paraId="68465082" w14:textId="2FEE30F7" w:rsidR="006D338F" w:rsidRDefault="00EB4B0F" w:rsidP="004A27A8">
      <w:pPr>
        <w:spacing w:before="240"/>
      </w:pPr>
      <w:r>
        <w:rPr>
          <w:noProof/>
        </w:rPr>
        <w:lastRenderedPageBreak/>
        <mc:AlternateContent>
          <mc:Choice Requires="wps">
            <w:drawing>
              <wp:anchor distT="45720" distB="45720" distL="114300" distR="114300" simplePos="0" relativeHeight="251658241" behindDoc="0" locked="0" layoutInCell="1" allowOverlap="1" wp14:anchorId="55541368" wp14:editId="62BE74A8">
                <wp:simplePos x="0" y="0"/>
                <wp:positionH relativeFrom="margin">
                  <wp:posOffset>-121920</wp:posOffset>
                </wp:positionH>
                <wp:positionV relativeFrom="paragraph">
                  <wp:posOffset>436880</wp:posOffset>
                </wp:positionV>
                <wp:extent cx="5943600" cy="3752215"/>
                <wp:effectExtent l="0" t="0" r="19050" b="1968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52215"/>
                        </a:xfrm>
                        <a:prstGeom prst="rect">
                          <a:avLst/>
                        </a:prstGeom>
                        <a:solidFill>
                          <a:srgbClr val="FFFFFF"/>
                        </a:solidFill>
                        <a:ln w="9525">
                          <a:solidFill>
                            <a:srgbClr val="000000"/>
                          </a:solidFill>
                          <a:miter lim="800000"/>
                          <a:headEnd/>
                          <a:tailEnd/>
                        </a:ln>
                      </wps:spPr>
                      <wps:txbx>
                        <w:txbxContent>
                          <w:p w14:paraId="53796924" w14:textId="2E624F6B" w:rsidR="00B20A89" w:rsidRDefault="006D338F" w:rsidP="00B20A89">
                            <w:pPr>
                              <w:spacing w:before="240"/>
                            </w:pPr>
                            <w:r>
                              <w:t xml:space="preserve">IntervalCash </w:t>
                            </w:r>
                            <w:r w:rsidR="00B20A89">
                              <w:t>has received applications</w:t>
                            </w:r>
                            <w:r w:rsidR="0059067D">
                              <w:t xml:space="preserve"> for credit</w:t>
                            </w:r>
                            <w:r w:rsidR="00B20A89">
                              <w:t xml:space="preserve"> from A</w:t>
                            </w:r>
                            <w:r w:rsidR="00F27A7A">
                              <w:t xml:space="preserve">arti </w:t>
                            </w:r>
                            <w:r w:rsidR="00FE365B">
                              <w:t>and Dustin</w:t>
                            </w:r>
                            <w:r w:rsidR="00C4625B">
                              <w:t>.</w:t>
                            </w:r>
                          </w:p>
                          <w:p w14:paraId="1B8F3C01" w14:textId="4AAA6856" w:rsidR="00C445D1" w:rsidRDefault="00C445D1" w:rsidP="009B6212">
                            <w:pPr>
                              <w:spacing w:before="240"/>
                            </w:pPr>
                            <w:r>
                              <w:t xml:space="preserve">Aarti authorised IntervalCash to </w:t>
                            </w:r>
                            <w:r w:rsidR="00BF748B">
                              <w:t xml:space="preserve">access his </w:t>
                            </w:r>
                            <w:r w:rsidR="00B32613">
                              <w:t xml:space="preserve">financial </w:t>
                            </w:r>
                            <w:r w:rsidR="00BF748B">
                              <w:t xml:space="preserve">information directly from </w:t>
                            </w:r>
                            <w:r w:rsidR="00B32613">
                              <w:t xml:space="preserve">a third-party </w:t>
                            </w:r>
                            <w:r w:rsidR="00603699">
                              <w:t>banking transaction data service</w:t>
                            </w:r>
                            <w:r w:rsidR="00992ACE">
                              <w:t>, so that it can derive the required information</w:t>
                            </w:r>
                            <w:r w:rsidR="00B32613">
                              <w:t xml:space="preserve">. </w:t>
                            </w:r>
                            <w:r w:rsidR="00992ACE">
                              <w:t xml:space="preserve"> </w:t>
                            </w:r>
                            <w:r w:rsidR="00C76D2D">
                              <w:t xml:space="preserve">Aarti then confirms IntervalCash’s estimates of </w:t>
                            </w:r>
                            <w:r w:rsidR="00470303">
                              <w:t xml:space="preserve">his </w:t>
                            </w:r>
                            <w:r w:rsidR="00C76D2D">
                              <w:t>income and expense</w:t>
                            </w:r>
                            <w:r w:rsidR="00470303">
                              <w:t>s</w:t>
                            </w:r>
                            <w:r w:rsidR="00C76D2D">
                              <w:t xml:space="preserve"> and </w:t>
                            </w:r>
                            <w:r w:rsidR="00277D47">
                              <w:t xml:space="preserve">its </w:t>
                            </w:r>
                            <w:r w:rsidR="00C76D2D">
                              <w:t>assessment</w:t>
                            </w:r>
                            <w:r w:rsidR="00C355DE">
                              <w:t xml:space="preserve"> of whether other SACC, consumer lease</w:t>
                            </w:r>
                            <w:r w:rsidR="00413505">
                              <w:t>s</w:t>
                            </w:r>
                            <w:r w:rsidR="00C355DE">
                              <w:t xml:space="preserve"> </w:t>
                            </w:r>
                            <w:r w:rsidR="00277D47">
                              <w:t>or</w:t>
                            </w:r>
                            <w:r w:rsidR="00C355DE">
                              <w:t xml:space="preserve"> LCCC debts exist.</w:t>
                            </w:r>
                          </w:p>
                          <w:p w14:paraId="6DAAB077" w14:textId="2CEBA5F6" w:rsidR="00C355DE" w:rsidRDefault="00C355DE" w:rsidP="005B6B22">
                            <w:pPr>
                              <w:spacing w:before="240"/>
                            </w:pPr>
                            <w:r>
                              <w:t>IntervalCash reasonably believes the information provided.</w:t>
                            </w:r>
                          </w:p>
                          <w:p w14:paraId="547586AE" w14:textId="0D39BB7A" w:rsidR="006D338F" w:rsidRDefault="00FE365B" w:rsidP="006D338F">
                            <w:pPr>
                              <w:spacing w:before="240"/>
                            </w:pPr>
                            <w:r>
                              <w:t xml:space="preserve">Dustin </w:t>
                            </w:r>
                            <w:r w:rsidR="00B41123">
                              <w:t xml:space="preserve">provided answers in the free text fields only. Dustin disclosed an annual income of $275,000, annual expenses of $20,000 and no other relevant credit products. Dustin’s credit report shows a credit score ranked ‘low’, </w:t>
                            </w:r>
                            <w:r w:rsidR="00F920BC">
                              <w:t xml:space="preserve">multiple </w:t>
                            </w:r>
                            <w:r w:rsidR="00402340">
                              <w:t>default</w:t>
                            </w:r>
                            <w:r w:rsidR="00F920BC">
                              <w:t>s</w:t>
                            </w:r>
                            <w:r w:rsidR="00402340">
                              <w:t xml:space="preserve"> on </w:t>
                            </w:r>
                            <w:r w:rsidR="00B41123">
                              <w:t>consumer lease</w:t>
                            </w:r>
                            <w:r w:rsidR="00F920BC">
                              <w:t>s and other credit products</w:t>
                            </w:r>
                            <w:r w:rsidR="00B41123">
                              <w:t xml:space="preserve">, and several recent inquiries from other credit providers.  </w:t>
                            </w:r>
                          </w:p>
                          <w:p w14:paraId="4E29479F" w14:textId="1AA99240" w:rsidR="009E3A7C" w:rsidRDefault="00992ACE" w:rsidP="006D338F">
                            <w:pPr>
                              <w:spacing w:before="240"/>
                            </w:pPr>
                            <w:r>
                              <w:t xml:space="preserve">In the case of Dustin, </w:t>
                            </w:r>
                            <w:r w:rsidR="007735A5">
                              <w:t xml:space="preserve">IntervalCash does not reasonably believe the information is substantially accurate in light of </w:t>
                            </w:r>
                            <w:r w:rsidR="003F4348">
                              <w:t xml:space="preserve">the exceptionally low expenses in comparison to </w:t>
                            </w:r>
                            <w:r w:rsidR="0040709A">
                              <w:t>the high income</w:t>
                            </w:r>
                            <w:r w:rsidR="00DF0BB1">
                              <w:t>; a conflict between</w:t>
                            </w:r>
                            <w:r w:rsidR="00771D07">
                              <w:t xml:space="preserve"> having</w:t>
                            </w:r>
                            <w:r w:rsidR="00DF0BB1">
                              <w:t xml:space="preserve"> no disclosed </w:t>
                            </w:r>
                            <w:r w:rsidR="004E5E69">
                              <w:t xml:space="preserve">consumer leases but </w:t>
                            </w:r>
                            <w:r w:rsidR="00D43482">
                              <w:t xml:space="preserve">a credit </w:t>
                            </w:r>
                            <w:r w:rsidR="00313637">
                              <w:t>report</w:t>
                            </w:r>
                            <w:r w:rsidR="00D43482">
                              <w:t xml:space="preserve"> that </w:t>
                            </w:r>
                            <w:r w:rsidR="00ED0D85">
                              <w:t>reveals</w:t>
                            </w:r>
                            <w:r w:rsidR="00D43482">
                              <w:t xml:space="preserve"> </w:t>
                            </w:r>
                            <w:r w:rsidR="003B1AC9">
                              <w:t xml:space="preserve">recent </w:t>
                            </w:r>
                            <w:r w:rsidR="00D43482">
                              <w:t>consumer lease use;</w:t>
                            </w:r>
                            <w:r w:rsidR="0040709A">
                              <w:t xml:space="preserve"> and multiple defaults</w:t>
                            </w:r>
                            <w:r w:rsidR="003B1AC9">
                              <w:t xml:space="preserve"> on his credit </w:t>
                            </w:r>
                            <w:r w:rsidR="00313637">
                              <w:t>report</w:t>
                            </w:r>
                            <w:r w:rsidR="0040709A">
                              <w:t xml:space="preserve"> notwithstanding a disclosed surplus income of $255,000.</w:t>
                            </w:r>
                          </w:p>
                          <w:p w14:paraId="3BBCAA09" w14:textId="77777777" w:rsidR="006D338F" w:rsidRDefault="006D338F" w:rsidP="006D33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5541368" id="Text Box 1" o:spid="_x0000_s1027" type="#_x0000_t202" style="position:absolute;margin-left:-9.6pt;margin-top:34.4pt;width:468pt;height:295.4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">
                <v:textbox>
                  <w:txbxContent>
                    <w:p w14:paraId="53796924" w14:textId="2E624F6B" w:rsidR="00B20A89" w:rsidRDefault="006D338F" w:rsidP="00B20A89">
                      <w:pPr>
                        <w:spacing w:before="240"/>
                      </w:pPr>
                      <w:r>
                        <w:t xml:space="preserve">IntervalCash </w:t>
                      </w:r>
                      <w:r w:rsidR="00B20A89">
                        <w:t>has received applications</w:t>
                      </w:r>
                      <w:r w:rsidR="0059067D">
                        <w:t xml:space="preserve"> for credit</w:t>
                      </w:r>
                      <w:r w:rsidR="00B20A89">
                        <w:t xml:space="preserve"> from A</w:t>
                      </w:r>
                      <w:r w:rsidR="00F27A7A">
                        <w:t xml:space="preserve">arti </w:t>
                      </w:r>
                      <w:r w:rsidR="00FE365B">
                        <w:t>and Dustin</w:t>
                      </w:r>
                      <w:r w:rsidR="00C4625B">
                        <w:t>.</w:t>
                      </w:r>
                    </w:p>
                    <w:p w14:paraId="1B8F3C01" w14:textId="4AAA6856" w:rsidR="00C445D1" w:rsidRDefault="00C445D1" w:rsidP="009B6212">
                      <w:pPr>
                        <w:spacing w:before="240"/>
                      </w:pPr>
                      <w:r>
                        <w:t xml:space="preserve">Aarti authorised IntervalCash to </w:t>
                      </w:r>
                      <w:r w:rsidR="00BF748B">
                        <w:t xml:space="preserve">access his </w:t>
                      </w:r>
                      <w:r w:rsidR="00B32613">
                        <w:t xml:space="preserve">financial </w:t>
                      </w:r>
                      <w:r w:rsidR="00BF748B">
                        <w:t xml:space="preserve">information directly from </w:t>
                      </w:r>
                      <w:r w:rsidR="00B32613">
                        <w:t xml:space="preserve">a third-party </w:t>
                      </w:r>
                      <w:r w:rsidR="00603699">
                        <w:t>banking transaction data service</w:t>
                      </w:r>
                      <w:r w:rsidR="00992ACE">
                        <w:t>, so that it can derive the required information</w:t>
                      </w:r>
                      <w:r w:rsidR="00B32613">
                        <w:t xml:space="preserve">. </w:t>
                      </w:r>
                      <w:r w:rsidR="00992ACE">
                        <w:t xml:space="preserve"> </w:t>
                      </w:r>
                      <w:r w:rsidR="00C76D2D">
                        <w:t xml:space="preserve">Aarti then confirms IntervalCash’s estimates of </w:t>
                      </w:r>
                      <w:r w:rsidR="00470303">
                        <w:t xml:space="preserve">his </w:t>
                      </w:r>
                      <w:r w:rsidR="00C76D2D">
                        <w:t>income and expense</w:t>
                      </w:r>
                      <w:r w:rsidR="00470303">
                        <w:t>s</w:t>
                      </w:r>
                      <w:r w:rsidR="00C76D2D">
                        <w:t xml:space="preserve"> and </w:t>
                      </w:r>
                      <w:r w:rsidR="00277D47">
                        <w:t xml:space="preserve">its </w:t>
                      </w:r>
                      <w:r w:rsidR="00C76D2D">
                        <w:t>assessment</w:t>
                      </w:r>
                      <w:r w:rsidR="00C355DE">
                        <w:t xml:space="preserve"> of whether other SACC, consumer lease</w:t>
                      </w:r>
                      <w:r w:rsidR="00413505">
                        <w:t>s</w:t>
                      </w:r>
                      <w:r w:rsidR="00C355DE">
                        <w:t xml:space="preserve"> </w:t>
                      </w:r>
                      <w:r w:rsidR="00277D47">
                        <w:t>or</w:t>
                      </w:r>
                      <w:r w:rsidR="00C355DE">
                        <w:t xml:space="preserve"> LCCC debts exist.</w:t>
                      </w:r>
                    </w:p>
                    <w:p w14:paraId="6DAAB077" w14:textId="2CEBA5F6" w:rsidR="00C355DE" w:rsidRDefault="00C355DE" w:rsidP="005B6B22">
                      <w:pPr>
                        <w:spacing w:before="240"/>
                      </w:pPr>
                      <w:r>
                        <w:t>IntervalCash reasonably believes the information provided.</w:t>
                      </w:r>
                    </w:p>
                    <w:p w14:paraId="547586AE" w14:textId="0D39BB7A" w:rsidR="006D338F" w:rsidRDefault="00FE365B" w:rsidP="006D338F">
                      <w:pPr>
                        <w:spacing w:before="240"/>
                      </w:pPr>
                      <w:r>
                        <w:t xml:space="preserve">Dustin </w:t>
                      </w:r>
                      <w:r w:rsidR="00B41123">
                        <w:t xml:space="preserve">provided answers in the free text fields only. Dustin disclosed an annual income of $275,000, annual expenses of $20,000 and no other relevant credit products. Dustin’s credit report shows a credit score ranked ‘low’, </w:t>
                      </w:r>
                      <w:r w:rsidR="00F920BC">
                        <w:t xml:space="preserve">multiple </w:t>
                      </w:r>
                      <w:r w:rsidR="00402340">
                        <w:t>default</w:t>
                      </w:r>
                      <w:r w:rsidR="00F920BC">
                        <w:t>s</w:t>
                      </w:r>
                      <w:r w:rsidR="00402340">
                        <w:t xml:space="preserve"> on </w:t>
                      </w:r>
                      <w:r w:rsidR="00B41123">
                        <w:t>consumer lease</w:t>
                      </w:r>
                      <w:r w:rsidR="00F920BC">
                        <w:t>s and other credit products</w:t>
                      </w:r>
                      <w:r w:rsidR="00B41123">
                        <w:t xml:space="preserve">, and several recent inquiries from other credit providers.  </w:t>
                      </w:r>
                    </w:p>
                    <w:p w14:paraId="4E29479F" w14:textId="1AA99240" w:rsidR="009E3A7C" w:rsidRDefault="00992ACE" w:rsidP="006D338F">
                      <w:pPr>
                        <w:spacing w:before="240"/>
                      </w:pPr>
                      <w:r>
                        <w:t xml:space="preserve">In the case of Dustin, </w:t>
                      </w:r>
                      <w:r w:rsidR="007735A5">
                        <w:t xml:space="preserve">IntervalCash does not reasonably believe the information is substantially accurate in light of </w:t>
                      </w:r>
                      <w:r w:rsidR="003F4348">
                        <w:t xml:space="preserve">the exceptionally low expenses in comparison to </w:t>
                      </w:r>
                      <w:r w:rsidR="0040709A">
                        <w:t>the high income</w:t>
                      </w:r>
                      <w:r w:rsidR="00DF0BB1">
                        <w:t>; a conflict between</w:t>
                      </w:r>
                      <w:r w:rsidR="00771D07">
                        <w:t xml:space="preserve"> having</w:t>
                      </w:r>
                      <w:r w:rsidR="00DF0BB1">
                        <w:t xml:space="preserve"> no disclosed </w:t>
                      </w:r>
                      <w:r w:rsidR="004E5E69">
                        <w:t xml:space="preserve">consumer leases but </w:t>
                      </w:r>
                      <w:r w:rsidR="00D43482">
                        <w:t xml:space="preserve">a credit </w:t>
                      </w:r>
                      <w:r w:rsidR="00313637">
                        <w:t>report</w:t>
                      </w:r>
                      <w:r w:rsidR="00D43482">
                        <w:t xml:space="preserve"> that </w:t>
                      </w:r>
                      <w:r w:rsidR="00ED0D85">
                        <w:t>reveals</w:t>
                      </w:r>
                      <w:r w:rsidR="00D43482">
                        <w:t xml:space="preserve"> </w:t>
                      </w:r>
                      <w:r w:rsidR="003B1AC9">
                        <w:t xml:space="preserve">recent </w:t>
                      </w:r>
                      <w:r w:rsidR="00D43482">
                        <w:t>consumer lease use;</w:t>
                      </w:r>
                      <w:r w:rsidR="0040709A">
                        <w:t xml:space="preserve"> and multiple defaults</w:t>
                      </w:r>
                      <w:r w:rsidR="003B1AC9">
                        <w:t xml:space="preserve"> on his credit </w:t>
                      </w:r>
                      <w:r w:rsidR="00313637">
                        <w:t>report</w:t>
                      </w:r>
                      <w:r w:rsidR="0040709A">
                        <w:t xml:space="preserve"> notwithstanding a disclosed surplus income of $255,000.</w:t>
                      </w:r>
                    </w:p>
                    <w:p w14:paraId="3BBCAA09" w14:textId="77777777" w:rsidR="006D338F" w:rsidRDefault="006D338F" w:rsidP="006D338F"/>
                  </w:txbxContent>
                </v:textbox>
                <w10:wrap type="square" anchorx="margin"/>
              </v:shape>
            </w:pict>
          </mc:Fallback>
        </mc:AlternateContent>
      </w:r>
      <w:r w:rsidR="00872FB8">
        <w:t xml:space="preserve">The Regulations require that the LCCC licensee </w:t>
      </w:r>
      <w:r w:rsidR="00CF7C66">
        <w:t xml:space="preserve">reasonably believes that the information it has </w:t>
      </w:r>
      <w:r w:rsidR="00A03240">
        <w:t>regard to</w:t>
      </w:r>
      <w:r w:rsidR="00634892">
        <w:t xml:space="preserve"> </w:t>
      </w:r>
      <w:r w:rsidR="009943F1">
        <w:t>is accurate.</w:t>
      </w:r>
    </w:p>
    <w:p w14:paraId="4A8C3DB2" w14:textId="39CF020A" w:rsidR="00843481" w:rsidRDefault="00C3584B" w:rsidP="004A27A8">
      <w:pPr>
        <w:spacing w:before="240"/>
      </w:pPr>
      <w:r>
        <w:t xml:space="preserve">The Regulations establish </w:t>
      </w:r>
      <w:r w:rsidR="00A03D26">
        <w:t>the requirements for a</w:t>
      </w:r>
      <w:r w:rsidR="1BE1404A">
        <w:t>n</w:t>
      </w:r>
      <w:r w:rsidR="00A03D26">
        <w:t xml:space="preserve"> </w:t>
      </w:r>
      <w:r w:rsidR="003D50CF">
        <w:t>LCCC licensee’s unsuitability assessment policy</w:t>
      </w:r>
      <w:r w:rsidR="00837D3A">
        <w:t xml:space="preserve">, including </w:t>
      </w:r>
      <w:r w:rsidR="00992DD6">
        <w:t xml:space="preserve">the completion of reviews of </w:t>
      </w:r>
      <w:r w:rsidR="0042628C">
        <w:t>the</w:t>
      </w:r>
      <w:r w:rsidR="00670D29">
        <w:t xml:space="preserve"> policy</w:t>
      </w:r>
      <w:r w:rsidR="00A03D26">
        <w:t xml:space="preserve">. </w:t>
      </w:r>
    </w:p>
    <w:p w14:paraId="612F8989" w14:textId="6179F44F" w:rsidR="0036273F" w:rsidRDefault="3D83CF7E" w:rsidP="004A27A8">
      <w:pPr>
        <w:spacing w:before="240"/>
      </w:pPr>
      <w:r>
        <w:t xml:space="preserve">The Regulations also </w:t>
      </w:r>
      <w:r w:rsidR="22433C5A">
        <w:t xml:space="preserve">prescribe </w:t>
      </w:r>
      <w:r w:rsidR="1C7E4199">
        <w:t xml:space="preserve">additional requirements relating to fees or charges payable under a </w:t>
      </w:r>
      <w:r w:rsidR="36AA9676">
        <w:t>contract</w:t>
      </w:r>
      <w:r w:rsidR="22433C5A">
        <w:t xml:space="preserve"> in order for </w:t>
      </w:r>
      <w:r w:rsidR="36AA9676">
        <w:t>it</w:t>
      </w:r>
      <w:r w:rsidR="22433C5A">
        <w:t xml:space="preserve"> to satisfy the definition </w:t>
      </w:r>
      <w:r w:rsidR="3CD90CE9">
        <w:t>of a</w:t>
      </w:r>
      <w:r w:rsidR="64BF1735">
        <w:t>n</w:t>
      </w:r>
      <w:r w:rsidR="3CD90CE9">
        <w:t xml:space="preserve"> LCCC.</w:t>
      </w:r>
      <w:r w:rsidR="217215D6">
        <w:t xml:space="preserve"> The </w:t>
      </w:r>
      <w:r w:rsidR="12E6344B">
        <w:t>R</w:t>
      </w:r>
      <w:r w:rsidR="217215D6">
        <w:t xml:space="preserve">egulations seek to </w:t>
      </w:r>
      <w:r w:rsidR="768C1F3C">
        <w:t xml:space="preserve">largely </w:t>
      </w:r>
      <w:r w:rsidR="217215D6">
        <w:t>replicate</w:t>
      </w:r>
      <w:r w:rsidR="768C1F3C">
        <w:t xml:space="preserve"> the existing fee caps </w:t>
      </w:r>
      <w:r w:rsidR="14E2A84E">
        <w:t xml:space="preserve">for certain exempt credit products </w:t>
      </w:r>
      <w:r w:rsidR="768C1F3C">
        <w:t>in subsection 6(5) of the Credit Code</w:t>
      </w:r>
      <w:r w:rsidR="4CB4F252">
        <w:t xml:space="preserve">. However, the </w:t>
      </w:r>
      <w:r w:rsidR="12E6344B">
        <w:t>R</w:t>
      </w:r>
      <w:r w:rsidR="4CB4F252">
        <w:t xml:space="preserve">egulations additionally impose a separate fixed </w:t>
      </w:r>
      <w:r w:rsidR="7FCF6FF7">
        <w:t>monthly cap on default fees and charges.</w:t>
      </w:r>
      <w:r w:rsidR="588BA8F5">
        <w:t xml:space="preserve"> These default fees and charges are currently not capped under the existing exemption.</w:t>
      </w:r>
      <w:r w:rsidR="217215D6">
        <w:t xml:space="preserve"> </w:t>
      </w:r>
    </w:p>
    <w:p w14:paraId="3CD18A60" w14:textId="77777777" w:rsidR="00EB2AEF" w:rsidRPr="003C5719" w:rsidRDefault="00EB2AEF" w:rsidP="004A27A8">
      <w:pPr>
        <w:spacing w:before="240"/>
      </w:pPr>
    </w:p>
    <w:p w14:paraId="4DB667A2" w14:textId="1E2DDDE7" w:rsidR="00EA4DD8" w:rsidRPr="003C5719" w:rsidRDefault="00EA4DD8" w:rsidP="004A27A8">
      <w:pPr>
        <w:pageBreakBefore/>
        <w:spacing w:before="240"/>
        <w:jc w:val="right"/>
        <w:rPr>
          <w:b/>
          <w:u w:val="single"/>
        </w:rPr>
      </w:pPr>
      <w:r w:rsidRPr="003C5719">
        <w:rPr>
          <w:b/>
          <w:u w:val="single"/>
        </w:rPr>
        <w:lastRenderedPageBreak/>
        <w:t xml:space="preserve">ATTACHMENT </w:t>
      </w:r>
      <w:r w:rsidR="00066B75">
        <w:rPr>
          <w:b/>
          <w:u w:val="single"/>
        </w:rPr>
        <w:t>A</w:t>
      </w:r>
    </w:p>
    <w:p w14:paraId="69B28BC3" w14:textId="0EEABEF3" w:rsidR="00EA4DD8" w:rsidRPr="003C5719" w:rsidRDefault="00EA4DD8" w:rsidP="15704D26">
      <w:pPr>
        <w:spacing w:before="240"/>
        <w:rPr>
          <w:b/>
          <w:bCs/>
          <w:u w:val="single"/>
        </w:rPr>
      </w:pPr>
      <w:r w:rsidRPr="15704D26">
        <w:rPr>
          <w:b/>
          <w:bCs/>
          <w:u w:val="single"/>
        </w:rPr>
        <w:t xml:space="preserve">Details of the </w:t>
      </w:r>
      <w:r w:rsidR="007C7605" w:rsidRPr="004F47B4">
        <w:rPr>
          <w:b/>
          <w:bCs/>
          <w:i/>
          <w:iCs/>
          <w:u w:val="single"/>
        </w:rPr>
        <w:t>National Consumer Credit Protection Amendment (Low Cost Credit) Regulations 2024</w:t>
      </w:r>
      <w:r w:rsidRPr="004F47B4">
        <w:rPr>
          <w:b/>
          <w:bCs/>
          <w:i/>
          <w:iCs/>
          <w:u w:val="single"/>
        </w:rPr>
        <w:t xml:space="preserve"> </w:t>
      </w:r>
    </w:p>
    <w:p w14:paraId="01A8B6D9"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407B51BD" w14:textId="1329073E" w:rsidR="00EA4DD8" w:rsidRPr="003C5719" w:rsidRDefault="00EA4DD8" w:rsidP="004A27A8">
      <w:pPr>
        <w:spacing w:before="240"/>
      </w:pPr>
      <w:r>
        <w:t xml:space="preserve">This section provides that the name of the </w:t>
      </w:r>
      <w:r w:rsidR="09015CB1">
        <w:t xml:space="preserve">instrument </w:t>
      </w:r>
      <w:r>
        <w:t xml:space="preserve">is the </w:t>
      </w:r>
      <w:r w:rsidR="007177C4" w:rsidRPr="15704D26">
        <w:rPr>
          <w:i/>
          <w:iCs/>
        </w:rPr>
        <w:t>National Consumer Credit Protection Amendment (Low Cost Credit) Regulations 2024</w:t>
      </w:r>
      <w:r>
        <w:t xml:space="preserve"> (the Regulations).</w:t>
      </w:r>
    </w:p>
    <w:p w14:paraId="55FB8E43" w14:textId="77777777" w:rsidR="00EA4DD8" w:rsidRPr="003C5719" w:rsidRDefault="00EA4DD8" w:rsidP="004A27A8">
      <w:pPr>
        <w:spacing w:before="240"/>
        <w:rPr>
          <w:u w:val="single"/>
        </w:rPr>
      </w:pPr>
      <w:r w:rsidRPr="003C5719">
        <w:rPr>
          <w:u w:val="single"/>
        </w:rPr>
        <w:t>Section 2 – Commencement</w:t>
      </w:r>
    </w:p>
    <w:p w14:paraId="2E8D7409" w14:textId="52EF9C3C" w:rsidR="00EA4DD8" w:rsidRPr="003C5719" w:rsidRDefault="00EA4DD8" w:rsidP="004A27A8">
      <w:pPr>
        <w:spacing w:before="240"/>
      </w:pPr>
      <w:r w:rsidRPr="003C5719">
        <w:t>Schedule 1 to the Regulations commence</w:t>
      </w:r>
      <w:r w:rsidR="004D792E">
        <w:t>s</w:t>
      </w:r>
      <w:r w:rsidRPr="003C5719">
        <w:t xml:space="preserve"> </w:t>
      </w:r>
      <w:r w:rsidR="005D4409" w:rsidRPr="00D43041">
        <w:rPr>
          <w:lang w:eastAsia="en-US"/>
        </w:rPr>
        <w:t xml:space="preserve">at the same time as the associated amendments of the </w:t>
      </w:r>
      <w:r w:rsidR="005D4409" w:rsidRPr="00D43041">
        <w:rPr>
          <w:i/>
          <w:lang w:eastAsia="en-US"/>
        </w:rPr>
        <w:t>National Consumer Credit Protection Act 2009</w:t>
      </w:r>
      <w:r w:rsidRPr="003C5719">
        <w:t>.</w:t>
      </w:r>
      <w:r w:rsidR="005858FB">
        <w:t xml:space="preserve"> </w:t>
      </w:r>
    </w:p>
    <w:p w14:paraId="03A952FE" w14:textId="77777777" w:rsidR="00EA4DD8" w:rsidRPr="003C5719" w:rsidRDefault="00EA4DD8" w:rsidP="004A27A8">
      <w:pPr>
        <w:spacing w:before="240"/>
        <w:rPr>
          <w:u w:val="single"/>
        </w:rPr>
      </w:pPr>
      <w:r w:rsidRPr="003C5719">
        <w:rPr>
          <w:u w:val="single"/>
        </w:rPr>
        <w:t>Section 3 – Authority</w:t>
      </w:r>
    </w:p>
    <w:p w14:paraId="11E185F6" w14:textId="2FE475BA" w:rsidR="00EA4DD8" w:rsidRPr="003C5719" w:rsidRDefault="00EA4DD8" w:rsidP="004A27A8">
      <w:pPr>
        <w:spacing w:before="240"/>
      </w:pPr>
      <w:r w:rsidRPr="003C5719">
        <w:t xml:space="preserve">The Regulations are made under the </w:t>
      </w:r>
      <w:r w:rsidR="00D77506" w:rsidRPr="00B54476">
        <w:rPr>
          <w:i/>
        </w:rPr>
        <w:t>National Consumer Credit Protection Act 2009</w:t>
      </w:r>
      <w:r w:rsidRPr="003C5719">
        <w:t xml:space="preserve"> (the </w:t>
      </w:r>
      <w:r w:rsidR="00D77506">
        <w:t xml:space="preserve">Credit </w:t>
      </w:r>
      <w:r w:rsidRPr="003C5719">
        <w:t>Act).</w:t>
      </w:r>
    </w:p>
    <w:p w14:paraId="13DCDDE0" w14:textId="0264BAD4" w:rsidR="00EA4DD8" w:rsidRPr="003C5719" w:rsidRDefault="00EA4DD8" w:rsidP="004A27A8">
      <w:pPr>
        <w:spacing w:before="240"/>
        <w:rPr>
          <w:u w:val="single"/>
        </w:rPr>
      </w:pPr>
      <w:r w:rsidRPr="15704D26">
        <w:rPr>
          <w:u w:val="single"/>
        </w:rPr>
        <w:t>Section 4 – Schedule</w:t>
      </w:r>
      <w:r w:rsidR="5A753848" w:rsidRPr="15704D26">
        <w:rPr>
          <w:u w:val="single"/>
        </w:rPr>
        <w:t>s</w:t>
      </w:r>
    </w:p>
    <w:p w14:paraId="1B3893FF" w14:textId="28DEB17E" w:rsidR="00EA4DD8" w:rsidRDefault="00EA4DD8" w:rsidP="00466DD5">
      <w:pPr>
        <w:spacing w:before="240" w:after="200"/>
      </w:pPr>
      <w:r>
        <w:t xml:space="preserve">This section provides that each instrument that is specified in the Schedules to this instrument </w:t>
      </w:r>
      <w:r w:rsidR="50909A82">
        <w:t xml:space="preserve">is </w:t>
      </w:r>
      <w:r>
        <w:t>amended or repealed as set out in the applicable items in the Schedules, and any other item in the Schedules to this instrument has effect according to its terms.</w:t>
      </w:r>
    </w:p>
    <w:p w14:paraId="122DCC51" w14:textId="02E97945" w:rsidR="002E1071" w:rsidRDefault="002E1071" w:rsidP="00466DD5">
      <w:pPr>
        <w:spacing w:before="240" w:after="200"/>
        <w:rPr>
          <w:u w:val="single"/>
        </w:rPr>
      </w:pPr>
      <w:r>
        <w:rPr>
          <w:u w:val="single"/>
        </w:rPr>
        <w:t>Schedule 1 – Amendments</w:t>
      </w:r>
    </w:p>
    <w:p w14:paraId="6EF640B4" w14:textId="1AA6786B" w:rsidR="71F1E4F8" w:rsidRDefault="72F618A7" w:rsidP="00122798">
      <w:pPr>
        <w:spacing w:before="240" w:after="200"/>
        <w:rPr>
          <w:b/>
          <w:bCs/>
        </w:rPr>
      </w:pPr>
      <w:r w:rsidRPr="35C065EC">
        <w:rPr>
          <w:b/>
          <w:bCs/>
        </w:rPr>
        <w:t>Part 1—Main amendments</w:t>
      </w:r>
    </w:p>
    <w:p w14:paraId="1BF51520" w14:textId="612A4240" w:rsidR="00682216" w:rsidRDefault="1312A900" w:rsidP="00466DD5">
      <w:pPr>
        <w:spacing w:before="240" w:after="200"/>
      </w:pPr>
      <w:r>
        <w:t xml:space="preserve">Items </w:t>
      </w:r>
      <w:r w:rsidR="41E159A4">
        <w:t>1 and 2</w:t>
      </w:r>
      <w:r w:rsidR="6CF528FE">
        <w:t xml:space="preserve"> amend</w:t>
      </w:r>
      <w:r w:rsidR="3A3D2EE4">
        <w:t xml:space="preserve"> </w:t>
      </w:r>
      <w:r w:rsidR="09D9BE77">
        <w:t xml:space="preserve">paragraph 28LCF(2)(b) of the </w:t>
      </w:r>
      <w:r w:rsidR="09D9BE77" w:rsidRPr="35C065EC">
        <w:rPr>
          <w:i/>
          <w:iCs/>
        </w:rPr>
        <w:t>National Consumer Credit Protection Regulations 2010</w:t>
      </w:r>
      <w:r w:rsidR="3A3D2EE4">
        <w:t xml:space="preserve"> </w:t>
      </w:r>
      <w:r w:rsidR="378ACC51">
        <w:t>to exten</w:t>
      </w:r>
      <w:r w:rsidR="5FA5E2E2">
        <w:t xml:space="preserve">d </w:t>
      </w:r>
      <w:r w:rsidR="378ACC51">
        <w:t xml:space="preserve">the prescribed circumstances where a credit contract is </w:t>
      </w:r>
      <w:r w:rsidR="5FA5E2E2">
        <w:t>unsuitable</w:t>
      </w:r>
      <w:r w:rsidR="378ACC51">
        <w:t xml:space="preserve"> for a consumer </w:t>
      </w:r>
      <w:r w:rsidR="5FA5E2E2">
        <w:t>to include where credit is provided</w:t>
      </w:r>
      <w:r w:rsidR="17C64143">
        <w:t>, or to be provided,</w:t>
      </w:r>
      <w:r w:rsidR="5FA5E2E2">
        <w:t xml:space="preserve"> </w:t>
      </w:r>
      <w:r w:rsidR="3BBC7F9D">
        <w:t xml:space="preserve">as part of an arrangement involving </w:t>
      </w:r>
      <w:r w:rsidR="5FA5E2E2">
        <w:t>2 or more low cost credit contracts (LCCC</w:t>
      </w:r>
      <w:r w:rsidR="638053E8">
        <w:t xml:space="preserve">s) or </w:t>
      </w:r>
      <w:r w:rsidR="11235D53">
        <w:t xml:space="preserve">a combination of </w:t>
      </w:r>
      <w:r w:rsidR="7C0EF56E">
        <w:t xml:space="preserve">at least 2 </w:t>
      </w:r>
      <w:r w:rsidR="11235D53">
        <w:t>LCCCs, small amount credit contracts or medium amount credit con</w:t>
      </w:r>
      <w:r w:rsidR="7C0EF56E">
        <w:t>tracts</w:t>
      </w:r>
      <w:r w:rsidR="3BBC7F9D">
        <w:t xml:space="preserve">, </w:t>
      </w:r>
      <w:r w:rsidR="3DC33D02">
        <w:t>where the amount that is payable under the combination of credit contracts (in circumstances in which there is no default by the debtor) is higher than the maximum amount that could be charged under a single credit contract</w:t>
      </w:r>
      <w:r w:rsidR="7C0EF56E">
        <w:t>.</w:t>
      </w:r>
    </w:p>
    <w:p w14:paraId="398D54F0" w14:textId="4A4E1E54" w:rsidR="00D10A9E" w:rsidRPr="009B5BCC" w:rsidRDefault="00D10A9E" w:rsidP="0044427E">
      <w:pPr>
        <w:spacing w:before="240" w:after="200"/>
        <w:rPr>
          <w:b/>
          <w:bCs/>
        </w:rPr>
      </w:pPr>
      <w:r>
        <w:rPr>
          <w:b/>
          <w:bCs/>
        </w:rPr>
        <w:t xml:space="preserve">Part </w:t>
      </w:r>
      <w:r w:rsidRPr="35C065EC">
        <w:rPr>
          <w:b/>
          <w:bCs/>
        </w:rPr>
        <w:t>3.4A—Additional rules relating to low cost credit contracts</w:t>
      </w:r>
    </w:p>
    <w:p w14:paraId="275B0B3D" w14:textId="54216ABC" w:rsidR="002E1071" w:rsidRDefault="00055C6B" w:rsidP="00466DD5">
      <w:pPr>
        <w:spacing w:before="240" w:after="200"/>
      </w:pPr>
      <w:r>
        <w:t xml:space="preserve">Item </w:t>
      </w:r>
      <w:r w:rsidR="004575CB">
        <w:t>3</w:t>
      </w:r>
      <w:r>
        <w:t xml:space="preserve"> inserts Part</w:t>
      </w:r>
      <w:r w:rsidR="00FC6512">
        <w:t xml:space="preserve"> 3.4A </w:t>
      </w:r>
      <w:r w:rsidR="001B2FC8">
        <w:t xml:space="preserve">into the </w:t>
      </w:r>
      <w:r w:rsidR="001B2FC8" w:rsidRPr="34456352">
        <w:rPr>
          <w:i/>
          <w:iCs/>
        </w:rPr>
        <w:t>National Consumer Credit Protection Regulations 2010</w:t>
      </w:r>
      <w:r w:rsidR="00125A38">
        <w:t xml:space="preserve">. Part 3.4A </w:t>
      </w:r>
      <w:r w:rsidR="00B41ECB">
        <w:t>outlines the additional rules</w:t>
      </w:r>
      <w:r w:rsidR="004B5030">
        <w:t xml:space="preserve"> relating</w:t>
      </w:r>
      <w:r w:rsidR="2D76CE5C">
        <w:t xml:space="preserve"> to</w:t>
      </w:r>
      <w:r w:rsidR="004B5030">
        <w:t xml:space="preserve"> LCCC</w:t>
      </w:r>
      <w:r w:rsidR="00FF2E15">
        <w:t>s</w:t>
      </w:r>
      <w:r w:rsidR="005E6A7B">
        <w:t xml:space="preserve">. </w:t>
      </w:r>
    </w:p>
    <w:p w14:paraId="6D9D5887" w14:textId="76E4BFAC" w:rsidR="002D7CB5" w:rsidRPr="002D7CB5" w:rsidRDefault="547559F3" w:rsidP="0044427E">
      <w:pPr>
        <w:spacing w:before="240" w:after="200"/>
        <w:rPr>
          <w:b/>
          <w:bCs/>
        </w:rPr>
      </w:pPr>
      <w:r w:rsidRPr="35C065EC">
        <w:rPr>
          <w:b/>
          <w:bCs/>
        </w:rPr>
        <w:t>Division 1</w:t>
      </w:r>
      <w:r w:rsidR="0A919E80" w:rsidRPr="35C065EC">
        <w:rPr>
          <w:b/>
          <w:bCs/>
        </w:rPr>
        <w:t>—Preliminary</w:t>
      </w:r>
    </w:p>
    <w:p w14:paraId="6BD3CA64" w14:textId="77777777" w:rsidR="00027E4F" w:rsidRDefault="00A25879" w:rsidP="00466DD5">
      <w:pPr>
        <w:spacing w:before="240" w:after="200"/>
      </w:pPr>
      <w:r>
        <w:t>Division 1</w:t>
      </w:r>
      <w:r w:rsidR="001C01B2">
        <w:t xml:space="preserve"> contains sec</w:t>
      </w:r>
      <w:r w:rsidR="000E1100">
        <w:t>tion</w:t>
      </w:r>
      <w:r w:rsidR="00027E4F">
        <w:t>s</w:t>
      </w:r>
      <w:r w:rsidR="000E1100">
        <w:t xml:space="preserve"> 28HAA</w:t>
      </w:r>
      <w:r w:rsidR="00027E4F">
        <w:t xml:space="preserve"> and 28HAB.</w:t>
      </w:r>
    </w:p>
    <w:p w14:paraId="5FF3D489" w14:textId="21089D7E" w:rsidR="00E67184" w:rsidRDefault="00027E4F" w:rsidP="00466DD5">
      <w:pPr>
        <w:spacing w:before="240" w:after="200"/>
      </w:pPr>
      <w:r>
        <w:t>Section 28HAA</w:t>
      </w:r>
      <w:r w:rsidR="000E1100">
        <w:t xml:space="preserve"> outlines the scope of Part 3.4A. </w:t>
      </w:r>
      <w:r w:rsidR="00E66C97">
        <w:t xml:space="preserve">For Part 3.4A to apply to a licensee, the </w:t>
      </w:r>
      <w:r w:rsidR="000241F3">
        <w:t>licen</w:t>
      </w:r>
      <w:r w:rsidR="00627DBB">
        <w:t xml:space="preserve">see </w:t>
      </w:r>
      <w:r w:rsidR="00E66C97">
        <w:t xml:space="preserve">must </w:t>
      </w:r>
      <w:r w:rsidR="005C010D">
        <w:t xml:space="preserve">have </w:t>
      </w:r>
      <w:r w:rsidR="00D9148B">
        <w:t>elect</w:t>
      </w:r>
      <w:r w:rsidR="005C010D">
        <w:t>ed</w:t>
      </w:r>
      <w:r w:rsidR="00627DBB">
        <w:t xml:space="preserve"> under subsection </w:t>
      </w:r>
      <w:r>
        <w:t>@</w:t>
      </w:r>
      <w:r w:rsidR="00BF021E">
        <w:t>133BXA</w:t>
      </w:r>
      <w:r w:rsidR="00627DBB">
        <w:t xml:space="preserve">(1) of the </w:t>
      </w:r>
      <w:r w:rsidR="00AF1871">
        <w:t xml:space="preserve">Credit </w:t>
      </w:r>
      <w:r w:rsidR="00743307">
        <w:t xml:space="preserve">Act </w:t>
      </w:r>
      <w:r w:rsidR="00257295">
        <w:t>for</w:t>
      </w:r>
      <w:r w:rsidR="005E66A7">
        <w:t xml:space="preserve"> Part</w:t>
      </w:r>
      <w:r w:rsidR="00D9148B">
        <w:t> </w:t>
      </w:r>
      <w:r w:rsidR="005E66A7">
        <w:t>3</w:t>
      </w:r>
      <w:r w:rsidR="1DCF49AE">
        <w:t>-</w:t>
      </w:r>
      <w:r w:rsidR="005E66A7">
        <w:t>2BA of the Credit Act</w:t>
      </w:r>
      <w:r w:rsidR="00B83778">
        <w:t xml:space="preserve"> </w:t>
      </w:r>
      <w:r w:rsidR="005E66A7">
        <w:t>(</w:t>
      </w:r>
      <w:r w:rsidR="00231668">
        <w:t xml:space="preserve">the LCCC </w:t>
      </w:r>
      <w:r w:rsidR="0006457E">
        <w:t xml:space="preserve">responsible lending conduct </w:t>
      </w:r>
      <w:r w:rsidR="00231668">
        <w:t>regime</w:t>
      </w:r>
      <w:r w:rsidR="0006457E">
        <w:t>)</w:t>
      </w:r>
      <w:r w:rsidR="004762C3">
        <w:t xml:space="preserve"> to apply</w:t>
      </w:r>
      <w:r w:rsidR="00743307">
        <w:t xml:space="preserve"> </w:t>
      </w:r>
      <w:r w:rsidR="7061BB5C">
        <w:t xml:space="preserve">to </w:t>
      </w:r>
      <w:r w:rsidR="00743307">
        <w:t xml:space="preserve">some or </w:t>
      </w:r>
      <w:r w:rsidR="00036593">
        <w:lastRenderedPageBreak/>
        <w:t xml:space="preserve">all </w:t>
      </w:r>
      <w:r w:rsidR="0063761A">
        <w:t>of its LCCC</w:t>
      </w:r>
      <w:r w:rsidR="00B63B66">
        <w:t xml:space="preserve"> offerings</w:t>
      </w:r>
      <w:r w:rsidR="00231668">
        <w:t xml:space="preserve">, and the </w:t>
      </w:r>
      <w:r w:rsidR="4CA68958">
        <w:t xml:space="preserve">relevant </w:t>
      </w:r>
      <w:r w:rsidR="00E1375B">
        <w:t>credit contract must be a</w:t>
      </w:r>
      <w:r w:rsidR="47006651">
        <w:t>n</w:t>
      </w:r>
      <w:r w:rsidR="00E1375B">
        <w:t xml:space="preserve"> LCCC</w:t>
      </w:r>
      <w:r w:rsidR="5C072401">
        <w:t xml:space="preserve"> covered by the election</w:t>
      </w:r>
      <w:r w:rsidR="00E949B2">
        <w:t xml:space="preserve">. </w:t>
      </w:r>
      <w:r w:rsidR="00D4038E">
        <w:t xml:space="preserve">This is further </w:t>
      </w:r>
      <w:r w:rsidR="00E215B4">
        <w:t>highligh</w:t>
      </w:r>
      <w:r w:rsidR="00FE2A28">
        <w:t>t</w:t>
      </w:r>
      <w:r w:rsidR="00E215B4">
        <w:t>ed</w:t>
      </w:r>
      <w:r w:rsidR="00D4038E">
        <w:t xml:space="preserve"> in the Note to section 28HAA</w:t>
      </w:r>
      <w:r w:rsidR="001535F7">
        <w:t>.</w:t>
      </w:r>
      <w:r w:rsidR="00992B4E">
        <w:t xml:space="preserve"> </w:t>
      </w:r>
    </w:p>
    <w:p w14:paraId="5C0D46C8" w14:textId="4553168A" w:rsidR="00A25879" w:rsidRDefault="007E0CFD" w:rsidP="00466DD5">
      <w:pPr>
        <w:spacing w:before="240" w:after="200"/>
      </w:pPr>
      <w:r>
        <w:t>If a</w:t>
      </w:r>
      <w:r w:rsidR="00992B4E">
        <w:t xml:space="preserve"> licensee </w:t>
      </w:r>
      <w:r>
        <w:t xml:space="preserve">does not </w:t>
      </w:r>
      <w:r w:rsidR="00964867">
        <w:t xml:space="preserve">elect </w:t>
      </w:r>
      <w:r>
        <w:t xml:space="preserve">to be subject to </w:t>
      </w:r>
      <w:r w:rsidR="0031463D">
        <w:t>Part 3-2BA</w:t>
      </w:r>
      <w:r w:rsidR="00174A3A">
        <w:t>,</w:t>
      </w:r>
      <w:r w:rsidR="0031463D">
        <w:t xml:space="preserve"> it </w:t>
      </w:r>
      <w:r w:rsidR="00FE2A28">
        <w:t>is</w:t>
      </w:r>
      <w:r w:rsidR="00790B63">
        <w:t xml:space="preserve"> </w:t>
      </w:r>
      <w:r w:rsidR="00173175">
        <w:t xml:space="preserve">instead </w:t>
      </w:r>
      <w:r w:rsidR="00790B63">
        <w:t xml:space="preserve">subject to the existing responsible </w:t>
      </w:r>
      <w:r w:rsidR="00A55B8B">
        <w:t>lending conduct requirements</w:t>
      </w:r>
      <w:r w:rsidR="0031463D">
        <w:t xml:space="preserve"> in</w:t>
      </w:r>
      <w:r w:rsidR="00EC02CE">
        <w:t xml:space="preserve"> Division</w:t>
      </w:r>
      <w:r w:rsidR="113D6244">
        <w:t>s</w:t>
      </w:r>
      <w:r w:rsidR="00EC02CE">
        <w:t xml:space="preserve"> 1 to 4 of </w:t>
      </w:r>
      <w:r w:rsidR="0031463D">
        <w:t xml:space="preserve">Part </w:t>
      </w:r>
      <w:r w:rsidR="002E469E">
        <w:t>3-2 of the Credit Act</w:t>
      </w:r>
      <w:r w:rsidR="00470DA0">
        <w:t>.</w:t>
      </w:r>
    </w:p>
    <w:p w14:paraId="006DE173" w14:textId="258024C6" w:rsidR="00EA4BE5" w:rsidRDefault="000778BC" w:rsidP="00466DD5">
      <w:pPr>
        <w:spacing w:before="240" w:after="200"/>
      </w:pPr>
      <w:r>
        <w:t xml:space="preserve">Section </w:t>
      </w:r>
      <w:r w:rsidR="00A171B1">
        <w:t xml:space="preserve">28HAB </w:t>
      </w:r>
      <w:r w:rsidR="00DD210D">
        <w:t>provides</w:t>
      </w:r>
      <w:r w:rsidR="00132D27">
        <w:t xml:space="preserve"> for</w:t>
      </w:r>
      <w:r w:rsidR="007B7FCD">
        <w:t xml:space="preserve"> </w:t>
      </w:r>
      <w:r w:rsidR="00DC4371">
        <w:t xml:space="preserve">the </w:t>
      </w:r>
      <w:r w:rsidR="00ED7E0C">
        <w:t xml:space="preserve">definition </w:t>
      </w:r>
      <w:r w:rsidR="23C8D534">
        <w:t xml:space="preserve">of </w:t>
      </w:r>
      <w:r w:rsidR="00EA4BE5">
        <w:t>‘</w:t>
      </w:r>
      <w:r w:rsidR="29FA7C73">
        <w:t>unsuitability assessment</w:t>
      </w:r>
      <w:r w:rsidR="00EA4BE5">
        <w:t xml:space="preserve"> policy’. </w:t>
      </w:r>
      <w:r w:rsidR="31A7812C">
        <w:t xml:space="preserve">Unsuitability assessment </w:t>
      </w:r>
      <w:r w:rsidR="000276E8">
        <w:t xml:space="preserve">policy is defined </w:t>
      </w:r>
      <w:r w:rsidR="00F40349">
        <w:t xml:space="preserve">by </w:t>
      </w:r>
      <w:r w:rsidR="00163BAE">
        <w:t xml:space="preserve">reference to </w:t>
      </w:r>
      <w:r w:rsidR="00A25CE6">
        <w:t>Part @3-2BA</w:t>
      </w:r>
      <w:r w:rsidR="00820694">
        <w:t xml:space="preserve"> </w:t>
      </w:r>
      <w:r w:rsidR="00553C76">
        <w:t>of the Credit Act</w:t>
      </w:r>
      <w:r w:rsidR="0083535E">
        <w:t>.</w:t>
      </w:r>
      <w:r w:rsidR="00EA4BE5">
        <w:t xml:space="preserve"> </w:t>
      </w:r>
    </w:p>
    <w:p w14:paraId="4D2893F6" w14:textId="09D79E2C" w:rsidR="00132D27" w:rsidRDefault="568C7219" w:rsidP="0044427E">
      <w:pPr>
        <w:keepNext/>
        <w:spacing w:before="240" w:after="200"/>
      </w:pPr>
      <w:r w:rsidRPr="35C065EC">
        <w:rPr>
          <w:b/>
          <w:bCs/>
        </w:rPr>
        <w:t>Division 2—Unsuitable low cost credit contracts</w:t>
      </w:r>
    </w:p>
    <w:p w14:paraId="184283EA" w14:textId="42F5235E" w:rsidR="00132D27" w:rsidRDefault="00A63468" w:rsidP="00A27770">
      <w:pPr>
        <w:keepNext/>
        <w:spacing w:before="240" w:after="200"/>
      </w:pPr>
      <w:r>
        <w:t>Division 2 contains section</w:t>
      </w:r>
      <w:r w:rsidR="00E800A7">
        <w:t>s 28HAC and</w:t>
      </w:r>
      <w:r>
        <w:t xml:space="preserve"> 28HAD</w:t>
      </w:r>
      <w:r w:rsidR="002A21BD">
        <w:t>.</w:t>
      </w:r>
    </w:p>
    <w:p w14:paraId="234875B9" w14:textId="178A2A32" w:rsidR="00E800A7" w:rsidRDefault="00E800A7" w:rsidP="00466DD5">
      <w:pPr>
        <w:spacing w:before="240" w:after="200"/>
      </w:pPr>
      <w:r>
        <w:t xml:space="preserve">Section 28HAC </w:t>
      </w:r>
      <w:r w:rsidR="0008209E">
        <w:t>sets out that</w:t>
      </w:r>
      <w:r w:rsidR="1328A028">
        <w:t>,</w:t>
      </w:r>
      <w:r w:rsidR="0008209E">
        <w:t xml:space="preserve"> for the purposes of </w:t>
      </w:r>
      <w:r w:rsidR="005A3162">
        <w:t>paragraph @133BXC(b)</w:t>
      </w:r>
      <w:r w:rsidR="0008209E">
        <w:t xml:space="preserve"> of the Credit Act</w:t>
      </w:r>
      <w:r w:rsidR="007C3610">
        <w:t>,</w:t>
      </w:r>
      <w:r w:rsidR="001F3215">
        <w:t xml:space="preserve"> for making the assessment mentioned in paragraph 128</w:t>
      </w:r>
      <w:r w:rsidR="727B12C0">
        <w:t>(c) and the inquiries and verification mentioned in paragraph 128(d) of that Act</w:t>
      </w:r>
      <w:r w:rsidR="0008209E">
        <w:t xml:space="preserve">, the prescribed period is 120 days. </w:t>
      </w:r>
      <w:r w:rsidR="00C520E8">
        <w:t xml:space="preserve">This prescribed period </w:t>
      </w:r>
      <w:r w:rsidR="357928DF">
        <w:t>applies</w:t>
      </w:r>
      <w:r w:rsidR="00C520E8">
        <w:t xml:space="preserve"> to LCCCS that are covered by an election.</w:t>
      </w:r>
    </w:p>
    <w:p w14:paraId="1B3CF48D" w14:textId="46014C70" w:rsidR="00C810D3" w:rsidRDefault="64EBD28F" w:rsidP="00466DD5">
      <w:pPr>
        <w:spacing w:before="240" w:after="200"/>
      </w:pPr>
      <w:r>
        <w:t xml:space="preserve">Section 28HAD </w:t>
      </w:r>
      <w:r w:rsidR="7C2BA472">
        <w:t xml:space="preserve">sets out the other inquiries </w:t>
      </w:r>
      <w:r w:rsidR="758B186A">
        <w:t xml:space="preserve">that a licensee must make about the financial situation of a consumer who </w:t>
      </w:r>
      <w:r w:rsidR="37A68C3D">
        <w:t xml:space="preserve">will be </w:t>
      </w:r>
      <w:r w:rsidR="758B186A">
        <w:t>a debtor under a</w:t>
      </w:r>
      <w:r w:rsidR="4F5A8785">
        <w:t>n</w:t>
      </w:r>
      <w:r w:rsidR="758B186A">
        <w:t xml:space="preserve"> LCCC</w:t>
      </w:r>
      <w:r w:rsidR="793E2197">
        <w:t xml:space="preserve"> or is a debtor</w:t>
      </w:r>
      <w:r w:rsidR="55953470">
        <w:t xml:space="preserve"> under a</w:t>
      </w:r>
      <w:r w:rsidR="052C8448">
        <w:t>n</w:t>
      </w:r>
      <w:r w:rsidR="55953470">
        <w:t xml:space="preserve"> LCCC with a credit limit that has increased</w:t>
      </w:r>
      <w:r w:rsidR="758B186A">
        <w:t xml:space="preserve">. </w:t>
      </w:r>
      <w:r w:rsidR="0B82F0F7">
        <w:t xml:space="preserve">These </w:t>
      </w:r>
      <w:r w:rsidR="5A14AF57">
        <w:t xml:space="preserve">inquiries are in addition to </w:t>
      </w:r>
      <w:r w:rsidR="6B968D21">
        <w:t xml:space="preserve">the inquiries </w:t>
      </w:r>
      <w:r w:rsidR="3ED80B47">
        <w:t xml:space="preserve">identified by subsection </w:t>
      </w:r>
      <w:r w:rsidR="69055661">
        <w:t>@</w:t>
      </w:r>
      <w:r w:rsidR="4F52EE81">
        <w:t>133BXD(3)</w:t>
      </w:r>
      <w:r w:rsidR="69055661">
        <w:t xml:space="preserve"> of the Credit Act. </w:t>
      </w:r>
    </w:p>
    <w:p w14:paraId="1F1C171D" w14:textId="6E99A85C" w:rsidR="002A21BD" w:rsidRDefault="00334E86" w:rsidP="00466DD5">
      <w:pPr>
        <w:spacing w:before="240" w:after="200"/>
      </w:pPr>
      <w:r>
        <w:t>Subsection</w:t>
      </w:r>
      <w:r w:rsidR="00466D15">
        <w:t> </w:t>
      </w:r>
      <w:r>
        <w:t xml:space="preserve">28HAD(2) </w:t>
      </w:r>
      <w:r w:rsidR="00AF41E0">
        <w:t xml:space="preserve">identifies </w:t>
      </w:r>
      <w:r w:rsidR="00C810D3">
        <w:t>the other</w:t>
      </w:r>
      <w:r w:rsidR="00AF41E0">
        <w:t xml:space="preserve"> credit information that </w:t>
      </w:r>
      <w:r w:rsidR="00552EC2">
        <w:t xml:space="preserve">a licensee must </w:t>
      </w:r>
      <w:r w:rsidR="00612827">
        <w:t>seek to obtain from a credit report</w:t>
      </w:r>
      <w:r w:rsidR="2B88AE23">
        <w:t>ing</w:t>
      </w:r>
      <w:r w:rsidR="00612827">
        <w:t xml:space="preserve"> body if the </w:t>
      </w:r>
      <w:r w:rsidR="00AE1424">
        <w:t>value of the LCCC is less than $2,000</w:t>
      </w:r>
      <w:r w:rsidR="008B5630">
        <w:t xml:space="preserve"> and the consumer is an individual. </w:t>
      </w:r>
      <w:r w:rsidR="16A703F6">
        <w:t>A credit reporting body is defined in subsection 5(1) of the Credit Act</w:t>
      </w:r>
      <w:r w:rsidR="005A6E5A">
        <w:t xml:space="preserve"> by reference to the Privacy Act</w:t>
      </w:r>
      <w:r w:rsidR="16A703F6">
        <w:t xml:space="preserve">. </w:t>
      </w:r>
      <w:r w:rsidR="008B5630">
        <w:t>The</w:t>
      </w:r>
      <w:r w:rsidR="00FB4590">
        <w:t xml:space="preserve"> other</w:t>
      </w:r>
      <w:r w:rsidR="008B5630">
        <w:t xml:space="preserve"> information that a licensee must seek to obtain </w:t>
      </w:r>
      <w:r w:rsidR="00634CEF">
        <w:t xml:space="preserve">is: </w:t>
      </w:r>
    </w:p>
    <w:p w14:paraId="2558655E" w14:textId="0A941935" w:rsidR="00B16D5F" w:rsidRPr="00B16D5F" w:rsidRDefault="5D9A287B" w:rsidP="000C6E78">
      <w:pPr>
        <w:pStyle w:val="Bullet"/>
      </w:pPr>
      <w:r>
        <w:t xml:space="preserve">identification information (within the meaning of the </w:t>
      </w:r>
      <w:r w:rsidR="5C50D027">
        <w:t>Privacy Act</w:t>
      </w:r>
      <w:r>
        <w:t>) about the individual;</w:t>
      </w:r>
    </w:p>
    <w:p w14:paraId="4B3587F6" w14:textId="4D1821FE" w:rsidR="00B16D5F" w:rsidRPr="00B16D5F" w:rsidRDefault="46D90E8C" w:rsidP="000C6E78">
      <w:pPr>
        <w:pStyle w:val="Bullet"/>
      </w:pPr>
      <w:r>
        <w:t xml:space="preserve">details of </w:t>
      </w:r>
      <w:r w:rsidR="5D9A287B">
        <w:t xml:space="preserve">any information requests (within the meaning of the Privacy Act) </w:t>
      </w:r>
      <w:r w:rsidR="04A1DAF1">
        <w:t xml:space="preserve">that </w:t>
      </w:r>
      <w:r w:rsidR="5D9A287B">
        <w:t>have been made in relation to the individual;</w:t>
      </w:r>
    </w:p>
    <w:p w14:paraId="5FADC6C6" w14:textId="48964E6B" w:rsidR="00B16D5F" w:rsidRPr="00B16D5F" w:rsidRDefault="5D9A287B" w:rsidP="000C6E78">
      <w:pPr>
        <w:pStyle w:val="Bullet"/>
      </w:pPr>
      <w:r>
        <w:t>default information (within the meaning of subsection 6Q(1) or (2) of the Privacy Act) about the individual;</w:t>
      </w:r>
    </w:p>
    <w:p w14:paraId="28AF950A" w14:textId="0C4256A8" w:rsidR="00B16D5F" w:rsidRPr="00B16D5F" w:rsidRDefault="5D9A287B" w:rsidP="000C6E78">
      <w:pPr>
        <w:pStyle w:val="Bullet"/>
      </w:pPr>
      <w:r>
        <w:t>payment information (within the meaning of the Privacy Act) about the individual;</w:t>
      </w:r>
    </w:p>
    <w:p w14:paraId="72F564D1" w14:textId="51C0043A" w:rsidR="00B16D5F" w:rsidRPr="00B16D5F" w:rsidRDefault="5D9A287B" w:rsidP="000C6E78">
      <w:pPr>
        <w:pStyle w:val="Bullet"/>
      </w:pPr>
      <w:r>
        <w:t>personal insolvency information (within the meaning of the Privacy Act) about the individual;</w:t>
      </w:r>
    </w:p>
    <w:p w14:paraId="4B298B01" w14:textId="26C38C78" w:rsidR="00B16D5F" w:rsidRPr="00B16D5F" w:rsidRDefault="5D9A287B" w:rsidP="000C6E78">
      <w:pPr>
        <w:pStyle w:val="Bullet"/>
      </w:pPr>
      <w:r>
        <w:t xml:space="preserve">information about the individual </w:t>
      </w:r>
      <w:r w:rsidR="7A1A5C9F">
        <w:t xml:space="preserve">that is information </w:t>
      </w:r>
      <w:r>
        <w:t>covered by paragraph 6N(k) of the Privacy Act (which covers certain kinds of publicly available information);</w:t>
      </w:r>
    </w:p>
    <w:p w14:paraId="13C6808E" w14:textId="2B4B27A7" w:rsidR="00B16D5F" w:rsidRPr="00B16D5F" w:rsidRDefault="5D9A287B" w:rsidP="000C6E78">
      <w:pPr>
        <w:pStyle w:val="Bullet"/>
      </w:pPr>
      <w:r>
        <w:t>new arrangement information (within the meaning of the Privacy Act) about the individual;</w:t>
      </w:r>
      <w:r w:rsidR="0F50D8DD">
        <w:t xml:space="preserve"> and</w:t>
      </w:r>
    </w:p>
    <w:p w14:paraId="413E7D3C" w14:textId="6828482F" w:rsidR="00B16D5F" w:rsidRDefault="5D9A287B" w:rsidP="000C6E78">
      <w:pPr>
        <w:pStyle w:val="Bullet"/>
      </w:pPr>
      <w:r>
        <w:t>court proceedings information (within the meaning of the Privacy Act) about the individual.</w:t>
      </w:r>
    </w:p>
    <w:p w14:paraId="48FB192E" w14:textId="6E97BAB4" w:rsidR="0040295E" w:rsidRDefault="0040295E" w:rsidP="000C6E78">
      <w:pPr>
        <w:pStyle w:val="Bullet"/>
        <w:numPr>
          <w:ilvl w:val="0"/>
          <w:numId w:val="0"/>
        </w:numPr>
      </w:pPr>
      <w:r>
        <w:lastRenderedPageBreak/>
        <w:t xml:space="preserve">This information aligns with the data contained in </w:t>
      </w:r>
      <w:r w:rsidR="005F54D7">
        <w:t xml:space="preserve">what is commonly known as </w:t>
      </w:r>
      <w:r>
        <w:t xml:space="preserve">a ‘negative credit check’ </w:t>
      </w:r>
      <w:r w:rsidR="005F54D7">
        <w:t xml:space="preserve">with a credit reporting </w:t>
      </w:r>
      <w:r w:rsidR="330F8C06">
        <w:t>body</w:t>
      </w:r>
      <w:r w:rsidR="005F54D7">
        <w:t>.</w:t>
      </w:r>
      <w:r w:rsidR="006A744A">
        <w:t xml:space="preserve"> </w:t>
      </w:r>
    </w:p>
    <w:p w14:paraId="279BFE89" w14:textId="42B2307E" w:rsidR="00D67D3C" w:rsidRDefault="00B93F18" w:rsidP="001F7616">
      <w:pPr>
        <w:pStyle w:val="Bullet"/>
        <w:keepNext/>
        <w:numPr>
          <w:ilvl w:val="0"/>
          <w:numId w:val="0"/>
        </w:numPr>
      </w:pPr>
      <w:r>
        <w:t>Subsection 28HAD(3) requires that i</w:t>
      </w:r>
      <w:r w:rsidR="00D67D3C">
        <w:t>f the value of the LCCC is $2,000 or greater</w:t>
      </w:r>
      <w:r>
        <w:t>, and the consumer is an individual,</w:t>
      </w:r>
      <w:r w:rsidR="00666A67">
        <w:t xml:space="preserve"> the licensee must seek to obtain from a credit reporting body, the information </w:t>
      </w:r>
      <w:r w:rsidR="00B04D51">
        <w:t>required by subsection 28HAD(2)</w:t>
      </w:r>
      <w:r w:rsidR="007472DB">
        <w:t xml:space="preserve"> as well as </w:t>
      </w:r>
      <w:r w:rsidR="00383C51">
        <w:t xml:space="preserve">information about </w:t>
      </w:r>
      <w:r w:rsidR="001F7616">
        <w:t>consumer credit (within the meaning of the Privacy Act) provided to the individual that is consumer credit liability information (within the meaning of the Privacy Act) about the individual.</w:t>
      </w:r>
    </w:p>
    <w:p w14:paraId="61427C5A" w14:textId="4DE26AEC" w:rsidR="00883FE4" w:rsidRDefault="00883FE4" w:rsidP="001F7616">
      <w:pPr>
        <w:pStyle w:val="Bullet"/>
        <w:keepNext/>
        <w:numPr>
          <w:ilvl w:val="0"/>
          <w:numId w:val="0"/>
        </w:numPr>
      </w:pPr>
      <w:r>
        <w:t xml:space="preserve">This information aligns with the data contained in what is a commonly known as a ‘partial credit check’ with a credit reporting </w:t>
      </w:r>
      <w:r w:rsidR="6A00A52C">
        <w:t>body</w:t>
      </w:r>
      <w:r>
        <w:t xml:space="preserve">. </w:t>
      </w:r>
    </w:p>
    <w:p w14:paraId="297C73AB" w14:textId="72A65BDF" w:rsidR="00314C75" w:rsidRDefault="006D7851" w:rsidP="001F7616">
      <w:pPr>
        <w:pStyle w:val="Bullet"/>
        <w:keepNext/>
        <w:numPr>
          <w:ilvl w:val="0"/>
          <w:numId w:val="0"/>
        </w:numPr>
      </w:pPr>
      <w:r>
        <w:t xml:space="preserve">The requirement for a licensee to seek to obtain </w:t>
      </w:r>
      <w:r w:rsidR="003E0DA2">
        <w:t xml:space="preserve">this other information from a credit reporting body </w:t>
      </w:r>
      <w:r w:rsidR="002956E4">
        <w:t xml:space="preserve">acknowledges that </w:t>
      </w:r>
      <w:r w:rsidR="002F09F5">
        <w:t xml:space="preserve">some of this information may not exist for </w:t>
      </w:r>
      <w:r w:rsidR="00C8533E">
        <w:t>each consumer</w:t>
      </w:r>
      <w:r w:rsidR="00952996">
        <w:t xml:space="preserve">. </w:t>
      </w:r>
      <w:r w:rsidR="00F86714">
        <w:t xml:space="preserve">It also reflects that </w:t>
      </w:r>
      <w:r w:rsidR="00180BCF">
        <w:t xml:space="preserve">there are circumstances in which a credit reporting body is legally not able to provide certain </w:t>
      </w:r>
      <w:r w:rsidR="00E02BB9">
        <w:t xml:space="preserve">types of credit </w:t>
      </w:r>
      <w:r w:rsidR="00C06FF9">
        <w:t xml:space="preserve">information – for example, </w:t>
      </w:r>
      <w:r w:rsidR="00820714">
        <w:t xml:space="preserve">because of time limits, bans in place, or the application of the Privacy (Credit Reporting) Code 2014. </w:t>
      </w:r>
      <w:r w:rsidR="00E74F0B">
        <w:t xml:space="preserve">A licensee can therefore </w:t>
      </w:r>
      <w:r w:rsidR="00FA1718">
        <w:t xml:space="preserve">be compliant with </w:t>
      </w:r>
      <w:r w:rsidR="00C2013D">
        <w:t>section 28HAD despite not obtaining all the other information identified in subsections 28HAD(2) and (3)</w:t>
      </w:r>
      <w:r w:rsidR="00C21F70">
        <w:t xml:space="preserve"> so long as they have made </w:t>
      </w:r>
      <w:r w:rsidR="00580F14">
        <w:t xml:space="preserve">reasonable </w:t>
      </w:r>
      <w:r w:rsidR="00BD0056">
        <w:t xml:space="preserve">efforts to obtain that information. </w:t>
      </w:r>
    </w:p>
    <w:p w14:paraId="73E8ED44" w14:textId="71BFF2EA" w:rsidR="00846B31" w:rsidRDefault="0003065E" w:rsidP="001F7616">
      <w:pPr>
        <w:pStyle w:val="Bullet"/>
        <w:keepNext/>
        <w:numPr>
          <w:ilvl w:val="0"/>
          <w:numId w:val="0"/>
        </w:numPr>
      </w:pPr>
      <w:r>
        <w:t>In practice</w:t>
      </w:r>
      <w:r w:rsidR="7653ECB1">
        <w:t>,</w:t>
      </w:r>
      <w:r>
        <w:t xml:space="preserve"> this </w:t>
      </w:r>
      <w:r w:rsidR="00B1391C">
        <w:t>would require a licensee to comply with</w:t>
      </w:r>
      <w:r w:rsidR="00B26CD8">
        <w:t xml:space="preserve"> the PRDE</w:t>
      </w:r>
      <w:r w:rsidR="001B5E04">
        <w:t xml:space="preserve"> in order to obtain </w:t>
      </w:r>
      <w:r w:rsidR="00717B89">
        <w:t xml:space="preserve">partial </w:t>
      </w:r>
      <w:r w:rsidR="001B5E04">
        <w:t xml:space="preserve">credit information from a PRDE-signatory credit reporting body. </w:t>
      </w:r>
      <w:r w:rsidR="00E021FB">
        <w:t>It is expected that</w:t>
      </w:r>
      <w:r w:rsidR="00846B31">
        <w:t xml:space="preserve"> credit reporting bod</w:t>
      </w:r>
      <w:r w:rsidR="00E021FB">
        <w:t>ies engaged by the licensee will be</w:t>
      </w:r>
      <w:r w:rsidR="00846B31">
        <w:t xml:space="preserve"> </w:t>
      </w:r>
      <w:r w:rsidR="00E021FB">
        <w:t xml:space="preserve">signatories </w:t>
      </w:r>
      <w:r w:rsidR="00846B31">
        <w:t>to the principles titled “Principles of Reciprocity and Data Exchange” dated 6 January 2021 and published by the Australian Retail Credit Association, as amended from time to time.</w:t>
      </w:r>
      <w:r w:rsidR="00A67464">
        <w:t xml:space="preserve"> The </w:t>
      </w:r>
      <w:r w:rsidR="7B57B032">
        <w:t>PRDE</w:t>
      </w:r>
      <w:r w:rsidR="00A67464">
        <w:t xml:space="preserve"> could, in 2024, be viewed on the Australian Retail Credit Association website (</w:t>
      </w:r>
      <w:hyperlink r:id="rId8" w:history="1">
        <w:r w:rsidR="00AE3449" w:rsidRPr="00566742">
          <w:rPr>
            <w:rStyle w:val="Hyperlink"/>
          </w:rPr>
          <w:t>http://www.arca.asn.au</w:t>
        </w:r>
      </w:hyperlink>
      <w:r w:rsidR="00A67464">
        <w:t>).</w:t>
      </w:r>
    </w:p>
    <w:p w14:paraId="430CE7A1" w14:textId="37C2614C" w:rsidR="00AE3449" w:rsidRPr="00B16D5F" w:rsidRDefault="008458D1" w:rsidP="001F7616">
      <w:pPr>
        <w:pStyle w:val="Bullet"/>
        <w:keepNext/>
        <w:numPr>
          <w:ilvl w:val="0"/>
          <w:numId w:val="0"/>
        </w:numPr>
      </w:pPr>
      <w:r>
        <w:t xml:space="preserve">The requirement for an LCCC </w:t>
      </w:r>
      <w:r w:rsidR="6044D029">
        <w:t xml:space="preserve"> </w:t>
      </w:r>
      <w:r w:rsidR="008078B5">
        <w:t xml:space="preserve">licensee </w:t>
      </w:r>
      <w:r w:rsidR="6044D029">
        <w:t xml:space="preserve">to </w:t>
      </w:r>
      <w:r w:rsidR="3EA1D305">
        <w:t>seek</w:t>
      </w:r>
      <w:r w:rsidR="307B4740">
        <w:t xml:space="preserve"> </w:t>
      </w:r>
      <w:r w:rsidR="7643C82D">
        <w:t xml:space="preserve">to </w:t>
      </w:r>
      <w:r w:rsidR="307B4740">
        <w:t xml:space="preserve">obtain this </w:t>
      </w:r>
      <w:r w:rsidR="6EC489B7">
        <w:t xml:space="preserve">other </w:t>
      </w:r>
      <w:r w:rsidR="307B4740">
        <w:t>information</w:t>
      </w:r>
      <w:r w:rsidR="6044D029">
        <w:t xml:space="preserve"> as part of </w:t>
      </w:r>
      <w:r w:rsidR="495C2593">
        <w:t>the RLO framework</w:t>
      </w:r>
      <w:r w:rsidR="6044D029">
        <w:t xml:space="preserve"> is directed at both assessing whether a credit contract will be unsuitable for a consumer and to create a record of credit inquiry (an information request) by that </w:t>
      </w:r>
      <w:r w:rsidR="008078B5">
        <w:t>licensee</w:t>
      </w:r>
      <w:r w:rsidR="6044D029">
        <w:t xml:space="preserve"> on the consumer’s credit </w:t>
      </w:r>
      <w:r w:rsidR="00825CD0">
        <w:t>report</w:t>
      </w:r>
      <w:r w:rsidR="6044D029">
        <w:t xml:space="preserve">. This </w:t>
      </w:r>
      <w:r w:rsidR="009A1055">
        <w:t>report</w:t>
      </w:r>
      <w:r w:rsidR="6044D029">
        <w:t xml:space="preserve"> will indicate to other credit providers that the consumer may have an existing LCCC liability, as information requests are </w:t>
      </w:r>
      <w:r w:rsidR="44073583">
        <w:t>part of</w:t>
      </w:r>
      <w:r w:rsidR="6044D029">
        <w:t xml:space="preserve"> the information providers must seek to obtain.</w:t>
      </w:r>
      <w:r w:rsidR="002E55E2">
        <w:t xml:space="preserve"> </w:t>
      </w:r>
    </w:p>
    <w:p w14:paraId="0C015EC5" w14:textId="306CAB09" w:rsidR="008401FB" w:rsidRDefault="008401FB" w:rsidP="00135DD3">
      <w:pPr>
        <w:keepNext/>
        <w:spacing w:before="240" w:after="200"/>
      </w:pPr>
      <w:r>
        <w:t xml:space="preserve">Subsection 28HAD(4) confirms that nothing in the </w:t>
      </w:r>
      <w:r w:rsidR="27CBC08A" w:rsidRPr="34456352">
        <w:rPr>
          <w:i/>
          <w:iCs/>
        </w:rPr>
        <w:t>National Consumer Credit Protection Regulations 2010</w:t>
      </w:r>
      <w:r>
        <w:t xml:space="preserve"> requires or authorises a credit reporting body to disclose </w:t>
      </w:r>
      <w:r w:rsidR="3CB4856D">
        <w:t xml:space="preserve">the </w:t>
      </w:r>
      <w:r>
        <w:t>information referred to in any of paragraphs 28HAD(2)(c) to (j), or in paragraph 28HAD(3)(d), to a licensee.</w:t>
      </w:r>
    </w:p>
    <w:p w14:paraId="0FC85F42" w14:textId="1B57A27D" w:rsidR="00634CEF" w:rsidRDefault="001779D7" w:rsidP="00466DD5">
      <w:pPr>
        <w:spacing w:before="240" w:after="200"/>
      </w:pPr>
      <w:r>
        <w:t xml:space="preserve">Subsection </w:t>
      </w:r>
      <w:r w:rsidR="00381EBD">
        <w:t>28HAD(</w:t>
      </w:r>
      <w:r w:rsidR="00FA15B4">
        <w:t>5</w:t>
      </w:r>
      <w:r w:rsidR="00E672EE">
        <w:t xml:space="preserve">) </w:t>
      </w:r>
      <w:r w:rsidR="00930996">
        <w:t xml:space="preserve">requires </w:t>
      </w:r>
      <w:r w:rsidR="13E084BC">
        <w:t xml:space="preserve">a </w:t>
      </w:r>
      <w:r w:rsidR="009D4E69">
        <w:t xml:space="preserve">licensee to obtain </w:t>
      </w:r>
      <w:r w:rsidR="00B5181D">
        <w:t xml:space="preserve">information about the </w:t>
      </w:r>
      <w:r w:rsidR="006A4FC1">
        <w:t xml:space="preserve">consumer that the licensee reasonably believes is substantially correct. That information is: </w:t>
      </w:r>
    </w:p>
    <w:p w14:paraId="118CCCF4" w14:textId="2A703796" w:rsidR="006A4FC1" w:rsidRDefault="5928AEC9" w:rsidP="00B26E9C">
      <w:pPr>
        <w:pStyle w:val="Bullet"/>
        <w:keepNext/>
      </w:pPr>
      <w:r>
        <w:lastRenderedPageBreak/>
        <w:t>t</w:t>
      </w:r>
      <w:r w:rsidR="58514430">
        <w:t>he current income of the consumer</w:t>
      </w:r>
      <w:r>
        <w:t>;</w:t>
      </w:r>
    </w:p>
    <w:p w14:paraId="24B51727" w14:textId="3334A166" w:rsidR="006A4FC1" w:rsidRDefault="5928AEC9" w:rsidP="00B26E9C">
      <w:pPr>
        <w:pStyle w:val="Bullet"/>
        <w:keepNext/>
      </w:pPr>
      <w:r>
        <w:t>t</w:t>
      </w:r>
      <w:r w:rsidR="58514430">
        <w:t>he expenditure of the consumer</w:t>
      </w:r>
      <w:r>
        <w:t>; and</w:t>
      </w:r>
      <w:r w:rsidR="58514430">
        <w:t xml:space="preserve"> </w:t>
      </w:r>
    </w:p>
    <w:p w14:paraId="431CEBB0" w14:textId="56F24EB6" w:rsidR="0072022F" w:rsidRDefault="5928AEC9" w:rsidP="00B26E9C">
      <w:pPr>
        <w:pStyle w:val="Bullet"/>
        <w:keepNext/>
      </w:pPr>
      <w:r>
        <w:t>a</w:t>
      </w:r>
      <w:r w:rsidR="7A9BDE57">
        <w:t>ny LCCC</w:t>
      </w:r>
      <w:r w:rsidR="2A72E4AE">
        <w:t>s, small amount credit contracts, or consumer leases</w:t>
      </w:r>
      <w:r>
        <w:t xml:space="preserve"> </w:t>
      </w:r>
      <w:r w:rsidR="18BF77EC">
        <w:t>to which the consumer is currently a party</w:t>
      </w:r>
      <w:r>
        <w:t>.</w:t>
      </w:r>
    </w:p>
    <w:p w14:paraId="78AED31E" w14:textId="7A5B13C3" w:rsidR="008371D3" w:rsidRDefault="44DF7111" w:rsidP="35C065EC">
      <w:pPr>
        <w:spacing w:line="259" w:lineRule="auto"/>
      </w:pPr>
      <w:r>
        <w:t xml:space="preserve">The modified </w:t>
      </w:r>
      <w:r w:rsidR="089FA4E0">
        <w:t>RLO framework</w:t>
      </w:r>
      <w:r>
        <w:t xml:space="preserve"> </w:t>
      </w:r>
      <w:r w:rsidR="78742CF1">
        <w:t xml:space="preserve">requires </w:t>
      </w:r>
      <w:r w:rsidR="389B9E9B">
        <w:t>LCCC licensees</w:t>
      </w:r>
      <w:r w:rsidR="78742CF1">
        <w:t xml:space="preserve"> to make reasonable inquiries into the financial </w:t>
      </w:r>
      <w:r w:rsidR="19F14F6C">
        <w:t>situation of a consumer</w:t>
      </w:r>
      <w:r w:rsidR="265DF774">
        <w:t xml:space="preserve">. The </w:t>
      </w:r>
      <w:r w:rsidR="5E58EF4E">
        <w:t xml:space="preserve">regime </w:t>
      </w:r>
      <w:r w:rsidR="043E040C">
        <w:t>sets out a non-exclusive</w:t>
      </w:r>
      <w:r w:rsidR="6A0D665E">
        <w:t xml:space="preserve"> list of factors that may be taken into account in determining w</w:t>
      </w:r>
      <w:r w:rsidR="58C1FE46">
        <w:t xml:space="preserve">hat </w:t>
      </w:r>
      <w:r w:rsidR="3B2F8BAB">
        <w:t xml:space="preserve">is reasonable – including information </w:t>
      </w:r>
      <w:r w:rsidR="20548FB1">
        <w:t xml:space="preserve">on the nature of the </w:t>
      </w:r>
      <w:r w:rsidR="7D6B003C">
        <w:t xml:space="preserve">credit product, the target market and any other processes that minimise the risk of unaffordable lending or mitigate harm if unaffordable lending occurs. </w:t>
      </w:r>
      <w:r w:rsidR="3A4B58BB">
        <w:t xml:space="preserve">The </w:t>
      </w:r>
      <w:r w:rsidR="43B8217A">
        <w:t>R</w:t>
      </w:r>
      <w:r w:rsidR="3A4B58BB">
        <w:t xml:space="preserve">egulations make it clear that </w:t>
      </w:r>
      <w:r w:rsidR="48A3380C">
        <w:t xml:space="preserve">this principle-based scaling of information collection will </w:t>
      </w:r>
      <w:r w:rsidR="003D0B28">
        <w:t>always require the licensee</w:t>
      </w:r>
      <w:r w:rsidR="48A3380C">
        <w:t xml:space="preserve"> to collect </w:t>
      </w:r>
      <w:r w:rsidR="00041A69">
        <w:t xml:space="preserve">the </w:t>
      </w:r>
      <w:r w:rsidR="3A4B58BB">
        <w:t>basic information o</w:t>
      </w:r>
      <w:r w:rsidR="2EBA3DED">
        <w:t>f the</w:t>
      </w:r>
      <w:r w:rsidR="3A4B58BB">
        <w:t xml:space="preserve"> current income</w:t>
      </w:r>
      <w:r w:rsidR="2FC50F1F">
        <w:t xml:space="preserve"> of the consumer</w:t>
      </w:r>
      <w:r w:rsidR="3A4B58BB">
        <w:t xml:space="preserve">, </w:t>
      </w:r>
      <w:r w:rsidR="4BF43F2F">
        <w:t xml:space="preserve">the </w:t>
      </w:r>
      <w:r w:rsidR="3A4B58BB">
        <w:t>expenditure</w:t>
      </w:r>
      <w:r w:rsidR="20CDD79B">
        <w:t xml:space="preserve"> of the consumer</w:t>
      </w:r>
      <w:r w:rsidR="3A4B58BB">
        <w:t xml:space="preserve"> and whether the </w:t>
      </w:r>
      <w:r w:rsidR="2EC0EAE1">
        <w:t xml:space="preserve">consumer </w:t>
      </w:r>
      <w:r w:rsidR="48A3380C">
        <w:t xml:space="preserve">already </w:t>
      </w:r>
      <w:r w:rsidR="6C69911B">
        <w:t xml:space="preserve">has certain </w:t>
      </w:r>
      <w:r w:rsidR="05E62B6D">
        <w:t xml:space="preserve">other </w:t>
      </w:r>
      <w:r w:rsidR="6C69911B">
        <w:t>credit products</w:t>
      </w:r>
      <w:r w:rsidR="05E62B6D">
        <w:t xml:space="preserve"> that are often held by </w:t>
      </w:r>
      <w:r w:rsidR="1C886932">
        <w:t xml:space="preserve">financially constrained </w:t>
      </w:r>
      <w:r w:rsidR="3535E6E2">
        <w:t>consumers</w:t>
      </w:r>
      <w:r w:rsidR="1C886932">
        <w:t>.</w:t>
      </w:r>
      <w:r w:rsidR="05E62B6D">
        <w:t xml:space="preserve"> </w:t>
      </w:r>
      <w:r>
        <w:t xml:space="preserve"> </w:t>
      </w:r>
    </w:p>
    <w:p w14:paraId="48E12E46" w14:textId="027C6156" w:rsidR="00C30E9D" w:rsidRDefault="39216211" w:rsidP="0044427E">
      <w:pPr>
        <w:pStyle w:val="Bullet"/>
        <w:keepNext/>
        <w:numPr>
          <w:ilvl w:val="0"/>
          <w:numId w:val="0"/>
        </w:numPr>
        <w:ind w:left="567" w:hanging="567"/>
        <w:rPr>
          <w:b/>
          <w:bCs/>
        </w:rPr>
      </w:pPr>
      <w:r w:rsidRPr="35C065EC">
        <w:rPr>
          <w:b/>
          <w:bCs/>
        </w:rPr>
        <w:t>Division 3—</w:t>
      </w:r>
      <w:r w:rsidR="45248116" w:rsidRPr="35C065EC">
        <w:rPr>
          <w:b/>
          <w:bCs/>
        </w:rPr>
        <w:t xml:space="preserve">Unsuitability assessment </w:t>
      </w:r>
      <w:r w:rsidRPr="35C065EC">
        <w:rPr>
          <w:b/>
          <w:bCs/>
        </w:rPr>
        <w:t xml:space="preserve">policies </w:t>
      </w:r>
    </w:p>
    <w:p w14:paraId="6F064D92" w14:textId="1FD7C2BC" w:rsidR="001578DF" w:rsidRDefault="00313CE1" w:rsidP="00C30E9D">
      <w:pPr>
        <w:pStyle w:val="Bullet"/>
        <w:keepNext/>
        <w:numPr>
          <w:ilvl w:val="0"/>
          <w:numId w:val="0"/>
        </w:numPr>
        <w:ind w:left="567" w:hanging="567"/>
      </w:pPr>
      <w:r>
        <w:t xml:space="preserve">Division 3 contains sections </w:t>
      </w:r>
      <w:r w:rsidR="00533EB9">
        <w:t>28HAE and 28HAF</w:t>
      </w:r>
      <w:r w:rsidR="002D05F1">
        <w:t>.</w:t>
      </w:r>
    </w:p>
    <w:p w14:paraId="5806BC58" w14:textId="13122674" w:rsidR="00CA4EB2" w:rsidRDefault="00CA4EB2" w:rsidP="00CA4EB2">
      <w:pPr>
        <w:pStyle w:val="Bullet"/>
        <w:keepNext/>
        <w:numPr>
          <w:ilvl w:val="0"/>
          <w:numId w:val="0"/>
        </w:numPr>
      </w:pPr>
      <w:r>
        <w:t xml:space="preserve">Section 28HAE identifies that Division 3 is made for the purposes of subsection </w:t>
      </w:r>
      <w:r w:rsidR="00CB3137">
        <w:t>@</w:t>
      </w:r>
      <w:r w:rsidR="00C61498">
        <w:t>133BXH</w:t>
      </w:r>
      <w:r>
        <w:t xml:space="preserve">(3) of the Credit Act. </w:t>
      </w:r>
    </w:p>
    <w:p w14:paraId="436F5923" w14:textId="247581F8" w:rsidR="00005062" w:rsidRDefault="3168EFB6" w:rsidP="00784827">
      <w:pPr>
        <w:pStyle w:val="Bullet"/>
        <w:keepNext/>
        <w:numPr>
          <w:ilvl w:val="0"/>
          <w:numId w:val="0"/>
        </w:numPr>
      </w:pPr>
      <w:r>
        <w:t>Subsection @</w:t>
      </w:r>
      <w:r w:rsidR="7E3B2DE8">
        <w:t>133BXH</w:t>
      </w:r>
      <w:r w:rsidR="6A4FF437">
        <w:t>(</w:t>
      </w:r>
      <w:r w:rsidR="51B8BFC4">
        <w:t>1)</w:t>
      </w:r>
      <w:r>
        <w:t xml:space="preserve"> of the Credit Act</w:t>
      </w:r>
      <w:r w:rsidR="5CCBA07E">
        <w:t xml:space="preserve"> requires a licensee to have a written policy</w:t>
      </w:r>
      <w:r w:rsidR="72C71B2B">
        <w:t>, defined as an ‘</w:t>
      </w:r>
      <w:r w:rsidR="46BAE2A5">
        <w:t>unsuitability assessment</w:t>
      </w:r>
      <w:r w:rsidR="72C71B2B">
        <w:t xml:space="preserve"> policy</w:t>
      </w:r>
      <w:r w:rsidR="00C9F4A6">
        <w:t>’</w:t>
      </w:r>
      <w:r w:rsidR="72C71B2B">
        <w:t xml:space="preserve">, </w:t>
      </w:r>
      <w:r w:rsidR="1CF995D5">
        <w:t xml:space="preserve">that sets out how the licensee will comply with the requirements in </w:t>
      </w:r>
      <w:r w:rsidR="6B3B34DB">
        <w:t>section</w:t>
      </w:r>
      <w:r w:rsidR="6524F982">
        <w:t>s</w:t>
      </w:r>
      <w:r w:rsidR="6B3B34DB">
        <w:t xml:space="preserve"> 128 </w:t>
      </w:r>
      <w:r w:rsidR="7BBBC008">
        <w:t xml:space="preserve">and 131 </w:t>
      </w:r>
      <w:r w:rsidR="67588915">
        <w:t>of the Credit Act.</w:t>
      </w:r>
      <w:r>
        <w:t xml:space="preserve"> Subsection @</w:t>
      </w:r>
      <w:r w:rsidR="54CAA4E8">
        <w:t>133BXH</w:t>
      </w:r>
      <w:r>
        <w:t xml:space="preserve">(3) of the </w:t>
      </w:r>
      <w:r w:rsidR="1043581B">
        <w:t xml:space="preserve">Credit Act requires a licensee to comply with any requirements </w:t>
      </w:r>
      <w:r w:rsidR="142362D6">
        <w:t xml:space="preserve">relating to </w:t>
      </w:r>
      <w:r w:rsidR="3D4598CA">
        <w:t xml:space="preserve">unsuitability assessment </w:t>
      </w:r>
      <w:r w:rsidR="142362D6">
        <w:t xml:space="preserve">policies that </w:t>
      </w:r>
      <w:r w:rsidR="772FF3E3">
        <w:t xml:space="preserve">are prescribed by the </w:t>
      </w:r>
      <w:r>
        <w:t>R</w:t>
      </w:r>
      <w:r w:rsidR="772FF3E3">
        <w:t xml:space="preserve">egulations. </w:t>
      </w:r>
    </w:p>
    <w:p w14:paraId="33D256E5" w14:textId="602D7A17" w:rsidR="004279A6" w:rsidRDefault="00784827" w:rsidP="00784827">
      <w:pPr>
        <w:pStyle w:val="Bullet"/>
        <w:keepNext/>
        <w:numPr>
          <w:ilvl w:val="0"/>
          <w:numId w:val="0"/>
        </w:numPr>
      </w:pPr>
      <w:r>
        <w:t xml:space="preserve">Section 28HAF </w:t>
      </w:r>
      <w:r w:rsidR="00260CEE">
        <w:t>outlines the requirements for a licensee to</w:t>
      </w:r>
      <w:r w:rsidR="0092609D">
        <w:t xml:space="preserve"> review and update </w:t>
      </w:r>
      <w:r w:rsidR="00000FDD">
        <w:t xml:space="preserve">its </w:t>
      </w:r>
      <w:r w:rsidR="7CCE2A9D">
        <w:t xml:space="preserve">unsuitability assessment </w:t>
      </w:r>
      <w:r w:rsidR="00000FDD">
        <w:t xml:space="preserve">policy. </w:t>
      </w:r>
    </w:p>
    <w:p w14:paraId="1F390973" w14:textId="552B9477" w:rsidR="004279A6" w:rsidRPr="00487A15" w:rsidRDefault="00A804B0" w:rsidP="00784827">
      <w:pPr>
        <w:pStyle w:val="Bullet"/>
        <w:keepNext/>
        <w:numPr>
          <w:ilvl w:val="0"/>
          <w:numId w:val="0"/>
        </w:numPr>
      </w:pPr>
      <w:r>
        <w:t xml:space="preserve">Subsection 28HAF(1) </w:t>
      </w:r>
      <w:r w:rsidR="004279A6">
        <w:t xml:space="preserve">requires a licensee to conduct regular reviews of its </w:t>
      </w:r>
      <w:r w:rsidR="6A1E9993">
        <w:t xml:space="preserve">unsuitability assessment </w:t>
      </w:r>
      <w:r w:rsidR="004279A6">
        <w:t>polic</w:t>
      </w:r>
      <w:r w:rsidR="40EB1C28">
        <w:t>y</w:t>
      </w:r>
      <w:r w:rsidR="004279A6">
        <w:t xml:space="preserve">. </w:t>
      </w:r>
      <w:r w:rsidR="00E41835">
        <w:t>Th</w:t>
      </w:r>
      <w:r w:rsidR="0D609E15">
        <w:t>is</w:t>
      </w:r>
      <w:r w:rsidR="00E41835">
        <w:t xml:space="preserve"> subsection is informed by s</w:t>
      </w:r>
      <w:r w:rsidR="004279A6">
        <w:t>ub</w:t>
      </w:r>
      <w:r w:rsidR="00C86CFF">
        <w:t>s</w:t>
      </w:r>
      <w:r w:rsidR="004279A6">
        <w:t>ection 28HAF(2)</w:t>
      </w:r>
      <w:r w:rsidR="00E41835">
        <w:t>, which</w:t>
      </w:r>
      <w:r w:rsidR="004279A6">
        <w:t xml:space="preserve"> </w:t>
      </w:r>
      <w:r w:rsidR="00C62596">
        <w:t xml:space="preserve">provides that a licensee </w:t>
      </w:r>
      <w:r w:rsidR="00C62596" w:rsidRPr="00487A15">
        <w:t xml:space="preserve">must have regard to </w:t>
      </w:r>
      <w:r w:rsidR="0009465C" w:rsidRPr="00487A15">
        <w:t xml:space="preserve">its obligations under subsection </w:t>
      </w:r>
      <w:r w:rsidR="00E94190" w:rsidRPr="00487A15">
        <w:t>@</w:t>
      </w:r>
      <w:r w:rsidR="00B65A3A" w:rsidRPr="00487A15">
        <w:t>133BXH</w:t>
      </w:r>
      <w:r w:rsidR="0009465C" w:rsidRPr="00487A15">
        <w:t xml:space="preserve">(2) of the Credit Act </w:t>
      </w:r>
      <w:r w:rsidR="7D288A67" w:rsidRPr="00487A15">
        <w:t xml:space="preserve">in </w:t>
      </w:r>
      <w:r w:rsidR="00A12F09" w:rsidRPr="00487A15">
        <w:t xml:space="preserve">deciding when to conduct a review of </w:t>
      </w:r>
      <w:r w:rsidR="750CF24C" w:rsidRPr="00487A15">
        <w:t xml:space="preserve">the </w:t>
      </w:r>
      <w:r w:rsidR="008C35A0" w:rsidRPr="00487A15">
        <w:t xml:space="preserve">policy. </w:t>
      </w:r>
      <w:r w:rsidR="00E94190" w:rsidRPr="00487A15">
        <w:t>Subsection @</w:t>
      </w:r>
      <w:r w:rsidR="00F635FB" w:rsidRPr="00487A15">
        <w:t>133BXH</w:t>
      </w:r>
      <w:r w:rsidR="4F7A5BC1" w:rsidRPr="00487A15">
        <w:t>(2)</w:t>
      </w:r>
      <w:r w:rsidR="00E94190" w:rsidRPr="00487A15">
        <w:t xml:space="preserve"> of the Credit Act </w:t>
      </w:r>
      <w:r w:rsidR="006964F3" w:rsidRPr="00487A15">
        <w:t xml:space="preserve">provides that the licensee must ensure that its </w:t>
      </w:r>
      <w:r w:rsidR="6AA5FE8C" w:rsidRPr="00487A15">
        <w:t xml:space="preserve">unsuitability assessment </w:t>
      </w:r>
      <w:r w:rsidR="006964F3" w:rsidRPr="00487A15">
        <w:t xml:space="preserve">policy is </w:t>
      </w:r>
      <w:r w:rsidR="002A4701" w:rsidRPr="00487A15">
        <w:t xml:space="preserve">one </w:t>
      </w:r>
      <w:r w:rsidR="002A4701" w:rsidRPr="00924902">
        <w:t xml:space="preserve">that </w:t>
      </w:r>
      <w:r w:rsidR="002A4701" w:rsidRPr="00487A15">
        <w:t xml:space="preserve">will </w:t>
      </w:r>
      <w:r w:rsidR="555CC003" w:rsidRPr="00487A15">
        <w:t>facilitate compliance by</w:t>
      </w:r>
      <w:r w:rsidR="002A4701" w:rsidRPr="00487A15">
        <w:t xml:space="preserve"> the licensee </w:t>
      </w:r>
      <w:r w:rsidR="10D57690" w:rsidRPr="00487A15">
        <w:t>with section</w:t>
      </w:r>
      <w:r w:rsidR="00BC27CB" w:rsidRPr="00487A15">
        <w:t>s</w:t>
      </w:r>
      <w:r w:rsidR="10D57690" w:rsidRPr="00487A15">
        <w:t xml:space="preserve"> 128</w:t>
      </w:r>
      <w:r w:rsidR="005E32E8" w:rsidRPr="00487A15">
        <w:t xml:space="preserve"> and 131</w:t>
      </w:r>
      <w:r w:rsidR="002A4701" w:rsidRPr="00487A15">
        <w:t xml:space="preserve">. </w:t>
      </w:r>
    </w:p>
    <w:p w14:paraId="017ABF6D" w14:textId="6BDA1D7A" w:rsidR="004C5499" w:rsidRDefault="00CE6C9D" w:rsidP="00135DD3">
      <w:pPr>
        <w:pStyle w:val="Bullet"/>
        <w:keepNext/>
        <w:numPr>
          <w:ilvl w:val="0"/>
          <w:numId w:val="0"/>
        </w:numPr>
        <w:spacing w:line="259" w:lineRule="auto"/>
        <w:rPr>
          <w:szCs w:val="24"/>
        </w:rPr>
      </w:pPr>
      <w:r w:rsidRPr="00487A15">
        <w:t xml:space="preserve">Subsection 28HAF(3) </w:t>
      </w:r>
      <w:r w:rsidR="0088171A" w:rsidRPr="00487A15">
        <w:t>sets</w:t>
      </w:r>
      <w:r w:rsidR="0088171A">
        <w:t xml:space="preserve"> out </w:t>
      </w:r>
      <w:r w:rsidR="00456441">
        <w:t xml:space="preserve">that </w:t>
      </w:r>
      <w:r w:rsidR="004C259F">
        <w:t xml:space="preserve">when </w:t>
      </w:r>
      <w:r w:rsidR="005B05FB">
        <w:t xml:space="preserve">undertaking a review of its </w:t>
      </w:r>
      <w:r w:rsidR="37656839">
        <w:t xml:space="preserve">unsuitability assessment </w:t>
      </w:r>
      <w:r w:rsidR="005B05FB">
        <w:t xml:space="preserve">policy, </w:t>
      </w:r>
      <w:r w:rsidR="00456441">
        <w:t>a licensee must</w:t>
      </w:r>
      <w:r w:rsidR="005B05FB">
        <w:t xml:space="preserve"> </w:t>
      </w:r>
      <w:r w:rsidR="008D01DE">
        <w:t xml:space="preserve">assess whether </w:t>
      </w:r>
      <w:r w:rsidR="14D26421">
        <w:t xml:space="preserve">the </w:t>
      </w:r>
      <w:r w:rsidR="008D01DE">
        <w:t xml:space="preserve">policy has facilitated, and will continue to facilitate, compliance by the licensee with </w:t>
      </w:r>
      <w:r w:rsidR="009A05A3">
        <w:t>section</w:t>
      </w:r>
      <w:r w:rsidR="00BC27CB">
        <w:t>s</w:t>
      </w:r>
      <w:r w:rsidR="009A05A3">
        <w:t xml:space="preserve"> 128</w:t>
      </w:r>
      <w:r w:rsidR="008D01DE">
        <w:t xml:space="preserve"> </w:t>
      </w:r>
      <w:r w:rsidR="00BC27CB">
        <w:t xml:space="preserve">and 131 </w:t>
      </w:r>
      <w:r w:rsidR="008D01DE">
        <w:t>of the Credit Act</w:t>
      </w:r>
      <w:r w:rsidR="005A3CB9">
        <w:t>,</w:t>
      </w:r>
      <w:r w:rsidR="00A840EF">
        <w:t xml:space="preserve"> as </w:t>
      </w:r>
      <w:r w:rsidR="00BC27CB">
        <w:t>those sections apply</w:t>
      </w:r>
      <w:r w:rsidR="00A840EF">
        <w:t xml:space="preserve"> in relation to LCCCs. </w:t>
      </w:r>
      <w:r w:rsidR="005A3CB9">
        <w:t xml:space="preserve">The licensee must also identify any changes to the policy that would enable </w:t>
      </w:r>
      <w:r w:rsidR="001860C9">
        <w:t xml:space="preserve">the policy to better facilitate such compliance. </w:t>
      </w:r>
      <w:r w:rsidR="0C8DB5D1">
        <w:t xml:space="preserve">Compliance with subsection 28HAF(3) is contingent on </w:t>
      </w:r>
      <w:r w:rsidR="40E9B976">
        <w:t>fulfilment of s</w:t>
      </w:r>
      <w:r w:rsidR="46ADA0D0">
        <w:t>ubsection 28HAF(4)</w:t>
      </w:r>
      <w:r w:rsidR="40E9B976">
        <w:t>, which</w:t>
      </w:r>
      <w:r w:rsidR="46ADA0D0">
        <w:t xml:space="preserve"> </w:t>
      </w:r>
      <w:r w:rsidR="41C8BA3B">
        <w:t xml:space="preserve">outlines the </w:t>
      </w:r>
      <w:r w:rsidR="0B4F894C">
        <w:t xml:space="preserve">requirements for the </w:t>
      </w:r>
      <w:r w:rsidR="4BE1A06A">
        <w:t xml:space="preserve">information and evidence that a licensee must </w:t>
      </w:r>
      <w:r w:rsidR="005760E3">
        <w:t>ve</w:t>
      </w:r>
      <w:r w:rsidR="7AADD58E">
        <w:t xml:space="preserve"> regard to</w:t>
      </w:r>
      <w:r w:rsidR="24119976">
        <w:t xml:space="preserve"> when </w:t>
      </w:r>
      <w:r w:rsidR="59DEB9FE">
        <w:t>carrying out a review. T</w:t>
      </w:r>
      <w:r w:rsidR="0C0A9BD6">
        <w:t>he licensee must reasonably believe t</w:t>
      </w:r>
      <w:r w:rsidR="59DEB9FE">
        <w:t>h</w:t>
      </w:r>
      <w:r w:rsidR="32B5732E">
        <w:t>e</w:t>
      </w:r>
      <w:r w:rsidR="59DEB9FE">
        <w:t xml:space="preserve"> information and evidence </w:t>
      </w:r>
      <w:r w:rsidR="7D68E639">
        <w:t>to be</w:t>
      </w:r>
      <w:r w:rsidR="59DEB9FE">
        <w:t xml:space="preserve"> accurate, and </w:t>
      </w:r>
      <w:r w:rsidR="71281091">
        <w:t>that they</w:t>
      </w:r>
      <w:r w:rsidR="59DEB9FE">
        <w:t xml:space="preserve"> provide an appropriate basis for assessing the policy</w:t>
      </w:r>
      <w:r w:rsidR="25378D3D">
        <w:t xml:space="preserve"> and identifying </w:t>
      </w:r>
      <w:r w:rsidR="3F1982F5">
        <w:t xml:space="preserve">any changes to the policy that are </w:t>
      </w:r>
      <w:r w:rsidR="38A476A8">
        <w:t>de</w:t>
      </w:r>
      <w:r w:rsidR="5A86D05D">
        <w:t xml:space="preserve">emed </w:t>
      </w:r>
      <w:r w:rsidR="50DF9773">
        <w:lastRenderedPageBreak/>
        <w:t xml:space="preserve">necessary. </w:t>
      </w:r>
      <w:r w:rsidR="7CFD3ED4">
        <w:t xml:space="preserve">This </w:t>
      </w:r>
      <w:r w:rsidR="209F5FBE">
        <w:t xml:space="preserve">would be expected to include </w:t>
      </w:r>
      <w:r w:rsidR="7A665EB8">
        <w:t>information or evidence</w:t>
      </w:r>
      <w:r w:rsidR="47D94366">
        <w:t xml:space="preserve"> on poor consumer outcomes that indicate</w:t>
      </w:r>
      <w:r w:rsidR="61C68608">
        <w:t>s</w:t>
      </w:r>
      <w:r w:rsidR="47D94366">
        <w:t xml:space="preserve"> unsuitable lending may have occurred</w:t>
      </w:r>
      <w:r w:rsidR="4995446A">
        <w:t xml:space="preserve">. </w:t>
      </w:r>
      <w:r w:rsidR="649BB619">
        <w:t xml:space="preserve">At a minimum, this includes </w:t>
      </w:r>
      <w:r w:rsidR="4C0332B2">
        <w:t xml:space="preserve">the rates at which debts are </w:t>
      </w:r>
      <w:r w:rsidR="34094F16">
        <w:t xml:space="preserve">being </w:t>
      </w:r>
      <w:r w:rsidR="4C0332B2">
        <w:t xml:space="preserve">partially or fully written off, </w:t>
      </w:r>
      <w:r w:rsidR="34094F16">
        <w:t xml:space="preserve">measures of the </w:t>
      </w:r>
      <w:r w:rsidR="4C0332B2">
        <w:t>rates of arrears</w:t>
      </w:r>
      <w:r w:rsidR="47843D8F">
        <w:t>, relevant complaints data</w:t>
      </w:r>
      <w:r w:rsidR="1E7D92C6">
        <w:t xml:space="preserve"> (both under internal and external dispute resolution processes)</w:t>
      </w:r>
      <w:r w:rsidR="47843D8F">
        <w:t xml:space="preserve"> and hardship data. </w:t>
      </w:r>
      <w:r w:rsidR="48A092A2">
        <w:t xml:space="preserve">The licensee is already obliged </w:t>
      </w:r>
      <w:r w:rsidR="47843D8F">
        <w:t xml:space="preserve">to collect complaints and hardship arrangement </w:t>
      </w:r>
      <w:r w:rsidR="00001262">
        <w:t>data</w:t>
      </w:r>
      <w:r w:rsidR="47843D8F">
        <w:t>.</w:t>
      </w:r>
      <w:r w:rsidR="1E7D92C6">
        <w:t xml:space="preserve"> </w:t>
      </w:r>
      <w:r w:rsidR="28A83111">
        <w:t>The</w:t>
      </w:r>
      <w:r w:rsidR="00081CF4">
        <w:t xml:space="preserve"> </w:t>
      </w:r>
      <w:r w:rsidR="7E76E045">
        <w:t>licensee must</w:t>
      </w:r>
      <w:r w:rsidR="007A029D">
        <w:t xml:space="preserve"> also</w:t>
      </w:r>
      <w:r w:rsidR="7E76E045">
        <w:t xml:space="preserve"> already</w:t>
      </w:r>
      <w:r w:rsidR="28A83111">
        <w:t xml:space="preserve"> </w:t>
      </w:r>
      <w:r w:rsidR="6FA0357A">
        <w:t>collect</w:t>
      </w:r>
      <w:r w:rsidR="28A83111">
        <w:t xml:space="preserve"> </w:t>
      </w:r>
      <w:r w:rsidR="72EBA49C">
        <w:t>information</w:t>
      </w:r>
      <w:r w:rsidR="7837A89A">
        <w:t xml:space="preserve"> on consumer outcomes</w:t>
      </w:r>
      <w:r w:rsidR="28A83111">
        <w:t xml:space="preserve"> </w:t>
      </w:r>
      <w:r w:rsidR="6FA0357A">
        <w:t xml:space="preserve">in order to comply with </w:t>
      </w:r>
      <w:r w:rsidR="1E6E53CD">
        <w:t xml:space="preserve">its </w:t>
      </w:r>
      <w:r w:rsidR="6FA0357A">
        <w:t xml:space="preserve">obligations to review the target market determination for the product </w:t>
      </w:r>
      <w:r w:rsidR="7837A89A">
        <w:t xml:space="preserve">as part of </w:t>
      </w:r>
      <w:r w:rsidR="570AEA35">
        <w:t xml:space="preserve">its </w:t>
      </w:r>
      <w:r w:rsidR="1E7D92C6">
        <w:t>design and distribution obligation</w:t>
      </w:r>
      <w:r w:rsidR="7837A89A">
        <w:t>s.</w:t>
      </w:r>
      <w:r w:rsidR="100067C2">
        <w:t xml:space="preserve"> </w:t>
      </w:r>
    </w:p>
    <w:p w14:paraId="2A3B776C" w14:textId="29A9C29D" w:rsidR="00D069D7" w:rsidRDefault="00EA7303" w:rsidP="00784827">
      <w:pPr>
        <w:pStyle w:val="Bullet"/>
        <w:keepNext/>
        <w:numPr>
          <w:ilvl w:val="0"/>
          <w:numId w:val="0"/>
        </w:numPr>
      </w:pPr>
      <w:r>
        <w:t xml:space="preserve">Subsection 28HAF(5) requires that a licensee </w:t>
      </w:r>
      <w:r w:rsidR="00FD4CB7">
        <w:t xml:space="preserve">make changes to its </w:t>
      </w:r>
      <w:r w:rsidR="2BEC2FDF">
        <w:t xml:space="preserve">unsuitability assessment </w:t>
      </w:r>
      <w:r w:rsidR="00FD4CB7">
        <w:t xml:space="preserve">policy if it has identified that such changes are necessary. </w:t>
      </w:r>
      <w:r w:rsidR="009A32A9">
        <w:t xml:space="preserve">It is expected that changes to the policy would be necessary if the </w:t>
      </w:r>
      <w:r w:rsidR="001740E5">
        <w:t xml:space="preserve">licensee has identified that </w:t>
      </w:r>
      <w:r w:rsidR="00FB4160">
        <w:t xml:space="preserve">the policy </w:t>
      </w:r>
      <w:r w:rsidR="00075BDF">
        <w:t xml:space="preserve">does not enable it to comply with </w:t>
      </w:r>
      <w:r w:rsidR="00747DC5">
        <w:t>section</w:t>
      </w:r>
      <w:r w:rsidR="00933BBF">
        <w:t>s</w:t>
      </w:r>
      <w:r w:rsidR="00747DC5">
        <w:t xml:space="preserve"> 128 </w:t>
      </w:r>
      <w:r w:rsidR="00933BBF">
        <w:t xml:space="preserve">and 131 </w:t>
      </w:r>
      <w:r w:rsidR="00747DC5">
        <w:t>of the Credit Act</w:t>
      </w:r>
      <w:r w:rsidR="00164C77">
        <w:t>, or if the licensee identifie</w:t>
      </w:r>
      <w:r w:rsidR="0024395E">
        <w:t xml:space="preserve">s that </w:t>
      </w:r>
      <w:r w:rsidR="00885B6C">
        <w:t xml:space="preserve">it could more fully comply with </w:t>
      </w:r>
      <w:r w:rsidR="00012151">
        <w:t xml:space="preserve">these </w:t>
      </w:r>
      <w:r w:rsidR="741802C7">
        <w:t>obligations</w:t>
      </w:r>
      <w:r w:rsidR="00012151">
        <w:t xml:space="preserve">. </w:t>
      </w:r>
    </w:p>
    <w:p w14:paraId="59C302B6" w14:textId="07391CE0" w:rsidR="00216B83" w:rsidRPr="00502BC7" w:rsidRDefault="4EB581B5" w:rsidP="0044427E">
      <w:pPr>
        <w:spacing w:before="240" w:after="200"/>
        <w:rPr>
          <w:b/>
          <w:bCs/>
        </w:rPr>
      </w:pPr>
      <w:r w:rsidRPr="35C065EC">
        <w:rPr>
          <w:b/>
          <w:bCs/>
        </w:rPr>
        <w:t>Part 7-1A – Low cost credit contracts</w:t>
      </w:r>
    </w:p>
    <w:p w14:paraId="2401E74B" w14:textId="709BCD16" w:rsidR="00C86852" w:rsidRDefault="6CDC28A6" w:rsidP="00C86852">
      <w:pPr>
        <w:pStyle w:val="Bullet"/>
        <w:keepNext/>
        <w:numPr>
          <w:ilvl w:val="0"/>
          <w:numId w:val="0"/>
        </w:numPr>
      </w:pPr>
      <w:r>
        <w:t xml:space="preserve">Item </w:t>
      </w:r>
      <w:r w:rsidR="6A4422A6">
        <w:t xml:space="preserve">4 </w:t>
      </w:r>
      <w:r>
        <w:t xml:space="preserve">inserts Part </w:t>
      </w:r>
      <w:r w:rsidR="74BF58CF">
        <w:t>7-1A</w:t>
      </w:r>
      <w:r>
        <w:t xml:space="preserve"> into the </w:t>
      </w:r>
      <w:r w:rsidRPr="35C065EC">
        <w:rPr>
          <w:i/>
          <w:iCs/>
        </w:rPr>
        <w:t>National Consumer Credit Protection Regulations 2010</w:t>
      </w:r>
      <w:r>
        <w:t xml:space="preserve">. </w:t>
      </w:r>
      <w:r w:rsidR="74BF58CF">
        <w:t xml:space="preserve">Part 7-1A </w:t>
      </w:r>
      <w:r w:rsidR="6DD24EA1">
        <w:t>prescribe</w:t>
      </w:r>
      <w:r w:rsidR="73FCE8F0">
        <w:t>s</w:t>
      </w:r>
      <w:r w:rsidR="6DD24EA1">
        <w:t xml:space="preserve"> the total amount of fees and charges that are, or may be, payable under</w:t>
      </w:r>
      <w:r w:rsidR="568432CB">
        <w:t xml:space="preserve"> a</w:t>
      </w:r>
      <w:r w:rsidR="283F0620">
        <w:t xml:space="preserve"> contact</w:t>
      </w:r>
      <w:r w:rsidR="1C262E40">
        <w:t xml:space="preserve"> </w:t>
      </w:r>
      <w:r w:rsidR="283F0620">
        <w:t>in order to</w:t>
      </w:r>
      <w:r w:rsidR="1C262E40">
        <w:t xml:space="preserve"> satisfy the definition of LCCC in </w:t>
      </w:r>
      <w:r w:rsidR="35BC87BD">
        <w:t xml:space="preserve">paragraph @13C(1)(d) </w:t>
      </w:r>
      <w:r w:rsidR="4343CB62">
        <w:t xml:space="preserve">of </w:t>
      </w:r>
      <w:r w:rsidR="6EA9C8DD">
        <w:t xml:space="preserve">Schedule 1 to </w:t>
      </w:r>
      <w:r w:rsidR="4343CB62">
        <w:t xml:space="preserve">the Credit Act. </w:t>
      </w:r>
    </w:p>
    <w:p w14:paraId="7355B844" w14:textId="1CCC7DBF" w:rsidR="003F3EB4" w:rsidRDefault="56909425" w:rsidP="00C86852">
      <w:pPr>
        <w:pStyle w:val="Bullet"/>
        <w:keepNext/>
        <w:numPr>
          <w:ilvl w:val="0"/>
          <w:numId w:val="0"/>
        </w:numPr>
      </w:pPr>
      <w:r>
        <w:t>Subsection 69E(</w:t>
      </w:r>
      <w:r w:rsidR="45097841">
        <w:t>2</w:t>
      </w:r>
      <w:r>
        <w:t>) provides that in order for a cont</w:t>
      </w:r>
      <w:r w:rsidR="43EC7AA1">
        <w:t>r</w:t>
      </w:r>
      <w:r>
        <w:t>act to be</w:t>
      </w:r>
      <w:r w:rsidR="7ED45D69">
        <w:t xml:space="preserve"> a</w:t>
      </w:r>
      <w:r w:rsidR="47625B82">
        <w:t>n</w:t>
      </w:r>
      <w:r w:rsidR="7ED45D69">
        <w:t xml:space="preserve"> LCCC the total amount of fees and charges (other than default fees or charges) that are, or may be, payable under the contract</w:t>
      </w:r>
      <w:r w:rsidR="29890343">
        <w:t xml:space="preserve"> in a 12-month period</w:t>
      </w:r>
      <w:r w:rsidR="7ED45D69">
        <w:t xml:space="preserve"> must not </w:t>
      </w:r>
      <w:r w:rsidR="024C5C00">
        <w:t>exceed</w:t>
      </w:r>
      <w:r w:rsidR="7ED45D69">
        <w:t xml:space="preserve"> $200 </w:t>
      </w:r>
      <w:r w:rsidR="46A48678">
        <w:t>for the 12-month period commencing when the debtor enters into the contract</w:t>
      </w:r>
      <w:r w:rsidR="7ED45D69">
        <w:t xml:space="preserve"> and $125 in any subsequent </w:t>
      </w:r>
      <w:r w:rsidR="46A48678">
        <w:t>12-month period during which the contract is in effect</w:t>
      </w:r>
      <w:r w:rsidR="43EC7AA1">
        <w:t xml:space="preserve">. </w:t>
      </w:r>
      <w:r w:rsidR="682F82A2">
        <w:t xml:space="preserve">However, </w:t>
      </w:r>
      <w:r w:rsidR="580E66C3">
        <w:t xml:space="preserve">if </w:t>
      </w:r>
      <w:r w:rsidR="682F82A2">
        <w:t>w</w:t>
      </w:r>
      <w:r w:rsidR="3B612738">
        <w:t>hen the cont</w:t>
      </w:r>
      <w:r w:rsidR="33C46D90">
        <w:t>ract is entered into the debtor is already, or was within the previous 12 months, a party to a</w:t>
      </w:r>
      <w:r w:rsidR="6A14E08B">
        <w:t>n</w:t>
      </w:r>
      <w:r w:rsidR="33C46D90">
        <w:t xml:space="preserve"> LCCC with the credit provider or an associate</w:t>
      </w:r>
      <w:r w:rsidR="581070EB">
        <w:t xml:space="preserve"> neither of which is an ADI, </w:t>
      </w:r>
      <w:r w:rsidR="487FDF80">
        <w:t xml:space="preserve">a </w:t>
      </w:r>
      <w:r w:rsidR="2CFFE4A2">
        <w:t xml:space="preserve">maximum amount </w:t>
      </w:r>
      <w:r w:rsidR="40A2A2AF">
        <w:t xml:space="preserve">of nil </w:t>
      </w:r>
      <w:r w:rsidR="2CFFE4A2">
        <w:t xml:space="preserve">applies. </w:t>
      </w:r>
    </w:p>
    <w:p w14:paraId="352F9EAD" w14:textId="73F1966B" w:rsidR="00E76F41" w:rsidRDefault="4904412D" w:rsidP="00E76F41">
      <w:pPr>
        <w:pStyle w:val="Bullet"/>
        <w:keepNext/>
        <w:numPr>
          <w:ilvl w:val="0"/>
          <w:numId w:val="0"/>
        </w:numPr>
      </w:pPr>
      <w:r>
        <w:t>Subsection 69</w:t>
      </w:r>
      <w:r w:rsidR="679B2BC0">
        <w:t>E</w:t>
      </w:r>
      <w:r>
        <w:t>(3) provides that in order for a contract to be a</w:t>
      </w:r>
      <w:r w:rsidR="327143A6">
        <w:t>n</w:t>
      </w:r>
      <w:r>
        <w:t xml:space="preserve"> LCCC the total amount of default fees or charges that are, or may be, payable under </w:t>
      </w:r>
      <w:r w:rsidR="682F82A2">
        <w:t xml:space="preserve">the contract in a month of the contract must not exceed $10. </w:t>
      </w:r>
      <w:r w:rsidR="7790E5B6">
        <w:t xml:space="preserve">However, </w:t>
      </w:r>
      <w:r w:rsidR="109EF7FC">
        <w:t xml:space="preserve">if </w:t>
      </w:r>
      <w:r w:rsidR="7790E5B6">
        <w:t>when the contract is entered into the debtor is already, or was within the previous 12 months, a party to a</w:t>
      </w:r>
      <w:r w:rsidR="78CEBBD9">
        <w:t>n</w:t>
      </w:r>
      <w:r w:rsidR="7790E5B6">
        <w:t xml:space="preserve"> LCCC with the credit provider or an associate neither of which is an ADI, </w:t>
      </w:r>
      <w:r w:rsidR="1021162E">
        <w:t>a</w:t>
      </w:r>
      <w:r w:rsidR="7790E5B6">
        <w:t xml:space="preserve"> maximum amount </w:t>
      </w:r>
      <w:r w:rsidR="1021162E">
        <w:t xml:space="preserve">of nil </w:t>
      </w:r>
      <w:r w:rsidR="7790E5B6">
        <w:t xml:space="preserve">applies. </w:t>
      </w:r>
    </w:p>
    <w:p w14:paraId="69839D2F" w14:textId="6E13BFE4" w:rsidR="00E24421" w:rsidRDefault="5319EA96" w:rsidP="00C86852">
      <w:pPr>
        <w:pStyle w:val="Bullet"/>
        <w:keepNext/>
        <w:numPr>
          <w:ilvl w:val="0"/>
          <w:numId w:val="0"/>
        </w:numPr>
      </w:pPr>
      <w:r>
        <w:t xml:space="preserve">Subsection 69E(4) </w:t>
      </w:r>
      <w:r w:rsidR="10223C12">
        <w:t xml:space="preserve">clarifies </w:t>
      </w:r>
      <w:r w:rsidR="73F43766">
        <w:t xml:space="preserve">that </w:t>
      </w:r>
      <w:r w:rsidR="55985B79">
        <w:t>a month for the purposes of subsection 69</w:t>
      </w:r>
      <w:r w:rsidR="5D851C4A">
        <w:t>E</w:t>
      </w:r>
      <w:r w:rsidR="55985B79">
        <w:t>(3) includes the month commencing when the debtor enters into the contract and any later month during which the contract is in effect.</w:t>
      </w:r>
    </w:p>
    <w:p w14:paraId="0D6C7DCF" w14:textId="3F9B9587" w:rsidR="001860C9" w:rsidRDefault="001E2ACD" w:rsidP="00784827">
      <w:pPr>
        <w:pStyle w:val="Bullet"/>
        <w:keepNext/>
        <w:numPr>
          <w:ilvl w:val="0"/>
          <w:numId w:val="0"/>
        </w:numPr>
        <w:rPr>
          <w:b/>
          <w:bCs/>
        </w:rPr>
      </w:pPr>
      <w:r>
        <w:rPr>
          <w:b/>
          <w:bCs/>
        </w:rPr>
        <w:t>Part 2</w:t>
      </w:r>
      <w:r w:rsidRPr="003C3F6D">
        <w:rPr>
          <w:b/>
          <w:bCs/>
        </w:rPr>
        <w:t>—</w:t>
      </w:r>
      <w:r>
        <w:rPr>
          <w:b/>
          <w:bCs/>
        </w:rPr>
        <w:t>Other amendments</w:t>
      </w:r>
    </w:p>
    <w:p w14:paraId="0DD0CE28" w14:textId="1000F5F9" w:rsidR="00757B95" w:rsidRPr="00B66047" w:rsidRDefault="60C3D37A" w:rsidP="00EB4B0F">
      <w:pPr>
        <w:pStyle w:val="Bullet"/>
        <w:keepNext/>
        <w:numPr>
          <w:ilvl w:val="0"/>
          <w:numId w:val="0"/>
        </w:numPr>
      </w:pPr>
      <w:r>
        <w:t xml:space="preserve">Item </w:t>
      </w:r>
      <w:r w:rsidR="3767A46F">
        <w:t>5</w:t>
      </w:r>
      <w:r>
        <w:t xml:space="preserve"> </w:t>
      </w:r>
      <w:r w:rsidR="4D4A347F">
        <w:t>amends subsection 79C(1) of the</w:t>
      </w:r>
      <w:r w:rsidR="0F8D0184">
        <w:t xml:space="preserve"> </w:t>
      </w:r>
      <w:r w:rsidR="0F8D0184" w:rsidRPr="11A03816">
        <w:rPr>
          <w:i/>
          <w:iCs/>
        </w:rPr>
        <w:t>National Consumer Credit Protection Regulations 2010</w:t>
      </w:r>
      <w:r w:rsidR="62D16B7B">
        <w:t xml:space="preserve"> to omit the reference to subsection 39C(1) and instead substitute section 39C. </w:t>
      </w:r>
      <w:r w:rsidR="2B767E2F">
        <w:t>This amendment is consequential to amendments made by</w:t>
      </w:r>
      <w:r w:rsidR="6162333A">
        <w:t xml:space="preserve"> the</w:t>
      </w:r>
      <w:r w:rsidR="2B767E2F">
        <w:t xml:space="preserve"> </w:t>
      </w:r>
      <w:r w:rsidR="0044427E" w:rsidRPr="0044427E">
        <w:rPr>
          <w:i/>
          <w:iCs/>
        </w:rPr>
        <w:t>Treasury Laws Amendment Bill 2024: Buy now, pay later</w:t>
      </w:r>
      <w:r w:rsidR="6162333A">
        <w:t xml:space="preserve"> to repeal subsection 39C(2) of the Credit Code</w:t>
      </w:r>
      <w:r w:rsidR="0EB159A3">
        <w:t xml:space="preserve"> which is no longer necessary.</w:t>
      </w:r>
      <w:r w:rsidR="00584D43">
        <w:t xml:space="preserve"> </w:t>
      </w:r>
    </w:p>
    <w:p w14:paraId="37B74E77" w14:textId="3912CAC3" w:rsidR="00E37FF7" w:rsidRPr="00C84FA0" w:rsidRDefault="00E37FF7" w:rsidP="004A27A8">
      <w:pPr>
        <w:spacing w:before="240"/>
      </w:pPr>
    </w:p>
    <w:sectPr w:rsidR="00E37FF7" w:rsidRPr="00C84FA0" w:rsidSect="004A27A8">
      <w:headerReference w:type="default" r:id="rId9"/>
      <w:footerReference w:type="default" r:id="rId10"/>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78418" w14:textId="77777777" w:rsidR="00F80D81" w:rsidRDefault="00F80D81" w:rsidP="00954679">
      <w:pPr>
        <w:spacing w:before="0" w:after="0"/>
      </w:pPr>
      <w:r>
        <w:separator/>
      </w:r>
    </w:p>
  </w:endnote>
  <w:endnote w:type="continuationSeparator" w:id="0">
    <w:p w14:paraId="6D37E800" w14:textId="77777777" w:rsidR="00F80D81" w:rsidRDefault="00F80D81" w:rsidP="00954679">
      <w:pPr>
        <w:spacing w:before="0" w:after="0"/>
      </w:pPr>
      <w:r>
        <w:continuationSeparator/>
      </w:r>
    </w:p>
  </w:endnote>
  <w:endnote w:type="continuationNotice" w:id="1">
    <w:p w14:paraId="7B70CAD7" w14:textId="77777777" w:rsidR="00F80D81" w:rsidRDefault="00F80D8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itica">
    <w:altName w:val="Arial"/>
    <w:panose1 w:val="00000000000000000000"/>
    <w:charset w:val="00"/>
    <w:family w:val="roman"/>
    <w:notTrueType/>
    <w:pitch w:val="default"/>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92673CC"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E61B0" w14:textId="77777777" w:rsidR="00F80D81" w:rsidRDefault="00F80D81" w:rsidP="00954679">
      <w:pPr>
        <w:spacing w:before="0" w:after="0"/>
      </w:pPr>
      <w:r>
        <w:separator/>
      </w:r>
    </w:p>
  </w:footnote>
  <w:footnote w:type="continuationSeparator" w:id="0">
    <w:p w14:paraId="6994005B" w14:textId="77777777" w:rsidR="00F80D81" w:rsidRDefault="00F80D81" w:rsidP="00954679">
      <w:pPr>
        <w:spacing w:before="0" w:after="0"/>
      </w:pPr>
      <w:r>
        <w:continuationSeparator/>
      </w:r>
    </w:p>
  </w:footnote>
  <w:footnote w:type="continuationNotice" w:id="1">
    <w:p w14:paraId="0CC065D7" w14:textId="77777777" w:rsidR="00F80D81" w:rsidRDefault="00F80D8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AAE1" w14:textId="745C48FB" w:rsidR="00F6430E" w:rsidRPr="00F362FE" w:rsidRDefault="00F6430E" w:rsidP="00F6430E">
    <w:pPr>
      <w:pStyle w:val="Header"/>
      <w:jc w:val="center"/>
      <w:rPr>
        <w:b/>
        <w:bCs/>
        <w:sz w:val="28"/>
        <w:szCs w:val="22"/>
      </w:rPr>
    </w:pPr>
    <w:r w:rsidRPr="00F362FE">
      <w:rPr>
        <w:b/>
        <w:bCs/>
        <w:sz w:val="28"/>
        <w:szCs w:val="22"/>
      </w:rPr>
      <w:t>EXPOSURE DRAFT</w:t>
    </w:r>
  </w:p>
  <w:p w14:paraId="0150DB21" w14:textId="77777777" w:rsidR="00F6430E" w:rsidRDefault="00F64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9170CA0"/>
    <w:multiLevelType w:val="multilevel"/>
    <w:tmpl w:val="4118A43C"/>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1"/>
  </w:num>
  <w:num w:numId="4">
    <w:abstractNumId w:val="0"/>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2"/>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9">
    <w:abstractNumId w:val="2"/>
  </w:num>
  <w:num w:numId="20">
    <w:abstractNumId w:val="5"/>
  </w:num>
  <w:num w:numId="21">
    <w:abstractNumId w:val="5"/>
  </w:num>
  <w:num w:numId="22">
    <w:abstractNumId w:val="5"/>
  </w:num>
  <w:num w:numId="23">
    <w:abstractNumId w:val="5"/>
  </w:num>
  <w:num w:numId="24">
    <w:abstractNumId w:val="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B1E"/>
    <w:rsid w:val="0000029D"/>
    <w:rsid w:val="00000FDD"/>
    <w:rsid w:val="00001262"/>
    <w:rsid w:val="000026BE"/>
    <w:rsid w:val="00002B9A"/>
    <w:rsid w:val="00003189"/>
    <w:rsid w:val="00005062"/>
    <w:rsid w:val="000053C0"/>
    <w:rsid w:val="00005B51"/>
    <w:rsid w:val="0000628C"/>
    <w:rsid w:val="00006981"/>
    <w:rsid w:val="00010284"/>
    <w:rsid w:val="00012151"/>
    <w:rsid w:val="00013390"/>
    <w:rsid w:val="00013A63"/>
    <w:rsid w:val="00015284"/>
    <w:rsid w:val="0001556A"/>
    <w:rsid w:val="0001561E"/>
    <w:rsid w:val="000160BE"/>
    <w:rsid w:val="00016EA2"/>
    <w:rsid w:val="00017C0E"/>
    <w:rsid w:val="00017DBE"/>
    <w:rsid w:val="0002063D"/>
    <w:rsid w:val="00021C38"/>
    <w:rsid w:val="000241F3"/>
    <w:rsid w:val="0002546A"/>
    <w:rsid w:val="00026127"/>
    <w:rsid w:val="000276E8"/>
    <w:rsid w:val="00027E4F"/>
    <w:rsid w:val="0003065E"/>
    <w:rsid w:val="00031AE1"/>
    <w:rsid w:val="00031EE0"/>
    <w:rsid w:val="00035442"/>
    <w:rsid w:val="0003616B"/>
    <w:rsid w:val="00036593"/>
    <w:rsid w:val="0003680E"/>
    <w:rsid w:val="00037834"/>
    <w:rsid w:val="00037B85"/>
    <w:rsid w:val="00040EFC"/>
    <w:rsid w:val="00041A69"/>
    <w:rsid w:val="00041C87"/>
    <w:rsid w:val="00043732"/>
    <w:rsid w:val="000455BA"/>
    <w:rsid w:val="00046C9D"/>
    <w:rsid w:val="00046F4E"/>
    <w:rsid w:val="000471A1"/>
    <w:rsid w:val="00050726"/>
    <w:rsid w:val="00050EF7"/>
    <w:rsid w:val="00051648"/>
    <w:rsid w:val="00051A69"/>
    <w:rsid w:val="000524A9"/>
    <w:rsid w:val="0005316A"/>
    <w:rsid w:val="000547DB"/>
    <w:rsid w:val="00055337"/>
    <w:rsid w:val="0005563F"/>
    <w:rsid w:val="00055C6B"/>
    <w:rsid w:val="000566C1"/>
    <w:rsid w:val="00057D11"/>
    <w:rsid w:val="00062544"/>
    <w:rsid w:val="00062C1A"/>
    <w:rsid w:val="0006457E"/>
    <w:rsid w:val="00065388"/>
    <w:rsid w:val="00066B75"/>
    <w:rsid w:val="00070A4E"/>
    <w:rsid w:val="000718A6"/>
    <w:rsid w:val="00071B03"/>
    <w:rsid w:val="00074CF9"/>
    <w:rsid w:val="00075A77"/>
    <w:rsid w:val="00075BDF"/>
    <w:rsid w:val="00075C19"/>
    <w:rsid w:val="00075ED7"/>
    <w:rsid w:val="00076178"/>
    <w:rsid w:val="00076E15"/>
    <w:rsid w:val="00076FF9"/>
    <w:rsid w:val="000778BC"/>
    <w:rsid w:val="00080673"/>
    <w:rsid w:val="000806A2"/>
    <w:rsid w:val="00080764"/>
    <w:rsid w:val="00081CF4"/>
    <w:rsid w:val="0008209D"/>
    <w:rsid w:val="0008209E"/>
    <w:rsid w:val="0008402E"/>
    <w:rsid w:val="000851DA"/>
    <w:rsid w:val="000854E0"/>
    <w:rsid w:val="00086C09"/>
    <w:rsid w:val="00087101"/>
    <w:rsid w:val="0008741E"/>
    <w:rsid w:val="00087B6B"/>
    <w:rsid w:val="0009465C"/>
    <w:rsid w:val="00095211"/>
    <w:rsid w:val="000A49A0"/>
    <w:rsid w:val="000A56F9"/>
    <w:rsid w:val="000A5C6F"/>
    <w:rsid w:val="000A69C5"/>
    <w:rsid w:val="000A73C6"/>
    <w:rsid w:val="000A9A20"/>
    <w:rsid w:val="000B39A1"/>
    <w:rsid w:val="000B7EA3"/>
    <w:rsid w:val="000C10DF"/>
    <w:rsid w:val="000C2E12"/>
    <w:rsid w:val="000C3ECC"/>
    <w:rsid w:val="000C4B61"/>
    <w:rsid w:val="000C5B7D"/>
    <w:rsid w:val="000C5C40"/>
    <w:rsid w:val="000C6935"/>
    <w:rsid w:val="000C6E78"/>
    <w:rsid w:val="000C711A"/>
    <w:rsid w:val="000C76E2"/>
    <w:rsid w:val="000D11E5"/>
    <w:rsid w:val="000D2234"/>
    <w:rsid w:val="000D4FD3"/>
    <w:rsid w:val="000D5744"/>
    <w:rsid w:val="000D5827"/>
    <w:rsid w:val="000D59B4"/>
    <w:rsid w:val="000D5A6D"/>
    <w:rsid w:val="000D6D3B"/>
    <w:rsid w:val="000E1100"/>
    <w:rsid w:val="000E1BC0"/>
    <w:rsid w:val="000E32E3"/>
    <w:rsid w:val="000E363E"/>
    <w:rsid w:val="000F1E6D"/>
    <w:rsid w:val="000F1F12"/>
    <w:rsid w:val="000F2188"/>
    <w:rsid w:val="000F3A05"/>
    <w:rsid w:val="000F53D9"/>
    <w:rsid w:val="000F5587"/>
    <w:rsid w:val="000F6915"/>
    <w:rsid w:val="000F732A"/>
    <w:rsid w:val="00100B04"/>
    <w:rsid w:val="00100FCD"/>
    <w:rsid w:val="001012C2"/>
    <w:rsid w:val="00102DC4"/>
    <w:rsid w:val="001043D5"/>
    <w:rsid w:val="001047A3"/>
    <w:rsid w:val="00105788"/>
    <w:rsid w:val="00112E47"/>
    <w:rsid w:val="00113B45"/>
    <w:rsid w:val="00113E1B"/>
    <w:rsid w:val="00114003"/>
    <w:rsid w:val="0011527C"/>
    <w:rsid w:val="00116E71"/>
    <w:rsid w:val="00117A04"/>
    <w:rsid w:val="00117C02"/>
    <w:rsid w:val="001200E2"/>
    <w:rsid w:val="0012221E"/>
    <w:rsid w:val="00122798"/>
    <w:rsid w:val="00122D85"/>
    <w:rsid w:val="00123163"/>
    <w:rsid w:val="0012327A"/>
    <w:rsid w:val="00125A38"/>
    <w:rsid w:val="00126F38"/>
    <w:rsid w:val="001274A7"/>
    <w:rsid w:val="001276B4"/>
    <w:rsid w:val="00127ED9"/>
    <w:rsid w:val="00130598"/>
    <w:rsid w:val="001319C8"/>
    <w:rsid w:val="00131E34"/>
    <w:rsid w:val="00132D27"/>
    <w:rsid w:val="001331B7"/>
    <w:rsid w:val="00133D7A"/>
    <w:rsid w:val="00134CBE"/>
    <w:rsid w:val="0013577E"/>
    <w:rsid w:val="00135DD3"/>
    <w:rsid w:val="00137174"/>
    <w:rsid w:val="00141756"/>
    <w:rsid w:val="001421BD"/>
    <w:rsid w:val="00142BCF"/>
    <w:rsid w:val="0014608E"/>
    <w:rsid w:val="00150FCF"/>
    <w:rsid w:val="001535F7"/>
    <w:rsid w:val="001539BF"/>
    <w:rsid w:val="00154DD3"/>
    <w:rsid w:val="00156DEF"/>
    <w:rsid w:val="001578DF"/>
    <w:rsid w:val="001610D9"/>
    <w:rsid w:val="00161A59"/>
    <w:rsid w:val="0016318D"/>
    <w:rsid w:val="00163BAE"/>
    <w:rsid w:val="00164C77"/>
    <w:rsid w:val="00165831"/>
    <w:rsid w:val="00165BBC"/>
    <w:rsid w:val="00165DD5"/>
    <w:rsid w:val="00167005"/>
    <w:rsid w:val="0016721D"/>
    <w:rsid w:val="00172071"/>
    <w:rsid w:val="00172B5A"/>
    <w:rsid w:val="00173175"/>
    <w:rsid w:val="001740E5"/>
    <w:rsid w:val="00174A3A"/>
    <w:rsid w:val="001762BD"/>
    <w:rsid w:val="001779D7"/>
    <w:rsid w:val="00180190"/>
    <w:rsid w:val="00180BCF"/>
    <w:rsid w:val="00182E56"/>
    <w:rsid w:val="00183A1B"/>
    <w:rsid w:val="00184E7A"/>
    <w:rsid w:val="001860C9"/>
    <w:rsid w:val="00187857"/>
    <w:rsid w:val="001909A8"/>
    <w:rsid w:val="00195398"/>
    <w:rsid w:val="00195A29"/>
    <w:rsid w:val="0019609C"/>
    <w:rsid w:val="001965EA"/>
    <w:rsid w:val="001A2B89"/>
    <w:rsid w:val="001A4A42"/>
    <w:rsid w:val="001A6A38"/>
    <w:rsid w:val="001B05D6"/>
    <w:rsid w:val="001B2CBF"/>
    <w:rsid w:val="001B2FC8"/>
    <w:rsid w:val="001B35C9"/>
    <w:rsid w:val="001B4919"/>
    <w:rsid w:val="001B5191"/>
    <w:rsid w:val="001B57B7"/>
    <w:rsid w:val="001B5E04"/>
    <w:rsid w:val="001B5FBB"/>
    <w:rsid w:val="001B696C"/>
    <w:rsid w:val="001B7535"/>
    <w:rsid w:val="001B7EC2"/>
    <w:rsid w:val="001C01B2"/>
    <w:rsid w:val="001C0477"/>
    <w:rsid w:val="001C0FA3"/>
    <w:rsid w:val="001C11F7"/>
    <w:rsid w:val="001C12F2"/>
    <w:rsid w:val="001C4B3F"/>
    <w:rsid w:val="001C6E16"/>
    <w:rsid w:val="001C77EA"/>
    <w:rsid w:val="001D55F2"/>
    <w:rsid w:val="001D6E4B"/>
    <w:rsid w:val="001E02F5"/>
    <w:rsid w:val="001E0C3E"/>
    <w:rsid w:val="001E1048"/>
    <w:rsid w:val="001E2ACD"/>
    <w:rsid w:val="001E3819"/>
    <w:rsid w:val="001E6A74"/>
    <w:rsid w:val="001E7403"/>
    <w:rsid w:val="001E7D2F"/>
    <w:rsid w:val="001F2C75"/>
    <w:rsid w:val="001F2DD4"/>
    <w:rsid w:val="001F3215"/>
    <w:rsid w:val="001F41D0"/>
    <w:rsid w:val="001F462C"/>
    <w:rsid w:val="001F64E8"/>
    <w:rsid w:val="001F7616"/>
    <w:rsid w:val="001F78FF"/>
    <w:rsid w:val="00201068"/>
    <w:rsid w:val="002051E4"/>
    <w:rsid w:val="002067A5"/>
    <w:rsid w:val="002073BD"/>
    <w:rsid w:val="002077E2"/>
    <w:rsid w:val="00210E1B"/>
    <w:rsid w:val="00211281"/>
    <w:rsid w:val="00212FF8"/>
    <w:rsid w:val="002148FA"/>
    <w:rsid w:val="002149C2"/>
    <w:rsid w:val="00216B83"/>
    <w:rsid w:val="00217832"/>
    <w:rsid w:val="00220F16"/>
    <w:rsid w:val="00221082"/>
    <w:rsid w:val="00221EE2"/>
    <w:rsid w:val="00222E97"/>
    <w:rsid w:val="0022389B"/>
    <w:rsid w:val="00224A34"/>
    <w:rsid w:val="00225253"/>
    <w:rsid w:val="00226023"/>
    <w:rsid w:val="00227483"/>
    <w:rsid w:val="002276AE"/>
    <w:rsid w:val="00231231"/>
    <w:rsid w:val="00231668"/>
    <w:rsid w:val="00231837"/>
    <w:rsid w:val="0023220F"/>
    <w:rsid w:val="002349A0"/>
    <w:rsid w:val="00235809"/>
    <w:rsid w:val="00236AFC"/>
    <w:rsid w:val="00236F46"/>
    <w:rsid w:val="00240D31"/>
    <w:rsid w:val="00240E13"/>
    <w:rsid w:val="0024148E"/>
    <w:rsid w:val="0024245F"/>
    <w:rsid w:val="00242975"/>
    <w:rsid w:val="0024395E"/>
    <w:rsid w:val="00252043"/>
    <w:rsid w:val="00254C5B"/>
    <w:rsid w:val="00255B34"/>
    <w:rsid w:val="00257295"/>
    <w:rsid w:val="00260CEE"/>
    <w:rsid w:val="00261784"/>
    <w:rsid w:val="00261C2A"/>
    <w:rsid w:val="0026234A"/>
    <w:rsid w:val="00264E11"/>
    <w:rsid w:val="002674DA"/>
    <w:rsid w:val="00270BD0"/>
    <w:rsid w:val="00270E4F"/>
    <w:rsid w:val="0027118E"/>
    <w:rsid w:val="002725F4"/>
    <w:rsid w:val="00273A67"/>
    <w:rsid w:val="0027480C"/>
    <w:rsid w:val="002771E5"/>
    <w:rsid w:val="00277660"/>
    <w:rsid w:val="00277840"/>
    <w:rsid w:val="002778FC"/>
    <w:rsid w:val="00277D47"/>
    <w:rsid w:val="002801B8"/>
    <w:rsid w:val="00280728"/>
    <w:rsid w:val="00281A46"/>
    <w:rsid w:val="00281BE8"/>
    <w:rsid w:val="00281CFB"/>
    <w:rsid w:val="00281D0B"/>
    <w:rsid w:val="0028309B"/>
    <w:rsid w:val="00283F19"/>
    <w:rsid w:val="002854BD"/>
    <w:rsid w:val="0028691A"/>
    <w:rsid w:val="00287C5A"/>
    <w:rsid w:val="00292E05"/>
    <w:rsid w:val="00293839"/>
    <w:rsid w:val="002948EE"/>
    <w:rsid w:val="00294F1C"/>
    <w:rsid w:val="002955A0"/>
    <w:rsid w:val="002956E4"/>
    <w:rsid w:val="0029799A"/>
    <w:rsid w:val="002A1236"/>
    <w:rsid w:val="002A21BD"/>
    <w:rsid w:val="002A342F"/>
    <w:rsid w:val="002A3C80"/>
    <w:rsid w:val="002A3D29"/>
    <w:rsid w:val="002A4701"/>
    <w:rsid w:val="002A48AB"/>
    <w:rsid w:val="002A4A05"/>
    <w:rsid w:val="002A5E27"/>
    <w:rsid w:val="002A682E"/>
    <w:rsid w:val="002A6DA4"/>
    <w:rsid w:val="002A7B74"/>
    <w:rsid w:val="002A7DE8"/>
    <w:rsid w:val="002A7E1F"/>
    <w:rsid w:val="002B00DF"/>
    <w:rsid w:val="002B2511"/>
    <w:rsid w:val="002B2F25"/>
    <w:rsid w:val="002B39FA"/>
    <w:rsid w:val="002B3EA7"/>
    <w:rsid w:val="002B4C57"/>
    <w:rsid w:val="002B705A"/>
    <w:rsid w:val="002C0792"/>
    <w:rsid w:val="002C0A5A"/>
    <w:rsid w:val="002C226C"/>
    <w:rsid w:val="002C2CD2"/>
    <w:rsid w:val="002C3EE2"/>
    <w:rsid w:val="002C52DE"/>
    <w:rsid w:val="002C57A1"/>
    <w:rsid w:val="002C59CE"/>
    <w:rsid w:val="002C7A8B"/>
    <w:rsid w:val="002D05F1"/>
    <w:rsid w:val="002D30FB"/>
    <w:rsid w:val="002D4B55"/>
    <w:rsid w:val="002D6236"/>
    <w:rsid w:val="002D7CB5"/>
    <w:rsid w:val="002E03C2"/>
    <w:rsid w:val="002E1071"/>
    <w:rsid w:val="002E2BB2"/>
    <w:rsid w:val="002E469E"/>
    <w:rsid w:val="002E55E2"/>
    <w:rsid w:val="002E5C45"/>
    <w:rsid w:val="002E6143"/>
    <w:rsid w:val="002E6AF5"/>
    <w:rsid w:val="002E73BB"/>
    <w:rsid w:val="002E73DD"/>
    <w:rsid w:val="002F022D"/>
    <w:rsid w:val="002F09F5"/>
    <w:rsid w:val="002F4420"/>
    <w:rsid w:val="002F5310"/>
    <w:rsid w:val="002F5C11"/>
    <w:rsid w:val="002F6BB1"/>
    <w:rsid w:val="003009EE"/>
    <w:rsid w:val="00301ED3"/>
    <w:rsid w:val="0030332B"/>
    <w:rsid w:val="003037F8"/>
    <w:rsid w:val="00303C64"/>
    <w:rsid w:val="00303E3F"/>
    <w:rsid w:val="00304184"/>
    <w:rsid w:val="003041FA"/>
    <w:rsid w:val="00304F35"/>
    <w:rsid w:val="00306053"/>
    <w:rsid w:val="00307007"/>
    <w:rsid w:val="00307C59"/>
    <w:rsid w:val="003129D9"/>
    <w:rsid w:val="00312A68"/>
    <w:rsid w:val="003130CA"/>
    <w:rsid w:val="00313637"/>
    <w:rsid w:val="00313CE1"/>
    <w:rsid w:val="0031463D"/>
    <w:rsid w:val="00314C75"/>
    <w:rsid w:val="0031568A"/>
    <w:rsid w:val="00315A3F"/>
    <w:rsid w:val="003163EB"/>
    <w:rsid w:val="00316D4F"/>
    <w:rsid w:val="00319992"/>
    <w:rsid w:val="003206C9"/>
    <w:rsid w:val="0032537D"/>
    <w:rsid w:val="00326788"/>
    <w:rsid w:val="00327105"/>
    <w:rsid w:val="00330E33"/>
    <w:rsid w:val="003322FF"/>
    <w:rsid w:val="00332334"/>
    <w:rsid w:val="0033422A"/>
    <w:rsid w:val="003342CD"/>
    <w:rsid w:val="0033477F"/>
    <w:rsid w:val="00334E86"/>
    <w:rsid w:val="00335042"/>
    <w:rsid w:val="003350A3"/>
    <w:rsid w:val="00335210"/>
    <w:rsid w:val="00335489"/>
    <w:rsid w:val="00336026"/>
    <w:rsid w:val="00336C92"/>
    <w:rsid w:val="003409B3"/>
    <w:rsid w:val="00340A18"/>
    <w:rsid w:val="00341642"/>
    <w:rsid w:val="003437F3"/>
    <w:rsid w:val="003440F4"/>
    <w:rsid w:val="003461BD"/>
    <w:rsid w:val="00346944"/>
    <w:rsid w:val="00346A7B"/>
    <w:rsid w:val="00347308"/>
    <w:rsid w:val="00350B75"/>
    <w:rsid w:val="00350EE4"/>
    <w:rsid w:val="00355872"/>
    <w:rsid w:val="00357733"/>
    <w:rsid w:val="00360AA2"/>
    <w:rsid w:val="00360C0A"/>
    <w:rsid w:val="00361B10"/>
    <w:rsid w:val="0036273F"/>
    <w:rsid w:val="00362B70"/>
    <w:rsid w:val="00362C3C"/>
    <w:rsid w:val="003634B5"/>
    <w:rsid w:val="00364460"/>
    <w:rsid w:val="00364DEE"/>
    <w:rsid w:val="00370395"/>
    <w:rsid w:val="00370584"/>
    <w:rsid w:val="0037180D"/>
    <w:rsid w:val="00373853"/>
    <w:rsid w:val="00376E64"/>
    <w:rsid w:val="00377E69"/>
    <w:rsid w:val="00377F02"/>
    <w:rsid w:val="00381EBD"/>
    <w:rsid w:val="00383C51"/>
    <w:rsid w:val="00384DE1"/>
    <w:rsid w:val="00384E3F"/>
    <w:rsid w:val="00385397"/>
    <w:rsid w:val="00386D54"/>
    <w:rsid w:val="00387688"/>
    <w:rsid w:val="00391C77"/>
    <w:rsid w:val="00392BBA"/>
    <w:rsid w:val="00392C0C"/>
    <w:rsid w:val="00392DE4"/>
    <w:rsid w:val="00392FEB"/>
    <w:rsid w:val="003954FD"/>
    <w:rsid w:val="003978E8"/>
    <w:rsid w:val="003A0450"/>
    <w:rsid w:val="003A0D6E"/>
    <w:rsid w:val="003A11C4"/>
    <w:rsid w:val="003A276D"/>
    <w:rsid w:val="003A34F9"/>
    <w:rsid w:val="003A4939"/>
    <w:rsid w:val="003A4967"/>
    <w:rsid w:val="003A6526"/>
    <w:rsid w:val="003A65E8"/>
    <w:rsid w:val="003B19DD"/>
    <w:rsid w:val="003B1A33"/>
    <w:rsid w:val="003B1AC9"/>
    <w:rsid w:val="003B31F4"/>
    <w:rsid w:val="003B4356"/>
    <w:rsid w:val="003B53C5"/>
    <w:rsid w:val="003B660A"/>
    <w:rsid w:val="003B71F9"/>
    <w:rsid w:val="003B7FF9"/>
    <w:rsid w:val="003C269E"/>
    <w:rsid w:val="003C399C"/>
    <w:rsid w:val="003C3BF1"/>
    <w:rsid w:val="003C3F6D"/>
    <w:rsid w:val="003C445C"/>
    <w:rsid w:val="003C4B14"/>
    <w:rsid w:val="003C5719"/>
    <w:rsid w:val="003C77E4"/>
    <w:rsid w:val="003C7907"/>
    <w:rsid w:val="003C7B82"/>
    <w:rsid w:val="003D066A"/>
    <w:rsid w:val="003D0900"/>
    <w:rsid w:val="003D0B28"/>
    <w:rsid w:val="003D0B99"/>
    <w:rsid w:val="003D35A0"/>
    <w:rsid w:val="003D392B"/>
    <w:rsid w:val="003D508A"/>
    <w:rsid w:val="003D50CF"/>
    <w:rsid w:val="003D5306"/>
    <w:rsid w:val="003D60D7"/>
    <w:rsid w:val="003D75D4"/>
    <w:rsid w:val="003E0411"/>
    <w:rsid w:val="003E0DA2"/>
    <w:rsid w:val="003E1C8F"/>
    <w:rsid w:val="003E1CE3"/>
    <w:rsid w:val="003E77BC"/>
    <w:rsid w:val="003E7F2D"/>
    <w:rsid w:val="003F17A4"/>
    <w:rsid w:val="003F3775"/>
    <w:rsid w:val="003F3B86"/>
    <w:rsid w:val="003F3EB4"/>
    <w:rsid w:val="003F41A6"/>
    <w:rsid w:val="003F4348"/>
    <w:rsid w:val="003F46E5"/>
    <w:rsid w:val="003F4860"/>
    <w:rsid w:val="003F638E"/>
    <w:rsid w:val="003F653B"/>
    <w:rsid w:val="003F7C1F"/>
    <w:rsid w:val="004000AE"/>
    <w:rsid w:val="00400178"/>
    <w:rsid w:val="00402340"/>
    <w:rsid w:val="0040295E"/>
    <w:rsid w:val="00403158"/>
    <w:rsid w:val="00404104"/>
    <w:rsid w:val="00404443"/>
    <w:rsid w:val="004049A9"/>
    <w:rsid w:val="00404FF1"/>
    <w:rsid w:val="0040537A"/>
    <w:rsid w:val="0040709A"/>
    <w:rsid w:val="00412BB6"/>
    <w:rsid w:val="00413505"/>
    <w:rsid w:val="004143B6"/>
    <w:rsid w:val="0041592F"/>
    <w:rsid w:val="004200FD"/>
    <w:rsid w:val="004232A4"/>
    <w:rsid w:val="004242AB"/>
    <w:rsid w:val="0042628C"/>
    <w:rsid w:val="00426358"/>
    <w:rsid w:val="004279A6"/>
    <w:rsid w:val="00433616"/>
    <w:rsid w:val="00434804"/>
    <w:rsid w:val="00435481"/>
    <w:rsid w:val="0043564C"/>
    <w:rsid w:val="00436952"/>
    <w:rsid w:val="00436E8F"/>
    <w:rsid w:val="00440421"/>
    <w:rsid w:val="0044427E"/>
    <w:rsid w:val="00450CF1"/>
    <w:rsid w:val="00450DB3"/>
    <w:rsid w:val="004525CA"/>
    <w:rsid w:val="00452D08"/>
    <w:rsid w:val="00453187"/>
    <w:rsid w:val="00454347"/>
    <w:rsid w:val="00454E2D"/>
    <w:rsid w:val="00456441"/>
    <w:rsid w:val="00456D04"/>
    <w:rsid w:val="004575CB"/>
    <w:rsid w:val="004577E7"/>
    <w:rsid w:val="00460466"/>
    <w:rsid w:val="004610C6"/>
    <w:rsid w:val="00462095"/>
    <w:rsid w:val="0046281F"/>
    <w:rsid w:val="00463727"/>
    <w:rsid w:val="00464356"/>
    <w:rsid w:val="004650AA"/>
    <w:rsid w:val="00466731"/>
    <w:rsid w:val="00466986"/>
    <w:rsid w:val="00466D15"/>
    <w:rsid w:val="00466DD5"/>
    <w:rsid w:val="00466E1A"/>
    <w:rsid w:val="00467E83"/>
    <w:rsid w:val="00470303"/>
    <w:rsid w:val="00470DA0"/>
    <w:rsid w:val="0047265F"/>
    <w:rsid w:val="00473B71"/>
    <w:rsid w:val="004755FE"/>
    <w:rsid w:val="004762C3"/>
    <w:rsid w:val="00482B81"/>
    <w:rsid w:val="00482D4C"/>
    <w:rsid w:val="00483475"/>
    <w:rsid w:val="004838E4"/>
    <w:rsid w:val="00483F5C"/>
    <w:rsid w:val="0048463A"/>
    <w:rsid w:val="0048540A"/>
    <w:rsid w:val="0048798E"/>
    <w:rsid w:val="00487A15"/>
    <w:rsid w:val="00490834"/>
    <w:rsid w:val="00491E4D"/>
    <w:rsid w:val="0049291D"/>
    <w:rsid w:val="00492BF6"/>
    <w:rsid w:val="00493B96"/>
    <w:rsid w:val="00495733"/>
    <w:rsid w:val="00496AF3"/>
    <w:rsid w:val="004971CA"/>
    <w:rsid w:val="00497C48"/>
    <w:rsid w:val="00497C96"/>
    <w:rsid w:val="004A0179"/>
    <w:rsid w:val="004A10CE"/>
    <w:rsid w:val="004A1638"/>
    <w:rsid w:val="004A27A8"/>
    <w:rsid w:val="004A2BE6"/>
    <w:rsid w:val="004A3018"/>
    <w:rsid w:val="004A4499"/>
    <w:rsid w:val="004A651C"/>
    <w:rsid w:val="004A6521"/>
    <w:rsid w:val="004B032F"/>
    <w:rsid w:val="004B06B3"/>
    <w:rsid w:val="004B0CEA"/>
    <w:rsid w:val="004B2E82"/>
    <w:rsid w:val="004B3C0F"/>
    <w:rsid w:val="004B407B"/>
    <w:rsid w:val="004B4609"/>
    <w:rsid w:val="004B4A3C"/>
    <w:rsid w:val="004B4C2A"/>
    <w:rsid w:val="004B5030"/>
    <w:rsid w:val="004B50F3"/>
    <w:rsid w:val="004B6308"/>
    <w:rsid w:val="004C05E4"/>
    <w:rsid w:val="004C15D9"/>
    <w:rsid w:val="004C222E"/>
    <w:rsid w:val="004C259F"/>
    <w:rsid w:val="004C278D"/>
    <w:rsid w:val="004C28DF"/>
    <w:rsid w:val="004C3636"/>
    <w:rsid w:val="004C49BC"/>
    <w:rsid w:val="004C5499"/>
    <w:rsid w:val="004C6ADB"/>
    <w:rsid w:val="004C6C81"/>
    <w:rsid w:val="004D0F77"/>
    <w:rsid w:val="004D1DE9"/>
    <w:rsid w:val="004D2736"/>
    <w:rsid w:val="004D2C23"/>
    <w:rsid w:val="004D4AE5"/>
    <w:rsid w:val="004D52E3"/>
    <w:rsid w:val="004D5C1F"/>
    <w:rsid w:val="004D792E"/>
    <w:rsid w:val="004E2EE7"/>
    <w:rsid w:val="004E3590"/>
    <w:rsid w:val="004E39E1"/>
    <w:rsid w:val="004E45B7"/>
    <w:rsid w:val="004E4DCC"/>
    <w:rsid w:val="004E5117"/>
    <w:rsid w:val="004E52DA"/>
    <w:rsid w:val="004E54B5"/>
    <w:rsid w:val="004E576F"/>
    <w:rsid w:val="004E5E69"/>
    <w:rsid w:val="004E7A65"/>
    <w:rsid w:val="004E7C72"/>
    <w:rsid w:val="004F00BA"/>
    <w:rsid w:val="004F011F"/>
    <w:rsid w:val="004F03F4"/>
    <w:rsid w:val="004F0D96"/>
    <w:rsid w:val="004F47B4"/>
    <w:rsid w:val="004F4C00"/>
    <w:rsid w:val="004F503D"/>
    <w:rsid w:val="004F56D0"/>
    <w:rsid w:val="004F5D12"/>
    <w:rsid w:val="004F64BF"/>
    <w:rsid w:val="004F6B13"/>
    <w:rsid w:val="004F7D6C"/>
    <w:rsid w:val="005010E9"/>
    <w:rsid w:val="0050235E"/>
    <w:rsid w:val="00502BC7"/>
    <w:rsid w:val="00503352"/>
    <w:rsid w:val="00503A99"/>
    <w:rsid w:val="00503E44"/>
    <w:rsid w:val="0050603C"/>
    <w:rsid w:val="0050777E"/>
    <w:rsid w:val="005115C6"/>
    <w:rsid w:val="0051168A"/>
    <w:rsid w:val="00513FE8"/>
    <w:rsid w:val="0051429B"/>
    <w:rsid w:val="00514955"/>
    <w:rsid w:val="00515283"/>
    <w:rsid w:val="00517280"/>
    <w:rsid w:val="005227CE"/>
    <w:rsid w:val="00522908"/>
    <w:rsid w:val="005231C5"/>
    <w:rsid w:val="0052643E"/>
    <w:rsid w:val="00526538"/>
    <w:rsid w:val="005276D5"/>
    <w:rsid w:val="00527E8F"/>
    <w:rsid w:val="005314D4"/>
    <w:rsid w:val="00532103"/>
    <w:rsid w:val="0053271B"/>
    <w:rsid w:val="00532B31"/>
    <w:rsid w:val="00533926"/>
    <w:rsid w:val="00533E1B"/>
    <w:rsid w:val="00533EB9"/>
    <w:rsid w:val="00537FB7"/>
    <w:rsid w:val="00540712"/>
    <w:rsid w:val="00540C4B"/>
    <w:rsid w:val="005411D1"/>
    <w:rsid w:val="00542873"/>
    <w:rsid w:val="00543ED8"/>
    <w:rsid w:val="005447A0"/>
    <w:rsid w:val="00544A0B"/>
    <w:rsid w:val="00544BB1"/>
    <w:rsid w:val="00546E09"/>
    <w:rsid w:val="00550058"/>
    <w:rsid w:val="00551F68"/>
    <w:rsid w:val="00552EC2"/>
    <w:rsid w:val="00553C76"/>
    <w:rsid w:val="00555954"/>
    <w:rsid w:val="0055675D"/>
    <w:rsid w:val="005573C4"/>
    <w:rsid w:val="005612B4"/>
    <w:rsid w:val="00562772"/>
    <w:rsid w:val="00563EAE"/>
    <w:rsid w:val="00566E8F"/>
    <w:rsid w:val="005707D1"/>
    <w:rsid w:val="005709DE"/>
    <w:rsid w:val="005726BA"/>
    <w:rsid w:val="00573FFC"/>
    <w:rsid w:val="0057422E"/>
    <w:rsid w:val="005760E3"/>
    <w:rsid w:val="00580F14"/>
    <w:rsid w:val="0058146B"/>
    <w:rsid w:val="00582D56"/>
    <w:rsid w:val="005833BE"/>
    <w:rsid w:val="0058415F"/>
    <w:rsid w:val="00584D43"/>
    <w:rsid w:val="005858FB"/>
    <w:rsid w:val="00586F5C"/>
    <w:rsid w:val="0059067D"/>
    <w:rsid w:val="0059196B"/>
    <w:rsid w:val="005923DA"/>
    <w:rsid w:val="00592728"/>
    <w:rsid w:val="0059302A"/>
    <w:rsid w:val="0059330A"/>
    <w:rsid w:val="005940A1"/>
    <w:rsid w:val="00596027"/>
    <w:rsid w:val="005A1BF7"/>
    <w:rsid w:val="005A1E83"/>
    <w:rsid w:val="005A2572"/>
    <w:rsid w:val="005A3162"/>
    <w:rsid w:val="005A3CB9"/>
    <w:rsid w:val="005A5679"/>
    <w:rsid w:val="005A6E5A"/>
    <w:rsid w:val="005B05FB"/>
    <w:rsid w:val="005B07F1"/>
    <w:rsid w:val="005B097F"/>
    <w:rsid w:val="005B2EA8"/>
    <w:rsid w:val="005B3AF1"/>
    <w:rsid w:val="005B6B22"/>
    <w:rsid w:val="005B6DBD"/>
    <w:rsid w:val="005C010D"/>
    <w:rsid w:val="005C032C"/>
    <w:rsid w:val="005C2D01"/>
    <w:rsid w:val="005C39DE"/>
    <w:rsid w:val="005C73D6"/>
    <w:rsid w:val="005D1F8C"/>
    <w:rsid w:val="005D2168"/>
    <w:rsid w:val="005D4409"/>
    <w:rsid w:val="005D79BC"/>
    <w:rsid w:val="005D7D5A"/>
    <w:rsid w:val="005D7E35"/>
    <w:rsid w:val="005D7E94"/>
    <w:rsid w:val="005E1AE1"/>
    <w:rsid w:val="005E32E8"/>
    <w:rsid w:val="005E4792"/>
    <w:rsid w:val="005E4BAC"/>
    <w:rsid w:val="005E4EB8"/>
    <w:rsid w:val="005E580A"/>
    <w:rsid w:val="005E66A7"/>
    <w:rsid w:val="005E6A7B"/>
    <w:rsid w:val="005E7474"/>
    <w:rsid w:val="005F0ABE"/>
    <w:rsid w:val="005F110F"/>
    <w:rsid w:val="005F1BC2"/>
    <w:rsid w:val="005F2096"/>
    <w:rsid w:val="005F2195"/>
    <w:rsid w:val="005F23DF"/>
    <w:rsid w:val="005F274D"/>
    <w:rsid w:val="005F29BE"/>
    <w:rsid w:val="005F4A04"/>
    <w:rsid w:val="005F4C67"/>
    <w:rsid w:val="005F54D7"/>
    <w:rsid w:val="005F7F81"/>
    <w:rsid w:val="0060130D"/>
    <w:rsid w:val="00601E45"/>
    <w:rsid w:val="00603699"/>
    <w:rsid w:val="00606671"/>
    <w:rsid w:val="00607975"/>
    <w:rsid w:val="006100E5"/>
    <w:rsid w:val="006110A5"/>
    <w:rsid w:val="00612329"/>
    <w:rsid w:val="00612827"/>
    <w:rsid w:val="0061351C"/>
    <w:rsid w:val="006137A6"/>
    <w:rsid w:val="00613B16"/>
    <w:rsid w:val="0061469A"/>
    <w:rsid w:val="00614AFD"/>
    <w:rsid w:val="00615146"/>
    <w:rsid w:val="00615574"/>
    <w:rsid w:val="006166A7"/>
    <w:rsid w:val="00617841"/>
    <w:rsid w:val="00621A36"/>
    <w:rsid w:val="00623F9C"/>
    <w:rsid w:val="006243C6"/>
    <w:rsid w:val="00625537"/>
    <w:rsid w:val="00625735"/>
    <w:rsid w:val="00627DBB"/>
    <w:rsid w:val="00630893"/>
    <w:rsid w:val="00632FA3"/>
    <w:rsid w:val="0063362B"/>
    <w:rsid w:val="00634892"/>
    <w:rsid w:val="00634CEF"/>
    <w:rsid w:val="00634DCD"/>
    <w:rsid w:val="0063761A"/>
    <w:rsid w:val="00640199"/>
    <w:rsid w:val="00640494"/>
    <w:rsid w:val="0064064E"/>
    <w:rsid w:val="0064129F"/>
    <w:rsid w:val="006429FA"/>
    <w:rsid w:val="0064309D"/>
    <w:rsid w:val="006442D1"/>
    <w:rsid w:val="00644558"/>
    <w:rsid w:val="006459BF"/>
    <w:rsid w:val="00647BB7"/>
    <w:rsid w:val="006502FE"/>
    <w:rsid w:val="00653F86"/>
    <w:rsid w:val="0065484F"/>
    <w:rsid w:val="0065703D"/>
    <w:rsid w:val="00660A2A"/>
    <w:rsid w:val="00660F56"/>
    <w:rsid w:val="00662471"/>
    <w:rsid w:val="00665259"/>
    <w:rsid w:val="00666A67"/>
    <w:rsid w:val="00670D29"/>
    <w:rsid w:val="006711DF"/>
    <w:rsid w:val="00671C30"/>
    <w:rsid w:val="006720BB"/>
    <w:rsid w:val="00674C58"/>
    <w:rsid w:val="00680297"/>
    <w:rsid w:val="0068046D"/>
    <w:rsid w:val="00680871"/>
    <w:rsid w:val="00680F4E"/>
    <w:rsid w:val="00682216"/>
    <w:rsid w:val="00682600"/>
    <w:rsid w:val="00683956"/>
    <w:rsid w:val="006856EC"/>
    <w:rsid w:val="006873CE"/>
    <w:rsid w:val="006903C3"/>
    <w:rsid w:val="0069205F"/>
    <w:rsid w:val="00693202"/>
    <w:rsid w:val="00693CBA"/>
    <w:rsid w:val="006946B8"/>
    <w:rsid w:val="006946F0"/>
    <w:rsid w:val="00694D34"/>
    <w:rsid w:val="00695349"/>
    <w:rsid w:val="00695CD1"/>
    <w:rsid w:val="006964F3"/>
    <w:rsid w:val="006979B8"/>
    <w:rsid w:val="006A0786"/>
    <w:rsid w:val="006A0DD3"/>
    <w:rsid w:val="006A11D6"/>
    <w:rsid w:val="006A4FC1"/>
    <w:rsid w:val="006A734A"/>
    <w:rsid w:val="006A744A"/>
    <w:rsid w:val="006A74C1"/>
    <w:rsid w:val="006A7A52"/>
    <w:rsid w:val="006A7C7E"/>
    <w:rsid w:val="006B1DB6"/>
    <w:rsid w:val="006B21A4"/>
    <w:rsid w:val="006B33F4"/>
    <w:rsid w:val="006B446D"/>
    <w:rsid w:val="006B520A"/>
    <w:rsid w:val="006B523A"/>
    <w:rsid w:val="006B6114"/>
    <w:rsid w:val="006B7CF3"/>
    <w:rsid w:val="006C0659"/>
    <w:rsid w:val="006C1030"/>
    <w:rsid w:val="006C170A"/>
    <w:rsid w:val="006C24AD"/>
    <w:rsid w:val="006C3BE0"/>
    <w:rsid w:val="006C4D70"/>
    <w:rsid w:val="006C6E19"/>
    <w:rsid w:val="006D10EC"/>
    <w:rsid w:val="006D2F78"/>
    <w:rsid w:val="006D338F"/>
    <w:rsid w:val="006D42A8"/>
    <w:rsid w:val="006D478B"/>
    <w:rsid w:val="006D4DAA"/>
    <w:rsid w:val="006D60D0"/>
    <w:rsid w:val="006D672B"/>
    <w:rsid w:val="006D682E"/>
    <w:rsid w:val="006D7851"/>
    <w:rsid w:val="006E04DB"/>
    <w:rsid w:val="006E0852"/>
    <w:rsid w:val="006E0CBA"/>
    <w:rsid w:val="006E1B73"/>
    <w:rsid w:val="006E351C"/>
    <w:rsid w:val="006E3AB4"/>
    <w:rsid w:val="006E484E"/>
    <w:rsid w:val="006E6321"/>
    <w:rsid w:val="006E6447"/>
    <w:rsid w:val="006E6B0B"/>
    <w:rsid w:val="006E6B88"/>
    <w:rsid w:val="006E6FCD"/>
    <w:rsid w:val="006F06C1"/>
    <w:rsid w:val="006F1D62"/>
    <w:rsid w:val="006F2494"/>
    <w:rsid w:val="006F2BB5"/>
    <w:rsid w:val="006F683C"/>
    <w:rsid w:val="006F6C2A"/>
    <w:rsid w:val="006F74AB"/>
    <w:rsid w:val="006F78E7"/>
    <w:rsid w:val="007008FF"/>
    <w:rsid w:val="00701632"/>
    <w:rsid w:val="0070169C"/>
    <w:rsid w:val="00701F57"/>
    <w:rsid w:val="00702C5B"/>
    <w:rsid w:val="00703295"/>
    <w:rsid w:val="00703D91"/>
    <w:rsid w:val="00703EE2"/>
    <w:rsid w:val="007043D6"/>
    <w:rsid w:val="007046CC"/>
    <w:rsid w:val="00704771"/>
    <w:rsid w:val="00704CCA"/>
    <w:rsid w:val="00705171"/>
    <w:rsid w:val="007053B0"/>
    <w:rsid w:val="00707792"/>
    <w:rsid w:val="00710E94"/>
    <w:rsid w:val="0071351D"/>
    <w:rsid w:val="0071380A"/>
    <w:rsid w:val="00716EFD"/>
    <w:rsid w:val="007177C4"/>
    <w:rsid w:val="00717B89"/>
    <w:rsid w:val="00717DC6"/>
    <w:rsid w:val="0072022F"/>
    <w:rsid w:val="00720A49"/>
    <w:rsid w:val="00721C50"/>
    <w:rsid w:val="007221AE"/>
    <w:rsid w:val="007225FD"/>
    <w:rsid w:val="007237DF"/>
    <w:rsid w:val="00725FD6"/>
    <w:rsid w:val="00727234"/>
    <w:rsid w:val="00727D8A"/>
    <w:rsid w:val="00730DA8"/>
    <w:rsid w:val="00731FEA"/>
    <w:rsid w:val="007323F4"/>
    <w:rsid w:val="007327DB"/>
    <w:rsid w:val="00733F9F"/>
    <w:rsid w:val="00734737"/>
    <w:rsid w:val="007356C0"/>
    <w:rsid w:val="00735921"/>
    <w:rsid w:val="0073599B"/>
    <w:rsid w:val="00736F61"/>
    <w:rsid w:val="00740492"/>
    <w:rsid w:val="00740A11"/>
    <w:rsid w:val="0074185E"/>
    <w:rsid w:val="00742253"/>
    <w:rsid w:val="007425C6"/>
    <w:rsid w:val="00743307"/>
    <w:rsid w:val="007436F0"/>
    <w:rsid w:val="0074422A"/>
    <w:rsid w:val="0074728E"/>
    <w:rsid w:val="007472DB"/>
    <w:rsid w:val="00747DC5"/>
    <w:rsid w:val="00752F15"/>
    <w:rsid w:val="007536F6"/>
    <w:rsid w:val="0075562E"/>
    <w:rsid w:val="0075685E"/>
    <w:rsid w:val="00757B95"/>
    <w:rsid w:val="00761618"/>
    <w:rsid w:val="00762509"/>
    <w:rsid w:val="0076275F"/>
    <w:rsid w:val="00762C92"/>
    <w:rsid w:val="00762FF6"/>
    <w:rsid w:val="00765E88"/>
    <w:rsid w:val="007662C7"/>
    <w:rsid w:val="00766C26"/>
    <w:rsid w:val="0076749D"/>
    <w:rsid w:val="00768632"/>
    <w:rsid w:val="007708D9"/>
    <w:rsid w:val="00771D07"/>
    <w:rsid w:val="00772A9E"/>
    <w:rsid w:val="00772FAF"/>
    <w:rsid w:val="007735A5"/>
    <w:rsid w:val="007752FA"/>
    <w:rsid w:val="00776306"/>
    <w:rsid w:val="00776709"/>
    <w:rsid w:val="00776E43"/>
    <w:rsid w:val="0077762D"/>
    <w:rsid w:val="007816E2"/>
    <w:rsid w:val="00782B4D"/>
    <w:rsid w:val="00783963"/>
    <w:rsid w:val="00784827"/>
    <w:rsid w:val="0078558F"/>
    <w:rsid w:val="0078673C"/>
    <w:rsid w:val="00787F3D"/>
    <w:rsid w:val="00790B63"/>
    <w:rsid w:val="00792B1E"/>
    <w:rsid w:val="00796E11"/>
    <w:rsid w:val="007A029D"/>
    <w:rsid w:val="007A034F"/>
    <w:rsid w:val="007A067B"/>
    <w:rsid w:val="007A0E34"/>
    <w:rsid w:val="007A1887"/>
    <w:rsid w:val="007A22B8"/>
    <w:rsid w:val="007A2C65"/>
    <w:rsid w:val="007A2CD3"/>
    <w:rsid w:val="007A33F8"/>
    <w:rsid w:val="007A3BAB"/>
    <w:rsid w:val="007A511E"/>
    <w:rsid w:val="007A55A7"/>
    <w:rsid w:val="007A56F7"/>
    <w:rsid w:val="007A57BC"/>
    <w:rsid w:val="007B1F10"/>
    <w:rsid w:val="007B2143"/>
    <w:rsid w:val="007B335E"/>
    <w:rsid w:val="007B34FA"/>
    <w:rsid w:val="007B4A9D"/>
    <w:rsid w:val="007B4C63"/>
    <w:rsid w:val="007B50E5"/>
    <w:rsid w:val="007B7523"/>
    <w:rsid w:val="007B7FCD"/>
    <w:rsid w:val="007C07FC"/>
    <w:rsid w:val="007C137D"/>
    <w:rsid w:val="007C3437"/>
    <w:rsid w:val="007C3610"/>
    <w:rsid w:val="007C7605"/>
    <w:rsid w:val="007C7D64"/>
    <w:rsid w:val="007D411A"/>
    <w:rsid w:val="007D6771"/>
    <w:rsid w:val="007D796C"/>
    <w:rsid w:val="007E018D"/>
    <w:rsid w:val="007E0A1E"/>
    <w:rsid w:val="007E0CFD"/>
    <w:rsid w:val="007E2BD7"/>
    <w:rsid w:val="007E2F51"/>
    <w:rsid w:val="007E49E2"/>
    <w:rsid w:val="007E6A45"/>
    <w:rsid w:val="007E7527"/>
    <w:rsid w:val="007F121F"/>
    <w:rsid w:val="007F13A0"/>
    <w:rsid w:val="007F1539"/>
    <w:rsid w:val="007F1B71"/>
    <w:rsid w:val="007F2135"/>
    <w:rsid w:val="007F2FE4"/>
    <w:rsid w:val="007F316B"/>
    <w:rsid w:val="007F3389"/>
    <w:rsid w:val="007F6056"/>
    <w:rsid w:val="007F6E3A"/>
    <w:rsid w:val="00800B8F"/>
    <w:rsid w:val="00801F00"/>
    <w:rsid w:val="0080320B"/>
    <w:rsid w:val="00805953"/>
    <w:rsid w:val="00806944"/>
    <w:rsid w:val="008078B5"/>
    <w:rsid w:val="00807E7D"/>
    <w:rsid w:val="0081062D"/>
    <w:rsid w:val="00810FC4"/>
    <w:rsid w:val="008114E1"/>
    <w:rsid w:val="008123AA"/>
    <w:rsid w:val="008129CE"/>
    <w:rsid w:val="008145BA"/>
    <w:rsid w:val="00814663"/>
    <w:rsid w:val="00816ABE"/>
    <w:rsid w:val="00817FFD"/>
    <w:rsid w:val="00820694"/>
    <w:rsid w:val="00820714"/>
    <w:rsid w:val="008249BE"/>
    <w:rsid w:val="00825B96"/>
    <w:rsid w:val="00825CD0"/>
    <w:rsid w:val="008277D1"/>
    <w:rsid w:val="00831675"/>
    <w:rsid w:val="0083269C"/>
    <w:rsid w:val="0083291B"/>
    <w:rsid w:val="00832BDA"/>
    <w:rsid w:val="00833654"/>
    <w:rsid w:val="00834B42"/>
    <w:rsid w:val="0083535E"/>
    <w:rsid w:val="008371D3"/>
    <w:rsid w:val="00837A46"/>
    <w:rsid w:val="00837D3A"/>
    <w:rsid w:val="008401FB"/>
    <w:rsid w:val="008404AD"/>
    <w:rsid w:val="00843481"/>
    <w:rsid w:val="00843965"/>
    <w:rsid w:val="00844849"/>
    <w:rsid w:val="008453D9"/>
    <w:rsid w:val="008458D1"/>
    <w:rsid w:val="00845A80"/>
    <w:rsid w:val="008469BF"/>
    <w:rsid w:val="00846AA7"/>
    <w:rsid w:val="00846B31"/>
    <w:rsid w:val="00847738"/>
    <w:rsid w:val="00854B04"/>
    <w:rsid w:val="008552D6"/>
    <w:rsid w:val="008555C8"/>
    <w:rsid w:val="00855DA3"/>
    <w:rsid w:val="00855EC9"/>
    <w:rsid w:val="0085646B"/>
    <w:rsid w:val="00856FE5"/>
    <w:rsid w:val="00860BB5"/>
    <w:rsid w:val="00860C6E"/>
    <w:rsid w:val="00862443"/>
    <w:rsid w:val="008629BF"/>
    <w:rsid w:val="00862DCD"/>
    <w:rsid w:val="00863126"/>
    <w:rsid w:val="00863C91"/>
    <w:rsid w:val="00865C8D"/>
    <w:rsid w:val="008662BF"/>
    <w:rsid w:val="00867FC1"/>
    <w:rsid w:val="00872234"/>
    <w:rsid w:val="00872FB8"/>
    <w:rsid w:val="00874080"/>
    <w:rsid w:val="00874CBF"/>
    <w:rsid w:val="00877071"/>
    <w:rsid w:val="008779B4"/>
    <w:rsid w:val="00877A2F"/>
    <w:rsid w:val="00877EF2"/>
    <w:rsid w:val="0088138D"/>
    <w:rsid w:val="008816CD"/>
    <w:rsid w:val="0088171A"/>
    <w:rsid w:val="008818E6"/>
    <w:rsid w:val="008831A1"/>
    <w:rsid w:val="00883863"/>
    <w:rsid w:val="00883FE4"/>
    <w:rsid w:val="0088467C"/>
    <w:rsid w:val="008853B9"/>
    <w:rsid w:val="00885AA3"/>
    <w:rsid w:val="00885B6C"/>
    <w:rsid w:val="008902E0"/>
    <w:rsid w:val="008917BF"/>
    <w:rsid w:val="00891CAE"/>
    <w:rsid w:val="00891F21"/>
    <w:rsid w:val="00892D3B"/>
    <w:rsid w:val="0089320A"/>
    <w:rsid w:val="00894579"/>
    <w:rsid w:val="00894E4A"/>
    <w:rsid w:val="008963F4"/>
    <w:rsid w:val="0089787C"/>
    <w:rsid w:val="008A2BDB"/>
    <w:rsid w:val="008A3235"/>
    <w:rsid w:val="008A4DAA"/>
    <w:rsid w:val="008A4DED"/>
    <w:rsid w:val="008A5B67"/>
    <w:rsid w:val="008A5CCD"/>
    <w:rsid w:val="008A6A6D"/>
    <w:rsid w:val="008A7654"/>
    <w:rsid w:val="008B0546"/>
    <w:rsid w:val="008B18A8"/>
    <w:rsid w:val="008B1F16"/>
    <w:rsid w:val="008B231E"/>
    <w:rsid w:val="008B29E7"/>
    <w:rsid w:val="008B2C4E"/>
    <w:rsid w:val="008B2F2A"/>
    <w:rsid w:val="008B33DF"/>
    <w:rsid w:val="008B3F1C"/>
    <w:rsid w:val="008B534B"/>
    <w:rsid w:val="008B5630"/>
    <w:rsid w:val="008B5C0B"/>
    <w:rsid w:val="008B7131"/>
    <w:rsid w:val="008C1B18"/>
    <w:rsid w:val="008C2216"/>
    <w:rsid w:val="008C2EEB"/>
    <w:rsid w:val="008C35A0"/>
    <w:rsid w:val="008C3DE1"/>
    <w:rsid w:val="008C5E2C"/>
    <w:rsid w:val="008D01DE"/>
    <w:rsid w:val="008D02B8"/>
    <w:rsid w:val="008D07E2"/>
    <w:rsid w:val="008D1399"/>
    <w:rsid w:val="008D14B2"/>
    <w:rsid w:val="008D16F7"/>
    <w:rsid w:val="008D25A2"/>
    <w:rsid w:val="008D40FA"/>
    <w:rsid w:val="008D42E4"/>
    <w:rsid w:val="008D4835"/>
    <w:rsid w:val="008D6E94"/>
    <w:rsid w:val="008E1427"/>
    <w:rsid w:val="008E3524"/>
    <w:rsid w:val="008E4C19"/>
    <w:rsid w:val="008E52C7"/>
    <w:rsid w:val="008E5686"/>
    <w:rsid w:val="008E5A1D"/>
    <w:rsid w:val="008E77E5"/>
    <w:rsid w:val="008F0C50"/>
    <w:rsid w:val="008F1FA4"/>
    <w:rsid w:val="008F2529"/>
    <w:rsid w:val="008F4D13"/>
    <w:rsid w:val="008F778A"/>
    <w:rsid w:val="009015EA"/>
    <w:rsid w:val="00902ED6"/>
    <w:rsid w:val="0090320B"/>
    <w:rsid w:val="00903A3B"/>
    <w:rsid w:val="00906037"/>
    <w:rsid w:val="00907904"/>
    <w:rsid w:val="00912678"/>
    <w:rsid w:val="0091280A"/>
    <w:rsid w:val="00913935"/>
    <w:rsid w:val="009143A0"/>
    <w:rsid w:val="00914DBC"/>
    <w:rsid w:val="00917E36"/>
    <w:rsid w:val="009200A9"/>
    <w:rsid w:val="0092075F"/>
    <w:rsid w:val="00921B5A"/>
    <w:rsid w:val="00924902"/>
    <w:rsid w:val="00925124"/>
    <w:rsid w:val="0092527C"/>
    <w:rsid w:val="00925635"/>
    <w:rsid w:val="00925B6E"/>
    <w:rsid w:val="0092609D"/>
    <w:rsid w:val="00927C59"/>
    <w:rsid w:val="00930996"/>
    <w:rsid w:val="00931881"/>
    <w:rsid w:val="009319BB"/>
    <w:rsid w:val="00931DF6"/>
    <w:rsid w:val="00932ADD"/>
    <w:rsid w:val="00932C71"/>
    <w:rsid w:val="00932D5E"/>
    <w:rsid w:val="00933BBF"/>
    <w:rsid w:val="0093421F"/>
    <w:rsid w:val="00936902"/>
    <w:rsid w:val="00936C4A"/>
    <w:rsid w:val="00937C1F"/>
    <w:rsid w:val="00940A3F"/>
    <w:rsid w:val="00942170"/>
    <w:rsid w:val="00942A8D"/>
    <w:rsid w:val="00942BAD"/>
    <w:rsid w:val="0094486D"/>
    <w:rsid w:val="00945283"/>
    <w:rsid w:val="00950E58"/>
    <w:rsid w:val="00951344"/>
    <w:rsid w:val="00951C05"/>
    <w:rsid w:val="00952996"/>
    <w:rsid w:val="00952DF0"/>
    <w:rsid w:val="00954679"/>
    <w:rsid w:val="009552FE"/>
    <w:rsid w:val="00955673"/>
    <w:rsid w:val="009562E9"/>
    <w:rsid w:val="00957AF2"/>
    <w:rsid w:val="00964710"/>
    <w:rsid w:val="00964867"/>
    <w:rsid w:val="009655DA"/>
    <w:rsid w:val="00965BBC"/>
    <w:rsid w:val="0096665F"/>
    <w:rsid w:val="009673D0"/>
    <w:rsid w:val="00972823"/>
    <w:rsid w:val="00972BF8"/>
    <w:rsid w:val="00972C20"/>
    <w:rsid w:val="00974996"/>
    <w:rsid w:val="0097564D"/>
    <w:rsid w:val="00981C93"/>
    <w:rsid w:val="009829DA"/>
    <w:rsid w:val="00982B58"/>
    <w:rsid w:val="009851CE"/>
    <w:rsid w:val="0098537C"/>
    <w:rsid w:val="009866E0"/>
    <w:rsid w:val="00987323"/>
    <w:rsid w:val="0098737D"/>
    <w:rsid w:val="00990BE6"/>
    <w:rsid w:val="00990E0F"/>
    <w:rsid w:val="00992ACE"/>
    <w:rsid w:val="00992B4E"/>
    <w:rsid w:val="00992DD6"/>
    <w:rsid w:val="00992F0E"/>
    <w:rsid w:val="00993183"/>
    <w:rsid w:val="009943F1"/>
    <w:rsid w:val="00994BE1"/>
    <w:rsid w:val="009951E5"/>
    <w:rsid w:val="00995714"/>
    <w:rsid w:val="009A05A3"/>
    <w:rsid w:val="009A1055"/>
    <w:rsid w:val="009A2167"/>
    <w:rsid w:val="009A2C8D"/>
    <w:rsid w:val="009A32A9"/>
    <w:rsid w:val="009A49F0"/>
    <w:rsid w:val="009A5307"/>
    <w:rsid w:val="009A562E"/>
    <w:rsid w:val="009A5AA8"/>
    <w:rsid w:val="009A5FF6"/>
    <w:rsid w:val="009A6984"/>
    <w:rsid w:val="009B167F"/>
    <w:rsid w:val="009B239C"/>
    <w:rsid w:val="009B4748"/>
    <w:rsid w:val="009B4C31"/>
    <w:rsid w:val="009B52F7"/>
    <w:rsid w:val="009B5467"/>
    <w:rsid w:val="009B5701"/>
    <w:rsid w:val="009B5BCC"/>
    <w:rsid w:val="009B6212"/>
    <w:rsid w:val="009B7A38"/>
    <w:rsid w:val="009C0051"/>
    <w:rsid w:val="009C1564"/>
    <w:rsid w:val="009C2250"/>
    <w:rsid w:val="009C3F4E"/>
    <w:rsid w:val="009C4D63"/>
    <w:rsid w:val="009C4E75"/>
    <w:rsid w:val="009C6A1E"/>
    <w:rsid w:val="009C6AAB"/>
    <w:rsid w:val="009C6B86"/>
    <w:rsid w:val="009C704C"/>
    <w:rsid w:val="009C7857"/>
    <w:rsid w:val="009C7CCC"/>
    <w:rsid w:val="009D0F99"/>
    <w:rsid w:val="009D2F0C"/>
    <w:rsid w:val="009D477C"/>
    <w:rsid w:val="009D4E69"/>
    <w:rsid w:val="009D4EB1"/>
    <w:rsid w:val="009D572E"/>
    <w:rsid w:val="009E0EB0"/>
    <w:rsid w:val="009E202C"/>
    <w:rsid w:val="009E26BA"/>
    <w:rsid w:val="009E27A5"/>
    <w:rsid w:val="009E2F86"/>
    <w:rsid w:val="009E305D"/>
    <w:rsid w:val="009E3A7C"/>
    <w:rsid w:val="009E482D"/>
    <w:rsid w:val="009F576C"/>
    <w:rsid w:val="009F57FE"/>
    <w:rsid w:val="009F7C65"/>
    <w:rsid w:val="00A02C33"/>
    <w:rsid w:val="00A03240"/>
    <w:rsid w:val="00A03D26"/>
    <w:rsid w:val="00A058DB"/>
    <w:rsid w:val="00A063DD"/>
    <w:rsid w:val="00A067FD"/>
    <w:rsid w:val="00A1076C"/>
    <w:rsid w:val="00A121E5"/>
    <w:rsid w:val="00A12209"/>
    <w:rsid w:val="00A12F09"/>
    <w:rsid w:val="00A1301F"/>
    <w:rsid w:val="00A13B73"/>
    <w:rsid w:val="00A146B0"/>
    <w:rsid w:val="00A171B1"/>
    <w:rsid w:val="00A212EB"/>
    <w:rsid w:val="00A22BEA"/>
    <w:rsid w:val="00A2435D"/>
    <w:rsid w:val="00A2440D"/>
    <w:rsid w:val="00A25879"/>
    <w:rsid w:val="00A25CE6"/>
    <w:rsid w:val="00A27770"/>
    <w:rsid w:val="00A27C5A"/>
    <w:rsid w:val="00A305E7"/>
    <w:rsid w:val="00A30DF3"/>
    <w:rsid w:val="00A31484"/>
    <w:rsid w:val="00A31681"/>
    <w:rsid w:val="00A322AE"/>
    <w:rsid w:val="00A322CE"/>
    <w:rsid w:val="00A32A94"/>
    <w:rsid w:val="00A3333D"/>
    <w:rsid w:val="00A34C4A"/>
    <w:rsid w:val="00A34CA4"/>
    <w:rsid w:val="00A3599C"/>
    <w:rsid w:val="00A36DF3"/>
    <w:rsid w:val="00A410A7"/>
    <w:rsid w:val="00A43FE4"/>
    <w:rsid w:val="00A44076"/>
    <w:rsid w:val="00A44234"/>
    <w:rsid w:val="00A4441D"/>
    <w:rsid w:val="00A4474A"/>
    <w:rsid w:val="00A45ED7"/>
    <w:rsid w:val="00A4604B"/>
    <w:rsid w:val="00A47335"/>
    <w:rsid w:val="00A47467"/>
    <w:rsid w:val="00A475F0"/>
    <w:rsid w:val="00A5007C"/>
    <w:rsid w:val="00A51CE5"/>
    <w:rsid w:val="00A526EE"/>
    <w:rsid w:val="00A528D4"/>
    <w:rsid w:val="00A532DD"/>
    <w:rsid w:val="00A53AD3"/>
    <w:rsid w:val="00A5522E"/>
    <w:rsid w:val="00A55B8B"/>
    <w:rsid w:val="00A55BB0"/>
    <w:rsid w:val="00A55FA5"/>
    <w:rsid w:val="00A568F0"/>
    <w:rsid w:val="00A56FBE"/>
    <w:rsid w:val="00A61C13"/>
    <w:rsid w:val="00A62582"/>
    <w:rsid w:val="00A62715"/>
    <w:rsid w:val="00A631B2"/>
    <w:rsid w:val="00A63468"/>
    <w:rsid w:val="00A649B6"/>
    <w:rsid w:val="00A65BB7"/>
    <w:rsid w:val="00A65C99"/>
    <w:rsid w:val="00A65E23"/>
    <w:rsid w:val="00A67464"/>
    <w:rsid w:val="00A74376"/>
    <w:rsid w:val="00A74B0D"/>
    <w:rsid w:val="00A74B90"/>
    <w:rsid w:val="00A75273"/>
    <w:rsid w:val="00A760F0"/>
    <w:rsid w:val="00A7706D"/>
    <w:rsid w:val="00A7751E"/>
    <w:rsid w:val="00A8002C"/>
    <w:rsid w:val="00A804B0"/>
    <w:rsid w:val="00A8078F"/>
    <w:rsid w:val="00A80BCF"/>
    <w:rsid w:val="00A81EE6"/>
    <w:rsid w:val="00A825D1"/>
    <w:rsid w:val="00A8369C"/>
    <w:rsid w:val="00A840EF"/>
    <w:rsid w:val="00A855C9"/>
    <w:rsid w:val="00A86579"/>
    <w:rsid w:val="00A86637"/>
    <w:rsid w:val="00A8699D"/>
    <w:rsid w:val="00A86C09"/>
    <w:rsid w:val="00A90212"/>
    <w:rsid w:val="00A90CC4"/>
    <w:rsid w:val="00A9230F"/>
    <w:rsid w:val="00A929BE"/>
    <w:rsid w:val="00A937E2"/>
    <w:rsid w:val="00A9400A"/>
    <w:rsid w:val="00A9401D"/>
    <w:rsid w:val="00A9519A"/>
    <w:rsid w:val="00A96177"/>
    <w:rsid w:val="00AA1689"/>
    <w:rsid w:val="00AA2738"/>
    <w:rsid w:val="00AA396C"/>
    <w:rsid w:val="00AA4883"/>
    <w:rsid w:val="00AA496F"/>
    <w:rsid w:val="00AA4F10"/>
    <w:rsid w:val="00AA5770"/>
    <w:rsid w:val="00AA70DB"/>
    <w:rsid w:val="00AB0051"/>
    <w:rsid w:val="00AB0E87"/>
    <w:rsid w:val="00AB1EF3"/>
    <w:rsid w:val="00AB2E70"/>
    <w:rsid w:val="00AB332D"/>
    <w:rsid w:val="00AB33C1"/>
    <w:rsid w:val="00AB3D1C"/>
    <w:rsid w:val="00AB3E03"/>
    <w:rsid w:val="00AB58D6"/>
    <w:rsid w:val="00AB5BD3"/>
    <w:rsid w:val="00AB66EC"/>
    <w:rsid w:val="00AC03DD"/>
    <w:rsid w:val="00AC16CA"/>
    <w:rsid w:val="00AC1D15"/>
    <w:rsid w:val="00AC1D20"/>
    <w:rsid w:val="00AC2F25"/>
    <w:rsid w:val="00AC3DAD"/>
    <w:rsid w:val="00AC637A"/>
    <w:rsid w:val="00AC70A7"/>
    <w:rsid w:val="00AC7ECD"/>
    <w:rsid w:val="00AD44C6"/>
    <w:rsid w:val="00AD5B9E"/>
    <w:rsid w:val="00AD637A"/>
    <w:rsid w:val="00AD6480"/>
    <w:rsid w:val="00AD69B2"/>
    <w:rsid w:val="00AE0254"/>
    <w:rsid w:val="00AE06B2"/>
    <w:rsid w:val="00AE1424"/>
    <w:rsid w:val="00AE23DE"/>
    <w:rsid w:val="00AE3449"/>
    <w:rsid w:val="00AE410D"/>
    <w:rsid w:val="00AE460D"/>
    <w:rsid w:val="00AE7F82"/>
    <w:rsid w:val="00AF1871"/>
    <w:rsid w:val="00AF2E55"/>
    <w:rsid w:val="00AF41E0"/>
    <w:rsid w:val="00AF6AB4"/>
    <w:rsid w:val="00AF78DB"/>
    <w:rsid w:val="00AF7AEF"/>
    <w:rsid w:val="00B01160"/>
    <w:rsid w:val="00B02DB6"/>
    <w:rsid w:val="00B03639"/>
    <w:rsid w:val="00B04B0D"/>
    <w:rsid w:val="00B04D51"/>
    <w:rsid w:val="00B07B0C"/>
    <w:rsid w:val="00B07CCA"/>
    <w:rsid w:val="00B120F9"/>
    <w:rsid w:val="00B13672"/>
    <w:rsid w:val="00B1391C"/>
    <w:rsid w:val="00B13DD1"/>
    <w:rsid w:val="00B13E8C"/>
    <w:rsid w:val="00B1431A"/>
    <w:rsid w:val="00B1434C"/>
    <w:rsid w:val="00B16008"/>
    <w:rsid w:val="00B16D5F"/>
    <w:rsid w:val="00B17415"/>
    <w:rsid w:val="00B200F2"/>
    <w:rsid w:val="00B20A89"/>
    <w:rsid w:val="00B23CDB"/>
    <w:rsid w:val="00B24232"/>
    <w:rsid w:val="00B25563"/>
    <w:rsid w:val="00B25FF6"/>
    <w:rsid w:val="00B26CD8"/>
    <w:rsid w:val="00B26D48"/>
    <w:rsid w:val="00B26E9C"/>
    <w:rsid w:val="00B272F3"/>
    <w:rsid w:val="00B2789F"/>
    <w:rsid w:val="00B27F88"/>
    <w:rsid w:val="00B30551"/>
    <w:rsid w:val="00B32613"/>
    <w:rsid w:val="00B33FF7"/>
    <w:rsid w:val="00B3797A"/>
    <w:rsid w:val="00B37CF7"/>
    <w:rsid w:val="00B40949"/>
    <w:rsid w:val="00B40AF5"/>
    <w:rsid w:val="00B40D80"/>
    <w:rsid w:val="00B41123"/>
    <w:rsid w:val="00B41ECB"/>
    <w:rsid w:val="00B41F7B"/>
    <w:rsid w:val="00B42EE1"/>
    <w:rsid w:val="00B44AA6"/>
    <w:rsid w:val="00B47A59"/>
    <w:rsid w:val="00B5181D"/>
    <w:rsid w:val="00B53033"/>
    <w:rsid w:val="00B53183"/>
    <w:rsid w:val="00B5349B"/>
    <w:rsid w:val="00B5581D"/>
    <w:rsid w:val="00B560EA"/>
    <w:rsid w:val="00B5649C"/>
    <w:rsid w:val="00B61B3F"/>
    <w:rsid w:val="00B63B66"/>
    <w:rsid w:val="00B64F99"/>
    <w:rsid w:val="00B65A3A"/>
    <w:rsid w:val="00B66047"/>
    <w:rsid w:val="00B6783C"/>
    <w:rsid w:val="00B701AA"/>
    <w:rsid w:val="00B7138A"/>
    <w:rsid w:val="00B8043D"/>
    <w:rsid w:val="00B81763"/>
    <w:rsid w:val="00B82225"/>
    <w:rsid w:val="00B8293D"/>
    <w:rsid w:val="00B83778"/>
    <w:rsid w:val="00B83CF2"/>
    <w:rsid w:val="00B86D18"/>
    <w:rsid w:val="00B873D7"/>
    <w:rsid w:val="00B87A49"/>
    <w:rsid w:val="00B87EFC"/>
    <w:rsid w:val="00B908C3"/>
    <w:rsid w:val="00B91ECE"/>
    <w:rsid w:val="00B92478"/>
    <w:rsid w:val="00B93F18"/>
    <w:rsid w:val="00B94043"/>
    <w:rsid w:val="00B943FB"/>
    <w:rsid w:val="00B950BE"/>
    <w:rsid w:val="00B96339"/>
    <w:rsid w:val="00B97463"/>
    <w:rsid w:val="00BA04D3"/>
    <w:rsid w:val="00BA13A1"/>
    <w:rsid w:val="00BA1BE5"/>
    <w:rsid w:val="00BA230C"/>
    <w:rsid w:val="00BA25B4"/>
    <w:rsid w:val="00BA4CFC"/>
    <w:rsid w:val="00BA4F84"/>
    <w:rsid w:val="00BA6188"/>
    <w:rsid w:val="00BA6747"/>
    <w:rsid w:val="00BA7D89"/>
    <w:rsid w:val="00BB187A"/>
    <w:rsid w:val="00BB3850"/>
    <w:rsid w:val="00BB608E"/>
    <w:rsid w:val="00BB6E8C"/>
    <w:rsid w:val="00BB7567"/>
    <w:rsid w:val="00BB75E7"/>
    <w:rsid w:val="00BC0F7D"/>
    <w:rsid w:val="00BC1B06"/>
    <w:rsid w:val="00BC22A1"/>
    <w:rsid w:val="00BC27CB"/>
    <w:rsid w:val="00BC361A"/>
    <w:rsid w:val="00BC68C2"/>
    <w:rsid w:val="00BD0056"/>
    <w:rsid w:val="00BD0E95"/>
    <w:rsid w:val="00BD107F"/>
    <w:rsid w:val="00BD2045"/>
    <w:rsid w:val="00BD3450"/>
    <w:rsid w:val="00BD3D7D"/>
    <w:rsid w:val="00BD49F7"/>
    <w:rsid w:val="00BD5274"/>
    <w:rsid w:val="00BD61A2"/>
    <w:rsid w:val="00BE1B6C"/>
    <w:rsid w:val="00BE3A2B"/>
    <w:rsid w:val="00BE42A9"/>
    <w:rsid w:val="00BE484D"/>
    <w:rsid w:val="00BF021E"/>
    <w:rsid w:val="00BF23B9"/>
    <w:rsid w:val="00BF2596"/>
    <w:rsid w:val="00BF53E7"/>
    <w:rsid w:val="00BF5EA4"/>
    <w:rsid w:val="00BF6953"/>
    <w:rsid w:val="00BF6CE7"/>
    <w:rsid w:val="00BF748B"/>
    <w:rsid w:val="00C00B11"/>
    <w:rsid w:val="00C00FB9"/>
    <w:rsid w:val="00C01303"/>
    <w:rsid w:val="00C04245"/>
    <w:rsid w:val="00C046D7"/>
    <w:rsid w:val="00C06FF9"/>
    <w:rsid w:val="00C07677"/>
    <w:rsid w:val="00C10237"/>
    <w:rsid w:val="00C129B5"/>
    <w:rsid w:val="00C13AC0"/>
    <w:rsid w:val="00C13FAA"/>
    <w:rsid w:val="00C2013D"/>
    <w:rsid w:val="00C208B4"/>
    <w:rsid w:val="00C21966"/>
    <w:rsid w:val="00C21F70"/>
    <w:rsid w:val="00C22A81"/>
    <w:rsid w:val="00C23618"/>
    <w:rsid w:val="00C24175"/>
    <w:rsid w:val="00C24EDE"/>
    <w:rsid w:val="00C252EA"/>
    <w:rsid w:val="00C25AA1"/>
    <w:rsid w:val="00C25D99"/>
    <w:rsid w:val="00C27040"/>
    <w:rsid w:val="00C27D11"/>
    <w:rsid w:val="00C30AC8"/>
    <w:rsid w:val="00C30E9D"/>
    <w:rsid w:val="00C341DF"/>
    <w:rsid w:val="00C34260"/>
    <w:rsid w:val="00C355DE"/>
    <w:rsid w:val="00C3584B"/>
    <w:rsid w:val="00C35CD6"/>
    <w:rsid w:val="00C36FC8"/>
    <w:rsid w:val="00C37E05"/>
    <w:rsid w:val="00C40DBF"/>
    <w:rsid w:val="00C41280"/>
    <w:rsid w:val="00C41B51"/>
    <w:rsid w:val="00C4270A"/>
    <w:rsid w:val="00C43221"/>
    <w:rsid w:val="00C445D1"/>
    <w:rsid w:val="00C4598A"/>
    <w:rsid w:val="00C4625B"/>
    <w:rsid w:val="00C47789"/>
    <w:rsid w:val="00C520E8"/>
    <w:rsid w:val="00C52172"/>
    <w:rsid w:val="00C539BB"/>
    <w:rsid w:val="00C55D29"/>
    <w:rsid w:val="00C56F2E"/>
    <w:rsid w:val="00C5761A"/>
    <w:rsid w:val="00C579C0"/>
    <w:rsid w:val="00C60391"/>
    <w:rsid w:val="00C60EBE"/>
    <w:rsid w:val="00C61498"/>
    <w:rsid w:val="00C62596"/>
    <w:rsid w:val="00C62B3A"/>
    <w:rsid w:val="00C6716D"/>
    <w:rsid w:val="00C7046D"/>
    <w:rsid w:val="00C729E2"/>
    <w:rsid w:val="00C76D2D"/>
    <w:rsid w:val="00C80586"/>
    <w:rsid w:val="00C810D3"/>
    <w:rsid w:val="00C812C6"/>
    <w:rsid w:val="00C82388"/>
    <w:rsid w:val="00C83DB6"/>
    <w:rsid w:val="00C84FA0"/>
    <w:rsid w:val="00C8533E"/>
    <w:rsid w:val="00C86852"/>
    <w:rsid w:val="00C86CFF"/>
    <w:rsid w:val="00C86F6D"/>
    <w:rsid w:val="00C9182E"/>
    <w:rsid w:val="00C948D8"/>
    <w:rsid w:val="00C9F4A6"/>
    <w:rsid w:val="00CA0BE9"/>
    <w:rsid w:val="00CA10F3"/>
    <w:rsid w:val="00CA12C4"/>
    <w:rsid w:val="00CA138D"/>
    <w:rsid w:val="00CA19AD"/>
    <w:rsid w:val="00CA4EB2"/>
    <w:rsid w:val="00CA57D9"/>
    <w:rsid w:val="00CA5D67"/>
    <w:rsid w:val="00CB144F"/>
    <w:rsid w:val="00CB17C7"/>
    <w:rsid w:val="00CB184A"/>
    <w:rsid w:val="00CB2DD2"/>
    <w:rsid w:val="00CB3136"/>
    <w:rsid w:val="00CB3137"/>
    <w:rsid w:val="00CB3369"/>
    <w:rsid w:val="00CB3BCD"/>
    <w:rsid w:val="00CB4B5A"/>
    <w:rsid w:val="00CB4BDD"/>
    <w:rsid w:val="00CB61C9"/>
    <w:rsid w:val="00CB684F"/>
    <w:rsid w:val="00CB7BB8"/>
    <w:rsid w:val="00CC1749"/>
    <w:rsid w:val="00CC220F"/>
    <w:rsid w:val="00CC242A"/>
    <w:rsid w:val="00CC2AFE"/>
    <w:rsid w:val="00CC33BB"/>
    <w:rsid w:val="00CC3CB6"/>
    <w:rsid w:val="00CC5D9C"/>
    <w:rsid w:val="00CC7641"/>
    <w:rsid w:val="00CD06AD"/>
    <w:rsid w:val="00CD1A49"/>
    <w:rsid w:val="00CD2D09"/>
    <w:rsid w:val="00CD6069"/>
    <w:rsid w:val="00CD6522"/>
    <w:rsid w:val="00CE0634"/>
    <w:rsid w:val="00CE0B46"/>
    <w:rsid w:val="00CE2226"/>
    <w:rsid w:val="00CE4EFB"/>
    <w:rsid w:val="00CE6C9D"/>
    <w:rsid w:val="00CE7D19"/>
    <w:rsid w:val="00CF0681"/>
    <w:rsid w:val="00CF09FF"/>
    <w:rsid w:val="00CF179A"/>
    <w:rsid w:val="00CF2515"/>
    <w:rsid w:val="00CF3E79"/>
    <w:rsid w:val="00CF5618"/>
    <w:rsid w:val="00CF6966"/>
    <w:rsid w:val="00CF7C66"/>
    <w:rsid w:val="00D00118"/>
    <w:rsid w:val="00D02131"/>
    <w:rsid w:val="00D02203"/>
    <w:rsid w:val="00D061E5"/>
    <w:rsid w:val="00D069D7"/>
    <w:rsid w:val="00D074A2"/>
    <w:rsid w:val="00D07CE1"/>
    <w:rsid w:val="00D109A0"/>
    <w:rsid w:val="00D10A9E"/>
    <w:rsid w:val="00D111F2"/>
    <w:rsid w:val="00D124A4"/>
    <w:rsid w:val="00D127D4"/>
    <w:rsid w:val="00D12838"/>
    <w:rsid w:val="00D12A6F"/>
    <w:rsid w:val="00D1359C"/>
    <w:rsid w:val="00D13794"/>
    <w:rsid w:val="00D13B4A"/>
    <w:rsid w:val="00D140CE"/>
    <w:rsid w:val="00D153C0"/>
    <w:rsid w:val="00D15916"/>
    <w:rsid w:val="00D218E7"/>
    <w:rsid w:val="00D220C5"/>
    <w:rsid w:val="00D23B4D"/>
    <w:rsid w:val="00D23EF7"/>
    <w:rsid w:val="00D24052"/>
    <w:rsid w:val="00D24386"/>
    <w:rsid w:val="00D25900"/>
    <w:rsid w:val="00D26A1F"/>
    <w:rsid w:val="00D27198"/>
    <w:rsid w:val="00D30B4E"/>
    <w:rsid w:val="00D31575"/>
    <w:rsid w:val="00D31A89"/>
    <w:rsid w:val="00D34626"/>
    <w:rsid w:val="00D34FB4"/>
    <w:rsid w:val="00D3592C"/>
    <w:rsid w:val="00D359BA"/>
    <w:rsid w:val="00D35F6E"/>
    <w:rsid w:val="00D362AF"/>
    <w:rsid w:val="00D372C6"/>
    <w:rsid w:val="00D37B5A"/>
    <w:rsid w:val="00D37E67"/>
    <w:rsid w:val="00D4038E"/>
    <w:rsid w:val="00D40C3C"/>
    <w:rsid w:val="00D4161F"/>
    <w:rsid w:val="00D4257A"/>
    <w:rsid w:val="00D426B3"/>
    <w:rsid w:val="00D43041"/>
    <w:rsid w:val="00D43482"/>
    <w:rsid w:val="00D442EF"/>
    <w:rsid w:val="00D456A9"/>
    <w:rsid w:val="00D46AAE"/>
    <w:rsid w:val="00D46F1A"/>
    <w:rsid w:val="00D50625"/>
    <w:rsid w:val="00D511F2"/>
    <w:rsid w:val="00D52798"/>
    <w:rsid w:val="00D52F97"/>
    <w:rsid w:val="00D536D5"/>
    <w:rsid w:val="00D53F64"/>
    <w:rsid w:val="00D5468A"/>
    <w:rsid w:val="00D61745"/>
    <w:rsid w:val="00D61EBE"/>
    <w:rsid w:val="00D62255"/>
    <w:rsid w:val="00D623C2"/>
    <w:rsid w:val="00D62665"/>
    <w:rsid w:val="00D636B6"/>
    <w:rsid w:val="00D645AC"/>
    <w:rsid w:val="00D65A38"/>
    <w:rsid w:val="00D66C71"/>
    <w:rsid w:val="00D66CBD"/>
    <w:rsid w:val="00D66D7C"/>
    <w:rsid w:val="00D67264"/>
    <w:rsid w:val="00D67559"/>
    <w:rsid w:val="00D67D3C"/>
    <w:rsid w:val="00D70205"/>
    <w:rsid w:val="00D713D2"/>
    <w:rsid w:val="00D72214"/>
    <w:rsid w:val="00D7223E"/>
    <w:rsid w:val="00D734EE"/>
    <w:rsid w:val="00D735EF"/>
    <w:rsid w:val="00D74BCF"/>
    <w:rsid w:val="00D75350"/>
    <w:rsid w:val="00D7609F"/>
    <w:rsid w:val="00D77506"/>
    <w:rsid w:val="00D77AFC"/>
    <w:rsid w:val="00D8100A"/>
    <w:rsid w:val="00D81AA7"/>
    <w:rsid w:val="00D82E47"/>
    <w:rsid w:val="00D84A01"/>
    <w:rsid w:val="00D863FB"/>
    <w:rsid w:val="00D91121"/>
    <w:rsid w:val="00D9148B"/>
    <w:rsid w:val="00D92E8A"/>
    <w:rsid w:val="00D941CB"/>
    <w:rsid w:val="00D9439A"/>
    <w:rsid w:val="00D95024"/>
    <w:rsid w:val="00D9656C"/>
    <w:rsid w:val="00D977EA"/>
    <w:rsid w:val="00DA14D6"/>
    <w:rsid w:val="00DA3750"/>
    <w:rsid w:val="00DA5125"/>
    <w:rsid w:val="00DA69C6"/>
    <w:rsid w:val="00DA752A"/>
    <w:rsid w:val="00DB01D8"/>
    <w:rsid w:val="00DB0424"/>
    <w:rsid w:val="00DB148C"/>
    <w:rsid w:val="00DB1A31"/>
    <w:rsid w:val="00DB202E"/>
    <w:rsid w:val="00DB296F"/>
    <w:rsid w:val="00DB4B7C"/>
    <w:rsid w:val="00DB4F78"/>
    <w:rsid w:val="00DB5011"/>
    <w:rsid w:val="00DB5BF8"/>
    <w:rsid w:val="00DB6AF8"/>
    <w:rsid w:val="00DB6B80"/>
    <w:rsid w:val="00DB7B31"/>
    <w:rsid w:val="00DB7D05"/>
    <w:rsid w:val="00DC027B"/>
    <w:rsid w:val="00DC0CDE"/>
    <w:rsid w:val="00DC14B7"/>
    <w:rsid w:val="00DC1A85"/>
    <w:rsid w:val="00DC26D1"/>
    <w:rsid w:val="00DC27D4"/>
    <w:rsid w:val="00DC328C"/>
    <w:rsid w:val="00DC4371"/>
    <w:rsid w:val="00DC498E"/>
    <w:rsid w:val="00DC4D72"/>
    <w:rsid w:val="00DC51D3"/>
    <w:rsid w:val="00DC6525"/>
    <w:rsid w:val="00DC7018"/>
    <w:rsid w:val="00DD12B0"/>
    <w:rsid w:val="00DD210D"/>
    <w:rsid w:val="00DD3BFB"/>
    <w:rsid w:val="00DD4101"/>
    <w:rsid w:val="00DD4A90"/>
    <w:rsid w:val="00DD5610"/>
    <w:rsid w:val="00DD7744"/>
    <w:rsid w:val="00DD77A9"/>
    <w:rsid w:val="00DD7893"/>
    <w:rsid w:val="00DE1ABC"/>
    <w:rsid w:val="00DE1D79"/>
    <w:rsid w:val="00DE672F"/>
    <w:rsid w:val="00DF0090"/>
    <w:rsid w:val="00DF0BB1"/>
    <w:rsid w:val="00DF0CB3"/>
    <w:rsid w:val="00DF1D31"/>
    <w:rsid w:val="00DF2469"/>
    <w:rsid w:val="00DF29ED"/>
    <w:rsid w:val="00DF321B"/>
    <w:rsid w:val="00DF494C"/>
    <w:rsid w:val="00DF5226"/>
    <w:rsid w:val="00DF5D2A"/>
    <w:rsid w:val="00DF6D0B"/>
    <w:rsid w:val="00DF7E0D"/>
    <w:rsid w:val="00E021FB"/>
    <w:rsid w:val="00E02BB9"/>
    <w:rsid w:val="00E02C09"/>
    <w:rsid w:val="00E05548"/>
    <w:rsid w:val="00E05E03"/>
    <w:rsid w:val="00E0624D"/>
    <w:rsid w:val="00E1018F"/>
    <w:rsid w:val="00E12D6C"/>
    <w:rsid w:val="00E1375B"/>
    <w:rsid w:val="00E1448F"/>
    <w:rsid w:val="00E17321"/>
    <w:rsid w:val="00E179D4"/>
    <w:rsid w:val="00E20023"/>
    <w:rsid w:val="00E208C9"/>
    <w:rsid w:val="00E215B4"/>
    <w:rsid w:val="00E2166C"/>
    <w:rsid w:val="00E24421"/>
    <w:rsid w:val="00E2499F"/>
    <w:rsid w:val="00E2603A"/>
    <w:rsid w:val="00E3444F"/>
    <w:rsid w:val="00E353A3"/>
    <w:rsid w:val="00E35C9D"/>
    <w:rsid w:val="00E36B3C"/>
    <w:rsid w:val="00E36E01"/>
    <w:rsid w:val="00E37353"/>
    <w:rsid w:val="00E37FF7"/>
    <w:rsid w:val="00E4042C"/>
    <w:rsid w:val="00E41835"/>
    <w:rsid w:val="00E4376F"/>
    <w:rsid w:val="00E4438C"/>
    <w:rsid w:val="00E457F3"/>
    <w:rsid w:val="00E46DEC"/>
    <w:rsid w:val="00E47876"/>
    <w:rsid w:val="00E50208"/>
    <w:rsid w:val="00E502CF"/>
    <w:rsid w:val="00E50663"/>
    <w:rsid w:val="00E50763"/>
    <w:rsid w:val="00E52AB8"/>
    <w:rsid w:val="00E5361B"/>
    <w:rsid w:val="00E55F9B"/>
    <w:rsid w:val="00E5664E"/>
    <w:rsid w:val="00E576F5"/>
    <w:rsid w:val="00E57A6A"/>
    <w:rsid w:val="00E60073"/>
    <w:rsid w:val="00E602A1"/>
    <w:rsid w:val="00E605E7"/>
    <w:rsid w:val="00E60BBB"/>
    <w:rsid w:val="00E610F0"/>
    <w:rsid w:val="00E61253"/>
    <w:rsid w:val="00E6192A"/>
    <w:rsid w:val="00E61E22"/>
    <w:rsid w:val="00E6421B"/>
    <w:rsid w:val="00E658F4"/>
    <w:rsid w:val="00E6653E"/>
    <w:rsid w:val="00E66C97"/>
    <w:rsid w:val="00E67184"/>
    <w:rsid w:val="00E672EE"/>
    <w:rsid w:val="00E67D8B"/>
    <w:rsid w:val="00E705FA"/>
    <w:rsid w:val="00E70CE1"/>
    <w:rsid w:val="00E721EB"/>
    <w:rsid w:val="00E73CC1"/>
    <w:rsid w:val="00E74F0B"/>
    <w:rsid w:val="00E76F41"/>
    <w:rsid w:val="00E800A7"/>
    <w:rsid w:val="00E829A8"/>
    <w:rsid w:val="00E82D44"/>
    <w:rsid w:val="00E84FA8"/>
    <w:rsid w:val="00E86357"/>
    <w:rsid w:val="00E87284"/>
    <w:rsid w:val="00E87611"/>
    <w:rsid w:val="00E876C6"/>
    <w:rsid w:val="00E91CF1"/>
    <w:rsid w:val="00E94190"/>
    <w:rsid w:val="00E941CF"/>
    <w:rsid w:val="00E94965"/>
    <w:rsid w:val="00E949B2"/>
    <w:rsid w:val="00E94B6D"/>
    <w:rsid w:val="00E95C53"/>
    <w:rsid w:val="00E97664"/>
    <w:rsid w:val="00EA0805"/>
    <w:rsid w:val="00EA1EE1"/>
    <w:rsid w:val="00EA3114"/>
    <w:rsid w:val="00EA4BE5"/>
    <w:rsid w:val="00EA4DD8"/>
    <w:rsid w:val="00EA6EE8"/>
    <w:rsid w:val="00EA7278"/>
    <w:rsid w:val="00EA7303"/>
    <w:rsid w:val="00EA7959"/>
    <w:rsid w:val="00EB1347"/>
    <w:rsid w:val="00EB1A2E"/>
    <w:rsid w:val="00EB1CBC"/>
    <w:rsid w:val="00EB1E22"/>
    <w:rsid w:val="00EB1EBA"/>
    <w:rsid w:val="00EB2AEF"/>
    <w:rsid w:val="00EB2BED"/>
    <w:rsid w:val="00EB4650"/>
    <w:rsid w:val="00EB4B0F"/>
    <w:rsid w:val="00EB5776"/>
    <w:rsid w:val="00EB69B4"/>
    <w:rsid w:val="00EB7E71"/>
    <w:rsid w:val="00EC02CE"/>
    <w:rsid w:val="00EC1871"/>
    <w:rsid w:val="00EC3F96"/>
    <w:rsid w:val="00EC46B4"/>
    <w:rsid w:val="00EC7979"/>
    <w:rsid w:val="00ED0A1A"/>
    <w:rsid w:val="00ED0D85"/>
    <w:rsid w:val="00ED123E"/>
    <w:rsid w:val="00ED1F15"/>
    <w:rsid w:val="00ED216B"/>
    <w:rsid w:val="00ED3511"/>
    <w:rsid w:val="00ED39A8"/>
    <w:rsid w:val="00ED5467"/>
    <w:rsid w:val="00ED795B"/>
    <w:rsid w:val="00ED7E0C"/>
    <w:rsid w:val="00EE04BA"/>
    <w:rsid w:val="00EE10B7"/>
    <w:rsid w:val="00EE1531"/>
    <w:rsid w:val="00EE2AB2"/>
    <w:rsid w:val="00EE3EB3"/>
    <w:rsid w:val="00EE3FE3"/>
    <w:rsid w:val="00EF065D"/>
    <w:rsid w:val="00EF06C5"/>
    <w:rsid w:val="00EF2788"/>
    <w:rsid w:val="00EF3103"/>
    <w:rsid w:val="00EF3FFB"/>
    <w:rsid w:val="00EF6554"/>
    <w:rsid w:val="00EF6E9B"/>
    <w:rsid w:val="00EF75FF"/>
    <w:rsid w:val="00EF7714"/>
    <w:rsid w:val="00F00265"/>
    <w:rsid w:val="00F023DB"/>
    <w:rsid w:val="00F02ACA"/>
    <w:rsid w:val="00F02B72"/>
    <w:rsid w:val="00F0342B"/>
    <w:rsid w:val="00F037CA"/>
    <w:rsid w:val="00F0501F"/>
    <w:rsid w:val="00F05FAA"/>
    <w:rsid w:val="00F06F67"/>
    <w:rsid w:val="00F0722F"/>
    <w:rsid w:val="00F109D4"/>
    <w:rsid w:val="00F10A2C"/>
    <w:rsid w:val="00F10A6F"/>
    <w:rsid w:val="00F10DDF"/>
    <w:rsid w:val="00F15EE9"/>
    <w:rsid w:val="00F178B3"/>
    <w:rsid w:val="00F17E7E"/>
    <w:rsid w:val="00F23978"/>
    <w:rsid w:val="00F24736"/>
    <w:rsid w:val="00F27344"/>
    <w:rsid w:val="00F27A7A"/>
    <w:rsid w:val="00F33B7C"/>
    <w:rsid w:val="00F342EE"/>
    <w:rsid w:val="00F343AA"/>
    <w:rsid w:val="00F35CDD"/>
    <w:rsid w:val="00F362FE"/>
    <w:rsid w:val="00F37232"/>
    <w:rsid w:val="00F40349"/>
    <w:rsid w:val="00F40CC1"/>
    <w:rsid w:val="00F4241B"/>
    <w:rsid w:val="00F4355A"/>
    <w:rsid w:val="00F43A32"/>
    <w:rsid w:val="00F43DB8"/>
    <w:rsid w:val="00F46704"/>
    <w:rsid w:val="00F46C17"/>
    <w:rsid w:val="00F4707E"/>
    <w:rsid w:val="00F47571"/>
    <w:rsid w:val="00F47585"/>
    <w:rsid w:val="00F47E16"/>
    <w:rsid w:val="00F5142F"/>
    <w:rsid w:val="00F51A62"/>
    <w:rsid w:val="00F532FC"/>
    <w:rsid w:val="00F557DD"/>
    <w:rsid w:val="00F573B5"/>
    <w:rsid w:val="00F602B0"/>
    <w:rsid w:val="00F6249C"/>
    <w:rsid w:val="00F635FB"/>
    <w:rsid w:val="00F6430E"/>
    <w:rsid w:val="00F64728"/>
    <w:rsid w:val="00F66571"/>
    <w:rsid w:val="00F665EB"/>
    <w:rsid w:val="00F66C17"/>
    <w:rsid w:val="00F66D44"/>
    <w:rsid w:val="00F678B8"/>
    <w:rsid w:val="00F67A5B"/>
    <w:rsid w:val="00F7078E"/>
    <w:rsid w:val="00F75BDB"/>
    <w:rsid w:val="00F763AF"/>
    <w:rsid w:val="00F769B4"/>
    <w:rsid w:val="00F80743"/>
    <w:rsid w:val="00F80D81"/>
    <w:rsid w:val="00F81232"/>
    <w:rsid w:val="00F81A8F"/>
    <w:rsid w:val="00F81AAE"/>
    <w:rsid w:val="00F823D6"/>
    <w:rsid w:val="00F8291C"/>
    <w:rsid w:val="00F82B2C"/>
    <w:rsid w:val="00F82C0A"/>
    <w:rsid w:val="00F85E6F"/>
    <w:rsid w:val="00F86714"/>
    <w:rsid w:val="00F90A40"/>
    <w:rsid w:val="00F914ED"/>
    <w:rsid w:val="00F920BC"/>
    <w:rsid w:val="00F93983"/>
    <w:rsid w:val="00F95449"/>
    <w:rsid w:val="00F954BF"/>
    <w:rsid w:val="00F958D6"/>
    <w:rsid w:val="00F961AB"/>
    <w:rsid w:val="00F96840"/>
    <w:rsid w:val="00F9754A"/>
    <w:rsid w:val="00F97F9F"/>
    <w:rsid w:val="00FA15B4"/>
    <w:rsid w:val="00FA1718"/>
    <w:rsid w:val="00FA1942"/>
    <w:rsid w:val="00FA2DC2"/>
    <w:rsid w:val="00FA380A"/>
    <w:rsid w:val="00FA6D1B"/>
    <w:rsid w:val="00FA6FDC"/>
    <w:rsid w:val="00FB0C8B"/>
    <w:rsid w:val="00FB14A4"/>
    <w:rsid w:val="00FB186E"/>
    <w:rsid w:val="00FB36CE"/>
    <w:rsid w:val="00FB4160"/>
    <w:rsid w:val="00FB4590"/>
    <w:rsid w:val="00FB53E0"/>
    <w:rsid w:val="00FB5CC4"/>
    <w:rsid w:val="00FB7359"/>
    <w:rsid w:val="00FB7366"/>
    <w:rsid w:val="00FB781E"/>
    <w:rsid w:val="00FC0902"/>
    <w:rsid w:val="00FC2CB5"/>
    <w:rsid w:val="00FC38D9"/>
    <w:rsid w:val="00FC3900"/>
    <w:rsid w:val="00FC3A8F"/>
    <w:rsid w:val="00FC5247"/>
    <w:rsid w:val="00FC595E"/>
    <w:rsid w:val="00FC6512"/>
    <w:rsid w:val="00FC71C9"/>
    <w:rsid w:val="00FD0B9A"/>
    <w:rsid w:val="00FD19F7"/>
    <w:rsid w:val="00FD1F65"/>
    <w:rsid w:val="00FD214A"/>
    <w:rsid w:val="00FD245C"/>
    <w:rsid w:val="00FD2FD2"/>
    <w:rsid w:val="00FD3F1F"/>
    <w:rsid w:val="00FD46F4"/>
    <w:rsid w:val="00FD4B7C"/>
    <w:rsid w:val="00FD4CB7"/>
    <w:rsid w:val="00FD599D"/>
    <w:rsid w:val="00FD5A0C"/>
    <w:rsid w:val="00FD6AD1"/>
    <w:rsid w:val="00FD7402"/>
    <w:rsid w:val="00FD778A"/>
    <w:rsid w:val="00FD7ACB"/>
    <w:rsid w:val="00FE04E4"/>
    <w:rsid w:val="00FE181B"/>
    <w:rsid w:val="00FE1D53"/>
    <w:rsid w:val="00FE2A28"/>
    <w:rsid w:val="00FE2DD7"/>
    <w:rsid w:val="00FE3519"/>
    <w:rsid w:val="00FE365B"/>
    <w:rsid w:val="00FE73F9"/>
    <w:rsid w:val="00FE7E3A"/>
    <w:rsid w:val="00FF0C29"/>
    <w:rsid w:val="00FF1057"/>
    <w:rsid w:val="00FF141F"/>
    <w:rsid w:val="00FF1FAC"/>
    <w:rsid w:val="00FF2E15"/>
    <w:rsid w:val="00FF3B50"/>
    <w:rsid w:val="00FF3E25"/>
    <w:rsid w:val="00FF417B"/>
    <w:rsid w:val="00FF5FD8"/>
    <w:rsid w:val="00FF6787"/>
    <w:rsid w:val="010BF577"/>
    <w:rsid w:val="011A5364"/>
    <w:rsid w:val="012630CF"/>
    <w:rsid w:val="01349E83"/>
    <w:rsid w:val="019A7461"/>
    <w:rsid w:val="01D8CE67"/>
    <w:rsid w:val="022EBC49"/>
    <w:rsid w:val="0230816D"/>
    <w:rsid w:val="024C5C00"/>
    <w:rsid w:val="0261DE26"/>
    <w:rsid w:val="026F7034"/>
    <w:rsid w:val="0271959A"/>
    <w:rsid w:val="0381A22B"/>
    <w:rsid w:val="03D1850C"/>
    <w:rsid w:val="042E104F"/>
    <w:rsid w:val="043E040C"/>
    <w:rsid w:val="0446FA8E"/>
    <w:rsid w:val="0449961B"/>
    <w:rsid w:val="0462BEC3"/>
    <w:rsid w:val="0464BD45"/>
    <w:rsid w:val="04815EE1"/>
    <w:rsid w:val="04A1DAF1"/>
    <w:rsid w:val="052471F2"/>
    <w:rsid w:val="052C8448"/>
    <w:rsid w:val="0538B1E6"/>
    <w:rsid w:val="054EF9D2"/>
    <w:rsid w:val="055B3A3E"/>
    <w:rsid w:val="05DB5AC0"/>
    <w:rsid w:val="05E62B6D"/>
    <w:rsid w:val="065FD656"/>
    <w:rsid w:val="0693406F"/>
    <w:rsid w:val="06B942ED"/>
    <w:rsid w:val="07248499"/>
    <w:rsid w:val="081E1CF1"/>
    <w:rsid w:val="089FA4E0"/>
    <w:rsid w:val="08B800A2"/>
    <w:rsid w:val="08BC12C5"/>
    <w:rsid w:val="08F40B62"/>
    <w:rsid w:val="09015CB1"/>
    <w:rsid w:val="0927FEC2"/>
    <w:rsid w:val="094CEF0C"/>
    <w:rsid w:val="099EED7A"/>
    <w:rsid w:val="09D9BE77"/>
    <w:rsid w:val="09F97FF6"/>
    <w:rsid w:val="0A1EA90E"/>
    <w:rsid w:val="0A47ECD7"/>
    <w:rsid w:val="0A827830"/>
    <w:rsid w:val="0A919E80"/>
    <w:rsid w:val="0AF6CBF4"/>
    <w:rsid w:val="0B4F894C"/>
    <w:rsid w:val="0B5A97F7"/>
    <w:rsid w:val="0B5FB562"/>
    <w:rsid w:val="0B82F0F7"/>
    <w:rsid w:val="0C0A9BD6"/>
    <w:rsid w:val="0C32714A"/>
    <w:rsid w:val="0C5CC498"/>
    <w:rsid w:val="0C8DB5D1"/>
    <w:rsid w:val="0CCCC6F3"/>
    <w:rsid w:val="0CD61E02"/>
    <w:rsid w:val="0CFF6729"/>
    <w:rsid w:val="0D13F16B"/>
    <w:rsid w:val="0D609E15"/>
    <w:rsid w:val="0D677CB0"/>
    <w:rsid w:val="0D85CFB1"/>
    <w:rsid w:val="0DA14210"/>
    <w:rsid w:val="0E3AD7D6"/>
    <w:rsid w:val="0EAFC1CC"/>
    <w:rsid w:val="0EB159A3"/>
    <w:rsid w:val="0F414688"/>
    <w:rsid w:val="0F50D8DD"/>
    <w:rsid w:val="0F5C82B7"/>
    <w:rsid w:val="0F6DA77A"/>
    <w:rsid w:val="0F8D0184"/>
    <w:rsid w:val="100067C2"/>
    <w:rsid w:val="1021162E"/>
    <w:rsid w:val="10223C12"/>
    <w:rsid w:val="1043581B"/>
    <w:rsid w:val="107569C5"/>
    <w:rsid w:val="109EF7FC"/>
    <w:rsid w:val="10ADFC4D"/>
    <w:rsid w:val="10CF347D"/>
    <w:rsid w:val="10D57690"/>
    <w:rsid w:val="10F234F7"/>
    <w:rsid w:val="11235D53"/>
    <w:rsid w:val="112F9B8F"/>
    <w:rsid w:val="1130E52D"/>
    <w:rsid w:val="113D6244"/>
    <w:rsid w:val="11A03816"/>
    <w:rsid w:val="11A79D16"/>
    <w:rsid w:val="11EB7B43"/>
    <w:rsid w:val="1218A003"/>
    <w:rsid w:val="121DE032"/>
    <w:rsid w:val="123EB8F5"/>
    <w:rsid w:val="127EC10A"/>
    <w:rsid w:val="12D6CF63"/>
    <w:rsid w:val="12E6344B"/>
    <w:rsid w:val="1312A900"/>
    <w:rsid w:val="131CF309"/>
    <w:rsid w:val="1328A028"/>
    <w:rsid w:val="13AB2143"/>
    <w:rsid w:val="13BBDB0B"/>
    <w:rsid w:val="13C178F7"/>
    <w:rsid w:val="13E084BC"/>
    <w:rsid w:val="142362D6"/>
    <w:rsid w:val="146212FA"/>
    <w:rsid w:val="14D26421"/>
    <w:rsid w:val="14E2A84E"/>
    <w:rsid w:val="150262E3"/>
    <w:rsid w:val="15704D26"/>
    <w:rsid w:val="1599340C"/>
    <w:rsid w:val="15E31B7B"/>
    <w:rsid w:val="160EE9DD"/>
    <w:rsid w:val="16344759"/>
    <w:rsid w:val="16A703F6"/>
    <w:rsid w:val="175FF48E"/>
    <w:rsid w:val="1766B209"/>
    <w:rsid w:val="17B1C86A"/>
    <w:rsid w:val="17B483F1"/>
    <w:rsid w:val="17B76923"/>
    <w:rsid w:val="17B870D5"/>
    <w:rsid w:val="17C64143"/>
    <w:rsid w:val="1853C6C2"/>
    <w:rsid w:val="185651C2"/>
    <w:rsid w:val="1856973F"/>
    <w:rsid w:val="18A2315E"/>
    <w:rsid w:val="18BF77EC"/>
    <w:rsid w:val="18FE9201"/>
    <w:rsid w:val="195D0C65"/>
    <w:rsid w:val="19ACD125"/>
    <w:rsid w:val="19B5C349"/>
    <w:rsid w:val="19C4DFCC"/>
    <w:rsid w:val="19F14F6C"/>
    <w:rsid w:val="19F68D28"/>
    <w:rsid w:val="1AE56E61"/>
    <w:rsid w:val="1AE9692C"/>
    <w:rsid w:val="1AF85661"/>
    <w:rsid w:val="1B39CDE3"/>
    <w:rsid w:val="1B438AD7"/>
    <w:rsid w:val="1B94F24A"/>
    <w:rsid w:val="1BDB22D1"/>
    <w:rsid w:val="1BE1404A"/>
    <w:rsid w:val="1BFFF68C"/>
    <w:rsid w:val="1C02B414"/>
    <w:rsid w:val="1C1BF284"/>
    <w:rsid w:val="1C1C2C51"/>
    <w:rsid w:val="1C262E40"/>
    <w:rsid w:val="1C35ED04"/>
    <w:rsid w:val="1C7E4199"/>
    <w:rsid w:val="1C803424"/>
    <w:rsid w:val="1C85398D"/>
    <w:rsid w:val="1C886932"/>
    <w:rsid w:val="1C98B1CA"/>
    <w:rsid w:val="1CB41533"/>
    <w:rsid w:val="1CF995D5"/>
    <w:rsid w:val="1D01C206"/>
    <w:rsid w:val="1D23EC47"/>
    <w:rsid w:val="1D42C046"/>
    <w:rsid w:val="1D4F3208"/>
    <w:rsid w:val="1D59F22D"/>
    <w:rsid w:val="1DAF4F12"/>
    <w:rsid w:val="1DCF49AE"/>
    <w:rsid w:val="1E622D50"/>
    <w:rsid w:val="1E6E53CD"/>
    <w:rsid w:val="1E7D92C6"/>
    <w:rsid w:val="1F07A7B2"/>
    <w:rsid w:val="1F303D3C"/>
    <w:rsid w:val="1F7296C9"/>
    <w:rsid w:val="1F832B00"/>
    <w:rsid w:val="201B5E3B"/>
    <w:rsid w:val="201D7BCB"/>
    <w:rsid w:val="203BA84A"/>
    <w:rsid w:val="20548FB1"/>
    <w:rsid w:val="2065E623"/>
    <w:rsid w:val="207275FC"/>
    <w:rsid w:val="209F5FBE"/>
    <w:rsid w:val="20CDD79B"/>
    <w:rsid w:val="2111F935"/>
    <w:rsid w:val="2150E393"/>
    <w:rsid w:val="217215D6"/>
    <w:rsid w:val="217A8811"/>
    <w:rsid w:val="22433C5A"/>
    <w:rsid w:val="226CECE3"/>
    <w:rsid w:val="22BA97DB"/>
    <w:rsid w:val="231658B0"/>
    <w:rsid w:val="23C8D534"/>
    <w:rsid w:val="23E5F99A"/>
    <w:rsid w:val="2403AE5F"/>
    <w:rsid w:val="24119976"/>
    <w:rsid w:val="242D8F4B"/>
    <w:rsid w:val="24572E20"/>
    <w:rsid w:val="248553F4"/>
    <w:rsid w:val="24AF4127"/>
    <w:rsid w:val="24F5EA28"/>
    <w:rsid w:val="25378D3D"/>
    <w:rsid w:val="2550524D"/>
    <w:rsid w:val="2558754E"/>
    <w:rsid w:val="25A78C75"/>
    <w:rsid w:val="25B65D34"/>
    <w:rsid w:val="25D4731C"/>
    <w:rsid w:val="25F956D8"/>
    <w:rsid w:val="265DF774"/>
    <w:rsid w:val="2691F442"/>
    <w:rsid w:val="269D594D"/>
    <w:rsid w:val="26C25EB1"/>
    <w:rsid w:val="26F8CB42"/>
    <w:rsid w:val="2718DB80"/>
    <w:rsid w:val="273B4F21"/>
    <w:rsid w:val="27834F54"/>
    <w:rsid w:val="27CBC08A"/>
    <w:rsid w:val="282B0A72"/>
    <w:rsid w:val="283B21EC"/>
    <w:rsid w:val="283F0620"/>
    <w:rsid w:val="28A83111"/>
    <w:rsid w:val="28AB3306"/>
    <w:rsid w:val="28E9E775"/>
    <w:rsid w:val="28FB47AF"/>
    <w:rsid w:val="291AE781"/>
    <w:rsid w:val="2934E9A6"/>
    <w:rsid w:val="29890343"/>
    <w:rsid w:val="299BB722"/>
    <w:rsid w:val="29C81A37"/>
    <w:rsid w:val="29FA7C73"/>
    <w:rsid w:val="2A1048A3"/>
    <w:rsid w:val="2A49C157"/>
    <w:rsid w:val="2A72E4AE"/>
    <w:rsid w:val="2A7DC633"/>
    <w:rsid w:val="2A7F835D"/>
    <w:rsid w:val="2A9DC112"/>
    <w:rsid w:val="2B062849"/>
    <w:rsid w:val="2B14ACBF"/>
    <w:rsid w:val="2B2ACC5A"/>
    <w:rsid w:val="2B767E2F"/>
    <w:rsid w:val="2B88AE23"/>
    <w:rsid w:val="2BC9515C"/>
    <w:rsid w:val="2BEC2FDF"/>
    <w:rsid w:val="2C121189"/>
    <w:rsid w:val="2C156059"/>
    <w:rsid w:val="2CFFE4A2"/>
    <w:rsid w:val="2D6BD5BB"/>
    <w:rsid w:val="2D6ECE27"/>
    <w:rsid w:val="2D76CE5C"/>
    <w:rsid w:val="2D95FA8B"/>
    <w:rsid w:val="2DEFDDDA"/>
    <w:rsid w:val="2DF70040"/>
    <w:rsid w:val="2EBA3DED"/>
    <w:rsid w:val="2EC0EAE1"/>
    <w:rsid w:val="2F4E7060"/>
    <w:rsid w:val="2F6034C7"/>
    <w:rsid w:val="2F86CF06"/>
    <w:rsid w:val="2F894608"/>
    <w:rsid w:val="2FC50F1F"/>
    <w:rsid w:val="2FDD0472"/>
    <w:rsid w:val="2FF63D79"/>
    <w:rsid w:val="301A0805"/>
    <w:rsid w:val="30413107"/>
    <w:rsid w:val="305CE1A8"/>
    <w:rsid w:val="30784798"/>
    <w:rsid w:val="307B4740"/>
    <w:rsid w:val="3085228A"/>
    <w:rsid w:val="3135B6D1"/>
    <w:rsid w:val="313EF731"/>
    <w:rsid w:val="315624F9"/>
    <w:rsid w:val="3168EFB6"/>
    <w:rsid w:val="318303F7"/>
    <w:rsid w:val="31A7812C"/>
    <w:rsid w:val="31D5CA5D"/>
    <w:rsid w:val="321CB0B6"/>
    <w:rsid w:val="327143A6"/>
    <w:rsid w:val="327B37E6"/>
    <w:rsid w:val="329263CD"/>
    <w:rsid w:val="32B5732E"/>
    <w:rsid w:val="330F8C06"/>
    <w:rsid w:val="3317FA49"/>
    <w:rsid w:val="3339D204"/>
    <w:rsid w:val="33771026"/>
    <w:rsid w:val="33B3DD98"/>
    <w:rsid w:val="33C46D90"/>
    <w:rsid w:val="33E7BDC1"/>
    <w:rsid w:val="33F894BF"/>
    <w:rsid w:val="34094F16"/>
    <w:rsid w:val="34095373"/>
    <w:rsid w:val="34213EFE"/>
    <w:rsid w:val="3430AC8F"/>
    <w:rsid w:val="34456352"/>
    <w:rsid w:val="344B2DF9"/>
    <w:rsid w:val="344CA325"/>
    <w:rsid w:val="349D98E9"/>
    <w:rsid w:val="34A57120"/>
    <w:rsid w:val="34D90D3C"/>
    <w:rsid w:val="34D9E8F4"/>
    <w:rsid w:val="3535E6E2"/>
    <w:rsid w:val="356AABBB"/>
    <w:rsid w:val="357928DF"/>
    <w:rsid w:val="35946520"/>
    <w:rsid w:val="35BC87BD"/>
    <w:rsid w:val="35C065EC"/>
    <w:rsid w:val="36384BF5"/>
    <w:rsid w:val="36AA9676"/>
    <w:rsid w:val="37320D01"/>
    <w:rsid w:val="3746E188"/>
    <w:rsid w:val="37656839"/>
    <w:rsid w:val="3767A46F"/>
    <w:rsid w:val="378ACC51"/>
    <w:rsid w:val="37A68C3D"/>
    <w:rsid w:val="37E316C8"/>
    <w:rsid w:val="380FBDAD"/>
    <w:rsid w:val="389B9E9B"/>
    <w:rsid w:val="38A476A8"/>
    <w:rsid w:val="38BF6EC3"/>
    <w:rsid w:val="38CAF385"/>
    <w:rsid w:val="38DA8833"/>
    <w:rsid w:val="38DF80BE"/>
    <w:rsid w:val="39097B55"/>
    <w:rsid w:val="391E494A"/>
    <w:rsid w:val="39216211"/>
    <w:rsid w:val="39A87C10"/>
    <w:rsid w:val="39AB8E0E"/>
    <w:rsid w:val="39F75C33"/>
    <w:rsid w:val="3A0EAF15"/>
    <w:rsid w:val="3A3D2EE4"/>
    <w:rsid w:val="3A4B58BB"/>
    <w:rsid w:val="3A6F7AC0"/>
    <w:rsid w:val="3ADA9EFE"/>
    <w:rsid w:val="3B2F8BAB"/>
    <w:rsid w:val="3B612738"/>
    <w:rsid w:val="3B8B694C"/>
    <w:rsid w:val="3BBC7F9D"/>
    <w:rsid w:val="3C1D0A9A"/>
    <w:rsid w:val="3C21945E"/>
    <w:rsid w:val="3C5CAFF9"/>
    <w:rsid w:val="3CB05231"/>
    <w:rsid w:val="3CB4856D"/>
    <w:rsid w:val="3CB66CE7"/>
    <w:rsid w:val="3CBF3182"/>
    <w:rsid w:val="3CD8A745"/>
    <w:rsid w:val="3CD90CE9"/>
    <w:rsid w:val="3CE32ED0"/>
    <w:rsid w:val="3D1F1445"/>
    <w:rsid w:val="3D4598CA"/>
    <w:rsid w:val="3D4B32E5"/>
    <w:rsid w:val="3D83CF7E"/>
    <w:rsid w:val="3DC33D02"/>
    <w:rsid w:val="3DD5F5ED"/>
    <w:rsid w:val="3E173885"/>
    <w:rsid w:val="3E3B430E"/>
    <w:rsid w:val="3EA1D305"/>
    <w:rsid w:val="3EB9D2F3"/>
    <w:rsid w:val="3EC2E0AC"/>
    <w:rsid w:val="3ED80B47"/>
    <w:rsid w:val="3F1982F5"/>
    <w:rsid w:val="3F23C6FB"/>
    <w:rsid w:val="3F49C9B7"/>
    <w:rsid w:val="401F2835"/>
    <w:rsid w:val="405B8D52"/>
    <w:rsid w:val="4071C493"/>
    <w:rsid w:val="40870D1F"/>
    <w:rsid w:val="40A2A2AF"/>
    <w:rsid w:val="40E9B976"/>
    <w:rsid w:val="40EB1C28"/>
    <w:rsid w:val="40EE3C53"/>
    <w:rsid w:val="41AEA919"/>
    <w:rsid w:val="41C8BA3B"/>
    <w:rsid w:val="41C94870"/>
    <w:rsid w:val="41E159A4"/>
    <w:rsid w:val="4222DD80"/>
    <w:rsid w:val="4271C514"/>
    <w:rsid w:val="428348FA"/>
    <w:rsid w:val="42CD8044"/>
    <w:rsid w:val="432E1E7C"/>
    <w:rsid w:val="4343CB62"/>
    <w:rsid w:val="43B8217A"/>
    <w:rsid w:val="43DAD49C"/>
    <w:rsid w:val="43EC7AA1"/>
    <w:rsid w:val="44073583"/>
    <w:rsid w:val="440D9575"/>
    <w:rsid w:val="443A5E0D"/>
    <w:rsid w:val="443C4334"/>
    <w:rsid w:val="4449EB21"/>
    <w:rsid w:val="448CCC27"/>
    <w:rsid w:val="44DEA40D"/>
    <w:rsid w:val="44DF7111"/>
    <w:rsid w:val="44F896FC"/>
    <w:rsid w:val="45097841"/>
    <w:rsid w:val="45248116"/>
    <w:rsid w:val="454B0C89"/>
    <w:rsid w:val="455890E5"/>
    <w:rsid w:val="4566C134"/>
    <w:rsid w:val="45D55CA8"/>
    <w:rsid w:val="461DD7C8"/>
    <w:rsid w:val="4694675D"/>
    <w:rsid w:val="46A48678"/>
    <w:rsid w:val="46ADA0D0"/>
    <w:rsid w:val="46BAE2A5"/>
    <w:rsid w:val="46D90E8C"/>
    <w:rsid w:val="46E1F72A"/>
    <w:rsid w:val="47006651"/>
    <w:rsid w:val="471D1435"/>
    <w:rsid w:val="472F10AC"/>
    <w:rsid w:val="473AEB83"/>
    <w:rsid w:val="47625B82"/>
    <w:rsid w:val="4763AFD6"/>
    <w:rsid w:val="47843D8F"/>
    <w:rsid w:val="47BBD5FE"/>
    <w:rsid w:val="47D3DFD0"/>
    <w:rsid w:val="47D94366"/>
    <w:rsid w:val="481BAF4B"/>
    <w:rsid w:val="4873D3AB"/>
    <w:rsid w:val="487C1283"/>
    <w:rsid w:val="487FDF80"/>
    <w:rsid w:val="48A092A2"/>
    <w:rsid w:val="48A3380C"/>
    <w:rsid w:val="48E066CF"/>
    <w:rsid w:val="48EA3421"/>
    <w:rsid w:val="4904412D"/>
    <w:rsid w:val="495C2593"/>
    <w:rsid w:val="4995446A"/>
    <w:rsid w:val="49AB242D"/>
    <w:rsid w:val="4A6852ED"/>
    <w:rsid w:val="4A796686"/>
    <w:rsid w:val="4BB545C6"/>
    <w:rsid w:val="4BCC95AD"/>
    <w:rsid w:val="4BE1A06A"/>
    <w:rsid w:val="4BF43F2F"/>
    <w:rsid w:val="4C0332B2"/>
    <w:rsid w:val="4C0F1150"/>
    <w:rsid w:val="4C1536E7"/>
    <w:rsid w:val="4C3A8590"/>
    <w:rsid w:val="4CA68958"/>
    <w:rsid w:val="4CAFE092"/>
    <w:rsid w:val="4CB4F252"/>
    <w:rsid w:val="4CBE658A"/>
    <w:rsid w:val="4CCB38BC"/>
    <w:rsid w:val="4D01BAE4"/>
    <w:rsid w:val="4D1DAE5E"/>
    <w:rsid w:val="4D4A347F"/>
    <w:rsid w:val="4DABB882"/>
    <w:rsid w:val="4DAC881C"/>
    <w:rsid w:val="4DBDA544"/>
    <w:rsid w:val="4DD3ED30"/>
    <w:rsid w:val="4DECC446"/>
    <w:rsid w:val="4E22DA60"/>
    <w:rsid w:val="4E4255CC"/>
    <w:rsid w:val="4E74AB2E"/>
    <w:rsid w:val="4E816D9E"/>
    <w:rsid w:val="4E894EBC"/>
    <w:rsid w:val="4E9BCFEC"/>
    <w:rsid w:val="4EB581B5"/>
    <w:rsid w:val="4EBDFD79"/>
    <w:rsid w:val="4EC7E128"/>
    <w:rsid w:val="4EE8382B"/>
    <w:rsid w:val="4EFE2DC7"/>
    <w:rsid w:val="4F52EE81"/>
    <w:rsid w:val="4F5975A5"/>
    <w:rsid w:val="4F5A8785"/>
    <w:rsid w:val="4F7A5BC1"/>
    <w:rsid w:val="4F9624FF"/>
    <w:rsid w:val="4FC4DB4F"/>
    <w:rsid w:val="4FFEC32B"/>
    <w:rsid w:val="5033A3F9"/>
    <w:rsid w:val="5036D36F"/>
    <w:rsid w:val="504A443D"/>
    <w:rsid w:val="5051CDF8"/>
    <w:rsid w:val="50866820"/>
    <w:rsid w:val="50909A82"/>
    <w:rsid w:val="50AF7648"/>
    <w:rsid w:val="50DF9773"/>
    <w:rsid w:val="50F7F96C"/>
    <w:rsid w:val="51323281"/>
    <w:rsid w:val="517CCCE0"/>
    <w:rsid w:val="51B8BFC4"/>
    <w:rsid w:val="51D91B0D"/>
    <w:rsid w:val="51ED4F61"/>
    <w:rsid w:val="522E3F2C"/>
    <w:rsid w:val="523B5BDC"/>
    <w:rsid w:val="52523CB8"/>
    <w:rsid w:val="52699464"/>
    <w:rsid w:val="5319EA96"/>
    <w:rsid w:val="53B0F9A5"/>
    <w:rsid w:val="53B13F64"/>
    <w:rsid w:val="53F62121"/>
    <w:rsid w:val="5468FE61"/>
    <w:rsid w:val="547559F3"/>
    <w:rsid w:val="549E59EC"/>
    <w:rsid w:val="54BC1D92"/>
    <w:rsid w:val="54C8D10C"/>
    <w:rsid w:val="54CAA4E8"/>
    <w:rsid w:val="54E38599"/>
    <w:rsid w:val="54FFB452"/>
    <w:rsid w:val="550B0574"/>
    <w:rsid w:val="555CC003"/>
    <w:rsid w:val="5577C0F3"/>
    <w:rsid w:val="55953470"/>
    <w:rsid w:val="55985B79"/>
    <w:rsid w:val="563622AB"/>
    <w:rsid w:val="568432CB"/>
    <w:rsid w:val="568C7219"/>
    <w:rsid w:val="56909425"/>
    <w:rsid w:val="569B84B3"/>
    <w:rsid w:val="570AEA35"/>
    <w:rsid w:val="57C0CE60"/>
    <w:rsid w:val="57D1F30C"/>
    <w:rsid w:val="57D97103"/>
    <w:rsid w:val="580C9F90"/>
    <w:rsid w:val="580E66C3"/>
    <w:rsid w:val="581070EB"/>
    <w:rsid w:val="58375514"/>
    <w:rsid w:val="58462E45"/>
    <w:rsid w:val="58514430"/>
    <w:rsid w:val="588BA8F5"/>
    <w:rsid w:val="58B35DFF"/>
    <w:rsid w:val="58C1FE46"/>
    <w:rsid w:val="5928AEC9"/>
    <w:rsid w:val="59694E48"/>
    <w:rsid w:val="59DEB9FE"/>
    <w:rsid w:val="59F6C9C4"/>
    <w:rsid w:val="5A14AF57"/>
    <w:rsid w:val="5A1966D4"/>
    <w:rsid w:val="5A753848"/>
    <w:rsid w:val="5A86D05D"/>
    <w:rsid w:val="5AA0D0BA"/>
    <w:rsid w:val="5AFB5635"/>
    <w:rsid w:val="5B1BEBC5"/>
    <w:rsid w:val="5B4B9447"/>
    <w:rsid w:val="5BACFBA2"/>
    <w:rsid w:val="5BB662AF"/>
    <w:rsid w:val="5C072401"/>
    <w:rsid w:val="5C13B76A"/>
    <w:rsid w:val="5C167322"/>
    <w:rsid w:val="5C2BE031"/>
    <w:rsid w:val="5C50D027"/>
    <w:rsid w:val="5C5896E0"/>
    <w:rsid w:val="5C829472"/>
    <w:rsid w:val="5CADCEDF"/>
    <w:rsid w:val="5CCBA07E"/>
    <w:rsid w:val="5D02E324"/>
    <w:rsid w:val="5D23885B"/>
    <w:rsid w:val="5D851C4A"/>
    <w:rsid w:val="5D9A287B"/>
    <w:rsid w:val="5D9AB088"/>
    <w:rsid w:val="5DC469CF"/>
    <w:rsid w:val="5E0043E6"/>
    <w:rsid w:val="5E465F8F"/>
    <w:rsid w:val="5E58EF4E"/>
    <w:rsid w:val="5E64B38F"/>
    <w:rsid w:val="5EA64FF3"/>
    <w:rsid w:val="5FA5E2E2"/>
    <w:rsid w:val="600770A4"/>
    <w:rsid w:val="6032C0FD"/>
    <w:rsid w:val="6044D029"/>
    <w:rsid w:val="604C753F"/>
    <w:rsid w:val="60C3D37A"/>
    <w:rsid w:val="60CCE4BA"/>
    <w:rsid w:val="614E8849"/>
    <w:rsid w:val="61583325"/>
    <w:rsid w:val="6162333A"/>
    <w:rsid w:val="6164F9B2"/>
    <w:rsid w:val="61849A30"/>
    <w:rsid w:val="61C68608"/>
    <w:rsid w:val="61CAC50C"/>
    <w:rsid w:val="62244C3D"/>
    <w:rsid w:val="622E21F9"/>
    <w:rsid w:val="62C11E70"/>
    <w:rsid w:val="62D16B7B"/>
    <w:rsid w:val="62ECCCAC"/>
    <w:rsid w:val="637D49BF"/>
    <w:rsid w:val="638053E8"/>
    <w:rsid w:val="639EB8CF"/>
    <w:rsid w:val="63ADF512"/>
    <w:rsid w:val="6451425D"/>
    <w:rsid w:val="648365A4"/>
    <w:rsid w:val="649BB619"/>
    <w:rsid w:val="64BF1735"/>
    <w:rsid w:val="64D9E069"/>
    <w:rsid w:val="64EBD28F"/>
    <w:rsid w:val="650265CE"/>
    <w:rsid w:val="6524F982"/>
    <w:rsid w:val="65819F84"/>
    <w:rsid w:val="65C9F46F"/>
    <w:rsid w:val="6625D4B8"/>
    <w:rsid w:val="6626333A"/>
    <w:rsid w:val="664CE66C"/>
    <w:rsid w:val="665EC667"/>
    <w:rsid w:val="66870651"/>
    <w:rsid w:val="66B35F94"/>
    <w:rsid w:val="67010041"/>
    <w:rsid w:val="672A26E3"/>
    <w:rsid w:val="67588915"/>
    <w:rsid w:val="67747763"/>
    <w:rsid w:val="67910CC8"/>
    <w:rsid w:val="679B2BC0"/>
    <w:rsid w:val="682D0CBE"/>
    <w:rsid w:val="682F82A2"/>
    <w:rsid w:val="68C10B08"/>
    <w:rsid w:val="68D199AD"/>
    <w:rsid w:val="69055661"/>
    <w:rsid w:val="691635F6"/>
    <w:rsid w:val="69190E44"/>
    <w:rsid w:val="69319F29"/>
    <w:rsid w:val="697FD8D1"/>
    <w:rsid w:val="6A00A52C"/>
    <w:rsid w:val="6A0D665E"/>
    <w:rsid w:val="6A14E08B"/>
    <w:rsid w:val="6A1E9993"/>
    <w:rsid w:val="6A2A9C5E"/>
    <w:rsid w:val="6A4422A6"/>
    <w:rsid w:val="6A4BE694"/>
    <w:rsid w:val="6A4FF437"/>
    <w:rsid w:val="6A6D6A0E"/>
    <w:rsid w:val="6A9A7DBB"/>
    <w:rsid w:val="6AA5FE8C"/>
    <w:rsid w:val="6AA7385C"/>
    <w:rsid w:val="6B3B34DB"/>
    <w:rsid w:val="6B49F390"/>
    <w:rsid w:val="6B4FBD92"/>
    <w:rsid w:val="6B73BE4F"/>
    <w:rsid w:val="6B796C9F"/>
    <w:rsid w:val="6B968D21"/>
    <w:rsid w:val="6BF7756F"/>
    <w:rsid w:val="6C40704E"/>
    <w:rsid w:val="6C69911B"/>
    <w:rsid w:val="6CD0A1F0"/>
    <w:rsid w:val="6CDC28A6"/>
    <w:rsid w:val="6CF3E317"/>
    <w:rsid w:val="6CF528FE"/>
    <w:rsid w:val="6D664BCE"/>
    <w:rsid w:val="6DD24EA1"/>
    <w:rsid w:val="6E44EC7A"/>
    <w:rsid w:val="6E63D8AD"/>
    <w:rsid w:val="6EA9C8DD"/>
    <w:rsid w:val="6EC489B7"/>
    <w:rsid w:val="6F5027CB"/>
    <w:rsid w:val="6F6CF24A"/>
    <w:rsid w:val="6F6E4CBC"/>
    <w:rsid w:val="6FA0357A"/>
    <w:rsid w:val="6FC06DA8"/>
    <w:rsid w:val="6FC2C777"/>
    <w:rsid w:val="7035C2C5"/>
    <w:rsid w:val="7061BB5C"/>
    <w:rsid w:val="709A1E5F"/>
    <w:rsid w:val="70D5B956"/>
    <w:rsid w:val="71281091"/>
    <w:rsid w:val="71302664"/>
    <w:rsid w:val="71B126F4"/>
    <w:rsid w:val="71DFBECF"/>
    <w:rsid w:val="71ECAC02"/>
    <w:rsid w:val="71F1E4F8"/>
    <w:rsid w:val="72300EA6"/>
    <w:rsid w:val="7259ECB5"/>
    <w:rsid w:val="726EC95A"/>
    <w:rsid w:val="727B12C0"/>
    <w:rsid w:val="729CFD6C"/>
    <w:rsid w:val="72A3EFDF"/>
    <w:rsid w:val="72C71B2B"/>
    <w:rsid w:val="72EBA49C"/>
    <w:rsid w:val="72F618A7"/>
    <w:rsid w:val="732265F4"/>
    <w:rsid w:val="733B59EE"/>
    <w:rsid w:val="7340FC82"/>
    <w:rsid w:val="738A41D0"/>
    <w:rsid w:val="73BDF56E"/>
    <w:rsid w:val="73BF7C98"/>
    <w:rsid w:val="73C59183"/>
    <w:rsid w:val="73C85891"/>
    <w:rsid w:val="73F43766"/>
    <w:rsid w:val="73FA9812"/>
    <w:rsid w:val="73FCE8F0"/>
    <w:rsid w:val="741802C7"/>
    <w:rsid w:val="749AF420"/>
    <w:rsid w:val="749F04DE"/>
    <w:rsid w:val="74BF58CF"/>
    <w:rsid w:val="74C147A1"/>
    <w:rsid w:val="750CF24C"/>
    <w:rsid w:val="752905B9"/>
    <w:rsid w:val="756CC70E"/>
    <w:rsid w:val="758B186A"/>
    <w:rsid w:val="75966873"/>
    <w:rsid w:val="75C4AA3F"/>
    <w:rsid w:val="75DE248A"/>
    <w:rsid w:val="76060A97"/>
    <w:rsid w:val="7630DBA8"/>
    <w:rsid w:val="7634DF94"/>
    <w:rsid w:val="7643C82D"/>
    <w:rsid w:val="7653ECB1"/>
    <w:rsid w:val="7672FAB0"/>
    <w:rsid w:val="768C1F3C"/>
    <w:rsid w:val="770FF465"/>
    <w:rsid w:val="77143633"/>
    <w:rsid w:val="772FF3E3"/>
    <w:rsid w:val="7790E5B6"/>
    <w:rsid w:val="77D0BBD1"/>
    <w:rsid w:val="7808D686"/>
    <w:rsid w:val="78321562"/>
    <w:rsid w:val="7837A89A"/>
    <w:rsid w:val="785DB2F3"/>
    <w:rsid w:val="78742CF1"/>
    <w:rsid w:val="7880E89B"/>
    <w:rsid w:val="788DC062"/>
    <w:rsid w:val="78B1FED2"/>
    <w:rsid w:val="78B46A1B"/>
    <w:rsid w:val="78CEBBD9"/>
    <w:rsid w:val="792442F1"/>
    <w:rsid w:val="7932B0BB"/>
    <w:rsid w:val="793E2197"/>
    <w:rsid w:val="79413C40"/>
    <w:rsid w:val="79ABB912"/>
    <w:rsid w:val="79F17606"/>
    <w:rsid w:val="7A1A5C9F"/>
    <w:rsid w:val="7A5F3F74"/>
    <w:rsid w:val="7A63E4B2"/>
    <w:rsid w:val="7A665EB8"/>
    <w:rsid w:val="7A683BB0"/>
    <w:rsid w:val="7A9BDE57"/>
    <w:rsid w:val="7AADD58E"/>
    <w:rsid w:val="7B1A7B2F"/>
    <w:rsid w:val="7B54F04D"/>
    <w:rsid w:val="7B57B032"/>
    <w:rsid w:val="7BBBC008"/>
    <w:rsid w:val="7BD4B772"/>
    <w:rsid w:val="7BD649C9"/>
    <w:rsid w:val="7BD9881A"/>
    <w:rsid w:val="7C0EF56E"/>
    <w:rsid w:val="7C2BA472"/>
    <w:rsid w:val="7C859D2A"/>
    <w:rsid w:val="7C8C36AF"/>
    <w:rsid w:val="7CAE9B9A"/>
    <w:rsid w:val="7CCE2A9D"/>
    <w:rsid w:val="7CFD3ED4"/>
    <w:rsid w:val="7D0CEDA6"/>
    <w:rsid w:val="7D1FC87C"/>
    <w:rsid w:val="7D288A67"/>
    <w:rsid w:val="7D5D1049"/>
    <w:rsid w:val="7D68E639"/>
    <w:rsid w:val="7D6B003C"/>
    <w:rsid w:val="7D75587B"/>
    <w:rsid w:val="7DAD6232"/>
    <w:rsid w:val="7E3B2DE8"/>
    <w:rsid w:val="7E76E045"/>
    <w:rsid w:val="7E95C930"/>
    <w:rsid w:val="7ED45D69"/>
    <w:rsid w:val="7F1128DC"/>
    <w:rsid w:val="7F1F4818"/>
    <w:rsid w:val="7FCF6FF7"/>
    <w:rsid w:val="7FF93F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1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customStyle="1" w:styleId="TableHeading">
    <w:name w:val="Table Heading"/>
    <w:basedOn w:val="Heading4"/>
    <w:next w:val="Normal"/>
    <w:uiPriority w:val="1"/>
    <w:rsid w:val="002E2BB2"/>
    <w:pPr>
      <w:numPr>
        <w:ilvl w:val="4"/>
        <w:numId w:val="18"/>
      </w:numPr>
      <w:tabs>
        <w:tab w:val="clear" w:pos="1987"/>
      </w:tabs>
      <w:spacing w:before="240" w:after="200"/>
      <w:ind w:left="0" w:firstLine="0"/>
    </w:pPr>
    <w:rPr>
      <w:rFonts w:ascii="Helvetica" w:hAnsi="Helvetica" w:cs="Helvetica"/>
      <w:i/>
      <w:iCs/>
      <w:kern w:val="0"/>
      <w:sz w:val="22"/>
      <w:szCs w:val="22"/>
      <w:lang w:eastAsia="en-US"/>
    </w:rPr>
  </w:style>
  <w:style w:type="paragraph" w:customStyle="1" w:styleId="Chapterheading">
    <w:name w:val="Chapter heading"/>
    <w:basedOn w:val="Heading1"/>
    <w:next w:val="Normal"/>
    <w:rsid w:val="002E2BB2"/>
    <w:pPr>
      <w:keepLines/>
      <w:numPr>
        <w:numId w:val="18"/>
      </w:numPr>
      <w:pBdr>
        <w:bottom w:val="single" w:sz="4" w:space="8" w:color="auto"/>
      </w:pBdr>
      <w:spacing w:before="0" w:after="480"/>
      <w:jc w:val="left"/>
    </w:pPr>
    <w:rPr>
      <w:rFonts w:ascii="Helvitica" w:eastAsiaTheme="majorEastAsia" w:hAnsi="Helvitica" w:cstheme="majorBidi"/>
      <w:i/>
      <w:kern w:val="0"/>
      <w:sz w:val="40"/>
      <w:szCs w:val="32"/>
      <w:u w:val="none"/>
      <w:lang w:eastAsia="en-US"/>
    </w:rPr>
  </w:style>
  <w:style w:type="numbering" w:customStyle="1" w:styleId="Chapternumbering">
    <w:name w:val="Chapter numbering"/>
    <w:uiPriority w:val="99"/>
    <w:rsid w:val="002E2BB2"/>
    <w:pPr>
      <w:numPr>
        <w:numId w:val="19"/>
      </w:numPr>
    </w:pPr>
  </w:style>
  <w:style w:type="paragraph" w:customStyle="1" w:styleId="DiagramHeading">
    <w:name w:val="Diagram Heading"/>
    <w:basedOn w:val="TableHeading"/>
    <w:next w:val="Normal"/>
    <w:uiPriority w:val="1"/>
    <w:rsid w:val="002E2BB2"/>
    <w:pPr>
      <w:numPr>
        <w:ilvl w:val="2"/>
      </w:numPr>
      <w:ind w:left="0" w:firstLine="0"/>
    </w:pPr>
  </w:style>
  <w:style w:type="paragraph" w:customStyle="1" w:styleId="ExampleHeading">
    <w:name w:val="Example Heading"/>
    <w:basedOn w:val="TableHeading"/>
    <w:next w:val="Normal"/>
    <w:uiPriority w:val="1"/>
    <w:rsid w:val="002E2BB2"/>
    <w:pPr>
      <w:numPr>
        <w:ilvl w:val="3"/>
      </w:numPr>
      <w:ind w:left="0" w:firstLine="0"/>
    </w:pPr>
  </w:style>
  <w:style w:type="paragraph" w:customStyle="1" w:styleId="Normalparatextwithnumbers">
    <w:name w:val="Normal para text (with numbers)"/>
    <w:basedOn w:val="Normal"/>
    <w:link w:val="NormalparatextwithnumbersChar"/>
    <w:qFormat/>
    <w:rsid w:val="002E2BB2"/>
    <w:pPr>
      <w:numPr>
        <w:ilvl w:val="1"/>
        <w:numId w:val="18"/>
      </w:numPr>
    </w:pPr>
    <w:rPr>
      <w:rFonts w:eastAsiaTheme="minorHAnsi" w:cstheme="minorBidi"/>
      <w:sz w:val="22"/>
      <w:szCs w:val="22"/>
      <w:lang w:eastAsia="en-US"/>
    </w:rPr>
  </w:style>
  <w:style w:type="character" w:customStyle="1" w:styleId="NormalparatextwithnumbersChar">
    <w:name w:val="Normal para text (with numbers) Char"/>
    <w:basedOn w:val="DefaultParagraphFont"/>
    <w:link w:val="Normalparatextwithnumbers"/>
    <w:rsid w:val="002E2BB2"/>
    <w:rPr>
      <w:rFonts w:eastAsiaTheme="minorHAnsi" w:cstheme="minorBidi"/>
      <w:sz w:val="22"/>
      <w:szCs w:val="22"/>
      <w:lang w:eastAsia="en-US"/>
    </w:rPr>
  </w:style>
  <w:style w:type="paragraph" w:customStyle="1" w:styleId="paragraph">
    <w:name w:val="paragraph"/>
    <w:aliases w:val="a"/>
    <w:basedOn w:val="Normal"/>
    <w:link w:val="paragraphChar"/>
    <w:rsid w:val="00C7046D"/>
    <w:pPr>
      <w:tabs>
        <w:tab w:val="right" w:pos="1531"/>
      </w:tabs>
      <w:spacing w:before="40" w:after="0"/>
      <w:ind w:left="1644" w:hanging="1644"/>
    </w:pPr>
    <w:rPr>
      <w:sz w:val="22"/>
      <w14:ligatures w14:val="standardContextual"/>
    </w:rPr>
  </w:style>
  <w:style w:type="character" w:customStyle="1" w:styleId="paragraphChar">
    <w:name w:val="paragraph Char"/>
    <w:aliases w:val="a Char"/>
    <w:link w:val="paragraph"/>
    <w:rsid w:val="00C7046D"/>
    <w:rPr>
      <w:sz w:val="22"/>
      <w14:ligatures w14:val="standardContextual"/>
    </w:rPr>
  </w:style>
  <w:style w:type="paragraph" w:customStyle="1" w:styleId="Definition">
    <w:name w:val="Definition"/>
    <w:aliases w:val="dd"/>
    <w:basedOn w:val="Normal"/>
    <w:rsid w:val="00846B31"/>
    <w:pPr>
      <w:spacing w:before="180" w:after="0"/>
      <w:ind w:left="1134"/>
    </w:pPr>
    <w:rPr>
      <w:sz w:val="22"/>
    </w:rPr>
  </w:style>
  <w:style w:type="paragraph" w:customStyle="1" w:styleId="Dotpoint1">
    <w:name w:val="Dot point 1"/>
    <w:basedOn w:val="Normal"/>
    <w:link w:val="Dotpoint1Char"/>
    <w:uiPriority w:val="1"/>
    <w:qFormat/>
    <w:rsid w:val="00761618"/>
    <w:pPr>
      <w:numPr>
        <w:numId w:val="24"/>
      </w:numPr>
      <w:ind w:left="1418" w:hanging="709"/>
    </w:pPr>
    <w:rPr>
      <w:rFonts w:eastAsiaTheme="minorHAnsi" w:cstheme="minorBidi"/>
      <w:sz w:val="22"/>
      <w:szCs w:val="22"/>
      <w:lang w:eastAsia="en-US"/>
    </w:rPr>
  </w:style>
  <w:style w:type="character" w:customStyle="1" w:styleId="Dotpoint1Char">
    <w:name w:val="Dot point 1 Char"/>
    <w:basedOn w:val="DefaultParagraphFont"/>
    <w:link w:val="Dotpoint1"/>
    <w:uiPriority w:val="1"/>
    <w:rsid w:val="00761618"/>
    <w:rPr>
      <w:rFonts w:eastAsiaTheme="minorHAnsi" w:cstheme="minorBidi"/>
      <w:sz w:val="22"/>
      <w:szCs w:val="22"/>
      <w:lang w:eastAsia="en-US"/>
    </w:rPr>
  </w:style>
  <w:style w:type="character" w:customStyle="1" w:styleId="normaltextrun">
    <w:name w:val="normaltextrun"/>
    <w:basedOn w:val="DefaultParagraphFont"/>
    <w:rsid w:val="00761618"/>
  </w:style>
  <w:style w:type="character" w:styleId="Mention">
    <w:name w:val="Mention"/>
    <w:basedOn w:val="DefaultParagraphFont"/>
    <w:uiPriority w:val="99"/>
    <w:unhideWhenUsed/>
    <w:rsid w:val="00860C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a.asn.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B487D6C7B449ED8BD9E8A31234764F"/>
        <w:category>
          <w:name w:val="General"/>
          <w:gallery w:val="placeholder"/>
        </w:category>
        <w:types>
          <w:type w:val="bbPlcHdr"/>
        </w:types>
        <w:behaviors>
          <w:behavior w:val="content"/>
        </w:behaviors>
        <w:guid w:val="{466C4BD1-0B8E-4F8E-8576-81E624C4E2E7}"/>
      </w:docPartPr>
      <w:docPartBody>
        <w:p w:rsidR="00527053" w:rsidRDefault="00527053">
          <w:pPr>
            <w:pStyle w:val="A1B487D6C7B449ED8BD9E8A31234764F"/>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itica">
    <w:altName w:val="Arial"/>
    <w:panose1 w:val="00000000000000000000"/>
    <w:charset w:val="00"/>
    <w:family w:val="roman"/>
    <w:notTrueType/>
    <w:pitch w:val="default"/>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53"/>
    <w:rsid w:val="00326E97"/>
    <w:rsid w:val="00413288"/>
    <w:rsid w:val="004538FD"/>
    <w:rsid w:val="004F1E18"/>
    <w:rsid w:val="00516192"/>
    <w:rsid w:val="00527053"/>
    <w:rsid w:val="00617D1C"/>
    <w:rsid w:val="006611D1"/>
    <w:rsid w:val="007E488F"/>
    <w:rsid w:val="00880452"/>
    <w:rsid w:val="00883262"/>
    <w:rsid w:val="008E51E1"/>
    <w:rsid w:val="009C738F"/>
    <w:rsid w:val="00A15472"/>
    <w:rsid w:val="00AA3783"/>
    <w:rsid w:val="00B154BA"/>
    <w:rsid w:val="00BF19A3"/>
    <w:rsid w:val="00F25694"/>
    <w:rsid w:val="00F46F4F"/>
    <w:rsid w:val="00F811E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1B487D6C7B449ED8BD9E8A31234764F">
    <w:name w:val="A1B487D6C7B449ED8BD9E8A3123476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3356</Words>
  <Characters>17971</Characters>
  <Application>Microsoft Office Word</Application>
  <DocSecurity>0</DocSecurity>
  <Lines>292</Lines>
  <Paragraphs>94</Paragraphs>
  <ScaleCrop>false</ScaleCrop>
  <HeadingPairs>
    <vt:vector size="2" baseType="variant">
      <vt:variant>
        <vt:lpstr>Title</vt:lpstr>
      </vt:variant>
      <vt:variant>
        <vt:i4>1</vt:i4>
      </vt:variant>
    </vt:vector>
  </HeadingPairs>
  <TitlesOfParts>
    <vt:vector size="1" baseType="lpstr">
      <vt:lpstr>Explanatory statement - National Consumer Credit Protection Act 2009 | National Consumer Credit Protection Amendment (Low Cost Credit) Regulations 2024</vt:lpstr>
    </vt:vector>
  </TitlesOfParts>
  <Company/>
  <LinksUpToDate>false</LinksUpToDate>
  <CharactersWithSpaces>21300</CharactersWithSpaces>
  <SharedDoc>false</SharedDoc>
  <HLinks>
    <vt:vector size="6" baseType="variant">
      <vt:variant>
        <vt:i4>3080237</vt:i4>
      </vt:variant>
      <vt:variant>
        <vt:i4>0</vt:i4>
      </vt:variant>
      <vt:variant>
        <vt:i4>0</vt:i4>
      </vt:variant>
      <vt:variant>
        <vt:i4>5</vt:i4>
      </vt:variant>
      <vt:variant>
        <vt:lpwstr>http://www.arca.asn.au/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National Consumer Credit Protection Act 2009 | National Consumer Credit Protection Amendment (Low Cost Credit) Regulations 2024</dc:title>
  <dc:subject/>
  <dc:creator/>
  <cp:keywords/>
  <cp:lastModifiedBy/>
  <cp:revision>1</cp:revision>
  <dcterms:created xsi:type="dcterms:W3CDTF">2024-03-07T01:40:00Z</dcterms:created>
  <dcterms:modified xsi:type="dcterms:W3CDTF">2024-03-07T01:41:00Z</dcterms:modified>
</cp:coreProperties>
</file>