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B1A3"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r w:rsidR="007B4AEC">
        <w:t>–2024</w:t>
      </w:r>
    </w:p>
    <w:p w14:paraId="4C807C73" w14:textId="77777777" w:rsidR="00E24AA1" w:rsidRDefault="00E24AA1" w:rsidP="00E24AA1">
      <w:pPr>
        <w:pStyle w:val="Baseparagraphcentred"/>
      </w:pPr>
    </w:p>
    <w:p w14:paraId="7833377E" w14:textId="77777777" w:rsidR="00E24AA1" w:rsidRDefault="00E24AA1" w:rsidP="00E24AA1">
      <w:pPr>
        <w:pStyle w:val="Baseparagraphcentred"/>
      </w:pPr>
      <w:r>
        <w:t>THE PARLIAMENT OF THE COMMONWEALTH OF AUSTRALIA</w:t>
      </w:r>
    </w:p>
    <w:p w14:paraId="5FE4D64E" w14:textId="77777777" w:rsidR="00E24AA1" w:rsidRDefault="00E24AA1" w:rsidP="00E24AA1">
      <w:pPr>
        <w:pStyle w:val="Baseparagraphcentred"/>
      </w:pPr>
    </w:p>
    <w:p w14:paraId="68FE6026" w14:textId="77777777" w:rsidR="00E24AA1" w:rsidRDefault="00E24AA1" w:rsidP="00E24AA1">
      <w:pPr>
        <w:pStyle w:val="Baseparagraphcentred"/>
      </w:pPr>
    </w:p>
    <w:p w14:paraId="01BB8EA4" w14:textId="77777777" w:rsidR="00E24AA1" w:rsidRDefault="00E24AA1" w:rsidP="00E24AA1">
      <w:pPr>
        <w:pStyle w:val="Baseparagraphcentred"/>
      </w:pPr>
    </w:p>
    <w:p w14:paraId="135BCE39" w14:textId="0531458E" w:rsidR="000A4EB2" w:rsidRDefault="00B56C64" w:rsidP="000A4EB2">
      <w:pPr>
        <w:pStyle w:val="Baseparagraphcentred"/>
      </w:pPr>
      <w:r>
        <w:t>HOUSE OF REPRESENTATIVES</w:t>
      </w:r>
    </w:p>
    <w:p w14:paraId="44030D5E" w14:textId="77777777" w:rsidR="00E24AA1" w:rsidRDefault="00E24AA1" w:rsidP="00E24AA1">
      <w:pPr>
        <w:pStyle w:val="Baseparagraphcentred"/>
      </w:pPr>
    </w:p>
    <w:p w14:paraId="4424A385" w14:textId="77777777" w:rsidR="00E24AA1" w:rsidRDefault="00E24AA1" w:rsidP="00E24AA1">
      <w:pPr>
        <w:pStyle w:val="Baseparagraphcentred"/>
      </w:pPr>
    </w:p>
    <w:p w14:paraId="4CA1ED06" w14:textId="77777777" w:rsidR="00E24AA1" w:rsidRDefault="00E24AA1" w:rsidP="00E24AA1">
      <w:pPr>
        <w:pStyle w:val="Baseparagraphcentred"/>
        <w:pBdr>
          <w:bottom w:val="single" w:sz="4" w:space="1" w:color="auto"/>
        </w:pBdr>
      </w:pPr>
    </w:p>
    <w:p w14:paraId="6D46B3F0" w14:textId="1FEA22A8" w:rsidR="00663455" w:rsidRDefault="00BF0D1E" w:rsidP="00663455">
      <w:pPr>
        <w:pStyle w:val="BillName"/>
      </w:pPr>
      <w:bookmarkStart w:id="6" w:name="BillName"/>
      <w:bookmarkEnd w:id="6"/>
      <w:r>
        <w:t>Capital Works (Build to Rent Misuse Tax) Bill 2024</w:t>
      </w:r>
      <w:r w:rsidR="00554701">
        <w:br/>
      </w:r>
      <w:r w:rsidR="00EB1618">
        <w:t xml:space="preserve">Treasury Laws Amendment Bill 2024: </w:t>
      </w:r>
      <w:r w:rsidR="00175C23">
        <w:t>B</w:t>
      </w:r>
      <w:r w:rsidR="00EB1618">
        <w:t xml:space="preserve">uild to </w:t>
      </w:r>
      <w:r w:rsidR="00175C23">
        <w:t>R</w:t>
      </w:r>
      <w:r w:rsidR="00EB1618">
        <w:t xml:space="preserve">ent </w:t>
      </w:r>
      <w:r w:rsidR="00175C23">
        <w:t>D</w:t>
      </w:r>
      <w:r w:rsidR="00EB1618">
        <w:t>evelopment</w:t>
      </w:r>
      <w:r w:rsidR="00663455">
        <w:t xml:space="preserve">s </w:t>
      </w:r>
    </w:p>
    <w:p w14:paraId="02AE51BE" w14:textId="77777777" w:rsidR="00E24AA1" w:rsidRDefault="00E24AA1" w:rsidP="00E24AA1">
      <w:pPr>
        <w:pStyle w:val="Baseparagraphcentred"/>
        <w:pBdr>
          <w:top w:val="single" w:sz="4" w:space="1" w:color="auto"/>
        </w:pBdr>
      </w:pPr>
    </w:p>
    <w:p w14:paraId="7482A662" w14:textId="77777777" w:rsidR="00E24AA1" w:rsidRDefault="00E24AA1" w:rsidP="00E24AA1">
      <w:pPr>
        <w:pStyle w:val="Baseparagraphcentred"/>
      </w:pPr>
    </w:p>
    <w:p w14:paraId="5335FEEE" w14:textId="77777777" w:rsidR="00E24AA1" w:rsidRDefault="00E24AA1" w:rsidP="00E24AA1">
      <w:pPr>
        <w:pStyle w:val="Baseparagraphcentred"/>
      </w:pPr>
    </w:p>
    <w:p w14:paraId="5981CEA5" w14:textId="77777777" w:rsidR="00E24AA1" w:rsidRDefault="00E24AA1" w:rsidP="00E24AA1">
      <w:pPr>
        <w:pStyle w:val="Baseparagraphcentred"/>
      </w:pPr>
    </w:p>
    <w:p w14:paraId="38D9C0E2" w14:textId="77777777" w:rsidR="00743B27" w:rsidRDefault="00743B27" w:rsidP="00E24AA1">
      <w:pPr>
        <w:pStyle w:val="Baseparagraphcentred"/>
      </w:pPr>
      <w:r>
        <w:t>EXPOSURE DRAFT EXPLANATORY MATERIALS</w:t>
      </w:r>
    </w:p>
    <w:p w14:paraId="5B7E39FD" w14:textId="77777777" w:rsidR="00E24AA1" w:rsidRDefault="00E24AA1" w:rsidP="00E24AA1">
      <w:pPr>
        <w:pStyle w:val="Baseparagraphcentred"/>
      </w:pPr>
    </w:p>
    <w:p w14:paraId="148382DE" w14:textId="77777777" w:rsidR="00E24AA1" w:rsidRDefault="00E24AA1" w:rsidP="00E24AA1">
      <w:pPr>
        <w:pStyle w:val="Baseparagraphcentred"/>
      </w:pPr>
    </w:p>
    <w:p w14:paraId="14403DF7" w14:textId="77777777" w:rsidR="00E24AA1" w:rsidRDefault="00E24AA1" w:rsidP="00E24AA1">
      <w:pPr>
        <w:pStyle w:val="ParaCentredNoSpacing"/>
      </w:pPr>
    </w:p>
    <w:p w14:paraId="7F95F2DC" w14:textId="77777777" w:rsidR="00E24AA1" w:rsidRPr="00967273" w:rsidRDefault="00E24AA1" w:rsidP="00E24AA1">
      <w:pPr>
        <w:pStyle w:val="Normalparatextnonumbers"/>
        <w:jc w:val="center"/>
        <w:rPr>
          <w:rFonts w:cs="Calibri"/>
          <w:color w:val="000000" w:themeColor="text1"/>
        </w:rPr>
      </w:pPr>
    </w:p>
    <w:p w14:paraId="3C10B656" w14:textId="77777777" w:rsidR="008A3B5F" w:rsidRPr="00020288" w:rsidRDefault="008A3B5F" w:rsidP="008A3B5F">
      <w:pPr>
        <w:pStyle w:val="Normalparatextnonumbers"/>
      </w:pPr>
    </w:p>
    <w:p w14:paraId="30576689" w14:textId="77777777" w:rsidR="00743B27" w:rsidRPr="0090171F" w:rsidRDefault="00743B27" w:rsidP="0090171F">
      <w:pPr>
        <w:pStyle w:val="Normalparatextnonumbers"/>
      </w:pPr>
      <w:bookmarkStart w:id="7" w:name="ConsultPreamble"/>
      <w:bookmarkEnd w:id="7"/>
      <w:r w:rsidRPr="0090171F">
        <w:br w:type="page"/>
      </w:r>
    </w:p>
    <w:p w14:paraId="24056E90" w14:textId="77777777" w:rsidR="00743B27" w:rsidRPr="0090171F" w:rsidRDefault="00743B27" w:rsidP="00743B27">
      <w:pPr>
        <w:pStyle w:val="Normalparatextnonumbers"/>
        <w:numPr>
          <w:ilvl w:val="4"/>
          <w:numId w:val="2"/>
        </w:numPr>
        <w:rPr>
          <w:b/>
        </w:rPr>
      </w:pPr>
      <w:r w:rsidRPr="0090171F">
        <w:rPr>
          <w:b/>
        </w:rPr>
        <w:lastRenderedPageBreak/>
        <w:t>Consultation preamble</w:t>
      </w:r>
    </w:p>
    <w:p w14:paraId="7F6F4727" w14:textId="77777777" w:rsidR="00743B27" w:rsidRPr="0090171F" w:rsidRDefault="00743B27"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6B098FE3" w14:textId="77777777" w:rsidR="00743B27" w:rsidRPr="0090171F" w:rsidRDefault="00743B27" w:rsidP="0090171F">
      <w:pPr>
        <w:pStyle w:val="Normalparatextnonumbers"/>
      </w:pPr>
      <w:r w:rsidRPr="0090171F">
        <w:t>•</w:t>
      </w:r>
      <w:r w:rsidRPr="0090171F">
        <w:tab/>
        <w:t xml:space="preserve">how the new law is intended to </w:t>
      </w:r>
      <w:proofErr w:type="gramStart"/>
      <w:r w:rsidRPr="0090171F">
        <w:t>operate;</w:t>
      </w:r>
      <w:proofErr w:type="gramEnd"/>
    </w:p>
    <w:p w14:paraId="68E1E6E2" w14:textId="77777777" w:rsidR="00743B27" w:rsidRPr="0090171F" w:rsidRDefault="00743B27"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3D6349D6" w14:textId="77777777" w:rsidR="00743B27" w:rsidRPr="0090171F" w:rsidRDefault="00743B27" w:rsidP="0090171F">
      <w:pPr>
        <w:pStyle w:val="Normalparatextnonumbers"/>
        <w:ind w:left="709" w:hanging="709"/>
      </w:pPr>
      <w:r w:rsidRPr="0090171F">
        <w:t>•</w:t>
      </w:r>
      <w:r w:rsidRPr="0090171F">
        <w:tab/>
        <w:t>the use of relevant examples, illustrations or diagrams as explanatory aids;</w:t>
      </w:r>
      <w:r w:rsidRPr="0090171F">
        <w:br/>
        <w:t>and</w:t>
      </w:r>
    </w:p>
    <w:p w14:paraId="25147980" w14:textId="77777777" w:rsidR="00743B27" w:rsidRPr="0090171F" w:rsidRDefault="00743B27" w:rsidP="0090171F">
      <w:pPr>
        <w:pStyle w:val="Normalparatextnonumbers"/>
        <w:ind w:left="709" w:hanging="709"/>
      </w:pPr>
      <w:r w:rsidRPr="0090171F">
        <w:t>•</w:t>
      </w:r>
      <w:r w:rsidRPr="0090171F">
        <w:tab/>
        <w:t>any other matters affecting the readability or presentation of the explanatory material.</w:t>
      </w:r>
    </w:p>
    <w:p w14:paraId="1D85E66A" w14:textId="77777777" w:rsidR="00743B27" w:rsidRPr="0090171F" w:rsidRDefault="00743B27"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34E52BDA" w14:textId="135D474B" w:rsidR="00743B27" w:rsidRPr="0090171F" w:rsidRDefault="00743B27" w:rsidP="0090171F">
      <w:pPr>
        <w:pStyle w:val="Normalparatextnonumbers"/>
      </w:pPr>
      <w:r w:rsidRPr="003A75A9">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10BD91BE" w14:textId="77777777" w:rsidR="00924E28" w:rsidRPr="00020288" w:rsidRDefault="00924E28" w:rsidP="00873094">
      <w:pPr>
        <w:pStyle w:val="Normalparatextnonumbers"/>
      </w:pPr>
    </w:p>
    <w:p w14:paraId="775BD642" w14:textId="77777777" w:rsidR="00873094" w:rsidRDefault="00873094" w:rsidP="00873094">
      <w:pPr>
        <w:pStyle w:val="TOC1"/>
      </w:pPr>
    </w:p>
    <w:p w14:paraId="5C692AA6" w14:textId="77777777" w:rsidR="00F10489" w:rsidRDefault="00F10489" w:rsidP="00F10489">
      <w:pPr>
        <w:pStyle w:val="TOC2"/>
      </w:pPr>
    </w:p>
    <w:p w14:paraId="538CD5FA" w14:textId="77777777" w:rsidR="00873094" w:rsidRPr="00E57693" w:rsidRDefault="00873094" w:rsidP="0017042E">
      <w:pPr>
        <w:sectPr w:rsidR="00873094" w:rsidRPr="00E57693" w:rsidSect="00000BFC">
          <w:footerReference w:type="even" r:id="rId12"/>
          <w:footerReference w:type="default" r:id="rId13"/>
          <w:headerReference w:type="first" r:id="rId14"/>
          <w:footerReference w:type="first" r:id="rId15"/>
          <w:type w:val="oddPage"/>
          <w:pgSz w:w="9979" w:h="14175" w:code="138"/>
          <w:pgMar w:top="567" w:right="1134" w:bottom="567" w:left="1134" w:header="709" w:footer="709" w:gutter="0"/>
          <w:cols w:space="708"/>
          <w:titlePg/>
          <w:docGrid w:linePitch="360"/>
        </w:sectPr>
      </w:pPr>
    </w:p>
    <w:p w14:paraId="5CF9BB40"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13955D15" w14:textId="6E63EB78" w:rsidR="00BF0D1E" w:rsidRDefault="00873094">
      <w:pPr>
        <w:pStyle w:val="TOC1"/>
        <w:rPr>
          <w:rFonts w:asciiTheme="minorHAnsi" w:eastAsiaTheme="minorEastAsia" w:hAnsiTheme="minorHAnsi" w:cstheme="minorBidi"/>
          <w:bCs w:val="0"/>
          <w:noProof/>
          <w:kern w:val="2"/>
          <w:sz w:val="22"/>
          <w:szCs w:val="22"/>
          <w:lang w:eastAsia="en-AU"/>
          <w14:ligatures w14:val="standardContextual"/>
        </w:rPr>
      </w:pPr>
      <w:r w:rsidRPr="00BC2E4A">
        <w:fldChar w:fldCharType="begin"/>
      </w:r>
      <w:r w:rsidRPr="00BC2E4A">
        <w:instrText xml:space="preserve"> TOC \o "1-1" \u </w:instrText>
      </w:r>
      <w:r w:rsidRPr="00BC2E4A">
        <w:fldChar w:fldCharType="separate"/>
      </w:r>
      <w:r w:rsidR="00BF0D1E">
        <w:rPr>
          <w:noProof/>
        </w:rPr>
        <w:t>Glossary</w:t>
      </w:r>
      <w:r w:rsidR="00BF0D1E">
        <w:rPr>
          <w:noProof/>
        </w:rPr>
        <w:tab/>
      </w:r>
      <w:r w:rsidR="006223E4">
        <w:rPr>
          <w:noProof/>
        </w:rPr>
        <w:tab/>
      </w:r>
      <w:r w:rsidR="00BF0D1E">
        <w:rPr>
          <w:noProof/>
        </w:rPr>
        <w:fldChar w:fldCharType="begin"/>
      </w:r>
      <w:r w:rsidR="00BF0D1E">
        <w:rPr>
          <w:noProof/>
        </w:rPr>
        <w:instrText xml:space="preserve"> PAGEREF _Toc162534414 \h </w:instrText>
      </w:r>
      <w:r w:rsidR="00BF0D1E">
        <w:rPr>
          <w:noProof/>
        </w:rPr>
      </w:r>
      <w:r w:rsidR="00BF0D1E">
        <w:rPr>
          <w:noProof/>
        </w:rPr>
        <w:fldChar w:fldCharType="separate"/>
      </w:r>
      <w:r w:rsidR="00BF0D1E">
        <w:rPr>
          <w:noProof/>
        </w:rPr>
        <w:t>iii</w:t>
      </w:r>
      <w:r w:rsidR="00BF0D1E">
        <w:rPr>
          <w:noProof/>
        </w:rPr>
        <w:fldChar w:fldCharType="end"/>
      </w:r>
    </w:p>
    <w:p w14:paraId="64209A1F" w14:textId="23B9916C" w:rsidR="00BF0D1E" w:rsidRDefault="00BF0D1E">
      <w:pPr>
        <w:pStyle w:val="TOC1"/>
        <w:rPr>
          <w:rFonts w:asciiTheme="minorHAnsi" w:eastAsiaTheme="minorEastAsia" w:hAnsiTheme="minorHAnsi" w:cstheme="minorBidi"/>
          <w:bCs w:val="0"/>
          <w:noProof/>
          <w:kern w:val="2"/>
          <w:sz w:val="22"/>
          <w:szCs w:val="22"/>
          <w:lang w:eastAsia="en-AU"/>
          <w14:ligatures w14:val="standardContextual"/>
        </w:rPr>
      </w:pPr>
      <w:r w:rsidRPr="00BC610A">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 w:val="22"/>
          <w:szCs w:val="22"/>
          <w:lang w:eastAsia="en-AU"/>
          <w14:ligatures w14:val="standardContextual"/>
        </w:rPr>
        <w:tab/>
      </w:r>
      <w:r>
        <w:rPr>
          <w:noProof/>
        </w:rPr>
        <w:t>Build to rent developments</w:t>
      </w:r>
      <w:r>
        <w:rPr>
          <w:noProof/>
        </w:rPr>
        <w:tab/>
      </w:r>
      <w:r>
        <w:rPr>
          <w:noProof/>
        </w:rPr>
        <w:fldChar w:fldCharType="begin"/>
      </w:r>
      <w:r>
        <w:rPr>
          <w:noProof/>
        </w:rPr>
        <w:instrText xml:space="preserve"> PAGEREF _Toc162534415 \h </w:instrText>
      </w:r>
      <w:r>
        <w:rPr>
          <w:noProof/>
        </w:rPr>
      </w:r>
      <w:r>
        <w:rPr>
          <w:noProof/>
        </w:rPr>
        <w:fldChar w:fldCharType="separate"/>
      </w:r>
      <w:r>
        <w:rPr>
          <w:noProof/>
        </w:rPr>
        <w:t>5</w:t>
      </w:r>
      <w:r>
        <w:rPr>
          <w:noProof/>
        </w:rPr>
        <w:fldChar w:fldCharType="end"/>
      </w:r>
    </w:p>
    <w:p w14:paraId="270815B9" w14:textId="37B81141" w:rsidR="00873094" w:rsidRPr="00020288" w:rsidRDefault="00873094" w:rsidP="00BC2E4A">
      <w:pPr>
        <w:pStyle w:val="TOC1"/>
      </w:pPr>
      <w:r w:rsidRPr="00BC2E4A">
        <w:fldChar w:fldCharType="end"/>
      </w:r>
    </w:p>
    <w:p w14:paraId="69E9912D" w14:textId="77777777" w:rsidR="00873094" w:rsidRPr="00020288" w:rsidRDefault="00873094" w:rsidP="00873094"/>
    <w:p w14:paraId="40735EF6" w14:textId="77777777" w:rsidR="00873094" w:rsidRPr="00020288" w:rsidRDefault="00873094" w:rsidP="00873094">
      <w:pPr>
        <w:sectPr w:rsidR="00873094" w:rsidRPr="00020288" w:rsidSect="00000BFC">
          <w:headerReference w:type="even" r:id="rId16"/>
          <w:headerReference w:type="default" r:id="rId17"/>
          <w:headerReference w:type="first" r:id="rId18"/>
          <w:footerReference w:type="first" r:id="rId19"/>
          <w:type w:val="oddPage"/>
          <w:pgSz w:w="9979" w:h="14175" w:code="9"/>
          <w:pgMar w:top="567" w:right="1134" w:bottom="567" w:left="1134" w:header="709" w:footer="709" w:gutter="0"/>
          <w:pgNumType w:start="1"/>
          <w:cols w:space="708"/>
          <w:titlePg/>
          <w:docGrid w:linePitch="360"/>
        </w:sectPr>
      </w:pPr>
    </w:p>
    <w:p w14:paraId="250EE7A0" w14:textId="77777777" w:rsidR="00873094" w:rsidRPr="00020288" w:rsidRDefault="00873094" w:rsidP="00873094">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162534414"/>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47D899F3"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2EEC2A42" w14:textId="77777777" w:rsidTr="002425D9">
        <w:tc>
          <w:tcPr>
            <w:tcW w:w="3776" w:type="dxa"/>
            <w:shd w:val="clear" w:color="auto" w:fill="auto"/>
          </w:tcPr>
          <w:p w14:paraId="5B96DB4A"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456781D2" w14:textId="77777777" w:rsidR="00873094" w:rsidRPr="002E7A73" w:rsidRDefault="00873094" w:rsidP="00B7393A">
            <w:pPr>
              <w:pStyle w:val="Tableheaderrowtext"/>
            </w:pPr>
            <w:r w:rsidRPr="002E7A73">
              <w:t>Definition</w:t>
            </w:r>
          </w:p>
        </w:tc>
      </w:tr>
      <w:tr w:rsidR="00873094" w:rsidRPr="00020288" w14:paraId="536E9210" w14:textId="77777777" w:rsidTr="002425D9">
        <w:tc>
          <w:tcPr>
            <w:tcW w:w="3776" w:type="dxa"/>
          </w:tcPr>
          <w:p w14:paraId="351DFF11" w14:textId="7F49B1F8" w:rsidR="00873094" w:rsidRPr="00020288" w:rsidRDefault="009E00D8" w:rsidP="002425D9">
            <w:pPr>
              <w:pStyle w:val="Normalparatextnonumbers"/>
            </w:pPr>
            <w:r>
              <w:t>AMIT</w:t>
            </w:r>
          </w:p>
        </w:tc>
        <w:tc>
          <w:tcPr>
            <w:tcW w:w="3874" w:type="dxa"/>
          </w:tcPr>
          <w:p w14:paraId="5ACF07E4" w14:textId="493D6816" w:rsidR="00873094" w:rsidRPr="00020288" w:rsidRDefault="009E00D8" w:rsidP="002425D9">
            <w:pPr>
              <w:pStyle w:val="Normalparatextnonumbers"/>
            </w:pPr>
            <w:r>
              <w:t>Attribution managed investment trust</w:t>
            </w:r>
          </w:p>
        </w:tc>
      </w:tr>
      <w:tr w:rsidR="00873094" w:rsidRPr="00020288" w14:paraId="2F0EA86E" w14:textId="77777777" w:rsidTr="002425D9">
        <w:tc>
          <w:tcPr>
            <w:tcW w:w="3776" w:type="dxa"/>
          </w:tcPr>
          <w:p w14:paraId="53E660A7" w14:textId="65CE7AFF" w:rsidR="00873094" w:rsidRPr="00020288" w:rsidRDefault="00B6550A" w:rsidP="002425D9">
            <w:pPr>
              <w:pStyle w:val="Normalparatextnonumbers"/>
            </w:pPr>
            <w:r>
              <w:t>Bill</w:t>
            </w:r>
          </w:p>
        </w:tc>
        <w:tc>
          <w:tcPr>
            <w:tcW w:w="3874" w:type="dxa"/>
          </w:tcPr>
          <w:p w14:paraId="4816D5A3" w14:textId="178B98E5" w:rsidR="00873094" w:rsidRPr="000172C8" w:rsidRDefault="00B6550A" w:rsidP="002425D9">
            <w:pPr>
              <w:pStyle w:val="Normalparatextnonumbers"/>
              <w:rPr>
                <w:i/>
                <w:highlight w:val="yellow"/>
              </w:rPr>
            </w:pPr>
            <w:r w:rsidRPr="00A90DC6">
              <w:rPr>
                <w:i/>
              </w:rPr>
              <w:t xml:space="preserve">Treasury Laws Amendment </w:t>
            </w:r>
            <w:r w:rsidR="000172C8" w:rsidRPr="00A90DC6">
              <w:rPr>
                <w:i/>
                <w:iCs/>
              </w:rPr>
              <w:t>(Measures for Consultation)</w:t>
            </w:r>
            <w:r w:rsidRPr="00A90DC6">
              <w:rPr>
                <w:i/>
                <w:iCs/>
              </w:rPr>
              <w:t xml:space="preserve"> </w:t>
            </w:r>
            <w:r w:rsidRPr="00A90DC6">
              <w:rPr>
                <w:i/>
              </w:rPr>
              <w:t xml:space="preserve">Bill 2024: </w:t>
            </w:r>
            <w:r w:rsidR="007653DB" w:rsidRPr="00A90DC6">
              <w:rPr>
                <w:i/>
              </w:rPr>
              <w:t>B</w:t>
            </w:r>
            <w:r w:rsidRPr="00A90DC6">
              <w:rPr>
                <w:i/>
              </w:rPr>
              <w:t xml:space="preserve">uild to </w:t>
            </w:r>
            <w:r w:rsidR="007653DB" w:rsidRPr="00A90DC6">
              <w:rPr>
                <w:i/>
              </w:rPr>
              <w:t xml:space="preserve">Rent Developments </w:t>
            </w:r>
          </w:p>
        </w:tc>
      </w:tr>
      <w:tr w:rsidR="00E36698" w:rsidRPr="00020288" w14:paraId="2DE304EA" w14:textId="77777777" w:rsidTr="002425D9">
        <w:tc>
          <w:tcPr>
            <w:tcW w:w="3776" w:type="dxa"/>
          </w:tcPr>
          <w:p w14:paraId="6FDA8B57" w14:textId="039DFA87" w:rsidR="00E36698" w:rsidRPr="00146094" w:rsidRDefault="00E36698" w:rsidP="00E36698">
            <w:pPr>
              <w:pStyle w:val="Normalparatextnonumbers"/>
            </w:pPr>
            <w:r>
              <w:t>BTR</w:t>
            </w:r>
          </w:p>
        </w:tc>
        <w:tc>
          <w:tcPr>
            <w:tcW w:w="3874" w:type="dxa"/>
          </w:tcPr>
          <w:p w14:paraId="2E2072DB" w14:textId="5EA0ADA3" w:rsidR="00E36698" w:rsidRDefault="00E36698" w:rsidP="00E36698">
            <w:pPr>
              <w:pStyle w:val="Normalparatextnonumbers"/>
            </w:pPr>
            <w:r>
              <w:t xml:space="preserve">Build to rent </w:t>
            </w:r>
          </w:p>
        </w:tc>
      </w:tr>
      <w:tr w:rsidR="00E36698" w:rsidRPr="00020288" w14:paraId="4A164F15" w14:textId="77777777" w:rsidTr="002425D9">
        <w:tc>
          <w:tcPr>
            <w:tcW w:w="3776" w:type="dxa"/>
          </w:tcPr>
          <w:p w14:paraId="79C78044" w14:textId="31738C16" w:rsidR="00E36698" w:rsidRPr="00146094" w:rsidRDefault="00E36698" w:rsidP="00E36698">
            <w:pPr>
              <w:pStyle w:val="Normalparatextnonumbers"/>
            </w:pPr>
            <w:r w:rsidRPr="00146094">
              <w:t>Commissioner</w:t>
            </w:r>
          </w:p>
        </w:tc>
        <w:tc>
          <w:tcPr>
            <w:tcW w:w="3874" w:type="dxa"/>
          </w:tcPr>
          <w:p w14:paraId="7590ABA8" w14:textId="78D567A2" w:rsidR="00E36698" w:rsidRPr="00146094" w:rsidRDefault="00E36698" w:rsidP="00E36698">
            <w:pPr>
              <w:pStyle w:val="Normalparatextnonumbers"/>
            </w:pPr>
            <w:r>
              <w:t>Commissioner of Taxation</w:t>
            </w:r>
          </w:p>
        </w:tc>
      </w:tr>
      <w:tr w:rsidR="00E36698" w:rsidRPr="00020288" w14:paraId="70C904E2" w14:textId="77777777" w:rsidTr="002425D9">
        <w:tc>
          <w:tcPr>
            <w:tcW w:w="3776" w:type="dxa"/>
          </w:tcPr>
          <w:p w14:paraId="6060521C" w14:textId="1843234D" w:rsidR="00E36698" w:rsidRPr="00020288" w:rsidRDefault="00E36698" w:rsidP="00E36698">
            <w:pPr>
              <w:pStyle w:val="Normalparatextnonumbers"/>
            </w:pPr>
            <w:r>
              <w:t>Imposition Bill</w:t>
            </w:r>
          </w:p>
        </w:tc>
        <w:tc>
          <w:tcPr>
            <w:tcW w:w="3874" w:type="dxa"/>
          </w:tcPr>
          <w:p w14:paraId="6A3AE751" w14:textId="285CA752" w:rsidR="00E36698" w:rsidRPr="00503204" w:rsidRDefault="00E36698" w:rsidP="00E36698">
            <w:pPr>
              <w:pStyle w:val="Normalparatextnonumbers"/>
            </w:pPr>
            <w:r>
              <w:rPr>
                <w:i/>
                <w:iCs/>
              </w:rPr>
              <w:t xml:space="preserve">Capital Works (Build to Rent Misuse Tax) </w:t>
            </w:r>
            <w:r w:rsidR="00E857D6">
              <w:rPr>
                <w:i/>
                <w:iCs/>
              </w:rPr>
              <w:t>Bill</w:t>
            </w:r>
            <w:r>
              <w:rPr>
                <w:i/>
                <w:iCs/>
              </w:rPr>
              <w:t xml:space="preserve"> 2024</w:t>
            </w:r>
          </w:p>
        </w:tc>
      </w:tr>
      <w:tr w:rsidR="00E36698" w:rsidRPr="00020288" w14:paraId="0B7A9277" w14:textId="77777777" w:rsidTr="002425D9">
        <w:tc>
          <w:tcPr>
            <w:tcW w:w="3776" w:type="dxa"/>
          </w:tcPr>
          <w:p w14:paraId="6ACD58F8" w14:textId="3745F74E" w:rsidR="00E36698" w:rsidRPr="00020288" w:rsidRDefault="00E36698" w:rsidP="00E36698">
            <w:pPr>
              <w:pStyle w:val="Normalparatextnonumbers"/>
            </w:pPr>
            <w:r>
              <w:t>ITAA 1936</w:t>
            </w:r>
          </w:p>
        </w:tc>
        <w:tc>
          <w:tcPr>
            <w:tcW w:w="3874" w:type="dxa"/>
          </w:tcPr>
          <w:p w14:paraId="62DB207F" w14:textId="1874ECB6" w:rsidR="00E36698" w:rsidRPr="00B56C64" w:rsidRDefault="00E36698" w:rsidP="00E36698">
            <w:pPr>
              <w:pStyle w:val="Normalparatextnonumbers"/>
              <w:rPr>
                <w:i/>
                <w:iCs/>
              </w:rPr>
            </w:pPr>
            <w:r w:rsidRPr="00B56C64">
              <w:rPr>
                <w:i/>
                <w:iCs/>
              </w:rPr>
              <w:t>Income Tax Assessment Act 1936</w:t>
            </w:r>
          </w:p>
        </w:tc>
      </w:tr>
      <w:tr w:rsidR="00E36698" w:rsidRPr="00020288" w14:paraId="73C0022A" w14:textId="77777777" w:rsidTr="002425D9">
        <w:tc>
          <w:tcPr>
            <w:tcW w:w="3776" w:type="dxa"/>
          </w:tcPr>
          <w:p w14:paraId="7851890A" w14:textId="5C09DD1A" w:rsidR="00E36698" w:rsidRPr="00020288" w:rsidRDefault="00E36698" w:rsidP="00E36698">
            <w:pPr>
              <w:pStyle w:val="Normalparatextnonumbers"/>
            </w:pPr>
            <w:r>
              <w:t>ITAA 1997</w:t>
            </w:r>
          </w:p>
        </w:tc>
        <w:tc>
          <w:tcPr>
            <w:tcW w:w="3874" w:type="dxa"/>
          </w:tcPr>
          <w:p w14:paraId="6B032C1B" w14:textId="7439FAA9" w:rsidR="00E36698" w:rsidRPr="00B56C64" w:rsidRDefault="00E36698" w:rsidP="00E36698">
            <w:pPr>
              <w:pStyle w:val="Normalparatextnonumbers"/>
              <w:rPr>
                <w:i/>
                <w:iCs/>
              </w:rPr>
            </w:pPr>
            <w:r>
              <w:rPr>
                <w:i/>
                <w:iCs/>
              </w:rPr>
              <w:t>Income Tax Assessment Act 1997</w:t>
            </w:r>
          </w:p>
        </w:tc>
      </w:tr>
      <w:tr w:rsidR="0003417D" w:rsidRPr="00020288" w14:paraId="23AE67E3" w14:textId="77777777" w:rsidTr="002425D9">
        <w:tc>
          <w:tcPr>
            <w:tcW w:w="3776" w:type="dxa"/>
          </w:tcPr>
          <w:p w14:paraId="3A114A37" w14:textId="4079293E" w:rsidR="0003417D" w:rsidRDefault="0003417D" w:rsidP="0003417D">
            <w:pPr>
              <w:pStyle w:val="Normalparatextnonumbers"/>
            </w:pPr>
            <w:r>
              <w:t>MIT</w:t>
            </w:r>
          </w:p>
        </w:tc>
        <w:tc>
          <w:tcPr>
            <w:tcW w:w="3874" w:type="dxa"/>
          </w:tcPr>
          <w:p w14:paraId="4458F4A6" w14:textId="03300219" w:rsidR="0003417D" w:rsidRDefault="0003417D" w:rsidP="0003417D">
            <w:pPr>
              <w:pStyle w:val="Normalparatextnonumbers"/>
              <w:rPr>
                <w:i/>
                <w:iCs/>
              </w:rPr>
            </w:pPr>
            <w:r>
              <w:t>Managed investment trust</w:t>
            </w:r>
          </w:p>
        </w:tc>
      </w:tr>
      <w:tr w:rsidR="0003417D" w:rsidRPr="00020288" w14:paraId="4AB1959B" w14:textId="77777777" w:rsidTr="002425D9">
        <w:tc>
          <w:tcPr>
            <w:tcW w:w="3776" w:type="dxa"/>
          </w:tcPr>
          <w:p w14:paraId="281FF6ED" w14:textId="59598531" w:rsidR="0003417D" w:rsidRPr="00020288" w:rsidRDefault="0003417D" w:rsidP="0003417D">
            <w:pPr>
              <w:pStyle w:val="Normalparatextnonumbers"/>
            </w:pPr>
            <w:r>
              <w:t>MIT Tax Act</w:t>
            </w:r>
          </w:p>
        </w:tc>
        <w:tc>
          <w:tcPr>
            <w:tcW w:w="3874" w:type="dxa"/>
          </w:tcPr>
          <w:p w14:paraId="6D50AAB3" w14:textId="5D08E89F" w:rsidR="0003417D" w:rsidRPr="00020288" w:rsidRDefault="0003417D" w:rsidP="0003417D">
            <w:pPr>
              <w:pStyle w:val="Normalparatextnonumbers"/>
            </w:pPr>
            <w:r>
              <w:rPr>
                <w:i/>
                <w:iCs/>
              </w:rPr>
              <w:t>Income Tax (Managed Investment Trust Withholding Tax) Act 2008</w:t>
            </w:r>
          </w:p>
        </w:tc>
      </w:tr>
      <w:tr w:rsidR="0003417D" w:rsidRPr="00020288" w14:paraId="69927FAB" w14:textId="77777777" w:rsidTr="002425D9">
        <w:tc>
          <w:tcPr>
            <w:tcW w:w="3776" w:type="dxa"/>
          </w:tcPr>
          <w:p w14:paraId="4F54C8C7" w14:textId="11F2BC04" w:rsidR="0003417D" w:rsidRPr="00020288" w:rsidRDefault="0003417D" w:rsidP="0003417D">
            <w:pPr>
              <w:pStyle w:val="Normalparatextnonumbers"/>
            </w:pPr>
            <w:r>
              <w:t>TAA 1953</w:t>
            </w:r>
          </w:p>
        </w:tc>
        <w:tc>
          <w:tcPr>
            <w:tcW w:w="3874" w:type="dxa"/>
          </w:tcPr>
          <w:p w14:paraId="02A75C74" w14:textId="5A634DAE" w:rsidR="0003417D" w:rsidRPr="00B56C64" w:rsidRDefault="0003417D" w:rsidP="0003417D">
            <w:pPr>
              <w:pStyle w:val="Normalparatextnonumbers"/>
              <w:rPr>
                <w:i/>
                <w:iCs/>
              </w:rPr>
            </w:pPr>
            <w:r w:rsidRPr="00B56C64">
              <w:rPr>
                <w:i/>
                <w:iCs/>
              </w:rPr>
              <w:t>Taxation Administration Act 1953</w:t>
            </w:r>
          </w:p>
        </w:tc>
      </w:tr>
    </w:tbl>
    <w:p w14:paraId="19C52976" w14:textId="77777777" w:rsidR="00873094" w:rsidRPr="00020288" w:rsidRDefault="00873094" w:rsidP="00873094"/>
    <w:p w14:paraId="22CA1570" w14:textId="77777777" w:rsidR="00873094" w:rsidRPr="00020288" w:rsidRDefault="00873094" w:rsidP="00873094"/>
    <w:p w14:paraId="3DA52F5F" w14:textId="77777777" w:rsidR="00873094" w:rsidRPr="00020288" w:rsidRDefault="00873094" w:rsidP="00873094">
      <w:pPr>
        <w:pStyle w:val="Heading1"/>
        <w:sectPr w:rsidR="00873094" w:rsidRPr="00020288" w:rsidSect="00000BFC">
          <w:headerReference w:type="even" r:id="rId20"/>
          <w:headerReference w:type="default" r:id="rId21"/>
          <w:headerReference w:type="first" r:id="rId22"/>
          <w:footerReference w:type="first" r:id="rId23"/>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67A3BAB3" w14:textId="6C164338" w:rsidR="00873094" w:rsidRPr="0073326A" w:rsidRDefault="006D6C32" w:rsidP="00BA6639">
      <w:pPr>
        <w:pStyle w:val="Chapterheading"/>
        <w:tabs>
          <w:tab w:val="left" w:pos="4536"/>
        </w:tabs>
      </w:pPr>
      <w:bookmarkStart w:id="41" w:name="GeneralOutline"/>
      <w:bookmarkStart w:id="42" w:name="_Toc162420418"/>
      <w:bookmarkStart w:id="43" w:name="_Toc162420419"/>
      <w:bookmarkStart w:id="44" w:name="_Toc162420422"/>
      <w:bookmarkStart w:id="45" w:name="_Toc162420423"/>
      <w:bookmarkStart w:id="46" w:name="_Toc162420424"/>
      <w:bookmarkStart w:id="47" w:name="_Toc162420430"/>
      <w:bookmarkStart w:id="48" w:name="_Toc162420431"/>
      <w:bookmarkStart w:id="49" w:name="_Toc162420432"/>
      <w:bookmarkStart w:id="50" w:name="_Toc162420433"/>
      <w:bookmarkStart w:id="51" w:name="_Toc162420436"/>
      <w:bookmarkStart w:id="52" w:name="_Toc162420437"/>
      <w:bookmarkStart w:id="53" w:name="_Toc162420438"/>
      <w:bookmarkStart w:id="54" w:name="_Toc162420439"/>
      <w:bookmarkStart w:id="55" w:name="_Toc162420440"/>
      <w:bookmarkStart w:id="56" w:name="_Toc162420459"/>
      <w:bookmarkStart w:id="57" w:name="_Toc162420472"/>
      <w:bookmarkStart w:id="58" w:name="_Toc162420473"/>
      <w:bookmarkStart w:id="59" w:name="_Toc162420479"/>
      <w:bookmarkStart w:id="60" w:name="_Toc162420480"/>
      <w:bookmarkStart w:id="61" w:name="_Toc162420483"/>
      <w:bookmarkStart w:id="62" w:name="_Toc162420484"/>
      <w:bookmarkStart w:id="63" w:name="_Toc162420487"/>
      <w:bookmarkStart w:id="64" w:name="_Toc162534415"/>
      <w:bookmarkEnd w:id="27"/>
      <w:bookmarkEnd w:id="28"/>
      <w:bookmarkEnd w:id="2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lastRenderedPageBreak/>
        <w:t>Buil</w:t>
      </w:r>
      <w:r w:rsidR="00031581">
        <w:t xml:space="preserve">d to rent </w:t>
      </w:r>
      <w:proofErr w:type="gramStart"/>
      <w:r w:rsidR="00031581">
        <w:t>developments</w:t>
      </w:r>
      <w:bookmarkEnd w:id="64"/>
      <w:proofErr w:type="gramEnd"/>
    </w:p>
    <w:p w14:paraId="0F3E4D68" w14:textId="2F6E5225" w:rsidR="00873094" w:rsidRPr="00020288" w:rsidRDefault="00E857D6" w:rsidP="00E857D6">
      <w:pPr>
        <w:pStyle w:val="TOCHeading"/>
      </w:pPr>
      <w:bookmarkStart w:id="65" w:name="Chapter1"/>
      <w:r>
        <w:t xml:space="preserve">Table of Contents: </w:t>
      </w:r>
    </w:p>
    <w:p w14:paraId="1DF78105" w14:textId="77AB6C9D" w:rsidR="00BF0D1E" w:rsidRDefault="00E857D6">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Chapter1</w:instrText>
      </w:r>
      <w:r>
        <w:fldChar w:fldCharType="separate"/>
      </w:r>
      <w:r w:rsidR="00BF0D1E">
        <w:t>Outline of chapter</w:t>
      </w:r>
      <w:r w:rsidR="00BF0D1E">
        <w:rPr>
          <w:webHidden/>
        </w:rPr>
        <w:tab/>
      </w:r>
      <w:r w:rsidR="00BF0D1E">
        <w:rPr>
          <w:webHidden/>
        </w:rPr>
        <w:fldChar w:fldCharType="begin"/>
      </w:r>
      <w:r w:rsidR="00BF0D1E">
        <w:rPr>
          <w:webHidden/>
        </w:rPr>
        <w:instrText xml:space="preserve"> PAGEREF _Toc162534416 \h </w:instrText>
      </w:r>
      <w:r w:rsidR="00BF0D1E">
        <w:rPr>
          <w:webHidden/>
        </w:rPr>
      </w:r>
      <w:r w:rsidR="00BF0D1E">
        <w:rPr>
          <w:webHidden/>
        </w:rPr>
        <w:fldChar w:fldCharType="separate"/>
      </w:r>
      <w:r w:rsidR="00F140D0">
        <w:rPr>
          <w:webHidden/>
        </w:rPr>
        <w:t>5</w:t>
      </w:r>
      <w:r w:rsidR="00BF0D1E">
        <w:rPr>
          <w:webHidden/>
        </w:rPr>
        <w:fldChar w:fldCharType="end"/>
      </w:r>
    </w:p>
    <w:p w14:paraId="3B1D5670" w14:textId="797FA683" w:rsidR="00BF0D1E" w:rsidRDefault="00BF0D1E">
      <w:pPr>
        <w:pStyle w:val="TOC2"/>
        <w:rPr>
          <w:rFonts w:asciiTheme="minorHAnsi" w:eastAsiaTheme="minorEastAsia" w:hAnsiTheme="minorHAnsi"/>
          <w:kern w:val="2"/>
          <w:sz w:val="22"/>
          <w:lang w:eastAsia="en-AU"/>
          <w14:ligatures w14:val="standardContextual"/>
        </w:rPr>
      </w:pPr>
      <w:r>
        <w:t>Context of amendments</w:t>
      </w:r>
      <w:r>
        <w:rPr>
          <w:webHidden/>
        </w:rPr>
        <w:tab/>
      </w:r>
      <w:r>
        <w:rPr>
          <w:webHidden/>
        </w:rPr>
        <w:fldChar w:fldCharType="begin"/>
      </w:r>
      <w:r>
        <w:rPr>
          <w:webHidden/>
        </w:rPr>
        <w:instrText xml:space="preserve"> PAGEREF _Toc162534417 \h </w:instrText>
      </w:r>
      <w:r>
        <w:rPr>
          <w:webHidden/>
        </w:rPr>
      </w:r>
      <w:r>
        <w:rPr>
          <w:webHidden/>
        </w:rPr>
        <w:fldChar w:fldCharType="separate"/>
      </w:r>
      <w:r w:rsidR="00F140D0">
        <w:rPr>
          <w:webHidden/>
        </w:rPr>
        <w:t>6</w:t>
      </w:r>
      <w:r>
        <w:rPr>
          <w:webHidden/>
        </w:rPr>
        <w:fldChar w:fldCharType="end"/>
      </w:r>
    </w:p>
    <w:p w14:paraId="6F89D450" w14:textId="477A1589" w:rsidR="00BF0D1E" w:rsidRDefault="00BF0D1E">
      <w:pPr>
        <w:pStyle w:val="TOC2"/>
        <w:rPr>
          <w:rFonts w:asciiTheme="minorHAnsi" w:eastAsiaTheme="minorEastAsia" w:hAnsiTheme="minorHAnsi"/>
          <w:kern w:val="2"/>
          <w:sz w:val="22"/>
          <w:lang w:eastAsia="en-AU"/>
          <w14:ligatures w14:val="standardContextual"/>
        </w:rPr>
      </w:pPr>
      <w:r>
        <w:t>Summary of new law</w:t>
      </w:r>
      <w:r>
        <w:rPr>
          <w:webHidden/>
        </w:rPr>
        <w:tab/>
      </w:r>
      <w:r>
        <w:rPr>
          <w:webHidden/>
        </w:rPr>
        <w:fldChar w:fldCharType="begin"/>
      </w:r>
      <w:r>
        <w:rPr>
          <w:webHidden/>
        </w:rPr>
        <w:instrText xml:space="preserve"> PAGEREF _Toc162534418 \h </w:instrText>
      </w:r>
      <w:r>
        <w:rPr>
          <w:webHidden/>
        </w:rPr>
      </w:r>
      <w:r>
        <w:rPr>
          <w:webHidden/>
        </w:rPr>
        <w:fldChar w:fldCharType="separate"/>
      </w:r>
      <w:r w:rsidR="00F140D0">
        <w:rPr>
          <w:webHidden/>
        </w:rPr>
        <w:t>6</w:t>
      </w:r>
      <w:r>
        <w:rPr>
          <w:webHidden/>
        </w:rPr>
        <w:fldChar w:fldCharType="end"/>
      </w:r>
    </w:p>
    <w:p w14:paraId="15A2E1CC" w14:textId="54FA985F" w:rsidR="00BF0D1E" w:rsidRDefault="00BF0D1E">
      <w:pPr>
        <w:pStyle w:val="TOC2"/>
        <w:rPr>
          <w:rFonts w:asciiTheme="minorHAnsi" w:eastAsiaTheme="minorEastAsia" w:hAnsiTheme="minorHAnsi"/>
          <w:kern w:val="2"/>
          <w:sz w:val="22"/>
          <w:lang w:eastAsia="en-AU"/>
          <w14:ligatures w14:val="standardContextual"/>
        </w:rPr>
      </w:pPr>
      <w:r>
        <w:t>Comparison of key features of new law and current law</w:t>
      </w:r>
      <w:r>
        <w:rPr>
          <w:webHidden/>
        </w:rPr>
        <w:tab/>
      </w:r>
      <w:r>
        <w:rPr>
          <w:webHidden/>
        </w:rPr>
        <w:fldChar w:fldCharType="begin"/>
      </w:r>
      <w:r>
        <w:rPr>
          <w:webHidden/>
        </w:rPr>
        <w:instrText xml:space="preserve"> PAGEREF _Toc162534419 \h </w:instrText>
      </w:r>
      <w:r>
        <w:rPr>
          <w:webHidden/>
        </w:rPr>
      </w:r>
      <w:r>
        <w:rPr>
          <w:webHidden/>
        </w:rPr>
        <w:fldChar w:fldCharType="separate"/>
      </w:r>
      <w:r w:rsidR="00F140D0">
        <w:rPr>
          <w:webHidden/>
        </w:rPr>
        <w:t>7</w:t>
      </w:r>
      <w:r>
        <w:rPr>
          <w:webHidden/>
        </w:rPr>
        <w:fldChar w:fldCharType="end"/>
      </w:r>
    </w:p>
    <w:p w14:paraId="24BD15C5" w14:textId="1C0F05CB" w:rsidR="00BF0D1E" w:rsidRDefault="00BF0D1E">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_Toc162534420 \h </w:instrText>
      </w:r>
      <w:r>
        <w:rPr>
          <w:webHidden/>
        </w:rPr>
      </w:r>
      <w:r>
        <w:rPr>
          <w:webHidden/>
        </w:rPr>
        <w:fldChar w:fldCharType="separate"/>
      </w:r>
      <w:r w:rsidR="00F140D0">
        <w:rPr>
          <w:webHidden/>
        </w:rPr>
        <w:t>7</w:t>
      </w:r>
      <w:r>
        <w:rPr>
          <w:webHidden/>
        </w:rPr>
        <w:fldChar w:fldCharType="end"/>
      </w:r>
    </w:p>
    <w:p w14:paraId="04F8E50F" w14:textId="3ACFA121" w:rsidR="00BF0D1E" w:rsidRDefault="00BF0D1E">
      <w:pPr>
        <w:pStyle w:val="TOC2"/>
        <w:rPr>
          <w:rFonts w:asciiTheme="minorHAnsi" w:eastAsiaTheme="minorEastAsia" w:hAnsiTheme="minorHAnsi"/>
          <w:kern w:val="2"/>
          <w:sz w:val="22"/>
          <w:lang w:eastAsia="en-AU"/>
          <w14:ligatures w14:val="standardContextual"/>
        </w:rPr>
      </w:pPr>
      <w:r>
        <w:t>Consequential amendments</w:t>
      </w:r>
      <w:r>
        <w:rPr>
          <w:webHidden/>
        </w:rPr>
        <w:tab/>
      </w:r>
      <w:r>
        <w:rPr>
          <w:webHidden/>
        </w:rPr>
        <w:fldChar w:fldCharType="begin"/>
      </w:r>
      <w:r>
        <w:rPr>
          <w:webHidden/>
        </w:rPr>
        <w:instrText xml:space="preserve"> PAGEREF _Toc162534421 \h </w:instrText>
      </w:r>
      <w:r>
        <w:rPr>
          <w:webHidden/>
        </w:rPr>
      </w:r>
      <w:r>
        <w:rPr>
          <w:webHidden/>
        </w:rPr>
        <w:fldChar w:fldCharType="separate"/>
      </w:r>
      <w:r w:rsidR="00F140D0">
        <w:rPr>
          <w:webHidden/>
        </w:rPr>
        <w:t>21</w:t>
      </w:r>
      <w:r>
        <w:rPr>
          <w:webHidden/>
        </w:rPr>
        <w:fldChar w:fldCharType="end"/>
      </w:r>
    </w:p>
    <w:p w14:paraId="5B7836A8" w14:textId="2899B65B" w:rsidR="00BF0D1E" w:rsidRDefault="00BF0D1E">
      <w:pPr>
        <w:pStyle w:val="TOC2"/>
        <w:rPr>
          <w:rFonts w:asciiTheme="minorHAnsi" w:eastAsiaTheme="minorEastAsia" w:hAnsiTheme="minorHAnsi"/>
          <w:kern w:val="2"/>
          <w:sz w:val="22"/>
          <w:lang w:eastAsia="en-AU"/>
          <w14:ligatures w14:val="standardContextual"/>
        </w:rPr>
      </w:pPr>
      <w:r>
        <w:t>Commencement, application, and transitional provisions</w:t>
      </w:r>
      <w:r>
        <w:rPr>
          <w:webHidden/>
        </w:rPr>
        <w:tab/>
      </w:r>
      <w:r>
        <w:rPr>
          <w:webHidden/>
        </w:rPr>
        <w:fldChar w:fldCharType="begin"/>
      </w:r>
      <w:r>
        <w:rPr>
          <w:webHidden/>
        </w:rPr>
        <w:instrText xml:space="preserve"> PAGEREF _Toc162534422 \h </w:instrText>
      </w:r>
      <w:r>
        <w:rPr>
          <w:webHidden/>
        </w:rPr>
      </w:r>
      <w:r>
        <w:rPr>
          <w:webHidden/>
        </w:rPr>
        <w:fldChar w:fldCharType="separate"/>
      </w:r>
      <w:r w:rsidR="00F140D0">
        <w:rPr>
          <w:webHidden/>
        </w:rPr>
        <w:t>21</w:t>
      </w:r>
      <w:r>
        <w:rPr>
          <w:webHidden/>
        </w:rPr>
        <w:fldChar w:fldCharType="end"/>
      </w:r>
    </w:p>
    <w:p w14:paraId="642C433B" w14:textId="7F751761" w:rsidR="00873094" w:rsidRPr="00020288" w:rsidRDefault="00E857D6" w:rsidP="00873094">
      <w:r>
        <w:fldChar w:fldCharType="end"/>
      </w:r>
    </w:p>
    <w:p w14:paraId="401C1306" w14:textId="658F658E" w:rsidR="00873094" w:rsidRPr="00020288" w:rsidRDefault="00873094" w:rsidP="005D0844">
      <w:pPr>
        <w:pStyle w:val="Heading2"/>
      </w:pPr>
      <w:bookmarkStart w:id="66" w:name="_Toc162534416"/>
      <w:r w:rsidRPr="00020288">
        <w:t xml:space="preserve">Outline </w:t>
      </w:r>
      <w:r w:rsidRPr="005D0844">
        <w:t>of</w:t>
      </w:r>
      <w:r w:rsidRPr="00020288">
        <w:t xml:space="preserve"> chapter</w:t>
      </w:r>
      <w:bookmarkEnd w:id="66"/>
    </w:p>
    <w:p w14:paraId="1012A2AD" w14:textId="3721BE54" w:rsidR="00873094" w:rsidRDefault="00A83A8A" w:rsidP="000E521B">
      <w:pPr>
        <w:pStyle w:val="Normalparatextwithnumbers"/>
      </w:pPr>
      <w:r>
        <w:t xml:space="preserve">Schedule </w:t>
      </w:r>
      <w:r w:rsidR="00771132">
        <w:t>#</w:t>
      </w:r>
      <w:r>
        <w:t xml:space="preserve"> to the Bill amends the ITAA 1997</w:t>
      </w:r>
      <w:r w:rsidR="00315241">
        <w:t>, TAA 1953</w:t>
      </w:r>
      <w:r w:rsidR="00B22BCE">
        <w:t xml:space="preserve">, and ITAA 1936 </w:t>
      </w:r>
      <w:r>
        <w:t xml:space="preserve">to improve incentives for investors to invest in new BTR </w:t>
      </w:r>
      <w:r w:rsidR="00DD3AF0">
        <w:t>development</w:t>
      </w:r>
      <w:r>
        <w:t>s by:</w:t>
      </w:r>
    </w:p>
    <w:p w14:paraId="6D76BEBB" w14:textId="5BF76613" w:rsidR="00A83A8A" w:rsidRDefault="00A83A8A" w:rsidP="00A83A8A">
      <w:pPr>
        <w:pStyle w:val="Dotpoint1"/>
      </w:pPr>
      <w:r>
        <w:t>increasing the capital works deduction rate from 2.5 per cent to 4 per cent; and</w:t>
      </w:r>
    </w:p>
    <w:p w14:paraId="35F0EBF9" w14:textId="53243406" w:rsidR="00A83A8A" w:rsidRDefault="00A83A8A" w:rsidP="00A83A8A">
      <w:pPr>
        <w:pStyle w:val="Dotpoint1"/>
      </w:pPr>
      <w:r>
        <w:t xml:space="preserve">reducing the final withholding tax rate on fund payments from eligible MIT investments from 30 per cent to 15 per cent. </w:t>
      </w:r>
    </w:p>
    <w:p w14:paraId="32746DC0" w14:textId="21A9ADEB" w:rsidR="00C11F32" w:rsidRDefault="005F3597" w:rsidP="00A83A8A">
      <w:pPr>
        <w:pStyle w:val="Normalparatextwithnumbers"/>
      </w:pPr>
      <w:r>
        <w:t xml:space="preserve">Schedule </w:t>
      </w:r>
      <w:r w:rsidR="00771132">
        <w:t>#</w:t>
      </w:r>
      <w:r>
        <w:t xml:space="preserve"> to the Bill provides that to access one or both concessions the BTR </w:t>
      </w:r>
      <w:r w:rsidR="00DD3AF0">
        <w:t>development</w:t>
      </w:r>
      <w:r>
        <w:t xml:space="preserve"> must meet the following </w:t>
      </w:r>
      <w:r w:rsidR="00C11F32">
        <w:t>eligibility criteria:</w:t>
      </w:r>
    </w:p>
    <w:p w14:paraId="6F298989" w14:textId="48FD47F9" w:rsidR="00C11F32" w:rsidRDefault="00C11F32" w:rsidP="00C11F32">
      <w:pPr>
        <w:pStyle w:val="Dotpoint1"/>
      </w:pPr>
      <w:r>
        <w:t xml:space="preserve">the </w:t>
      </w:r>
      <w:r w:rsidR="00DD3AF0">
        <w:t>development</w:t>
      </w:r>
      <w:r>
        <w:t xml:space="preserve">’s construction commenced after 7:30PM </w:t>
      </w:r>
      <w:r w:rsidR="00375416">
        <w:t>(</w:t>
      </w:r>
      <w:r w:rsidR="00C862D8">
        <w:t>AEST</w:t>
      </w:r>
      <w:r w:rsidR="00375416">
        <w:t>)</w:t>
      </w:r>
      <w:r w:rsidR="00C862D8">
        <w:t xml:space="preserve"> </w:t>
      </w:r>
      <w:r>
        <w:t xml:space="preserve">on </w:t>
      </w:r>
      <w:r w:rsidR="00F73FA2">
        <w:t>9</w:t>
      </w:r>
      <w:r w:rsidR="00CC3DE4">
        <w:t> </w:t>
      </w:r>
      <w:r>
        <w:t>May</w:t>
      </w:r>
      <w:r w:rsidR="00CC3DE4">
        <w:t> </w:t>
      </w:r>
      <w:proofErr w:type="gramStart"/>
      <w:r>
        <w:t>2023;</w:t>
      </w:r>
      <w:proofErr w:type="gramEnd"/>
    </w:p>
    <w:p w14:paraId="601372D4" w14:textId="1A8B4A28" w:rsidR="00C11F32" w:rsidRDefault="00C11F32" w:rsidP="00C11F32">
      <w:pPr>
        <w:pStyle w:val="Dotpoint1"/>
      </w:pPr>
      <w:r>
        <w:t xml:space="preserve">the </w:t>
      </w:r>
      <w:r w:rsidR="00DD3AF0">
        <w:t>development</w:t>
      </w:r>
      <w:r>
        <w:t xml:space="preserve"> consists of 50 or more </w:t>
      </w:r>
      <w:r w:rsidR="004570E1">
        <w:t xml:space="preserve">residential </w:t>
      </w:r>
      <w:r>
        <w:t xml:space="preserve">dwellings made available for rent to the general </w:t>
      </w:r>
      <w:proofErr w:type="gramStart"/>
      <w:r>
        <w:t>public;</w:t>
      </w:r>
      <w:proofErr w:type="gramEnd"/>
      <w:r>
        <w:t xml:space="preserve"> </w:t>
      </w:r>
    </w:p>
    <w:p w14:paraId="76E36FBE" w14:textId="1816EE5F" w:rsidR="00C11F32" w:rsidRDefault="00C11F32" w:rsidP="00C11F32">
      <w:pPr>
        <w:pStyle w:val="Dotpoint1"/>
      </w:pPr>
      <w:r>
        <w:t xml:space="preserve">all dwellings in the </w:t>
      </w:r>
      <w:r w:rsidR="00DD3AF0">
        <w:t>development</w:t>
      </w:r>
      <w:r>
        <w:t xml:space="preserve"> (and common areas that are part of the BTR </w:t>
      </w:r>
      <w:r w:rsidR="00DD3AF0">
        <w:t>development</w:t>
      </w:r>
      <w:r>
        <w:t>) continue to be owned together by a single entity, at any one time, for at least 15 years</w:t>
      </w:r>
      <w:r w:rsidR="00094F55">
        <w:t xml:space="preserve"> (although </w:t>
      </w:r>
      <w:r w:rsidR="00C422CA">
        <w:t xml:space="preserve">the BTR development can be sold </w:t>
      </w:r>
      <w:r w:rsidR="00F34C40">
        <w:t xml:space="preserve">to another single entity during the period and </w:t>
      </w:r>
      <w:r w:rsidR="00A43779">
        <w:t xml:space="preserve">remain eligible </w:t>
      </w:r>
      <w:r w:rsidR="008116AE">
        <w:t>for</w:t>
      </w:r>
      <w:r w:rsidR="0031418F">
        <w:t xml:space="preserve"> the concessions</w:t>
      </w:r>
      <w:proofErr w:type="gramStart"/>
      <w:r w:rsidR="0031418F">
        <w:t>)</w:t>
      </w:r>
      <w:r>
        <w:t>;</w:t>
      </w:r>
      <w:proofErr w:type="gramEnd"/>
    </w:p>
    <w:p w14:paraId="730E5C4D" w14:textId="734EC19A" w:rsidR="00A83A8A" w:rsidRDefault="00C11F32" w:rsidP="00C11F32">
      <w:pPr>
        <w:pStyle w:val="Dotpoint1"/>
      </w:pPr>
      <w:r>
        <w:lastRenderedPageBreak/>
        <w:t xml:space="preserve">dwellings in the BTR </w:t>
      </w:r>
      <w:r w:rsidR="00DD3AF0">
        <w:t>development</w:t>
      </w:r>
      <w:r>
        <w:t xml:space="preserve"> must be offered for lease terms of at least 3 years (although a tenant can request a shorter period)</w:t>
      </w:r>
      <w:r w:rsidR="001F21F1">
        <w:t xml:space="preserve">; </w:t>
      </w:r>
      <w:r w:rsidR="00990474">
        <w:t>and</w:t>
      </w:r>
    </w:p>
    <w:p w14:paraId="47EFE3F3" w14:textId="6EBA82BF" w:rsidR="001F21F1" w:rsidRDefault="00C96979" w:rsidP="00C11F32">
      <w:pPr>
        <w:pStyle w:val="Dotpoint1"/>
      </w:pPr>
      <w:r>
        <w:t>at least 10 per cent of the dwellings are available as affordable tenancies</w:t>
      </w:r>
      <w:r w:rsidR="00990474">
        <w:t>.</w:t>
      </w:r>
    </w:p>
    <w:p w14:paraId="032FA7CF" w14:textId="3A272DA8" w:rsidR="00990474" w:rsidRPr="000E521B" w:rsidRDefault="00990474" w:rsidP="00990474">
      <w:pPr>
        <w:pStyle w:val="Normalparatextwithnumbers"/>
      </w:pPr>
      <w:r>
        <w:t xml:space="preserve">The Imposition Bill </w:t>
      </w:r>
      <w:r w:rsidR="00DA3FB8">
        <w:t xml:space="preserve">imposes a misuse tax </w:t>
      </w:r>
      <w:r w:rsidR="00C86E21">
        <w:t xml:space="preserve">when one or both </w:t>
      </w:r>
      <w:r w:rsidR="00272A1D">
        <w:t>tax</w:t>
      </w:r>
      <w:r w:rsidR="00C86E21">
        <w:t xml:space="preserve"> concession</w:t>
      </w:r>
      <w:r w:rsidR="00FA61DD">
        <w:t>s</w:t>
      </w:r>
      <w:r w:rsidR="00C86E21">
        <w:t xml:space="preserve"> are </w:t>
      </w:r>
      <w:r w:rsidR="00BE6E8F">
        <w:t xml:space="preserve">claimed in circumstances where they </w:t>
      </w:r>
      <w:r w:rsidR="00FA61DD">
        <w:t xml:space="preserve">are </w:t>
      </w:r>
      <w:r w:rsidR="00BE6E8F">
        <w:t xml:space="preserve">not available due to </w:t>
      </w:r>
      <w:r w:rsidR="009B2BA1">
        <w:t xml:space="preserve">BTR </w:t>
      </w:r>
      <w:r w:rsidR="00DD3AF0">
        <w:t>development</w:t>
      </w:r>
      <w:r w:rsidR="009B2BA1">
        <w:t xml:space="preserve"> </w:t>
      </w:r>
      <w:r w:rsidR="00BE6E8F">
        <w:t xml:space="preserve">ineligibility. </w:t>
      </w:r>
    </w:p>
    <w:p w14:paraId="7B52E0FD" w14:textId="77777777" w:rsidR="00873094" w:rsidRPr="00020288" w:rsidRDefault="00873094" w:rsidP="005D0844">
      <w:pPr>
        <w:pStyle w:val="Heading2"/>
      </w:pPr>
      <w:bookmarkStart w:id="67" w:name="_Toc162534417"/>
      <w:r w:rsidRPr="00020288">
        <w:t xml:space="preserve">Context of </w:t>
      </w:r>
      <w:r w:rsidRPr="005D0844">
        <w:t>amendments</w:t>
      </w:r>
      <w:bookmarkEnd w:id="67"/>
    </w:p>
    <w:p w14:paraId="358E3343" w14:textId="5C1AA2EE" w:rsidR="00873094" w:rsidRDefault="00692367" w:rsidP="00873094">
      <w:pPr>
        <w:pStyle w:val="Normalparatextwithnumbers"/>
        <w:numPr>
          <w:ilvl w:val="1"/>
          <w:numId w:val="3"/>
        </w:numPr>
      </w:pPr>
      <w:r>
        <w:t xml:space="preserve">According to Australian Bureau of Statistics Census </w:t>
      </w:r>
      <w:r w:rsidR="00EF2F6F">
        <w:t xml:space="preserve">data </w:t>
      </w:r>
      <w:r w:rsidR="005A48D4">
        <w:t>for</w:t>
      </w:r>
      <w:r w:rsidR="00EF60B2">
        <w:t xml:space="preserve"> </w:t>
      </w:r>
      <w:r>
        <w:t xml:space="preserve">2011, 2016 and 2021, there is a long-term trend of Australians renting and a decline in dwelling ownership. Incentivising construction of new BTR </w:t>
      </w:r>
      <w:r w:rsidR="00DD3AF0">
        <w:t>development</w:t>
      </w:r>
      <w:r>
        <w:t xml:space="preserve">s has the potential to increase housing supply at scale at a time when there is an acute shortage of new rental stock. </w:t>
      </w:r>
    </w:p>
    <w:p w14:paraId="5FE461AA" w14:textId="3E693939" w:rsidR="004D00DD" w:rsidRPr="00020288" w:rsidRDefault="004D00DD" w:rsidP="00873094">
      <w:pPr>
        <w:pStyle w:val="Normalparatextwithnumbers"/>
        <w:numPr>
          <w:ilvl w:val="1"/>
          <w:numId w:val="3"/>
        </w:numPr>
      </w:pPr>
      <w:r>
        <w:t xml:space="preserve">BTR </w:t>
      </w:r>
      <w:r w:rsidR="00DD3AF0">
        <w:t>development</w:t>
      </w:r>
      <w:r>
        <w:t>s are multi-unit buildings</w:t>
      </w:r>
      <w:r w:rsidR="00105C8A">
        <w:t xml:space="preserve"> where the units, </w:t>
      </w:r>
      <w:r>
        <w:t>instead of being sold</w:t>
      </w:r>
      <w:r w:rsidR="00105C8A">
        <w:t>,</w:t>
      </w:r>
      <w:r>
        <w:t xml:space="preserve"> are </w:t>
      </w:r>
      <w:r w:rsidR="00105C8A">
        <w:t xml:space="preserve">rented out. BTR is an established practice in the United States of America and the United Kingdom. BTR is still a nascent industry in Australia, meaning there is significant scope for </w:t>
      </w:r>
      <w:r w:rsidR="004235C1">
        <w:t xml:space="preserve">BTR </w:t>
      </w:r>
      <w:r w:rsidR="00DD3AF0">
        <w:t>development</w:t>
      </w:r>
      <w:r w:rsidR="004235C1">
        <w:t>s</w:t>
      </w:r>
      <w:r w:rsidR="00105C8A">
        <w:t xml:space="preserve"> to contribute to </w:t>
      </w:r>
      <w:r w:rsidR="004235C1">
        <w:t>increasing</w:t>
      </w:r>
      <w:r w:rsidR="00105C8A">
        <w:t xml:space="preserve"> housing supply.</w:t>
      </w:r>
    </w:p>
    <w:p w14:paraId="78A5D61F" w14:textId="77777777" w:rsidR="00873094" w:rsidRPr="00020288" w:rsidRDefault="00873094" w:rsidP="005D0844">
      <w:pPr>
        <w:pStyle w:val="Heading2"/>
      </w:pPr>
      <w:bookmarkStart w:id="68" w:name="_Toc162534418"/>
      <w:r w:rsidRPr="00020288">
        <w:t xml:space="preserve">Summary of </w:t>
      </w:r>
      <w:r w:rsidRPr="005D0844">
        <w:t>new</w:t>
      </w:r>
      <w:r w:rsidRPr="00020288">
        <w:t xml:space="preserve"> law</w:t>
      </w:r>
      <w:bookmarkEnd w:id="68"/>
    </w:p>
    <w:p w14:paraId="0D129E24" w14:textId="57F49E0E" w:rsidR="004235C1" w:rsidRDefault="004235C1" w:rsidP="00873094">
      <w:pPr>
        <w:pStyle w:val="Normalparatextwithnumbers"/>
        <w:numPr>
          <w:ilvl w:val="1"/>
          <w:numId w:val="3"/>
        </w:numPr>
      </w:pPr>
      <w:r>
        <w:t xml:space="preserve">Schedule </w:t>
      </w:r>
      <w:r w:rsidR="00771132">
        <w:t>#</w:t>
      </w:r>
      <w:r>
        <w:t xml:space="preserve"> to the Bill makes amendments to the </w:t>
      </w:r>
      <w:r w:rsidR="00233E83">
        <w:t xml:space="preserve">ITAA 1936, </w:t>
      </w:r>
      <w:r w:rsidR="00E721EA">
        <w:t>ITAA 1997</w:t>
      </w:r>
      <w:r>
        <w:t xml:space="preserve"> </w:t>
      </w:r>
      <w:r w:rsidR="00233E83">
        <w:t xml:space="preserve">and </w:t>
      </w:r>
      <w:r>
        <w:t>TAA 1953.</w:t>
      </w:r>
    </w:p>
    <w:p w14:paraId="0D146BC9" w14:textId="04899255" w:rsidR="00873094" w:rsidRDefault="0022484F" w:rsidP="00873094">
      <w:pPr>
        <w:pStyle w:val="Normalparatextwithnumbers"/>
        <w:numPr>
          <w:ilvl w:val="1"/>
          <w:numId w:val="3"/>
        </w:numPr>
      </w:pPr>
      <w:r>
        <w:t xml:space="preserve">To encourage investment and construction in </w:t>
      </w:r>
      <w:r w:rsidR="00BE0CD4">
        <w:t>BTR</w:t>
      </w:r>
      <w:r>
        <w:t xml:space="preserve"> </w:t>
      </w:r>
      <w:r w:rsidR="00DD3AF0">
        <w:t>development</w:t>
      </w:r>
      <w:r>
        <w:t xml:space="preserve">s, </w:t>
      </w:r>
      <w:r w:rsidR="00FD1EB3">
        <w:t>Schedule</w:t>
      </w:r>
      <w:r w:rsidR="00771132">
        <w:t xml:space="preserve"> #</w:t>
      </w:r>
      <w:r w:rsidR="00FD1EB3">
        <w:t xml:space="preserve"> to </w:t>
      </w:r>
      <w:r w:rsidR="00FE188D">
        <w:t xml:space="preserve">the </w:t>
      </w:r>
      <w:r w:rsidR="00B867A7">
        <w:t>Bill</w:t>
      </w:r>
      <w:r w:rsidR="00D366E7">
        <w:t>:</w:t>
      </w:r>
    </w:p>
    <w:p w14:paraId="796E6DCB" w14:textId="54C4F3D8" w:rsidR="00D366E7" w:rsidRDefault="00956B6E" w:rsidP="00D366E7">
      <w:pPr>
        <w:pStyle w:val="Dotpoint1"/>
      </w:pPr>
      <w:r>
        <w:t>increases the rate of the capital works tax deduction</w:t>
      </w:r>
      <w:r w:rsidDel="001F10EE">
        <w:t xml:space="preserve"> </w:t>
      </w:r>
      <w:r w:rsidR="000D441C">
        <w:t>from 2.5 per cent per year to 4 per cent per year</w:t>
      </w:r>
      <w:r w:rsidR="006D2ACE">
        <w:t xml:space="preserve"> for </w:t>
      </w:r>
      <w:r w:rsidR="00E8171D">
        <w:t>active</w:t>
      </w:r>
      <w:r w:rsidR="006D2ACE">
        <w:t xml:space="preserve"> BTR </w:t>
      </w:r>
      <w:r w:rsidR="00DD3AF0">
        <w:t>development</w:t>
      </w:r>
      <w:r w:rsidR="006D2ACE">
        <w:t>s</w:t>
      </w:r>
      <w:r w:rsidR="000D441C">
        <w:t>; and</w:t>
      </w:r>
    </w:p>
    <w:p w14:paraId="1233D8AD" w14:textId="58433832" w:rsidR="000D441C" w:rsidRDefault="000D441C" w:rsidP="00D366E7">
      <w:pPr>
        <w:pStyle w:val="Dotpoint1"/>
      </w:pPr>
      <w:r>
        <w:t xml:space="preserve">reduces the final withholding tax rate on eligible payments from managed investment trusts </w:t>
      </w:r>
      <w:r w:rsidR="00EA4585">
        <w:t xml:space="preserve">for </w:t>
      </w:r>
      <w:r w:rsidR="00E8171D">
        <w:t>active</w:t>
      </w:r>
      <w:r w:rsidR="00EA4585">
        <w:t xml:space="preserve"> BTR </w:t>
      </w:r>
      <w:r w:rsidR="00DD3AF0">
        <w:t>development</w:t>
      </w:r>
      <w:r w:rsidR="00EA4585">
        <w:t>s</w:t>
      </w:r>
      <w:r w:rsidR="004B4A42">
        <w:t xml:space="preserve"> from 30</w:t>
      </w:r>
      <w:r w:rsidR="00AC330B">
        <w:t> </w:t>
      </w:r>
      <w:r w:rsidR="004B4A42">
        <w:t>per</w:t>
      </w:r>
      <w:r w:rsidR="00AC330B">
        <w:t> </w:t>
      </w:r>
      <w:r w:rsidR="004B4A42">
        <w:t xml:space="preserve">cent to </w:t>
      </w:r>
      <w:r w:rsidR="00446CD6">
        <w:t>15 per cent</w:t>
      </w:r>
      <w:r w:rsidR="00EA4585">
        <w:t>.</w:t>
      </w:r>
    </w:p>
    <w:p w14:paraId="4EF50294" w14:textId="6FAF22E0" w:rsidR="003D1E09" w:rsidRDefault="009B26A8" w:rsidP="003D1E09">
      <w:pPr>
        <w:pStyle w:val="Normalparatextwithnumbers"/>
      </w:pPr>
      <w:r>
        <w:t>The creation of new BTR dwellings will</w:t>
      </w:r>
      <w:r w:rsidR="003D1E09">
        <w:t xml:space="preserve"> expand Australia’s rental housing supply.</w:t>
      </w:r>
    </w:p>
    <w:p w14:paraId="7BD16A02" w14:textId="296F94FD" w:rsidR="00204531" w:rsidRDefault="001A282F" w:rsidP="004D39CB">
      <w:pPr>
        <w:pStyle w:val="Normalparatextwithnumbers"/>
        <w:ind w:left="0" w:firstLine="0"/>
      </w:pPr>
      <w:r>
        <w:t xml:space="preserve">These tax benefits are only intended to apply to </w:t>
      </w:r>
      <w:r w:rsidR="00CC3D82">
        <w:t xml:space="preserve">BTR </w:t>
      </w:r>
      <w:r w:rsidR="00DD3AF0">
        <w:t>development</w:t>
      </w:r>
      <w:r>
        <w:t xml:space="preserve">s that remain continuously </w:t>
      </w:r>
      <w:r w:rsidR="00E8171D">
        <w:t>active</w:t>
      </w:r>
      <w:r>
        <w:t xml:space="preserve"> throughout the 15</w:t>
      </w:r>
      <w:r w:rsidR="000762F4">
        <w:t>-</w:t>
      </w:r>
      <w:r>
        <w:t xml:space="preserve">year period. </w:t>
      </w:r>
      <w:r w:rsidR="000762F4">
        <w:t xml:space="preserve">If a BTR tax concession is claimed for a particular year, and the </w:t>
      </w:r>
      <w:r w:rsidR="00DD3AF0">
        <w:t>development</w:t>
      </w:r>
      <w:r w:rsidR="000762F4">
        <w:t xml:space="preserve"> subsequently becomes ineligible (during the 15-year period)</w:t>
      </w:r>
      <w:r w:rsidR="00C35006">
        <w:t xml:space="preserve">, then </w:t>
      </w:r>
      <w:r w:rsidR="001F4E16">
        <w:t xml:space="preserve">the tax benefit is neutralised. </w:t>
      </w:r>
    </w:p>
    <w:p w14:paraId="04E022A9" w14:textId="20841570" w:rsidR="00EA4585" w:rsidRPr="00020288" w:rsidRDefault="00FD1EB3" w:rsidP="00344CA3">
      <w:pPr>
        <w:pStyle w:val="Normalparatextwithnumbers"/>
        <w:ind w:left="0" w:firstLine="0"/>
      </w:pPr>
      <w:r>
        <w:lastRenderedPageBreak/>
        <w:t xml:space="preserve">Schedule </w:t>
      </w:r>
      <w:r w:rsidR="00771132">
        <w:t>#</w:t>
      </w:r>
      <w:r>
        <w:t xml:space="preserve"> to the Bill</w:t>
      </w:r>
      <w:r w:rsidR="001B53F3">
        <w:t xml:space="preserve"> introduces a specific reporting mechanism to enable the Commissioner to </w:t>
      </w:r>
      <w:r w:rsidR="004D1AA3">
        <w:t xml:space="preserve">receive information from entities participating in </w:t>
      </w:r>
      <w:r w:rsidR="00E8171D">
        <w:t>active</w:t>
      </w:r>
      <w:r w:rsidR="004D1AA3">
        <w:t xml:space="preserve"> BTR </w:t>
      </w:r>
      <w:r w:rsidR="00DD3AF0">
        <w:t>development</w:t>
      </w:r>
      <w:r w:rsidR="004D1AA3">
        <w:t>s.</w:t>
      </w:r>
    </w:p>
    <w:p w14:paraId="6BD8D336" w14:textId="77777777" w:rsidR="00873094" w:rsidRPr="00020288" w:rsidRDefault="00873094" w:rsidP="00AF50CE">
      <w:pPr>
        <w:pStyle w:val="Heading2"/>
      </w:pPr>
      <w:bookmarkStart w:id="69" w:name="_Toc162534419"/>
      <w:r w:rsidRPr="00AF50CE">
        <w:t>Comparison</w:t>
      </w:r>
      <w:r w:rsidRPr="00020288">
        <w:t xml:space="preserve"> of key features of new law and current law</w:t>
      </w:r>
      <w:bookmarkEnd w:id="69"/>
    </w:p>
    <w:p w14:paraId="4CD35AEE"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157EC" w:rsidRPr="00020288" w14:paraId="01962445" w14:textId="77777777"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6354339A"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304C7E4D" w14:textId="77777777" w:rsidR="00873094" w:rsidRPr="00A61FE9" w:rsidRDefault="00873094" w:rsidP="00873094">
            <w:pPr>
              <w:pStyle w:val="Tableheaderrowtext"/>
              <w:numPr>
                <w:ilvl w:val="3"/>
                <w:numId w:val="2"/>
              </w:numPr>
              <w:ind w:left="1701" w:hanging="1701"/>
            </w:pPr>
            <w:r w:rsidRPr="00A61FE9">
              <w:t>Current law</w:t>
            </w:r>
          </w:p>
        </w:tc>
      </w:tr>
      <w:tr w:rsidR="00873094" w:rsidRPr="00020288" w14:paraId="71276945" w14:textId="77777777" w:rsidTr="002425D9">
        <w:tc>
          <w:tcPr>
            <w:tcW w:w="3776" w:type="dxa"/>
          </w:tcPr>
          <w:p w14:paraId="77FA2BCD" w14:textId="265073D1" w:rsidR="00873094" w:rsidRPr="00020288" w:rsidRDefault="003E317C" w:rsidP="002425D9">
            <w:pPr>
              <w:pStyle w:val="Tabletext"/>
            </w:pPr>
            <w:r>
              <w:t>When a MIT or AMIT derives</w:t>
            </w:r>
            <w:r w:rsidR="00DB55DC">
              <w:t xml:space="preserve"> rental</w:t>
            </w:r>
            <w:r>
              <w:t xml:space="preserve"> income from an </w:t>
            </w:r>
            <w:r w:rsidR="00E8171D">
              <w:t>active</w:t>
            </w:r>
            <w:r>
              <w:t xml:space="preserve"> BTR </w:t>
            </w:r>
            <w:r w:rsidR="00DD3AF0">
              <w:t>development</w:t>
            </w:r>
            <w:r>
              <w:t>, this income is subject to a final withholding tax</w:t>
            </w:r>
            <w:r w:rsidR="008D2380">
              <w:t xml:space="preserve"> on a foreign resident</w:t>
            </w:r>
            <w:r>
              <w:t>, with a concessional rate of 15 per cent.</w:t>
            </w:r>
          </w:p>
        </w:tc>
        <w:tc>
          <w:tcPr>
            <w:tcW w:w="3874" w:type="dxa"/>
          </w:tcPr>
          <w:p w14:paraId="536F5547" w14:textId="310DA70C" w:rsidR="00873094" w:rsidRPr="00020288" w:rsidRDefault="001F6BA4" w:rsidP="002425D9">
            <w:pPr>
              <w:pStyle w:val="Tabletext"/>
            </w:pPr>
            <w:r>
              <w:t xml:space="preserve">When a MIT or AMIT </w:t>
            </w:r>
            <w:r w:rsidR="00F93AA8">
              <w:t xml:space="preserve">derives </w:t>
            </w:r>
            <w:r>
              <w:t xml:space="preserve">income from an </w:t>
            </w:r>
            <w:r w:rsidR="00E8171D">
              <w:t>active</w:t>
            </w:r>
            <w:r>
              <w:t xml:space="preserve"> BTR </w:t>
            </w:r>
            <w:r w:rsidR="00DD3AF0">
              <w:t>development</w:t>
            </w:r>
            <w:r>
              <w:t xml:space="preserve">, </w:t>
            </w:r>
            <w:r w:rsidR="003E317C">
              <w:t xml:space="preserve">this income is subject to a </w:t>
            </w:r>
            <w:r>
              <w:t xml:space="preserve">final withholding </w:t>
            </w:r>
            <w:r w:rsidR="003E317C">
              <w:t>tax</w:t>
            </w:r>
            <w:r w:rsidR="00BD0EE4">
              <w:t xml:space="preserve"> on a foreign resident</w:t>
            </w:r>
            <w:r w:rsidR="003E317C">
              <w:t xml:space="preserve">, with a </w:t>
            </w:r>
            <w:r>
              <w:t xml:space="preserve">rate </w:t>
            </w:r>
            <w:r w:rsidR="003E317C">
              <w:t xml:space="preserve">of </w:t>
            </w:r>
            <w:r>
              <w:t>30 per cent</w:t>
            </w:r>
            <w:r w:rsidR="003E317C">
              <w:t>.</w:t>
            </w:r>
          </w:p>
        </w:tc>
      </w:tr>
      <w:tr w:rsidR="003502E8" w:rsidRPr="00020288" w14:paraId="39BB218F" w14:textId="77777777" w:rsidTr="002425D9">
        <w:tc>
          <w:tcPr>
            <w:tcW w:w="3776" w:type="dxa"/>
          </w:tcPr>
          <w:p w14:paraId="0FFE6C2A" w14:textId="753CDEBC" w:rsidR="003502E8" w:rsidRPr="00020288" w:rsidRDefault="00E8171D" w:rsidP="003502E8">
            <w:pPr>
              <w:pStyle w:val="Tabletext"/>
            </w:pPr>
            <w:r>
              <w:t>Active</w:t>
            </w:r>
            <w:r w:rsidR="00ED04B5">
              <w:t xml:space="preserve"> BTR </w:t>
            </w:r>
            <w:r w:rsidR="00DD3AF0">
              <w:t>development</w:t>
            </w:r>
            <w:r w:rsidR="00ED04B5">
              <w:t xml:space="preserve">s are </w:t>
            </w:r>
            <w:r w:rsidR="00765DFE">
              <w:t xml:space="preserve">specifically </w:t>
            </w:r>
            <w:r w:rsidR="00ED04B5">
              <w:t xml:space="preserve">subject to a </w:t>
            </w:r>
            <w:r w:rsidR="008712B7">
              <w:t>4</w:t>
            </w:r>
            <w:r w:rsidR="00ED04B5">
              <w:t> per cent rate of deduction for capital expenditure incurred in constructing capital works, including buildings and structural improvements.</w:t>
            </w:r>
          </w:p>
        </w:tc>
        <w:tc>
          <w:tcPr>
            <w:tcW w:w="3874" w:type="dxa"/>
          </w:tcPr>
          <w:p w14:paraId="2E88308B" w14:textId="402AE9CD" w:rsidR="003502E8" w:rsidRPr="00020288" w:rsidRDefault="00D252C0" w:rsidP="00ED04B5">
            <w:pPr>
              <w:pStyle w:val="Tabletext"/>
              <w:ind w:left="0"/>
            </w:pPr>
            <w:r>
              <w:t>A</w:t>
            </w:r>
            <w:r w:rsidR="00FC3096">
              <w:t xml:space="preserve"> 2.5</w:t>
            </w:r>
            <w:r w:rsidR="001B1081">
              <w:t xml:space="preserve"> per cent rate of deduction </w:t>
            </w:r>
            <w:r w:rsidR="000A702F">
              <w:t xml:space="preserve">applies </w:t>
            </w:r>
            <w:r w:rsidR="001B1081">
              <w:t xml:space="preserve">for capital expenditure </w:t>
            </w:r>
            <w:r w:rsidR="00BB0AE2">
              <w:t>incurred in constructing capital works, including buildings and structural improvements</w:t>
            </w:r>
            <w:r w:rsidR="00ED04B5">
              <w:t>.</w:t>
            </w:r>
            <w:r w:rsidR="00E55C4E">
              <w:t xml:space="preserve"> </w:t>
            </w:r>
            <w:r w:rsidR="00A25C53">
              <w:t>Such capital works</w:t>
            </w:r>
            <w:r w:rsidR="00E55C4E">
              <w:t xml:space="preserve"> could inclu</w:t>
            </w:r>
            <w:r w:rsidR="00A66DDD">
              <w:t>de BTR</w:t>
            </w:r>
            <w:r w:rsidR="00A25C53">
              <w:t xml:space="preserve"> developments.</w:t>
            </w:r>
          </w:p>
        </w:tc>
      </w:tr>
      <w:tr w:rsidR="003502E8" w:rsidRPr="00020288" w14:paraId="3D3B7C00" w14:textId="77777777" w:rsidTr="002425D9">
        <w:tc>
          <w:tcPr>
            <w:tcW w:w="3776" w:type="dxa"/>
          </w:tcPr>
          <w:p w14:paraId="5B03355A" w14:textId="246F5807" w:rsidR="003502E8" w:rsidRPr="00020288" w:rsidRDefault="008206F1" w:rsidP="003502E8">
            <w:pPr>
              <w:pStyle w:val="Tabletext"/>
            </w:pPr>
            <w:r>
              <w:t xml:space="preserve">Entities who wish to participate in </w:t>
            </w:r>
            <w:r w:rsidR="00E8171D">
              <w:t>active</w:t>
            </w:r>
            <w:r>
              <w:t xml:space="preserve"> BTR </w:t>
            </w:r>
            <w:r w:rsidR="00DD3AF0">
              <w:t>development</w:t>
            </w:r>
            <w:r>
              <w:t>s must use a specific reporting mechanism.</w:t>
            </w:r>
          </w:p>
        </w:tc>
        <w:tc>
          <w:tcPr>
            <w:tcW w:w="3874" w:type="dxa"/>
          </w:tcPr>
          <w:p w14:paraId="2522A5B3" w14:textId="00A0D5DF" w:rsidR="003502E8" w:rsidRPr="00020288" w:rsidRDefault="008206F1" w:rsidP="003502E8">
            <w:pPr>
              <w:pStyle w:val="Tabletext"/>
            </w:pPr>
            <w:r>
              <w:t>No comparison.</w:t>
            </w:r>
          </w:p>
        </w:tc>
      </w:tr>
      <w:tr w:rsidR="00793DB2" w:rsidRPr="00020288" w14:paraId="4EE92549" w14:textId="77777777" w:rsidTr="002425D9">
        <w:tc>
          <w:tcPr>
            <w:tcW w:w="3776" w:type="dxa"/>
          </w:tcPr>
          <w:p w14:paraId="2E10D9C7" w14:textId="7F660EC4" w:rsidR="00793DB2" w:rsidRPr="00E8171D" w:rsidRDefault="00793DB2" w:rsidP="00793DB2">
            <w:pPr>
              <w:pStyle w:val="Tabletext"/>
            </w:pPr>
            <w:r w:rsidRPr="00E8171D">
              <w:t xml:space="preserve">BTR </w:t>
            </w:r>
            <w:r w:rsidR="00DD3AF0" w:rsidRPr="00E8171D">
              <w:t>development</w:t>
            </w:r>
            <w:r w:rsidRPr="00E8171D">
              <w:t xml:space="preserve"> </w:t>
            </w:r>
            <w:r w:rsidR="00E8171D" w:rsidRPr="00E8171D">
              <w:t>m</w:t>
            </w:r>
            <w:r w:rsidRPr="00E8171D">
              <w:t xml:space="preserve">isuse </w:t>
            </w:r>
            <w:r w:rsidR="00E8171D" w:rsidRPr="00E8171D">
              <w:t>t</w:t>
            </w:r>
            <w:r w:rsidRPr="00E8171D">
              <w:t xml:space="preserve">ax applies to neutralise tax concessions which were obtained prior to the BTR </w:t>
            </w:r>
            <w:r w:rsidR="00DD3AF0" w:rsidRPr="00E8171D">
              <w:t>development</w:t>
            </w:r>
            <w:r w:rsidRPr="00E8171D">
              <w:t xml:space="preserve"> </w:t>
            </w:r>
            <w:r w:rsidR="00E8171D">
              <w:t>ceasing to be active BTR developments</w:t>
            </w:r>
            <w:r w:rsidRPr="00E8171D">
              <w:t xml:space="preserve">. </w:t>
            </w:r>
          </w:p>
        </w:tc>
        <w:tc>
          <w:tcPr>
            <w:tcW w:w="3874" w:type="dxa"/>
          </w:tcPr>
          <w:p w14:paraId="577F6F99" w14:textId="72D128A1" w:rsidR="00793DB2" w:rsidRPr="00020288" w:rsidRDefault="00793DB2" w:rsidP="00793DB2">
            <w:pPr>
              <w:pStyle w:val="Tabletext"/>
            </w:pPr>
            <w:r>
              <w:t>No comparison.</w:t>
            </w:r>
          </w:p>
        </w:tc>
      </w:tr>
    </w:tbl>
    <w:p w14:paraId="3ADE5160" w14:textId="27FBAB71" w:rsidR="00873094" w:rsidRPr="00020288" w:rsidRDefault="00873094" w:rsidP="00873094">
      <w:pPr>
        <w:pStyle w:val="Heading2"/>
        <w:numPr>
          <w:ilvl w:val="1"/>
          <w:numId w:val="2"/>
        </w:numPr>
        <w:tabs>
          <w:tab w:val="num" w:pos="567"/>
        </w:tabs>
        <w:ind w:left="567" w:hanging="567"/>
      </w:pPr>
      <w:bookmarkStart w:id="70" w:name="_Toc162534420"/>
      <w:r w:rsidRPr="00020288">
        <w:t>Detailed explanation of new law</w:t>
      </w:r>
      <w:bookmarkEnd w:id="70"/>
    </w:p>
    <w:p w14:paraId="4FB31DB3" w14:textId="35AD848C" w:rsidR="0058052C" w:rsidRDefault="0058052C" w:rsidP="00793DB2">
      <w:pPr>
        <w:pStyle w:val="Normalparatextwithnumbers"/>
        <w:numPr>
          <w:ilvl w:val="1"/>
          <w:numId w:val="3"/>
        </w:numPr>
      </w:pPr>
      <w:r>
        <w:t xml:space="preserve">Schedule # to the </w:t>
      </w:r>
      <w:r w:rsidR="00DC2E07">
        <w:t xml:space="preserve">Bill amends </w:t>
      </w:r>
      <w:r w:rsidR="00AF37C7">
        <w:t xml:space="preserve">the </w:t>
      </w:r>
      <w:r>
        <w:t xml:space="preserve">ITAA 1936, </w:t>
      </w:r>
      <w:r w:rsidR="00AF37C7">
        <w:t>ITAA 1997</w:t>
      </w:r>
      <w:r w:rsidR="00546592">
        <w:t xml:space="preserve"> </w:t>
      </w:r>
      <w:r w:rsidR="001C4295">
        <w:t xml:space="preserve">and the TAA 1953 </w:t>
      </w:r>
      <w:r w:rsidR="00793DB2">
        <w:t>to implement the</w:t>
      </w:r>
      <w:r w:rsidR="00737BB6">
        <w:t xml:space="preserve"> improved incentives for investors to invest in new BTR developments</w:t>
      </w:r>
      <w:r w:rsidR="00AF37C7">
        <w:t>.</w:t>
      </w:r>
      <w:r w:rsidR="00344CA3">
        <w:t xml:space="preserve"> </w:t>
      </w:r>
      <w:r w:rsidR="006E617A">
        <w:t>All references to Schedule # refer to Schedule # to the Bill.</w:t>
      </w:r>
    </w:p>
    <w:p w14:paraId="602F60C9" w14:textId="5DD92B4D" w:rsidR="0020147E" w:rsidRDefault="00344CA3" w:rsidP="00793DB2">
      <w:pPr>
        <w:pStyle w:val="Normalparatextwithnumbers"/>
        <w:numPr>
          <w:ilvl w:val="1"/>
          <w:numId w:val="3"/>
        </w:numPr>
      </w:pPr>
      <w:r>
        <w:t xml:space="preserve">The Imposition Bill </w:t>
      </w:r>
      <w:r w:rsidR="00BF62F5">
        <w:t>implements the BTR development misuse tax to prevent abuse of the system.</w:t>
      </w:r>
      <w:r w:rsidR="005D57DC">
        <w:t xml:space="preserve"> </w:t>
      </w:r>
    </w:p>
    <w:p w14:paraId="3D760B3B" w14:textId="5699F615" w:rsidR="0020147E" w:rsidRDefault="00D677A5" w:rsidP="0020147E">
      <w:pPr>
        <w:pStyle w:val="Heading4"/>
      </w:pPr>
      <w:r>
        <w:t>Active</w:t>
      </w:r>
      <w:r w:rsidR="0014604A">
        <w:t xml:space="preserve"> </w:t>
      </w:r>
      <w:r w:rsidR="0020147E">
        <w:t xml:space="preserve">build-to-rent </w:t>
      </w:r>
      <w:proofErr w:type="gramStart"/>
      <w:r>
        <w:t>developments</w:t>
      </w:r>
      <w:proofErr w:type="gramEnd"/>
    </w:p>
    <w:p w14:paraId="253CDFF9" w14:textId="1D08B6AB" w:rsidR="00E1792D" w:rsidRDefault="00E1792D" w:rsidP="00E1792D">
      <w:pPr>
        <w:pStyle w:val="Normalparatextwithnumbers"/>
        <w:ind w:left="0" w:firstLine="0"/>
      </w:pPr>
      <w:r>
        <w:t xml:space="preserve">A BTR </w:t>
      </w:r>
      <w:r w:rsidR="001D7A35">
        <w:t>development</w:t>
      </w:r>
      <w:r>
        <w:t xml:space="preserve"> will be an </w:t>
      </w:r>
      <w:r w:rsidR="00D677A5">
        <w:t xml:space="preserve">active </w:t>
      </w:r>
      <w:r>
        <w:t xml:space="preserve">BTR </w:t>
      </w:r>
      <w:r w:rsidR="00D677A5">
        <w:t xml:space="preserve">development </w:t>
      </w:r>
      <w:r>
        <w:t>if it fulfils the following conditions:</w:t>
      </w:r>
    </w:p>
    <w:p w14:paraId="2B69147F" w14:textId="6689B4A3" w:rsidR="00E1792D" w:rsidRDefault="00E1792D" w:rsidP="00E1792D">
      <w:pPr>
        <w:pStyle w:val="Dotpoint1"/>
      </w:pPr>
      <w:r>
        <w:lastRenderedPageBreak/>
        <w:t xml:space="preserve">the </w:t>
      </w:r>
      <w:r w:rsidR="000A6490">
        <w:t>BTR</w:t>
      </w:r>
      <w:r>
        <w:t xml:space="preserve"> </w:t>
      </w:r>
      <w:r w:rsidR="00D677A5">
        <w:t xml:space="preserve">development’s </w:t>
      </w:r>
      <w:r>
        <w:t>construction commenced after 7:30PM</w:t>
      </w:r>
      <w:r w:rsidR="002442E9">
        <w:t> </w:t>
      </w:r>
      <w:r>
        <w:t>(AEST) on 9 May </w:t>
      </w:r>
      <w:proofErr w:type="gramStart"/>
      <w:r>
        <w:t>2023;</w:t>
      </w:r>
      <w:proofErr w:type="gramEnd"/>
    </w:p>
    <w:p w14:paraId="79441916" w14:textId="198A530B" w:rsidR="00E1792D" w:rsidRDefault="00E1792D" w:rsidP="00E1792D">
      <w:pPr>
        <w:pStyle w:val="Dotpoint1"/>
      </w:pPr>
      <w:r>
        <w:t xml:space="preserve">the </w:t>
      </w:r>
      <w:r w:rsidR="000A6490">
        <w:t>BTR</w:t>
      </w:r>
      <w:r>
        <w:t xml:space="preserve"> </w:t>
      </w:r>
      <w:r w:rsidR="001D7A35">
        <w:t>development</w:t>
      </w:r>
      <w:r>
        <w:t xml:space="preserve"> consists of 50 or more dwellings made available for rent to the general </w:t>
      </w:r>
      <w:proofErr w:type="gramStart"/>
      <w:r>
        <w:t>public;</w:t>
      </w:r>
      <w:proofErr w:type="gramEnd"/>
    </w:p>
    <w:p w14:paraId="44834FBC" w14:textId="2CBAD13B" w:rsidR="00E1792D" w:rsidRDefault="00E1792D" w:rsidP="00E1792D">
      <w:pPr>
        <w:pStyle w:val="Dotpoint1"/>
      </w:pPr>
      <w:r>
        <w:t xml:space="preserve">all of the dwellings in the BTR </w:t>
      </w:r>
      <w:r w:rsidR="00DD3AF0">
        <w:t>development</w:t>
      </w:r>
      <w:r>
        <w:t xml:space="preserve"> (</w:t>
      </w:r>
      <w:r w:rsidR="00081CF9">
        <w:t xml:space="preserve">and </w:t>
      </w:r>
      <w:r>
        <w:t xml:space="preserve">common areas that are part of the </w:t>
      </w:r>
      <w:r w:rsidR="00DD3AF0">
        <w:t>development</w:t>
      </w:r>
      <w:r>
        <w:t xml:space="preserve">) continue to be </w:t>
      </w:r>
      <w:r w:rsidR="00EC3553">
        <w:t xml:space="preserve">directly </w:t>
      </w:r>
      <w:r>
        <w:t xml:space="preserve">owned together by a single entity, at any one time, for at least 15 </w:t>
      </w:r>
      <w:proofErr w:type="gramStart"/>
      <w:r>
        <w:t>years;</w:t>
      </w:r>
      <w:proofErr w:type="gramEnd"/>
    </w:p>
    <w:p w14:paraId="7C96CB1E" w14:textId="2ACC587D" w:rsidR="00E1792D" w:rsidRDefault="00E1792D" w:rsidP="00E1792D">
      <w:pPr>
        <w:pStyle w:val="Dotpoint1"/>
      </w:pPr>
      <w:r>
        <w:t xml:space="preserve">dwellings in the BTR </w:t>
      </w:r>
      <w:r w:rsidR="00DD3AF0">
        <w:t>development</w:t>
      </w:r>
      <w:r>
        <w:t xml:space="preserve"> must be offered for lease terms of at least 3 years throughout the 15-year period (although the tenant can request a shorter term); and</w:t>
      </w:r>
    </w:p>
    <w:p w14:paraId="2C40EDDA" w14:textId="4655879A" w:rsidR="00680487" w:rsidRDefault="00E1792D" w:rsidP="00E1792D">
      <w:pPr>
        <w:pStyle w:val="Dotpoint1"/>
      </w:pPr>
      <w:r>
        <w:t xml:space="preserve">at least 10 per cent of the dwellings in the </w:t>
      </w:r>
      <w:r w:rsidR="000A6490">
        <w:t xml:space="preserve">BTR </w:t>
      </w:r>
      <w:r w:rsidR="00DD3AF0">
        <w:t>development</w:t>
      </w:r>
      <w:r>
        <w:t xml:space="preserve"> must be offered as affordable tenancies throughout the 15-year period.  </w:t>
      </w:r>
    </w:p>
    <w:p w14:paraId="3FFB2659" w14:textId="566B133C" w:rsidR="00E1792D" w:rsidRDefault="00680487" w:rsidP="00680487">
      <w:pPr>
        <w:pStyle w:val="Referenceafterdotpoint"/>
      </w:pPr>
      <w:r>
        <w:t xml:space="preserve">[Schedule #, item 5, </w:t>
      </w:r>
      <w:r w:rsidR="00CC22F6">
        <w:t xml:space="preserve">section 43-152 of the </w:t>
      </w:r>
      <w:r w:rsidR="00D77904">
        <w:t>ITAA</w:t>
      </w:r>
      <w:r w:rsidR="00CC22F6">
        <w:t xml:space="preserve"> 1997</w:t>
      </w:r>
      <w:r>
        <w:t xml:space="preserve">] </w:t>
      </w:r>
    </w:p>
    <w:p w14:paraId="2F57840D" w14:textId="419ABB08" w:rsidR="006C2A4B" w:rsidRDefault="006C2A4B" w:rsidP="001D7A35">
      <w:pPr>
        <w:pStyle w:val="Normalparatextwithnumbers"/>
      </w:pPr>
      <w:r>
        <w:t xml:space="preserve">There are additional conditions that relate to the </w:t>
      </w:r>
      <w:r w:rsidR="00B163CC">
        <w:t xml:space="preserve">supply of </w:t>
      </w:r>
      <w:r>
        <w:t>affordable tenancies</w:t>
      </w:r>
      <w:r w:rsidR="00B163CC">
        <w:t xml:space="preserve"> in a BTR development. These are discussed at </w:t>
      </w:r>
      <w:proofErr w:type="gramStart"/>
      <w:r w:rsidR="00407F17">
        <w:t xml:space="preserve">paragraphs </w:t>
      </w:r>
      <w:r w:rsidR="003E1E0B">
        <w:t xml:space="preserve"> to</w:t>
      </w:r>
      <w:proofErr w:type="gramEnd"/>
      <w:r w:rsidR="003E1E0B">
        <w:t xml:space="preserve"> </w:t>
      </w:r>
      <w:r w:rsidR="00B163CC">
        <w:t xml:space="preserve"> below.</w:t>
      </w:r>
    </w:p>
    <w:p w14:paraId="39F03F88" w14:textId="06870D8B" w:rsidR="001D7A35" w:rsidRPr="001D7A35" w:rsidRDefault="001D7A35" w:rsidP="001D7A35">
      <w:pPr>
        <w:pStyle w:val="Normalparatextwithnumbers"/>
      </w:pPr>
      <w:r>
        <w:t xml:space="preserve">A </w:t>
      </w:r>
      <w:r w:rsidR="0015714D">
        <w:t xml:space="preserve">BTR development will cease to be an active BTR </w:t>
      </w:r>
      <w:r w:rsidR="00455BE2">
        <w:t>d</w:t>
      </w:r>
      <w:r w:rsidR="0015714D">
        <w:t>evelopment if it fails to meet one of the</w:t>
      </w:r>
      <w:r w:rsidR="000D661B">
        <w:t xml:space="preserve">se </w:t>
      </w:r>
      <w:r w:rsidR="00A24DA5">
        <w:t xml:space="preserve">conditions </w:t>
      </w:r>
      <w:r w:rsidR="000D661B">
        <w:t>during the 15-year BTR compliance period</w:t>
      </w:r>
      <w:r w:rsidR="00A24DA5">
        <w:t>, including the conditions that relate to affordable tenancies</w:t>
      </w:r>
      <w:r w:rsidR="000D661B">
        <w:t>.</w:t>
      </w:r>
      <w:r w:rsidR="000D661B">
        <w:br/>
      </w:r>
      <w:r w:rsidR="000D661B" w:rsidRPr="000D661B">
        <w:rPr>
          <w:rStyle w:val="References"/>
        </w:rPr>
        <w:t xml:space="preserve">[Schedule </w:t>
      </w:r>
      <w:r w:rsidR="000D661B">
        <w:rPr>
          <w:rStyle w:val="References"/>
        </w:rPr>
        <w:t>#</w:t>
      </w:r>
      <w:r w:rsidR="000D661B" w:rsidRPr="000D661B">
        <w:rPr>
          <w:rStyle w:val="References"/>
        </w:rPr>
        <w:t xml:space="preserve">, item </w:t>
      </w:r>
      <w:r w:rsidR="000D661B">
        <w:rPr>
          <w:rStyle w:val="References"/>
        </w:rPr>
        <w:t>5</w:t>
      </w:r>
      <w:r w:rsidR="000D661B" w:rsidRPr="000D661B">
        <w:rPr>
          <w:rStyle w:val="References"/>
        </w:rPr>
        <w:t xml:space="preserve">, </w:t>
      </w:r>
      <w:r w:rsidR="000D661B">
        <w:rPr>
          <w:rStyle w:val="References"/>
        </w:rPr>
        <w:t>subsection 43-152(</w:t>
      </w:r>
      <w:r w:rsidR="00D77904">
        <w:rPr>
          <w:rStyle w:val="References"/>
        </w:rPr>
        <w:t>6) of the ITAA 1997</w:t>
      </w:r>
      <w:r w:rsidR="000D661B" w:rsidRPr="000D661B">
        <w:rPr>
          <w:rStyle w:val="References"/>
        </w:rPr>
        <w:t xml:space="preserve">] </w:t>
      </w:r>
    </w:p>
    <w:p w14:paraId="727ECD6C" w14:textId="34E93490" w:rsidR="00E01CA7" w:rsidRDefault="00E01CA7" w:rsidP="00F21C05">
      <w:pPr>
        <w:pStyle w:val="Heading5"/>
      </w:pPr>
      <w:r>
        <w:t>Commencement of construction</w:t>
      </w:r>
    </w:p>
    <w:p w14:paraId="58E0A3A6" w14:textId="061F48D8" w:rsidR="00A51397" w:rsidRPr="00E01CA7" w:rsidRDefault="00E01CA7" w:rsidP="00EE390D">
      <w:pPr>
        <w:pStyle w:val="Normalparatextwithnumbers"/>
      </w:pPr>
      <w:r>
        <w:t>For a</w:t>
      </w:r>
      <w:r w:rsidR="00997864">
        <w:t xml:space="preserve"> BTR development</w:t>
      </w:r>
      <w:r>
        <w:t xml:space="preserve"> to be </w:t>
      </w:r>
      <w:r w:rsidR="00997864">
        <w:t>an active BTR development and eligible for the concessional tax treatment</w:t>
      </w:r>
      <w:r>
        <w:t xml:space="preserve">, its construction must </w:t>
      </w:r>
      <w:r w:rsidR="004C71CC">
        <w:t xml:space="preserve">have </w:t>
      </w:r>
      <w:r w:rsidR="00DF22EC">
        <w:t>commence</w:t>
      </w:r>
      <w:r w:rsidR="004C71CC">
        <w:t>d</w:t>
      </w:r>
      <w:r w:rsidR="00DF22EC">
        <w:t xml:space="preserve"> after 7:30</w:t>
      </w:r>
      <w:r w:rsidR="00BD2757">
        <w:t> </w:t>
      </w:r>
      <w:r w:rsidR="00DF22EC">
        <w:t xml:space="preserve">PM (AEST) on </w:t>
      </w:r>
      <w:r w:rsidR="006C2D11">
        <w:t>9 May 2023.</w:t>
      </w:r>
      <w:r w:rsidR="00FA767A">
        <w:br/>
      </w:r>
      <w:r w:rsidR="00FA767A" w:rsidRPr="00FA767A">
        <w:rPr>
          <w:rStyle w:val="References"/>
        </w:rPr>
        <w:t xml:space="preserve">[Schedule </w:t>
      </w:r>
      <w:r w:rsidR="00D77904">
        <w:rPr>
          <w:rStyle w:val="References"/>
        </w:rPr>
        <w:t>#</w:t>
      </w:r>
      <w:r w:rsidR="00FA767A" w:rsidRPr="00FA767A">
        <w:rPr>
          <w:rStyle w:val="References"/>
        </w:rPr>
        <w:t>, item</w:t>
      </w:r>
      <w:r w:rsidR="00997864">
        <w:rPr>
          <w:rStyle w:val="References"/>
        </w:rPr>
        <w:t xml:space="preserve"> 1</w:t>
      </w:r>
      <w:r w:rsidR="00C20072">
        <w:rPr>
          <w:rStyle w:val="References"/>
        </w:rPr>
        <w:t>6</w:t>
      </w:r>
      <w:r w:rsidR="00FA767A" w:rsidRPr="00FA767A">
        <w:rPr>
          <w:rStyle w:val="References"/>
        </w:rPr>
        <w:t xml:space="preserve">] </w:t>
      </w:r>
    </w:p>
    <w:p w14:paraId="489422CD" w14:textId="2B16D2A4" w:rsidR="003925DB" w:rsidRDefault="00F21C05" w:rsidP="00F21C05">
      <w:pPr>
        <w:pStyle w:val="Heading5"/>
      </w:pPr>
      <w:r>
        <w:t>Number of dwellings</w:t>
      </w:r>
    </w:p>
    <w:p w14:paraId="179657ED" w14:textId="402D004A" w:rsidR="00945728" w:rsidRDefault="000E66F8" w:rsidP="00945728">
      <w:pPr>
        <w:pStyle w:val="Normalparatextwithnumbers"/>
      </w:pPr>
      <w:r>
        <w:t xml:space="preserve">The </w:t>
      </w:r>
      <w:r w:rsidR="00FD7D50">
        <w:t>BTR</w:t>
      </w:r>
      <w:r>
        <w:t xml:space="preserve"> </w:t>
      </w:r>
      <w:r w:rsidR="00DD3AF0">
        <w:t>development</w:t>
      </w:r>
      <w:r>
        <w:t xml:space="preserve"> must consist of</w:t>
      </w:r>
      <w:r w:rsidR="000D1A06">
        <w:t xml:space="preserve"> at least</w:t>
      </w:r>
      <w:r>
        <w:t xml:space="preserve"> </w:t>
      </w:r>
      <w:r w:rsidR="003B045A">
        <w:t xml:space="preserve">50 dwellings that </w:t>
      </w:r>
      <w:r w:rsidR="00983AD3">
        <w:t>are made available</w:t>
      </w:r>
      <w:r w:rsidR="004A1DA4">
        <w:t xml:space="preserve"> for rent to the </w:t>
      </w:r>
      <w:r w:rsidR="00503C13">
        <w:t>public</w:t>
      </w:r>
      <w:r w:rsidR="004A1DA4">
        <w:t>.</w:t>
      </w:r>
    </w:p>
    <w:p w14:paraId="610DBFE0" w14:textId="0DC78325" w:rsidR="00E06474" w:rsidRPr="00E06474" w:rsidRDefault="00E8171D" w:rsidP="00E8171D">
      <w:pPr>
        <w:pStyle w:val="Normalparatextwithnumbers"/>
        <w:tabs>
          <w:tab w:val="left" w:pos="142"/>
        </w:tabs>
      </w:pPr>
      <w:r>
        <w:t>Active BTR</w:t>
      </w:r>
      <w:r w:rsidR="00E06474" w:rsidRPr="00E06474">
        <w:t xml:space="preserve"> </w:t>
      </w:r>
      <w:r w:rsidR="00DD3AF0">
        <w:t>development</w:t>
      </w:r>
      <w:r w:rsidR="00E06474" w:rsidRPr="00E06474">
        <w:t xml:space="preserve">s include new developments as well as alterations and structural improvements that re-purpose an existing building into </w:t>
      </w:r>
      <w:r w:rsidR="00616E9A">
        <w:t>BTR</w:t>
      </w:r>
      <w:r w:rsidR="00E06474" w:rsidRPr="00E06474">
        <w:t xml:space="preserve"> (</w:t>
      </w:r>
      <w:r w:rsidR="00046F55">
        <w:t xml:space="preserve">for example, </w:t>
      </w:r>
      <w:r w:rsidR="00E06474" w:rsidRPr="00E06474">
        <w:t xml:space="preserve">the conversion of a warehouse to </w:t>
      </w:r>
      <w:r w:rsidR="00616E9A">
        <w:t>BTR</w:t>
      </w:r>
      <w:r w:rsidR="00E06474" w:rsidRPr="00E06474">
        <w:t xml:space="preserve"> apartments).</w:t>
      </w:r>
    </w:p>
    <w:p w14:paraId="49C40CE7" w14:textId="376E3348" w:rsidR="0046151F" w:rsidRPr="0046151F" w:rsidRDefault="0046151F" w:rsidP="0046151F">
      <w:pPr>
        <w:pStyle w:val="Normalparatextwithnumbers"/>
      </w:pPr>
      <w:r w:rsidRPr="0046151F">
        <w:t xml:space="preserve">If a new building was initially commenced as a build-to-sell </w:t>
      </w:r>
      <w:r w:rsidR="00DD3AF0">
        <w:t>development</w:t>
      </w:r>
      <w:r w:rsidRPr="0046151F">
        <w:t xml:space="preserve"> but converted to </w:t>
      </w:r>
      <w:r w:rsidR="00C7021B">
        <w:t>BTR</w:t>
      </w:r>
      <w:r w:rsidRPr="0046151F">
        <w:t xml:space="preserve"> during construction, it can be an </w:t>
      </w:r>
      <w:r w:rsidR="00E8171D">
        <w:t>active</w:t>
      </w:r>
      <w:r w:rsidRPr="0046151F">
        <w:t xml:space="preserve"> BTR </w:t>
      </w:r>
      <w:r w:rsidR="00DD3AF0">
        <w:t>development</w:t>
      </w:r>
      <w:r w:rsidRPr="0046151F">
        <w:t xml:space="preserve">. </w:t>
      </w:r>
    </w:p>
    <w:p w14:paraId="26417700" w14:textId="282ABFCD" w:rsidR="008872A9" w:rsidRPr="008872A9" w:rsidRDefault="008872A9" w:rsidP="008872A9">
      <w:pPr>
        <w:pStyle w:val="Normalparatextwithnumbers"/>
      </w:pPr>
      <w:r>
        <w:t>A</w:t>
      </w:r>
      <w:r w:rsidRPr="008872A9">
        <w:t xml:space="preserve"> BTR </w:t>
      </w:r>
      <w:r w:rsidR="00DD3AF0">
        <w:t>development</w:t>
      </w:r>
      <w:r w:rsidRPr="008872A9">
        <w:t xml:space="preserve"> can be part of a building. For example, if the BTR </w:t>
      </w:r>
      <w:r w:rsidR="00DD3AF0">
        <w:t>development</w:t>
      </w:r>
      <w:r w:rsidRPr="008872A9">
        <w:t xml:space="preserve"> represents 90 per cent of a building’s floorspace, the </w:t>
      </w:r>
      <w:r w:rsidR="00DD3AF0">
        <w:t>development</w:t>
      </w:r>
      <w:r w:rsidRPr="008872A9">
        <w:t xml:space="preserve"> proponent can </w:t>
      </w:r>
      <w:r w:rsidRPr="00B06DDA">
        <w:t>claim the MIT withholding tax concession</w:t>
      </w:r>
      <w:r w:rsidR="00D51E25" w:rsidRPr="00B06DDA">
        <w:t xml:space="preserve"> in respect of </w:t>
      </w:r>
      <w:r w:rsidR="00E71706" w:rsidRPr="00B06DDA">
        <w:t>90</w:t>
      </w:r>
      <w:r w:rsidR="000F4B03" w:rsidRPr="00DF5496">
        <w:t> </w:t>
      </w:r>
      <w:r w:rsidR="00E71706" w:rsidRPr="00B06DDA">
        <w:t>per</w:t>
      </w:r>
      <w:r w:rsidR="000F4B03" w:rsidRPr="00DF5496">
        <w:t> </w:t>
      </w:r>
      <w:r w:rsidR="00E71706" w:rsidRPr="00B06DDA">
        <w:t xml:space="preserve">cent of the </w:t>
      </w:r>
      <w:r w:rsidR="00FD7209">
        <w:t xml:space="preserve">rental </w:t>
      </w:r>
      <w:r w:rsidR="00E53736" w:rsidRPr="00B06DDA">
        <w:t xml:space="preserve">income </w:t>
      </w:r>
      <w:r w:rsidR="00FF6A64" w:rsidRPr="00DF5496">
        <w:t>attributable to</w:t>
      </w:r>
      <w:r w:rsidR="00FF6A64" w:rsidRPr="00BA3229">
        <w:t xml:space="preserve"> </w:t>
      </w:r>
      <w:r w:rsidR="00970992" w:rsidRPr="00B06DDA">
        <w:t xml:space="preserve">that </w:t>
      </w:r>
      <w:r w:rsidR="002209D2">
        <w:t xml:space="preserve">building’s entire </w:t>
      </w:r>
      <w:r w:rsidR="00970992" w:rsidRPr="00B06DDA">
        <w:t>floorspace</w:t>
      </w:r>
      <w:r w:rsidRPr="008E61EF">
        <w:t>.</w:t>
      </w:r>
      <w:r w:rsidRPr="008872A9">
        <w:t xml:space="preserve"> </w:t>
      </w:r>
      <w:r w:rsidR="002209D2">
        <w:t>This 90</w:t>
      </w:r>
      <w:r w:rsidR="00EC58E3">
        <w:t xml:space="preserve"> per cent of the entire rental income would represent the </w:t>
      </w:r>
      <w:r w:rsidR="00540896">
        <w:t xml:space="preserve">amount of </w:t>
      </w:r>
      <w:r w:rsidR="00540896">
        <w:lastRenderedPageBreak/>
        <w:t xml:space="preserve">rental income derived from BTR dwellings within the building is therefore subject to the </w:t>
      </w:r>
      <w:r w:rsidR="00F65DB2">
        <w:t>MIT withholding tax concession.</w:t>
      </w:r>
      <w:r w:rsidR="001B73E0">
        <w:br/>
      </w:r>
      <w:r w:rsidR="001B73E0" w:rsidRPr="001B73E0">
        <w:rPr>
          <w:rStyle w:val="References"/>
        </w:rPr>
        <w:t xml:space="preserve">[Schedule </w:t>
      </w:r>
      <w:r w:rsidR="001B73E0">
        <w:rPr>
          <w:rStyle w:val="References"/>
        </w:rPr>
        <w:t>#</w:t>
      </w:r>
      <w:r w:rsidR="001B73E0" w:rsidRPr="001B73E0">
        <w:rPr>
          <w:rStyle w:val="References"/>
        </w:rPr>
        <w:t xml:space="preserve">, item </w:t>
      </w:r>
      <w:r w:rsidR="00231CB9">
        <w:rPr>
          <w:rStyle w:val="References"/>
        </w:rPr>
        <w:t>5</w:t>
      </w:r>
      <w:r w:rsidR="001B73E0" w:rsidRPr="001B73E0">
        <w:rPr>
          <w:rStyle w:val="References"/>
        </w:rPr>
        <w:t xml:space="preserve">, </w:t>
      </w:r>
      <w:r w:rsidR="00231CB9">
        <w:rPr>
          <w:rStyle w:val="References"/>
        </w:rPr>
        <w:t>subsection</w:t>
      </w:r>
      <w:r w:rsidR="004D3128">
        <w:rPr>
          <w:rStyle w:val="References"/>
        </w:rPr>
        <w:t>s</w:t>
      </w:r>
      <w:r w:rsidR="00231CB9">
        <w:rPr>
          <w:rStyle w:val="References"/>
        </w:rPr>
        <w:t xml:space="preserve"> 43-151(1)</w:t>
      </w:r>
      <w:r w:rsidR="00C841B7">
        <w:rPr>
          <w:rStyle w:val="References"/>
        </w:rPr>
        <w:t xml:space="preserve">, (2) and </w:t>
      </w:r>
      <w:r w:rsidR="00746918">
        <w:rPr>
          <w:rStyle w:val="References"/>
        </w:rPr>
        <w:t xml:space="preserve">section </w:t>
      </w:r>
      <w:r w:rsidR="00F471C5">
        <w:rPr>
          <w:rStyle w:val="References"/>
        </w:rPr>
        <w:t>43-152</w:t>
      </w:r>
      <w:r w:rsidR="001B73E0" w:rsidRPr="001B73E0">
        <w:rPr>
          <w:rStyle w:val="References"/>
        </w:rPr>
        <w:t xml:space="preserve"> of </w:t>
      </w:r>
      <w:r w:rsidR="00231CB9">
        <w:rPr>
          <w:rStyle w:val="References"/>
        </w:rPr>
        <w:t>the ITAA 1997</w:t>
      </w:r>
      <w:r w:rsidR="001B73E0" w:rsidRPr="001B73E0">
        <w:rPr>
          <w:rStyle w:val="References"/>
        </w:rPr>
        <w:t xml:space="preserve">] </w:t>
      </w:r>
    </w:p>
    <w:p w14:paraId="4676BBC4" w14:textId="454D522D" w:rsidR="006B1E56" w:rsidRDefault="00FD7D50" w:rsidP="006B1E56">
      <w:pPr>
        <w:pStyle w:val="Normalparatextwithnumbers"/>
      </w:pPr>
      <w:r>
        <w:t>A</w:t>
      </w:r>
      <w:r w:rsidR="00DF7B04">
        <w:t xml:space="preserve"> BTR </w:t>
      </w:r>
      <w:r w:rsidR="00DD3AF0">
        <w:t>development</w:t>
      </w:r>
      <w:r w:rsidR="00DF7B04">
        <w:t xml:space="preserve"> can </w:t>
      </w:r>
      <w:r>
        <w:t xml:space="preserve">also </w:t>
      </w:r>
      <w:r w:rsidR="00DF7B04">
        <w:t xml:space="preserve">consist of more than one building. For example, if there are two towers on one plot of land, and both are </w:t>
      </w:r>
      <w:r w:rsidR="0000155C">
        <w:t>BTR</w:t>
      </w:r>
      <w:r w:rsidR="00DF7B04">
        <w:t xml:space="preserve">, </w:t>
      </w:r>
      <w:r w:rsidR="00456744">
        <w:t xml:space="preserve">the two towers combined </w:t>
      </w:r>
      <w:r w:rsidR="00DF7B04">
        <w:t xml:space="preserve">would be considered a </w:t>
      </w:r>
      <w:r w:rsidR="00456744">
        <w:t xml:space="preserve">single </w:t>
      </w:r>
      <w:r w:rsidR="00DF7B04">
        <w:t xml:space="preserve">BTR </w:t>
      </w:r>
      <w:r w:rsidR="00DD3AF0">
        <w:t>development</w:t>
      </w:r>
      <w:r w:rsidR="00DF7B04">
        <w:t>.</w:t>
      </w:r>
      <w:r w:rsidR="006B1E56" w:rsidRPr="006B1E56">
        <w:t xml:space="preserve"> In this circumstance, eligibility for the </w:t>
      </w:r>
      <w:r w:rsidR="006B1E56">
        <w:t>tax concessions</w:t>
      </w:r>
      <w:r w:rsidR="006B1E56" w:rsidRPr="006B1E56">
        <w:t xml:space="preserve"> can be met if the structures meet the eligibility criteria in aggregate. In other words, one of the structures can more than meet the eligibility criteria and another can less than meet the eligibility criteria</w:t>
      </w:r>
      <w:r w:rsidR="00761AAD">
        <w:t>.</w:t>
      </w:r>
      <w:r w:rsidR="006B1E56" w:rsidRPr="006B1E56">
        <w:t xml:space="preserve"> </w:t>
      </w:r>
      <w:r w:rsidR="00761AAD">
        <w:t>S</w:t>
      </w:r>
      <w:r w:rsidR="005F2583">
        <w:t>o long as</w:t>
      </w:r>
      <w:r w:rsidR="006B1E56" w:rsidRPr="006B1E56">
        <w:t xml:space="preserve"> between the structures the eligibility criteria </w:t>
      </w:r>
      <w:r w:rsidR="00660291" w:rsidRPr="006B1E56">
        <w:t>are</w:t>
      </w:r>
      <w:r w:rsidR="006B1E56" w:rsidRPr="006B1E56">
        <w:t xml:space="preserve"> met, the BTR </w:t>
      </w:r>
      <w:r w:rsidR="00DD3AF0">
        <w:t>development</w:t>
      </w:r>
      <w:r w:rsidR="006B1E56" w:rsidRPr="006B1E56">
        <w:t xml:space="preserve"> is considered an </w:t>
      </w:r>
      <w:r w:rsidR="00E8171D">
        <w:t>active</w:t>
      </w:r>
      <w:r w:rsidR="006B1E56" w:rsidRPr="006B1E56">
        <w:t xml:space="preserve"> BTR </w:t>
      </w:r>
      <w:r w:rsidR="00DD3AF0">
        <w:t>development</w:t>
      </w:r>
      <w:r w:rsidR="006B1E56" w:rsidRPr="006B1E56">
        <w:t>.</w:t>
      </w:r>
      <w:r w:rsidR="00EA006C">
        <w:br/>
      </w:r>
      <w:r w:rsidR="00EA006C" w:rsidRPr="00EA006C">
        <w:rPr>
          <w:rStyle w:val="References"/>
        </w:rPr>
        <w:t xml:space="preserve">[Schedule </w:t>
      </w:r>
      <w:r w:rsidR="00EA006C">
        <w:rPr>
          <w:rStyle w:val="References"/>
        </w:rPr>
        <w:t>#</w:t>
      </w:r>
      <w:r w:rsidR="00EA006C" w:rsidRPr="00EA006C">
        <w:rPr>
          <w:rStyle w:val="References"/>
        </w:rPr>
        <w:t>, item</w:t>
      </w:r>
      <w:r w:rsidR="00EA006C">
        <w:rPr>
          <w:rStyle w:val="References"/>
        </w:rPr>
        <w:t xml:space="preserve"> 5</w:t>
      </w:r>
      <w:r w:rsidR="00EA006C" w:rsidRPr="00EA006C">
        <w:rPr>
          <w:rStyle w:val="References"/>
        </w:rPr>
        <w:t>,</w:t>
      </w:r>
      <w:r w:rsidR="00EA006C">
        <w:rPr>
          <w:rStyle w:val="References"/>
        </w:rPr>
        <w:t xml:space="preserve"> paragraph </w:t>
      </w:r>
      <w:r w:rsidR="00B5753A">
        <w:rPr>
          <w:rStyle w:val="References"/>
        </w:rPr>
        <w:t>43-152(8) of the ITAA 1997</w:t>
      </w:r>
      <w:r w:rsidR="00EA006C" w:rsidRPr="00EA006C">
        <w:rPr>
          <w:rStyle w:val="References"/>
        </w:rPr>
        <w:t xml:space="preserve">] </w:t>
      </w:r>
    </w:p>
    <w:p w14:paraId="5A220938" w14:textId="36C3CB9D" w:rsidR="00A93593" w:rsidRDefault="00DA7771">
      <w:pPr>
        <w:pStyle w:val="Normalparatextwithnumbers"/>
      </w:pPr>
      <w:r>
        <w:t>‘Dwelling’ has the same meaning as it has in section 118-115 of the ITAA</w:t>
      </w:r>
      <w:r w:rsidR="003445D7">
        <w:t> </w:t>
      </w:r>
      <w:r>
        <w:t>1997.</w:t>
      </w:r>
      <w:r w:rsidR="00A93593">
        <w:t xml:space="preserve"> At the time of circulation, this definition stated that a dwelling includes: </w:t>
      </w:r>
    </w:p>
    <w:p w14:paraId="157BB79F" w14:textId="240B21F2" w:rsidR="00A93593" w:rsidRDefault="00A93593" w:rsidP="00A93593">
      <w:pPr>
        <w:pStyle w:val="Dotpoint1"/>
      </w:pPr>
      <w:r>
        <w:t>a unit of accommodation that:</w:t>
      </w:r>
    </w:p>
    <w:p w14:paraId="22BF1785" w14:textId="03622371" w:rsidR="00A93593" w:rsidRDefault="00A93593" w:rsidP="00A93593">
      <w:pPr>
        <w:pStyle w:val="dotpoint2"/>
      </w:pPr>
      <w:r>
        <w:t>is a building or is contained in a building; and</w:t>
      </w:r>
    </w:p>
    <w:p w14:paraId="37BAD6DF" w14:textId="58F83450" w:rsidR="00A93593" w:rsidRDefault="00A93593" w:rsidP="00A93593">
      <w:pPr>
        <w:pStyle w:val="dotpoint2"/>
      </w:pPr>
      <w:r>
        <w:t>consists wholly or mainly of residential accommodation; and</w:t>
      </w:r>
    </w:p>
    <w:p w14:paraId="15D1F5E4" w14:textId="24895AD6" w:rsidR="00A93593" w:rsidRDefault="00A93593" w:rsidP="00A93593">
      <w:pPr>
        <w:pStyle w:val="Dotpoint1"/>
      </w:pPr>
      <w:r>
        <w:t>a unit of accommodation that is a caravan, houseboat</w:t>
      </w:r>
      <w:r w:rsidR="006D162A">
        <w:t>,</w:t>
      </w:r>
      <w:r>
        <w:t xml:space="preserve"> or other mobile home; and</w:t>
      </w:r>
    </w:p>
    <w:p w14:paraId="6DEDC69A" w14:textId="2DA0FA02" w:rsidR="00A93593" w:rsidRDefault="00A93593" w:rsidP="00A93593">
      <w:pPr>
        <w:pStyle w:val="Dotpoint1"/>
      </w:pPr>
      <w:r>
        <w:t>any land immediately under the unit of accommodation</w:t>
      </w:r>
      <w:r w:rsidR="00B119A4">
        <w:t>, however</w:t>
      </w:r>
      <w:r w:rsidR="00EF16C5">
        <w:t>,</w:t>
      </w:r>
      <w:r w:rsidR="00B119A4">
        <w:t xml:space="preserve"> does not include any land </w:t>
      </w:r>
      <w:r w:rsidR="006D162A">
        <w:t>adjacent to a building</w:t>
      </w:r>
      <w:r>
        <w:t>.</w:t>
      </w:r>
    </w:p>
    <w:p w14:paraId="4A77A731" w14:textId="793A348C" w:rsidR="00F42D3A" w:rsidRPr="00740DFF" w:rsidRDefault="00F42D3A" w:rsidP="004011D0">
      <w:pPr>
        <w:pStyle w:val="Normalparatextwithnumbers"/>
        <w:rPr>
          <w:rStyle w:val="References"/>
          <w:b w:val="0"/>
          <w:i w:val="0"/>
        </w:rPr>
      </w:pPr>
      <w:r w:rsidRPr="00F42D3A">
        <w:t>Some scenarios may arise during the 15</w:t>
      </w:r>
      <w:r w:rsidR="005C58BB">
        <w:t>-</w:t>
      </w:r>
      <w:r w:rsidRPr="00F42D3A">
        <w:t xml:space="preserve">year period where the BTR </w:t>
      </w:r>
      <w:r w:rsidR="00DD3AF0">
        <w:t>development</w:t>
      </w:r>
      <w:r w:rsidRPr="00F42D3A">
        <w:t xml:space="preserve"> is no longer meeting this eligibility requirement (i.e.</w:t>
      </w:r>
      <w:r w:rsidR="0089311B">
        <w:t>,</w:t>
      </w:r>
      <w:r w:rsidRPr="00F42D3A">
        <w:t xml:space="preserve"> less than 50</w:t>
      </w:r>
      <w:r w:rsidR="00EF6DFD">
        <w:t> </w:t>
      </w:r>
      <w:r w:rsidRPr="00F42D3A">
        <w:t xml:space="preserve">dwellings either rented or available for rent). For example, some apartments may require renovation or repairs </w:t>
      </w:r>
      <w:r w:rsidR="0089311B" w:rsidRPr="00F42D3A">
        <w:t>to</w:t>
      </w:r>
      <w:r w:rsidRPr="00F42D3A">
        <w:t xml:space="preserve"> be available for lease (e.g.</w:t>
      </w:r>
      <w:r w:rsidR="0089311B">
        <w:t>,</w:t>
      </w:r>
      <w:r w:rsidRPr="00F42D3A">
        <w:t xml:space="preserve"> fire damage to apartments).</w:t>
      </w:r>
      <w:r w:rsidR="00FE48F2">
        <w:t xml:space="preserve"> </w:t>
      </w:r>
      <w:r w:rsidR="00CC4896">
        <w:t xml:space="preserve">When </w:t>
      </w:r>
      <w:r w:rsidR="00FE48F2" w:rsidRPr="00FE48F2">
        <w:t xml:space="preserve">dwellings are temporarily not being used as rentals or made available for rent </w:t>
      </w:r>
      <w:r w:rsidR="00E77BAB" w:rsidRPr="00FE48F2">
        <w:t>because</w:t>
      </w:r>
      <w:r w:rsidR="00FE48F2" w:rsidRPr="00FE48F2">
        <w:t xml:space="preserve"> of the construction of an extension, </w:t>
      </w:r>
      <w:proofErr w:type="gramStart"/>
      <w:r w:rsidR="00FE48F2" w:rsidRPr="00FE48F2">
        <w:t>alteration</w:t>
      </w:r>
      <w:proofErr w:type="gramEnd"/>
      <w:r w:rsidR="00FE48F2" w:rsidRPr="00FE48F2">
        <w:t xml:space="preserve"> or improvement; or the making of repairs</w:t>
      </w:r>
      <w:r w:rsidR="00E23D14">
        <w:t xml:space="preserve">, these dwellings are deemed to be </w:t>
      </w:r>
      <w:r w:rsidR="00E23D14" w:rsidRPr="00E23D14">
        <w:t>continuing to be used as rentals or available for rent</w:t>
      </w:r>
      <w:r w:rsidR="00E23D14">
        <w:t>.</w:t>
      </w:r>
      <w:r w:rsidR="007B39D0">
        <w:br/>
      </w:r>
      <w:r w:rsidR="007B39D0" w:rsidRPr="007B39D0">
        <w:rPr>
          <w:rStyle w:val="References"/>
        </w:rPr>
        <w:t xml:space="preserve">[Schedule </w:t>
      </w:r>
      <w:r w:rsidR="007B39D0">
        <w:rPr>
          <w:rStyle w:val="References"/>
        </w:rPr>
        <w:t>#</w:t>
      </w:r>
      <w:r w:rsidR="007B39D0" w:rsidRPr="007B39D0">
        <w:rPr>
          <w:rStyle w:val="References"/>
        </w:rPr>
        <w:t>, item</w:t>
      </w:r>
      <w:r w:rsidR="007B39D0">
        <w:rPr>
          <w:rStyle w:val="References"/>
        </w:rPr>
        <w:t xml:space="preserve"> 5</w:t>
      </w:r>
      <w:r w:rsidR="007B39D0" w:rsidRPr="007B39D0">
        <w:rPr>
          <w:rStyle w:val="References"/>
        </w:rPr>
        <w:t xml:space="preserve">, </w:t>
      </w:r>
      <w:r w:rsidR="00DC79F2">
        <w:rPr>
          <w:rStyle w:val="References"/>
        </w:rPr>
        <w:t xml:space="preserve">subparagraph </w:t>
      </w:r>
      <w:r w:rsidR="00EA006C">
        <w:rPr>
          <w:rStyle w:val="References"/>
        </w:rPr>
        <w:t>43-152(3)(a)(iii) of the ITAA 1997</w:t>
      </w:r>
      <w:r w:rsidR="007B39D0" w:rsidRPr="007B39D0">
        <w:rPr>
          <w:rStyle w:val="References"/>
        </w:rPr>
        <w:t xml:space="preserve">] </w:t>
      </w:r>
    </w:p>
    <w:p w14:paraId="119A6DC8" w14:textId="633EB224" w:rsidR="00740DFF" w:rsidRPr="006B1E56" w:rsidRDefault="003010E3" w:rsidP="003010E3">
      <w:pPr>
        <w:pStyle w:val="Normalparatextwithnumbers"/>
      </w:pPr>
      <w:r>
        <w:t xml:space="preserve">If </w:t>
      </w:r>
      <w:r w:rsidR="00A93593">
        <w:t>new dwellings are</w:t>
      </w:r>
      <w:r w:rsidR="00512AE5">
        <w:t xml:space="preserve"> </w:t>
      </w:r>
      <w:r w:rsidR="00A70DE7">
        <w:t>added</w:t>
      </w:r>
      <w:r w:rsidR="00950750">
        <w:t xml:space="preserve"> to a building which </w:t>
      </w:r>
      <w:r w:rsidR="001C6DD9">
        <w:t xml:space="preserve">is </w:t>
      </w:r>
      <w:r w:rsidR="00950750">
        <w:t xml:space="preserve">an active BTR development, where the </w:t>
      </w:r>
      <w:r w:rsidR="00154D02">
        <w:t xml:space="preserve">combined </w:t>
      </w:r>
      <w:r w:rsidR="00950750">
        <w:t xml:space="preserve">BTR development </w:t>
      </w:r>
      <w:r w:rsidR="00D3554A">
        <w:t xml:space="preserve">satisfies the </w:t>
      </w:r>
      <w:r w:rsidR="00BE14FC">
        <w:t xml:space="preserve">requirements </w:t>
      </w:r>
      <w:r w:rsidR="00167C56">
        <w:t>for</w:t>
      </w:r>
      <w:r w:rsidR="00BE14FC">
        <w:t xml:space="preserve"> an active BTR development</w:t>
      </w:r>
      <w:r w:rsidR="00167C56">
        <w:t xml:space="preserve">, </w:t>
      </w:r>
      <w:r w:rsidR="00F84771">
        <w:t>the existing BTR development expands to comprise the dwellings of the existing development and the new dwellings.</w:t>
      </w:r>
      <w:r w:rsidR="000C7C8C">
        <w:t xml:space="preserve"> The </w:t>
      </w:r>
      <w:r w:rsidR="00BC086F">
        <w:t>15-</w:t>
      </w:r>
      <w:r w:rsidR="000C7C8C">
        <w:t xml:space="preserve">year compliance period starts afresh for these dwellings, but the existing BTR development dwellings are still subject to the original </w:t>
      </w:r>
      <w:r w:rsidR="0089311B">
        <w:t>15-year</w:t>
      </w:r>
      <w:r w:rsidR="000C7C8C">
        <w:t xml:space="preserve"> compliance period.</w:t>
      </w:r>
      <w:r w:rsidR="00F84771">
        <w:br/>
      </w:r>
      <w:r w:rsidR="00F84771" w:rsidRPr="00F84771">
        <w:rPr>
          <w:rStyle w:val="References"/>
        </w:rPr>
        <w:t xml:space="preserve">[Schedule </w:t>
      </w:r>
      <w:r w:rsidR="00B1505F">
        <w:rPr>
          <w:rStyle w:val="References"/>
        </w:rPr>
        <w:t>#</w:t>
      </w:r>
      <w:r w:rsidR="00F84771" w:rsidRPr="00F84771">
        <w:rPr>
          <w:rStyle w:val="References"/>
        </w:rPr>
        <w:t xml:space="preserve">, item </w:t>
      </w:r>
      <w:r w:rsidR="00B1505F">
        <w:rPr>
          <w:rStyle w:val="References"/>
        </w:rPr>
        <w:t>5</w:t>
      </w:r>
      <w:r w:rsidR="00F84771" w:rsidRPr="00F84771">
        <w:rPr>
          <w:rStyle w:val="References"/>
        </w:rPr>
        <w:t xml:space="preserve">, </w:t>
      </w:r>
      <w:r w:rsidR="0022200B">
        <w:rPr>
          <w:rStyle w:val="References"/>
        </w:rPr>
        <w:t>subsection 43-152(5) of the ITAA 1997</w:t>
      </w:r>
      <w:r w:rsidR="00F84771" w:rsidRPr="00F84771">
        <w:rPr>
          <w:rStyle w:val="References"/>
        </w:rPr>
        <w:t xml:space="preserve">] </w:t>
      </w:r>
    </w:p>
    <w:p w14:paraId="02FC2637" w14:textId="7BE14E02" w:rsidR="004A1DA4" w:rsidRDefault="009A48CF" w:rsidP="009A48CF">
      <w:pPr>
        <w:pStyle w:val="Heading5"/>
      </w:pPr>
      <w:r>
        <w:lastRenderedPageBreak/>
        <w:t xml:space="preserve">Single </w:t>
      </w:r>
      <w:r w:rsidR="009802A5">
        <w:t>entity</w:t>
      </w:r>
    </w:p>
    <w:p w14:paraId="356E4683" w14:textId="1D841DCB" w:rsidR="007574C1" w:rsidRPr="007574C1" w:rsidRDefault="007574C1" w:rsidP="007574C1">
      <w:pPr>
        <w:pStyle w:val="Normalparatextwithnumbers"/>
      </w:pPr>
      <w:r>
        <w:t>A</w:t>
      </w:r>
      <w:r w:rsidRPr="007574C1">
        <w:t xml:space="preserve">ll dwellings </w:t>
      </w:r>
      <w:r w:rsidR="00EC5624">
        <w:t xml:space="preserve">(and common areas for the dwellings) </w:t>
      </w:r>
      <w:r w:rsidRPr="007574C1">
        <w:t xml:space="preserve">in a BTR </w:t>
      </w:r>
      <w:r w:rsidR="00DD3AF0">
        <w:t>development</w:t>
      </w:r>
      <w:r w:rsidRPr="007574C1">
        <w:t xml:space="preserve"> must be owned by a single </w:t>
      </w:r>
      <w:r w:rsidR="004C35F9">
        <w:t>entity</w:t>
      </w:r>
      <w:r w:rsidR="00C818E5">
        <w:t>.</w:t>
      </w:r>
      <w:r w:rsidRPr="007574C1">
        <w:t xml:space="preserve"> </w:t>
      </w:r>
      <w:r w:rsidR="00890B26">
        <w:t>T</w:t>
      </w:r>
      <w:r w:rsidRPr="007574C1">
        <w:t xml:space="preserve">he entity may sell to a new owner </w:t>
      </w:r>
      <w:r w:rsidR="00890B26">
        <w:t>(</w:t>
      </w:r>
      <w:r w:rsidRPr="007574C1">
        <w:t>or group of owners</w:t>
      </w:r>
      <w:r w:rsidR="00890B26">
        <w:t xml:space="preserve"> that invest via a single entity)</w:t>
      </w:r>
      <w:r w:rsidRPr="007574C1">
        <w:t xml:space="preserve"> and </w:t>
      </w:r>
      <w:r w:rsidR="009C4217">
        <w:t xml:space="preserve">the </w:t>
      </w:r>
      <w:r w:rsidR="00D33BAC">
        <w:t xml:space="preserve">development would </w:t>
      </w:r>
      <w:r w:rsidRPr="007574C1">
        <w:t xml:space="preserve">still satisfy the single </w:t>
      </w:r>
      <w:r w:rsidR="00D96C3D">
        <w:t>entity</w:t>
      </w:r>
      <w:r w:rsidR="00D96C3D" w:rsidRPr="007574C1">
        <w:t xml:space="preserve"> </w:t>
      </w:r>
      <w:r w:rsidRPr="007574C1">
        <w:t xml:space="preserve">requirement so long as </w:t>
      </w:r>
      <w:r w:rsidR="00631F04">
        <w:t xml:space="preserve">the </w:t>
      </w:r>
      <w:r w:rsidR="00631F04" w:rsidRPr="007574C1">
        <w:t xml:space="preserve">dwellings </w:t>
      </w:r>
      <w:r w:rsidR="00631F04">
        <w:t xml:space="preserve">(and common areas for the dwellings) in </w:t>
      </w:r>
      <w:r w:rsidR="00890B26">
        <w:t xml:space="preserve">the BTR </w:t>
      </w:r>
      <w:r w:rsidR="00DD3AF0">
        <w:t>development</w:t>
      </w:r>
      <w:r w:rsidR="00CD7194">
        <w:t xml:space="preserve"> continue to be owned as a whole</w:t>
      </w:r>
      <w:r w:rsidR="004377D5">
        <w:t xml:space="preserve"> by a single entity</w:t>
      </w:r>
      <w:r w:rsidR="00CD7194">
        <w:t>.</w:t>
      </w:r>
      <w:r w:rsidR="00FB139D">
        <w:br/>
      </w:r>
      <w:r w:rsidR="00FB139D" w:rsidRPr="00F84771">
        <w:rPr>
          <w:rStyle w:val="References"/>
        </w:rPr>
        <w:t xml:space="preserve">[Schedule </w:t>
      </w:r>
      <w:r w:rsidR="00FB139D">
        <w:rPr>
          <w:rStyle w:val="References"/>
        </w:rPr>
        <w:t>#</w:t>
      </w:r>
      <w:r w:rsidR="00FB139D" w:rsidRPr="00F84771">
        <w:rPr>
          <w:rStyle w:val="References"/>
        </w:rPr>
        <w:t xml:space="preserve">, item </w:t>
      </w:r>
      <w:r w:rsidR="00FB139D">
        <w:rPr>
          <w:rStyle w:val="References"/>
        </w:rPr>
        <w:t>5</w:t>
      </w:r>
      <w:r w:rsidR="00FB139D" w:rsidRPr="00F84771">
        <w:rPr>
          <w:rStyle w:val="References"/>
        </w:rPr>
        <w:t xml:space="preserve">, </w:t>
      </w:r>
      <w:r w:rsidR="00843DF0">
        <w:rPr>
          <w:rStyle w:val="References"/>
        </w:rPr>
        <w:t>paragraph</w:t>
      </w:r>
      <w:r w:rsidR="00FB139D">
        <w:rPr>
          <w:rStyle w:val="References"/>
        </w:rPr>
        <w:t xml:space="preserve"> 43-152(3)(c) of the ITAA 1997</w:t>
      </w:r>
      <w:r w:rsidR="00FB139D" w:rsidRPr="00F84771">
        <w:rPr>
          <w:rStyle w:val="References"/>
        </w:rPr>
        <w:t>]</w:t>
      </w:r>
    </w:p>
    <w:p w14:paraId="71C8BF29" w14:textId="2A35AE7A" w:rsidR="00E1792D" w:rsidRDefault="00B7773F" w:rsidP="00AB22C4">
      <w:pPr>
        <w:pStyle w:val="Normalparatextwithnumbers"/>
      </w:pPr>
      <w:r>
        <w:t>I</w:t>
      </w:r>
      <w:r w:rsidR="00532C02">
        <w:t xml:space="preserve">f the </w:t>
      </w:r>
      <w:r w:rsidR="00E7364F">
        <w:t>original entity sell</w:t>
      </w:r>
      <w:r w:rsidR="000F5646">
        <w:t>s</w:t>
      </w:r>
      <w:r w:rsidR="00E7364F">
        <w:t xml:space="preserve"> the entire BTR </w:t>
      </w:r>
      <w:r w:rsidR="00DD3AF0">
        <w:t>development</w:t>
      </w:r>
      <w:r w:rsidR="00C717D8">
        <w:t xml:space="preserve"> to another entity during the 15-year period</w:t>
      </w:r>
      <w:r w:rsidR="001B69A0">
        <w:t>,</w:t>
      </w:r>
      <w:r w:rsidR="00A7724B">
        <w:t xml:space="preserve"> a</w:t>
      </w:r>
      <w:r w:rsidR="0055624F">
        <w:t xml:space="preserve">ll dwellings in the BTR </w:t>
      </w:r>
      <w:r w:rsidR="00DD3AF0">
        <w:t>development</w:t>
      </w:r>
      <w:r w:rsidR="0055624F">
        <w:t xml:space="preserve"> (and common areas that are part of the BTR </w:t>
      </w:r>
      <w:r w:rsidR="00DD3AF0">
        <w:t>development</w:t>
      </w:r>
      <w:r w:rsidR="0055624F">
        <w:t>) must continue to be owned by a single entity for the balance of the 15 years. This</w:t>
      </w:r>
      <w:r w:rsidR="0055624F" w:rsidDel="00D23EB0">
        <w:t xml:space="preserve"> </w:t>
      </w:r>
      <w:r w:rsidR="0055624F">
        <w:t xml:space="preserve">requirement ensures that the owner has control over the BTR </w:t>
      </w:r>
      <w:r w:rsidR="00DD3AF0">
        <w:t>development</w:t>
      </w:r>
      <w:r w:rsidR="0055624F">
        <w:t xml:space="preserve"> </w:t>
      </w:r>
      <w:r w:rsidR="004654DE">
        <w:t xml:space="preserve">and is responsible for </w:t>
      </w:r>
      <w:r w:rsidR="0055624F">
        <w:t>maintaining its eligibility for the MIT withholding tax concession</w:t>
      </w:r>
      <w:r w:rsidR="00FA56C4">
        <w:t xml:space="preserve"> and the accelerated </w:t>
      </w:r>
      <w:r w:rsidR="00D23EB0">
        <w:t xml:space="preserve">capital works </w:t>
      </w:r>
      <w:r w:rsidR="00D84FE0">
        <w:t>deduction</w:t>
      </w:r>
      <w:r w:rsidR="0055624F">
        <w:t>.</w:t>
      </w:r>
    </w:p>
    <w:p w14:paraId="679B439D" w14:textId="3F069798" w:rsidR="003925DB" w:rsidRDefault="003925DB" w:rsidP="003925DB">
      <w:pPr>
        <w:pStyle w:val="Normalparatextwithnumbers"/>
      </w:pPr>
      <w:r>
        <w:t xml:space="preserve">The 15-year period commences when all dwellings under the BTR </w:t>
      </w:r>
      <w:r w:rsidR="00DD3AF0">
        <w:t>development</w:t>
      </w:r>
      <w:r>
        <w:t xml:space="preserve"> are first made available for rent. The 15-year period does not reset if the BTR </w:t>
      </w:r>
      <w:r w:rsidR="00DD3AF0">
        <w:t>development</w:t>
      </w:r>
      <w:r>
        <w:t xml:space="preserve"> is sold by an entity to another entity.</w:t>
      </w:r>
    </w:p>
    <w:p w14:paraId="5CCDAB6F" w14:textId="16CA23CF" w:rsidR="005E1B29" w:rsidRDefault="00C26DF5" w:rsidP="00C26DF5">
      <w:pPr>
        <w:pStyle w:val="Heading5"/>
      </w:pPr>
      <w:r>
        <w:t>Minimum lease period</w:t>
      </w:r>
    </w:p>
    <w:p w14:paraId="176AEC0E" w14:textId="5D48CA1D" w:rsidR="000806BF" w:rsidRDefault="00A93593" w:rsidP="00C26DF5">
      <w:pPr>
        <w:pStyle w:val="Normalparatextwithnumbers"/>
      </w:pPr>
      <w:r>
        <w:t>Dwellings</w:t>
      </w:r>
      <w:r w:rsidR="00A674F5">
        <w:t xml:space="preserve"> in </w:t>
      </w:r>
      <w:r w:rsidR="00351740">
        <w:t xml:space="preserve">a </w:t>
      </w:r>
      <w:r w:rsidR="00A674F5">
        <w:t xml:space="preserve">BTR </w:t>
      </w:r>
      <w:r w:rsidR="00DD3AF0">
        <w:t>development</w:t>
      </w:r>
      <w:r w:rsidR="00A674F5">
        <w:t xml:space="preserve"> must be </w:t>
      </w:r>
      <w:r w:rsidR="008C72F9">
        <w:t xml:space="preserve">either made available to the public to be tenanted </w:t>
      </w:r>
      <w:r w:rsidR="006F04D3">
        <w:t>for a lease term of at least 3 year</w:t>
      </w:r>
      <w:r w:rsidR="00F22648">
        <w:t xml:space="preserve">s </w:t>
      </w:r>
      <w:r w:rsidR="004E1B8F">
        <w:t>or</w:t>
      </w:r>
      <w:r w:rsidR="005371C2">
        <w:t xml:space="preserve"> tenanted </w:t>
      </w:r>
      <w:r w:rsidR="00576822">
        <w:t xml:space="preserve">to tenants </w:t>
      </w:r>
      <w:r w:rsidR="00A674F5">
        <w:t>for lease terms of at least 3 years</w:t>
      </w:r>
      <w:r w:rsidR="00A674F5" w:rsidDel="001D6CDA">
        <w:t xml:space="preserve"> </w:t>
      </w:r>
      <w:r w:rsidR="00A674F5">
        <w:t>throughout the 15-year period.</w:t>
      </w:r>
      <w:r w:rsidR="00940481">
        <w:t xml:space="preserve"> </w:t>
      </w:r>
      <w:r w:rsidR="00605BAB">
        <w:br/>
      </w:r>
      <w:r w:rsidR="00605BAB" w:rsidRPr="00BF7742">
        <w:rPr>
          <w:rStyle w:val="References"/>
        </w:rPr>
        <w:t>[</w:t>
      </w:r>
      <w:r w:rsidR="00605BAB" w:rsidRPr="005D57DC">
        <w:rPr>
          <w:rStyle w:val="References"/>
        </w:rPr>
        <w:t xml:space="preserve">Schedule </w:t>
      </w:r>
      <w:r w:rsidR="00954031">
        <w:rPr>
          <w:rStyle w:val="References"/>
        </w:rPr>
        <w:t>#</w:t>
      </w:r>
      <w:r w:rsidR="00954031" w:rsidRPr="005D57DC">
        <w:rPr>
          <w:rStyle w:val="References"/>
        </w:rPr>
        <w:t>, item</w:t>
      </w:r>
      <w:r w:rsidR="00954031">
        <w:rPr>
          <w:rStyle w:val="References"/>
        </w:rPr>
        <w:t xml:space="preserve"> 5</w:t>
      </w:r>
      <w:r w:rsidR="00954031" w:rsidRPr="005D57DC">
        <w:rPr>
          <w:rStyle w:val="References"/>
        </w:rPr>
        <w:t xml:space="preserve">, </w:t>
      </w:r>
      <w:r w:rsidR="00954031">
        <w:rPr>
          <w:rStyle w:val="References"/>
        </w:rPr>
        <w:t>paragraph 23-152(3)(a) of the ITAA 1997</w:t>
      </w:r>
      <w:r w:rsidR="00605BAB" w:rsidRPr="00BF7742">
        <w:t xml:space="preserve">] </w:t>
      </w:r>
    </w:p>
    <w:p w14:paraId="28C1F6C3" w14:textId="7FE4FA13" w:rsidR="00C26DF5" w:rsidRDefault="00940481" w:rsidP="00C26DF5">
      <w:pPr>
        <w:pStyle w:val="Normalparatextwithnumbers"/>
      </w:pPr>
      <w:r>
        <w:t>Th</w:t>
      </w:r>
      <w:r w:rsidR="00284EE6">
        <w:t>is requirement</w:t>
      </w:r>
      <w:r>
        <w:t xml:space="preserve"> does not apply where a tenant requests a shorter lease term</w:t>
      </w:r>
      <w:r w:rsidR="00284EE6">
        <w:t xml:space="preserve"> (a tenanted dwelling in this circumstance </w:t>
      </w:r>
      <w:r w:rsidR="00B063BA">
        <w:t xml:space="preserve">remains a </w:t>
      </w:r>
      <w:r w:rsidR="00D11AB4">
        <w:t>dwelling in a BTR development</w:t>
      </w:r>
      <w:r w:rsidR="00284EE6">
        <w:t>)</w:t>
      </w:r>
      <w:r w:rsidR="00DA4CB9">
        <w:t xml:space="preserve"> o</w:t>
      </w:r>
      <w:r w:rsidR="001D5026">
        <w:t>r where</w:t>
      </w:r>
      <w:r w:rsidR="00356332">
        <w:t xml:space="preserve"> </w:t>
      </w:r>
      <w:r w:rsidR="00B5136F">
        <w:t>the dwelling</w:t>
      </w:r>
      <w:r w:rsidR="00E52D05">
        <w:t xml:space="preserve"> </w:t>
      </w:r>
      <w:r w:rsidR="00DB1639">
        <w:t xml:space="preserve">is </w:t>
      </w:r>
      <w:r w:rsidR="00391B6B">
        <w:t xml:space="preserve">temporarily </w:t>
      </w:r>
      <w:r w:rsidR="00DA1C1B">
        <w:t>not</w:t>
      </w:r>
      <w:r w:rsidR="00E52D05">
        <w:t xml:space="preserve"> available</w:t>
      </w:r>
      <w:r w:rsidR="00DA1C1B">
        <w:t xml:space="preserve"> to be tenanted</w:t>
      </w:r>
      <w:r w:rsidR="00E52D05">
        <w:t xml:space="preserve"> to tenants for lease terms of at least 3 year</w:t>
      </w:r>
      <w:r w:rsidR="00391B6B">
        <w:t xml:space="preserve">s as a result of </w:t>
      </w:r>
      <w:r w:rsidR="00E7411D">
        <w:t xml:space="preserve">repairs, </w:t>
      </w:r>
      <w:r w:rsidR="00391B6B">
        <w:t xml:space="preserve">construction of an extension, alteration or improvement </w:t>
      </w:r>
      <w:r w:rsidR="00BE2CAF">
        <w:t xml:space="preserve">to the dwelling or </w:t>
      </w:r>
      <w:r w:rsidR="00CC2B0C">
        <w:t xml:space="preserve">the </w:t>
      </w:r>
      <w:r w:rsidR="00BE2CAF">
        <w:t>building</w:t>
      </w:r>
      <w:r w:rsidR="001A5C37">
        <w:t xml:space="preserve"> (in which the dwelling is located)</w:t>
      </w:r>
      <w:r>
        <w:t xml:space="preserve">. </w:t>
      </w:r>
      <w:r w:rsidR="00CC2B0C">
        <w:t xml:space="preserve">For example, if repairs </w:t>
      </w:r>
      <w:r w:rsidR="007F3617">
        <w:t>are</w:t>
      </w:r>
      <w:r w:rsidR="00CC2B0C">
        <w:t xml:space="preserve"> being made to a dwelling with fire or water damage.</w:t>
      </w:r>
      <w:r w:rsidR="005D57DC">
        <w:br/>
      </w:r>
      <w:r w:rsidR="005D57DC" w:rsidRPr="005D57DC">
        <w:rPr>
          <w:rStyle w:val="References"/>
        </w:rPr>
        <w:t xml:space="preserve">[Schedule </w:t>
      </w:r>
      <w:r w:rsidR="005D57DC">
        <w:rPr>
          <w:rStyle w:val="References"/>
        </w:rPr>
        <w:t>#</w:t>
      </w:r>
      <w:r w:rsidR="005D57DC" w:rsidRPr="005D57DC">
        <w:rPr>
          <w:rStyle w:val="References"/>
        </w:rPr>
        <w:t>, item</w:t>
      </w:r>
      <w:r w:rsidR="005D57DC">
        <w:rPr>
          <w:rStyle w:val="References"/>
        </w:rPr>
        <w:t xml:space="preserve"> 5</w:t>
      </w:r>
      <w:r w:rsidR="005D57DC" w:rsidRPr="005D57DC">
        <w:rPr>
          <w:rStyle w:val="References"/>
        </w:rPr>
        <w:t xml:space="preserve">, </w:t>
      </w:r>
      <w:r w:rsidR="00954031">
        <w:rPr>
          <w:rStyle w:val="References"/>
        </w:rPr>
        <w:t>sub</w:t>
      </w:r>
      <w:r w:rsidR="00185DE6">
        <w:rPr>
          <w:rStyle w:val="References"/>
        </w:rPr>
        <w:t xml:space="preserve">paragraph </w:t>
      </w:r>
      <w:r w:rsidR="004E3380">
        <w:rPr>
          <w:rStyle w:val="References"/>
        </w:rPr>
        <w:t>23-152(3)(a)</w:t>
      </w:r>
      <w:r w:rsidR="00605BAB">
        <w:rPr>
          <w:rStyle w:val="References"/>
        </w:rPr>
        <w:t>(iii</w:t>
      </w:r>
      <w:r w:rsidR="004E3380">
        <w:rPr>
          <w:rStyle w:val="References"/>
        </w:rPr>
        <w:t xml:space="preserve">) </w:t>
      </w:r>
      <w:r w:rsidR="00062405">
        <w:rPr>
          <w:rStyle w:val="References"/>
        </w:rPr>
        <w:t xml:space="preserve">and note to </w:t>
      </w:r>
      <w:r w:rsidR="00570D58">
        <w:rPr>
          <w:rStyle w:val="References"/>
        </w:rPr>
        <w:t>subsection 23</w:t>
      </w:r>
      <w:r w:rsidR="00954031">
        <w:rPr>
          <w:rStyle w:val="References"/>
        </w:rPr>
        <w:noBreakHyphen/>
        <w:t>152(3)</w:t>
      </w:r>
      <w:r w:rsidR="004E3380">
        <w:rPr>
          <w:rStyle w:val="References"/>
        </w:rPr>
        <w:t xml:space="preserve"> of the ITAA 1997</w:t>
      </w:r>
      <w:r w:rsidR="005D57DC" w:rsidRPr="005D57DC">
        <w:rPr>
          <w:rStyle w:val="References"/>
        </w:rPr>
        <w:t xml:space="preserve">] </w:t>
      </w:r>
    </w:p>
    <w:p w14:paraId="43469A33" w14:textId="4D4D269D" w:rsidR="00005039" w:rsidRDefault="00C46DB6" w:rsidP="00005039">
      <w:pPr>
        <w:pStyle w:val="Heading5"/>
      </w:pPr>
      <w:r>
        <w:t>Dwelling type</w:t>
      </w:r>
    </w:p>
    <w:p w14:paraId="41E6BCA7" w14:textId="77777777" w:rsidR="008160F1" w:rsidRDefault="00C46DB6" w:rsidP="00005039">
      <w:pPr>
        <w:pStyle w:val="Normalparatextwithnumbers"/>
      </w:pPr>
      <w:proofErr w:type="gramStart"/>
      <w:r>
        <w:t>All of</w:t>
      </w:r>
      <w:proofErr w:type="gramEnd"/>
      <w:r>
        <w:t xml:space="preserve"> the dwellings in</w:t>
      </w:r>
      <w:r w:rsidR="00E9361B">
        <w:t xml:space="preserve"> a BTR development</w:t>
      </w:r>
      <w:r w:rsidR="00010B3A">
        <w:t xml:space="preserve"> must be</w:t>
      </w:r>
      <w:r w:rsidR="00E9361B">
        <w:t>:</w:t>
      </w:r>
    </w:p>
    <w:p w14:paraId="3FDE912D" w14:textId="597383C7" w:rsidR="008A60FE" w:rsidRDefault="00580231" w:rsidP="008A60FE">
      <w:pPr>
        <w:pStyle w:val="Dotpoint1"/>
      </w:pPr>
      <w:r>
        <w:t>residential premises</w:t>
      </w:r>
      <w:r w:rsidR="00AE3276">
        <w:t xml:space="preserve"> (as defined in</w:t>
      </w:r>
      <w:r w:rsidR="00126AF7">
        <w:t xml:space="preserve"> section 995-1 of the ITAA97</w:t>
      </w:r>
      <w:r w:rsidR="00AE3276">
        <w:t>)</w:t>
      </w:r>
      <w:r w:rsidR="0044183C">
        <w:t>; and</w:t>
      </w:r>
    </w:p>
    <w:p w14:paraId="0239DCF5" w14:textId="73A4A46F" w:rsidR="0044183C" w:rsidRDefault="0044183C" w:rsidP="008A60FE">
      <w:pPr>
        <w:pStyle w:val="Dotpoint1"/>
      </w:pPr>
      <w:r>
        <w:t>taxable Australian real property</w:t>
      </w:r>
      <w:r w:rsidR="005511AE">
        <w:t xml:space="preserve"> (as defined in section 855-20 of the ITAA97)</w:t>
      </w:r>
      <w:r w:rsidR="00E34E80">
        <w:t>; and</w:t>
      </w:r>
    </w:p>
    <w:p w14:paraId="0FAD4DDE" w14:textId="66A815B7" w:rsidR="00D032B5" w:rsidRDefault="00D032B5" w:rsidP="00E01063">
      <w:pPr>
        <w:pStyle w:val="Dotpoint1"/>
      </w:pPr>
      <w:r>
        <w:lastRenderedPageBreak/>
        <w:t>not commercial residential premises</w:t>
      </w:r>
      <w:r w:rsidR="004F2CA6">
        <w:t xml:space="preserve"> (with commercial residential premises defined in section 995-1 of the ITAA97)</w:t>
      </w:r>
      <w:r>
        <w:t>.</w:t>
      </w:r>
    </w:p>
    <w:p w14:paraId="069664AE" w14:textId="3EBCBF05" w:rsidR="00005039" w:rsidRDefault="00F954CC" w:rsidP="00005039">
      <w:pPr>
        <w:pStyle w:val="Normalparatextwithnumbers"/>
      </w:pPr>
      <w:r>
        <w:t>To avoid doubt,</w:t>
      </w:r>
      <w:r w:rsidR="00A02F2B">
        <w:t xml:space="preserve"> dwellings in a BTR development cannot be</w:t>
      </w:r>
      <w:r w:rsidR="00006617">
        <w:t xml:space="preserve"> commercial residential premises. Examples of commercial residential premises include hostels, boarding houses, hotels</w:t>
      </w:r>
      <w:r w:rsidR="00F7684F">
        <w:t>, motels</w:t>
      </w:r>
      <w:r w:rsidR="006074F9">
        <w:t>,</w:t>
      </w:r>
      <w:r w:rsidR="00F7684F">
        <w:t xml:space="preserve"> and inns.</w:t>
      </w:r>
      <w:r w:rsidR="00E9361B">
        <w:t xml:space="preserve"> </w:t>
      </w:r>
      <w:r w:rsidR="00005039">
        <w:t xml:space="preserve"> </w:t>
      </w:r>
      <w:r w:rsidR="00005039">
        <w:br/>
      </w:r>
      <w:r w:rsidR="00005039" w:rsidRPr="005D57DC">
        <w:rPr>
          <w:rStyle w:val="References"/>
        </w:rPr>
        <w:t xml:space="preserve">[Schedule </w:t>
      </w:r>
      <w:r w:rsidR="00005039">
        <w:rPr>
          <w:rStyle w:val="References"/>
        </w:rPr>
        <w:t>#</w:t>
      </w:r>
      <w:r w:rsidR="00005039" w:rsidRPr="005D57DC">
        <w:rPr>
          <w:rStyle w:val="References"/>
        </w:rPr>
        <w:t>, item</w:t>
      </w:r>
      <w:r w:rsidR="00005039">
        <w:rPr>
          <w:rStyle w:val="References"/>
        </w:rPr>
        <w:t xml:space="preserve"> 5</w:t>
      </w:r>
      <w:r w:rsidR="00005039" w:rsidRPr="005D57DC">
        <w:rPr>
          <w:rStyle w:val="References"/>
        </w:rPr>
        <w:t xml:space="preserve">, </w:t>
      </w:r>
      <w:r w:rsidR="00005039">
        <w:rPr>
          <w:rStyle w:val="References"/>
        </w:rPr>
        <w:t>paragraph 23-152(3)(</w:t>
      </w:r>
      <w:r w:rsidR="007D5C7D">
        <w:rPr>
          <w:rStyle w:val="References"/>
        </w:rPr>
        <w:t>b</w:t>
      </w:r>
      <w:r w:rsidR="00005039">
        <w:rPr>
          <w:rStyle w:val="References"/>
        </w:rPr>
        <w:t>) of the ITAA 1997</w:t>
      </w:r>
      <w:r w:rsidR="00005039" w:rsidRPr="005D57DC">
        <w:rPr>
          <w:rStyle w:val="References"/>
        </w:rPr>
        <w:t xml:space="preserve">] </w:t>
      </w:r>
    </w:p>
    <w:p w14:paraId="75F7EA6C" w14:textId="0113FEB4" w:rsidR="00A674F5" w:rsidRDefault="00940481" w:rsidP="00940481">
      <w:pPr>
        <w:pStyle w:val="Heading5"/>
      </w:pPr>
      <w:r>
        <w:t xml:space="preserve">Minimum affordable </w:t>
      </w:r>
      <w:r w:rsidR="00825C5B">
        <w:t>dwellings</w:t>
      </w:r>
    </w:p>
    <w:p w14:paraId="2D6D80D2" w14:textId="375D94A8" w:rsidR="00940481" w:rsidRDefault="003B7974" w:rsidP="00940481">
      <w:pPr>
        <w:pStyle w:val="Normalparatextwithnumbers"/>
      </w:pPr>
      <w:bookmarkStart w:id="71" w:name="_Ref162449355"/>
      <w:r>
        <w:t>A</w:t>
      </w:r>
      <w:r w:rsidRPr="003B7974">
        <w:t xml:space="preserve">t least 10 per cent of the dwellings in </w:t>
      </w:r>
      <w:r w:rsidR="00AE10C7">
        <w:t>a</w:t>
      </w:r>
      <w:r w:rsidR="00AE10C7" w:rsidRPr="003B7974">
        <w:t xml:space="preserve"> </w:t>
      </w:r>
      <w:r w:rsidR="00DD59BC">
        <w:t>BTR</w:t>
      </w:r>
      <w:r w:rsidR="00AF60D5">
        <w:t xml:space="preserve"> </w:t>
      </w:r>
      <w:r w:rsidR="00DD3AF0">
        <w:t>development</w:t>
      </w:r>
      <w:r w:rsidRPr="003B7974">
        <w:t xml:space="preserve"> must be offered as affordable </w:t>
      </w:r>
      <w:r w:rsidR="00C5773E">
        <w:t>dwellings</w:t>
      </w:r>
      <w:r w:rsidRPr="003B7974">
        <w:t xml:space="preserve"> throughout the 15-year period</w:t>
      </w:r>
      <w:r>
        <w:t>.</w:t>
      </w:r>
      <w:r w:rsidR="00231CB9">
        <w:br/>
      </w:r>
      <w:r w:rsidR="00231CB9" w:rsidRPr="00231CB9">
        <w:rPr>
          <w:rStyle w:val="References"/>
        </w:rPr>
        <w:t xml:space="preserve">[Schedule </w:t>
      </w:r>
      <w:r w:rsidR="0001292C">
        <w:rPr>
          <w:rStyle w:val="References"/>
        </w:rPr>
        <w:t>#</w:t>
      </w:r>
      <w:r w:rsidR="00231CB9" w:rsidRPr="00231CB9">
        <w:rPr>
          <w:rStyle w:val="References"/>
        </w:rPr>
        <w:t>, item</w:t>
      </w:r>
      <w:r w:rsidR="0001292C">
        <w:rPr>
          <w:rStyle w:val="References"/>
        </w:rPr>
        <w:t xml:space="preserve"> 5</w:t>
      </w:r>
      <w:r w:rsidR="00231CB9" w:rsidRPr="00231CB9">
        <w:rPr>
          <w:rStyle w:val="References"/>
        </w:rPr>
        <w:t xml:space="preserve">, </w:t>
      </w:r>
      <w:r w:rsidR="008B33D7">
        <w:rPr>
          <w:rStyle w:val="References"/>
        </w:rPr>
        <w:t xml:space="preserve">paragraph </w:t>
      </w:r>
      <w:r w:rsidR="0001292C">
        <w:rPr>
          <w:rStyle w:val="References"/>
        </w:rPr>
        <w:t>43-152</w:t>
      </w:r>
      <w:r w:rsidR="008B33D7">
        <w:rPr>
          <w:rStyle w:val="References"/>
        </w:rPr>
        <w:t>(3)(d) of the ITAA 1997</w:t>
      </w:r>
      <w:r w:rsidR="00231CB9" w:rsidRPr="00231CB9">
        <w:rPr>
          <w:rStyle w:val="References"/>
        </w:rPr>
        <w:t>]</w:t>
      </w:r>
      <w:bookmarkEnd w:id="71"/>
      <w:r w:rsidR="00231CB9" w:rsidRPr="00231CB9">
        <w:rPr>
          <w:rStyle w:val="References"/>
        </w:rPr>
        <w:t xml:space="preserve"> </w:t>
      </w:r>
    </w:p>
    <w:p w14:paraId="25813B7C" w14:textId="749AFC4E" w:rsidR="00A0058E" w:rsidRPr="00A0058E" w:rsidRDefault="00A93593" w:rsidP="00A0058E">
      <w:pPr>
        <w:pStyle w:val="Normalparatextwithnumbers"/>
      </w:pPr>
      <w:r>
        <w:t>Dwellings</w:t>
      </w:r>
      <w:r w:rsidR="00A0058E" w:rsidRPr="00A0058E">
        <w:t xml:space="preserve"> will be considered affordable </w:t>
      </w:r>
      <w:r w:rsidR="00C106D2">
        <w:t>dwellings</w:t>
      </w:r>
      <w:r w:rsidR="00A0058E" w:rsidRPr="00A0058E">
        <w:t xml:space="preserve"> if the </w:t>
      </w:r>
      <w:r w:rsidR="00F02787">
        <w:t xml:space="preserve">dwellings </w:t>
      </w:r>
      <w:r w:rsidR="00A0058E" w:rsidRPr="00A0058E">
        <w:t xml:space="preserve">are made available for rent, </w:t>
      </w:r>
      <w:r w:rsidR="001D0965">
        <w:t>or</w:t>
      </w:r>
      <w:r w:rsidR="001D0965" w:rsidRPr="00A0058E">
        <w:t xml:space="preserve"> </w:t>
      </w:r>
      <w:r w:rsidR="00A0058E" w:rsidRPr="00A0058E">
        <w:t xml:space="preserve">rented, at </w:t>
      </w:r>
      <w:r w:rsidR="0089311B">
        <w:t xml:space="preserve">74.9 per cent or </w:t>
      </w:r>
      <w:r w:rsidR="008B33D7">
        <w:t>less</w:t>
      </w:r>
      <w:r w:rsidR="00A0058E" w:rsidRPr="00A0058E">
        <w:t xml:space="preserve"> of comparable market rents</w:t>
      </w:r>
      <w:r w:rsidR="00A0058E" w:rsidRPr="00A0058E" w:rsidDel="00052BCE">
        <w:t xml:space="preserve"> </w:t>
      </w:r>
      <w:r w:rsidR="00BD7762">
        <w:t xml:space="preserve">and any requirements </w:t>
      </w:r>
      <w:r w:rsidR="003D39E6">
        <w:t>determined by the Minister</w:t>
      </w:r>
      <w:r w:rsidR="00D634BE">
        <w:t xml:space="preserve"> by legislative instrument are met</w:t>
      </w:r>
      <w:r w:rsidR="00A0058E" w:rsidRPr="00A0058E">
        <w:t>.</w:t>
      </w:r>
      <w:r w:rsidR="008B33D7">
        <w:br/>
      </w:r>
      <w:r w:rsidR="008B33D7" w:rsidRPr="008B33D7">
        <w:rPr>
          <w:rStyle w:val="References"/>
        </w:rPr>
        <w:t>[</w:t>
      </w:r>
      <w:r w:rsidR="008B33D7" w:rsidRPr="00231CB9">
        <w:rPr>
          <w:rStyle w:val="References"/>
        </w:rPr>
        <w:t xml:space="preserve">Schedule </w:t>
      </w:r>
      <w:r w:rsidR="008B33D7">
        <w:rPr>
          <w:rStyle w:val="References"/>
        </w:rPr>
        <w:t>#</w:t>
      </w:r>
      <w:r w:rsidR="008B33D7" w:rsidRPr="00231CB9">
        <w:rPr>
          <w:rStyle w:val="References"/>
        </w:rPr>
        <w:t>, item</w:t>
      </w:r>
      <w:r w:rsidR="008B33D7">
        <w:rPr>
          <w:rStyle w:val="References"/>
        </w:rPr>
        <w:t xml:space="preserve"> 5</w:t>
      </w:r>
      <w:r w:rsidR="008B33D7" w:rsidRPr="00231CB9">
        <w:rPr>
          <w:rStyle w:val="References"/>
        </w:rPr>
        <w:t xml:space="preserve">, </w:t>
      </w:r>
      <w:r w:rsidR="008B33D7">
        <w:rPr>
          <w:rStyle w:val="References"/>
        </w:rPr>
        <w:t>paragraph 43-152(3)(d</w:t>
      </w:r>
      <w:r w:rsidR="008B33D7" w:rsidDel="00052BCE">
        <w:rPr>
          <w:rStyle w:val="References"/>
        </w:rPr>
        <w:t>)</w:t>
      </w:r>
      <w:r w:rsidR="008B33D7">
        <w:rPr>
          <w:rStyle w:val="References"/>
        </w:rPr>
        <w:t xml:space="preserve"> of the ITAA 1997</w:t>
      </w:r>
      <w:r w:rsidR="008B33D7" w:rsidRPr="008B33D7">
        <w:rPr>
          <w:rStyle w:val="References"/>
        </w:rPr>
        <w:t xml:space="preserve">] </w:t>
      </w:r>
    </w:p>
    <w:p w14:paraId="64B01E94" w14:textId="6C38FD43" w:rsidR="0079739F" w:rsidRDefault="0019425C" w:rsidP="00940481">
      <w:pPr>
        <w:pStyle w:val="Normalparatextwithnumbers"/>
      </w:pPr>
      <w:r>
        <w:t>I</w:t>
      </w:r>
      <w:r w:rsidRPr="0019425C">
        <w:t xml:space="preserve">n an </w:t>
      </w:r>
      <w:r w:rsidR="00E8171D">
        <w:t>active</w:t>
      </w:r>
      <w:r w:rsidRPr="0019425C">
        <w:t xml:space="preserve"> BTR </w:t>
      </w:r>
      <w:r w:rsidR="00DD3AF0">
        <w:t>development</w:t>
      </w:r>
      <w:r>
        <w:t>,</w:t>
      </w:r>
      <w:r w:rsidRPr="0019425C">
        <w:t xml:space="preserve"> there will likely be different types of dwellings</w:t>
      </w:r>
      <w:r w:rsidR="00957ACB">
        <w:t xml:space="preserve"> with </w:t>
      </w:r>
      <w:r w:rsidR="007C3CF3">
        <w:t>different sizes</w:t>
      </w:r>
      <w:r w:rsidRPr="0019425C">
        <w:t xml:space="preserve"> (i.e., total floorspace</w:t>
      </w:r>
      <w:r w:rsidR="007C3CF3">
        <w:t>) and different amenities (i.e.</w:t>
      </w:r>
      <w:r w:rsidR="006074F9">
        <w:t>,</w:t>
      </w:r>
      <w:r w:rsidR="007C3CF3">
        <w:t xml:space="preserve"> number of bathroo</w:t>
      </w:r>
      <w:r w:rsidR="008043AD">
        <w:t>ms</w:t>
      </w:r>
      <w:r w:rsidRPr="0019425C">
        <w:t>, number of bedrooms</w:t>
      </w:r>
      <w:r w:rsidR="008043AD">
        <w:t>,</w:t>
      </w:r>
      <w:r w:rsidRPr="0019425C">
        <w:t xml:space="preserve"> etc.). The owner of the BTR </w:t>
      </w:r>
      <w:r w:rsidR="00DD3AF0">
        <w:t>development</w:t>
      </w:r>
      <w:r w:rsidRPr="0019425C">
        <w:t xml:space="preserve"> must make at least one of each apartment or dwelling types </w:t>
      </w:r>
      <w:r w:rsidR="009569C6">
        <w:t>(i.e.</w:t>
      </w:r>
      <w:r w:rsidR="006074F9">
        <w:t>,</w:t>
      </w:r>
      <w:r w:rsidR="009569C6">
        <w:t xml:space="preserve"> dwelling</w:t>
      </w:r>
      <w:r w:rsidR="006B2555">
        <w:t xml:space="preserve">s </w:t>
      </w:r>
      <w:r w:rsidR="00A81702">
        <w:t>of comparable size and amenities</w:t>
      </w:r>
      <w:r w:rsidR="009569C6">
        <w:t xml:space="preserve">) </w:t>
      </w:r>
      <w:r w:rsidRPr="0019425C">
        <w:t xml:space="preserve">available as an affordable </w:t>
      </w:r>
      <w:r w:rsidR="00E16D1D">
        <w:t>dwelling</w:t>
      </w:r>
      <w:r w:rsidRPr="0019425C">
        <w:t xml:space="preserve">. This is to prevent a BTR owner from allocating </w:t>
      </w:r>
      <w:r w:rsidR="00B04769">
        <w:t xml:space="preserve">only </w:t>
      </w:r>
      <w:r w:rsidRPr="0019425C">
        <w:t xml:space="preserve">the lowest standard dwellings in a </w:t>
      </w:r>
      <w:r w:rsidR="00DD3AF0">
        <w:t>development</w:t>
      </w:r>
      <w:r w:rsidRPr="0019425C">
        <w:t xml:space="preserve"> </w:t>
      </w:r>
      <w:r w:rsidR="0055560E">
        <w:t xml:space="preserve">as affordable </w:t>
      </w:r>
      <w:r w:rsidR="0092170D">
        <w:t>dwellings</w:t>
      </w:r>
      <w:r w:rsidR="0055560E">
        <w:t xml:space="preserve"> </w:t>
      </w:r>
      <w:r w:rsidRPr="0019425C">
        <w:t xml:space="preserve">(i.e., lowest total floorspace, least </w:t>
      </w:r>
      <w:r w:rsidR="002B0EDA">
        <w:t xml:space="preserve">number of </w:t>
      </w:r>
      <w:r w:rsidRPr="0019425C">
        <w:t>bedrooms</w:t>
      </w:r>
      <w:r w:rsidR="00F6445D">
        <w:t>, least number of bathrooms,</w:t>
      </w:r>
      <w:r w:rsidRPr="0019425C">
        <w:t xml:space="preserve"> etc.).</w:t>
      </w:r>
      <w:r w:rsidR="00F6445D">
        <w:t xml:space="preserve"> </w:t>
      </w:r>
    </w:p>
    <w:p w14:paraId="7973DEF1" w14:textId="6EC98615" w:rsidR="003B7974" w:rsidRDefault="00903493" w:rsidP="00940481">
      <w:pPr>
        <w:pStyle w:val="Normalparatextwithnumbers"/>
      </w:pPr>
      <w:r>
        <w:t>As a</w:t>
      </w:r>
      <w:r w:rsidR="00CF3939">
        <w:t xml:space="preserve"> simplified</w:t>
      </w:r>
      <w:r>
        <w:t xml:space="preserve"> illustrative</w:t>
      </w:r>
      <w:r w:rsidR="00F6445D">
        <w:t xml:space="preserve"> example</w:t>
      </w:r>
      <w:r w:rsidR="00C55009">
        <w:t xml:space="preserve"> only</w:t>
      </w:r>
      <w:r w:rsidR="00A81702">
        <w:t xml:space="preserve">, </w:t>
      </w:r>
      <w:r w:rsidR="006F59CC">
        <w:t>an</w:t>
      </w:r>
      <w:r w:rsidR="009B037F">
        <w:t xml:space="preserve"> owner of a BTR development has </w:t>
      </w:r>
      <w:r w:rsidR="00602F6D">
        <w:t>100 apartments</w:t>
      </w:r>
      <w:r w:rsidR="00D43F6D">
        <w:t xml:space="preserve"> where there are 3 types of apartments (</w:t>
      </w:r>
      <w:r w:rsidR="0079739F">
        <w:t>based on size and amenities</w:t>
      </w:r>
      <w:r w:rsidR="00D43F6D">
        <w:t>)</w:t>
      </w:r>
      <w:r w:rsidR="0079739F">
        <w:t>.</w:t>
      </w:r>
      <w:r w:rsidR="00BF4D67">
        <w:t xml:space="preserve"> </w:t>
      </w:r>
      <w:r w:rsidR="0079739F">
        <w:t>The first type</w:t>
      </w:r>
      <w:r w:rsidR="00897444">
        <w:t xml:space="preserve"> of apartme</w:t>
      </w:r>
      <w:r w:rsidR="00480068">
        <w:t xml:space="preserve">nt has </w:t>
      </w:r>
      <w:r w:rsidR="00EC1497">
        <w:t xml:space="preserve">2 apartments </w:t>
      </w:r>
      <w:r w:rsidR="009F1CD8">
        <w:t>(</w:t>
      </w:r>
      <w:r w:rsidR="00EC1497">
        <w:t>that have a floorspace of 300 square metres</w:t>
      </w:r>
      <w:r w:rsidR="009F1CD8">
        <w:t xml:space="preserve"> and </w:t>
      </w:r>
      <w:r w:rsidR="00DB13B8">
        <w:t>3</w:t>
      </w:r>
      <w:r w:rsidR="009F1CD8">
        <w:t xml:space="preserve"> bedrooms and </w:t>
      </w:r>
      <w:r w:rsidR="00DB13B8">
        <w:t>2</w:t>
      </w:r>
      <w:r w:rsidR="009F1CD8">
        <w:t xml:space="preserve"> bathroom</w:t>
      </w:r>
      <w:r w:rsidR="006E5E90">
        <w:t>s</w:t>
      </w:r>
      <w:r w:rsidR="009F1CD8">
        <w:t>)</w:t>
      </w:r>
      <w:r w:rsidR="00480068">
        <w:t xml:space="preserve">. The second type of apartment has </w:t>
      </w:r>
      <w:r w:rsidR="00EC1497">
        <w:t>49</w:t>
      </w:r>
      <w:r w:rsidR="00601461">
        <w:t xml:space="preserve"> apartments </w:t>
      </w:r>
      <w:r w:rsidR="006869FE">
        <w:t>(</w:t>
      </w:r>
      <w:r w:rsidR="00601461">
        <w:t>that</w:t>
      </w:r>
      <w:r w:rsidR="00496B2B">
        <w:t xml:space="preserve"> have a floorspace of 2</w:t>
      </w:r>
      <w:r w:rsidR="005A6E0F">
        <w:t>5</w:t>
      </w:r>
      <w:r w:rsidR="00496B2B">
        <w:t>0 square metres and</w:t>
      </w:r>
      <w:r w:rsidR="005A6E0F">
        <w:t xml:space="preserve"> </w:t>
      </w:r>
      <w:r w:rsidR="00DB13B8">
        <w:t>2</w:t>
      </w:r>
      <w:r w:rsidR="00A6461A">
        <w:t xml:space="preserve"> bedrooms and 2 bathrooms</w:t>
      </w:r>
      <w:r w:rsidR="006869FE">
        <w:t>)</w:t>
      </w:r>
      <w:r w:rsidR="004D3B00">
        <w:t xml:space="preserve">. The </w:t>
      </w:r>
      <w:r w:rsidR="00194A3E">
        <w:t>third</w:t>
      </w:r>
      <w:r w:rsidR="004D3B00">
        <w:t xml:space="preserve"> type of apartment has</w:t>
      </w:r>
      <w:r w:rsidR="00275A4C">
        <w:t xml:space="preserve"> </w:t>
      </w:r>
      <w:r w:rsidR="00EC1497">
        <w:t>49</w:t>
      </w:r>
      <w:r w:rsidR="0050521E">
        <w:t xml:space="preserve"> apartments </w:t>
      </w:r>
      <w:r w:rsidR="006869FE">
        <w:t>(</w:t>
      </w:r>
      <w:r w:rsidR="0050521E">
        <w:t xml:space="preserve">that have a floorspace of </w:t>
      </w:r>
      <w:r w:rsidR="00BB2691">
        <w:t>100 square metres and</w:t>
      </w:r>
      <w:r w:rsidR="00196B9E">
        <w:t xml:space="preserve"> 1 bedroom and 1 bathroom</w:t>
      </w:r>
      <w:r w:rsidR="006869FE">
        <w:t xml:space="preserve">). </w:t>
      </w:r>
      <w:r w:rsidR="004D3B00">
        <w:t>The owner must make at least one of each of the th</w:t>
      </w:r>
      <w:r w:rsidR="0019736A">
        <w:t>ree types of apartments an affordable dwelling.</w:t>
      </w:r>
      <w:r w:rsidR="00922835">
        <w:t xml:space="preserve"> This requirement is in addition to the requirement that the owner makes available </w:t>
      </w:r>
      <w:r w:rsidR="008B0CF1">
        <w:t xml:space="preserve">at least </w:t>
      </w:r>
      <w:r w:rsidR="00922835">
        <w:t>10</w:t>
      </w:r>
      <w:r w:rsidR="009873F5">
        <w:t xml:space="preserve"> per cent</w:t>
      </w:r>
      <w:r w:rsidR="00922835">
        <w:t xml:space="preserve"> of the dwellings as affordable dwellings (</w:t>
      </w:r>
      <w:proofErr w:type="gramStart"/>
      <w:r w:rsidR="00922835">
        <w:t>i.e.</w:t>
      </w:r>
      <w:proofErr w:type="gramEnd"/>
      <w:r w:rsidR="00922835">
        <w:t xml:space="preserve"> the owner must ensure at least 10 dwellings are affordable dwellings).</w:t>
      </w:r>
      <w:r w:rsidR="008B33D7">
        <w:br/>
      </w:r>
      <w:r w:rsidR="008B33D7" w:rsidRPr="008B33D7">
        <w:rPr>
          <w:rStyle w:val="References"/>
        </w:rPr>
        <w:t>[</w:t>
      </w:r>
      <w:r w:rsidR="008B33D7" w:rsidRPr="00231CB9">
        <w:rPr>
          <w:rStyle w:val="References"/>
        </w:rPr>
        <w:t xml:space="preserve">Schedule </w:t>
      </w:r>
      <w:r w:rsidR="008B33D7">
        <w:rPr>
          <w:rStyle w:val="References"/>
        </w:rPr>
        <w:t>#</w:t>
      </w:r>
      <w:r w:rsidR="008B33D7" w:rsidRPr="00231CB9">
        <w:rPr>
          <w:rStyle w:val="References"/>
        </w:rPr>
        <w:t>, item</w:t>
      </w:r>
      <w:r w:rsidR="008B33D7">
        <w:rPr>
          <w:rStyle w:val="References"/>
        </w:rPr>
        <w:t xml:space="preserve"> 5</w:t>
      </w:r>
      <w:r w:rsidR="008B33D7" w:rsidRPr="00231CB9">
        <w:rPr>
          <w:rStyle w:val="References"/>
        </w:rPr>
        <w:t xml:space="preserve">, </w:t>
      </w:r>
      <w:r w:rsidR="008B33D7">
        <w:rPr>
          <w:rStyle w:val="References"/>
        </w:rPr>
        <w:t>paragraph 43-152(3)</w:t>
      </w:r>
      <w:r w:rsidR="00417D8B">
        <w:rPr>
          <w:rStyle w:val="References"/>
        </w:rPr>
        <w:t>(e</w:t>
      </w:r>
      <w:r w:rsidR="008B33D7" w:rsidDel="008D02BE">
        <w:rPr>
          <w:rStyle w:val="References"/>
        </w:rPr>
        <w:t>)</w:t>
      </w:r>
      <w:r w:rsidR="008B33D7">
        <w:rPr>
          <w:rStyle w:val="References"/>
        </w:rPr>
        <w:t xml:space="preserve"> of the ITAA 1997</w:t>
      </w:r>
      <w:r w:rsidR="008B33D7" w:rsidRPr="008B33D7">
        <w:rPr>
          <w:rStyle w:val="References"/>
        </w:rPr>
        <w:t xml:space="preserve">] </w:t>
      </w:r>
    </w:p>
    <w:p w14:paraId="623FFCF4" w14:textId="551B8586" w:rsidR="00B13F82" w:rsidRDefault="00E829F8" w:rsidP="00B13F82">
      <w:pPr>
        <w:pStyle w:val="Heading5"/>
      </w:pPr>
      <w:r>
        <w:t>Minister’s determination</w:t>
      </w:r>
    </w:p>
    <w:p w14:paraId="27CFFA2C" w14:textId="6B15EB20" w:rsidR="00ED2E04" w:rsidRDefault="00ED2E04" w:rsidP="00940481">
      <w:pPr>
        <w:pStyle w:val="Normalparatextwithnumbers"/>
      </w:pPr>
      <w:r>
        <w:t xml:space="preserve">As noted in paragraph </w:t>
      </w:r>
      <w:r w:rsidRPr="00ED39A4">
        <w:t>1.33</w:t>
      </w:r>
      <w:r w:rsidR="00A83EC6">
        <w:t xml:space="preserve"> of this Explanatory Memorandum, </w:t>
      </w:r>
      <w:r w:rsidR="00272BD2">
        <w:t xml:space="preserve">any requirements determined by the Minister via a legislative instrument must be satisfied </w:t>
      </w:r>
      <w:r w:rsidR="00EB4808">
        <w:t xml:space="preserve">for a dwelling to be considered </w:t>
      </w:r>
      <w:r w:rsidR="001E04BF">
        <w:t>an affordable dwelling</w:t>
      </w:r>
      <w:r w:rsidR="00BC3FE6">
        <w:t>. The</w:t>
      </w:r>
      <w:r w:rsidR="00D4163A">
        <w:t xml:space="preserve">se </w:t>
      </w:r>
      <w:r w:rsidR="00D4163A">
        <w:lastRenderedPageBreak/>
        <w:t xml:space="preserve">requirements can only relate to the income of the tenant or </w:t>
      </w:r>
      <w:r w:rsidR="00971815">
        <w:t>prospective</w:t>
      </w:r>
      <w:r w:rsidR="00D4163A">
        <w:t xml:space="preserve"> tenant.</w:t>
      </w:r>
      <w:r w:rsidR="00D4163A">
        <w:br/>
      </w:r>
      <w:r w:rsidR="00A000B7" w:rsidRPr="008B33D7">
        <w:rPr>
          <w:rStyle w:val="References"/>
        </w:rPr>
        <w:t>[</w:t>
      </w:r>
      <w:r w:rsidR="00A000B7" w:rsidRPr="00231CB9">
        <w:rPr>
          <w:rStyle w:val="References"/>
        </w:rPr>
        <w:t xml:space="preserve">Schedule </w:t>
      </w:r>
      <w:r w:rsidR="00A000B7">
        <w:rPr>
          <w:rStyle w:val="References"/>
        </w:rPr>
        <w:t>#</w:t>
      </w:r>
      <w:r w:rsidR="00A000B7" w:rsidRPr="00231CB9">
        <w:rPr>
          <w:rStyle w:val="References"/>
        </w:rPr>
        <w:t>, item</w:t>
      </w:r>
      <w:r w:rsidR="00A000B7">
        <w:rPr>
          <w:rStyle w:val="References"/>
        </w:rPr>
        <w:t xml:space="preserve"> 5</w:t>
      </w:r>
      <w:r w:rsidR="00A000B7" w:rsidRPr="00231CB9">
        <w:rPr>
          <w:rStyle w:val="References"/>
        </w:rPr>
        <w:t xml:space="preserve">, </w:t>
      </w:r>
      <w:r w:rsidR="00971815">
        <w:rPr>
          <w:rStyle w:val="References"/>
        </w:rPr>
        <w:t>subsection</w:t>
      </w:r>
      <w:r w:rsidR="00A000B7">
        <w:rPr>
          <w:rStyle w:val="References"/>
        </w:rPr>
        <w:t xml:space="preserve"> 43-152(</w:t>
      </w:r>
      <w:r w:rsidR="00971815">
        <w:rPr>
          <w:rStyle w:val="References"/>
        </w:rPr>
        <w:t>4</w:t>
      </w:r>
      <w:r w:rsidR="00A000B7">
        <w:rPr>
          <w:rStyle w:val="References"/>
        </w:rPr>
        <w:t>) of the ITAA 1997</w:t>
      </w:r>
      <w:r w:rsidR="00A000B7" w:rsidRPr="008B33D7">
        <w:rPr>
          <w:rStyle w:val="References"/>
        </w:rPr>
        <w:t>]</w:t>
      </w:r>
    </w:p>
    <w:p w14:paraId="6D8D1309" w14:textId="3CD63D1F" w:rsidR="00DC4D4D" w:rsidRDefault="00971815" w:rsidP="00940481">
      <w:pPr>
        <w:pStyle w:val="Normalparatextwithnumbers"/>
      </w:pPr>
      <w:r>
        <w:t xml:space="preserve">This is because access </w:t>
      </w:r>
      <w:r w:rsidR="002B50C4">
        <w:t xml:space="preserve">to </w:t>
      </w:r>
      <w:r w:rsidR="001C1548">
        <w:t>the affordable dwellings</w:t>
      </w:r>
      <w:r w:rsidR="002B50C4">
        <w:t xml:space="preserve"> in a BTR development </w:t>
      </w:r>
      <w:r w:rsidR="009E103E">
        <w:t xml:space="preserve">is intended to </w:t>
      </w:r>
      <w:r w:rsidR="002B50C4">
        <w:t>be subject to an</w:t>
      </w:r>
      <w:r w:rsidR="001C1548">
        <w:t xml:space="preserve"> </w:t>
      </w:r>
      <w:r w:rsidR="00225812">
        <w:t xml:space="preserve">eligibility </w:t>
      </w:r>
      <w:r w:rsidR="002B50C4">
        <w:t xml:space="preserve">criterion based on the </w:t>
      </w:r>
      <w:r w:rsidR="00225812">
        <w:t>income</w:t>
      </w:r>
      <w:r w:rsidR="000F25C4">
        <w:t xml:space="preserve"> of the tenant</w:t>
      </w:r>
      <w:r>
        <w:t xml:space="preserve"> or prospective tenant</w:t>
      </w:r>
      <w:r w:rsidR="00225812">
        <w:t>.</w:t>
      </w:r>
    </w:p>
    <w:p w14:paraId="6021691B" w14:textId="721D52BB" w:rsidR="008161FD" w:rsidRPr="00FD773C" w:rsidRDefault="008161FD" w:rsidP="008161FD">
      <w:pPr>
        <w:pStyle w:val="Normalparatextwithnumbers"/>
      </w:pPr>
      <w:r w:rsidRPr="008161FD">
        <w:t xml:space="preserve">This delegation of legislative power is appropriate as </w:t>
      </w:r>
      <w:r>
        <w:t xml:space="preserve">the </w:t>
      </w:r>
      <w:r w:rsidR="00CC3E4F">
        <w:t xml:space="preserve">income </w:t>
      </w:r>
      <w:r w:rsidR="00F07121">
        <w:t xml:space="preserve">requirements </w:t>
      </w:r>
      <w:r w:rsidR="0004289F">
        <w:t>may</w:t>
      </w:r>
      <w:r w:rsidR="00BD27CF">
        <w:t xml:space="preserve"> </w:t>
      </w:r>
      <w:r w:rsidR="00CC3E4F">
        <w:t xml:space="preserve">need to </w:t>
      </w:r>
      <w:r w:rsidR="00BD27CF">
        <w:t>be varied depending on the state of wages</w:t>
      </w:r>
      <w:r w:rsidR="009106E4">
        <w:t xml:space="preserve"> at </w:t>
      </w:r>
      <w:r w:rsidR="003D673C">
        <w:t>any give</w:t>
      </w:r>
      <w:r w:rsidR="00C034BA">
        <w:t>n</w:t>
      </w:r>
      <w:r w:rsidR="003D673C">
        <w:t xml:space="preserve"> time</w:t>
      </w:r>
      <w:r w:rsidRPr="008161FD">
        <w:t>.</w:t>
      </w:r>
      <w:r>
        <w:t xml:space="preserve"> </w:t>
      </w:r>
      <w:r w:rsidR="00737438">
        <w:t xml:space="preserve">Providing for the income </w:t>
      </w:r>
      <w:r w:rsidR="007D24F3">
        <w:t xml:space="preserve">requirements </w:t>
      </w:r>
      <w:r w:rsidR="00473142">
        <w:t xml:space="preserve">via legislative instrument will enable </w:t>
      </w:r>
      <w:r w:rsidR="00AC72A2">
        <w:t xml:space="preserve">responsive management of </w:t>
      </w:r>
      <w:r w:rsidR="00F07374">
        <w:t xml:space="preserve">income </w:t>
      </w:r>
      <w:r w:rsidR="007D24F3">
        <w:t>requirements</w:t>
      </w:r>
      <w:r w:rsidR="009602C4">
        <w:t xml:space="preserve">, which </w:t>
      </w:r>
      <w:r w:rsidR="00B03083">
        <w:t xml:space="preserve">adds to the integrity of the </w:t>
      </w:r>
      <w:r w:rsidR="000D5597">
        <w:t>measure</w:t>
      </w:r>
      <w:r w:rsidR="006732F9">
        <w:t xml:space="preserve"> by ensuring that limited affordable </w:t>
      </w:r>
      <w:r w:rsidR="007D24F3">
        <w:t xml:space="preserve">dwellings </w:t>
      </w:r>
      <w:r w:rsidR="006732F9">
        <w:t xml:space="preserve">are </w:t>
      </w:r>
      <w:r w:rsidR="007A4C1D">
        <w:t>not provided to those with adequate means</w:t>
      </w:r>
      <w:r w:rsidR="007937F6">
        <w:t xml:space="preserve"> to access </w:t>
      </w:r>
      <w:r w:rsidR="001956EB">
        <w:t>normal market tenancies</w:t>
      </w:r>
      <w:r w:rsidR="00B03083">
        <w:t>.</w:t>
      </w:r>
      <w:r>
        <w:t xml:space="preserve"> </w:t>
      </w:r>
      <w:r w:rsidRPr="008161FD">
        <w:t xml:space="preserve">The </w:t>
      </w:r>
      <w:r w:rsidRPr="005C393C">
        <w:t>legislative instrument</w:t>
      </w:r>
      <w:r w:rsidRPr="008161FD">
        <w:t xml:space="preserve"> would be subject to disallowance and sunset after no more than 10 years and will therefore be subject to appropriate parliamentary scrutiny. </w:t>
      </w:r>
    </w:p>
    <w:p w14:paraId="45427618" w14:textId="2341D8E3" w:rsidR="003A7CE8" w:rsidRDefault="00F14D98" w:rsidP="000864F2">
      <w:pPr>
        <w:pStyle w:val="Heading4"/>
      </w:pPr>
      <w:r>
        <w:t xml:space="preserve">Accelerated </w:t>
      </w:r>
      <w:r w:rsidR="00672AB3">
        <w:t xml:space="preserve">capital works deductions </w:t>
      </w:r>
      <w:r>
        <w:t xml:space="preserve">for </w:t>
      </w:r>
      <w:r w:rsidR="00E8171D">
        <w:t>active</w:t>
      </w:r>
      <w:r>
        <w:t xml:space="preserve"> BTR </w:t>
      </w:r>
      <w:proofErr w:type="gramStart"/>
      <w:r w:rsidR="00DD3AF0">
        <w:t>development</w:t>
      </w:r>
      <w:r>
        <w:t>s</w:t>
      </w:r>
      <w:proofErr w:type="gramEnd"/>
    </w:p>
    <w:p w14:paraId="27B46AD9" w14:textId="7CA2EBEB" w:rsidR="000B4CB4" w:rsidRDefault="000B4CB4" w:rsidP="000B4CB4">
      <w:pPr>
        <w:pStyle w:val="Normalparatextwithnumbers"/>
      </w:pPr>
      <w:r>
        <w:t xml:space="preserve">Division 43 of the ITAA 1997 allows a taxpayer to claim a deduction for capital expenditure incurred in constructing capital works, including buildings and structural improvements. The </w:t>
      </w:r>
      <w:r w:rsidR="00DD2CA4">
        <w:t>D</w:t>
      </w:r>
      <w:r>
        <w:t>ivision sets the rules for working out those deductions.</w:t>
      </w:r>
    </w:p>
    <w:p w14:paraId="4F73D8F4" w14:textId="1D5658ED" w:rsidR="000B4CB4" w:rsidRDefault="000B4CB4" w:rsidP="000B4CB4">
      <w:pPr>
        <w:pStyle w:val="Normalparatextwithnumbers"/>
      </w:pPr>
      <w:r>
        <w:t xml:space="preserve">Division 43 allows a deduction for construction expenditure for an income year. To be eligible for the deduction, the capital works must have a construction expenditure area for which there must be a pool of construction expenditure and </w:t>
      </w:r>
      <w:r w:rsidR="00CF7164">
        <w:t xml:space="preserve">the taxpayer </w:t>
      </w:r>
      <w:r>
        <w:t>must use</w:t>
      </w:r>
      <w:r w:rsidDel="007C3549">
        <w:t xml:space="preserve"> </w:t>
      </w:r>
      <w:r w:rsidR="007C3549">
        <w:t xml:space="preserve">the taxpayer’s </w:t>
      </w:r>
      <w:r>
        <w:t>area in a deductible way (section 43-10 of the ITAA 1997).</w:t>
      </w:r>
    </w:p>
    <w:p w14:paraId="2A56E57A" w14:textId="77777777" w:rsidR="000B4CB4" w:rsidRDefault="000B4CB4" w:rsidP="000B4CB4">
      <w:pPr>
        <w:pStyle w:val="Normalparatextwithnumbers"/>
      </w:pPr>
      <w:r>
        <w:t xml:space="preserve">A deduction is not allowable until after construction of the capital works is completed (section 43-30 of the ITAA 1997). </w:t>
      </w:r>
    </w:p>
    <w:p w14:paraId="62AE552E" w14:textId="41F5CD51" w:rsidR="000B4CB4" w:rsidRDefault="000B4CB4" w:rsidP="000B4CB4">
      <w:pPr>
        <w:pStyle w:val="Normalparatextwithnumbers"/>
      </w:pPr>
      <w:r>
        <w:t xml:space="preserve">A deduction for construction expenditure is allowed to the extent that the deduction does not exceed the amount of the </w:t>
      </w:r>
      <w:proofErr w:type="spellStart"/>
      <w:r>
        <w:t>undeducted</w:t>
      </w:r>
      <w:proofErr w:type="spellEnd"/>
      <w:r>
        <w:t xml:space="preserve"> construction expenditure for the construction expenditure area (section 43-15 of the ITAA</w:t>
      </w:r>
      <w:r w:rsidR="00D87C0F">
        <w:t> </w:t>
      </w:r>
      <w:r>
        <w:t xml:space="preserve">1997). </w:t>
      </w:r>
    </w:p>
    <w:p w14:paraId="33846097" w14:textId="71880E12" w:rsidR="001963C1" w:rsidRDefault="001963C1" w:rsidP="005C393C">
      <w:pPr>
        <w:pStyle w:val="Dotpoint1"/>
      </w:pPr>
      <w:r>
        <w:t xml:space="preserve">Calculation of the </w:t>
      </w:r>
      <w:proofErr w:type="spellStart"/>
      <w:r>
        <w:t>undeducted</w:t>
      </w:r>
      <w:proofErr w:type="spellEnd"/>
      <w:r>
        <w:t xml:space="preserve"> construction expenditure </w:t>
      </w:r>
      <w:r w:rsidR="003817A5">
        <w:t xml:space="preserve">for an active BTR development that has ceased is provided for </w:t>
      </w:r>
      <w:r w:rsidR="00CD0BD5">
        <w:t>in section 43-237 of the ITAA 1997, which is a new provision inserted by</w:t>
      </w:r>
      <w:r w:rsidR="007562D0">
        <w:t xml:space="preserve"> Schedule # to this Bill. </w:t>
      </w:r>
      <w:r w:rsidR="00E10E07">
        <w:t xml:space="preserve">See </w:t>
      </w:r>
      <w:r w:rsidR="00E10E07" w:rsidRPr="00ED39A4">
        <w:t>paragraph</w:t>
      </w:r>
      <w:r w:rsidR="00731A6B" w:rsidRPr="00ED39A4">
        <w:t>s 1.70 to</w:t>
      </w:r>
      <w:r w:rsidR="00524450" w:rsidRPr="00ED39A4">
        <w:t xml:space="preserve"> 1.71</w:t>
      </w:r>
      <w:r w:rsidR="00E10E07">
        <w:t xml:space="preserve"> </w:t>
      </w:r>
      <w:r w:rsidR="00524450">
        <w:t xml:space="preserve">of this Explanatory Memorandum </w:t>
      </w:r>
      <w:r w:rsidR="00E10E07">
        <w:t>for more information.</w:t>
      </w:r>
    </w:p>
    <w:p w14:paraId="5506BA13" w14:textId="4398BBF3" w:rsidR="000B4CB4" w:rsidRDefault="000B4CB4" w:rsidP="000B4CB4">
      <w:pPr>
        <w:pStyle w:val="Normalparatextwithnumbers"/>
      </w:pPr>
      <w:r>
        <w:t xml:space="preserve">Section 43-140 of the ITAA 1997 provides that to work out if </w:t>
      </w:r>
      <w:r w:rsidR="00BC6D95">
        <w:t xml:space="preserve">the taxpayer’s </w:t>
      </w:r>
      <w:r>
        <w:t>area is used in a deductible way during the income year, reference must be made to when the capital works started being constructed and the type of capital works.</w:t>
      </w:r>
    </w:p>
    <w:p w14:paraId="7E1D481C" w14:textId="0FD4015D" w:rsidR="000B4CB4" w:rsidRDefault="000B4CB4" w:rsidP="000B4CB4">
      <w:pPr>
        <w:pStyle w:val="Normalparatextwithnumbers"/>
      </w:pPr>
      <w:r>
        <w:lastRenderedPageBreak/>
        <w:t xml:space="preserve">Section 43-25 of the ITAA 1997 sets out the rate of deduction. Currently, the deduction is either 2.5 per cent or 4 per cent of the construction expenditure, depending on when construction started and how </w:t>
      </w:r>
      <w:r w:rsidR="007C7D7C">
        <w:t>the</w:t>
      </w:r>
      <w:r>
        <w:t xml:space="preserve"> area is used.</w:t>
      </w:r>
    </w:p>
    <w:p w14:paraId="515A33E5" w14:textId="532E15C1" w:rsidR="000B4CB4" w:rsidRDefault="000B4CB4" w:rsidP="007C7D7C">
      <w:pPr>
        <w:pStyle w:val="Normalparatextwithnumbers"/>
      </w:pPr>
      <w:r>
        <w:t>Post-26 February 1992 capital works (per subsection 43-25(1) of the ITAA</w:t>
      </w:r>
      <w:r w:rsidR="0029276E">
        <w:t> </w:t>
      </w:r>
      <w:r>
        <w:t>1997):</w:t>
      </w:r>
    </w:p>
    <w:p w14:paraId="0C85BD20" w14:textId="01C4268E" w:rsidR="000B4CB4" w:rsidRDefault="000B4CB4" w:rsidP="007C7D7C">
      <w:pPr>
        <w:pStyle w:val="Dotpoint1"/>
      </w:pPr>
      <w:r>
        <w:t>If capital works on which construction started after 26 February 1992 are used in a deductible way (by reference to the Table in section 43</w:t>
      </w:r>
      <w:r w:rsidR="00DA666A">
        <w:noBreakHyphen/>
      </w:r>
      <w:r>
        <w:t>140) during an income year, there is a basic entitlement to a capital works deduction rate of 2.5 per cent of the construction expenditure.</w:t>
      </w:r>
    </w:p>
    <w:p w14:paraId="01B51B71" w14:textId="77777777" w:rsidR="000B4CB4" w:rsidRDefault="000B4CB4" w:rsidP="000B4CB4">
      <w:pPr>
        <w:pStyle w:val="Normalparatextwithnumbers"/>
      </w:pPr>
      <w:r>
        <w:t xml:space="preserve">However, capital works on which construction started after 26 February 1992 that are used in a manner consistent with the Table in section 43-145, qualifies for a capital works deduction rate of 4 per cent of the construction expenditure. This includes use of part of </w:t>
      </w:r>
      <w:r w:rsidRPr="00F308AB">
        <w:rPr>
          <w:rFonts w:eastAsia="Times New Roman" w:cs="Times New Roman"/>
          <w:szCs w:val="20"/>
          <w:lang w:eastAsia="en-AU"/>
        </w:rPr>
        <w:t xml:space="preserve">the </w:t>
      </w:r>
      <w:r>
        <w:t xml:space="preserve">area for the purposes of producing assessable income, and that part is: </w:t>
      </w:r>
    </w:p>
    <w:p w14:paraId="1BEA74FA" w14:textId="77777777" w:rsidR="000B4CB4" w:rsidRDefault="000B4CB4" w:rsidP="00F308AB">
      <w:pPr>
        <w:pStyle w:val="Dotpoint1"/>
      </w:pPr>
      <w:r>
        <w:t xml:space="preserve">wholly or mainly used for: </w:t>
      </w:r>
    </w:p>
    <w:p w14:paraId="0C9653C6" w14:textId="77777777" w:rsidR="000B4CB4" w:rsidRDefault="000B4CB4" w:rsidP="00F308AB">
      <w:pPr>
        <w:pStyle w:val="dotpoint2"/>
      </w:pPr>
      <w:r>
        <w:t>industrial activities (as defined in section 43-150),</w:t>
      </w:r>
    </w:p>
    <w:p w14:paraId="7E1878D7" w14:textId="77777777" w:rsidR="000B4CB4" w:rsidRDefault="000B4CB4" w:rsidP="00F308AB">
      <w:pPr>
        <w:pStyle w:val="dotpoint2"/>
      </w:pPr>
      <w:r>
        <w:t xml:space="preserve">the provision of employee amenities for workers (or their immediate supervisors) carrying out industrial activities, or </w:t>
      </w:r>
    </w:p>
    <w:p w14:paraId="0BE0CCDD" w14:textId="77777777" w:rsidR="000B4CB4" w:rsidRDefault="000B4CB4" w:rsidP="00F308AB">
      <w:pPr>
        <w:pStyle w:val="dotpoint2"/>
      </w:pPr>
      <w:r>
        <w:t xml:space="preserve">office accommodation for the immediate supervisors of those workers; or </w:t>
      </w:r>
    </w:p>
    <w:p w14:paraId="4A1FFE65" w14:textId="77777777" w:rsidR="000B4CB4" w:rsidRDefault="000B4CB4" w:rsidP="00F308AB">
      <w:pPr>
        <w:pStyle w:val="Dotpoint1"/>
      </w:pPr>
      <w:r>
        <w:t xml:space="preserve">used wholly or mainly to operate a hotel, motel, or guesthouse where the buildings have at least 10 bedrooms that are for use wholly to provide short-term traveller accommodation (i.e., hotel buildings), or </w:t>
      </w:r>
    </w:p>
    <w:p w14:paraId="486F46CD" w14:textId="77777777" w:rsidR="000B4CB4" w:rsidRDefault="000B4CB4" w:rsidP="00F308AB">
      <w:pPr>
        <w:pStyle w:val="Dotpoint1"/>
      </w:pPr>
      <w:r>
        <w:t>consisting of at least 9 apartments, units or flats that are for use wholly to provide short-term traveller accommodation (i.e., apartment buildings). The 4 per cent rate is still available if the buildings also have facilities that are mainly for use in association with providing short-term traveller accommodation.</w:t>
      </w:r>
    </w:p>
    <w:p w14:paraId="6FFC05B4" w14:textId="5C98499F" w:rsidR="000B4CB4" w:rsidRDefault="000B4CB4" w:rsidP="000B4CB4">
      <w:pPr>
        <w:pStyle w:val="Normalparatextwithnumbers"/>
      </w:pPr>
      <w:r>
        <w:t>The amount of the deduction is calculated under section 43-210 or section</w:t>
      </w:r>
      <w:r w:rsidR="00516B5A">
        <w:t> </w:t>
      </w:r>
      <w:r>
        <w:t>43</w:t>
      </w:r>
      <w:r w:rsidR="00516B5A">
        <w:noBreakHyphen/>
      </w:r>
      <w:r>
        <w:t>215 of the ITAA 1997 (depending on whether the capital works are pre-27 or post-26 February 1992 capital works).</w:t>
      </w:r>
    </w:p>
    <w:p w14:paraId="7CAF3F26" w14:textId="12255F9C" w:rsidR="009A5EDF" w:rsidRPr="00926BE1" w:rsidRDefault="00302923" w:rsidP="009A5EDF">
      <w:pPr>
        <w:pStyle w:val="Normalparatextwithnumbers"/>
        <w:rPr>
          <w:rStyle w:val="References"/>
          <w:b w:val="0"/>
          <w:i w:val="0"/>
        </w:rPr>
      </w:pPr>
      <w:r>
        <w:t>The</w:t>
      </w:r>
      <w:r w:rsidRPr="00302923">
        <w:t xml:space="preserve"> 4 per cent capital works deduction rates (as provided for in subsection</w:t>
      </w:r>
      <w:r w:rsidR="00FD3381">
        <w:t> </w:t>
      </w:r>
      <w:r w:rsidRPr="00302923">
        <w:t>43</w:t>
      </w:r>
      <w:r w:rsidR="00FD3381">
        <w:noBreakHyphen/>
      </w:r>
      <w:r w:rsidRPr="00302923">
        <w:t xml:space="preserve">25(1) and section 43-145 of the ITAA 1997) </w:t>
      </w:r>
      <w:r w:rsidR="00C47842">
        <w:t xml:space="preserve">now </w:t>
      </w:r>
      <w:r w:rsidRPr="00302923">
        <w:t xml:space="preserve">apply to </w:t>
      </w:r>
      <w:r>
        <w:t xml:space="preserve">active </w:t>
      </w:r>
      <w:r w:rsidRPr="00302923">
        <w:t xml:space="preserve">BTR </w:t>
      </w:r>
      <w:r>
        <w:t>developments.</w:t>
      </w:r>
      <w:r>
        <w:br/>
      </w:r>
      <w:r w:rsidRPr="00302923">
        <w:rPr>
          <w:rStyle w:val="References"/>
        </w:rPr>
        <w:t xml:space="preserve">[Schedule </w:t>
      </w:r>
      <w:r w:rsidR="00C73D46">
        <w:rPr>
          <w:rStyle w:val="References"/>
        </w:rPr>
        <w:t>#</w:t>
      </w:r>
      <w:r w:rsidRPr="00302923">
        <w:rPr>
          <w:rStyle w:val="References"/>
        </w:rPr>
        <w:t>, item</w:t>
      </w:r>
      <w:r w:rsidR="00C73D46">
        <w:rPr>
          <w:rStyle w:val="References"/>
        </w:rPr>
        <w:t xml:space="preserve"> 4</w:t>
      </w:r>
      <w:r w:rsidRPr="00302923">
        <w:rPr>
          <w:rStyle w:val="References"/>
        </w:rPr>
        <w:t xml:space="preserve">, </w:t>
      </w:r>
      <w:r w:rsidR="00C73D46">
        <w:rPr>
          <w:rStyle w:val="References"/>
        </w:rPr>
        <w:t>section 43-145</w:t>
      </w:r>
      <w:r w:rsidR="00D47538">
        <w:rPr>
          <w:rStyle w:val="References"/>
        </w:rPr>
        <w:t xml:space="preserve"> of the ITAA 1997</w:t>
      </w:r>
      <w:r w:rsidRPr="00302923">
        <w:rPr>
          <w:rStyle w:val="References"/>
        </w:rPr>
        <w:t xml:space="preserve">] </w:t>
      </w:r>
    </w:p>
    <w:p w14:paraId="1FD07A5E" w14:textId="0EB2B430" w:rsidR="00926BE1" w:rsidRDefault="004273C3" w:rsidP="00926BE1">
      <w:pPr>
        <w:pStyle w:val="Normalparatextwithnumbers"/>
      </w:pPr>
      <w:r>
        <w:t xml:space="preserve">The accelerated </w:t>
      </w:r>
      <w:r w:rsidR="000276E3">
        <w:t>capital works</w:t>
      </w:r>
      <w:r w:rsidR="00832F7B">
        <w:t xml:space="preserve"> </w:t>
      </w:r>
      <w:r w:rsidR="00D34F07">
        <w:t>concessio</w:t>
      </w:r>
      <w:r w:rsidR="00832F7B">
        <w:t>n</w:t>
      </w:r>
      <w:r w:rsidR="00926BE1">
        <w:t xml:space="preserve"> appl</w:t>
      </w:r>
      <w:r>
        <w:t>ies</w:t>
      </w:r>
      <w:r w:rsidR="00926BE1">
        <w:t xml:space="preserve"> </w:t>
      </w:r>
      <w:r>
        <w:t>during the compliance period, as well as after the compliance period has ended.</w:t>
      </w:r>
      <w:r w:rsidR="00D239AB">
        <w:t xml:space="preserve"> It applies after the compliance period provided</w:t>
      </w:r>
      <w:r w:rsidR="00AA2899">
        <w:t xml:space="preserve"> the taxpayer is the only entity that used the active BTR development</w:t>
      </w:r>
      <w:r w:rsidR="008A712F">
        <w:t xml:space="preserve"> (or any part of the </w:t>
      </w:r>
      <w:r w:rsidR="00413C0D">
        <w:t>active BTR development</w:t>
      </w:r>
      <w:r w:rsidR="008A712F">
        <w:t>)</w:t>
      </w:r>
      <w:r w:rsidR="00AA2899">
        <w:t xml:space="preserve"> for the purpose </w:t>
      </w:r>
      <w:r w:rsidR="00AA2899">
        <w:lastRenderedPageBreak/>
        <w:t>of producing</w:t>
      </w:r>
      <w:r w:rsidR="00F31E0E">
        <w:t xml:space="preserve"> assessable income</w:t>
      </w:r>
      <w:r w:rsidR="00600311">
        <w:t xml:space="preserve"> while it has been an active BTR development.</w:t>
      </w:r>
      <w:r w:rsidR="00B3130A">
        <w:br/>
      </w:r>
      <w:r w:rsidR="00B3130A" w:rsidRPr="00302923">
        <w:rPr>
          <w:rStyle w:val="References"/>
        </w:rPr>
        <w:t xml:space="preserve">[Schedule </w:t>
      </w:r>
      <w:r w:rsidR="00B3130A">
        <w:rPr>
          <w:rStyle w:val="References"/>
        </w:rPr>
        <w:t>#</w:t>
      </w:r>
      <w:r w:rsidR="00B3130A" w:rsidRPr="00302923">
        <w:rPr>
          <w:rStyle w:val="References"/>
        </w:rPr>
        <w:t>, item</w:t>
      </w:r>
      <w:r w:rsidR="00B3130A">
        <w:rPr>
          <w:rStyle w:val="References"/>
        </w:rPr>
        <w:t xml:space="preserve"> 4</w:t>
      </w:r>
      <w:r w:rsidR="00B3130A" w:rsidRPr="00302923">
        <w:rPr>
          <w:rStyle w:val="References"/>
        </w:rPr>
        <w:t xml:space="preserve">, </w:t>
      </w:r>
      <w:r w:rsidR="00B3130A">
        <w:rPr>
          <w:rStyle w:val="References"/>
        </w:rPr>
        <w:t>section 43-145 of the ITAA 1997</w:t>
      </w:r>
      <w:r w:rsidR="00B3130A" w:rsidRPr="00302923">
        <w:rPr>
          <w:rStyle w:val="References"/>
        </w:rPr>
        <w:t>]</w:t>
      </w:r>
    </w:p>
    <w:p w14:paraId="30DAF41A" w14:textId="176CC261" w:rsidR="00F14D98" w:rsidRDefault="00F14D98" w:rsidP="00F14D98">
      <w:pPr>
        <w:pStyle w:val="Heading4"/>
      </w:pPr>
      <w:r>
        <w:t>Reduced withholding rates for MITs</w:t>
      </w:r>
      <w:r w:rsidR="008346E4">
        <w:t xml:space="preserve"> and AMITs</w:t>
      </w:r>
    </w:p>
    <w:p w14:paraId="5B2557D2" w14:textId="77777777" w:rsidR="006E28E8" w:rsidRDefault="006E28E8" w:rsidP="006E28E8">
      <w:pPr>
        <w:pStyle w:val="Normalparatextwithnumbers"/>
      </w:pPr>
      <w:r>
        <w:t xml:space="preserve">A MIT is a type of trust in which members of the public collectively invest in passive income activities, including owning property. </w:t>
      </w:r>
    </w:p>
    <w:p w14:paraId="42A6EF9A" w14:textId="17DDA81C" w:rsidR="006E28E8" w:rsidRDefault="006E28E8" w:rsidP="006E28E8">
      <w:pPr>
        <w:pStyle w:val="Normalparatextwithnumbers"/>
      </w:pPr>
      <w:r>
        <w:t>An AMIT is a MIT that has elected to be subject to the AMIT regime</w:t>
      </w:r>
      <w:r w:rsidR="00C0452E">
        <w:t>.</w:t>
      </w:r>
    </w:p>
    <w:p w14:paraId="7F339787" w14:textId="3EF5996A" w:rsidR="00A87508" w:rsidRDefault="00A87508" w:rsidP="00A87508">
      <w:pPr>
        <w:pStyle w:val="Normalparatextwithnumbers"/>
      </w:pPr>
      <w:r>
        <w:t>Section 275-10 of the ITAA 1997 defines MIT by setting out the requirements for a trust to be a MIT for the purposes of Division 275 of the ITAA 1997 and Division 12 of Sch</w:t>
      </w:r>
      <w:r w:rsidR="00883E45">
        <w:t>edule</w:t>
      </w:r>
      <w:r>
        <w:t xml:space="preserve"> 1 </w:t>
      </w:r>
      <w:r w:rsidR="00883E45">
        <w:t>to the TAA 1953</w:t>
      </w:r>
      <w:r>
        <w:t>. The requirements are that:</w:t>
      </w:r>
    </w:p>
    <w:p w14:paraId="79492334" w14:textId="77777777" w:rsidR="00A87508" w:rsidRDefault="00A87508" w:rsidP="00A87508">
      <w:pPr>
        <w:pStyle w:val="Dotpoint1"/>
      </w:pPr>
      <w:r>
        <w:t xml:space="preserve">the trustee is an Australian resident, or the central management and control of the trust is in </w:t>
      </w:r>
      <w:proofErr w:type="gramStart"/>
      <w:r>
        <w:t>Australia;</w:t>
      </w:r>
      <w:proofErr w:type="gramEnd"/>
    </w:p>
    <w:p w14:paraId="05D88A30" w14:textId="62C18E8B" w:rsidR="00A87508" w:rsidRDefault="00A87508" w:rsidP="00A87508">
      <w:pPr>
        <w:pStyle w:val="Dotpoint1"/>
      </w:pPr>
      <w:r>
        <w:t xml:space="preserve">the trust does not carry on or control an active trading business </w:t>
      </w:r>
      <w:r w:rsidR="00680FBF">
        <w:t>(</w:t>
      </w:r>
      <w:r>
        <w:t>this means that the MIT’s investments must all be ‘eligible investment business’ (see section 102M of ITAA 1936)</w:t>
      </w:r>
      <w:proofErr w:type="gramStart"/>
      <w:r>
        <w:t>);</w:t>
      </w:r>
      <w:proofErr w:type="gramEnd"/>
    </w:p>
    <w:p w14:paraId="5F3A167F" w14:textId="77777777" w:rsidR="00A87508" w:rsidRDefault="00A87508" w:rsidP="00A87508">
      <w:pPr>
        <w:pStyle w:val="Dotpoint1"/>
      </w:pPr>
      <w:r>
        <w:t>the trust is a managed investment scheme (within the meaning of section 9 of the Corporations Act 2001</w:t>
      </w:r>
      <w:proofErr w:type="gramStart"/>
      <w:r>
        <w:t>);</w:t>
      </w:r>
      <w:proofErr w:type="gramEnd"/>
    </w:p>
    <w:p w14:paraId="527DF5C7" w14:textId="22C79ABA" w:rsidR="00A87508" w:rsidRDefault="00A87508" w:rsidP="00A87508">
      <w:pPr>
        <w:pStyle w:val="Dotpoint1"/>
      </w:pPr>
      <w:r>
        <w:t>the trust meets the widely held requirements (see subsections</w:t>
      </w:r>
      <w:r w:rsidR="00A9631B">
        <w:t> </w:t>
      </w:r>
      <w:r>
        <w:t>275</w:t>
      </w:r>
      <w:r w:rsidR="00A9631B">
        <w:noBreakHyphen/>
      </w:r>
      <w:r>
        <w:t>20(1) and 275-25(1) of the ITAA 1997</w:t>
      </w:r>
      <w:proofErr w:type="gramStart"/>
      <w:r>
        <w:t>);</w:t>
      </w:r>
      <w:proofErr w:type="gramEnd"/>
    </w:p>
    <w:p w14:paraId="454AC5DC" w14:textId="77777777" w:rsidR="00A87508" w:rsidRDefault="00A87508" w:rsidP="00A87508">
      <w:pPr>
        <w:pStyle w:val="Dotpoint1"/>
      </w:pPr>
      <w:r>
        <w:t>the trust meets the closely held restrictions (see subsection 275-30(1)); and</w:t>
      </w:r>
    </w:p>
    <w:p w14:paraId="60955858" w14:textId="77777777" w:rsidR="00A87508" w:rsidRDefault="00A87508" w:rsidP="00A87508">
      <w:pPr>
        <w:pStyle w:val="Dotpoint1"/>
      </w:pPr>
      <w:r>
        <w:t>the trust is operated or managed by an appropriately regulated entity.</w:t>
      </w:r>
    </w:p>
    <w:p w14:paraId="5C6B167D" w14:textId="77777777" w:rsidR="00A87508" w:rsidRDefault="00A87508" w:rsidP="00A87508">
      <w:pPr>
        <w:pStyle w:val="Normalparatextwithnumbers"/>
      </w:pPr>
      <w:r>
        <w:t>The first three requirements are general requirements that apply to all trusts in the same way. The last three requirements are specific requirements that apply in different ways to some trusts.</w:t>
      </w:r>
    </w:p>
    <w:p w14:paraId="5344ECB1" w14:textId="77777777" w:rsidR="002D7F09" w:rsidRDefault="002D7F09" w:rsidP="002D7F09">
      <w:pPr>
        <w:pStyle w:val="Normalparatextwithnumbers"/>
      </w:pPr>
      <w:r>
        <w:t xml:space="preserve">Section 840-805 of the ITAA 1997 provides that a foreign resident must pay income tax on certain amounts of Australian sourced net income – </w:t>
      </w:r>
      <w:proofErr w:type="gramStart"/>
      <w:r>
        <w:t>i.e.</w:t>
      </w:r>
      <w:proofErr w:type="gramEnd"/>
      <w:r>
        <w:t xml:space="preserve"> a ‘fund payment’ – of a ‘withholding MIT’ that the foreign resident is either paid or which they are presently entitled to. This tax is called a ‘MIT withholding tax’.</w:t>
      </w:r>
    </w:p>
    <w:p w14:paraId="163918C5" w14:textId="167E5DEC" w:rsidR="002D7F09" w:rsidRDefault="002D7F09" w:rsidP="002D7F09">
      <w:pPr>
        <w:pStyle w:val="Normalparatextwithnumbers"/>
      </w:pPr>
      <w:r>
        <w:t>A ‘withholding MIT’ is defined in section 12-383 of Sch</w:t>
      </w:r>
      <w:r w:rsidR="00E73293">
        <w:t>edule</w:t>
      </w:r>
      <w:r>
        <w:t xml:space="preserve"> 1 </w:t>
      </w:r>
      <w:r w:rsidR="00883E45">
        <w:t>to the TAA</w:t>
      </w:r>
      <w:r w:rsidR="00E73293">
        <w:t> </w:t>
      </w:r>
      <w:r w:rsidR="00883E45">
        <w:t>1953</w:t>
      </w:r>
      <w:r>
        <w:t xml:space="preserve">. Broadly, a MIT or AMIT is a withholding MIT </w:t>
      </w:r>
      <w:r w:rsidR="005F4776">
        <w:t xml:space="preserve">if </w:t>
      </w:r>
      <w:r w:rsidR="00541672">
        <w:t xml:space="preserve">it is a MIT in relation to the income year because of paragraph 275-10(1)(a) or subsection 274-10(2) of the ITAA 1997 and </w:t>
      </w:r>
      <w:r>
        <w:t xml:space="preserve">it carries out, in Australia, a substantial proportion of its investment management activities in relation to certain Australian assets, including assets situated in Australia and securities listed on an approved Australian stock exchange. </w:t>
      </w:r>
    </w:p>
    <w:p w14:paraId="27780892" w14:textId="77777777" w:rsidR="002D7F09" w:rsidRDefault="002D7F09" w:rsidP="002D7F09">
      <w:pPr>
        <w:pStyle w:val="Normalparatextwithnumbers"/>
      </w:pPr>
      <w:r>
        <w:t xml:space="preserve">A ‘fund payment’ is a component of a payment made by the trustee of a MIT or AMIT that effectively represents a distribution of a MIT or AMIT’s net income to the members of the MIT or AMIT. A fund payment specifically </w:t>
      </w:r>
      <w:r>
        <w:lastRenderedPageBreak/>
        <w:t xml:space="preserve">excludes certain types of income such as dividend, interest or royalty income, capital gain and losses from a capital gain tax asset that is not taxable Australian property, amounts that are not from an Australian source, and deductions relating to these sources of income. </w:t>
      </w:r>
    </w:p>
    <w:p w14:paraId="0B80E87D" w14:textId="77777777" w:rsidR="002D7F09" w:rsidRDefault="002D7F09" w:rsidP="002D7F09">
      <w:pPr>
        <w:pStyle w:val="Normalparatextwithnumbers"/>
      </w:pPr>
      <w:r>
        <w:t xml:space="preserve">Section 3 of the MIT Tax Act imposes the MIT withholding tax on the fund payment part of income paid to a foreign resident member of a MIT or AMIT. </w:t>
      </w:r>
    </w:p>
    <w:p w14:paraId="6B63AF8A" w14:textId="77777777" w:rsidR="002D7F09" w:rsidRDefault="002D7F09" w:rsidP="002D7F09">
      <w:pPr>
        <w:pStyle w:val="Normalparatextwithnumbers"/>
      </w:pPr>
      <w:r>
        <w:t xml:space="preserve">Section 4 of the MIT Tax Act sets out the rate of income tax imposed: </w:t>
      </w:r>
    </w:p>
    <w:p w14:paraId="6A5240CF" w14:textId="77777777" w:rsidR="002D7F09" w:rsidRDefault="002D7F09" w:rsidP="007034AB">
      <w:pPr>
        <w:pStyle w:val="Dotpoint1"/>
      </w:pPr>
      <w:r>
        <w:t>if the entity is a resident of an information exchange country, the rate is 15 per cent for fund payments except:</w:t>
      </w:r>
    </w:p>
    <w:p w14:paraId="708D32D1" w14:textId="77777777" w:rsidR="002D7F09" w:rsidRDefault="002D7F09" w:rsidP="007034AB">
      <w:pPr>
        <w:pStyle w:val="dotpoint2"/>
      </w:pPr>
      <w:r>
        <w:t>to the extent they are, or are attributable to, fund payments from a clean building MIT (and are not attributable to non-concessional MIT income) – in which case the rate of tax imposed is 10 per cent; or</w:t>
      </w:r>
    </w:p>
    <w:p w14:paraId="73E37229" w14:textId="77777777" w:rsidR="002D7F09" w:rsidRDefault="002D7F09" w:rsidP="007034AB">
      <w:pPr>
        <w:pStyle w:val="dotpoint2"/>
      </w:pPr>
      <w:r>
        <w:t>to the extent they are attributable to non-concessional MIT income – in which case the rate of tax imposed is 30 per cent.</w:t>
      </w:r>
    </w:p>
    <w:p w14:paraId="779F8102" w14:textId="77777777" w:rsidR="002D7F09" w:rsidRDefault="002D7F09" w:rsidP="007034AB">
      <w:pPr>
        <w:pStyle w:val="Dotpoint1"/>
      </w:pPr>
      <w:r>
        <w:t xml:space="preserve">if the entity is not a resident of an information exchange country, the rate of tax imposed is 30 per cent. </w:t>
      </w:r>
    </w:p>
    <w:p w14:paraId="7353035A" w14:textId="45D33EF5" w:rsidR="00C1613C" w:rsidRDefault="00C1613C" w:rsidP="00C1613C">
      <w:pPr>
        <w:pStyle w:val="Normalparatextwithnumbers"/>
      </w:pPr>
      <w:r>
        <w:t xml:space="preserve">Withholding obligations at these same rates are imposed by </w:t>
      </w:r>
      <w:r w:rsidR="0088149C">
        <w:t>section 12</w:t>
      </w:r>
      <w:r w:rsidR="00A87875">
        <w:t>-</w:t>
      </w:r>
      <w:r w:rsidR="0088149C">
        <w:t xml:space="preserve">385 of </w:t>
      </w:r>
      <w:r w:rsidR="00487F5A">
        <w:t xml:space="preserve">Schedule 1 </w:t>
      </w:r>
      <w:r w:rsidR="00883E45">
        <w:t>to the TAA 1953</w:t>
      </w:r>
      <w:r w:rsidR="0088149C">
        <w:t>.</w:t>
      </w:r>
    </w:p>
    <w:p w14:paraId="39822026" w14:textId="3560310E" w:rsidR="00CB05D9" w:rsidRDefault="002D7F09" w:rsidP="000212DA">
      <w:pPr>
        <w:pStyle w:val="Normalparatextwithnumbers"/>
      </w:pPr>
      <w:r>
        <w:t xml:space="preserve">Currently, fund payments </w:t>
      </w:r>
      <w:r w:rsidR="00231296">
        <w:t>to a foreign resident</w:t>
      </w:r>
      <w:r>
        <w:t xml:space="preserve"> that represent </w:t>
      </w:r>
      <w:r w:rsidR="004E2426">
        <w:t xml:space="preserve">rental </w:t>
      </w:r>
      <w:r>
        <w:t xml:space="preserve">income from a </w:t>
      </w:r>
      <w:r w:rsidR="00C17AB5">
        <w:t>BTR</w:t>
      </w:r>
      <w:r>
        <w:t xml:space="preserve"> </w:t>
      </w:r>
      <w:r w:rsidR="00DD3AF0">
        <w:t>development</w:t>
      </w:r>
      <w:r>
        <w:t xml:space="preserve"> is taxed at 30 per cent as it is treated as non-concessional MIT income</w:t>
      </w:r>
      <w:r w:rsidR="00235E10">
        <w:t xml:space="preserve"> due to the operation of section 12-435 of </w:t>
      </w:r>
      <w:r w:rsidR="00487F5A">
        <w:t xml:space="preserve">Schedule 1 of the </w:t>
      </w:r>
      <w:r w:rsidR="00235E10">
        <w:t>TAA 1953 which includes MIT residential housing income as non-concessional MIT income</w:t>
      </w:r>
      <w:r w:rsidR="007034AB">
        <w:t>.</w:t>
      </w:r>
    </w:p>
    <w:p w14:paraId="2ED396BB" w14:textId="6369D2FA" w:rsidR="00F14D98" w:rsidRPr="00B603CC" w:rsidRDefault="003432E3" w:rsidP="00F14D98">
      <w:pPr>
        <w:pStyle w:val="Normalparatextwithnumbers"/>
      </w:pPr>
      <w:r w:rsidRPr="00B603CC">
        <w:t>The de</w:t>
      </w:r>
      <w:r w:rsidR="002303BF" w:rsidRPr="00B603CC">
        <w:t xml:space="preserve">finition of MIT residential housing income in Schedule 1 </w:t>
      </w:r>
      <w:r w:rsidR="00883E45">
        <w:t>to the TAA 1953</w:t>
      </w:r>
      <w:r w:rsidR="005B4A3E" w:rsidRPr="00B603CC">
        <w:t xml:space="preserve"> </w:t>
      </w:r>
      <w:r w:rsidR="00215157" w:rsidRPr="00B603CC">
        <w:t xml:space="preserve">(which is incorporated into the ITAA 1997 and the MIT Tax Act) </w:t>
      </w:r>
      <w:r w:rsidR="005B4A3E" w:rsidRPr="00B603CC">
        <w:t>is</w:t>
      </w:r>
      <w:r w:rsidR="00A857DA" w:rsidRPr="00B603CC">
        <w:t xml:space="preserve"> therefore</w:t>
      </w:r>
      <w:r w:rsidR="00CB05D9" w:rsidRPr="00B603CC">
        <w:t xml:space="preserve"> </w:t>
      </w:r>
      <w:r w:rsidR="005B4A3E" w:rsidRPr="00B603CC">
        <w:t>adjusted to exclude all</w:t>
      </w:r>
      <w:r w:rsidR="00E4348E" w:rsidRPr="00B603CC">
        <w:t xml:space="preserve"> amounts that are attributable to a payment of rental income under a lease of a dwelling that is part of</w:t>
      </w:r>
      <w:r w:rsidR="00CD4EBD" w:rsidRPr="00B603CC">
        <w:t xml:space="preserve"> an active BTR development during the </w:t>
      </w:r>
      <w:r w:rsidR="00CB05D9" w:rsidRPr="00B603CC">
        <w:t>BTR compliance period for that dwelling.</w:t>
      </w:r>
      <w:r w:rsidR="00A857DA" w:rsidRPr="00B603CC">
        <w:t xml:space="preserve"> This income is then subject to the concessional </w:t>
      </w:r>
      <w:r w:rsidR="003871AD" w:rsidRPr="00B603CC">
        <w:t>15 per cent rate of tax.</w:t>
      </w:r>
      <w:r w:rsidR="00F82887" w:rsidRPr="00B603CC">
        <w:t xml:space="preserve"> </w:t>
      </w:r>
      <w:r w:rsidR="00CB05D9" w:rsidRPr="00B603CC">
        <w:br/>
      </w:r>
      <w:r w:rsidR="00CB05D9" w:rsidRPr="00B603CC">
        <w:rPr>
          <w:rStyle w:val="References"/>
        </w:rPr>
        <w:t xml:space="preserve">[Schedule #, item 10, </w:t>
      </w:r>
      <w:r w:rsidR="005C7563" w:rsidRPr="00B603CC">
        <w:rPr>
          <w:rStyle w:val="References"/>
        </w:rPr>
        <w:t xml:space="preserve">subsection 12-450(5) of Schedule 1 </w:t>
      </w:r>
      <w:r w:rsidR="00883E45">
        <w:rPr>
          <w:rStyle w:val="References"/>
        </w:rPr>
        <w:t>to the TAA 1953</w:t>
      </w:r>
      <w:r w:rsidR="00CB05D9" w:rsidRPr="00B603CC">
        <w:rPr>
          <w:rStyle w:val="References"/>
        </w:rPr>
        <w:t xml:space="preserve">] </w:t>
      </w:r>
    </w:p>
    <w:p w14:paraId="018097AE" w14:textId="226B2A07" w:rsidR="002110AE" w:rsidRPr="00B603CC" w:rsidRDefault="00A81611" w:rsidP="00F14D98">
      <w:pPr>
        <w:pStyle w:val="Normalparatextwithnumbers"/>
      </w:pPr>
      <w:r>
        <w:t xml:space="preserve">Unlike the accelerated </w:t>
      </w:r>
      <w:r w:rsidR="00235E10">
        <w:t xml:space="preserve">capital works </w:t>
      </w:r>
      <w:r>
        <w:t>concession, t</w:t>
      </w:r>
      <w:r w:rsidRPr="00B603CC">
        <w:t>his</w:t>
      </w:r>
      <w:r w:rsidR="00BB2A32" w:rsidRPr="00B603CC">
        <w:t xml:space="preserve"> concessional treatment</w:t>
      </w:r>
      <w:r w:rsidR="002110AE" w:rsidRPr="00B603CC">
        <w:t xml:space="preserve"> only appl</w:t>
      </w:r>
      <w:r w:rsidR="00BB2A32" w:rsidRPr="00B603CC">
        <w:t>ies</w:t>
      </w:r>
      <w:r w:rsidR="002110AE" w:rsidRPr="00B603CC">
        <w:t xml:space="preserve"> during the compliance period.</w:t>
      </w:r>
      <w:r w:rsidR="00BB2A32" w:rsidRPr="00B603CC">
        <w:br/>
      </w:r>
      <w:r w:rsidR="00BB2A32" w:rsidRPr="00B603CC">
        <w:rPr>
          <w:rStyle w:val="References"/>
        </w:rPr>
        <w:t>[</w:t>
      </w:r>
      <w:r w:rsidR="00B603CC" w:rsidRPr="00B603CC">
        <w:rPr>
          <w:rStyle w:val="References"/>
        </w:rPr>
        <w:t xml:space="preserve">Schedule #, item 10, paragraph 12-450(5)(b) of Schedule 1 </w:t>
      </w:r>
      <w:r w:rsidR="00883E45">
        <w:rPr>
          <w:rStyle w:val="References"/>
        </w:rPr>
        <w:t>to the TAA 1953</w:t>
      </w:r>
      <w:r w:rsidR="00BB2A32" w:rsidRPr="00B603CC">
        <w:rPr>
          <w:rStyle w:val="References"/>
        </w:rPr>
        <w:t xml:space="preserve">] </w:t>
      </w:r>
    </w:p>
    <w:p w14:paraId="0D9218B0" w14:textId="5315D24D" w:rsidR="00F14D98" w:rsidRPr="00F14D98" w:rsidRDefault="00F14D98" w:rsidP="00F14D98">
      <w:pPr>
        <w:pStyle w:val="Heading4"/>
      </w:pPr>
      <w:r>
        <w:lastRenderedPageBreak/>
        <w:t>Specific reporting mechanism</w:t>
      </w:r>
    </w:p>
    <w:p w14:paraId="3F7C0E72" w14:textId="4DD9146C" w:rsidR="00E51F95" w:rsidRDefault="00E51F95" w:rsidP="00E51F95">
      <w:pPr>
        <w:pStyle w:val="Normalparatextwithnumbers"/>
      </w:pPr>
      <w:r>
        <w:t xml:space="preserve">Entities participating in BTR </w:t>
      </w:r>
      <w:r w:rsidR="00DD3AF0">
        <w:t>development</w:t>
      </w:r>
      <w:r>
        <w:t>s must notify the Commissioner of events and information when required. Events that trigger the requirement to notify the Commissioner are:</w:t>
      </w:r>
    </w:p>
    <w:p w14:paraId="1542FB4A" w14:textId="44169B5A" w:rsidR="00E51F95" w:rsidRDefault="0004199C" w:rsidP="00B81968">
      <w:pPr>
        <w:pStyle w:val="Dotpoint1"/>
      </w:pPr>
      <w:r>
        <w:t>t</w:t>
      </w:r>
      <w:r w:rsidR="001331AC">
        <w:t xml:space="preserve">he </w:t>
      </w:r>
      <w:r>
        <w:t>BTR</w:t>
      </w:r>
      <w:r w:rsidR="001331AC">
        <w:t xml:space="preserve"> </w:t>
      </w:r>
      <w:r w:rsidR="00DD3AF0">
        <w:t>development</w:t>
      </w:r>
      <w:r w:rsidR="00E51F95">
        <w:t xml:space="preserve"> </w:t>
      </w:r>
      <w:r w:rsidR="001331AC">
        <w:t xml:space="preserve">commences to be an active BTR </w:t>
      </w:r>
      <w:r w:rsidR="00DB3428">
        <w:t>development</w:t>
      </w:r>
      <w:r w:rsidR="00E51F95">
        <w:t xml:space="preserve"> (as this determines the start date of the minimum ownership/operational period and the scope of the BTR </w:t>
      </w:r>
      <w:r w:rsidR="00DD3AF0">
        <w:t>development</w:t>
      </w:r>
      <w:r w:rsidR="00E51F95">
        <w:t xml:space="preserve"> is known with certainty</w:t>
      </w:r>
      <w:proofErr w:type="gramStart"/>
      <w:r w:rsidR="00E51F95">
        <w:t>)</w:t>
      </w:r>
      <w:r>
        <w:t>;</w:t>
      </w:r>
      <w:proofErr w:type="gramEnd"/>
    </w:p>
    <w:p w14:paraId="45AF117C" w14:textId="56E7560E" w:rsidR="00E51F95" w:rsidRDefault="00E51F95" w:rsidP="00B81968">
      <w:pPr>
        <w:pStyle w:val="Dotpoint1"/>
      </w:pPr>
      <w:r>
        <w:t xml:space="preserve">expansion </w:t>
      </w:r>
      <w:r w:rsidR="000C7C8C">
        <w:t>of an</w:t>
      </w:r>
      <w:r>
        <w:t xml:space="preserve"> </w:t>
      </w:r>
      <w:r w:rsidR="00E8171D">
        <w:t>active</w:t>
      </w:r>
      <w:r>
        <w:t xml:space="preserve"> BTR </w:t>
      </w:r>
      <w:r w:rsidR="00DD3AF0">
        <w:t>development</w:t>
      </w:r>
      <w:r>
        <w:t xml:space="preserve"> during the minimum period of ownership/</w:t>
      </w:r>
      <w:proofErr w:type="gramStart"/>
      <w:r>
        <w:t>operation</w:t>
      </w:r>
      <w:r w:rsidR="0004199C">
        <w:t>;</w:t>
      </w:r>
      <w:proofErr w:type="gramEnd"/>
    </w:p>
    <w:p w14:paraId="683EA673" w14:textId="7B60AA3D" w:rsidR="00E51F95" w:rsidRDefault="00447B29" w:rsidP="00B81968">
      <w:pPr>
        <w:pStyle w:val="Dotpoint1"/>
      </w:pPr>
      <w:r>
        <w:t>change</w:t>
      </w:r>
      <w:r w:rsidR="00E51F95">
        <w:t xml:space="preserve"> of </w:t>
      </w:r>
      <w:r w:rsidR="000C7C8C">
        <w:t>the</w:t>
      </w:r>
      <w:r w:rsidR="00E51F95">
        <w:t xml:space="preserve"> direct ownership interest in an </w:t>
      </w:r>
      <w:r w:rsidR="00E8171D">
        <w:t>active</w:t>
      </w:r>
      <w:r w:rsidR="00E51F95">
        <w:t xml:space="preserve"> BTR </w:t>
      </w:r>
      <w:proofErr w:type="gramStart"/>
      <w:r w:rsidR="00DD3AF0">
        <w:t>development</w:t>
      </w:r>
      <w:r w:rsidR="0004199C">
        <w:t>;</w:t>
      </w:r>
      <w:proofErr w:type="gramEnd"/>
      <w:r w:rsidR="007B5B31">
        <w:t xml:space="preserve"> </w:t>
      </w:r>
    </w:p>
    <w:p w14:paraId="13B46DD9" w14:textId="77777777" w:rsidR="00085BBB" w:rsidRDefault="00E51F95" w:rsidP="00B81968">
      <w:pPr>
        <w:pStyle w:val="Dotpoint1"/>
      </w:pPr>
      <w:r>
        <w:t xml:space="preserve">a BTR </w:t>
      </w:r>
      <w:r w:rsidR="00DD3AF0">
        <w:t>development</w:t>
      </w:r>
      <w:r>
        <w:t xml:space="preserve"> </w:t>
      </w:r>
      <w:r w:rsidR="00E8171D">
        <w:t xml:space="preserve">ceases to be </w:t>
      </w:r>
      <w:r w:rsidR="00085BBB">
        <w:t xml:space="preserve">an </w:t>
      </w:r>
      <w:r w:rsidR="00E8171D">
        <w:t>active</w:t>
      </w:r>
      <w:r>
        <w:t xml:space="preserve"> </w:t>
      </w:r>
      <w:r w:rsidR="00085BBB">
        <w:t>BTR development</w:t>
      </w:r>
      <w:r>
        <w:t>.</w:t>
      </w:r>
    </w:p>
    <w:p w14:paraId="6238DBB0" w14:textId="1DCB97DA" w:rsidR="00E51F95" w:rsidRPr="00BB4FFC" w:rsidRDefault="00085BBB" w:rsidP="00085BBB">
      <w:pPr>
        <w:pStyle w:val="Referenceafterdotpoint"/>
        <w:rPr>
          <w:rStyle w:val="References"/>
        </w:rPr>
      </w:pPr>
      <w:r w:rsidRPr="00BB4FFC">
        <w:rPr>
          <w:rStyle w:val="References"/>
        </w:rPr>
        <w:t>[</w:t>
      </w:r>
      <w:r w:rsidR="00BB4FFC" w:rsidRPr="007C7D7C">
        <w:rPr>
          <w:rStyle w:val="References"/>
          <w:b/>
          <w:i/>
        </w:rPr>
        <w:t>Schedule #, item 5, subsection 43-153(1) of the ITAA 1997</w:t>
      </w:r>
      <w:r w:rsidRPr="00BB4FFC">
        <w:rPr>
          <w:rStyle w:val="References"/>
        </w:rPr>
        <w:t xml:space="preserve">] </w:t>
      </w:r>
    </w:p>
    <w:p w14:paraId="6422A86C" w14:textId="195AB637" w:rsidR="00E669CC" w:rsidRPr="00724254" w:rsidRDefault="00E51F95" w:rsidP="007B39D0">
      <w:pPr>
        <w:pStyle w:val="Normalparatextwithnumbers"/>
        <w:numPr>
          <w:ilvl w:val="1"/>
          <w:numId w:val="3"/>
        </w:numPr>
        <w:rPr>
          <w:rStyle w:val="References"/>
          <w:b w:val="0"/>
          <w:i w:val="0"/>
        </w:rPr>
      </w:pPr>
      <w:r>
        <w:t xml:space="preserve">The </w:t>
      </w:r>
      <w:r w:rsidR="00BC14E6">
        <w:t xml:space="preserve">notification </w:t>
      </w:r>
      <w:r w:rsidR="00B81968">
        <w:t>must</w:t>
      </w:r>
      <w:r>
        <w:t xml:space="preserve"> be given within 28 days of the trigger event. </w:t>
      </w:r>
      <w:r w:rsidR="00702B33">
        <w:t>This notification must occur by way of a</w:t>
      </w:r>
      <w:r w:rsidR="00581C2D">
        <w:t xml:space="preserve"> </w:t>
      </w:r>
      <w:r w:rsidR="00702B33">
        <w:t>form</w:t>
      </w:r>
      <w:r w:rsidR="00BC14E6">
        <w:t xml:space="preserve"> approved by the Commissioner</w:t>
      </w:r>
      <w:r w:rsidR="00702B33">
        <w:t xml:space="preserve">. </w:t>
      </w:r>
      <w:r w:rsidR="00B4130F">
        <w:br/>
      </w:r>
      <w:r w:rsidR="00B4130F" w:rsidRPr="00B4130F">
        <w:rPr>
          <w:rStyle w:val="References"/>
        </w:rPr>
        <w:t xml:space="preserve">[Schedule </w:t>
      </w:r>
      <w:r w:rsidR="00B4130F">
        <w:rPr>
          <w:rStyle w:val="References"/>
        </w:rPr>
        <w:t>#</w:t>
      </w:r>
      <w:r w:rsidR="00B4130F" w:rsidRPr="00B4130F">
        <w:rPr>
          <w:rStyle w:val="References"/>
        </w:rPr>
        <w:t>, item</w:t>
      </w:r>
      <w:r w:rsidR="00B4130F">
        <w:rPr>
          <w:rStyle w:val="References"/>
        </w:rPr>
        <w:t xml:space="preserve"> 5</w:t>
      </w:r>
      <w:r w:rsidR="00B4130F" w:rsidRPr="00B4130F">
        <w:rPr>
          <w:rStyle w:val="References"/>
        </w:rPr>
        <w:t xml:space="preserve">, </w:t>
      </w:r>
      <w:r w:rsidR="00B4130F">
        <w:rPr>
          <w:rStyle w:val="References"/>
        </w:rPr>
        <w:t xml:space="preserve">subsection </w:t>
      </w:r>
      <w:r w:rsidR="00380476">
        <w:rPr>
          <w:rStyle w:val="References"/>
        </w:rPr>
        <w:t>43-153(2) of the ITAA 1997</w:t>
      </w:r>
      <w:r w:rsidR="00B4130F" w:rsidRPr="00B4130F">
        <w:rPr>
          <w:rStyle w:val="References"/>
        </w:rPr>
        <w:t xml:space="preserve">] </w:t>
      </w:r>
    </w:p>
    <w:p w14:paraId="707B88CA" w14:textId="77777777" w:rsidR="009D637F" w:rsidRDefault="00F177D0" w:rsidP="000C1F39">
      <w:pPr>
        <w:pStyle w:val="Normalparatextwithnumbers"/>
      </w:pPr>
      <w:r>
        <w:t xml:space="preserve">The entities that must notify the Commissioner </w:t>
      </w:r>
      <w:r w:rsidR="0048410C">
        <w:t xml:space="preserve">of these events </w:t>
      </w:r>
      <w:r>
        <w:t>are</w:t>
      </w:r>
      <w:r w:rsidR="009D637F">
        <w:t>:</w:t>
      </w:r>
      <w:r w:rsidR="009917C1">
        <w:t xml:space="preserve"> </w:t>
      </w:r>
    </w:p>
    <w:p w14:paraId="4EEF8443" w14:textId="6A7181A3" w:rsidR="000C1F39" w:rsidRDefault="009917C1" w:rsidP="009D637F">
      <w:pPr>
        <w:pStyle w:val="Dotpoint1"/>
      </w:pPr>
      <w:r>
        <w:t xml:space="preserve">the owner of the development </w:t>
      </w:r>
      <w:r w:rsidR="00293C08">
        <w:t xml:space="preserve">at the time immediately before the event </w:t>
      </w:r>
      <w:proofErr w:type="gramStart"/>
      <w:r w:rsidR="00293C08">
        <w:t>happens</w:t>
      </w:r>
      <w:r w:rsidR="009D637F">
        <w:t>;</w:t>
      </w:r>
      <w:proofErr w:type="gramEnd"/>
      <w:r w:rsidR="00F177D0">
        <w:t xml:space="preserve"> </w:t>
      </w:r>
    </w:p>
    <w:p w14:paraId="0FA18113" w14:textId="4CEB48A3" w:rsidR="005000BA" w:rsidRDefault="00690B89" w:rsidP="009D637F">
      <w:pPr>
        <w:pStyle w:val="Dotpoint1"/>
      </w:pPr>
      <w:r>
        <w:t xml:space="preserve">an entity, if </w:t>
      </w:r>
      <w:r w:rsidR="00153DBC">
        <w:t>for the income year in which the event happens</w:t>
      </w:r>
      <w:r w:rsidR="00395336">
        <w:t>,</w:t>
      </w:r>
      <w:r w:rsidR="00FB015A">
        <w:t xml:space="preserve"> </w:t>
      </w:r>
      <w:r>
        <w:t xml:space="preserve">the entity </w:t>
      </w:r>
      <w:r w:rsidR="00655DD5">
        <w:t xml:space="preserve">is a trustee of a MIT and </w:t>
      </w:r>
      <w:r>
        <w:t>is</w:t>
      </w:r>
      <w:r w:rsidR="00395336">
        <w:t xml:space="preserve"> </w:t>
      </w:r>
      <w:r w:rsidR="00FB015A">
        <w:t>required to</w:t>
      </w:r>
      <w:r w:rsidR="00655DD5">
        <w:t xml:space="preserve"> report</w:t>
      </w:r>
      <w:r w:rsidR="005F682A">
        <w:t xml:space="preserve"> under the specific reporting</w:t>
      </w:r>
      <w:r w:rsidR="00E6126B">
        <w:t xml:space="preserve"> provisions relating to MIT fund payments (described below)</w:t>
      </w:r>
      <w:r w:rsidR="006C7912">
        <w:t>.</w:t>
      </w:r>
    </w:p>
    <w:p w14:paraId="254DA343" w14:textId="5B8A3129" w:rsidR="009D637F" w:rsidRPr="00724254" w:rsidRDefault="005000BA" w:rsidP="00724254">
      <w:pPr>
        <w:pStyle w:val="Referenceafterdotpoint"/>
        <w:rPr>
          <w:rStyle w:val="References"/>
        </w:rPr>
      </w:pPr>
      <w:r w:rsidRPr="00724254">
        <w:rPr>
          <w:rStyle w:val="References"/>
        </w:rPr>
        <w:t>[</w:t>
      </w:r>
      <w:r w:rsidRPr="005000BA">
        <w:rPr>
          <w:rStyle w:val="References"/>
          <w:b/>
          <w:bCs w:val="0"/>
          <w:i/>
          <w:iCs w:val="0"/>
        </w:rPr>
        <w:t>Schedule #, item 5, subsection 43-153(3) of the ITAA 1997</w:t>
      </w:r>
      <w:r w:rsidRPr="00724254">
        <w:rPr>
          <w:rStyle w:val="References"/>
        </w:rPr>
        <w:t xml:space="preserve">] </w:t>
      </w:r>
    </w:p>
    <w:p w14:paraId="2B9925D9" w14:textId="4311A0AE" w:rsidR="00213A4E" w:rsidRDefault="00213A4E" w:rsidP="00213A4E">
      <w:pPr>
        <w:pStyle w:val="Heading5"/>
      </w:pPr>
      <w:r>
        <w:t>Specific reporting for MIT fund payments</w:t>
      </w:r>
    </w:p>
    <w:p w14:paraId="0A5DDB0A" w14:textId="2DDFF070" w:rsidR="002B02C8" w:rsidRDefault="002B02C8">
      <w:pPr>
        <w:pStyle w:val="Normalparatextwithnumbers"/>
        <w:numPr>
          <w:ilvl w:val="1"/>
          <w:numId w:val="3"/>
        </w:numPr>
      </w:pPr>
      <w:r>
        <w:t>Further</w:t>
      </w:r>
      <w:r w:rsidR="009432C7">
        <w:t xml:space="preserve">, a trustee of a MIT </w:t>
      </w:r>
      <w:r w:rsidR="00146094">
        <w:t xml:space="preserve">must notify the Commissioner prior </w:t>
      </w:r>
      <w:r w:rsidR="00675471">
        <w:t xml:space="preserve">to making a fund payment where all or part of that fund payment consists of </w:t>
      </w:r>
      <w:r w:rsidR="00675471" w:rsidRPr="00B603CC">
        <w:t>rental income under a lease of a dwelling that is part of an active BTR development during the BTR compliance period for that dwelling</w:t>
      </w:r>
      <w:r w:rsidR="00675471">
        <w:t>.</w:t>
      </w:r>
      <w:r w:rsidR="00E17CC4">
        <w:t xml:space="preserve"> This supersedes </w:t>
      </w:r>
      <w:r w:rsidR="00C157EC">
        <w:t xml:space="preserve">existing </w:t>
      </w:r>
      <w:r w:rsidR="00F97E03">
        <w:t xml:space="preserve">reporting requirements under section 16-150 of </w:t>
      </w:r>
      <w:r w:rsidR="00883E45">
        <w:t>Schedule 1 to</w:t>
      </w:r>
      <w:r w:rsidR="00F97E03">
        <w:t xml:space="preserve"> the TAA 1953.</w:t>
      </w:r>
      <w:r w:rsidR="00213A4E">
        <w:br/>
      </w:r>
      <w:r w:rsidR="00213A4E" w:rsidRPr="00213A4E">
        <w:rPr>
          <w:rStyle w:val="References"/>
        </w:rPr>
        <w:t xml:space="preserve">[Schedule </w:t>
      </w:r>
      <w:r w:rsidR="000C327C">
        <w:rPr>
          <w:rStyle w:val="References"/>
        </w:rPr>
        <w:t>#</w:t>
      </w:r>
      <w:r w:rsidR="00213A4E" w:rsidRPr="00213A4E">
        <w:rPr>
          <w:rStyle w:val="References"/>
        </w:rPr>
        <w:t xml:space="preserve">, items </w:t>
      </w:r>
      <w:r w:rsidR="002D46B3">
        <w:rPr>
          <w:rStyle w:val="References"/>
        </w:rPr>
        <w:t>11</w:t>
      </w:r>
      <w:r w:rsidR="00F97E03">
        <w:rPr>
          <w:rStyle w:val="References"/>
        </w:rPr>
        <w:t xml:space="preserve"> and </w:t>
      </w:r>
      <w:r w:rsidR="002D46B3">
        <w:rPr>
          <w:rStyle w:val="References"/>
        </w:rPr>
        <w:t>12</w:t>
      </w:r>
      <w:r w:rsidR="00213A4E" w:rsidRPr="00213A4E">
        <w:rPr>
          <w:rStyle w:val="References"/>
        </w:rPr>
        <w:t xml:space="preserve">, </w:t>
      </w:r>
      <w:r w:rsidR="00B95563">
        <w:rPr>
          <w:rStyle w:val="References"/>
        </w:rPr>
        <w:t>subsections 16-150(1) and (4)</w:t>
      </w:r>
      <w:r w:rsidR="007975F3">
        <w:rPr>
          <w:rStyle w:val="References"/>
        </w:rPr>
        <w:t xml:space="preserve"> of </w:t>
      </w:r>
      <w:r w:rsidR="00883E45">
        <w:rPr>
          <w:rStyle w:val="References"/>
        </w:rPr>
        <w:t xml:space="preserve">Schedule 1 to </w:t>
      </w:r>
      <w:r w:rsidR="007975F3">
        <w:rPr>
          <w:rStyle w:val="References"/>
        </w:rPr>
        <w:t>the TAA 1953</w:t>
      </w:r>
      <w:r w:rsidR="00213A4E" w:rsidRPr="00213A4E">
        <w:rPr>
          <w:rStyle w:val="References"/>
        </w:rPr>
        <w:t xml:space="preserve">] </w:t>
      </w:r>
    </w:p>
    <w:p w14:paraId="432B8F19" w14:textId="50D3B419" w:rsidR="00213A4E" w:rsidRDefault="00213A4E">
      <w:pPr>
        <w:pStyle w:val="Normalparatextwithnumbers"/>
        <w:numPr>
          <w:ilvl w:val="1"/>
          <w:numId w:val="3"/>
        </w:numPr>
      </w:pPr>
      <w:r>
        <w:t>This notice</w:t>
      </w:r>
      <w:r w:rsidR="009C7B01">
        <w:t xml:space="preserve"> must be in the approved </w:t>
      </w:r>
      <w:r w:rsidR="008B738F">
        <w:t>form</w:t>
      </w:r>
      <w:r w:rsidR="000C327C">
        <w:t xml:space="preserve"> </w:t>
      </w:r>
      <w:r w:rsidR="009C7B01">
        <w:t xml:space="preserve">and must </w:t>
      </w:r>
      <w:r w:rsidR="005576A6">
        <w:t xml:space="preserve">be notified </w:t>
      </w:r>
      <w:r w:rsidR="000C327C">
        <w:t>on or before the day provided in a determination made by the Commissioner</w:t>
      </w:r>
      <w:r w:rsidR="00386674">
        <w:t>. This determination would be made by legislative instrument</w:t>
      </w:r>
      <w:r w:rsidR="000C327C">
        <w:t xml:space="preserve">. If no determination has been made, such notice must be provided </w:t>
      </w:r>
      <w:r w:rsidR="005576A6">
        <w:t>on or before the day on which the amount is due to be paid</w:t>
      </w:r>
      <w:r w:rsidR="000C327C">
        <w:t>.</w:t>
      </w:r>
      <w:r w:rsidR="007975F3">
        <w:t xml:space="preserve"> </w:t>
      </w:r>
      <w:r w:rsidR="005948A4" w:rsidRPr="00E86EED">
        <w:t xml:space="preserve">The legislative instrument would be subject to disallowance and sunset </w:t>
      </w:r>
      <w:r w:rsidR="005948A4" w:rsidRPr="005948A4">
        <w:t>after no more than 10 years</w:t>
      </w:r>
      <w:r w:rsidR="005948A4" w:rsidRPr="00E86EED">
        <w:t xml:space="preserve"> and will therefore be subject to appropriate parliamentary scrutiny.</w:t>
      </w:r>
      <w:r w:rsidR="005948A4">
        <w:t xml:space="preserve"> This delegation of legislative </w:t>
      </w:r>
      <w:r w:rsidR="005948A4">
        <w:lastRenderedPageBreak/>
        <w:t xml:space="preserve">power is appropriate as it </w:t>
      </w:r>
      <w:r w:rsidR="00166A32">
        <w:t>is of a minor administrative nature.</w:t>
      </w:r>
      <w:r w:rsidR="000C327C">
        <w:br/>
      </w:r>
      <w:r w:rsidR="000C327C" w:rsidRPr="000C327C">
        <w:rPr>
          <w:rStyle w:val="References"/>
        </w:rPr>
        <w:t xml:space="preserve">[Schedule </w:t>
      </w:r>
      <w:r w:rsidR="007975F3">
        <w:rPr>
          <w:rStyle w:val="References"/>
        </w:rPr>
        <w:t>#</w:t>
      </w:r>
      <w:r w:rsidR="000C327C" w:rsidRPr="000C327C">
        <w:rPr>
          <w:rStyle w:val="References"/>
        </w:rPr>
        <w:t>, ite</w:t>
      </w:r>
      <w:r w:rsidR="007975F3">
        <w:rPr>
          <w:rStyle w:val="References"/>
        </w:rPr>
        <w:t>m</w:t>
      </w:r>
      <w:r w:rsidR="000C327C" w:rsidRPr="000C327C">
        <w:rPr>
          <w:rStyle w:val="References"/>
        </w:rPr>
        <w:t xml:space="preserve"> </w:t>
      </w:r>
      <w:r w:rsidR="007975F3">
        <w:rPr>
          <w:rStyle w:val="References"/>
        </w:rPr>
        <w:t>11</w:t>
      </w:r>
      <w:r w:rsidR="000C327C" w:rsidRPr="000C327C">
        <w:rPr>
          <w:rStyle w:val="References"/>
        </w:rPr>
        <w:t xml:space="preserve">, </w:t>
      </w:r>
      <w:r w:rsidR="007975F3">
        <w:rPr>
          <w:rStyle w:val="References"/>
        </w:rPr>
        <w:t xml:space="preserve">subsection 16-150(4) of </w:t>
      </w:r>
      <w:r w:rsidR="007A1E00">
        <w:rPr>
          <w:rStyle w:val="References"/>
        </w:rPr>
        <w:t>Schedule 1 to</w:t>
      </w:r>
      <w:r w:rsidR="007975F3">
        <w:rPr>
          <w:rStyle w:val="References"/>
        </w:rPr>
        <w:t xml:space="preserve"> the TAA 1953</w:t>
      </w:r>
      <w:r w:rsidR="000C327C" w:rsidRPr="000C327C">
        <w:rPr>
          <w:rStyle w:val="References"/>
        </w:rPr>
        <w:t xml:space="preserve">] </w:t>
      </w:r>
    </w:p>
    <w:p w14:paraId="2C9898CD" w14:textId="77777777" w:rsidR="008C478B" w:rsidRDefault="008C478B" w:rsidP="008C478B">
      <w:pPr>
        <w:pStyle w:val="Heading4"/>
      </w:pPr>
      <w:bookmarkStart w:id="72" w:name="_Toc78193246"/>
      <w:bookmarkStart w:id="73" w:name="_Toc78193403"/>
      <w:bookmarkStart w:id="74" w:name="_Toc78548476"/>
      <w:bookmarkStart w:id="75" w:name="_Toc78549747"/>
      <w:bookmarkStart w:id="76" w:name="_Toc78549791"/>
      <w:r>
        <w:t>Cessation of being an active BTR development</w:t>
      </w:r>
    </w:p>
    <w:p w14:paraId="752AABBD" w14:textId="77777777" w:rsidR="008C478B" w:rsidRDefault="008C478B" w:rsidP="008C478B">
      <w:pPr>
        <w:pStyle w:val="Normalparatextwithnumbers"/>
        <w:rPr>
          <w:rStyle w:val="References"/>
          <w:b w:val="0"/>
          <w:i w:val="0"/>
        </w:rPr>
      </w:pPr>
      <w:r>
        <w:t>An active BTR development will cease to be an active BTR development if any of the dwellings fail to meet an eligibility criterion during the compliance period.</w:t>
      </w:r>
      <w:r>
        <w:br/>
      </w:r>
      <w:r w:rsidRPr="00A3748A">
        <w:rPr>
          <w:rStyle w:val="References"/>
        </w:rPr>
        <w:t xml:space="preserve">[Schedule </w:t>
      </w:r>
      <w:r>
        <w:rPr>
          <w:rStyle w:val="References"/>
        </w:rPr>
        <w:t>#</w:t>
      </w:r>
      <w:r w:rsidRPr="00A3748A">
        <w:rPr>
          <w:rStyle w:val="References"/>
        </w:rPr>
        <w:t>, item</w:t>
      </w:r>
      <w:r>
        <w:rPr>
          <w:rStyle w:val="References"/>
        </w:rPr>
        <w:t xml:space="preserve"> 5</w:t>
      </w:r>
      <w:r w:rsidRPr="00A3748A">
        <w:rPr>
          <w:rStyle w:val="References"/>
        </w:rPr>
        <w:t xml:space="preserve">, </w:t>
      </w:r>
      <w:r>
        <w:rPr>
          <w:rStyle w:val="References"/>
        </w:rPr>
        <w:t>subsection 43-152(6) of the ITAA 1997</w:t>
      </w:r>
      <w:r w:rsidRPr="00A3748A">
        <w:rPr>
          <w:rStyle w:val="References"/>
        </w:rPr>
        <w:t xml:space="preserve">] </w:t>
      </w:r>
    </w:p>
    <w:p w14:paraId="010B6581" w14:textId="77777777" w:rsidR="008C478B" w:rsidRDefault="008C478B" w:rsidP="008C478B">
      <w:pPr>
        <w:pStyle w:val="Heading5"/>
      </w:pPr>
      <w:r>
        <w:t>Compliance period</w:t>
      </w:r>
    </w:p>
    <w:p w14:paraId="2D41B272" w14:textId="77777777" w:rsidR="008C478B" w:rsidRDefault="008C478B" w:rsidP="008C478B">
      <w:pPr>
        <w:pStyle w:val="Normalparatextwithnumbers"/>
      </w:pPr>
      <w:r>
        <w:t>The BTR compliance period for a dwelling of an active BTR development is 15 years beginning on:</w:t>
      </w:r>
    </w:p>
    <w:p w14:paraId="4C679C2D" w14:textId="5CE12C88" w:rsidR="008C478B" w:rsidRDefault="008C478B" w:rsidP="002D75FA">
      <w:pPr>
        <w:pStyle w:val="Dotpoint1"/>
      </w:pPr>
      <w:r>
        <w:t xml:space="preserve">the day on which the </w:t>
      </w:r>
      <w:r w:rsidR="00DD3AF0">
        <w:t>development</w:t>
      </w:r>
      <w:r>
        <w:t xml:space="preserve"> commenced being an active BTR development; or </w:t>
      </w:r>
    </w:p>
    <w:p w14:paraId="3DDF4ABE" w14:textId="64EA09C5" w:rsidR="008C478B" w:rsidRDefault="008C478B" w:rsidP="002D75FA">
      <w:pPr>
        <w:pStyle w:val="Dotpoint1"/>
      </w:pPr>
      <w:r>
        <w:t xml:space="preserve">if a dwelling was incorporated into an active BTR development through expansion, the date on which the dwelling was incorporated into the </w:t>
      </w:r>
      <w:r w:rsidR="00DD3AF0">
        <w:t>development</w:t>
      </w:r>
      <w:r>
        <w:t xml:space="preserve"> through expansion.</w:t>
      </w:r>
    </w:p>
    <w:p w14:paraId="3A433BD5" w14:textId="77777777" w:rsidR="008C478B" w:rsidRDefault="008C478B" w:rsidP="008C478B">
      <w:pPr>
        <w:pStyle w:val="Referenceafterdotpoint"/>
      </w:pPr>
      <w:r>
        <w:t xml:space="preserve">[Schedule #, item 5, </w:t>
      </w:r>
      <w:r w:rsidRPr="008103A5">
        <w:rPr>
          <w:rStyle w:val="References"/>
          <w:b/>
          <w:bCs w:val="0"/>
          <w:i/>
          <w:iCs w:val="0"/>
        </w:rPr>
        <w:t>subsection 43-152(7) of the ITAA 1997</w:t>
      </w:r>
      <w:r>
        <w:t xml:space="preserve">] </w:t>
      </w:r>
    </w:p>
    <w:p w14:paraId="405B27EE" w14:textId="19C127DA" w:rsidR="008C478B" w:rsidRDefault="008C478B" w:rsidP="008C478B">
      <w:pPr>
        <w:pStyle w:val="Heading5"/>
      </w:pPr>
      <w:r>
        <w:t xml:space="preserve">Consequences of </w:t>
      </w:r>
      <w:r w:rsidR="002110AE">
        <w:t>ceasing to be an active BTR development during the compliance period</w:t>
      </w:r>
    </w:p>
    <w:p w14:paraId="5ED9B7FC" w14:textId="5099982A" w:rsidR="00F42F32" w:rsidRDefault="002110AE" w:rsidP="008C478B">
      <w:pPr>
        <w:pStyle w:val="Normalparatextwithnumbers"/>
      </w:pPr>
      <w:r>
        <w:t>If an active BTR</w:t>
      </w:r>
      <w:r w:rsidR="004273C3">
        <w:t xml:space="preserve"> </w:t>
      </w:r>
      <w:r w:rsidR="00FD7489">
        <w:t xml:space="preserve">development </w:t>
      </w:r>
      <w:r w:rsidR="004273C3">
        <w:t>ceases to be a</w:t>
      </w:r>
      <w:r w:rsidR="00FD0CE6">
        <w:t xml:space="preserve">n active BTR </w:t>
      </w:r>
      <w:r w:rsidR="00FD7489">
        <w:t xml:space="preserve">development </w:t>
      </w:r>
      <w:r w:rsidR="00FD0CE6">
        <w:t xml:space="preserve">during the compliance period, </w:t>
      </w:r>
      <w:r w:rsidR="00421D00">
        <w:t xml:space="preserve">the </w:t>
      </w:r>
      <w:r w:rsidR="00AB1D6C">
        <w:t>imposition and application of the BTR development misuse tax</w:t>
      </w:r>
      <w:r w:rsidR="008F0108">
        <w:t xml:space="preserve"> will apply</w:t>
      </w:r>
      <w:r w:rsidR="000F4802">
        <w:t xml:space="preserve"> to approximately neutralise the tax benefits obtained </w:t>
      </w:r>
      <w:r w:rsidR="00D91A9A">
        <w:t xml:space="preserve">both through the reduced MIT withholding rates, and the </w:t>
      </w:r>
      <w:r w:rsidR="00E97145">
        <w:t>accelerated capital works deduction</w:t>
      </w:r>
      <w:r w:rsidR="00AB1D6C">
        <w:t>.</w:t>
      </w:r>
      <w:r w:rsidR="00677088">
        <w:t xml:space="preserve"> As discussed above, the entities participating in BTR developments must notify the Commissioner when the BTR development ceases to be an active BTR development</w:t>
      </w:r>
      <w:r w:rsidR="00795FED">
        <w:t xml:space="preserve">, so the timing of the </w:t>
      </w:r>
      <w:r w:rsidR="004C505A">
        <w:t>BTR development</w:t>
      </w:r>
      <w:r w:rsidR="00795FED">
        <w:t xml:space="preserve"> misuse tax can be </w:t>
      </w:r>
      <w:r w:rsidR="004C505A">
        <w:t>determined</w:t>
      </w:r>
      <w:r w:rsidR="00677088">
        <w:t>.</w:t>
      </w:r>
    </w:p>
    <w:p w14:paraId="0417AF3B" w14:textId="0E6B33C0" w:rsidR="008C478B" w:rsidRPr="00007A7A" w:rsidRDefault="008C478B" w:rsidP="008C478B">
      <w:pPr>
        <w:pStyle w:val="Normalparatextwithnumbers"/>
        <w:rPr>
          <w:rStyle w:val="References"/>
          <w:b w:val="0"/>
          <w:i w:val="0"/>
        </w:rPr>
      </w:pPr>
      <w:r>
        <w:t>If an active BTR development ceases to be an active BTR development</w:t>
      </w:r>
      <w:r w:rsidR="007762A5">
        <w:t xml:space="preserve"> during the compliance period</w:t>
      </w:r>
      <w:r>
        <w:t>,</w:t>
      </w:r>
      <w:r w:rsidR="00106BAA">
        <w:t xml:space="preserve"> then </w:t>
      </w:r>
      <w:r w:rsidR="002D1E37">
        <w:t xml:space="preserve">the </w:t>
      </w:r>
      <w:r w:rsidR="007762A5">
        <w:t>development</w:t>
      </w:r>
      <w:r w:rsidR="002D1E37">
        <w:t xml:space="preserve"> is treated as having been subject to the </w:t>
      </w:r>
      <w:r w:rsidR="00F42F32">
        <w:t xml:space="preserve">2.5 per cent </w:t>
      </w:r>
      <w:r w:rsidR="0042788F">
        <w:t xml:space="preserve">deduction </w:t>
      </w:r>
      <w:r w:rsidR="009F0593">
        <w:t xml:space="preserve">rate for the </w:t>
      </w:r>
      <w:r w:rsidR="00113FB6">
        <w:t>time when it had</w:t>
      </w:r>
      <w:r w:rsidR="00BF3934">
        <w:t xml:space="preserve"> been subject to a 4</w:t>
      </w:r>
      <w:r w:rsidR="00377377">
        <w:t> </w:t>
      </w:r>
      <w:r w:rsidR="00BF3934">
        <w:t xml:space="preserve">per cent </w:t>
      </w:r>
      <w:r w:rsidR="0042788F">
        <w:t xml:space="preserve">deduction </w:t>
      </w:r>
      <w:r w:rsidR="00BF3934">
        <w:t xml:space="preserve">rate. This </w:t>
      </w:r>
      <w:r w:rsidR="000A44AF">
        <w:t>is to ensure the BTR development is depreciated over 40 years instead of 25</w:t>
      </w:r>
      <w:r w:rsidR="000A44AF" w:rsidDel="001B0E4E">
        <w:t>.</w:t>
      </w:r>
      <w:r w:rsidR="00AD35B8">
        <w:br/>
      </w:r>
      <w:r w:rsidR="00AD35B8" w:rsidRPr="00007A7A">
        <w:rPr>
          <w:rStyle w:val="References"/>
        </w:rPr>
        <w:t xml:space="preserve">[Schedule </w:t>
      </w:r>
      <w:r w:rsidR="00AD35B8">
        <w:rPr>
          <w:rStyle w:val="References"/>
        </w:rPr>
        <w:t>#</w:t>
      </w:r>
      <w:r w:rsidR="00AD35B8" w:rsidRPr="00007A7A">
        <w:rPr>
          <w:rStyle w:val="References"/>
        </w:rPr>
        <w:t>, item</w:t>
      </w:r>
      <w:r w:rsidR="00AD35B8">
        <w:rPr>
          <w:rStyle w:val="References"/>
        </w:rPr>
        <w:t xml:space="preserve"> 6</w:t>
      </w:r>
      <w:r w:rsidR="00AD35B8" w:rsidRPr="00007A7A">
        <w:rPr>
          <w:rStyle w:val="References"/>
        </w:rPr>
        <w:t xml:space="preserve">, </w:t>
      </w:r>
      <w:r w:rsidR="00AD35B8">
        <w:rPr>
          <w:rStyle w:val="References"/>
        </w:rPr>
        <w:t xml:space="preserve">section </w:t>
      </w:r>
      <w:r w:rsidR="00792356">
        <w:rPr>
          <w:rStyle w:val="References"/>
        </w:rPr>
        <w:t>43</w:t>
      </w:r>
      <w:r w:rsidR="00792356">
        <w:rPr>
          <w:rStyle w:val="References"/>
        </w:rPr>
        <w:noBreakHyphen/>
        <w:t>237 of the ITAA 1997</w:t>
      </w:r>
      <w:r w:rsidR="00AD35B8" w:rsidRPr="00007A7A">
        <w:rPr>
          <w:rStyle w:val="References"/>
        </w:rPr>
        <w:t xml:space="preserve">] </w:t>
      </w:r>
    </w:p>
    <w:p w14:paraId="60FE4FFA" w14:textId="36A3407B" w:rsidR="001303C7" w:rsidRDefault="001303C7" w:rsidP="001303C7">
      <w:pPr>
        <w:pStyle w:val="Normalparatextwithnumbers"/>
      </w:pPr>
      <w:r>
        <w:t xml:space="preserve">If </w:t>
      </w:r>
      <w:r w:rsidR="00271BC1">
        <w:t xml:space="preserve">a person claims BTR development tax benefits </w:t>
      </w:r>
      <w:r w:rsidR="00856720">
        <w:t>after</w:t>
      </w:r>
      <w:r w:rsidR="00271BC1">
        <w:t xml:space="preserve"> the </w:t>
      </w:r>
      <w:r w:rsidR="00856720">
        <w:t>BTR development ceased to be an active BTR development</w:t>
      </w:r>
      <w:r>
        <w:t xml:space="preserve">, then the Commissioner may amend </w:t>
      </w:r>
      <w:r w:rsidR="00856720">
        <w:t xml:space="preserve">these </w:t>
      </w:r>
      <w:r w:rsidR="00B54102">
        <w:t xml:space="preserve">erroneous </w:t>
      </w:r>
      <w:r w:rsidR="00856720">
        <w:t>assessments</w:t>
      </w:r>
      <w:r>
        <w:t>, regardless of the provisions of section 170 of the ITAA 1936 relating to limitations on time for amending assessments.</w:t>
      </w:r>
      <w:r w:rsidR="00833067">
        <w:t xml:space="preserve"> Th</w:t>
      </w:r>
      <w:r w:rsidR="003F4525">
        <w:t xml:space="preserve">e </w:t>
      </w:r>
      <w:r w:rsidR="003E57E2">
        <w:t xml:space="preserve">modification of the time limit </w:t>
      </w:r>
      <w:r w:rsidR="00BD03EE">
        <w:t xml:space="preserve">also applies to assessments of BTR development </w:t>
      </w:r>
      <w:r w:rsidR="00BD03EE">
        <w:lastRenderedPageBreak/>
        <w:t>misuse tax.</w:t>
      </w:r>
      <w:r>
        <w:br/>
      </w:r>
      <w:r w:rsidRPr="00F46943">
        <w:rPr>
          <w:rStyle w:val="References"/>
        </w:rPr>
        <w:t xml:space="preserve">[Schedule </w:t>
      </w:r>
      <w:r>
        <w:rPr>
          <w:rStyle w:val="References"/>
        </w:rPr>
        <w:t>#</w:t>
      </w:r>
      <w:r w:rsidRPr="00F46943">
        <w:rPr>
          <w:rStyle w:val="References"/>
        </w:rPr>
        <w:t xml:space="preserve">, item </w:t>
      </w:r>
      <w:r>
        <w:rPr>
          <w:rStyle w:val="References"/>
        </w:rPr>
        <w:t>1</w:t>
      </w:r>
      <w:r w:rsidRPr="00F46943">
        <w:rPr>
          <w:rStyle w:val="References"/>
        </w:rPr>
        <w:t xml:space="preserve">, </w:t>
      </w:r>
      <w:r>
        <w:rPr>
          <w:rStyle w:val="References"/>
        </w:rPr>
        <w:t>subsection 170(10AA) of the ITAA 1936</w:t>
      </w:r>
      <w:r w:rsidRPr="00F46943">
        <w:rPr>
          <w:rStyle w:val="References"/>
        </w:rPr>
        <w:t xml:space="preserve">] </w:t>
      </w:r>
      <w:r>
        <w:t xml:space="preserve"> </w:t>
      </w:r>
    </w:p>
    <w:p w14:paraId="3BBBACCE" w14:textId="77777777" w:rsidR="001303C7" w:rsidRDefault="001303C7" w:rsidP="001303C7">
      <w:pPr>
        <w:pStyle w:val="ExampleHeading"/>
        <w:rPr>
          <w:rStyle w:val="References"/>
          <w:bCs w:val="0"/>
        </w:rPr>
      </w:pPr>
    </w:p>
    <w:p w14:paraId="6ED46074" w14:textId="621AA018" w:rsidR="009219CA" w:rsidRDefault="00BA530C" w:rsidP="001303C7">
      <w:pPr>
        <w:pStyle w:val="Exampletext"/>
      </w:pPr>
      <w:r>
        <w:t>An entity’s</w:t>
      </w:r>
      <w:r w:rsidR="0021293A">
        <w:t xml:space="preserve"> BTR development commences being an active BTR development in 2026. </w:t>
      </w:r>
      <w:r w:rsidR="009219CA">
        <w:t xml:space="preserve">The </w:t>
      </w:r>
      <w:r w:rsidR="003F70D3">
        <w:t>entity claims the accelerated capital works deduction from 2026</w:t>
      </w:r>
      <w:r w:rsidR="00645DF0">
        <w:t xml:space="preserve"> to 2035</w:t>
      </w:r>
      <w:r w:rsidR="003F70D3">
        <w:t>.</w:t>
      </w:r>
    </w:p>
    <w:p w14:paraId="40EA8A00" w14:textId="496DCEFE" w:rsidR="001303C7" w:rsidRDefault="009C6A25" w:rsidP="001303C7">
      <w:pPr>
        <w:pStyle w:val="Exampletext"/>
      </w:pPr>
      <w:r>
        <w:t xml:space="preserve">In 2031, </w:t>
      </w:r>
      <w:r w:rsidR="00326313">
        <w:t xml:space="preserve">that entity rents </w:t>
      </w:r>
      <w:r>
        <w:t>a dwelling for a one</w:t>
      </w:r>
      <w:r w:rsidR="007E18BF">
        <w:t>-</w:t>
      </w:r>
      <w:r>
        <w:t>year term</w:t>
      </w:r>
      <w:r w:rsidR="00326313">
        <w:t xml:space="preserve">, contrary to </w:t>
      </w:r>
      <w:r w:rsidR="00BD3B94">
        <w:t xml:space="preserve">paragraph </w:t>
      </w:r>
      <w:r w:rsidR="00702C9B">
        <w:t>43-152</w:t>
      </w:r>
      <w:r w:rsidR="00BD3B94">
        <w:t>(3)(a)</w:t>
      </w:r>
      <w:r w:rsidR="009219CA">
        <w:t xml:space="preserve"> of the ITAA 1997. This occurs during the </w:t>
      </w:r>
      <w:r w:rsidR="003F70D3">
        <w:t xml:space="preserve">15-year </w:t>
      </w:r>
      <w:r w:rsidR="009219CA">
        <w:t>compliance period</w:t>
      </w:r>
      <w:r w:rsidR="00645DF0">
        <w:t>, and the BTR development ceases to be an active BTR development through the operation of subsection 43</w:t>
      </w:r>
      <w:r w:rsidR="00645DF0">
        <w:noBreakHyphen/>
        <w:t>152(6) of the ITAA 1997</w:t>
      </w:r>
      <w:r w:rsidR="003F70D3">
        <w:t>.</w:t>
      </w:r>
      <w:r w:rsidR="00645DF0">
        <w:t xml:space="preserve"> </w:t>
      </w:r>
      <w:r w:rsidR="00950F0B">
        <w:t>The entity only notifies the Commissioner of this in 2035.</w:t>
      </w:r>
    </w:p>
    <w:p w14:paraId="74B848A3" w14:textId="3039FB15" w:rsidR="00950F0B" w:rsidRPr="007E18BF" w:rsidRDefault="00950F0B" w:rsidP="007E18BF">
      <w:pPr>
        <w:pStyle w:val="Exampletext"/>
      </w:pPr>
      <w:r>
        <w:t xml:space="preserve">The BTR </w:t>
      </w:r>
      <w:r w:rsidR="00DE4C48">
        <w:t xml:space="preserve">development misuse tax will apply </w:t>
      </w:r>
      <w:r w:rsidR="00BA530C">
        <w:t xml:space="preserve">to the entity </w:t>
      </w:r>
      <w:r w:rsidR="00096AC5">
        <w:t xml:space="preserve">for the period </w:t>
      </w:r>
      <w:r w:rsidR="00E76A91">
        <w:t>while the BTR development was an active BTR development (i</w:t>
      </w:r>
      <w:r w:rsidR="00932386">
        <w:t>.</w:t>
      </w:r>
      <w:r w:rsidR="00E76A91">
        <w:t>e</w:t>
      </w:r>
      <w:r w:rsidR="00932386">
        <w:t>.</w:t>
      </w:r>
      <w:r w:rsidR="00E76A91">
        <w:t>, from</w:t>
      </w:r>
      <w:r w:rsidR="00096AC5">
        <w:t xml:space="preserve"> 2026 </w:t>
      </w:r>
      <w:r w:rsidR="00E76A91">
        <w:t>to</w:t>
      </w:r>
      <w:r w:rsidR="00096AC5">
        <w:t xml:space="preserve"> 2031</w:t>
      </w:r>
      <w:r w:rsidR="00E76A91">
        <w:t>)</w:t>
      </w:r>
      <w:r w:rsidR="00096AC5">
        <w:t>.</w:t>
      </w:r>
      <w:r w:rsidR="006659D3">
        <w:t xml:space="preserve"> </w:t>
      </w:r>
      <w:r w:rsidR="00B82BF9">
        <w:t>Under</w:t>
      </w:r>
      <w:r w:rsidR="006659D3">
        <w:t xml:space="preserve"> s</w:t>
      </w:r>
      <w:r w:rsidR="00BA530C">
        <w:t>ubsection 170(10AA) of the ITAA 1936</w:t>
      </w:r>
      <w:r w:rsidR="00B82BF9">
        <w:t xml:space="preserve">, the Commissioner may </w:t>
      </w:r>
      <w:r w:rsidR="00BA530C">
        <w:t xml:space="preserve">amend the entity’s assessments for the </w:t>
      </w:r>
      <w:r w:rsidR="00612BC7">
        <w:t>period after</w:t>
      </w:r>
      <w:r w:rsidR="00BA530C">
        <w:t xml:space="preserve"> the </w:t>
      </w:r>
      <w:r w:rsidR="00553C19">
        <w:t xml:space="preserve">BTR development ceased to be an active BTR development, </w:t>
      </w:r>
      <w:r w:rsidR="00053955">
        <w:t>clawing back any tax benefits wrongfully claimed</w:t>
      </w:r>
      <w:r w:rsidR="00C709AB">
        <w:t xml:space="preserve"> during that time (</w:t>
      </w:r>
      <w:r w:rsidR="000B65C5">
        <w:t>i.e.</w:t>
      </w:r>
      <w:r w:rsidR="00C709AB">
        <w:t>, between 2031 and 2035)</w:t>
      </w:r>
      <w:r w:rsidR="00053955">
        <w:t>.</w:t>
      </w:r>
    </w:p>
    <w:p w14:paraId="26B3BA25" w14:textId="28E7ECA4" w:rsidR="008C478B" w:rsidRDefault="008C478B" w:rsidP="008C478B">
      <w:pPr>
        <w:pStyle w:val="Heading4"/>
      </w:pPr>
      <w:r>
        <w:t xml:space="preserve">The </w:t>
      </w:r>
      <w:r w:rsidR="00041E47">
        <w:t>b</w:t>
      </w:r>
      <w:r>
        <w:t xml:space="preserve">uild to rent development misuse </w:t>
      </w:r>
      <w:proofErr w:type="gramStart"/>
      <w:r>
        <w:t>tax</w:t>
      </w:r>
      <w:proofErr w:type="gramEnd"/>
    </w:p>
    <w:p w14:paraId="67A61B36" w14:textId="521D8478" w:rsidR="008C478B" w:rsidRPr="008C478B" w:rsidRDefault="00041E47" w:rsidP="008C478B">
      <w:pPr>
        <w:pStyle w:val="Normalparatextwithnumbers"/>
      </w:pPr>
      <w:r>
        <w:t xml:space="preserve">The BTR </w:t>
      </w:r>
      <w:r w:rsidR="00793EE3">
        <w:t xml:space="preserve">development </w:t>
      </w:r>
      <w:r>
        <w:t xml:space="preserve">misuse tax is a key integrity feature of the BTR scheme. </w:t>
      </w:r>
      <w:r w:rsidR="006F6789">
        <w:t>The BTR misuse tax</w:t>
      </w:r>
      <w:r>
        <w:t xml:space="preserve"> </w:t>
      </w:r>
      <w:r w:rsidR="00DE4930">
        <w:t>approximately</w:t>
      </w:r>
      <w:r>
        <w:t xml:space="preserve"> </w:t>
      </w:r>
      <w:r w:rsidR="00C31005">
        <w:t xml:space="preserve">neutralises </w:t>
      </w:r>
      <w:r>
        <w:t xml:space="preserve">tax benefits </w:t>
      </w:r>
      <w:r w:rsidR="00C31005">
        <w:t>claimed by entities where the BTR development ceases to be an active BTR development during the 15</w:t>
      </w:r>
      <w:r w:rsidR="005B1AD2">
        <w:noBreakHyphen/>
      </w:r>
      <w:r w:rsidR="00C31005">
        <w:t>year BTR compliance period.</w:t>
      </w:r>
      <w:r w:rsidR="006F6789">
        <w:t xml:space="preserve"> </w:t>
      </w:r>
      <w:r w:rsidR="00A55644">
        <w:br/>
      </w:r>
      <w:r w:rsidR="00A55644" w:rsidRPr="00A55644">
        <w:rPr>
          <w:rStyle w:val="References"/>
        </w:rPr>
        <w:t xml:space="preserve">[Schedule </w:t>
      </w:r>
      <w:r w:rsidR="00A55644">
        <w:rPr>
          <w:rStyle w:val="References"/>
        </w:rPr>
        <w:t>#</w:t>
      </w:r>
      <w:r w:rsidR="00A55644" w:rsidRPr="00A55644">
        <w:rPr>
          <w:rStyle w:val="References"/>
        </w:rPr>
        <w:t>, item</w:t>
      </w:r>
      <w:r w:rsidR="00A55644">
        <w:rPr>
          <w:rStyle w:val="References"/>
        </w:rPr>
        <w:t xml:space="preserve"> 7</w:t>
      </w:r>
      <w:r w:rsidR="00A55644" w:rsidRPr="00A55644">
        <w:rPr>
          <w:rStyle w:val="References"/>
        </w:rPr>
        <w:t xml:space="preserve">, </w:t>
      </w:r>
      <w:r w:rsidR="00983FF6">
        <w:rPr>
          <w:rStyle w:val="References"/>
        </w:rPr>
        <w:t>section</w:t>
      </w:r>
      <w:r w:rsidR="00F46CF8">
        <w:rPr>
          <w:rStyle w:val="References"/>
        </w:rPr>
        <w:t>s</w:t>
      </w:r>
      <w:r w:rsidR="00983FF6">
        <w:rPr>
          <w:rStyle w:val="References"/>
        </w:rPr>
        <w:t xml:space="preserve"> 44-1</w:t>
      </w:r>
      <w:r w:rsidR="00F46CF8">
        <w:rPr>
          <w:rStyle w:val="References"/>
        </w:rPr>
        <w:t xml:space="preserve"> and 44-5</w:t>
      </w:r>
      <w:r w:rsidR="00983FF6">
        <w:rPr>
          <w:rStyle w:val="References"/>
        </w:rPr>
        <w:t xml:space="preserve"> of the ITAA 1997</w:t>
      </w:r>
      <w:r w:rsidR="00A55644" w:rsidRPr="00A55644">
        <w:rPr>
          <w:rStyle w:val="References"/>
        </w:rPr>
        <w:t xml:space="preserve">] </w:t>
      </w:r>
    </w:p>
    <w:p w14:paraId="41E98AD9" w14:textId="067A468F" w:rsidR="00041E47" w:rsidRDefault="00C63364" w:rsidP="008C478B">
      <w:pPr>
        <w:pStyle w:val="Normalparatextwithnumbers"/>
      </w:pPr>
      <w:r>
        <w:t xml:space="preserve">Schedule # to the Bill inserts new Division 44 into the ITAA 1997, which together with </w:t>
      </w:r>
      <w:r w:rsidR="005C7411">
        <w:t>the Imposition Bill</w:t>
      </w:r>
      <w:r>
        <w:t>, impose</w:t>
      </w:r>
      <w:r w:rsidR="00CF19E4">
        <w:t>s</w:t>
      </w:r>
      <w:r>
        <w:t xml:space="preserve"> </w:t>
      </w:r>
      <w:r w:rsidR="003E2F55">
        <w:t>BTR development misuse tax</w:t>
      </w:r>
      <w:r w:rsidR="009C021D">
        <w:t xml:space="preserve"> for an income year</w:t>
      </w:r>
      <w:r w:rsidR="002005D0">
        <w:t xml:space="preserve">. </w:t>
      </w:r>
      <w:r w:rsidR="00F14600">
        <w:br/>
      </w:r>
      <w:r w:rsidR="002005D0" w:rsidRPr="002005D0">
        <w:rPr>
          <w:rStyle w:val="References"/>
        </w:rPr>
        <w:t xml:space="preserve">[Schedule </w:t>
      </w:r>
      <w:r w:rsidR="002005D0">
        <w:rPr>
          <w:rStyle w:val="References"/>
        </w:rPr>
        <w:t>#</w:t>
      </w:r>
      <w:r w:rsidR="002005D0" w:rsidRPr="002005D0">
        <w:rPr>
          <w:rStyle w:val="References"/>
        </w:rPr>
        <w:t xml:space="preserve">, item </w:t>
      </w:r>
      <w:r w:rsidR="002005D0">
        <w:rPr>
          <w:rStyle w:val="References"/>
        </w:rPr>
        <w:t>7</w:t>
      </w:r>
      <w:r w:rsidR="002005D0" w:rsidRPr="002005D0">
        <w:rPr>
          <w:rStyle w:val="References"/>
        </w:rPr>
        <w:t xml:space="preserve">, </w:t>
      </w:r>
      <w:r w:rsidR="002005D0">
        <w:rPr>
          <w:rStyle w:val="References"/>
        </w:rPr>
        <w:t>section 44-15 of the ITAA 1997</w:t>
      </w:r>
      <w:r w:rsidR="00DB7078">
        <w:rPr>
          <w:rStyle w:val="References"/>
        </w:rPr>
        <w:t>, and section 4 of the Imposition Bill</w:t>
      </w:r>
      <w:r w:rsidR="002005D0" w:rsidRPr="002005D0">
        <w:rPr>
          <w:rStyle w:val="References"/>
        </w:rPr>
        <w:t xml:space="preserve">] </w:t>
      </w:r>
    </w:p>
    <w:p w14:paraId="16DF0A7A" w14:textId="66CB1F03" w:rsidR="00041E47" w:rsidRDefault="00D172E5" w:rsidP="008C478B">
      <w:pPr>
        <w:pStyle w:val="Normalparatextwithnumbers"/>
      </w:pPr>
      <w:r>
        <w:t xml:space="preserve">This tax is imposed under section 4 of the Imposition Bill. </w:t>
      </w:r>
      <w:r w:rsidR="00F806F3">
        <w:t xml:space="preserve">It is calculated based on </w:t>
      </w:r>
      <w:r w:rsidR="00116F08">
        <w:t xml:space="preserve">the sum of </w:t>
      </w:r>
      <w:r w:rsidR="00AF656B">
        <w:t>a</w:t>
      </w:r>
      <w:r w:rsidR="0057445F">
        <w:t>n entity’s</w:t>
      </w:r>
      <w:r w:rsidR="00A85AE0">
        <w:t xml:space="preserve"> </w:t>
      </w:r>
      <w:r w:rsidR="00AF656B">
        <w:t>BTR capital works deduction amount</w:t>
      </w:r>
      <w:r w:rsidR="002A1AF1">
        <w:t>s</w:t>
      </w:r>
      <w:r w:rsidR="00AF656B">
        <w:t xml:space="preserve"> and that </w:t>
      </w:r>
      <w:r w:rsidR="00464019">
        <w:t xml:space="preserve">entity’s </w:t>
      </w:r>
      <w:r w:rsidR="00AF656B">
        <w:t xml:space="preserve">BTR </w:t>
      </w:r>
      <w:r w:rsidR="006306B6">
        <w:t>withholding amount</w:t>
      </w:r>
      <w:r w:rsidR="002A1AF1">
        <w:t>s</w:t>
      </w:r>
      <w:r w:rsidR="006306B6">
        <w:t>.</w:t>
      </w:r>
      <w:r w:rsidR="00AA311E">
        <w:t xml:space="preserve"> The sum of these two amounts is the BTR misuse amount.</w:t>
      </w:r>
      <w:r w:rsidR="00DB7078">
        <w:t xml:space="preserve"> A</w:t>
      </w:r>
      <w:r w:rsidR="00464019">
        <w:t>n entity</w:t>
      </w:r>
      <w:r w:rsidR="00DB7078" w:rsidDel="00464019">
        <w:t xml:space="preserve"> </w:t>
      </w:r>
      <w:r w:rsidR="00DB7078">
        <w:t xml:space="preserve">is not liable to pay BTR development misuse tax </w:t>
      </w:r>
      <w:r w:rsidR="00861DCE">
        <w:t xml:space="preserve">for a year </w:t>
      </w:r>
      <w:r w:rsidR="00DB7078">
        <w:t xml:space="preserve">if </w:t>
      </w:r>
      <w:r w:rsidR="00B1380A">
        <w:t>that person has no</w:t>
      </w:r>
      <w:r w:rsidR="00861DCE">
        <w:t xml:space="preserve"> BTR misuse amount for the year.</w:t>
      </w:r>
      <w:r w:rsidR="00AA311E">
        <w:br/>
      </w:r>
      <w:r w:rsidR="00AA311E" w:rsidRPr="00AA311E">
        <w:rPr>
          <w:rStyle w:val="References"/>
        </w:rPr>
        <w:t xml:space="preserve">[Schedule </w:t>
      </w:r>
      <w:r w:rsidR="00AA311E">
        <w:rPr>
          <w:rStyle w:val="References"/>
        </w:rPr>
        <w:t>#</w:t>
      </w:r>
      <w:r w:rsidR="00AA311E" w:rsidRPr="00AA311E">
        <w:rPr>
          <w:rStyle w:val="References"/>
        </w:rPr>
        <w:t xml:space="preserve">, item </w:t>
      </w:r>
      <w:r w:rsidR="00AA311E">
        <w:rPr>
          <w:rStyle w:val="References"/>
        </w:rPr>
        <w:t>7</w:t>
      </w:r>
      <w:r w:rsidR="00AA311E" w:rsidRPr="00AA311E">
        <w:rPr>
          <w:rStyle w:val="References"/>
        </w:rPr>
        <w:t xml:space="preserve">, </w:t>
      </w:r>
      <w:r w:rsidR="00AA311E">
        <w:rPr>
          <w:rStyle w:val="References"/>
        </w:rPr>
        <w:t>section</w:t>
      </w:r>
      <w:r w:rsidR="00861DCE">
        <w:rPr>
          <w:rStyle w:val="References"/>
        </w:rPr>
        <w:t>s 44-15 and</w:t>
      </w:r>
      <w:r w:rsidR="00AA311E">
        <w:rPr>
          <w:rStyle w:val="References"/>
        </w:rPr>
        <w:t xml:space="preserve"> 44-</w:t>
      </w:r>
      <w:r w:rsidR="00D221D5">
        <w:rPr>
          <w:rStyle w:val="References"/>
        </w:rPr>
        <w:t>2</w:t>
      </w:r>
      <w:r w:rsidR="00AA311E">
        <w:rPr>
          <w:rStyle w:val="References"/>
        </w:rPr>
        <w:t>0 of the ITAA 1997</w:t>
      </w:r>
      <w:r w:rsidR="00620D11">
        <w:rPr>
          <w:rStyle w:val="References"/>
        </w:rPr>
        <w:t>, and section 5 of the Imposition Bill</w:t>
      </w:r>
      <w:r w:rsidR="00AA311E" w:rsidRPr="00AA311E">
        <w:rPr>
          <w:rStyle w:val="References"/>
        </w:rPr>
        <w:t xml:space="preserve">] </w:t>
      </w:r>
    </w:p>
    <w:p w14:paraId="125E9C81" w14:textId="54190644" w:rsidR="00B87067" w:rsidRDefault="00817982" w:rsidP="000C3558">
      <w:pPr>
        <w:pStyle w:val="Normalparatextwithnumbers"/>
      </w:pPr>
      <w:r>
        <w:lastRenderedPageBreak/>
        <w:t>The BTR misuse amount</w:t>
      </w:r>
      <w:r w:rsidR="00E343EE">
        <w:t xml:space="preserve"> is the sum of the </w:t>
      </w:r>
      <w:r>
        <w:t xml:space="preserve">BTR capital works </w:t>
      </w:r>
      <w:r w:rsidR="005928E1">
        <w:t>d</w:t>
      </w:r>
      <w:r>
        <w:t xml:space="preserve">eduction amount and </w:t>
      </w:r>
      <w:r w:rsidR="00E343EE">
        <w:t xml:space="preserve">10 times </w:t>
      </w:r>
      <w:r w:rsidR="0044330A">
        <w:t xml:space="preserve">the BTR withholding amount. </w:t>
      </w:r>
      <w:r w:rsidR="002D3C1C">
        <w:br/>
      </w:r>
      <w:r w:rsidR="00806874" w:rsidRPr="00D01E5C">
        <w:rPr>
          <w:rStyle w:val="References"/>
        </w:rPr>
        <w:t xml:space="preserve">[Schedule </w:t>
      </w:r>
      <w:r w:rsidR="00084CFA" w:rsidRPr="00D01E5C">
        <w:rPr>
          <w:rStyle w:val="References"/>
        </w:rPr>
        <w:t>#</w:t>
      </w:r>
      <w:r w:rsidR="00806874" w:rsidRPr="00D01E5C">
        <w:rPr>
          <w:rStyle w:val="References"/>
        </w:rPr>
        <w:t>, item</w:t>
      </w:r>
      <w:r w:rsidR="00084CFA" w:rsidRPr="00D01E5C">
        <w:rPr>
          <w:rStyle w:val="References"/>
        </w:rPr>
        <w:t xml:space="preserve"> 7</w:t>
      </w:r>
      <w:r w:rsidR="00806874" w:rsidRPr="00D01E5C">
        <w:rPr>
          <w:rStyle w:val="References"/>
        </w:rPr>
        <w:t xml:space="preserve">, </w:t>
      </w:r>
      <w:r w:rsidR="00084CFA" w:rsidRPr="00D01E5C">
        <w:rPr>
          <w:rStyle w:val="References"/>
        </w:rPr>
        <w:t>section 44-</w:t>
      </w:r>
      <w:r w:rsidR="00D221D5">
        <w:rPr>
          <w:rStyle w:val="References"/>
        </w:rPr>
        <w:t>2</w:t>
      </w:r>
      <w:r w:rsidR="00084CFA" w:rsidRPr="00D01E5C">
        <w:rPr>
          <w:rStyle w:val="References"/>
        </w:rPr>
        <w:t>0 of the ITAA 1997</w:t>
      </w:r>
      <w:r w:rsidR="00806874" w:rsidRPr="00D01E5C">
        <w:rPr>
          <w:rStyle w:val="References"/>
        </w:rPr>
        <w:t xml:space="preserve">] </w:t>
      </w:r>
    </w:p>
    <w:p w14:paraId="3BCEC810" w14:textId="5BD9E56B" w:rsidR="00041E47" w:rsidRPr="00876716" w:rsidRDefault="0044330A" w:rsidP="000C3558">
      <w:pPr>
        <w:pStyle w:val="Normalparatextwithnumbers"/>
        <w:rPr>
          <w:rStyle w:val="References"/>
          <w:b w:val="0"/>
          <w:i w:val="0"/>
        </w:rPr>
      </w:pPr>
      <w:r>
        <w:t>Th</w:t>
      </w:r>
      <w:r w:rsidR="00E343EE">
        <w:t>is</w:t>
      </w:r>
      <w:r>
        <w:t xml:space="preserve"> amount </w:t>
      </w:r>
      <w:r w:rsidR="00E343EE">
        <w:t xml:space="preserve">is subject to a tax rate of 1.5 per cent. The total amount of tax is </w:t>
      </w:r>
      <w:r>
        <w:t xml:space="preserve">roughly equal to the tax benefit gained, increased by </w:t>
      </w:r>
      <w:r w:rsidR="00585E9D">
        <w:t>8</w:t>
      </w:r>
      <w:r w:rsidR="003C720C">
        <w:t> </w:t>
      </w:r>
      <w:r>
        <w:t>per</w:t>
      </w:r>
      <w:r w:rsidR="003C720C">
        <w:t> </w:t>
      </w:r>
      <w:r>
        <w:t>cent</w:t>
      </w:r>
      <w:r w:rsidR="00A776A3" w:rsidRPr="006C4EEE">
        <w:rPr>
          <w:rStyle w:val="CommentReference"/>
          <w:sz w:val="22"/>
          <w:szCs w:val="22"/>
        </w:rPr>
        <w:t xml:space="preserve">, </w:t>
      </w:r>
      <w:r w:rsidR="006C4EEE" w:rsidRPr="006C4EEE">
        <w:rPr>
          <w:rStyle w:val="CommentReference"/>
          <w:sz w:val="22"/>
          <w:szCs w:val="22"/>
        </w:rPr>
        <w:t xml:space="preserve">which represents </w:t>
      </w:r>
      <w:r w:rsidR="006C4EEE">
        <w:t>interest and costs associated with the tax shortfall.</w:t>
      </w:r>
      <w:r w:rsidR="006C4EEE">
        <w:br/>
      </w:r>
      <w:r w:rsidR="00E343EE" w:rsidRPr="00876716">
        <w:rPr>
          <w:rStyle w:val="References"/>
        </w:rPr>
        <w:t xml:space="preserve">[Schedule </w:t>
      </w:r>
      <w:r w:rsidR="006A0068" w:rsidRPr="00876716">
        <w:rPr>
          <w:rStyle w:val="References"/>
        </w:rPr>
        <w:t>#</w:t>
      </w:r>
      <w:r w:rsidR="00E343EE" w:rsidRPr="00876716">
        <w:rPr>
          <w:rStyle w:val="References"/>
        </w:rPr>
        <w:t>, item</w:t>
      </w:r>
      <w:r w:rsidR="006A0068" w:rsidRPr="00876716">
        <w:rPr>
          <w:rStyle w:val="References"/>
        </w:rPr>
        <w:t xml:space="preserve"> 7</w:t>
      </w:r>
      <w:r w:rsidR="00E343EE" w:rsidRPr="00876716">
        <w:rPr>
          <w:rStyle w:val="References"/>
        </w:rPr>
        <w:t xml:space="preserve">, </w:t>
      </w:r>
      <w:r w:rsidR="00806874" w:rsidRPr="00876716">
        <w:rPr>
          <w:rStyle w:val="References"/>
        </w:rPr>
        <w:t>sections 44-</w:t>
      </w:r>
      <w:r w:rsidR="00494E58">
        <w:rPr>
          <w:rStyle w:val="References"/>
        </w:rPr>
        <w:t>2</w:t>
      </w:r>
      <w:r w:rsidR="00806874" w:rsidRPr="00876716">
        <w:rPr>
          <w:rStyle w:val="References"/>
        </w:rPr>
        <w:t>5 and 44-</w:t>
      </w:r>
      <w:r w:rsidR="000C2974">
        <w:rPr>
          <w:rStyle w:val="References"/>
        </w:rPr>
        <w:t>3</w:t>
      </w:r>
      <w:r w:rsidR="00806874" w:rsidRPr="00876716">
        <w:rPr>
          <w:rStyle w:val="References"/>
        </w:rPr>
        <w:t>0 of the ITAA 1997, and section 5 of the Imposition Bill</w:t>
      </w:r>
      <w:r w:rsidR="00E343EE" w:rsidRPr="00876716">
        <w:rPr>
          <w:rStyle w:val="References"/>
        </w:rPr>
        <w:t xml:space="preserve">] </w:t>
      </w:r>
    </w:p>
    <w:p w14:paraId="4492D5F0" w14:textId="31DF3CA5" w:rsidR="0044330A" w:rsidRDefault="0044330A" w:rsidP="0044330A">
      <w:pPr>
        <w:pStyle w:val="Heading5"/>
      </w:pPr>
      <w:r>
        <w:t>BTR capital works deduction amount</w:t>
      </w:r>
    </w:p>
    <w:p w14:paraId="1457E167" w14:textId="489B0F87" w:rsidR="00707787" w:rsidRDefault="00C82F5F" w:rsidP="0044330A">
      <w:pPr>
        <w:pStyle w:val="Normalparatextwithnumbers"/>
      </w:pPr>
      <w:r>
        <w:t>The method statement in section 44-</w:t>
      </w:r>
      <w:r w:rsidR="000C2974">
        <w:t>2</w:t>
      </w:r>
      <w:r>
        <w:t>5 instructs how to calculate a BTR capital works deduction amount.</w:t>
      </w:r>
      <w:r w:rsidR="0084449A">
        <w:t xml:space="preserve"> This amount is </w:t>
      </w:r>
      <w:r w:rsidR="0084449A" w:rsidRPr="00876716">
        <w:t>roughly</w:t>
      </w:r>
      <w:r w:rsidR="00540CB6" w:rsidRPr="00876716">
        <w:t xml:space="preserve"> </w:t>
      </w:r>
      <w:r w:rsidR="0084449A">
        <w:t xml:space="preserve">equal to the accelerated </w:t>
      </w:r>
      <w:r w:rsidR="000E4DD4">
        <w:t>capi</w:t>
      </w:r>
      <w:r w:rsidR="00CC58B2">
        <w:t>tal works</w:t>
      </w:r>
      <w:r w:rsidR="000E4DD4">
        <w:t xml:space="preserve"> </w:t>
      </w:r>
      <w:r w:rsidR="0084449A">
        <w:t xml:space="preserve">tax benefit plus </w:t>
      </w:r>
      <w:r w:rsidR="00153236">
        <w:t>8</w:t>
      </w:r>
      <w:r w:rsidR="0084449A">
        <w:t xml:space="preserve"> per cent.</w:t>
      </w:r>
      <w:r>
        <w:t xml:space="preserve"> This process is </w:t>
      </w:r>
      <w:r w:rsidR="00707787">
        <w:t>summarised below</w:t>
      </w:r>
      <w:r>
        <w:t>.</w:t>
      </w:r>
    </w:p>
    <w:p w14:paraId="0F3A4029" w14:textId="59045B1F" w:rsidR="00F35DE6" w:rsidRPr="00F82B6C" w:rsidRDefault="00707787" w:rsidP="00707787">
      <w:pPr>
        <w:pStyle w:val="Dotpoint1"/>
      </w:pPr>
      <w:r w:rsidRPr="00F82B6C">
        <w:t xml:space="preserve">Step 1: </w:t>
      </w:r>
      <w:r w:rsidR="00F35DE6" w:rsidRPr="00F82B6C">
        <w:t>identify each income year in which (at any time during that year) the BTR development was an active BTR development.</w:t>
      </w:r>
    </w:p>
    <w:p w14:paraId="289BD61B" w14:textId="1F3EEE16" w:rsidR="0044330A" w:rsidRPr="00F82B6C" w:rsidRDefault="00F35DE6" w:rsidP="00707787">
      <w:pPr>
        <w:pStyle w:val="Dotpoint1"/>
      </w:pPr>
      <w:r w:rsidRPr="00F82B6C">
        <w:t xml:space="preserve">Step 2: for each of these years, </w:t>
      </w:r>
      <w:r w:rsidR="009F1B4A" w:rsidRPr="00F82B6C">
        <w:t xml:space="preserve">identify the portion of construction expenditure </w:t>
      </w:r>
      <w:r w:rsidR="00923277" w:rsidRPr="00F82B6C">
        <w:t>attributable to the active BTR part</w:t>
      </w:r>
      <w:r w:rsidR="0083219D" w:rsidRPr="00F82B6C">
        <w:t xml:space="preserve"> that was used in the 4 per cent manner</w:t>
      </w:r>
      <w:r w:rsidR="00BE70AF" w:rsidRPr="00F82B6C">
        <w:t xml:space="preserve">, and multiply that by the </w:t>
      </w:r>
      <w:r w:rsidR="003C0EEB" w:rsidRPr="00F82B6C">
        <w:t xml:space="preserve">proportion </w:t>
      </w:r>
      <w:r w:rsidR="00BE70AF" w:rsidRPr="00F82B6C">
        <w:t xml:space="preserve">of days </w:t>
      </w:r>
      <w:r w:rsidR="003C0EEB" w:rsidRPr="00F82B6C">
        <w:t xml:space="preserve">of the income year </w:t>
      </w:r>
      <w:r w:rsidR="00BE70AF" w:rsidRPr="00F82B6C">
        <w:t xml:space="preserve">that the </w:t>
      </w:r>
      <w:r w:rsidR="00C57362" w:rsidRPr="00F82B6C">
        <w:t xml:space="preserve">person owned, was lessee of, or was holder of, the </w:t>
      </w:r>
      <w:r w:rsidR="001F4BA6" w:rsidRPr="00F82B6C">
        <w:t xml:space="preserve">active </w:t>
      </w:r>
      <w:r w:rsidR="00C57362" w:rsidRPr="00F82B6C">
        <w:t>BTR</w:t>
      </w:r>
      <w:r w:rsidR="001F4BA6" w:rsidRPr="00F82B6C">
        <w:t xml:space="preserve"> part</w:t>
      </w:r>
      <w:r w:rsidR="003C0EEB" w:rsidRPr="00F82B6C">
        <w:t>.</w:t>
      </w:r>
    </w:p>
    <w:p w14:paraId="6B57C207" w14:textId="4BEACFE4" w:rsidR="003C0EEB" w:rsidRPr="00F82B6C" w:rsidRDefault="003C0EEB" w:rsidP="00707787">
      <w:pPr>
        <w:pStyle w:val="Dotpoint1"/>
      </w:pPr>
      <w:r w:rsidRPr="00F82B6C">
        <w:t xml:space="preserve">Step 3: </w:t>
      </w:r>
      <w:r w:rsidR="005A3DE2" w:rsidRPr="00F82B6C">
        <w:t xml:space="preserve">reduce the amount previously calculated by the </w:t>
      </w:r>
      <w:r w:rsidR="00630EB4" w:rsidRPr="00F82B6C">
        <w:t xml:space="preserve">extent to which the </w:t>
      </w:r>
      <w:r w:rsidR="000A2A77" w:rsidRPr="00F82B6C">
        <w:t>active BTR part was used only partly for the purpose of producing assessable income in the year</w:t>
      </w:r>
      <w:r w:rsidR="002372AC" w:rsidRPr="00F82B6C">
        <w:t xml:space="preserve">. This only applies if part of the income </w:t>
      </w:r>
      <w:r w:rsidR="006A7895" w:rsidRPr="00F82B6C">
        <w:t xml:space="preserve">from the active build to rent part of the construction expenditure area </w:t>
      </w:r>
      <w:r w:rsidR="00260209" w:rsidRPr="00F82B6C">
        <w:t>is exempt income</w:t>
      </w:r>
      <w:r w:rsidR="001C5BFB" w:rsidRPr="00F82B6C">
        <w:t>;</w:t>
      </w:r>
      <w:r w:rsidR="00260209" w:rsidRPr="00F82B6C">
        <w:t xml:space="preserve"> </w:t>
      </w:r>
      <w:r w:rsidR="00E70D34" w:rsidRPr="00F82B6C">
        <w:t xml:space="preserve">part of the </w:t>
      </w:r>
      <w:r w:rsidR="006A7895" w:rsidRPr="00F82B6C">
        <w:t>active buil</w:t>
      </w:r>
      <w:r w:rsidR="00F33413">
        <w:t>d</w:t>
      </w:r>
      <w:r w:rsidR="006A7895" w:rsidRPr="00F82B6C">
        <w:t xml:space="preserve"> to rent part of the construction expenditure area </w:t>
      </w:r>
      <w:r w:rsidR="002150CB" w:rsidRPr="00F82B6C">
        <w:t>was not used for the purpose of producing assessable income or was not available for that use</w:t>
      </w:r>
      <w:r w:rsidR="001C5BFB" w:rsidRPr="00F82B6C">
        <w:t>;</w:t>
      </w:r>
      <w:r w:rsidR="002150CB" w:rsidRPr="00F82B6C">
        <w:t xml:space="preserve"> or </w:t>
      </w:r>
      <w:r w:rsidR="001C5BFB" w:rsidRPr="00F82B6C">
        <w:t xml:space="preserve">the active build to rent part </w:t>
      </w:r>
      <w:r w:rsidR="008006C3" w:rsidRPr="00F82B6C">
        <w:t xml:space="preserve">of the construction expenditure area </w:t>
      </w:r>
      <w:r w:rsidR="001C5BFB" w:rsidRPr="00F82B6C">
        <w:t xml:space="preserve">was not used for such a purpose during a part of the days used </w:t>
      </w:r>
      <w:r w:rsidR="008006C3" w:rsidRPr="00F82B6C">
        <w:t>period.</w:t>
      </w:r>
    </w:p>
    <w:p w14:paraId="0D104249" w14:textId="7E2484F3" w:rsidR="00FD4E1C" w:rsidRPr="00F82B6C" w:rsidRDefault="00BE0C97" w:rsidP="00707787">
      <w:pPr>
        <w:pStyle w:val="Dotpoint1"/>
      </w:pPr>
      <w:r w:rsidRPr="00F82B6C">
        <w:t>Step 4: for each year, add up the</w:t>
      </w:r>
      <w:r w:rsidR="009972A8" w:rsidRPr="00F82B6C">
        <w:t xml:space="preserve"> amounts calculated in Step 3 for each construction expenditure area</w:t>
      </w:r>
      <w:r w:rsidR="001F77AD" w:rsidRPr="00F82B6C">
        <w:t>.</w:t>
      </w:r>
    </w:p>
    <w:p w14:paraId="7A0456AD" w14:textId="20AE16B0" w:rsidR="001F77AD" w:rsidRPr="00F82B6C" w:rsidRDefault="001F77AD" w:rsidP="00707787">
      <w:pPr>
        <w:pStyle w:val="Dotpoint1"/>
      </w:pPr>
      <w:r w:rsidRPr="00F82B6C">
        <w:t xml:space="preserve">Step 5: add up the amounts worked out under Step 4 </w:t>
      </w:r>
      <w:r w:rsidR="00C63380" w:rsidRPr="00F82B6C">
        <w:t>for each year.</w:t>
      </w:r>
    </w:p>
    <w:p w14:paraId="431262BB" w14:textId="7D4D4092" w:rsidR="00C63380" w:rsidRPr="00F82B6C" w:rsidRDefault="00C63380" w:rsidP="00707787">
      <w:pPr>
        <w:pStyle w:val="Dotpoint1"/>
      </w:pPr>
      <w:r w:rsidRPr="00F82B6C">
        <w:t xml:space="preserve">Step 6: Multiply the Step 5 amount by </w:t>
      </w:r>
      <w:r w:rsidR="00D415C8" w:rsidRPr="00F82B6C">
        <w:t>the applicable tax rate. The applicable tax rate is:</w:t>
      </w:r>
    </w:p>
    <w:p w14:paraId="1BA3F1E3" w14:textId="5053FDF1" w:rsidR="00D415C8" w:rsidRPr="00F82B6C" w:rsidRDefault="00D415C8" w:rsidP="00D242F4">
      <w:pPr>
        <w:pStyle w:val="dotpoint2"/>
      </w:pPr>
      <w:r w:rsidRPr="00F82B6C">
        <w:t>for a company (other than in the capacity as trustee)</w:t>
      </w:r>
      <w:r w:rsidR="00856A38" w:rsidRPr="00F82B6C">
        <w:t>: the corporate tax rate for the year in which the BTR development ceases to be an active BTR development</w:t>
      </w:r>
      <w:r w:rsidR="00A0030B" w:rsidRPr="00F82B6C">
        <w:t xml:space="preserve"> (the ‘cessation year’</w:t>
      </w:r>
      <w:proofErr w:type="gramStart"/>
      <w:r w:rsidR="00A0030B" w:rsidRPr="00F82B6C">
        <w:t>);</w:t>
      </w:r>
      <w:proofErr w:type="gramEnd"/>
    </w:p>
    <w:p w14:paraId="190572B4" w14:textId="22478754" w:rsidR="00A0030B" w:rsidRPr="00F82B6C" w:rsidRDefault="00A0030B" w:rsidP="00D242F4">
      <w:pPr>
        <w:pStyle w:val="dotpoint2"/>
      </w:pPr>
      <w:r w:rsidRPr="00F82B6C">
        <w:t xml:space="preserve">in any other case: the maximum rate specified in the table in Part I of Schedule 1 to the </w:t>
      </w:r>
      <w:r w:rsidRPr="00F82B6C">
        <w:rPr>
          <w:i/>
        </w:rPr>
        <w:t>Income Tax Rates Act 1986</w:t>
      </w:r>
      <w:r w:rsidRPr="00F82B6C">
        <w:t xml:space="preserve"> for the cessation year</w:t>
      </w:r>
      <w:r w:rsidR="000058DC" w:rsidRPr="00F82B6C">
        <w:t>. At p</w:t>
      </w:r>
      <w:r w:rsidRPr="00F82B6C">
        <w:t>resent</w:t>
      </w:r>
      <w:r w:rsidR="000058DC" w:rsidRPr="00F82B6C">
        <w:t>, this rate is</w:t>
      </w:r>
      <w:r w:rsidR="00675346" w:rsidRPr="00F82B6C">
        <w:t xml:space="preserve"> 45 per cent.</w:t>
      </w:r>
    </w:p>
    <w:p w14:paraId="685C4C9F" w14:textId="18636293" w:rsidR="00675346" w:rsidRPr="00F82B6C" w:rsidRDefault="00675346" w:rsidP="00675346">
      <w:pPr>
        <w:pStyle w:val="Dotpoint1"/>
      </w:pPr>
      <w:r w:rsidRPr="00F82B6C">
        <w:lastRenderedPageBreak/>
        <w:t xml:space="preserve">The BTR capital works deduction amount is the </w:t>
      </w:r>
      <w:r w:rsidR="003529C6" w:rsidRPr="00F82B6C">
        <w:t>Step 6 amount multiplied by 1.0</w:t>
      </w:r>
      <w:r w:rsidR="00067893">
        <w:t>8</w:t>
      </w:r>
      <w:r w:rsidR="003529C6" w:rsidRPr="00F82B6C">
        <w:t>.</w:t>
      </w:r>
    </w:p>
    <w:p w14:paraId="2C7B6D73" w14:textId="4987B937" w:rsidR="00C82F5F" w:rsidRDefault="007F701C" w:rsidP="007F701C">
      <w:pPr>
        <w:pStyle w:val="Heading5"/>
      </w:pPr>
      <w:r>
        <w:t xml:space="preserve">BTR </w:t>
      </w:r>
      <w:r w:rsidR="0084449A">
        <w:t xml:space="preserve">withholding </w:t>
      </w:r>
      <w:proofErr w:type="gramStart"/>
      <w:r w:rsidR="0084449A">
        <w:t>amount</w:t>
      </w:r>
      <w:proofErr w:type="gramEnd"/>
    </w:p>
    <w:p w14:paraId="0EC8B573" w14:textId="0910EEC8" w:rsidR="007D7919" w:rsidRDefault="00850802" w:rsidP="0084449A">
      <w:pPr>
        <w:pStyle w:val="Normalparatextwithnumbers"/>
      </w:pPr>
      <w:r>
        <w:t>The method statement at section 44-</w:t>
      </w:r>
      <w:r w:rsidR="00B06D35">
        <w:t>3</w:t>
      </w:r>
      <w:r>
        <w:t>0</w:t>
      </w:r>
      <w:r w:rsidR="00240DB7">
        <w:t xml:space="preserve"> instructs how to calculate a BTR </w:t>
      </w:r>
      <w:r w:rsidR="00EB390D">
        <w:t>withholding amount</w:t>
      </w:r>
      <w:r w:rsidR="00125BB7">
        <w:t xml:space="preserve">. </w:t>
      </w:r>
      <w:r w:rsidR="0084449A">
        <w:t xml:space="preserve">The BTR withholding amount is </w:t>
      </w:r>
      <w:r w:rsidR="001E5F87">
        <w:t xml:space="preserve">equal to </w:t>
      </w:r>
      <w:r w:rsidR="00062575">
        <w:t>1.0</w:t>
      </w:r>
      <w:r w:rsidR="00067893">
        <w:t>8</w:t>
      </w:r>
      <w:r w:rsidR="00062575">
        <w:t xml:space="preserve"> times</w:t>
      </w:r>
      <w:r w:rsidR="001E5F87">
        <w:t xml:space="preserve"> </w:t>
      </w:r>
      <w:r w:rsidR="00062575">
        <w:t xml:space="preserve">the sum, over each year in which the BTR development was an active BTR development, of </w:t>
      </w:r>
      <w:r w:rsidR="001E5F87" w:rsidDel="00DB468D">
        <w:t xml:space="preserve">the </w:t>
      </w:r>
      <w:r w:rsidR="006873F9">
        <w:t>total</w:t>
      </w:r>
      <w:r w:rsidR="001553CC">
        <w:t xml:space="preserve"> </w:t>
      </w:r>
      <w:r w:rsidR="001E5F87">
        <w:t xml:space="preserve">sum of fund payments made </w:t>
      </w:r>
      <w:r w:rsidR="005B0119">
        <w:t>where</w:t>
      </w:r>
      <w:r w:rsidR="007D7919">
        <w:t>:</w:t>
      </w:r>
    </w:p>
    <w:p w14:paraId="318FF6BA" w14:textId="77777777" w:rsidR="007D7919" w:rsidRDefault="005B0119" w:rsidP="008825C2">
      <w:pPr>
        <w:pStyle w:val="Dotpoint1"/>
      </w:pPr>
      <w:r>
        <w:t>the BTR development was an active BTR development</w:t>
      </w:r>
      <w:r w:rsidR="00A86978">
        <w:t xml:space="preserve">, </w:t>
      </w:r>
    </w:p>
    <w:p w14:paraId="389F6178" w14:textId="571C333C" w:rsidR="007D7919" w:rsidRDefault="00744EC3" w:rsidP="008825C2">
      <w:pPr>
        <w:pStyle w:val="Dotpoint1"/>
      </w:pPr>
      <w:r>
        <w:t>the</w:t>
      </w:r>
      <w:r w:rsidR="00A86978">
        <w:t xml:space="preserve"> fund payments were subject to the 15</w:t>
      </w:r>
      <w:r w:rsidR="00D86255">
        <w:t> </w:t>
      </w:r>
      <w:r w:rsidR="00A86978">
        <w:t xml:space="preserve">per cent rate of tax, </w:t>
      </w:r>
      <w:r>
        <w:t>and</w:t>
      </w:r>
    </w:p>
    <w:p w14:paraId="0F38CCC4" w14:textId="3D14F496" w:rsidR="00744EC3" w:rsidRDefault="00A86978" w:rsidP="00984A02">
      <w:pPr>
        <w:pStyle w:val="Dotpoint1"/>
      </w:pPr>
      <w:r>
        <w:t xml:space="preserve">those payments were attributable to </w:t>
      </w:r>
      <w:r w:rsidR="001553CC">
        <w:t xml:space="preserve">rental income under a lease of a dwelling that is part of an active BTR development. </w:t>
      </w:r>
    </w:p>
    <w:p w14:paraId="15C8A520" w14:textId="4F5B8F2D" w:rsidR="00B053B9" w:rsidRPr="00FB3946" w:rsidRDefault="00082DB1" w:rsidP="00FB3946">
      <w:pPr>
        <w:pStyle w:val="Referenceafterdotpoint"/>
      </w:pPr>
      <w:r>
        <w:t>[</w:t>
      </w:r>
      <w:r w:rsidRPr="00744EC3">
        <w:t xml:space="preserve">Schedule #, item 7, </w:t>
      </w:r>
      <w:r w:rsidR="00E61A74" w:rsidRPr="00744EC3">
        <w:t>section 44-</w:t>
      </w:r>
      <w:r w:rsidR="00B0525D">
        <w:t>3</w:t>
      </w:r>
      <w:r w:rsidR="00E61A74" w:rsidRPr="00744EC3">
        <w:t>0 of the ITAA 1997</w:t>
      </w:r>
      <w:r>
        <w:t xml:space="preserve">] </w:t>
      </w:r>
    </w:p>
    <w:p w14:paraId="1E8807E9" w14:textId="2D8D72E4" w:rsidR="001162FF" w:rsidRDefault="00434662" w:rsidP="00434662">
      <w:pPr>
        <w:pStyle w:val="Heading5"/>
      </w:pPr>
      <w:r>
        <w:t xml:space="preserve">Power to make an </w:t>
      </w:r>
      <w:proofErr w:type="gramStart"/>
      <w:r>
        <w:t>assessment</w:t>
      </w:r>
      <w:proofErr w:type="gramEnd"/>
    </w:p>
    <w:p w14:paraId="6E2F4D69" w14:textId="4692D273" w:rsidR="00434662" w:rsidRPr="00434662" w:rsidRDefault="00F641BA" w:rsidP="00434662">
      <w:pPr>
        <w:pStyle w:val="Normalparatextwithnumbers"/>
      </w:pPr>
      <w:r>
        <w:t xml:space="preserve">The amount of </w:t>
      </w:r>
      <w:r w:rsidR="00B80EFF">
        <w:t xml:space="preserve">BTR </w:t>
      </w:r>
      <w:r w:rsidR="00555E94">
        <w:t xml:space="preserve">development </w:t>
      </w:r>
      <w:r>
        <w:t xml:space="preserve">misuse tax is defined as </w:t>
      </w:r>
      <w:r w:rsidR="00D5170F">
        <w:t xml:space="preserve">an assessable amount. This enables </w:t>
      </w:r>
      <w:r w:rsidR="006D6FE3">
        <w:t>the</w:t>
      </w:r>
      <w:r w:rsidR="00D5170F">
        <w:t xml:space="preserve"> Commissioner to make an assessment for </w:t>
      </w:r>
      <w:r w:rsidR="00B80EFF">
        <w:t xml:space="preserve">BTR </w:t>
      </w:r>
      <w:r w:rsidR="00D5170F">
        <w:t>development misuse tax.</w:t>
      </w:r>
      <w:r w:rsidR="00D5170F">
        <w:br/>
      </w:r>
      <w:r w:rsidR="00D5170F" w:rsidRPr="00D5170F">
        <w:rPr>
          <w:rStyle w:val="References"/>
        </w:rPr>
        <w:t xml:space="preserve">[Schedule </w:t>
      </w:r>
      <w:r w:rsidR="00D5170F">
        <w:rPr>
          <w:rStyle w:val="References"/>
        </w:rPr>
        <w:t>#</w:t>
      </w:r>
      <w:r w:rsidR="00D5170F" w:rsidRPr="00D5170F">
        <w:rPr>
          <w:rStyle w:val="References"/>
        </w:rPr>
        <w:t xml:space="preserve">, item </w:t>
      </w:r>
      <w:r w:rsidR="00D5170F">
        <w:rPr>
          <w:rStyle w:val="References"/>
        </w:rPr>
        <w:t>1</w:t>
      </w:r>
      <w:r w:rsidR="002B60C5">
        <w:rPr>
          <w:rStyle w:val="References"/>
        </w:rPr>
        <w:t>3</w:t>
      </w:r>
      <w:r w:rsidR="00D5170F" w:rsidRPr="00D5170F">
        <w:rPr>
          <w:rStyle w:val="References"/>
        </w:rPr>
        <w:t xml:space="preserve">, </w:t>
      </w:r>
      <w:r w:rsidR="00C90975">
        <w:rPr>
          <w:rStyle w:val="References"/>
        </w:rPr>
        <w:t xml:space="preserve">paragraph 155-5(2)(o) of Schedule 1 </w:t>
      </w:r>
      <w:r w:rsidR="00883E45">
        <w:rPr>
          <w:rStyle w:val="References"/>
        </w:rPr>
        <w:t xml:space="preserve">to </w:t>
      </w:r>
      <w:r w:rsidR="00C90975">
        <w:rPr>
          <w:rStyle w:val="References"/>
        </w:rPr>
        <w:t>the TAA 1953</w:t>
      </w:r>
      <w:r w:rsidR="00D5170F" w:rsidRPr="00D5170F">
        <w:rPr>
          <w:rStyle w:val="References"/>
        </w:rPr>
        <w:t xml:space="preserve">] </w:t>
      </w:r>
    </w:p>
    <w:p w14:paraId="3153AB6C" w14:textId="23105A09" w:rsidR="00D2353F" w:rsidRDefault="00C90975" w:rsidP="00AF1AB1">
      <w:pPr>
        <w:pStyle w:val="Normalparatextwithnumbers"/>
      </w:pPr>
      <w:r>
        <w:t xml:space="preserve">However, a person cannot </w:t>
      </w:r>
      <w:r w:rsidR="004663DE">
        <w:t xml:space="preserve">force </w:t>
      </w:r>
      <w:r>
        <w:t xml:space="preserve">the Commissioner to </w:t>
      </w:r>
      <w:proofErr w:type="gramStart"/>
      <w:r w:rsidR="004663DE">
        <w:t>make an assessment of</w:t>
      </w:r>
      <w:proofErr w:type="gramEnd"/>
      <w:r w:rsidR="004663DE">
        <w:t xml:space="preserve"> the </w:t>
      </w:r>
      <w:r w:rsidR="00B80EFF">
        <w:t xml:space="preserve">BTR </w:t>
      </w:r>
      <w:r w:rsidR="001F39C3">
        <w:t xml:space="preserve">development </w:t>
      </w:r>
      <w:r w:rsidR="004663DE">
        <w:t xml:space="preserve">misuse tax. This </w:t>
      </w:r>
      <w:r w:rsidR="005E4CC3">
        <w:t xml:space="preserve">is </w:t>
      </w:r>
      <w:r w:rsidR="001F39C3">
        <w:t xml:space="preserve">to minimise administration requirements for the Commissioner </w:t>
      </w:r>
      <w:r w:rsidR="005E4CC3">
        <w:t xml:space="preserve">because </w:t>
      </w:r>
      <w:r w:rsidR="007B7FA5">
        <w:t xml:space="preserve">the </w:t>
      </w:r>
      <w:r w:rsidR="00B80EFF">
        <w:t xml:space="preserve">BTR </w:t>
      </w:r>
      <w:r w:rsidR="001F39C3">
        <w:t xml:space="preserve">development </w:t>
      </w:r>
      <w:r w:rsidR="007B7FA5">
        <w:t xml:space="preserve">misuse tax is used to </w:t>
      </w:r>
      <w:r w:rsidR="00060388">
        <w:t>roughly</w:t>
      </w:r>
      <w:r w:rsidR="007B7FA5">
        <w:t xml:space="preserve"> neutralise tax benefits </w:t>
      </w:r>
      <w:r w:rsidR="00B80EFF">
        <w:t xml:space="preserve">incorrectly </w:t>
      </w:r>
      <w:r w:rsidR="007B7FA5">
        <w:t>claimed</w:t>
      </w:r>
      <w:r w:rsidR="001F39C3">
        <w:t xml:space="preserve"> and will not apply to all taxpayers.</w:t>
      </w:r>
      <w:r w:rsidR="00AF1AB1">
        <w:br/>
      </w:r>
      <w:r w:rsidR="00AF1AB1" w:rsidRPr="00AF1AB1">
        <w:rPr>
          <w:rStyle w:val="References"/>
        </w:rPr>
        <w:t xml:space="preserve">[Schedule </w:t>
      </w:r>
      <w:r w:rsidR="00AF1AB1">
        <w:rPr>
          <w:rStyle w:val="References"/>
        </w:rPr>
        <w:t>#</w:t>
      </w:r>
      <w:r w:rsidR="00AF1AB1" w:rsidRPr="00AF1AB1">
        <w:rPr>
          <w:rStyle w:val="References"/>
        </w:rPr>
        <w:t>, item</w:t>
      </w:r>
      <w:r w:rsidR="00CE06B0">
        <w:rPr>
          <w:rStyle w:val="References"/>
        </w:rPr>
        <w:t xml:space="preserve"> 1</w:t>
      </w:r>
      <w:r w:rsidR="00260917">
        <w:rPr>
          <w:rStyle w:val="References"/>
        </w:rPr>
        <w:t>4</w:t>
      </w:r>
      <w:r w:rsidR="00AF1AB1" w:rsidRPr="00AF1AB1">
        <w:rPr>
          <w:rStyle w:val="References"/>
        </w:rPr>
        <w:t xml:space="preserve">, </w:t>
      </w:r>
      <w:r w:rsidR="00CE06B0">
        <w:rPr>
          <w:rStyle w:val="References"/>
        </w:rPr>
        <w:t xml:space="preserve">paragraph 155-30(3)(e) of Schedule 1 </w:t>
      </w:r>
      <w:r w:rsidR="006C4EEE">
        <w:rPr>
          <w:rStyle w:val="References"/>
        </w:rPr>
        <w:t xml:space="preserve">to </w:t>
      </w:r>
      <w:r w:rsidR="00CE06B0">
        <w:rPr>
          <w:rStyle w:val="References"/>
        </w:rPr>
        <w:t>the TAA 1953</w:t>
      </w:r>
      <w:r w:rsidR="00AF1AB1" w:rsidRPr="00AF1AB1">
        <w:rPr>
          <w:rStyle w:val="References"/>
        </w:rPr>
        <w:t xml:space="preserve">] </w:t>
      </w:r>
    </w:p>
    <w:p w14:paraId="315FCC9D" w14:textId="62900CCC" w:rsidR="001162FF" w:rsidRDefault="00434662" w:rsidP="00B80EFF">
      <w:pPr>
        <w:pStyle w:val="Heading5"/>
      </w:pPr>
      <w:r>
        <w:t xml:space="preserve">When is tax </w:t>
      </w:r>
      <w:proofErr w:type="gramStart"/>
      <w:r>
        <w:t>payable</w:t>
      </w:r>
      <w:proofErr w:type="gramEnd"/>
    </w:p>
    <w:p w14:paraId="40FAF9B3" w14:textId="7AF03C9B" w:rsidR="00D1212E" w:rsidRDefault="00B80EFF" w:rsidP="001D738E">
      <w:pPr>
        <w:pStyle w:val="Normalparatextwithnumbers"/>
      </w:pPr>
      <w:r>
        <w:t xml:space="preserve">The BTR development misuse tax is </w:t>
      </w:r>
      <w:r w:rsidR="00D2353F">
        <w:t>due and payable at the end of 21 days after the Commissioner gives a person notice of assessment of the amount of BTR development misuse tax payable.</w:t>
      </w:r>
      <w:r w:rsidR="00AF1AB1">
        <w:br/>
      </w:r>
      <w:r w:rsidR="00AF1AB1" w:rsidRPr="00AF1AB1">
        <w:rPr>
          <w:rStyle w:val="References"/>
        </w:rPr>
        <w:t xml:space="preserve">[Schedule </w:t>
      </w:r>
      <w:r w:rsidR="00CE06B0">
        <w:rPr>
          <w:rStyle w:val="References"/>
        </w:rPr>
        <w:t>#</w:t>
      </w:r>
      <w:r w:rsidR="00AF1AB1" w:rsidRPr="00AF1AB1">
        <w:rPr>
          <w:rStyle w:val="References"/>
        </w:rPr>
        <w:t>, item</w:t>
      </w:r>
      <w:r w:rsidR="00D07704">
        <w:rPr>
          <w:rStyle w:val="References"/>
        </w:rPr>
        <w:t xml:space="preserve"> 7</w:t>
      </w:r>
      <w:r w:rsidR="00AF1AB1" w:rsidRPr="00AF1AB1">
        <w:rPr>
          <w:rStyle w:val="References"/>
        </w:rPr>
        <w:t>,</w:t>
      </w:r>
      <w:r w:rsidR="00B8582D">
        <w:rPr>
          <w:rStyle w:val="References"/>
        </w:rPr>
        <w:t xml:space="preserve"> section 44-</w:t>
      </w:r>
      <w:r w:rsidR="00B93E1D">
        <w:rPr>
          <w:rStyle w:val="References"/>
        </w:rPr>
        <w:t>40</w:t>
      </w:r>
      <w:r w:rsidR="00B8582D">
        <w:rPr>
          <w:rStyle w:val="References"/>
        </w:rPr>
        <w:t xml:space="preserve"> of the ITAA 1997</w:t>
      </w:r>
      <w:r w:rsidR="00AF1AB1" w:rsidRPr="00AF1AB1">
        <w:rPr>
          <w:rStyle w:val="References"/>
        </w:rPr>
        <w:t xml:space="preserve">] </w:t>
      </w:r>
    </w:p>
    <w:p w14:paraId="45C6C85D" w14:textId="6D52078F" w:rsidR="00B8582D" w:rsidRDefault="00852347" w:rsidP="001D738E">
      <w:pPr>
        <w:pStyle w:val="Normalparatextwithnumbers"/>
      </w:pPr>
      <w:r>
        <w:t xml:space="preserve">If the Commissioner amends a person’s assessment, the extra assessed amount of BTR development misuse tax is due and payable at the end of 21 days after the Commissioner gives </w:t>
      </w:r>
      <w:r w:rsidR="001F5296">
        <w:t>the</w:t>
      </w:r>
      <w:r>
        <w:t xml:space="preserve"> person notice of </w:t>
      </w:r>
      <w:r w:rsidR="003B1A48">
        <w:t>the amended assessment.</w:t>
      </w:r>
      <w:r w:rsidR="00C474CA">
        <w:br/>
      </w:r>
      <w:r w:rsidR="00C474CA" w:rsidRPr="00C474CA">
        <w:rPr>
          <w:rStyle w:val="References"/>
        </w:rPr>
        <w:t>[</w:t>
      </w:r>
      <w:r w:rsidR="00C474CA" w:rsidRPr="00AF1AB1">
        <w:rPr>
          <w:rStyle w:val="References"/>
        </w:rPr>
        <w:t xml:space="preserve">Schedule </w:t>
      </w:r>
      <w:r w:rsidR="00C474CA">
        <w:rPr>
          <w:rStyle w:val="References"/>
        </w:rPr>
        <w:t>#</w:t>
      </w:r>
      <w:r w:rsidR="00C474CA" w:rsidRPr="00AF1AB1">
        <w:rPr>
          <w:rStyle w:val="References"/>
        </w:rPr>
        <w:t>, item</w:t>
      </w:r>
      <w:r w:rsidR="00C474CA">
        <w:rPr>
          <w:rStyle w:val="References"/>
        </w:rPr>
        <w:t xml:space="preserve"> 7</w:t>
      </w:r>
      <w:r w:rsidR="00C474CA" w:rsidRPr="00AF1AB1">
        <w:rPr>
          <w:rStyle w:val="References"/>
        </w:rPr>
        <w:t>,</w:t>
      </w:r>
      <w:r w:rsidR="00C474CA">
        <w:rPr>
          <w:rStyle w:val="References"/>
        </w:rPr>
        <w:t xml:space="preserve"> section 44-</w:t>
      </w:r>
      <w:r w:rsidR="00FE7B4C">
        <w:rPr>
          <w:rStyle w:val="References"/>
        </w:rPr>
        <w:t>45</w:t>
      </w:r>
      <w:r w:rsidR="00C474CA">
        <w:rPr>
          <w:rStyle w:val="References"/>
        </w:rPr>
        <w:t xml:space="preserve"> of the ITAA 1997</w:t>
      </w:r>
      <w:r w:rsidR="00C474CA" w:rsidRPr="00C474CA">
        <w:rPr>
          <w:rStyle w:val="References"/>
        </w:rPr>
        <w:t xml:space="preserve">] </w:t>
      </w:r>
    </w:p>
    <w:p w14:paraId="0ADA66AA" w14:textId="75AB4018" w:rsidR="00D1212E" w:rsidRDefault="00B149A5" w:rsidP="00C474CA">
      <w:pPr>
        <w:pStyle w:val="Heading5"/>
      </w:pPr>
      <w:r>
        <w:t>General interest charge</w:t>
      </w:r>
    </w:p>
    <w:p w14:paraId="1AC31AF2" w14:textId="3A664FED" w:rsidR="00FF2A5C" w:rsidRDefault="00C474CA" w:rsidP="001D738E">
      <w:pPr>
        <w:pStyle w:val="Normalparatextwithnumbers"/>
      </w:pPr>
      <w:r>
        <w:t xml:space="preserve">Similar to </w:t>
      </w:r>
      <w:r w:rsidR="00E13686">
        <w:t>most taxes (which are listed in subsection 8</w:t>
      </w:r>
      <w:proofErr w:type="gramStart"/>
      <w:r w:rsidR="00E13686">
        <w:t>AAB(</w:t>
      </w:r>
      <w:proofErr w:type="gramEnd"/>
      <w:r w:rsidR="00E13686">
        <w:t>4) of the TAA</w:t>
      </w:r>
      <w:r w:rsidR="00ED47BB">
        <w:t> </w:t>
      </w:r>
      <w:r w:rsidR="00E13686">
        <w:t>1953), the g</w:t>
      </w:r>
      <w:r>
        <w:t>eneral interest charge</w:t>
      </w:r>
      <w:r w:rsidR="00E13686">
        <w:t xml:space="preserve"> </w:t>
      </w:r>
      <w:r w:rsidR="00786703">
        <w:t>applies</w:t>
      </w:r>
      <w:r w:rsidR="006B3CEE">
        <w:t xml:space="preserve">, calculated daily based for each </w:t>
      </w:r>
      <w:r w:rsidR="006B3CEE">
        <w:lastRenderedPageBreak/>
        <w:t>day on</w:t>
      </w:r>
      <w:r w:rsidR="00B626DF">
        <w:t xml:space="preserve"> the unpaid amount, starting on the day the </w:t>
      </w:r>
      <w:r w:rsidR="00370681">
        <w:t xml:space="preserve">assessed </w:t>
      </w:r>
      <w:r w:rsidR="00B626DF">
        <w:t xml:space="preserve">BTR </w:t>
      </w:r>
      <w:r w:rsidR="00370681">
        <w:t xml:space="preserve">development misuse tax </w:t>
      </w:r>
      <w:r w:rsidR="006F0299">
        <w:t>was due to be paid, and ending at the end of the last day where</w:t>
      </w:r>
      <w:r w:rsidR="00FF2A5C">
        <w:t xml:space="preserve"> any of the following remain</w:t>
      </w:r>
      <w:r w:rsidR="00A62461">
        <w:t>s</w:t>
      </w:r>
      <w:r w:rsidR="00FF2A5C">
        <w:t xml:space="preserve"> unpaid:</w:t>
      </w:r>
    </w:p>
    <w:p w14:paraId="25C39923" w14:textId="77777777" w:rsidR="00FF2A5C" w:rsidRDefault="00940450" w:rsidP="00FF2A5C">
      <w:pPr>
        <w:pStyle w:val="Dotpoint1"/>
      </w:pPr>
      <w:r>
        <w:t xml:space="preserve">the </w:t>
      </w:r>
      <w:r w:rsidR="006F0299">
        <w:t xml:space="preserve">assessed BTR development misuse </w:t>
      </w:r>
      <w:proofErr w:type="gramStart"/>
      <w:r w:rsidR="006F0299">
        <w:t>tax</w:t>
      </w:r>
      <w:r w:rsidR="00FF2A5C">
        <w:t>;</w:t>
      </w:r>
      <w:proofErr w:type="gramEnd"/>
    </w:p>
    <w:p w14:paraId="287B62B2" w14:textId="77777777" w:rsidR="00FF2A5C" w:rsidRDefault="00940450" w:rsidP="00FF2A5C">
      <w:pPr>
        <w:pStyle w:val="Dotpoint1"/>
      </w:pPr>
      <w:r>
        <w:t xml:space="preserve">general interest charge on such assessed </w:t>
      </w:r>
      <w:r w:rsidR="00FF2A5C">
        <w:t xml:space="preserve">BTR development misuse </w:t>
      </w:r>
      <w:r>
        <w:t>tax</w:t>
      </w:r>
      <w:r w:rsidR="00FF2A5C">
        <w:t>.</w:t>
      </w:r>
    </w:p>
    <w:p w14:paraId="030C3930" w14:textId="404587D2" w:rsidR="00B149A5" w:rsidRDefault="00FF2A5C" w:rsidP="00FF2A5C">
      <w:pPr>
        <w:pStyle w:val="Referenceafterdotpoint"/>
      </w:pPr>
      <w:r>
        <w:t>[Schedule #, item</w:t>
      </w:r>
      <w:r w:rsidR="00A64B41">
        <w:t>s</w:t>
      </w:r>
      <w:r>
        <w:t xml:space="preserve"> 7</w:t>
      </w:r>
      <w:r w:rsidR="00A64B41">
        <w:t xml:space="preserve"> and </w:t>
      </w:r>
      <w:r w:rsidR="00463FC5">
        <w:t>9</w:t>
      </w:r>
      <w:r>
        <w:t xml:space="preserve">, </w:t>
      </w:r>
      <w:r w:rsidR="00A64B41">
        <w:t>section 44-</w:t>
      </w:r>
      <w:r w:rsidR="00C15D41">
        <w:t>50</w:t>
      </w:r>
      <w:r w:rsidR="00A64B41">
        <w:t xml:space="preserve"> of the ITAA 1997</w:t>
      </w:r>
      <w:r w:rsidR="00463FC5">
        <w:t xml:space="preserve"> and subsection</w:t>
      </w:r>
      <w:r w:rsidR="00403C42">
        <w:t> 8AAB(4) of the TAA 1953</w:t>
      </w:r>
      <w:r>
        <w:t xml:space="preserve">] </w:t>
      </w:r>
    </w:p>
    <w:p w14:paraId="38CD6384" w14:textId="40F9F85F" w:rsidR="00B149A5" w:rsidRDefault="002F15E2" w:rsidP="001D738E">
      <w:pPr>
        <w:pStyle w:val="Normalparatextwithnumbers"/>
      </w:pPr>
      <w:r>
        <w:t>The amount of general interest charge</w:t>
      </w:r>
      <w:r w:rsidR="00FF2A5C">
        <w:t xml:space="preserve"> is worked out in accordance with Part IIA of the TAA 1953.</w:t>
      </w:r>
      <w:r w:rsidR="00403C42">
        <w:br/>
      </w:r>
      <w:r w:rsidR="00403C42" w:rsidRPr="00403C42">
        <w:rPr>
          <w:rStyle w:val="References"/>
        </w:rPr>
        <w:t xml:space="preserve">[Schedule </w:t>
      </w:r>
      <w:r w:rsidR="00403C42">
        <w:rPr>
          <w:rStyle w:val="References"/>
        </w:rPr>
        <w:t>#</w:t>
      </w:r>
      <w:r w:rsidR="00403C42" w:rsidRPr="00403C42">
        <w:rPr>
          <w:rStyle w:val="References"/>
        </w:rPr>
        <w:t>, item</w:t>
      </w:r>
      <w:r w:rsidR="00403C42">
        <w:rPr>
          <w:rStyle w:val="References"/>
        </w:rPr>
        <w:t xml:space="preserve"> 7</w:t>
      </w:r>
      <w:r w:rsidR="00403C42" w:rsidRPr="00403C42">
        <w:rPr>
          <w:rStyle w:val="References"/>
        </w:rPr>
        <w:t xml:space="preserve">, </w:t>
      </w:r>
      <w:r w:rsidR="00403C42">
        <w:rPr>
          <w:rStyle w:val="References"/>
        </w:rPr>
        <w:t>note to section 44-5</w:t>
      </w:r>
      <w:r w:rsidR="00037CAB">
        <w:rPr>
          <w:rStyle w:val="References"/>
        </w:rPr>
        <w:t>0</w:t>
      </w:r>
      <w:r w:rsidR="00403C42">
        <w:rPr>
          <w:rStyle w:val="References"/>
        </w:rPr>
        <w:t xml:space="preserve"> of the ITAA 1997</w:t>
      </w:r>
      <w:r w:rsidR="00403C42" w:rsidRPr="00403C42">
        <w:rPr>
          <w:rStyle w:val="References"/>
        </w:rPr>
        <w:t xml:space="preserve">] </w:t>
      </w:r>
    </w:p>
    <w:p w14:paraId="206817AF" w14:textId="32232B6A" w:rsidR="00FA5D88" w:rsidRDefault="00B6682A" w:rsidP="0025583F">
      <w:pPr>
        <w:pStyle w:val="Heading5"/>
      </w:pPr>
      <w:r>
        <w:t>No deduction</w:t>
      </w:r>
      <w:r w:rsidR="008D24B6">
        <w:t xml:space="preserve"> available for BTR development misuse tax</w:t>
      </w:r>
    </w:p>
    <w:p w14:paraId="6C1A86C4" w14:textId="3D9BA8E9" w:rsidR="00A07D4C" w:rsidRPr="0084449A" w:rsidRDefault="008D24B6" w:rsidP="001D738E">
      <w:pPr>
        <w:pStyle w:val="Normalparatextwithnumbers"/>
      </w:pPr>
      <w:r>
        <w:t xml:space="preserve">No deduction is available for an amount of BTR development misuse tax that </w:t>
      </w:r>
      <w:r w:rsidR="00863933">
        <w:t xml:space="preserve">an entity </w:t>
      </w:r>
      <w:r>
        <w:t>pays.</w:t>
      </w:r>
      <w:r>
        <w:br/>
      </w:r>
      <w:r w:rsidRPr="008D24B6">
        <w:rPr>
          <w:rStyle w:val="References"/>
        </w:rPr>
        <w:t xml:space="preserve">[Schedule </w:t>
      </w:r>
      <w:r>
        <w:rPr>
          <w:rStyle w:val="References"/>
        </w:rPr>
        <w:t>#</w:t>
      </w:r>
      <w:r w:rsidRPr="008D24B6">
        <w:rPr>
          <w:rStyle w:val="References"/>
        </w:rPr>
        <w:t xml:space="preserve">, items </w:t>
      </w:r>
      <w:r w:rsidR="00276049">
        <w:rPr>
          <w:rStyle w:val="References"/>
        </w:rPr>
        <w:t>2</w:t>
      </w:r>
      <w:r>
        <w:rPr>
          <w:rStyle w:val="References"/>
        </w:rPr>
        <w:t xml:space="preserve"> and </w:t>
      </w:r>
      <w:r w:rsidR="00276049">
        <w:rPr>
          <w:rStyle w:val="References"/>
        </w:rPr>
        <w:t>3</w:t>
      </w:r>
      <w:r w:rsidRPr="008D24B6">
        <w:rPr>
          <w:rStyle w:val="References"/>
        </w:rPr>
        <w:t xml:space="preserve">, </w:t>
      </w:r>
      <w:r w:rsidR="00E92170">
        <w:rPr>
          <w:rStyle w:val="References"/>
        </w:rPr>
        <w:t xml:space="preserve">sections 12-5 and </w:t>
      </w:r>
      <w:r w:rsidR="00984A4A">
        <w:rPr>
          <w:rStyle w:val="References"/>
        </w:rPr>
        <w:t>26-99C of the ITAA 1997</w:t>
      </w:r>
      <w:r w:rsidRPr="008D24B6">
        <w:rPr>
          <w:rStyle w:val="References"/>
        </w:rPr>
        <w:t xml:space="preserve">] </w:t>
      </w:r>
    </w:p>
    <w:p w14:paraId="2D019C30" w14:textId="77777777" w:rsidR="00873094" w:rsidRPr="00020288" w:rsidRDefault="00873094" w:rsidP="005D0844">
      <w:pPr>
        <w:pStyle w:val="Heading2"/>
      </w:pPr>
      <w:bookmarkStart w:id="77" w:name="_Toc162534421"/>
      <w:r w:rsidRPr="005D0844">
        <w:t>Consequential</w:t>
      </w:r>
      <w:r w:rsidRPr="00020288">
        <w:t xml:space="preserve"> amendments</w:t>
      </w:r>
      <w:bookmarkEnd w:id="77"/>
    </w:p>
    <w:p w14:paraId="61B8B45E" w14:textId="48B268FA" w:rsidR="00F03837" w:rsidRPr="00F03837" w:rsidRDefault="00F46943" w:rsidP="00F03837">
      <w:pPr>
        <w:pStyle w:val="Normalparatextwithnumbers"/>
        <w:numPr>
          <w:ilvl w:val="1"/>
          <w:numId w:val="3"/>
        </w:numPr>
        <w:rPr>
          <w:rStyle w:val="References"/>
          <w:b w:val="0"/>
          <w:bCs w:val="0"/>
          <w:i w:val="0"/>
          <w:iCs w:val="0"/>
        </w:rPr>
      </w:pPr>
      <w:r>
        <w:t xml:space="preserve">References to </w:t>
      </w:r>
      <w:r w:rsidR="00061DF4">
        <w:t>terms newly defined for the</w:t>
      </w:r>
      <w:r w:rsidR="00DA395A">
        <w:t xml:space="preserve">se amendments </w:t>
      </w:r>
      <w:r w:rsidR="004E05E1">
        <w:t>are included in the Dictionary of the ITAA 1997.</w:t>
      </w:r>
      <w:r w:rsidR="004E05E1">
        <w:br/>
      </w:r>
      <w:r w:rsidR="004E05E1" w:rsidRPr="004E05E1">
        <w:rPr>
          <w:rStyle w:val="References"/>
        </w:rPr>
        <w:t xml:space="preserve">[Schedule </w:t>
      </w:r>
      <w:r w:rsidR="0006364D">
        <w:rPr>
          <w:rStyle w:val="References"/>
        </w:rPr>
        <w:t>#</w:t>
      </w:r>
      <w:r w:rsidR="004E05E1" w:rsidRPr="004E05E1">
        <w:rPr>
          <w:rStyle w:val="References"/>
        </w:rPr>
        <w:t>, item</w:t>
      </w:r>
      <w:r w:rsidR="00D42EDF">
        <w:rPr>
          <w:rStyle w:val="References"/>
        </w:rPr>
        <w:t xml:space="preserve"> 8</w:t>
      </w:r>
      <w:r w:rsidR="004E05E1" w:rsidRPr="004E05E1">
        <w:rPr>
          <w:rStyle w:val="References"/>
        </w:rPr>
        <w:t xml:space="preserve">, </w:t>
      </w:r>
      <w:r w:rsidR="00D42EDF">
        <w:rPr>
          <w:rStyle w:val="References"/>
        </w:rPr>
        <w:t>subsection 995-1(1) of the ITAA 1997</w:t>
      </w:r>
      <w:r w:rsidR="004E05E1" w:rsidRPr="004E05E1">
        <w:rPr>
          <w:rStyle w:val="References"/>
        </w:rPr>
        <w:t xml:space="preserve">] </w:t>
      </w:r>
    </w:p>
    <w:p w14:paraId="2AE5161C" w14:textId="5FF774FD" w:rsidR="00F03837" w:rsidRPr="00020288" w:rsidRDefault="00B41FA3" w:rsidP="00F03837">
      <w:pPr>
        <w:pStyle w:val="Normalparatextwithnumbers"/>
      </w:pPr>
      <w:r>
        <w:t>An amendment is</w:t>
      </w:r>
      <w:r w:rsidR="00F03837">
        <w:t xml:space="preserve"> made to the </w:t>
      </w:r>
      <w:r w:rsidR="0035039C">
        <w:t>TAA</w:t>
      </w:r>
      <w:r w:rsidR="00372225">
        <w:t xml:space="preserve"> 1953 </w:t>
      </w:r>
      <w:r w:rsidR="005B3152">
        <w:t xml:space="preserve">to identify that the </w:t>
      </w:r>
      <w:r w:rsidR="003B526C">
        <w:t xml:space="preserve">build to rent </w:t>
      </w:r>
      <w:r w:rsidR="005B3152">
        <w:t xml:space="preserve">development misuse tax </w:t>
      </w:r>
      <w:r w:rsidR="003B526C">
        <w:t>is a tax-related liability.</w:t>
      </w:r>
      <w:r w:rsidR="003B526C">
        <w:br/>
      </w:r>
      <w:r w:rsidR="003B526C" w:rsidRPr="003B526C">
        <w:rPr>
          <w:rStyle w:val="References"/>
        </w:rPr>
        <w:t xml:space="preserve">[Schedule </w:t>
      </w:r>
      <w:r w:rsidR="003B526C">
        <w:rPr>
          <w:rStyle w:val="References"/>
        </w:rPr>
        <w:t>#</w:t>
      </w:r>
      <w:r w:rsidR="003B526C" w:rsidRPr="003B526C">
        <w:rPr>
          <w:rStyle w:val="References"/>
        </w:rPr>
        <w:t>, item</w:t>
      </w:r>
      <w:r w:rsidR="003B526C">
        <w:rPr>
          <w:rStyle w:val="References"/>
        </w:rPr>
        <w:t xml:space="preserve"> 1</w:t>
      </w:r>
      <w:r w:rsidR="00C16E35">
        <w:rPr>
          <w:rStyle w:val="References"/>
        </w:rPr>
        <w:t>5</w:t>
      </w:r>
      <w:r w:rsidR="003B526C" w:rsidRPr="003B526C">
        <w:rPr>
          <w:rStyle w:val="References"/>
        </w:rPr>
        <w:t xml:space="preserve">, </w:t>
      </w:r>
      <w:r w:rsidR="00434662">
        <w:rPr>
          <w:rStyle w:val="References"/>
        </w:rPr>
        <w:t>subsection 250(2) of the TAA 1953</w:t>
      </w:r>
      <w:r w:rsidR="003B526C" w:rsidRPr="003B526C">
        <w:rPr>
          <w:rStyle w:val="References"/>
        </w:rPr>
        <w:t xml:space="preserve">] </w:t>
      </w:r>
    </w:p>
    <w:p w14:paraId="3892FB16" w14:textId="77777777" w:rsidR="00873094" w:rsidRPr="00020288" w:rsidRDefault="00873094" w:rsidP="00AF50CE">
      <w:pPr>
        <w:pStyle w:val="Heading2"/>
      </w:pPr>
      <w:bookmarkStart w:id="78" w:name="_Toc162534422"/>
      <w:r w:rsidRPr="00020288">
        <w:t xml:space="preserve">Commencement, </w:t>
      </w:r>
      <w:r w:rsidRPr="00AF50CE">
        <w:t>application</w:t>
      </w:r>
      <w:r w:rsidRPr="00020288">
        <w:t>, and transitional provisions</w:t>
      </w:r>
      <w:bookmarkEnd w:id="78"/>
    </w:p>
    <w:p w14:paraId="79B75C65" w14:textId="2C7FEB5A" w:rsidR="009A5A85" w:rsidRDefault="000F5F4B" w:rsidP="007B39D0">
      <w:pPr>
        <w:pStyle w:val="Normalparatextwithnumbers"/>
      </w:pPr>
      <w:bookmarkStart w:id="79" w:name="_Hlk162255461"/>
      <w:r>
        <w:t xml:space="preserve">The Imposition Bill commences on the first 1 January, 1 April, 1 </w:t>
      </w:r>
      <w:proofErr w:type="gramStart"/>
      <w:r>
        <w:t>July</w:t>
      </w:r>
      <w:proofErr w:type="gramEnd"/>
      <w:r>
        <w:t xml:space="preserve"> or 1</w:t>
      </w:r>
      <w:r w:rsidR="007266D3">
        <w:t> </w:t>
      </w:r>
      <w:r>
        <w:t>April to occur after the day the</w:t>
      </w:r>
      <w:r w:rsidR="00305887">
        <w:t xml:space="preserve"> Imposition</w:t>
      </w:r>
      <w:r>
        <w:t xml:space="preserve"> Bill receives Royal Assent</w:t>
      </w:r>
      <w:r w:rsidR="009A5A85">
        <w:t>.</w:t>
      </w:r>
      <w:r>
        <w:br/>
      </w:r>
      <w:r w:rsidRPr="000F5F4B">
        <w:rPr>
          <w:rStyle w:val="References"/>
        </w:rPr>
        <w:t>[</w:t>
      </w:r>
      <w:r w:rsidR="00D564D7">
        <w:rPr>
          <w:rStyle w:val="References"/>
        </w:rPr>
        <w:t>S</w:t>
      </w:r>
      <w:r w:rsidR="00665BAF">
        <w:rPr>
          <w:rStyle w:val="References"/>
        </w:rPr>
        <w:t>ection 2</w:t>
      </w:r>
      <w:r w:rsidR="00D564D7">
        <w:rPr>
          <w:rStyle w:val="References"/>
        </w:rPr>
        <w:t xml:space="preserve"> of the Imposition Bill</w:t>
      </w:r>
      <w:r w:rsidRPr="000F5F4B">
        <w:rPr>
          <w:rStyle w:val="References"/>
        </w:rPr>
        <w:t xml:space="preserve">] </w:t>
      </w:r>
    </w:p>
    <w:p w14:paraId="57607A98" w14:textId="53C81217" w:rsidR="000F5F4B" w:rsidRDefault="000F5F4B">
      <w:pPr>
        <w:pStyle w:val="Normalparatextwithnumbers"/>
      </w:pPr>
      <w:r>
        <w:t xml:space="preserve">Schedule # to the Bill commences at the same time as the Imposition Bill. However, </w:t>
      </w:r>
      <w:r w:rsidR="000260C7">
        <w:t xml:space="preserve">the provisions of the Bill </w:t>
      </w:r>
      <w:r w:rsidR="00E628A0">
        <w:t>do not commence at all if the Imposition Bill does not commence.</w:t>
      </w:r>
      <w:r w:rsidR="00E628A0">
        <w:br/>
      </w:r>
      <w:r w:rsidR="00E628A0" w:rsidRPr="00E628A0">
        <w:rPr>
          <w:rStyle w:val="References"/>
        </w:rPr>
        <w:t>[</w:t>
      </w:r>
      <w:r w:rsidR="00D564D7">
        <w:rPr>
          <w:rStyle w:val="References"/>
        </w:rPr>
        <w:t>S</w:t>
      </w:r>
      <w:r w:rsidR="00E628A0">
        <w:rPr>
          <w:rStyle w:val="References"/>
        </w:rPr>
        <w:t>ection 2</w:t>
      </w:r>
      <w:r w:rsidR="00D564D7">
        <w:rPr>
          <w:rStyle w:val="References"/>
        </w:rPr>
        <w:t xml:space="preserve"> of the Bill</w:t>
      </w:r>
      <w:r w:rsidR="00E628A0" w:rsidRPr="00E628A0">
        <w:rPr>
          <w:rStyle w:val="References"/>
        </w:rPr>
        <w:t xml:space="preserve">] </w:t>
      </w:r>
    </w:p>
    <w:p w14:paraId="0A6093FE" w14:textId="6300932D" w:rsidR="009A5A85" w:rsidRPr="00020288" w:rsidRDefault="0078179B" w:rsidP="009A5A85">
      <w:pPr>
        <w:pStyle w:val="Normalparatextwithnumbers"/>
      </w:pPr>
      <w:r>
        <w:t xml:space="preserve">The amendments </w:t>
      </w:r>
      <w:r w:rsidR="004A692C">
        <w:t>in Schedule # to the Bill</w:t>
      </w:r>
      <w:r>
        <w:t xml:space="preserve"> apply to </w:t>
      </w:r>
      <w:r w:rsidR="00671290" w:rsidRPr="00671290">
        <w:t xml:space="preserve">capital works </w:t>
      </w:r>
      <w:r w:rsidR="00A7601F">
        <w:t xml:space="preserve">that </w:t>
      </w:r>
      <w:r w:rsidR="00671290" w:rsidRPr="00671290">
        <w:t xml:space="preserve">begun after 7:30 pm, </w:t>
      </w:r>
      <w:r>
        <w:t>by legal time in the Australian Capital Territory</w:t>
      </w:r>
      <w:r w:rsidR="00671290" w:rsidRPr="00671290">
        <w:t>,</w:t>
      </w:r>
      <w:r>
        <w:t xml:space="preserve"> on </w:t>
      </w:r>
      <w:r w:rsidR="00671290" w:rsidRPr="00671290">
        <w:t>9</w:t>
      </w:r>
      <w:r w:rsidR="0014338E">
        <w:t> </w:t>
      </w:r>
      <w:r w:rsidR="00671290" w:rsidRPr="00671290">
        <w:t>May</w:t>
      </w:r>
      <w:r w:rsidR="0014338E">
        <w:t> </w:t>
      </w:r>
      <w:r w:rsidR="00671290" w:rsidRPr="00671290">
        <w:t>2023</w:t>
      </w:r>
      <w:r w:rsidR="009A5A85">
        <w:t>.</w:t>
      </w:r>
    </w:p>
    <w:p w14:paraId="4AB44067" w14:textId="77777777" w:rsidR="008C244F" w:rsidRDefault="008C244F" w:rsidP="008C244F">
      <w:pPr>
        <w:tabs>
          <w:tab w:val="left" w:pos="2769"/>
        </w:tabs>
        <w:spacing w:after="0" w:line="360" w:lineRule="auto"/>
        <w:contextualSpacing/>
      </w:pPr>
      <w:bookmarkStart w:id="80" w:name="_Hlk83390738"/>
      <w:bookmarkEnd w:id="65"/>
      <w:bookmarkEnd w:id="79"/>
    </w:p>
    <w:bookmarkEnd w:id="5"/>
    <w:bookmarkEnd w:id="72"/>
    <w:bookmarkEnd w:id="73"/>
    <w:bookmarkEnd w:id="74"/>
    <w:bookmarkEnd w:id="75"/>
    <w:bookmarkEnd w:id="76"/>
    <w:bookmarkEnd w:id="80"/>
    <w:sectPr w:rsidR="008C244F" w:rsidSect="00000BFC">
      <w:headerReference w:type="even" r:id="rId24"/>
      <w:headerReference w:type="default" r:id="rId25"/>
      <w:head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A8B9" w14:textId="77777777" w:rsidR="00F20946" w:rsidRDefault="00F20946">
      <w:pPr>
        <w:spacing w:before="0" w:after="0"/>
      </w:pPr>
      <w:r>
        <w:separator/>
      </w:r>
    </w:p>
  </w:endnote>
  <w:endnote w:type="continuationSeparator" w:id="0">
    <w:p w14:paraId="1156D214" w14:textId="77777777" w:rsidR="00F20946" w:rsidRDefault="00F20946">
      <w:pPr>
        <w:spacing w:before="0" w:after="0"/>
      </w:pPr>
      <w:r>
        <w:continuationSeparator/>
      </w:r>
    </w:p>
  </w:endnote>
  <w:endnote w:type="continuationNotice" w:id="1">
    <w:p w14:paraId="29836AEE" w14:textId="77777777" w:rsidR="00F20946" w:rsidRDefault="00F209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266A" w14:textId="77777777" w:rsidR="00044405" w:rsidRPr="00091474" w:rsidRDefault="00044405" w:rsidP="00044405">
    <w:pPr>
      <w:pStyle w:val="rightfooter"/>
      <w:jc w:val="left"/>
    </w:pPr>
    <w:r>
      <w:fldChar w:fldCharType="begin"/>
    </w:r>
    <w:r>
      <w:instrText xml:space="preserve"> PAGE   \* MERGEFORMAT </w:instrText>
    </w:r>
    <w:r>
      <w:fldChar w:fldCharType="separate"/>
    </w:r>
    <w: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A156" w14:textId="77777777" w:rsidR="00044405" w:rsidRPr="00091474" w:rsidRDefault="00044405" w:rsidP="00044405">
    <w:pPr>
      <w:pStyle w:val="rightfooter"/>
    </w:pPr>
    <w:r>
      <w:fldChar w:fldCharType="begin"/>
    </w:r>
    <w:r>
      <w:instrText xml:space="preserve"> PAGE   \* MERGEFORMAT </w:instrText>
    </w:r>
    <w:r>
      <w:fldChar w:fldCharType="separate"/>
    </w:r>
    <w: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6C65"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5EB3"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0CD8"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C35D" w14:textId="77777777" w:rsidR="00F20946" w:rsidRDefault="00F20946">
      <w:pPr>
        <w:spacing w:before="0" w:after="0"/>
      </w:pPr>
      <w:r>
        <w:separator/>
      </w:r>
    </w:p>
  </w:footnote>
  <w:footnote w:type="continuationSeparator" w:id="0">
    <w:p w14:paraId="30FA134D" w14:textId="77777777" w:rsidR="00F20946" w:rsidRDefault="00F20946">
      <w:pPr>
        <w:spacing w:before="0" w:after="0"/>
      </w:pPr>
      <w:r>
        <w:continuationSeparator/>
      </w:r>
    </w:p>
  </w:footnote>
  <w:footnote w:type="continuationNotice" w:id="1">
    <w:p w14:paraId="51B84F24" w14:textId="77777777" w:rsidR="00F20946" w:rsidRDefault="00F209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2AE9B0BB" w14:textId="77777777" w:rsidR="007A2DBD" w:rsidRDefault="00EF4657">
        <w:pPr>
          <w:pStyle w:val="Header"/>
        </w:pPr>
        <w:r>
          <w:rPr>
            <w:noProof/>
          </w:rPr>
          <w:pict w14:anchorId="33A3C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181A"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5F66"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20D" w14:textId="38ACFE60"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3F595C">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C3E9"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E91E" w14:textId="350C2F15" w:rsidR="007A2DBD" w:rsidRPr="00816825" w:rsidRDefault="00585E9D" w:rsidP="002425D9">
    <w:pPr>
      <w:pStyle w:val="leftheader"/>
    </w:pPr>
    <w:fldSimple w:instr=" STYLEREF  &quot;Heading 1&quot;  \* MERGEFORMAT ">
      <w:r w:rsidR="00EF4657">
        <w:rPr>
          <w:noProof/>
        </w:rPr>
        <w:t>Glossary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7C27" w14:textId="77777777"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6EE5"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218D" w14:textId="086176C6" w:rsidR="007A2DBD" w:rsidRPr="00743B27" w:rsidRDefault="00EF4657" w:rsidP="00E858B7">
    <w:pPr>
      <w:pStyle w:val="leftheader"/>
    </w:pPr>
    <w:r>
      <w:fldChar w:fldCharType="begin"/>
    </w:r>
    <w:r>
      <w:instrText xml:space="preserve"> STYLEREF  "Chapter heading"  \* MERGEFORMAT </w:instrText>
    </w:r>
    <w:r>
      <w:fldChar w:fldCharType="separate"/>
    </w:r>
    <w:r>
      <w:rPr>
        <w:noProof/>
      </w:rPr>
      <w:t>Build to rent developments</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6562" w14:textId="6EEF1201" w:rsidR="007A2DBD" w:rsidRPr="00743B27" w:rsidRDefault="00585E9D" w:rsidP="00743B27">
    <w:pPr>
      <w:pStyle w:val="rightheader"/>
    </w:pPr>
    <w:fldSimple w:instr=" STYLEREF &quot;Bill Name&quot; \* MERGEFORMAT ">
      <w:r w:rsidR="00EF4657">
        <w:rPr>
          <w:noProof/>
        </w:rPr>
        <w:t>Capital Works (Build to Rent Misuse Tax) Bill 2024</w:t>
      </w:r>
      <w:r w:rsidR="00EF4657">
        <w:rPr>
          <w:noProof/>
        </w:rPr>
        <w:br/>
        <w:t>Treasury Laws Amendment Bill 2024: Build to Rent Developments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8D647C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836E0D"/>
    <w:multiLevelType w:val="multilevel"/>
    <w:tmpl w:val="60D8A17C"/>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950960"/>
    <w:multiLevelType w:val="multilevel"/>
    <w:tmpl w:val="AD1C7528"/>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9"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0"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7B891783"/>
    <w:multiLevelType w:val="hybridMultilevel"/>
    <w:tmpl w:val="0CCE9FEC"/>
    <w:lvl w:ilvl="0" w:tplc="0B52848A">
      <w:start w:val="1"/>
      <w:numFmt w:val="bullet"/>
      <w:pStyle w:val="Dotpoint20"/>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73274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6599739">
    <w:abstractNumId w:val="0"/>
  </w:num>
  <w:num w:numId="2" w16cid:durableId="1948731128">
    <w:abstractNumId w:val="14"/>
  </w:num>
  <w:num w:numId="3" w16cid:durableId="182970768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4"/>
  </w:num>
  <w:num w:numId="7" w16cid:durableId="102290195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5"/>
  </w:num>
  <w:num w:numId="9" w16cid:durableId="911041120">
    <w:abstractNumId w:val="16"/>
  </w:num>
  <w:num w:numId="10" w16cid:durableId="2017876939">
    <w:abstractNumId w:val="10"/>
  </w:num>
  <w:num w:numId="11" w16cid:durableId="679544403">
    <w:abstractNumId w:val="9"/>
  </w:num>
  <w:num w:numId="12" w16cid:durableId="974681568">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4"/>
  </w:num>
  <w:num w:numId="14" w16cid:durableId="1648515472">
    <w:abstractNumId w:val="12"/>
  </w:num>
  <w:num w:numId="15" w16cid:durableId="407070147">
    <w:abstractNumId w:val="13"/>
  </w:num>
  <w:num w:numId="16" w16cid:durableId="1102265301">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5"/>
  </w:num>
  <w:num w:numId="18" w16cid:durableId="680205999">
    <w:abstractNumId w:val="2"/>
  </w:num>
  <w:num w:numId="19" w16cid:durableId="1491290959">
    <w:abstractNumId w:val="11"/>
  </w:num>
  <w:num w:numId="20" w16cid:durableId="1101536722">
    <w:abstractNumId w:val="15"/>
  </w:num>
  <w:num w:numId="21" w16cid:durableId="1399742980">
    <w:abstractNumId w:val="14"/>
  </w:num>
  <w:num w:numId="22" w16cid:durableId="397169042">
    <w:abstractNumId w:val="1"/>
  </w:num>
  <w:num w:numId="23" w16cid:durableId="785856834">
    <w:abstractNumId w:val="7"/>
  </w:num>
  <w:num w:numId="24" w16cid:durableId="242028047">
    <w:abstractNumId w:val="6"/>
  </w:num>
  <w:num w:numId="25" w16cid:durableId="720400349">
    <w:abstractNumId w:val="8"/>
  </w:num>
  <w:num w:numId="26" w16cid:durableId="1021011815">
    <w:abstractNumId w:val="4"/>
    <w:lvlOverride w:ilvl="3">
      <w:lvl w:ilvl="3">
        <w:start w:val="1"/>
        <w:numFmt w:val="decimal"/>
        <w:lvlRestart w:val="1"/>
        <w:pStyle w:val="ExampleHeading"/>
        <w:suff w:val="space"/>
        <w:lvlText w:val="Example %1.%4"/>
        <w:lvlJc w:val="left"/>
        <w:pPr>
          <w:ind w:left="1701" w:hanging="1701"/>
        </w:pPr>
        <w:rPr>
          <w:rFonts w:hint="default"/>
          <w:b/>
          <w:bCs/>
        </w:rPr>
      </w:lvl>
    </w:lvlOverride>
  </w:num>
  <w:num w:numId="27" w16cid:durableId="1072434641">
    <w:abstractNumId w:val="17"/>
  </w:num>
  <w:num w:numId="28" w16cid:durableId="1976179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64"/>
    <w:rsid w:val="0000032D"/>
    <w:rsid w:val="0000044D"/>
    <w:rsid w:val="00000479"/>
    <w:rsid w:val="00000BFC"/>
    <w:rsid w:val="000010A1"/>
    <w:rsid w:val="000010CB"/>
    <w:rsid w:val="000014FF"/>
    <w:rsid w:val="0000155C"/>
    <w:rsid w:val="000015C8"/>
    <w:rsid w:val="00001EF6"/>
    <w:rsid w:val="000024D4"/>
    <w:rsid w:val="00002D4C"/>
    <w:rsid w:val="00002D7C"/>
    <w:rsid w:val="00002FCF"/>
    <w:rsid w:val="0000301F"/>
    <w:rsid w:val="000031DF"/>
    <w:rsid w:val="000032DE"/>
    <w:rsid w:val="000037E4"/>
    <w:rsid w:val="00003A49"/>
    <w:rsid w:val="00004C0A"/>
    <w:rsid w:val="00004F8A"/>
    <w:rsid w:val="00005039"/>
    <w:rsid w:val="00005208"/>
    <w:rsid w:val="00005285"/>
    <w:rsid w:val="00005375"/>
    <w:rsid w:val="00005553"/>
    <w:rsid w:val="000058DC"/>
    <w:rsid w:val="0000593D"/>
    <w:rsid w:val="00005EE5"/>
    <w:rsid w:val="00006617"/>
    <w:rsid w:val="00006CC0"/>
    <w:rsid w:val="00006D24"/>
    <w:rsid w:val="0000727B"/>
    <w:rsid w:val="00007419"/>
    <w:rsid w:val="000076B1"/>
    <w:rsid w:val="00007A7A"/>
    <w:rsid w:val="0001023B"/>
    <w:rsid w:val="00010B3A"/>
    <w:rsid w:val="00011135"/>
    <w:rsid w:val="000115D8"/>
    <w:rsid w:val="00011A86"/>
    <w:rsid w:val="00011DCF"/>
    <w:rsid w:val="00012396"/>
    <w:rsid w:val="0001292C"/>
    <w:rsid w:val="00012985"/>
    <w:rsid w:val="000133AD"/>
    <w:rsid w:val="000137EF"/>
    <w:rsid w:val="00013EE7"/>
    <w:rsid w:val="00015A03"/>
    <w:rsid w:val="00015EB4"/>
    <w:rsid w:val="0001605F"/>
    <w:rsid w:val="00016CA8"/>
    <w:rsid w:val="00016CC3"/>
    <w:rsid w:val="000172C8"/>
    <w:rsid w:val="0001763E"/>
    <w:rsid w:val="00017808"/>
    <w:rsid w:val="0001799A"/>
    <w:rsid w:val="00017B8A"/>
    <w:rsid w:val="00017C32"/>
    <w:rsid w:val="0002002E"/>
    <w:rsid w:val="000212DA"/>
    <w:rsid w:val="00021421"/>
    <w:rsid w:val="0002174A"/>
    <w:rsid w:val="000217D5"/>
    <w:rsid w:val="00021DAA"/>
    <w:rsid w:val="000220C1"/>
    <w:rsid w:val="0002299B"/>
    <w:rsid w:val="00022EE2"/>
    <w:rsid w:val="00024108"/>
    <w:rsid w:val="0002430A"/>
    <w:rsid w:val="0002462F"/>
    <w:rsid w:val="00024929"/>
    <w:rsid w:val="000255A2"/>
    <w:rsid w:val="00025850"/>
    <w:rsid w:val="00025D96"/>
    <w:rsid w:val="000260C7"/>
    <w:rsid w:val="0002615D"/>
    <w:rsid w:val="00026F0F"/>
    <w:rsid w:val="00026F9E"/>
    <w:rsid w:val="000276C2"/>
    <w:rsid w:val="000276E3"/>
    <w:rsid w:val="00027A6F"/>
    <w:rsid w:val="00027C53"/>
    <w:rsid w:val="00030B26"/>
    <w:rsid w:val="00030F15"/>
    <w:rsid w:val="00031581"/>
    <w:rsid w:val="000322E2"/>
    <w:rsid w:val="0003276F"/>
    <w:rsid w:val="0003284A"/>
    <w:rsid w:val="000328A7"/>
    <w:rsid w:val="000334AE"/>
    <w:rsid w:val="00033FAF"/>
    <w:rsid w:val="00034069"/>
    <w:rsid w:val="0003417D"/>
    <w:rsid w:val="00034843"/>
    <w:rsid w:val="00034B5C"/>
    <w:rsid w:val="00035B48"/>
    <w:rsid w:val="00037B94"/>
    <w:rsid w:val="00037BBC"/>
    <w:rsid w:val="00037CAB"/>
    <w:rsid w:val="00037D97"/>
    <w:rsid w:val="00040058"/>
    <w:rsid w:val="000402B4"/>
    <w:rsid w:val="00040556"/>
    <w:rsid w:val="00040A53"/>
    <w:rsid w:val="00040FCA"/>
    <w:rsid w:val="00041162"/>
    <w:rsid w:val="00041348"/>
    <w:rsid w:val="0004199C"/>
    <w:rsid w:val="00041CD6"/>
    <w:rsid w:val="00041E47"/>
    <w:rsid w:val="0004205E"/>
    <w:rsid w:val="00042061"/>
    <w:rsid w:val="00042416"/>
    <w:rsid w:val="000425BC"/>
    <w:rsid w:val="0004289F"/>
    <w:rsid w:val="00042ED7"/>
    <w:rsid w:val="000434C3"/>
    <w:rsid w:val="00043DFE"/>
    <w:rsid w:val="00043E8E"/>
    <w:rsid w:val="000441FC"/>
    <w:rsid w:val="00044405"/>
    <w:rsid w:val="00044542"/>
    <w:rsid w:val="00044722"/>
    <w:rsid w:val="00044C0E"/>
    <w:rsid w:val="00044C33"/>
    <w:rsid w:val="00044D01"/>
    <w:rsid w:val="00044D72"/>
    <w:rsid w:val="00044DBE"/>
    <w:rsid w:val="00045683"/>
    <w:rsid w:val="000457F7"/>
    <w:rsid w:val="00045BF4"/>
    <w:rsid w:val="00045C52"/>
    <w:rsid w:val="00046151"/>
    <w:rsid w:val="00046468"/>
    <w:rsid w:val="000468F5"/>
    <w:rsid w:val="00046BF0"/>
    <w:rsid w:val="00046C99"/>
    <w:rsid w:val="00046F55"/>
    <w:rsid w:val="000472BE"/>
    <w:rsid w:val="0004797C"/>
    <w:rsid w:val="00047E60"/>
    <w:rsid w:val="00047FF2"/>
    <w:rsid w:val="0005001C"/>
    <w:rsid w:val="00050134"/>
    <w:rsid w:val="00050401"/>
    <w:rsid w:val="000504F2"/>
    <w:rsid w:val="00050562"/>
    <w:rsid w:val="000512E2"/>
    <w:rsid w:val="00051542"/>
    <w:rsid w:val="00051BDB"/>
    <w:rsid w:val="00051FA3"/>
    <w:rsid w:val="000525C1"/>
    <w:rsid w:val="00052BCE"/>
    <w:rsid w:val="00052C8B"/>
    <w:rsid w:val="00052C94"/>
    <w:rsid w:val="000536AB"/>
    <w:rsid w:val="000538A7"/>
    <w:rsid w:val="00053955"/>
    <w:rsid w:val="00053D2B"/>
    <w:rsid w:val="00053D4A"/>
    <w:rsid w:val="000541F0"/>
    <w:rsid w:val="00054E6E"/>
    <w:rsid w:val="00054F93"/>
    <w:rsid w:val="000552A9"/>
    <w:rsid w:val="00055316"/>
    <w:rsid w:val="00055BB9"/>
    <w:rsid w:val="00055DB2"/>
    <w:rsid w:val="0005626E"/>
    <w:rsid w:val="00056D5B"/>
    <w:rsid w:val="00057D5C"/>
    <w:rsid w:val="000600D3"/>
    <w:rsid w:val="00060388"/>
    <w:rsid w:val="00060829"/>
    <w:rsid w:val="00060C6B"/>
    <w:rsid w:val="00060E27"/>
    <w:rsid w:val="00060ED5"/>
    <w:rsid w:val="00061467"/>
    <w:rsid w:val="00061CB6"/>
    <w:rsid w:val="00061DF4"/>
    <w:rsid w:val="00061F8B"/>
    <w:rsid w:val="00062100"/>
    <w:rsid w:val="00062405"/>
    <w:rsid w:val="00062575"/>
    <w:rsid w:val="00062830"/>
    <w:rsid w:val="00062A1C"/>
    <w:rsid w:val="00062AF5"/>
    <w:rsid w:val="00062DDF"/>
    <w:rsid w:val="0006364D"/>
    <w:rsid w:val="00063BD4"/>
    <w:rsid w:val="00063E82"/>
    <w:rsid w:val="00064034"/>
    <w:rsid w:val="00064367"/>
    <w:rsid w:val="0006439A"/>
    <w:rsid w:val="0006595B"/>
    <w:rsid w:val="0006608A"/>
    <w:rsid w:val="00067848"/>
    <w:rsid w:val="00067893"/>
    <w:rsid w:val="00070241"/>
    <w:rsid w:val="0007058F"/>
    <w:rsid w:val="0007068A"/>
    <w:rsid w:val="000706F9"/>
    <w:rsid w:val="0007126F"/>
    <w:rsid w:val="000718CE"/>
    <w:rsid w:val="00071942"/>
    <w:rsid w:val="0007205F"/>
    <w:rsid w:val="000722C7"/>
    <w:rsid w:val="00072AE0"/>
    <w:rsid w:val="00072CC8"/>
    <w:rsid w:val="000732DF"/>
    <w:rsid w:val="00073478"/>
    <w:rsid w:val="000736F8"/>
    <w:rsid w:val="000738FF"/>
    <w:rsid w:val="00073ADA"/>
    <w:rsid w:val="00074416"/>
    <w:rsid w:val="00074CB8"/>
    <w:rsid w:val="000762F4"/>
    <w:rsid w:val="000768DD"/>
    <w:rsid w:val="00076DED"/>
    <w:rsid w:val="00076EE9"/>
    <w:rsid w:val="0007713D"/>
    <w:rsid w:val="000776C3"/>
    <w:rsid w:val="000777A4"/>
    <w:rsid w:val="00077E3B"/>
    <w:rsid w:val="00077ED9"/>
    <w:rsid w:val="00077F28"/>
    <w:rsid w:val="00077FE6"/>
    <w:rsid w:val="000805DC"/>
    <w:rsid w:val="000806BF"/>
    <w:rsid w:val="00080910"/>
    <w:rsid w:val="0008165D"/>
    <w:rsid w:val="00081CF9"/>
    <w:rsid w:val="00082212"/>
    <w:rsid w:val="000826AB"/>
    <w:rsid w:val="00082794"/>
    <w:rsid w:val="00082DB1"/>
    <w:rsid w:val="000831A1"/>
    <w:rsid w:val="00083296"/>
    <w:rsid w:val="000832D3"/>
    <w:rsid w:val="000835C5"/>
    <w:rsid w:val="00083FCC"/>
    <w:rsid w:val="000841DA"/>
    <w:rsid w:val="00084CFA"/>
    <w:rsid w:val="00084F24"/>
    <w:rsid w:val="00085BBB"/>
    <w:rsid w:val="000863F5"/>
    <w:rsid w:val="0008645A"/>
    <w:rsid w:val="000864F2"/>
    <w:rsid w:val="00086ABE"/>
    <w:rsid w:val="00087F47"/>
    <w:rsid w:val="00087FE9"/>
    <w:rsid w:val="000903AD"/>
    <w:rsid w:val="00090A2C"/>
    <w:rsid w:val="00090C04"/>
    <w:rsid w:val="00090F6A"/>
    <w:rsid w:val="00091430"/>
    <w:rsid w:val="0009155E"/>
    <w:rsid w:val="000918E9"/>
    <w:rsid w:val="00091AF4"/>
    <w:rsid w:val="00091D7F"/>
    <w:rsid w:val="00091DE4"/>
    <w:rsid w:val="0009202A"/>
    <w:rsid w:val="0009232D"/>
    <w:rsid w:val="00092E32"/>
    <w:rsid w:val="00093EEF"/>
    <w:rsid w:val="0009401D"/>
    <w:rsid w:val="0009439C"/>
    <w:rsid w:val="00094F55"/>
    <w:rsid w:val="000954ED"/>
    <w:rsid w:val="0009560B"/>
    <w:rsid w:val="00096AC5"/>
    <w:rsid w:val="00097321"/>
    <w:rsid w:val="00097445"/>
    <w:rsid w:val="00097675"/>
    <w:rsid w:val="000A048A"/>
    <w:rsid w:val="000A06C5"/>
    <w:rsid w:val="000A0C8F"/>
    <w:rsid w:val="000A0DBB"/>
    <w:rsid w:val="000A0DD0"/>
    <w:rsid w:val="000A0EE2"/>
    <w:rsid w:val="000A22BE"/>
    <w:rsid w:val="000A2A77"/>
    <w:rsid w:val="000A2B40"/>
    <w:rsid w:val="000A2C1D"/>
    <w:rsid w:val="000A2EBB"/>
    <w:rsid w:val="000A3230"/>
    <w:rsid w:val="000A330B"/>
    <w:rsid w:val="000A33E5"/>
    <w:rsid w:val="000A34C0"/>
    <w:rsid w:val="000A3D2A"/>
    <w:rsid w:val="000A422B"/>
    <w:rsid w:val="000A44AF"/>
    <w:rsid w:val="000A4E0C"/>
    <w:rsid w:val="000A4EB2"/>
    <w:rsid w:val="000A5AEC"/>
    <w:rsid w:val="000A5DBD"/>
    <w:rsid w:val="000A62BA"/>
    <w:rsid w:val="000A6415"/>
    <w:rsid w:val="000A6490"/>
    <w:rsid w:val="000A6A4A"/>
    <w:rsid w:val="000A702F"/>
    <w:rsid w:val="000A7446"/>
    <w:rsid w:val="000B0116"/>
    <w:rsid w:val="000B0472"/>
    <w:rsid w:val="000B0782"/>
    <w:rsid w:val="000B0A67"/>
    <w:rsid w:val="000B0D25"/>
    <w:rsid w:val="000B0EFD"/>
    <w:rsid w:val="000B128A"/>
    <w:rsid w:val="000B12B8"/>
    <w:rsid w:val="000B13A5"/>
    <w:rsid w:val="000B2661"/>
    <w:rsid w:val="000B2933"/>
    <w:rsid w:val="000B3115"/>
    <w:rsid w:val="000B31CD"/>
    <w:rsid w:val="000B32BF"/>
    <w:rsid w:val="000B3555"/>
    <w:rsid w:val="000B388F"/>
    <w:rsid w:val="000B38E8"/>
    <w:rsid w:val="000B3977"/>
    <w:rsid w:val="000B466E"/>
    <w:rsid w:val="000B49C8"/>
    <w:rsid w:val="000B4CB4"/>
    <w:rsid w:val="000B503D"/>
    <w:rsid w:val="000B5B3B"/>
    <w:rsid w:val="000B5DDC"/>
    <w:rsid w:val="000B5DEF"/>
    <w:rsid w:val="000B6092"/>
    <w:rsid w:val="000B657D"/>
    <w:rsid w:val="000B65C5"/>
    <w:rsid w:val="000B6B3E"/>
    <w:rsid w:val="000B6B4C"/>
    <w:rsid w:val="000B7D6E"/>
    <w:rsid w:val="000C05E0"/>
    <w:rsid w:val="000C09CE"/>
    <w:rsid w:val="000C0D06"/>
    <w:rsid w:val="000C1E5A"/>
    <w:rsid w:val="000C1F39"/>
    <w:rsid w:val="000C2974"/>
    <w:rsid w:val="000C2A3C"/>
    <w:rsid w:val="000C327C"/>
    <w:rsid w:val="000C34D4"/>
    <w:rsid w:val="000C3558"/>
    <w:rsid w:val="000C36CA"/>
    <w:rsid w:val="000C379F"/>
    <w:rsid w:val="000C4CE9"/>
    <w:rsid w:val="000C5397"/>
    <w:rsid w:val="000C5EEB"/>
    <w:rsid w:val="000C6E2D"/>
    <w:rsid w:val="000C6EC2"/>
    <w:rsid w:val="000C6EF1"/>
    <w:rsid w:val="000C7015"/>
    <w:rsid w:val="000C761B"/>
    <w:rsid w:val="000C7C2D"/>
    <w:rsid w:val="000C7C8C"/>
    <w:rsid w:val="000D0062"/>
    <w:rsid w:val="000D01EE"/>
    <w:rsid w:val="000D0C39"/>
    <w:rsid w:val="000D0CCC"/>
    <w:rsid w:val="000D1100"/>
    <w:rsid w:val="000D137E"/>
    <w:rsid w:val="000D1A06"/>
    <w:rsid w:val="000D1F00"/>
    <w:rsid w:val="000D21E5"/>
    <w:rsid w:val="000D2953"/>
    <w:rsid w:val="000D2D04"/>
    <w:rsid w:val="000D2E5F"/>
    <w:rsid w:val="000D4234"/>
    <w:rsid w:val="000D441C"/>
    <w:rsid w:val="000D4523"/>
    <w:rsid w:val="000D4CC3"/>
    <w:rsid w:val="000D53CA"/>
    <w:rsid w:val="000D5597"/>
    <w:rsid w:val="000D5AB1"/>
    <w:rsid w:val="000D661B"/>
    <w:rsid w:val="000D6A9C"/>
    <w:rsid w:val="000D6C7B"/>
    <w:rsid w:val="000D757E"/>
    <w:rsid w:val="000D759A"/>
    <w:rsid w:val="000D77F2"/>
    <w:rsid w:val="000D7A37"/>
    <w:rsid w:val="000D7AD3"/>
    <w:rsid w:val="000D7F62"/>
    <w:rsid w:val="000E088E"/>
    <w:rsid w:val="000E120A"/>
    <w:rsid w:val="000E16F0"/>
    <w:rsid w:val="000E1E7F"/>
    <w:rsid w:val="000E29B1"/>
    <w:rsid w:val="000E2E7E"/>
    <w:rsid w:val="000E30C3"/>
    <w:rsid w:val="000E353A"/>
    <w:rsid w:val="000E375F"/>
    <w:rsid w:val="000E3878"/>
    <w:rsid w:val="000E3DFC"/>
    <w:rsid w:val="000E417C"/>
    <w:rsid w:val="000E443D"/>
    <w:rsid w:val="000E4D39"/>
    <w:rsid w:val="000E4DD4"/>
    <w:rsid w:val="000E4F53"/>
    <w:rsid w:val="000E521B"/>
    <w:rsid w:val="000E5448"/>
    <w:rsid w:val="000E5648"/>
    <w:rsid w:val="000E605C"/>
    <w:rsid w:val="000E66F8"/>
    <w:rsid w:val="000E676D"/>
    <w:rsid w:val="000E7B7F"/>
    <w:rsid w:val="000F0273"/>
    <w:rsid w:val="000F0698"/>
    <w:rsid w:val="000F07AA"/>
    <w:rsid w:val="000F0C3D"/>
    <w:rsid w:val="000F0EDE"/>
    <w:rsid w:val="000F0F07"/>
    <w:rsid w:val="000F19D1"/>
    <w:rsid w:val="000F1E80"/>
    <w:rsid w:val="000F20C5"/>
    <w:rsid w:val="000F2275"/>
    <w:rsid w:val="000F2532"/>
    <w:rsid w:val="000F25C4"/>
    <w:rsid w:val="000F26EA"/>
    <w:rsid w:val="000F2922"/>
    <w:rsid w:val="000F2BA7"/>
    <w:rsid w:val="000F3130"/>
    <w:rsid w:val="000F3420"/>
    <w:rsid w:val="000F35BB"/>
    <w:rsid w:val="000F385E"/>
    <w:rsid w:val="000F3EE2"/>
    <w:rsid w:val="000F4228"/>
    <w:rsid w:val="000F4802"/>
    <w:rsid w:val="000F4B03"/>
    <w:rsid w:val="000F5646"/>
    <w:rsid w:val="000F5F4B"/>
    <w:rsid w:val="000F6E48"/>
    <w:rsid w:val="000F6EA6"/>
    <w:rsid w:val="000F7452"/>
    <w:rsid w:val="000F749A"/>
    <w:rsid w:val="000F76C5"/>
    <w:rsid w:val="000F78BC"/>
    <w:rsid w:val="000F78F0"/>
    <w:rsid w:val="000F7F5A"/>
    <w:rsid w:val="0010116E"/>
    <w:rsid w:val="001012A9"/>
    <w:rsid w:val="00101F45"/>
    <w:rsid w:val="001023EC"/>
    <w:rsid w:val="00102A55"/>
    <w:rsid w:val="00102BEA"/>
    <w:rsid w:val="00102C5F"/>
    <w:rsid w:val="001039F0"/>
    <w:rsid w:val="00103EF0"/>
    <w:rsid w:val="00103FEC"/>
    <w:rsid w:val="00104162"/>
    <w:rsid w:val="001043D5"/>
    <w:rsid w:val="00104C4A"/>
    <w:rsid w:val="00104DAE"/>
    <w:rsid w:val="00104FCD"/>
    <w:rsid w:val="00104FDD"/>
    <w:rsid w:val="001050FE"/>
    <w:rsid w:val="001051A1"/>
    <w:rsid w:val="0010568B"/>
    <w:rsid w:val="00105C8A"/>
    <w:rsid w:val="00105D3F"/>
    <w:rsid w:val="00105E85"/>
    <w:rsid w:val="001064C7"/>
    <w:rsid w:val="001064D4"/>
    <w:rsid w:val="00106BAA"/>
    <w:rsid w:val="00106FDC"/>
    <w:rsid w:val="00107348"/>
    <w:rsid w:val="00107770"/>
    <w:rsid w:val="00107B54"/>
    <w:rsid w:val="001105B8"/>
    <w:rsid w:val="00110C4F"/>
    <w:rsid w:val="0011150B"/>
    <w:rsid w:val="00111752"/>
    <w:rsid w:val="00112059"/>
    <w:rsid w:val="0011239F"/>
    <w:rsid w:val="001128DD"/>
    <w:rsid w:val="0011338B"/>
    <w:rsid w:val="001136C4"/>
    <w:rsid w:val="00113F12"/>
    <w:rsid w:val="00113FB6"/>
    <w:rsid w:val="00115509"/>
    <w:rsid w:val="00115512"/>
    <w:rsid w:val="001155BB"/>
    <w:rsid w:val="001162FF"/>
    <w:rsid w:val="0011681E"/>
    <w:rsid w:val="00116B51"/>
    <w:rsid w:val="00116C56"/>
    <w:rsid w:val="00116F08"/>
    <w:rsid w:val="00117BB7"/>
    <w:rsid w:val="00120985"/>
    <w:rsid w:val="00121338"/>
    <w:rsid w:val="001219DA"/>
    <w:rsid w:val="00121A9E"/>
    <w:rsid w:val="00121CAF"/>
    <w:rsid w:val="00121FA3"/>
    <w:rsid w:val="001227A2"/>
    <w:rsid w:val="00122E63"/>
    <w:rsid w:val="00123665"/>
    <w:rsid w:val="0012418C"/>
    <w:rsid w:val="00124B65"/>
    <w:rsid w:val="00124E42"/>
    <w:rsid w:val="00125BB7"/>
    <w:rsid w:val="00125D4A"/>
    <w:rsid w:val="00125E5D"/>
    <w:rsid w:val="001262A4"/>
    <w:rsid w:val="0012643C"/>
    <w:rsid w:val="001264EC"/>
    <w:rsid w:val="00126875"/>
    <w:rsid w:val="00126AF7"/>
    <w:rsid w:val="00126CEB"/>
    <w:rsid w:val="00127468"/>
    <w:rsid w:val="00127EAF"/>
    <w:rsid w:val="00127F06"/>
    <w:rsid w:val="00127F3B"/>
    <w:rsid w:val="0013032A"/>
    <w:rsid w:val="001303C7"/>
    <w:rsid w:val="00130F92"/>
    <w:rsid w:val="0013139A"/>
    <w:rsid w:val="001319DA"/>
    <w:rsid w:val="00131CC9"/>
    <w:rsid w:val="00132F5F"/>
    <w:rsid w:val="001331AC"/>
    <w:rsid w:val="00133259"/>
    <w:rsid w:val="00133C7C"/>
    <w:rsid w:val="0013410E"/>
    <w:rsid w:val="0013452F"/>
    <w:rsid w:val="001347FC"/>
    <w:rsid w:val="00134CD6"/>
    <w:rsid w:val="00135120"/>
    <w:rsid w:val="00135C22"/>
    <w:rsid w:val="001363E9"/>
    <w:rsid w:val="00136D4B"/>
    <w:rsid w:val="00137353"/>
    <w:rsid w:val="00137583"/>
    <w:rsid w:val="00137D39"/>
    <w:rsid w:val="00137D47"/>
    <w:rsid w:val="00137F8F"/>
    <w:rsid w:val="0014116D"/>
    <w:rsid w:val="00141701"/>
    <w:rsid w:val="00141BDB"/>
    <w:rsid w:val="00141C65"/>
    <w:rsid w:val="0014237C"/>
    <w:rsid w:val="00142647"/>
    <w:rsid w:val="0014338E"/>
    <w:rsid w:val="001435A9"/>
    <w:rsid w:val="001446EE"/>
    <w:rsid w:val="00144A3D"/>
    <w:rsid w:val="00144D2F"/>
    <w:rsid w:val="00144DB2"/>
    <w:rsid w:val="00145263"/>
    <w:rsid w:val="001452DB"/>
    <w:rsid w:val="00145538"/>
    <w:rsid w:val="00145B8D"/>
    <w:rsid w:val="00145D05"/>
    <w:rsid w:val="0014604A"/>
    <w:rsid w:val="00146094"/>
    <w:rsid w:val="0014640F"/>
    <w:rsid w:val="0014643B"/>
    <w:rsid w:val="0014660F"/>
    <w:rsid w:val="00146BFC"/>
    <w:rsid w:val="00146CF4"/>
    <w:rsid w:val="00147F15"/>
    <w:rsid w:val="00150617"/>
    <w:rsid w:val="001509E4"/>
    <w:rsid w:val="001512A3"/>
    <w:rsid w:val="00151A42"/>
    <w:rsid w:val="00152E8E"/>
    <w:rsid w:val="00153236"/>
    <w:rsid w:val="00153DBC"/>
    <w:rsid w:val="00153EE3"/>
    <w:rsid w:val="00154222"/>
    <w:rsid w:val="00154A91"/>
    <w:rsid w:val="00154D02"/>
    <w:rsid w:val="00154E36"/>
    <w:rsid w:val="0015516C"/>
    <w:rsid w:val="001553CC"/>
    <w:rsid w:val="00155A23"/>
    <w:rsid w:val="001563F7"/>
    <w:rsid w:val="001568C3"/>
    <w:rsid w:val="00156A49"/>
    <w:rsid w:val="00156DAA"/>
    <w:rsid w:val="0015714D"/>
    <w:rsid w:val="0015731A"/>
    <w:rsid w:val="001576F1"/>
    <w:rsid w:val="00157C6D"/>
    <w:rsid w:val="00157EF7"/>
    <w:rsid w:val="00157FCF"/>
    <w:rsid w:val="0016018F"/>
    <w:rsid w:val="001604A2"/>
    <w:rsid w:val="00160A8E"/>
    <w:rsid w:val="00161039"/>
    <w:rsid w:val="001610C2"/>
    <w:rsid w:val="001619DD"/>
    <w:rsid w:val="00161E38"/>
    <w:rsid w:val="00162EA2"/>
    <w:rsid w:val="0016317C"/>
    <w:rsid w:val="00163457"/>
    <w:rsid w:val="0016357B"/>
    <w:rsid w:val="0016395B"/>
    <w:rsid w:val="00163A9C"/>
    <w:rsid w:val="00164007"/>
    <w:rsid w:val="001641C4"/>
    <w:rsid w:val="001654A0"/>
    <w:rsid w:val="001658F2"/>
    <w:rsid w:val="00165911"/>
    <w:rsid w:val="00165992"/>
    <w:rsid w:val="00165F0B"/>
    <w:rsid w:val="00166A32"/>
    <w:rsid w:val="00166B3A"/>
    <w:rsid w:val="00167458"/>
    <w:rsid w:val="0016748D"/>
    <w:rsid w:val="00167C56"/>
    <w:rsid w:val="00170113"/>
    <w:rsid w:val="0017042E"/>
    <w:rsid w:val="00170C78"/>
    <w:rsid w:val="0017105F"/>
    <w:rsid w:val="0017111E"/>
    <w:rsid w:val="001711F1"/>
    <w:rsid w:val="001712AA"/>
    <w:rsid w:val="00171C3E"/>
    <w:rsid w:val="00171E6F"/>
    <w:rsid w:val="001729BE"/>
    <w:rsid w:val="001741A2"/>
    <w:rsid w:val="00174608"/>
    <w:rsid w:val="001749FC"/>
    <w:rsid w:val="00174CF5"/>
    <w:rsid w:val="001750C2"/>
    <w:rsid w:val="001755E3"/>
    <w:rsid w:val="0017563E"/>
    <w:rsid w:val="00175C23"/>
    <w:rsid w:val="00175F7D"/>
    <w:rsid w:val="00176247"/>
    <w:rsid w:val="001763C1"/>
    <w:rsid w:val="001767B3"/>
    <w:rsid w:val="001769D1"/>
    <w:rsid w:val="00176A08"/>
    <w:rsid w:val="00176B8B"/>
    <w:rsid w:val="0017712B"/>
    <w:rsid w:val="001775FB"/>
    <w:rsid w:val="00177A2C"/>
    <w:rsid w:val="001809B9"/>
    <w:rsid w:val="00180AC6"/>
    <w:rsid w:val="0018184A"/>
    <w:rsid w:val="00181AAC"/>
    <w:rsid w:val="00181B2A"/>
    <w:rsid w:val="00181E5E"/>
    <w:rsid w:val="00181FE3"/>
    <w:rsid w:val="00183594"/>
    <w:rsid w:val="00183957"/>
    <w:rsid w:val="00183BEF"/>
    <w:rsid w:val="00183E12"/>
    <w:rsid w:val="00183F64"/>
    <w:rsid w:val="00184AAD"/>
    <w:rsid w:val="00184D5F"/>
    <w:rsid w:val="00184F12"/>
    <w:rsid w:val="0018549E"/>
    <w:rsid w:val="001859BC"/>
    <w:rsid w:val="001859D3"/>
    <w:rsid w:val="00185DE6"/>
    <w:rsid w:val="0018607F"/>
    <w:rsid w:val="001868EB"/>
    <w:rsid w:val="00187285"/>
    <w:rsid w:val="00190530"/>
    <w:rsid w:val="001908EA"/>
    <w:rsid w:val="0019102E"/>
    <w:rsid w:val="001913E0"/>
    <w:rsid w:val="0019167D"/>
    <w:rsid w:val="0019207F"/>
    <w:rsid w:val="00192123"/>
    <w:rsid w:val="001928A2"/>
    <w:rsid w:val="00192EF2"/>
    <w:rsid w:val="001932EB"/>
    <w:rsid w:val="00193D64"/>
    <w:rsid w:val="0019425C"/>
    <w:rsid w:val="001942C4"/>
    <w:rsid w:val="001948FB"/>
    <w:rsid w:val="00194A24"/>
    <w:rsid w:val="00194A3E"/>
    <w:rsid w:val="00194D2B"/>
    <w:rsid w:val="00194DB2"/>
    <w:rsid w:val="0019533F"/>
    <w:rsid w:val="001953A3"/>
    <w:rsid w:val="001956D3"/>
    <w:rsid w:val="001956EB"/>
    <w:rsid w:val="00195D1C"/>
    <w:rsid w:val="00195F6C"/>
    <w:rsid w:val="001963C1"/>
    <w:rsid w:val="001965DB"/>
    <w:rsid w:val="00196B9E"/>
    <w:rsid w:val="00196E91"/>
    <w:rsid w:val="00196FF9"/>
    <w:rsid w:val="001970C9"/>
    <w:rsid w:val="0019736A"/>
    <w:rsid w:val="001973E4"/>
    <w:rsid w:val="001974FA"/>
    <w:rsid w:val="001A0000"/>
    <w:rsid w:val="001A00BB"/>
    <w:rsid w:val="001A02E7"/>
    <w:rsid w:val="001A05F2"/>
    <w:rsid w:val="001A1382"/>
    <w:rsid w:val="001A1531"/>
    <w:rsid w:val="001A24DC"/>
    <w:rsid w:val="001A268E"/>
    <w:rsid w:val="001A282F"/>
    <w:rsid w:val="001A2966"/>
    <w:rsid w:val="001A2F22"/>
    <w:rsid w:val="001A315A"/>
    <w:rsid w:val="001A3308"/>
    <w:rsid w:val="001A35B4"/>
    <w:rsid w:val="001A3DE9"/>
    <w:rsid w:val="001A407F"/>
    <w:rsid w:val="001A41A9"/>
    <w:rsid w:val="001A427D"/>
    <w:rsid w:val="001A4D79"/>
    <w:rsid w:val="001A5522"/>
    <w:rsid w:val="001A5C37"/>
    <w:rsid w:val="001A5D8C"/>
    <w:rsid w:val="001A67E8"/>
    <w:rsid w:val="001A700D"/>
    <w:rsid w:val="001A74DF"/>
    <w:rsid w:val="001A74E3"/>
    <w:rsid w:val="001A758E"/>
    <w:rsid w:val="001A774B"/>
    <w:rsid w:val="001B07FA"/>
    <w:rsid w:val="001B0BCA"/>
    <w:rsid w:val="001B0E4E"/>
    <w:rsid w:val="001B1081"/>
    <w:rsid w:val="001B114F"/>
    <w:rsid w:val="001B1306"/>
    <w:rsid w:val="001B152D"/>
    <w:rsid w:val="001B21A6"/>
    <w:rsid w:val="001B34AB"/>
    <w:rsid w:val="001B3BF9"/>
    <w:rsid w:val="001B3E09"/>
    <w:rsid w:val="001B4170"/>
    <w:rsid w:val="001B495C"/>
    <w:rsid w:val="001B4BF2"/>
    <w:rsid w:val="001B53D0"/>
    <w:rsid w:val="001B53F3"/>
    <w:rsid w:val="001B5C9F"/>
    <w:rsid w:val="001B6132"/>
    <w:rsid w:val="001B62DC"/>
    <w:rsid w:val="001B6631"/>
    <w:rsid w:val="001B69A0"/>
    <w:rsid w:val="001B6C44"/>
    <w:rsid w:val="001B73E0"/>
    <w:rsid w:val="001B758A"/>
    <w:rsid w:val="001B7FB9"/>
    <w:rsid w:val="001C01EA"/>
    <w:rsid w:val="001C0274"/>
    <w:rsid w:val="001C02ED"/>
    <w:rsid w:val="001C1057"/>
    <w:rsid w:val="001C133D"/>
    <w:rsid w:val="001C1548"/>
    <w:rsid w:val="001C1628"/>
    <w:rsid w:val="001C19FC"/>
    <w:rsid w:val="001C2460"/>
    <w:rsid w:val="001C2525"/>
    <w:rsid w:val="001C25E1"/>
    <w:rsid w:val="001C2D07"/>
    <w:rsid w:val="001C3269"/>
    <w:rsid w:val="001C3D54"/>
    <w:rsid w:val="001C3F34"/>
    <w:rsid w:val="001C4295"/>
    <w:rsid w:val="001C43C8"/>
    <w:rsid w:val="001C4625"/>
    <w:rsid w:val="001C46EF"/>
    <w:rsid w:val="001C4D9C"/>
    <w:rsid w:val="001C502E"/>
    <w:rsid w:val="001C53DA"/>
    <w:rsid w:val="001C598D"/>
    <w:rsid w:val="001C5BF6"/>
    <w:rsid w:val="001C5BFB"/>
    <w:rsid w:val="001C5CBF"/>
    <w:rsid w:val="001C5EA5"/>
    <w:rsid w:val="001C647D"/>
    <w:rsid w:val="001C6A64"/>
    <w:rsid w:val="001C6D88"/>
    <w:rsid w:val="001C6DD9"/>
    <w:rsid w:val="001C779A"/>
    <w:rsid w:val="001C7DAC"/>
    <w:rsid w:val="001D0114"/>
    <w:rsid w:val="001D0965"/>
    <w:rsid w:val="001D0D16"/>
    <w:rsid w:val="001D1747"/>
    <w:rsid w:val="001D2AD6"/>
    <w:rsid w:val="001D3119"/>
    <w:rsid w:val="001D34D3"/>
    <w:rsid w:val="001D39D8"/>
    <w:rsid w:val="001D3FA4"/>
    <w:rsid w:val="001D4167"/>
    <w:rsid w:val="001D4416"/>
    <w:rsid w:val="001D45BD"/>
    <w:rsid w:val="001D46DF"/>
    <w:rsid w:val="001D47D4"/>
    <w:rsid w:val="001D48A4"/>
    <w:rsid w:val="001D4B1F"/>
    <w:rsid w:val="001D4E12"/>
    <w:rsid w:val="001D5026"/>
    <w:rsid w:val="001D52BB"/>
    <w:rsid w:val="001D5715"/>
    <w:rsid w:val="001D5846"/>
    <w:rsid w:val="001D59FD"/>
    <w:rsid w:val="001D623E"/>
    <w:rsid w:val="001D69E1"/>
    <w:rsid w:val="001D722B"/>
    <w:rsid w:val="001D738E"/>
    <w:rsid w:val="001D7A35"/>
    <w:rsid w:val="001D7AC7"/>
    <w:rsid w:val="001D7DF4"/>
    <w:rsid w:val="001D7E02"/>
    <w:rsid w:val="001E01BF"/>
    <w:rsid w:val="001E04BF"/>
    <w:rsid w:val="001E0CCE"/>
    <w:rsid w:val="001E1255"/>
    <w:rsid w:val="001E125B"/>
    <w:rsid w:val="001E306F"/>
    <w:rsid w:val="001E3219"/>
    <w:rsid w:val="001E35C9"/>
    <w:rsid w:val="001E391E"/>
    <w:rsid w:val="001E3B32"/>
    <w:rsid w:val="001E407D"/>
    <w:rsid w:val="001E4EFE"/>
    <w:rsid w:val="001E51A6"/>
    <w:rsid w:val="001E56B8"/>
    <w:rsid w:val="001E5967"/>
    <w:rsid w:val="001E5F0D"/>
    <w:rsid w:val="001E5F87"/>
    <w:rsid w:val="001E66A6"/>
    <w:rsid w:val="001E67EF"/>
    <w:rsid w:val="001E6AB6"/>
    <w:rsid w:val="001E6D9B"/>
    <w:rsid w:val="001E729F"/>
    <w:rsid w:val="001E73EB"/>
    <w:rsid w:val="001E74CA"/>
    <w:rsid w:val="001E79C3"/>
    <w:rsid w:val="001F03A0"/>
    <w:rsid w:val="001F042F"/>
    <w:rsid w:val="001F0471"/>
    <w:rsid w:val="001F0CE9"/>
    <w:rsid w:val="001F10EE"/>
    <w:rsid w:val="001F15F4"/>
    <w:rsid w:val="001F1B6B"/>
    <w:rsid w:val="001F1C8E"/>
    <w:rsid w:val="001F20FE"/>
    <w:rsid w:val="001F21F1"/>
    <w:rsid w:val="001F24FF"/>
    <w:rsid w:val="001F2DE2"/>
    <w:rsid w:val="001F3463"/>
    <w:rsid w:val="001F370C"/>
    <w:rsid w:val="001F39C3"/>
    <w:rsid w:val="001F3C9B"/>
    <w:rsid w:val="001F3F10"/>
    <w:rsid w:val="001F4220"/>
    <w:rsid w:val="001F42C6"/>
    <w:rsid w:val="001F4931"/>
    <w:rsid w:val="001F4BA6"/>
    <w:rsid w:val="001F4C81"/>
    <w:rsid w:val="001F4E16"/>
    <w:rsid w:val="001F5296"/>
    <w:rsid w:val="001F55AA"/>
    <w:rsid w:val="001F57A4"/>
    <w:rsid w:val="001F5DA7"/>
    <w:rsid w:val="001F670B"/>
    <w:rsid w:val="001F6BA4"/>
    <w:rsid w:val="001F738C"/>
    <w:rsid w:val="001F77AD"/>
    <w:rsid w:val="002000D7"/>
    <w:rsid w:val="002005D0"/>
    <w:rsid w:val="0020147E"/>
    <w:rsid w:val="00201569"/>
    <w:rsid w:val="002018EA"/>
    <w:rsid w:val="002022E1"/>
    <w:rsid w:val="00202944"/>
    <w:rsid w:val="00202953"/>
    <w:rsid w:val="00202A53"/>
    <w:rsid w:val="00202CC6"/>
    <w:rsid w:val="00202CEA"/>
    <w:rsid w:val="002032AC"/>
    <w:rsid w:val="00203312"/>
    <w:rsid w:val="0020340C"/>
    <w:rsid w:val="00203AB0"/>
    <w:rsid w:val="00203DFA"/>
    <w:rsid w:val="0020444F"/>
    <w:rsid w:val="00204531"/>
    <w:rsid w:val="002048FB"/>
    <w:rsid w:val="0020493D"/>
    <w:rsid w:val="00204B6B"/>
    <w:rsid w:val="00204B90"/>
    <w:rsid w:val="00204E7D"/>
    <w:rsid w:val="0020515C"/>
    <w:rsid w:val="00205195"/>
    <w:rsid w:val="00205219"/>
    <w:rsid w:val="002054A1"/>
    <w:rsid w:val="00205976"/>
    <w:rsid w:val="00205978"/>
    <w:rsid w:val="002059A6"/>
    <w:rsid w:val="00205C05"/>
    <w:rsid w:val="00205C75"/>
    <w:rsid w:val="00205C94"/>
    <w:rsid w:val="00205D55"/>
    <w:rsid w:val="00206B61"/>
    <w:rsid w:val="00207894"/>
    <w:rsid w:val="00207AC3"/>
    <w:rsid w:val="00210C7E"/>
    <w:rsid w:val="002110AE"/>
    <w:rsid w:val="002115F7"/>
    <w:rsid w:val="00211649"/>
    <w:rsid w:val="00212256"/>
    <w:rsid w:val="00212910"/>
    <w:rsid w:val="0021293A"/>
    <w:rsid w:val="00212E19"/>
    <w:rsid w:val="0021318C"/>
    <w:rsid w:val="0021368A"/>
    <w:rsid w:val="0021388B"/>
    <w:rsid w:val="00213A4E"/>
    <w:rsid w:val="00214235"/>
    <w:rsid w:val="002142C1"/>
    <w:rsid w:val="00214E91"/>
    <w:rsid w:val="002150CB"/>
    <w:rsid w:val="00215157"/>
    <w:rsid w:val="002157CC"/>
    <w:rsid w:val="00215C86"/>
    <w:rsid w:val="00216286"/>
    <w:rsid w:val="0021682C"/>
    <w:rsid w:val="00216A81"/>
    <w:rsid w:val="0021784E"/>
    <w:rsid w:val="00217B98"/>
    <w:rsid w:val="00217D8A"/>
    <w:rsid w:val="0022060F"/>
    <w:rsid w:val="002206B8"/>
    <w:rsid w:val="00220855"/>
    <w:rsid w:val="002209D0"/>
    <w:rsid w:val="002209D2"/>
    <w:rsid w:val="00220BF3"/>
    <w:rsid w:val="00221033"/>
    <w:rsid w:val="002212B7"/>
    <w:rsid w:val="0022200B"/>
    <w:rsid w:val="0022232C"/>
    <w:rsid w:val="00222890"/>
    <w:rsid w:val="00223245"/>
    <w:rsid w:val="00223B09"/>
    <w:rsid w:val="00223B26"/>
    <w:rsid w:val="00223BF5"/>
    <w:rsid w:val="00223CE2"/>
    <w:rsid w:val="00224243"/>
    <w:rsid w:val="00224625"/>
    <w:rsid w:val="0022484F"/>
    <w:rsid w:val="0022503A"/>
    <w:rsid w:val="002253F6"/>
    <w:rsid w:val="00225812"/>
    <w:rsid w:val="00225DF6"/>
    <w:rsid w:val="00225E3B"/>
    <w:rsid w:val="00226745"/>
    <w:rsid w:val="00226EBC"/>
    <w:rsid w:val="002275C6"/>
    <w:rsid w:val="0022794C"/>
    <w:rsid w:val="00227C62"/>
    <w:rsid w:val="00227F3A"/>
    <w:rsid w:val="002303BF"/>
    <w:rsid w:val="002306F1"/>
    <w:rsid w:val="00230C17"/>
    <w:rsid w:val="00231296"/>
    <w:rsid w:val="002314A9"/>
    <w:rsid w:val="00231979"/>
    <w:rsid w:val="00231A8C"/>
    <w:rsid w:val="00231CB9"/>
    <w:rsid w:val="002323C9"/>
    <w:rsid w:val="002326C0"/>
    <w:rsid w:val="002336EC"/>
    <w:rsid w:val="002339F4"/>
    <w:rsid w:val="00233E83"/>
    <w:rsid w:val="0023409D"/>
    <w:rsid w:val="00234764"/>
    <w:rsid w:val="00234C10"/>
    <w:rsid w:val="00235575"/>
    <w:rsid w:val="002358E0"/>
    <w:rsid w:val="0023591C"/>
    <w:rsid w:val="00235A1A"/>
    <w:rsid w:val="00235B73"/>
    <w:rsid w:val="00235E10"/>
    <w:rsid w:val="002360EF"/>
    <w:rsid w:val="00236960"/>
    <w:rsid w:val="002372AC"/>
    <w:rsid w:val="002374E1"/>
    <w:rsid w:val="00237577"/>
    <w:rsid w:val="00237B5C"/>
    <w:rsid w:val="00237B71"/>
    <w:rsid w:val="002401DE"/>
    <w:rsid w:val="00240DB7"/>
    <w:rsid w:val="00240F0A"/>
    <w:rsid w:val="002416F7"/>
    <w:rsid w:val="002419C8"/>
    <w:rsid w:val="00241E84"/>
    <w:rsid w:val="0024218B"/>
    <w:rsid w:val="002425D9"/>
    <w:rsid w:val="00242689"/>
    <w:rsid w:val="002428E9"/>
    <w:rsid w:val="00242A49"/>
    <w:rsid w:val="00242B2A"/>
    <w:rsid w:val="00242CB3"/>
    <w:rsid w:val="00242F2D"/>
    <w:rsid w:val="002433AB"/>
    <w:rsid w:val="00243B18"/>
    <w:rsid w:val="00244206"/>
    <w:rsid w:val="002442E9"/>
    <w:rsid w:val="002445E7"/>
    <w:rsid w:val="00244A46"/>
    <w:rsid w:val="00244CCF"/>
    <w:rsid w:val="00244DF6"/>
    <w:rsid w:val="00244FEA"/>
    <w:rsid w:val="00245ED1"/>
    <w:rsid w:val="002462B9"/>
    <w:rsid w:val="0024680A"/>
    <w:rsid w:val="0024687F"/>
    <w:rsid w:val="002475B4"/>
    <w:rsid w:val="0024784F"/>
    <w:rsid w:val="00247880"/>
    <w:rsid w:val="00247C0A"/>
    <w:rsid w:val="00247EA9"/>
    <w:rsid w:val="00250190"/>
    <w:rsid w:val="002502CB"/>
    <w:rsid w:val="00250844"/>
    <w:rsid w:val="00250C58"/>
    <w:rsid w:val="00250E21"/>
    <w:rsid w:val="002512DE"/>
    <w:rsid w:val="00251CB9"/>
    <w:rsid w:val="00251F68"/>
    <w:rsid w:val="002524CC"/>
    <w:rsid w:val="00252AD8"/>
    <w:rsid w:val="00253439"/>
    <w:rsid w:val="002540F6"/>
    <w:rsid w:val="0025446B"/>
    <w:rsid w:val="0025583F"/>
    <w:rsid w:val="00255B96"/>
    <w:rsid w:val="00255C51"/>
    <w:rsid w:val="00256450"/>
    <w:rsid w:val="0025690A"/>
    <w:rsid w:val="002569F9"/>
    <w:rsid w:val="00256E4F"/>
    <w:rsid w:val="00257C8A"/>
    <w:rsid w:val="00257DAB"/>
    <w:rsid w:val="00260209"/>
    <w:rsid w:val="002602A1"/>
    <w:rsid w:val="00260917"/>
    <w:rsid w:val="00260B8B"/>
    <w:rsid w:val="00260E11"/>
    <w:rsid w:val="00260E2C"/>
    <w:rsid w:val="00261C52"/>
    <w:rsid w:val="00261F63"/>
    <w:rsid w:val="00262B8E"/>
    <w:rsid w:val="00262CF0"/>
    <w:rsid w:val="00262D9D"/>
    <w:rsid w:val="00262F34"/>
    <w:rsid w:val="00262F6F"/>
    <w:rsid w:val="002630EB"/>
    <w:rsid w:val="0026326C"/>
    <w:rsid w:val="00263615"/>
    <w:rsid w:val="00263807"/>
    <w:rsid w:val="00263E97"/>
    <w:rsid w:val="00264B54"/>
    <w:rsid w:val="00264C9D"/>
    <w:rsid w:val="002653D7"/>
    <w:rsid w:val="002655AF"/>
    <w:rsid w:val="00265CBC"/>
    <w:rsid w:val="00265EF1"/>
    <w:rsid w:val="002662B6"/>
    <w:rsid w:val="00266DCC"/>
    <w:rsid w:val="00267332"/>
    <w:rsid w:val="002674A0"/>
    <w:rsid w:val="002676E9"/>
    <w:rsid w:val="00267BA0"/>
    <w:rsid w:val="00267DD8"/>
    <w:rsid w:val="00267E99"/>
    <w:rsid w:val="00267E9F"/>
    <w:rsid w:val="0027000D"/>
    <w:rsid w:val="00270326"/>
    <w:rsid w:val="002704BC"/>
    <w:rsid w:val="00270618"/>
    <w:rsid w:val="0027162C"/>
    <w:rsid w:val="00271A19"/>
    <w:rsid w:val="00271B6A"/>
    <w:rsid w:val="00271BC1"/>
    <w:rsid w:val="00271F6A"/>
    <w:rsid w:val="0027210F"/>
    <w:rsid w:val="00272326"/>
    <w:rsid w:val="00272A1D"/>
    <w:rsid w:val="00272A95"/>
    <w:rsid w:val="00272BD2"/>
    <w:rsid w:val="00273019"/>
    <w:rsid w:val="00273045"/>
    <w:rsid w:val="0027305F"/>
    <w:rsid w:val="002730CC"/>
    <w:rsid w:val="0027314D"/>
    <w:rsid w:val="0027322A"/>
    <w:rsid w:val="0027324F"/>
    <w:rsid w:val="002732A5"/>
    <w:rsid w:val="002732B3"/>
    <w:rsid w:val="002736EE"/>
    <w:rsid w:val="00273855"/>
    <w:rsid w:val="00274367"/>
    <w:rsid w:val="00274D5C"/>
    <w:rsid w:val="00275234"/>
    <w:rsid w:val="00275703"/>
    <w:rsid w:val="002759CF"/>
    <w:rsid w:val="00275A4C"/>
    <w:rsid w:val="00276049"/>
    <w:rsid w:val="002763A3"/>
    <w:rsid w:val="002765CC"/>
    <w:rsid w:val="00276656"/>
    <w:rsid w:val="00276753"/>
    <w:rsid w:val="002778BA"/>
    <w:rsid w:val="00277E3D"/>
    <w:rsid w:val="002800F6"/>
    <w:rsid w:val="002801C2"/>
    <w:rsid w:val="0028070F"/>
    <w:rsid w:val="00280A1D"/>
    <w:rsid w:val="00280FA9"/>
    <w:rsid w:val="0028114E"/>
    <w:rsid w:val="002816AC"/>
    <w:rsid w:val="00281836"/>
    <w:rsid w:val="0028183A"/>
    <w:rsid w:val="002818C0"/>
    <w:rsid w:val="00281E86"/>
    <w:rsid w:val="0028206F"/>
    <w:rsid w:val="002821B2"/>
    <w:rsid w:val="002821DC"/>
    <w:rsid w:val="0028237B"/>
    <w:rsid w:val="00282446"/>
    <w:rsid w:val="002829FA"/>
    <w:rsid w:val="00282B65"/>
    <w:rsid w:val="00282C33"/>
    <w:rsid w:val="00282D20"/>
    <w:rsid w:val="00282EA5"/>
    <w:rsid w:val="00283E23"/>
    <w:rsid w:val="0028467F"/>
    <w:rsid w:val="00284EE6"/>
    <w:rsid w:val="002854DB"/>
    <w:rsid w:val="00285A4A"/>
    <w:rsid w:val="00285EB6"/>
    <w:rsid w:val="00286580"/>
    <w:rsid w:val="0028662D"/>
    <w:rsid w:val="002870B6"/>
    <w:rsid w:val="0028724B"/>
    <w:rsid w:val="002872AB"/>
    <w:rsid w:val="00287406"/>
    <w:rsid w:val="002874CC"/>
    <w:rsid w:val="002877E6"/>
    <w:rsid w:val="00287BD2"/>
    <w:rsid w:val="00287C20"/>
    <w:rsid w:val="00287C93"/>
    <w:rsid w:val="00290966"/>
    <w:rsid w:val="002910A6"/>
    <w:rsid w:val="0029131A"/>
    <w:rsid w:val="00291564"/>
    <w:rsid w:val="0029164E"/>
    <w:rsid w:val="00291E79"/>
    <w:rsid w:val="0029276E"/>
    <w:rsid w:val="00292843"/>
    <w:rsid w:val="00292C80"/>
    <w:rsid w:val="002935AC"/>
    <w:rsid w:val="00293BF0"/>
    <w:rsid w:val="00293C08"/>
    <w:rsid w:val="002941E2"/>
    <w:rsid w:val="00294A53"/>
    <w:rsid w:val="00294BB7"/>
    <w:rsid w:val="0029574F"/>
    <w:rsid w:val="00295EF3"/>
    <w:rsid w:val="00295FF2"/>
    <w:rsid w:val="00296038"/>
    <w:rsid w:val="00296182"/>
    <w:rsid w:val="00296C2C"/>
    <w:rsid w:val="00296C6A"/>
    <w:rsid w:val="00296F5F"/>
    <w:rsid w:val="00297081"/>
    <w:rsid w:val="0029787A"/>
    <w:rsid w:val="00297C0A"/>
    <w:rsid w:val="00297E4A"/>
    <w:rsid w:val="002A0744"/>
    <w:rsid w:val="002A09FA"/>
    <w:rsid w:val="002A1AF1"/>
    <w:rsid w:val="002A1FB3"/>
    <w:rsid w:val="002A2137"/>
    <w:rsid w:val="002A2CE5"/>
    <w:rsid w:val="002A2CED"/>
    <w:rsid w:val="002A375F"/>
    <w:rsid w:val="002A394F"/>
    <w:rsid w:val="002A3EB3"/>
    <w:rsid w:val="002A3F30"/>
    <w:rsid w:val="002A498E"/>
    <w:rsid w:val="002A52E5"/>
    <w:rsid w:val="002A53D0"/>
    <w:rsid w:val="002A565A"/>
    <w:rsid w:val="002A56D0"/>
    <w:rsid w:val="002A5BA5"/>
    <w:rsid w:val="002A63C6"/>
    <w:rsid w:val="002A6608"/>
    <w:rsid w:val="002A6A47"/>
    <w:rsid w:val="002A70EA"/>
    <w:rsid w:val="002B02C8"/>
    <w:rsid w:val="002B08BA"/>
    <w:rsid w:val="002B0A3A"/>
    <w:rsid w:val="002B0B67"/>
    <w:rsid w:val="002B0EDA"/>
    <w:rsid w:val="002B13DC"/>
    <w:rsid w:val="002B18AA"/>
    <w:rsid w:val="002B1B51"/>
    <w:rsid w:val="002B1C27"/>
    <w:rsid w:val="002B1D9E"/>
    <w:rsid w:val="002B2067"/>
    <w:rsid w:val="002B2E15"/>
    <w:rsid w:val="002B35BD"/>
    <w:rsid w:val="002B3E8A"/>
    <w:rsid w:val="002B487A"/>
    <w:rsid w:val="002B48E1"/>
    <w:rsid w:val="002B5082"/>
    <w:rsid w:val="002B50C4"/>
    <w:rsid w:val="002B60C5"/>
    <w:rsid w:val="002B623C"/>
    <w:rsid w:val="002B672B"/>
    <w:rsid w:val="002B6B69"/>
    <w:rsid w:val="002B6D6B"/>
    <w:rsid w:val="002B6F60"/>
    <w:rsid w:val="002B71A8"/>
    <w:rsid w:val="002B7233"/>
    <w:rsid w:val="002B728A"/>
    <w:rsid w:val="002B7A8B"/>
    <w:rsid w:val="002C08F2"/>
    <w:rsid w:val="002C095F"/>
    <w:rsid w:val="002C1524"/>
    <w:rsid w:val="002C15E3"/>
    <w:rsid w:val="002C219C"/>
    <w:rsid w:val="002C230A"/>
    <w:rsid w:val="002C2317"/>
    <w:rsid w:val="002C24CF"/>
    <w:rsid w:val="002C2670"/>
    <w:rsid w:val="002C296D"/>
    <w:rsid w:val="002C2C5A"/>
    <w:rsid w:val="002C3519"/>
    <w:rsid w:val="002C359B"/>
    <w:rsid w:val="002C3AFC"/>
    <w:rsid w:val="002C5414"/>
    <w:rsid w:val="002C594B"/>
    <w:rsid w:val="002C78D6"/>
    <w:rsid w:val="002D02F2"/>
    <w:rsid w:val="002D07A1"/>
    <w:rsid w:val="002D080A"/>
    <w:rsid w:val="002D0FA7"/>
    <w:rsid w:val="002D1022"/>
    <w:rsid w:val="002D1742"/>
    <w:rsid w:val="002D1E37"/>
    <w:rsid w:val="002D1EC0"/>
    <w:rsid w:val="002D252A"/>
    <w:rsid w:val="002D2C39"/>
    <w:rsid w:val="002D2CF6"/>
    <w:rsid w:val="002D3507"/>
    <w:rsid w:val="002D3C1C"/>
    <w:rsid w:val="002D3D65"/>
    <w:rsid w:val="002D41E8"/>
    <w:rsid w:val="002D45CD"/>
    <w:rsid w:val="002D46B3"/>
    <w:rsid w:val="002D4FE8"/>
    <w:rsid w:val="002D5017"/>
    <w:rsid w:val="002D545D"/>
    <w:rsid w:val="002D566D"/>
    <w:rsid w:val="002D5949"/>
    <w:rsid w:val="002D5D6B"/>
    <w:rsid w:val="002D64D4"/>
    <w:rsid w:val="002D6751"/>
    <w:rsid w:val="002D6C87"/>
    <w:rsid w:val="002D6CED"/>
    <w:rsid w:val="002D75FA"/>
    <w:rsid w:val="002D7C4D"/>
    <w:rsid w:val="002D7F09"/>
    <w:rsid w:val="002D7FA0"/>
    <w:rsid w:val="002E06B7"/>
    <w:rsid w:val="002E0F60"/>
    <w:rsid w:val="002E0FE2"/>
    <w:rsid w:val="002E1D95"/>
    <w:rsid w:val="002E2672"/>
    <w:rsid w:val="002E2C02"/>
    <w:rsid w:val="002E2CE8"/>
    <w:rsid w:val="002E3393"/>
    <w:rsid w:val="002E4654"/>
    <w:rsid w:val="002E5E4C"/>
    <w:rsid w:val="002E6078"/>
    <w:rsid w:val="002E64B3"/>
    <w:rsid w:val="002E6D9C"/>
    <w:rsid w:val="002E7232"/>
    <w:rsid w:val="002E75FA"/>
    <w:rsid w:val="002E7B40"/>
    <w:rsid w:val="002F01F8"/>
    <w:rsid w:val="002F06CE"/>
    <w:rsid w:val="002F0AB0"/>
    <w:rsid w:val="002F0E97"/>
    <w:rsid w:val="002F1374"/>
    <w:rsid w:val="002F15E2"/>
    <w:rsid w:val="002F16D6"/>
    <w:rsid w:val="002F1A93"/>
    <w:rsid w:val="002F1BAC"/>
    <w:rsid w:val="002F1CB0"/>
    <w:rsid w:val="002F1F6A"/>
    <w:rsid w:val="002F2181"/>
    <w:rsid w:val="002F2B58"/>
    <w:rsid w:val="002F2BB1"/>
    <w:rsid w:val="002F2DA5"/>
    <w:rsid w:val="002F301D"/>
    <w:rsid w:val="002F337A"/>
    <w:rsid w:val="002F33A6"/>
    <w:rsid w:val="002F3E39"/>
    <w:rsid w:val="002F43EA"/>
    <w:rsid w:val="002F4B60"/>
    <w:rsid w:val="002F4B6C"/>
    <w:rsid w:val="002F4B90"/>
    <w:rsid w:val="002F50A0"/>
    <w:rsid w:val="002F512A"/>
    <w:rsid w:val="002F5302"/>
    <w:rsid w:val="002F5AEE"/>
    <w:rsid w:val="002F5D97"/>
    <w:rsid w:val="002F5F0C"/>
    <w:rsid w:val="002F6E58"/>
    <w:rsid w:val="002F71F9"/>
    <w:rsid w:val="002F7719"/>
    <w:rsid w:val="002F7AD2"/>
    <w:rsid w:val="002F7E75"/>
    <w:rsid w:val="00300097"/>
    <w:rsid w:val="00300246"/>
    <w:rsid w:val="00300322"/>
    <w:rsid w:val="00300A16"/>
    <w:rsid w:val="003010E3"/>
    <w:rsid w:val="00301272"/>
    <w:rsid w:val="00301719"/>
    <w:rsid w:val="0030187D"/>
    <w:rsid w:val="00301E0F"/>
    <w:rsid w:val="003026F1"/>
    <w:rsid w:val="00302923"/>
    <w:rsid w:val="00302C13"/>
    <w:rsid w:val="003035C0"/>
    <w:rsid w:val="00303BAB"/>
    <w:rsid w:val="00303C5C"/>
    <w:rsid w:val="00303D21"/>
    <w:rsid w:val="00303D34"/>
    <w:rsid w:val="003047F2"/>
    <w:rsid w:val="00305887"/>
    <w:rsid w:val="003060D6"/>
    <w:rsid w:val="00306404"/>
    <w:rsid w:val="00306C25"/>
    <w:rsid w:val="00307105"/>
    <w:rsid w:val="003073D3"/>
    <w:rsid w:val="00307523"/>
    <w:rsid w:val="003100A2"/>
    <w:rsid w:val="00310766"/>
    <w:rsid w:val="003108FB"/>
    <w:rsid w:val="00310AD6"/>
    <w:rsid w:val="0031165A"/>
    <w:rsid w:val="00312051"/>
    <w:rsid w:val="00312166"/>
    <w:rsid w:val="00312527"/>
    <w:rsid w:val="00313307"/>
    <w:rsid w:val="00313A03"/>
    <w:rsid w:val="00313EDA"/>
    <w:rsid w:val="0031418F"/>
    <w:rsid w:val="00314AC0"/>
    <w:rsid w:val="0031512E"/>
    <w:rsid w:val="0031516C"/>
    <w:rsid w:val="00315241"/>
    <w:rsid w:val="0031565A"/>
    <w:rsid w:val="003156E7"/>
    <w:rsid w:val="00315748"/>
    <w:rsid w:val="0031576A"/>
    <w:rsid w:val="003159AF"/>
    <w:rsid w:val="00315AFB"/>
    <w:rsid w:val="00315D81"/>
    <w:rsid w:val="00315F01"/>
    <w:rsid w:val="0031661A"/>
    <w:rsid w:val="00316A07"/>
    <w:rsid w:val="00316A40"/>
    <w:rsid w:val="00320009"/>
    <w:rsid w:val="00320182"/>
    <w:rsid w:val="0032027C"/>
    <w:rsid w:val="003208CD"/>
    <w:rsid w:val="00320AA7"/>
    <w:rsid w:val="00321044"/>
    <w:rsid w:val="00321714"/>
    <w:rsid w:val="00321C29"/>
    <w:rsid w:val="00322133"/>
    <w:rsid w:val="003224B1"/>
    <w:rsid w:val="0032284F"/>
    <w:rsid w:val="00324148"/>
    <w:rsid w:val="00324A0D"/>
    <w:rsid w:val="00325440"/>
    <w:rsid w:val="00326313"/>
    <w:rsid w:val="00326330"/>
    <w:rsid w:val="003267FD"/>
    <w:rsid w:val="00327163"/>
    <w:rsid w:val="003276DA"/>
    <w:rsid w:val="00327819"/>
    <w:rsid w:val="00327AE0"/>
    <w:rsid w:val="00330299"/>
    <w:rsid w:val="003304D3"/>
    <w:rsid w:val="003304F0"/>
    <w:rsid w:val="003306C8"/>
    <w:rsid w:val="00330FD2"/>
    <w:rsid w:val="00331420"/>
    <w:rsid w:val="003322DD"/>
    <w:rsid w:val="00332A9E"/>
    <w:rsid w:val="00333310"/>
    <w:rsid w:val="0033365E"/>
    <w:rsid w:val="00333CEC"/>
    <w:rsid w:val="00333EA6"/>
    <w:rsid w:val="00333EF5"/>
    <w:rsid w:val="00334305"/>
    <w:rsid w:val="00334315"/>
    <w:rsid w:val="003345B1"/>
    <w:rsid w:val="003346AE"/>
    <w:rsid w:val="00334C2F"/>
    <w:rsid w:val="00334CDD"/>
    <w:rsid w:val="00334E57"/>
    <w:rsid w:val="00335197"/>
    <w:rsid w:val="0033580C"/>
    <w:rsid w:val="00335866"/>
    <w:rsid w:val="00335DDD"/>
    <w:rsid w:val="00335FC6"/>
    <w:rsid w:val="003360C9"/>
    <w:rsid w:val="00336105"/>
    <w:rsid w:val="00336DBC"/>
    <w:rsid w:val="003375A5"/>
    <w:rsid w:val="00337814"/>
    <w:rsid w:val="003403B8"/>
    <w:rsid w:val="00340529"/>
    <w:rsid w:val="00340911"/>
    <w:rsid w:val="00340A80"/>
    <w:rsid w:val="00341506"/>
    <w:rsid w:val="003421D7"/>
    <w:rsid w:val="00342324"/>
    <w:rsid w:val="003424A7"/>
    <w:rsid w:val="00342991"/>
    <w:rsid w:val="00342BC0"/>
    <w:rsid w:val="00343148"/>
    <w:rsid w:val="003432E3"/>
    <w:rsid w:val="003432F6"/>
    <w:rsid w:val="003433DA"/>
    <w:rsid w:val="0034407C"/>
    <w:rsid w:val="0034454F"/>
    <w:rsid w:val="003445D7"/>
    <w:rsid w:val="00344CA3"/>
    <w:rsid w:val="00344FF7"/>
    <w:rsid w:val="003458BC"/>
    <w:rsid w:val="003463EC"/>
    <w:rsid w:val="00346655"/>
    <w:rsid w:val="003467A8"/>
    <w:rsid w:val="0034698D"/>
    <w:rsid w:val="00346AB7"/>
    <w:rsid w:val="00346C42"/>
    <w:rsid w:val="0034731D"/>
    <w:rsid w:val="00347B25"/>
    <w:rsid w:val="0035012F"/>
    <w:rsid w:val="003502E8"/>
    <w:rsid w:val="0035039C"/>
    <w:rsid w:val="00350787"/>
    <w:rsid w:val="00350AD1"/>
    <w:rsid w:val="00350EA2"/>
    <w:rsid w:val="003510A8"/>
    <w:rsid w:val="003511F6"/>
    <w:rsid w:val="00351274"/>
    <w:rsid w:val="00351740"/>
    <w:rsid w:val="00351901"/>
    <w:rsid w:val="00351A80"/>
    <w:rsid w:val="00351D4D"/>
    <w:rsid w:val="00351DF9"/>
    <w:rsid w:val="003529C6"/>
    <w:rsid w:val="00352B11"/>
    <w:rsid w:val="003530A1"/>
    <w:rsid w:val="0035384A"/>
    <w:rsid w:val="00354500"/>
    <w:rsid w:val="003551E4"/>
    <w:rsid w:val="00355274"/>
    <w:rsid w:val="00355637"/>
    <w:rsid w:val="003556BF"/>
    <w:rsid w:val="00355970"/>
    <w:rsid w:val="00356332"/>
    <w:rsid w:val="0035635C"/>
    <w:rsid w:val="00357245"/>
    <w:rsid w:val="003579CD"/>
    <w:rsid w:val="00357AFE"/>
    <w:rsid w:val="003600F1"/>
    <w:rsid w:val="0036026A"/>
    <w:rsid w:val="00360565"/>
    <w:rsid w:val="003605F6"/>
    <w:rsid w:val="00360FE2"/>
    <w:rsid w:val="00361BD5"/>
    <w:rsid w:val="00361CBB"/>
    <w:rsid w:val="00362528"/>
    <w:rsid w:val="003626E1"/>
    <w:rsid w:val="00362B70"/>
    <w:rsid w:val="00363945"/>
    <w:rsid w:val="00363C61"/>
    <w:rsid w:val="00364067"/>
    <w:rsid w:val="00364D16"/>
    <w:rsid w:val="003652A2"/>
    <w:rsid w:val="003654B8"/>
    <w:rsid w:val="003658F7"/>
    <w:rsid w:val="00365BA6"/>
    <w:rsid w:val="00366475"/>
    <w:rsid w:val="003666A3"/>
    <w:rsid w:val="0036680F"/>
    <w:rsid w:val="003668F8"/>
    <w:rsid w:val="0036692E"/>
    <w:rsid w:val="00367356"/>
    <w:rsid w:val="003675A5"/>
    <w:rsid w:val="0036790F"/>
    <w:rsid w:val="0037004D"/>
    <w:rsid w:val="00370681"/>
    <w:rsid w:val="00370814"/>
    <w:rsid w:val="0037104B"/>
    <w:rsid w:val="003718DB"/>
    <w:rsid w:val="00371E15"/>
    <w:rsid w:val="00371FC6"/>
    <w:rsid w:val="003721B1"/>
    <w:rsid w:val="00372225"/>
    <w:rsid w:val="00372510"/>
    <w:rsid w:val="00372FAD"/>
    <w:rsid w:val="003732C1"/>
    <w:rsid w:val="00373B36"/>
    <w:rsid w:val="00373B43"/>
    <w:rsid w:val="00373D1D"/>
    <w:rsid w:val="00374080"/>
    <w:rsid w:val="00374128"/>
    <w:rsid w:val="0037452F"/>
    <w:rsid w:val="00374627"/>
    <w:rsid w:val="003747FF"/>
    <w:rsid w:val="00374B06"/>
    <w:rsid w:val="00375416"/>
    <w:rsid w:val="00375444"/>
    <w:rsid w:val="00376220"/>
    <w:rsid w:val="0037654A"/>
    <w:rsid w:val="003768CA"/>
    <w:rsid w:val="003768DD"/>
    <w:rsid w:val="00377377"/>
    <w:rsid w:val="00377CD3"/>
    <w:rsid w:val="00377F93"/>
    <w:rsid w:val="0038026E"/>
    <w:rsid w:val="00380476"/>
    <w:rsid w:val="00380AEA"/>
    <w:rsid w:val="00380EC9"/>
    <w:rsid w:val="003817A5"/>
    <w:rsid w:val="00381835"/>
    <w:rsid w:val="00381CB8"/>
    <w:rsid w:val="00381DE2"/>
    <w:rsid w:val="003825C8"/>
    <w:rsid w:val="00382C9F"/>
    <w:rsid w:val="00382FED"/>
    <w:rsid w:val="0038326D"/>
    <w:rsid w:val="00383B03"/>
    <w:rsid w:val="0038425F"/>
    <w:rsid w:val="003846C9"/>
    <w:rsid w:val="00384A47"/>
    <w:rsid w:val="003854C2"/>
    <w:rsid w:val="00386401"/>
    <w:rsid w:val="00386674"/>
    <w:rsid w:val="0038695F"/>
    <w:rsid w:val="00386D34"/>
    <w:rsid w:val="003871AD"/>
    <w:rsid w:val="00387326"/>
    <w:rsid w:val="0038738A"/>
    <w:rsid w:val="00387402"/>
    <w:rsid w:val="003905CA"/>
    <w:rsid w:val="00390A01"/>
    <w:rsid w:val="00390E6C"/>
    <w:rsid w:val="0039103D"/>
    <w:rsid w:val="003914D7"/>
    <w:rsid w:val="00391919"/>
    <w:rsid w:val="00391B6B"/>
    <w:rsid w:val="00391CCF"/>
    <w:rsid w:val="003925DB"/>
    <w:rsid w:val="00392BB5"/>
    <w:rsid w:val="0039391C"/>
    <w:rsid w:val="00393969"/>
    <w:rsid w:val="0039441B"/>
    <w:rsid w:val="00394860"/>
    <w:rsid w:val="00394BB6"/>
    <w:rsid w:val="00394D27"/>
    <w:rsid w:val="00394E07"/>
    <w:rsid w:val="00394FF9"/>
    <w:rsid w:val="00395336"/>
    <w:rsid w:val="00395498"/>
    <w:rsid w:val="00395502"/>
    <w:rsid w:val="003957A3"/>
    <w:rsid w:val="00395E03"/>
    <w:rsid w:val="00395ED1"/>
    <w:rsid w:val="00396B52"/>
    <w:rsid w:val="003971ED"/>
    <w:rsid w:val="00397219"/>
    <w:rsid w:val="00397CC6"/>
    <w:rsid w:val="003A0372"/>
    <w:rsid w:val="003A05EB"/>
    <w:rsid w:val="003A097B"/>
    <w:rsid w:val="003A0EFD"/>
    <w:rsid w:val="003A0FC0"/>
    <w:rsid w:val="003A1244"/>
    <w:rsid w:val="003A1333"/>
    <w:rsid w:val="003A18F1"/>
    <w:rsid w:val="003A2B62"/>
    <w:rsid w:val="003A2CC5"/>
    <w:rsid w:val="003A3038"/>
    <w:rsid w:val="003A335F"/>
    <w:rsid w:val="003A4136"/>
    <w:rsid w:val="003A498A"/>
    <w:rsid w:val="003A4EEE"/>
    <w:rsid w:val="003A4FCA"/>
    <w:rsid w:val="003A5018"/>
    <w:rsid w:val="003A58CE"/>
    <w:rsid w:val="003A5E8E"/>
    <w:rsid w:val="003A6293"/>
    <w:rsid w:val="003A71DA"/>
    <w:rsid w:val="003A7547"/>
    <w:rsid w:val="003A75A9"/>
    <w:rsid w:val="003A767D"/>
    <w:rsid w:val="003A76AF"/>
    <w:rsid w:val="003A7AD2"/>
    <w:rsid w:val="003A7CE8"/>
    <w:rsid w:val="003A7F7E"/>
    <w:rsid w:val="003B0248"/>
    <w:rsid w:val="003B037B"/>
    <w:rsid w:val="003B045A"/>
    <w:rsid w:val="003B0C2E"/>
    <w:rsid w:val="003B16E3"/>
    <w:rsid w:val="003B1A48"/>
    <w:rsid w:val="003B1C5B"/>
    <w:rsid w:val="003B25D5"/>
    <w:rsid w:val="003B2679"/>
    <w:rsid w:val="003B324D"/>
    <w:rsid w:val="003B47BE"/>
    <w:rsid w:val="003B4EFE"/>
    <w:rsid w:val="003B5129"/>
    <w:rsid w:val="003B526C"/>
    <w:rsid w:val="003B54B8"/>
    <w:rsid w:val="003B5910"/>
    <w:rsid w:val="003B5921"/>
    <w:rsid w:val="003B61C0"/>
    <w:rsid w:val="003B6EE7"/>
    <w:rsid w:val="003B70E5"/>
    <w:rsid w:val="003B744D"/>
    <w:rsid w:val="003B7974"/>
    <w:rsid w:val="003B7FAB"/>
    <w:rsid w:val="003C056D"/>
    <w:rsid w:val="003C05B1"/>
    <w:rsid w:val="003C0A64"/>
    <w:rsid w:val="003C0D66"/>
    <w:rsid w:val="003C0EEB"/>
    <w:rsid w:val="003C1C33"/>
    <w:rsid w:val="003C1ECF"/>
    <w:rsid w:val="003C20E0"/>
    <w:rsid w:val="003C257B"/>
    <w:rsid w:val="003C2809"/>
    <w:rsid w:val="003C2B08"/>
    <w:rsid w:val="003C2F04"/>
    <w:rsid w:val="003C4406"/>
    <w:rsid w:val="003C4890"/>
    <w:rsid w:val="003C5337"/>
    <w:rsid w:val="003C556C"/>
    <w:rsid w:val="003C56E0"/>
    <w:rsid w:val="003C5BAD"/>
    <w:rsid w:val="003C68B8"/>
    <w:rsid w:val="003C7185"/>
    <w:rsid w:val="003C720C"/>
    <w:rsid w:val="003C7A5B"/>
    <w:rsid w:val="003D007E"/>
    <w:rsid w:val="003D0263"/>
    <w:rsid w:val="003D0BF7"/>
    <w:rsid w:val="003D104A"/>
    <w:rsid w:val="003D1721"/>
    <w:rsid w:val="003D18E2"/>
    <w:rsid w:val="003D1E09"/>
    <w:rsid w:val="003D2C64"/>
    <w:rsid w:val="003D3006"/>
    <w:rsid w:val="003D30EF"/>
    <w:rsid w:val="003D3768"/>
    <w:rsid w:val="003D39E6"/>
    <w:rsid w:val="003D3FA4"/>
    <w:rsid w:val="003D4008"/>
    <w:rsid w:val="003D4907"/>
    <w:rsid w:val="003D5DD2"/>
    <w:rsid w:val="003D5DF5"/>
    <w:rsid w:val="003D5EFF"/>
    <w:rsid w:val="003D673C"/>
    <w:rsid w:val="003D7426"/>
    <w:rsid w:val="003E01C3"/>
    <w:rsid w:val="003E0B96"/>
    <w:rsid w:val="003E1156"/>
    <w:rsid w:val="003E1384"/>
    <w:rsid w:val="003E149A"/>
    <w:rsid w:val="003E1800"/>
    <w:rsid w:val="003E1AB9"/>
    <w:rsid w:val="003E1C53"/>
    <w:rsid w:val="003E1E0B"/>
    <w:rsid w:val="003E24FB"/>
    <w:rsid w:val="003E29E2"/>
    <w:rsid w:val="003E2F55"/>
    <w:rsid w:val="003E3175"/>
    <w:rsid w:val="003E317C"/>
    <w:rsid w:val="003E3843"/>
    <w:rsid w:val="003E3896"/>
    <w:rsid w:val="003E40F1"/>
    <w:rsid w:val="003E4CE3"/>
    <w:rsid w:val="003E5406"/>
    <w:rsid w:val="003E562E"/>
    <w:rsid w:val="003E57E2"/>
    <w:rsid w:val="003E5C81"/>
    <w:rsid w:val="003E5F3F"/>
    <w:rsid w:val="003E61D0"/>
    <w:rsid w:val="003E6FCA"/>
    <w:rsid w:val="003E75BC"/>
    <w:rsid w:val="003E7BA7"/>
    <w:rsid w:val="003F0494"/>
    <w:rsid w:val="003F0621"/>
    <w:rsid w:val="003F0666"/>
    <w:rsid w:val="003F0F72"/>
    <w:rsid w:val="003F1AD7"/>
    <w:rsid w:val="003F1C13"/>
    <w:rsid w:val="003F1CA7"/>
    <w:rsid w:val="003F223E"/>
    <w:rsid w:val="003F33C5"/>
    <w:rsid w:val="003F34A8"/>
    <w:rsid w:val="003F372F"/>
    <w:rsid w:val="003F4525"/>
    <w:rsid w:val="003F4659"/>
    <w:rsid w:val="003F4C36"/>
    <w:rsid w:val="003F4DB0"/>
    <w:rsid w:val="003F551D"/>
    <w:rsid w:val="003F595C"/>
    <w:rsid w:val="003F5EB5"/>
    <w:rsid w:val="003F61AB"/>
    <w:rsid w:val="003F62CE"/>
    <w:rsid w:val="003F6B03"/>
    <w:rsid w:val="003F6C32"/>
    <w:rsid w:val="003F70D3"/>
    <w:rsid w:val="003F715E"/>
    <w:rsid w:val="003F715F"/>
    <w:rsid w:val="003F7748"/>
    <w:rsid w:val="0040087B"/>
    <w:rsid w:val="004011D0"/>
    <w:rsid w:val="0040120C"/>
    <w:rsid w:val="00401D7F"/>
    <w:rsid w:val="00402113"/>
    <w:rsid w:val="004027D8"/>
    <w:rsid w:val="004028CC"/>
    <w:rsid w:val="0040334D"/>
    <w:rsid w:val="004035B5"/>
    <w:rsid w:val="00403C42"/>
    <w:rsid w:val="00404592"/>
    <w:rsid w:val="00405F89"/>
    <w:rsid w:val="00406543"/>
    <w:rsid w:val="004066EA"/>
    <w:rsid w:val="00406CDA"/>
    <w:rsid w:val="0040735E"/>
    <w:rsid w:val="004073A2"/>
    <w:rsid w:val="00407E79"/>
    <w:rsid w:val="00407F17"/>
    <w:rsid w:val="00410365"/>
    <w:rsid w:val="004103C0"/>
    <w:rsid w:val="00410661"/>
    <w:rsid w:val="00410FC1"/>
    <w:rsid w:val="00411262"/>
    <w:rsid w:val="00411D45"/>
    <w:rsid w:val="004121FE"/>
    <w:rsid w:val="0041268B"/>
    <w:rsid w:val="004127B2"/>
    <w:rsid w:val="00412C82"/>
    <w:rsid w:val="00412DD0"/>
    <w:rsid w:val="00412E6B"/>
    <w:rsid w:val="00412EF6"/>
    <w:rsid w:val="00413253"/>
    <w:rsid w:val="00413389"/>
    <w:rsid w:val="004135F9"/>
    <w:rsid w:val="00413C0D"/>
    <w:rsid w:val="00414017"/>
    <w:rsid w:val="004149E8"/>
    <w:rsid w:val="00415B24"/>
    <w:rsid w:val="00415FFB"/>
    <w:rsid w:val="00416212"/>
    <w:rsid w:val="004166CF"/>
    <w:rsid w:val="00416A14"/>
    <w:rsid w:val="004171D2"/>
    <w:rsid w:val="004171FC"/>
    <w:rsid w:val="00417D8B"/>
    <w:rsid w:val="00417EA3"/>
    <w:rsid w:val="00417F36"/>
    <w:rsid w:val="0042065A"/>
    <w:rsid w:val="0042065E"/>
    <w:rsid w:val="004214A3"/>
    <w:rsid w:val="00421D00"/>
    <w:rsid w:val="00421F4E"/>
    <w:rsid w:val="0042259B"/>
    <w:rsid w:val="004225A2"/>
    <w:rsid w:val="0042263F"/>
    <w:rsid w:val="00422712"/>
    <w:rsid w:val="004227BD"/>
    <w:rsid w:val="00422ED9"/>
    <w:rsid w:val="004230CC"/>
    <w:rsid w:val="004235C1"/>
    <w:rsid w:val="004242A6"/>
    <w:rsid w:val="00424966"/>
    <w:rsid w:val="004258F2"/>
    <w:rsid w:val="00425D10"/>
    <w:rsid w:val="00425DF9"/>
    <w:rsid w:val="00426C81"/>
    <w:rsid w:val="00426DD0"/>
    <w:rsid w:val="00426DFF"/>
    <w:rsid w:val="004273C3"/>
    <w:rsid w:val="0042749E"/>
    <w:rsid w:val="00427566"/>
    <w:rsid w:val="00427691"/>
    <w:rsid w:val="0042779D"/>
    <w:rsid w:val="0042788F"/>
    <w:rsid w:val="00427981"/>
    <w:rsid w:val="00427EDF"/>
    <w:rsid w:val="004300A5"/>
    <w:rsid w:val="0043073B"/>
    <w:rsid w:val="00430A32"/>
    <w:rsid w:val="0043114D"/>
    <w:rsid w:val="004312D1"/>
    <w:rsid w:val="0043144B"/>
    <w:rsid w:val="004316D1"/>
    <w:rsid w:val="00431CB2"/>
    <w:rsid w:val="00432304"/>
    <w:rsid w:val="0043259C"/>
    <w:rsid w:val="00432662"/>
    <w:rsid w:val="00432684"/>
    <w:rsid w:val="00432A6F"/>
    <w:rsid w:val="00432B71"/>
    <w:rsid w:val="00432E42"/>
    <w:rsid w:val="004333A6"/>
    <w:rsid w:val="00433A6C"/>
    <w:rsid w:val="00433E1F"/>
    <w:rsid w:val="00433FD8"/>
    <w:rsid w:val="00434118"/>
    <w:rsid w:val="00434232"/>
    <w:rsid w:val="00434662"/>
    <w:rsid w:val="00434BF0"/>
    <w:rsid w:val="00435252"/>
    <w:rsid w:val="0043558F"/>
    <w:rsid w:val="00436BAD"/>
    <w:rsid w:val="004377D5"/>
    <w:rsid w:val="00437B96"/>
    <w:rsid w:val="0044026A"/>
    <w:rsid w:val="00440C4F"/>
    <w:rsid w:val="00441037"/>
    <w:rsid w:val="004411F1"/>
    <w:rsid w:val="0044183C"/>
    <w:rsid w:val="00441870"/>
    <w:rsid w:val="00442126"/>
    <w:rsid w:val="00442448"/>
    <w:rsid w:val="0044277E"/>
    <w:rsid w:val="00442F74"/>
    <w:rsid w:val="0044330A"/>
    <w:rsid w:val="00443410"/>
    <w:rsid w:val="004435AC"/>
    <w:rsid w:val="0044525E"/>
    <w:rsid w:val="004453E4"/>
    <w:rsid w:val="00445978"/>
    <w:rsid w:val="00446CD6"/>
    <w:rsid w:val="0044709D"/>
    <w:rsid w:val="004476D6"/>
    <w:rsid w:val="00447B29"/>
    <w:rsid w:val="0045002F"/>
    <w:rsid w:val="00450926"/>
    <w:rsid w:val="004512C5"/>
    <w:rsid w:val="0045168A"/>
    <w:rsid w:val="004516AA"/>
    <w:rsid w:val="004518D0"/>
    <w:rsid w:val="00451F92"/>
    <w:rsid w:val="0045217D"/>
    <w:rsid w:val="004529BD"/>
    <w:rsid w:val="00452AE0"/>
    <w:rsid w:val="00452DE0"/>
    <w:rsid w:val="00453A33"/>
    <w:rsid w:val="00453F9E"/>
    <w:rsid w:val="004555E4"/>
    <w:rsid w:val="00455B4D"/>
    <w:rsid w:val="00455BE2"/>
    <w:rsid w:val="00455F3D"/>
    <w:rsid w:val="00456744"/>
    <w:rsid w:val="004570E1"/>
    <w:rsid w:val="004572DD"/>
    <w:rsid w:val="00457D13"/>
    <w:rsid w:val="00457F12"/>
    <w:rsid w:val="004603EF"/>
    <w:rsid w:val="00460546"/>
    <w:rsid w:val="00460936"/>
    <w:rsid w:val="00460F1D"/>
    <w:rsid w:val="0046101E"/>
    <w:rsid w:val="0046151F"/>
    <w:rsid w:val="00461980"/>
    <w:rsid w:val="00461A68"/>
    <w:rsid w:val="00461B7A"/>
    <w:rsid w:val="00461E06"/>
    <w:rsid w:val="0046267E"/>
    <w:rsid w:val="00462763"/>
    <w:rsid w:val="00462DD2"/>
    <w:rsid w:val="00462DEF"/>
    <w:rsid w:val="00462F47"/>
    <w:rsid w:val="0046373C"/>
    <w:rsid w:val="00463EAD"/>
    <w:rsid w:val="00463FC5"/>
    <w:rsid w:val="00464019"/>
    <w:rsid w:val="004646FB"/>
    <w:rsid w:val="00464B85"/>
    <w:rsid w:val="00464BB5"/>
    <w:rsid w:val="00464D12"/>
    <w:rsid w:val="00464EDD"/>
    <w:rsid w:val="00465063"/>
    <w:rsid w:val="00465354"/>
    <w:rsid w:val="004653D3"/>
    <w:rsid w:val="004654DE"/>
    <w:rsid w:val="00465EAF"/>
    <w:rsid w:val="004663DE"/>
    <w:rsid w:val="00466946"/>
    <w:rsid w:val="004669BF"/>
    <w:rsid w:val="00466AE1"/>
    <w:rsid w:val="00466D72"/>
    <w:rsid w:val="00467300"/>
    <w:rsid w:val="004677A0"/>
    <w:rsid w:val="004708CF"/>
    <w:rsid w:val="00470C7A"/>
    <w:rsid w:val="00470FD6"/>
    <w:rsid w:val="004711F6"/>
    <w:rsid w:val="00471368"/>
    <w:rsid w:val="004713FD"/>
    <w:rsid w:val="00471B97"/>
    <w:rsid w:val="00472097"/>
    <w:rsid w:val="00472369"/>
    <w:rsid w:val="004723B9"/>
    <w:rsid w:val="00472FAF"/>
    <w:rsid w:val="00473142"/>
    <w:rsid w:val="0047374F"/>
    <w:rsid w:val="00473816"/>
    <w:rsid w:val="00474091"/>
    <w:rsid w:val="00474135"/>
    <w:rsid w:val="00474DF9"/>
    <w:rsid w:val="004750FA"/>
    <w:rsid w:val="00475127"/>
    <w:rsid w:val="004753AD"/>
    <w:rsid w:val="0047541D"/>
    <w:rsid w:val="0047593B"/>
    <w:rsid w:val="00475E8B"/>
    <w:rsid w:val="00476657"/>
    <w:rsid w:val="004766AD"/>
    <w:rsid w:val="004768A1"/>
    <w:rsid w:val="00477C04"/>
    <w:rsid w:val="00477D09"/>
    <w:rsid w:val="00480068"/>
    <w:rsid w:val="00480072"/>
    <w:rsid w:val="0048007A"/>
    <w:rsid w:val="004801C6"/>
    <w:rsid w:val="00480DB8"/>
    <w:rsid w:val="00480E87"/>
    <w:rsid w:val="0048109D"/>
    <w:rsid w:val="00481136"/>
    <w:rsid w:val="004813AC"/>
    <w:rsid w:val="00481CC8"/>
    <w:rsid w:val="004828DD"/>
    <w:rsid w:val="00482E3F"/>
    <w:rsid w:val="00483233"/>
    <w:rsid w:val="0048344C"/>
    <w:rsid w:val="00483D89"/>
    <w:rsid w:val="00483FE6"/>
    <w:rsid w:val="0048410C"/>
    <w:rsid w:val="004841BE"/>
    <w:rsid w:val="00484AEC"/>
    <w:rsid w:val="00484BC5"/>
    <w:rsid w:val="00485121"/>
    <w:rsid w:val="004851E8"/>
    <w:rsid w:val="004853A9"/>
    <w:rsid w:val="0048557E"/>
    <w:rsid w:val="00485FD0"/>
    <w:rsid w:val="004864B0"/>
    <w:rsid w:val="004864CC"/>
    <w:rsid w:val="00487F5A"/>
    <w:rsid w:val="00490124"/>
    <w:rsid w:val="0049091A"/>
    <w:rsid w:val="004909EA"/>
    <w:rsid w:val="00490CB7"/>
    <w:rsid w:val="00491578"/>
    <w:rsid w:val="00492729"/>
    <w:rsid w:val="00492D71"/>
    <w:rsid w:val="00493B97"/>
    <w:rsid w:val="00493D3B"/>
    <w:rsid w:val="00494362"/>
    <w:rsid w:val="00494440"/>
    <w:rsid w:val="00494592"/>
    <w:rsid w:val="00494898"/>
    <w:rsid w:val="00494E42"/>
    <w:rsid w:val="00494E58"/>
    <w:rsid w:val="00495E6E"/>
    <w:rsid w:val="004961C8"/>
    <w:rsid w:val="00496642"/>
    <w:rsid w:val="004969E2"/>
    <w:rsid w:val="00496B2B"/>
    <w:rsid w:val="00496B7A"/>
    <w:rsid w:val="00496C21"/>
    <w:rsid w:val="0049713F"/>
    <w:rsid w:val="004971E2"/>
    <w:rsid w:val="0049797E"/>
    <w:rsid w:val="00497ADB"/>
    <w:rsid w:val="00497C45"/>
    <w:rsid w:val="004A0144"/>
    <w:rsid w:val="004A069D"/>
    <w:rsid w:val="004A1065"/>
    <w:rsid w:val="004A17F2"/>
    <w:rsid w:val="004A1851"/>
    <w:rsid w:val="004A1C73"/>
    <w:rsid w:val="004A1DA4"/>
    <w:rsid w:val="004A2283"/>
    <w:rsid w:val="004A283A"/>
    <w:rsid w:val="004A29DF"/>
    <w:rsid w:val="004A313F"/>
    <w:rsid w:val="004A3394"/>
    <w:rsid w:val="004A36D1"/>
    <w:rsid w:val="004A3725"/>
    <w:rsid w:val="004A3CA3"/>
    <w:rsid w:val="004A43D9"/>
    <w:rsid w:val="004A441B"/>
    <w:rsid w:val="004A44DA"/>
    <w:rsid w:val="004A45F4"/>
    <w:rsid w:val="004A55A2"/>
    <w:rsid w:val="004A5825"/>
    <w:rsid w:val="004A5F36"/>
    <w:rsid w:val="004A5F91"/>
    <w:rsid w:val="004A609E"/>
    <w:rsid w:val="004A692C"/>
    <w:rsid w:val="004A7B72"/>
    <w:rsid w:val="004A7D27"/>
    <w:rsid w:val="004A7F88"/>
    <w:rsid w:val="004B0417"/>
    <w:rsid w:val="004B128C"/>
    <w:rsid w:val="004B15B5"/>
    <w:rsid w:val="004B1C70"/>
    <w:rsid w:val="004B1F33"/>
    <w:rsid w:val="004B24EA"/>
    <w:rsid w:val="004B2D75"/>
    <w:rsid w:val="004B34F5"/>
    <w:rsid w:val="004B377D"/>
    <w:rsid w:val="004B3DBF"/>
    <w:rsid w:val="004B4188"/>
    <w:rsid w:val="004B45B4"/>
    <w:rsid w:val="004B48DC"/>
    <w:rsid w:val="004B4945"/>
    <w:rsid w:val="004B4A42"/>
    <w:rsid w:val="004B4DC9"/>
    <w:rsid w:val="004B5479"/>
    <w:rsid w:val="004B59AA"/>
    <w:rsid w:val="004B5EB1"/>
    <w:rsid w:val="004B64AC"/>
    <w:rsid w:val="004B650C"/>
    <w:rsid w:val="004B719E"/>
    <w:rsid w:val="004B74F9"/>
    <w:rsid w:val="004B7DAF"/>
    <w:rsid w:val="004C0ACA"/>
    <w:rsid w:val="004C0E7E"/>
    <w:rsid w:val="004C121E"/>
    <w:rsid w:val="004C1986"/>
    <w:rsid w:val="004C24FA"/>
    <w:rsid w:val="004C35F9"/>
    <w:rsid w:val="004C37D3"/>
    <w:rsid w:val="004C38AF"/>
    <w:rsid w:val="004C4257"/>
    <w:rsid w:val="004C48F8"/>
    <w:rsid w:val="004C4D07"/>
    <w:rsid w:val="004C503C"/>
    <w:rsid w:val="004C505A"/>
    <w:rsid w:val="004C506F"/>
    <w:rsid w:val="004C50DE"/>
    <w:rsid w:val="004C52C6"/>
    <w:rsid w:val="004C582C"/>
    <w:rsid w:val="004C5AB6"/>
    <w:rsid w:val="004C60AF"/>
    <w:rsid w:val="004C610D"/>
    <w:rsid w:val="004C71CC"/>
    <w:rsid w:val="004C78E9"/>
    <w:rsid w:val="004C797A"/>
    <w:rsid w:val="004C7FE8"/>
    <w:rsid w:val="004D00AE"/>
    <w:rsid w:val="004D00B9"/>
    <w:rsid w:val="004D00DD"/>
    <w:rsid w:val="004D077E"/>
    <w:rsid w:val="004D12EC"/>
    <w:rsid w:val="004D1AA3"/>
    <w:rsid w:val="004D22E9"/>
    <w:rsid w:val="004D2826"/>
    <w:rsid w:val="004D2836"/>
    <w:rsid w:val="004D2FA6"/>
    <w:rsid w:val="004D3128"/>
    <w:rsid w:val="004D39CB"/>
    <w:rsid w:val="004D3B00"/>
    <w:rsid w:val="004D3FBD"/>
    <w:rsid w:val="004D411C"/>
    <w:rsid w:val="004D45CB"/>
    <w:rsid w:val="004D4833"/>
    <w:rsid w:val="004D4BF2"/>
    <w:rsid w:val="004D5D4A"/>
    <w:rsid w:val="004D5F2C"/>
    <w:rsid w:val="004D643C"/>
    <w:rsid w:val="004D65C1"/>
    <w:rsid w:val="004D6607"/>
    <w:rsid w:val="004D6943"/>
    <w:rsid w:val="004D6BEB"/>
    <w:rsid w:val="004D6CE3"/>
    <w:rsid w:val="004D6E5F"/>
    <w:rsid w:val="004D717B"/>
    <w:rsid w:val="004D71AB"/>
    <w:rsid w:val="004D7466"/>
    <w:rsid w:val="004D76BB"/>
    <w:rsid w:val="004D794D"/>
    <w:rsid w:val="004D7FEE"/>
    <w:rsid w:val="004E0292"/>
    <w:rsid w:val="004E0331"/>
    <w:rsid w:val="004E0556"/>
    <w:rsid w:val="004E05E1"/>
    <w:rsid w:val="004E0E35"/>
    <w:rsid w:val="004E0E55"/>
    <w:rsid w:val="004E1578"/>
    <w:rsid w:val="004E1B8F"/>
    <w:rsid w:val="004E1FB8"/>
    <w:rsid w:val="004E2426"/>
    <w:rsid w:val="004E2837"/>
    <w:rsid w:val="004E2A2D"/>
    <w:rsid w:val="004E2B53"/>
    <w:rsid w:val="004E2F81"/>
    <w:rsid w:val="004E3380"/>
    <w:rsid w:val="004E34DE"/>
    <w:rsid w:val="004E38AB"/>
    <w:rsid w:val="004E433C"/>
    <w:rsid w:val="004E471D"/>
    <w:rsid w:val="004E49FA"/>
    <w:rsid w:val="004E4BFE"/>
    <w:rsid w:val="004E5A50"/>
    <w:rsid w:val="004E5F80"/>
    <w:rsid w:val="004E65CE"/>
    <w:rsid w:val="004E67A5"/>
    <w:rsid w:val="004E6A35"/>
    <w:rsid w:val="004E6EA2"/>
    <w:rsid w:val="004E703C"/>
    <w:rsid w:val="004E72F1"/>
    <w:rsid w:val="004E74F6"/>
    <w:rsid w:val="004E78F9"/>
    <w:rsid w:val="004E7F92"/>
    <w:rsid w:val="004F04A3"/>
    <w:rsid w:val="004F068F"/>
    <w:rsid w:val="004F070A"/>
    <w:rsid w:val="004F0A65"/>
    <w:rsid w:val="004F0E2C"/>
    <w:rsid w:val="004F1327"/>
    <w:rsid w:val="004F13A7"/>
    <w:rsid w:val="004F1CFF"/>
    <w:rsid w:val="004F23C3"/>
    <w:rsid w:val="004F2CA6"/>
    <w:rsid w:val="004F2FF4"/>
    <w:rsid w:val="004F3211"/>
    <w:rsid w:val="004F32B9"/>
    <w:rsid w:val="004F340A"/>
    <w:rsid w:val="004F346B"/>
    <w:rsid w:val="004F397F"/>
    <w:rsid w:val="004F3A66"/>
    <w:rsid w:val="004F3FAA"/>
    <w:rsid w:val="004F4CD3"/>
    <w:rsid w:val="004F5930"/>
    <w:rsid w:val="004F5CD7"/>
    <w:rsid w:val="004F5F0E"/>
    <w:rsid w:val="004F6316"/>
    <w:rsid w:val="004F64CF"/>
    <w:rsid w:val="004F6876"/>
    <w:rsid w:val="004F6941"/>
    <w:rsid w:val="004F69B9"/>
    <w:rsid w:val="004F6BB4"/>
    <w:rsid w:val="004F76E4"/>
    <w:rsid w:val="004F7C15"/>
    <w:rsid w:val="004F7EB0"/>
    <w:rsid w:val="005000BA"/>
    <w:rsid w:val="0050028C"/>
    <w:rsid w:val="005004F0"/>
    <w:rsid w:val="0050173B"/>
    <w:rsid w:val="00502559"/>
    <w:rsid w:val="00502D5A"/>
    <w:rsid w:val="0050303F"/>
    <w:rsid w:val="0050310F"/>
    <w:rsid w:val="00503204"/>
    <w:rsid w:val="00503C13"/>
    <w:rsid w:val="00503DFE"/>
    <w:rsid w:val="005049ED"/>
    <w:rsid w:val="00504BC2"/>
    <w:rsid w:val="0050521E"/>
    <w:rsid w:val="00505347"/>
    <w:rsid w:val="005063E4"/>
    <w:rsid w:val="005066F5"/>
    <w:rsid w:val="00506A61"/>
    <w:rsid w:val="00506EA6"/>
    <w:rsid w:val="005071E9"/>
    <w:rsid w:val="005074C6"/>
    <w:rsid w:val="005105B3"/>
    <w:rsid w:val="00510659"/>
    <w:rsid w:val="00510675"/>
    <w:rsid w:val="0051114F"/>
    <w:rsid w:val="00511B03"/>
    <w:rsid w:val="00511C8A"/>
    <w:rsid w:val="005126C1"/>
    <w:rsid w:val="00512AE5"/>
    <w:rsid w:val="00512B4D"/>
    <w:rsid w:val="005138EE"/>
    <w:rsid w:val="00513A04"/>
    <w:rsid w:val="00513CF2"/>
    <w:rsid w:val="00514256"/>
    <w:rsid w:val="00514269"/>
    <w:rsid w:val="005144FF"/>
    <w:rsid w:val="00514C7D"/>
    <w:rsid w:val="0051513B"/>
    <w:rsid w:val="005157A3"/>
    <w:rsid w:val="00515C8D"/>
    <w:rsid w:val="005167D2"/>
    <w:rsid w:val="00516B5A"/>
    <w:rsid w:val="00517194"/>
    <w:rsid w:val="005171B4"/>
    <w:rsid w:val="0051731A"/>
    <w:rsid w:val="00517438"/>
    <w:rsid w:val="00517D6E"/>
    <w:rsid w:val="00520379"/>
    <w:rsid w:val="00520506"/>
    <w:rsid w:val="005206B5"/>
    <w:rsid w:val="00521333"/>
    <w:rsid w:val="00521A6C"/>
    <w:rsid w:val="00521B17"/>
    <w:rsid w:val="0052245F"/>
    <w:rsid w:val="00522481"/>
    <w:rsid w:val="00522A12"/>
    <w:rsid w:val="00522F27"/>
    <w:rsid w:val="005238C1"/>
    <w:rsid w:val="00523A6A"/>
    <w:rsid w:val="0052414E"/>
    <w:rsid w:val="00524383"/>
    <w:rsid w:val="00524431"/>
    <w:rsid w:val="00524450"/>
    <w:rsid w:val="005252D4"/>
    <w:rsid w:val="00525C21"/>
    <w:rsid w:val="00526185"/>
    <w:rsid w:val="005264DF"/>
    <w:rsid w:val="00526836"/>
    <w:rsid w:val="00526893"/>
    <w:rsid w:val="00526BA3"/>
    <w:rsid w:val="00526F0E"/>
    <w:rsid w:val="00527484"/>
    <w:rsid w:val="0052751C"/>
    <w:rsid w:val="0052798B"/>
    <w:rsid w:val="00527CD3"/>
    <w:rsid w:val="0053041B"/>
    <w:rsid w:val="00530936"/>
    <w:rsid w:val="00530A00"/>
    <w:rsid w:val="00531315"/>
    <w:rsid w:val="005315BE"/>
    <w:rsid w:val="00531C67"/>
    <w:rsid w:val="00531D19"/>
    <w:rsid w:val="00532C02"/>
    <w:rsid w:val="00533195"/>
    <w:rsid w:val="00533735"/>
    <w:rsid w:val="00533F91"/>
    <w:rsid w:val="0053441A"/>
    <w:rsid w:val="00534DD1"/>
    <w:rsid w:val="00535006"/>
    <w:rsid w:val="005356CB"/>
    <w:rsid w:val="00536477"/>
    <w:rsid w:val="005365E1"/>
    <w:rsid w:val="00536C56"/>
    <w:rsid w:val="005371B8"/>
    <w:rsid w:val="005371C2"/>
    <w:rsid w:val="00537A2A"/>
    <w:rsid w:val="00537B6A"/>
    <w:rsid w:val="00540191"/>
    <w:rsid w:val="00540896"/>
    <w:rsid w:val="005408C3"/>
    <w:rsid w:val="00540CB6"/>
    <w:rsid w:val="00541672"/>
    <w:rsid w:val="005416E3"/>
    <w:rsid w:val="00541979"/>
    <w:rsid w:val="005419B4"/>
    <w:rsid w:val="00542061"/>
    <w:rsid w:val="00542299"/>
    <w:rsid w:val="00542CCB"/>
    <w:rsid w:val="005438EE"/>
    <w:rsid w:val="00543D22"/>
    <w:rsid w:val="00543E86"/>
    <w:rsid w:val="0054405D"/>
    <w:rsid w:val="00544095"/>
    <w:rsid w:val="005440EB"/>
    <w:rsid w:val="0054414A"/>
    <w:rsid w:val="005446CF"/>
    <w:rsid w:val="00544975"/>
    <w:rsid w:val="00544CCA"/>
    <w:rsid w:val="005451B4"/>
    <w:rsid w:val="005453E6"/>
    <w:rsid w:val="00546468"/>
    <w:rsid w:val="00546592"/>
    <w:rsid w:val="005465F7"/>
    <w:rsid w:val="00546F24"/>
    <w:rsid w:val="0054765B"/>
    <w:rsid w:val="005476CE"/>
    <w:rsid w:val="0054771D"/>
    <w:rsid w:val="0055087C"/>
    <w:rsid w:val="00550EBE"/>
    <w:rsid w:val="005511AE"/>
    <w:rsid w:val="005515C0"/>
    <w:rsid w:val="005515C5"/>
    <w:rsid w:val="005521DF"/>
    <w:rsid w:val="0055259F"/>
    <w:rsid w:val="005528BA"/>
    <w:rsid w:val="00553239"/>
    <w:rsid w:val="00553330"/>
    <w:rsid w:val="00553C19"/>
    <w:rsid w:val="00554212"/>
    <w:rsid w:val="00554234"/>
    <w:rsid w:val="00554701"/>
    <w:rsid w:val="00554B23"/>
    <w:rsid w:val="00554F1C"/>
    <w:rsid w:val="0055560E"/>
    <w:rsid w:val="00555E94"/>
    <w:rsid w:val="0055624F"/>
    <w:rsid w:val="00556361"/>
    <w:rsid w:val="00556494"/>
    <w:rsid w:val="00556A94"/>
    <w:rsid w:val="00556BCB"/>
    <w:rsid w:val="00556C00"/>
    <w:rsid w:val="00556CA5"/>
    <w:rsid w:val="00557622"/>
    <w:rsid w:val="005576A6"/>
    <w:rsid w:val="00557917"/>
    <w:rsid w:val="00557F5A"/>
    <w:rsid w:val="0056010F"/>
    <w:rsid w:val="00560752"/>
    <w:rsid w:val="00560848"/>
    <w:rsid w:val="005612CA"/>
    <w:rsid w:val="005614C2"/>
    <w:rsid w:val="00561B02"/>
    <w:rsid w:val="00561FBD"/>
    <w:rsid w:val="00562C49"/>
    <w:rsid w:val="0056345D"/>
    <w:rsid w:val="0056361A"/>
    <w:rsid w:val="005643A4"/>
    <w:rsid w:val="00564DEF"/>
    <w:rsid w:val="00565311"/>
    <w:rsid w:val="0056558C"/>
    <w:rsid w:val="00565CD3"/>
    <w:rsid w:val="0056621C"/>
    <w:rsid w:val="0056625C"/>
    <w:rsid w:val="0056675C"/>
    <w:rsid w:val="005674FD"/>
    <w:rsid w:val="00567B0F"/>
    <w:rsid w:val="00567FEF"/>
    <w:rsid w:val="00570573"/>
    <w:rsid w:val="00570C9D"/>
    <w:rsid w:val="00570D47"/>
    <w:rsid w:val="00570D58"/>
    <w:rsid w:val="005710FB"/>
    <w:rsid w:val="0057163B"/>
    <w:rsid w:val="00571830"/>
    <w:rsid w:val="00572186"/>
    <w:rsid w:val="005724FA"/>
    <w:rsid w:val="00572595"/>
    <w:rsid w:val="00572670"/>
    <w:rsid w:val="005737C2"/>
    <w:rsid w:val="00573F53"/>
    <w:rsid w:val="0057426A"/>
    <w:rsid w:val="0057445F"/>
    <w:rsid w:val="005746D4"/>
    <w:rsid w:val="00574EBE"/>
    <w:rsid w:val="00574F6E"/>
    <w:rsid w:val="00576110"/>
    <w:rsid w:val="0057662D"/>
    <w:rsid w:val="005766DD"/>
    <w:rsid w:val="0057681E"/>
    <w:rsid w:val="00576822"/>
    <w:rsid w:val="00576E55"/>
    <w:rsid w:val="005773BD"/>
    <w:rsid w:val="00577555"/>
    <w:rsid w:val="00577564"/>
    <w:rsid w:val="00577BA5"/>
    <w:rsid w:val="00577D17"/>
    <w:rsid w:val="00580231"/>
    <w:rsid w:val="0058052C"/>
    <w:rsid w:val="00581923"/>
    <w:rsid w:val="00581C2D"/>
    <w:rsid w:val="0058287A"/>
    <w:rsid w:val="00582B0D"/>
    <w:rsid w:val="00582BB3"/>
    <w:rsid w:val="0058301D"/>
    <w:rsid w:val="0058408A"/>
    <w:rsid w:val="0058520D"/>
    <w:rsid w:val="0058528A"/>
    <w:rsid w:val="00585AA3"/>
    <w:rsid w:val="00585E9D"/>
    <w:rsid w:val="00585EB5"/>
    <w:rsid w:val="0058652A"/>
    <w:rsid w:val="005866A6"/>
    <w:rsid w:val="00586EE1"/>
    <w:rsid w:val="005870F4"/>
    <w:rsid w:val="0058723B"/>
    <w:rsid w:val="00587A09"/>
    <w:rsid w:val="00590071"/>
    <w:rsid w:val="0059020B"/>
    <w:rsid w:val="005907C0"/>
    <w:rsid w:val="0059083D"/>
    <w:rsid w:val="005909F5"/>
    <w:rsid w:val="00590A66"/>
    <w:rsid w:val="00590CC2"/>
    <w:rsid w:val="00590CD4"/>
    <w:rsid w:val="005918BC"/>
    <w:rsid w:val="005918FC"/>
    <w:rsid w:val="00591991"/>
    <w:rsid w:val="00591BD7"/>
    <w:rsid w:val="00591E96"/>
    <w:rsid w:val="0059200B"/>
    <w:rsid w:val="005924C9"/>
    <w:rsid w:val="005928B9"/>
    <w:rsid w:val="005928E1"/>
    <w:rsid w:val="00592C51"/>
    <w:rsid w:val="00592F5A"/>
    <w:rsid w:val="00592F60"/>
    <w:rsid w:val="005934F8"/>
    <w:rsid w:val="00593FBB"/>
    <w:rsid w:val="005948A4"/>
    <w:rsid w:val="00594B4C"/>
    <w:rsid w:val="00594C0C"/>
    <w:rsid w:val="00596383"/>
    <w:rsid w:val="0059681E"/>
    <w:rsid w:val="00596B04"/>
    <w:rsid w:val="005972CF"/>
    <w:rsid w:val="0059768C"/>
    <w:rsid w:val="00597955"/>
    <w:rsid w:val="005979B6"/>
    <w:rsid w:val="00597A3C"/>
    <w:rsid w:val="00597AF6"/>
    <w:rsid w:val="00597B6B"/>
    <w:rsid w:val="005A009C"/>
    <w:rsid w:val="005A0302"/>
    <w:rsid w:val="005A0817"/>
    <w:rsid w:val="005A0C37"/>
    <w:rsid w:val="005A0F55"/>
    <w:rsid w:val="005A10F7"/>
    <w:rsid w:val="005A17CB"/>
    <w:rsid w:val="005A1CC6"/>
    <w:rsid w:val="005A2010"/>
    <w:rsid w:val="005A2370"/>
    <w:rsid w:val="005A3AA3"/>
    <w:rsid w:val="005A3DC2"/>
    <w:rsid w:val="005A3DE2"/>
    <w:rsid w:val="005A40C5"/>
    <w:rsid w:val="005A48D4"/>
    <w:rsid w:val="005A493C"/>
    <w:rsid w:val="005A4D91"/>
    <w:rsid w:val="005A56EB"/>
    <w:rsid w:val="005A5952"/>
    <w:rsid w:val="005A59ED"/>
    <w:rsid w:val="005A6091"/>
    <w:rsid w:val="005A6A95"/>
    <w:rsid w:val="005A6E0F"/>
    <w:rsid w:val="005A7305"/>
    <w:rsid w:val="005A7C3F"/>
    <w:rsid w:val="005B0119"/>
    <w:rsid w:val="005B0522"/>
    <w:rsid w:val="005B0B8B"/>
    <w:rsid w:val="005B0C61"/>
    <w:rsid w:val="005B0C85"/>
    <w:rsid w:val="005B1843"/>
    <w:rsid w:val="005B1AD2"/>
    <w:rsid w:val="005B277E"/>
    <w:rsid w:val="005B2A9A"/>
    <w:rsid w:val="005B2B1A"/>
    <w:rsid w:val="005B3152"/>
    <w:rsid w:val="005B40EA"/>
    <w:rsid w:val="005B41C1"/>
    <w:rsid w:val="005B4A3E"/>
    <w:rsid w:val="005B6345"/>
    <w:rsid w:val="005B6992"/>
    <w:rsid w:val="005B699C"/>
    <w:rsid w:val="005B6AD3"/>
    <w:rsid w:val="005B6BBC"/>
    <w:rsid w:val="005B7240"/>
    <w:rsid w:val="005B7673"/>
    <w:rsid w:val="005B787F"/>
    <w:rsid w:val="005B7EB9"/>
    <w:rsid w:val="005C15B7"/>
    <w:rsid w:val="005C1CFE"/>
    <w:rsid w:val="005C210C"/>
    <w:rsid w:val="005C231B"/>
    <w:rsid w:val="005C2BD1"/>
    <w:rsid w:val="005C3211"/>
    <w:rsid w:val="005C393C"/>
    <w:rsid w:val="005C3D53"/>
    <w:rsid w:val="005C47EA"/>
    <w:rsid w:val="005C58BB"/>
    <w:rsid w:val="005C7411"/>
    <w:rsid w:val="005C7563"/>
    <w:rsid w:val="005C7A17"/>
    <w:rsid w:val="005C7AC5"/>
    <w:rsid w:val="005C7E31"/>
    <w:rsid w:val="005D038D"/>
    <w:rsid w:val="005D0844"/>
    <w:rsid w:val="005D08EC"/>
    <w:rsid w:val="005D0DD0"/>
    <w:rsid w:val="005D1475"/>
    <w:rsid w:val="005D15E3"/>
    <w:rsid w:val="005D169F"/>
    <w:rsid w:val="005D1B8D"/>
    <w:rsid w:val="005D1BF6"/>
    <w:rsid w:val="005D2584"/>
    <w:rsid w:val="005D2613"/>
    <w:rsid w:val="005D28E0"/>
    <w:rsid w:val="005D2AAC"/>
    <w:rsid w:val="005D37DB"/>
    <w:rsid w:val="005D40AC"/>
    <w:rsid w:val="005D4935"/>
    <w:rsid w:val="005D57DC"/>
    <w:rsid w:val="005D5F12"/>
    <w:rsid w:val="005D61FD"/>
    <w:rsid w:val="005D683F"/>
    <w:rsid w:val="005D6D6A"/>
    <w:rsid w:val="005D7880"/>
    <w:rsid w:val="005D794E"/>
    <w:rsid w:val="005D79A5"/>
    <w:rsid w:val="005D7D9A"/>
    <w:rsid w:val="005D7E72"/>
    <w:rsid w:val="005E04D1"/>
    <w:rsid w:val="005E05EE"/>
    <w:rsid w:val="005E088A"/>
    <w:rsid w:val="005E0AC8"/>
    <w:rsid w:val="005E0E94"/>
    <w:rsid w:val="005E1427"/>
    <w:rsid w:val="005E1542"/>
    <w:rsid w:val="005E1809"/>
    <w:rsid w:val="005E197A"/>
    <w:rsid w:val="005E1AA0"/>
    <w:rsid w:val="005E1B29"/>
    <w:rsid w:val="005E2C86"/>
    <w:rsid w:val="005E2F4E"/>
    <w:rsid w:val="005E31E1"/>
    <w:rsid w:val="005E32D4"/>
    <w:rsid w:val="005E343F"/>
    <w:rsid w:val="005E3569"/>
    <w:rsid w:val="005E3CA2"/>
    <w:rsid w:val="005E41E4"/>
    <w:rsid w:val="005E4CC3"/>
    <w:rsid w:val="005E4F88"/>
    <w:rsid w:val="005E507B"/>
    <w:rsid w:val="005E6BC8"/>
    <w:rsid w:val="005E72F5"/>
    <w:rsid w:val="005E78F0"/>
    <w:rsid w:val="005E7E2A"/>
    <w:rsid w:val="005F148F"/>
    <w:rsid w:val="005F1E9D"/>
    <w:rsid w:val="005F2583"/>
    <w:rsid w:val="005F282D"/>
    <w:rsid w:val="005F2BE5"/>
    <w:rsid w:val="005F2D0F"/>
    <w:rsid w:val="005F3350"/>
    <w:rsid w:val="005F3597"/>
    <w:rsid w:val="005F3D34"/>
    <w:rsid w:val="005F3D99"/>
    <w:rsid w:val="005F3F0D"/>
    <w:rsid w:val="005F4185"/>
    <w:rsid w:val="005F41EE"/>
    <w:rsid w:val="005F4776"/>
    <w:rsid w:val="005F4C2E"/>
    <w:rsid w:val="005F4F31"/>
    <w:rsid w:val="005F5550"/>
    <w:rsid w:val="005F583D"/>
    <w:rsid w:val="005F6084"/>
    <w:rsid w:val="005F6323"/>
    <w:rsid w:val="005F634C"/>
    <w:rsid w:val="005F682A"/>
    <w:rsid w:val="005F686C"/>
    <w:rsid w:val="005F6B69"/>
    <w:rsid w:val="005F6CBE"/>
    <w:rsid w:val="005F6DDE"/>
    <w:rsid w:val="005F6E05"/>
    <w:rsid w:val="005F7843"/>
    <w:rsid w:val="005F7DA6"/>
    <w:rsid w:val="005F7E45"/>
    <w:rsid w:val="00600311"/>
    <w:rsid w:val="0060063C"/>
    <w:rsid w:val="006008DB"/>
    <w:rsid w:val="00601461"/>
    <w:rsid w:val="00601A23"/>
    <w:rsid w:val="00601A77"/>
    <w:rsid w:val="00601BE4"/>
    <w:rsid w:val="0060245D"/>
    <w:rsid w:val="00602F6D"/>
    <w:rsid w:val="006042C2"/>
    <w:rsid w:val="00604518"/>
    <w:rsid w:val="0060476B"/>
    <w:rsid w:val="00605173"/>
    <w:rsid w:val="0060529A"/>
    <w:rsid w:val="006057BD"/>
    <w:rsid w:val="00605834"/>
    <w:rsid w:val="00605BAB"/>
    <w:rsid w:val="00605CF7"/>
    <w:rsid w:val="00606863"/>
    <w:rsid w:val="006069E2"/>
    <w:rsid w:val="00606F45"/>
    <w:rsid w:val="006074F9"/>
    <w:rsid w:val="00607567"/>
    <w:rsid w:val="00607A12"/>
    <w:rsid w:val="006103C1"/>
    <w:rsid w:val="00610B9D"/>
    <w:rsid w:val="00610D6C"/>
    <w:rsid w:val="006116B1"/>
    <w:rsid w:val="00611E46"/>
    <w:rsid w:val="00611F62"/>
    <w:rsid w:val="00612198"/>
    <w:rsid w:val="00612599"/>
    <w:rsid w:val="006127FA"/>
    <w:rsid w:val="00612BC7"/>
    <w:rsid w:val="00613A95"/>
    <w:rsid w:val="00613D64"/>
    <w:rsid w:val="00613DF3"/>
    <w:rsid w:val="00614480"/>
    <w:rsid w:val="006145BF"/>
    <w:rsid w:val="00614A33"/>
    <w:rsid w:val="00614E94"/>
    <w:rsid w:val="006154C2"/>
    <w:rsid w:val="00615675"/>
    <w:rsid w:val="0061629A"/>
    <w:rsid w:val="00616422"/>
    <w:rsid w:val="00616732"/>
    <w:rsid w:val="00616BFA"/>
    <w:rsid w:val="00616D15"/>
    <w:rsid w:val="00616E09"/>
    <w:rsid w:val="00616E9A"/>
    <w:rsid w:val="00617213"/>
    <w:rsid w:val="006173DB"/>
    <w:rsid w:val="006174DC"/>
    <w:rsid w:val="00617DA2"/>
    <w:rsid w:val="00620236"/>
    <w:rsid w:val="00620AC4"/>
    <w:rsid w:val="00620D11"/>
    <w:rsid w:val="00621104"/>
    <w:rsid w:val="006212A5"/>
    <w:rsid w:val="00621412"/>
    <w:rsid w:val="00621592"/>
    <w:rsid w:val="00621D60"/>
    <w:rsid w:val="00621E81"/>
    <w:rsid w:val="006223E4"/>
    <w:rsid w:val="00622763"/>
    <w:rsid w:val="00622F73"/>
    <w:rsid w:val="00623093"/>
    <w:rsid w:val="006235C8"/>
    <w:rsid w:val="00623BD8"/>
    <w:rsid w:val="00623D8A"/>
    <w:rsid w:val="006240C7"/>
    <w:rsid w:val="00624905"/>
    <w:rsid w:val="006249C5"/>
    <w:rsid w:val="00624DFD"/>
    <w:rsid w:val="006254E8"/>
    <w:rsid w:val="00625FFA"/>
    <w:rsid w:val="00626835"/>
    <w:rsid w:val="00626964"/>
    <w:rsid w:val="006269B1"/>
    <w:rsid w:val="00626A04"/>
    <w:rsid w:val="00626EDB"/>
    <w:rsid w:val="00627201"/>
    <w:rsid w:val="006274D7"/>
    <w:rsid w:val="00627D1D"/>
    <w:rsid w:val="00627D99"/>
    <w:rsid w:val="00630611"/>
    <w:rsid w:val="006306B6"/>
    <w:rsid w:val="00630725"/>
    <w:rsid w:val="00630B7E"/>
    <w:rsid w:val="00630EB4"/>
    <w:rsid w:val="006311BE"/>
    <w:rsid w:val="00631381"/>
    <w:rsid w:val="00631D8E"/>
    <w:rsid w:val="00631F04"/>
    <w:rsid w:val="00631FB2"/>
    <w:rsid w:val="006321AA"/>
    <w:rsid w:val="00632482"/>
    <w:rsid w:val="006328D5"/>
    <w:rsid w:val="00632B14"/>
    <w:rsid w:val="00632C3B"/>
    <w:rsid w:val="00632D01"/>
    <w:rsid w:val="00633015"/>
    <w:rsid w:val="006331B0"/>
    <w:rsid w:val="00633493"/>
    <w:rsid w:val="006340DE"/>
    <w:rsid w:val="00635238"/>
    <w:rsid w:val="0063525A"/>
    <w:rsid w:val="00635979"/>
    <w:rsid w:val="006359B3"/>
    <w:rsid w:val="00635C59"/>
    <w:rsid w:val="00635EBC"/>
    <w:rsid w:val="006364ED"/>
    <w:rsid w:val="0063655A"/>
    <w:rsid w:val="00636D78"/>
    <w:rsid w:val="00637403"/>
    <w:rsid w:val="006374B7"/>
    <w:rsid w:val="0064054C"/>
    <w:rsid w:val="00640DD2"/>
    <w:rsid w:val="00641219"/>
    <w:rsid w:val="00641313"/>
    <w:rsid w:val="006414FC"/>
    <w:rsid w:val="006416D7"/>
    <w:rsid w:val="006422D2"/>
    <w:rsid w:val="00642420"/>
    <w:rsid w:val="006424FF"/>
    <w:rsid w:val="006428E5"/>
    <w:rsid w:val="00642D6D"/>
    <w:rsid w:val="006451AB"/>
    <w:rsid w:val="006452D0"/>
    <w:rsid w:val="006458ED"/>
    <w:rsid w:val="00645945"/>
    <w:rsid w:val="00645A58"/>
    <w:rsid w:val="00645DF0"/>
    <w:rsid w:val="006460A0"/>
    <w:rsid w:val="00646401"/>
    <w:rsid w:val="0064694D"/>
    <w:rsid w:val="0064698A"/>
    <w:rsid w:val="006474E2"/>
    <w:rsid w:val="006479AC"/>
    <w:rsid w:val="00647DC4"/>
    <w:rsid w:val="006506A5"/>
    <w:rsid w:val="00650CD4"/>
    <w:rsid w:val="00650EE0"/>
    <w:rsid w:val="006511F2"/>
    <w:rsid w:val="006512F6"/>
    <w:rsid w:val="00651E29"/>
    <w:rsid w:val="006525E6"/>
    <w:rsid w:val="006527A2"/>
    <w:rsid w:val="0065305C"/>
    <w:rsid w:val="0065317F"/>
    <w:rsid w:val="006536B3"/>
    <w:rsid w:val="006550F2"/>
    <w:rsid w:val="00655AD8"/>
    <w:rsid w:val="00655DA7"/>
    <w:rsid w:val="00655DD5"/>
    <w:rsid w:val="00655DF4"/>
    <w:rsid w:val="006563DA"/>
    <w:rsid w:val="0065643D"/>
    <w:rsid w:val="006565D1"/>
    <w:rsid w:val="0065724D"/>
    <w:rsid w:val="006574E0"/>
    <w:rsid w:val="0065750D"/>
    <w:rsid w:val="00657CF0"/>
    <w:rsid w:val="00657FB0"/>
    <w:rsid w:val="00660291"/>
    <w:rsid w:val="00660373"/>
    <w:rsid w:val="00661BFE"/>
    <w:rsid w:val="00661CD7"/>
    <w:rsid w:val="00662435"/>
    <w:rsid w:val="006624E7"/>
    <w:rsid w:val="006625FA"/>
    <w:rsid w:val="00662A35"/>
    <w:rsid w:val="00663455"/>
    <w:rsid w:val="006637A6"/>
    <w:rsid w:val="0066380B"/>
    <w:rsid w:val="00663CE0"/>
    <w:rsid w:val="006644A4"/>
    <w:rsid w:val="00664665"/>
    <w:rsid w:val="0066524C"/>
    <w:rsid w:val="006658FE"/>
    <w:rsid w:val="006659D3"/>
    <w:rsid w:val="00665BAF"/>
    <w:rsid w:val="00666313"/>
    <w:rsid w:val="00666EE0"/>
    <w:rsid w:val="00667038"/>
    <w:rsid w:val="00667349"/>
    <w:rsid w:val="0066792A"/>
    <w:rsid w:val="00667B3C"/>
    <w:rsid w:val="00667D16"/>
    <w:rsid w:val="006702C1"/>
    <w:rsid w:val="00670662"/>
    <w:rsid w:val="00670A14"/>
    <w:rsid w:val="0067123A"/>
    <w:rsid w:val="00671290"/>
    <w:rsid w:val="00671762"/>
    <w:rsid w:val="00671FBC"/>
    <w:rsid w:val="00672AB3"/>
    <w:rsid w:val="00672CD3"/>
    <w:rsid w:val="00672EB5"/>
    <w:rsid w:val="006732F9"/>
    <w:rsid w:val="006734C3"/>
    <w:rsid w:val="00673785"/>
    <w:rsid w:val="00673D45"/>
    <w:rsid w:val="006741F0"/>
    <w:rsid w:val="00674280"/>
    <w:rsid w:val="00674E83"/>
    <w:rsid w:val="00675251"/>
    <w:rsid w:val="00675346"/>
    <w:rsid w:val="00675471"/>
    <w:rsid w:val="0067657F"/>
    <w:rsid w:val="00677088"/>
    <w:rsid w:val="00677346"/>
    <w:rsid w:val="0067749D"/>
    <w:rsid w:val="006775C5"/>
    <w:rsid w:val="00677920"/>
    <w:rsid w:val="00680487"/>
    <w:rsid w:val="00680C1B"/>
    <w:rsid w:val="00680FBF"/>
    <w:rsid w:val="00681FB3"/>
    <w:rsid w:val="006825D8"/>
    <w:rsid w:val="006827BD"/>
    <w:rsid w:val="00682C4C"/>
    <w:rsid w:val="00682DE5"/>
    <w:rsid w:val="00683336"/>
    <w:rsid w:val="00683669"/>
    <w:rsid w:val="00683831"/>
    <w:rsid w:val="00683847"/>
    <w:rsid w:val="006847CE"/>
    <w:rsid w:val="00685860"/>
    <w:rsid w:val="00685FA6"/>
    <w:rsid w:val="00686511"/>
    <w:rsid w:val="006869FE"/>
    <w:rsid w:val="00686D99"/>
    <w:rsid w:val="00687366"/>
    <w:rsid w:val="006873F9"/>
    <w:rsid w:val="00687F2E"/>
    <w:rsid w:val="006901AE"/>
    <w:rsid w:val="006902AC"/>
    <w:rsid w:val="006907BE"/>
    <w:rsid w:val="00690B89"/>
    <w:rsid w:val="00691010"/>
    <w:rsid w:val="006919DA"/>
    <w:rsid w:val="00691E52"/>
    <w:rsid w:val="0069215A"/>
    <w:rsid w:val="0069217D"/>
    <w:rsid w:val="00692367"/>
    <w:rsid w:val="006932AD"/>
    <w:rsid w:val="006938FF"/>
    <w:rsid w:val="00694E06"/>
    <w:rsid w:val="0069587A"/>
    <w:rsid w:val="00695AEA"/>
    <w:rsid w:val="00696564"/>
    <w:rsid w:val="0069683E"/>
    <w:rsid w:val="00696CFB"/>
    <w:rsid w:val="0069720A"/>
    <w:rsid w:val="0069726E"/>
    <w:rsid w:val="00697376"/>
    <w:rsid w:val="00697739"/>
    <w:rsid w:val="00697F2D"/>
    <w:rsid w:val="006A0068"/>
    <w:rsid w:val="006A0EA7"/>
    <w:rsid w:val="006A11CD"/>
    <w:rsid w:val="006A1625"/>
    <w:rsid w:val="006A17A7"/>
    <w:rsid w:val="006A2658"/>
    <w:rsid w:val="006A265B"/>
    <w:rsid w:val="006A2AAF"/>
    <w:rsid w:val="006A2BC6"/>
    <w:rsid w:val="006A2BD6"/>
    <w:rsid w:val="006A2D31"/>
    <w:rsid w:val="006A2D85"/>
    <w:rsid w:val="006A3133"/>
    <w:rsid w:val="006A3EF6"/>
    <w:rsid w:val="006A470E"/>
    <w:rsid w:val="006A50B0"/>
    <w:rsid w:val="006A5286"/>
    <w:rsid w:val="006A5604"/>
    <w:rsid w:val="006A5D5D"/>
    <w:rsid w:val="006A5E64"/>
    <w:rsid w:val="006A6A4B"/>
    <w:rsid w:val="006A6A52"/>
    <w:rsid w:val="006A6B15"/>
    <w:rsid w:val="006A6C59"/>
    <w:rsid w:val="006A6E2C"/>
    <w:rsid w:val="006A7087"/>
    <w:rsid w:val="006A753D"/>
    <w:rsid w:val="006A7895"/>
    <w:rsid w:val="006A7C22"/>
    <w:rsid w:val="006B09A5"/>
    <w:rsid w:val="006B0B40"/>
    <w:rsid w:val="006B0CEC"/>
    <w:rsid w:val="006B0E25"/>
    <w:rsid w:val="006B0FF8"/>
    <w:rsid w:val="006B16C1"/>
    <w:rsid w:val="006B1A44"/>
    <w:rsid w:val="006B1E56"/>
    <w:rsid w:val="006B2555"/>
    <w:rsid w:val="006B2594"/>
    <w:rsid w:val="006B3373"/>
    <w:rsid w:val="006B3CEE"/>
    <w:rsid w:val="006B3E7F"/>
    <w:rsid w:val="006B3F77"/>
    <w:rsid w:val="006B41D4"/>
    <w:rsid w:val="006B4A5A"/>
    <w:rsid w:val="006B4E09"/>
    <w:rsid w:val="006B53AC"/>
    <w:rsid w:val="006B55BD"/>
    <w:rsid w:val="006B576A"/>
    <w:rsid w:val="006B5AF3"/>
    <w:rsid w:val="006B6969"/>
    <w:rsid w:val="006B69E0"/>
    <w:rsid w:val="006B7841"/>
    <w:rsid w:val="006B7859"/>
    <w:rsid w:val="006C0E49"/>
    <w:rsid w:val="006C141A"/>
    <w:rsid w:val="006C1691"/>
    <w:rsid w:val="006C1919"/>
    <w:rsid w:val="006C192F"/>
    <w:rsid w:val="006C1B5D"/>
    <w:rsid w:val="006C22B9"/>
    <w:rsid w:val="006C2349"/>
    <w:rsid w:val="006C2938"/>
    <w:rsid w:val="006C2985"/>
    <w:rsid w:val="006C2A4B"/>
    <w:rsid w:val="006C2AE4"/>
    <w:rsid w:val="006C2D11"/>
    <w:rsid w:val="006C2E98"/>
    <w:rsid w:val="006C3084"/>
    <w:rsid w:val="006C365B"/>
    <w:rsid w:val="006C3CA1"/>
    <w:rsid w:val="006C3D3A"/>
    <w:rsid w:val="006C40A4"/>
    <w:rsid w:val="006C4320"/>
    <w:rsid w:val="006C4EEE"/>
    <w:rsid w:val="006C5174"/>
    <w:rsid w:val="006C5FBA"/>
    <w:rsid w:val="006C67F6"/>
    <w:rsid w:val="006C6D07"/>
    <w:rsid w:val="006C7912"/>
    <w:rsid w:val="006D066B"/>
    <w:rsid w:val="006D0DDC"/>
    <w:rsid w:val="006D115B"/>
    <w:rsid w:val="006D11DE"/>
    <w:rsid w:val="006D162A"/>
    <w:rsid w:val="006D1AEB"/>
    <w:rsid w:val="006D1D88"/>
    <w:rsid w:val="006D2ACE"/>
    <w:rsid w:val="006D30BE"/>
    <w:rsid w:val="006D3340"/>
    <w:rsid w:val="006D34B0"/>
    <w:rsid w:val="006D4E95"/>
    <w:rsid w:val="006D4F07"/>
    <w:rsid w:val="006D50AD"/>
    <w:rsid w:val="006D5690"/>
    <w:rsid w:val="006D58C8"/>
    <w:rsid w:val="006D58F2"/>
    <w:rsid w:val="006D6A4A"/>
    <w:rsid w:val="006D6C32"/>
    <w:rsid w:val="006D6DB5"/>
    <w:rsid w:val="006D6FE3"/>
    <w:rsid w:val="006D7AC9"/>
    <w:rsid w:val="006E0237"/>
    <w:rsid w:val="006E06B5"/>
    <w:rsid w:val="006E0990"/>
    <w:rsid w:val="006E1862"/>
    <w:rsid w:val="006E1B54"/>
    <w:rsid w:val="006E1C30"/>
    <w:rsid w:val="006E2351"/>
    <w:rsid w:val="006E2463"/>
    <w:rsid w:val="006E28E8"/>
    <w:rsid w:val="006E28F8"/>
    <w:rsid w:val="006E2DCE"/>
    <w:rsid w:val="006E3C4B"/>
    <w:rsid w:val="006E4770"/>
    <w:rsid w:val="006E49CC"/>
    <w:rsid w:val="006E50BE"/>
    <w:rsid w:val="006E54DA"/>
    <w:rsid w:val="006E5832"/>
    <w:rsid w:val="006E5E90"/>
    <w:rsid w:val="006E603A"/>
    <w:rsid w:val="006E617A"/>
    <w:rsid w:val="006E6472"/>
    <w:rsid w:val="006E6601"/>
    <w:rsid w:val="006E6766"/>
    <w:rsid w:val="006E68A8"/>
    <w:rsid w:val="006E699E"/>
    <w:rsid w:val="006E7D6D"/>
    <w:rsid w:val="006E7F17"/>
    <w:rsid w:val="006F0299"/>
    <w:rsid w:val="006F04D3"/>
    <w:rsid w:val="006F05B4"/>
    <w:rsid w:val="006F099A"/>
    <w:rsid w:val="006F20AE"/>
    <w:rsid w:val="006F2634"/>
    <w:rsid w:val="006F2878"/>
    <w:rsid w:val="006F2B91"/>
    <w:rsid w:val="006F2E9A"/>
    <w:rsid w:val="006F30D7"/>
    <w:rsid w:val="006F310C"/>
    <w:rsid w:val="006F3CD8"/>
    <w:rsid w:val="006F4D49"/>
    <w:rsid w:val="006F4EF1"/>
    <w:rsid w:val="006F4F3C"/>
    <w:rsid w:val="006F5397"/>
    <w:rsid w:val="006F54C3"/>
    <w:rsid w:val="006F557D"/>
    <w:rsid w:val="006F5856"/>
    <w:rsid w:val="006F594C"/>
    <w:rsid w:val="006F59CC"/>
    <w:rsid w:val="006F620D"/>
    <w:rsid w:val="006F6789"/>
    <w:rsid w:val="006F6E6C"/>
    <w:rsid w:val="006F78DA"/>
    <w:rsid w:val="006F78E3"/>
    <w:rsid w:val="006F7A04"/>
    <w:rsid w:val="00700350"/>
    <w:rsid w:val="00700748"/>
    <w:rsid w:val="00700AD2"/>
    <w:rsid w:val="0070170E"/>
    <w:rsid w:val="00701C70"/>
    <w:rsid w:val="007025A6"/>
    <w:rsid w:val="00702B33"/>
    <w:rsid w:val="00702C9B"/>
    <w:rsid w:val="00702FE3"/>
    <w:rsid w:val="007034AB"/>
    <w:rsid w:val="0070363B"/>
    <w:rsid w:val="00703897"/>
    <w:rsid w:val="00703946"/>
    <w:rsid w:val="00704276"/>
    <w:rsid w:val="00704819"/>
    <w:rsid w:val="0070518F"/>
    <w:rsid w:val="00705389"/>
    <w:rsid w:val="007054F0"/>
    <w:rsid w:val="007055FB"/>
    <w:rsid w:val="007058AC"/>
    <w:rsid w:val="007062BB"/>
    <w:rsid w:val="00706F64"/>
    <w:rsid w:val="00707076"/>
    <w:rsid w:val="0070738F"/>
    <w:rsid w:val="0070740F"/>
    <w:rsid w:val="00707787"/>
    <w:rsid w:val="007077F8"/>
    <w:rsid w:val="00707CF5"/>
    <w:rsid w:val="00707D3C"/>
    <w:rsid w:val="007102D1"/>
    <w:rsid w:val="00710A62"/>
    <w:rsid w:val="00710FC1"/>
    <w:rsid w:val="00711059"/>
    <w:rsid w:val="007112AF"/>
    <w:rsid w:val="007113DA"/>
    <w:rsid w:val="007119F9"/>
    <w:rsid w:val="00711A2A"/>
    <w:rsid w:val="00711E22"/>
    <w:rsid w:val="007122B2"/>
    <w:rsid w:val="0071333B"/>
    <w:rsid w:val="00713435"/>
    <w:rsid w:val="0071361F"/>
    <w:rsid w:val="00714531"/>
    <w:rsid w:val="007145E8"/>
    <w:rsid w:val="0071496E"/>
    <w:rsid w:val="00714FAB"/>
    <w:rsid w:val="007150A2"/>
    <w:rsid w:val="007151EE"/>
    <w:rsid w:val="0071537F"/>
    <w:rsid w:val="0071562B"/>
    <w:rsid w:val="00715D43"/>
    <w:rsid w:val="007161EE"/>
    <w:rsid w:val="00716374"/>
    <w:rsid w:val="007169FC"/>
    <w:rsid w:val="007179C5"/>
    <w:rsid w:val="007200AD"/>
    <w:rsid w:val="00720177"/>
    <w:rsid w:val="0072133B"/>
    <w:rsid w:val="0072145A"/>
    <w:rsid w:val="00721549"/>
    <w:rsid w:val="00721923"/>
    <w:rsid w:val="00721F33"/>
    <w:rsid w:val="00722113"/>
    <w:rsid w:val="007224E8"/>
    <w:rsid w:val="00722844"/>
    <w:rsid w:val="007230DA"/>
    <w:rsid w:val="00723114"/>
    <w:rsid w:val="00723272"/>
    <w:rsid w:val="00723B11"/>
    <w:rsid w:val="00724078"/>
    <w:rsid w:val="00724221"/>
    <w:rsid w:val="00724254"/>
    <w:rsid w:val="007242C6"/>
    <w:rsid w:val="0072471C"/>
    <w:rsid w:val="007247CA"/>
    <w:rsid w:val="00724C25"/>
    <w:rsid w:val="00724E61"/>
    <w:rsid w:val="00724E8D"/>
    <w:rsid w:val="00725C6C"/>
    <w:rsid w:val="00725F1A"/>
    <w:rsid w:val="007261A2"/>
    <w:rsid w:val="007266D3"/>
    <w:rsid w:val="007268FC"/>
    <w:rsid w:val="00726A9A"/>
    <w:rsid w:val="00726FAD"/>
    <w:rsid w:val="00727414"/>
    <w:rsid w:val="00727815"/>
    <w:rsid w:val="007301FB"/>
    <w:rsid w:val="007316F6"/>
    <w:rsid w:val="00731A6B"/>
    <w:rsid w:val="00731BE4"/>
    <w:rsid w:val="007321D9"/>
    <w:rsid w:val="0073235B"/>
    <w:rsid w:val="007324B6"/>
    <w:rsid w:val="007327BB"/>
    <w:rsid w:val="007327F2"/>
    <w:rsid w:val="00732D0A"/>
    <w:rsid w:val="00732F5D"/>
    <w:rsid w:val="0073326A"/>
    <w:rsid w:val="00733293"/>
    <w:rsid w:val="007334F2"/>
    <w:rsid w:val="00733A69"/>
    <w:rsid w:val="00734104"/>
    <w:rsid w:val="00734238"/>
    <w:rsid w:val="007346CA"/>
    <w:rsid w:val="00734A71"/>
    <w:rsid w:val="00734D82"/>
    <w:rsid w:val="0073506E"/>
    <w:rsid w:val="00735BE5"/>
    <w:rsid w:val="0073626A"/>
    <w:rsid w:val="00736584"/>
    <w:rsid w:val="00736999"/>
    <w:rsid w:val="00737438"/>
    <w:rsid w:val="00737548"/>
    <w:rsid w:val="00737A97"/>
    <w:rsid w:val="00737AB4"/>
    <w:rsid w:val="00737BB6"/>
    <w:rsid w:val="00737C90"/>
    <w:rsid w:val="00737E50"/>
    <w:rsid w:val="00740A34"/>
    <w:rsid w:val="00740CB3"/>
    <w:rsid w:val="00740DFF"/>
    <w:rsid w:val="00741067"/>
    <w:rsid w:val="00741AE0"/>
    <w:rsid w:val="007426A8"/>
    <w:rsid w:val="0074317F"/>
    <w:rsid w:val="00743437"/>
    <w:rsid w:val="0074344E"/>
    <w:rsid w:val="00743B27"/>
    <w:rsid w:val="00744EC3"/>
    <w:rsid w:val="00744F50"/>
    <w:rsid w:val="0074503B"/>
    <w:rsid w:val="0074509A"/>
    <w:rsid w:val="007451F9"/>
    <w:rsid w:val="00745471"/>
    <w:rsid w:val="00746918"/>
    <w:rsid w:val="00746F60"/>
    <w:rsid w:val="0074750C"/>
    <w:rsid w:val="007479A1"/>
    <w:rsid w:val="00750967"/>
    <w:rsid w:val="00750E6A"/>
    <w:rsid w:val="0075100D"/>
    <w:rsid w:val="00751018"/>
    <w:rsid w:val="0075117E"/>
    <w:rsid w:val="00751923"/>
    <w:rsid w:val="00752137"/>
    <w:rsid w:val="00752190"/>
    <w:rsid w:val="00752418"/>
    <w:rsid w:val="00752FED"/>
    <w:rsid w:val="00753141"/>
    <w:rsid w:val="0075327E"/>
    <w:rsid w:val="00753FDA"/>
    <w:rsid w:val="0075524D"/>
    <w:rsid w:val="007557A9"/>
    <w:rsid w:val="00755C61"/>
    <w:rsid w:val="007562D0"/>
    <w:rsid w:val="00756D95"/>
    <w:rsid w:val="0075713E"/>
    <w:rsid w:val="007574C1"/>
    <w:rsid w:val="00757DD5"/>
    <w:rsid w:val="00757E0E"/>
    <w:rsid w:val="007602E4"/>
    <w:rsid w:val="00760E70"/>
    <w:rsid w:val="00761AAD"/>
    <w:rsid w:val="00761BC0"/>
    <w:rsid w:val="00761EB2"/>
    <w:rsid w:val="00761FA4"/>
    <w:rsid w:val="007623CF"/>
    <w:rsid w:val="00762750"/>
    <w:rsid w:val="00763484"/>
    <w:rsid w:val="0076410A"/>
    <w:rsid w:val="0076425D"/>
    <w:rsid w:val="00764998"/>
    <w:rsid w:val="00764ED3"/>
    <w:rsid w:val="007653DB"/>
    <w:rsid w:val="007654BA"/>
    <w:rsid w:val="00765721"/>
    <w:rsid w:val="007657E3"/>
    <w:rsid w:val="007659E4"/>
    <w:rsid w:val="00765DFE"/>
    <w:rsid w:val="00765F99"/>
    <w:rsid w:val="007663A7"/>
    <w:rsid w:val="00766750"/>
    <w:rsid w:val="007668F6"/>
    <w:rsid w:val="00766AE2"/>
    <w:rsid w:val="00766B37"/>
    <w:rsid w:val="00766FF5"/>
    <w:rsid w:val="00767179"/>
    <w:rsid w:val="00767605"/>
    <w:rsid w:val="007677CC"/>
    <w:rsid w:val="00767F5B"/>
    <w:rsid w:val="007706F3"/>
    <w:rsid w:val="00770C0C"/>
    <w:rsid w:val="00771132"/>
    <w:rsid w:val="007718B2"/>
    <w:rsid w:val="00771E68"/>
    <w:rsid w:val="00772581"/>
    <w:rsid w:val="0077294F"/>
    <w:rsid w:val="00772B59"/>
    <w:rsid w:val="00772C0F"/>
    <w:rsid w:val="0077323D"/>
    <w:rsid w:val="00773289"/>
    <w:rsid w:val="0077362D"/>
    <w:rsid w:val="007741BF"/>
    <w:rsid w:val="00775617"/>
    <w:rsid w:val="00775844"/>
    <w:rsid w:val="00775ECE"/>
    <w:rsid w:val="007762A5"/>
    <w:rsid w:val="0077666E"/>
    <w:rsid w:val="00776873"/>
    <w:rsid w:val="00776DB8"/>
    <w:rsid w:val="0077719C"/>
    <w:rsid w:val="00777A92"/>
    <w:rsid w:val="00777BE9"/>
    <w:rsid w:val="00777F9D"/>
    <w:rsid w:val="0078025A"/>
    <w:rsid w:val="00780DE2"/>
    <w:rsid w:val="00781199"/>
    <w:rsid w:val="0078179B"/>
    <w:rsid w:val="007821AA"/>
    <w:rsid w:val="00782D50"/>
    <w:rsid w:val="007831A1"/>
    <w:rsid w:val="0078333D"/>
    <w:rsid w:val="00783441"/>
    <w:rsid w:val="00784823"/>
    <w:rsid w:val="007850A3"/>
    <w:rsid w:val="00786703"/>
    <w:rsid w:val="0078679A"/>
    <w:rsid w:val="00786BCD"/>
    <w:rsid w:val="00786FEF"/>
    <w:rsid w:val="007875AD"/>
    <w:rsid w:val="00787692"/>
    <w:rsid w:val="00787F3A"/>
    <w:rsid w:val="00790C8E"/>
    <w:rsid w:val="00790F63"/>
    <w:rsid w:val="0079138F"/>
    <w:rsid w:val="00791990"/>
    <w:rsid w:val="00792356"/>
    <w:rsid w:val="00792420"/>
    <w:rsid w:val="007937F6"/>
    <w:rsid w:val="0079385C"/>
    <w:rsid w:val="00793982"/>
    <w:rsid w:val="00793D04"/>
    <w:rsid w:val="00793DB2"/>
    <w:rsid w:val="00793EE3"/>
    <w:rsid w:val="007942C8"/>
    <w:rsid w:val="007945E9"/>
    <w:rsid w:val="007952AE"/>
    <w:rsid w:val="007959DB"/>
    <w:rsid w:val="00795FED"/>
    <w:rsid w:val="0079737A"/>
    <w:rsid w:val="0079739F"/>
    <w:rsid w:val="007975F3"/>
    <w:rsid w:val="007A0B57"/>
    <w:rsid w:val="007A0B7A"/>
    <w:rsid w:val="007A11E3"/>
    <w:rsid w:val="007A1776"/>
    <w:rsid w:val="007A1CF2"/>
    <w:rsid w:val="007A1D5C"/>
    <w:rsid w:val="007A1E00"/>
    <w:rsid w:val="007A29E3"/>
    <w:rsid w:val="007A2DBD"/>
    <w:rsid w:val="007A2F16"/>
    <w:rsid w:val="007A2FDE"/>
    <w:rsid w:val="007A3465"/>
    <w:rsid w:val="007A3E9D"/>
    <w:rsid w:val="007A4B89"/>
    <w:rsid w:val="007A4C1D"/>
    <w:rsid w:val="007A554D"/>
    <w:rsid w:val="007A569F"/>
    <w:rsid w:val="007A57A3"/>
    <w:rsid w:val="007A5B2D"/>
    <w:rsid w:val="007A61AC"/>
    <w:rsid w:val="007A62C4"/>
    <w:rsid w:val="007A67A1"/>
    <w:rsid w:val="007A723D"/>
    <w:rsid w:val="007A7966"/>
    <w:rsid w:val="007A7B29"/>
    <w:rsid w:val="007A7DAC"/>
    <w:rsid w:val="007B03D1"/>
    <w:rsid w:val="007B0B34"/>
    <w:rsid w:val="007B0DE0"/>
    <w:rsid w:val="007B106C"/>
    <w:rsid w:val="007B11B0"/>
    <w:rsid w:val="007B1509"/>
    <w:rsid w:val="007B1571"/>
    <w:rsid w:val="007B1DDF"/>
    <w:rsid w:val="007B1EDB"/>
    <w:rsid w:val="007B2012"/>
    <w:rsid w:val="007B39D0"/>
    <w:rsid w:val="007B3A05"/>
    <w:rsid w:val="007B3F5D"/>
    <w:rsid w:val="007B4924"/>
    <w:rsid w:val="007B4AEC"/>
    <w:rsid w:val="007B4C08"/>
    <w:rsid w:val="007B50AA"/>
    <w:rsid w:val="007B50F7"/>
    <w:rsid w:val="007B51BC"/>
    <w:rsid w:val="007B550D"/>
    <w:rsid w:val="007B555A"/>
    <w:rsid w:val="007B5A41"/>
    <w:rsid w:val="007B5B31"/>
    <w:rsid w:val="007B5C8F"/>
    <w:rsid w:val="007B6304"/>
    <w:rsid w:val="007B6A26"/>
    <w:rsid w:val="007B755A"/>
    <w:rsid w:val="007B79EF"/>
    <w:rsid w:val="007B7FA5"/>
    <w:rsid w:val="007C0885"/>
    <w:rsid w:val="007C096E"/>
    <w:rsid w:val="007C0CC9"/>
    <w:rsid w:val="007C0DD9"/>
    <w:rsid w:val="007C147E"/>
    <w:rsid w:val="007C1A0A"/>
    <w:rsid w:val="007C1F94"/>
    <w:rsid w:val="007C2036"/>
    <w:rsid w:val="007C248E"/>
    <w:rsid w:val="007C289A"/>
    <w:rsid w:val="007C2920"/>
    <w:rsid w:val="007C3099"/>
    <w:rsid w:val="007C3549"/>
    <w:rsid w:val="007C36CE"/>
    <w:rsid w:val="007C3740"/>
    <w:rsid w:val="007C378C"/>
    <w:rsid w:val="007C3BB0"/>
    <w:rsid w:val="007C3C05"/>
    <w:rsid w:val="007C3CF3"/>
    <w:rsid w:val="007C43DF"/>
    <w:rsid w:val="007C4868"/>
    <w:rsid w:val="007C4E0E"/>
    <w:rsid w:val="007C6227"/>
    <w:rsid w:val="007C6371"/>
    <w:rsid w:val="007C6A0F"/>
    <w:rsid w:val="007C6DFD"/>
    <w:rsid w:val="007C7410"/>
    <w:rsid w:val="007C77EC"/>
    <w:rsid w:val="007C7D7C"/>
    <w:rsid w:val="007D0519"/>
    <w:rsid w:val="007D0737"/>
    <w:rsid w:val="007D12D5"/>
    <w:rsid w:val="007D1747"/>
    <w:rsid w:val="007D237C"/>
    <w:rsid w:val="007D24F3"/>
    <w:rsid w:val="007D33F6"/>
    <w:rsid w:val="007D351B"/>
    <w:rsid w:val="007D390C"/>
    <w:rsid w:val="007D3E8D"/>
    <w:rsid w:val="007D4133"/>
    <w:rsid w:val="007D425C"/>
    <w:rsid w:val="007D4715"/>
    <w:rsid w:val="007D4B1C"/>
    <w:rsid w:val="007D4B39"/>
    <w:rsid w:val="007D4CF2"/>
    <w:rsid w:val="007D4E5C"/>
    <w:rsid w:val="007D53B9"/>
    <w:rsid w:val="007D5C7D"/>
    <w:rsid w:val="007D5E3D"/>
    <w:rsid w:val="007D5EF4"/>
    <w:rsid w:val="007D5EFF"/>
    <w:rsid w:val="007D6ACD"/>
    <w:rsid w:val="007D6DA1"/>
    <w:rsid w:val="007D75D3"/>
    <w:rsid w:val="007D7919"/>
    <w:rsid w:val="007D7C5D"/>
    <w:rsid w:val="007E0D97"/>
    <w:rsid w:val="007E153F"/>
    <w:rsid w:val="007E175A"/>
    <w:rsid w:val="007E18BF"/>
    <w:rsid w:val="007E1CD5"/>
    <w:rsid w:val="007E1ED8"/>
    <w:rsid w:val="007E29C6"/>
    <w:rsid w:val="007E2D43"/>
    <w:rsid w:val="007E4E25"/>
    <w:rsid w:val="007E4FA3"/>
    <w:rsid w:val="007E54EC"/>
    <w:rsid w:val="007E62B0"/>
    <w:rsid w:val="007E653E"/>
    <w:rsid w:val="007E67DE"/>
    <w:rsid w:val="007E6888"/>
    <w:rsid w:val="007E6A06"/>
    <w:rsid w:val="007E7028"/>
    <w:rsid w:val="007E7B2B"/>
    <w:rsid w:val="007F002D"/>
    <w:rsid w:val="007F0117"/>
    <w:rsid w:val="007F0561"/>
    <w:rsid w:val="007F0D9D"/>
    <w:rsid w:val="007F101F"/>
    <w:rsid w:val="007F1228"/>
    <w:rsid w:val="007F13AA"/>
    <w:rsid w:val="007F1B22"/>
    <w:rsid w:val="007F2027"/>
    <w:rsid w:val="007F220F"/>
    <w:rsid w:val="007F23EC"/>
    <w:rsid w:val="007F2769"/>
    <w:rsid w:val="007F2AE0"/>
    <w:rsid w:val="007F3617"/>
    <w:rsid w:val="007F3986"/>
    <w:rsid w:val="007F3B53"/>
    <w:rsid w:val="007F482F"/>
    <w:rsid w:val="007F520A"/>
    <w:rsid w:val="007F5459"/>
    <w:rsid w:val="007F561D"/>
    <w:rsid w:val="007F57B6"/>
    <w:rsid w:val="007F5DFD"/>
    <w:rsid w:val="007F63DE"/>
    <w:rsid w:val="007F701C"/>
    <w:rsid w:val="007F7600"/>
    <w:rsid w:val="007F7783"/>
    <w:rsid w:val="007F78B9"/>
    <w:rsid w:val="007F7F32"/>
    <w:rsid w:val="007F7F9A"/>
    <w:rsid w:val="0080008F"/>
    <w:rsid w:val="008006C3"/>
    <w:rsid w:val="00801469"/>
    <w:rsid w:val="00801D9D"/>
    <w:rsid w:val="008024A8"/>
    <w:rsid w:val="00803313"/>
    <w:rsid w:val="00803A95"/>
    <w:rsid w:val="008043AD"/>
    <w:rsid w:val="00804EEB"/>
    <w:rsid w:val="00805336"/>
    <w:rsid w:val="00805910"/>
    <w:rsid w:val="00805B76"/>
    <w:rsid w:val="008066CA"/>
    <w:rsid w:val="00806874"/>
    <w:rsid w:val="00806DC6"/>
    <w:rsid w:val="00806E8C"/>
    <w:rsid w:val="0080715E"/>
    <w:rsid w:val="008078B6"/>
    <w:rsid w:val="00807A58"/>
    <w:rsid w:val="00807FD8"/>
    <w:rsid w:val="00810131"/>
    <w:rsid w:val="0081015C"/>
    <w:rsid w:val="008103A5"/>
    <w:rsid w:val="00810870"/>
    <w:rsid w:val="008111C7"/>
    <w:rsid w:val="00811678"/>
    <w:rsid w:val="008116AE"/>
    <w:rsid w:val="00811844"/>
    <w:rsid w:val="00811A8C"/>
    <w:rsid w:val="00811DDF"/>
    <w:rsid w:val="00811EBE"/>
    <w:rsid w:val="00812101"/>
    <w:rsid w:val="00812AA1"/>
    <w:rsid w:val="00812F67"/>
    <w:rsid w:val="008132B7"/>
    <w:rsid w:val="008132E1"/>
    <w:rsid w:val="00813314"/>
    <w:rsid w:val="00813408"/>
    <w:rsid w:val="00813917"/>
    <w:rsid w:val="00813F43"/>
    <w:rsid w:val="008142D5"/>
    <w:rsid w:val="00814552"/>
    <w:rsid w:val="008145F8"/>
    <w:rsid w:val="0081463C"/>
    <w:rsid w:val="00814FFA"/>
    <w:rsid w:val="00815709"/>
    <w:rsid w:val="008157EC"/>
    <w:rsid w:val="00815AA9"/>
    <w:rsid w:val="008160F1"/>
    <w:rsid w:val="008161FD"/>
    <w:rsid w:val="008162C4"/>
    <w:rsid w:val="00816DE7"/>
    <w:rsid w:val="008174BA"/>
    <w:rsid w:val="00817625"/>
    <w:rsid w:val="00817982"/>
    <w:rsid w:val="00817A40"/>
    <w:rsid w:val="00817A8F"/>
    <w:rsid w:val="00817C41"/>
    <w:rsid w:val="00820381"/>
    <w:rsid w:val="00820659"/>
    <w:rsid w:val="008206F1"/>
    <w:rsid w:val="008208A7"/>
    <w:rsid w:val="0082091B"/>
    <w:rsid w:val="00820A5D"/>
    <w:rsid w:val="00820ACD"/>
    <w:rsid w:val="00820E7C"/>
    <w:rsid w:val="0082246D"/>
    <w:rsid w:val="0082284C"/>
    <w:rsid w:val="00822DEB"/>
    <w:rsid w:val="00823156"/>
    <w:rsid w:val="00823682"/>
    <w:rsid w:val="008238C2"/>
    <w:rsid w:val="00823B92"/>
    <w:rsid w:val="00824917"/>
    <w:rsid w:val="00825375"/>
    <w:rsid w:val="00825844"/>
    <w:rsid w:val="00825927"/>
    <w:rsid w:val="00825AF8"/>
    <w:rsid w:val="00825C5B"/>
    <w:rsid w:val="00825EF3"/>
    <w:rsid w:val="00826A1E"/>
    <w:rsid w:val="00826CE4"/>
    <w:rsid w:val="0082702F"/>
    <w:rsid w:val="00827121"/>
    <w:rsid w:val="00827685"/>
    <w:rsid w:val="0082775B"/>
    <w:rsid w:val="00827FD7"/>
    <w:rsid w:val="00830C63"/>
    <w:rsid w:val="00830E3F"/>
    <w:rsid w:val="008318B3"/>
    <w:rsid w:val="00831D9D"/>
    <w:rsid w:val="00831F80"/>
    <w:rsid w:val="0083219D"/>
    <w:rsid w:val="00832951"/>
    <w:rsid w:val="00832F7B"/>
    <w:rsid w:val="00833067"/>
    <w:rsid w:val="008335DC"/>
    <w:rsid w:val="0083369E"/>
    <w:rsid w:val="008336D5"/>
    <w:rsid w:val="00833EA6"/>
    <w:rsid w:val="008340E5"/>
    <w:rsid w:val="008342D0"/>
    <w:rsid w:val="008346E4"/>
    <w:rsid w:val="00834B47"/>
    <w:rsid w:val="00834F78"/>
    <w:rsid w:val="008353F5"/>
    <w:rsid w:val="0083548B"/>
    <w:rsid w:val="008355BB"/>
    <w:rsid w:val="00835861"/>
    <w:rsid w:val="0083604A"/>
    <w:rsid w:val="00837991"/>
    <w:rsid w:val="00840741"/>
    <w:rsid w:val="00840780"/>
    <w:rsid w:val="00840882"/>
    <w:rsid w:val="008410C6"/>
    <w:rsid w:val="00841194"/>
    <w:rsid w:val="008411D4"/>
    <w:rsid w:val="00841D26"/>
    <w:rsid w:val="00842230"/>
    <w:rsid w:val="00842458"/>
    <w:rsid w:val="008426C0"/>
    <w:rsid w:val="00842F22"/>
    <w:rsid w:val="0084305B"/>
    <w:rsid w:val="008431D3"/>
    <w:rsid w:val="008433D7"/>
    <w:rsid w:val="00843DF0"/>
    <w:rsid w:val="00843FB0"/>
    <w:rsid w:val="0084449A"/>
    <w:rsid w:val="008447D3"/>
    <w:rsid w:val="00844B58"/>
    <w:rsid w:val="00845704"/>
    <w:rsid w:val="00846287"/>
    <w:rsid w:val="00846EBD"/>
    <w:rsid w:val="00847325"/>
    <w:rsid w:val="008475AB"/>
    <w:rsid w:val="008476B7"/>
    <w:rsid w:val="008477C7"/>
    <w:rsid w:val="0084788E"/>
    <w:rsid w:val="00847EAD"/>
    <w:rsid w:val="00850077"/>
    <w:rsid w:val="008500D2"/>
    <w:rsid w:val="00850172"/>
    <w:rsid w:val="008504B2"/>
    <w:rsid w:val="00850802"/>
    <w:rsid w:val="00850CEB"/>
    <w:rsid w:val="00850FB7"/>
    <w:rsid w:val="008522E1"/>
    <w:rsid w:val="00852347"/>
    <w:rsid w:val="008523F9"/>
    <w:rsid w:val="0085247A"/>
    <w:rsid w:val="008524C4"/>
    <w:rsid w:val="00852AFF"/>
    <w:rsid w:val="00852E20"/>
    <w:rsid w:val="008532B2"/>
    <w:rsid w:val="0085372F"/>
    <w:rsid w:val="0085384C"/>
    <w:rsid w:val="008538E1"/>
    <w:rsid w:val="00853EC8"/>
    <w:rsid w:val="0085427F"/>
    <w:rsid w:val="0085490A"/>
    <w:rsid w:val="00854EC7"/>
    <w:rsid w:val="00855073"/>
    <w:rsid w:val="008550E2"/>
    <w:rsid w:val="008559C4"/>
    <w:rsid w:val="00855CC9"/>
    <w:rsid w:val="008560FB"/>
    <w:rsid w:val="00856720"/>
    <w:rsid w:val="00856A38"/>
    <w:rsid w:val="00856C3D"/>
    <w:rsid w:val="008601E9"/>
    <w:rsid w:val="008603AD"/>
    <w:rsid w:val="008613B7"/>
    <w:rsid w:val="00861744"/>
    <w:rsid w:val="0086199E"/>
    <w:rsid w:val="00861DCE"/>
    <w:rsid w:val="00861FA6"/>
    <w:rsid w:val="00862269"/>
    <w:rsid w:val="00862F4A"/>
    <w:rsid w:val="0086334E"/>
    <w:rsid w:val="00863398"/>
    <w:rsid w:val="00863420"/>
    <w:rsid w:val="00863933"/>
    <w:rsid w:val="00863AC5"/>
    <w:rsid w:val="00863C78"/>
    <w:rsid w:val="00863E4A"/>
    <w:rsid w:val="00864477"/>
    <w:rsid w:val="00864C4D"/>
    <w:rsid w:val="00865084"/>
    <w:rsid w:val="00865268"/>
    <w:rsid w:val="008652A7"/>
    <w:rsid w:val="00865776"/>
    <w:rsid w:val="008657CF"/>
    <w:rsid w:val="00866012"/>
    <w:rsid w:val="008661CD"/>
    <w:rsid w:val="00867288"/>
    <w:rsid w:val="00867B3F"/>
    <w:rsid w:val="00867C5A"/>
    <w:rsid w:val="00870071"/>
    <w:rsid w:val="008712B7"/>
    <w:rsid w:val="00872730"/>
    <w:rsid w:val="0087287D"/>
    <w:rsid w:val="00872AEE"/>
    <w:rsid w:val="00872FA7"/>
    <w:rsid w:val="00873002"/>
    <w:rsid w:val="00873049"/>
    <w:rsid w:val="00873094"/>
    <w:rsid w:val="00873485"/>
    <w:rsid w:val="00873722"/>
    <w:rsid w:val="008739AF"/>
    <w:rsid w:val="00873D97"/>
    <w:rsid w:val="00873E97"/>
    <w:rsid w:val="00874001"/>
    <w:rsid w:val="008740D0"/>
    <w:rsid w:val="008740DD"/>
    <w:rsid w:val="00874278"/>
    <w:rsid w:val="008748F5"/>
    <w:rsid w:val="00874AC7"/>
    <w:rsid w:val="00874D54"/>
    <w:rsid w:val="00874D83"/>
    <w:rsid w:val="00874D91"/>
    <w:rsid w:val="00875189"/>
    <w:rsid w:val="008752CE"/>
    <w:rsid w:val="00875548"/>
    <w:rsid w:val="00875620"/>
    <w:rsid w:val="00875B0C"/>
    <w:rsid w:val="00875B51"/>
    <w:rsid w:val="00876716"/>
    <w:rsid w:val="0087680A"/>
    <w:rsid w:val="00877037"/>
    <w:rsid w:val="008772C0"/>
    <w:rsid w:val="008803AE"/>
    <w:rsid w:val="00880561"/>
    <w:rsid w:val="00881093"/>
    <w:rsid w:val="0088149C"/>
    <w:rsid w:val="008816DE"/>
    <w:rsid w:val="008822DD"/>
    <w:rsid w:val="008825C2"/>
    <w:rsid w:val="00882C9E"/>
    <w:rsid w:val="00882E77"/>
    <w:rsid w:val="00883399"/>
    <w:rsid w:val="0088352B"/>
    <w:rsid w:val="00883A1C"/>
    <w:rsid w:val="00883E45"/>
    <w:rsid w:val="008841E7"/>
    <w:rsid w:val="008842B1"/>
    <w:rsid w:val="00884A40"/>
    <w:rsid w:val="00884C6A"/>
    <w:rsid w:val="008854B9"/>
    <w:rsid w:val="00885959"/>
    <w:rsid w:val="00885A36"/>
    <w:rsid w:val="00885B81"/>
    <w:rsid w:val="00886657"/>
    <w:rsid w:val="0088687C"/>
    <w:rsid w:val="008869AB"/>
    <w:rsid w:val="00886FE7"/>
    <w:rsid w:val="008872A9"/>
    <w:rsid w:val="00887902"/>
    <w:rsid w:val="00887995"/>
    <w:rsid w:val="00887CEB"/>
    <w:rsid w:val="00890043"/>
    <w:rsid w:val="0089023E"/>
    <w:rsid w:val="00890261"/>
    <w:rsid w:val="0089037E"/>
    <w:rsid w:val="00890B26"/>
    <w:rsid w:val="00891292"/>
    <w:rsid w:val="0089143C"/>
    <w:rsid w:val="00891553"/>
    <w:rsid w:val="0089269B"/>
    <w:rsid w:val="008928C7"/>
    <w:rsid w:val="008930C7"/>
    <w:rsid w:val="0089311B"/>
    <w:rsid w:val="00893476"/>
    <w:rsid w:val="00893D97"/>
    <w:rsid w:val="00893F9B"/>
    <w:rsid w:val="00894288"/>
    <w:rsid w:val="00894706"/>
    <w:rsid w:val="00894902"/>
    <w:rsid w:val="00895648"/>
    <w:rsid w:val="00895F19"/>
    <w:rsid w:val="0089606E"/>
    <w:rsid w:val="0089625F"/>
    <w:rsid w:val="00896572"/>
    <w:rsid w:val="00896902"/>
    <w:rsid w:val="00896B90"/>
    <w:rsid w:val="00897098"/>
    <w:rsid w:val="0089726C"/>
    <w:rsid w:val="00897444"/>
    <w:rsid w:val="008974B3"/>
    <w:rsid w:val="0089792E"/>
    <w:rsid w:val="00897B6F"/>
    <w:rsid w:val="008A0217"/>
    <w:rsid w:val="008A0530"/>
    <w:rsid w:val="008A0633"/>
    <w:rsid w:val="008A080F"/>
    <w:rsid w:val="008A0BCB"/>
    <w:rsid w:val="008A0C97"/>
    <w:rsid w:val="008A0CF6"/>
    <w:rsid w:val="008A0F97"/>
    <w:rsid w:val="008A1BE8"/>
    <w:rsid w:val="008A1FEF"/>
    <w:rsid w:val="008A26D1"/>
    <w:rsid w:val="008A2798"/>
    <w:rsid w:val="008A3517"/>
    <w:rsid w:val="008A3739"/>
    <w:rsid w:val="008A3A44"/>
    <w:rsid w:val="008A3B5F"/>
    <w:rsid w:val="008A42C8"/>
    <w:rsid w:val="008A43B9"/>
    <w:rsid w:val="008A4656"/>
    <w:rsid w:val="008A4B19"/>
    <w:rsid w:val="008A4B8F"/>
    <w:rsid w:val="008A5094"/>
    <w:rsid w:val="008A5A27"/>
    <w:rsid w:val="008A5A79"/>
    <w:rsid w:val="008A5C35"/>
    <w:rsid w:val="008A60FE"/>
    <w:rsid w:val="008A712F"/>
    <w:rsid w:val="008A752E"/>
    <w:rsid w:val="008A7D1A"/>
    <w:rsid w:val="008B019B"/>
    <w:rsid w:val="008B0CF1"/>
    <w:rsid w:val="008B0E93"/>
    <w:rsid w:val="008B1881"/>
    <w:rsid w:val="008B1971"/>
    <w:rsid w:val="008B19C5"/>
    <w:rsid w:val="008B2214"/>
    <w:rsid w:val="008B2981"/>
    <w:rsid w:val="008B2E23"/>
    <w:rsid w:val="008B2E77"/>
    <w:rsid w:val="008B2FC3"/>
    <w:rsid w:val="008B33D7"/>
    <w:rsid w:val="008B350C"/>
    <w:rsid w:val="008B37CF"/>
    <w:rsid w:val="008B4181"/>
    <w:rsid w:val="008B4EFF"/>
    <w:rsid w:val="008B5483"/>
    <w:rsid w:val="008B5976"/>
    <w:rsid w:val="008B5A3A"/>
    <w:rsid w:val="008B5B28"/>
    <w:rsid w:val="008B6FA0"/>
    <w:rsid w:val="008B71DE"/>
    <w:rsid w:val="008B738F"/>
    <w:rsid w:val="008B77B1"/>
    <w:rsid w:val="008B7A95"/>
    <w:rsid w:val="008B7B94"/>
    <w:rsid w:val="008C0653"/>
    <w:rsid w:val="008C06FF"/>
    <w:rsid w:val="008C0A7C"/>
    <w:rsid w:val="008C1B3D"/>
    <w:rsid w:val="008C244F"/>
    <w:rsid w:val="008C31C3"/>
    <w:rsid w:val="008C3451"/>
    <w:rsid w:val="008C3871"/>
    <w:rsid w:val="008C3ACD"/>
    <w:rsid w:val="008C463B"/>
    <w:rsid w:val="008C478B"/>
    <w:rsid w:val="008C4D53"/>
    <w:rsid w:val="008C4FE4"/>
    <w:rsid w:val="008C5289"/>
    <w:rsid w:val="008C5564"/>
    <w:rsid w:val="008C5717"/>
    <w:rsid w:val="008C690C"/>
    <w:rsid w:val="008C6C5B"/>
    <w:rsid w:val="008C72F9"/>
    <w:rsid w:val="008C7478"/>
    <w:rsid w:val="008C7482"/>
    <w:rsid w:val="008C79C9"/>
    <w:rsid w:val="008C7C73"/>
    <w:rsid w:val="008D0019"/>
    <w:rsid w:val="008D02AD"/>
    <w:rsid w:val="008D02BE"/>
    <w:rsid w:val="008D0CC4"/>
    <w:rsid w:val="008D1191"/>
    <w:rsid w:val="008D1322"/>
    <w:rsid w:val="008D159D"/>
    <w:rsid w:val="008D1DED"/>
    <w:rsid w:val="008D1E68"/>
    <w:rsid w:val="008D2380"/>
    <w:rsid w:val="008D2494"/>
    <w:rsid w:val="008D24B6"/>
    <w:rsid w:val="008D2F9C"/>
    <w:rsid w:val="008D3005"/>
    <w:rsid w:val="008D3D2E"/>
    <w:rsid w:val="008D3DA4"/>
    <w:rsid w:val="008D4212"/>
    <w:rsid w:val="008D4260"/>
    <w:rsid w:val="008D452F"/>
    <w:rsid w:val="008D47C8"/>
    <w:rsid w:val="008D4C2F"/>
    <w:rsid w:val="008D590A"/>
    <w:rsid w:val="008D5EA5"/>
    <w:rsid w:val="008D6C14"/>
    <w:rsid w:val="008D7207"/>
    <w:rsid w:val="008D7699"/>
    <w:rsid w:val="008D7A1A"/>
    <w:rsid w:val="008D7D86"/>
    <w:rsid w:val="008E07A6"/>
    <w:rsid w:val="008E0DD4"/>
    <w:rsid w:val="008E11F5"/>
    <w:rsid w:val="008E169A"/>
    <w:rsid w:val="008E2D2F"/>
    <w:rsid w:val="008E31FC"/>
    <w:rsid w:val="008E33CA"/>
    <w:rsid w:val="008E3958"/>
    <w:rsid w:val="008E399C"/>
    <w:rsid w:val="008E3A5A"/>
    <w:rsid w:val="008E3D41"/>
    <w:rsid w:val="008E3DC9"/>
    <w:rsid w:val="008E40EC"/>
    <w:rsid w:val="008E4699"/>
    <w:rsid w:val="008E5087"/>
    <w:rsid w:val="008E568B"/>
    <w:rsid w:val="008E61EF"/>
    <w:rsid w:val="008E65E9"/>
    <w:rsid w:val="008E6D43"/>
    <w:rsid w:val="008E6EFF"/>
    <w:rsid w:val="008E7512"/>
    <w:rsid w:val="008E7D2E"/>
    <w:rsid w:val="008F0108"/>
    <w:rsid w:val="008F01B4"/>
    <w:rsid w:val="008F0533"/>
    <w:rsid w:val="008F0661"/>
    <w:rsid w:val="008F16EF"/>
    <w:rsid w:val="008F19C9"/>
    <w:rsid w:val="008F2244"/>
    <w:rsid w:val="008F30CB"/>
    <w:rsid w:val="008F31F1"/>
    <w:rsid w:val="008F371C"/>
    <w:rsid w:val="008F4438"/>
    <w:rsid w:val="008F46DE"/>
    <w:rsid w:val="008F487A"/>
    <w:rsid w:val="008F4ADF"/>
    <w:rsid w:val="008F4B44"/>
    <w:rsid w:val="008F54A8"/>
    <w:rsid w:val="008F5C3E"/>
    <w:rsid w:val="008F60EB"/>
    <w:rsid w:val="008F6E7A"/>
    <w:rsid w:val="008F7C45"/>
    <w:rsid w:val="0090046E"/>
    <w:rsid w:val="00900A06"/>
    <w:rsid w:val="00900EA3"/>
    <w:rsid w:val="0090171F"/>
    <w:rsid w:val="009024D8"/>
    <w:rsid w:val="009025BE"/>
    <w:rsid w:val="00903493"/>
    <w:rsid w:val="00903A89"/>
    <w:rsid w:val="00904481"/>
    <w:rsid w:val="009058E5"/>
    <w:rsid w:val="00905F06"/>
    <w:rsid w:val="00906A1B"/>
    <w:rsid w:val="00907374"/>
    <w:rsid w:val="0090737E"/>
    <w:rsid w:val="009073CC"/>
    <w:rsid w:val="00907EB9"/>
    <w:rsid w:val="009106E4"/>
    <w:rsid w:val="00910B22"/>
    <w:rsid w:val="00911020"/>
    <w:rsid w:val="00911064"/>
    <w:rsid w:val="0091196D"/>
    <w:rsid w:val="00911FB1"/>
    <w:rsid w:val="009120FF"/>
    <w:rsid w:val="009124D0"/>
    <w:rsid w:val="00912666"/>
    <w:rsid w:val="009129CB"/>
    <w:rsid w:val="00912A0E"/>
    <w:rsid w:val="00912BCA"/>
    <w:rsid w:val="00913650"/>
    <w:rsid w:val="00913717"/>
    <w:rsid w:val="00913B1A"/>
    <w:rsid w:val="00913B64"/>
    <w:rsid w:val="009143C4"/>
    <w:rsid w:val="009147B7"/>
    <w:rsid w:val="00914AAE"/>
    <w:rsid w:val="00914C7B"/>
    <w:rsid w:val="00915713"/>
    <w:rsid w:val="009166BC"/>
    <w:rsid w:val="0091689A"/>
    <w:rsid w:val="009170DA"/>
    <w:rsid w:val="00917ADE"/>
    <w:rsid w:val="00917EF4"/>
    <w:rsid w:val="0092022A"/>
    <w:rsid w:val="00921417"/>
    <w:rsid w:val="0092170D"/>
    <w:rsid w:val="009219CA"/>
    <w:rsid w:val="00921B14"/>
    <w:rsid w:val="00921BE3"/>
    <w:rsid w:val="0092206C"/>
    <w:rsid w:val="0092212B"/>
    <w:rsid w:val="0092218F"/>
    <w:rsid w:val="009225E4"/>
    <w:rsid w:val="00922835"/>
    <w:rsid w:val="009228BA"/>
    <w:rsid w:val="00923277"/>
    <w:rsid w:val="009233C7"/>
    <w:rsid w:val="009235C5"/>
    <w:rsid w:val="00923968"/>
    <w:rsid w:val="0092442E"/>
    <w:rsid w:val="00924A1C"/>
    <w:rsid w:val="00924AEA"/>
    <w:rsid w:val="00924E28"/>
    <w:rsid w:val="009251E0"/>
    <w:rsid w:val="0092523A"/>
    <w:rsid w:val="0092578E"/>
    <w:rsid w:val="009258D6"/>
    <w:rsid w:val="00925AFD"/>
    <w:rsid w:val="00925C59"/>
    <w:rsid w:val="0092604D"/>
    <w:rsid w:val="00926714"/>
    <w:rsid w:val="009268DA"/>
    <w:rsid w:val="00926937"/>
    <w:rsid w:val="00926A4E"/>
    <w:rsid w:val="00926BE1"/>
    <w:rsid w:val="009275EE"/>
    <w:rsid w:val="009278B9"/>
    <w:rsid w:val="00927A7A"/>
    <w:rsid w:val="00927B23"/>
    <w:rsid w:val="00927C0B"/>
    <w:rsid w:val="009302E0"/>
    <w:rsid w:val="00931B3E"/>
    <w:rsid w:val="00932386"/>
    <w:rsid w:val="00932B04"/>
    <w:rsid w:val="00932D07"/>
    <w:rsid w:val="009342EE"/>
    <w:rsid w:val="00934482"/>
    <w:rsid w:val="009347EF"/>
    <w:rsid w:val="009359E3"/>
    <w:rsid w:val="00935D41"/>
    <w:rsid w:val="00936720"/>
    <w:rsid w:val="00936C70"/>
    <w:rsid w:val="0093724C"/>
    <w:rsid w:val="00937637"/>
    <w:rsid w:val="00937829"/>
    <w:rsid w:val="00937968"/>
    <w:rsid w:val="00940450"/>
    <w:rsid w:val="00940481"/>
    <w:rsid w:val="0094071B"/>
    <w:rsid w:val="00940F8C"/>
    <w:rsid w:val="00941575"/>
    <w:rsid w:val="00942A47"/>
    <w:rsid w:val="00942D7C"/>
    <w:rsid w:val="00943264"/>
    <w:rsid w:val="009432C7"/>
    <w:rsid w:val="009435DC"/>
    <w:rsid w:val="00943861"/>
    <w:rsid w:val="00943AA2"/>
    <w:rsid w:val="00943D50"/>
    <w:rsid w:val="0094408C"/>
    <w:rsid w:val="00944B51"/>
    <w:rsid w:val="00944DCD"/>
    <w:rsid w:val="009455CB"/>
    <w:rsid w:val="00945728"/>
    <w:rsid w:val="00945817"/>
    <w:rsid w:val="00945D88"/>
    <w:rsid w:val="00945DEC"/>
    <w:rsid w:val="0094676E"/>
    <w:rsid w:val="00946C7D"/>
    <w:rsid w:val="009479D7"/>
    <w:rsid w:val="00947CB2"/>
    <w:rsid w:val="00950363"/>
    <w:rsid w:val="0095064F"/>
    <w:rsid w:val="00950750"/>
    <w:rsid w:val="00950A95"/>
    <w:rsid w:val="00950E33"/>
    <w:rsid w:val="00950EC4"/>
    <w:rsid w:val="00950EC8"/>
    <w:rsid w:val="00950F0B"/>
    <w:rsid w:val="00950F2D"/>
    <w:rsid w:val="00951022"/>
    <w:rsid w:val="00951062"/>
    <w:rsid w:val="00951314"/>
    <w:rsid w:val="00951532"/>
    <w:rsid w:val="00953E76"/>
    <w:rsid w:val="00954031"/>
    <w:rsid w:val="00954059"/>
    <w:rsid w:val="009545E2"/>
    <w:rsid w:val="0095472A"/>
    <w:rsid w:val="00954D54"/>
    <w:rsid w:val="00954E6E"/>
    <w:rsid w:val="00955463"/>
    <w:rsid w:val="00955B4E"/>
    <w:rsid w:val="0095604C"/>
    <w:rsid w:val="009564BB"/>
    <w:rsid w:val="009569C6"/>
    <w:rsid w:val="00956A71"/>
    <w:rsid w:val="00956B6E"/>
    <w:rsid w:val="0095700F"/>
    <w:rsid w:val="009576D5"/>
    <w:rsid w:val="00957ACB"/>
    <w:rsid w:val="009601A5"/>
    <w:rsid w:val="009602C4"/>
    <w:rsid w:val="0096055D"/>
    <w:rsid w:val="0096076C"/>
    <w:rsid w:val="00960C42"/>
    <w:rsid w:val="00960EF9"/>
    <w:rsid w:val="009612C2"/>
    <w:rsid w:val="0096323D"/>
    <w:rsid w:val="00963359"/>
    <w:rsid w:val="0096352D"/>
    <w:rsid w:val="009636A8"/>
    <w:rsid w:val="00963C45"/>
    <w:rsid w:val="00963D13"/>
    <w:rsid w:val="00963DC0"/>
    <w:rsid w:val="00963DCD"/>
    <w:rsid w:val="009656C3"/>
    <w:rsid w:val="009659FB"/>
    <w:rsid w:val="00965C65"/>
    <w:rsid w:val="0096650F"/>
    <w:rsid w:val="00966650"/>
    <w:rsid w:val="00966BE0"/>
    <w:rsid w:val="00967175"/>
    <w:rsid w:val="009673E0"/>
    <w:rsid w:val="00967901"/>
    <w:rsid w:val="00967D9A"/>
    <w:rsid w:val="00967E83"/>
    <w:rsid w:val="00967EEC"/>
    <w:rsid w:val="0097077E"/>
    <w:rsid w:val="00970992"/>
    <w:rsid w:val="00970A77"/>
    <w:rsid w:val="00970F17"/>
    <w:rsid w:val="00970F1B"/>
    <w:rsid w:val="009711CD"/>
    <w:rsid w:val="009712C1"/>
    <w:rsid w:val="009714AB"/>
    <w:rsid w:val="00971569"/>
    <w:rsid w:val="0097163E"/>
    <w:rsid w:val="009716D3"/>
    <w:rsid w:val="00971815"/>
    <w:rsid w:val="009720CF"/>
    <w:rsid w:val="00972194"/>
    <w:rsid w:val="00972609"/>
    <w:rsid w:val="00972A02"/>
    <w:rsid w:val="00972C99"/>
    <w:rsid w:val="00973071"/>
    <w:rsid w:val="009732E4"/>
    <w:rsid w:val="00973FEB"/>
    <w:rsid w:val="009747C3"/>
    <w:rsid w:val="0097496D"/>
    <w:rsid w:val="00974CB5"/>
    <w:rsid w:val="00974FD4"/>
    <w:rsid w:val="00975D04"/>
    <w:rsid w:val="00976367"/>
    <w:rsid w:val="0097660B"/>
    <w:rsid w:val="00976656"/>
    <w:rsid w:val="00977D8A"/>
    <w:rsid w:val="00977F5A"/>
    <w:rsid w:val="009802A5"/>
    <w:rsid w:val="009802DE"/>
    <w:rsid w:val="00980BAD"/>
    <w:rsid w:val="00980CA1"/>
    <w:rsid w:val="00981517"/>
    <w:rsid w:val="0098153E"/>
    <w:rsid w:val="00981573"/>
    <w:rsid w:val="00981B86"/>
    <w:rsid w:val="00981C77"/>
    <w:rsid w:val="009822C4"/>
    <w:rsid w:val="00982F47"/>
    <w:rsid w:val="0098304B"/>
    <w:rsid w:val="009831E2"/>
    <w:rsid w:val="00983207"/>
    <w:rsid w:val="0098343A"/>
    <w:rsid w:val="009835CF"/>
    <w:rsid w:val="00983AD3"/>
    <w:rsid w:val="00983BC9"/>
    <w:rsid w:val="00983D7C"/>
    <w:rsid w:val="00983E91"/>
    <w:rsid w:val="00983FF6"/>
    <w:rsid w:val="009842C8"/>
    <w:rsid w:val="009845F7"/>
    <w:rsid w:val="0098496D"/>
    <w:rsid w:val="00984A02"/>
    <w:rsid w:val="00984A4A"/>
    <w:rsid w:val="00984DAD"/>
    <w:rsid w:val="009850FE"/>
    <w:rsid w:val="0098544C"/>
    <w:rsid w:val="009858BD"/>
    <w:rsid w:val="00985F20"/>
    <w:rsid w:val="0098661F"/>
    <w:rsid w:val="00987251"/>
    <w:rsid w:val="00987273"/>
    <w:rsid w:val="009873F5"/>
    <w:rsid w:val="009876F8"/>
    <w:rsid w:val="00987A4D"/>
    <w:rsid w:val="00987F73"/>
    <w:rsid w:val="009903A5"/>
    <w:rsid w:val="00990474"/>
    <w:rsid w:val="00990A4A"/>
    <w:rsid w:val="009917C1"/>
    <w:rsid w:val="00991B3C"/>
    <w:rsid w:val="00992540"/>
    <w:rsid w:val="009925F8"/>
    <w:rsid w:val="009926B9"/>
    <w:rsid w:val="0099381D"/>
    <w:rsid w:val="00993C90"/>
    <w:rsid w:val="009941A4"/>
    <w:rsid w:val="00994473"/>
    <w:rsid w:val="009952BD"/>
    <w:rsid w:val="009963A7"/>
    <w:rsid w:val="0099640A"/>
    <w:rsid w:val="00996568"/>
    <w:rsid w:val="009966CB"/>
    <w:rsid w:val="0099687F"/>
    <w:rsid w:val="00996E63"/>
    <w:rsid w:val="009971A2"/>
    <w:rsid w:val="0099728B"/>
    <w:rsid w:val="009972A8"/>
    <w:rsid w:val="00997470"/>
    <w:rsid w:val="00997864"/>
    <w:rsid w:val="009979E3"/>
    <w:rsid w:val="00997C2A"/>
    <w:rsid w:val="00997DDA"/>
    <w:rsid w:val="009A0563"/>
    <w:rsid w:val="009A0740"/>
    <w:rsid w:val="009A0A2E"/>
    <w:rsid w:val="009A13ED"/>
    <w:rsid w:val="009A1792"/>
    <w:rsid w:val="009A192C"/>
    <w:rsid w:val="009A1994"/>
    <w:rsid w:val="009A29F3"/>
    <w:rsid w:val="009A3DB7"/>
    <w:rsid w:val="009A4010"/>
    <w:rsid w:val="009A4307"/>
    <w:rsid w:val="009A4632"/>
    <w:rsid w:val="009A4730"/>
    <w:rsid w:val="009A48CF"/>
    <w:rsid w:val="009A4E63"/>
    <w:rsid w:val="009A5976"/>
    <w:rsid w:val="009A5A85"/>
    <w:rsid w:val="009A5A97"/>
    <w:rsid w:val="009A5DD9"/>
    <w:rsid w:val="009A5EDF"/>
    <w:rsid w:val="009A62D4"/>
    <w:rsid w:val="009A66F5"/>
    <w:rsid w:val="009B037F"/>
    <w:rsid w:val="009B0474"/>
    <w:rsid w:val="009B11EE"/>
    <w:rsid w:val="009B161D"/>
    <w:rsid w:val="009B198F"/>
    <w:rsid w:val="009B19B2"/>
    <w:rsid w:val="009B1C84"/>
    <w:rsid w:val="009B1F4E"/>
    <w:rsid w:val="009B26A8"/>
    <w:rsid w:val="009B2B72"/>
    <w:rsid w:val="009B2BA1"/>
    <w:rsid w:val="009B39F3"/>
    <w:rsid w:val="009B4286"/>
    <w:rsid w:val="009B4B69"/>
    <w:rsid w:val="009B4EE2"/>
    <w:rsid w:val="009B4F65"/>
    <w:rsid w:val="009B5017"/>
    <w:rsid w:val="009B5A29"/>
    <w:rsid w:val="009B61E3"/>
    <w:rsid w:val="009B66A3"/>
    <w:rsid w:val="009B6E3B"/>
    <w:rsid w:val="009B7841"/>
    <w:rsid w:val="009C021D"/>
    <w:rsid w:val="009C0773"/>
    <w:rsid w:val="009C0FC9"/>
    <w:rsid w:val="009C123E"/>
    <w:rsid w:val="009C1DF6"/>
    <w:rsid w:val="009C1E4F"/>
    <w:rsid w:val="009C2045"/>
    <w:rsid w:val="009C2A32"/>
    <w:rsid w:val="009C2CEF"/>
    <w:rsid w:val="009C33F1"/>
    <w:rsid w:val="009C3D9C"/>
    <w:rsid w:val="009C412B"/>
    <w:rsid w:val="009C4217"/>
    <w:rsid w:val="009C428D"/>
    <w:rsid w:val="009C4899"/>
    <w:rsid w:val="009C4A0C"/>
    <w:rsid w:val="009C54E8"/>
    <w:rsid w:val="009C6233"/>
    <w:rsid w:val="009C6A25"/>
    <w:rsid w:val="009C6C2A"/>
    <w:rsid w:val="009C6FB4"/>
    <w:rsid w:val="009C7B01"/>
    <w:rsid w:val="009D0726"/>
    <w:rsid w:val="009D095E"/>
    <w:rsid w:val="009D1168"/>
    <w:rsid w:val="009D15DF"/>
    <w:rsid w:val="009D35F6"/>
    <w:rsid w:val="009D42FC"/>
    <w:rsid w:val="009D499C"/>
    <w:rsid w:val="009D59B4"/>
    <w:rsid w:val="009D62D1"/>
    <w:rsid w:val="009D637F"/>
    <w:rsid w:val="009D63B9"/>
    <w:rsid w:val="009D6F7A"/>
    <w:rsid w:val="009D720B"/>
    <w:rsid w:val="009D72CA"/>
    <w:rsid w:val="009E00D8"/>
    <w:rsid w:val="009E103E"/>
    <w:rsid w:val="009E10A1"/>
    <w:rsid w:val="009E1B2E"/>
    <w:rsid w:val="009E1CCB"/>
    <w:rsid w:val="009E3746"/>
    <w:rsid w:val="009E3D00"/>
    <w:rsid w:val="009E4367"/>
    <w:rsid w:val="009E53B8"/>
    <w:rsid w:val="009E5460"/>
    <w:rsid w:val="009E552F"/>
    <w:rsid w:val="009E5627"/>
    <w:rsid w:val="009E593B"/>
    <w:rsid w:val="009E59BA"/>
    <w:rsid w:val="009E5B3A"/>
    <w:rsid w:val="009E62CD"/>
    <w:rsid w:val="009E64BC"/>
    <w:rsid w:val="009E6AE3"/>
    <w:rsid w:val="009E6B60"/>
    <w:rsid w:val="009E711F"/>
    <w:rsid w:val="009E76A1"/>
    <w:rsid w:val="009E7851"/>
    <w:rsid w:val="009E7874"/>
    <w:rsid w:val="009F0473"/>
    <w:rsid w:val="009F0544"/>
    <w:rsid w:val="009F0593"/>
    <w:rsid w:val="009F0F1F"/>
    <w:rsid w:val="009F1831"/>
    <w:rsid w:val="009F1B4A"/>
    <w:rsid w:val="009F1B8D"/>
    <w:rsid w:val="009F1CBC"/>
    <w:rsid w:val="009F1CD8"/>
    <w:rsid w:val="009F32A7"/>
    <w:rsid w:val="009F35CD"/>
    <w:rsid w:val="009F36BC"/>
    <w:rsid w:val="009F3818"/>
    <w:rsid w:val="009F3858"/>
    <w:rsid w:val="009F3FA5"/>
    <w:rsid w:val="009F4178"/>
    <w:rsid w:val="009F49EB"/>
    <w:rsid w:val="009F4E25"/>
    <w:rsid w:val="009F5891"/>
    <w:rsid w:val="009F5BEE"/>
    <w:rsid w:val="009F5C0E"/>
    <w:rsid w:val="009F5D38"/>
    <w:rsid w:val="009F7C0E"/>
    <w:rsid w:val="009F7D2A"/>
    <w:rsid w:val="009F7E0F"/>
    <w:rsid w:val="00A000B7"/>
    <w:rsid w:val="00A0030B"/>
    <w:rsid w:val="00A003CD"/>
    <w:rsid w:val="00A0058E"/>
    <w:rsid w:val="00A007C0"/>
    <w:rsid w:val="00A00E9B"/>
    <w:rsid w:val="00A016BF"/>
    <w:rsid w:val="00A019BE"/>
    <w:rsid w:val="00A025A9"/>
    <w:rsid w:val="00A027DF"/>
    <w:rsid w:val="00A0288F"/>
    <w:rsid w:val="00A0291D"/>
    <w:rsid w:val="00A02F2B"/>
    <w:rsid w:val="00A03707"/>
    <w:rsid w:val="00A03A8F"/>
    <w:rsid w:val="00A04076"/>
    <w:rsid w:val="00A04141"/>
    <w:rsid w:val="00A04ABD"/>
    <w:rsid w:val="00A04BF2"/>
    <w:rsid w:val="00A05A58"/>
    <w:rsid w:val="00A05E10"/>
    <w:rsid w:val="00A061C2"/>
    <w:rsid w:val="00A06637"/>
    <w:rsid w:val="00A06A98"/>
    <w:rsid w:val="00A07739"/>
    <w:rsid w:val="00A07C8D"/>
    <w:rsid w:val="00A07C95"/>
    <w:rsid w:val="00A07D4C"/>
    <w:rsid w:val="00A10043"/>
    <w:rsid w:val="00A103DE"/>
    <w:rsid w:val="00A11139"/>
    <w:rsid w:val="00A112AB"/>
    <w:rsid w:val="00A1147A"/>
    <w:rsid w:val="00A11576"/>
    <w:rsid w:val="00A115B2"/>
    <w:rsid w:val="00A117D5"/>
    <w:rsid w:val="00A12199"/>
    <w:rsid w:val="00A12BAA"/>
    <w:rsid w:val="00A13038"/>
    <w:rsid w:val="00A133A6"/>
    <w:rsid w:val="00A13829"/>
    <w:rsid w:val="00A13B55"/>
    <w:rsid w:val="00A13BEA"/>
    <w:rsid w:val="00A145A9"/>
    <w:rsid w:val="00A1465F"/>
    <w:rsid w:val="00A14B48"/>
    <w:rsid w:val="00A15628"/>
    <w:rsid w:val="00A15FCB"/>
    <w:rsid w:val="00A16398"/>
    <w:rsid w:val="00A16971"/>
    <w:rsid w:val="00A16BA8"/>
    <w:rsid w:val="00A17509"/>
    <w:rsid w:val="00A17B4A"/>
    <w:rsid w:val="00A20204"/>
    <w:rsid w:val="00A20A52"/>
    <w:rsid w:val="00A212E0"/>
    <w:rsid w:val="00A21C18"/>
    <w:rsid w:val="00A22C49"/>
    <w:rsid w:val="00A2355B"/>
    <w:rsid w:val="00A23688"/>
    <w:rsid w:val="00A237D1"/>
    <w:rsid w:val="00A23896"/>
    <w:rsid w:val="00A24174"/>
    <w:rsid w:val="00A24B95"/>
    <w:rsid w:val="00A24DA5"/>
    <w:rsid w:val="00A25C53"/>
    <w:rsid w:val="00A25EC8"/>
    <w:rsid w:val="00A26611"/>
    <w:rsid w:val="00A26770"/>
    <w:rsid w:val="00A26C75"/>
    <w:rsid w:val="00A26D08"/>
    <w:rsid w:val="00A27139"/>
    <w:rsid w:val="00A27878"/>
    <w:rsid w:val="00A27B3A"/>
    <w:rsid w:val="00A27E6A"/>
    <w:rsid w:val="00A3010A"/>
    <w:rsid w:val="00A30537"/>
    <w:rsid w:val="00A305FF"/>
    <w:rsid w:val="00A3096B"/>
    <w:rsid w:val="00A30DEB"/>
    <w:rsid w:val="00A31A63"/>
    <w:rsid w:val="00A3223E"/>
    <w:rsid w:val="00A32264"/>
    <w:rsid w:val="00A32A96"/>
    <w:rsid w:val="00A32B9A"/>
    <w:rsid w:val="00A32DA6"/>
    <w:rsid w:val="00A334B1"/>
    <w:rsid w:val="00A33984"/>
    <w:rsid w:val="00A33ECE"/>
    <w:rsid w:val="00A33F24"/>
    <w:rsid w:val="00A340CB"/>
    <w:rsid w:val="00A340EE"/>
    <w:rsid w:val="00A3528A"/>
    <w:rsid w:val="00A35A4C"/>
    <w:rsid w:val="00A36A4B"/>
    <w:rsid w:val="00A36A75"/>
    <w:rsid w:val="00A36ACB"/>
    <w:rsid w:val="00A36E92"/>
    <w:rsid w:val="00A3748A"/>
    <w:rsid w:val="00A375B6"/>
    <w:rsid w:val="00A37946"/>
    <w:rsid w:val="00A37BFF"/>
    <w:rsid w:val="00A37ECD"/>
    <w:rsid w:val="00A403C4"/>
    <w:rsid w:val="00A40C07"/>
    <w:rsid w:val="00A40ED2"/>
    <w:rsid w:val="00A418BB"/>
    <w:rsid w:val="00A41AE8"/>
    <w:rsid w:val="00A422F4"/>
    <w:rsid w:val="00A42C8F"/>
    <w:rsid w:val="00A433C3"/>
    <w:rsid w:val="00A43779"/>
    <w:rsid w:val="00A443D9"/>
    <w:rsid w:val="00A444AF"/>
    <w:rsid w:val="00A44B31"/>
    <w:rsid w:val="00A44C77"/>
    <w:rsid w:val="00A44C81"/>
    <w:rsid w:val="00A452A2"/>
    <w:rsid w:val="00A452C7"/>
    <w:rsid w:val="00A45602"/>
    <w:rsid w:val="00A46ABA"/>
    <w:rsid w:val="00A4703E"/>
    <w:rsid w:val="00A471A6"/>
    <w:rsid w:val="00A473CA"/>
    <w:rsid w:val="00A4785F"/>
    <w:rsid w:val="00A47DB4"/>
    <w:rsid w:val="00A5004A"/>
    <w:rsid w:val="00A5019F"/>
    <w:rsid w:val="00A50270"/>
    <w:rsid w:val="00A50549"/>
    <w:rsid w:val="00A50975"/>
    <w:rsid w:val="00A50ED9"/>
    <w:rsid w:val="00A51397"/>
    <w:rsid w:val="00A51761"/>
    <w:rsid w:val="00A5186A"/>
    <w:rsid w:val="00A51C85"/>
    <w:rsid w:val="00A5202B"/>
    <w:rsid w:val="00A525A1"/>
    <w:rsid w:val="00A52FEC"/>
    <w:rsid w:val="00A533EB"/>
    <w:rsid w:val="00A536D3"/>
    <w:rsid w:val="00A54764"/>
    <w:rsid w:val="00A551E4"/>
    <w:rsid w:val="00A5551C"/>
    <w:rsid w:val="00A55644"/>
    <w:rsid w:val="00A55A46"/>
    <w:rsid w:val="00A55D53"/>
    <w:rsid w:val="00A56011"/>
    <w:rsid w:val="00A5614F"/>
    <w:rsid w:val="00A56211"/>
    <w:rsid w:val="00A5622D"/>
    <w:rsid w:val="00A56270"/>
    <w:rsid w:val="00A5688D"/>
    <w:rsid w:val="00A5741B"/>
    <w:rsid w:val="00A57A2C"/>
    <w:rsid w:val="00A57D15"/>
    <w:rsid w:val="00A6023E"/>
    <w:rsid w:val="00A60AB7"/>
    <w:rsid w:val="00A60E33"/>
    <w:rsid w:val="00A61112"/>
    <w:rsid w:val="00A62096"/>
    <w:rsid w:val="00A62461"/>
    <w:rsid w:val="00A62C5B"/>
    <w:rsid w:val="00A634A3"/>
    <w:rsid w:val="00A63544"/>
    <w:rsid w:val="00A63A51"/>
    <w:rsid w:val="00A6461A"/>
    <w:rsid w:val="00A64A32"/>
    <w:rsid w:val="00A64B41"/>
    <w:rsid w:val="00A64C0B"/>
    <w:rsid w:val="00A6574D"/>
    <w:rsid w:val="00A6607C"/>
    <w:rsid w:val="00A6610C"/>
    <w:rsid w:val="00A66B54"/>
    <w:rsid w:val="00A66B96"/>
    <w:rsid w:val="00A66DDD"/>
    <w:rsid w:val="00A674F5"/>
    <w:rsid w:val="00A7020A"/>
    <w:rsid w:val="00A704C1"/>
    <w:rsid w:val="00A7086E"/>
    <w:rsid w:val="00A70DE7"/>
    <w:rsid w:val="00A70F09"/>
    <w:rsid w:val="00A71106"/>
    <w:rsid w:val="00A7111A"/>
    <w:rsid w:val="00A71D83"/>
    <w:rsid w:val="00A71E5D"/>
    <w:rsid w:val="00A72343"/>
    <w:rsid w:val="00A72363"/>
    <w:rsid w:val="00A729BB"/>
    <w:rsid w:val="00A729D7"/>
    <w:rsid w:val="00A72FDA"/>
    <w:rsid w:val="00A732CA"/>
    <w:rsid w:val="00A73C9B"/>
    <w:rsid w:val="00A7400D"/>
    <w:rsid w:val="00A74B1A"/>
    <w:rsid w:val="00A74D4B"/>
    <w:rsid w:val="00A750C7"/>
    <w:rsid w:val="00A754FC"/>
    <w:rsid w:val="00A75723"/>
    <w:rsid w:val="00A757C8"/>
    <w:rsid w:val="00A75DAE"/>
    <w:rsid w:val="00A7601F"/>
    <w:rsid w:val="00A76347"/>
    <w:rsid w:val="00A76613"/>
    <w:rsid w:val="00A768A3"/>
    <w:rsid w:val="00A768C5"/>
    <w:rsid w:val="00A77027"/>
    <w:rsid w:val="00A7724B"/>
    <w:rsid w:val="00A773CC"/>
    <w:rsid w:val="00A776A3"/>
    <w:rsid w:val="00A80BBB"/>
    <w:rsid w:val="00A810F0"/>
    <w:rsid w:val="00A81611"/>
    <w:rsid w:val="00A81702"/>
    <w:rsid w:val="00A81ACA"/>
    <w:rsid w:val="00A826F8"/>
    <w:rsid w:val="00A82A76"/>
    <w:rsid w:val="00A82D73"/>
    <w:rsid w:val="00A8359B"/>
    <w:rsid w:val="00A83620"/>
    <w:rsid w:val="00A83A8A"/>
    <w:rsid w:val="00A83EC6"/>
    <w:rsid w:val="00A84085"/>
    <w:rsid w:val="00A8450F"/>
    <w:rsid w:val="00A84859"/>
    <w:rsid w:val="00A84A03"/>
    <w:rsid w:val="00A850D2"/>
    <w:rsid w:val="00A855B9"/>
    <w:rsid w:val="00A857DA"/>
    <w:rsid w:val="00A8590D"/>
    <w:rsid w:val="00A85AE0"/>
    <w:rsid w:val="00A85CDE"/>
    <w:rsid w:val="00A8686C"/>
    <w:rsid w:val="00A86978"/>
    <w:rsid w:val="00A869E5"/>
    <w:rsid w:val="00A86B11"/>
    <w:rsid w:val="00A872FD"/>
    <w:rsid w:val="00A87389"/>
    <w:rsid w:val="00A87508"/>
    <w:rsid w:val="00A87875"/>
    <w:rsid w:val="00A909EC"/>
    <w:rsid w:val="00A90DC6"/>
    <w:rsid w:val="00A9151D"/>
    <w:rsid w:val="00A915C8"/>
    <w:rsid w:val="00A9162F"/>
    <w:rsid w:val="00A91DA5"/>
    <w:rsid w:val="00A9254B"/>
    <w:rsid w:val="00A92712"/>
    <w:rsid w:val="00A92C5C"/>
    <w:rsid w:val="00A92E0B"/>
    <w:rsid w:val="00A92E96"/>
    <w:rsid w:val="00A92F45"/>
    <w:rsid w:val="00A92F86"/>
    <w:rsid w:val="00A93593"/>
    <w:rsid w:val="00A939C4"/>
    <w:rsid w:val="00A93DB2"/>
    <w:rsid w:val="00A93EAD"/>
    <w:rsid w:val="00A94708"/>
    <w:rsid w:val="00A94988"/>
    <w:rsid w:val="00A9502C"/>
    <w:rsid w:val="00A953F8"/>
    <w:rsid w:val="00A9542D"/>
    <w:rsid w:val="00A9588A"/>
    <w:rsid w:val="00A961E9"/>
    <w:rsid w:val="00A96218"/>
    <w:rsid w:val="00A9631B"/>
    <w:rsid w:val="00A9660D"/>
    <w:rsid w:val="00A9726F"/>
    <w:rsid w:val="00A97E86"/>
    <w:rsid w:val="00AA06EF"/>
    <w:rsid w:val="00AA0DC0"/>
    <w:rsid w:val="00AA0E51"/>
    <w:rsid w:val="00AA185F"/>
    <w:rsid w:val="00AA2202"/>
    <w:rsid w:val="00AA2654"/>
    <w:rsid w:val="00AA2899"/>
    <w:rsid w:val="00AA28CA"/>
    <w:rsid w:val="00AA2DD7"/>
    <w:rsid w:val="00AA2F65"/>
    <w:rsid w:val="00AA2F81"/>
    <w:rsid w:val="00AA311E"/>
    <w:rsid w:val="00AA3503"/>
    <w:rsid w:val="00AA39D7"/>
    <w:rsid w:val="00AA445C"/>
    <w:rsid w:val="00AA4471"/>
    <w:rsid w:val="00AA496C"/>
    <w:rsid w:val="00AA4B65"/>
    <w:rsid w:val="00AA4D98"/>
    <w:rsid w:val="00AA53CB"/>
    <w:rsid w:val="00AA5640"/>
    <w:rsid w:val="00AA5BE1"/>
    <w:rsid w:val="00AA5CDD"/>
    <w:rsid w:val="00AA5E42"/>
    <w:rsid w:val="00AA5E73"/>
    <w:rsid w:val="00AA5EEB"/>
    <w:rsid w:val="00AA6096"/>
    <w:rsid w:val="00AA63B5"/>
    <w:rsid w:val="00AA64A5"/>
    <w:rsid w:val="00AA659F"/>
    <w:rsid w:val="00AA756C"/>
    <w:rsid w:val="00AA768C"/>
    <w:rsid w:val="00AA7E8C"/>
    <w:rsid w:val="00AB01F1"/>
    <w:rsid w:val="00AB0CA6"/>
    <w:rsid w:val="00AB142D"/>
    <w:rsid w:val="00AB1D6C"/>
    <w:rsid w:val="00AB22C4"/>
    <w:rsid w:val="00AB27A6"/>
    <w:rsid w:val="00AB360F"/>
    <w:rsid w:val="00AB480E"/>
    <w:rsid w:val="00AB49DF"/>
    <w:rsid w:val="00AB4BB9"/>
    <w:rsid w:val="00AB57C8"/>
    <w:rsid w:val="00AB594D"/>
    <w:rsid w:val="00AB6352"/>
    <w:rsid w:val="00AB6558"/>
    <w:rsid w:val="00AB6B1D"/>
    <w:rsid w:val="00AB6F99"/>
    <w:rsid w:val="00AB7634"/>
    <w:rsid w:val="00AC0224"/>
    <w:rsid w:val="00AC066D"/>
    <w:rsid w:val="00AC06B1"/>
    <w:rsid w:val="00AC0B4D"/>
    <w:rsid w:val="00AC0D52"/>
    <w:rsid w:val="00AC0E87"/>
    <w:rsid w:val="00AC0FBA"/>
    <w:rsid w:val="00AC1810"/>
    <w:rsid w:val="00AC1FE0"/>
    <w:rsid w:val="00AC27C7"/>
    <w:rsid w:val="00AC330B"/>
    <w:rsid w:val="00AC36D9"/>
    <w:rsid w:val="00AC3841"/>
    <w:rsid w:val="00AC3AD8"/>
    <w:rsid w:val="00AC3C4C"/>
    <w:rsid w:val="00AC3E26"/>
    <w:rsid w:val="00AC4F01"/>
    <w:rsid w:val="00AC5862"/>
    <w:rsid w:val="00AC587B"/>
    <w:rsid w:val="00AC5898"/>
    <w:rsid w:val="00AC60A0"/>
    <w:rsid w:val="00AC69DA"/>
    <w:rsid w:val="00AC6C19"/>
    <w:rsid w:val="00AC72A2"/>
    <w:rsid w:val="00AC7388"/>
    <w:rsid w:val="00AC7936"/>
    <w:rsid w:val="00AD012E"/>
    <w:rsid w:val="00AD054E"/>
    <w:rsid w:val="00AD0CA9"/>
    <w:rsid w:val="00AD1059"/>
    <w:rsid w:val="00AD12F4"/>
    <w:rsid w:val="00AD1A66"/>
    <w:rsid w:val="00AD1D35"/>
    <w:rsid w:val="00AD2018"/>
    <w:rsid w:val="00AD2E9B"/>
    <w:rsid w:val="00AD35B8"/>
    <w:rsid w:val="00AD37D1"/>
    <w:rsid w:val="00AD3868"/>
    <w:rsid w:val="00AD4107"/>
    <w:rsid w:val="00AD4113"/>
    <w:rsid w:val="00AD493D"/>
    <w:rsid w:val="00AD4AB7"/>
    <w:rsid w:val="00AD4AC7"/>
    <w:rsid w:val="00AD4C08"/>
    <w:rsid w:val="00AD4FA9"/>
    <w:rsid w:val="00AD5690"/>
    <w:rsid w:val="00AD58DE"/>
    <w:rsid w:val="00AD58E1"/>
    <w:rsid w:val="00AD5911"/>
    <w:rsid w:val="00AD6DC0"/>
    <w:rsid w:val="00AD7311"/>
    <w:rsid w:val="00AD7439"/>
    <w:rsid w:val="00AD7983"/>
    <w:rsid w:val="00AD7BEA"/>
    <w:rsid w:val="00AD7DEF"/>
    <w:rsid w:val="00AE0999"/>
    <w:rsid w:val="00AE0F22"/>
    <w:rsid w:val="00AE10C7"/>
    <w:rsid w:val="00AE133A"/>
    <w:rsid w:val="00AE1685"/>
    <w:rsid w:val="00AE1FE6"/>
    <w:rsid w:val="00AE237B"/>
    <w:rsid w:val="00AE2389"/>
    <w:rsid w:val="00AE25D3"/>
    <w:rsid w:val="00AE29C7"/>
    <w:rsid w:val="00AE2FB8"/>
    <w:rsid w:val="00AE302D"/>
    <w:rsid w:val="00AE3276"/>
    <w:rsid w:val="00AE4E89"/>
    <w:rsid w:val="00AE502B"/>
    <w:rsid w:val="00AE5A79"/>
    <w:rsid w:val="00AE619E"/>
    <w:rsid w:val="00AE66AC"/>
    <w:rsid w:val="00AE6BC2"/>
    <w:rsid w:val="00AE7890"/>
    <w:rsid w:val="00AE7A31"/>
    <w:rsid w:val="00AF017C"/>
    <w:rsid w:val="00AF119B"/>
    <w:rsid w:val="00AF18B2"/>
    <w:rsid w:val="00AF1AB1"/>
    <w:rsid w:val="00AF213E"/>
    <w:rsid w:val="00AF290B"/>
    <w:rsid w:val="00AF2BF8"/>
    <w:rsid w:val="00AF2DF1"/>
    <w:rsid w:val="00AF3170"/>
    <w:rsid w:val="00AF31E6"/>
    <w:rsid w:val="00AF37C7"/>
    <w:rsid w:val="00AF3FBC"/>
    <w:rsid w:val="00AF4904"/>
    <w:rsid w:val="00AF50CE"/>
    <w:rsid w:val="00AF51E9"/>
    <w:rsid w:val="00AF535E"/>
    <w:rsid w:val="00AF5447"/>
    <w:rsid w:val="00AF5690"/>
    <w:rsid w:val="00AF5BBF"/>
    <w:rsid w:val="00AF60AB"/>
    <w:rsid w:val="00AF60D5"/>
    <w:rsid w:val="00AF632E"/>
    <w:rsid w:val="00AF656B"/>
    <w:rsid w:val="00AF6ED2"/>
    <w:rsid w:val="00AF6F79"/>
    <w:rsid w:val="00AF7ADD"/>
    <w:rsid w:val="00AF7CC4"/>
    <w:rsid w:val="00AF7E1E"/>
    <w:rsid w:val="00B004E7"/>
    <w:rsid w:val="00B007B5"/>
    <w:rsid w:val="00B013FD"/>
    <w:rsid w:val="00B016AA"/>
    <w:rsid w:val="00B01B2D"/>
    <w:rsid w:val="00B01CC9"/>
    <w:rsid w:val="00B03083"/>
    <w:rsid w:val="00B033E7"/>
    <w:rsid w:val="00B03496"/>
    <w:rsid w:val="00B03BA3"/>
    <w:rsid w:val="00B03EA8"/>
    <w:rsid w:val="00B03FDE"/>
    <w:rsid w:val="00B040A2"/>
    <w:rsid w:val="00B042BA"/>
    <w:rsid w:val="00B042CC"/>
    <w:rsid w:val="00B043D1"/>
    <w:rsid w:val="00B046B5"/>
    <w:rsid w:val="00B04769"/>
    <w:rsid w:val="00B04DF6"/>
    <w:rsid w:val="00B04EAE"/>
    <w:rsid w:val="00B04F49"/>
    <w:rsid w:val="00B0525D"/>
    <w:rsid w:val="00B053B9"/>
    <w:rsid w:val="00B05BAF"/>
    <w:rsid w:val="00B06384"/>
    <w:rsid w:val="00B063BA"/>
    <w:rsid w:val="00B068FB"/>
    <w:rsid w:val="00B06BBE"/>
    <w:rsid w:val="00B06C7A"/>
    <w:rsid w:val="00B06D35"/>
    <w:rsid w:val="00B06DDA"/>
    <w:rsid w:val="00B07271"/>
    <w:rsid w:val="00B075B4"/>
    <w:rsid w:val="00B105DC"/>
    <w:rsid w:val="00B10DA4"/>
    <w:rsid w:val="00B11893"/>
    <w:rsid w:val="00B11946"/>
    <w:rsid w:val="00B119A4"/>
    <w:rsid w:val="00B1245C"/>
    <w:rsid w:val="00B124A7"/>
    <w:rsid w:val="00B125E6"/>
    <w:rsid w:val="00B126F9"/>
    <w:rsid w:val="00B12889"/>
    <w:rsid w:val="00B12AA5"/>
    <w:rsid w:val="00B13096"/>
    <w:rsid w:val="00B13675"/>
    <w:rsid w:val="00B1380A"/>
    <w:rsid w:val="00B138AB"/>
    <w:rsid w:val="00B13A94"/>
    <w:rsid w:val="00B13C2E"/>
    <w:rsid w:val="00B13F04"/>
    <w:rsid w:val="00B13F82"/>
    <w:rsid w:val="00B149A5"/>
    <w:rsid w:val="00B14FCC"/>
    <w:rsid w:val="00B1505F"/>
    <w:rsid w:val="00B158EE"/>
    <w:rsid w:val="00B15F7A"/>
    <w:rsid w:val="00B162C3"/>
    <w:rsid w:val="00B163CC"/>
    <w:rsid w:val="00B1750A"/>
    <w:rsid w:val="00B2010A"/>
    <w:rsid w:val="00B20A82"/>
    <w:rsid w:val="00B20E52"/>
    <w:rsid w:val="00B20F4B"/>
    <w:rsid w:val="00B21058"/>
    <w:rsid w:val="00B21917"/>
    <w:rsid w:val="00B21C27"/>
    <w:rsid w:val="00B21C50"/>
    <w:rsid w:val="00B21CED"/>
    <w:rsid w:val="00B2272D"/>
    <w:rsid w:val="00B22BCE"/>
    <w:rsid w:val="00B22BE8"/>
    <w:rsid w:val="00B23652"/>
    <w:rsid w:val="00B239EF"/>
    <w:rsid w:val="00B23CCD"/>
    <w:rsid w:val="00B2401D"/>
    <w:rsid w:val="00B24B88"/>
    <w:rsid w:val="00B24EDD"/>
    <w:rsid w:val="00B24F08"/>
    <w:rsid w:val="00B25214"/>
    <w:rsid w:val="00B253FF"/>
    <w:rsid w:val="00B255C5"/>
    <w:rsid w:val="00B257F8"/>
    <w:rsid w:val="00B25D2D"/>
    <w:rsid w:val="00B25E18"/>
    <w:rsid w:val="00B25EFF"/>
    <w:rsid w:val="00B26072"/>
    <w:rsid w:val="00B2613F"/>
    <w:rsid w:val="00B26168"/>
    <w:rsid w:val="00B263C5"/>
    <w:rsid w:val="00B26756"/>
    <w:rsid w:val="00B267C6"/>
    <w:rsid w:val="00B26E38"/>
    <w:rsid w:val="00B2786F"/>
    <w:rsid w:val="00B303FA"/>
    <w:rsid w:val="00B308D9"/>
    <w:rsid w:val="00B30A82"/>
    <w:rsid w:val="00B3130A"/>
    <w:rsid w:val="00B32B82"/>
    <w:rsid w:val="00B33AF0"/>
    <w:rsid w:val="00B33BEA"/>
    <w:rsid w:val="00B33C22"/>
    <w:rsid w:val="00B33E16"/>
    <w:rsid w:val="00B34B88"/>
    <w:rsid w:val="00B35066"/>
    <w:rsid w:val="00B357C6"/>
    <w:rsid w:val="00B35F28"/>
    <w:rsid w:val="00B364D5"/>
    <w:rsid w:val="00B36554"/>
    <w:rsid w:val="00B36649"/>
    <w:rsid w:val="00B37158"/>
    <w:rsid w:val="00B4120B"/>
    <w:rsid w:val="00B4130F"/>
    <w:rsid w:val="00B413F6"/>
    <w:rsid w:val="00B414B4"/>
    <w:rsid w:val="00B41623"/>
    <w:rsid w:val="00B41C46"/>
    <w:rsid w:val="00B41FA3"/>
    <w:rsid w:val="00B428AC"/>
    <w:rsid w:val="00B430A3"/>
    <w:rsid w:val="00B43BB1"/>
    <w:rsid w:val="00B43E8D"/>
    <w:rsid w:val="00B446EC"/>
    <w:rsid w:val="00B446F9"/>
    <w:rsid w:val="00B448B1"/>
    <w:rsid w:val="00B44E63"/>
    <w:rsid w:val="00B4525A"/>
    <w:rsid w:val="00B4525B"/>
    <w:rsid w:val="00B45FBE"/>
    <w:rsid w:val="00B47221"/>
    <w:rsid w:val="00B474D9"/>
    <w:rsid w:val="00B475C9"/>
    <w:rsid w:val="00B476D0"/>
    <w:rsid w:val="00B47BDE"/>
    <w:rsid w:val="00B47FA0"/>
    <w:rsid w:val="00B5022E"/>
    <w:rsid w:val="00B511DF"/>
    <w:rsid w:val="00B5136F"/>
    <w:rsid w:val="00B53226"/>
    <w:rsid w:val="00B54056"/>
    <w:rsid w:val="00B54102"/>
    <w:rsid w:val="00B54315"/>
    <w:rsid w:val="00B54C5B"/>
    <w:rsid w:val="00B5521A"/>
    <w:rsid w:val="00B55757"/>
    <w:rsid w:val="00B5615B"/>
    <w:rsid w:val="00B56599"/>
    <w:rsid w:val="00B56C64"/>
    <w:rsid w:val="00B5716B"/>
    <w:rsid w:val="00B571C3"/>
    <w:rsid w:val="00B571EE"/>
    <w:rsid w:val="00B5753A"/>
    <w:rsid w:val="00B576CB"/>
    <w:rsid w:val="00B57F11"/>
    <w:rsid w:val="00B603CC"/>
    <w:rsid w:val="00B6056B"/>
    <w:rsid w:val="00B60728"/>
    <w:rsid w:val="00B61578"/>
    <w:rsid w:val="00B61B64"/>
    <w:rsid w:val="00B61E04"/>
    <w:rsid w:val="00B61EF2"/>
    <w:rsid w:val="00B626DF"/>
    <w:rsid w:val="00B63478"/>
    <w:rsid w:val="00B64344"/>
    <w:rsid w:val="00B6550A"/>
    <w:rsid w:val="00B65768"/>
    <w:rsid w:val="00B65CF9"/>
    <w:rsid w:val="00B66026"/>
    <w:rsid w:val="00B663C7"/>
    <w:rsid w:val="00B6650C"/>
    <w:rsid w:val="00B6682A"/>
    <w:rsid w:val="00B67488"/>
    <w:rsid w:val="00B677F8"/>
    <w:rsid w:val="00B7003D"/>
    <w:rsid w:val="00B70933"/>
    <w:rsid w:val="00B70B49"/>
    <w:rsid w:val="00B71097"/>
    <w:rsid w:val="00B71153"/>
    <w:rsid w:val="00B71A8F"/>
    <w:rsid w:val="00B72947"/>
    <w:rsid w:val="00B72C91"/>
    <w:rsid w:val="00B734F7"/>
    <w:rsid w:val="00B735E6"/>
    <w:rsid w:val="00B73661"/>
    <w:rsid w:val="00B7382D"/>
    <w:rsid w:val="00B7393A"/>
    <w:rsid w:val="00B73D5E"/>
    <w:rsid w:val="00B74031"/>
    <w:rsid w:val="00B7423D"/>
    <w:rsid w:val="00B74357"/>
    <w:rsid w:val="00B744FA"/>
    <w:rsid w:val="00B74C1A"/>
    <w:rsid w:val="00B74C9D"/>
    <w:rsid w:val="00B75107"/>
    <w:rsid w:val="00B7513F"/>
    <w:rsid w:val="00B755E0"/>
    <w:rsid w:val="00B75849"/>
    <w:rsid w:val="00B75CF0"/>
    <w:rsid w:val="00B7661F"/>
    <w:rsid w:val="00B7676F"/>
    <w:rsid w:val="00B768B3"/>
    <w:rsid w:val="00B76A13"/>
    <w:rsid w:val="00B76ACD"/>
    <w:rsid w:val="00B7773F"/>
    <w:rsid w:val="00B77768"/>
    <w:rsid w:val="00B777AD"/>
    <w:rsid w:val="00B77C68"/>
    <w:rsid w:val="00B77D03"/>
    <w:rsid w:val="00B77F1E"/>
    <w:rsid w:val="00B77F82"/>
    <w:rsid w:val="00B80426"/>
    <w:rsid w:val="00B804DF"/>
    <w:rsid w:val="00B80EFF"/>
    <w:rsid w:val="00B81105"/>
    <w:rsid w:val="00B8123D"/>
    <w:rsid w:val="00B815F6"/>
    <w:rsid w:val="00B81636"/>
    <w:rsid w:val="00B8187E"/>
    <w:rsid w:val="00B81968"/>
    <w:rsid w:val="00B81984"/>
    <w:rsid w:val="00B81A0D"/>
    <w:rsid w:val="00B82BF9"/>
    <w:rsid w:val="00B83055"/>
    <w:rsid w:val="00B84372"/>
    <w:rsid w:val="00B84C2B"/>
    <w:rsid w:val="00B8579B"/>
    <w:rsid w:val="00B8582D"/>
    <w:rsid w:val="00B867A7"/>
    <w:rsid w:val="00B87067"/>
    <w:rsid w:val="00B87233"/>
    <w:rsid w:val="00B875C5"/>
    <w:rsid w:val="00B878A2"/>
    <w:rsid w:val="00B90041"/>
    <w:rsid w:val="00B90907"/>
    <w:rsid w:val="00B9201A"/>
    <w:rsid w:val="00B92970"/>
    <w:rsid w:val="00B92D32"/>
    <w:rsid w:val="00B93089"/>
    <w:rsid w:val="00B93385"/>
    <w:rsid w:val="00B9341A"/>
    <w:rsid w:val="00B9367F"/>
    <w:rsid w:val="00B93A14"/>
    <w:rsid w:val="00B93E1D"/>
    <w:rsid w:val="00B94045"/>
    <w:rsid w:val="00B940D9"/>
    <w:rsid w:val="00B942A4"/>
    <w:rsid w:val="00B94592"/>
    <w:rsid w:val="00B94B2F"/>
    <w:rsid w:val="00B94C47"/>
    <w:rsid w:val="00B950A4"/>
    <w:rsid w:val="00B950F8"/>
    <w:rsid w:val="00B95444"/>
    <w:rsid w:val="00B95563"/>
    <w:rsid w:val="00B95F6D"/>
    <w:rsid w:val="00B96479"/>
    <w:rsid w:val="00B966A5"/>
    <w:rsid w:val="00B97960"/>
    <w:rsid w:val="00B97F4A"/>
    <w:rsid w:val="00BA0DA5"/>
    <w:rsid w:val="00BA0ED9"/>
    <w:rsid w:val="00BA0FD0"/>
    <w:rsid w:val="00BA124D"/>
    <w:rsid w:val="00BA212C"/>
    <w:rsid w:val="00BA22AB"/>
    <w:rsid w:val="00BA2C50"/>
    <w:rsid w:val="00BA3229"/>
    <w:rsid w:val="00BA3782"/>
    <w:rsid w:val="00BA4523"/>
    <w:rsid w:val="00BA4752"/>
    <w:rsid w:val="00BA530C"/>
    <w:rsid w:val="00BA54C2"/>
    <w:rsid w:val="00BA551F"/>
    <w:rsid w:val="00BA6639"/>
    <w:rsid w:val="00BA6AE8"/>
    <w:rsid w:val="00BA7817"/>
    <w:rsid w:val="00BB0AE2"/>
    <w:rsid w:val="00BB0C0E"/>
    <w:rsid w:val="00BB0C0F"/>
    <w:rsid w:val="00BB0E76"/>
    <w:rsid w:val="00BB1286"/>
    <w:rsid w:val="00BB1D6A"/>
    <w:rsid w:val="00BB240E"/>
    <w:rsid w:val="00BB2656"/>
    <w:rsid w:val="00BB2691"/>
    <w:rsid w:val="00BB27F1"/>
    <w:rsid w:val="00BB2A09"/>
    <w:rsid w:val="00BB2A32"/>
    <w:rsid w:val="00BB2A7B"/>
    <w:rsid w:val="00BB2EE5"/>
    <w:rsid w:val="00BB372F"/>
    <w:rsid w:val="00BB3DE8"/>
    <w:rsid w:val="00BB3FEB"/>
    <w:rsid w:val="00BB4304"/>
    <w:rsid w:val="00BB49B5"/>
    <w:rsid w:val="00BB4A4A"/>
    <w:rsid w:val="00BB4FFC"/>
    <w:rsid w:val="00BB6617"/>
    <w:rsid w:val="00BB67FB"/>
    <w:rsid w:val="00BB7058"/>
    <w:rsid w:val="00BB712E"/>
    <w:rsid w:val="00BB757F"/>
    <w:rsid w:val="00BB797B"/>
    <w:rsid w:val="00BB7B6E"/>
    <w:rsid w:val="00BC086F"/>
    <w:rsid w:val="00BC09A4"/>
    <w:rsid w:val="00BC0B95"/>
    <w:rsid w:val="00BC14E6"/>
    <w:rsid w:val="00BC1682"/>
    <w:rsid w:val="00BC268E"/>
    <w:rsid w:val="00BC2C11"/>
    <w:rsid w:val="00BC2E4A"/>
    <w:rsid w:val="00BC3F1E"/>
    <w:rsid w:val="00BC3FE6"/>
    <w:rsid w:val="00BC49C6"/>
    <w:rsid w:val="00BC5D27"/>
    <w:rsid w:val="00BC5EBE"/>
    <w:rsid w:val="00BC62EB"/>
    <w:rsid w:val="00BC6D95"/>
    <w:rsid w:val="00BC7162"/>
    <w:rsid w:val="00BC7E75"/>
    <w:rsid w:val="00BD00AD"/>
    <w:rsid w:val="00BD03EE"/>
    <w:rsid w:val="00BD0751"/>
    <w:rsid w:val="00BD0EE4"/>
    <w:rsid w:val="00BD1458"/>
    <w:rsid w:val="00BD1497"/>
    <w:rsid w:val="00BD23AE"/>
    <w:rsid w:val="00BD2757"/>
    <w:rsid w:val="00BD2794"/>
    <w:rsid w:val="00BD27CF"/>
    <w:rsid w:val="00BD3379"/>
    <w:rsid w:val="00BD38FF"/>
    <w:rsid w:val="00BD3A00"/>
    <w:rsid w:val="00BD3B94"/>
    <w:rsid w:val="00BD3DFC"/>
    <w:rsid w:val="00BD478C"/>
    <w:rsid w:val="00BD4814"/>
    <w:rsid w:val="00BD4920"/>
    <w:rsid w:val="00BD4E8E"/>
    <w:rsid w:val="00BD566C"/>
    <w:rsid w:val="00BD5F89"/>
    <w:rsid w:val="00BD6539"/>
    <w:rsid w:val="00BD6901"/>
    <w:rsid w:val="00BD7043"/>
    <w:rsid w:val="00BD7131"/>
    <w:rsid w:val="00BD7762"/>
    <w:rsid w:val="00BD7836"/>
    <w:rsid w:val="00BD7970"/>
    <w:rsid w:val="00BD7B72"/>
    <w:rsid w:val="00BD7FDE"/>
    <w:rsid w:val="00BE0579"/>
    <w:rsid w:val="00BE0C97"/>
    <w:rsid w:val="00BE0CD4"/>
    <w:rsid w:val="00BE0D7F"/>
    <w:rsid w:val="00BE14FC"/>
    <w:rsid w:val="00BE1819"/>
    <w:rsid w:val="00BE19B1"/>
    <w:rsid w:val="00BE2CAF"/>
    <w:rsid w:val="00BE30D4"/>
    <w:rsid w:val="00BE384B"/>
    <w:rsid w:val="00BE3BB6"/>
    <w:rsid w:val="00BE3F04"/>
    <w:rsid w:val="00BE438A"/>
    <w:rsid w:val="00BE57C1"/>
    <w:rsid w:val="00BE5BC9"/>
    <w:rsid w:val="00BE6382"/>
    <w:rsid w:val="00BE6701"/>
    <w:rsid w:val="00BE684E"/>
    <w:rsid w:val="00BE68C1"/>
    <w:rsid w:val="00BE68E1"/>
    <w:rsid w:val="00BE68FC"/>
    <w:rsid w:val="00BE6AE2"/>
    <w:rsid w:val="00BE6E8F"/>
    <w:rsid w:val="00BE70AF"/>
    <w:rsid w:val="00BE70EF"/>
    <w:rsid w:val="00BE7558"/>
    <w:rsid w:val="00BE7576"/>
    <w:rsid w:val="00BE75CE"/>
    <w:rsid w:val="00BE7737"/>
    <w:rsid w:val="00BE77AF"/>
    <w:rsid w:val="00BE787D"/>
    <w:rsid w:val="00BE7E50"/>
    <w:rsid w:val="00BF0C71"/>
    <w:rsid w:val="00BF0D1E"/>
    <w:rsid w:val="00BF167E"/>
    <w:rsid w:val="00BF18AC"/>
    <w:rsid w:val="00BF222A"/>
    <w:rsid w:val="00BF2877"/>
    <w:rsid w:val="00BF31FB"/>
    <w:rsid w:val="00BF3934"/>
    <w:rsid w:val="00BF3A6B"/>
    <w:rsid w:val="00BF4517"/>
    <w:rsid w:val="00BF4D0E"/>
    <w:rsid w:val="00BF4D67"/>
    <w:rsid w:val="00BF525A"/>
    <w:rsid w:val="00BF574A"/>
    <w:rsid w:val="00BF596F"/>
    <w:rsid w:val="00BF5A36"/>
    <w:rsid w:val="00BF62F5"/>
    <w:rsid w:val="00BF6B09"/>
    <w:rsid w:val="00BF6E24"/>
    <w:rsid w:val="00BF71F3"/>
    <w:rsid w:val="00BF7245"/>
    <w:rsid w:val="00BF7742"/>
    <w:rsid w:val="00BF7826"/>
    <w:rsid w:val="00BF7A5B"/>
    <w:rsid w:val="00BF7B99"/>
    <w:rsid w:val="00BF7E89"/>
    <w:rsid w:val="00C0085E"/>
    <w:rsid w:val="00C00AEF"/>
    <w:rsid w:val="00C017CA"/>
    <w:rsid w:val="00C019FB"/>
    <w:rsid w:val="00C01B8A"/>
    <w:rsid w:val="00C02384"/>
    <w:rsid w:val="00C02498"/>
    <w:rsid w:val="00C027BB"/>
    <w:rsid w:val="00C02F66"/>
    <w:rsid w:val="00C030E6"/>
    <w:rsid w:val="00C034BA"/>
    <w:rsid w:val="00C035A5"/>
    <w:rsid w:val="00C039FC"/>
    <w:rsid w:val="00C03A7F"/>
    <w:rsid w:val="00C03D84"/>
    <w:rsid w:val="00C03DCC"/>
    <w:rsid w:val="00C03F8F"/>
    <w:rsid w:val="00C040C6"/>
    <w:rsid w:val="00C0452E"/>
    <w:rsid w:val="00C04CC3"/>
    <w:rsid w:val="00C04F1F"/>
    <w:rsid w:val="00C05DD8"/>
    <w:rsid w:val="00C062E9"/>
    <w:rsid w:val="00C07141"/>
    <w:rsid w:val="00C07B0B"/>
    <w:rsid w:val="00C07D1C"/>
    <w:rsid w:val="00C07D28"/>
    <w:rsid w:val="00C106B3"/>
    <w:rsid w:val="00C106D2"/>
    <w:rsid w:val="00C1097A"/>
    <w:rsid w:val="00C10B1A"/>
    <w:rsid w:val="00C10FAF"/>
    <w:rsid w:val="00C1118E"/>
    <w:rsid w:val="00C11F32"/>
    <w:rsid w:val="00C120FB"/>
    <w:rsid w:val="00C12260"/>
    <w:rsid w:val="00C1246A"/>
    <w:rsid w:val="00C12527"/>
    <w:rsid w:val="00C1264C"/>
    <w:rsid w:val="00C12F43"/>
    <w:rsid w:val="00C136CB"/>
    <w:rsid w:val="00C14BEE"/>
    <w:rsid w:val="00C14CB9"/>
    <w:rsid w:val="00C14D92"/>
    <w:rsid w:val="00C1529F"/>
    <w:rsid w:val="00C1550A"/>
    <w:rsid w:val="00C157EC"/>
    <w:rsid w:val="00C15988"/>
    <w:rsid w:val="00C15D41"/>
    <w:rsid w:val="00C1613C"/>
    <w:rsid w:val="00C162B7"/>
    <w:rsid w:val="00C16652"/>
    <w:rsid w:val="00C16A36"/>
    <w:rsid w:val="00C16CA2"/>
    <w:rsid w:val="00C16E35"/>
    <w:rsid w:val="00C176CD"/>
    <w:rsid w:val="00C17AB5"/>
    <w:rsid w:val="00C20072"/>
    <w:rsid w:val="00C204FB"/>
    <w:rsid w:val="00C20512"/>
    <w:rsid w:val="00C207EB"/>
    <w:rsid w:val="00C2087B"/>
    <w:rsid w:val="00C20FC0"/>
    <w:rsid w:val="00C2152A"/>
    <w:rsid w:val="00C21630"/>
    <w:rsid w:val="00C218E5"/>
    <w:rsid w:val="00C21BDF"/>
    <w:rsid w:val="00C21C22"/>
    <w:rsid w:val="00C2216C"/>
    <w:rsid w:val="00C2244E"/>
    <w:rsid w:val="00C23145"/>
    <w:rsid w:val="00C2342E"/>
    <w:rsid w:val="00C23E8A"/>
    <w:rsid w:val="00C23F87"/>
    <w:rsid w:val="00C23FD8"/>
    <w:rsid w:val="00C242E0"/>
    <w:rsid w:val="00C24D2B"/>
    <w:rsid w:val="00C253D5"/>
    <w:rsid w:val="00C25F9B"/>
    <w:rsid w:val="00C2628A"/>
    <w:rsid w:val="00C262DF"/>
    <w:rsid w:val="00C2649F"/>
    <w:rsid w:val="00C26D09"/>
    <w:rsid w:val="00C26DEE"/>
    <w:rsid w:val="00C26DF5"/>
    <w:rsid w:val="00C26E8C"/>
    <w:rsid w:val="00C27429"/>
    <w:rsid w:val="00C2756C"/>
    <w:rsid w:val="00C27CC2"/>
    <w:rsid w:val="00C30050"/>
    <w:rsid w:val="00C30493"/>
    <w:rsid w:val="00C31005"/>
    <w:rsid w:val="00C3111F"/>
    <w:rsid w:val="00C31FD5"/>
    <w:rsid w:val="00C333CD"/>
    <w:rsid w:val="00C33D01"/>
    <w:rsid w:val="00C34149"/>
    <w:rsid w:val="00C3465D"/>
    <w:rsid w:val="00C34E6C"/>
    <w:rsid w:val="00C35006"/>
    <w:rsid w:val="00C3544F"/>
    <w:rsid w:val="00C35B16"/>
    <w:rsid w:val="00C36194"/>
    <w:rsid w:val="00C364A7"/>
    <w:rsid w:val="00C36CCF"/>
    <w:rsid w:val="00C3734E"/>
    <w:rsid w:val="00C37483"/>
    <w:rsid w:val="00C37A20"/>
    <w:rsid w:val="00C37BC5"/>
    <w:rsid w:val="00C412BF"/>
    <w:rsid w:val="00C4133A"/>
    <w:rsid w:val="00C416D0"/>
    <w:rsid w:val="00C422CA"/>
    <w:rsid w:val="00C42560"/>
    <w:rsid w:val="00C427A8"/>
    <w:rsid w:val="00C42B7A"/>
    <w:rsid w:val="00C42EAE"/>
    <w:rsid w:val="00C4309B"/>
    <w:rsid w:val="00C4371A"/>
    <w:rsid w:val="00C439F5"/>
    <w:rsid w:val="00C441EF"/>
    <w:rsid w:val="00C445C8"/>
    <w:rsid w:val="00C449BE"/>
    <w:rsid w:val="00C450A1"/>
    <w:rsid w:val="00C45DC7"/>
    <w:rsid w:val="00C460E4"/>
    <w:rsid w:val="00C46DB6"/>
    <w:rsid w:val="00C4720D"/>
    <w:rsid w:val="00C472DF"/>
    <w:rsid w:val="00C474CA"/>
    <w:rsid w:val="00C47515"/>
    <w:rsid w:val="00C47842"/>
    <w:rsid w:val="00C47BBB"/>
    <w:rsid w:val="00C47CE8"/>
    <w:rsid w:val="00C47D1C"/>
    <w:rsid w:val="00C50260"/>
    <w:rsid w:val="00C5035E"/>
    <w:rsid w:val="00C50E19"/>
    <w:rsid w:val="00C50F2E"/>
    <w:rsid w:val="00C51212"/>
    <w:rsid w:val="00C51514"/>
    <w:rsid w:val="00C51719"/>
    <w:rsid w:val="00C5287E"/>
    <w:rsid w:val="00C52A0B"/>
    <w:rsid w:val="00C52F67"/>
    <w:rsid w:val="00C54541"/>
    <w:rsid w:val="00C545AB"/>
    <w:rsid w:val="00C5490D"/>
    <w:rsid w:val="00C54CF2"/>
    <w:rsid w:val="00C54DD1"/>
    <w:rsid w:val="00C54DD4"/>
    <w:rsid w:val="00C55009"/>
    <w:rsid w:val="00C551D3"/>
    <w:rsid w:val="00C5525F"/>
    <w:rsid w:val="00C55FF9"/>
    <w:rsid w:val="00C56238"/>
    <w:rsid w:val="00C565AF"/>
    <w:rsid w:val="00C56733"/>
    <w:rsid w:val="00C568DA"/>
    <w:rsid w:val="00C56A3A"/>
    <w:rsid w:val="00C56A6C"/>
    <w:rsid w:val="00C57052"/>
    <w:rsid w:val="00C5709A"/>
    <w:rsid w:val="00C57362"/>
    <w:rsid w:val="00C57566"/>
    <w:rsid w:val="00C5773E"/>
    <w:rsid w:val="00C6080E"/>
    <w:rsid w:val="00C61F5F"/>
    <w:rsid w:val="00C62150"/>
    <w:rsid w:val="00C62637"/>
    <w:rsid w:val="00C62678"/>
    <w:rsid w:val="00C62C27"/>
    <w:rsid w:val="00C62F5A"/>
    <w:rsid w:val="00C63364"/>
    <w:rsid w:val="00C63380"/>
    <w:rsid w:val="00C63485"/>
    <w:rsid w:val="00C6371A"/>
    <w:rsid w:val="00C638B0"/>
    <w:rsid w:val="00C639D4"/>
    <w:rsid w:val="00C63D3E"/>
    <w:rsid w:val="00C63FB3"/>
    <w:rsid w:val="00C6448B"/>
    <w:rsid w:val="00C65031"/>
    <w:rsid w:val="00C6517E"/>
    <w:rsid w:val="00C65DF8"/>
    <w:rsid w:val="00C66619"/>
    <w:rsid w:val="00C66733"/>
    <w:rsid w:val="00C66751"/>
    <w:rsid w:val="00C66BFC"/>
    <w:rsid w:val="00C66E79"/>
    <w:rsid w:val="00C67322"/>
    <w:rsid w:val="00C674D6"/>
    <w:rsid w:val="00C67A57"/>
    <w:rsid w:val="00C7021B"/>
    <w:rsid w:val="00C709AB"/>
    <w:rsid w:val="00C70B01"/>
    <w:rsid w:val="00C717D8"/>
    <w:rsid w:val="00C71894"/>
    <w:rsid w:val="00C72EAF"/>
    <w:rsid w:val="00C7343C"/>
    <w:rsid w:val="00C73547"/>
    <w:rsid w:val="00C7358D"/>
    <w:rsid w:val="00C73607"/>
    <w:rsid w:val="00C73648"/>
    <w:rsid w:val="00C73D46"/>
    <w:rsid w:val="00C74C7E"/>
    <w:rsid w:val="00C752DE"/>
    <w:rsid w:val="00C75AB0"/>
    <w:rsid w:val="00C762C8"/>
    <w:rsid w:val="00C76A5D"/>
    <w:rsid w:val="00C774E5"/>
    <w:rsid w:val="00C77A44"/>
    <w:rsid w:val="00C77D05"/>
    <w:rsid w:val="00C77FE5"/>
    <w:rsid w:val="00C801AD"/>
    <w:rsid w:val="00C8083C"/>
    <w:rsid w:val="00C81473"/>
    <w:rsid w:val="00C818E5"/>
    <w:rsid w:val="00C81B89"/>
    <w:rsid w:val="00C8256D"/>
    <w:rsid w:val="00C829AA"/>
    <w:rsid w:val="00C82F5F"/>
    <w:rsid w:val="00C83D00"/>
    <w:rsid w:val="00C83E51"/>
    <w:rsid w:val="00C841B7"/>
    <w:rsid w:val="00C84764"/>
    <w:rsid w:val="00C84977"/>
    <w:rsid w:val="00C85325"/>
    <w:rsid w:val="00C8534A"/>
    <w:rsid w:val="00C862D8"/>
    <w:rsid w:val="00C86919"/>
    <w:rsid w:val="00C86BFA"/>
    <w:rsid w:val="00C86E21"/>
    <w:rsid w:val="00C871D9"/>
    <w:rsid w:val="00C8731E"/>
    <w:rsid w:val="00C875DE"/>
    <w:rsid w:val="00C9001C"/>
    <w:rsid w:val="00C9094C"/>
    <w:rsid w:val="00C90975"/>
    <w:rsid w:val="00C91272"/>
    <w:rsid w:val="00C912B7"/>
    <w:rsid w:val="00C91417"/>
    <w:rsid w:val="00C929BC"/>
    <w:rsid w:val="00C9304B"/>
    <w:rsid w:val="00C93917"/>
    <w:rsid w:val="00C93E28"/>
    <w:rsid w:val="00C946D5"/>
    <w:rsid w:val="00C9478E"/>
    <w:rsid w:val="00C94CFE"/>
    <w:rsid w:val="00C950D2"/>
    <w:rsid w:val="00C951D9"/>
    <w:rsid w:val="00C955C8"/>
    <w:rsid w:val="00C9561E"/>
    <w:rsid w:val="00C966A3"/>
    <w:rsid w:val="00C96979"/>
    <w:rsid w:val="00C9702C"/>
    <w:rsid w:val="00C97459"/>
    <w:rsid w:val="00C97862"/>
    <w:rsid w:val="00CA0043"/>
    <w:rsid w:val="00CA01DB"/>
    <w:rsid w:val="00CA0216"/>
    <w:rsid w:val="00CA075F"/>
    <w:rsid w:val="00CA07D4"/>
    <w:rsid w:val="00CA178C"/>
    <w:rsid w:val="00CA1F8E"/>
    <w:rsid w:val="00CA257B"/>
    <w:rsid w:val="00CA257C"/>
    <w:rsid w:val="00CA25A3"/>
    <w:rsid w:val="00CA2894"/>
    <w:rsid w:val="00CA3109"/>
    <w:rsid w:val="00CA31E6"/>
    <w:rsid w:val="00CA359B"/>
    <w:rsid w:val="00CA35A1"/>
    <w:rsid w:val="00CA3E2E"/>
    <w:rsid w:val="00CA4361"/>
    <w:rsid w:val="00CA547F"/>
    <w:rsid w:val="00CA5A56"/>
    <w:rsid w:val="00CA5C1D"/>
    <w:rsid w:val="00CA647F"/>
    <w:rsid w:val="00CA65F7"/>
    <w:rsid w:val="00CA6916"/>
    <w:rsid w:val="00CA69DD"/>
    <w:rsid w:val="00CA7BCF"/>
    <w:rsid w:val="00CA7FC4"/>
    <w:rsid w:val="00CB05D9"/>
    <w:rsid w:val="00CB0605"/>
    <w:rsid w:val="00CB0864"/>
    <w:rsid w:val="00CB0A5D"/>
    <w:rsid w:val="00CB13E8"/>
    <w:rsid w:val="00CB1446"/>
    <w:rsid w:val="00CB1565"/>
    <w:rsid w:val="00CB1A94"/>
    <w:rsid w:val="00CB250E"/>
    <w:rsid w:val="00CB25FE"/>
    <w:rsid w:val="00CB3198"/>
    <w:rsid w:val="00CB37BF"/>
    <w:rsid w:val="00CB37E1"/>
    <w:rsid w:val="00CB3C70"/>
    <w:rsid w:val="00CB3CB6"/>
    <w:rsid w:val="00CB3E0A"/>
    <w:rsid w:val="00CB4271"/>
    <w:rsid w:val="00CB4F57"/>
    <w:rsid w:val="00CB539B"/>
    <w:rsid w:val="00CB5807"/>
    <w:rsid w:val="00CB59D9"/>
    <w:rsid w:val="00CB6725"/>
    <w:rsid w:val="00CB6FAD"/>
    <w:rsid w:val="00CB6FCD"/>
    <w:rsid w:val="00CB7662"/>
    <w:rsid w:val="00CB7853"/>
    <w:rsid w:val="00CB790A"/>
    <w:rsid w:val="00CB7A9A"/>
    <w:rsid w:val="00CB7AFC"/>
    <w:rsid w:val="00CC0025"/>
    <w:rsid w:val="00CC0438"/>
    <w:rsid w:val="00CC0617"/>
    <w:rsid w:val="00CC093B"/>
    <w:rsid w:val="00CC0ADE"/>
    <w:rsid w:val="00CC11A9"/>
    <w:rsid w:val="00CC11D3"/>
    <w:rsid w:val="00CC164A"/>
    <w:rsid w:val="00CC16B2"/>
    <w:rsid w:val="00CC1DCD"/>
    <w:rsid w:val="00CC2052"/>
    <w:rsid w:val="00CC22F6"/>
    <w:rsid w:val="00CC2609"/>
    <w:rsid w:val="00CC2B0C"/>
    <w:rsid w:val="00CC3C3D"/>
    <w:rsid w:val="00CC3D2D"/>
    <w:rsid w:val="00CC3D82"/>
    <w:rsid w:val="00CC3DE4"/>
    <w:rsid w:val="00CC3E4F"/>
    <w:rsid w:val="00CC4499"/>
    <w:rsid w:val="00CC4896"/>
    <w:rsid w:val="00CC4A69"/>
    <w:rsid w:val="00CC50B0"/>
    <w:rsid w:val="00CC55E3"/>
    <w:rsid w:val="00CC55EC"/>
    <w:rsid w:val="00CC58B2"/>
    <w:rsid w:val="00CC5973"/>
    <w:rsid w:val="00CC5AB1"/>
    <w:rsid w:val="00CC6258"/>
    <w:rsid w:val="00CC70B7"/>
    <w:rsid w:val="00CC7567"/>
    <w:rsid w:val="00CC7613"/>
    <w:rsid w:val="00CC7BBC"/>
    <w:rsid w:val="00CC7DF2"/>
    <w:rsid w:val="00CD0748"/>
    <w:rsid w:val="00CD0BD5"/>
    <w:rsid w:val="00CD0CF5"/>
    <w:rsid w:val="00CD0E3F"/>
    <w:rsid w:val="00CD0E53"/>
    <w:rsid w:val="00CD11BD"/>
    <w:rsid w:val="00CD14B5"/>
    <w:rsid w:val="00CD16CF"/>
    <w:rsid w:val="00CD268C"/>
    <w:rsid w:val="00CD2A3C"/>
    <w:rsid w:val="00CD2F0E"/>
    <w:rsid w:val="00CD3358"/>
    <w:rsid w:val="00CD3FE0"/>
    <w:rsid w:val="00CD4AB9"/>
    <w:rsid w:val="00CD4EBD"/>
    <w:rsid w:val="00CD505C"/>
    <w:rsid w:val="00CD5153"/>
    <w:rsid w:val="00CD531F"/>
    <w:rsid w:val="00CD57DE"/>
    <w:rsid w:val="00CD59AF"/>
    <w:rsid w:val="00CD5FB8"/>
    <w:rsid w:val="00CD5FCA"/>
    <w:rsid w:val="00CD62D8"/>
    <w:rsid w:val="00CD693C"/>
    <w:rsid w:val="00CD6A7C"/>
    <w:rsid w:val="00CD7096"/>
    <w:rsid w:val="00CD7194"/>
    <w:rsid w:val="00CD71BF"/>
    <w:rsid w:val="00CD739D"/>
    <w:rsid w:val="00CD7B59"/>
    <w:rsid w:val="00CE02E3"/>
    <w:rsid w:val="00CE06B0"/>
    <w:rsid w:val="00CE0DD2"/>
    <w:rsid w:val="00CE131C"/>
    <w:rsid w:val="00CE1983"/>
    <w:rsid w:val="00CE1D65"/>
    <w:rsid w:val="00CE2190"/>
    <w:rsid w:val="00CE2639"/>
    <w:rsid w:val="00CE27D6"/>
    <w:rsid w:val="00CE3576"/>
    <w:rsid w:val="00CE390F"/>
    <w:rsid w:val="00CE3C80"/>
    <w:rsid w:val="00CE4041"/>
    <w:rsid w:val="00CE4B94"/>
    <w:rsid w:val="00CE5856"/>
    <w:rsid w:val="00CE58DD"/>
    <w:rsid w:val="00CE5B6B"/>
    <w:rsid w:val="00CE5DAD"/>
    <w:rsid w:val="00CE6774"/>
    <w:rsid w:val="00CE67AC"/>
    <w:rsid w:val="00CE6D5D"/>
    <w:rsid w:val="00CE6F81"/>
    <w:rsid w:val="00CE75D9"/>
    <w:rsid w:val="00CE7B16"/>
    <w:rsid w:val="00CF0162"/>
    <w:rsid w:val="00CF044E"/>
    <w:rsid w:val="00CF04CD"/>
    <w:rsid w:val="00CF0BDE"/>
    <w:rsid w:val="00CF16E1"/>
    <w:rsid w:val="00CF19E4"/>
    <w:rsid w:val="00CF1D6A"/>
    <w:rsid w:val="00CF1E3E"/>
    <w:rsid w:val="00CF20CF"/>
    <w:rsid w:val="00CF376E"/>
    <w:rsid w:val="00CF37DE"/>
    <w:rsid w:val="00CF3862"/>
    <w:rsid w:val="00CF3939"/>
    <w:rsid w:val="00CF3F8D"/>
    <w:rsid w:val="00CF4A66"/>
    <w:rsid w:val="00CF4BDD"/>
    <w:rsid w:val="00CF5561"/>
    <w:rsid w:val="00CF63DB"/>
    <w:rsid w:val="00CF6524"/>
    <w:rsid w:val="00CF6586"/>
    <w:rsid w:val="00CF6B6A"/>
    <w:rsid w:val="00CF6EC9"/>
    <w:rsid w:val="00CF7164"/>
    <w:rsid w:val="00CF73BC"/>
    <w:rsid w:val="00CF75FD"/>
    <w:rsid w:val="00CF7985"/>
    <w:rsid w:val="00D00040"/>
    <w:rsid w:val="00D00379"/>
    <w:rsid w:val="00D00E0C"/>
    <w:rsid w:val="00D016B2"/>
    <w:rsid w:val="00D019FF"/>
    <w:rsid w:val="00D01E5C"/>
    <w:rsid w:val="00D02169"/>
    <w:rsid w:val="00D02601"/>
    <w:rsid w:val="00D02FF5"/>
    <w:rsid w:val="00D032B5"/>
    <w:rsid w:val="00D03AB9"/>
    <w:rsid w:val="00D03CCF"/>
    <w:rsid w:val="00D04184"/>
    <w:rsid w:val="00D04320"/>
    <w:rsid w:val="00D04933"/>
    <w:rsid w:val="00D049D0"/>
    <w:rsid w:val="00D04B4B"/>
    <w:rsid w:val="00D04C85"/>
    <w:rsid w:val="00D05427"/>
    <w:rsid w:val="00D058BC"/>
    <w:rsid w:val="00D06052"/>
    <w:rsid w:val="00D062CC"/>
    <w:rsid w:val="00D06D43"/>
    <w:rsid w:val="00D06E52"/>
    <w:rsid w:val="00D07308"/>
    <w:rsid w:val="00D07704"/>
    <w:rsid w:val="00D07C4D"/>
    <w:rsid w:val="00D07FFD"/>
    <w:rsid w:val="00D1014C"/>
    <w:rsid w:val="00D10257"/>
    <w:rsid w:val="00D119BE"/>
    <w:rsid w:val="00D11AB4"/>
    <w:rsid w:val="00D1212E"/>
    <w:rsid w:val="00D12394"/>
    <w:rsid w:val="00D129F3"/>
    <w:rsid w:val="00D12BD3"/>
    <w:rsid w:val="00D12CBA"/>
    <w:rsid w:val="00D12D5B"/>
    <w:rsid w:val="00D13BB3"/>
    <w:rsid w:val="00D1482A"/>
    <w:rsid w:val="00D14CAE"/>
    <w:rsid w:val="00D14CD2"/>
    <w:rsid w:val="00D14F2E"/>
    <w:rsid w:val="00D15608"/>
    <w:rsid w:val="00D1591F"/>
    <w:rsid w:val="00D15964"/>
    <w:rsid w:val="00D15A70"/>
    <w:rsid w:val="00D15ACE"/>
    <w:rsid w:val="00D15C5C"/>
    <w:rsid w:val="00D162A8"/>
    <w:rsid w:val="00D16376"/>
    <w:rsid w:val="00D16BA2"/>
    <w:rsid w:val="00D172E5"/>
    <w:rsid w:val="00D1788F"/>
    <w:rsid w:val="00D17928"/>
    <w:rsid w:val="00D17A30"/>
    <w:rsid w:val="00D202FC"/>
    <w:rsid w:val="00D213B2"/>
    <w:rsid w:val="00D217C6"/>
    <w:rsid w:val="00D21B7A"/>
    <w:rsid w:val="00D221D5"/>
    <w:rsid w:val="00D2307F"/>
    <w:rsid w:val="00D23399"/>
    <w:rsid w:val="00D233FD"/>
    <w:rsid w:val="00D2353F"/>
    <w:rsid w:val="00D239AB"/>
    <w:rsid w:val="00D23EB0"/>
    <w:rsid w:val="00D2414B"/>
    <w:rsid w:val="00D241A1"/>
    <w:rsid w:val="00D241AF"/>
    <w:rsid w:val="00D242F4"/>
    <w:rsid w:val="00D248B1"/>
    <w:rsid w:val="00D24A71"/>
    <w:rsid w:val="00D252C0"/>
    <w:rsid w:val="00D254E6"/>
    <w:rsid w:val="00D25618"/>
    <w:rsid w:val="00D258D1"/>
    <w:rsid w:val="00D259B8"/>
    <w:rsid w:val="00D262C9"/>
    <w:rsid w:val="00D26B37"/>
    <w:rsid w:val="00D270ED"/>
    <w:rsid w:val="00D273E1"/>
    <w:rsid w:val="00D27DC4"/>
    <w:rsid w:val="00D313A0"/>
    <w:rsid w:val="00D314EB"/>
    <w:rsid w:val="00D31A41"/>
    <w:rsid w:val="00D31DA3"/>
    <w:rsid w:val="00D31E6F"/>
    <w:rsid w:val="00D31EEB"/>
    <w:rsid w:val="00D323E0"/>
    <w:rsid w:val="00D33807"/>
    <w:rsid w:val="00D33AF3"/>
    <w:rsid w:val="00D33BAC"/>
    <w:rsid w:val="00D33F69"/>
    <w:rsid w:val="00D3411A"/>
    <w:rsid w:val="00D345D3"/>
    <w:rsid w:val="00D3467C"/>
    <w:rsid w:val="00D34E72"/>
    <w:rsid w:val="00D34F07"/>
    <w:rsid w:val="00D35208"/>
    <w:rsid w:val="00D3539E"/>
    <w:rsid w:val="00D3554A"/>
    <w:rsid w:val="00D35F24"/>
    <w:rsid w:val="00D366DF"/>
    <w:rsid w:val="00D366E7"/>
    <w:rsid w:val="00D36D48"/>
    <w:rsid w:val="00D372DD"/>
    <w:rsid w:val="00D3764A"/>
    <w:rsid w:val="00D379F2"/>
    <w:rsid w:val="00D37AC8"/>
    <w:rsid w:val="00D40413"/>
    <w:rsid w:val="00D40535"/>
    <w:rsid w:val="00D4083B"/>
    <w:rsid w:val="00D40A08"/>
    <w:rsid w:val="00D40AE0"/>
    <w:rsid w:val="00D40C5A"/>
    <w:rsid w:val="00D40CC7"/>
    <w:rsid w:val="00D415C8"/>
    <w:rsid w:val="00D4163A"/>
    <w:rsid w:val="00D42171"/>
    <w:rsid w:val="00D424A5"/>
    <w:rsid w:val="00D42EDF"/>
    <w:rsid w:val="00D434DF"/>
    <w:rsid w:val="00D4365F"/>
    <w:rsid w:val="00D43770"/>
    <w:rsid w:val="00D43F6D"/>
    <w:rsid w:val="00D44B1F"/>
    <w:rsid w:val="00D44DA7"/>
    <w:rsid w:val="00D454CB"/>
    <w:rsid w:val="00D45B88"/>
    <w:rsid w:val="00D45BEA"/>
    <w:rsid w:val="00D472FA"/>
    <w:rsid w:val="00D47538"/>
    <w:rsid w:val="00D47F39"/>
    <w:rsid w:val="00D47FCC"/>
    <w:rsid w:val="00D501B6"/>
    <w:rsid w:val="00D5047B"/>
    <w:rsid w:val="00D513F3"/>
    <w:rsid w:val="00D5170F"/>
    <w:rsid w:val="00D51E25"/>
    <w:rsid w:val="00D52649"/>
    <w:rsid w:val="00D52A06"/>
    <w:rsid w:val="00D543C9"/>
    <w:rsid w:val="00D5448E"/>
    <w:rsid w:val="00D546B3"/>
    <w:rsid w:val="00D54824"/>
    <w:rsid w:val="00D54AC5"/>
    <w:rsid w:val="00D54FFB"/>
    <w:rsid w:val="00D5519E"/>
    <w:rsid w:val="00D5524C"/>
    <w:rsid w:val="00D552D1"/>
    <w:rsid w:val="00D556BC"/>
    <w:rsid w:val="00D55AE4"/>
    <w:rsid w:val="00D55F59"/>
    <w:rsid w:val="00D55F9C"/>
    <w:rsid w:val="00D56152"/>
    <w:rsid w:val="00D5633F"/>
    <w:rsid w:val="00D564D7"/>
    <w:rsid w:val="00D56E66"/>
    <w:rsid w:val="00D56E6F"/>
    <w:rsid w:val="00D57319"/>
    <w:rsid w:val="00D576C6"/>
    <w:rsid w:val="00D57861"/>
    <w:rsid w:val="00D57FB3"/>
    <w:rsid w:val="00D60158"/>
    <w:rsid w:val="00D601EF"/>
    <w:rsid w:val="00D6062B"/>
    <w:rsid w:val="00D60761"/>
    <w:rsid w:val="00D60C7E"/>
    <w:rsid w:val="00D60E48"/>
    <w:rsid w:val="00D60FFB"/>
    <w:rsid w:val="00D62B14"/>
    <w:rsid w:val="00D62D5A"/>
    <w:rsid w:val="00D62DA8"/>
    <w:rsid w:val="00D632CE"/>
    <w:rsid w:val="00D6331B"/>
    <w:rsid w:val="00D634BE"/>
    <w:rsid w:val="00D63AD5"/>
    <w:rsid w:val="00D64561"/>
    <w:rsid w:val="00D64895"/>
    <w:rsid w:val="00D650A2"/>
    <w:rsid w:val="00D66210"/>
    <w:rsid w:val="00D66335"/>
    <w:rsid w:val="00D66846"/>
    <w:rsid w:val="00D677A5"/>
    <w:rsid w:val="00D7021F"/>
    <w:rsid w:val="00D70287"/>
    <w:rsid w:val="00D70767"/>
    <w:rsid w:val="00D70DF3"/>
    <w:rsid w:val="00D7166A"/>
    <w:rsid w:val="00D716FF"/>
    <w:rsid w:val="00D71874"/>
    <w:rsid w:val="00D71A86"/>
    <w:rsid w:val="00D71B88"/>
    <w:rsid w:val="00D72C89"/>
    <w:rsid w:val="00D72E6C"/>
    <w:rsid w:val="00D732DF"/>
    <w:rsid w:val="00D7346E"/>
    <w:rsid w:val="00D73692"/>
    <w:rsid w:val="00D73D09"/>
    <w:rsid w:val="00D74124"/>
    <w:rsid w:val="00D74618"/>
    <w:rsid w:val="00D74D59"/>
    <w:rsid w:val="00D750C3"/>
    <w:rsid w:val="00D750C4"/>
    <w:rsid w:val="00D757D7"/>
    <w:rsid w:val="00D75B03"/>
    <w:rsid w:val="00D75BD0"/>
    <w:rsid w:val="00D75FF2"/>
    <w:rsid w:val="00D76914"/>
    <w:rsid w:val="00D76E5B"/>
    <w:rsid w:val="00D771C9"/>
    <w:rsid w:val="00D778AF"/>
    <w:rsid w:val="00D77904"/>
    <w:rsid w:val="00D77EFE"/>
    <w:rsid w:val="00D8029E"/>
    <w:rsid w:val="00D80839"/>
    <w:rsid w:val="00D8086E"/>
    <w:rsid w:val="00D80E44"/>
    <w:rsid w:val="00D81421"/>
    <w:rsid w:val="00D81479"/>
    <w:rsid w:val="00D81846"/>
    <w:rsid w:val="00D83051"/>
    <w:rsid w:val="00D8395B"/>
    <w:rsid w:val="00D83C75"/>
    <w:rsid w:val="00D84609"/>
    <w:rsid w:val="00D84937"/>
    <w:rsid w:val="00D84964"/>
    <w:rsid w:val="00D84BE7"/>
    <w:rsid w:val="00D84FE0"/>
    <w:rsid w:val="00D8515E"/>
    <w:rsid w:val="00D85918"/>
    <w:rsid w:val="00D85956"/>
    <w:rsid w:val="00D85D04"/>
    <w:rsid w:val="00D8607A"/>
    <w:rsid w:val="00D86255"/>
    <w:rsid w:val="00D86952"/>
    <w:rsid w:val="00D86C19"/>
    <w:rsid w:val="00D86E49"/>
    <w:rsid w:val="00D870C1"/>
    <w:rsid w:val="00D871C4"/>
    <w:rsid w:val="00D87BBB"/>
    <w:rsid w:val="00D87C0F"/>
    <w:rsid w:val="00D87FDF"/>
    <w:rsid w:val="00D9000A"/>
    <w:rsid w:val="00D9041A"/>
    <w:rsid w:val="00D910F4"/>
    <w:rsid w:val="00D91561"/>
    <w:rsid w:val="00D917EE"/>
    <w:rsid w:val="00D9197B"/>
    <w:rsid w:val="00D91A9A"/>
    <w:rsid w:val="00D922C7"/>
    <w:rsid w:val="00D92D54"/>
    <w:rsid w:val="00D92F3D"/>
    <w:rsid w:val="00D931A8"/>
    <w:rsid w:val="00D93660"/>
    <w:rsid w:val="00D936A4"/>
    <w:rsid w:val="00D93CD9"/>
    <w:rsid w:val="00D947E5"/>
    <w:rsid w:val="00D96ACC"/>
    <w:rsid w:val="00D96B77"/>
    <w:rsid w:val="00D96C3D"/>
    <w:rsid w:val="00D96C56"/>
    <w:rsid w:val="00D96C91"/>
    <w:rsid w:val="00D96F62"/>
    <w:rsid w:val="00D97B18"/>
    <w:rsid w:val="00DA0090"/>
    <w:rsid w:val="00DA02FA"/>
    <w:rsid w:val="00DA0732"/>
    <w:rsid w:val="00DA0E15"/>
    <w:rsid w:val="00DA0F17"/>
    <w:rsid w:val="00DA0FA7"/>
    <w:rsid w:val="00DA139E"/>
    <w:rsid w:val="00DA1C1B"/>
    <w:rsid w:val="00DA1CFD"/>
    <w:rsid w:val="00DA20BA"/>
    <w:rsid w:val="00DA2175"/>
    <w:rsid w:val="00DA232D"/>
    <w:rsid w:val="00DA30E0"/>
    <w:rsid w:val="00DA31F7"/>
    <w:rsid w:val="00DA3496"/>
    <w:rsid w:val="00DA395A"/>
    <w:rsid w:val="00DA3EC0"/>
    <w:rsid w:val="00DA3FB8"/>
    <w:rsid w:val="00DA4360"/>
    <w:rsid w:val="00DA43A2"/>
    <w:rsid w:val="00DA4C8C"/>
    <w:rsid w:val="00DA4CB9"/>
    <w:rsid w:val="00DA4D3B"/>
    <w:rsid w:val="00DA4D68"/>
    <w:rsid w:val="00DA5376"/>
    <w:rsid w:val="00DA558E"/>
    <w:rsid w:val="00DA58B3"/>
    <w:rsid w:val="00DA5BA5"/>
    <w:rsid w:val="00DA666A"/>
    <w:rsid w:val="00DA6B0F"/>
    <w:rsid w:val="00DA71BA"/>
    <w:rsid w:val="00DA7771"/>
    <w:rsid w:val="00DA77C2"/>
    <w:rsid w:val="00DB03E8"/>
    <w:rsid w:val="00DB0A95"/>
    <w:rsid w:val="00DB11FC"/>
    <w:rsid w:val="00DB13B8"/>
    <w:rsid w:val="00DB1639"/>
    <w:rsid w:val="00DB1B77"/>
    <w:rsid w:val="00DB1E96"/>
    <w:rsid w:val="00DB2470"/>
    <w:rsid w:val="00DB2688"/>
    <w:rsid w:val="00DB3383"/>
    <w:rsid w:val="00DB3428"/>
    <w:rsid w:val="00DB3D82"/>
    <w:rsid w:val="00DB44CE"/>
    <w:rsid w:val="00DB468D"/>
    <w:rsid w:val="00DB4E52"/>
    <w:rsid w:val="00DB530D"/>
    <w:rsid w:val="00DB55DC"/>
    <w:rsid w:val="00DB5D2D"/>
    <w:rsid w:val="00DB6159"/>
    <w:rsid w:val="00DB619B"/>
    <w:rsid w:val="00DB627F"/>
    <w:rsid w:val="00DB6429"/>
    <w:rsid w:val="00DB7078"/>
    <w:rsid w:val="00DB7098"/>
    <w:rsid w:val="00DB710A"/>
    <w:rsid w:val="00DB7984"/>
    <w:rsid w:val="00DC06A7"/>
    <w:rsid w:val="00DC1D4E"/>
    <w:rsid w:val="00DC2209"/>
    <w:rsid w:val="00DC257F"/>
    <w:rsid w:val="00DC290C"/>
    <w:rsid w:val="00DC2D5E"/>
    <w:rsid w:val="00DC2E07"/>
    <w:rsid w:val="00DC3FF1"/>
    <w:rsid w:val="00DC437F"/>
    <w:rsid w:val="00DC43DA"/>
    <w:rsid w:val="00DC45B8"/>
    <w:rsid w:val="00DC4D4D"/>
    <w:rsid w:val="00DC512B"/>
    <w:rsid w:val="00DC5152"/>
    <w:rsid w:val="00DC5DEB"/>
    <w:rsid w:val="00DC5E6A"/>
    <w:rsid w:val="00DC635E"/>
    <w:rsid w:val="00DC6928"/>
    <w:rsid w:val="00DC6B37"/>
    <w:rsid w:val="00DC73A0"/>
    <w:rsid w:val="00DC79F2"/>
    <w:rsid w:val="00DC7A8B"/>
    <w:rsid w:val="00DD007E"/>
    <w:rsid w:val="00DD070C"/>
    <w:rsid w:val="00DD0833"/>
    <w:rsid w:val="00DD0B7A"/>
    <w:rsid w:val="00DD0F94"/>
    <w:rsid w:val="00DD1AB4"/>
    <w:rsid w:val="00DD1F77"/>
    <w:rsid w:val="00DD1F83"/>
    <w:rsid w:val="00DD1FC4"/>
    <w:rsid w:val="00DD297C"/>
    <w:rsid w:val="00DD2CA4"/>
    <w:rsid w:val="00DD3AF0"/>
    <w:rsid w:val="00DD3D66"/>
    <w:rsid w:val="00DD41CD"/>
    <w:rsid w:val="00DD49C6"/>
    <w:rsid w:val="00DD5321"/>
    <w:rsid w:val="00DD58DE"/>
    <w:rsid w:val="00DD59BC"/>
    <w:rsid w:val="00DD5A12"/>
    <w:rsid w:val="00DD5F53"/>
    <w:rsid w:val="00DD603C"/>
    <w:rsid w:val="00DD6353"/>
    <w:rsid w:val="00DD6655"/>
    <w:rsid w:val="00DD6862"/>
    <w:rsid w:val="00DD6CB7"/>
    <w:rsid w:val="00DD7234"/>
    <w:rsid w:val="00DD7518"/>
    <w:rsid w:val="00DD7DC9"/>
    <w:rsid w:val="00DE01BF"/>
    <w:rsid w:val="00DE06A7"/>
    <w:rsid w:val="00DE0729"/>
    <w:rsid w:val="00DE073E"/>
    <w:rsid w:val="00DE0980"/>
    <w:rsid w:val="00DE0C05"/>
    <w:rsid w:val="00DE0EA9"/>
    <w:rsid w:val="00DE1348"/>
    <w:rsid w:val="00DE16BA"/>
    <w:rsid w:val="00DE216B"/>
    <w:rsid w:val="00DE2655"/>
    <w:rsid w:val="00DE2908"/>
    <w:rsid w:val="00DE29C6"/>
    <w:rsid w:val="00DE2D0B"/>
    <w:rsid w:val="00DE3874"/>
    <w:rsid w:val="00DE3A14"/>
    <w:rsid w:val="00DE3D15"/>
    <w:rsid w:val="00DE402A"/>
    <w:rsid w:val="00DE4091"/>
    <w:rsid w:val="00DE48DA"/>
    <w:rsid w:val="00DE4930"/>
    <w:rsid w:val="00DE4995"/>
    <w:rsid w:val="00DE4B7C"/>
    <w:rsid w:val="00DE4C48"/>
    <w:rsid w:val="00DE5586"/>
    <w:rsid w:val="00DE6125"/>
    <w:rsid w:val="00DE6651"/>
    <w:rsid w:val="00DE6E4F"/>
    <w:rsid w:val="00DE6EBD"/>
    <w:rsid w:val="00DE7379"/>
    <w:rsid w:val="00DE7851"/>
    <w:rsid w:val="00DE7B5B"/>
    <w:rsid w:val="00DE7C3C"/>
    <w:rsid w:val="00DE7CCA"/>
    <w:rsid w:val="00DF00D7"/>
    <w:rsid w:val="00DF03FF"/>
    <w:rsid w:val="00DF0992"/>
    <w:rsid w:val="00DF0B15"/>
    <w:rsid w:val="00DF0CBE"/>
    <w:rsid w:val="00DF119E"/>
    <w:rsid w:val="00DF1231"/>
    <w:rsid w:val="00DF1484"/>
    <w:rsid w:val="00DF1DA5"/>
    <w:rsid w:val="00DF22EC"/>
    <w:rsid w:val="00DF2FFD"/>
    <w:rsid w:val="00DF3A5C"/>
    <w:rsid w:val="00DF5496"/>
    <w:rsid w:val="00DF5665"/>
    <w:rsid w:val="00DF597D"/>
    <w:rsid w:val="00DF5D0C"/>
    <w:rsid w:val="00DF5F0C"/>
    <w:rsid w:val="00DF647C"/>
    <w:rsid w:val="00DF6C82"/>
    <w:rsid w:val="00DF75EE"/>
    <w:rsid w:val="00DF79D5"/>
    <w:rsid w:val="00DF7B04"/>
    <w:rsid w:val="00DF7E4D"/>
    <w:rsid w:val="00E01063"/>
    <w:rsid w:val="00E01A9B"/>
    <w:rsid w:val="00E01B0C"/>
    <w:rsid w:val="00E01CA7"/>
    <w:rsid w:val="00E01FDD"/>
    <w:rsid w:val="00E020D6"/>
    <w:rsid w:val="00E02179"/>
    <w:rsid w:val="00E0231C"/>
    <w:rsid w:val="00E029BD"/>
    <w:rsid w:val="00E02E49"/>
    <w:rsid w:val="00E02FF9"/>
    <w:rsid w:val="00E03567"/>
    <w:rsid w:val="00E03B31"/>
    <w:rsid w:val="00E03CF0"/>
    <w:rsid w:val="00E04114"/>
    <w:rsid w:val="00E04560"/>
    <w:rsid w:val="00E04583"/>
    <w:rsid w:val="00E047B2"/>
    <w:rsid w:val="00E04F40"/>
    <w:rsid w:val="00E05296"/>
    <w:rsid w:val="00E05502"/>
    <w:rsid w:val="00E05668"/>
    <w:rsid w:val="00E05C1F"/>
    <w:rsid w:val="00E061F0"/>
    <w:rsid w:val="00E06422"/>
    <w:rsid w:val="00E06474"/>
    <w:rsid w:val="00E065BD"/>
    <w:rsid w:val="00E0693A"/>
    <w:rsid w:val="00E06CE0"/>
    <w:rsid w:val="00E06E03"/>
    <w:rsid w:val="00E06EC6"/>
    <w:rsid w:val="00E074D1"/>
    <w:rsid w:val="00E07DEE"/>
    <w:rsid w:val="00E100CC"/>
    <w:rsid w:val="00E10E07"/>
    <w:rsid w:val="00E10EB0"/>
    <w:rsid w:val="00E110DB"/>
    <w:rsid w:val="00E113EE"/>
    <w:rsid w:val="00E1142A"/>
    <w:rsid w:val="00E118EB"/>
    <w:rsid w:val="00E11C27"/>
    <w:rsid w:val="00E11EBE"/>
    <w:rsid w:val="00E12317"/>
    <w:rsid w:val="00E12744"/>
    <w:rsid w:val="00E12A0E"/>
    <w:rsid w:val="00E12B7D"/>
    <w:rsid w:val="00E131AB"/>
    <w:rsid w:val="00E134A0"/>
    <w:rsid w:val="00E13653"/>
    <w:rsid w:val="00E13686"/>
    <w:rsid w:val="00E138D6"/>
    <w:rsid w:val="00E13A3F"/>
    <w:rsid w:val="00E13AD5"/>
    <w:rsid w:val="00E13B48"/>
    <w:rsid w:val="00E13CF8"/>
    <w:rsid w:val="00E13F2C"/>
    <w:rsid w:val="00E14679"/>
    <w:rsid w:val="00E147A0"/>
    <w:rsid w:val="00E1488B"/>
    <w:rsid w:val="00E148EA"/>
    <w:rsid w:val="00E148FB"/>
    <w:rsid w:val="00E14A37"/>
    <w:rsid w:val="00E153FB"/>
    <w:rsid w:val="00E15AC1"/>
    <w:rsid w:val="00E15BC3"/>
    <w:rsid w:val="00E15DA3"/>
    <w:rsid w:val="00E15DD5"/>
    <w:rsid w:val="00E1658C"/>
    <w:rsid w:val="00E16874"/>
    <w:rsid w:val="00E16D1D"/>
    <w:rsid w:val="00E16E2A"/>
    <w:rsid w:val="00E17483"/>
    <w:rsid w:val="00E17819"/>
    <w:rsid w:val="00E1792D"/>
    <w:rsid w:val="00E17A71"/>
    <w:rsid w:val="00E17CC4"/>
    <w:rsid w:val="00E17D90"/>
    <w:rsid w:val="00E17E61"/>
    <w:rsid w:val="00E20800"/>
    <w:rsid w:val="00E208C6"/>
    <w:rsid w:val="00E20A12"/>
    <w:rsid w:val="00E20D1F"/>
    <w:rsid w:val="00E20FFC"/>
    <w:rsid w:val="00E21984"/>
    <w:rsid w:val="00E21CEC"/>
    <w:rsid w:val="00E21F39"/>
    <w:rsid w:val="00E2336E"/>
    <w:rsid w:val="00E233C9"/>
    <w:rsid w:val="00E235B0"/>
    <w:rsid w:val="00E23615"/>
    <w:rsid w:val="00E23D14"/>
    <w:rsid w:val="00E240A8"/>
    <w:rsid w:val="00E24166"/>
    <w:rsid w:val="00E24A20"/>
    <w:rsid w:val="00E24AA1"/>
    <w:rsid w:val="00E24C80"/>
    <w:rsid w:val="00E24DFF"/>
    <w:rsid w:val="00E2583E"/>
    <w:rsid w:val="00E259D0"/>
    <w:rsid w:val="00E25BD3"/>
    <w:rsid w:val="00E25E64"/>
    <w:rsid w:val="00E25E92"/>
    <w:rsid w:val="00E261D1"/>
    <w:rsid w:val="00E2631B"/>
    <w:rsid w:val="00E2635E"/>
    <w:rsid w:val="00E2637B"/>
    <w:rsid w:val="00E268CB"/>
    <w:rsid w:val="00E26B56"/>
    <w:rsid w:val="00E26F28"/>
    <w:rsid w:val="00E26F91"/>
    <w:rsid w:val="00E271FB"/>
    <w:rsid w:val="00E27CEB"/>
    <w:rsid w:val="00E27D54"/>
    <w:rsid w:val="00E307ED"/>
    <w:rsid w:val="00E31107"/>
    <w:rsid w:val="00E3127C"/>
    <w:rsid w:val="00E3133B"/>
    <w:rsid w:val="00E31602"/>
    <w:rsid w:val="00E31689"/>
    <w:rsid w:val="00E31937"/>
    <w:rsid w:val="00E326A8"/>
    <w:rsid w:val="00E32727"/>
    <w:rsid w:val="00E3311D"/>
    <w:rsid w:val="00E33860"/>
    <w:rsid w:val="00E343EE"/>
    <w:rsid w:val="00E344E1"/>
    <w:rsid w:val="00E34AF1"/>
    <w:rsid w:val="00E34DD1"/>
    <w:rsid w:val="00E34E80"/>
    <w:rsid w:val="00E3553E"/>
    <w:rsid w:val="00E35A91"/>
    <w:rsid w:val="00E35D66"/>
    <w:rsid w:val="00E3668D"/>
    <w:rsid w:val="00E36698"/>
    <w:rsid w:val="00E370DD"/>
    <w:rsid w:val="00E37DD4"/>
    <w:rsid w:val="00E37F42"/>
    <w:rsid w:val="00E401BE"/>
    <w:rsid w:val="00E4031A"/>
    <w:rsid w:val="00E4061F"/>
    <w:rsid w:val="00E41714"/>
    <w:rsid w:val="00E4191B"/>
    <w:rsid w:val="00E41BA9"/>
    <w:rsid w:val="00E421D7"/>
    <w:rsid w:val="00E42645"/>
    <w:rsid w:val="00E42728"/>
    <w:rsid w:val="00E42AA5"/>
    <w:rsid w:val="00E42AF5"/>
    <w:rsid w:val="00E42CFD"/>
    <w:rsid w:val="00E42FCE"/>
    <w:rsid w:val="00E4348E"/>
    <w:rsid w:val="00E44567"/>
    <w:rsid w:val="00E450A5"/>
    <w:rsid w:val="00E4551B"/>
    <w:rsid w:val="00E4594B"/>
    <w:rsid w:val="00E45995"/>
    <w:rsid w:val="00E50554"/>
    <w:rsid w:val="00E50882"/>
    <w:rsid w:val="00E51447"/>
    <w:rsid w:val="00E51E75"/>
    <w:rsid w:val="00E51F95"/>
    <w:rsid w:val="00E52335"/>
    <w:rsid w:val="00E52C71"/>
    <w:rsid w:val="00E52D05"/>
    <w:rsid w:val="00E52EE6"/>
    <w:rsid w:val="00E53736"/>
    <w:rsid w:val="00E53EAA"/>
    <w:rsid w:val="00E53F93"/>
    <w:rsid w:val="00E543CF"/>
    <w:rsid w:val="00E5495D"/>
    <w:rsid w:val="00E54C36"/>
    <w:rsid w:val="00E55C4E"/>
    <w:rsid w:val="00E5624C"/>
    <w:rsid w:val="00E56378"/>
    <w:rsid w:val="00E56B10"/>
    <w:rsid w:val="00E56C66"/>
    <w:rsid w:val="00E57693"/>
    <w:rsid w:val="00E5787B"/>
    <w:rsid w:val="00E57971"/>
    <w:rsid w:val="00E57FDB"/>
    <w:rsid w:val="00E6080F"/>
    <w:rsid w:val="00E60A27"/>
    <w:rsid w:val="00E60B9C"/>
    <w:rsid w:val="00E61069"/>
    <w:rsid w:val="00E6126B"/>
    <w:rsid w:val="00E6189F"/>
    <w:rsid w:val="00E61A74"/>
    <w:rsid w:val="00E61E68"/>
    <w:rsid w:val="00E6253C"/>
    <w:rsid w:val="00E628A0"/>
    <w:rsid w:val="00E62D45"/>
    <w:rsid w:val="00E62F66"/>
    <w:rsid w:val="00E6319B"/>
    <w:rsid w:val="00E6321F"/>
    <w:rsid w:val="00E634DB"/>
    <w:rsid w:val="00E63F5D"/>
    <w:rsid w:val="00E640A0"/>
    <w:rsid w:val="00E643AF"/>
    <w:rsid w:val="00E64427"/>
    <w:rsid w:val="00E64BAC"/>
    <w:rsid w:val="00E652A8"/>
    <w:rsid w:val="00E65568"/>
    <w:rsid w:val="00E6578C"/>
    <w:rsid w:val="00E659B9"/>
    <w:rsid w:val="00E65BD8"/>
    <w:rsid w:val="00E65DAA"/>
    <w:rsid w:val="00E65F8A"/>
    <w:rsid w:val="00E6630C"/>
    <w:rsid w:val="00E6667E"/>
    <w:rsid w:val="00E668E6"/>
    <w:rsid w:val="00E66967"/>
    <w:rsid w:val="00E669CC"/>
    <w:rsid w:val="00E669FA"/>
    <w:rsid w:val="00E6716A"/>
    <w:rsid w:val="00E673B8"/>
    <w:rsid w:val="00E67A5E"/>
    <w:rsid w:val="00E67AA8"/>
    <w:rsid w:val="00E705E0"/>
    <w:rsid w:val="00E70C2B"/>
    <w:rsid w:val="00E70D34"/>
    <w:rsid w:val="00E70EC2"/>
    <w:rsid w:val="00E710B4"/>
    <w:rsid w:val="00E71706"/>
    <w:rsid w:val="00E718E3"/>
    <w:rsid w:val="00E71F12"/>
    <w:rsid w:val="00E72039"/>
    <w:rsid w:val="00E721EA"/>
    <w:rsid w:val="00E72428"/>
    <w:rsid w:val="00E72862"/>
    <w:rsid w:val="00E7288E"/>
    <w:rsid w:val="00E729C0"/>
    <w:rsid w:val="00E72C25"/>
    <w:rsid w:val="00E72EA6"/>
    <w:rsid w:val="00E72FA7"/>
    <w:rsid w:val="00E73293"/>
    <w:rsid w:val="00E7364F"/>
    <w:rsid w:val="00E73CC2"/>
    <w:rsid w:val="00E7411D"/>
    <w:rsid w:val="00E749AA"/>
    <w:rsid w:val="00E7547C"/>
    <w:rsid w:val="00E7547F"/>
    <w:rsid w:val="00E75A1D"/>
    <w:rsid w:val="00E75ED6"/>
    <w:rsid w:val="00E7673D"/>
    <w:rsid w:val="00E76A91"/>
    <w:rsid w:val="00E771CE"/>
    <w:rsid w:val="00E7751B"/>
    <w:rsid w:val="00E77B48"/>
    <w:rsid w:val="00E77BAB"/>
    <w:rsid w:val="00E77E65"/>
    <w:rsid w:val="00E77F86"/>
    <w:rsid w:val="00E801E9"/>
    <w:rsid w:val="00E808F0"/>
    <w:rsid w:val="00E80A59"/>
    <w:rsid w:val="00E81023"/>
    <w:rsid w:val="00E812C9"/>
    <w:rsid w:val="00E816EB"/>
    <w:rsid w:val="00E8171D"/>
    <w:rsid w:val="00E81E2C"/>
    <w:rsid w:val="00E82155"/>
    <w:rsid w:val="00E8253E"/>
    <w:rsid w:val="00E82770"/>
    <w:rsid w:val="00E829F8"/>
    <w:rsid w:val="00E83C35"/>
    <w:rsid w:val="00E83E91"/>
    <w:rsid w:val="00E83EB0"/>
    <w:rsid w:val="00E83F48"/>
    <w:rsid w:val="00E84042"/>
    <w:rsid w:val="00E84394"/>
    <w:rsid w:val="00E845DE"/>
    <w:rsid w:val="00E84EEF"/>
    <w:rsid w:val="00E8510E"/>
    <w:rsid w:val="00E85176"/>
    <w:rsid w:val="00E857D6"/>
    <w:rsid w:val="00E858B7"/>
    <w:rsid w:val="00E85985"/>
    <w:rsid w:val="00E86171"/>
    <w:rsid w:val="00E862E8"/>
    <w:rsid w:val="00E8633F"/>
    <w:rsid w:val="00E868EF"/>
    <w:rsid w:val="00E86E41"/>
    <w:rsid w:val="00E870B5"/>
    <w:rsid w:val="00E87383"/>
    <w:rsid w:val="00E87812"/>
    <w:rsid w:val="00E87978"/>
    <w:rsid w:val="00E90B35"/>
    <w:rsid w:val="00E9105C"/>
    <w:rsid w:val="00E919E0"/>
    <w:rsid w:val="00E91BF7"/>
    <w:rsid w:val="00E91EAA"/>
    <w:rsid w:val="00E92170"/>
    <w:rsid w:val="00E92969"/>
    <w:rsid w:val="00E92E7C"/>
    <w:rsid w:val="00E9361B"/>
    <w:rsid w:val="00E93AB6"/>
    <w:rsid w:val="00E93CD2"/>
    <w:rsid w:val="00E93DEB"/>
    <w:rsid w:val="00E94296"/>
    <w:rsid w:val="00E94CBD"/>
    <w:rsid w:val="00E94EF1"/>
    <w:rsid w:val="00E95442"/>
    <w:rsid w:val="00E95555"/>
    <w:rsid w:val="00E95705"/>
    <w:rsid w:val="00E959D2"/>
    <w:rsid w:val="00E95EB2"/>
    <w:rsid w:val="00E9603A"/>
    <w:rsid w:val="00E96AA6"/>
    <w:rsid w:val="00E97145"/>
    <w:rsid w:val="00E972E8"/>
    <w:rsid w:val="00E97473"/>
    <w:rsid w:val="00E97ACD"/>
    <w:rsid w:val="00E97F1A"/>
    <w:rsid w:val="00EA006C"/>
    <w:rsid w:val="00EA0F7B"/>
    <w:rsid w:val="00EA162F"/>
    <w:rsid w:val="00EA1BCB"/>
    <w:rsid w:val="00EA28DC"/>
    <w:rsid w:val="00EA2F28"/>
    <w:rsid w:val="00EA35CE"/>
    <w:rsid w:val="00EA38B7"/>
    <w:rsid w:val="00EA4000"/>
    <w:rsid w:val="00EA4585"/>
    <w:rsid w:val="00EA4820"/>
    <w:rsid w:val="00EA516C"/>
    <w:rsid w:val="00EA53D0"/>
    <w:rsid w:val="00EA5B0C"/>
    <w:rsid w:val="00EA6125"/>
    <w:rsid w:val="00EA615B"/>
    <w:rsid w:val="00EA6204"/>
    <w:rsid w:val="00EA6875"/>
    <w:rsid w:val="00EA6FBC"/>
    <w:rsid w:val="00EA7CA9"/>
    <w:rsid w:val="00EB02CC"/>
    <w:rsid w:val="00EB05BA"/>
    <w:rsid w:val="00EB0930"/>
    <w:rsid w:val="00EB0CFD"/>
    <w:rsid w:val="00EB11B0"/>
    <w:rsid w:val="00EB134D"/>
    <w:rsid w:val="00EB1618"/>
    <w:rsid w:val="00EB1D9E"/>
    <w:rsid w:val="00EB1E31"/>
    <w:rsid w:val="00EB2407"/>
    <w:rsid w:val="00EB28A3"/>
    <w:rsid w:val="00EB2BBB"/>
    <w:rsid w:val="00EB2C66"/>
    <w:rsid w:val="00EB31CB"/>
    <w:rsid w:val="00EB322B"/>
    <w:rsid w:val="00EB38D3"/>
    <w:rsid w:val="00EB390D"/>
    <w:rsid w:val="00EB3BF2"/>
    <w:rsid w:val="00EB3EA6"/>
    <w:rsid w:val="00EB4198"/>
    <w:rsid w:val="00EB433D"/>
    <w:rsid w:val="00EB4808"/>
    <w:rsid w:val="00EB5102"/>
    <w:rsid w:val="00EB52B7"/>
    <w:rsid w:val="00EB6198"/>
    <w:rsid w:val="00EB61A2"/>
    <w:rsid w:val="00EB6696"/>
    <w:rsid w:val="00EB7227"/>
    <w:rsid w:val="00EB75D0"/>
    <w:rsid w:val="00EB7E44"/>
    <w:rsid w:val="00EB7F29"/>
    <w:rsid w:val="00EC05DA"/>
    <w:rsid w:val="00EC07CA"/>
    <w:rsid w:val="00EC0A6C"/>
    <w:rsid w:val="00EC111E"/>
    <w:rsid w:val="00EC1497"/>
    <w:rsid w:val="00EC1CAB"/>
    <w:rsid w:val="00EC1CC4"/>
    <w:rsid w:val="00EC28DD"/>
    <w:rsid w:val="00EC3553"/>
    <w:rsid w:val="00EC35AE"/>
    <w:rsid w:val="00EC368B"/>
    <w:rsid w:val="00EC3D68"/>
    <w:rsid w:val="00EC400D"/>
    <w:rsid w:val="00EC4601"/>
    <w:rsid w:val="00EC5624"/>
    <w:rsid w:val="00EC58E3"/>
    <w:rsid w:val="00EC5FC2"/>
    <w:rsid w:val="00EC672A"/>
    <w:rsid w:val="00EC69F0"/>
    <w:rsid w:val="00EC6B7E"/>
    <w:rsid w:val="00EC73C6"/>
    <w:rsid w:val="00EC7C71"/>
    <w:rsid w:val="00ED0202"/>
    <w:rsid w:val="00ED04B3"/>
    <w:rsid w:val="00ED04B5"/>
    <w:rsid w:val="00ED04EB"/>
    <w:rsid w:val="00ED0526"/>
    <w:rsid w:val="00ED0710"/>
    <w:rsid w:val="00ED0A5E"/>
    <w:rsid w:val="00ED11AE"/>
    <w:rsid w:val="00ED1791"/>
    <w:rsid w:val="00ED1C70"/>
    <w:rsid w:val="00ED1D24"/>
    <w:rsid w:val="00ED1FE5"/>
    <w:rsid w:val="00ED260F"/>
    <w:rsid w:val="00ED2722"/>
    <w:rsid w:val="00ED28AB"/>
    <w:rsid w:val="00ED2DFF"/>
    <w:rsid w:val="00ED2E04"/>
    <w:rsid w:val="00ED2EFF"/>
    <w:rsid w:val="00ED2FE6"/>
    <w:rsid w:val="00ED30DC"/>
    <w:rsid w:val="00ED39A4"/>
    <w:rsid w:val="00ED3BCF"/>
    <w:rsid w:val="00ED3CB3"/>
    <w:rsid w:val="00ED3CF3"/>
    <w:rsid w:val="00ED47BB"/>
    <w:rsid w:val="00ED5825"/>
    <w:rsid w:val="00ED5E39"/>
    <w:rsid w:val="00ED6881"/>
    <w:rsid w:val="00ED7A34"/>
    <w:rsid w:val="00EE011F"/>
    <w:rsid w:val="00EE0D60"/>
    <w:rsid w:val="00EE0F8B"/>
    <w:rsid w:val="00EE18AE"/>
    <w:rsid w:val="00EE1A31"/>
    <w:rsid w:val="00EE1A6C"/>
    <w:rsid w:val="00EE1BF3"/>
    <w:rsid w:val="00EE21B3"/>
    <w:rsid w:val="00EE2491"/>
    <w:rsid w:val="00EE33AC"/>
    <w:rsid w:val="00EE3538"/>
    <w:rsid w:val="00EE37F2"/>
    <w:rsid w:val="00EE390D"/>
    <w:rsid w:val="00EE3AB7"/>
    <w:rsid w:val="00EE460E"/>
    <w:rsid w:val="00EE4D7D"/>
    <w:rsid w:val="00EE4DA8"/>
    <w:rsid w:val="00EE5097"/>
    <w:rsid w:val="00EE559E"/>
    <w:rsid w:val="00EE55B1"/>
    <w:rsid w:val="00EE5843"/>
    <w:rsid w:val="00EE68C6"/>
    <w:rsid w:val="00EE71F3"/>
    <w:rsid w:val="00EF03AD"/>
    <w:rsid w:val="00EF0BD3"/>
    <w:rsid w:val="00EF0C38"/>
    <w:rsid w:val="00EF0E5B"/>
    <w:rsid w:val="00EF1563"/>
    <w:rsid w:val="00EF16C5"/>
    <w:rsid w:val="00EF186A"/>
    <w:rsid w:val="00EF2173"/>
    <w:rsid w:val="00EF269C"/>
    <w:rsid w:val="00EF2999"/>
    <w:rsid w:val="00EF2EBE"/>
    <w:rsid w:val="00EF2F6F"/>
    <w:rsid w:val="00EF4657"/>
    <w:rsid w:val="00EF4C60"/>
    <w:rsid w:val="00EF5461"/>
    <w:rsid w:val="00EF6047"/>
    <w:rsid w:val="00EF60B2"/>
    <w:rsid w:val="00EF6201"/>
    <w:rsid w:val="00EF6B4C"/>
    <w:rsid w:val="00EF6C89"/>
    <w:rsid w:val="00EF6DB8"/>
    <w:rsid w:val="00EF6DFD"/>
    <w:rsid w:val="00EF7860"/>
    <w:rsid w:val="00EF790D"/>
    <w:rsid w:val="00EF7B98"/>
    <w:rsid w:val="00F00117"/>
    <w:rsid w:val="00F00834"/>
    <w:rsid w:val="00F00FB7"/>
    <w:rsid w:val="00F01995"/>
    <w:rsid w:val="00F02148"/>
    <w:rsid w:val="00F0217C"/>
    <w:rsid w:val="00F02787"/>
    <w:rsid w:val="00F02899"/>
    <w:rsid w:val="00F02EF0"/>
    <w:rsid w:val="00F02FC7"/>
    <w:rsid w:val="00F03187"/>
    <w:rsid w:val="00F037C7"/>
    <w:rsid w:val="00F03837"/>
    <w:rsid w:val="00F03EBA"/>
    <w:rsid w:val="00F0407D"/>
    <w:rsid w:val="00F044B1"/>
    <w:rsid w:val="00F04954"/>
    <w:rsid w:val="00F04C67"/>
    <w:rsid w:val="00F04C77"/>
    <w:rsid w:val="00F05475"/>
    <w:rsid w:val="00F05979"/>
    <w:rsid w:val="00F06501"/>
    <w:rsid w:val="00F06854"/>
    <w:rsid w:val="00F06A94"/>
    <w:rsid w:val="00F06E82"/>
    <w:rsid w:val="00F07121"/>
    <w:rsid w:val="00F07144"/>
    <w:rsid w:val="00F07374"/>
    <w:rsid w:val="00F07412"/>
    <w:rsid w:val="00F07B5D"/>
    <w:rsid w:val="00F100E7"/>
    <w:rsid w:val="00F10244"/>
    <w:rsid w:val="00F103AE"/>
    <w:rsid w:val="00F10475"/>
    <w:rsid w:val="00F10489"/>
    <w:rsid w:val="00F11C5E"/>
    <w:rsid w:val="00F1223F"/>
    <w:rsid w:val="00F12918"/>
    <w:rsid w:val="00F134D2"/>
    <w:rsid w:val="00F1368B"/>
    <w:rsid w:val="00F140D0"/>
    <w:rsid w:val="00F14541"/>
    <w:rsid w:val="00F14600"/>
    <w:rsid w:val="00F149F5"/>
    <w:rsid w:val="00F14D98"/>
    <w:rsid w:val="00F1585D"/>
    <w:rsid w:val="00F159E7"/>
    <w:rsid w:val="00F162A1"/>
    <w:rsid w:val="00F1639B"/>
    <w:rsid w:val="00F165D1"/>
    <w:rsid w:val="00F16755"/>
    <w:rsid w:val="00F16C15"/>
    <w:rsid w:val="00F16FE0"/>
    <w:rsid w:val="00F177D0"/>
    <w:rsid w:val="00F178FF"/>
    <w:rsid w:val="00F202C2"/>
    <w:rsid w:val="00F202D1"/>
    <w:rsid w:val="00F20946"/>
    <w:rsid w:val="00F209F8"/>
    <w:rsid w:val="00F20C3F"/>
    <w:rsid w:val="00F21702"/>
    <w:rsid w:val="00F21C05"/>
    <w:rsid w:val="00F21EA8"/>
    <w:rsid w:val="00F22648"/>
    <w:rsid w:val="00F22F58"/>
    <w:rsid w:val="00F23949"/>
    <w:rsid w:val="00F23957"/>
    <w:rsid w:val="00F23958"/>
    <w:rsid w:val="00F23C89"/>
    <w:rsid w:val="00F2469D"/>
    <w:rsid w:val="00F246A0"/>
    <w:rsid w:val="00F24AC2"/>
    <w:rsid w:val="00F24CA9"/>
    <w:rsid w:val="00F24E4D"/>
    <w:rsid w:val="00F254C2"/>
    <w:rsid w:val="00F25550"/>
    <w:rsid w:val="00F25FB0"/>
    <w:rsid w:val="00F26953"/>
    <w:rsid w:val="00F26EDE"/>
    <w:rsid w:val="00F27352"/>
    <w:rsid w:val="00F27D0C"/>
    <w:rsid w:val="00F3012A"/>
    <w:rsid w:val="00F304CC"/>
    <w:rsid w:val="00F304FE"/>
    <w:rsid w:val="00F30672"/>
    <w:rsid w:val="00F30825"/>
    <w:rsid w:val="00F308AB"/>
    <w:rsid w:val="00F30B12"/>
    <w:rsid w:val="00F30B1A"/>
    <w:rsid w:val="00F30BAC"/>
    <w:rsid w:val="00F31034"/>
    <w:rsid w:val="00F31E0E"/>
    <w:rsid w:val="00F32029"/>
    <w:rsid w:val="00F321CE"/>
    <w:rsid w:val="00F3300B"/>
    <w:rsid w:val="00F33413"/>
    <w:rsid w:val="00F33529"/>
    <w:rsid w:val="00F3397E"/>
    <w:rsid w:val="00F33AC8"/>
    <w:rsid w:val="00F34B62"/>
    <w:rsid w:val="00F34C40"/>
    <w:rsid w:val="00F35D6E"/>
    <w:rsid w:val="00F35DE6"/>
    <w:rsid w:val="00F35EC2"/>
    <w:rsid w:val="00F36443"/>
    <w:rsid w:val="00F36C09"/>
    <w:rsid w:val="00F36D26"/>
    <w:rsid w:val="00F404BB"/>
    <w:rsid w:val="00F405FF"/>
    <w:rsid w:val="00F413B2"/>
    <w:rsid w:val="00F423FE"/>
    <w:rsid w:val="00F426D8"/>
    <w:rsid w:val="00F42803"/>
    <w:rsid w:val="00F42BB6"/>
    <w:rsid w:val="00F42D3A"/>
    <w:rsid w:val="00F42F32"/>
    <w:rsid w:val="00F42FFC"/>
    <w:rsid w:val="00F43611"/>
    <w:rsid w:val="00F436A0"/>
    <w:rsid w:val="00F442E5"/>
    <w:rsid w:val="00F44523"/>
    <w:rsid w:val="00F44756"/>
    <w:rsid w:val="00F45585"/>
    <w:rsid w:val="00F45825"/>
    <w:rsid w:val="00F45C43"/>
    <w:rsid w:val="00F4612A"/>
    <w:rsid w:val="00F465C5"/>
    <w:rsid w:val="00F466ED"/>
    <w:rsid w:val="00F46943"/>
    <w:rsid w:val="00F46CF8"/>
    <w:rsid w:val="00F46D74"/>
    <w:rsid w:val="00F471C5"/>
    <w:rsid w:val="00F47806"/>
    <w:rsid w:val="00F47871"/>
    <w:rsid w:val="00F50112"/>
    <w:rsid w:val="00F507A7"/>
    <w:rsid w:val="00F50CE7"/>
    <w:rsid w:val="00F51287"/>
    <w:rsid w:val="00F513C6"/>
    <w:rsid w:val="00F5228E"/>
    <w:rsid w:val="00F52922"/>
    <w:rsid w:val="00F52CEB"/>
    <w:rsid w:val="00F533E0"/>
    <w:rsid w:val="00F53600"/>
    <w:rsid w:val="00F53B74"/>
    <w:rsid w:val="00F53EF4"/>
    <w:rsid w:val="00F54A43"/>
    <w:rsid w:val="00F54D1B"/>
    <w:rsid w:val="00F54DC9"/>
    <w:rsid w:val="00F552F1"/>
    <w:rsid w:val="00F554CF"/>
    <w:rsid w:val="00F557AF"/>
    <w:rsid w:val="00F55F31"/>
    <w:rsid w:val="00F5621B"/>
    <w:rsid w:val="00F56462"/>
    <w:rsid w:val="00F56584"/>
    <w:rsid w:val="00F569B6"/>
    <w:rsid w:val="00F56C12"/>
    <w:rsid w:val="00F56FBC"/>
    <w:rsid w:val="00F56FF5"/>
    <w:rsid w:val="00F5702C"/>
    <w:rsid w:val="00F60041"/>
    <w:rsid w:val="00F60386"/>
    <w:rsid w:val="00F60ABD"/>
    <w:rsid w:val="00F60CD9"/>
    <w:rsid w:val="00F61623"/>
    <w:rsid w:val="00F6183E"/>
    <w:rsid w:val="00F618F4"/>
    <w:rsid w:val="00F61ACA"/>
    <w:rsid w:val="00F6211E"/>
    <w:rsid w:val="00F62316"/>
    <w:rsid w:val="00F62519"/>
    <w:rsid w:val="00F626F8"/>
    <w:rsid w:val="00F62A16"/>
    <w:rsid w:val="00F6371E"/>
    <w:rsid w:val="00F638BB"/>
    <w:rsid w:val="00F638DB"/>
    <w:rsid w:val="00F63924"/>
    <w:rsid w:val="00F63974"/>
    <w:rsid w:val="00F641BA"/>
    <w:rsid w:val="00F64258"/>
    <w:rsid w:val="00F6445D"/>
    <w:rsid w:val="00F64704"/>
    <w:rsid w:val="00F6473F"/>
    <w:rsid w:val="00F6489B"/>
    <w:rsid w:val="00F64A9C"/>
    <w:rsid w:val="00F64CD3"/>
    <w:rsid w:val="00F65363"/>
    <w:rsid w:val="00F65C81"/>
    <w:rsid w:val="00F65CA7"/>
    <w:rsid w:val="00F65DB2"/>
    <w:rsid w:val="00F65EB1"/>
    <w:rsid w:val="00F673D4"/>
    <w:rsid w:val="00F6769A"/>
    <w:rsid w:val="00F67A90"/>
    <w:rsid w:val="00F707B0"/>
    <w:rsid w:val="00F70B22"/>
    <w:rsid w:val="00F70B2F"/>
    <w:rsid w:val="00F71004"/>
    <w:rsid w:val="00F71073"/>
    <w:rsid w:val="00F71310"/>
    <w:rsid w:val="00F71C2E"/>
    <w:rsid w:val="00F72128"/>
    <w:rsid w:val="00F729D7"/>
    <w:rsid w:val="00F72A30"/>
    <w:rsid w:val="00F72AEE"/>
    <w:rsid w:val="00F72E4E"/>
    <w:rsid w:val="00F73AFD"/>
    <w:rsid w:val="00F73FA2"/>
    <w:rsid w:val="00F74168"/>
    <w:rsid w:val="00F749A2"/>
    <w:rsid w:val="00F750CA"/>
    <w:rsid w:val="00F755E4"/>
    <w:rsid w:val="00F755E9"/>
    <w:rsid w:val="00F75E85"/>
    <w:rsid w:val="00F76029"/>
    <w:rsid w:val="00F7654D"/>
    <w:rsid w:val="00F7684F"/>
    <w:rsid w:val="00F769A7"/>
    <w:rsid w:val="00F7725D"/>
    <w:rsid w:val="00F77552"/>
    <w:rsid w:val="00F77836"/>
    <w:rsid w:val="00F77F68"/>
    <w:rsid w:val="00F806F3"/>
    <w:rsid w:val="00F80C47"/>
    <w:rsid w:val="00F80C83"/>
    <w:rsid w:val="00F81173"/>
    <w:rsid w:val="00F819DA"/>
    <w:rsid w:val="00F81A26"/>
    <w:rsid w:val="00F81A2E"/>
    <w:rsid w:val="00F81F41"/>
    <w:rsid w:val="00F82887"/>
    <w:rsid w:val="00F82B12"/>
    <w:rsid w:val="00F82B6C"/>
    <w:rsid w:val="00F83648"/>
    <w:rsid w:val="00F839C5"/>
    <w:rsid w:val="00F83F18"/>
    <w:rsid w:val="00F84238"/>
    <w:rsid w:val="00F8459C"/>
    <w:rsid w:val="00F84771"/>
    <w:rsid w:val="00F85AAC"/>
    <w:rsid w:val="00F85D43"/>
    <w:rsid w:val="00F85E90"/>
    <w:rsid w:val="00F85FA3"/>
    <w:rsid w:val="00F860A8"/>
    <w:rsid w:val="00F86401"/>
    <w:rsid w:val="00F86CFA"/>
    <w:rsid w:val="00F8713C"/>
    <w:rsid w:val="00F87B5C"/>
    <w:rsid w:val="00F90329"/>
    <w:rsid w:val="00F91461"/>
    <w:rsid w:val="00F93730"/>
    <w:rsid w:val="00F937BD"/>
    <w:rsid w:val="00F93AA8"/>
    <w:rsid w:val="00F93C2B"/>
    <w:rsid w:val="00F94A57"/>
    <w:rsid w:val="00F95449"/>
    <w:rsid w:val="00F954AC"/>
    <w:rsid w:val="00F954CC"/>
    <w:rsid w:val="00F95E17"/>
    <w:rsid w:val="00F968A0"/>
    <w:rsid w:val="00F96FBA"/>
    <w:rsid w:val="00F9762C"/>
    <w:rsid w:val="00F97E03"/>
    <w:rsid w:val="00FA05E2"/>
    <w:rsid w:val="00FA202C"/>
    <w:rsid w:val="00FA2B9B"/>
    <w:rsid w:val="00FA30FC"/>
    <w:rsid w:val="00FA54CB"/>
    <w:rsid w:val="00FA56C4"/>
    <w:rsid w:val="00FA5D88"/>
    <w:rsid w:val="00FA6109"/>
    <w:rsid w:val="00FA61DD"/>
    <w:rsid w:val="00FA6362"/>
    <w:rsid w:val="00FA767A"/>
    <w:rsid w:val="00FA7BE9"/>
    <w:rsid w:val="00FA7C48"/>
    <w:rsid w:val="00FA7D1F"/>
    <w:rsid w:val="00FB015A"/>
    <w:rsid w:val="00FB01A0"/>
    <w:rsid w:val="00FB05ED"/>
    <w:rsid w:val="00FB10A3"/>
    <w:rsid w:val="00FB135C"/>
    <w:rsid w:val="00FB139D"/>
    <w:rsid w:val="00FB143B"/>
    <w:rsid w:val="00FB20DA"/>
    <w:rsid w:val="00FB3946"/>
    <w:rsid w:val="00FB3D44"/>
    <w:rsid w:val="00FB4419"/>
    <w:rsid w:val="00FB58C2"/>
    <w:rsid w:val="00FB600F"/>
    <w:rsid w:val="00FB622D"/>
    <w:rsid w:val="00FB6565"/>
    <w:rsid w:val="00FB66B9"/>
    <w:rsid w:val="00FB6ACC"/>
    <w:rsid w:val="00FB6E68"/>
    <w:rsid w:val="00FB7180"/>
    <w:rsid w:val="00FB7282"/>
    <w:rsid w:val="00FB7852"/>
    <w:rsid w:val="00FB7866"/>
    <w:rsid w:val="00FB7D70"/>
    <w:rsid w:val="00FC003E"/>
    <w:rsid w:val="00FC03D0"/>
    <w:rsid w:val="00FC0E4B"/>
    <w:rsid w:val="00FC1D8C"/>
    <w:rsid w:val="00FC1DAE"/>
    <w:rsid w:val="00FC21DA"/>
    <w:rsid w:val="00FC2466"/>
    <w:rsid w:val="00FC3096"/>
    <w:rsid w:val="00FC30FD"/>
    <w:rsid w:val="00FC3645"/>
    <w:rsid w:val="00FC3FFD"/>
    <w:rsid w:val="00FC4206"/>
    <w:rsid w:val="00FC42C5"/>
    <w:rsid w:val="00FC4EC8"/>
    <w:rsid w:val="00FC4FEB"/>
    <w:rsid w:val="00FC5BCE"/>
    <w:rsid w:val="00FC5D6D"/>
    <w:rsid w:val="00FC5F07"/>
    <w:rsid w:val="00FC66AC"/>
    <w:rsid w:val="00FC72E1"/>
    <w:rsid w:val="00FC76CB"/>
    <w:rsid w:val="00FC7A07"/>
    <w:rsid w:val="00FC7D32"/>
    <w:rsid w:val="00FD02DC"/>
    <w:rsid w:val="00FD04A5"/>
    <w:rsid w:val="00FD0CE6"/>
    <w:rsid w:val="00FD117F"/>
    <w:rsid w:val="00FD1285"/>
    <w:rsid w:val="00FD1A03"/>
    <w:rsid w:val="00FD1C2D"/>
    <w:rsid w:val="00FD1EB3"/>
    <w:rsid w:val="00FD2F6C"/>
    <w:rsid w:val="00FD3381"/>
    <w:rsid w:val="00FD3BD7"/>
    <w:rsid w:val="00FD4CE6"/>
    <w:rsid w:val="00FD4E1C"/>
    <w:rsid w:val="00FD4E72"/>
    <w:rsid w:val="00FD4F19"/>
    <w:rsid w:val="00FD5039"/>
    <w:rsid w:val="00FD64D1"/>
    <w:rsid w:val="00FD6501"/>
    <w:rsid w:val="00FD67B1"/>
    <w:rsid w:val="00FD6A8C"/>
    <w:rsid w:val="00FD6D3C"/>
    <w:rsid w:val="00FD7209"/>
    <w:rsid w:val="00FD7489"/>
    <w:rsid w:val="00FD7663"/>
    <w:rsid w:val="00FD773C"/>
    <w:rsid w:val="00FD79D4"/>
    <w:rsid w:val="00FD7D50"/>
    <w:rsid w:val="00FE008A"/>
    <w:rsid w:val="00FE018A"/>
    <w:rsid w:val="00FE0196"/>
    <w:rsid w:val="00FE0261"/>
    <w:rsid w:val="00FE047F"/>
    <w:rsid w:val="00FE0518"/>
    <w:rsid w:val="00FE0584"/>
    <w:rsid w:val="00FE09D8"/>
    <w:rsid w:val="00FE0AC8"/>
    <w:rsid w:val="00FE1495"/>
    <w:rsid w:val="00FE188D"/>
    <w:rsid w:val="00FE220C"/>
    <w:rsid w:val="00FE2322"/>
    <w:rsid w:val="00FE24D0"/>
    <w:rsid w:val="00FE24DB"/>
    <w:rsid w:val="00FE2845"/>
    <w:rsid w:val="00FE2B0B"/>
    <w:rsid w:val="00FE2EC7"/>
    <w:rsid w:val="00FE2F1F"/>
    <w:rsid w:val="00FE30F1"/>
    <w:rsid w:val="00FE3151"/>
    <w:rsid w:val="00FE34ED"/>
    <w:rsid w:val="00FE3648"/>
    <w:rsid w:val="00FE3D66"/>
    <w:rsid w:val="00FE4625"/>
    <w:rsid w:val="00FE47F6"/>
    <w:rsid w:val="00FE48F2"/>
    <w:rsid w:val="00FE4AF2"/>
    <w:rsid w:val="00FE4F43"/>
    <w:rsid w:val="00FE55F7"/>
    <w:rsid w:val="00FE5854"/>
    <w:rsid w:val="00FE5DAC"/>
    <w:rsid w:val="00FE5ECE"/>
    <w:rsid w:val="00FE6B20"/>
    <w:rsid w:val="00FE7B4C"/>
    <w:rsid w:val="00FE7D9C"/>
    <w:rsid w:val="00FF089A"/>
    <w:rsid w:val="00FF1656"/>
    <w:rsid w:val="00FF18C4"/>
    <w:rsid w:val="00FF1D05"/>
    <w:rsid w:val="00FF1DEC"/>
    <w:rsid w:val="00FF1F40"/>
    <w:rsid w:val="00FF2494"/>
    <w:rsid w:val="00FF2A5C"/>
    <w:rsid w:val="00FF3693"/>
    <w:rsid w:val="00FF38AA"/>
    <w:rsid w:val="00FF4884"/>
    <w:rsid w:val="00FF545D"/>
    <w:rsid w:val="00FF56ED"/>
    <w:rsid w:val="00FF5727"/>
    <w:rsid w:val="00FF5757"/>
    <w:rsid w:val="00FF5DD2"/>
    <w:rsid w:val="00FF6811"/>
    <w:rsid w:val="00FF6A64"/>
    <w:rsid w:val="00FF6BEA"/>
    <w:rsid w:val="00FF727A"/>
    <w:rsid w:val="00FF743A"/>
    <w:rsid w:val="00FF78A0"/>
    <w:rsid w:val="00FF7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157E2"/>
  <w15:chartTrackingRefBased/>
  <w15:docId w15:val="{52D18747-437E-4E07-B713-E08FD625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26"/>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Id w:val="6"/>
      </w:numPr>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0">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Id w:val="6"/>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2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2C2670"/>
    <w:rPr>
      <w:sz w:val="16"/>
      <w:szCs w:val="16"/>
    </w:rPr>
  </w:style>
  <w:style w:type="paragraph" w:styleId="CommentText">
    <w:name w:val="annotation text"/>
    <w:basedOn w:val="Normal"/>
    <w:link w:val="CommentTextChar"/>
    <w:uiPriority w:val="99"/>
    <w:unhideWhenUsed/>
    <w:rsid w:val="002C2670"/>
    <w:rPr>
      <w:sz w:val="20"/>
      <w:szCs w:val="20"/>
    </w:rPr>
  </w:style>
  <w:style w:type="character" w:customStyle="1" w:styleId="CommentTextChar">
    <w:name w:val="Comment Text Char"/>
    <w:basedOn w:val="DefaultParagraphFont"/>
    <w:link w:val="CommentText"/>
    <w:uiPriority w:val="99"/>
    <w:rsid w:val="002C26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2670"/>
    <w:rPr>
      <w:b/>
      <w:bCs/>
    </w:rPr>
  </w:style>
  <w:style w:type="character" w:customStyle="1" w:styleId="CommentSubjectChar">
    <w:name w:val="Comment Subject Char"/>
    <w:basedOn w:val="CommentTextChar"/>
    <w:link w:val="CommentSubject"/>
    <w:uiPriority w:val="99"/>
    <w:semiHidden/>
    <w:rsid w:val="002C2670"/>
    <w:rPr>
      <w:rFonts w:ascii="Times New Roman" w:hAnsi="Times New Roman"/>
      <w:b/>
      <w:bCs/>
      <w:sz w:val="20"/>
      <w:szCs w:val="20"/>
    </w:rPr>
  </w:style>
  <w:style w:type="paragraph" w:customStyle="1" w:styleId="dotpoint">
    <w:name w:val="dot point"/>
    <w:basedOn w:val="Normal"/>
    <w:qFormat/>
    <w:rsid w:val="003925DB"/>
    <w:pPr>
      <w:numPr>
        <w:numId w:val="24"/>
      </w:numPr>
      <w:tabs>
        <w:tab w:val="clear" w:pos="2268"/>
        <w:tab w:val="num" w:pos="1701"/>
      </w:tabs>
      <w:ind w:left="1701" w:hanging="425"/>
    </w:pPr>
    <w:rPr>
      <w:rFonts w:eastAsia="Times New Roman" w:cs="Times New Roman"/>
      <w:szCs w:val="20"/>
      <w:lang w:eastAsia="en-AU"/>
    </w:rPr>
  </w:style>
  <w:style w:type="paragraph" w:customStyle="1" w:styleId="dotpoint2">
    <w:name w:val="dot point 2"/>
    <w:basedOn w:val="Normal"/>
    <w:rsid w:val="003925DB"/>
    <w:pPr>
      <w:numPr>
        <w:ilvl w:val="1"/>
        <w:numId w:val="24"/>
      </w:numPr>
      <w:tabs>
        <w:tab w:val="clear" w:pos="2625"/>
        <w:tab w:val="num" w:pos="2127"/>
      </w:tabs>
      <w:ind w:left="2127" w:hanging="426"/>
    </w:pPr>
    <w:rPr>
      <w:rFonts w:eastAsia="Times New Roman" w:cs="Times New Roman"/>
      <w:szCs w:val="20"/>
      <w:lang w:eastAsia="en-AU"/>
    </w:rPr>
  </w:style>
  <w:style w:type="paragraph" w:customStyle="1" w:styleId="ShortT">
    <w:name w:val="ShortT"/>
    <w:basedOn w:val="Normal"/>
    <w:next w:val="Normal"/>
    <w:qFormat/>
    <w:rsid w:val="00292843"/>
    <w:pPr>
      <w:spacing w:before="0" w:after="0"/>
    </w:pPr>
    <w:rPr>
      <w:rFonts w:eastAsia="Times New Roman" w:cs="Times New Roman"/>
      <w:b/>
      <w:sz w:val="40"/>
      <w:szCs w:val="20"/>
      <w:lang w:eastAsia="en-AU"/>
    </w:rPr>
  </w:style>
  <w:style w:type="character" w:styleId="Mention">
    <w:name w:val="Mention"/>
    <w:basedOn w:val="DefaultParagraphFont"/>
    <w:uiPriority w:val="99"/>
    <w:unhideWhenUsed/>
    <w:rsid w:val="00D56152"/>
    <w:rPr>
      <w:color w:val="2B579A"/>
      <w:shd w:val="clear" w:color="auto" w:fill="E1DFDD"/>
    </w:rPr>
  </w:style>
  <w:style w:type="paragraph" w:styleId="TOC4">
    <w:name w:val="toc 4"/>
    <w:basedOn w:val="Normal"/>
    <w:next w:val="Normal"/>
    <w:autoRedefine/>
    <w:uiPriority w:val="39"/>
    <w:semiHidden/>
    <w:unhideWhenUsed/>
    <w:rsid w:val="00D62B14"/>
    <w:pPr>
      <w:spacing w:after="100"/>
      <w:ind w:left="660"/>
    </w:pPr>
  </w:style>
  <w:style w:type="paragraph" w:styleId="TOC5">
    <w:name w:val="toc 5"/>
    <w:basedOn w:val="Normal"/>
    <w:next w:val="Normal"/>
    <w:autoRedefine/>
    <w:uiPriority w:val="39"/>
    <w:semiHidden/>
    <w:unhideWhenUsed/>
    <w:rsid w:val="00D62B14"/>
    <w:pPr>
      <w:spacing w:after="100"/>
      <w:ind w:left="880"/>
    </w:pPr>
  </w:style>
  <w:style w:type="paragraph" w:styleId="TOC6">
    <w:name w:val="toc 6"/>
    <w:basedOn w:val="Normal"/>
    <w:next w:val="Normal"/>
    <w:autoRedefine/>
    <w:uiPriority w:val="39"/>
    <w:semiHidden/>
    <w:unhideWhenUsed/>
    <w:rsid w:val="00D62B14"/>
    <w:pPr>
      <w:spacing w:after="100"/>
      <w:ind w:left="1100"/>
    </w:pPr>
  </w:style>
  <w:style w:type="paragraph" w:styleId="TOC7">
    <w:name w:val="toc 7"/>
    <w:basedOn w:val="Normal"/>
    <w:next w:val="Normal"/>
    <w:autoRedefine/>
    <w:uiPriority w:val="39"/>
    <w:semiHidden/>
    <w:unhideWhenUsed/>
    <w:rsid w:val="00D62B14"/>
    <w:pPr>
      <w:spacing w:after="100"/>
      <w:ind w:left="1320"/>
    </w:pPr>
  </w:style>
  <w:style w:type="paragraph" w:styleId="TOC8">
    <w:name w:val="toc 8"/>
    <w:basedOn w:val="Normal"/>
    <w:next w:val="Normal"/>
    <w:autoRedefine/>
    <w:uiPriority w:val="39"/>
    <w:semiHidden/>
    <w:unhideWhenUsed/>
    <w:rsid w:val="00D62B14"/>
    <w:pPr>
      <w:spacing w:after="100"/>
      <w:ind w:left="1540"/>
    </w:pPr>
  </w:style>
  <w:style w:type="paragraph" w:styleId="TOC9">
    <w:name w:val="toc 9"/>
    <w:basedOn w:val="Normal"/>
    <w:next w:val="Normal"/>
    <w:autoRedefine/>
    <w:uiPriority w:val="39"/>
    <w:semiHidden/>
    <w:unhideWhenUsed/>
    <w:rsid w:val="00D62B14"/>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A11B8FFBEE2443A18E48D6F06893B1" ma:contentTypeVersion="6" ma:contentTypeDescription="Create a new document." ma:contentTypeScope="" ma:versionID="4cd7af41d35ba3950ac0e6bbafc41898">
  <xsd:schema xmlns:xsd="http://www.w3.org/2001/XMLSchema" xmlns:xs="http://www.w3.org/2001/XMLSchema" xmlns:p="http://schemas.microsoft.com/office/2006/metadata/properties" xmlns:ns2="fe39d773-a83d-4623-ae74-f25711a76616" xmlns:ns3="114efdcd-4c86-4ccb-b3ea-d8ea96da7d81" xmlns:ns4="167c7b7a-47bd-4256-9613-6966d4abcb45" xmlns:ns5="12eb4847-1896-4a5a-9af0-fc45c91e16b7" targetNamespace="http://schemas.microsoft.com/office/2006/metadata/properties" ma:root="true" ma:fieldsID="b89011a13bce249399c6746ca4dc4180" ns2:_="" ns3:_="" ns4:_="" ns5:_="">
    <xsd:import namespace="fe39d773-a83d-4623-ae74-f25711a76616"/>
    <xsd:import namespace="114efdcd-4c86-4ccb-b3ea-d8ea96da7d81"/>
    <xsd:import namespace="167c7b7a-47bd-4256-9613-6966d4abcb45"/>
    <xsd:import namespace="12eb4847-1896-4a5a-9af0-fc45c91e16b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cad7ac-9350-4529-8e91-bdc5acbea2ce}" ma:internalName="TaxCatchAll" ma:showField="CatchAllData"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dcad7ac-9350-4529-8e91-bdc5acbea2ce}" ma:internalName="TaxCatchAllLabel" ma:readOnly="true" ma:showField="CatchAllDataLabel"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efdcd-4c86-4ccb-b3ea-d8ea96da7d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Taxation|e53aff8a-4a1a-4486-a4fc-f40489d6889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4e986ac2-663b-44d5-8edb-6250974b7de8"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d6a07df4-70d7-4f4e-a394-7d1e30215960"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8d6468dd-2ef0-4dcd-a956-9c05be33778e" ma:anchorId="00000000-0000-0000-0000-000000000000" ma:open="false" ma:isKeyword="false">
      <xsd:complexType>
        <xsd:sequence>
          <xsd:element ref="pc:Terms" minOccurs="0" maxOccurs="1"/>
        </xsd:sequence>
      </xsd:complexType>
    </xsd:element>
    <xsd:element name="ge25bdd0d6464e36b066695d9e81d63d" ma:index="21"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7c7b7a-47bd-4256-9613-6966d4abcb4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4847-1896-4a5a-9af0-fc45c91e16b7" elementFormDefault="qualified">
    <xsd:import namespace="http://schemas.microsoft.com/office/2006/documentManagement/types"/>
    <xsd:import namespace="http://schemas.microsoft.com/office/infopath/2007/PartnerControls"/>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14efdcd-4c86-4ccb-b3ea-d8ea96da7d81">JPW3KCFXUJTZ-1592090457-80</_dlc_DocId>
    <_dlc_DocIdUrl xmlns="114efdcd-4c86-4ccb-b3ea-d8ea96da7d81">
      <Url>https://austreasury.sharepoint.com/sites/corp-tax-function/_layouts/15/DocIdRedir.aspx?ID=JPW3KCFXUJTZ-1592090457-80</Url>
      <Description>JPW3KCFXUJTZ-1592090457-80</Description>
    </_dlc_DocIdUrl>
    <e4fe7dcdd1c0411bbf19a4de3665191f xmlns="114efdcd-4c86-4ccb-b3ea-d8ea96da7d81">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114efdcd-4c86-4ccb-b3ea-d8ea96da7d81">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114efdcd-4c86-4ccb-b3ea-d8ea96da7d81">
      <Terms xmlns="http://schemas.microsoft.com/office/infopath/2007/PartnerControls">
        <TermInfo xmlns="http://schemas.microsoft.com/office/infopath/2007/PartnerControls">
          <TermName xmlns="http://schemas.microsoft.com/office/infopath/2007/PartnerControls">Finalised</TermName>
          <TermId xmlns="http://schemas.microsoft.com/office/infopath/2007/PartnerControls">b3af22fe-95ce-4908-b181-0fce061ce372</TermId>
        </TermInfo>
      </Terms>
    </ge25bdd0d6464e36b066695d9e81d63d>
    <a48f371a4a874164b16a8c4aab488f5c xmlns="114efdcd-4c86-4ccb-b3ea-d8ea96da7d81">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114efdcd-4c86-4ccb-b3ea-d8ea96da7d81">
      <Terms xmlns="http://schemas.microsoft.com/office/infopath/2007/PartnerControls">
        <TermInfo xmlns="http://schemas.microsoft.com/office/infopath/2007/PartnerControls">
          <TermName xmlns="http://schemas.microsoft.com/office/infopath/2007/PartnerControls">Corporate Tax</TermName>
          <TermId xmlns="http://schemas.microsoft.com/office/infopath/2007/PartnerControls">7143b39c-3152-4f03-9a8b-9f25b68e1ca6</TermId>
        </TermInfo>
      </Terms>
    </gfba5f33532c49208d2320ce38cc3c2b>
    <TaxCatchAll xmlns="fe39d773-a83d-4623-ae74-f25711a76616">
      <Value>135</Value>
      <Value>131</Value>
      <Value>74</Value>
      <Value>73</Value>
      <Value>16</Value>
    </TaxCatchAll>
    <SharedWithUsers xmlns="fe39d773-a83d-4623-ae74-f25711a76616">
      <UserInfo>
        <DisplayName>Nock, Tom</DisplayName>
        <AccountId>92</AccountId>
        <AccountType/>
      </UserInfo>
      <UserInfo>
        <DisplayName>Manpotra, Jas</DisplayName>
        <AccountId>566</AccountId>
        <AccountType/>
      </UserInfo>
      <UserInfo>
        <DisplayName>Chandra, Sheenal</DisplayName>
        <AccountId>167</AccountId>
        <AccountType/>
      </UserInfo>
      <UserInfo>
        <DisplayName>Nakkan, Kurt</DisplayName>
        <AccountId>940</AccountId>
        <AccountType/>
      </UserInfo>
      <UserInfo>
        <DisplayName>Ma, Sicheng</DisplayName>
        <AccountId>1698</AccountId>
        <AccountType/>
      </UserInfo>
      <UserInfo>
        <DisplayName>Wood, Greg</DisplayName>
        <AccountId>110</AccountId>
        <AccountType/>
      </UserInfo>
      <UserInfo>
        <DisplayName>Radosavljevic, Savina</DisplayName>
        <AccountId>693</AccountId>
        <AccountType/>
      </UserInfo>
      <UserInfo>
        <DisplayName>George, Jordan</DisplayName>
        <AccountId>63</AccountId>
        <AccountType/>
      </UserInfo>
      <UserInfo>
        <DisplayName>Singh, Angad</DisplayName>
        <AccountId>624</AccountId>
        <AccountType/>
      </UserInfo>
      <UserInfo>
        <DisplayName>Hsieh, Tobi</DisplayName>
        <AccountId>544</AccountId>
        <AccountType/>
      </UserInfo>
      <UserInfo>
        <DisplayName>Woods, Jordan</DisplayName>
        <AccountId>1436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2.xml><?xml version="1.0" encoding="utf-8"?>
<ds:datastoreItem xmlns:ds="http://schemas.openxmlformats.org/officeDocument/2006/customXml" ds:itemID="{79FDE565-7B36-42F3-A3FC-2BBE0F58E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114efdcd-4c86-4ccb-b3ea-d8ea96da7d81"/>
    <ds:schemaRef ds:uri="167c7b7a-47bd-4256-9613-6966d4abcb45"/>
    <ds:schemaRef ds:uri="12eb4847-1896-4a5a-9af0-fc45c91e1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A0CDC-C784-412C-965F-5B95A8D2B3A1}">
  <ds:schemaRefs>
    <ds:schemaRef ds:uri="http://schemas.microsoft.com/sharepoint/events"/>
  </ds:schemaRefs>
</ds:datastoreItem>
</file>

<file path=customXml/itemProps4.xml><?xml version="1.0" encoding="utf-8"?>
<ds:datastoreItem xmlns:ds="http://schemas.openxmlformats.org/officeDocument/2006/customXml" ds:itemID="{6AB365E2-A817-49FA-9295-CAB62986032D}">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12eb4847-1896-4a5a-9af0-fc45c91e16b7"/>
    <ds:schemaRef ds:uri="http://schemas.microsoft.com/office/infopath/2007/PartnerControls"/>
    <ds:schemaRef ds:uri="fe39d773-a83d-4623-ae74-f25711a76616"/>
    <ds:schemaRef ds:uri="http://schemas.openxmlformats.org/package/2006/metadata/core-properties"/>
    <ds:schemaRef ds:uri="167c7b7a-47bd-4256-9613-6966d4abcb45"/>
    <ds:schemaRef ds:uri="114efdcd-4c86-4ccb-b3ea-d8ea96da7d81"/>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24</Pages>
  <Words>5902</Words>
  <Characters>33645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Explanatory Materials - Exposure Draft</vt:lpstr>
    </vt:vector>
  </TitlesOfParts>
  <Company>Australian Government - Department of the Treasury</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 Exposure Draft</dc:title>
  <dc:subject>CAPITAL WORKS (BUILD TO RENT MISUSE TAX) BILL 2024</dc:subject>
  <dc:creator>Treasury</dc:creator>
  <cp:keywords/>
  <dc:description/>
  <cp:lastModifiedBy>Thomas, Deborah</cp:lastModifiedBy>
  <cp:revision>2</cp:revision>
  <dcterms:created xsi:type="dcterms:W3CDTF">2024-04-08T22:44:00Z</dcterms:created>
  <dcterms:modified xsi:type="dcterms:W3CDTF">2024-04-08T22:44:00Z</dcterms:modified>
</cp:coreProperties>
</file>