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C630" w14:textId="77777777" w:rsidR="007C725C" w:rsidRDefault="007C725C" w:rsidP="005C285D">
      <w:pPr>
        <w:pStyle w:val="Factsheettitle"/>
        <w:spacing w:before="1440" w:after="100" w:afterAutospacing="1"/>
      </w:pPr>
      <w:r>
        <w:t>Policy Fact Sheet</w:t>
      </w:r>
    </w:p>
    <w:tbl>
      <w:tblPr>
        <w:tblStyle w:val="TableGrid"/>
        <w:tblpPr w:leftFromText="180" w:rightFromText="180" w:vertAnchor="text" w:horzAnchor="margin" w:tblpY="789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7C725C" w14:paraId="62D96E02" w14:textId="77777777" w:rsidTr="007C725C">
        <w:tc>
          <w:tcPr>
            <w:tcW w:w="8498" w:type="dxa"/>
            <w:shd w:val="clear" w:color="auto" w:fill="auto"/>
          </w:tcPr>
          <w:p w14:paraId="738C27A2" w14:textId="07145311" w:rsidR="007C725C" w:rsidRPr="00E847A7" w:rsidRDefault="007C725C" w:rsidP="00BD29C3">
            <w:pPr>
              <w:pStyle w:val="Bullet"/>
              <w:numPr>
                <w:ilvl w:val="0"/>
                <w:numId w:val="0"/>
              </w:numPr>
            </w:pPr>
          </w:p>
        </w:tc>
      </w:tr>
    </w:tbl>
    <w:p w14:paraId="0197C2CA" w14:textId="5EA07B2F" w:rsidR="00986A46" w:rsidRPr="007C725C" w:rsidRDefault="00BD29C3" w:rsidP="007C725C">
      <w:pPr>
        <w:pStyle w:val="Factsheettitle"/>
        <w:spacing w:before="0" w:after="100" w:afterAutospacing="1"/>
        <w:rPr>
          <w:sz w:val="48"/>
          <w:szCs w:val="48"/>
        </w:rPr>
      </w:pPr>
      <w:r>
        <w:rPr>
          <w:sz w:val="48"/>
          <w:szCs w:val="48"/>
        </w:rPr>
        <w:t>B</w:t>
      </w:r>
      <w:r w:rsidR="0055591E" w:rsidRPr="007C725C">
        <w:rPr>
          <w:sz w:val="48"/>
          <w:szCs w:val="48"/>
        </w:rPr>
        <w:t>uild-to-Rent Tax Concessions</w:t>
      </w:r>
      <w:r w:rsidR="007C725C">
        <w:rPr>
          <w:sz w:val="48"/>
          <w:szCs w:val="48"/>
        </w:rPr>
        <w:t xml:space="preserve"> – Income Limits</w:t>
      </w:r>
    </w:p>
    <w:p w14:paraId="0204773F" w14:textId="2508133C" w:rsidR="002D0F5B" w:rsidRDefault="002D0F5B" w:rsidP="000976DA">
      <w:pPr>
        <w:pStyle w:val="Heading2"/>
      </w:pPr>
      <w:r>
        <w:t>Background</w:t>
      </w:r>
    </w:p>
    <w:p w14:paraId="5A673F64" w14:textId="7590F667" w:rsidR="00240C69" w:rsidRPr="00240C69" w:rsidRDefault="00240C69" w:rsidP="00240C69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In the 2023-24 Budget, the Government committed to consulting on certain implementation details in relation to this measure, including whether a minimum proportion of dwellings should be offered as affordable tenancies</w:t>
      </w:r>
      <w:r w:rsidR="005B4FBD"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. </w:t>
      </w:r>
    </w:p>
    <w:p w14:paraId="2B399DCD" w14:textId="77777777" w:rsidR="002A464B" w:rsidRDefault="002A464B" w:rsidP="000976DA">
      <w:pPr>
        <w:pStyle w:val="Heading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Affordable tenancies</w:t>
      </w:r>
    </w:p>
    <w:p w14:paraId="45F7BEDD" w14:textId="1AF64332" w:rsidR="00240C69" w:rsidRPr="00240C69" w:rsidRDefault="00240C69" w:rsidP="00240C69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Further to that commitment it is proposed that a minimum of 10 per cent of the dwellings in a build</w:t>
      </w:r>
      <w:r w:rsidR="00A15B81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to</w:t>
      </w:r>
      <w:r w:rsidR="00A15B81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rent development should be categorised as affordable dwellings. This means the owner of the development must offer those dwellings to tenants on a discount to market </w:t>
      </w:r>
      <w:r w:rsidR="00115ABB">
        <w:rPr>
          <w:rFonts w:ascii="Calibri" w:eastAsiaTheme="minorEastAsia" w:hAnsi="Calibri" w:cstheme="minorBidi"/>
          <w:color w:val="10263B"/>
          <w:szCs w:val="22"/>
          <w:lang w:eastAsia="zh-CN"/>
        </w:rPr>
        <w:t>rent</w:t>
      </w:r>
      <w:r w:rsidR="005B4FBD"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. </w:t>
      </w:r>
    </w:p>
    <w:p w14:paraId="64061E53" w14:textId="3B97F54B" w:rsidR="00240C69" w:rsidRPr="00240C69" w:rsidRDefault="00240C69" w:rsidP="00240C69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Proposed section 43-152 of the draft bill sets out the requirements that will apply to a build</w:t>
      </w:r>
      <w:r w:rsidR="00A15B81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to</w:t>
      </w:r>
      <w:r w:rsidR="00A15B81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rent development to enable the tax concessions to apply</w:t>
      </w:r>
      <w:r w:rsidR="005B4FBD"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. </w:t>
      </w:r>
    </w:p>
    <w:p w14:paraId="59C640D9" w14:textId="4B7EF4C2" w:rsidR="00240C69" w:rsidRPr="00240C69" w:rsidRDefault="00240C69" w:rsidP="00240C69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The discounted rent must be 7</w:t>
      </w:r>
      <w:r>
        <w:rPr>
          <w:rFonts w:ascii="Calibri" w:eastAsiaTheme="minorEastAsia" w:hAnsi="Calibri" w:cstheme="minorBidi"/>
          <w:color w:val="10263B"/>
          <w:szCs w:val="22"/>
          <w:lang w:eastAsia="zh-CN"/>
        </w:rPr>
        <w:t>4.9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per cent</w:t>
      </w:r>
      <w:r w:rsidR="00926FB2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or less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of the rent payable on a dwelling of an equivalent size and standard located in the same build</w:t>
      </w:r>
      <w:r w:rsidR="00A15B81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to</w:t>
      </w:r>
      <w:r w:rsidR="00A15B81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rent development (ss. 43-152(3)(d)(</w:t>
      </w:r>
      <w:proofErr w:type="spellStart"/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i</w:t>
      </w:r>
      <w:proofErr w:type="spellEnd"/>
      <w:r w:rsidRPr="00240C69">
        <w:rPr>
          <w:rFonts w:ascii="Calibri" w:eastAsiaTheme="minorEastAsia" w:hAnsi="Calibri" w:cstheme="minorBidi"/>
          <w:color w:val="10263B"/>
          <w:szCs w:val="22"/>
          <w:lang w:eastAsia="zh-CN"/>
        </w:rPr>
        <w:t>) and (ii)).</w:t>
      </w:r>
    </w:p>
    <w:p w14:paraId="79F9EE7B" w14:textId="6CAD3528" w:rsidR="00952F2F" w:rsidRDefault="00AF77CB" w:rsidP="000976DA">
      <w:pPr>
        <w:pStyle w:val="Heading2"/>
      </w:pPr>
      <w:r>
        <w:t>E</w:t>
      </w:r>
      <w:r w:rsidR="007D4F60">
        <w:t>ligible tenants</w:t>
      </w:r>
    </w:p>
    <w:p w14:paraId="14FA4C27" w14:textId="1000837A" w:rsidR="007C725C" w:rsidRDefault="007C725C" w:rsidP="007C725C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>In addition</w:t>
      </w:r>
      <w:r w:rsidR="00FE3B05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to</w:t>
      </w:r>
      <w:r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the eligibility criteria </w:t>
      </w:r>
      <w:r w:rsidR="002A6D2A">
        <w:rPr>
          <w:rFonts w:ascii="Calibri" w:eastAsiaTheme="minorEastAsia" w:hAnsi="Calibri" w:cstheme="minorBidi"/>
          <w:color w:val="10263B"/>
          <w:szCs w:val="22"/>
          <w:lang w:eastAsia="zh-CN"/>
        </w:rPr>
        <w:t>contained</w:t>
      </w:r>
      <w:r w:rsidR="002A6D2A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</w:t>
      </w:r>
      <w:r w:rsidR="00FE3B05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in the </w:t>
      </w:r>
      <w:r w:rsidR="00917492">
        <w:rPr>
          <w:rFonts w:ascii="Calibri" w:eastAsiaTheme="minorEastAsia" w:hAnsi="Calibri" w:cstheme="minorBidi"/>
          <w:color w:val="10263B"/>
          <w:szCs w:val="22"/>
          <w:lang w:eastAsia="zh-CN"/>
        </w:rPr>
        <w:t>e</w:t>
      </w:r>
      <w:r w:rsidR="00FE3B05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xposure </w:t>
      </w:r>
      <w:r w:rsidR="00917492">
        <w:rPr>
          <w:rFonts w:ascii="Calibri" w:eastAsiaTheme="minorEastAsia" w:hAnsi="Calibri" w:cstheme="minorBidi"/>
          <w:color w:val="10263B"/>
          <w:szCs w:val="22"/>
          <w:lang w:eastAsia="zh-CN"/>
        </w:rPr>
        <w:t>d</w:t>
      </w:r>
      <w:r w:rsidR="00FE3B05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>raft legislation</w:t>
      </w:r>
      <w:r w:rsidR="00BC2C7A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income limits </w:t>
      </w:r>
      <w:r w:rsidR="001B7662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will apply </w:t>
      </w:r>
      <w:r w:rsidR="00BC2C7A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in determining if tenants are eligible for </w:t>
      </w:r>
      <w:r w:rsidR="00F50472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occupying </w:t>
      </w:r>
      <w:r w:rsidR="00BC2C7A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affordable </w:t>
      </w:r>
      <w:r w:rsidR="001F5818">
        <w:rPr>
          <w:rFonts w:ascii="Calibri" w:eastAsiaTheme="minorEastAsia" w:hAnsi="Calibri" w:cstheme="minorBidi"/>
          <w:color w:val="10263B"/>
          <w:szCs w:val="22"/>
          <w:lang w:eastAsia="zh-CN"/>
        </w:rPr>
        <w:t>build</w:t>
      </w:r>
      <w:r w:rsidR="00917492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="001F5818">
        <w:rPr>
          <w:rFonts w:ascii="Calibri" w:eastAsiaTheme="minorEastAsia" w:hAnsi="Calibri" w:cstheme="minorBidi"/>
          <w:color w:val="10263B"/>
          <w:szCs w:val="22"/>
          <w:lang w:eastAsia="zh-CN"/>
        </w:rPr>
        <w:t>to</w:t>
      </w:r>
      <w:r w:rsidR="00917492">
        <w:rPr>
          <w:rFonts w:ascii="Calibri" w:eastAsiaTheme="minorEastAsia" w:hAnsi="Calibri" w:cstheme="minorBidi"/>
          <w:color w:val="10263B"/>
          <w:szCs w:val="22"/>
          <w:lang w:eastAsia="zh-CN"/>
        </w:rPr>
        <w:t>-</w:t>
      </w:r>
      <w:r w:rsidR="001F5818">
        <w:rPr>
          <w:rFonts w:ascii="Calibri" w:eastAsiaTheme="minorEastAsia" w:hAnsi="Calibri" w:cstheme="minorBidi"/>
          <w:color w:val="10263B"/>
          <w:szCs w:val="22"/>
          <w:lang w:eastAsia="zh-CN"/>
        </w:rPr>
        <w:t>rent</w:t>
      </w:r>
      <w:r w:rsidR="001F5818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</w:t>
      </w:r>
      <w:r w:rsidR="00BC2C7A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>dwellings.</w:t>
      </w:r>
    </w:p>
    <w:p w14:paraId="28CC7968" w14:textId="3E46878F" w:rsidR="00A314D7" w:rsidRPr="003712C6" w:rsidRDefault="00A314D7" w:rsidP="007C725C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A314D7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These </w:t>
      </w:r>
      <w:r w:rsidR="001F5818">
        <w:rPr>
          <w:rFonts w:ascii="Calibri" w:eastAsiaTheme="minorEastAsia" w:hAnsi="Calibri" w:cstheme="minorBidi"/>
          <w:color w:val="10263B"/>
          <w:szCs w:val="22"/>
          <w:lang w:eastAsia="zh-CN"/>
        </w:rPr>
        <w:t>income limits</w:t>
      </w:r>
      <w:r w:rsidR="001F5818" w:rsidRPr="00A314D7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</w:t>
      </w:r>
      <w:r w:rsidRPr="00A314D7">
        <w:rPr>
          <w:rFonts w:ascii="Calibri" w:eastAsiaTheme="minorEastAsia" w:hAnsi="Calibri" w:cstheme="minorBidi"/>
          <w:color w:val="10263B"/>
          <w:szCs w:val="22"/>
          <w:lang w:eastAsia="zh-CN"/>
        </w:rPr>
        <w:t>will be given effect via regulation, as set out in proposed section 43-152(4) of the draft legislation.</w:t>
      </w:r>
    </w:p>
    <w:p w14:paraId="593B8827" w14:textId="3DADA8D5" w:rsidR="00BC2C7A" w:rsidRPr="003712C6" w:rsidRDefault="00D965CB" w:rsidP="007C725C">
      <w:pPr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The income limits </w:t>
      </w:r>
      <w:r w:rsidR="001F5818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are set as a percentage of </w:t>
      </w:r>
      <w:r w:rsidR="008C160F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annualised average weekly earnings as calculated </w:t>
      </w:r>
      <w:r w:rsidR="00354CD2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by the Australian Bureau of Statistics (ABS) and </w:t>
      </w:r>
      <w:r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>depend</w:t>
      </w:r>
      <w:r w:rsidR="00E233FA">
        <w:rPr>
          <w:rFonts w:ascii="Calibri" w:eastAsiaTheme="minorEastAsia" w:hAnsi="Calibri" w:cstheme="minorBidi"/>
          <w:color w:val="10263B"/>
          <w:szCs w:val="22"/>
          <w:lang w:eastAsia="zh-CN"/>
        </w:rPr>
        <w:t>s</w:t>
      </w:r>
      <w:r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</w:t>
      </w:r>
      <w:r w:rsidR="000B616C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on household composition </w:t>
      </w:r>
      <w:r w:rsidR="007D4F60" w:rsidRPr="003712C6">
        <w:rPr>
          <w:rFonts w:ascii="Calibri" w:eastAsiaTheme="minorEastAsia" w:hAnsi="Calibri" w:cstheme="minorBidi"/>
          <w:color w:val="10263B"/>
          <w:szCs w:val="22"/>
          <w:lang w:eastAsia="zh-CN"/>
        </w:rPr>
        <w:t>as follows:</w:t>
      </w:r>
    </w:p>
    <w:p w14:paraId="42154E71" w14:textId="77777777" w:rsidR="007D4F60" w:rsidRPr="00EC5FB5" w:rsidRDefault="007D4F60" w:rsidP="007D4F60">
      <w:pPr>
        <w:pStyle w:val="ListParagraph"/>
        <w:numPr>
          <w:ilvl w:val="0"/>
          <w:numId w:val="10"/>
        </w:numPr>
        <w:spacing w:before="0" w:after="160" w:line="259" w:lineRule="auto"/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>Single adult: earning 120 per cent of annualised average weekly total earnings.</w:t>
      </w:r>
    </w:p>
    <w:p w14:paraId="466F1F57" w14:textId="7EC0ABAB" w:rsidR="007D4F60" w:rsidRPr="00EC5FB5" w:rsidRDefault="007D4F60" w:rsidP="007D4F60">
      <w:pPr>
        <w:pStyle w:val="ListParagraph"/>
        <w:numPr>
          <w:ilvl w:val="0"/>
          <w:numId w:val="10"/>
        </w:numPr>
        <w:spacing w:before="0" w:after="160" w:line="259" w:lineRule="auto"/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Couple, no </w:t>
      </w:r>
      <w:r w:rsidR="00A304D5">
        <w:rPr>
          <w:rFonts w:ascii="Calibri" w:eastAsiaTheme="minorEastAsia" w:hAnsi="Calibri" w:cstheme="minorBidi"/>
          <w:color w:val="10263B"/>
          <w:szCs w:val="22"/>
          <w:lang w:eastAsia="zh-CN"/>
        </w:rPr>
        <w:t>dependant</w:t>
      </w: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>s: earning 130 per cent of annualised average weekly total earnings.</w:t>
      </w:r>
    </w:p>
    <w:p w14:paraId="301221BA" w14:textId="4086C2D8" w:rsidR="007D4F60" w:rsidRPr="00EC5FB5" w:rsidRDefault="007D4F60" w:rsidP="007D4F60">
      <w:pPr>
        <w:pStyle w:val="ListParagraph"/>
        <w:numPr>
          <w:ilvl w:val="0"/>
          <w:numId w:val="10"/>
        </w:numPr>
        <w:spacing w:before="0" w:after="160" w:line="259" w:lineRule="auto"/>
        <w:rPr>
          <w:rFonts w:ascii="Calibri" w:eastAsiaTheme="minorEastAsia" w:hAnsi="Calibri" w:cstheme="minorBidi"/>
          <w:color w:val="10263B"/>
          <w:szCs w:val="22"/>
          <w:lang w:eastAsia="zh-CN"/>
        </w:rPr>
      </w:pP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Family, one or more adults and one or more </w:t>
      </w:r>
      <w:r w:rsidR="00A304D5">
        <w:rPr>
          <w:rFonts w:ascii="Calibri" w:eastAsiaTheme="minorEastAsia" w:hAnsi="Calibri" w:cstheme="minorBidi"/>
          <w:color w:val="10263B"/>
          <w:szCs w:val="22"/>
          <w:lang w:eastAsia="zh-CN"/>
        </w:rPr>
        <w:t>dependant</w:t>
      </w: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>s: earning 140 per cent of annualised average weekly total earnings.</w:t>
      </w:r>
    </w:p>
    <w:p w14:paraId="7AB66EF2" w14:textId="17C13CA6" w:rsidR="004B6FD6" w:rsidRPr="000976DA" w:rsidRDefault="004B6FD6" w:rsidP="000976DA">
      <w:pPr>
        <w:rPr>
          <w:rFonts w:asciiTheme="minorHAnsi" w:hAnsiTheme="minorHAnsi" w:cstheme="minorHAnsi"/>
        </w:rPr>
      </w:pP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Average earnings </w:t>
      </w:r>
      <w:r w:rsidR="00A15B81"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>refer</w:t>
      </w: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 to ‘Full time adult average weekly earnings - original’ as reported by the ABS – not ‘seasonally adjusted’ and not ‘trend’. This is a gross (before tax) figure. This data</w:t>
      </w:r>
      <w:r w:rsidRPr="000976DA">
        <w:rPr>
          <w:rFonts w:asciiTheme="minorHAnsi" w:hAnsiTheme="minorHAnsi" w:cstheme="minorHAnsi"/>
        </w:rPr>
        <w:t xml:space="preserve"> </w:t>
      </w: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lastRenderedPageBreak/>
        <w:t>point is typically released in May and November every year.</w:t>
      </w:r>
      <w:r w:rsidRPr="000976DA">
        <w:rPr>
          <w:rFonts w:asciiTheme="minorHAnsi" w:hAnsiTheme="minorHAnsi" w:cstheme="minorHAnsi"/>
        </w:rPr>
        <w:t xml:space="preserve"> </w:t>
      </w:r>
      <w:hyperlink r:id="rId11" w:history="1">
        <w:r w:rsidRPr="000976DA">
          <w:rPr>
            <w:rStyle w:val="Hyperlink"/>
            <w:rFonts w:asciiTheme="minorHAnsi" w:hAnsiTheme="minorHAnsi" w:cstheme="minorHAnsi"/>
          </w:rPr>
          <w:t xml:space="preserve">As </w:t>
        </w:r>
        <w:proofErr w:type="gramStart"/>
        <w:r w:rsidRPr="000976DA">
          <w:rPr>
            <w:rStyle w:val="Hyperlink"/>
            <w:rFonts w:asciiTheme="minorHAnsi" w:hAnsiTheme="minorHAnsi" w:cstheme="minorHAnsi"/>
          </w:rPr>
          <w:t>at</w:t>
        </w:r>
        <w:proofErr w:type="gramEnd"/>
        <w:r w:rsidRPr="000976DA">
          <w:rPr>
            <w:rStyle w:val="Hyperlink"/>
            <w:rFonts w:asciiTheme="minorHAnsi" w:hAnsiTheme="minorHAnsi" w:cstheme="minorHAnsi"/>
          </w:rPr>
          <w:t xml:space="preserve"> November 2023, the figure is $1,958</w:t>
        </w:r>
      </w:hyperlink>
      <w:r w:rsidRPr="000976DA">
        <w:rPr>
          <w:rFonts w:asciiTheme="minorHAnsi" w:hAnsiTheme="minorHAnsi" w:cstheme="minorHAnsi"/>
        </w:rPr>
        <w:t>.</w:t>
      </w:r>
    </w:p>
    <w:p w14:paraId="17E3A636" w14:textId="4760FE4C" w:rsidR="00A91B1F" w:rsidRPr="003712C6" w:rsidRDefault="00A91B1F" w:rsidP="00A91B1F">
      <w:pPr>
        <w:pStyle w:val="Bullet"/>
        <w:numPr>
          <w:ilvl w:val="0"/>
          <w:numId w:val="0"/>
        </w:numPr>
        <w:ind w:left="170" w:hanging="170"/>
        <w:rPr>
          <w:rFonts w:asciiTheme="minorHAnsi" w:hAnsiTheme="minorHAnsi" w:cstheme="minorHAnsi"/>
          <w:szCs w:val="22"/>
        </w:rPr>
      </w:pPr>
      <w:r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 xml:space="preserve">The current limits based on November 2023 </w:t>
      </w:r>
      <w:r w:rsidR="00D21F86" w:rsidRPr="00EC5FB5">
        <w:rPr>
          <w:rFonts w:ascii="Calibri" w:eastAsiaTheme="minorEastAsia" w:hAnsi="Calibri" w:cstheme="minorBidi"/>
          <w:color w:val="10263B"/>
          <w:szCs w:val="22"/>
          <w:lang w:eastAsia="zh-CN"/>
        </w:rPr>
        <w:t>data are in the table below:</w:t>
      </w:r>
    </w:p>
    <w:tbl>
      <w:tblPr>
        <w:tblStyle w:val="TableGrid"/>
        <w:tblW w:w="8515" w:type="dxa"/>
        <w:jc w:val="center"/>
        <w:tblLook w:val="04A0" w:firstRow="1" w:lastRow="0" w:firstColumn="1" w:lastColumn="0" w:noHBand="0" w:noVBand="1"/>
      </w:tblPr>
      <w:tblGrid>
        <w:gridCol w:w="5601"/>
        <w:gridCol w:w="2914"/>
      </w:tblGrid>
      <w:tr w:rsidR="00A91B1F" w:rsidRPr="003712C6" w14:paraId="346B057D" w14:textId="77777777" w:rsidTr="000976DA">
        <w:trPr>
          <w:jc w:val="center"/>
        </w:trPr>
        <w:tc>
          <w:tcPr>
            <w:tcW w:w="5601" w:type="dxa"/>
          </w:tcPr>
          <w:p w14:paraId="136C222A" w14:textId="790A402F" w:rsidR="00A91B1F" w:rsidRPr="00EC5FB5" w:rsidRDefault="00BF0B21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b/>
                <w:bCs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b/>
                <w:bCs/>
                <w:color w:val="10263B"/>
                <w:szCs w:val="22"/>
                <w:lang w:eastAsia="zh-CN"/>
              </w:rPr>
              <w:t>Household Composition</w:t>
            </w:r>
          </w:p>
        </w:tc>
        <w:tc>
          <w:tcPr>
            <w:tcW w:w="2914" w:type="dxa"/>
          </w:tcPr>
          <w:p w14:paraId="36674FBE" w14:textId="77777777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b/>
                <w:bCs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b/>
                <w:bCs/>
                <w:color w:val="10263B"/>
                <w:szCs w:val="22"/>
                <w:lang w:eastAsia="zh-CN"/>
              </w:rPr>
              <w:t>Income limit</w:t>
            </w:r>
          </w:p>
        </w:tc>
      </w:tr>
      <w:tr w:rsidR="00A91B1F" w:rsidRPr="003712C6" w14:paraId="19826FE8" w14:textId="77777777" w:rsidTr="000976DA">
        <w:trPr>
          <w:jc w:val="center"/>
        </w:trPr>
        <w:tc>
          <w:tcPr>
            <w:tcW w:w="5601" w:type="dxa"/>
          </w:tcPr>
          <w:p w14:paraId="08BE619B" w14:textId="77777777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Single adult</w:t>
            </w:r>
          </w:p>
        </w:tc>
        <w:tc>
          <w:tcPr>
            <w:tcW w:w="2914" w:type="dxa"/>
          </w:tcPr>
          <w:p w14:paraId="0AB33EF2" w14:textId="77777777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$122,179</w:t>
            </w:r>
          </w:p>
        </w:tc>
      </w:tr>
      <w:tr w:rsidR="00A91B1F" w:rsidRPr="003712C6" w14:paraId="7F736A0D" w14:textId="77777777" w:rsidTr="000976DA">
        <w:trPr>
          <w:jc w:val="center"/>
        </w:trPr>
        <w:tc>
          <w:tcPr>
            <w:tcW w:w="5601" w:type="dxa"/>
          </w:tcPr>
          <w:p w14:paraId="3C0BCE47" w14:textId="6B405D88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 xml:space="preserve">Couple, no </w:t>
            </w:r>
            <w:r w:rsidR="00A304D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dependant</w:t>
            </w:r>
          </w:p>
        </w:tc>
        <w:tc>
          <w:tcPr>
            <w:tcW w:w="2914" w:type="dxa"/>
          </w:tcPr>
          <w:p w14:paraId="2BF56012" w14:textId="77777777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$132,361</w:t>
            </w:r>
          </w:p>
        </w:tc>
      </w:tr>
      <w:tr w:rsidR="00A91B1F" w:rsidRPr="003712C6" w14:paraId="79D24B14" w14:textId="77777777" w:rsidTr="000976DA">
        <w:trPr>
          <w:jc w:val="center"/>
        </w:trPr>
        <w:tc>
          <w:tcPr>
            <w:tcW w:w="5601" w:type="dxa"/>
          </w:tcPr>
          <w:p w14:paraId="09B87AEC" w14:textId="1F511136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 xml:space="preserve">Family, one or more adults with one or more </w:t>
            </w:r>
            <w:r w:rsidR="00A304D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dependant</w:t>
            </w: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s</w:t>
            </w:r>
          </w:p>
        </w:tc>
        <w:tc>
          <w:tcPr>
            <w:tcW w:w="2914" w:type="dxa"/>
          </w:tcPr>
          <w:p w14:paraId="05506F81" w14:textId="77777777" w:rsidR="00A91B1F" w:rsidRPr="00EC5FB5" w:rsidRDefault="00A91B1F" w:rsidP="00EC5FB5">
            <w:pPr>
              <w:pStyle w:val="Bullet"/>
              <w:numPr>
                <w:ilvl w:val="0"/>
                <w:numId w:val="0"/>
              </w:numPr>
              <w:ind w:left="170" w:hanging="170"/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</w:pPr>
            <w:r w:rsidRPr="00EC5FB5">
              <w:rPr>
                <w:rFonts w:ascii="Calibri" w:eastAsiaTheme="minorEastAsia" w:hAnsi="Calibri" w:cstheme="minorBidi"/>
                <w:color w:val="10263B"/>
                <w:szCs w:val="22"/>
                <w:lang w:eastAsia="zh-CN"/>
              </w:rPr>
              <w:t>$142,542</w:t>
            </w:r>
          </w:p>
        </w:tc>
      </w:tr>
    </w:tbl>
    <w:p w14:paraId="732361A4" w14:textId="77777777" w:rsidR="008B2347" w:rsidRDefault="008B2347" w:rsidP="002800C5">
      <w:pPr>
        <w:rPr>
          <w:rFonts w:asciiTheme="majorHAnsi" w:eastAsiaTheme="minorEastAsia" w:hAnsiTheme="majorHAnsi" w:cstheme="majorHAnsi"/>
          <w:color w:val="10263B"/>
          <w:szCs w:val="22"/>
          <w:lang w:eastAsia="zh-CN"/>
        </w:rPr>
      </w:pPr>
    </w:p>
    <w:p w14:paraId="356D8EEE" w14:textId="2829F46D" w:rsidR="00512F6F" w:rsidRPr="00CC25CC" w:rsidRDefault="002800C5" w:rsidP="002800C5">
      <w:pPr>
        <w:rPr>
          <w:rFonts w:asciiTheme="majorHAnsi" w:eastAsiaTheme="minorEastAsia" w:hAnsiTheme="majorHAnsi" w:cstheme="majorHAnsi"/>
          <w:color w:val="10263B"/>
          <w:szCs w:val="22"/>
          <w:lang w:eastAsia="zh-CN"/>
        </w:rPr>
      </w:pPr>
      <w:r w:rsidRPr="00CC25CC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In applying these thresholds an owner of a build</w:t>
      </w:r>
      <w:r w:rsidR="00541021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-</w:t>
      </w:r>
      <w:r w:rsidRPr="00CC25CC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to</w:t>
      </w:r>
      <w:r w:rsidR="00541021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-</w:t>
      </w:r>
      <w:r w:rsidRPr="00CC25CC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 xml:space="preserve">rent development will be required to </w:t>
      </w:r>
      <w:r w:rsidR="00512F6F" w:rsidRPr="00CC25CC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 xml:space="preserve">assess initial and ongoing tenant eligibility. To be eligible, a tenant must meet the household income limits to be set out in the regulations. </w:t>
      </w:r>
    </w:p>
    <w:p w14:paraId="625A37D5" w14:textId="61DC673E" w:rsidR="00512F6F" w:rsidRPr="00CC25CC" w:rsidRDefault="00512F6F" w:rsidP="002800C5">
      <w:pPr>
        <w:rPr>
          <w:rFonts w:asciiTheme="majorHAnsi" w:eastAsiaTheme="minorEastAsia" w:hAnsiTheme="majorHAnsi" w:cstheme="majorHAnsi"/>
          <w:color w:val="10263B"/>
          <w:szCs w:val="22"/>
          <w:lang w:eastAsia="zh-CN"/>
        </w:rPr>
      </w:pPr>
      <w:r w:rsidRPr="00CC25CC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 xml:space="preserve">To obtain initial eligibility and maintain ongoing eligibility a tenant is required to: </w:t>
      </w:r>
    </w:p>
    <w:p w14:paraId="4008FC9F" w14:textId="543FA9F7" w:rsidR="00512F6F" w:rsidRPr="00CC25CC" w:rsidRDefault="00512F6F" w:rsidP="00512F6F">
      <w:pPr>
        <w:pStyle w:val="Bullet"/>
        <w:rPr>
          <w:rFonts w:asciiTheme="majorHAnsi" w:eastAsiaTheme="minorEastAsia" w:hAnsiTheme="majorHAnsi" w:cstheme="majorHAnsi"/>
          <w:lang w:eastAsia="zh-CN"/>
        </w:rPr>
      </w:pPr>
      <w:r w:rsidRPr="00CC25CC">
        <w:rPr>
          <w:rFonts w:asciiTheme="majorHAnsi" w:eastAsiaTheme="minorEastAsia" w:hAnsiTheme="majorHAnsi" w:cstheme="majorHAnsi"/>
          <w:lang w:eastAsia="zh-CN"/>
        </w:rPr>
        <w:t>Provide evidence of gross income for the past 12 months to the owner of the build</w:t>
      </w:r>
      <w:r w:rsidR="00541021">
        <w:rPr>
          <w:rFonts w:asciiTheme="majorHAnsi" w:eastAsiaTheme="minorEastAsia" w:hAnsiTheme="majorHAnsi" w:cstheme="majorHAnsi"/>
          <w:lang w:eastAsia="zh-CN"/>
        </w:rPr>
        <w:t>-</w:t>
      </w:r>
      <w:r w:rsidRPr="00CC25CC">
        <w:rPr>
          <w:rFonts w:asciiTheme="majorHAnsi" w:eastAsiaTheme="minorEastAsia" w:hAnsiTheme="majorHAnsi" w:cstheme="majorHAnsi"/>
          <w:lang w:eastAsia="zh-CN"/>
        </w:rPr>
        <w:t>to</w:t>
      </w:r>
      <w:r w:rsidR="00541021">
        <w:rPr>
          <w:rFonts w:asciiTheme="majorHAnsi" w:eastAsiaTheme="minorEastAsia" w:hAnsiTheme="majorHAnsi" w:cstheme="majorHAnsi"/>
          <w:lang w:eastAsia="zh-CN"/>
        </w:rPr>
        <w:t>-</w:t>
      </w:r>
      <w:r w:rsidRPr="00CC25CC">
        <w:rPr>
          <w:rFonts w:asciiTheme="majorHAnsi" w:eastAsiaTheme="minorEastAsia" w:hAnsiTheme="majorHAnsi" w:cstheme="majorHAnsi"/>
          <w:lang w:eastAsia="zh-CN"/>
        </w:rPr>
        <w:t>rent development or their tenancy manager (for each year of tenancy).</w:t>
      </w:r>
    </w:p>
    <w:p w14:paraId="00897E89" w14:textId="58591FC8" w:rsidR="00512F6F" w:rsidRPr="00CC25CC" w:rsidRDefault="00512F6F" w:rsidP="00512F6F">
      <w:pPr>
        <w:pStyle w:val="Bullet"/>
        <w:rPr>
          <w:rFonts w:asciiTheme="majorHAnsi" w:eastAsiaTheme="minorEastAsia" w:hAnsiTheme="majorHAnsi" w:cstheme="majorHAnsi"/>
          <w:lang w:eastAsia="zh-CN"/>
        </w:rPr>
      </w:pPr>
      <w:r w:rsidRPr="00CC25CC">
        <w:rPr>
          <w:rFonts w:asciiTheme="majorHAnsi" w:eastAsiaTheme="minorEastAsia" w:hAnsiTheme="majorHAnsi" w:cstheme="majorHAnsi"/>
          <w:lang w:eastAsia="zh-CN"/>
        </w:rPr>
        <w:t>Sign a tenancy agreement.</w:t>
      </w:r>
    </w:p>
    <w:p w14:paraId="7D071D5E" w14:textId="5BFCD345" w:rsidR="00CC25CC" w:rsidRPr="00CC25CC" w:rsidRDefault="00512F6F" w:rsidP="00CC25CC">
      <w:pPr>
        <w:pStyle w:val="Bullet"/>
        <w:rPr>
          <w:rFonts w:asciiTheme="majorHAnsi" w:eastAsiaTheme="minorEastAsia" w:hAnsiTheme="majorHAnsi" w:cstheme="majorHAnsi"/>
          <w:color w:val="10263B"/>
          <w:szCs w:val="22"/>
          <w:lang w:eastAsia="zh-CN"/>
        </w:rPr>
      </w:pPr>
      <w:r w:rsidRPr="00CC25CC">
        <w:rPr>
          <w:rFonts w:asciiTheme="majorHAnsi" w:eastAsiaTheme="minorEastAsia" w:hAnsiTheme="majorHAnsi" w:cstheme="majorHAnsi"/>
          <w:lang w:eastAsia="zh-CN"/>
        </w:rPr>
        <w:t xml:space="preserve">Complete and sign a form </w:t>
      </w:r>
      <w:proofErr w:type="gramStart"/>
      <w:r w:rsidRPr="00CC25CC">
        <w:rPr>
          <w:rFonts w:asciiTheme="majorHAnsi" w:eastAsiaTheme="minorEastAsia" w:hAnsiTheme="majorHAnsi" w:cstheme="majorHAnsi"/>
          <w:lang w:eastAsia="zh-CN"/>
        </w:rPr>
        <w:t>similar to</w:t>
      </w:r>
      <w:proofErr w:type="gramEnd"/>
      <w:r w:rsidRPr="00CC25CC">
        <w:rPr>
          <w:rFonts w:asciiTheme="majorHAnsi" w:eastAsiaTheme="minorEastAsia" w:hAnsiTheme="majorHAnsi" w:cstheme="majorHAnsi"/>
          <w:lang w:eastAsia="zh-CN"/>
        </w:rPr>
        <w:t xml:space="preserve"> </w:t>
      </w:r>
      <w:r w:rsidR="00CC25CC" w:rsidRPr="00CC25CC">
        <w:rPr>
          <w:rFonts w:asciiTheme="majorHAnsi" w:eastAsiaTheme="minorEastAsia" w:hAnsiTheme="majorHAnsi" w:cstheme="majorHAnsi"/>
          <w:lang w:eastAsia="zh-CN"/>
        </w:rPr>
        <w:t xml:space="preserve">the </w:t>
      </w:r>
      <w:r w:rsidR="00794832" w:rsidRPr="00CC25CC">
        <w:rPr>
          <w:rFonts w:asciiTheme="majorHAnsi" w:eastAsiaTheme="minorEastAsia" w:hAnsiTheme="majorHAnsi" w:cstheme="majorHAnsi"/>
          <w:lang w:eastAsia="zh-CN"/>
        </w:rPr>
        <w:t>Ten</w:t>
      </w:r>
      <w:r w:rsidR="00794832">
        <w:rPr>
          <w:rFonts w:asciiTheme="majorHAnsi" w:eastAsiaTheme="minorEastAsia" w:hAnsiTheme="majorHAnsi" w:cstheme="majorHAnsi"/>
          <w:lang w:eastAsia="zh-CN"/>
        </w:rPr>
        <w:t>ant</w:t>
      </w:r>
      <w:r w:rsidR="00794832" w:rsidRPr="00CC25CC">
        <w:rPr>
          <w:rFonts w:asciiTheme="majorHAnsi" w:eastAsiaTheme="minorEastAsia" w:hAnsiTheme="majorHAnsi" w:cstheme="majorHAnsi"/>
          <w:lang w:eastAsia="zh-CN"/>
        </w:rPr>
        <w:t xml:space="preserve"> </w:t>
      </w:r>
      <w:r w:rsidR="00CC25CC" w:rsidRPr="00CC25CC">
        <w:rPr>
          <w:rFonts w:asciiTheme="majorHAnsi" w:eastAsiaTheme="minorEastAsia" w:hAnsiTheme="majorHAnsi" w:cstheme="majorHAnsi"/>
          <w:lang w:eastAsia="zh-CN"/>
        </w:rPr>
        <w:t xml:space="preserve">Consent Form </w:t>
      </w:r>
      <w:r w:rsidRPr="00CC25CC">
        <w:rPr>
          <w:rFonts w:asciiTheme="majorHAnsi" w:eastAsiaTheme="minorEastAsia" w:hAnsiTheme="majorHAnsi" w:cstheme="majorHAnsi"/>
          <w:lang w:eastAsia="zh-CN"/>
        </w:rPr>
        <w:t>a</w:t>
      </w:r>
      <w:r w:rsidR="00CC25CC" w:rsidRPr="00CC25CC">
        <w:rPr>
          <w:rFonts w:asciiTheme="majorHAnsi" w:eastAsiaTheme="minorEastAsia" w:hAnsiTheme="majorHAnsi" w:cstheme="majorHAnsi"/>
          <w:lang w:eastAsia="zh-CN"/>
        </w:rPr>
        <w:t xml:space="preserve">pproved under the National Rental Affordability </w:t>
      </w:r>
      <w:r w:rsidR="00541021">
        <w:rPr>
          <w:rFonts w:asciiTheme="majorHAnsi" w:eastAsiaTheme="minorEastAsia" w:hAnsiTheme="majorHAnsi" w:cstheme="majorHAnsi"/>
          <w:lang w:eastAsia="zh-CN"/>
        </w:rPr>
        <w:t>S</w:t>
      </w:r>
      <w:r w:rsidR="00CC25CC" w:rsidRPr="00CC25CC">
        <w:rPr>
          <w:rFonts w:asciiTheme="majorHAnsi" w:eastAsiaTheme="minorEastAsia" w:hAnsiTheme="majorHAnsi" w:cstheme="majorHAnsi"/>
          <w:lang w:eastAsia="zh-CN"/>
        </w:rPr>
        <w:t>cheme upon entering a build</w:t>
      </w:r>
      <w:r w:rsidR="00541021">
        <w:rPr>
          <w:rFonts w:asciiTheme="majorHAnsi" w:eastAsiaTheme="minorEastAsia" w:hAnsiTheme="majorHAnsi" w:cstheme="majorHAnsi"/>
          <w:lang w:eastAsia="zh-CN"/>
        </w:rPr>
        <w:t>-</w:t>
      </w:r>
      <w:r w:rsidR="00CC25CC" w:rsidRPr="00CC25CC">
        <w:rPr>
          <w:rFonts w:asciiTheme="majorHAnsi" w:eastAsiaTheme="minorEastAsia" w:hAnsiTheme="majorHAnsi" w:cstheme="majorHAnsi"/>
          <w:lang w:eastAsia="zh-CN"/>
        </w:rPr>
        <w:t>to</w:t>
      </w:r>
      <w:r w:rsidR="00541021">
        <w:rPr>
          <w:rFonts w:asciiTheme="majorHAnsi" w:eastAsiaTheme="minorEastAsia" w:hAnsiTheme="majorHAnsi" w:cstheme="majorHAnsi"/>
          <w:lang w:eastAsia="zh-CN"/>
        </w:rPr>
        <w:t>-</w:t>
      </w:r>
      <w:r w:rsidR="00CC25CC" w:rsidRPr="00CC25CC">
        <w:rPr>
          <w:rFonts w:asciiTheme="majorHAnsi" w:eastAsiaTheme="minorEastAsia" w:hAnsiTheme="majorHAnsi" w:cstheme="majorHAnsi"/>
          <w:lang w:eastAsia="zh-CN"/>
        </w:rPr>
        <w:t>rent dwelling, and at each anniversary of entering the dwelling.</w:t>
      </w:r>
    </w:p>
    <w:p w14:paraId="2F560B03" w14:textId="48C66158" w:rsidR="002800C5" w:rsidRPr="00CC25CC" w:rsidRDefault="00CC25CC" w:rsidP="00CC25CC">
      <w:pPr>
        <w:pStyle w:val="Bullet"/>
        <w:numPr>
          <w:ilvl w:val="0"/>
          <w:numId w:val="0"/>
        </w:numPr>
        <w:rPr>
          <w:rFonts w:asciiTheme="majorHAnsi" w:eastAsiaTheme="minorEastAsia" w:hAnsiTheme="majorHAnsi" w:cstheme="majorHAnsi"/>
          <w:color w:val="10263B"/>
          <w:szCs w:val="22"/>
          <w:lang w:eastAsia="zh-CN"/>
        </w:rPr>
      </w:pPr>
      <w:r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The owner of the build</w:t>
      </w:r>
      <w:r w:rsidR="000E3A33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-</w:t>
      </w:r>
      <w:r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to</w:t>
      </w:r>
      <w:r w:rsidR="000E3A33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-</w:t>
      </w:r>
      <w:r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 xml:space="preserve">rent development will be required to provide the form to the Australian Taxation Office as part of its </w:t>
      </w:r>
      <w:r w:rsidR="00AB2AAE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build</w:t>
      </w:r>
      <w:r w:rsidR="000E3A33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-</w:t>
      </w:r>
      <w:r w:rsidR="00AB2AAE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to</w:t>
      </w:r>
      <w:r w:rsidR="000E3A33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-</w:t>
      </w:r>
      <w:r w:rsidR="00AB2AAE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 xml:space="preserve">rent </w:t>
      </w:r>
      <w:r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>reporting requirements</w:t>
      </w:r>
      <w:r w:rsidR="00AB2AAE">
        <w:rPr>
          <w:rFonts w:asciiTheme="majorHAnsi" w:eastAsiaTheme="minorEastAsia" w:hAnsiTheme="majorHAnsi" w:cstheme="majorHAnsi"/>
          <w:color w:val="10263B"/>
          <w:szCs w:val="22"/>
          <w:lang w:eastAsia="zh-CN"/>
        </w:rPr>
        <w:t xml:space="preserve">. </w:t>
      </w:r>
    </w:p>
    <w:p w14:paraId="124F9DBD" w14:textId="77777777" w:rsidR="007D4F60" w:rsidRPr="007C725C" w:rsidRDefault="007D4F60" w:rsidP="007C725C">
      <w:pPr>
        <w:rPr>
          <w:rFonts w:ascii="Calibri" w:eastAsiaTheme="minorEastAsia" w:hAnsi="Calibri" w:cstheme="minorBidi"/>
          <w:color w:val="10263B"/>
          <w:sz w:val="26"/>
          <w:szCs w:val="26"/>
          <w:lang w:eastAsia="zh-CN"/>
        </w:rPr>
      </w:pPr>
    </w:p>
    <w:sectPr w:rsidR="007D4F60" w:rsidRPr="007C725C" w:rsidSect="00300C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862" w14:textId="77777777" w:rsidR="008F00AF" w:rsidRDefault="008F00AF" w:rsidP="00886BC4">
      <w:r>
        <w:separator/>
      </w:r>
    </w:p>
    <w:p w14:paraId="6F2F6BEF" w14:textId="77777777" w:rsidR="008F00AF" w:rsidRDefault="008F00AF"/>
  </w:endnote>
  <w:endnote w:type="continuationSeparator" w:id="0">
    <w:p w14:paraId="5C0FE50D" w14:textId="77777777" w:rsidR="008F00AF" w:rsidRDefault="008F00AF" w:rsidP="00886BC4">
      <w:r>
        <w:continuationSeparator/>
      </w:r>
    </w:p>
    <w:p w14:paraId="68D3007B" w14:textId="77777777" w:rsidR="008F00AF" w:rsidRDefault="008F00AF"/>
  </w:endnote>
  <w:endnote w:type="continuationNotice" w:id="1">
    <w:p w14:paraId="33DB14AC" w14:textId="77777777" w:rsidR="008F00AF" w:rsidRDefault="008F0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EDA2" w14:textId="0C2D228C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29690C3A" wp14:editId="3E06D946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>
      <w:fldChar w:fldCharType="begin"/>
    </w:r>
    <w:r>
      <w:instrText xml:space="preserve"> SAVEDATE  \@ "d MMMM yyyy"  \* MERGEFORMAT </w:instrText>
    </w:r>
    <w:r>
      <w:fldChar w:fldCharType="separate"/>
    </w:r>
    <w:r w:rsidR="00C65CE5">
      <w:rPr>
        <w:noProof/>
      </w:rPr>
      <w:t>9 April 2024</w:t>
    </w:r>
    <w:r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F381" w14:textId="36EF2678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567FC13F" wp14:editId="7E2574C3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166A45">
      <w:fldChar w:fldCharType="begin"/>
    </w:r>
    <w:r w:rsidR="00166A45">
      <w:instrText xml:space="preserve"> SAVEDATE  \@ "d MMMM yyyy"  \* MERGEFORMAT </w:instrText>
    </w:r>
    <w:r w:rsidR="00166A45">
      <w:fldChar w:fldCharType="separate"/>
    </w:r>
    <w:r w:rsidR="00C65CE5">
      <w:rPr>
        <w:noProof/>
      </w:rPr>
      <w:t>9 April 2024</w:t>
    </w:r>
    <w:r w:rsidR="00166A45">
      <w:fldChar w:fldCharType="end"/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D1D4" w14:textId="77777777" w:rsidR="008F00AF" w:rsidRDefault="008F00AF" w:rsidP="00886BC4">
      <w:r>
        <w:separator/>
      </w:r>
    </w:p>
    <w:p w14:paraId="285585CA" w14:textId="77777777" w:rsidR="008F00AF" w:rsidRDefault="008F00AF"/>
  </w:footnote>
  <w:footnote w:type="continuationSeparator" w:id="0">
    <w:p w14:paraId="645D89AD" w14:textId="77777777" w:rsidR="008F00AF" w:rsidRDefault="008F00AF" w:rsidP="00886BC4">
      <w:r>
        <w:continuationSeparator/>
      </w:r>
    </w:p>
    <w:p w14:paraId="7377AE73" w14:textId="77777777" w:rsidR="008F00AF" w:rsidRDefault="008F00AF"/>
  </w:footnote>
  <w:footnote w:type="continuationNotice" w:id="1">
    <w:p w14:paraId="48C2177B" w14:textId="77777777" w:rsidR="008F00AF" w:rsidRDefault="008F0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EA69" w14:textId="14EDB5D1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3B3E12" wp14:editId="30C8FB9A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&quot;Fact sheet title&quot;  \* MERGEFORMAT ">
      <w:r w:rsidR="00C65CE5">
        <w:rPr>
          <w:noProof/>
        </w:rPr>
        <w:t>Build-to-Rent Tax Concessions – Income Limits</w:t>
      </w:r>
    </w:fldSimple>
    <w:r w:rsidR="00E05D26">
      <w:rPr>
        <w:noProof/>
      </w:rPr>
      <w:tab/>
    </w:r>
    <w:r w:rsidR="00E05D26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5793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7CA21DB" wp14:editId="108196B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12D"/>
    <w:multiLevelType w:val="multilevel"/>
    <w:tmpl w:val="E7CC068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471A34"/>
    <w:multiLevelType w:val="hybridMultilevel"/>
    <w:tmpl w:val="D32A7C16"/>
    <w:lvl w:ilvl="0" w:tplc="0C09000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0" w:hanging="360"/>
      </w:pPr>
    </w:lvl>
    <w:lvl w:ilvl="2" w:tplc="0C09001B" w:tentative="1">
      <w:start w:val="1"/>
      <w:numFmt w:val="lowerRoman"/>
      <w:lvlText w:val="%3."/>
      <w:lvlJc w:val="right"/>
      <w:pPr>
        <w:ind w:left="2320" w:hanging="180"/>
      </w:pPr>
    </w:lvl>
    <w:lvl w:ilvl="3" w:tplc="0C09000F" w:tentative="1">
      <w:start w:val="1"/>
      <w:numFmt w:val="decimal"/>
      <w:lvlText w:val="%4."/>
      <w:lvlJc w:val="left"/>
      <w:pPr>
        <w:ind w:left="3040" w:hanging="360"/>
      </w:pPr>
    </w:lvl>
    <w:lvl w:ilvl="4" w:tplc="0C090019" w:tentative="1">
      <w:start w:val="1"/>
      <w:numFmt w:val="lowerLetter"/>
      <w:lvlText w:val="%5."/>
      <w:lvlJc w:val="left"/>
      <w:pPr>
        <w:ind w:left="3760" w:hanging="360"/>
      </w:pPr>
    </w:lvl>
    <w:lvl w:ilvl="5" w:tplc="0C09001B" w:tentative="1">
      <w:start w:val="1"/>
      <w:numFmt w:val="lowerRoman"/>
      <w:lvlText w:val="%6."/>
      <w:lvlJc w:val="right"/>
      <w:pPr>
        <w:ind w:left="4480" w:hanging="180"/>
      </w:pPr>
    </w:lvl>
    <w:lvl w:ilvl="6" w:tplc="0C09000F" w:tentative="1">
      <w:start w:val="1"/>
      <w:numFmt w:val="decimal"/>
      <w:lvlText w:val="%7."/>
      <w:lvlJc w:val="left"/>
      <w:pPr>
        <w:ind w:left="5200" w:hanging="360"/>
      </w:pPr>
    </w:lvl>
    <w:lvl w:ilvl="7" w:tplc="0C090019" w:tentative="1">
      <w:start w:val="1"/>
      <w:numFmt w:val="lowerLetter"/>
      <w:lvlText w:val="%8."/>
      <w:lvlJc w:val="left"/>
      <w:pPr>
        <w:ind w:left="5920" w:hanging="360"/>
      </w:pPr>
    </w:lvl>
    <w:lvl w:ilvl="8" w:tplc="0C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6013"/>
    <w:multiLevelType w:val="multilevel"/>
    <w:tmpl w:val="75525EA6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4764713">
    <w:abstractNumId w:val="2"/>
  </w:num>
  <w:num w:numId="2" w16cid:durableId="458650054">
    <w:abstractNumId w:val="10"/>
  </w:num>
  <w:num w:numId="3" w16cid:durableId="1069960594">
    <w:abstractNumId w:val="7"/>
  </w:num>
  <w:num w:numId="4" w16cid:durableId="37165480">
    <w:abstractNumId w:val="8"/>
  </w:num>
  <w:num w:numId="5" w16cid:durableId="1719550025">
    <w:abstractNumId w:val="5"/>
  </w:num>
  <w:num w:numId="6" w16cid:durableId="566845700">
    <w:abstractNumId w:val="0"/>
  </w:num>
  <w:num w:numId="7" w16cid:durableId="60935790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4605165">
    <w:abstractNumId w:val="1"/>
  </w:num>
  <w:num w:numId="9" w16cid:durableId="293995025">
    <w:abstractNumId w:val="6"/>
  </w:num>
  <w:num w:numId="10" w16cid:durableId="1163350578">
    <w:abstractNumId w:val="4"/>
  </w:num>
  <w:num w:numId="11" w16cid:durableId="296228491">
    <w:abstractNumId w:val="9"/>
  </w:num>
  <w:num w:numId="12" w16cid:durableId="2034845276">
    <w:abstractNumId w:val="3"/>
  </w:num>
  <w:num w:numId="13" w16cid:durableId="200843835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55591E"/>
    <w:rsid w:val="00016670"/>
    <w:rsid w:val="00016B6C"/>
    <w:rsid w:val="0002151A"/>
    <w:rsid w:val="000230C4"/>
    <w:rsid w:val="000265E6"/>
    <w:rsid w:val="00033942"/>
    <w:rsid w:val="00034154"/>
    <w:rsid w:val="000421F9"/>
    <w:rsid w:val="00045C24"/>
    <w:rsid w:val="00052B6D"/>
    <w:rsid w:val="00060C76"/>
    <w:rsid w:val="00067E65"/>
    <w:rsid w:val="000753CE"/>
    <w:rsid w:val="000976DA"/>
    <w:rsid w:val="000A4D2D"/>
    <w:rsid w:val="000A5408"/>
    <w:rsid w:val="000B1EC3"/>
    <w:rsid w:val="000B3C90"/>
    <w:rsid w:val="000B616C"/>
    <w:rsid w:val="000B7941"/>
    <w:rsid w:val="000C02C9"/>
    <w:rsid w:val="000D33F2"/>
    <w:rsid w:val="000D7D2F"/>
    <w:rsid w:val="000E324C"/>
    <w:rsid w:val="000E3A33"/>
    <w:rsid w:val="000F059F"/>
    <w:rsid w:val="000F2493"/>
    <w:rsid w:val="000F2562"/>
    <w:rsid w:val="000F33C9"/>
    <w:rsid w:val="00102238"/>
    <w:rsid w:val="00105EBE"/>
    <w:rsid w:val="001145FD"/>
    <w:rsid w:val="00115ABB"/>
    <w:rsid w:val="00115B2E"/>
    <w:rsid w:val="0011628E"/>
    <w:rsid w:val="001171C1"/>
    <w:rsid w:val="001363E7"/>
    <w:rsid w:val="001376CC"/>
    <w:rsid w:val="00140697"/>
    <w:rsid w:val="0014178A"/>
    <w:rsid w:val="00144B84"/>
    <w:rsid w:val="00152B9E"/>
    <w:rsid w:val="00166A4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2358"/>
    <w:rsid w:val="001B3A29"/>
    <w:rsid w:val="001B540E"/>
    <w:rsid w:val="001B7662"/>
    <w:rsid w:val="001C5117"/>
    <w:rsid w:val="001C5AC5"/>
    <w:rsid w:val="001C78AE"/>
    <w:rsid w:val="001D45A4"/>
    <w:rsid w:val="001E5623"/>
    <w:rsid w:val="001E6DC2"/>
    <w:rsid w:val="001E7840"/>
    <w:rsid w:val="001E7CF5"/>
    <w:rsid w:val="001F50DA"/>
    <w:rsid w:val="001F5818"/>
    <w:rsid w:val="00203245"/>
    <w:rsid w:val="00205F44"/>
    <w:rsid w:val="002105F8"/>
    <w:rsid w:val="0021178F"/>
    <w:rsid w:val="00215EE7"/>
    <w:rsid w:val="002205E8"/>
    <w:rsid w:val="00223D87"/>
    <w:rsid w:val="002268AB"/>
    <w:rsid w:val="00226F00"/>
    <w:rsid w:val="0022749C"/>
    <w:rsid w:val="00227C77"/>
    <w:rsid w:val="00233738"/>
    <w:rsid w:val="00233887"/>
    <w:rsid w:val="00233A88"/>
    <w:rsid w:val="0024090B"/>
    <w:rsid w:val="00240C69"/>
    <w:rsid w:val="00241B9A"/>
    <w:rsid w:val="0024226F"/>
    <w:rsid w:val="00245342"/>
    <w:rsid w:val="00245CB9"/>
    <w:rsid w:val="002462BD"/>
    <w:rsid w:val="002557F0"/>
    <w:rsid w:val="00260712"/>
    <w:rsid w:val="00263339"/>
    <w:rsid w:val="002800C5"/>
    <w:rsid w:val="002809F6"/>
    <w:rsid w:val="00283303"/>
    <w:rsid w:val="00287322"/>
    <w:rsid w:val="00287F32"/>
    <w:rsid w:val="0029134D"/>
    <w:rsid w:val="002978C8"/>
    <w:rsid w:val="002A0B32"/>
    <w:rsid w:val="002A464B"/>
    <w:rsid w:val="002A4B83"/>
    <w:rsid w:val="002A6430"/>
    <w:rsid w:val="002A6D2A"/>
    <w:rsid w:val="002A79C5"/>
    <w:rsid w:val="002C26D9"/>
    <w:rsid w:val="002C4368"/>
    <w:rsid w:val="002D0F5B"/>
    <w:rsid w:val="002D39B5"/>
    <w:rsid w:val="002D49D1"/>
    <w:rsid w:val="002F417B"/>
    <w:rsid w:val="002F6ADC"/>
    <w:rsid w:val="00300C95"/>
    <w:rsid w:val="003054A8"/>
    <w:rsid w:val="00306770"/>
    <w:rsid w:val="00307DA3"/>
    <w:rsid w:val="00315811"/>
    <w:rsid w:val="00327D31"/>
    <w:rsid w:val="003305CA"/>
    <w:rsid w:val="0033418C"/>
    <w:rsid w:val="0034064A"/>
    <w:rsid w:val="003407C0"/>
    <w:rsid w:val="00341682"/>
    <w:rsid w:val="0034564D"/>
    <w:rsid w:val="00351B1A"/>
    <w:rsid w:val="00353390"/>
    <w:rsid w:val="00354CD2"/>
    <w:rsid w:val="00356C26"/>
    <w:rsid w:val="00357842"/>
    <w:rsid w:val="0036202A"/>
    <w:rsid w:val="003712C6"/>
    <w:rsid w:val="00372AC1"/>
    <w:rsid w:val="00372E23"/>
    <w:rsid w:val="003802F4"/>
    <w:rsid w:val="003831AB"/>
    <w:rsid w:val="00390C06"/>
    <w:rsid w:val="003A63D1"/>
    <w:rsid w:val="003C047D"/>
    <w:rsid w:val="003C4F86"/>
    <w:rsid w:val="003C6454"/>
    <w:rsid w:val="003C789B"/>
    <w:rsid w:val="003D1714"/>
    <w:rsid w:val="003D1985"/>
    <w:rsid w:val="003E26C5"/>
    <w:rsid w:val="003F2E2F"/>
    <w:rsid w:val="003F424B"/>
    <w:rsid w:val="00425E05"/>
    <w:rsid w:val="00442C7E"/>
    <w:rsid w:val="0045068A"/>
    <w:rsid w:val="00450CCE"/>
    <w:rsid w:val="004542B7"/>
    <w:rsid w:val="004546DC"/>
    <w:rsid w:val="00463D4E"/>
    <w:rsid w:val="00464697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B6FD6"/>
    <w:rsid w:val="004C5917"/>
    <w:rsid w:val="004C5C35"/>
    <w:rsid w:val="004C5E48"/>
    <w:rsid w:val="004D0778"/>
    <w:rsid w:val="004D50FD"/>
    <w:rsid w:val="004D75F6"/>
    <w:rsid w:val="004E424B"/>
    <w:rsid w:val="004E71FE"/>
    <w:rsid w:val="004F24D0"/>
    <w:rsid w:val="004F680E"/>
    <w:rsid w:val="004F742F"/>
    <w:rsid w:val="00502E10"/>
    <w:rsid w:val="00505009"/>
    <w:rsid w:val="00506BF4"/>
    <w:rsid w:val="00507097"/>
    <w:rsid w:val="00512F6F"/>
    <w:rsid w:val="0051600D"/>
    <w:rsid w:val="00516FB2"/>
    <w:rsid w:val="00520548"/>
    <w:rsid w:val="00524DCE"/>
    <w:rsid w:val="00525050"/>
    <w:rsid w:val="0053110F"/>
    <w:rsid w:val="00533FEF"/>
    <w:rsid w:val="00534E82"/>
    <w:rsid w:val="00535C81"/>
    <w:rsid w:val="00541021"/>
    <w:rsid w:val="00546D8E"/>
    <w:rsid w:val="00546FDD"/>
    <w:rsid w:val="00551340"/>
    <w:rsid w:val="0055591E"/>
    <w:rsid w:val="005606FD"/>
    <w:rsid w:val="00565A52"/>
    <w:rsid w:val="00566AD8"/>
    <w:rsid w:val="00570B86"/>
    <w:rsid w:val="005732EB"/>
    <w:rsid w:val="005754FD"/>
    <w:rsid w:val="005803BF"/>
    <w:rsid w:val="00582FAD"/>
    <w:rsid w:val="00585F7E"/>
    <w:rsid w:val="00594ABF"/>
    <w:rsid w:val="005A11E6"/>
    <w:rsid w:val="005A2484"/>
    <w:rsid w:val="005A6A61"/>
    <w:rsid w:val="005B0968"/>
    <w:rsid w:val="005B207E"/>
    <w:rsid w:val="005B2484"/>
    <w:rsid w:val="005B3871"/>
    <w:rsid w:val="005B4FBD"/>
    <w:rsid w:val="005B659D"/>
    <w:rsid w:val="005B6B98"/>
    <w:rsid w:val="005B7DDB"/>
    <w:rsid w:val="005C1326"/>
    <w:rsid w:val="005C285D"/>
    <w:rsid w:val="005C3527"/>
    <w:rsid w:val="005C4B02"/>
    <w:rsid w:val="005C6091"/>
    <w:rsid w:val="005E62D6"/>
    <w:rsid w:val="005F0FBF"/>
    <w:rsid w:val="006014A0"/>
    <w:rsid w:val="006050EB"/>
    <w:rsid w:val="00614971"/>
    <w:rsid w:val="00627218"/>
    <w:rsid w:val="006323D3"/>
    <w:rsid w:val="006355D1"/>
    <w:rsid w:val="00635DD4"/>
    <w:rsid w:val="00637692"/>
    <w:rsid w:val="0064704A"/>
    <w:rsid w:val="006736EE"/>
    <w:rsid w:val="006916AD"/>
    <w:rsid w:val="00694B4F"/>
    <w:rsid w:val="006A0130"/>
    <w:rsid w:val="006A118D"/>
    <w:rsid w:val="006A24EC"/>
    <w:rsid w:val="006A3972"/>
    <w:rsid w:val="006A712D"/>
    <w:rsid w:val="006D14CB"/>
    <w:rsid w:val="006D27A6"/>
    <w:rsid w:val="006D3EE7"/>
    <w:rsid w:val="006D6960"/>
    <w:rsid w:val="006E101D"/>
    <w:rsid w:val="006E6F8C"/>
    <w:rsid w:val="006E76BE"/>
    <w:rsid w:val="006F0918"/>
    <w:rsid w:val="006F56A2"/>
    <w:rsid w:val="006F6E04"/>
    <w:rsid w:val="00705AD6"/>
    <w:rsid w:val="00717216"/>
    <w:rsid w:val="00722F56"/>
    <w:rsid w:val="0072300C"/>
    <w:rsid w:val="00723A2A"/>
    <w:rsid w:val="007343B8"/>
    <w:rsid w:val="00736715"/>
    <w:rsid w:val="007600FA"/>
    <w:rsid w:val="0076093D"/>
    <w:rsid w:val="00761DA0"/>
    <w:rsid w:val="007622D7"/>
    <w:rsid w:val="007825F2"/>
    <w:rsid w:val="00784A3C"/>
    <w:rsid w:val="00793BD7"/>
    <w:rsid w:val="0079466D"/>
    <w:rsid w:val="00794832"/>
    <w:rsid w:val="007A4195"/>
    <w:rsid w:val="007A6E4D"/>
    <w:rsid w:val="007A79A6"/>
    <w:rsid w:val="007B655C"/>
    <w:rsid w:val="007B6953"/>
    <w:rsid w:val="007B7784"/>
    <w:rsid w:val="007C1094"/>
    <w:rsid w:val="007C3B66"/>
    <w:rsid w:val="007C3CD0"/>
    <w:rsid w:val="007C725C"/>
    <w:rsid w:val="007D4EB7"/>
    <w:rsid w:val="007D4F60"/>
    <w:rsid w:val="007D6F47"/>
    <w:rsid w:val="007E013D"/>
    <w:rsid w:val="007E0975"/>
    <w:rsid w:val="007E36E4"/>
    <w:rsid w:val="007E5E07"/>
    <w:rsid w:val="007E7046"/>
    <w:rsid w:val="007F4C69"/>
    <w:rsid w:val="007F53C0"/>
    <w:rsid w:val="007F61E3"/>
    <w:rsid w:val="00801E94"/>
    <w:rsid w:val="00811E75"/>
    <w:rsid w:val="00812677"/>
    <w:rsid w:val="008139FB"/>
    <w:rsid w:val="00831D8A"/>
    <w:rsid w:val="00847719"/>
    <w:rsid w:val="008616B9"/>
    <w:rsid w:val="0088159C"/>
    <w:rsid w:val="0088211A"/>
    <w:rsid w:val="00884F56"/>
    <w:rsid w:val="0088532C"/>
    <w:rsid w:val="008854F6"/>
    <w:rsid w:val="00886667"/>
    <w:rsid w:val="00886BC4"/>
    <w:rsid w:val="00886FEA"/>
    <w:rsid w:val="008972E4"/>
    <w:rsid w:val="008A02F3"/>
    <w:rsid w:val="008A1C1D"/>
    <w:rsid w:val="008A48CA"/>
    <w:rsid w:val="008B2347"/>
    <w:rsid w:val="008B2938"/>
    <w:rsid w:val="008B395C"/>
    <w:rsid w:val="008C160F"/>
    <w:rsid w:val="008C5773"/>
    <w:rsid w:val="008D0CA6"/>
    <w:rsid w:val="008D4CD0"/>
    <w:rsid w:val="008D5358"/>
    <w:rsid w:val="008E0180"/>
    <w:rsid w:val="008E04BD"/>
    <w:rsid w:val="008E35A5"/>
    <w:rsid w:val="008E61C6"/>
    <w:rsid w:val="008F00AF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17492"/>
    <w:rsid w:val="00926879"/>
    <w:rsid w:val="00926FB2"/>
    <w:rsid w:val="009273B9"/>
    <w:rsid w:val="00933C8C"/>
    <w:rsid w:val="009367F6"/>
    <w:rsid w:val="0093741D"/>
    <w:rsid w:val="00942CB3"/>
    <w:rsid w:val="00944174"/>
    <w:rsid w:val="00951652"/>
    <w:rsid w:val="00952F2F"/>
    <w:rsid w:val="00965C4B"/>
    <w:rsid w:val="009757BB"/>
    <w:rsid w:val="0098151F"/>
    <w:rsid w:val="00986A46"/>
    <w:rsid w:val="009875A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224F"/>
    <w:rsid w:val="009C45F3"/>
    <w:rsid w:val="009C4C65"/>
    <w:rsid w:val="009C66A3"/>
    <w:rsid w:val="009D616A"/>
    <w:rsid w:val="009E6061"/>
    <w:rsid w:val="00A01086"/>
    <w:rsid w:val="00A05E57"/>
    <w:rsid w:val="00A1120D"/>
    <w:rsid w:val="00A13CB3"/>
    <w:rsid w:val="00A13F0D"/>
    <w:rsid w:val="00A15B81"/>
    <w:rsid w:val="00A15BDD"/>
    <w:rsid w:val="00A15DB7"/>
    <w:rsid w:val="00A16258"/>
    <w:rsid w:val="00A162F1"/>
    <w:rsid w:val="00A17503"/>
    <w:rsid w:val="00A215B3"/>
    <w:rsid w:val="00A24D20"/>
    <w:rsid w:val="00A304D5"/>
    <w:rsid w:val="00A314D7"/>
    <w:rsid w:val="00A32C4E"/>
    <w:rsid w:val="00A3452B"/>
    <w:rsid w:val="00A46A9A"/>
    <w:rsid w:val="00A50111"/>
    <w:rsid w:val="00A52C22"/>
    <w:rsid w:val="00A60022"/>
    <w:rsid w:val="00A6514E"/>
    <w:rsid w:val="00A8449C"/>
    <w:rsid w:val="00A84C3C"/>
    <w:rsid w:val="00A87F4B"/>
    <w:rsid w:val="00A909A3"/>
    <w:rsid w:val="00A91B1F"/>
    <w:rsid w:val="00A91BD2"/>
    <w:rsid w:val="00A940BE"/>
    <w:rsid w:val="00A96316"/>
    <w:rsid w:val="00A9658A"/>
    <w:rsid w:val="00A970ED"/>
    <w:rsid w:val="00AA553F"/>
    <w:rsid w:val="00AB2AAE"/>
    <w:rsid w:val="00AB3D33"/>
    <w:rsid w:val="00AB6325"/>
    <w:rsid w:val="00AC1B27"/>
    <w:rsid w:val="00AC4C62"/>
    <w:rsid w:val="00AC60D4"/>
    <w:rsid w:val="00AE39EE"/>
    <w:rsid w:val="00AE53E5"/>
    <w:rsid w:val="00AF54F4"/>
    <w:rsid w:val="00AF77CB"/>
    <w:rsid w:val="00B129C3"/>
    <w:rsid w:val="00B15B56"/>
    <w:rsid w:val="00B23937"/>
    <w:rsid w:val="00B24C1C"/>
    <w:rsid w:val="00B32830"/>
    <w:rsid w:val="00B42FAF"/>
    <w:rsid w:val="00B4634F"/>
    <w:rsid w:val="00B50FEA"/>
    <w:rsid w:val="00B51175"/>
    <w:rsid w:val="00B5397C"/>
    <w:rsid w:val="00B54FA9"/>
    <w:rsid w:val="00B57B0B"/>
    <w:rsid w:val="00B62553"/>
    <w:rsid w:val="00B64308"/>
    <w:rsid w:val="00B71F74"/>
    <w:rsid w:val="00B73C23"/>
    <w:rsid w:val="00B771FF"/>
    <w:rsid w:val="00B82C45"/>
    <w:rsid w:val="00BA054F"/>
    <w:rsid w:val="00BA123B"/>
    <w:rsid w:val="00BA3721"/>
    <w:rsid w:val="00BA7802"/>
    <w:rsid w:val="00BB059B"/>
    <w:rsid w:val="00BB396B"/>
    <w:rsid w:val="00BB460A"/>
    <w:rsid w:val="00BB4B21"/>
    <w:rsid w:val="00BC2C7A"/>
    <w:rsid w:val="00BD29C3"/>
    <w:rsid w:val="00BD3C26"/>
    <w:rsid w:val="00BD7EA0"/>
    <w:rsid w:val="00BE2210"/>
    <w:rsid w:val="00BE5AC7"/>
    <w:rsid w:val="00BF0B21"/>
    <w:rsid w:val="00BF1D06"/>
    <w:rsid w:val="00BF3E58"/>
    <w:rsid w:val="00BF4A8E"/>
    <w:rsid w:val="00BF73E4"/>
    <w:rsid w:val="00BF75D8"/>
    <w:rsid w:val="00C0628D"/>
    <w:rsid w:val="00C1278B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64A5A"/>
    <w:rsid w:val="00C65CE5"/>
    <w:rsid w:val="00C661E8"/>
    <w:rsid w:val="00C71CED"/>
    <w:rsid w:val="00C748D8"/>
    <w:rsid w:val="00C778C6"/>
    <w:rsid w:val="00C80C62"/>
    <w:rsid w:val="00C82A8A"/>
    <w:rsid w:val="00C8634C"/>
    <w:rsid w:val="00CA168B"/>
    <w:rsid w:val="00CA4694"/>
    <w:rsid w:val="00CB032B"/>
    <w:rsid w:val="00CB0554"/>
    <w:rsid w:val="00CC1136"/>
    <w:rsid w:val="00CC25CC"/>
    <w:rsid w:val="00CC5606"/>
    <w:rsid w:val="00CC6B19"/>
    <w:rsid w:val="00CD02A5"/>
    <w:rsid w:val="00CD2257"/>
    <w:rsid w:val="00CD7F0B"/>
    <w:rsid w:val="00CE1FC8"/>
    <w:rsid w:val="00CF1E2F"/>
    <w:rsid w:val="00CF1EA3"/>
    <w:rsid w:val="00CF3DD5"/>
    <w:rsid w:val="00CF5A2D"/>
    <w:rsid w:val="00D044DC"/>
    <w:rsid w:val="00D05A02"/>
    <w:rsid w:val="00D0725D"/>
    <w:rsid w:val="00D11F38"/>
    <w:rsid w:val="00D11F49"/>
    <w:rsid w:val="00D17467"/>
    <w:rsid w:val="00D2150F"/>
    <w:rsid w:val="00D215DF"/>
    <w:rsid w:val="00D21F86"/>
    <w:rsid w:val="00D33E3B"/>
    <w:rsid w:val="00D40B85"/>
    <w:rsid w:val="00D52A1E"/>
    <w:rsid w:val="00D535AC"/>
    <w:rsid w:val="00D555C7"/>
    <w:rsid w:val="00D566F4"/>
    <w:rsid w:val="00D60855"/>
    <w:rsid w:val="00D621F5"/>
    <w:rsid w:val="00D81F86"/>
    <w:rsid w:val="00D85010"/>
    <w:rsid w:val="00D965CB"/>
    <w:rsid w:val="00DA634A"/>
    <w:rsid w:val="00DC075C"/>
    <w:rsid w:val="00DC6FBB"/>
    <w:rsid w:val="00DC715E"/>
    <w:rsid w:val="00DD5D38"/>
    <w:rsid w:val="00DE05FE"/>
    <w:rsid w:val="00DE5EE8"/>
    <w:rsid w:val="00DE74EC"/>
    <w:rsid w:val="00DF0B01"/>
    <w:rsid w:val="00DF22D8"/>
    <w:rsid w:val="00DF2E2A"/>
    <w:rsid w:val="00DF56B6"/>
    <w:rsid w:val="00DF5A46"/>
    <w:rsid w:val="00DF6C99"/>
    <w:rsid w:val="00E01655"/>
    <w:rsid w:val="00E05D26"/>
    <w:rsid w:val="00E10B5B"/>
    <w:rsid w:val="00E11105"/>
    <w:rsid w:val="00E16939"/>
    <w:rsid w:val="00E1766A"/>
    <w:rsid w:val="00E233FA"/>
    <w:rsid w:val="00E267E6"/>
    <w:rsid w:val="00E34501"/>
    <w:rsid w:val="00E35201"/>
    <w:rsid w:val="00E35B8F"/>
    <w:rsid w:val="00E40078"/>
    <w:rsid w:val="00E4461B"/>
    <w:rsid w:val="00E44A74"/>
    <w:rsid w:val="00E4520C"/>
    <w:rsid w:val="00E62B01"/>
    <w:rsid w:val="00E64B67"/>
    <w:rsid w:val="00E669CD"/>
    <w:rsid w:val="00E70A2C"/>
    <w:rsid w:val="00E72BB5"/>
    <w:rsid w:val="00E81A92"/>
    <w:rsid w:val="00E83A1D"/>
    <w:rsid w:val="00E847A7"/>
    <w:rsid w:val="00E84F30"/>
    <w:rsid w:val="00E85FF2"/>
    <w:rsid w:val="00E86CBA"/>
    <w:rsid w:val="00E90E39"/>
    <w:rsid w:val="00E93C25"/>
    <w:rsid w:val="00EA5D8D"/>
    <w:rsid w:val="00EB1557"/>
    <w:rsid w:val="00EC2A56"/>
    <w:rsid w:val="00EC5FB5"/>
    <w:rsid w:val="00ED3522"/>
    <w:rsid w:val="00EE570F"/>
    <w:rsid w:val="00EE5F89"/>
    <w:rsid w:val="00EE6E20"/>
    <w:rsid w:val="00EF1B2D"/>
    <w:rsid w:val="00F0196A"/>
    <w:rsid w:val="00F07B2D"/>
    <w:rsid w:val="00F118E0"/>
    <w:rsid w:val="00F140FC"/>
    <w:rsid w:val="00F172EE"/>
    <w:rsid w:val="00F1773D"/>
    <w:rsid w:val="00F22FC2"/>
    <w:rsid w:val="00F248B6"/>
    <w:rsid w:val="00F31637"/>
    <w:rsid w:val="00F33B9F"/>
    <w:rsid w:val="00F41932"/>
    <w:rsid w:val="00F44C22"/>
    <w:rsid w:val="00F4789A"/>
    <w:rsid w:val="00F50472"/>
    <w:rsid w:val="00F51C00"/>
    <w:rsid w:val="00F51FDE"/>
    <w:rsid w:val="00F61364"/>
    <w:rsid w:val="00F614C4"/>
    <w:rsid w:val="00F61E2F"/>
    <w:rsid w:val="00F7256C"/>
    <w:rsid w:val="00F75A59"/>
    <w:rsid w:val="00F7650A"/>
    <w:rsid w:val="00F952E0"/>
    <w:rsid w:val="00F95DDF"/>
    <w:rsid w:val="00F96108"/>
    <w:rsid w:val="00FA4FBC"/>
    <w:rsid w:val="00FA70A7"/>
    <w:rsid w:val="00FB5337"/>
    <w:rsid w:val="00FB7AEB"/>
    <w:rsid w:val="00FC2874"/>
    <w:rsid w:val="00FC2E34"/>
    <w:rsid w:val="00FC48A3"/>
    <w:rsid w:val="00FD06DF"/>
    <w:rsid w:val="00FD0B4D"/>
    <w:rsid w:val="00FE316C"/>
    <w:rsid w:val="00FE3B05"/>
    <w:rsid w:val="00FE6980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48E3"/>
  <w15:docId w15:val="{BD2C6D5D-25F5-4DB9-8444-BEFDC630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3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s.gov.au/statistics/labour/earnings-and-working-conditions/average-weekly-earnings-australia/latest-relea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Treasury\TSY%20Factsheet.dotx" TargetMode="External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D67B4180AC754DA27F727DD68FE0B6" ma:contentTypeVersion="" ma:contentTypeDescription="PDMS Document Site Content Type" ma:contentTypeScope="" ma:versionID="d8b6360f3524d04895ac133c9446f627">
  <xsd:schema xmlns:xsd="http://www.w3.org/2001/XMLSchema" xmlns:xs="http://www.w3.org/2001/XMLSchema" xmlns:p="http://schemas.microsoft.com/office/2006/metadata/properties" xmlns:ns2="578FC63C-487E-4DD0-B890-EBE693C64552" targetNamespace="http://schemas.microsoft.com/office/2006/metadata/properties" ma:root="true" ma:fieldsID="f5512baf2bbeb7685c547b2a3f8bbc48" ns2:_="">
    <xsd:import namespace="578FC63C-487E-4DD0-B890-EBE693C645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63C-487E-4DD0-B890-EBE693C645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8FC63C-487E-4DD0-B890-EBE693C64552" xsi:nil="true"/>
  </documentManagement>
</p:properties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80134-07CF-445C-8568-61401ACB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FC63C-487E-4DD0-B890-EBE693C6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79CAF-1BBE-4179-A183-6298AA0F5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9EF1C-25C2-48EA-9C02-F5D0102C6A46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78FC63C-487E-4DD0-B890-EBE693C64552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TSY Factsheet.dotx</Template>
  <TotalTime>2</TotalTime>
  <Pages>2</Pages>
  <Words>516</Words>
  <Characters>2789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Build-to-Rent Tax Concessions fact sheet</vt:lpstr>
    </vt:vector>
  </TitlesOfParts>
  <Company>Australian Government - The Treasury</Company>
  <LinksUpToDate>false</LinksUpToDate>
  <CharactersWithSpaces>3268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https://www.abs.gov.au/statistics/labour/earnings-and-working-conditions/average-weekly-earnings-australia/latest-release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Build-to-Rent Tax Concessions fact sheet</dc:title>
  <dc:subject>Policy fact sheet</dc:subject>
  <dc:creator>Treasury</dc:creator>
  <cp:keywords/>
  <dc:description/>
  <cp:lastModifiedBy>Thomas, Deborah</cp:lastModifiedBy>
  <cp:revision>3</cp:revision>
  <cp:lastPrinted>2024-03-26T02:25:00Z</cp:lastPrinted>
  <dcterms:created xsi:type="dcterms:W3CDTF">2024-04-08T21:54:00Z</dcterms:created>
  <dcterms:modified xsi:type="dcterms:W3CDTF">2024-04-08T21:57:00Z</dcterms:modified>
  <cp:category/>
</cp:coreProperties>
</file>