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5451" w14:textId="654F36E2" w:rsidR="00153F86" w:rsidRPr="00153F86" w:rsidRDefault="00153F86" w:rsidP="00875DC3">
      <w:pPr>
        <w:spacing w:after="2520"/>
      </w:pPr>
    </w:p>
    <w:p w14:paraId="43E382B0" w14:textId="01538A6C" w:rsidR="00F012EA" w:rsidRPr="00DD5DF9" w:rsidRDefault="00CB3AFD" w:rsidP="00153F86">
      <w:pPr>
        <w:pStyle w:val="Title"/>
      </w:pPr>
      <w:r>
        <w:rPr>
          <w:color w:val="2C384A" w:themeColor="accent1"/>
        </w:rPr>
        <w:t>Children and the Gender Earnings Gap: Evidence for</w:t>
      </w:r>
      <w:r w:rsidR="00A11638">
        <w:rPr>
          <w:color w:val="2C384A" w:themeColor="accent1"/>
        </w:rPr>
        <w:t> </w:t>
      </w:r>
      <w:r>
        <w:rPr>
          <w:color w:val="2C384A" w:themeColor="accent1"/>
        </w:rPr>
        <w:t>Australia</w:t>
      </w:r>
    </w:p>
    <w:p w14:paraId="0A197CEC" w14:textId="4A6B45C7" w:rsidR="00F012EA" w:rsidRDefault="00CB3AFD" w:rsidP="00F012EA">
      <w:pPr>
        <w:pStyle w:val="AuthorName"/>
        <w:rPr>
          <w:szCs w:val="24"/>
        </w:rPr>
      </w:pPr>
      <w:proofErr w:type="spellStart"/>
      <w:r>
        <w:rPr>
          <w:szCs w:val="24"/>
        </w:rPr>
        <w:t>Elif</w:t>
      </w:r>
      <w:proofErr w:type="spellEnd"/>
      <w:r>
        <w:rPr>
          <w:szCs w:val="24"/>
        </w:rPr>
        <w:t xml:space="preserve"> </w:t>
      </w:r>
      <w:proofErr w:type="spellStart"/>
      <w:r>
        <w:rPr>
          <w:szCs w:val="24"/>
        </w:rPr>
        <w:t>Bahar</w:t>
      </w:r>
      <w:proofErr w:type="spellEnd"/>
      <w:r>
        <w:rPr>
          <w:szCs w:val="24"/>
        </w:rPr>
        <w:t>, Natasha Bradshaw, Nathan Deutscher and Maxine Montaigne</w:t>
      </w:r>
      <w:r w:rsidR="00F012EA" w:rsidRPr="00803BD0">
        <w:rPr>
          <w:rStyle w:val="FootnoteReference"/>
          <w:sz w:val="24"/>
          <w:szCs w:val="24"/>
        </w:rPr>
        <w:footnoteReference w:id="2"/>
      </w:r>
    </w:p>
    <w:p w14:paraId="0EDA1B31" w14:textId="77777777" w:rsidR="00F012EA" w:rsidRPr="00F8009C" w:rsidRDefault="00F012EA" w:rsidP="00153F86">
      <w:pPr>
        <w:pStyle w:val="Subtitle"/>
        <w:tabs>
          <w:tab w:val="left" w:pos="1985"/>
        </w:tabs>
        <w:spacing w:after="0"/>
        <w:rPr>
          <w:szCs w:val="40"/>
        </w:rPr>
      </w:pPr>
      <w:r>
        <w:rPr>
          <w:szCs w:val="40"/>
        </w:rPr>
        <w:t>Treasury Working Paper</w:t>
      </w:r>
      <w:r w:rsidRPr="00803BD0">
        <w:rPr>
          <w:rStyle w:val="FootnoteReference"/>
          <w:sz w:val="40"/>
          <w:szCs w:val="40"/>
        </w:rPr>
        <w:footnoteReference w:id="3"/>
      </w:r>
    </w:p>
    <w:p w14:paraId="6051D5C7" w14:textId="7B0D36BF" w:rsidR="00F012EA" w:rsidRPr="00F8009C" w:rsidRDefault="00F012EA" w:rsidP="00F012EA">
      <w:pPr>
        <w:pStyle w:val="Subtitle"/>
        <w:rPr>
          <w:szCs w:val="36"/>
        </w:rPr>
      </w:pPr>
      <w:r>
        <w:rPr>
          <w:szCs w:val="36"/>
        </w:rPr>
        <w:t>20</w:t>
      </w:r>
      <w:r w:rsidR="00CB3AFD">
        <w:rPr>
          <w:szCs w:val="36"/>
        </w:rPr>
        <w:t>2</w:t>
      </w:r>
      <w:r w:rsidR="0070289D">
        <w:rPr>
          <w:szCs w:val="36"/>
        </w:rPr>
        <w:t>3</w:t>
      </w:r>
      <w:r w:rsidR="003E4186">
        <w:rPr>
          <w:szCs w:val="36"/>
        </w:rPr>
        <w:t>–</w:t>
      </w:r>
      <w:r w:rsidR="0070289D">
        <w:rPr>
          <w:szCs w:val="36"/>
        </w:rPr>
        <w:t>0</w:t>
      </w:r>
      <w:r w:rsidR="00745CA9">
        <w:rPr>
          <w:szCs w:val="36"/>
        </w:rPr>
        <w:t>2</w:t>
      </w:r>
    </w:p>
    <w:p w14:paraId="3E832F3A" w14:textId="6568311F" w:rsidR="00F012EA" w:rsidRPr="0018497C" w:rsidRDefault="00F012EA" w:rsidP="00F012EA">
      <w:pPr>
        <w:pStyle w:val="SeriesNumber"/>
        <w:spacing w:after="120"/>
        <w:rPr>
          <w:sz w:val="24"/>
          <w:szCs w:val="24"/>
        </w:rPr>
      </w:pPr>
      <w:r w:rsidRPr="0018497C">
        <w:rPr>
          <w:sz w:val="24"/>
          <w:szCs w:val="24"/>
        </w:rPr>
        <w:t xml:space="preserve">Date created: </w:t>
      </w:r>
      <w:r w:rsidR="00745CA9">
        <w:rPr>
          <w:sz w:val="24"/>
          <w:szCs w:val="24"/>
        </w:rPr>
        <w:t>March 2023</w:t>
      </w:r>
    </w:p>
    <w:p w14:paraId="20F02AD3" w14:textId="77777777" w:rsidR="000464B6" w:rsidRDefault="000464B6" w:rsidP="00F012EA">
      <w:pPr>
        <w:pStyle w:val="AuthorName"/>
        <w:rPr>
          <w:szCs w:val="24"/>
        </w:rPr>
        <w:sectPr w:rsidR="000464B6" w:rsidSect="00B7535E">
          <w:footerReference w:type="even" r:id="rId7"/>
          <w:footerReference w:type="default" r:id="rId8"/>
          <w:headerReference w:type="first" r:id="rId9"/>
          <w:pgSz w:w="11906" w:h="16838" w:code="9"/>
          <w:pgMar w:top="1843" w:right="1418" w:bottom="1418" w:left="1418" w:header="709" w:footer="709" w:gutter="0"/>
          <w:cols w:space="708"/>
          <w:titlePg/>
          <w:docGrid w:linePitch="360"/>
        </w:sectPr>
      </w:pPr>
    </w:p>
    <w:p w14:paraId="38A79986" w14:textId="22C8BC9A" w:rsidR="000464B6" w:rsidRDefault="000464B6" w:rsidP="000464B6">
      <w:r w:rsidRPr="00661BF0">
        <w:lastRenderedPageBreak/>
        <w:t xml:space="preserve">© Commonwealth of Australia </w:t>
      </w:r>
      <w:r w:rsidRPr="00521BA2">
        <w:t>20</w:t>
      </w:r>
      <w:r w:rsidR="00521BA2" w:rsidRPr="00521BA2">
        <w:t>2</w:t>
      </w:r>
      <w:r w:rsidR="00050092">
        <w:t>3</w:t>
      </w:r>
    </w:p>
    <w:p w14:paraId="10B97E5A" w14:textId="06F8378F" w:rsidR="000464B6" w:rsidRPr="00464A16" w:rsidRDefault="000464B6" w:rsidP="000464B6">
      <w:r w:rsidRPr="00464A16">
        <w:t xml:space="preserve">ISBN </w:t>
      </w:r>
      <w:r w:rsidR="008651EE" w:rsidRPr="008651EE">
        <w:t>978-1-925832-68-6</w:t>
      </w:r>
    </w:p>
    <w:p w14:paraId="3730FFEA" w14:textId="77777777" w:rsidR="000464B6" w:rsidRPr="00086F82" w:rsidRDefault="000464B6" w:rsidP="000464B6">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0"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11"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6DD676D7" w14:textId="77777777" w:rsidR="000464B6" w:rsidRDefault="000464B6" w:rsidP="000464B6">
      <w:pPr>
        <w:tabs>
          <w:tab w:val="left" w:pos="1650"/>
        </w:tabs>
        <w:spacing w:before="100" w:beforeAutospacing="1" w:after="100" w:afterAutospacing="1"/>
        <w:rPr>
          <w:rFonts w:cstheme="minorHAnsi"/>
          <w:sz w:val="24"/>
          <w:szCs w:val="24"/>
        </w:rPr>
      </w:pPr>
      <w:r w:rsidRPr="00E56DFB">
        <w:rPr>
          <w:rFonts w:cstheme="minorHAnsi"/>
          <w:noProof/>
          <w:sz w:val="24"/>
          <w:szCs w:val="24"/>
          <w:lang w:eastAsia="zh-CN"/>
        </w:rPr>
        <w:drawing>
          <wp:inline distT="0" distB="0" distL="0" distR="0" wp14:anchorId="114A681B" wp14:editId="6E88870F">
            <wp:extent cx="809625" cy="285750"/>
            <wp:effectExtent l="19050" t="0" r="9525" b="0"/>
            <wp:docPr id="6" name="Picture 6"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2"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79A1735" w14:textId="77777777" w:rsidR="000464B6" w:rsidRPr="006627B4" w:rsidRDefault="000464B6" w:rsidP="000464B6">
      <w:pPr>
        <w:tabs>
          <w:tab w:val="left" w:pos="1650"/>
        </w:tabs>
      </w:pPr>
      <w:r w:rsidRPr="006627B4">
        <w:t>Use of Treasury material under a</w:t>
      </w:r>
      <w:r w:rsidRPr="00476F09">
        <w:rPr>
          <w:rFonts w:cstheme="minorHAnsi"/>
          <w:sz w:val="24"/>
          <w:szCs w:val="24"/>
        </w:rPr>
        <w:t xml:space="preserve"> </w:t>
      </w:r>
      <w:hyperlink r:id="rId13"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4D7924E5" w14:textId="77777777" w:rsidR="000464B6" w:rsidRPr="0096584F" w:rsidRDefault="000464B6" w:rsidP="0096584F">
      <w:pPr>
        <w:spacing w:after="40"/>
        <w:rPr>
          <w:b/>
        </w:rPr>
      </w:pPr>
      <w:r w:rsidRPr="0096584F">
        <w:rPr>
          <w:b/>
        </w:rPr>
        <w:t xml:space="preserve">Treasury material used 'as </w:t>
      </w:r>
      <w:proofErr w:type="gramStart"/>
      <w:r w:rsidRPr="0096584F">
        <w:rPr>
          <w:b/>
        </w:rPr>
        <w:t>supplied'</w:t>
      </w:r>
      <w:proofErr w:type="gramEnd"/>
    </w:p>
    <w:p w14:paraId="3B893A76" w14:textId="1AC9C0B6" w:rsidR="000464B6" w:rsidRPr="00476F09" w:rsidRDefault="000464B6" w:rsidP="000464B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FF7AC3">
        <w:t>–</w:t>
      </w:r>
      <w:r>
        <w:t xml:space="preserve"> then Treasury prefers t</w:t>
      </w:r>
      <w:r w:rsidRPr="00476F09">
        <w:t xml:space="preserve">he following attribution: </w:t>
      </w:r>
    </w:p>
    <w:p w14:paraId="1A948F78" w14:textId="77777777" w:rsidR="000464B6" w:rsidRPr="00A13A11" w:rsidRDefault="000464B6" w:rsidP="000464B6">
      <w:pPr>
        <w:ind w:firstLine="720"/>
      </w:pPr>
      <w:r w:rsidRPr="002F1BC2">
        <w:rPr>
          <w:i/>
        </w:rPr>
        <w:t xml:space="preserve">Source: The </w:t>
      </w:r>
      <w:r w:rsidRPr="002F1BC2">
        <w:rPr>
          <w:i/>
          <w:iCs/>
        </w:rPr>
        <w:t>Australian Government the Treasury</w:t>
      </w:r>
    </w:p>
    <w:p w14:paraId="5050B6D3" w14:textId="77777777" w:rsidR="000464B6" w:rsidRPr="0096584F" w:rsidRDefault="000464B6" w:rsidP="0096584F">
      <w:pPr>
        <w:spacing w:after="40"/>
        <w:rPr>
          <w:b/>
        </w:rPr>
      </w:pPr>
      <w:r w:rsidRPr="0096584F">
        <w:rPr>
          <w:b/>
        </w:rPr>
        <w:t>Derivative material</w:t>
      </w:r>
    </w:p>
    <w:p w14:paraId="43829A63" w14:textId="77777777" w:rsidR="000464B6" w:rsidRPr="006627B4" w:rsidRDefault="000464B6" w:rsidP="000464B6">
      <w:r w:rsidRPr="006627B4">
        <w:t xml:space="preserve">If you have modified or transformed Treasury material, or derived new material from those of the Treasury in any way, then Treasury prefers the following attribution: </w:t>
      </w:r>
    </w:p>
    <w:p w14:paraId="0469AAB9" w14:textId="77777777" w:rsidR="000464B6" w:rsidRPr="006627B4" w:rsidRDefault="000464B6" w:rsidP="000464B6">
      <w:pPr>
        <w:ind w:firstLine="720"/>
      </w:pPr>
      <w:r w:rsidRPr="002F1BC2">
        <w:rPr>
          <w:i/>
        </w:rPr>
        <w:t>Based on The Australian Government the Treasury data</w:t>
      </w:r>
    </w:p>
    <w:p w14:paraId="64C73E1E" w14:textId="77777777" w:rsidR="000464B6" w:rsidRPr="006627B4" w:rsidRDefault="000464B6" w:rsidP="000464B6">
      <w:pPr>
        <w:spacing w:after="40"/>
        <w:rPr>
          <w:b/>
        </w:rPr>
      </w:pPr>
      <w:r w:rsidRPr="006627B4">
        <w:rPr>
          <w:b/>
        </w:rPr>
        <w:t>Use of the Coat of Arms</w:t>
      </w:r>
    </w:p>
    <w:p w14:paraId="4AA6E69B" w14:textId="77777777" w:rsidR="000464B6" w:rsidRPr="006627B4" w:rsidRDefault="00A40BA2" w:rsidP="000464B6">
      <w:r w:rsidRPr="00A40BA2">
        <w:t>The terms under which the Coat of Arms can be used are set out on the Departme</w:t>
      </w:r>
      <w:r>
        <w:t>nt of the Prime </w:t>
      </w:r>
      <w:r w:rsidRPr="00A40BA2">
        <w:t xml:space="preserve">Minister and Cabinet website (see </w:t>
      </w:r>
      <w:hyperlink r:id="rId14" w:history="1">
        <w:r w:rsidRPr="005A283B">
          <w:rPr>
            <w:rStyle w:val="Hyperlink"/>
          </w:rPr>
          <w:t>www.pmc.gov.au/government/commonwealth-coat-arms</w:t>
        </w:r>
      </w:hyperlink>
      <w:r w:rsidRPr="00A40BA2">
        <w:t>).</w:t>
      </w:r>
    </w:p>
    <w:p w14:paraId="7FE99CC0" w14:textId="77777777" w:rsidR="000464B6" w:rsidRPr="006627B4" w:rsidRDefault="00A57848" w:rsidP="000464B6">
      <w:pPr>
        <w:spacing w:after="40"/>
        <w:rPr>
          <w:b/>
        </w:rPr>
      </w:pPr>
      <w:r>
        <w:rPr>
          <w:b/>
        </w:rPr>
        <w:t>Other u</w:t>
      </w:r>
      <w:r w:rsidR="000464B6" w:rsidRPr="006627B4">
        <w:rPr>
          <w:b/>
        </w:rPr>
        <w:t>ses</w:t>
      </w:r>
    </w:p>
    <w:p w14:paraId="402F66CA" w14:textId="77777777" w:rsidR="000464B6" w:rsidRPr="006627B4" w:rsidRDefault="00A57848" w:rsidP="00A57848">
      <w:r>
        <w:t>E</w:t>
      </w:r>
      <w:r w:rsidR="000464B6" w:rsidRPr="006627B4">
        <w:t>nquiries regarding this licence and any other use of this document are welcome at:</w:t>
      </w:r>
    </w:p>
    <w:p w14:paraId="758722BB" w14:textId="77777777" w:rsidR="000464B6" w:rsidRPr="006627B4" w:rsidRDefault="000464B6" w:rsidP="000464B6">
      <w:pPr>
        <w:spacing w:after="0"/>
        <w:ind w:left="720"/>
      </w:pPr>
      <w:r w:rsidRPr="006627B4">
        <w:t>Manager</w:t>
      </w:r>
      <w:r w:rsidR="0096584F">
        <w:br/>
      </w:r>
      <w:r w:rsidR="00A57848">
        <w:t>Media Unit</w:t>
      </w:r>
      <w:r w:rsidR="0096584F">
        <w:br/>
      </w:r>
      <w:r w:rsidRPr="006627B4">
        <w:t>The Treasury</w:t>
      </w:r>
      <w:r w:rsidR="0096584F">
        <w:br/>
      </w:r>
      <w:r w:rsidRPr="006627B4">
        <w:t xml:space="preserve">Langton Crescent </w:t>
      </w:r>
      <w:r w:rsidR="00A57848">
        <w:br/>
      </w:r>
      <w:r w:rsidRPr="006627B4">
        <w:t>Parkes ACT 2600</w:t>
      </w:r>
    </w:p>
    <w:p w14:paraId="5C4C477C" w14:textId="1942E88B" w:rsidR="000464B6" w:rsidRDefault="000464B6" w:rsidP="000464B6">
      <w:pPr>
        <w:spacing w:after="0"/>
        <w:ind w:left="720"/>
        <w:rPr>
          <w:rStyle w:val="Hyperlink"/>
        </w:rPr>
      </w:pPr>
      <w:r w:rsidRPr="006627B4">
        <w:t xml:space="preserve">Email: </w:t>
      </w:r>
      <w:hyperlink r:id="rId15" w:history="1">
        <w:r w:rsidR="00CB4555" w:rsidRPr="000951A5">
          <w:rPr>
            <w:rStyle w:val="Hyperlink"/>
          </w:rPr>
          <w:t>media@treasury.gov.au</w:t>
        </w:r>
      </w:hyperlink>
      <w:r w:rsidR="00FF7AC3">
        <w:rPr>
          <w:rStyle w:val="Hyperlink"/>
        </w:rPr>
        <w:t xml:space="preserve"> </w:t>
      </w:r>
    </w:p>
    <w:p w14:paraId="755F3B15" w14:textId="77777777" w:rsidR="000464B6" w:rsidRPr="000464B6" w:rsidRDefault="000464B6" w:rsidP="000464B6"/>
    <w:p w14:paraId="616A8911" w14:textId="77777777" w:rsidR="000464B6" w:rsidRDefault="000464B6" w:rsidP="000464B6">
      <w:pPr>
        <w:spacing w:after="0"/>
        <w:ind w:left="720"/>
        <w:rPr>
          <w:rStyle w:val="Hyperlink"/>
        </w:rPr>
        <w:sectPr w:rsidR="000464B6" w:rsidSect="00B7535E">
          <w:headerReference w:type="even" r:id="rId16"/>
          <w:headerReference w:type="default" r:id="rId17"/>
          <w:headerReference w:type="first" r:id="rId18"/>
          <w:pgSz w:w="11906" w:h="16838" w:code="9"/>
          <w:pgMar w:top="1843" w:right="1418" w:bottom="1418" w:left="1418" w:header="709" w:footer="709" w:gutter="0"/>
          <w:cols w:space="708"/>
          <w:titlePg/>
          <w:docGrid w:linePitch="360"/>
        </w:sectPr>
      </w:pPr>
    </w:p>
    <w:p w14:paraId="4F193581" w14:textId="671B83EB" w:rsidR="00F012EA" w:rsidRDefault="00521BA2" w:rsidP="00F012EA">
      <w:pPr>
        <w:pStyle w:val="SingleParagraph"/>
      </w:pPr>
      <w:r w:rsidRPr="00521BA2">
        <w:t>Children and the Gender Earnings Gap: Evidence for Australia</w:t>
      </w:r>
    </w:p>
    <w:p w14:paraId="15267806" w14:textId="1E3C45E6" w:rsidR="00F012EA" w:rsidRDefault="00521BA2" w:rsidP="00F012EA">
      <w:pPr>
        <w:pStyle w:val="SingleParagraph"/>
      </w:pPr>
      <w:proofErr w:type="spellStart"/>
      <w:r w:rsidRPr="00521BA2">
        <w:t>Elif</w:t>
      </w:r>
      <w:proofErr w:type="spellEnd"/>
      <w:r w:rsidRPr="00521BA2">
        <w:t xml:space="preserve"> </w:t>
      </w:r>
      <w:proofErr w:type="spellStart"/>
      <w:r w:rsidRPr="00521BA2">
        <w:t>Bahar</w:t>
      </w:r>
      <w:proofErr w:type="spellEnd"/>
      <w:r w:rsidRPr="00521BA2">
        <w:t>, Natasha Bradshaw, Nathan Deutscher and Maxine Montaigne</w:t>
      </w:r>
    </w:p>
    <w:p w14:paraId="7FD72FB4" w14:textId="56C7EF75" w:rsidR="00F012EA" w:rsidRPr="00745CA9" w:rsidRDefault="00F012EA" w:rsidP="00F012EA">
      <w:pPr>
        <w:pStyle w:val="SingleParagraph"/>
      </w:pPr>
      <w:r w:rsidRPr="00745CA9">
        <w:t>20</w:t>
      </w:r>
      <w:r w:rsidR="00521BA2" w:rsidRPr="00745CA9">
        <w:t>2</w:t>
      </w:r>
      <w:r w:rsidR="00745CA9" w:rsidRPr="00745CA9">
        <w:t>3-02</w:t>
      </w:r>
    </w:p>
    <w:p w14:paraId="7D4E0F10" w14:textId="3D9D425E" w:rsidR="00F012EA" w:rsidRDefault="00745CA9" w:rsidP="00F012EA">
      <w:pPr>
        <w:pStyle w:val="SingleParagraph"/>
      </w:pPr>
      <w:r w:rsidRPr="00745CA9">
        <w:t>March 2023</w:t>
      </w:r>
    </w:p>
    <w:p w14:paraId="36A4D0A0" w14:textId="77777777" w:rsidR="00F012EA" w:rsidRDefault="00F012EA" w:rsidP="00575037">
      <w:pPr>
        <w:pStyle w:val="Heading1"/>
      </w:pPr>
      <w:r>
        <w:t>Abstract</w:t>
      </w:r>
    </w:p>
    <w:p w14:paraId="6BE44EAF" w14:textId="28E9CD5A" w:rsidR="00F012EA" w:rsidRPr="00E65E4B" w:rsidRDefault="2E4C5605" w:rsidP="00F012EA">
      <w:pPr>
        <w:pStyle w:val="Abstract"/>
      </w:pPr>
      <w:r w:rsidRPr="00521BA2">
        <w:t>This paper uses an event study approach to estimate the impact of children on the gender earnings gap in Australia. We use the Household, Income and Labour Dynamics in Australia (HILDA) survey to show the arrival of children has a large and persistent impact on the gender earnings gap, reducing female earnings by 55</w:t>
      </w:r>
      <w:r w:rsidR="096B57C4">
        <w:t> per </w:t>
      </w:r>
      <w:r w:rsidRPr="00521BA2">
        <w:t xml:space="preserve">cent, on average, in the </w:t>
      </w:r>
      <w:r w:rsidR="156C9575">
        <w:t>5</w:t>
      </w:r>
      <w:r w:rsidRPr="00521BA2">
        <w:t xml:space="preserve"> years following parenthood. We further show</w:t>
      </w:r>
      <w:r w:rsidR="43E35FE3" w:rsidRPr="00521BA2">
        <w:t>,</w:t>
      </w:r>
      <w:r w:rsidRPr="00521BA2">
        <w:t xml:space="preserve"> using personal income tax data collected by the Australian Tax Office (ATO)</w:t>
      </w:r>
      <w:r w:rsidR="55E03AB9" w:rsidRPr="00521BA2">
        <w:t>,</w:t>
      </w:r>
      <w:r w:rsidRPr="00521BA2">
        <w:t xml:space="preserve"> that this gap improves only slightly but remains high in the </w:t>
      </w:r>
      <w:r w:rsidR="156C9575">
        <w:t xml:space="preserve">10 </w:t>
      </w:r>
      <w:r w:rsidRPr="00521BA2">
        <w:t>years following the arrival of children. We attribute the gap in earnings to lower participation rates and reduced working hours amongst mothers. Although the decline in earnings for women is very similar regardless of their breadwinner status in the household pre</w:t>
      </w:r>
      <w:r w:rsidR="003E4186">
        <w:noBreakHyphen/>
      </w:r>
      <w:r w:rsidRPr="00521BA2">
        <w:t>children, women with greater access to workplace flexibility are more likely to remain employed after having children.</w:t>
      </w:r>
    </w:p>
    <w:p w14:paraId="30AB7122" w14:textId="5AE59C29" w:rsidR="00F012EA" w:rsidRDefault="00F012EA" w:rsidP="00F012EA">
      <w:pPr>
        <w:pStyle w:val="SingleParagraph"/>
      </w:pPr>
      <w:r>
        <w:t xml:space="preserve">JEL Classification Numbers: </w:t>
      </w:r>
      <w:r w:rsidR="00521BA2" w:rsidRPr="00521BA2">
        <w:t>J13, J16, J22, J31</w:t>
      </w:r>
    </w:p>
    <w:p w14:paraId="3C1FEC02" w14:textId="7A02AAE1" w:rsidR="00F012EA" w:rsidRDefault="00F012EA" w:rsidP="00F012EA">
      <w:pPr>
        <w:pStyle w:val="SingleParagraph"/>
      </w:pPr>
      <w:r>
        <w:t xml:space="preserve">Keywords: </w:t>
      </w:r>
      <w:r w:rsidR="00521BA2" w:rsidRPr="00521BA2">
        <w:t>children, gender earnings gap, labour supply, wage differential, norms, discrimination, workplace policies</w:t>
      </w:r>
    </w:p>
    <w:p w14:paraId="2FADED95" w14:textId="77777777" w:rsidR="00F012EA" w:rsidRDefault="00F012EA" w:rsidP="00F012EA">
      <w:pPr>
        <w:pStyle w:val="SingleParagraph"/>
      </w:pPr>
    </w:p>
    <w:p w14:paraId="3E803356" w14:textId="1742A778" w:rsidR="00F012EA" w:rsidRDefault="00521BA2" w:rsidP="00F012EA">
      <w:pPr>
        <w:pStyle w:val="SingleParagraph"/>
      </w:pPr>
      <w:r w:rsidRPr="00521BA2">
        <w:t>Nathan Deutscher</w:t>
      </w:r>
    </w:p>
    <w:p w14:paraId="573E4BA6" w14:textId="0E1E7380" w:rsidR="00F012EA" w:rsidRDefault="00521BA2" w:rsidP="00F012EA">
      <w:pPr>
        <w:pStyle w:val="SingleParagraph"/>
      </w:pPr>
      <w:r w:rsidRPr="00521BA2">
        <w:t>Macroeconomic Analysis and Policy Division</w:t>
      </w:r>
    </w:p>
    <w:p w14:paraId="0BE8FE3E" w14:textId="73F029B1" w:rsidR="00F012EA" w:rsidRDefault="00521BA2" w:rsidP="00F012EA">
      <w:pPr>
        <w:pStyle w:val="SingleParagraph"/>
      </w:pPr>
      <w:r>
        <w:t>Macroeconomic Group</w:t>
      </w:r>
    </w:p>
    <w:p w14:paraId="046E4953" w14:textId="77777777" w:rsidR="00F012EA" w:rsidRDefault="00F012EA" w:rsidP="00F012EA">
      <w:pPr>
        <w:pStyle w:val="SingleParagraph"/>
      </w:pPr>
      <w:r>
        <w:t>The Treasury</w:t>
      </w:r>
    </w:p>
    <w:p w14:paraId="15FF9C7E" w14:textId="77777777" w:rsidR="00F012EA" w:rsidRDefault="00F012EA" w:rsidP="00F012EA">
      <w:pPr>
        <w:pStyle w:val="SingleParagraph"/>
      </w:pPr>
      <w:r>
        <w:t>Langton Crescent</w:t>
      </w:r>
    </w:p>
    <w:p w14:paraId="0A234F1D" w14:textId="68288355" w:rsidR="00F012EA" w:rsidRDefault="00F012EA" w:rsidP="00F012EA">
      <w:pPr>
        <w:pStyle w:val="SingleParagraph"/>
      </w:pPr>
      <w:r>
        <w:t>Parkes</w:t>
      </w:r>
      <w:r w:rsidR="00FF7AC3">
        <w:t xml:space="preserve"> </w:t>
      </w:r>
      <w:r>
        <w:t>ACT</w:t>
      </w:r>
      <w:r w:rsidR="00FF7AC3">
        <w:t xml:space="preserve"> </w:t>
      </w:r>
      <w:r>
        <w:t>2600</w:t>
      </w:r>
    </w:p>
    <w:p w14:paraId="2604B238" w14:textId="77777777" w:rsidR="00F012EA" w:rsidRDefault="00F012EA" w:rsidP="008627B1"/>
    <w:p w14:paraId="1D35E50A" w14:textId="77777777" w:rsidR="00F012EA" w:rsidRDefault="00F012EA" w:rsidP="008627B1">
      <w:pPr>
        <w:sectPr w:rsidR="00F012EA" w:rsidSect="001676B9">
          <w:pgSz w:w="11906" w:h="16838" w:code="9"/>
          <w:pgMar w:top="1843" w:right="1418" w:bottom="1418" w:left="1418" w:header="709" w:footer="709" w:gutter="0"/>
          <w:cols w:space="708"/>
          <w:titlePg/>
          <w:docGrid w:linePitch="360"/>
        </w:sectPr>
      </w:pPr>
    </w:p>
    <w:p w14:paraId="37A06A2E" w14:textId="77777777" w:rsidR="00F012EA" w:rsidRPr="00A57848" w:rsidRDefault="00F012EA" w:rsidP="00225317">
      <w:pPr>
        <w:pStyle w:val="Heading2"/>
      </w:pPr>
      <w:bookmarkStart w:id="0" w:name="_Toc271526783"/>
      <w:bookmarkStart w:id="1" w:name="_Toc320810314"/>
      <w:r w:rsidRPr="00643367">
        <w:t>Introduction</w:t>
      </w:r>
      <w:bookmarkEnd w:id="0"/>
      <w:bookmarkEnd w:id="1"/>
    </w:p>
    <w:p w14:paraId="2CF063F9" w14:textId="77777777" w:rsidR="006930BD" w:rsidRDefault="00353936" w:rsidP="00353936">
      <w:r>
        <w:t>Despite convergence in recent decades, there remain large disparities in earnings between men and women in Australia, as in many other countries. International literature has shown that the differential impacts of children on men</w:t>
      </w:r>
      <w:r w:rsidR="000E1DD6">
        <w:t>’s</w:t>
      </w:r>
      <w:r>
        <w:t xml:space="preserve"> and women’s earnings is the primary driver of gender earnings gaps (</w:t>
      </w:r>
      <w:proofErr w:type="spellStart"/>
      <w:r>
        <w:t>Kleven</w:t>
      </w:r>
      <w:proofErr w:type="spellEnd"/>
      <w:r w:rsidR="003E4186">
        <w:t> et al. </w:t>
      </w:r>
      <w:r>
        <w:t xml:space="preserve">2019a) and has been documented in varying magnitudes in </w:t>
      </w:r>
      <w:proofErr w:type="gramStart"/>
      <w:r>
        <w:t>a number of</w:t>
      </w:r>
      <w:proofErr w:type="gramEnd"/>
      <w:r>
        <w:t xml:space="preserve"> countries (</w:t>
      </w:r>
      <w:proofErr w:type="spellStart"/>
      <w:r>
        <w:t>Kleven</w:t>
      </w:r>
      <w:proofErr w:type="spellEnd"/>
      <w:r w:rsidR="003E4186">
        <w:t> et al. </w:t>
      </w:r>
      <w:r>
        <w:t xml:space="preserve">2019b). This divergence in earnings following entry into parenthood is often termed the ‘motherhood penalty’ (or ‘child penalty’). </w:t>
      </w:r>
    </w:p>
    <w:p w14:paraId="4AED9394" w14:textId="3723AE49" w:rsidR="00353936" w:rsidRDefault="00353936" w:rsidP="00353936">
      <w:r>
        <w:t>In this paper, we examine the impact of children on the gender earnings gap in Australia, identify the motherhood penalty in Australia up to a decade following the arrival of the first child, and compare the results to international estimates.</w:t>
      </w:r>
      <w:r w:rsidR="00FB5E44">
        <w:t xml:space="preserve"> </w:t>
      </w:r>
      <w:r w:rsidR="00FD2DA1">
        <w:t>O</w:t>
      </w:r>
      <w:r w:rsidR="00FB5E44">
        <w:t>ur focus is on labour market outcomes, and not on th</w:t>
      </w:r>
      <w:r w:rsidR="00B74425">
        <w:t>e</w:t>
      </w:r>
      <w:r w:rsidR="00C237AA">
        <w:t xml:space="preserve"> </w:t>
      </w:r>
      <w:r w:rsidR="00FB5E44">
        <w:t xml:space="preserve">broader </w:t>
      </w:r>
      <w:r w:rsidR="00C237AA">
        <w:t xml:space="preserve">suite of </w:t>
      </w:r>
      <w:r w:rsidR="00B74425">
        <w:t xml:space="preserve">measures of </w:t>
      </w:r>
      <w:r w:rsidR="00B40B86">
        <w:t>life satisfaction, health and wellbeing</w:t>
      </w:r>
      <w:r w:rsidR="0078560C">
        <w:t xml:space="preserve"> that</w:t>
      </w:r>
      <w:r w:rsidR="00193763">
        <w:t xml:space="preserve"> potentially</w:t>
      </w:r>
      <w:r w:rsidR="0078560C">
        <w:t xml:space="preserve"> change</w:t>
      </w:r>
      <w:r w:rsidR="00487292">
        <w:t xml:space="preserve"> in</w:t>
      </w:r>
      <w:r w:rsidR="00703CAD">
        <w:t xml:space="preserve"> equally</w:t>
      </w:r>
      <w:r w:rsidR="00487292">
        <w:t xml:space="preserve"> important ways</w:t>
      </w:r>
      <w:r w:rsidR="0078560C">
        <w:t xml:space="preserve"> for men and women on becoming parents</w:t>
      </w:r>
      <w:r w:rsidR="007A6961">
        <w:t xml:space="preserve">.   </w:t>
      </w:r>
      <w:r w:rsidR="00C237AA">
        <w:t xml:space="preserve"> </w:t>
      </w:r>
    </w:p>
    <w:p w14:paraId="1743798C" w14:textId="03C5266B" w:rsidR="00353936" w:rsidRDefault="00353936" w:rsidP="00353936">
      <w:r>
        <w:t xml:space="preserve">We follow </w:t>
      </w:r>
      <w:proofErr w:type="spellStart"/>
      <w:r>
        <w:t>Kleven</w:t>
      </w:r>
      <w:proofErr w:type="spellEnd"/>
      <w:r>
        <w:t xml:space="preserve"> et al.’s (2019a) approach of using an event study to show that the arrival of children has a large and persistent impact on the earnings of women, but not for men. Using survey data, we show that women’s earnings fall by an average of 55</w:t>
      </w:r>
      <w:r w:rsidR="003E4186">
        <w:t> per </w:t>
      </w:r>
      <w:r>
        <w:t xml:space="preserve">cent in the first </w:t>
      </w:r>
      <w:r w:rsidR="006D5F3A">
        <w:t>5</w:t>
      </w:r>
      <w:r>
        <w:t xml:space="preserve"> years after entry into parenthood, while men’s are unchanged. We extend this analysis using administrative data which shows a similar gap persists for the first </w:t>
      </w:r>
      <w:r w:rsidR="006D5F3A">
        <w:t>10</w:t>
      </w:r>
      <w:r>
        <w:t xml:space="preserve"> years following parenthood. We attribute the gap in earnings to lower participation rates and reduced working hours amongst mothers, and to a lesser extent, a fall in hourly wages. We show that men’s earnings are not significantly affected by the arrival of children.</w:t>
      </w:r>
      <w:r w:rsidR="00FF7AC3">
        <w:t xml:space="preserve"> </w:t>
      </w:r>
    </w:p>
    <w:p w14:paraId="129AAF1A" w14:textId="69D145FF" w:rsidR="00353936" w:rsidRDefault="08A3ADA1" w:rsidP="00353936">
      <w:r>
        <w:t>We then show</w:t>
      </w:r>
      <w:r w:rsidR="049D2A9C">
        <w:t>,</w:t>
      </w:r>
      <w:r>
        <w:t xml:space="preserve"> through an illustrative gender earnings gap decomposition</w:t>
      </w:r>
      <w:r w:rsidR="095B31FE">
        <w:t>,</w:t>
      </w:r>
      <w:r>
        <w:t xml:space="preserve"> that the share of gender inequality attribu</w:t>
      </w:r>
      <w:r w:rsidR="5E448D3F">
        <w:t>t</w:t>
      </w:r>
      <w:r w:rsidR="096B57C4">
        <w:t>able </w:t>
      </w:r>
      <w:r>
        <w:t>to the motherhood penalty has increased substantially since the early 2000s. In</w:t>
      </w:r>
      <w:r w:rsidR="096B57C4">
        <w:t> </w:t>
      </w:r>
      <w:r>
        <w:t>2001, the motherhood penalty explained around half of all gender earnings inequality; by 2019, this had increased to four</w:t>
      </w:r>
      <w:r w:rsidR="003E4186">
        <w:noBreakHyphen/>
      </w:r>
      <w:r>
        <w:t>fifths. The increase is likely due to a decline in non</w:t>
      </w:r>
      <w:r w:rsidR="003E4186">
        <w:noBreakHyphen/>
      </w:r>
      <w:r>
        <w:t xml:space="preserve">child related drivers of inequality, such as the rise in female educational attainment or decline in employment discrimination. </w:t>
      </w:r>
    </w:p>
    <w:p w14:paraId="533C379C" w14:textId="0208DC5E" w:rsidR="00353936" w:rsidRDefault="08A3ADA1" w:rsidP="00353936">
      <w:r>
        <w:t>We also contribute to the literature by investigating several potential drivers of the motherhood penalty in Australia that have emerged from the international literature. Health issues related to birth and biological differences have largely been ruled out as a cause through studies which compare gender differences in outcomes of same</w:t>
      </w:r>
      <w:r w:rsidR="003E4186">
        <w:noBreakHyphen/>
      </w:r>
      <w:r>
        <w:t xml:space="preserve">sex and adoptive parents (Anderson &amp; Nix 2022; </w:t>
      </w:r>
      <w:proofErr w:type="spellStart"/>
      <w:r>
        <w:t>Kleven</w:t>
      </w:r>
      <w:proofErr w:type="spellEnd"/>
      <w:r w:rsidR="096B57C4">
        <w:t> et al. </w:t>
      </w:r>
      <w:r>
        <w:t>2021). Some earlier studies have also pointed to the role of employer discrimination (</w:t>
      </w:r>
      <w:proofErr w:type="spellStart"/>
      <w:r>
        <w:t>Blau</w:t>
      </w:r>
      <w:proofErr w:type="spellEnd"/>
      <w:r w:rsidR="096B57C4">
        <w:t> </w:t>
      </w:r>
      <w:r>
        <w:t xml:space="preserve">&amp; Kahn 2000; </w:t>
      </w:r>
      <w:proofErr w:type="spellStart"/>
      <w:r>
        <w:t>Neumark</w:t>
      </w:r>
      <w:proofErr w:type="spellEnd"/>
      <w:r w:rsidR="096B57C4">
        <w:t> et al. </w:t>
      </w:r>
      <w:r>
        <w:t xml:space="preserve">1996). </w:t>
      </w:r>
    </w:p>
    <w:p w14:paraId="5B3F49BF" w14:textId="0AB1AEDE" w:rsidR="001676B9" w:rsidRDefault="08A3ADA1" w:rsidP="00421B72">
      <w:r>
        <w:t>One explanation with mixed evidence is that the reduction in a mother’s earnings may result from choices within households based on each parent’s comparative advantage in the labour market. Anderson and Nix (2022) rule out fathers’ labour market advantage as a cause of the motherhood penalty in Norway by showing that child penalties experienced by women are significantly larger in heterosexual couples compared to same</w:t>
      </w:r>
      <w:r w:rsidR="187DA430">
        <w:t>-</w:t>
      </w:r>
      <w:r>
        <w:t>sex couples, and that the contrast to same</w:t>
      </w:r>
      <w:r w:rsidR="36F2C7B4">
        <w:t>-</w:t>
      </w:r>
      <w:r>
        <w:t>sex couples remains even controlling for several measures of pre</w:t>
      </w:r>
      <w:r w:rsidR="003E4186">
        <w:noBreakHyphen/>
      </w:r>
      <w:r>
        <w:t>determined relative labour productivity differences between spouses. In contrast, using Swedish administrative data, Angelov</w:t>
      </w:r>
      <w:r w:rsidR="096B57C4">
        <w:t> et al. </w:t>
      </w:r>
      <w:r>
        <w:t>(2016) show that gender gaps following children are lower, or even negative, when the mother has higher earnings and education relative to the father. In our paper, we show that the motherhood penalty is the same regardless of a wom</w:t>
      </w:r>
      <w:r w:rsidR="2FC23A03">
        <w:t>a</w:t>
      </w:r>
      <w:r>
        <w:t>n’s breadwinner status prior to children. We find that the penalty is significant even in households where the woman out</w:t>
      </w:r>
      <w:r w:rsidR="003E4186">
        <w:noBreakHyphen/>
      </w:r>
      <w:r>
        <w:t xml:space="preserve">earns her partner by a significant margin, implying that relative earnings prior to children have little influence on the intrahousehold allocation of paid work following children. </w:t>
      </w:r>
    </w:p>
    <w:p w14:paraId="67A35BEE" w14:textId="7E4B52F7" w:rsidR="00353936" w:rsidRDefault="002E6381" w:rsidP="00353936">
      <w:r>
        <w:t>Another</w:t>
      </w:r>
      <w:r w:rsidR="000F774B">
        <w:t xml:space="preserve"> potential</w:t>
      </w:r>
      <w:r>
        <w:t xml:space="preserve"> explanation for</w:t>
      </w:r>
      <w:r w:rsidR="00353936">
        <w:t xml:space="preserve"> the reduction in women’s earnings</w:t>
      </w:r>
      <w:r w:rsidR="000F774B">
        <w:t xml:space="preserve"> relative to men’s</w:t>
      </w:r>
      <w:r w:rsidR="00353936">
        <w:t xml:space="preserve"> after children </w:t>
      </w:r>
      <w:r w:rsidR="00431D60">
        <w:t xml:space="preserve">could be differences in </w:t>
      </w:r>
      <w:r w:rsidR="00353936">
        <w:t xml:space="preserve">preferences for providing care. While </w:t>
      </w:r>
      <w:r w:rsidR="006E7770">
        <w:t xml:space="preserve">such </w:t>
      </w:r>
      <w:r w:rsidR="00353936">
        <w:t>preferences likely play a substantial role in determining the allocation of work and care responsibilities between parents, we provide suggestive evidence that other factors are also at play. We observe a fall in women’s satisfaction with their work opportunities after the arrival of children. We also observe a rise in work</w:t>
      </w:r>
      <w:r w:rsidR="003E4186">
        <w:noBreakHyphen/>
      </w:r>
      <w:r w:rsidR="00353936">
        <w:t>life conflict, particularly for fathers, who are more likely to report that work affects their family life after the arrival of children.</w:t>
      </w:r>
      <w:r w:rsidR="005F652F">
        <w:t xml:space="preserve"> This sugge</w:t>
      </w:r>
      <w:r w:rsidR="00521602">
        <w:t xml:space="preserve">sts potential gains from more equal division of caring responsibilities, and more </w:t>
      </w:r>
      <w:r w:rsidR="00E00DFD">
        <w:t>flexible workplaces.</w:t>
      </w:r>
    </w:p>
    <w:p w14:paraId="010AB3E6" w14:textId="483711BC" w:rsidR="00353936" w:rsidRDefault="08A3ADA1" w:rsidP="00353936">
      <w:r>
        <w:t>We then investigate workplace norms around flexible working</w:t>
      </w:r>
      <w:r w:rsidR="05D54384">
        <w:t xml:space="preserve"> specifically</w:t>
      </w:r>
      <w:r>
        <w:t xml:space="preserve"> and provide suggestive evidence that women working in more flexible occupations before parenthood are more likely to remain employed after the arrival of children. However, for women who remain employed, the hourly wage penalty is larger for women in more flexible occupations, which may reflect foregone promotion opportunities. This is consistent with other </w:t>
      </w:r>
      <w:r w:rsidR="28872E02">
        <w:t>research</w:t>
      </w:r>
      <w:r>
        <w:t xml:space="preserve"> that finds flexible work can restrict mothers</w:t>
      </w:r>
      <w:r w:rsidR="05CFCB7B">
        <w:t>’</w:t>
      </w:r>
      <w:r>
        <w:t xml:space="preserve"> earnings in industries or occupations that disproportionately penalise short or flexible working hours (Cortes &amp; Pan 2019; Goldin 2019). Importantly, we also show that women with less access to flexibility are more likely to exit the labour force entirely. These results suggest flexibility can be a </w:t>
      </w:r>
      <w:r w:rsidR="2707030D">
        <w:t>double-</w:t>
      </w:r>
      <w:r>
        <w:t>edged sword, allowing some mothers to remain engaged in work, but potentially at the cost of a lower hourly wage than they might otherwise earn.</w:t>
      </w:r>
      <w:r w:rsidR="3020CED7">
        <w:t xml:space="preserve"> </w:t>
      </w:r>
    </w:p>
    <w:p w14:paraId="12A42A64" w14:textId="5B16A337" w:rsidR="00353936" w:rsidRDefault="00353936" w:rsidP="00353936">
      <w:r>
        <w:t>Finally, we discuss the role of broader gender norms, which have been previously shown to have strong implications for labour market outcomes and family dynamics (</w:t>
      </w:r>
      <w:proofErr w:type="spellStart"/>
      <w:r>
        <w:t>Avdic</w:t>
      </w:r>
      <w:proofErr w:type="spellEnd"/>
      <w:r>
        <w:t xml:space="preserve"> &amp; Karimi 2018; Bertrand</w:t>
      </w:r>
      <w:r w:rsidR="003E4186">
        <w:t> et al. </w:t>
      </w:r>
      <w:r>
        <w:t>2015; Bittman</w:t>
      </w:r>
      <w:r w:rsidR="003E4186">
        <w:t> et al. </w:t>
      </w:r>
      <w:r>
        <w:t xml:space="preserve">2003; </w:t>
      </w:r>
      <w:proofErr w:type="spellStart"/>
      <w:r>
        <w:t>Kuziemko</w:t>
      </w:r>
      <w:proofErr w:type="spellEnd"/>
      <w:r w:rsidR="003E4186">
        <w:t> et al. </w:t>
      </w:r>
      <w:r>
        <w:t xml:space="preserve">2020). </w:t>
      </w:r>
      <w:proofErr w:type="spellStart"/>
      <w:r>
        <w:t>Kleven</w:t>
      </w:r>
      <w:proofErr w:type="spellEnd"/>
      <w:r w:rsidR="003E4186">
        <w:t> et al. </w:t>
      </w:r>
      <w:r>
        <w:t xml:space="preserve">(2019a) show that in Denmark child penalties are transmitted through generations, from parents to daughters (but not sons), as girls growing up in more traditional families experience larger motherhood penalties. </w:t>
      </w:r>
      <w:proofErr w:type="spellStart"/>
      <w:r>
        <w:t>Kleven</w:t>
      </w:r>
      <w:proofErr w:type="spellEnd"/>
      <w:r w:rsidR="003E4186">
        <w:t> et al. </w:t>
      </w:r>
      <w:r>
        <w:t>(2019b) also show a strong correlation between stated gender norms and the motherhood penalty, with more conservative countries experiencing larger penalties. We further this strand of the literature by placing Australia within the international landscape, showing Australia has both a high motherhood penalty and is relatively conservative in its gender norms.</w:t>
      </w:r>
      <w:r w:rsidR="00FF7AC3">
        <w:t xml:space="preserve"> </w:t>
      </w:r>
    </w:p>
    <w:p w14:paraId="20162D5F" w14:textId="12C659B1" w:rsidR="00F012EA" w:rsidRDefault="00353936" w:rsidP="00353936">
      <w:r>
        <w:t>Overall, our results highlight the strong labour supply implications of entry into parenthood for women. These results are consistent with international studies suggesting these differences in labour market outcomes do not purely reflect different preferences between the genders, but also constraints that may be driven by differences in workplace and social norms or institutions. This suggests a role for policy in reducing these constraints, to allow new parents to share work and care responsibilities more evenly. To our knowledge, we are the first paper to provide causal evidence of the motherhood penalty in both survey and tax data for Australia.</w:t>
      </w:r>
    </w:p>
    <w:p w14:paraId="570622E5" w14:textId="77777777" w:rsidR="004E4B19" w:rsidRDefault="004E4B19" w:rsidP="00643367">
      <w:pPr>
        <w:pStyle w:val="Heading2"/>
        <w:sectPr w:rsidR="004E4B19" w:rsidSect="00F26FFC">
          <w:headerReference w:type="even" r:id="rId19"/>
          <w:headerReference w:type="default" r:id="rId20"/>
          <w:headerReference w:type="first" r:id="rId21"/>
          <w:footerReference w:type="first" r:id="rId22"/>
          <w:pgSz w:w="11906" w:h="16838" w:code="9"/>
          <w:pgMar w:top="1843" w:right="1418" w:bottom="1418" w:left="1418" w:header="709" w:footer="709" w:gutter="0"/>
          <w:cols w:space="708"/>
          <w:titlePg/>
          <w:docGrid w:linePitch="360"/>
        </w:sectPr>
      </w:pPr>
    </w:p>
    <w:p w14:paraId="0DD75401" w14:textId="70D3C49F" w:rsidR="00F012EA" w:rsidRPr="001A18CF" w:rsidRDefault="00353936" w:rsidP="00643367">
      <w:pPr>
        <w:pStyle w:val="Heading2"/>
      </w:pPr>
      <w:r>
        <w:t>Background</w:t>
      </w:r>
    </w:p>
    <w:p w14:paraId="66432440" w14:textId="0D4CEB41" w:rsidR="00353936" w:rsidRDefault="08A3ADA1" w:rsidP="00353936">
      <w:r>
        <w:t>Gendered pay inequity in Australia is rooted in historical industrial practices and views of men</w:t>
      </w:r>
      <w:r w:rsidR="6E18ACE8">
        <w:t>’s</w:t>
      </w:r>
      <w:r>
        <w:t xml:space="preserve"> and women’s roles. As early as 1912, women’s wages were set at 54</w:t>
      </w:r>
      <w:r w:rsidR="096B57C4">
        <w:t> per </w:t>
      </w:r>
      <w:r>
        <w:t>cent of men’s, based on the ‘breadwinner assumption’ that men needed to be paid extra to provide for their family, since married women generally did not work outside of the home. This difference only applied in female</w:t>
      </w:r>
      <w:r w:rsidR="003E4186">
        <w:noBreakHyphen/>
      </w:r>
      <w:r>
        <w:t>dominated occupations to ensure women’s lower wages did not put men out of work, creating a strong wage</w:t>
      </w:r>
      <w:r w:rsidR="003E4186">
        <w:noBreakHyphen/>
      </w:r>
      <w:r>
        <w:t>based incentive for gendered occupational segregation (Pocock 1999). Important legislative changes including the equal work for equal pay decision in 1969 and the equal pay for work of equal value decision in 1972 were significant in narrowing the gender pay gap in Australia throughout the 1970s, putting Australia’s pay equity ahead of our international counterparts.</w:t>
      </w:r>
      <w:r w:rsidR="3020CED7">
        <w:t xml:space="preserve"> </w:t>
      </w:r>
    </w:p>
    <w:p w14:paraId="38D29799" w14:textId="66961719" w:rsidR="00353936" w:rsidRDefault="08A3ADA1" w:rsidP="00353936">
      <w:r>
        <w:t>As in many other countries, women’s labour force participation rates have increased significantly over the past several decades, and the gender pay gap has gradually narrowed over time. These gains coincided with a significant long</w:t>
      </w:r>
      <w:r w:rsidR="003E4186">
        <w:noBreakHyphen/>
      </w:r>
      <w:r>
        <w:t>term increase in the level of women’s educational attainment, allowing women to enter skilled professions and access better paid jobs. The current gender pay gap in weekly ordinary time earnings for full</w:t>
      </w:r>
      <w:r w:rsidR="003E4186">
        <w:noBreakHyphen/>
      </w:r>
      <w:r>
        <w:t>time employees is 1</w:t>
      </w:r>
      <w:r w:rsidR="00B10FAD">
        <w:t>3.3</w:t>
      </w:r>
      <w:r w:rsidR="096B57C4">
        <w:t> per </w:t>
      </w:r>
      <w:r>
        <w:t>cent and reflects the persistent effects of industrial and occupational segregation, women’s time out of the workforce and higher rates of part</w:t>
      </w:r>
      <w:r w:rsidR="003E4186">
        <w:noBreakHyphen/>
      </w:r>
      <w:r>
        <w:t>time work, and discrimination and bias (WGEA 202</w:t>
      </w:r>
      <w:r w:rsidR="00F91A71">
        <w:t>3</w:t>
      </w:r>
      <w:r>
        <w:t>). This gap is substantially higher when overtime and other earnings, and part</w:t>
      </w:r>
      <w:r w:rsidR="003E4186">
        <w:noBreakHyphen/>
      </w:r>
      <w:r>
        <w:t>time employees are included. Australia has relatively high rates of female workforce participation compared to other OECD countries, but Australian women are much more likely to work part</w:t>
      </w:r>
      <w:r w:rsidR="003E4186">
        <w:noBreakHyphen/>
      </w:r>
      <w:r>
        <w:t>time, and the female participation rate remains around 9 percentage points below men’s (ABS 2022a). Survey evidence suggests that care responsibilities are the primary reason for women not participating in the workforce or working part</w:t>
      </w:r>
      <w:r w:rsidR="003E4186">
        <w:noBreakHyphen/>
      </w:r>
      <w:r>
        <w:t xml:space="preserve">time, as women continue to take on the bulk of unpaid work in Australian households (ABS 2020a). </w:t>
      </w:r>
    </w:p>
    <w:p w14:paraId="020E9517" w14:textId="3F22B6FE" w:rsidR="00353936" w:rsidRDefault="00353936" w:rsidP="00353936">
      <w:r>
        <w:t>Expectations about the roles of men and women in Australia have also shifted over time. Our analysis using the Household, Income and Labour Dynamics in Australia (HILDA) survey indicates that the share of Australian’s who agree with the statements “mothers who don’t need the money really shouldn’t work” and “a pre</w:t>
      </w:r>
      <w:r w:rsidR="003E4186">
        <w:noBreakHyphen/>
      </w:r>
      <w:r>
        <w:t>school child is likely to suffer if his/her mother works full</w:t>
      </w:r>
      <w:r w:rsidR="003E4186">
        <w:noBreakHyphen/>
      </w:r>
      <w:r>
        <w:t>time” declined by 15</w:t>
      </w:r>
      <w:r w:rsidR="003E4186">
        <w:t> </w:t>
      </w:r>
      <w:r>
        <w:t>percentage points between 2005 and 2019.</w:t>
      </w:r>
      <w:r w:rsidR="009139F2">
        <w:rPr>
          <w:rStyle w:val="FootnoteReference"/>
        </w:rPr>
        <w:footnoteReference w:id="4"/>
      </w:r>
      <w:r>
        <w:t xml:space="preserve"> However, a sizeable minority of Australians (26 and 17</w:t>
      </w:r>
      <w:r w:rsidR="003E4186">
        <w:t> per </w:t>
      </w:r>
      <w:r>
        <w:t>cent, respectively) continued to agree with the statements.</w:t>
      </w:r>
      <w:r w:rsidR="00FF7AC3">
        <w:t xml:space="preserve"> </w:t>
      </w:r>
    </w:p>
    <w:p w14:paraId="5CF17272" w14:textId="122A5EA7" w:rsidR="00F012EA" w:rsidRDefault="08A3ADA1" w:rsidP="00353936">
      <w:r>
        <w:t xml:space="preserve">Some of the policy levers available to address pay inequity for mothers are </w:t>
      </w:r>
      <w:proofErr w:type="gramStart"/>
      <w:r>
        <w:t>child care</w:t>
      </w:r>
      <w:proofErr w:type="gramEnd"/>
      <w:r>
        <w:t xml:space="preserve"> and paid parental leave settings. In 2011, Australia became the second</w:t>
      </w:r>
      <w:r w:rsidR="003E4186">
        <w:noBreakHyphen/>
      </w:r>
      <w:r>
        <w:t xml:space="preserve">last OECD country to implement a national paid parental leave scheme. The current scheme offers 20 weeks of leave to be shared flexibly to eligible parents, paid at the national minimum wage and is funded entirely from public funds. </w:t>
      </w:r>
      <w:proofErr w:type="gramStart"/>
      <w:r>
        <w:t>Child care</w:t>
      </w:r>
      <w:proofErr w:type="gramEnd"/>
      <w:r>
        <w:t xml:space="preserve"> in Australia operates primarily in a market</w:t>
      </w:r>
      <w:r w:rsidR="7EC9259E">
        <w:t>-</w:t>
      </w:r>
      <w:r>
        <w:t>based system, and the Australian Government pays a means</w:t>
      </w:r>
      <w:r w:rsidR="003E4186">
        <w:noBreakHyphen/>
      </w:r>
      <w:r>
        <w:t>tested subsidy to providers that substantially reduces out</w:t>
      </w:r>
      <w:r w:rsidR="003E4186">
        <w:noBreakHyphen/>
      </w:r>
      <w:r>
        <w:t>of</w:t>
      </w:r>
      <w:r w:rsidR="003E4186">
        <w:noBreakHyphen/>
      </w:r>
      <w:r>
        <w:t>pocket child care costs, particularly for lower</w:t>
      </w:r>
      <w:r w:rsidR="003E4186">
        <w:noBreakHyphen/>
      </w:r>
      <w:r>
        <w:t xml:space="preserve"> and middle</w:t>
      </w:r>
      <w:r w:rsidR="003E4186">
        <w:noBreakHyphen/>
      </w:r>
      <w:r>
        <w:t xml:space="preserve">income families. Over the past several decades, there has been a substantial increase in the use of formal </w:t>
      </w:r>
      <w:proofErr w:type="gramStart"/>
      <w:r>
        <w:t>child care</w:t>
      </w:r>
      <w:proofErr w:type="gramEnd"/>
      <w:r>
        <w:t xml:space="preserve"> in Australia, and in average weekly hours used (ABS 2018). However, out of pocket costs remain relatively high on average in Australia, compared to other OECD countries (OECD 2020).</w:t>
      </w:r>
    </w:p>
    <w:p w14:paraId="1AF8C7EE" w14:textId="77777777" w:rsidR="004E4B19" w:rsidRDefault="004E4B19" w:rsidP="00A57848">
      <w:pPr>
        <w:pStyle w:val="Heading2"/>
        <w:sectPr w:rsidR="004E4B19" w:rsidSect="00F26FFC">
          <w:pgSz w:w="11906" w:h="16838" w:code="9"/>
          <w:pgMar w:top="1843" w:right="1418" w:bottom="1418" w:left="1418" w:header="709" w:footer="709" w:gutter="0"/>
          <w:cols w:space="708"/>
          <w:titlePg/>
          <w:docGrid w:linePitch="360"/>
        </w:sectPr>
      </w:pPr>
    </w:p>
    <w:p w14:paraId="32F2BE7A" w14:textId="53ECDF4D" w:rsidR="00F012EA" w:rsidRDefault="00353936" w:rsidP="00A57848">
      <w:pPr>
        <w:pStyle w:val="Heading2"/>
      </w:pPr>
      <w:r>
        <w:t>Data</w:t>
      </w:r>
    </w:p>
    <w:p w14:paraId="413F6490" w14:textId="5151BEB9" w:rsidR="00353936" w:rsidRPr="004E4B19" w:rsidRDefault="00353936" w:rsidP="00353936">
      <w:pPr>
        <w:rPr>
          <w:spacing w:val="-2"/>
        </w:rPr>
      </w:pPr>
      <w:r w:rsidRPr="004E4B19">
        <w:rPr>
          <w:spacing w:val="-2"/>
        </w:rPr>
        <w:t>We draw on two datasets to examine the role of children in the gender earnings gap in Australia – the Household, Income and Labour Dynamics in Australia (HILDA) survey and the Australian Taxation Office (ATO) Longitudinal Information Files (</w:t>
      </w:r>
      <w:proofErr w:type="spellStart"/>
      <w:r w:rsidRPr="004E4B19">
        <w:rPr>
          <w:spacing w:val="-2"/>
        </w:rPr>
        <w:t>ALife</w:t>
      </w:r>
      <w:proofErr w:type="spellEnd"/>
      <w:r w:rsidRPr="004E4B19">
        <w:rPr>
          <w:spacing w:val="-2"/>
        </w:rPr>
        <w:t>). Here we briefly describe both datasets, their strengths and limitations in this context, and provide some descriptive information about the analysis samples.</w:t>
      </w:r>
    </w:p>
    <w:p w14:paraId="25820FA9" w14:textId="48EA9666" w:rsidR="00F012EA" w:rsidRDefault="00353936" w:rsidP="008C0793">
      <w:pPr>
        <w:pStyle w:val="Heading3"/>
      </w:pPr>
      <w:r w:rsidRPr="00353936">
        <w:t>The Household, Income and Labour Dynamics in Australia (HILDA) survey</w:t>
      </w:r>
    </w:p>
    <w:p w14:paraId="6C573685" w14:textId="5DCC1458" w:rsidR="00353936" w:rsidRDefault="00353936" w:rsidP="00353936">
      <w:r>
        <w:t>HILDA is an annual longitudinal survey of Australian households, from 2001 onwards; we use the 2019 release.</w:t>
      </w:r>
      <w:r w:rsidR="009139F2">
        <w:rPr>
          <w:rStyle w:val="FootnoteReference"/>
        </w:rPr>
        <w:footnoteReference w:id="5"/>
      </w:r>
      <w:r>
        <w:t xml:space="preserve"> Each year HILDA collects detailed information on just under 10,000 households. Respondents (and their families) are asked questions about their income, employment and educational characteristics. In addition, HILDA includes information about satisfaction with life and work, which are helpful in exploring the mechanisms that might underlie the motherhood penalty.</w:t>
      </w:r>
    </w:p>
    <w:p w14:paraId="68D38459" w14:textId="47FEDF0C" w:rsidR="00353936" w:rsidRDefault="00353936" w:rsidP="00353936">
      <w:r>
        <w:t xml:space="preserve">We identify our key event, the arrival of a child, from changes in response to the question concerning the number of children ever had. We identify the year of birth (or the first year of a child’s arrival) as the year in which the total number of children a respondent ever </w:t>
      </w:r>
      <w:r w:rsidR="00ED5728">
        <w:t xml:space="preserve">had </w:t>
      </w:r>
      <w:r>
        <w:t xml:space="preserve">increases from zero to one. Furthermore, as HILDA interviews respondents’ families, we can link information on spouses or partners to respondents. Information on respondents’ partners will only be available for partners living in the same household. </w:t>
      </w:r>
    </w:p>
    <w:p w14:paraId="099F88DC" w14:textId="0972009F" w:rsidR="00F012EA" w:rsidRDefault="00353936" w:rsidP="00353936">
      <w:r>
        <w:t>The detail available in HILDA allows us to paint a relatively rich picture of the motherhood penalty in Australia. Nonetheless, the sample sizes in HILDA limit our ability to precisely estimate the motherhood penalty over longer periods of time or to conduct other more data</w:t>
      </w:r>
      <w:r w:rsidR="003E4186">
        <w:noBreakHyphen/>
      </w:r>
      <w:r>
        <w:t>intensive exercises. With this in mind, we turn to recently released administrative tax data.</w:t>
      </w:r>
      <w:r w:rsidR="00FF7AC3">
        <w:t xml:space="preserve"> </w:t>
      </w:r>
    </w:p>
    <w:p w14:paraId="485217D1" w14:textId="5931818E" w:rsidR="00F012EA" w:rsidRDefault="000D6C17" w:rsidP="000D6C17">
      <w:pPr>
        <w:pStyle w:val="Heading3"/>
      </w:pPr>
      <w:r w:rsidRPr="000D6C17">
        <w:t>The ATO Longitudinal Information Files (</w:t>
      </w:r>
      <w:proofErr w:type="spellStart"/>
      <w:r w:rsidRPr="000D6C17">
        <w:t>ALife</w:t>
      </w:r>
      <w:proofErr w:type="spellEnd"/>
      <w:r w:rsidRPr="000D6C17">
        <w:t>)</w:t>
      </w:r>
    </w:p>
    <w:p w14:paraId="6E37757B" w14:textId="2E22E414" w:rsidR="000D6C17" w:rsidRPr="004E4B19" w:rsidRDefault="000D6C17" w:rsidP="000D6C17">
      <w:pPr>
        <w:rPr>
          <w:spacing w:val="-2"/>
        </w:rPr>
      </w:pPr>
      <w:proofErr w:type="spellStart"/>
      <w:r w:rsidRPr="004E4B19">
        <w:rPr>
          <w:spacing w:val="-2"/>
        </w:rPr>
        <w:t>ALife</w:t>
      </w:r>
      <w:proofErr w:type="spellEnd"/>
      <w:r w:rsidRPr="004E4B19">
        <w:rPr>
          <w:spacing w:val="-2"/>
        </w:rPr>
        <w:t xml:space="preserve"> is a longitudinal administrative dataset linking individual tax returns from the 1991 income year onwards (Carter</w:t>
      </w:r>
      <w:r w:rsidR="003E4186" w:rsidRPr="004E4B19">
        <w:rPr>
          <w:spacing w:val="-2"/>
        </w:rPr>
        <w:t> et al. </w:t>
      </w:r>
      <w:r w:rsidRPr="004E4B19">
        <w:rPr>
          <w:spacing w:val="-2"/>
        </w:rPr>
        <w:t>2021).</w:t>
      </w:r>
      <w:r w:rsidR="009139F2" w:rsidRPr="004E4B19">
        <w:rPr>
          <w:rStyle w:val="FootnoteReference"/>
          <w:spacing w:val="-2"/>
        </w:rPr>
        <w:footnoteReference w:id="6"/>
      </w:r>
      <w:r w:rsidRPr="004E4B19">
        <w:rPr>
          <w:spacing w:val="-2"/>
        </w:rPr>
        <w:t xml:space="preserve"> We use the 2018 release, which is a random 10</w:t>
      </w:r>
      <w:r w:rsidR="003E4186" w:rsidRPr="004E4B19">
        <w:rPr>
          <w:spacing w:val="-2"/>
        </w:rPr>
        <w:t> per </w:t>
      </w:r>
      <w:r w:rsidRPr="004E4B19">
        <w:rPr>
          <w:spacing w:val="-2"/>
        </w:rPr>
        <w:t>cent sample of taxpayers lodging returns over the 28</w:t>
      </w:r>
      <w:r w:rsidR="003E4186" w:rsidRPr="004E4B19">
        <w:rPr>
          <w:spacing w:val="-2"/>
        </w:rPr>
        <w:noBreakHyphen/>
      </w:r>
      <w:r w:rsidRPr="004E4B19">
        <w:rPr>
          <w:spacing w:val="-2"/>
        </w:rPr>
        <w:t xml:space="preserve">year period from the 1991 to 2018 income years. The data includes information from the tax returns and client records of these taxpayers. As such, </w:t>
      </w:r>
      <w:proofErr w:type="spellStart"/>
      <w:r w:rsidRPr="004E4B19">
        <w:rPr>
          <w:spacing w:val="-2"/>
        </w:rPr>
        <w:t>ALife</w:t>
      </w:r>
      <w:proofErr w:type="spellEnd"/>
      <w:r w:rsidRPr="004E4B19">
        <w:rPr>
          <w:spacing w:val="-2"/>
        </w:rPr>
        <w:t xml:space="preserve"> has high quality data on individual incomes and captures core demographic information such as age and gender. </w:t>
      </w:r>
    </w:p>
    <w:p w14:paraId="60A2E5B2" w14:textId="2ED57E3A" w:rsidR="000D6C17" w:rsidRDefault="000D6C17" w:rsidP="000D6C17">
      <w:r>
        <w:t xml:space="preserve">The key drawback of </w:t>
      </w:r>
      <w:proofErr w:type="spellStart"/>
      <w:r>
        <w:t>ALife</w:t>
      </w:r>
      <w:proofErr w:type="spellEnd"/>
      <w:r>
        <w:t xml:space="preserve"> is that children are only observed when recorded on the tax return, and the requirement to do this has varied over time. Individuals are only required to report the number of dependent children for income test purposes for Medicare levy reductions, private health insurance rebates or other tax offsets. However, the reporting of dependent children has only increased over time, so we are confident we are capturing more births in our sample. For instance, only about 43</w:t>
      </w:r>
      <w:r w:rsidR="003E4186">
        <w:t> per </w:t>
      </w:r>
      <w:r>
        <w:t>cent of individuals reported whether they had dependent children in the 2000 income year, compared to 86</w:t>
      </w:r>
      <w:r w:rsidR="003E4186">
        <w:t> per </w:t>
      </w:r>
      <w:r>
        <w:t xml:space="preserve">cent in the 2018 year. </w:t>
      </w:r>
    </w:p>
    <w:p w14:paraId="6452BACC" w14:textId="468D50F2" w:rsidR="000D6C17" w:rsidRPr="004E4B19" w:rsidRDefault="000D6C17" w:rsidP="000D6C17">
      <w:pPr>
        <w:rPr>
          <w:spacing w:val="-4"/>
        </w:rPr>
      </w:pPr>
      <w:r w:rsidRPr="004E4B19">
        <w:rPr>
          <w:spacing w:val="-4"/>
        </w:rPr>
        <w:t xml:space="preserve">The ATO began deriving the number of children from the above information from 2000. We therefore only include individuals into our sample if they report having their first child after 2000, and if they are working age (between 15 and 65 years old). We identify the arrival of the first child when an individual reports zero dependent children in one year, and one </w:t>
      </w:r>
      <w:r w:rsidR="002F696B" w:rsidRPr="004E4B19">
        <w:rPr>
          <w:spacing w:val="-4"/>
        </w:rPr>
        <w:t xml:space="preserve">(or more) </w:t>
      </w:r>
      <w:r w:rsidRPr="004E4B19">
        <w:rPr>
          <w:spacing w:val="-4"/>
        </w:rPr>
        <w:t>dependent child</w:t>
      </w:r>
      <w:r w:rsidR="002F696B" w:rsidRPr="004E4B19">
        <w:rPr>
          <w:spacing w:val="-4"/>
        </w:rPr>
        <w:t>(ren)</w:t>
      </w:r>
      <w:r w:rsidRPr="004E4B19">
        <w:rPr>
          <w:spacing w:val="-4"/>
        </w:rPr>
        <w:t xml:space="preserve"> in the following year. </w:t>
      </w:r>
    </w:p>
    <w:p w14:paraId="10689A19" w14:textId="191D233F" w:rsidR="00F012EA" w:rsidRDefault="000D6C17" w:rsidP="000D6C17">
      <w:r>
        <w:t xml:space="preserve">Our sample in </w:t>
      </w:r>
      <w:proofErr w:type="spellStart"/>
      <w:r>
        <w:t>ALife</w:t>
      </w:r>
      <w:proofErr w:type="spellEnd"/>
      <w:r>
        <w:t xml:space="preserve"> is necessarily restricted to individuals who lodge a tax return, and we only include individuals into our sample if they lodge a tax return in all years of our balanced panel. Therefore, we are unable to capture individuals who do not complete a tax return in any given year. This is particularly likely to be individuals who are not in paid employment or earn below the tax</w:t>
      </w:r>
      <w:r w:rsidR="003E4186">
        <w:noBreakHyphen/>
      </w:r>
      <w:r>
        <w:t>free threshold. We also exclude individuals who worked overseas for all or part of the year. While this will likely understate the true motherhood penalty</w:t>
      </w:r>
      <w:r w:rsidR="002F696B">
        <w:t>,</w:t>
      </w:r>
      <w:r>
        <w:t xml:space="preserve"> it is a more conservative choice than assuming non</w:t>
      </w:r>
      <w:r w:rsidR="003E4186">
        <w:noBreakHyphen/>
      </w:r>
      <w:r>
        <w:t>lodgers have no earnings, which would likely overstate the penalty.</w:t>
      </w:r>
    </w:p>
    <w:p w14:paraId="3282335F" w14:textId="77777777" w:rsidR="000D6C17" w:rsidRDefault="000D6C17" w:rsidP="000B54DE">
      <w:pPr>
        <w:pStyle w:val="Heading3"/>
        <w:spacing w:before="280"/>
      </w:pPr>
      <w:r>
        <w:t>Sample selection and summary statistics</w:t>
      </w:r>
    </w:p>
    <w:p w14:paraId="47F98B71" w14:textId="42197034" w:rsidR="000D6C17" w:rsidRDefault="000D6C17" w:rsidP="000D6C17">
      <w:r>
        <w:t xml:space="preserve">For the estimation of the motherhood penalty, we focus on a balanced panel of individuals observed for </w:t>
      </w:r>
      <w:r w:rsidR="002D642D">
        <w:t>3</w:t>
      </w:r>
      <w:r>
        <w:t xml:space="preserve"> years prior to the arrival of their first child in both datasets, and for </w:t>
      </w:r>
      <w:r w:rsidR="002D642D">
        <w:t>5</w:t>
      </w:r>
      <w:r>
        <w:t xml:space="preserve"> years following the birth in HILDA and </w:t>
      </w:r>
      <w:r w:rsidR="002D642D">
        <w:t xml:space="preserve">10 </w:t>
      </w:r>
      <w:r>
        <w:t xml:space="preserve">years following the birth in </w:t>
      </w:r>
      <w:proofErr w:type="spellStart"/>
      <w:r>
        <w:t>ALife</w:t>
      </w:r>
      <w:proofErr w:type="spellEnd"/>
      <w:r>
        <w:t>.</w:t>
      </w:r>
      <w:r w:rsidR="00CC0BB8">
        <w:rPr>
          <w:rStyle w:val="FootnoteReference"/>
        </w:rPr>
        <w:footnoteReference w:id="7"/>
      </w:r>
      <w:r>
        <w:t xml:space="preserve"> This leaves us with 1,345 people in HILDA observed over 9 years (12,105 person</w:t>
      </w:r>
      <w:r w:rsidR="003E4186">
        <w:noBreakHyphen/>
      </w:r>
      <w:r>
        <w:t xml:space="preserve">years), and 52,994 people observed over 14 years in </w:t>
      </w:r>
      <w:proofErr w:type="spellStart"/>
      <w:r>
        <w:t>ALife</w:t>
      </w:r>
      <w:proofErr w:type="spellEnd"/>
      <w:r>
        <w:t xml:space="preserve"> (741,916 person</w:t>
      </w:r>
      <w:r w:rsidR="003E4186">
        <w:noBreakHyphen/>
      </w:r>
      <w:r>
        <w:t>years).</w:t>
      </w:r>
      <w:r w:rsidR="00FF7AC3">
        <w:t xml:space="preserve"> </w:t>
      </w:r>
    </w:p>
    <w:p w14:paraId="055F51BF" w14:textId="333C0A94" w:rsidR="001A23A1" w:rsidRDefault="001A23A1" w:rsidP="000D6C17">
      <w:r>
        <w:t xml:space="preserve">In </w:t>
      </w:r>
      <w:r w:rsidR="003E4186">
        <w:t>Table </w:t>
      </w:r>
      <w:r>
        <w:t xml:space="preserve">1 we provide some summary statistics for the </w:t>
      </w:r>
      <w:r w:rsidR="002D642D">
        <w:t>2</w:t>
      </w:r>
      <w:r>
        <w:t xml:space="preserve"> populations. While the ages of our sample are similar in both datasets, average incomes are lower for both men and women in the </w:t>
      </w:r>
      <w:proofErr w:type="spellStart"/>
      <w:r w:rsidR="002D211F">
        <w:t>ALife</w:t>
      </w:r>
      <w:proofErr w:type="spellEnd"/>
      <w:r w:rsidR="002D211F">
        <w:t xml:space="preserve"> </w:t>
      </w:r>
      <w:r>
        <w:t xml:space="preserve">dataset, and there is a higher proportion of men in the </w:t>
      </w:r>
      <w:proofErr w:type="spellStart"/>
      <w:r w:rsidR="002D211F">
        <w:t>ALife</w:t>
      </w:r>
      <w:proofErr w:type="spellEnd"/>
      <w:r w:rsidR="002D211F">
        <w:t xml:space="preserve"> </w:t>
      </w:r>
      <w:r>
        <w:t>dataset. This likely reflects that we are only able to observe entry into parenthood for a sub</w:t>
      </w:r>
      <w:r w:rsidR="003E4186">
        <w:noBreakHyphen/>
      </w:r>
      <w:r>
        <w:t xml:space="preserve">sample of the </w:t>
      </w:r>
      <w:proofErr w:type="spellStart"/>
      <w:r w:rsidR="003C445D">
        <w:t>ALife</w:t>
      </w:r>
      <w:proofErr w:type="spellEnd"/>
      <w:r w:rsidR="003C445D">
        <w:t xml:space="preserve"> </w:t>
      </w:r>
      <w:r>
        <w:t>population, as described above.</w:t>
      </w:r>
      <w:r w:rsidR="00FF7AC3">
        <w:t xml:space="preserve"> </w:t>
      </w:r>
    </w:p>
    <w:p w14:paraId="6E1E2C61" w14:textId="6C565EAE" w:rsidR="000D6C17" w:rsidRPr="00DD51F0" w:rsidRDefault="003E4186" w:rsidP="00AF7655">
      <w:pPr>
        <w:pStyle w:val="TableMainHeading"/>
      </w:pPr>
      <w:r>
        <w:t>Table </w:t>
      </w:r>
      <w:r w:rsidR="000D6C17" w:rsidRPr="00DD51F0">
        <w:t>1</w:t>
      </w:r>
      <w:r w:rsidR="00DD51F0" w:rsidRPr="00DD51F0">
        <w:t>: Summary statistics</w:t>
      </w:r>
    </w:p>
    <w:tbl>
      <w:tblPr>
        <w:tblStyle w:val="PlainTable2"/>
        <w:tblW w:w="5000" w:type="pct"/>
        <w:tblLook w:val="0620" w:firstRow="1" w:lastRow="0" w:firstColumn="0" w:lastColumn="0" w:noHBand="1" w:noVBand="1"/>
      </w:tblPr>
      <w:tblGrid>
        <w:gridCol w:w="2267"/>
        <w:gridCol w:w="2267"/>
        <w:gridCol w:w="2268"/>
        <w:gridCol w:w="2268"/>
      </w:tblGrid>
      <w:tr w:rsidR="00DD51F0" w:rsidRPr="0062161C" w14:paraId="53879BB3" w14:textId="77777777" w:rsidTr="005C0858">
        <w:trPr>
          <w:cnfStyle w:val="100000000000" w:firstRow="1" w:lastRow="0" w:firstColumn="0" w:lastColumn="0" w:oddVBand="0" w:evenVBand="0" w:oddHBand="0" w:evenHBand="0" w:firstRowFirstColumn="0" w:firstRowLastColumn="0" w:lastRowFirstColumn="0" w:lastRowLastColumn="0"/>
          <w:trHeight w:val="20"/>
        </w:trPr>
        <w:tc>
          <w:tcPr>
            <w:tcW w:w="2265" w:type="dxa"/>
          </w:tcPr>
          <w:p w14:paraId="4C20B22E" w14:textId="77777777" w:rsidR="00DD51F0" w:rsidRPr="0062161C" w:rsidRDefault="00DD51F0" w:rsidP="00775A11">
            <w:pPr>
              <w:pStyle w:val="TableColumnHeadingLeft"/>
            </w:pPr>
          </w:p>
        </w:tc>
        <w:tc>
          <w:tcPr>
            <w:tcW w:w="2265" w:type="dxa"/>
          </w:tcPr>
          <w:p w14:paraId="1D6061A9" w14:textId="31DD172A" w:rsidR="00DD51F0" w:rsidRPr="0062161C" w:rsidRDefault="00DD51F0" w:rsidP="00775A11">
            <w:pPr>
              <w:pStyle w:val="TableColumnHeadingCentred"/>
              <w:rPr>
                <w:b/>
                <w:bCs w:val="0"/>
              </w:rPr>
            </w:pPr>
            <w:r w:rsidRPr="0062161C">
              <w:rPr>
                <w:b/>
              </w:rPr>
              <w:t>Women</w:t>
            </w:r>
          </w:p>
        </w:tc>
        <w:tc>
          <w:tcPr>
            <w:tcW w:w="2265" w:type="dxa"/>
          </w:tcPr>
          <w:p w14:paraId="158F46CC" w14:textId="09CE7B15" w:rsidR="00DD51F0" w:rsidRPr="0062161C" w:rsidRDefault="00DD51F0" w:rsidP="00775A11">
            <w:pPr>
              <w:pStyle w:val="TableColumnHeadingCentred"/>
              <w:rPr>
                <w:b/>
                <w:bCs w:val="0"/>
              </w:rPr>
            </w:pPr>
            <w:r w:rsidRPr="0062161C">
              <w:rPr>
                <w:b/>
              </w:rPr>
              <w:t>Men</w:t>
            </w:r>
          </w:p>
        </w:tc>
        <w:tc>
          <w:tcPr>
            <w:tcW w:w="2265" w:type="dxa"/>
          </w:tcPr>
          <w:p w14:paraId="349BAEA4" w14:textId="5154796B" w:rsidR="00DD51F0" w:rsidRPr="0062161C" w:rsidRDefault="00DD51F0" w:rsidP="00775A11">
            <w:pPr>
              <w:pStyle w:val="TableColumnHeadingCentred"/>
              <w:rPr>
                <w:b/>
                <w:bCs w:val="0"/>
              </w:rPr>
            </w:pPr>
            <w:r w:rsidRPr="0062161C">
              <w:rPr>
                <w:b/>
              </w:rPr>
              <w:t>All</w:t>
            </w:r>
          </w:p>
        </w:tc>
      </w:tr>
      <w:tr w:rsidR="0095184F" w:rsidRPr="0062161C" w14:paraId="3408EE4B" w14:textId="77777777" w:rsidTr="005C0858">
        <w:trPr>
          <w:trHeight w:val="20"/>
        </w:trPr>
        <w:tc>
          <w:tcPr>
            <w:tcW w:w="2265" w:type="dxa"/>
          </w:tcPr>
          <w:p w14:paraId="62D9A417" w14:textId="765208DA" w:rsidR="0095184F" w:rsidRPr="0062161C" w:rsidRDefault="0095184F" w:rsidP="00775A11">
            <w:pPr>
              <w:pStyle w:val="TableColumnHeadingLeft"/>
              <w:rPr>
                <w:i/>
                <w:iCs/>
              </w:rPr>
            </w:pPr>
            <w:r w:rsidRPr="0062161C">
              <w:rPr>
                <w:i/>
                <w:iCs/>
              </w:rPr>
              <w:t xml:space="preserve">HILDA sample </w:t>
            </w:r>
          </w:p>
        </w:tc>
        <w:tc>
          <w:tcPr>
            <w:tcW w:w="2265" w:type="dxa"/>
          </w:tcPr>
          <w:p w14:paraId="5278FE64" w14:textId="77777777" w:rsidR="0095184F" w:rsidRPr="0062161C" w:rsidRDefault="0095184F" w:rsidP="00775A11">
            <w:pPr>
              <w:pStyle w:val="TableTextCentered"/>
            </w:pPr>
          </w:p>
        </w:tc>
        <w:tc>
          <w:tcPr>
            <w:tcW w:w="2265" w:type="dxa"/>
          </w:tcPr>
          <w:p w14:paraId="06C41BB9" w14:textId="77777777" w:rsidR="0095184F" w:rsidRPr="0062161C" w:rsidRDefault="0095184F" w:rsidP="00775A11">
            <w:pPr>
              <w:pStyle w:val="TableTextCentered"/>
            </w:pPr>
          </w:p>
        </w:tc>
        <w:tc>
          <w:tcPr>
            <w:tcW w:w="2265" w:type="dxa"/>
          </w:tcPr>
          <w:p w14:paraId="2C683012" w14:textId="77777777" w:rsidR="0095184F" w:rsidRPr="0062161C" w:rsidRDefault="0095184F" w:rsidP="00775A11">
            <w:pPr>
              <w:pStyle w:val="TableTextCentered"/>
            </w:pPr>
          </w:p>
        </w:tc>
      </w:tr>
      <w:tr w:rsidR="00DD51F0" w:rsidRPr="0062161C" w14:paraId="1E431318" w14:textId="77777777" w:rsidTr="005C0858">
        <w:trPr>
          <w:trHeight w:val="20"/>
        </w:trPr>
        <w:tc>
          <w:tcPr>
            <w:tcW w:w="2265" w:type="dxa"/>
          </w:tcPr>
          <w:p w14:paraId="2E169DCA" w14:textId="301F5715" w:rsidR="00DD51F0" w:rsidRPr="0062161C" w:rsidRDefault="00DD51F0" w:rsidP="006C2520">
            <w:pPr>
              <w:pStyle w:val="TableTextLeft"/>
            </w:pPr>
            <w:r w:rsidRPr="0062161C">
              <w:t xml:space="preserve">N </w:t>
            </w:r>
          </w:p>
        </w:tc>
        <w:tc>
          <w:tcPr>
            <w:tcW w:w="2265" w:type="dxa"/>
          </w:tcPr>
          <w:p w14:paraId="34B0071B" w14:textId="3D5C7E4C" w:rsidR="00DD51F0" w:rsidRPr="0062161C" w:rsidRDefault="00DD51F0" w:rsidP="00775A11">
            <w:pPr>
              <w:pStyle w:val="TableTextCentered"/>
            </w:pPr>
            <w:r w:rsidRPr="0062161C">
              <w:t>708</w:t>
            </w:r>
          </w:p>
        </w:tc>
        <w:tc>
          <w:tcPr>
            <w:tcW w:w="2265" w:type="dxa"/>
          </w:tcPr>
          <w:p w14:paraId="600D5D8A" w14:textId="78AB937F" w:rsidR="00DD51F0" w:rsidRPr="0062161C" w:rsidRDefault="00DD51F0" w:rsidP="00775A11">
            <w:pPr>
              <w:pStyle w:val="TableTextCentered"/>
            </w:pPr>
            <w:r w:rsidRPr="0062161C">
              <w:t>637</w:t>
            </w:r>
          </w:p>
        </w:tc>
        <w:tc>
          <w:tcPr>
            <w:tcW w:w="2265" w:type="dxa"/>
          </w:tcPr>
          <w:p w14:paraId="7BCA62F4" w14:textId="01B0E635" w:rsidR="00DD51F0" w:rsidRPr="0062161C" w:rsidRDefault="00DD51F0" w:rsidP="00775A11">
            <w:pPr>
              <w:pStyle w:val="TableTextCentered"/>
            </w:pPr>
            <w:r w:rsidRPr="0062161C">
              <w:t>1,345</w:t>
            </w:r>
          </w:p>
        </w:tc>
      </w:tr>
      <w:tr w:rsidR="00DD51F0" w:rsidRPr="0062161C" w14:paraId="1272145F" w14:textId="77777777" w:rsidTr="005C0858">
        <w:trPr>
          <w:trHeight w:val="20"/>
        </w:trPr>
        <w:tc>
          <w:tcPr>
            <w:tcW w:w="2265" w:type="dxa"/>
          </w:tcPr>
          <w:p w14:paraId="0E403B4A" w14:textId="7A7C33B3" w:rsidR="00DD51F0" w:rsidRPr="0062161C" w:rsidRDefault="00DD51F0" w:rsidP="006C2520">
            <w:pPr>
              <w:pStyle w:val="TableTextLeft"/>
            </w:pPr>
            <w:r w:rsidRPr="0062161C">
              <w:t xml:space="preserve">Age </w:t>
            </w:r>
          </w:p>
        </w:tc>
        <w:tc>
          <w:tcPr>
            <w:tcW w:w="2265" w:type="dxa"/>
          </w:tcPr>
          <w:p w14:paraId="09D85FEE" w14:textId="6946576F" w:rsidR="00DD51F0" w:rsidRPr="0062161C" w:rsidRDefault="00DD51F0" w:rsidP="00775A11">
            <w:pPr>
              <w:pStyle w:val="TableTextCentered"/>
            </w:pPr>
            <w:r w:rsidRPr="0062161C">
              <w:t>29.3</w:t>
            </w:r>
          </w:p>
          <w:p w14:paraId="512F48DE" w14:textId="4409A214" w:rsidR="00DD51F0" w:rsidRPr="0062161C" w:rsidRDefault="00DD51F0" w:rsidP="00775A11">
            <w:pPr>
              <w:pStyle w:val="TableTextCentered"/>
            </w:pPr>
            <w:r w:rsidRPr="0062161C">
              <w:t>(29)</w:t>
            </w:r>
            <w:r w:rsidR="002F696B">
              <w:t xml:space="preserve"> </w:t>
            </w:r>
          </w:p>
        </w:tc>
        <w:tc>
          <w:tcPr>
            <w:tcW w:w="2265" w:type="dxa"/>
          </w:tcPr>
          <w:p w14:paraId="04AFDC30" w14:textId="4A953788" w:rsidR="00DD51F0" w:rsidRPr="0062161C" w:rsidRDefault="00DD51F0" w:rsidP="00775A11">
            <w:pPr>
              <w:pStyle w:val="TableTextCentered"/>
            </w:pPr>
            <w:r w:rsidRPr="0062161C">
              <w:t>32.3</w:t>
            </w:r>
          </w:p>
          <w:p w14:paraId="1E0B5553" w14:textId="5980400F" w:rsidR="00DD51F0" w:rsidRPr="0062161C" w:rsidRDefault="00DD51F0" w:rsidP="00775A11">
            <w:pPr>
              <w:pStyle w:val="TableTextCentered"/>
            </w:pPr>
            <w:r w:rsidRPr="0062161C">
              <w:t>(31)</w:t>
            </w:r>
          </w:p>
        </w:tc>
        <w:tc>
          <w:tcPr>
            <w:tcW w:w="2265" w:type="dxa"/>
          </w:tcPr>
          <w:p w14:paraId="0F67D429" w14:textId="28266F9E" w:rsidR="00DD51F0" w:rsidRPr="0062161C" w:rsidRDefault="00DD51F0" w:rsidP="00775A11">
            <w:pPr>
              <w:pStyle w:val="TableTextCentered"/>
            </w:pPr>
            <w:r w:rsidRPr="0062161C">
              <w:t>30.8</w:t>
            </w:r>
          </w:p>
          <w:p w14:paraId="33D5217A" w14:textId="6594D703" w:rsidR="00DD51F0" w:rsidRPr="0062161C" w:rsidRDefault="00DD51F0" w:rsidP="00775A11">
            <w:pPr>
              <w:pStyle w:val="TableTextCentered"/>
            </w:pPr>
            <w:r w:rsidRPr="0062161C">
              <w:t>(30)</w:t>
            </w:r>
          </w:p>
        </w:tc>
      </w:tr>
      <w:tr w:rsidR="00DD51F0" w:rsidRPr="0062161C" w14:paraId="1D3D4770" w14:textId="77777777" w:rsidTr="004E4B19">
        <w:trPr>
          <w:trHeight w:val="20"/>
        </w:trPr>
        <w:tc>
          <w:tcPr>
            <w:tcW w:w="2265" w:type="dxa"/>
            <w:tcBorders>
              <w:bottom w:val="nil"/>
            </w:tcBorders>
          </w:tcPr>
          <w:p w14:paraId="3D844C31" w14:textId="2CB61006" w:rsidR="00DD51F0" w:rsidRPr="0062161C" w:rsidRDefault="00DD51F0" w:rsidP="006C2520">
            <w:pPr>
              <w:pStyle w:val="TableTextLeft"/>
            </w:pPr>
            <w:r w:rsidRPr="0062161C">
              <w:t>Income</w:t>
            </w:r>
          </w:p>
        </w:tc>
        <w:tc>
          <w:tcPr>
            <w:tcW w:w="2265" w:type="dxa"/>
            <w:tcBorders>
              <w:bottom w:val="nil"/>
            </w:tcBorders>
          </w:tcPr>
          <w:p w14:paraId="14B047E7" w14:textId="77777777" w:rsidR="00DD51F0" w:rsidRPr="0062161C" w:rsidRDefault="00DD51F0" w:rsidP="00775A11">
            <w:pPr>
              <w:pStyle w:val="TableTextCentered"/>
            </w:pPr>
            <w:r w:rsidRPr="0062161C">
              <w:t xml:space="preserve">49,735.8 </w:t>
            </w:r>
          </w:p>
          <w:p w14:paraId="176BB8D0" w14:textId="446FEBA7" w:rsidR="00DD51F0" w:rsidRPr="0062161C" w:rsidRDefault="00DD51F0" w:rsidP="00775A11">
            <w:pPr>
              <w:pStyle w:val="TableTextCentered"/>
            </w:pPr>
            <w:r w:rsidRPr="0062161C">
              <w:t>(47,215.5)</w:t>
            </w:r>
          </w:p>
        </w:tc>
        <w:tc>
          <w:tcPr>
            <w:tcW w:w="2265" w:type="dxa"/>
            <w:tcBorders>
              <w:bottom w:val="nil"/>
            </w:tcBorders>
          </w:tcPr>
          <w:p w14:paraId="62496ECD" w14:textId="77777777" w:rsidR="00DD51F0" w:rsidRPr="0062161C" w:rsidRDefault="00DD51F0" w:rsidP="00775A11">
            <w:pPr>
              <w:pStyle w:val="TableTextCentered"/>
            </w:pPr>
            <w:r w:rsidRPr="0062161C">
              <w:t xml:space="preserve">62,359.0 </w:t>
            </w:r>
          </w:p>
          <w:p w14:paraId="1A9DC235" w14:textId="2A7EECA6" w:rsidR="00DD51F0" w:rsidRPr="0062161C" w:rsidRDefault="00DD51F0" w:rsidP="00775A11">
            <w:pPr>
              <w:pStyle w:val="TableTextCentered"/>
            </w:pPr>
            <w:r w:rsidRPr="0062161C">
              <w:t>(57,012.5)</w:t>
            </w:r>
          </w:p>
        </w:tc>
        <w:tc>
          <w:tcPr>
            <w:tcW w:w="2265" w:type="dxa"/>
            <w:tcBorders>
              <w:bottom w:val="nil"/>
            </w:tcBorders>
          </w:tcPr>
          <w:p w14:paraId="3DB20524" w14:textId="77777777" w:rsidR="00DD51F0" w:rsidRPr="0062161C" w:rsidRDefault="00DD51F0" w:rsidP="00775A11">
            <w:pPr>
              <w:pStyle w:val="TableTextCentered"/>
            </w:pPr>
            <w:r w:rsidRPr="0062161C">
              <w:t xml:space="preserve">51,235.6 </w:t>
            </w:r>
          </w:p>
          <w:p w14:paraId="31301909" w14:textId="38A56F77" w:rsidR="00DD51F0" w:rsidRPr="0062161C" w:rsidRDefault="00DD51F0" w:rsidP="00775A11">
            <w:pPr>
              <w:pStyle w:val="TableTextCentered"/>
            </w:pPr>
            <w:r w:rsidRPr="0062161C">
              <w:t>(46,000.0)</w:t>
            </w:r>
          </w:p>
        </w:tc>
      </w:tr>
      <w:tr w:rsidR="00DD51F0" w:rsidRPr="0062161C" w14:paraId="4EC7C17A" w14:textId="77777777" w:rsidTr="004E4B19">
        <w:trPr>
          <w:trHeight w:val="20"/>
        </w:trPr>
        <w:tc>
          <w:tcPr>
            <w:tcW w:w="2265" w:type="dxa"/>
            <w:tcBorders>
              <w:top w:val="nil"/>
              <w:bottom w:val="single" w:sz="4" w:space="0" w:color="auto"/>
            </w:tcBorders>
          </w:tcPr>
          <w:p w14:paraId="66C83090" w14:textId="2FC20715" w:rsidR="00DD51F0" w:rsidRPr="0062161C" w:rsidRDefault="00DD51F0" w:rsidP="006C2520">
            <w:pPr>
              <w:pStyle w:val="TableTextLeft"/>
            </w:pPr>
            <w:r w:rsidRPr="0062161C">
              <w:t xml:space="preserve">Hours worked </w:t>
            </w:r>
          </w:p>
        </w:tc>
        <w:tc>
          <w:tcPr>
            <w:tcW w:w="2265" w:type="dxa"/>
            <w:tcBorders>
              <w:top w:val="nil"/>
              <w:bottom w:val="single" w:sz="4" w:space="0" w:color="auto"/>
            </w:tcBorders>
          </w:tcPr>
          <w:p w14:paraId="41966AEC" w14:textId="4B0AAE12" w:rsidR="00DD51F0" w:rsidRPr="0062161C" w:rsidRDefault="00DD51F0" w:rsidP="00775A11">
            <w:pPr>
              <w:pStyle w:val="TableTextCentered"/>
            </w:pPr>
            <w:r w:rsidRPr="0062161C">
              <w:t>31.2</w:t>
            </w:r>
          </w:p>
          <w:p w14:paraId="28FBE6B2" w14:textId="73C4D8B4" w:rsidR="00DD51F0" w:rsidRPr="0062161C" w:rsidRDefault="00DD51F0" w:rsidP="00775A11">
            <w:pPr>
              <w:pStyle w:val="TableTextCentered"/>
            </w:pPr>
            <w:r w:rsidRPr="0062161C">
              <w:t>(38)</w:t>
            </w:r>
          </w:p>
        </w:tc>
        <w:tc>
          <w:tcPr>
            <w:tcW w:w="2265" w:type="dxa"/>
            <w:tcBorders>
              <w:top w:val="nil"/>
              <w:bottom w:val="single" w:sz="4" w:space="0" w:color="auto"/>
            </w:tcBorders>
          </w:tcPr>
          <w:p w14:paraId="46FDB920" w14:textId="61BA6E5F" w:rsidR="00DD51F0" w:rsidRPr="0062161C" w:rsidRDefault="00DD51F0" w:rsidP="00775A11">
            <w:pPr>
              <w:pStyle w:val="TableTextCentered"/>
            </w:pPr>
            <w:r w:rsidRPr="0062161C">
              <w:t>40.0</w:t>
            </w:r>
          </w:p>
          <w:p w14:paraId="62CE0118" w14:textId="48290B74" w:rsidR="00DD51F0" w:rsidRPr="0062161C" w:rsidRDefault="00DD51F0" w:rsidP="00775A11">
            <w:pPr>
              <w:pStyle w:val="TableTextCentered"/>
            </w:pPr>
            <w:r w:rsidRPr="0062161C">
              <w:t>(40)</w:t>
            </w:r>
          </w:p>
        </w:tc>
        <w:tc>
          <w:tcPr>
            <w:tcW w:w="2265" w:type="dxa"/>
            <w:tcBorders>
              <w:top w:val="nil"/>
              <w:bottom w:val="single" w:sz="4" w:space="0" w:color="auto"/>
            </w:tcBorders>
          </w:tcPr>
          <w:p w14:paraId="226F7452" w14:textId="69A92BEB" w:rsidR="00DD51F0" w:rsidRPr="0062161C" w:rsidRDefault="00DD51F0" w:rsidP="00775A11">
            <w:pPr>
              <w:pStyle w:val="TableTextCentered"/>
            </w:pPr>
            <w:r w:rsidRPr="0062161C">
              <w:t>35.6</w:t>
            </w:r>
          </w:p>
          <w:p w14:paraId="140CEC09" w14:textId="1A06BADA" w:rsidR="00DD51F0" w:rsidRPr="0062161C" w:rsidRDefault="00DD51F0" w:rsidP="00775A11">
            <w:pPr>
              <w:pStyle w:val="TableTextCentered"/>
            </w:pPr>
            <w:r w:rsidRPr="0062161C">
              <w:t>(40)</w:t>
            </w:r>
          </w:p>
        </w:tc>
      </w:tr>
      <w:tr w:rsidR="0095184F" w:rsidRPr="0062161C" w14:paraId="3A884FB8" w14:textId="77777777" w:rsidTr="004E4B19">
        <w:trPr>
          <w:trHeight w:val="20"/>
        </w:trPr>
        <w:tc>
          <w:tcPr>
            <w:tcW w:w="2265" w:type="dxa"/>
            <w:tcBorders>
              <w:top w:val="single" w:sz="4" w:space="0" w:color="auto"/>
            </w:tcBorders>
          </w:tcPr>
          <w:p w14:paraId="3AA0BC6D" w14:textId="586687A0" w:rsidR="0095184F" w:rsidRPr="0062161C" w:rsidRDefault="0095184F" w:rsidP="00775A11">
            <w:pPr>
              <w:pStyle w:val="TableColumnHeadingLeft"/>
              <w:rPr>
                <w:i/>
                <w:iCs/>
              </w:rPr>
            </w:pPr>
            <w:proofErr w:type="spellStart"/>
            <w:r w:rsidRPr="0062161C">
              <w:rPr>
                <w:i/>
                <w:iCs/>
              </w:rPr>
              <w:t>ALife</w:t>
            </w:r>
            <w:proofErr w:type="spellEnd"/>
            <w:r w:rsidRPr="0062161C">
              <w:rPr>
                <w:i/>
                <w:iCs/>
              </w:rPr>
              <w:t xml:space="preserve"> sample</w:t>
            </w:r>
          </w:p>
        </w:tc>
        <w:tc>
          <w:tcPr>
            <w:tcW w:w="2265" w:type="dxa"/>
            <w:tcBorders>
              <w:top w:val="single" w:sz="4" w:space="0" w:color="auto"/>
            </w:tcBorders>
          </w:tcPr>
          <w:p w14:paraId="43697990" w14:textId="77777777" w:rsidR="0095184F" w:rsidRPr="0062161C" w:rsidRDefault="0095184F" w:rsidP="00775A11">
            <w:pPr>
              <w:pStyle w:val="TableTextCentered"/>
            </w:pPr>
          </w:p>
        </w:tc>
        <w:tc>
          <w:tcPr>
            <w:tcW w:w="2265" w:type="dxa"/>
            <w:tcBorders>
              <w:top w:val="single" w:sz="4" w:space="0" w:color="auto"/>
            </w:tcBorders>
          </w:tcPr>
          <w:p w14:paraId="40696C98" w14:textId="77777777" w:rsidR="0095184F" w:rsidRPr="0062161C" w:rsidRDefault="0095184F" w:rsidP="00775A11">
            <w:pPr>
              <w:pStyle w:val="TableTextCentered"/>
            </w:pPr>
          </w:p>
        </w:tc>
        <w:tc>
          <w:tcPr>
            <w:tcW w:w="2265" w:type="dxa"/>
            <w:tcBorders>
              <w:top w:val="single" w:sz="4" w:space="0" w:color="auto"/>
            </w:tcBorders>
          </w:tcPr>
          <w:p w14:paraId="2777D08C" w14:textId="77777777" w:rsidR="0095184F" w:rsidRPr="0062161C" w:rsidRDefault="0095184F" w:rsidP="00775A11">
            <w:pPr>
              <w:pStyle w:val="TableTextCentered"/>
            </w:pPr>
          </w:p>
        </w:tc>
      </w:tr>
      <w:tr w:rsidR="00DD51F0" w:rsidRPr="0062161C" w14:paraId="3F2B2DD2" w14:textId="77777777" w:rsidTr="005C0858">
        <w:trPr>
          <w:trHeight w:val="20"/>
        </w:trPr>
        <w:tc>
          <w:tcPr>
            <w:tcW w:w="2265" w:type="dxa"/>
          </w:tcPr>
          <w:p w14:paraId="45EEDDCE" w14:textId="059E85AB" w:rsidR="00DD51F0" w:rsidRPr="0062161C" w:rsidRDefault="00DD51F0" w:rsidP="006C2520">
            <w:pPr>
              <w:pStyle w:val="TableTextLeft"/>
            </w:pPr>
            <w:r w:rsidRPr="0062161C">
              <w:t xml:space="preserve">N </w:t>
            </w:r>
          </w:p>
        </w:tc>
        <w:tc>
          <w:tcPr>
            <w:tcW w:w="2265" w:type="dxa"/>
          </w:tcPr>
          <w:p w14:paraId="77BFF0AA" w14:textId="2D7AA220" w:rsidR="00DD51F0" w:rsidRPr="0062161C" w:rsidRDefault="00DD51F0" w:rsidP="00775A11">
            <w:pPr>
              <w:pStyle w:val="TableTextCentered"/>
            </w:pPr>
            <w:r w:rsidRPr="0062161C">
              <w:t>22,026</w:t>
            </w:r>
          </w:p>
        </w:tc>
        <w:tc>
          <w:tcPr>
            <w:tcW w:w="2265" w:type="dxa"/>
          </w:tcPr>
          <w:p w14:paraId="198098E1" w14:textId="54AA7785" w:rsidR="00DD51F0" w:rsidRPr="0062161C" w:rsidRDefault="00DD51F0" w:rsidP="00775A11">
            <w:pPr>
              <w:pStyle w:val="TableTextCentered"/>
            </w:pPr>
            <w:r w:rsidRPr="0062161C">
              <w:t>30,968</w:t>
            </w:r>
          </w:p>
        </w:tc>
        <w:tc>
          <w:tcPr>
            <w:tcW w:w="2265" w:type="dxa"/>
          </w:tcPr>
          <w:p w14:paraId="7575B199" w14:textId="2AB8179D" w:rsidR="00DD51F0" w:rsidRPr="0062161C" w:rsidRDefault="00DD51F0" w:rsidP="00775A11">
            <w:pPr>
              <w:pStyle w:val="TableTextCentered"/>
            </w:pPr>
            <w:r w:rsidRPr="0062161C">
              <w:t>52,994</w:t>
            </w:r>
          </w:p>
        </w:tc>
      </w:tr>
      <w:tr w:rsidR="00DD51F0" w:rsidRPr="0062161C" w14:paraId="11DE48CB" w14:textId="77777777" w:rsidTr="001676B9">
        <w:trPr>
          <w:trHeight w:val="20"/>
        </w:trPr>
        <w:tc>
          <w:tcPr>
            <w:tcW w:w="2265" w:type="dxa"/>
            <w:tcBorders>
              <w:bottom w:val="nil"/>
            </w:tcBorders>
          </w:tcPr>
          <w:p w14:paraId="7689B936" w14:textId="736EA3E5" w:rsidR="00DD51F0" w:rsidRPr="0062161C" w:rsidRDefault="00DD51F0" w:rsidP="006C2520">
            <w:pPr>
              <w:pStyle w:val="TableTextLeft"/>
            </w:pPr>
            <w:r w:rsidRPr="0062161C">
              <w:t>Age</w:t>
            </w:r>
          </w:p>
        </w:tc>
        <w:tc>
          <w:tcPr>
            <w:tcW w:w="2265" w:type="dxa"/>
            <w:tcBorders>
              <w:bottom w:val="nil"/>
            </w:tcBorders>
          </w:tcPr>
          <w:p w14:paraId="76927B6E" w14:textId="3E71D32C" w:rsidR="00DD51F0" w:rsidRPr="0062161C" w:rsidRDefault="00DD51F0" w:rsidP="00775A11">
            <w:pPr>
              <w:pStyle w:val="TableTextCentered"/>
            </w:pPr>
            <w:r w:rsidRPr="0062161C">
              <w:t>31.9</w:t>
            </w:r>
          </w:p>
          <w:p w14:paraId="1C934A59" w14:textId="6C9612E2" w:rsidR="00DD51F0" w:rsidRPr="0062161C" w:rsidRDefault="00DD51F0" w:rsidP="00775A11">
            <w:pPr>
              <w:pStyle w:val="TableTextCentered"/>
            </w:pPr>
            <w:r w:rsidRPr="0062161C">
              <w:t>(31)</w:t>
            </w:r>
          </w:p>
        </w:tc>
        <w:tc>
          <w:tcPr>
            <w:tcW w:w="2265" w:type="dxa"/>
            <w:tcBorders>
              <w:bottom w:val="nil"/>
            </w:tcBorders>
          </w:tcPr>
          <w:p w14:paraId="545F65E8" w14:textId="2FBF093D" w:rsidR="00DD51F0" w:rsidRPr="0062161C" w:rsidRDefault="00DD51F0" w:rsidP="00775A11">
            <w:pPr>
              <w:pStyle w:val="TableTextCentered"/>
            </w:pPr>
            <w:r w:rsidRPr="0062161C">
              <w:t>32.9</w:t>
            </w:r>
          </w:p>
          <w:p w14:paraId="59980A61" w14:textId="6AD54E38" w:rsidR="00DD51F0" w:rsidRPr="0062161C" w:rsidRDefault="00DD51F0" w:rsidP="00775A11">
            <w:pPr>
              <w:pStyle w:val="TableTextCentered"/>
            </w:pPr>
            <w:r w:rsidRPr="0062161C">
              <w:t>(32)</w:t>
            </w:r>
          </w:p>
        </w:tc>
        <w:tc>
          <w:tcPr>
            <w:tcW w:w="2265" w:type="dxa"/>
            <w:tcBorders>
              <w:bottom w:val="nil"/>
            </w:tcBorders>
          </w:tcPr>
          <w:p w14:paraId="1426AB7D" w14:textId="77777777" w:rsidR="00DD51F0" w:rsidRPr="0062161C" w:rsidRDefault="00DD51F0" w:rsidP="00775A11">
            <w:pPr>
              <w:pStyle w:val="TableTextCentered"/>
            </w:pPr>
            <w:r w:rsidRPr="0062161C">
              <w:t>32.5</w:t>
            </w:r>
          </w:p>
          <w:p w14:paraId="38D3011B" w14:textId="2A8D98AD" w:rsidR="00DD51F0" w:rsidRPr="0062161C" w:rsidRDefault="00DD51F0" w:rsidP="00775A11">
            <w:pPr>
              <w:pStyle w:val="TableTextCentered"/>
            </w:pPr>
            <w:r w:rsidRPr="0062161C">
              <w:t>(31)</w:t>
            </w:r>
          </w:p>
        </w:tc>
      </w:tr>
      <w:tr w:rsidR="00DD51F0" w:rsidRPr="0062161C" w14:paraId="44A6FF03" w14:textId="77777777" w:rsidTr="001676B9">
        <w:trPr>
          <w:trHeight w:val="20"/>
        </w:trPr>
        <w:tc>
          <w:tcPr>
            <w:tcW w:w="2265" w:type="dxa"/>
            <w:tcBorders>
              <w:top w:val="nil"/>
              <w:bottom w:val="single" w:sz="4" w:space="0" w:color="auto"/>
            </w:tcBorders>
          </w:tcPr>
          <w:p w14:paraId="179B6160" w14:textId="1526FC84" w:rsidR="00DD51F0" w:rsidRPr="0062161C" w:rsidRDefault="00DD51F0" w:rsidP="006C2520">
            <w:pPr>
              <w:pStyle w:val="TableTextLeft"/>
            </w:pPr>
            <w:r w:rsidRPr="0062161C">
              <w:t xml:space="preserve">Income </w:t>
            </w:r>
          </w:p>
        </w:tc>
        <w:tc>
          <w:tcPr>
            <w:tcW w:w="2265" w:type="dxa"/>
            <w:tcBorders>
              <w:top w:val="nil"/>
              <w:bottom w:val="single" w:sz="4" w:space="0" w:color="auto"/>
            </w:tcBorders>
          </w:tcPr>
          <w:p w14:paraId="13B21B5D" w14:textId="77777777" w:rsidR="00DD51F0" w:rsidRPr="0062161C" w:rsidRDefault="00DD51F0" w:rsidP="00775A11">
            <w:pPr>
              <w:pStyle w:val="TableTextCentered"/>
            </w:pPr>
            <w:r w:rsidRPr="0062161C">
              <w:t>42,667.6</w:t>
            </w:r>
          </w:p>
          <w:p w14:paraId="3EF35A3F" w14:textId="32D0763C" w:rsidR="00DD51F0" w:rsidRPr="0062161C" w:rsidRDefault="00DD51F0" w:rsidP="00775A11">
            <w:pPr>
              <w:pStyle w:val="TableTextCentered"/>
            </w:pPr>
            <w:r w:rsidRPr="0062161C">
              <w:t>(41,001.3)</w:t>
            </w:r>
          </w:p>
        </w:tc>
        <w:tc>
          <w:tcPr>
            <w:tcW w:w="2265" w:type="dxa"/>
            <w:tcBorders>
              <w:top w:val="nil"/>
              <w:bottom w:val="single" w:sz="4" w:space="0" w:color="auto"/>
            </w:tcBorders>
          </w:tcPr>
          <w:p w14:paraId="02549F29" w14:textId="77777777" w:rsidR="00DD51F0" w:rsidRPr="0062161C" w:rsidRDefault="00DD51F0" w:rsidP="00775A11">
            <w:pPr>
              <w:pStyle w:val="TableTextCentered"/>
            </w:pPr>
            <w:r w:rsidRPr="0062161C">
              <w:t>55,412.7</w:t>
            </w:r>
          </w:p>
          <w:p w14:paraId="18D9E979" w14:textId="036AA6B0" w:rsidR="00DD51F0" w:rsidRPr="0062161C" w:rsidRDefault="00DD51F0" w:rsidP="00775A11">
            <w:pPr>
              <w:pStyle w:val="TableTextCentered"/>
            </w:pPr>
            <w:r w:rsidRPr="0062161C">
              <w:t>(52,325.5)</w:t>
            </w:r>
          </w:p>
        </w:tc>
        <w:tc>
          <w:tcPr>
            <w:tcW w:w="2265" w:type="dxa"/>
            <w:tcBorders>
              <w:top w:val="nil"/>
              <w:bottom w:val="single" w:sz="4" w:space="0" w:color="auto"/>
            </w:tcBorders>
          </w:tcPr>
          <w:p w14:paraId="2D8969A9" w14:textId="77777777" w:rsidR="00DD51F0" w:rsidRPr="0062161C" w:rsidRDefault="00DD51F0" w:rsidP="00775A11">
            <w:pPr>
              <w:pStyle w:val="TableTextCentered"/>
            </w:pPr>
            <w:r w:rsidRPr="0062161C">
              <w:t>50,115.4</w:t>
            </w:r>
          </w:p>
          <w:p w14:paraId="7ADE7E7A" w14:textId="0BA739F3" w:rsidR="00DD51F0" w:rsidRPr="0062161C" w:rsidRDefault="00DD51F0" w:rsidP="00775A11">
            <w:pPr>
              <w:pStyle w:val="TableTextCentered"/>
            </w:pPr>
            <w:r w:rsidRPr="0062161C">
              <w:t>(47,517.9)</w:t>
            </w:r>
          </w:p>
        </w:tc>
      </w:tr>
    </w:tbl>
    <w:p w14:paraId="5A03B2ED" w14:textId="4CB7ACC0" w:rsidR="0062161C" w:rsidRPr="00AF7655" w:rsidRDefault="001A23A1" w:rsidP="00AF7655">
      <w:pPr>
        <w:pStyle w:val="ChartorTableNote"/>
      </w:pPr>
      <w:r w:rsidRPr="00AF7655">
        <w:t>Notes: Statistics reported for year before birth (t=-1). Population weights have been used for the HILDA sample. Mean</w:t>
      </w:r>
      <w:r w:rsidR="008D21CC">
        <w:t> </w:t>
      </w:r>
      <w:r w:rsidRPr="00AF7655">
        <w:t>reported and median in brackets. Income is gross wages and salary, CPI adjusted to 2011</w:t>
      </w:r>
      <w:r w:rsidR="003E4186">
        <w:t>–</w:t>
      </w:r>
      <w:r w:rsidRPr="00AF7655">
        <w:t xml:space="preserve">12 dollars. </w:t>
      </w:r>
    </w:p>
    <w:p w14:paraId="4E8C1A71" w14:textId="375F7053" w:rsidR="002F696B" w:rsidRPr="00AF7655" w:rsidRDefault="001A23A1" w:rsidP="00AF7655">
      <w:pPr>
        <w:pStyle w:val="ChartorTableNote"/>
      </w:pPr>
      <w:r w:rsidRPr="00AF7655">
        <w:t xml:space="preserve">Source: Treasury analysis of HILDA Release 19.0, </w:t>
      </w:r>
      <w:proofErr w:type="spellStart"/>
      <w:r w:rsidRPr="00AF7655">
        <w:t>ALife</w:t>
      </w:r>
      <w:proofErr w:type="spellEnd"/>
      <w:r w:rsidRPr="00AF7655">
        <w:t xml:space="preserve"> 2019 and ABS (2022b).</w:t>
      </w:r>
      <w:r w:rsidR="00FF7AC3">
        <w:t xml:space="preserve"> </w:t>
      </w:r>
    </w:p>
    <w:p w14:paraId="10FF94BF" w14:textId="77777777" w:rsidR="00BC34EA" w:rsidRDefault="00BC34EA" w:rsidP="00A57848">
      <w:pPr>
        <w:pStyle w:val="Heading2"/>
        <w:sectPr w:rsidR="00BC34EA" w:rsidSect="00F26FFC">
          <w:pgSz w:w="11906" w:h="16838" w:code="9"/>
          <w:pgMar w:top="1843" w:right="1418" w:bottom="1418" w:left="1418" w:header="709" w:footer="709" w:gutter="0"/>
          <w:cols w:space="708"/>
          <w:titlePg/>
          <w:docGrid w:linePitch="360"/>
        </w:sectPr>
      </w:pPr>
    </w:p>
    <w:p w14:paraId="17EC7D83" w14:textId="311063E3" w:rsidR="00F012EA" w:rsidRDefault="000D6C17" w:rsidP="00A57848">
      <w:pPr>
        <w:pStyle w:val="Heading2"/>
      </w:pPr>
      <w:r>
        <w:t>Children and the Gender Earnings Gap</w:t>
      </w:r>
    </w:p>
    <w:p w14:paraId="6697C88E" w14:textId="3CD6E2FF" w:rsidR="00F012EA" w:rsidRDefault="000D6C17" w:rsidP="008C0793">
      <w:pPr>
        <w:pStyle w:val="Heading3"/>
      </w:pPr>
      <w:r w:rsidRPr="000D6C17">
        <w:t>Event study methodology</w:t>
      </w:r>
    </w:p>
    <w:p w14:paraId="1D383A47" w14:textId="5840C692" w:rsidR="000D6C17" w:rsidRPr="000D6C17" w:rsidRDefault="000D6C17" w:rsidP="00880DCF">
      <w:r w:rsidRPr="000D6C17">
        <w:t xml:space="preserve">We adopt a similar event study methodology as </w:t>
      </w:r>
      <w:proofErr w:type="spellStart"/>
      <w:r w:rsidRPr="000D6C17">
        <w:t>Kleven</w:t>
      </w:r>
      <w:proofErr w:type="spellEnd"/>
      <w:r w:rsidR="003E4186">
        <w:t> et al. </w:t>
      </w:r>
      <w:r w:rsidRPr="000D6C17">
        <w:t xml:space="preserve">(2019a), exploiting sharp changes in earnings around the arrival of the first child for mothers and fathers and controlling flexibly for lifecycle and time trends. </w:t>
      </w:r>
    </w:p>
    <w:p w14:paraId="11207F27" w14:textId="77777777" w:rsidR="000D6C17" w:rsidRPr="000B54DE" w:rsidRDefault="000D6C17" w:rsidP="00880DCF">
      <w:pPr>
        <w:rPr>
          <w:spacing w:val="-2"/>
        </w:rPr>
      </w:pPr>
      <w:r w:rsidRPr="000B54DE">
        <w:rPr>
          <w:spacing w:val="-2"/>
        </w:rPr>
        <w:t xml:space="preserve">While the decision to have children is not exogenous from many other determinants of income, the event study framework exploits the timing of child arrival among couples who will have children, rather than comparing people who have children to people without children. Amongst couples who do have children, unobserved determinants of labour market outcomes would be expected to be relatively smooth over time, while entry into parenthood creates sharp changes in labour market outcomes. </w:t>
      </w:r>
    </w:p>
    <w:p w14:paraId="67F5D1BD" w14:textId="3C455BFC" w:rsidR="00F012EA" w:rsidRPr="000B54DE" w:rsidRDefault="000D6C17" w:rsidP="00880DCF">
      <w:pPr>
        <w:rPr>
          <w:spacing w:val="-2"/>
        </w:rPr>
      </w:pPr>
      <w:r w:rsidRPr="000B54DE">
        <w:rPr>
          <w:spacing w:val="-2"/>
        </w:rPr>
        <w:t>The identifying assumptions for causal estimation are strong,</w:t>
      </w:r>
      <w:r w:rsidR="00CC0BB8" w:rsidRPr="000B54DE">
        <w:rPr>
          <w:rStyle w:val="FootnoteReference"/>
          <w:spacing w:val="-2"/>
        </w:rPr>
        <w:footnoteReference w:id="8"/>
      </w:r>
      <w:r w:rsidRPr="000B54DE">
        <w:rPr>
          <w:spacing w:val="-2"/>
        </w:rPr>
        <w:t xml:space="preserve"> however we rely on analysis by </w:t>
      </w:r>
      <w:proofErr w:type="spellStart"/>
      <w:r w:rsidRPr="000B54DE">
        <w:rPr>
          <w:spacing w:val="-2"/>
        </w:rPr>
        <w:t>Kleven</w:t>
      </w:r>
      <w:proofErr w:type="spellEnd"/>
      <w:r w:rsidR="00695F69">
        <w:rPr>
          <w:spacing w:val="-2"/>
        </w:rPr>
        <w:t xml:space="preserve"> </w:t>
      </w:r>
      <w:r w:rsidR="003E4186" w:rsidRPr="000B54DE">
        <w:rPr>
          <w:spacing w:val="-2"/>
        </w:rPr>
        <w:t>et al. </w:t>
      </w:r>
      <w:r w:rsidRPr="000B54DE">
        <w:rPr>
          <w:spacing w:val="-2"/>
        </w:rPr>
        <w:t>(2019a) showing that the event study methodology produces almost identical results to even more rigorous approaches.</w:t>
      </w:r>
      <w:r w:rsidR="00CC0BB8" w:rsidRPr="000B54DE">
        <w:rPr>
          <w:rStyle w:val="FootnoteReference"/>
          <w:spacing w:val="-2"/>
        </w:rPr>
        <w:footnoteReference w:id="9"/>
      </w:r>
      <w:r w:rsidRPr="000B54DE">
        <w:rPr>
          <w:spacing w:val="-2"/>
        </w:rPr>
        <w:t xml:space="preserve"> This provides strong evidence that an event study methodology drawing on within</w:t>
      </w:r>
      <w:r w:rsidR="003E4186" w:rsidRPr="000B54DE">
        <w:rPr>
          <w:spacing w:val="-2"/>
        </w:rPr>
        <w:noBreakHyphen/>
      </w:r>
      <w:r w:rsidRPr="000B54DE">
        <w:rPr>
          <w:spacing w:val="-2"/>
        </w:rPr>
        <w:t xml:space="preserve">person variation can causally identify the impacts of children on labour market outcomes. </w:t>
      </w:r>
    </w:p>
    <w:p w14:paraId="1B85833A" w14:textId="213C8045" w:rsidR="000D6C17" w:rsidRDefault="000D6C17" w:rsidP="00880DCF">
      <w:r>
        <w:t xml:space="preserve">Our baseline event study model adopts the following form: </w:t>
      </w:r>
    </w:p>
    <w:p w14:paraId="0AA72B68" w14:textId="3E149E15" w:rsidR="00445250" w:rsidRPr="001A7D0C" w:rsidRDefault="008B6843" w:rsidP="0006155B">
      <w:pPr>
        <w:pStyle w:val="Equation"/>
      </w:pPr>
      <w:r>
        <w:rPr>
          <w:rFonts w:ascii="Calibri Light" w:hAnsi="Calibri Light"/>
          <w:lang w:val="en-US"/>
        </w:rPr>
        <w:tab/>
      </w:r>
      <m:oMath>
        <m:sSubSup>
          <m:sSubSupPr>
            <m:ctrlPr>
              <w:rPr>
                <w:rFonts w:ascii="Cambria Math" w:eastAsiaTheme="minorHAnsi" w:hAnsi="Cambria Math" w:cstheme="minorBidi"/>
                <w:lang w:val="en-US"/>
              </w:rPr>
            </m:ctrlPr>
          </m:sSubSupPr>
          <m:e>
            <m:r>
              <w:rPr>
                <w:rFonts w:ascii="Cambria Math" w:hAnsi="Cambria Math"/>
                <w:lang w:val="en-US"/>
              </w:rPr>
              <m:t>Y</m:t>
            </m:r>
          </m:e>
          <m:sub>
            <m:r>
              <w:rPr>
                <w:rFonts w:ascii="Cambria Math" w:hAnsi="Cambria Math"/>
                <w:lang w:val="en-US"/>
              </w:rPr>
              <m:t>ist</m:t>
            </m:r>
          </m:sub>
          <m:sup>
            <m:r>
              <w:rPr>
                <w:rFonts w:ascii="Cambria Math" w:hAnsi="Cambria Math"/>
                <w:lang w:val="en-US"/>
              </w:rPr>
              <m:t>g</m:t>
            </m:r>
          </m:sup>
        </m:sSubSup>
        <m:r>
          <m:rPr>
            <m:sty m:val="p"/>
          </m:rPr>
          <w:rPr>
            <w:rFonts w:ascii="Cambria Math" w:hAnsi="Cambria Math"/>
            <w:lang w:val="en-US"/>
          </w:rPr>
          <m:t>=</m:t>
        </m:r>
        <m:func>
          <m:funcPr>
            <m:ctrlPr>
              <w:rPr>
                <w:rFonts w:ascii="Cambria Math" w:eastAsiaTheme="minorHAnsi" w:hAnsi="Cambria Math" w:cstheme="minorBidi"/>
                <w:lang w:val="en-US"/>
              </w:rPr>
            </m:ctrlPr>
          </m:funcPr>
          <m:fName>
            <m:limLow>
              <m:limLowPr>
                <m:ctrlPr>
                  <w:rPr>
                    <w:rFonts w:ascii="Cambria Math" w:eastAsiaTheme="minorHAnsi" w:hAnsi="Cambria Math" w:cstheme="minorBidi"/>
                    <w:lang w:val="en-US"/>
                  </w:rPr>
                </m:ctrlPr>
              </m:limLowPr>
              <m:e>
                <m:r>
                  <m:rPr>
                    <m:sty m:val="p"/>
                  </m:rPr>
                  <w:rPr>
                    <w:rFonts w:ascii="Cambria Math" w:hAnsi="Cambria Math"/>
                    <w:lang w:val="en-US"/>
                  </w:rPr>
                  <m:t>Σ</m:t>
                </m:r>
              </m:e>
              <m:lim>
                <m:r>
                  <w:rPr>
                    <w:rFonts w:ascii="Cambria Math" w:hAnsi="Cambria Math"/>
                    <w:lang w:val="en-US"/>
                  </w:rPr>
                  <m:t>j</m:t>
                </m:r>
                <m:r>
                  <m:rPr>
                    <m:sty m:val="p"/>
                  </m:rPr>
                  <w:rPr>
                    <w:rFonts w:ascii="Cambria Math" w:hAnsi="Cambria Math"/>
                    <w:lang w:val="en-US"/>
                  </w:rPr>
                  <m:t xml:space="preserve"> ≠1</m:t>
                </m:r>
              </m:lim>
            </m:limLow>
          </m:fName>
          <m:e>
            <m:sSubSup>
              <m:sSubSupPr>
                <m:ctrlPr>
                  <w:rPr>
                    <w:rFonts w:ascii="Cambria Math" w:eastAsiaTheme="minorHAnsi" w:hAnsi="Cambria Math" w:cstheme="minorBidi"/>
                    <w:lang w:val="en-US"/>
                  </w:rPr>
                </m:ctrlPr>
              </m:sSubSupPr>
              <m:e>
                <m:r>
                  <w:rPr>
                    <w:rFonts w:ascii="Cambria Math" w:hAnsi="Cambria Math"/>
                    <w:lang w:val="en-US"/>
                  </w:rPr>
                  <m:t>α</m:t>
                </m:r>
              </m:e>
              <m:sub>
                <m:r>
                  <w:rPr>
                    <w:rFonts w:ascii="Cambria Math" w:hAnsi="Cambria Math"/>
                    <w:lang w:val="en-US"/>
                  </w:rPr>
                  <m:t>j</m:t>
                </m:r>
              </m:sub>
              <m:sup>
                <m:r>
                  <w:rPr>
                    <w:rFonts w:ascii="Cambria Math" w:hAnsi="Cambria Math"/>
                    <w:lang w:val="en-US"/>
                  </w:rPr>
                  <m:t>g</m:t>
                </m:r>
              </m:sup>
            </m:sSubSup>
            <m:r>
              <m:rPr>
                <m:sty m:val="p"/>
              </m:rPr>
              <w:rPr>
                <w:rFonts w:ascii="Cambria Math" w:hAnsi="Cambria Math"/>
                <w:lang w:val="en-US"/>
              </w:rPr>
              <m:t>.</m:t>
            </m:r>
            <m:r>
              <w:rPr>
                <w:rFonts w:ascii="Cambria Math" w:hAnsi="Cambria Math"/>
                <w:lang w:val="en-US"/>
              </w:rPr>
              <m:t>I</m:t>
            </m:r>
            <m:d>
              <m:dPr>
                <m:begChr m:val="["/>
                <m:endChr m:val="]"/>
                <m:ctrlPr>
                  <w:rPr>
                    <w:rFonts w:ascii="Cambria Math" w:hAnsi="Cambria Math"/>
                    <w:lang w:val="en-US"/>
                  </w:rPr>
                </m:ctrlPr>
              </m:dPr>
              <m:e>
                <m:r>
                  <w:rPr>
                    <w:rFonts w:ascii="Cambria Math" w:hAnsi="Cambria Math"/>
                    <w:lang w:val="en-US"/>
                  </w:rPr>
                  <m:t>j</m:t>
                </m:r>
                <m:r>
                  <m:rPr>
                    <m:sty m:val="p"/>
                  </m:rPr>
                  <w:rPr>
                    <w:rFonts w:ascii="Cambria Math" w:hAnsi="Cambria Math"/>
                    <w:lang w:val="en-US"/>
                  </w:rPr>
                  <m:t>=</m:t>
                </m:r>
                <m:r>
                  <w:rPr>
                    <w:rFonts w:ascii="Cambria Math" w:hAnsi="Cambria Math"/>
                    <w:lang w:val="en-US"/>
                  </w:rPr>
                  <m:t>t</m:t>
                </m:r>
              </m:e>
            </m:d>
            <m:r>
              <m:rPr>
                <m:sty m:val="p"/>
              </m:rPr>
              <w:rPr>
                <w:rFonts w:ascii="Cambria Math" w:hAnsi="Cambria Math"/>
                <w:lang w:val="en-US"/>
              </w:rPr>
              <m:t xml:space="preserve"> </m:t>
            </m:r>
          </m:e>
        </m:func>
        <m:r>
          <m:rPr>
            <m:sty m:val="p"/>
          </m:rPr>
          <w:rPr>
            <w:rFonts w:ascii="Cambria Math" w:hAnsi="Cambria Math"/>
            <w:lang w:val="en-US"/>
          </w:rPr>
          <m:t xml:space="preserve">+ </m:t>
        </m:r>
        <m:limLow>
          <m:limLowPr>
            <m:ctrlPr>
              <w:rPr>
                <w:rFonts w:ascii="Cambria Math" w:eastAsiaTheme="minorHAnsi" w:hAnsi="Cambria Math" w:cstheme="minorBidi"/>
                <w:lang w:val="en-US"/>
              </w:rPr>
            </m:ctrlPr>
          </m:limLowPr>
          <m:e>
            <m:r>
              <m:rPr>
                <m:sty m:val="p"/>
              </m:rPr>
              <w:rPr>
                <w:rFonts w:ascii="Cambria Math" w:hAnsi="Cambria Math"/>
                <w:lang w:val="en-US"/>
              </w:rPr>
              <m:t>Σ</m:t>
            </m:r>
          </m:e>
          <m:lim>
            <m:r>
              <w:rPr>
                <w:rFonts w:ascii="Cambria Math" w:hAnsi="Cambria Math"/>
                <w:lang w:val="en-US"/>
              </w:rPr>
              <m:t>k</m:t>
            </m:r>
          </m:lim>
        </m:limLow>
        <m:r>
          <m:rPr>
            <m:sty m:val="p"/>
          </m:rPr>
          <w:rPr>
            <w:rFonts w:ascii="Cambria Math" w:hAnsi="Cambria Math"/>
            <w:lang w:val="en-US"/>
          </w:rPr>
          <m:t xml:space="preserve"> </m:t>
        </m:r>
        <m:sSubSup>
          <m:sSubSupPr>
            <m:ctrlPr>
              <w:rPr>
                <w:rFonts w:ascii="Cambria Math" w:eastAsiaTheme="minorHAnsi" w:hAnsi="Cambria Math" w:cstheme="minorBidi"/>
                <w:lang w:val="en-US"/>
              </w:rPr>
            </m:ctrlPr>
          </m:sSubSupPr>
          <m:e>
            <m:r>
              <w:rPr>
                <w:rFonts w:ascii="Cambria Math" w:hAnsi="Cambria Math"/>
                <w:lang w:val="en-US"/>
              </w:rPr>
              <m:t>β</m:t>
            </m:r>
          </m:e>
          <m:sub>
            <m:r>
              <w:rPr>
                <w:rFonts w:ascii="Cambria Math" w:hAnsi="Cambria Math"/>
                <w:lang w:val="en-US"/>
              </w:rPr>
              <m:t>k</m:t>
            </m:r>
          </m:sub>
          <m:sup>
            <m:r>
              <w:rPr>
                <w:rFonts w:ascii="Cambria Math" w:hAnsi="Cambria Math"/>
                <w:lang w:val="en-US"/>
              </w:rPr>
              <m:t>g</m:t>
            </m:r>
          </m:sup>
        </m:sSubSup>
        <m:r>
          <m:rPr>
            <m:sty m:val="p"/>
          </m:rPr>
          <w:rPr>
            <w:rFonts w:ascii="Cambria Math" w:hAnsi="Cambria Math"/>
            <w:lang w:val="en-US"/>
          </w:rPr>
          <m:t>.</m:t>
        </m:r>
        <m:r>
          <w:rPr>
            <w:rFonts w:ascii="Cambria Math" w:hAnsi="Cambria Math"/>
            <w:lang w:val="en-US"/>
          </w:rPr>
          <m:t>I</m:t>
        </m:r>
        <m:d>
          <m:dPr>
            <m:begChr m:val="["/>
            <m:endChr m:val="]"/>
            <m:ctrlPr>
              <w:rPr>
                <w:rFonts w:ascii="Cambria Math" w:hAnsi="Cambria Math"/>
                <w:lang w:val="en-US"/>
              </w:rPr>
            </m:ctrlPr>
          </m:dPr>
          <m:e>
            <m:r>
              <w:rPr>
                <w:rFonts w:ascii="Cambria Math" w:hAnsi="Cambria Math"/>
                <w:lang w:val="en-US"/>
              </w:rPr>
              <m:t>k</m:t>
            </m:r>
            <m:r>
              <m:rPr>
                <m:sty m:val="p"/>
              </m:rPr>
              <w:rPr>
                <w:rFonts w:ascii="Cambria Math" w:hAnsi="Cambria Math"/>
                <w:lang w:val="en-US"/>
              </w:rPr>
              <m:t>=</m:t>
            </m:r>
            <m:sSub>
              <m:sSubPr>
                <m:ctrlPr>
                  <w:rPr>
                    <w:rFonts w:ascii="Cambria Math" w:eastAsiaTheme="minorHAnsi" w:hAnsi="Cambria Math" w:cstheme="minorBidi"/>
                    <w:lang w:val="en-US"/>
                  </w:rPr>
                </m:ctrlPr>
              </m:sSubPr>
              <m:e>
                <m:r>
                  <w:rPr>
                    <w:rFonts w:ascii="Cambria Math" w:hAnsi="Cambria Math"/>
                    <w:lang w:val="en-US"/>
                  </w:rPr>
                  <m:t>age</m:t>
                </m:r>
              </m:e>
              <m:sub>
                <m:r>
                  <w:rPr>
                    <w:rFonts w:ascii="Cambria Math" w:hAnsi="Cambria Math"/>
                    <w:lang w:val="en-US"/>
                  </w:rPr>
                  <m:t>is</m:t>
                </m:r>
              </m:sub>
            </m:sSub>
          </m:e>
        </m:d>
        <m:r>
          <m:rPr>
            <m:sty m:val="p"/>
          </m:rPr>
          <w:rPr>
            <w:rFonts w:ascii="Cambria Math" w:hAnsi="Cambria Math"/>
            <w:lang w:val="en-US"/>
          </w:rPr>
          <m:t xml:space="preserve">+ </m:t>
        </m:r>
        <m:limLow>
          <m:limLowPr>
            <m:ctrlPr>
              <w:rPr>
                <w:rFonts w:ascii="Cambria Math" w:eastAsiaTheme="minorHAnsi" w:hAnsi="Cambria Math" w:cstheme="minorBidi"/>
                <w:lang w:val="en-US"/>
              </w:rPr>
            </m:ctrlPr>
          </m:limLowPr>
          <m:e>
            <m:r>
              <m:rPr>
                <m:sty m:val="p"/>
              </m:rPr>
              <w:rPr>
                <w:rFonts w:ascii="Cambria Math" w:hAnsi="Cambria Math"/>
                <w:lang w:val="en-US"/>
              </w:rPr>
              <m:t>Σ</m:t>
            </m:r>
          </m:e>
          <m:lim>
            <m:r>
              <w:rPr>
                <w:rFonts w:ascii="Cambria Math" w:hAnsi="Cambria Math"/>
                <w:lang w:val="en-US"/>
              </w:rPr>
              <m:t>y</m:t>
            </m:r>
          </m:lim>
        </m:limLow>
        <m:r>
          <m:rPr>
            <m:sty m:val="p"/>
          </m:rPr>
          <w:rPr>
            <w:rFonts w:ascii="Cambria Math" w:hAnsi="Cambria Math"/>
            <w:lang w:val="en-US"/>
          </w:rPr>
          <m:t xml:space="preserve"> </m:t>
        </m:r>
        <m:sSubSup>
          <m:sSubSupPr>
            <m:ctrlPr>
              <w:rPr>
                <w:rFonts w:ascii="Cambria Math" w:eastAsiaTheme="minorHAnsi" w:hAnsi="Cambria Math" w:cstheme="minorBidi"/>
                <w:lang w:val="en-US"/>
              </w:rPr>
            </m:ctrlPr>
          </m:sSubSupPr>
          <m:e>
            <m:r>
              <w:rPr>
                <w:rFonts w:ascii="Cambria Math" w:hAnsi="Cambria Math"/>
                <w:lang w:val="en-US"/>
              </w:rPr>
              <m:t>δ</m:t>
            </m:r>
          </m:e>
          <m:sub>
            <m:r>
              <w:rPr>
                <w:rFonts w:ascii="Cambria Math" w:hAnsi="Cambria Math"/>
                <w:lang w:val="en-US"/>
              </w:rPr>
              <m:t>y</m:t>
            </m:r>
          </m:sub>
          <m:sup>
            <m:r>
              <w:rPr>
                <w:rFonts w:ascii="Cambria Math" w:hAnsi="Cambria Math"/>
                <w:lang w:val="en-US"/>
              </w:rPr>
              <m:t>g</m:t>
            </m:r>
          </m:sup>
        </m:sSubSup>
        <m:r>
          <m:rPr>
            <m:sty m:val="p"/>
          </m:rPr>
          <w:rPr>
            <w:rFonts w:ascii="Cambria Math" w:hAnsi="Cambria Math"/>
            <w:lang w:val="en-US"/>
          </w:rPr>
          <m:t>.</m:t>
        </m:r>
        <m:r>
          <w:rPr>
            <w:rFonts w:ascii="Cambria Math" w:hAnsi="Cambria Math"/>
            <w:lang w:val="en-US"/>
          </w:rPr>
          <m:t>I</m:t>
        </m:r>
        <m:d>
          <m:dPr>
            <m:begChr m:val="["/>
            <m:endChr m:val="]"/>
            <m:ctrlPr>
              <w:rPr>
                <w:rFonts w:ascii="Cambria Math" w:hAnsi="Cambria Math"/>
                <w:lang w:val="en-US"/>
              </w:rPr>
            </m:ctrlPr>
          </m:dPr>
          <m:e>
            <m:r>
              <w:rPr>
                <w:rFonts w:ascii="Cambria Math" w:hAnsi="Cambria Math"/>
                <w:lang w:val="en-US"/>
              </w:rPr>
              <m:t>y</m:t>
            </m:r>
            <m:r>
              <m:rPr>
                <m:sty m:val="p"/>
              </m:rPr>
              <w:rPr>
                <w:rFonts w:ascii="Cambria Math" w:hAnsi="Cambria Math"/>
                <w:lang w:val="en-US"/>
              </w:rPr>
              <m:t>=</m:t>
            </m:r>
            <m:r>
              <w:rPr>
                <w:rFonts w:ascii="Cambria Math" w:hAnsi="Cambria Math"/>
                <w:lang w:val="en-US"/>
              </w:rPr>
              <m:t>s</m:t>
            </m:r>
          </m:e>
        </m:d>
        <m:r>
          <m:rPr>
            <m:sty m:val="p"/>
          </m:rPr>
          <w:rPr>
            <w:rFonts w:ascii="Cambria Math" w:hAnsi="Cambria Math"/>
            <w:lang w:val="en-US"/>
          </w:rPr>
          <m:t xml:space="preserve">+ </m:t>
        </m:r>
        <m:sSubSup>
          <m:sSubSupPr>
            <m:ctrlPr>
              <w:rPr>
                <w:rFonts w:ascii="Cambria Math" w:eastAsiaTheme="minorHAnsi" w:hAnsi="Cambria Math" w:cstheme="minorBidi"/>
                <w:lang w:val="en-US"/>
              </w:rPr>
            </m:ctrlPr>
          </m:sSubSupPr>
          <m:e>
            <m:r>
              <w:rPr>
                <w:rFonts w:ascii="Cambria Math" w:hAnsi="Cambria Math"/>
                <w:lang w:val="en-US"/>
              </w:rPr>
              <m:t>ϵ</m:t>
            </m:r>
          </m:e>
          <m:sub>
            <m:r>
              <w:rPr>
                <w:rFonts w:ascii="Cambria Math" w:hAnsi="Cambria Math"/>
                <w:lang w:val="en-US"/>
              </w:rPr>
              <m:t>ist</m:t>
            </m:r>
          </m:sub>
          <m:sup>
            <m:r>
              <w:rPr>
                <w:rFonts w:ascii="Cambria Math" w:hAnsi="Cambria Math"/>
                <w:lang w:val="en-US"/>
              </w:rPr>
              <m:t>g</m:t>
            </m:r>
          </m:sup>
        </m:sSubSup>
      </m:oMath>
      <w:r w:rsidR="00445250" w:rsidRPr="00175989">
        <w:rPr>
          <w:rFonts w:eastAsiaTheme="minorEastAsia"/>
          <w:lang w:val="en-US"/>
        </w:rPr>
        <w:tab/>
      </w:r>
      <w:r w:rsidR="00445250" w:rsidRPr="00175989">
        <w:rPr>
          <w:lang w:val="en-US"/>
        </w:rPr>
        <w:t>(1)</w:t>
      </w:r>
    </w:p>
    <w:p w14:paraId="65A8AB9E" w14:textId="2BFD4217" w:rsidR="000D6C17" w:rsidRDefault="000D6C17" w:rsidP="00880DCF">
      <w:r>
        <w:t xml:space="preserve">where the dependent variable is the annual earnings for individual </w:t>
      </w:r>
      <w:proofErr w:type="spellStart"/>
      <w:r w:rsidRPr="00AF0ED5">
        <w:rPr>
          <w:i/>
          <w:iCs/>
        </w:rPr>
        <w:t>i</w:t>
      </w:r>
      <w:proofErr w:type="spellEnd"/>
      <w:r>
        <w:t xml:space="preserve"> of gender </w:t>
      </w:r>
      <w:r w:rsidRPr="00AF0ED5">
        <w:rPr>
          <w:i/>
          <w:iCs/>
        </w:rPr>
        <w:t>g</w:t>
      </w:r>
      <w:r>
        <w:t xml:space="preserve">, in year </w:t>
      </w:r>
      <w:r w:rsidRPr="00AF0ED5">
        <w:rPr>
          <w:i/>
          <w:iCs/>
        </w:rPr>
        <w:t>s</w:t>
      </w:r>
      <w:r>
        <w:t xml:space="preserve"> and at event time </w:t>
      </w:r>
      <w:r w:rsidRPr="00AF0ED5">
        <w:rPr>
          <w:i/>
          <w:iCs/>
        </w:rPr>
        <w:t>t</w:t>
      </w:r>
      <w:r>
        <w:t xml:space="preserve">. For each parent, event time </w:t>
      </w:r>
      <w:r w:rsidRPr="00AF0ED5">
        <w:rPr>
          <w:i/>
          <w:iCs/>
        </w:rPr>
        <w:t>t</w:t>
      </w:r>
      <w:r>
        <w:t xml:space="preserve"> is indexed to the year of the arrival of their first child. We run the regression separately for both men and women. The first term on the right</w:t>
      </w:r>
      <w:r w:rsidR="003E4186">
        <w:noBreakHyphen/>
      </w:r>
      <w:r>
        <w:t>hand side is a full set of event time dummies, excluding the year before the arrival of the first child (</w:t>
      </w:r>
      <w:proofErr w:type="gramStart"/>
      <w:r>
        <w:t>i.e.</w:t>
      </w:r>
      <w:proofErr w:type="gramEnd"/>
      <w:r>
        <w:t xml:space="preserve"> </w:t>
      </w:r>
      <w:r w:rsidRPr="00FC6FD8">
        <w:rPr>
          <w:i/>
          <w:iCs/>
        </w:rPr>
        <w:t>j</w:t>
      </w:r>
      <w:r>
        <w:t xml:space="preserve">=-1). We also include a full set of flexible age (second term) and year (third term) dummies. The age dummies control for underlying lifecycle trends in earnings, while the year dummies control for time trends such as business cycle swings and wage inflation. </w:t>
      </w:r>
    </w:p>
    <w:p w14:paraId="12CCBBF8" w14:textId="4696754D" w:rsidR="000D6C17" w:rsidRDefault="000D6C17" w:rsidP="00880DCF">
      <w:r>
        <w:t xml:space="preserve">Our baseline specification using HILDA includes a balanced panel of parents who we observe for all years between </w:t>
      </w:r>
      <w:r w:rsidR="000B1D9E">
        <w:t xml:space="preserve">3 </w:t>
      </w:r>
      <w:r>
        <w:t xml:space="preserve">years before and </w:t>
      </w:r>
      <w:r w:rsidR="000B1D9E">
        <w:t>5</w:t>
      </w:r>
      <w:r>
        <w:t xml:space="preserve"> years after the arrival of their first child. We extend our sample to study </w:t>
      </w:r>
      <w:r w:rsidR="000B1D9E">
        <w:t>10</w:t>
      </w:r>
      <w:r>
        <w:t xml:space="preserve"> years post</w:t>
      </w:r>
      <w:r w:rsidR="003E4186">
        <w:noBreakHyphen/>
      </w:r>
      <w:r w:rsidR="00FC6FD8">
        <w:t>parenthood</w:t>
      </w:r>
      <w:r>
        <w:t xml:space="preserve"> in the </w:t>
      </w:r>
      <w:proofErr w:type="spellStart"/>
      <w:r>
        <w:t>ALife</w:t>
      </w:r>
      <w:proofErr w:type="spellEnd"/>
      <w:r>
        <w:t xml:space="preserve"> sample, discussed further below. We estimate Equation (1) in levels to enable inclusion of individuals with zero wage income (</w:t>
      </w:r>
      <w:proofErr w:type="gramStart"/>
      <w:r>
        <w:t>i.e.</w:t>
      </w:r>
      <w:proofErr w:type="gramEnd"/>
      <w:r>
        <w:t xml:space="preserve"> those who are not in paid employment), and then convert the level effects into a percentage of the no</w:t>
      </w:r>
      <w:r w:rsidR="003E4186">
        <w:noBreakHyphen/>
      </w:r>
      <w:r>
        <w:t xml:space="preserve">child counterfactual at event time </w:t>
      </w:r>
      <w:r w:rsidRPr="006E2931">
        <w:rPr>
          <w:i/>
        </w:rPr>
        <w:t>t</w:t>
      </w:r>
      <w:r>
        <w:t xml:space="preserve">. </w:t>
      </w:r>
    </w:p>
    <w:p w14:paraId="5353DE54" w14:textId="6EF9B924" w:rsidR="000D6C17" w:rsidRDefault="000D6C17" w:rsidP="00880DCF">
      <w:r>
        <w:t xml:space="preserve">Further, following </w:t>
      </w:r>
      <w:proofErr w:type="spellStart"/>
      <w:r>
        <w:t>Kleven</w:t>
      </w:r>
      <w:proofErr w:type="spellEnd"/>
      <w:r w:rsidR="003E4186">
        <w:t> et al. </w:t>
      </w:r>
      <w:r>
        <w:t xml:space="preserve">(2019a) we then define the motherhood penalty, the amount that women’s earnings are falling behind men due to children at event time </w:t>
      </w:r>
      <w:r w:rsidRPr="00FC6FD8">
        <w:rPr>
          <w:i/>
          <w:iCs/>
        </w:rPr>
        <w:t>t</w:t>
      </w:r>
      <w:r>
        <w:t xml:space="preserve"> as:</w:t>
      </w:r>
    </w:p>
    <w:p w14:paraId="513F329F" w14:textId="0FEE6E87" w:rsidR="00B336A3" w:rsidRPr="00175989" w:rsidRDefault="00CB43FB" w:rsidP="00695F69">
      <w:pPr>
        <w:pStyle w:val="Equation"/>
        <w:spacing w:after="0"/>
        <w:rPr>
          <w:lang w:val="en-US"/>
        </w:rPr>
      </w:pPr>
      <w:r>
        <w:rPr>
          <w:rFonts w:ascii="Calibri Light" w:hAnsi="Calibri Light"/>
          <w:lang w:val="en-US"/>
        </w:rPr>
        <w:tab/>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t</m:t>
            </m:r>
          </m:sub>
        </m:sSub>
        <m:r>
          <m:rPr>
            <m:sty m:val="p"/>
          </m:rPr>
          <w:rPr>
            <w:rFonts w:ascii="Cambria Math" w:hAnsi="Cambria Math"/>
            <w:lang w:val="en-US"/>
          </w:rPr>
          <m:t xml:space="preserve">≡ </m:t>
        </m:r>
        <m:f>
          <m:fPr>
            <m:ctrlPr>
              <w:rPr>
                <w:rFonts w:ascii="Cambria Math" w:eastAsiaTheme="minorHAnsi" w:hAnsi="Cambria Math" w:cstheme="minorBidi"/>
                <w:lang w:val="en-US"/>
              </w:rPr>
            </m:ctrlPr>
          </m:fPr>
          <m:num>
            <m:sSubSup>
              <m:sSubSupPr>
                <m:ctrlPr>
                  <w:rPr>
                    <w:rFonts w:ascii="Cambria Math" w:hAnsi="Cambria Math"/>
                    <w:lang w:val="en-US"/>
                  </w:rPr>
                </m:ctrlPr>
              </m:sSubSupPr>
              <m:e>
                <m:r>
                  <w:rPr>
                    <w:rFonts w:ascii="Cambria Math" w:eastAsiaTheme="minorHAnsi" w:hAnsi="Cambria Math" w:cstheme="minorBidi"/>
                    <w:lang w:val="en-US"/>
                  </w:rPr>
                  <m:t>α</m:t>
                </m:r>
              </m:e>
              <m:sub>
                <m:r>
                  <w:rPr>
                    <w:rFonts w:ascii="Cambria Math" w:hAnsi="Cambria Math"/>
                    <w:lang w:val="en-US"/>
                  </w:rPr>
                  <m:t>t</m:t>
                </m:r>
              </m:sub>
              <m:sup>
                <m:r>
                  <w:rPr>
                    <w:rFonts w:ascii="Cambria Math" w:eastAsiaTheme="minorHAnsi" w:hAnsi="Cambria Math" w:cstheme="minorBidi"/>
                    <w:lang w:val="en-US"/>
                  </w:rPr>
                  <m:t>m</m:t>
                </m:r>
              </m:sup>
            </m:sSubSup>
            <m:r>
              <m:rPr>
                <m:sty m:val="p"/>
              </m:rPr>
              <w:rPr>
                <w:rFonts w:ascii="Cambria Math" w:hAnsi="Cambria Math"/>
                <w:lang w:val="en-US"/>
              </w:rPr>
              <m:t xml:space="preserve">- </m:t>
            </m:r>
            <m:sSubSup>
              <m:sSubSupPr>
                <m:ctrlPr>
                  <w:rPr>
                    <w:rFonts w:ascii="Cambria Math" w:hAnsi="Cambria Math"/>
                    <w:lang w:val="en-US"/>
                  </w:rPr>
                </m:ctrlPr>
              </m:sSubSupPr>
              <m:e>
                <m:r>
                  <w:rPr>
                    <w:rFonts w:ascii="Cambria Math" w:hAnsi="Cambria Math"/>
                    <w:lang w:val="en-US"/>
                  </w:rPr>
                  <m:t>α</m:t>
                </m:r>
              </m:e>
              <m:sub>
                <m:r>
                  <w:rPr>
                    <w:rFonts w:ascii="Cambria Math" w:hAnsi="Cambria Math"/>
                    <w:lang w:val="en-US"/>
                  </w:rPr>
                  <m:t>t</m:t>
                </m:r>
              </m:sub>
              <m:sup>
                <m:r>
                  <w:rPr>
                    <w:rFonts w:ascii="Cambria Math" w:hAnsi="Cambria Math"/>
                    <w:lang w:val="en-US"/>
                  </w:rPr>
                  <m:t>f</m:t>
                </m:r>
              </m:sup>
            </m:sSubSup>
          </m:num>
          <m:den>
            <m:r>
              <w:rPr>
                <w:rFonts w:ascii="Cambria Math" w:eastAsiaTheme="minorHAnsi" w:hAnsi="Cambria Math" w:cstheme="minorBidi"/>
                <w:lang w:val="en-US"/>
              </w:rPr>
              <m:t>E</m:t>
            </m:r>
            <m:d>
              <m:dPr>
                <m:begChr m:val="["/>
                <m:endChr m:val="]"/>
                <m:ctrlPr>
                  <w:rPr>
                    <w:rFonts w:ascii="Cambria Math" w:hAnsi="Cambria Math"/>
                    <w:lang w:val="en-US"/>
                  </w:rPr>
                </m:ctrlPr>
              </m:dPr>
              <m:e>
                <m:acc>
                  <m:accPr>
                    <m:chr m:val="̃"/>
                    <m:ctrlPr>
                      <w:rPr>
                        <w:rFonts w:ascii="Cambria Math" w:eastAsiaTheme="minorHAnsi" w:hAnsi="Cambria Math" w:cstheme="minorBidi"/>
                        <w:lang w:val="en-US"/>
                      </w:rPr>
                    </m:ctrlPr>
                  </m:accPr>
                  <m:e>
                    <m:sSubSup>
                      <m:sSubSupPr>
                        <m:ctrlPr>
                          <w:rPr>
                            <w:rFonts w:ascii="Cambria Math" w:hAnsi="Cambria Math"/>
                            <w:lang w:val="en-US"/>
                          </w:rPr>
                        </m:ctrlPr>
                      </m:sSubSupPr>
                      <m:e>
                        <m:r>
                          <w:rPr>
                            <w:rFonts w:ascii="Cambria Math" w:eastAsiaTheme="minorHAnsi" w:hAnsi="Cambria Math" w:cstheme="minorBidi"/>
                            <w:lang w:val="en-US"/>
                          </w:rPr>
                          <m:t>Y</m:t>
                        </m:r>
                      </m:e>
                      <m:sub>
                        <m:r>
                          <w:rPr>
                            <w:rFonts w:ascii="Cambria Math" w:eastAsiaTheme="minorHAnsi" w:hAnsi="Cambria Math" w:cstheme="minorBidi"/>
                            <w:lang w:val="en-US"/>
                          </w:rPr>
                          <m:t>ist</m:t>
                        </m:r>
                      </m:sub>
                      <m:sup>
                        <m:r>
                          <w:rPr>
                            <w:rFonts w:ascii="Cambria Math" w:hAnsi="Cambria Math"/>
                            <w:lang w:val="en-US"/>
                          </w:rPr>
                          <m:t>f</m:t>
                        </m:r>
                      </m:sup>
                    </m:sSubSup>
                  </m:e>
                </m:acc>
              </m:e>
              <m:e>
                <m:r>
                  <w:rPr>
                    <w:rFonts w:ascii="Cambria Math" w:eastAsiaTheme="minorHAnsi" w:hAnsi="Cambria Math" w:cstheme="minorBidi"/>
                    <w:lang w:val="en-US"/>
                  </w:rPr>
                  <m:t>t</m:t>
                </m:r>
              </m:e>
            </m:d>
          </m:den>
        </m:f>
      </m:oMath>
      <w:r w:rsidR="00B336A3" w:rsidRPr="00720EF5">
        <w:rPr>
          <w:rFonts w:eastAsiaTheme="minorEastAsia" w:cstheme="minorBidi"/>
          <w:lang w:val="en-US"/>
        </w:rPr>
        <w:tab/>
      </w:r>
      <w:r w:rsidR="00B336A3" w:rsidRPr="00175989">
        <w:rPr>
          <w:lang w:val="en-US"/>
        </w:rPr>
        <w:t>(</w:t>
      </w:r>
      <w:r w:rsidR="00B336A3">
        <w:rPr>
          <w:lang w:val="en-US"/>
        </w:rPr>
        <w:t>2</w:t>
      </w:r>
      <w:r w:rsidR="00B336A3" w:rsidRPr="00175989">
        <w:rPr>
          <w:lang w:val="en-US"/>
        </w:rPr>
        <w:t>)</w:t>
      </w:r>
    </w:p>
    <w:p w14:paraId="5C7C3DEA" w14:textId="7F957278" w:rsidR="00F012EA" w:rsidRDefault="00A17951" w:rsidP="00A17951">
      <w:pPr>
        <w:pStyle w:val="Heading3"/>
      </w:pPr>
      <w:r>
        <w:t>Event study r</w:t>
      </w:r>
      <w:r w:rsidR="000D6C17">
        <w:t>esults</w:t>
      </w:r>
    </w:p>
    <w:p w14:paraId="52E1C2AA" w14:textId="7CF0FBD3" w:rsidR="000D6C17" w:rsidRPr="000D6C17" w:rsidRDefault="003E4186" w:rsidP="00880DCF">
      <w:r>
        <w:t>Chart </w:t>
      </w:r>
      <w:r w:rsidR="000D6C17" w:rsidRPr="000D6C17">
        <w:t>1 plots the gender</w:t>
      </w:r>
      <w:r>
        <w:noBreakHyphen/>
      </w:r>
      <w:r w:rsidR="000D6C17" w:rsidRPr="000D6C17">
        <w:t xml:space="preserve">specific impacts of children on wage and salary earnings over time, relative to earnings in the year before children. In the </w:t>
      </w:r>
      <w:r w:rsidR="0068788C">
        <w:t>3</w:t>
      </w:r>
      <w:r w:rsidR="000D6C17" w:rsidRPr="000D6C17">
        <w:t xml:space="preserve"> years prior to childbirth, the earnings of men and women move in a similar way. However, following the arrival of the first child, earnings of men and women immediately begin to diverge, with a significant gap remaining </w:t>
      </w:r>
      <w:r w:rsidR="00074D78">
        <w:t>5</w:t>
      </w:r>
      <w:r w:rsidR="000D6C17" w:rsidRPr="000D6C17">
        <w:t xml:space="preserve"> years after entry into parenthood. </w:t>
      </w:r>
    </w:p>
    <w:p w14:paraId="39F5CC2D" w14:textId="3944CCC4" w:rsidR="000D6C17" w:rsidRPr="000D6C17" w:rsidRDefault="000D6C17" w:rsidP="00880DCF">
      <w:r w:rsidRPr="000D6C17">
        <w:t>We find a significant and persistent penalty attached to having a child for women, but not for men. The motherhood penalty in earnings, defined as the percentage by which women fall behind men due to children, averages 55</w:t>
      </w:r>
      <w:r w:rsidR="003E4186">
        <w:t> per </w:t>
      </w:r>
      <w:r w:rsidRPr="000D6C17">
        <w:t xml:space="preserve">cent over the first </w:t>
      </w:r>
      <w:r w:rsidR="005D3061">
        <w:t>5</w:t>
      </w:r>
      <w:r w:rsidRPr="000D6C17">
        <w:t xml:space="preserve"> years (excluding the birth year). Extending our sample using the </w:t>
      </w:r>
      <w:proofErr w:type="spellStart"/>
      <w:r w:rsidRPr="000D6C17">
        <w:t>ALife</w:t>
      </w:r>
      <w:proofErr w:type="spellEnd"/>
      <w:r w:rsidRPr="000D6C17">
        <w:t xml:space="preserve"> dataset shows a slightly smaller, but still persistent, motherhood penalty in the longer run (see </w:t>
      </w:r>
      <w:r w:rsidR="003E4186">
        <w:t>Appendix </w:t>
      </w:r>
      <w:r w:rsidRPr="000D6C17">
        <w:t>for further detail).</w:t>
      </w:r>
      <w:r w:rsidR="00180A93">
        <w:rPr>
          <w:rStyle w:val="FootnoteReference"/>
        </w:rPr>
        <w:footnoteReference w:id="10"/>
      </w:r>
      <w:r w:rsidR="00180A93">
        <w:t xml:space="preserve"> </w:t>
      </w:r>
      <w:r w:rsidRPr="000D6C17">
        <w:t xml:space="preserve">Our estimated long run penalty (defined as the average penalty from 5 to 10 years after </w:t>
      </w:r>
      <w:r w:rsidR="00394776">
        <w:tab/>
        <w:t>entry into parenthood</w:t>
      </w:r>
      <w:r w:rsidRPr="000D6C17">
        <w:t>) is 43</w:t>
      </w:r>
      <w:r w:rsidR="003E4186">
        <w:t> per </w:t>
      </w:r>
      <w:r w:rsidRPr="000D6C17">
        <w:t>cent, similar to the United Kingdom (44</w:t>
      </w:r>
      <w:r w:rsidR="003E4186">
        <w:t> per </w:t>
      </w:r>
      <w:r w:rsidRPr="000D6C17">
        <w:t>cent), larger in magnitude than estimates for Denmark (21</w:t>
      </w:r>
      <w:r w:rsidR="003E4186">
        <w:t> per </w:t>
      </w:r>
      <w:r w:rsidRPr="000D6C17">
        <w:t>cent), Sweden (26</w:t>
      </w:r>
      <w:r w:rsidR="003E4186">
        <w:t> per </w:t>
      </w:r>
      <w:r w:rsidRPr="000D6C17">
        <w:t>cent) and the United States (31</w:t>
      </w:r>
      <w:r w:rsidR="003E4186">
        <w:t> per </w:t>
      </w:r>
      <w:r w:rsidRPr="000D6C17">
        <w:t>cent), but smaller than estimates for Austria (51</w:t>
      </w:r>
      <w:r w:rsidR="003E4186">
        <w:t> per </w:t>
      </w:r>
      <w:r w:rsidRPr="000D6C17">
        <w:t>cent) and Germany (61</w:t>
      </w:r>
      <w:r w:rsidR="003E4186">
        <w:t> per </w:t>
      </w:r>
      <w:r w:rsidRPr="000D6C17">
        <w:t>cent) (</w:t>
      </w:r>
      <w:proofErr w:type="spellStart"/>
      <w:r w:rsidRPr="000D6C17">
        <w:t>Kleven</w:t>
      </w:r>
      <w:proofErr w:type="spellEnd"/>
      <w:r w:rsidR="003E4186">
        <w:t> et al. </w:t>
      </w:r>
      <w:r w:rsidRPr="000D6C17">
        <w:t>2019b).</w:t>
      </w:r>
    </w:p>
    <w:p w14:paraId="36D0C6F5" w14:textId="193F836F" w:rsidR="00CB43FB" w:rsidRDefault="003E4186" w:rsidP="00CB43FB">
      <w:pPr>
        <w:pStyle w:val="ChartMainHeading"/>
      </w:pPr>
      <w:r>
        <w:t>Chart </w:t>
      </w:r>
      <w:r w:rsidR="00046C73" w:rsidRPr="0064423D">
        <w:t>1: Impact of children on earnings, by sex</w:t>
      </w:r>
    </w:p>
    <w:p w14:paraId="1FB496EF" w14:textId="7BE90E26" w:rsidR="0064423D" w:rsidRDefault="0064423D" w:rsidP="001C55C5">
      <w:pPr>
        <w:pStyle w:val="ChartGraphic"/>
      </w:pPr>
      <w:r>
        <w:rPr>
          <w:noProof/>
        </w:rPr>
        <w:drawing>
          <wp:inline distT="0" distB="0" distL="0" distR="0" wp14:anchorId="4EAEE519" wp14:editId="755C7C30">
            <wp:extent cx="4680000" cy="3402932"/>
            <wp:effectExtent l="0" t="0" r="6350" b="7620"/>
            <wp:docPr id="1" name="Picture 1" descr="This is an event study chart which plots the estimated impact of children on earnings for men and women separately, for 3 years before and up to 5 years after the arrival of the first child. It shows a steep decline in female earnings after the arrival of a child, remaining low for 5 years. Men's earnings remain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event study chart which plots the estimated impact of children on earnings for men and women separately, for 3 years before and up to 5 years after the arrival of the first child. It shows a steep decline in female earnings after the arrival of a child, remaining low for 5 years. Men's earnings remain relatively stab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3402932"/>
                    </a:xfrm>
                    <a:prstGeom prst="rect">
                      <a:avLst/>
                    </a:prstGeom>
                    <a:noFill/>
                    <a:ln>
                      <a:noFill/>
                    </a:ln>
                  </pic:spPr>
                </pic:pic>
              </a:graphicData>
            </a:graphic>
          </wp:inline>
        </w:drawing>
      </w:r>
    </w:p>
    <w:p w14:paraId="4A4DE327" w14:textId="6DBC55B4" w:rsidR="0064423D" w:rsidRPr="00860283" w:rsidRDefault="00046C73" w:rsidP="001C55C5">
      <w:pPr>
        <w:pStyle w:val="ChartorTableNote"/>
      </w:pPr>
      <w:r w:rsidRPr="001C55C5">
        <w:t xml:space="preserve">Notes: Plots estimated motherhood penalty as defined by Equation (2). Shaded area shows 95% confidence intervals, based on robust standard errors. </w:t>
      </w:r>
      <w:r w:rsidR="00450846" w:rsidRPr="001C55C5">
        <w:t>V</w:t>
      </w:r>
      <w:r w:rsidRPr="001C55C5">
        <w:t xml:space="preserve">ertical line signifies year before first child arrives. </w:t>
      </w:r>
    </w:p>
    <w:p w14:paraId="466F7CEC" w14:textId="50AAFA37" w:rsidR="00046C73" w:rsidRPr="00860283" w:rsidRDefault="00046C73" w:rsidP="001C55C5">
      <w:pPr>
        <w:pStyle w:val="ChartorTableNote"/>
      </w:pPr>
      <w:r w:rsidRPr="001C55C5">
        <w:t>Source: Treasury analysis of HILDA Release 19.0.</w:t>
      </w:r>
    </w:p>
    <w:p w14:paraId="155E754B" w14:textId="2B57A5E5" w:rsidR="00CF759C" w:rsidRDefault="00CF759C" w:rsidP="00880DCF">
      <w:r w:rsidRPr="000D6C17">
        <w:t xml:space="preserve">Our main results include effects not only from the first child, but any additional children born during the observation window. To test the effect without multiple children, we estimate our original result separately for women who go on to have a second or multiple children over the observation period. </w:t>
      </w:r>
      <w:r w:rsidR="003E4186">
        <w:t>Chart </w:t>
      </w:r>
      <w:r w:rsidRPr="000D6C17">
        <w:t xml:space="preserve">A3 shows that the motherhood penalty for women with one child is smaller than the penalty estimated for multiple children but remains significant up to </w:t>
      </w:r>
      <w:r w:rsidR="005D3061">
        <w:t xml:space="preserve">10 </w:t>
      </w:r>
      <w:r w:rsidRPr="000D6C17">
        <w:t xml:space="preserve">years after birth. Importantly, for women who only have one child, there is no significant recovery in earnings at year </w:t>
      </w:r>
      <w:r w:rsidR="005D3061">
        <w:t>5</w:t>
      </w:r>
      <w:r w:rsidRPr="000D6C17">
        <w:t xml:space="preserve"> – the age at which children generally become school</w:t>
      </w:r>
      <w:r w:rsidR="003E4186">
        <w:noBreakHyphen/>
      </w:r>
      <w:r w:rsidRPr="000D6C17">
        <w:t xml:space="preserve">age. </w:t>
      </w:r>
    </w:p>
    <w:p w14:paraId="7DF16E63" w14:textId="3CB48F08" w:rsidR="0007320C" w:rsidRDefault="0007320C" w:rsidP="00880DCF">
      <w:r w:rsidRPr="000D6C17">
        <w:t xml:space="preserve">This documented motherhood penalty arises from three margins – employment, hours of work, and the hourly wage rate. </w:t>
      </w:r>
      <w:r w:rsidR="003E4186">
        <w:t>Chart </w:t>
      </w:r>
      <w:r w:rsidRPr="000D6C17">
        <w:t>2 shows that all three margins contribute, with particularly large effects for employment and hours of work. There is a sharp drop in the probability of employment for women in the first year of child arrival (of about 45</w:t>
      </w:r>
      <w:r w:rsidR="003E4186">
        <w:t> per </w:t>
      </w:r>
      <w:r w:rsidRPr="000D6C17">
        <w:t xml:space="preserve">cent), with minimal recovery </w:t>
      </w:r>
      <w:r w:rsidR="00925049">
        <w:t>5</w:t>
      </w:r>
      <w:r w:rsidRPr="000D6C17">
        <w:t xml:space="preserve"> years after birth (Panel A). For women who remain employed, hours worked falls significantly following birth and does not recover over the period (Panel B). The motherhood penalty in employment averages 27</w:t>
      </w:r>
      <w:r w:rsidR="003E4186">
        <w:t> per </w:t>
      </w:r>
      <w:r w:rsidRPr="000D6C17">
        <w:t xml:space="preserve">cent in the first </w:t>
      </w:r>
      <w:r w:rsidR="00925049">
        <w:t>5</w:t>
      </w:r>
      <w:r w:rsidRPr="000D6C17">
        <w:t xml:space="preserve"> years following children, while the motherhood penalty in hours worked averages 34</w:t>
      </w:r>
      <w:r w:rsidR="003E4186">
        <w:t> per </w:t>
      </w:r>
      <w:r w:rsidRPr="000D6C17">
        <w:t>cent. There is also evidence of an hourly wage penalty for women who remain employed, averaging around 5</w:t>
      </w:r>
      <w:r w:rsidR="003E4186">
        <w:t> per </w:t>
      </w:r>
      <w:r w:rsidRPr="000D6C17">
        <w:t xml:space="preserve">cent in the </w:t>
      </w:r>
      <w:r w:rsidR="00925049">
        <w:t>5</w:t>
      </w:r>
      <w:r w:rsidRPr="000D6C17">
        <w:t xml:space="preserve"> years following child arrival (Panel C).</w:t>
      </w:r>
      <w:r>
        <w:rPr>
          <w:rStyle w:val="FootnoteReference"/>
        </w:rPr>
        <w:footnoteReference w:id="11"/>
      </w:r>
      <w:r w:rsidRPr="000D6C17">
        <w:t xml:space="preserve"> However, our measure for the hourly wage is quite imprecise.</w:t>
      </w:r>
      <w:r w:rsidR="00FF7AC3">
        <w:t xml:space="preserve"> </w:t>
      </w:r>
    </w:p>
    <w:p w14:paraId="0D8A60B7" w14:textId="7ECA14C4" w:rsidR="0088493F" w:rsidRDefault="0088493F" w:rsidP="00880DCF">
      <w:r>
        <w:t>Across all three margins, the differences that emerge are driven entirely by women, with men largely unaffected. These effects highlight the strong labour supply implications of entry into parenthood for women.</w:t>
      </w:r>
      <w:r>
        <w:rPr>
          <w:rStyle w:val="FootnoteReference"/>
        </w:rPr>
        <w:footnoteReference w:id="12"/>
      </w:r>
      <w:r w:rsidR="00FF7AC3">
        <w:t xml:space="preserve"> </w:t>
      </w:r>
    </w:p>
    <w:p w14:paraId="2A40F85C" w14:textId="661F7FCD" w:rsidR="00046C73" w:rsidRPr="0064423D" w:rsidRDefault="003E4186" w:rsidP="00D57D83">
      <w:pPr>
        <w:pStyle w:val="ChartMainHeading"/>
      </w:pPr>
      <w:r>
        <w:t>Chart </w:t>
      </w:r>
      <w:r w:rsidR="00046C73" w:rsidRPr="0064423D">
        <w:t>2: Drivers of the motherhood penalty</w:t>
      </w:r>
    </w:p>
    <w:tbl>
      <w:tblPr>
        <w:tblStyle w:val="TableGrid"/>
        <w:tblW w:w="5000" w:type="pct"/>
        <w:jc w:val="center"/>
        <w:tblLayout w:type="fixed"/>
        <w:tblCellMar>
          <w:left w:w="0" w:type="dxa"/>
          <w:right w:w="0" w:type="dxa"/>
        </w:tblCellMar>
        <w:tblLook w:val="04A0" w:firstRow="1" w:lastRow="0" w:firstColumn="1" w:lastColumn="0" w:noHBand="0" w:noVBand="1"/>
      </w:tblPr>
      <w:tblGrid>
        <w:gridCol w:w="3023"/>
        <w:gridCol w:w="3023"/>
        <w:gridCol w:w="3024"/>
      </w:tblGrid>
      <w:tr w:rsidR="00CB43FB" w14:paraId="1FEEC9CB" w14:textId="7E85BA90" w:rsidTr="00BC6549">
        <w:trPr>
          <w:trHeight w:val="3271"/>
          <w:jc w:val="center"/>
        </w:trPr>
        <w:tc>
          <w:tcPr>
            <w:tcW w:w="3023" w:type="dxa"/>
            <w:shd w:val="clear" w:color="auto" w:fill="auto"/>
          </w:tcPr>
          <w:p w14:paraId="333C0093" w14:textId="03936BA0" w:rsidR="00CB43FB" w:rsidRDefault="00CB43FB" w:rsidP="00BC6549">
            <w:pPr>
              <w:pStyle w:val="ChartGraphic"/>
            </w:pPr>
            <w:r>
              <w:rPr>
                <w:noProof/>
              </w:rPr>
              <w:drawing>
                <wp:inline distT="0" distB="0" distL="0" distR="0" wp14:anchorId="328D5AFA" wp14:editId="042CA7FE">
                  <wp:extent cx="1800000" cy="2250000"/>
                  <wp:effectExtent l="0" t="0" r="0" b="0"/>
                  <wp:docPr id="3" name="Picture 3" descr="This is an event study chart which plots the estimated impact of children on the probability of employment for men and women separately, for 3 years before and up to 5 years after the arrival of the first child. It shows a steep decline in female employment after the arrival of a child, only recovering slightly but remaining low for 5 years. Men's employment remains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event study chart which plots the estimated impact of children on the probability of employment for men and women separately, for 3 years before and up to 5 years after the arrival of the first child. It shows a steep decline in female employment after the arrival of a child, only recovering slightly but remaining low for 5 years. Men's employment remains relatively stabl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2250000"/>
                          </a:xfrm>
                          <a:prstGeom prst="rect">
                            <a:avLst/>
                          </a:prstGeom>
                          <a:noFill/>
                          <a:ln>
                            <a:noFill/>
                          </a:ln>
                        </pic:spPr>
                      </pic:pic>
                    </a:graphicData>
                  </a:graphic>
                </wp:inline>
              </w:drawing>
            </w:r>
          </w:p>
        </w:tc>
        <w:tc>
          <w:tcPr>
            <w:tcW w:w="3023" w:type="dxa"/>
            <w:shd w:val="clear" w:color="auto" w:fill="auto"/>
          </w:tcPr>
          <w:p w14:paraId="54AA1E53" w14:textId="19E467AE" w:rsidR="00CB43FB" w:rsidRDefault="00CB43FB" w:rsidP="00BC6549">
            <w:pPr>
              <w:pStyle w:val="ChartGraphic"/>
              <w:rPr>
                <w:noProof/>
              </w:rPr>
            </w:pPr>
            <w:r>
              <w:rPr>
                <w:noProof/>
              </w:rPr>
              <w:drawing>
                <wp:inline distT="0" distB="0" distL="0" distR="0" wp14:anchorId="6A6A3847" wp14:editId="25F0436E">
                  <wp:extent cx="1800000" cy="2250000"/>
                  <wp:effectExtent l="0" t="0" r="0" b="0"/>
                  <wp:docPr id="4" name="Picture 4" descr="This is an event study chart which plots the estimated impact of children on hours worked for men and women separately, for 3 years before and up to 5 years after the arrival of the first child. It shows a steep decline in female hours after the arrival of a child, remaining low for 5 years. Men's hours remains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event study chart which plots the estimated impact of children on hours worked for men and women separately, for 3 years before and up to 5 years after the arrival of the first child. It shows a steep decline in female hours after the arrival of a child, remaining low for 5 years. Men's hours remains relatively stabl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2250000"/>
                          </a:xfrm>
                          <a:prstGeom prst="rect">
                            <a:avLst/>
                          </a:prstGeom>
                          <a:noFill/>
                          <a:ln>
                            <a:noFill/>
                          </a:ln>
                        </pic:spPr>
                      </pic:pic>
                    </a:graphicData>
                  </a:graphic>
                </wp:inline>
              </w:drawing>
            </w:r>
          </w:p>
        </w:tc>
        <w:tc>
          <w:tcPr>
            <w:tcW w:w="3024" w:type="dxa"/>
            <w:shd w:val="clear" w:color="auto" w:fill="auto"/>
          </w:tcPr>
          <w:p w14:paraId="6B531C66" w14:textId="6F2C53FA" w:rsidR="00CB43FB" w:rsidRDefault="00CB43FB" w:rsidP="00BC6549">
            <w:pPr>
              <w:pStyle w:val="ChartGraphic"/>
              <w:rPr>
                <w:noProof/>
              </w:rPr>
            </w:pPr>
            <w:r>
              <w:rPr>
                <w:noProof/>
              </w:rPr>
              <w:drawing>
                <wp:inline distT="0" distB="0" distL="0" distR="0" wp14:anchorId="129E9269" wp14:editId="46AE05A0">
                  <wp:extent cx="1764000" cy="2205000"/>
                  <wp:effectExtent l="0" t="0" r="8255" b="5080"/>
                  <wp:docPr id="5" name="Picture 5" descr="This is an event study chart which plots the estimated impact of children on hourly wage for men and women separately, for 3 years before and up to 5 years after the arrival of the first child. It shows a small decline in female wage after the arrival of a child, however, the confidence intervals on this chart are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n event study chart which plots the estimated impact of children on hourly wage for men and women separately, for 3 years before and up to 5 years after the arrival of the first child. It shows a small decline in female wage after the arrival of a child, however, the confidence intervals on this chart are wid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4000" cy="2205000"/>
                          </a:xfrm>
                          <a:prstGeom prst="rect">
                            <a:avLst/>
                          </a:prstGeom>
                          <a:noFill/>
                          <a:ln>
                            <a:noFill/>
                          </a:ln>
                        </pic:spPr>
                      </pic:pic>
                    </a:graphicData>
                  </a:graphic>
                </wp:inline>
              </w:drawing>
            </w:r>
          </w:p>
        </w:tc>
      </w:tr>
    </w:tbl>
    <w:p w14:paraId="33DCC212" w14:textId="7952259C" w:rsidR="00333DA8" w:rsidRPr="00BC6549" w:rsidRDefault="0079425F" w:rsidP="00BC6549">
      <w:pPr>
        <w:pStyle w:val="ChartorTableNote"/>
      </w:pPr>
      <w:r w:rsidRPr="00BC6549">
        <w:t xml:space="preserve">Notes: As above. Effects on participation are estimated unconditional on employment status, while the effect on hours and wages are conditional on participation. Shaded area shows 95% confidence intervals, based on robust standard errors. </w:t>
      </w:r>
      <w:r w:rsidR="00450846" w:rsidRPr="00BC6549">
        <w:t>V</w:t>
      </w:r>
      <w:r w:rsidRPr="00BC6549">
        <w:t>ertical line signifies year before first child arrives.</w:t>
      </w:r>
    </w:p>
    <w:p w14:paraId="72F41873" w14:textId="697B2239" w:rsidR="0079425F" w:rsidRPr="00BC6549" w:rsidRDefault="0079425F" w:rsidP="00BC6549">
      <w:pPr>
        <w:pStyle w:val="ChartorTableNote"/>
      </w:pPr>
      <w:r w:rsidRPr="00BC6549">
        <w:t>Source: Treasury analysis of HILDA Release 19.0.</w:t>
      </w:r>
    </w:p>
    <w:p w14:paraId="23D3FB53" w14:textId="787135C3" w:rsidR="0088493F" w:rsidRDefault="0088493F" w:rsidP="000D6C17">
      <w:r>
        <w:t>Wage effects will capture any impact of women sorting into lower</w:t>
      </w:r>
      <w:r w:rsidR="003E4186">
        <w:noBreakHyphen/>
      </w:r>
      <w:r>
        <w:t xml:space="preserve">paid occupations and industries following birth, however, our estimates do not capture anticipatory sorting effects more than </w:t>
      </w:r>
      <w:r w:rsidR="00AE211D">
        <w:t xml:space="preserve">3 </w:t>
      </w:r>
      <w:r>
        <w:t xml:space="preserve">years prior to entry into parenthood. Consistent with recent studies, women may make work or study decisions early in their careers in anticipation of the requirement for more flexibility following entry into </w:t>
      </w:r>
      <w:proofErr w:type="gramStart"/>
      <w:r>
        <w:t>parenthood, or</w:t>
      </w:r>
      <w:proofErr w:type="gramEnd"/>
      <w:r>
        <w:t xml:space="preserve"> may invest less in their education because anticipated shorter careers or more career breaks would result in lower returns (Adda</w:t>
      </w:r>
      <w:r w:rsidR="003E4186">
        <w:t> et al. </w:t>
      </w:r>
      <w:r>
        <w:t>2017; Wasserman 2022).</w:t>
      </w:r>
    </w:p>
    <w:p w14:paraId="0D1413D1" w14:textId="2CB797DC" w:rsidR="0007320C" w:rsidRDefault="000D6C17" w:rsidP="000D6C17">
      <w:r w:rsidRPr="000D6C17">
        <w:t xml:space="preserve">Finally, as a sensitivity check, we show in the </w:t>
      </w:r>
      <w:r w:rsidR="003E4186">
        <w:t>Appendix </w:t>
      </w:r>
      <w:r w:rsidRPr="000D6C17">
        <w:t>that our main result is not driven by a particular income class. In fact, women who earn an income in the top 25th percentile of their peer group’s income distribution experience a similar penalty as other women, suggesting that high income women are not immune to the motherhood penalty (</w:t>
      </w:r>
      <w:r w:rsidR="003E4186">
        <w:t>Chart </w:t>
      </w:r>
      <w:r w:rsidRPr="000D6C17">
        <w:t>A11).</w:t>
      </w:r>
    </w:p>
    <w:p w14:paraId="3E0BF463" w14:textId="47BAB2AA" w:rsidR="0007320C" w:rsidRDefault="0007320C" w:rsidP="0007320C">
      <w:pPr>
        <w:pStyle w:val="Heading2"/>
      </w:pPr>
      <w:r>
        <w:t>Decomposition of the Gender Earnings Gap</w:t>
      </w:r>
    </w:p>
    <w:p w14:paraId="0C8EE907" w14:textId="7B510163" w:rsidR="000D6C17" w:rsidRDefault="000D6C17" w:rsidP="000D6C17">
      <w:r>
        <w:t xml:space="preserve">Before turning to explanations for the motherhood penalty we explore just how much of the gender earnings gap it can explain. We do this following the methodology outlined in </w:t>
      </w:r>
      <w:proofErr w:type="spellStart"/>
      <w:r>
        <w:t>Kleven</w:t>
      </w:r>
      <w:proofErr w:type="spellEnd"/>
      <w:r w:rsidR="003E4186">
        <w:t> et al. </w:t>
      </w:r>
      <w:r>
        <w:t xml:space="preserve">(2019a). The analysis shows the percentage difference in earnings between men and women and isolates the portion of earnings inequality explained by children. </w:t>
      </w:r>
    </w:p>
    <w:p w14:paraId="618E6CCF" w14:textId="0E1E9983" w:rsidR="000D6C17" w:rsidRDefault="000D6C17" w:rsidP="000D6C17">
      <w:r>
        <w:t>We begin by expanding our focus from the balanced panel of parents used in estimating the motherhood penalty to all HILDA survey respondents aged 25</w:t>
      </w:r>
      <w:r w:rsidR="003E4186">
        <w:t>–</w:t>
      </w:r>
      <w:r>
        <w:t>64 years old. Based on this sample, we estimate the gender earnings gap as the difference between average male and female earnings, as a percentage of male earnings.</w:t>
      </w:r>
      <w:r w:rsidR="007E1994">
        <w:rPr>
          <w:rStyle w:val="FootnoteReference"/>
        </w:rPr>
        <w:footnoteReference w:id="13"/>
      </w:r>
      <w:r>
        <w:t xml:space="preserve"> This is shown in the top line in </w:t>
      </w:r>
      <w:r w:rsidR="003E4186">
        <w:t>Chart </w:t>
      </w:r>
      <w:r>
        <w:t>3 below. The gap begins at 49</w:t>
      </w:r>
      <w:r w:rsidR="003E4186">
        <w:t> per </w:t>
      </w:r>
      <w:r>
        <w:t>cent in the early 2000s before falling to 39</w:t>
      </w:r>
      <w:r w:rsidR="003E4186">
        <w:t> per </w:t>
      </w:r>
      <w:r>
        <w:t>cent by the late 2010s.</w:t>
      </w:r>
      <w:r w:rsidR="007E1994">
        <w:rPr>
          <w:rStyle w:val="FootnoteReference"/>
        </w:rPr>
        <w:footnoteReference w:id="14"/>
      </w:r>
      <w:r w:rsidR="00FF7AC3">
        <w:t xml:space="preserve"> </w:t>
      </w:r>
    </w:p>
    <w:p w14:paraId="2FF1350A" w14:textId="74E235CA" w:rsidR="000D6C17" w:rsidRDefault="000D6C17" w:rsidP="000D6C17">
      <w:r>
        <w:t xml:space="preserve">The next step of the decomposition estimates counterfactual earnings by sex (what men and women in our sample would have earned if they did not have children). To begin, we take all individuals in our sample and identify if they ever had children and, the years since the arrival of their first child. In line with the above results, we assume men suffered no earnings penalty from parenthood – what they would have earned equals what they did earn. For women, we scale up their earnings in the years following parenthood according to our estimated earnings penalty from the last section. For example, if the estimated motherhood penalty </w:t>
      </w:r>
      <w:proofErr w:type="gramStart"/>
      <w:r>
        <w:t>in a given year</w:t>
      </w:r>
      <w:proofErr w:type="gramEnd"/>
      <w:r>
        <w:t xml:space="preserve"> is 50</w:t>
      </w:r>
      <w:r w:rsidR="003E4186">
        <w:t> per </w:t>
      </w:r>
      <w:r>
        <w:t>cent, we assume they would have earned twice what we actually observe in the absence of children. We can then recalculate the gender earnings gap without the motherhood penalty and look at the difference between it and what we observe in practice to infer the role of motherhood in the gender earnings gap.</w:t>
      </w:r>
    </w:p>
    <w:p w14:paraId="538C936D" w14:textId="77F91D46" w:rsidR="000D6C17" w:rsidRDefault="000D6C17" w:rsidP="000D6C17">
      <w:r>
        <w:t xml:space="preserve">A key sensitivity in this exercise is what we assume about the motherhood penalty beyond the first </w:t>
      </w:r>
      <w:r w:rsidR="00E523C1">
        <w:t xml:space="preserve">5 </w:t>
      </w:r>
      <w:r>
        <w:t>years. One approach would be to assume it remains fixed at around 50</w:t>
      </w:r>
      <w:r w:rsidR="003E4186">
        <w:t> per </w:t>
      </w:r>
      <w:r>
        <w:t xml:space="preserve">cent, given the strong persistence in the motherhood penalty. However, the HILDA data does suggest a gradual attenuation of the penalty over time, as apparent in </w:t>
      </w:r>
      <w:r w:rsidR="003E4186">
        <w:t>Chart </w:t>
      </w:r>
      <w:r>
        <w:t xml:space="preserve">1. To take a more conservative approach we fit a linear trend to the penalty from years one to </w:t>
      </w:r>
      <w:r w:rsidR="000A6EE6">
        <w:t>5</w:t>
      </w:r>
      <w:r>
        <w:t xml:space="preserve"> and extrapolate it out. This trend implies a motherhood penalty that eventually closes, but only </w:t>
      </w:r>
      <w:r w:rsidR="009F6378">
        <w:t>60</w:t>
      </w:r>
      <w:r>
        <w:t xml:space="preserve"> years after entry into parenthood, when most women will have retired anyway.</w:t>
      </w:r>
      <w:r w:rsidR="00FF7AC3">
        <w:t xml:space="preserve"> </w:t>
      </w:r>
    </w:p>
    <w:p w14:paraId="5300B1C9" w14:textId="0F34D772" w:rsidR="000D6C17" w:rsidRDefault="003E4186" w:rsidP="000D6C17">
      <w:r>
        <w:t>Chart </w:t>
      </w:r>
      <w:r w:rsidR="000D6C17">
        <w:t>3 illustrates the results of this exercise. In 2001, women earned around 49</w:t>
      </w:r>
      <w:r>
        <w:t> per </w:t>
      </w:r>
      <w:r w:rsidR="000D6C17">
        <w:t>cent less than men. Around half of this, 23 percentage points, could be explained by the motherhood penalty as observed and extrapolated above, represented by the blue shaded areas. By 2019</w:t>
      </w:r>
      <w:r w:rsidR="00A5355B">
        <w:t>,</w:t>
      </w:r>
      <w:r w:rsidR="000D6C17">
        <w:t xml:space="preserve"> women were earning around 39</w:t>
      </w:r>
      <w:r>
        <w:t> per </w:t>
      </w:r>
      <w:r w:rsidR="000D6C17">
        <w:t>cent less than men, of which around four</w:t>
      </w:r>
      <w:r w:rsidR="009F6378">
        <w:t>-</w:t>
      </w:r>
      <w:r w:rsidR="000D6C17">
        <w:t>fifths, 30 percentage points, could be explained by the motherhood penalty. This echoes Danish findings that an increasing share of the gender earnings gap is due to the motherhood penalty (</w:t>
      </w:r>
      <w:proofErr w:type="spellStart"/>
      <w:r w:rsidR="000D6C17">
        <w:t>Kleven</w:t>
      </w:r>
      <w:proofErr w:type="spellEnd"/>
      <w:r>
        <w:t> et al. </w:t>
      </w:r>
      <w:r w:rsidR="000D6C17">
        <w:t>2019a). While increasing female educational attainment and success in tackling explicit discrimination have helped ameliorate the overarching gender earnings gap, the motherhood penalty remains.</w:t>
      </w:r>
    </w:p>
    <w:p w14:paraId="5CB14927" w14:textId="68040138" w:rsidR="000D6C17" w:rsidRDefault="000D6C17" w:rsidP="000D6C17">
      <w:r>
        <w:t xml:space="preserve">Most of the contribution of the motherhood penalty to the gender earnings gap comes well after the early years of parenthood. </w:t>
      </w:r>
      <w:r w:rsidR="003E4186">
        <w:t>Chart </w:t>
      </w:r>
      <w:r>
        <w:t>3 also decomposes the child</w:t>
      </w:r>
      <w:r w:rsidR="003E4186">
        <w:noBreakHyphen/>
      </w:r>
      <w:r>
        <w:t xml:space="preserve">related gender earnings gap based on how far into parenthood the individual is. The penalty from the first </w:t>
      </w:r>
      <w:r w:rsidR="00AF45E8">
        <w:t>5</w:t>
      </w:r>
      <w:r>
        <w:t xml:space="preserve"> years of parenthood is only one</w:t>
      </w:r>
      <w:r w:rsidR="00AF45E8">
        <w:t>-</w:t>
      </w:r>
      <w:r>
        <w:t>fifth of the current gender earnings gap (light blue), growing to three</w:t>
      </w:r>
      <w:r w:rsidR="00AF45E8">
        <w:t>-</w:t>
      </w:r>
      <w:r>
        <w:t xml:space="preserve">fifths </w:t>
      </w:r>
      <w:r w:rsidR="00AF45E8">
        <w:t>20</w:t>
      </w:r>
      <w:r>
        <w:t xml:space="preserve"> years in (mid</w:t>
      </w:r>
      <w:r w:rsidR="003E4186">
        <w:t> </w:t>
      </w:r>
      <w:r>
        <w:t>blue). In a way this is quite intuitive: most women are not ‘new’ mothers, but many have been mothers at some point, and it is the long shadow that parenthood casts on their labour market outcomes that drives these results.</w:t>
      </w:r>
      <w:r w:rsidR="00FF7AC3">
        <w:t xml:space="preserve"> </w:t>
      </w:r>
    </w:p>
    <w:p w14:paraId="131A8762" w14:textId="682B3D04" w:rsidR="00611DE4" w:rsidRDefault="003E4186" w:rsidP="00611DE4">
      <w:pPr>
        <w:pStyle w:val="ChartMainHeading"/>
      </w:pPr>
      <w:r>
        <w:t>Chart </w:t>
      </w:r>
      <w:r w:rsidR="000D6C17" w:rsidRPr="002353D1">
        <w:t>3</w:t>
      </w:r>
      <w:r w:rsidR="002353D1" w:rsidRPr="002353D1">
        <w:t>: Decomposition of gender earnings gap</w:t>
      </w:r>
    </w:p>
    <w:p w14:paraId="56F3DDC1" w14:textId="17041807" w:rsidR="00450846" w:rsidRDefault="00450846" w:rsidP="00611DE4">
      <w:pPr>
        <w:pStyle w:val="ChartGraphic"/>
      </w:pPr>
      <w:r>
        <w:rPr>
          <w:noProof/>
        </w:rPr>
        <w:drawing>
          <wp:inline distT="0" distB="0" distL="0" distR="0" wp14:anchorId="36C67FBF" wp14:editId="53C325C4">
            <wp:extent cx="4680000" cy="3399788"/>
            <wp:effectExtent l="0" t="0" r="6350" b="0"/>
            <wp:docPr id="7" name="Picture 7" descr="This chart plots the total gender earnings gap from 2001 to 2019, and the proportion that can be explained by children, which is growing over time. It also plots contributions based on length of motherhood and shows that not only new mothers contribute to total in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plots the total gender earnings gap from 2001 to 2019, and the proportion that can be explained by children, which is growing over time. It also plots contributions based on length of motherhood and shows that not only new mothers contribute to total inequalit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3399788"/>
                    </a:xfrm>
                    <a:prstGeom prst="rect">
                      <a:avLst/>
                    </a:prstGeom>
                    <a:noFill/>
                    <a:ln>
                      <a:noFill/>
                    </a:ln>
                  </pic:spPr>
                </pic:pic>
              </a:graphicData>
            </a:graphic>
          </wp:inline>
        </w:drawing>
      </w:r>
    </w:p>
    <w:p w14:paraId="2C4C3D0E" w14:textId="69BC5B95" w:rsidR="00450846" w:rsidRPr="00611DE4" w:rsidRDefault="00450846" w:rsidP="00611DE4">
      <w:pPr>
        <w:pStyle w:val="ChartorTableNote"/>
      </w:pPr>
      <w:r w:rsidRPr="00611DE4">
        <w:t>Notes: Shows the unconditional gender earnings gap for 25</w:t>
      </w:r>
      <w:r w:rsidR="003E4186">
        <w:t>–</w:t>
      </w:r>
      <w:proofErr w:type="gramStart"/>
      <w:r w:rsidRPr="00611DE4">
        <w:t>64 year olds</w:t>
      </w:r>
      <w:proofErr w:type="gramEnd"/>
      <w:r w:rsidRPr="00611DE4">
        <w:t xml:space="preserve"> in the HILDA survey data, and the proportion of this accounted for by the motherhood penalty. Interpretation is as described in the text. </w:t>
      </w:r>
    </w:p>
    <w:p w14:paraId="66F42E08" w14:textId="7B8C404E" w:rsidR="00450846" w:rsidRPr="00611DE4" w:rsidRDefault="00450846" w:rsidP="00611DE4">
      <w:pPr>
        <w:pStyle w:val="ChartorTableNote"/>
      </w:pPr>
      <w:r w:rsidRPr="00611DE4">
        <w:t>Source: Treasury analysis of HILDA Release 19.0.</w:t>
      </w:r>
    </w:p>
    <w:p w14:paraId="4E8BDF74" w14:textId="4947DC70" w:rsidR="00450846" w:rsidRPr="00450846" w:rsidRDefault="00450846" w:rsidP="00450846">
      <w:r>
        <w:t>Finally, this exercise assumes by necessity that the motherhood penalty has not changed over time.</w:t>
      </w:r>
      <w:r>
        <w:rPr>
          <w:rStyle w:val="FootnoteReference"/>
        </w:rPr>
        <w:footnoteReference w:id="15"/>
      </w:r>
      <w:r w:rsidR="00FF7AC3">
        <w:t xml:space="preserve"> </w:t>
      </w:r>
      <w:r>
        <w:t xml:space="preserve">The relatively short and small panel of births in HILDA precludes a precise test of this assumption, as do the changes in the coverage of parenthood by the </w:t>
      </w:r>
      <w:proofErr w:type="spellStart"/>
      <w:r>
        <w:t>ALife</w:t>
      </w:r>
      <w:proofErr w:type="spellEnd"/>
      <w:r>
        <w:t xml:space="preserve"> dataset over time. Using Danish registry data, </w:t>
      </w:r>
      <w:proofErr w:type="spellStart"/>
      <w:r>
        <w:t>Kleven</w:t>
      </w:r>
      <w:proofErr w:type="spellEnd"/>
      <w:r w:rsidR="003E4186">
        <w:t> et al. </w:t>
      </w:r>
      <w:r>
        <w:t>(2019a)</w:t>
      </w:r>
      <w:r w:rsidR="003554CD">
        <w:t xml:space="preserve"> </w:t>
      </w:r>
      <w:r>
        <w:t>find only a modest decline in the motherhood penalty over time. Examining trends in the motherhood penalty, even over the first few years of parenthood, would be a worthwhile topic for further research.</w:t>
      </w:r>
    </w:p>
    <w:p w14:paraId="5E6CD2ED" w14:textId="77777777" w:rsidR="00695F69" w:rsidRDefault="00695F69" w:rsidP="000D6C17">
      <w:pPr>
        <w:pStyle w:val="Heading2"/>
        <w:sectPr w:rsidR="00695F69" w:rsidSect="00F26FFC">
          <w:pgSz w:w="11906" w:h="16838" w:code="9"/>
          <w:pgMar w:top="1843" w:right="1418" w:bottom="1418" w:left="1418" w:header="709" w:footer="709" w:gutter="0"/>
          <w:cols w:space="708"/>
          <w:titlePg/>
          <w:docGrid w:linePitch="360"/>
        </w:sectPr>
      </w:pPr>
    </w:p>
    <w:p w14:paraId="7BC63FA3" w14:textId="73A0AE1B" w:rsidR="000D6C17" w:rsidRDefault="000D6C17" w:rsidP="000D6C17">
      <w:pPr>
        <w:pStyle w:val="Heading2"/>
      </w:pPr>
      <w:r>
        <w:t>Why the Gap? Potential Explanations of the Motherhood</w:t>
      </w:r>
      <w:r w:rsidR="003E4186">
        <w:t> </w:t>
      </w:r>
      <w:r>
        <w:t xml:space="preserve">Penalty </w:t>
      </w:r>
    </w:p>
    <w:p w14:paraId="037428DA" w14:textId="77284722" w:rsidR="000D6C17" w:rsidRDefault="000D6C17" w:rsidP="000D6C17">
      <w:r w:rsidRPr="000D6C17">
        <w:t xml:space="preserve">The estimates of the motherhood penalty imply that children have large effects on the careers of women, relative to men. However, it is unclear whether this reflects </w:t>
      </w:r>
      <w:r w:rsidR="007D41D2">
        <w:t>optimal</w:t>
      </w:r>
      <w:r w:rsidRPr="000D6C17">
        <w:t xml:space="preserve"> allocations of time based on the relative earnings of parents, preferences, or constraints driven by workplace norms or institutions. In this section we discuss potential explanations of the motherhood penalty.</w:t>
      </w:r>
    </w:p>
    <w:p w14:paraId="51A3B893" w14:textId="0FA00673" w:rsidR="000D6C17" w:rsidRDefault="000D6C17" w:rsidP="000D6C17">
      <w:pPr>
        <w:pStyle w:val="Heading3"/>
      </w:pPr>
      <w:r>
        <w:t>Intrahousehold allocations of time</w:t>
      </w:r>
    </w:p>
    <w:p w14:paraId="10ECB02E" w14:textId="0DA16D27" w:rsidR="000D6C17" w:rsidRDefault="000D6C17" w:rsidP="000D6C17">
      <w:r>
        <w:t>One explanation for the presence of a motherhood penalty may be that couples make choices about intrahousehold allocations of work and care based on relative earnings. Namely, it may be more financially optimal for the partner with the lower income to take time off work to care for children given their lower opportunity cost of staying at home. This household allocation would be consistent with the theoretical “unitary model” of the household proposed by Cortes and Pan (2020), where both parents have the same preferences and productivities at home, but different market wages.</w:t>
      </w:r>
      <w:r w:rsidR="00FF7AC3">
        <w:t xml:space="preserve"> </w:t>
      </w:r>
    </w:p>
    <w:p w14:paraId="632F80D8" w14:textId="7E509292" w:rsidR="000D6C17" w:rsidRDefault="000D6C17" w:rsidP="000D6C17">
      <w:r>
        <w:t>To test whether our results are driven by financial decisions, we run separate regressions for women who are the primary earner in a couple before parenthood, and for women who are not (</w:t>
      </w:r>
      <w:proofErr w:type="gramStart"/>
      <w:r>
        <w:t>i.e.</w:t>
      </w:r>
      <w:proofErr w:type="gramEnd"/>
      <w:r>
        <w:t xml:space="preserve"> secondary earners). We define primary or secondary earner status using income from the year before having children and include all men and women in a heterosexual couple,</w:t>
      </w:r>
      <w:r w:rsidR="00F71A2E">
        <w:rPr>
          <w:rStyle w:val="FootnoteReference"/>
        </w:rPr>
        <w:footnoteReference w:id="16"/>
      </w:r>
      <w:r>
        <w:t xml:space="preserve"> regardless of whether the relationship continued post</w:t>
      </w:r>
      <w:r w:rsidR="003E4186">
        <w:noBreakHyphen/>
      </w:r>
      <w:r>
        <w:t>children. Around one</w:t>
      </w:r>
      <w:r w:rsidR="003E4186">
        <w:noBreakHyphen/>
      </w:r>
      <w:r>
        <w:t xml:space="preserve">third of the partnered mothers in our sample are the primary earner prior to children. </w:t>
      </w:r>
    </w:p>
    <w:p w14:paraId="6FD184F8" w14:textId="1508A273" w:rsidR="000D6C17" w:rsidRDefault="000D6C17" w:rsidP="000D6C17">
      <w:r>
        <w:t>We find no difference in the motherhood penalty depending on earner status (</w:t>
      </w:r>
      <w:r w:rsidR="003E4186">
        <w:t>Chart </w:t>
      </w:r>
      <w:r>
        <w:t>4); mothers who were primary earners before parenthood experience a similar decline in earnings as mothers who were secondary earners within their household. This result is consistent with earlier literature that shows intrahousehold allocations of time are not always based on financial considerations, with female breadwinners spending more time on unpaid work than their partner (Bertrand</w:t>
      </w:r>
      <w:r w:rsidR="003E4186">
        <w:t> et al. </w:t>
      </w:r>
      <w:r>
        <w:t>2015; Bittman</w:t>
      </w:r>
      <w:r w:rsidR="003E4186">
        <w:t> et al. </w:t>
      </w:r>
      <w:r>
        <w:t xml:space="preserve">2003; Cortes &amp; Pan 2020). In </w:t>
      </w:r>
      <w:r w:rsidR="003E4186">
        <w:t>Appendix Chart </w:t>
      </w:r>
      <w:r>
        <w:t>A4 we also show that the motherhood penalty holds even for women who earn substantially more than their partner.</w:t>
      </w:r>
    </w:p>
    <w:p w14:paraId="3FA391C9" w14:textId="0CA50295" w:rsidR="003F44D4" w:rsidRDefault="003F44D4" w:rsidP="003F44D4">
      <w:r>
        <w:t>To complement this analysis, we also study the motherhood penalty across educational cohorts, and find that highly educated women experience a larger drop in earnings after the arrival of children, compared to other women (</w:t>
      </w:r>
      <w:r w:rsidR="003E4186">
        <w:t>Chart </w:t>
      </w:r>
      <w:r>
        <w:t>A5 in Appendix).</w:t>
      </w:r>
      <w:r>
        <w:rPr>
          <w:rStyle w:val="FootnoteReference"/>
        </w:rPr>
        <w:footnoteReference w:id="17"/>
      </w:r>
      <w:r>
        <w:t xml:space="preserve"> This drop in earnings is contrary to the significant investments highly educated women make in their human capital. This may reflect the fact that educated women are more likely to work in less flexible occupations (as discussed below), or that they are more likely to be partnered with highly educated and high earning partners due to assortative matching. Having a higher income spouse may create a disincentive to work full</w:t>
      </w:r>
      <w:r w:rsidR="003E4186">
        <w:noBreakHyphen/>
      </w:r>
      <w:r>
        <w:t xml:space="preserve">time due to high effective marginal tax </w:t>
      </w:r>
      <w:proofErr w:type="gramStart"/>
      <w:r>
        <w:t>rates, and</w:t>
      </w:r>
      <w:proofErr w:type="gramEnd"/>
      <w:r>
        <w:t xml:space="preserve"> could also make dropping out of the labour force more financially viable. </w:t>
      </w:r>
    </w:p>
    <w:p w14:paraId="3C61156F" w14:textId="6BBA6460" w:rsidR="003F44D4" w:rsidRDefault="003F44D4" w:rsidP="000D6C17">
      <w:r>
        <w:t>Literature has also shown that more educated women are likely to spend more time with their children, despite their higher opportunity cost of doing so (</w:t>
      </w:r>
      <w:proofErr w:type="spellStart"/>
      <w:r>
        <w:t>Guryan</w:t>
      </w:r>
      <w:proofErr w:type="spellEnd"/>
      <w:r w:rsidR="003E4186">
        <w:t> et al. </w:t>
      </w:r>
      <w:r>
        <w:t>2008). These two results suggest that household choices around work and care are not based on financial considerations alone (consistent with the theoretical “non</w:t>
      </w:r>
      <w:r w:rsidR="003E4186">
        <w:noBreakHyphen/>
      </w:r>
      <w:r>
        <w:t>cooperative” model of the household proposed by Cortes and</w:t>
      </w:r>
      <w:r w:rsidR="00EA29C5">
        <w:t> </w:t>
      </w:r>
      <w:r>
        <w:t>Pan (2020)).</w:t>
      </w:r>
    </w:p>
    <w:p w14:paraId="593AA54E" w14:textId="5A176843" w:rsidR="00A35013" w:rsidRDefault="003E4186" w:rsidP="00A35013">
      <w:pPr>
        <w:pStyle w:val="ChartMainHeading"/>
      </w:pPr>
      <w:r>
        <w:t>Chart </w:t>
      </w:r>
      <w:r w:rsidR="000D6C17" w:rsidRPr="00161A07">
        <w:t>4</w:t>
      </w:r>
      <w:r w:rsidR="00161A07" w:rsidRPr="00161A07">
        <w:t>: Motherhood penalty, by breadwinner status</w:t>
      </w:r>
      <w:r w:rsidR="00161A07">
        <w:t xml:space="preserve"> </w:t>
      </w:r>
    </w:p>
    <w:p w14:paraId="769D796D" w14:textId="29C081A7" w:rsidR="00161A07" w:rsidRDefault="00161A07" w:rsidP="00A35013">
      <w:pPr>
        <w:pStyle w:val="ChartGraphic"/>
      </w:pPr>
      <w:r>
        <w:rPr>
          <w:noProof/>
        </w:rPr>
        <w:drawing>
          <wp:inline distT="0" distB="0" distL="0" distR="0" wp14:anchorId="1B8377FD" wp14:editId="4DE6C49A">
            <wp:extent cx="4680000" cy="3399788"/>
            <wp:effectExtent l="0" t="0" r="6350" b="0"/>
            <wp:docPr id="8" name="Picture 8" descr="This is an event study chart which plots the estimated impact of children on earnings for women based on their breadwinner status, for 3 years before and up to 5 years after the arrival of the first child. It shows that both primary and secondary earner women experience the same drop in earnings after the arrival of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n event study chart which plots the estimated impact of children on earnings for women based on their breadwinner status, for 3 years before and up to 5 years after the arrival of the first child. It shows that both primary and secondary earner women experience the same drop in earnings after the arrival of a chil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3399788"/>
                    </a:xfrm>
                    <a:prstGeom prst="rect">
                      <a:avLst/>
                    </a:prstGeom>
                    <a:noFill/>
                    <a:ln>
                      <a:noFill/>
                    </a:ln>
                  </pic:spPr>
                </pic:pic>
              </a:graphicData>
            </a:graphic>
          </wp:inline>
        </w:drawing>
      </w:r>
    </w:p>
    <w:p w14:paraId="62D472EA" w14:textId="6F4A18BD" w:rsidR="00161A07" w:rsidRPr="00D765A3" w:rsidRDefault="00161A07" w:rsidP="00D765A3">
      <w:pPr>
        <w:pStyle w:val="ChartorTableNote"/>
      </w:pPr>
      <w:r w:rsidRPr="00D765A3">
        <w:t xml:space="preserve">Notes: Breadwinner status defined in year before children. Shaded area shows 95% confidence intervals, based on robust standard errors. </w:t>
      </w:r>
      <w:r w:rsidR="00FF4FBD" w:rsidRPr="00D765A3">
        <w:t>V</w:t>
      </w:r>
      <w:r w:rsidRPr="00D765A3">
        <w:t xml:space="preserve">ertical line signifies year before first child arrives. </w:t>
      </w:r>
    </w:p>
    <w:p w14:paraId="0608CFAF" w14:textId="6499DF1D" w:rsidR="00161A07" w:rsidRPr="00D765A3" w:rsidRDefault="00161A07" w:rsidP="00D765A3">
      <w:pPr>
        <w:pStyle w:val="ChartorTableNote"/>
      </w:pPr>
      <w:r w:rsidRPr="00D765A3">
        <w:t xml:space="preserve">Source: Treasury analysis of HILDA Release 19.0. </w:t>
      </w:r>
    </w:p>
    <w:p w14:paraId="5E3F9C84" w14:textId="77777777" w:rsidR="000D6C17" w:rsidRDefault="000D6C17" w:rsidP="00707C19">
      <w:pPr>
        <w:pStyle w:val="Heading3"/>
      </w:pPr>
      <w:r>
        <w:t xml:space="preserve">Satisfaction with current arrangements </w:t>
      </w:r>
    </w:p>
    <w:p w14:paraId="49645090" w14:textId="65B5DFDF" w:rsidR="000D6C17" w:rsidRDefault="000D6C17" w:rsidP="000D6C17">
      <w:r>
        <w:t>Even if household choices regarding labour supply are financially suboptimal, households may still be making choices consistent with their preferences. To analyse parents’ preferences, we study questions in HILDA around parents’ satisfaction with their employment opportunities and work</w:t>
      </w:r>
      <w:r w:rsidR="003E4186">
        <w:noBreakHyphen/>
      </w:r>
      <w:r>
        <w:t>family life. While preferences are likely to play a substantial role in allocations, dissatisfaction with current arrangements would suggest that other factors are also at play.</w:t>
      </w:r>
      <w:r w:rsidR="00FF7AC3">
        <w:t xml:space="preserve"> </w:t>
      </w:r>
    </w:p>
    <w:p w14:paraId="287391A2" w14:textId="39763487" w:rsidR="000D6C17" w:rsidRDefault="000D6C17" w:rsidP="000D6C17">
      <w:r>
        <w:t xml:space="preserve">We first consider parents’ satisfaction with their employment opportunities. This is based on a survey question which asks parents to rate their satisfaction with their employment opportunities on a scale of </w:t>
      </w:r>
      <w:r w:rsidR="00F50D70">
        <w:t>one</w:t>
      </w:r>
      <w:r>
        <w:t xml:space="preserve"> to 10, with </w:t>
      </w:r>
      <w:r w:rsidR="00F50D70">
        <w:t>one</w:t>
      </w:r>
      <w:r>
        <w:t xml:space="preserve"> indicating the least satisfaction with employment opportunities and 10 the most satisfied. We then use the same event</w:t>
      </w:r>
      <w:r w:rsidR="00963C43">
        <w:t xml:space="preserve"> </w:t>
      </w:r>
      <w:r>
        <w:t xml:space="preserve">study design described in the previous section to measure the impacts of children. </w:t>
      </w:r>
    </w:p>
    <w:p w14:paraId="74A6CE36" w14:textId="165F5820" w:rsidR="000D6C17" w:rsidRDefault="000D6C17" w:rsidP="000D6C17">
      <w:r>
        <w:t xml:space="preserve">The right panel of </w:t>
      </w:r>
      <w:r w:rsidR="003E4186">
        <w:t>Chart </w:t>
      </w:r>
      <w:r>
        <w:t>5 shows that women’s satisfaction with their employment opportunities begins to fall the year prior to parenthood and becomes significant one year after, indicating they may pre</w:t>
      </w:r>
      <w:r w:rsidR="003E4186">
        <w:noBreakHyphen/>
      </w:r>
      <w:r>
        <w:t>empt reduced work opportunities prior to the arrival of children. However, women’s satisfaction troughs later than their employment outcomes (Charts 1 and 2), implying that the longer</w:t>
      </w:r>
      <w:r w:rsidR="003E4186">
        <w:noBreakHyphen/>
      </w:r>
      <w:r>
        <w:t>term impacts of children may be unanticipated and that there are significant challenges in re</w:t>
      </w:r>
      <w:r w:rsidR="003E4186">
        <w:noBreakHyphen/>
      </w:r>
      <w:r>
        <w:t>engaging in the labour market. This is consistent with previous literature which finds women underestimate the difficulty of parenthood before children and often adopt more negative views about working after children (</w:t>
      </w:r>
      <w:proofErr w:type="spellStart"/>
      <w:r>
        <w:t>Kuziemko</w:t>
      </w:r>
      <w:proofErr w:type="spellEnd"/>
      <w:r w:rsidR="003E4186">
        <w:t> et al. </w:t>
      </w:r>
      <w:r>
        <w:t xml:space="preserve">2020). It is also consistent with mothers facing discrimination in the labour market, due to employers’ disapproval of working mothers, or their expectation that working mothers will have a more intermittent labour market attachment than other workers (see Cortes and Pan 2020 for a discussion of relevant literature). In contrast, the left panel of </w:t>
      </w:r>
      <w:r w:rsidR="003E4186">
        <w:t>Chart </w:t>
      </w:r>
      <w:r>
        <w:t xml:space="preserve">5 shows that fathers’ satisfaction with their employment opportunities does not change significantly over time. </w:t>
      </w:r>
    </w:p>
    <w:p w14:paraId="3E41F011" w14:textId="25368730" w:rsidR="000D6C17" w:rsidRDefault="000D6C17" w:rsidP="000D6C17">
      <w:r>
        <w:t>Next, we construct indexes to measure parents’ experiences of work</w:t>
      </w:r>
      <w:r w:rsidR="003E4186">
        <w:noBreakHyphen/>
      </w:r>
      <w:r>
        <w:t xml:space="preserve">family conflict, based on survey questions in the HILDA dataset (see </w:t>
      </w:r>
      <w:r w:rsidR="003E4186">
        <w:t>Appendix </w:t>
      </w:r>
      <w:r>
        <w:t xml:space="preserve">for further detail). The mean scores of the indexes are shown in </w:t>
      </w:r>
      <w:r w:rsidR="003E4186">
        <w:t>Chart </w:t>
      </w:r>
      <w:r>
        <w:t>6. The left</w:t>
      </w:r>
      <w:r w:rsidR="003E4186">
        <w:noBreakHyphen/>
      </w:r>
      <w:r>
        <w:t xml:space="preserve">hand panel shows that overall, fathers, particularly fathers with young children, are more likely to report work impacting family life than family life impacting their work. Further, mothers are more likely than fathers to indicate that their family life impacts their work. These questions are only asked to </w:t>
      </w:r>
      <w:proofErr w:type="gramStart"/>
      <w:r>
        <w:t>parents</w:t>
      </w:r>
      <w:proofErr w:type="gramEnd"/>
      <w:r w:rsidDel="00AF10B8">
        <w:t xml:space="preserve"> </w:t>
      </w:r>
      <w:r>
        <w:t xml:space="preserve">balancing work and care responsibilities, and so excludes parents (predominantly women) who exit the labour force after entering parenthood. </w:t>
      </w:r>
    </w:p>
    <w:p w14:paraId="0ECFD698" w14:textId="4E566C0B" w:rsidR="000D6C17" w:rsidRDefault="000D6C17" w:rsidP="000D6C17">
      <w:r>
        <w:t xml:space="preserve">Combined, these measures suggest that parents may be facing constraints when choosing how to allocate their time between paid employment and caring. </w:t>
      </w:r>
      <w:r w:rsidR="00FB1CC5">
        <w:t xml:space="preserve">Of course, there are </w:t>
      </w:r>
      <w:r w:rsidR="00554388">
        <w:t>likely costs and benefits</w:t>
      </w:r>
      <w:r w:rsidR="00FB1CC5">
        <w:t xml:space="preserve"> </w:t>
      </w:r>
      <w:r w:rsidR="003621C4">
        <w:t xml:space="preserve">to parenthood </w:t>
      </w:r>
      <w:r w:rsidR="00FB1CC5">
        <w:t>in other domains of life sati</w:t>
      </w:r>
      <w:r w:rsidR="00B45898">
        <w:t xml:space="preserve">sfaction. </w:t>
      </w:r>
      <w:r w:rsidR="00845CED">
        <w:t xml:space="preserve">For example, </w:t>
      </w:r>
      <w:proofErr w:type="spellStart"/>
      <w:r w:rsidR="00F6533B">
        <w:t>Baetschmann</w:t>
      </w:r>
      <w:proofErr w:type="spellEnd"/>
      <w:r w:rsidR="00F6533B">
        <w:t xml:space="preserve"> et al</w:t>
      </w:r>
      <w:r w:rsidR="00216DF6">
        <w:t>.</w:t>
      </w:r>
      <w:r w:rsidR="00F6533B">
        <w:t xml:space="preserve"> </w:t>
      </w:r>
      <w:r w:rsidR="00FC3BD6">
        <w:t>(</w:t>
      </w:r>
      <w:r w:rsidR="00F6533B">
        <w:t>2016</w:t>
      </w:r>
      <w:r w:rsidR="00FC3BD6">
        <w:t>)</w:t>
      </w:r>
      <w:r w:rsidR="00845CED">
        <w:t xml:space="preserve"> </w:t>
      </w:r>
      <w:r w:rsidR="00F6533B">
        <w:t>points</w:t>
      </w:r>
      <w:r w:rsidR="00845CED">
        <w:t xml:space="preserve"> to increases in </w:t>
      </w:r>
      <w:r w:rsidR="003621C4">
        <w:t xml:space="preserve">overall </w:t>
      </w:r>
      <w:r w:rsidR="00845CED">
        <w:t>life satisfaction for both men and women on entering parenthood</w:t>
      </w:r>
      <w:r w:rsidR="00F6533B">
        <w:t>.</w:t>
      </w:r>
    </w:p>
    <w:p w14:paraId="76BD14BF" w14:textId="37ECF935" w:rsidR="00D765A3" w:rsidRDefault="003E4186" w:rsidP="00D765A3">
      <w:pPr>
        <w:pStyle w:val="ChartMainHeading"/>
      </w:pPr>
      <w:r>
        <w:t>Chart </w:t>
      </w:r>
      <w:r w:rsidR="00707C19" w:rsidRPr="00FF4FBD">
        <w:t>5</w:t>
      </w:r>
      <w:r w:rsidR="00FF4FBD" w:rsidRPr="00FF4FBD">
        <w:t>: Impact of children on parent</w:t>
      </w:r>
      <w:r w:rsidR="003A10A4">
        <w:t>s</w:t>
      </w:r>
      <w:r w:rsidR="00FF4FBD" w:rsidRPr="00FF4FBD">
        <w:t>’ satisfaction with their employment</w:t>
      </w:r>
      <w:r>
        <w:t> </w:t>
      </w:r>
      <w:r w:rsidR="00FF4FBD" w:rsidRPr="00FF4FBD">
        <w:t>opportunities</w:t>
      </w:r>
      <w:r w:rsidR="00FF4FBD">
        <w:t xml:space="preserve"> </w:t>
      </w:r>
    </w:p>
    <w:p w14:paraId="6424CEDB" w14:textId="0CE2E021" w:rsidR="00FF4FBD" w:rsidRDefault="00FF4FBD" w:rsidP="00D765A3">
      <w:pPr>
        <w:pStyle w:val="ChartGraphic"/>
      </w:pPr>
      <w:r>
        <w:rPr>
          <w:noProof/>
        </w:rPr>
        <w:drawing>
          <wp:inline distT="0" distB="0" distL="0" distR="0" wp14:anchorId="61D941DB" wp14:editId="466C86C7">
            <wp:extent cx="5759450" cy="3519376"/>
            <wp:effectExtent l="0" t="0" r="0" b="5080"/>
            <wp:docPr id="10" name="Picture 10" descr="This is an event study chart which plots the estimated impact of children on fathers and mothers satisfaction, for 3 years before and up to 5 years after the arrival of the first child. It shows that fathers experience a small increase in satisfaction after about two years of child arrival, but confidence intervals are large. Mothers experience a steady decline in satisfaction from the arrival of a child which only slightly recovers five years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n event study chart which plots the estimated impact of children on fathers and mothers satisfaction, for 3 years before and up to 5 years after the arrival of the first child. It shows that fathers experience a small increase in satisfaction after about two years of child arrival, but confidence intervals are large. Mothers experience a steady decline in satisfaction from the arrival of a child which only slightly recovers five years ou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6623" cy="3523759"/>
                    </a:xfrm>
                    <a:prstGeom prst="rect">
                      <a:avLst/>
                    </a:prstGeom>
                    <a:noFill/>
                    <a:ln>
                      <a:noFill/>
                    </a:ln>
                  </pic:spPr>
                </pic:pic>
              </a:graphicData>
            </a:graphic>
          </wp:inline>
        </w:drawing>
      </w:r>
    </w:p>
    <w:p w14:paraId="7E823C89" w14:textId="65490C6F" w:rsidR="00FF4FBD" w:rsidRPr="00B42E9A" w:rsidRDefault="00FF4FBD" w:rsidP="00B42E9A">
      <w:pPr>
        <w:pStyle w:val="ChartorTableNote"/>
      </w:pPr>
      <w:r w:rsidRPr="00B42E9A">
        <w:t>Notes: Question asks respondents their satisfaction with their employment opportunities on a 0</w:t>
      </w:r>
      <w:r w:rsidR="003E4186">
        <w:t>–</w:t>
      </w:r>
      <w:r w:rsidRPr="00B42E9A">
        <w:t>10 scale. Shaded area shows 95% confidence intervals, based on robust standard errors. The base year is t=-2, to allow for anticipatory effects. Vertical line signifies two years before first child arrives.</w:t>
      </w:r>
    </w:p>
    <w:p w14:paraId="47417D10" w14:textId="6CF7EE6A" w:rsidR="00FF4FBD" w:rsidRPr="00B42E9A" w:rsidRDefault="00FF4FBD" w:rsidP="00B42E9A">
      <w:pPr>
        <w:pStyle w:val="ChartorTableNote"/>
      </w:pPr>
      <w:r w:rsidRPr="00B42E9A">
        <w:t>Source: Treasury analysis of HILDA Release 19.0.</w:t>
      </w:r>
    </w:p>
    <w:p w14:paraId="3F447901" w14:textId="69C5500B" w:rsidR="00B42E9A" w:rsidRDefault="003E4186" w:rsidP="00B42E9A">
      <w:pPr>
        <w:pStyle w:val="ChartMainHeading"/>
      </w:pPr>
      <w:r>
        <w:t>Chart </w:t>
      </w:r>
      <w:r w:rsidR="00707C19" w:rsidRPr="00FF4FBD">
        <w:t>6</w:t>
      </w:r>
      <w:r w:rsidR="00FF4FBD" w:rsidRPr="00FF4FBD">
        <w:t>: Work</w:t>
      </w:r>
      <w:r>
        <w:noBreakHyphen/>
      </w:r>
      <w:r w:rsidR="00FF4FBD" w:rsidRPr="00FF4FBD">
        <w:t>family balance indexes, by sex and child age</w:t>
      </w:r>
      <w:r w:rsidR="00FF4FBD">
        <w:t xml:space="preserve"> </w:t>
      </w:r>
    </w:p>
    <w:p w14:paraId="02B6DADD" w14:textId="636F48B0" w:rsidR="00707C19" w:rsidRPr="00FF4FBD" w:rsidRDefault="00FF4FBD" w:rsidP="00B42E9A">
      <w:pPr>
        <w:pStyle w:val="ChartGraphic"/>
      </w:pPr>
      <w:r>
        <w:rPr>
          <w:noProof/>
        </w:rPr>
        <w:drawing>
          <wp:inline distT="0" distB="0" distL="0" distR="0" wp14:anchorId="08405686" wp14:editId="3BBF15E2">
            <wp:extent cx="5773420" cy="2853055"/>
            <wp:effectExtent l="0" t="0" r="0" b="4445"/>
            <wp:docPr id="11" name="Picture 11" descr="This is an two-panelled column chart. The first panel plots average score on &quot;work affects family life&quot; index for fathers and mothers based on age of youngest child. It shows fathers with children under 5 have higher (worse) scores. The second panel plots average score on &quot;family life affects work&quot; index for fathers and mothers based on age of youngest child. It shows that mothers in general have higher (worse) sc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n two-panelled column chart. The first panel plots average score on &quot;work affects family life&quot; index for fathers and mothers based on age of youngest child. It shows fathers with children under 5 have higher (worse) scores. The second panel plots average score on &quot;family life affects work&quot; index for fathers and mothers based on age of youngest child. It shows that mothers in general have higher (worse) scor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3420" cy="2853055"/>
                    </a:xfrm>
                    <a:prstGeom prst="rect">
                      <a:avLst/>
                    </a:prstGeom>
                    <a:noFill/>
                  </pic:spPr>
                </pic:pic>
              </a:graphicData>
            </a:graphic>
          </wp:inline>
        </w:drawing>
      </w:r>
    </w:p>
    <w:p w14:paraId="5797A184" w14:textId="15256E56" w:rsidR="00FF4FBD" w:rsidRPr="00B42E9A" w:rsidRDefault="00FF4FBD" w:rsidP="00B42E9A">
      <w:pPr>
        <w:pStyle w:val="ChartorTableNote"/>
      </w:pPr>
      <w:r w:rsidRPr="00B42E9A">
        <w:t>Notes: Indexes constructed using a combination of questions in HILDA that ask respondents about their work</w:t>
      </w:r>
      <w:r w:rsidR="003E4186">
        <w:noBreakHyphen/>
      </w:r>
      <w:r w:rsidRPr="00B42E9A">
        <w:t>family balance. Further details in</w:t>
      </w:r>
      <w:r w:rsidR="00DE7178" w:rsidRPr="00B42E9A">
        <w:t xml:space="preserve"> </w:t>
      </w:r>
      <w:r w:rsidRPr="00B42E9A">
        <w:t>Appendix. Sample only includes parents who are currently employed.</w:t>
      </w:r>
      <w:r w:rsidR="00FF7AC3">
        <w:t xml:space="preserve"> </w:t>
      </w:r>
    </w:p>
    <w:p w14:paraId="29C2B775" w14:textId="6F1C24F9" w:rsidR="00FF4FBD" w:rsidRPr="00B42E9A" w:rsidRDefault="00FF4FBD" w:rsidP="00B42E9A">
      <w:pPr>
        <w:pStyle w:val="ChartorTableNote"/>
      </w:pPr>
      <w:r w:rsidRPr="00B42E9A">
        <w:t>Source: Treasury analysis of HILDA Release 19.0.</w:t>
      </w:r>
    </w:p>
    <w:p w14:paraId="611C28E1" w14:textId="77777777" w:rsidR="00707C19" w:rsidRDefault="00707C19" w:rsidP="00707C19">
      <w:pPr>
        <w:pStyle w:val="Heading3"/>
      </w:pPr>
      <w:r>
        <w:t xml:space="preserve">Workplace flexibility </w:t>
      </w:r>
    </w:p>
    <w:p w14:paraId="10592A5D" w14:textId="4E07C17A" w:rsidR="00707C19" w:rsidRDefault="00707C19" w:rsidP="00707C19">
      <w:r>
        <w:t>A potentially important mechanism for the motherhood penalty is how workplace settings around flexible work differ across occupations. Flexible work may make it easier for some parents to adjust their labour market inputs than other parents, though there may be costs of doing so. Flexibility within occupations is particularly relevant in Australia, with its highly gender</w:t>
      </w:r>
      <w:r w:rsidR="003E4186">
        <w:noBreakHyphen/>
      </w:r>
      <w:r>
        <w:t xml:space="preserve">segregated labour market. </w:t>
      </w:r>
    </w:p>
    <w:p w14:paraId="47BAF778" w14:textId="436DBA5F" w:rsidR="00707C19" w:rsidRDefault="00707C19" w:rsidP="00707C19">
      <w:r>
        <w:t>To assess the availability of flexible work, we use a question in HILDA that asks respondents whether flexible start or finish times are available as an entitlement in their workplace. We take the average by 2</w:t>
      </w:r>
      <w:r w:rsidR="003E4186">
        <w:noBreakHyphen/>
      </w:r>
      <w:r>
        <w:t>digit occupation across all years to construct mean flexibility scores (by occupation across all years). We then assign occupations as high (low) flexibility if they score above (below) the overall median across all occupations. In the Appendix, we further test the robustness of this measure by constructing flexibility quartiles, where we compare the most flexible cohort (top 25th percentile) to everyone else, and we attain very similar results. We focus on one measure of workplace flexibility, but results are similar with other flexibility variables, such as availability of permanent part</w:t>
      </w:r>
      <w:r w:rsidR="003E4186">
        <w:noBreakHyphen/>
      </w:r>
      <w:r>
        <w:t xml:space="preserve">time work. </w:t>
      </w:r>
    </w:p>
    <w:p w14:paraId="3531EE86" w14:textId="0B704BA9" w:rsidR="00707C19" w:rsidRDefault="00707C19" w:rsidP="00DC1D77">
      <w:r>
        <w:t xml:space="preserve">After running our baseline event study by occupational flexibility, using occupations in the year before parenthood, we find that flexibility does not impact the observed motherhood penalty (Charts A6 and A7 in Appendix). We find a similar penalty regardless of the level of flexibility offered in jobs. Moreover, in </w:t>
      </w:r>
      <w:r w:rsidR="003E4186">
        <w:t>Appendix Chart </w:t>
      </w:r>
      <w:r>
        <w:t>A8 we show that the occupational flexibility of partners does not change the motherhood penalty. This</w:t>
      </w:r>
      <w:r w:rsidDel="00FF63EE">
        <w:t xml:space="preserve"> </w:t>
      </w:r>
      <w:r>
        <w:t>contrast</w:t>
      </w:r>
      <w:r w:rsidR="00FF63EE">
        <w:t>s with</w:t>
      </w:r>
      <w:r w:rsidDel="00FF63EE">
        <w:t xml:space="preserve"> </w:t>
      </w:r>
      <w:r>
        <w:t>previous literature which</w:t>
      </w:r>
      <w:r w:rsidDel="00F8195F">
        <w:t xml:space="preserve"> </w:t>
      </w:r>
      <w:r>
        <w:t xml:space="preserve">found within couples where the father works flexibly, mothers have less labour supply adjustment (Bang 2021). We posit that this may in part be due to the high cost of </w:t>
      </w:r>
      <w:proofErr w:type="gramStart"/>
      <w:r>
        <w:t>child care</w:t>
      </w:r>
      <w:proofErr w:type="gramEnd"/>
      <w:r>
        <w:t xml:space="preserve"> in Australia,</w:t>
      </w:r>
      <w:r w:rsidR="002D4357">
        <w:rPr>
          <w:rStyle w:val="FootnoteReference"/>
        </w:rPr>
        <w:footnoteReference w:id="18"/>
      </w:r>
      <w:r>
        <w:t xml:space="preserve"> differences in norms or institutions, which we reflect on in the next section, or different measures of workplace flexibility capturing different effects.</w:t>
      </w:r>
      <w:r w:rsidR="002D4357">
        <w:rPr>
          <w:rStyle w:val="FootnoteReference"/>
        </w:rPr>
        <w:footnoteReference w:id="19"/>
      </w:r>
      <w:r w:rsidR="00FF7AC3">
        <w:t xml:space="preserve"> </w:t>
      </w:r>
    </w:p>
    <w:p w14:paraId="65AFEAFC" w14:textId="6778B74A" w:rsidR="00707C19" w:rsidRDefault="00707C19" w:rsidP="00707C19">
      <w:r>
        <w:t>Whilst workplace flexibility doesn’t appear to impact the gender earnings gap before parenthood, one explanation could be that women choose to enter more flexible occupations after having children. These flexible occupations may have fewer promotion prospects or lower wages, which may explain the persistent motherhood penalty. Alternatively, certain flexible characteristics could be associated with even higher wages for some workers (</w:t>
      </w:r>
      <w:r w:rsidR="0091535C">
        <w:t>He</w:t>
      </w:r>
      <w:r w:rsidR="003E4186">
        <w:t> et al. </w:t>
      </w:r>
      <w:r w:rsidR="0091535C">
        <w:t xml:space="preserve">2019; </w:t>
      </w:r>
      <w:r>
        <w:t>Maestas</w:t>
      </w:r>
      <w:r w:rsidR="003E4186">
        <w:t> et al. </w:t>
      </w:r>
      <w:r>
        <w:t xml:space="preserve">2018; Mas &amp; </w:t>
      </w:r>
      <w:proofErr w:type="spellStart"/>
      <w:r>
        <w:t>Pallais</w:t>
      </w:r>
      <w:proofErr w:type="spellEnd"/>
      <w:r>
        <w:t xml:space="preserve"> 2017), which may be due to higher skilled workers sorting into more flexible jobs, or employers combining wage and non</w:t>
      </w:r>
      <w:r w:rsidR="003E4186">
        <w:noBreakHyphen/>
      </w:r>
      <w:r>
        <w:t xml:space="preserve">wage benefits to attract employees (Mas &amp; </w:t>
      </w:r>
      <w:proofErr w:type="spellStart"/>
      <w:r>
        <w:t>Pallais</w:t>
      </w:r>
      <w:proofErr w:type="spellEnd"/>
      <w:r>
        <w:t xml:space="preserve"> 2020). In the </w:t>
      </w:r>
      <w:r w:rsidR="003E4186">
        <w:t>Appendix </w:t>
      </w:r>
      <w:r>
        <w:t>we show that whilst women are just as likely as men to change their occupation after entering parenthood (</w:t>
      </w:r>
      <w:r w:rsidR="003E4186">
        <w:t>Table </w:t>
      </w:r>
      <w:r>
        <w:t>A3), they are not more likely to enter jobs with flexible working conditions (</w:t>
      </w:r>
      <w:r w:rsidR="003E4186">
        <w:t>Table </w:t>
      </w:r>
      <w:r>
        <w:t>A4). These findings are consistent with mixed evidence regarding the existence of compensating wage differentials for non</w:t>
      </w:r>
      <w:r w:rsidR="003E4186">
        <w:noBreakHyphen/>
      </w:r>
      <w:r>
        <w:t>wage attributes, such as flexibility.</w:t>
      </w:r>
      <w:r w:rsidR="002D4357">
        <w:rPr>
          <w:rStyle w:val="FootnoteReference"/>
        </w:rPr>
        <w:footnoteReference w:id="20"/>
      </w:r>
    </w:p>
    <w:p w14:paraId="64AF3C51" w14:textId="5880B4DC" w:rsidR="00707C19" w:rsidRPr="00265056" w:rsidRDefault="003E4186" w:rsidP="0004226C">
      <w:pPr>
        <w:pStyle w:val="ChartMainHeading"/>
      </w:pPr>
      <w:r>
        <w:t>Chart </w:t>
      </w:r>
      <w:r w:rsidR="003D0DF2">
        <w:t>7</w:t>
      </w:r>
      <w:r w:rsidR="00265056" w:rsidRPr="00265056">
        <w:t>: Outcomes for women, by workplace flexibility</w:t>
      </w:r>
    </w:p>
    <w:tbl>
      <w:tblPr>
        <w:tblStyle w:val="TableGrid"/>
        <w:tblW w:w="5000" w:type="pct"/>
        <w:jc w:val="center"/>
        <w:tblLook w:val="04A0" w:firstRow="1" w:lastRow="0" w:firstColumn="1" w:lastColumn="0" w:noHBand="0" w:noVBand="1"/>
      </w:tblPr>
      <w:tblGrid>
        <w:gridCol w:w="3024"/>
        <w:gridCol w:w="3023"/>
        <w:gridCol w:w="3023"/>
      </w:tblGrid>
      <w:tr w:rsidR="009467AF" w:rsidRPr="009467AF" w14:paraId="0E1C9B6E" w14:textId="15EB01F7" w:rsidTr="009467AF">
        <w:trPr>
          <w:trHeight w:val="3271"/>
          <w:jc w:val="center"/>
        </w:trPr>
        <w:tc>
          <w:tcPr>
            <w:tcW w:w="4736" w:type="dxa"/>
            <w:shd w:val="clear" w:color="auto" w:fill="auto"/>
          </w:tcPr>
          <w:p w14:paraId="6E2149E4" w14:textId="1B273FF2" w:rsidR="00736D48" w:rsidRPr="009467AF" w:rsidRDefault="00736D48" w:rsidP="009467AF">
            <w:pPr>
              <w:pStyle w:val="ChartGraphic"/>
            </w:pPr>
            <w:r w:rsidRPr="009467AF">
              <w:rPr>
                <w:noProof/>
              </w:rPr>
              <w:drawing>
                <wp:inline distT="0" distB="0" distL="0" distR="0" wp14:anchorId="0A1E7C0C" wp14:editId="38C83BC7">
                  <wp:extent cx="1800000" cy="2251858"/>
                  <wp:effectExtent l="0" t="0" r="0" b="0"/>
                  <wp:docPr id="12" name="Picture 12" descr="This is an event study chart which plots the estimated impact of children on the probability of employment for women based on their level of workplace flexibility, for 3 years before and up to 5 years after the arrival of the first child. It shows a bigger decline in employment for women who have access to less flexibility. Both groups experience a slight recovery in employment around 4 or 5 years after child arrival, but still remains below pre-child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n event study chart which plots the estimated impact of children on the probability of employment for women based on their level of workplace flexibility, for 3 years before and up to 5 years after the arrival of the first child. It shows a bigger decline in employment for women who have access to less flexibility. Both groups experience a slight recovery in employment around 4 or 5 years after child arrival, but still remains below pre-child level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0" cy="2251858"/>
                          </a:xfrm>
                          <a:prstGeom prst="rect">
                            <a:avLst/>
                          </a:prstGeom>
                          <a:noFill/>
                          <a:ln>
                            <a:noFill/>
                          </a:ln>
                        </pic:spPr>
                      </pic:pic>
                    </a:graphicData>
                  </a:graphic>
                </wp:inline>
              </w:drawing>
            </w:r>
          </w:p>
        </w:tc>
        <w:tc>
          <w:tcPr>
            <w:tcW w:w="2167" w:type="dxa"/>
            <w:shd w:val="clear" w:color="auto" w:fill="auto"/>
          </w:tcPr>
          <w:p w14:paraId="07B7D961" w14:textId="0F96A38B" w:rsidR="00736D48" w:rsidRPr="009467AF" w:rsidRDefault="00736D48" w:rsidP="009467AF">
            <w:pPr>
              <w:pStyle w:val="ChartGraphic"/>
            </w:pPr>
            <w:r w:rsidRPr="009467AF">
              <w:rPr>
                <w:noProof/>
              </w:rPr>
              <w:drawing>
                <wp:inline distT="0" distB="0" distL="0" distR="0" wp14:anchorId="210CC7BE" wp14:editId="5E663DB5">
                  <wp:extent cx="1800000" cy="2251858"/>
                  <wp:effectExtent l="0" t="0" r="0" b="0"/>
                  <wp:docPr id="13" name="Picture 13" descr="This is an event study chart which plots the estimated impact of children on hours worked for women based on their level of workplace flexibility, for 3 years before and up to 5 years after the arrival of the first child. It shows both women in more and less flexible jobs experience a similar drop in their hours worked after child arrival, which doesn't recover in the subsequent 5 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an event study chart which plots the estimated impact of children on hours worked for women based on their level of workplace flexibility, for 3 years before and up to 5 years after the arrival of the first child. It shows both women in more and less flexible jobs experience a similar drop in their hours worked after child arrival, which doesn't recover in the subsequent 5 year period.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2251858"/>
                          </a:xfrm>
                          <a:prstGeom prst="rect">
                            <a:avLst/>
                          </a:prstGeom>
                          <a:noFill/>
                          <a:ln>
                            <a:noFill/>
                          </a:ln>
                        </pic:spPr>
                      </pic:pic>
                    </a:graphicData>
                  </a:graphic>
                </wp:inline>
              </w:drawing>
            </w:r>
          </w:p>
        </w:tc>
        <w:tc>
          <w:tcPr>
            <w:tcW w:w="2167" w:type="dxa"/>
            <w:shd w:val="clear" w:color="auto" w:fill="auto"/>
          </w:tcPr>
          <w:p w14:paraId="73B72117" w14:textId="497DBA62" w:rsidR="00736D48" w:rsidRPr="009467AF" w:rsidRDefault="00736D48" w:rsidP="009467AF">
            <w:pPr>
              <w:pStyle w:val="ChartGraphic"/>
            </w:pPr>
            <w:r w:rsidRPr="009467AF">
              <w:rPr>
                <w:noProof/>
              </w:rPr>
              <w:drawing>
                <wp:inline distT="0" distB="0" distL="0" distR="0" wp14:anchorId="77642DA5" wp14:editId="4F7CCB03">
                  <wp:extent cx="1800000" cy="2251858"/>
                  <wp:effectExtent l="0" t="0" r="0" b="0"/>
                  <wp:docPr id="14" name="Picture 14" descr="This is an event study chart which plots the estimated impact of children on hourly wage for women based on their level of workplace flexibility, for 3 years before and up to 5 years after the arrival of the first child. It shows a bigger decline in wage for women who have access to more flexibility. However, confidence intervals are wide on thi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n event study chart which plots the estimated impact of children on hourly wage for women based on their level of workplace flexibility, for 3 years before and up to 5 years after the arrival of the first child. It shows a bigger decline in wage for women who have access to more flexibility. However, confidence intervals are wide on this char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2251858"/>
                          </a:xfrm>
                          <a:prstGeom prst="rect">
                            <a:avLst/>
                          </a:prstGeom>
                          <a:noFill/>
                          <a:ln>
                            <a:noFill/>
                          </a:ln>
                        </pic:spPr>
                      </pic:pic>
                    </a:graphicData>
                  </a:graphic>
                </wp:inline>
              </w:drawing>
            </w:r>
          </w:p>
        </w:tc>
      </w:tr>
    </w:tbl>
    <w:p w14:paraId="6AFAF744" w14:textId="79BBE193" w:rsidR="00265056" w:rsidRPr="00BC4F0D" w:rsidRDefault="00265056" w:rsidP="00BC4F0D">
      <w:pPr>
        <w:pStyle w:val="ChartorTableNote"/>
      </w:pPr>
      <w:r w:rsidRPr="00BC4F0D">
        <w:t xml:space="preserve">Notes: </w:t>
      </w:r>
      <w:r w:rsidR="003E4186">
        <w:t>Chart </w:t>
      </w:r>
      <w:r w:rsidRPr="00BC4F0D">
        <w:t>shows effects for women only. Effects on participation are estimated unconditional on employment status, while the effect on hours and wages are conditional on participation. More flexibility defined as average pre</w:t>
      </w:r>
      <w:r w:rsidR="003E4186">
        <w:noBreakHyphen/>
      </w:r>
      <w:r w:rsidR="00384738" w:rsidRPr="00BC4F0D">
        <w:t>parenthood</w:t>
      </w:r>
      <w:r w:rsidRPr="00BC4F0D">
        <w:t xml:space="preserve"> occupational flexibility above median. Flexibility measure as above. Shaded area shows 95% confidence intervals, based on robust standard errors. </w:t>
      </w:r>
      <w:r w:rsidR="00F72D17" w:rsidRPr="00BC4F0D">
        <w:t>V</w:t>
      </w:r>
      <w:r w:rsidRPr="00BC4F0D">
        <w:t xml:space="preserve">ertical line signifies year before first child arrives. </w:t>
      </w:r>
    </w:p>
    <w:p w14:paraId="3F4B14CA" w14:textId="22159F81" w:rsidR="00265056" w:rsidRPr="00BC4F0D" w:rsidRDefault="00265056" w:rsidP="00BC4F0D">
      <w:pPr>
        <w:pStyle w:val="ChartorTableNote"/>
      </w:pPr>
      <w:r w:rsidRPr="00BC4F0D">
        <w:t>Source: Treasury analysis of HILDA Release 19.0.</w:t>
      </w:r>
      <w:r w:rsidR="00F379CB" w:rsidRPr="00BC4F0D">
        <w:t xml:space="preserve"> </w:t>
      </w:r>
    </w:p>
    <w:p w14:paraId="0F09DE2C" w14:textId="2CF93AB5" w:rsidR="00707C19" w:rsidRDefault="00707C19" w:rsidP="00707C19">
      <w:r>
        <w:t>Although the penalty in aggregate is the same regardless of the level of flexibility on offer, we explore whether the extensive or intensive margins of the penalty are affected by workplace conditions. That</w:t>
      </w:r>
      <w:r w:rsidR="003E4186">
        <w:t> </w:t>
      </w:r>
      <w:r>
        <w:t>is, we explore whether workplace norms around flexibility impact mothers’ employment, hours worked or hourly wage. We find that women with less job flexibility before parenthood are more likely to exit the labour force after having children, whereas women with greater flexibility are more likely to experience lower wages (</w:t>
      </w:r>
      <w:r w:rsidR="003E4186">
        <w:t>Chart </w:t>
      </w:r>
      <w:r w:rsidR="007B2642">
        <w:t>7</w:t>
      </w:r>
      <w:r>
        <w:t>). Whilst our evidence for this latter result is noisy, it does suggest that mothers working in flexible occupations may attract lower wages potentially reflecting forgone promotion opportunities. This result is also important as it suggests the availability (or lack thereof) of flexible work conditions may be one potential driver of a mother’s decision to exit the labour force. Our results here do not change when we control for education (</w:t>
      </w:r>
      <w:r w:rsidR="003E4186">
        <w:t>Chart </w:t>
      </w:r>
      <w:r>
        <w:t xml:space="preserve">A9). </w:t>
      </w:r>
    </w:p>
    <w:p w14:paraId="4991C29B" w14:textId="26FBB3C1" w:rsidR="00707C19" w:rsidRDefault="00707C19" w:rsidP="00707C19">
      <w:r>
        <w:t xml:space="preserve">These results also suggest a role for workplace settings, particularly around the availability of flexibility, in potentially mitigating the motherhood penalty in employment and hours worked, but potentially at the cost of hourly wages. Similar findings in </w:t>
      </w:r>
      <w:proofErr w:type="spellStart"/>
      <w:r>
        <w:t>Kleven</w:t>
      </w:r>
      <w:proofErr w:type="spellEnd"/>
      <w:r w:rsidR="003E4186">
        <w:t> et al. </w:t>
      </w:r>
      <w:r>
        <w:t>(2019a) point to parenthood disproportionately leading women to be more likely to be in a flexible workplace but less likely to be in management. Further, Goldin (2014) argues that disproportionate rewards to long hours in some occupations results in larger gender pay gaps that could be ameliorated with more considered job design. This would benefit women, but also men, seeking greater flexibility at work.</w:t>
      </w:r>
    </w:p>
    <w:p w14:paraId="4CF0F0AE" w14:textId="77777777" w:rsidR="00707C19" w:rsidRDefault="00707C19" w:rsidP="00582933">
      <w:pPr>
        <w:pStyle w:val="Heading3"/>
        <w:spacing w:before="240"/>
      </w:pPr>
      <w:r>
        <w:t xml:space="preserve">Gender norms </w:t>
      </w:r>
    </w:p>
    <w:p w14:paraId="1D1BA699" w14:textId="65EA2431" w:rsidR="00707C19" w:rsidRPr="00D22AA7" w:rsidRDefault="00707C19" w:rsidP="00707C19">
      <w:pPr>
        <w:rPr>
          <w:spacing w:val="-2"/>
        </w:rPr>
      </w:pPr>
      <w:r w:rsidRPr="00D22AA7">
        <w:rPr>
          <w:spacing w:val="-2"/>
        </w:rPr>
        <w:t xml:space="preserve">Another potential explanation for the motherhood penalty could be gender norms, and the institutional or policy settings that sustain these norms. To put Australia in context with the international landscape, we use the International Social Survey Programme (ISSP) to compare estimated child penalties with stated gender norms across countries, following </w:t>
      </w:r>
      <w:proofErr w:type="spellStart"/>
      <w:r w:rsidRPr="00D22AA7">
        <w:rPr>
          <w:spacing w:val="-2"/>
        </w:rPr>
        <w:t>Kleven</w:t>
      </w:r>
      <w:proofErr w:type="spellEnd"/>
      <w:r w:rsidRPr="00D22AA7">
        <w:rPr>
          <w:spacing w:val="-2"/>
        </w:rPr>
        <w:t xml:space="preserve"> et al.’s (2019b) approach. As mentioned above, our estimated long run motherhood penalty (43</w:t>
      </w:r>
      <w:r w:rsidR="003E4186" w:rsidRPr="00D22AA7">
        <w:rPr>
          <w:spacing w:val="-2"/>
        </w:rPr>
        <w:t> per </w:t>
      </w:r>
      <w:r w:rsidRPr="00D22AA7">
        <w:rPr>
          <w:spacing w:val="-2"/>
        </w:rPr>
        <w:t xml:space="preserve">cent) is </w:t>
      </w:r>
      <w:proofErr w:type="gramStart"/>
      <w:r w:rsidRPr="00D22AA7">
        <w:rPr>
          <w:spacing w:val="-2"/>
        </w:rPr>
        <w:t>similar to</w:t>
      </w:r>
      <w:proofErr w:type="gramEnd"/>
      <w:r w:rsidRPr="00D22AA7">
        <w:rPr>
          <w:spacing w:val="-2"/>
        </w:rPr>
        <w:t xml:space="preserve"> the United Kingdom (44</w:t>
      </w:r>
      <w:r w:rsidR="003E4186" w:rsidRPr="00D22AA7">
        <w:rPr>
          <w:spacing w:val="-2"/>
        </w:rPr>
        <w:t> per </w:t>
      </w:r>
      <w:r w:rsidRPr="00D22AA7">
        <w:rPr>
          <w:spacing w:val="-2"/>
        </w:rPr>
        <w:t>cent), larger in magnitude than estimates for Denmark (21</w:t>
      </w:r>
      <w:r w:rsidR="003E4186" w:rsidRPr="00D22AA7">
        <w:rPr>
          <w:spacing w:val="-2"/>
        </w:rPr>
        <w:t> per </w:t>
      </w:r>
      <w:r w:rsidRPr="00D22AA7">
        <w:rPr>
          <w:spacing w:val="-2"/>
        </w:rPr>
        <w:t>cent), Sweden (26</w:t>
      </w:r>
      <w:r w:rsidR="003E4186" w:rsidRPr="00D22AA7">
        <w:rPr>
          <w:spacing w:val="-2"/>
        </w:rPr>
        <w:t> per </w:t>
      </w:r>
      <w:r w:rsidRPr="00D22AA7">
        <w:rPr>
          <w:spacing w:val="-2"/>
        </w:rPr>
        <w:t>cent) and the United States (31</w:t>
      </w:r>
      <w:r w:rsidR="003E4186" w:rsidRPr="00D22AA7">
        <w:rPr>
          <w:spacing w:val="-2"/>
        </w:rPr>
        <w:t> per </w:t>
      </w:r>
      <w:r w:rsidRPr="00D22AA7">
        <w:rPr>
          <w:spacing w:val="-2"/>
        </w:rPr>
        <w:t>cent), but smaller than estimates for Austria</w:t>
      </w:r>
      <w:r w:rsidR="003B10C1" w:rsidRPr="00D22AA7">
        <w:rPr>
          <w:spacing w:val="-2"/>
        </w:rPr>
        <w:t> </w:t>
      </w:r>
      <w:r w:rsidRPr="00D22AA7">
        <w:rPr>
          <w:spacing w:val="-2"/>
        </w:rPr>
        <w:t>(51</w:t>
      </w:r>
      <w:r w:rsidR="003E4186" w:rsidRPr="00D22AA7">
        <w:rPr>
          <w:spacing w:val="-2"/>
        </w:rPr>
        <w:t> per </w:t>
      </w:r>
      <w:r w:rsidRPr="00D22AA7">
        <w:rPr>
          <w:spacing w:val="-2"/>
        </w:rPr>
        <w:t>cent) and Germany (61</w:t>
      </w:r>
      <w:r w:rsidR="003E4186" w:rsidRPr="00D22AA7">
        <w:rPr>
          <w:spacing w:val="-2"/>
        </w:rPr>
        <w:t> per </w:t>
      </w:r>
      <w:r w:rsidRPr="00D22AA7">
        <w:rPr>
          <w:spacing w:val="-2"/>
        </w:rPr>
        <w:t>cent) (</w:t>
      </w:r>
      <w:proofErr w:type="spellStart"/>
      <w:r w:rsidRPr="00D22AA7">
        <w:rPr>
          <w:spacing w:val="-2"/>
        </w:rPr>
        <w:t>Kleven</w:t>
      </w:r>
      <w:proofErr w:type="spellEnd"/>
      <w:r w:rsidR="003E4186" w:rsidRPr="00D22AA7">
        <w:rPr>
          <w:spacing w:val="-2"/>
        </w:rPr>
        <w:t> et al. </w:t>
      </w:r>
      <w:r w:rsidRPr="00D22AA7">
        <w:rPr>
          <w:spacing w:val="-2"/>
        </w:rPr>
        <w:t>2019b). These cross</w:t>
      </w:r>
      <w:r w:rsidR="003E4186" w:rsidRPr="00D22AA7">
        <w:rPr>
          <w:spacing w:val="-2"/>
        </w:rPr>
        <w:noBreakHyphen/>
      </w:r>
      <w:r w:rsidRPr="00D22AA7">
        <w:rPr>
          <w:spacing w:val="-2"/>
        </w:rPr>
        <w:t>country differences may be driven by differences in gender norms, as well as institutional and policy settings across</w:t>
      </w:r>
      <w:r w:rsidR="003B10C1" w:rsidRPr="00D22AA7">
        <w:rPr>
          <w:spacing w:val="-2"/>
        </w:rPr>
        <w:t> </w:t>
      </w:r>
      <w:r w:rsidRPr="00D22AA7">
        <w:rPr>
          <w:spacing w:val="-2"/>
        </w:rPr>
        <w:t>countries.</w:t>
      </w:r>
    </w:p>
    <w:p w14:paraId="36C696F1" w14:textId="5247A16F" w:rsidR="00707C19" w:rsidRDefault="00707C19" w:rsidP="00707C19">
      <w:r>
        <w:t xml:space="preserve">Our Australian results are consistent with the positive correlation found in </w:t>
      </w:r>
      <w:proofErr w:type="spellStart"/>
      <w:r>
        <w:t>Kleven</w:t>
      </w:r>
      <w:proofErr w:type="spellEnd"/>
      <w:r w:rsidR="003E4186">
        <w:t> et al. </w:t>
      </w:r>
      <w:r>
        <w:t>(2019b) between countries’ long run child penalties and the fraction of respondents in ISSP who think women should stay at home (</w:t>
      </w:r>
      <w:proofErr w:type="gramStart"/>
      <w:r>
        <w:t>i.e.</w:t>
      </w:r>
      <w:proofErr w:type="gramEnd"/>
      <w:r>
        <w:t xml:space="preserve"> not work) when they have young children (</w:t>
      </w:r>
      <w:r w:rsidR="003E4186">
        <w:t>Chart </w:t>
      </w:r>
      <w:r w:rsidR="007B2642">
        <w:t>8</w:t>
      </w:r>
      <w:r>
        <w:t xml:space="preserve">). Furthermore, we test the robustness of this measure </w:t>
      </w:r>
      <w:proofErr w:type="gramStart"/>
      <w:r>
        <w:t>and also</w:t>
      </w:r>
      <w:proofErr w:type="gramEnd"/>
      <w:r>
        <w:t xml:space="preserve"> look at the share of respondents agreeing with the statement “men’s job is at work, women’s job is at home”, and find a similar association (</w:t>
      </w:r>
      <w:r w:rsidR="003E4186">
        <w:t>Chart </w:t>
      </w:r>
      <w:r>
        <w:t xml:space="preserve">A10 in Appendix). For both measures, countries with larger child penalties display more conservative views about mothers </w:t>
      </w:r>
      <w:r w:rsidRPr="00707C19">
        <w:t>working. Australia displays relatively conservative norms about men’s and women’s roles, and a relatively high motherhood penalty, compared with the other countries surveyed.</w:t>
      </w:r>
      <w:r w:rsidR="00FF7AC3">
        <w:t xml:space="preserve"> </w:t>
      </w:r>
    </w:p>
    <w:p w14:paraId="705C8014" w14:textId="6DD355BA" w:rsidR="00BC4F0D" w:rsidRDefault="003E4186" w:rsidP="00BC4F0D">
      <w:pPr>
        <w:pStyle w:val="ChartMainHeading"/>
      </w:pPr>
      <w:r>
        <w:t>Chart </w:t>
      </w:r>
      <w:r w:rsidR="007B2642">
        <w:t>8</w:t>
      </w:r>
      <w:r w:rsidR="00F379CB" w:rsidRPr="000735C0">
        <w:t>: Gender norms and income gaps across countries</w:t>
      </w:r>
    </w:p>
    <w:p w14:paraId="3791E5BF" w14:textId="4CC9AF72" w:rsidR="00707C19" w:rsidRDefault="000735C0" w:rsidP="00BC4F0D">
      <w:pPr>
        <w:pStyle w:val="ChartGraphic"/>
      </w:pPr>
      <w:r>
        <w:rPr>
          <w:noProof/>
        </w:rPr>
        <w:drawing>
          <wp:inline distT="0" distB="0" distL="0" distR="0" wp14:anchorId="13C4F1A1" wp14:editId="0A5B7A3A">
            <wp:extent cx="4356000" cy="3167603"/>
            <wp:effectExtent l="0" t="0" r="6985" b="0"/>
            <wp:docPr id="16" name="Picture 16" descr="This chart plots long run child penalties against the percent of respondents who agree that women should stay at home when their child is young for Denmark, Sweden, USA, UK, Australia, Austria and Germany. It also plots a linear line through these observations which is increasing, showing a positive association between these two variables. Australia falls on the upper right corner of this line, similar to the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plots long run child penalties against the percent of respondents who agree that women should stay at home when their child is young for Denmark, Sweden, USA, UK, Australia, Austria and Germany. It also plots a linear line through these observations which is increasing, showing a positive association between these two variables. Australia falls on the upper right corner of this line, similar to the UK.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6000" cy="3167603"/>
                    </a:xfrm>
                    <a:prstGeom prst="rect">
                      <a:avLst/>
                    </a:prstGeom>
                    <a:noFill/>
                    <a:ln>
                      <a:noFill/>
                    </a:ln>
                  </pic:spPr>
                </pic:pic>
              </a:graphicData>
            </a:graphic>
          </wp:inline>
        </w:drawing>
      </w:r>
    </w:p>
    <w:p w14:paraId="3CF23303" w14:textId="1D036723" w:rsidR="000735C0" w:rsidRPr="00BC4F0D" w:rsidRDefault="00F379CB" w:rsidP="00BC4F0D">
      <w:pPr>
        <w:pStyle w:val="ChartorTableNote"/>
      </w:pPr>
      <w:r w:rsidRPr="00BC4F0D">
        <w:t xml:space="preserve">Notes: </w:t>
      </w:r>
      <w:r w:rsidR="003E4186">
        <w:t>Chart </w:t>
      </w:r>
      <w:r w:rsidRPr="00BC4F0D">
        <w:t>plots share of respondents who state that women should stay at home when either their child is under school age or their youngest child is in school against each country’s long run (</w:t>
      </w:r>
      <w:proofErr w:type="gramStart"/>
      <w:r w:rsidRPr="00BC4F0D">
        <w:t>i.e.</w:t>
      </w:r>
      <w:proofErr w:type="gramEnd"/>
      <w:r w:rsidR="000735C0" w:rsidRPr="00BC4F0D">
        <w:t xml:space="preserve"> </w:t>
      </w:r>
      <w:r w:rsidRPr="00BC4F0D">
        <w:t>average</w:t>
      </w:r>
      <w:r w:rsidR="000735C0" w:rsidRPr="00BC4F0D">
        <w:t xml:space="preserve"> of years 5 to 10</w:t>
      </w:r>
      <w:r w:rsidRPr="00BC4F0D">
        <w:t xml:space="preserve">) child penalty, fitting a linear line through these observations. </w:t>
      </w:r>
    </w:p>
    <w:p w14:paraId="3ABB64C9" w14:textId="42E1FCEF" w:rsidR="00F379CB" w:rsidRPr="00BC4F0D" w:rsidRDefault="00F379CB" w:rsidP="00BC4F0D">
      <w:pPr>
        <w:pStyle w:val="ChartorTableNote"/>
      </w:pPr>
      <w:r w:rsidRPr="00BC4F0D">
        <w:t xml:space="preserve">Source: </w:t>
      </w:r>
      <w:proofErr w:type="spellStart"/>
      <w:r w:rsidRPr="00BC4F0D">
        <w:t>Kleven</w:t>
      </w:r>
      <w:proofErr w:type="spellEnd"/>
      <w:r w:rsidR="003E4186">
        <w:t> et al. </w:t>
      </w:r>
      <w:r w:rsidRPr="00BC4F0D">
        <w:t xml:space="preserve">(2019b), Treasury analysis of International Social Survey Programme 2012 and long run child penalty for Australia from </w:t>
      </w:r>
      <w:r w:rsidR="003E4186">
        <w:t>Chart </w:t>
      </w:r>
      <w:r w:rsidRPr="00BC4F0D">
        <w:t>A1.</w:t>
      </w:r>
      <w:r w:rsidR="000735C0" w:rsidRPr="00BC4F0D">
        <w:t xml:space="preserve"> </w:t>
      </w:r>
    </w:p>
    <w:p w14:paraId="15A66CBB" w14:textId="6305EB90" w:rsidR="00707C19" w:rsidRDefault="00707C19" w:rsidP="00582933">
      <w:pPr>
        <w:spacing w:after="0"/>
      </w:pPr>
      <w:r w:rsidRPr="00707C19">
        <w:t xml:space="preserve">Gender norms surrounding family choices are likely influenced by multiple factors, including historical attitudes towards women working. Previous literature has showed that historical settings can influence modern gender norms and attitudes (Grosjean &amp; </w:t>
      </w:r>
      <w:proofErr w:type="spellStart"/>
      <w:r w:rsidRPr="00707C19">
        <w:t>Khattar</w:t>
      </w:r>
      <w:proofErr w:type="spellEnd"/>
      <w:r w:rsidRPr="00707C19">
        <w:t xml:space="preserve"> 2019). Parental leave policies and the norms around fathers taking leave likely also drive cross</w:t>
      </w:r>
      <w:r w:rsidR="003E4186">
        <w:noBreakHyphen/>
      </w:r>
      <w:r w:rsidRPr="00707C19">
        <w:t>country differences in child penalties. For</w:t>
      </w:r>
      <w:r w:rsidR="003E4186">
        <w:t> </w:t>
      </w:r>
      <w:r w:rsidRPr="00707C19">
        <w:t>instance, past work has found that countries with more generous parental leave policies, particularly schemes with dedicated leave for fathers, have a more gender equal balance of work and care.</w:t>
      </w:r>
      <w:r w:rsidR="0047758B">
        <w:rPr>
          <w:rStyle w:val="FootnoteReference"/>
        </w:rPr>
        <w:footnoteReference w:id="21"/>
      </w:r>
      <w:r w:rsidR="00FF7AC3">
        <w:t xml:space="preserve"> </w:t>
      </w:r>
      <w:r w:rsidRPr="00707C19">
        <w:t>Furthermore, other work for the United Kingdom found gender norms held by peers can influence mothers’ employment decisions (</w:t>
      </w:r>
      <w:proofErr w:type="spellStart"/>
      <w:r w:rsidRPr="00707C19">
        <w:t>Cavapozzi</w:t>
      </w:r>
      <w:proofErr w:type="spellEnd"/>
      <w:r w:rsidR="003E4186">
        <w:t> et al. </w:t>
      </w:r>
      <w:r w:rsidRPr="00707C19">
        <w:t>2021). Future work could assess more rigorously the role of gender norms in shaping the gender pay gap in Australia.</w:t>
      </w:r>
    </w:p>
    <w:p w14:paraId="43C90F3C" w14:textId="77777777" w:rsidR="00541046" w:rsidRDefault="00541046" w:rsidP="00707C19">
      <w:pPr>
        <w:pStyle w:val="Heading2"/>
        <w:sectPr w:rsidR="00541046" w:rsidSect="00F26FFC">
          <w:pgSz w:w="11906" w:h="16838" w:code="9"/>
          <w:pgMar w:top="1843" w:right="1418" w:bottom="1418" w:left="1418" w:header="709" w:footer="709" w:gutter="0"/>
          <w:cols w:space="708"/>
          <w:titlePg/>
          <w:docGrid w:linePitch="360"/>
        </w:sectPr>
      </w:pPr>
    </w:p>
    <w:p w14:paraId="20F29845" w14:textId="49DB0DD3" w:rsidR="00707C19" w:rsidRDefault="00707C19" w:rsidP="00707C19">
      <w:pPr>
        <w:pStyle w:val="Heading2"/>
      </w:pPr>
      <w:r>
        <w:t xml:space="preserve">Conclusion </w:t>
      </w:r>
    </w:p>
    <w:p w14:paraId="346789AE" w14:textId="7109EC28" w:rsidR="00707C19" w:rsidRDefault="00707C19" w:rsidP="00707C19">
      <w:r>
        <w:t xml:space="preserve">Considerable gender inequality remains in Australia, and in this paper, we show </w:t>
      </w:r>
      <w:proofErr w:type="gramStart"/>
      <w:r>
        <w:t>the vast majority of</w:t>
      </w:r>
      <w:proofErr w:type="gramEnd"/>
      <w:r>
        <w:t xml:space="preserve"> this inequality can be explained by children. The arrival of a child reduces women’s earnings by around 55</w:t>
      </w:r>
      <w:r w:rsidR="003E4186">
        <w:t> per </w:t>
      </w:r>
      <w:r>
        <w:t xml:space="preserve">cent in the first </w:t>
      </w:r>
      <w:r w:rsidR="00804707">
        <w:t>5</w:t>
      </w:r>
      <w:r>
        <w:t xml:space="preserve"> years, while men’s earnings are not significantly affected. This earnings gap remains high for up to </w:t>
      </w:r>
      <w:r w:rsidR="00804707">
        <w:t>10</w:t>
      </w:r>
      <w:r>
        <w:t xml:space="preserve"> years after the arrival of the first child, even for women who only have one child. Our results can be explained by women exiting the labour force and reducing their hours worked, and to a lesser extent, earning lower hourly wages. We take our research as strong evidence of a large and persistent long run motherhood penalty in Australia. We provide, for the first time, causal evidence that children have a significant impact on the long run labour market outcomes of Australian women. </w:t>
      </w:r>
    </w:p>
    <w:p w14:paraId="03199DD3" w14:textId="1CDA015C" w:rsidR="00707C19" w:rsidRDefault="00707C19" w:rsidP="00707C19">
      <w:r>
        <w:t>Further, we discuss several potential explanations of the motherhood penalty. We provide evidence to suggest that the motherhood penalty is not purely a financial decision; female breadwinners experience the same penalty as their secondary female earning counterparts. We also show that the motherhood penalty is unlikely to be driven purely by preferences, with mothers’ satisfaction with their work opportunities falling, and fathers reporting that work impacts their family life post</w:t>
      </w:r>
      <w:r w:rsidR="003E4186">
        <w:noBreakHyphen/>
      </w:r>
      <w:r>
        <w:t xml:space="preserve">children. </w:t>
      </w:r>
    </w:p>
    <w:p w14:paraId="08C85151" w14:textId="77777777" w:rsidR="00707C19" w:rsidRDefault="00707C19" w:rsidP="00707C19">
      <w:r>
        <w:t xml:space="preserve">We also provide evidence for the role of norms in two areas. First, we provide suggestive evidence that norms around working flexibly may be correlated with the penalty. We show mothers who work in more flexible occupations before children are less likely to exit the labour force once parents. However, these same women may be penalised for this flexibility by earning lower hourly wages. Second, we show how norms around gender roles are associated with the motherhood penalty at a national level. We argue here that countries (including Australia) with more conservative attitudes towards mothers working have higher penalties. Taking these results together, we conclude that both workplace settings around flexible working and broader gender norms likely explain the persistent penalty, though further research, especially for Australia, would be beneficial. </w:t>
      </w:r>
    </w:p>
    <w:p w14:paraId="07E4439C" w14:textId="66649682" w:rsidR="00707C19" w:rsidRDefault="00707C19" w:rsidP="00707C19">
      <w:r>
        <w:t>Australia’s motherhood penalty has important implications for both gender equality and aggregate productivity. On average, Australian women are now more educated than Australian men (ABS</w:t>
      </w:r>
      <w:r w:rsidR="003E4186">
        <w:t> </w:t>
      </w:r>
      <w:r>
        <w:t>2020b). Improving the utilisation of women’s skills would increase the returns on investments made in women’s human capital. Past literature has also found that there are potentially large productivity gains from diversifying the workforce within firms and sectors (</w:t>
      </w:r>
      <w:proofErr w:type="spellStart"/>
      <w:r>
        <w:t>Criscuolo</w:t>
      </w:r>
      <w:proofErr w:type="spellEnd"/>
      <w:r w:rsidR="003E4186">
        <w:t> et al. </w:t>
      </w:r>
      <w:r>
        <w:t xml:space="preserve">2021; </w:t>
      </w:r>
      <w:proofErr w:type="spellStart"/>
      <w:r>
        <w:t>Ostry</w:t>
      </w:r>
      <w:proofErr w:type="spellEnd"/>
      <w:r w:rsidR="003E4186">
        <w:t> et al. </w:t>
      </w:r>
      <w:r>
        <w:t>2018).</w:t>
      </w:r>
    </w:p>
    <w:p w14:paraId="73AE256D" w14:textId="07F5CCDC" w:rsidR="00707C19" w:rsidRPr="00707C19" w:rsidRDefault="00707C19" w:rsidP="00707C19">
      <w:r>
        <w:t xml:space="preserve">Our results have strong implications for targeting policy to address the motherhood penalty and reducing barriers to a more equal allocation of responsibilities within Australian households. Australia can learn from the experiences of other countries, which have reduced the cost of </w:t>
      </w:r>
      <w:proofErr w:type="gramStart"/>
      <w:r>
        <w:t>child care</w:t>
      </w:r>
      <w:proofErr w:type="gramEnd"/>
      <w:r>
        <w:t xml:space="preserve"> and increased paternal take</w:t>
      </w:r>
      <w:r w:rsidR="003E4186">
        <w:noBreakHyphen/>
      </w:r>
      <w:r>
        <w:t>up of parental leave. Both measures may help to increase fathers’ involvement in family life and improve mothers’ labour force participation, helping to reduce the motherhood penalty in the long run.</w:t>
      </w:r>
      <w:r w:rsidR="00FF7AC3">
        <w:t xml:space="preserve"> </w:t>
      </w:r>
    </w:p>
    <w:p w14:paraId="2EBFC77E" w14:textId="77777777" w:rsidR="00402149" w:rsidRDefault="00402149" w:rsidP="00BC7627"/>
    <w:p w14:paraId="2C74A49A" w14:textId="579FF67C" w:rsidR="00697AD0" w:rsidRDefault="00697AD0" w:rsidP="00BC7627">
      <w:pPr>
        <w:sectPr w:rsidR="00697AD0" w:rsidSect="00F26FFC">
          <w:pgSz w:w="11906" w:h="16838" w:code="9"/>
          <w:pgMar w:top="1843" w:right="1418" w:bottom="1418" w:left="1418" w:header="709" w:footer="709" w:gutter="0"/>
          <w:cols w:space="708"/>
          <w:titlePg/>
          <w:docGrid w:linePitch="360"/>
        </w:sectPr>
      </w:pPr>
    </w:p>
    <w:p w14:paraId="4E1B2498" w14:textId="2058A2FB" w:rsidR="00F012EA" w:rsidRPr="00225317" w:rsidRDefault="00A415C6" w:rsidP="00402149">
      <w:pPr>
        <w:pStyle w:val="AppendixHeadingLevel2NotNumbered"/>
      </w:pPr>
      <w:r>
        <w:t>References</w:t>
      </w:r>
    </w:p>
    <w:p w14:paraId="3C5EEECF" w14:textId="77777777" w:rsidR="00707C19" w:rsidRPr="00707C19" w:rsidRDefault="00707C19" w:rsidP="00BC4F0D">
      <w:pPr>
        <w:pStyle w:val="References"/>
      </w:pPr>
      <w:r w:rsidRPr="00707C19">
        <w:t xml:space="preserve">Adda J, </w:t>
      </w:r>
      <w:proofErr w:type="spellStart"/>
      <w:r w:rsidRPr="00707C19">
        <w:t>Dustmann</w:t>
      </w:r>
      <w:proofErr w:type="spellEnd"/>
      <w:r w:rsidRPr="00707C19">
        <w:t xml:space="preserve"> C and Stevens K (2017) ‘The Career Costs of Children’, </w:t>
      </w:r>
      <w:r w:rsidRPr="00707C19">
        <w:rPr>
          <w:i/>
          <w:iCs/>
        </w:rPr>
        <w:t>Journal of Political Economy</w:t>
      </w:r>
      <w:r w:rsidRPr="00707C19">
        <w:t>, 125(2):293–337.</w:t>
      </w:r>
    </w:p>
    <w:p w14:paraId="20FC4468" w14:textId="2C1BF7D5" w:rsidR="00707C19" w:rsidRPr="00707C19" w:rsidRDefault="00707C19" w:rsidP="00BC4F0D">
      <w:pPr>
        <w:pStyle w:val="References"/>
      </w:pPr>
      <w:r w:rsidRPr="00707C19">
        <w:t xml:space="preserve">Anderson ME and Nix E (2022) ‘What Causes the Child Penalty? Evidence from Adopting and Same-Sex Couples’, </w:t>
      </w:r>
      <w:r w:rsidRPr="00707C19">
        <w:rPr>
          <w:i/>
          <w:iCs/>
        </w:rPr>
        <w:t>Journal of Labor Economics</w:t>
      </w:r>
      <w:r w:rsidRPr="00707C19">
        <w:t>, 40(4):971–1004.</w:t>
      </w:r>
      <w:r w:rsidR="00FF7AC3">
        <w:t xml:space="preserve"> </w:t>
      </w:r>
    </w:p>
    <w:p w14:paraId="08D90F05" w14:textId="77777777" w:rsidR="00707C19" w:rsidRPr="00707C19" w:rsidRDefault="00707C19" w:rsidP="00BC4F0D">
      <w:pPr>
        <w:pStyle w:val="References"/>
      </w:pPr>
      <w:r w:rsidRPr="00707C19">
        <w:t xml:space="preserve">Angelov N, Johansson P and Lindahl E (2016) ‘Parenthood and the Gender Gap in Pay’, </w:t>
      </w:r>
      <w:r w:rsidRPr="00707C19">
        <w:rPr>
          <w:i/>
          <w:iCs/>
        </w:rPr>
        <w:t>Journal of Labor Economics</w:t>
      </w:r>
      <w:r w:rsidRPr="00707C19">
        <w:t xml:space="preserve">, 34(3):545–579. </w:t>
      </w:r>
    </w:p>
    <w:p w14:paraId="0A21E000" w14:textId="77777777" w:rsidR="00707C19" w:rsidRPr="00707C19" w:rsidRDefault="00707C19" w:rsidP="00BC4F0D">
      <w:pPr>
        <w:pStyle w:val="References"/>
      </w:pPr>
      <w:r w:rsidRPr="00707C19">
        <w:t xml:space="preserve">Australian Bureau of Statistics (ABS) (2018) </w:t>
      </w:r>
      <w:hyperlink r:id="rId35" w:history="1">
        <w:r w:rsidRPr="00707C19">
          <w:rPr>
            <w:rStyle w:val="Hyperlink"/>
            <w:rFonts w:cs="Calibri Light"/>
            <w:i/>
            <w:iCs/>
          </w:rPr>
          <w:t>Childhood Education and Care, Australia</w:t>
        </w:r>
      </w:hyperlink>
      <w:r w:rsidRPr="00707C19">
        <w:t xml:space="preserve"> – June 2017, ABS Website, accessed 26 September 2022. </w:t>
      </w:r>
    </w:p>
    <w:p w14:paraId="509B27C8" w14:textId="77777777" w:rsidR="00707C19" w:rsidRPr="00707C19" w:rsidRDefault="00707C19" w:rsidP="00BC4F0D">
      <w:pPr>
        <w:pStyle w:val="References"/>
        <w:rPr>
          <w:rFonts w:cs="Calibri Light"/>
        </w:rPr>
      </w:pPr>
      <w:r w:rsidRPr="00707C19">
        <w:rPr>
          <w:rFonts w:cs="Calibri Light"/>
        </w:rPr>
        <w:t xml:space="preserve">Australian Bureau of Statistics (ABS) (2020a) </w:t>
      </w:r>
      <w:hyperlink r:id="rId36" w:history="1">
        <w:r w:rsidRPr="00707C19">
          <w:rPr>
            <w:rStyle w:val="Hyperlink"/>
            <w:rFonts w:cs="Calibri Light"/>
            <w:i/>
            <w:iCs/>
          </w:rPr>
          <w:t>Barriers and Incentives to Labour Force Participation, Australia</w:t>
        </w:r>
      </w:hyperlink>
      <w:r w:rsidRPr="00707C19">
        <w:rPr>
          <w:rFonts w:cs="Calibri Light"/>
        </w:rPr>
        <w:t xml:space="preserve"> – 2018-19 financial year, ABS Website, accessed 26 September 2022.</w:t>
      </w:r>
    </w:p>
    <w:p w14:paraId="6B51FDF1" w14:textId="77777777" w:rsidR="00707C19" w:rsidRPr="00707C19" w:rsidRDefault="00707C19" w:rsidP="00BC4F0D">
      <w:pPr>
        <w:pStyle w:val="References"/>
      </w:pPr>
      <w:r w:rsidRPr="00707C19">
        <w:t xml:space="preserve">Australian Bureau of Statistics (ABS) (2020b) </w:t>
      </w:r>
      <w:hyperlink r:id="rId37" w:history="1">
        <w:r w:rsidRPr="00707C19">
          <w:rPr>
            <w:rStyle w:val="Hyperlink"/>
            <w:rFonts w:cs="Calibri Light"/>
            <w:i/>
            <w:iCs/>
          </w:rPr>
          <w:t>Gender Indicators, Australia</w:t>
        </w:r>
      </w:hyperlink>
      <w:r w:rsidRPr="00707C19">
        <w:t xml:space="preserve"> – 2020, ABS Website, accessed 26 September 2022.</w:t>
      </w:r>
    </w:p>
    <w:p w14:paraId="43880208" w14:textId="77777777" w:rsidR="00707C19" w:rsidRPr="00707C19" w:rsidRDefault="00707C19" w:rsidP="00BC4F0D">
      <w:pPr>
        <w:pStyle w:val="References"/>
      </w:pPr>
      <w:r w:rsidRPr="00707C19">
        <w:t xml:space="preserve">Australian Bureau of Statistics (ABS) (2022a) </w:t>
      </w:r>
      <w:hyperlink r:id="rId38" w:history="1">
        <w:r w:rsidRPr="00707C19">
          <w:rPr>
            <w:rStyle w:val="Hyperlink"/>
            <w:rFonts w:cs="Calibri Light"/>
            <w:i/>
            <w:iCs/>
          </w:rPr>
          <w:t>Labour Force, Australia</w:t>
        </w:r>
      </w:hyperlink>
      <w:r w:rsidRPr="00707C19">
        <w:t xml:space="preserve"> – August 2022, ABS Website, accessed 26 September 2022.</w:t>
      </w:r>
    </w:p>
    <w:p w14:paraId="53C2D3EF" w14:textId="77777777" w:rsidR="00707C19" w:rsidRPr="00707C19" w:rsidRDefault="00707C19" w:rsidP="00BC4F0D">
      <w:pPr>
        <w:pStyle w:val="References"/>
      </w:pPr>
      <w:r w:rsidRPr="00707C19">
        <w:t xml:space="preserve">Australian Bureau of Statistics (ABS) (2022b) ‘Tables 1 and 2. CPI: All Groups, Index Numbers and Percentage Changes’ [time series spreadsheet], </w:t>
      </w:r>
      <w:hyperlink r:id="rId39" w:history="1">
        <w:r w:rsidRPr="00707C19">
          <w:rPr>
            <w:rStyle w:val="Hyperlink"/>
            <w:rFonts w:cs="Calibri Light"/>
            <w:i/>
            <w:iCs/>
          </w:rPr>
          <w:t>Consumer Price Index, Australia</w:t>
        </w:r>
      </w:hyperlink>
      <w:r w:rsidRPr="00707C19">
        <w:t xml:space="preserve"> – June 2022, accessed 26 September 2022. </w:t>
      </w:r>
    </w:p>
    <w:p w14:paraId="7449484B" w14:textId="77777777" w:rsidR="00707C19" w:rsidRPr="00707C19" w:rsidRDefault="00707C19" w:rsidP="00BC4F0D">
      <w:pPr>
        <w:pStyle w:val="References"/>
      </w:pPr>
      <w:proofErr w:type="spellStart"/>
      <w:r w:rsidRPr="00707C19">
        <w:t>Avdic</w:t>
      </w:r>
      <w:proofErr w:type="spellEnd"/>
      <w:r w:rsidRPr="00707C19">
        <w:t xml:space="preserve"> D and Karimi A (2018) ‘Modern Family? Paternity Leave and Marital Stability’, </w:t>
      </w:r>
      <w:r w:rsidRPr="00707C19">
        <w:rPr>
          <w:i/>
          <w:iCs/>
        </w:rPr>
        <w:t>American Economic Journal: Applied Economics</w:t>
      </w:r>
      <w:r w:rsidRPr="00707C19">
        <w:t xml:space="preserve">, 10(4):283–307. </w:t>
      </w:r>
    </w:p>
    <w:p w14:paraId="3A676899" w14:textId="3014B3F3" w:rsidR="00707C19" w:rsidRPr="00707C19" w:rsidRDefault="00707C19" w:rsidP="00BC4F0D">
      <w:pPr>
        <w:pStyle w:val="References"/>
      </w:pPr>
      <w:r w:rsidRPr="00707C19">
        <w:t xml:space="preserve">Bang M (2021) ‘Job Flexibility and Household Labor Supply: Understanding Gender Gaps and the Child Wage Penalty’, </w:t>
      </w:r>
      <w:r w:rsidRPr="00707C19">
        <w:rPr>
          <w:i/>
          <w:iCs/>
        </w:rPr>
        <w:t>Working Paper</w:t>
      </w:r>
      <w:r w:rsidRPr="00707C19">
        <w:t>.</w:t>
      </w:r>
      <w:r w:rsidR="00FF7AC3">
        <w:t xml:space="preserve"> </w:t>
      </w:r>
    </w:p>
    <w:p w14:paraId="58ADD514" w14:textId="1AA6783A" w:rsidR="005B664A" w:rsidRPr="00421B72" w:rsidRDefault="005B664A" w:rsidP="00BC4F0D">
      <w:pPr>
        <w:pStyle w:val="References"/>
        <w:rPr>
          <w:rFonts w:cs="Calibri Light"/>
          <w:szCs w:val="22"/>
        </w:rPr>
      </w:pPr>
      <w:proofErr w:type="spellStart"/>
      <w:r w:rsidRPr="00421B72">
        <w:rPr>
          <w:rFonts w:cs="Calibri Light"/>
          <w:color w:val="222222"/>
          <w:szCs w:val="22"/>
          <w:shd w:val="clear" w:color="auto" w:fill="FFFFFF"/>
        </w:rPr>
        <w:t>Baetschmann</w:t>
      </w:r>
      <w:proofErr w:type="spellEnd"/>
      <w:r w:rsidR="009835CC">
        <w:rPr>
          <w:rFonts w:cs="Calibri Light"/>
          <w:color w:val="222222"/>
          <w:szCs w:val="22"/>
          <w:shd w:val="clear" w:color="auto" w:fill="FFFFFF"/>
        </w:rPr>
        <w:t xml:space="preserve"> </w:t>
      </w:r>
      <w:r w:rsidRPr="00421B72">
        <w:rPr>
          <w:rFonts w:cs="Calibri Light"/>
          <w:color w:val="222222"/>
          <w:szCs w:val="22"/>
          <w:shd w:val="clear" w:color="auto" w:fill="FFFFFF"/>
        </w:rPr>
        <w:t>G, Staub KE and Studer</w:t>
      </w:r>
      <w:r w:rsidR="004C6A66">
        <w:rPr>
          <w:rFonts w:cs="Calibri Light"/>
          <w:color w:val="222222"/>
          <w:szCs w:val="22"/>
          <w:shd w:val="clear" w:color="auto" w:fill="FFFFFF"/>
        </w:rPr>
        <w:t xml:space="preserve"> </w:t>
      </w:r>
      <w:r w:rsidRPr="00421B72">
        <w:rPr>
          <w:rFonts w:cs="Calibri Light"/>
          <w:color w:val="222222"/>
          <w:szCs w:val="22"/>
          <w:shd w:val="clear" w:color="auto" w:fill="FFFFFF"/>
        </w:rPr>
        <w:t xml:space="preserve">R </w:t>
      </w:r>
      <w:r w:rsidR="004C6A66">
        <w:rPr>
          <w:rFonts w:cs="Calibri Light"/>
          <w:color w:val="222222"/>
          <w:szCs w:val="22"/>
          <w:shd w:val="clear" w:color="auto" w:fill="FFFFFF"/>
        </w:rPr>
        <w:t>(</w:t>
      </w:r>
      <w:r w:rsidRPr="00421B72">
        <w:rPr>
          <w:rFonts w:cs="Calibri Light"/>
          <w:color w:val="222222"/>
          <w:szCs w:val="22"/>
          <w:shd w:val="clear" w:color="auto" w:fill="FFFFFF"/>
        </w:rPr>
        <w:t>2016</w:t>
      </w:r>
      <w:r w:rsidR="004C6A66">
        <w:rPr>
          <w:rFonts w:cs="Calibri Light"/>
          <w:color w:val="222222"/>
          <w:szCs w:val="22"/>
          <w:shd w:val="clear" w:color="auto" w:fill="FFFFFF"/>
        </w:rPr>
        <w:t>)</w:t>
      </w:r>
      <w:r w:rsidRPr="00421B72">
        <w:rPr>
          <w:rFonts w:cs="Calibri Light"/>
          <w:color w:val="222222"/>
          <w:szCs w:val="22"/>
          <w:shd w:val="clear" w:color="auto" w:fill="FFFFFF"/>
        </w:rPr>
        <w:t xml:space="preserve"> </w:t>
      </w:r>
      <w:r w:rsidR="004C6A66">
        <w:rPr>
          <w:rFonts w:cs="Calibri Light"/>
          <w:color w:val="222222"/>
          <w:szCs w:val="22"/>
          <w:shd w:val="clear" w:color="auto" w:fill="FFFFFF"/>
        </w:rPr>
        <w:t>‘</w:t>
      </w:r>
      <w:r w:rsidRPr="00421B72">
        <w:rPr>
          <w:rFonts w:cs="Calibri Light"/>
          <w:color w:val="222222"/>
          <w:szCs w:val="22"/>
          <w:shd w:val="clear" w:color="auto" w:fill="FFFFFF"/>
        </w:rPr>
        <w:t>Does the stork deliver happiness? Parenthood and life satisfaction</w:t>
      </w:r>
      <w:r w:rsidR="006C063F">
        <w:rPr>
          <w:rFonts w:cs="Calibri Light"/>
          <w:color w:val="222222"/>
          <w:szCs w:val="22"/>
          <w:shd w:val="clear" w:color="auto" w:fill="FFFFFF"/>
        </w:rPr>
        <w:t>’</w:t>
      </w:r>
      <w:r w:rsidR="006C063F" w:rsidRPr="00421B72">
        <w:rPr>
          <w:rFonts w:cs="Calibri Light"/>
          <w:i/>
          <w:iCs/>
          <w:color w:val="222222"/>
          <w:szCs w:val="22"/>
          <w:shd w:val="clear" w:color="auto" w:fill="FFFFFF"/>
        </w:rPr>
        <w:t>,</w:t>
      </w:r>
      <w:r w:rsidRPr="00421B72">
        <w:rPr>
          <w:rFonts w:cs="Calibri Light"/>
          <w:color w:val="222222"/>
          <w:szCs w:val="22"/>
          <w:shd w:val="clear" w:color="auto" w:fill="FFFFFF"/>
        </w:rPr>
        <w:t> </w:t>
      </w:r>
      <w:r w:rsidRPr="00421B72">
        <w:rPr>
          <w:rFonts w:cs="Calibri Light"/>
          <w:i/>
          <w:iCs/>
          <w:color w:val="222222"/>
          <w:szCs w:val="22"/>
          <w:shd w:val="clear" w:color="auto" w:fill="FFFFFF"/>
        </w:rPr>
        <w:t xml:space="preserve">Journal of Economic </w:t>
      </w:r>
      <w:proofErr w:type="spellStart"/>
      <w:r w:rsidRPr="00421B72">
        <w:rPr>
          <w:rFonts w:cs="Calibri Light"/>
          <w:i/>
          <w:iCs/>
          <w:color w:val="222222"/>
          <w:szCs w:val="22"/>
          <w:shd w:val="clear" w:color="auto" w:fill="FFFFFF"/>
        </w:rPr>
        <w:t>Behavior</w:t>
      </w:r>
      <w:proofErr w:type="spellEnd"/>
      <w:r w:rsidRPr="00421B72">
        <w:rPr>
          <w:rFonts w:cs="Calibri Light"/>
          <w:i/>
          <w:iCs/>
          <w:color w:val="222222"/>
          <w:szCs w:val="22"/>
          <w:shd w:val="clear" w:color="auto" w:fill="FFFFFF"/>
        </w:rPr>
        <w:t xml:space="preserve"> </w:t>
      </w:r>
      <w:r w:rsidR="006C063F">
        <w:rPr>
          <w:rFonts w:cs="Calibri Light"/>
          <w:i/>
          <w:iCs/>
          <w:color w:val="222222"/>
          <w:szCs w:val="22"/>
          <w:shd w:val="clear" w:color="auto" w:fill="FFFFFF"/>
        </w:rPr>
        <w:t>and</w:t>
      </w:r>
      <w:r w:rsidRPr="00421B72">
        <w:rPr>
          <w:rFonts w:cs="Calibri Light"/>
          <w:i/>
          <w:iCs/>
          <w:color w:val="222222"/>
          <w:szCs w:val="22"/>
          <w:shd w:val="clear" w:color="auto" w:fill="FFFFFF"/>
        </w:rPr>
        <w:t xml:space="preserve"> Organization</w:t>
      </w:r>
      <w:r w:rsidRPr="00421B72">
        <w:rPr>
          <w:rFonts w:cs="Calibri Light"/>
          <w:color w:val="222222"/>
          <w:szCs w:val="22"/>
          <w:shd w:val="clear" w:color="auto" w:fill="FFFFFF"/>
        </w:rPr>
        <w:t>, 130</w:t>
      </w:r>
      <w:r w:rsidR="009F523E">
        <w:rPr>
          <w:rFonts w:cs="Calibri Light"/>
          <w:color w:val="222222"/>
          <w:szCs w:val="22"/>
          <w:shd w:val="clear" w:color="auto" w:fill="FFFFFF"/>
        </w:rPr>
        <w:t>:</w:t>
      </w:r>
      <w:r w:rsidRPr="00421B72">
        <w:rPr>
          <w:rFonts w:cs="Calibri Light"/>
          <w:color w:val="222222"/>
          <w:szCs w:val="22"/>
          <w:shd w:val="clear" w:color="auto" w:fill="FFFFFF"/>
        </w:rPr>
        <w:t>242</w:t>
      </w:r>
      <w:r w:rsidR="009F523E" w:rsidRPr="00707C19">
        <w:t>–</w:t>
      </w:r>
      <w:r w:rsidRPr="00421B72">
        <w:rPr>
          <w:rFonts w:cs="Calibri Light"/>
          <w:color w:val="222222"/>
          <w:szCs w:val="22"/>
          <w:shd w:val="clear" w:color="auto" w:fill="FFFFFF"/>
        </w:rPr>
        <w:t>260.</w:t>
      </w:r>
    </w:p>
    <w:p w14:paraId="2C247918" w14:textId="47F337BB" w:rsidR="00707C19" w:rsidRPr="00707C19" w:rsidRDefault="00707C19" w:rsidP="00BC4F0D">
      <w:pPr>
        <w:pStyle w:val="References"/>
      </w:pPr>
      <w:r w:rsidRPr="00707C19">
        <w:t xml:space="preserve">Bertrand M, </w:t>
      </w:r>
      <w:proofErr w:type="spellStart"/>
      <w:r w:rsidRPr="00707C19">
        <w:t>Kamenica</w:t>
      </w:r>
      <w:proofErr w:type="spellEnd"/>
      <w:r w:rsidRPr="00707C19">
        <w:t xml:space="preserve"> E and Pan J (2015) ‘Gender Identity and Relative Income within Households’, </w:t>
      </w:r>
      <w:r w:rsidRPr="00707C19">
        <w:rPr>
          <w:i/>
          <w:iCs/>
        </w:rPr>
        <w:t>Quarterly Journal of Economics</w:t>
      </w:r>
      <w:r w:rsidRPr="00707C19">
        <w:t xml:space="preserve">, 130(2):571–614. </w:t>
      </w:r>
    </w:p>
    <w:p w14:paraId="0E465A73" w14:textId="77777777" w:rsidR="00707C19" w:rsidRPr="00707C19" w:rsidRDefault="00707C19" w:rsidP="00BC4F0D">
      <w:pPr>
        <w:pStyle w:val="References"/>
      </w:pPr>
      <w:r w:rsidRPr="00707C19">
        <w:t xml:space="preserve">Bittman M, England P, Sayer L, </w:t>
      </w:r>
      <w:proofErr w:type="spellStart"/>
      <w:r w:rsidRPr="00707C19">
        <w:t>Folbre</w:t>
      </w:r>
      <w:proofErr w:type="spellEnd"/>
      <w:r w:rsidRPr="00707C19">
        <w:t xml:space="preserve"> N and Matheson G (2003) ‘When Does Gender Trump Money? Bargaining and Time in Household Work’, </w:t>
      </w:r>
      <w:r w:rsidRPr="00707C19">
        <w:rPr>
          <w:i/>
          <w:iCs/>
        </w:rPr>
        <w:t>American Journal of Sociology</w:t>
      </w:r>
      <w:r w:rsidRPr="00707C19">
        <w:t xml:space="preserve">, 109(1):186–214. </w:t>
      </w:r>
    </w:p>
    <w:p w14:paraId="3C08A141" w14:textId="77777777" w:rsidR="00707C19" w:rsidRPr="00707C19" w:rsidRDefault="00707C19" w:rsidP="00BC4F0D">
      <w:pPr>
        <w:pStyle w:val="References"/>
      </w:pPr>
      <w:proofErr w:type="spellStart"/>
      <w:r w:rsidRPr="00707C19">
        <w:t>Blau</w:t>
      </w:r>
      <w:proofErr w:type="spellEnd"/>
      <w:r w:rsidRPr="00707C19">
        <w:t xml:space="preserve"> FD and Kahn LM (2000) ‘Gender Differences in Pay’, </w:t>
      </w:r>
      <w:r w:rsidRPr="00707C19">
        <w:rPr>
          <w:i/>
          <w:iCs/>
        </w:rPr>
        <w:t>Journal of Economic Perspectives</w:t>
      </w:r>
      <w:r w:rsidRPr="00707C19">
        <w:t>, 14(4):75–99.</w:t>
      </w:r>
    </w:p>
    <w:p w14:paraId="321F0C49" w14:textId="77777777" w:rsidR="00707C19" w:rsidRPr="00707C19" w:rsidRDefault="00707C19" w:rsidP="00BC4F0D">
      <w:pPr>
        <w:pStyle w:val="References"/>
      </w:pPr>
      <w:r w:rsidRPr="00707C19">
        <w:rPr>
          <w:shd w:val="clear" w:color="auto" w:fill="FFFFFF"/>
        </w:rPr>
        <w:t xml:space="preserve">Carter A, </w:t>
      </w:r>
      <w:proofErr w:type="spellStart"/>
      <w:r w:rsidRPr="00707C19">
        <w:rPr>
          <w:shd w:val="clear" w:color="auto" w:fill="FFFFFF"/>
        </w:rPr>
        <w:t>Abhayaratna</w:t>
      </w:r>
      <w:proofErr w:type="spellEnd"/>
      <w:r w:rsidRPr="00707C19">
        <w:rPr>
          <w:shd w:val="clear" w:color="auto" w:fill="FFFFFF"/>
        </w:rPr>
        <w:t xml:space="preserve"> T and Johnson S (2021) ‘The ATO Longitudinal Information Files (</w:t>
      </w:r>
      <w:proofErr w:type="spellStart"/>
      <w:r w:rsidRPr="00707C19">
        <w:rPr>
          <w:shd w:val="clear" w:color="auto" w:fill="FFFFFF"/>
        </w:rPr>
        <w:t>ALife</w:t>
      </w:r>
      <w:proofErr w:type="spellEnd"/>
      <w:r w:rsidRPr="00707C19">
        <w:rPr>
          <w:shd w:val="clear" w:color="auto" w:fill="FFFFFF"/>
        </w:rPr>
        <w:t>): Individuals – A New Dataset for Public Policy Research’, </w:t>
      </w:r>
      <w:r w:rsidRPr="00707C19">
        <w:rPr>
          <w:i/>
          <w:iCs/>
          <w:shd w:val="clear" w:color="auto" w:fill="FFFFFF"/>
        </w:rPr>
        <w:t>Tax and Transfer Policy Institute Working Paper</w:t>
      </w:r>
      <w:r w:rsidRPr="00707C19">
        <w:rPr>
          <w:shd w:val="clear" w:color="auto" w:fill="FFFFFF"/>
        </w:rPr>
        <w:t xml:space="preserve"> </w:t>
      </w:r>
      <w:r w:rsidRPr="00707C19">
        <w:rPr>
          <w:i/>
          <w:iCs/>
          <w:shd w:val="clear" w:color="auto" w:fill="FFFFFF"/>
        </w:rPr>
        <w:t>13</w:t>
      </w:r>
      <w:r w:rsidRPr="00707C19">
        <w:rPr>
          <w:shd w:val="clear" w:color="auto" w:fill="FFFFFF"/>
        </w:rPr>
        <w:t xml:space="preserve">, Crawford School of Public Policy, Canberra. </w:t>
      </w:r>
    </w:p>
    <w:p w14:paraId="6C2725E8" w14:textId="77777777" w:rsidR="00707C19" w:rsidRPr="00707C19" w:rsidRDefault="00707C19" w:rsidP="00BC4F0D">
      <w:pPr>
        <w:pStyle w:val="References"/>
        <w:rPr>
          <w:shd w:val="clear" w:color="auto" w:fill="FFFFFF"/>
        </w:rPr>
      </w:pPr>
      <w:proofErr w:type="spellStart"/>
      <w:r w:rsidRPr="00707C19">
        <w:t>Cavapozzi</w:t>
      </w:r>
      <w:proofErr w:type="spellEnd"/>
      <w:r w:rsidRPr="00707C19">
        <w:t xml:space="preserve"> D, </w:t>
      </w:r>
      <w:proofErr w:type="spellStart"/>
      <w:r w:rsidRPr="00707C19">
        <w:t>Francesconi</w:t>
      </w:r>
      <w:proofErr w:type="spellEnd"/>
      <w:r w:rsidRPr="00707C19">
        <w:t xml:space="preserve"> M and Nicoletti C (</w:t>
      </w:r>
      <w:r w:rsidRPr="00707C19">
        <w:rPr>
          <w:shd w:val="clear" w:color="auto" w:fill="FFFFFF"/>
        </w:rPr>
        <w:t xml:space="preserve">2021) ‘The Impact of Gender Role Norms on Mothers’ Labor Supply’, </w:t>
      </w:r>
      <w:r w:rsidRPr="00707C19">
        <w:rPr>
          <w:i/>
          <w:iCs/>
          <w:shd w:val="clear" w:color="auto" w:fill="FFFFFF"/>
        </w:rPr>
        <w:t>IZA Discussion Paper No. 14219</w:t>
      </w:r>
      <w:r w:rsidRPr="00707C19">
        <w:rPr>
          <w:shd w:val="clear" w:color="auto" w:fill="FFFFFF"/>
        </w:rPr>
        <w:t xml:space="preserve">, Institute of Labor Economics, Bonn. </w:t>
      </w:r>
    </w:p>
    <w:p w14:paraId="34E629DF" w14:textId="77777777" w:rsidR="00707C19" w:rsidRPr="00707C19" w:rsidRDefault="00707C19" w:rsidP="00BC4F0D">
      <w:pPr>
        <w:pStyle w:val="References"/>
      </w:pPr>
      <w:r w:rsidRPr="00707C19">
        <w:t xml:space="preserve">Cortes P and Pan J (2019) ‘When Time Binds: Substitutes for Household Production, Returns to Working Long Hours, and the Skilled Gender Wage Gap’, </w:t>
      </w:r>
      <w:r w:rsidRPr="00707C19">
        <w:rPr>
          <w:i/>
          <w:iCs/>
        </w:rPr>
        <w:t>Journal of Labor Economics</w:t>
      </w:r>
      <w:r w:rsidRPr="00707C19">
        <w:t>, 37(2):351–398.</w:t>
      </w:r>
    </w:p>
    <w:p w14:paraId="7CE11BC3" w14:textId="77777777" w:rsidR="00707C19" w:rsidRPr="00707C19" w:rsidRDefault="00707C19" w:rsidP="00BC4F0D">
      <w:pPr>
        <w:pStyle w:val="References"/>
      </w:pPr>
      <w:r w:rsidRPr="00707C19">
        <w:t xml:space="preserve">Cortes P and Pan J (2020) ‘Children and the Remaining Gender Gaps in the Labor Market’, </w:t>
      </w:r>
      <w:r w:rsidRPr="00707C19">
        <w:rPr>
          <w:i/>
          <w:iCs/>
        </w:rPr>
        <w:t>NBER Working Paper No. 27980</w:t>
      </w:r>
      <w:r w:rsidRPr="00707C19">
        <w:t xml:space="preserve">, </w:t>
      </w:r>
      <w:r w:rsidRPr="00707C19">
        <w:rPr>
          <w:color w:val="222222"/>
          <w:shd w:val="clear" w:color="auto" w:fill="FFFFFF"/>
        </w:rPr>
        <w:t>National Bureau of Economic Research, Cambridge.</w:t>
      </w:r>
    </w:p>
    <w:p w14:paraId="62F2FA2E" w14:textId="77777777" w:rsidR="00707C19" w:rsidRPr="00707C19" w:rsidRDefault="00707C19" w:rsidP="00BC4F0D">
      <w:pPr>
        <w:pStyle w:val="References"/>
        <w:rPr>
          <w:shd w:val="clear" w:color="auto" w:fill="FFFFFF"/>
        </w:rPr>
      </w:pPr>
      <w:proofErr w:type="spellStart"/>
      <w:r w:rsidRPr="00707C19">
        <w:rPr>
          <w:shd w:val="clear" w:color="auto" w:fill="FFFFFF"/>
        </w:rPr>
        <w:t>Criscuolo</w:t>
      </w:r>
      <w:proofErr w:type="spellEnd"/>
      <w:r w:rsidRPr="00707C19">
        <w:rPr>
          <w:shd w:val="clear" w:color="auto" w:fill="FFFFFF"/>
        </w:rPr>
        <w:t xml:space="preserve"> C, Gal P, </w:t>
      </w:r>
      <w:proofErr w:type="spellStart"/>
      <w:r w:rsidRPr="00707C19">
        <w:rPr>
          <w:shd w:val="clear" w:color="auto" w:fill="FFFFFF"/>
        </w:rPr>
        <w:t>Leidecker</w:t>
      </w:r>
      <w:proofErr w:type="spellEnd"/>
      <w:r w:rsidRPr="00707C19">
        <w:rPr>
          <w:shd w:val="clear" w:color="auto" w:fill="FFFFFF"/>
        </w:rPr>
        <w:t xml:space="preserve"> T and Nicoletti G (2021) ‘The Human Side of Productivity: Uncovering the role of skills and diversity for firm productivity’, </w:t>
      </w:r>
      <w:r w:rsidRPr="00707C19">
        <w:rPr>
          <w:i/>
          <w:iCs/>
          <w:shd w:val="clear" w:color="auto" w:fill="FFFFFF"/>
        </w:rPr>
        <w:t>OECD Productivity Working Papers No. 2021-29</w:t>
      </w:r>
      <w:r w:rsidRPr="00707C19">
        <w:rPr>
          <w:shd w:val="clear" w:color="auto" w:fill="FFFFFF"/>
        </w:rPr>
        <w:t>, OECD Publishing, Paris.</w:t>
      </w:r>
    </w:p>
    <w:p w14:paraId="1E7497BF" w14:textId="77777777" w:rsidR="00707C19" w:rsidRPr="00707C19" w:rsidRDefault="00707C19" w:rsidP="00BC4F0D">
      <w:pPr>
        <w:pStyle w:val="References"/>
        <w:rPr>
          <w:shd w:val="clear" w:color="auto" w:fill="FFFFFF"/>
        </w:rPr>
      </w:pPr>
      <w:proofErr w:type="spellStart"/>
      <w:r w:rsidRPr="00707C19">
        <w:rPr>
          <w:shd w:val="clear" w:color="auto" w:fill="FFFFFF"/>
        </w:rPr>
        <w:t>Druedahl</w:t>
      </w:r>
      <w:proofErr w:type="spellEnd"/>
      <w:r w:rsidRPr="00707C19">
        <w:rPr>
          <w:shd w:val="clear" w:color="auto" w:fill="FFFFFF"/>
        </w:rPr>
        <w:t xml:space="preserve"> J, </w:t>
      </w:r>
      <w:proofErr w:type="spellStart"/>
      <w:r w:rsidRPr="00707C19">
        <w:rPr>
          <w:shd w:val="clear" w:color="auto" w:fill="FFFFFF"/>
        </w:rPr>
        <w:t>Ejrnæs</w:t>
      </w:r>
      <w:proofErr w:type="spellEnd"/>
      <w:r w:rsidRPr="00707C19">
        <w:rPr>
          <w:shd w:val="clear" w:color="auto" w:fill="FFFFFF"/>
        </w:rPr>
        <w:t xml:space="preserve"> M and </w:t>
      </w:r>
      <w:proofErr w:type="spellStart"/>
      <w:r w:rsidRPr="00707C19">
        <w:rPr>
          <w:shd w:val="clear" w:color="auto" w:fill="FFFFFF"/>
        </w:rPr>
        <w:t>Jørgensen</w:t>
      </w:r>
      <w:proofErr w:type="spellEnd"/>
      <w:r w:rsidRPr="00707C19">
        <w:rPr>
          <w:shd w:val="clear" w:color="auto" w:fill="FFFFFF"/>
        </w:rPr>
        <w:t xml:space="preserve"> TH (2019) ‘Earmarked paternity leave and the relative income within couples’, </w:t>
      </w:r>
      <w:r w:rsidRPr="00707C19">
        <w:rPr>
          <w:i/>
          <w:iCs/>
          <w:shd w:val="clear" w:color="auto" w:fill="FFFFFF"/>
        </w:rPr>
        <w:t>Economics Letters</w:t>
      </w:r>
      <w:r w:rsidRPr="00707C19">
        <w:rPr>
          <w:shd w:val="clear" w:color="auto" w:fill="FFFFFF"/>
        </w:rPr>
        <w:t>, 180:85</w:t>
      </w:r>
      <w:r w:rsidRPr="00707C19">
        <w:t>–</w:t>
      </w:r>
      <w:r w:rsidRPr="00707C19">
        <w:rPr>
          <w:shd w:val="clear" w:color="auto" w:fill="FFFFFF"/>
        </w:rPr>
        <w:t>88.</w:t>
      </w:r>
    </w:p>
    <w:p w14:paraId="79EE367A" w14:textId="77777777" w:rsidR="00707C19" w:rsidRPr="00707C19" w:rsidRDefault="00707C19" w:rsidP="00BC4F0D">
      <w:pPr>
        <w:pStyle w:val="References"/>
        <w:rPr>
          <w:shd w:val="clear" w:color="auto" w:fill="FFFFFF"/>
        </w:rPr>
      </w:pPr>
      <w:r w:rsidRPr="00707C19">
        <w:rPr>
          <w:shd w:val="clear" w:color="auto" w:fill="FFFFFF"/>
        </w:rPr>
        <w:t xml:space="preserve">Goldin C (2014) ‘A grand gender convergence: Its last chapter’, </w:t>
      </w:r>
      <w:r w:rsidRPr="00707C19">
        <w:rPr>
          <w:i/>
          <w:iCs/>
          <w:shd w:val="clear" w:color="auto" w:fill="FFFFFF"/>
        </w:rPr>
        <w:t>American Economic Review</w:t>
      </w:r>
      <w:r w:rsidRPr="00707C19">
        <w:rPr>
          <w:shd w:val="clear" w:color="auto" w:fill="FFFFFF"/>
        </w:rPr>
        <w:t>, 104(4):1091</w:t>
      </w:r>
      <w:r w:rsidRPr="00707C19">
        <w:t>–</w:t>
      </w:r>
      <w:r w:rsidRPr="00707C19">
        <w:rPr>
          <w:shd w:val="clear" w:color="auto" w:fill="FFFFFF"/>
        </w:rPr>
        <w:t>1119.</w:t>
      </w:r>
    </w:p>
    <w:p w14:paraId="42ACDA16" w14:textId="77777777" w:rsidR="00707C19" w:rsidRPr="00707C19" w:rsidRDefault="00707C19" w:rsidP="00BC4F0D">
      <w:pPr>
        <w:pStyle w:val="References"/>
        <w:rPr>
          <w:shd w:val="clear" w:color="auto" w:fill="FFFFFF"/>
        </w:rPr>
      </w:pPr>
      <w:r w:rsidRPr="00707C19">
        <w:rPr>
          <w:shd w:val="clear" w:color="auto" w:fill="FFFFFF"/>
        </w:rPr>
        <w:t xml:space="preserve">Grosjean P and </w:t>
      </w:r>
      <w:proofErr w:type="spellStart"/>
      <w:r w:rsidRPr="00707C19">
        <w:rPr>
          <w:shd w:val="clear" w:color="auto" w:fill="FFFFFF"/>
        </w:rPr>
        <w:t>Khattar</w:t>
      </w:r>
      <w:proofErr w:type="spellEnd"/>
      <w:r w:rsidRPr="00707C19">
        <w:rPr>
          <w:shd w:val="clear" w:color="auto" w:fill="FFFFFF"/>
        </w:rPr>
        <w:t xml:space="preserve"> R (2019) ‘It’s raining men! Hallelujah? The long-run consequences of male-biased sex ratios’, </w:t>
      </w:r>
      <w:r w:rsidRPr="00707C19">
        <w:rPr>
          <w:i/>
          <w:iCs/>
          <w:shd w:val="clear" w:color="auto" w:fill="FFFFFF"/>
        </w:rPr>
        <w:t>The Review of Economic Studies</w:t>
      </w:r>
      <w:r w:rsidRPr="00707C19">
        <w:rPr>
          <w:shd w:val="clear" w:color="auto" w:fill="FFFFFF"/>
        </w:rPr>
        <w:t>, 86(2):723</w:t>
      </w:r>
      <w:r w:rsidRPr="00707C19">
        <w:t>–</w:t>
      </w:r>
      <w:r w:rsidRPr="00707C19">
        <w:rPr>
          <w:shd w:val="clear" w:color="auto" w:fill="FFFFFF"/>
        </w:rPr>
        <w:t>754.</w:t>
      </w:r>
    </w:p>
    <w:p w14:paraId="7C3749E4" w14:textId="77777777" w:rsidR="00707C19" w:rsidRPr="00707C19" w:rsidRDefault="00707C19" w:rsidP="00BC4F0D">
      <w:pPr>
        <w:pStyle w:val="References"/>
        <w:rPr>
          <w:shd w:val="clear" w:color="auto" w:fill="FFFFFF"/>
        </w:rPr>
      </w:pPr>
      <w:proofErr w:type="spellStart"/>
      <w:r w:rsidRPr="00707C19">
        <w:rPr>
          <w:shd w:val="clear" w:color="auto" w:fill="FFFFFF"/>
        </w:rPr>
        <w:t>Guryan</w:t>
      </w:r>
      <w:proofErr w:type="spellEnd"/>
      <w:r w:rsidRPr="00707C19">
        <w:rPr>
          <w:shd w:val="clear" w:color="auto" w:fill="FFFFFF"/>
        </w:rPr>
        <w:t xml:space="preserve"> J, Hurst H and Kearney M (2008) ‘Parental Education and Parental Time with Children’, </w:t>
      </w:r>
      <w:r w:rsidRPr="00707C19">
        <w:rPr>
          <w:i/>
          <w:iCs/>
          <w:shd w:val="clear" w:color="auto" w:fill="FFFFFF"/>
        </w:rPr>
        <w:t>Journal of Economic Perspectives</w:t>
      </w:r>
      <w:r w:rsidRPr="00707C19">
        <w:rPr>
          <w:shd w:val="clear" w:color="auto" w:fill="FFFFFF"/>
        </w:rPr>
        <w:t>, 22(3):23</w:t>
      </w:r>
      <w:r w:rsidRPr="00707C19">
        <w:t>–</w:t>
      </w:r>
      <w:r w:rsidRPr="00707C19">
        <w:rPr>
          <w:shd w:val="clear" w:color="auto" w:fill="FFFFFF"/>
        </w:rPr>
        <w:t xml:space="preserve">46. </w:t>
      </w:r>
    </w:p>
    <w:p w14:paraId="701AB01A" w14:textId="77777777" w:rsidR="00707C19" w:rsidRPr="00707C19" w:rsidRDefault="00707C19" w:rsidP="00BC4F0D">
      <w:pPr>
        <w:pStyle w:val="References"/>
        <w:rPr>
          <w:color w:val="222222"/>
          <w:shd w:val="clear" w:color="auto" w:fill="FFFFFF"/>
        </w:rPr>
      </w:pPr>
      <w:r w:rsidRPr="00707C19">
        <w:t xml:space="preserve">He H, </w:t>
      </w:r>
      <w:proofErr w:type="spellStart"/>
      <w:r w:rsidRPr="00707C19">
        <w:t>Neumark</w:t>
      </w:r>
      <w:proofErr w:type="spellEnd"/>
      <w:r w:rsidRPr="00707C19">
        <w:t xml:space="preserve"> D and Weng Q (2019) ‘Do workers value flexible jobs? A field experiment’, </w:t>
      </w:r>
      <w:r w:rsidRPr="00707C19">
        <w:rPr>
          <w:i/>
          <w:iCs/>
        </w:rPr>
        <w:t>NBER Working Paper No. 25423</w:t>
      </w:r>
      <w:r w:rsidRPr="00707C19">
        <w:t>,</w:t>
      </w:r>
      <w:r w:rsidRPr="00707C19">
        <w:rPr>
          <w:color w:val="222222"/>
          <w:shd w:val="clear" w:color="auto" w:fill="FFFFFF"/>
        </w:rPr>
        <w:t xml:space="preserve"> National Bureau of Economic Research, Cambridge. </w:t>
      </w:r>
    </w:p>
    <w:p w14:paraId="4AE2D473" w14:textId="77777777" w:rsidR="00707C19" w:rsidRPr="00707C19" w:rsidRDefault="00707C19" w:rsidP="00BC4F0D">
      <w:pPr>
        <w:pStyle w:val="References"/>
        <w:rPr>
          <w:shd w:val="clear" w:color="auto" w:fill="FFFFFF"/>
        </w:rPr>
      </w:pPr>
      <w:proofErr w:type="spellStart"/>
      <w:r w:rsidRPr="00707C19">
        <w:rPr>
          <w:shd w:val="clear" w:color="auto" w:fill="FFFFFF"/>
        </w:rPr>
        <w:t>Kleven</w:t>
      </w:r>
      <w:proofErr w:type="spellEnd"/>
      <w:r w:rsidRPr="00707C19">
        <w:rPr>
          <w:shd w:val="clear" w:color="auto" w:fill="FFFFFF"/>
        </w:rPr>
        <w:t xml:space="preserve"> H, Landais C and </w:t>
      </w:r>
      <w:proofErr w:type="spellStart"/>
      <w:r w:rsidRPr="00707C19">
        <w:rPr>
          <w:shd w:val="clear" w:color="auto" w:fill="FFFFFF"/>
        </w:rPr>
        <w:t>Søgaard</w:t>
      </w:r>
      <w:proofErr w:type="spellEnd"/>
      <w:r w:rsidRPr="00707C19">
        <w:rPr>
          <w:shd w:val="clear" w:color="auto" w:fill="FFFFFF"/>
        </w:rPr>
        <w:t xml:space="preserve"> JE (2019a) ‘Children and gender inequality: Evidence from Denmark’, </w:t>
      </w:r>
      <w:r w:rsidRPr="00707C19">
        <w:rPr>
          <w:i/>
          <w:iCs/>
          <w:shd w:val="clear" w:color="auto" w:fill="FFFFFF"/>
        </w:rPr>
        <w:t>American Economic Journal: Applied Economics</w:t>
      </w:r>
      <w:r w:rsidRPr="00707C19">
        <w:rPr>
          <w:shd w:val="clear" w:color="auto" w:fill="FFFFFF"/>
        </w:rPr>
        <w:t>, 11(4):181</w:t>
      </w:r>
      <w:r w:rsidRPr="00707C19">
        <w:t>–</w:t>
      </w:r>
      <w:r w:rsidRPr="00707C19">
        <w:rPr>
          <w:shd w:val="clear" w:color="auto" w:fill="FFFFFF"/>
        </w:rPr>
        <w:t>209.</w:t>
      </w:r>
    </w:p>
    <w:p w14:paraId="7AFD151E" w14:textId="77777777" w:rsidR="00707C19" w:rsidRPr="00707C19" w:rsidRDefault="00707C19" w:rsidP="00BC4F0D">
      <w:pPr>
        <w:pStyle w:val="References"/>
        <w:rPr>
          <w:shd w:val="clear" w:color="auto" w:fill="FFFFFF"/>
        </w:rPr>
      </w:pPr>
      <w:proofErr w:type="spellStart"/>
      <w:r w:rsidRPr="00707C19">
        <w:rPr>
          <w:shd w:val="clear" w:color="auto" w:fill="FFFFFF"/>
        </w:rPr>
        <w:t>Kleven</w:t>
      </w:r>
      <w:proofErr w:type="spellEnd"/>
      <w:r w:rsidRPr="00707C19">
        <w:rPr>
          <w:shd w:val="clear" w:color="auto" w:fill="FFFFFF"/>
        </w:rPr>
        <w:t xml:space="preserve"> H, Landais C and </w:t>
      </w:r>
      <w:proofErr w:type="spellStart"/>
      <w:r w:rsidRPr="00707C19">
        <w:rPr>
          <w:shd w:val="clear" w:color="auto" w:fill="FFFFFF"/>
        </w:rPr>
        <w:t>Søgaard</w:t>
      </w:r>
      <w:proofErr w:type="spellEnd"/>
      <w:r w:rsidRPr="00707C19">
        <w:rPr>
          <w:shd w:val="clear" w:color="auto" w:fill="FFFFFF"/>
        </w:rPr>
        <w:t xml:space="preserve"> JE (2021), ‘Does biology drive child penalties? Evidence from biological and adoptive families’, </w:t>
      </w:r>
      <w:r w:rsidRPr="00707C19">
        <w:rPr>
          <w:i/>
          <w:iCs/>
          <w:shd w:val="clear" w:color="auto" w:fill="FFFFFF"/>
        </w:rPr>
        <w:t>American Economic Review: Insights</w:t>
      </w:r>
      <w:r w:rsidRPr="00707C19">
        <w:rPr>
          <w:shd w:val="clear" w:color="auto" w:fill="FFFFFF"/>
        </w:rPr>
        <w:t>, 3(2):183</w:t>
      </w:r>
      <w:r w:rsidRPr="00707C19">
        <w:t>–</w:t>
      </w:r>
      <w:r w:rsidRPr="00707C19">
        <w:rPr>
          <w:shd w:val="clear" w:color="auto" w:fill="FFFFFF"/>
        </w:rPr>
        <w:t>198.</w:t>
      </w:r>
    </w:p>
    <w:p w14:paraId="5A201BD4" w14:textId="77777777" w:rsidR="00707C19" w:rsidRPr="00707C19" w:rsidRDefault="00707C19" w:rsidP="00BC4F0D">
      <w:pPr>
        <w:pStyle w:val="References"/>
        <w:rPr>
          <w:shd w:val="clear" w:color="auto" w:fill="FFFFFF"/>
        </w:rPr>
      </w:pPr>
      <w:proofErr w:type="spellStart"/>
      <w:r w:rsidRPr="00707C19">
        <w:rPr>
          <w:shd w:val="clear" w:color="auto" w:fill="FFFFFF"/>
        </w:rPr>
        <w:t>Kleven</w:t>
      </w:r>
      <w:proofErr w:type="spellEnd"/>
      <w:r w:rsidRPr="00707C19">
        <w:rPr>
          <w:shd w:val="clear" w:color="auto" w:fill="FFFFFF"/>
        </w:rPr>
        <w:t xml:space="preserve"> H, Landais C, </w:t>
      </w:r>
      <w:proofErr w:type="spellStart"/>
      <w:r w:rsidRPr="00707C19">
        <w:rPr>
          <w:shd w:val="clear" w:color="auto" w:fill="FFFFFF"/>
        </w:rPr>
        <w:t>Posch</w:t>
      </w:r>
      <w:proofErr w:type="spellEnd"/>
      <w:r w:rsidRPr="00707C19">
        <w:rPr>
          <w:shd w:val="clear" w:color="auto" w:fill="FFFFFF"/>
        </w:rPr>
        <w:t xml:space="preserve"> J, </w:t>
      </w:r>
      <w:proofErr w:type="spellStart"/>
      <w:r w:rsidRPr="00707C19">
        <w:rPr>
          <w:shd w:val="clear" w:color="auto" w:fill="FFFFFF"/>
        </w:rPr>
        <w:t>Steinhauer</w:t>
      </w:r>
      <w:proofErr w:type="spellEnd"/>
      <w:r w:rsidRPr="00707C19">
        <w:rPr>
          <w:shd w:val="clear" w:color="auto" w:fill="FFFFFF"/>
        </w:rPr>
        <w:t xml:space="preserve"> A and </w:t>
      </w:r>
      <w:proofErr w:type="spellStart"/>
      <w:r w:rsidRPr="00707C19">
        <w:rPr>
          <w:shd w:val="clear" w:color="auto" w:fill="FFFFFF"/>
        </w:rPr>
        <w:t>Zweimüller</w:t>
      </w:r>
      <w:proofErr w:type="spellEnd"/>
      <w:r w:rsidRPr="00707C19">
        <w:rPr>
          <w:shd w:val="clear" w:color="auto" w:fill="FFFFFF"/>
        </w:rPr>
        <w:t xml:space="preserve"> J (2019b) ‘Child Penalties across Countries: Evidence and Explanations’, </w:t>
      </w:r>
      <w:r w:rsidRPr="00707C19">
        <w:rPr>
          <w:i/>
          <w:iCs/>
          <w:shd w:val="clear" w:color="auto" w:fill="FFFFFF"/>
        </w:rPr>
        <w:t>AEA Papers and Proceedings</w:t>
      </w:r>
      <w:r w:rsidRPr="00707C19">
        <w:rPr>
          <w:shd w:val="clear" w:color="auto" w:fill="FFFFFF"/>
        </w:rPr>
        <w:t>, 109:122</w:t>
      </w:r>
      <w:r w:rsidRPr="00707C19">
        <w:t>–</w:t>
      </w:r>
      <w:r w:rsidRPr="00707C19">
        <w:rPr>
          <w:shd w:val="clear" w:color="auto" w:fill="FFFFFF"/>
        </w:rPr>
        <w:t>126.</w:t>
      </w:r>
    </w:p>
    <w:p w14:paraId="1CD87EA4" w14:textId="77777777" w:rsidR="00707C19" w:rsidRPr="00707C19" w:rsidRDefault="00707C19" w:rsidP="00BC4F0D">
      <w:pPr>
        <w:pStyle w:val="References"/>
        <w:rPr>
          <w:shd w:val="clear" w:color="auto" w:fill="FFFFFF"/>
        </w:rPr>
      </w:pPr>
      <w:proofErr w:type="spellStart"/>
      <w:r w:rsidRPr="00707C19">
        <w:rPr>
          <w:shd w:val="clear" w:color="auto" w:fill="FFFFFF"/>
        </w:rPr>
        <w:t>Korsgren</w:t>
      </w:r>
      <w:proofErr w:type="spellEnd"/>
      <w:r w:rsidRPr="00707C19">
        <w:rPr>
          <w:shd w:val="clear" w:color="auto" w:fill="FFFFFF"/>
        </w:rPr>
        <w:t xml:space="preserve"> P and van Lent M (2022) ‘Earmarked Paternity Leave and Well-Being’, </w:t>
      </w:r>
      <w:r w:rsidRPr="00707C19">
        <w:rPr>
          <w:i/>
          <w:iCs/>
          <w:shd w:val="clear" w:color="auto" w:fill="FFFFFF"/>
        </w:rPr>
        <w:t>IZA Discussion Paper No. 15022</w:t>
      </w:r>
      <w:r w:rsidRPr="00707C19">
        <w:rPr>
          <w:shd w:val="clear" w:color="auto" w:fill="FFFFFF"/>
        </w:rPr>
        <w:t xml:space="preserve">, Institute of Labor Economics, Bonn. </w:t>
      </w:r>
    </w:p>
    <w:p w14:paraId="387F1F43" w14:textId="77777777" w:rsidR="00707C19" w:rsidRPr="00707C19" w:rsidRDefault="00707C19" w:rsidP="00BC4F0D">
      <w:pPr>
        <w:pStyle w:val="References"/>
        <w:rPr>
          <w:shd w:val="clear" w:color="auto" w:fill="FFFFFF"/>
        </w:rPr>
      </w:pPr>
      <w:proofErr w:type="spellStart"/>
      <w:r w:rsidRPr="00707C19">
        <w:rPr>
          <w:shd w:val="clear" w:color="auto" w:fill="FFFFFF"/>
        </w:rPr>
        <w:t>Kotsadam</w:t>
      </w:r>
      <w:proofErr w:type="spellEnd"/>
      <w:r w:rsidRPr="00707C19">
        <w:rPr>
          <w:shd w:val="clear" w:color="auto" w:fill="FFFFFF"/>
        </w:rPr>
        <w:t xml:space="preserve"> A and </w:t>
      </w:r>
      <w:proofErr w:type="spellStart"/>
      <w:r w:rsidRPr="00707C19">
        <w:rPr>
          <w:shd w:val="clear" w:color="auto" w:fill="FFFFFF"/>
        </w:rPr>
        <w:t>Finseraas</w:t>
      </w:r>
      <w:proofErr w:type="spellEnd"/>
      <w:r w:rsidRPr="00707C19">
        <w:rPr>
          <w:shd w:val="clear" w:color="auto" w:fill="FFFFFF"/>
        </w:rPr>
        <w:t xml:space="preserve"> H (2011) ‘The state intervenes in the battle of the sexes: Causal effects of paternity leave’, </w:t>
      </w:r>
      <w:r w:rsidRPr="00707C19">
        <w:rPr>
          <w:i/>
          <w:iCs/>
          <w:shd w:val="clear" w:color="auto" w:fill="FFFFFF"/>
        </w:rPr>
        <w:t>Social Science Research</w:t>
      </w:r>
      <w:r w:rsidRPr="00707C19">
        <w:rPr>
          <w:shd w:val="clear" w:color="auto" w:fill="FFFFFF"/>
        </w:rPr>
        <w:t>, 40(6):1611</w:t>
      </w:r>
      <w:r w:rsidRPr="00707C19">
        <w:t>–</w:t>
      </w:r>
      <w:r w:rsidRPr="00707C19">
        <w:rPr>
          <w:shd w:val="clear" w:color="auto" w:fill="FFFFFF"/>
        </w:rPr>
        <w:t xml:space="preserve">1622. </w:t>
      </w:r>
    </w:p>
    <w:p w14:paraId="7FDF2454" w14:textId="77777777" w:rsidR="00707C19" w:rsidRPr="00707C19" w:rsidRDefault="00707C19" w:rsidP="00BC4F0D">
      <w:pPr>
        <w:pStyle w:val="References"/>
        <w:rPr>
          <w:shd w:val="clear" w:color="auto" w:fill="FFFFFF"/>
        </w:rPr>
      </w:pPr>
      <w:proofErr w:type="spellStart"/>
      <w:r w:rsidRPr="00707C19">
        <w:rPr>
          <w:shd w:val="clear" w:color="auto" w:fill="FFFFFF"/>
        </w:rPr>
        <w:t>Kuziemko</w:t>
      </w:r>
      <w:proofErr w:type="spellEnd"/>
      <w:r w:rsidRPr="00707C19">
        <w:rPr>
          <w:shd w:val="clear" w:color="auto" w:fill="FFFFFF"/>
        </w:rPr>
        <w:t xml:space="preserve"> I, Pan J, Shen J and Washington E (2020) ‘The Mommy Effect: Do Women Anticipate the Employment Effects of Motherhood?’, </w:t>
      </w:r>
      <w:r w:rsidRPr="00707C19">
        <w:rPr>
          <w:i/>
          <w:iCs/>
          <w:shd w:val="clear" w:color="auto" w:fill="FFFFFF"/>
        </w:rPr>
        <w:t>NBER Working Paper No. 24740</w:t>
      </w:r>
      <w:r w:rsidRPr="00707C19">
        <w:rPr>
          <w:shd w:val="clear" w:color="auto" w:fill="FFFFFF"/>
        </w:rPr>
        <w:t xml:space="preserve">, National Bureau of Economic Research, Cambridge. </w:t>
      </w:r>
    </w:p>
    <w:p w14:paraId="2E81A64C" w14:textId="77777777" w:rsidR="00707C19" w:rsidRPr="00707C19" w:rsidRDefault="00707C19" w:rsidP="00BC4F0D">
      <w:pPr>
        <w:pStyle w:val="References"/>
        <w:rPr>
          <w:color w:val="222222"/>
          <w:shd w:val="clear" w:color="auto" w:fill="FFFFFF"/>
        </w:rPr>
      </w:pPr>
      <w:r w:rsidRPr="00707C19">
        <w:t xml:space="preserve">Maestas N, Mullen KJ, Powell D, von Wachter T, and Wenger JB (2018) ‘The value of working conditions in the United States and implications for the structure of wages’, </w:t>
      </w:r>
      <w:r w:rsidRPr="00707C19">
        <w:rPr>
          <w:i/>
          <w:iCs/>
        </w:rPr>
        <w:t>NBER Working Paper No. 25204</w:t>
      </w:r>
      <w:r w:rsidRPr="00707C19">
        <w:t xml:space="preserve">, </w:t>
      </w:r>
      <w:r w:rsidRPr="00707C19">
        <w:rPr>
          <w:color w:val="222222"/>
          <w:shd w:val="clear" w:color="auto" w:fill="FFFFFF"/>
        </w:rPr>
        <w:t>National Bureau of Economic Research, Cambridge.</w:t>
      </w:r>
    </w:p>
    <w:p w14:paraId="3ED58E25" w14:textId="77777777" w:rsidR="00707C19" w:rsidRPr="00707C19" w:rsidRDefault="00707C19" w:rsidP="004D124D">
      <w:pPr>
        <w:pStyle w:val="References"/>
        <w:rPr>
          <w:bdr w:val="none" w:sz="0" w:space="0" w:color="auto" w:frame="1"/>
          <w:shd w:val="clear" w:color="auto" w:fill="FFFFFF"/>
        </w:rPr>
      </w:pPr>
      <w:r w:rsidRPr="00707C19">
        <w:rPr>
          <w:shd w:val="clear" w:color="auto" w:fill="FFFFFF"/>
        </w:rPr>
        <w:t xml:space="preserve">Mas A and </w:t>
      </w:r>
      <w:proofErr w:type="spellStart"/>
      <w:r w:rsidRPr="00707C19">
        <w:rPr>
          <w:shd w:val="clear" w:color="auto" w:fill="FFFFFF"/>
        </w:rPr>
        <w:t>Pallais</w:t>
      </w:r>
      <w:proofErr w:type="spellEnd"/>
      <w:r w:rsidRPr="00707C19">
        <w:rPr>
          <w:shd w:val="clear" w:color="auto" w:fill="FFFFFF"/>
        </w:rPr>
        <w:t xml:space="preserve"> A (</w:t>
      </w:r>
      <w:r w:rsidRPr="00707C19">
        <w:rPr>
          <w:bdr w:val="none" w:sz="0" w:space="0" w:color="auto" w:frame="1"/>
          <w:shd w:val="clear" w:color="auto" w:fill="FFFFFF"/>
        </w:rPr>
        <w:t>2017)</w:t>
      </w:r>
      <w:r w:rsidRPr="00707C19">
        <w:rPr>
          <w:shd w:val="clear" w:color="auto" w:fill="FFFFFF"/>
        </w:rPr>
        <w:t> </w:t>
      </w:r>
      <w:r w:rsidRPr="00707C19">
        <w:rPr>
          <w:bdr w:val="none" w:sz="0" w:space="0" w:color="auto" w:frame="1"/>
          <w:shd w:val="clear" w:color="auto" w:fill="FFFFFF"/>
        </w:rPr>
        <w:t>‘Valuing Alternative Work Arrangements’,</w:t>
      </w:r>
      <w:r w:rsidRPr="00707C19">
        <w:rPr>
          <w:shd w:val="clear" w:color="auto" w:fill="FFFFFF"/>
        </w:rPr>
        <w:t> </w:t>
      </w:r>
      <w:r w:rsidRPr="00707C19">
        <w:rPr>
          <w:i/>
          <w:iCs/>
          <w:bdr w:val="none" w:sz="0" w:space="0" w:color="auto" w:frame="1"/>
          <w:shd w:val="clear" w:color="auto" w:fill="FFFFFF"/>
        </w:rPr>
        <w:t>American Economic Review</w:t>
      </w:r>
      <w:r w:rsidRPr="00707C19">
        <w:rPr>
          <w:shd w:val="clear" w:color="auto" w:fill="FFFFFF"/>
        </w:rPr>
        <w:t>, </w:t>
      </w:r>
      <w:r w:rsidRPr="00707C19">
        <w:rPr>
          <w:bdr w:val="none" w:sz="0" w:space="0" w:color="auto" w:frame="1"/>
          <w:shd w:val="clear" w:color="auto" w:fill="FFFFFF"/>
        </w:rPr>
        <w:t>107 (12):3722</w:t>
      </w:r>
      <w:r w:rsidRPr="00707C19">
        <w:t>–</w:t>
      </w:r>
      <w:r w:rsidRPr="00707C19">
        <w:rPr>
          <w:bdr w:val="none" w:sz="0" w:space="0" w:color="auto" w:frame="1"/>
          <w:shd w:val="clear" w:color="auto" w:fill="FFFFFF"/>
        </w:rPr>
        <w:t>3759.</w:t>
      </w:r>
    </w:p>
    <w:p w14:paraId="21BB07CC" w14:textId="77777777" w:rsidR="00707C19" w:rsidRPr="00707C19" w:rsidRDefault="00707C19" w:rsidP="004D124D">
      <w:pPr>
        <w:pStyle w:val="References"/>
        <w:rPr>
          <w:bdr w:val="none" w:sz="0" w:space="0" w:color="auto" w:frame="1"/>
          <w:shd w:val="clear" w:color="auto" w:fill="FFFFFF"/>
        </w:rPr>
      </w:pPr>
      <w:r w:rsidRPr="00707C19">
        <w:rPr>
          <w:shd w:val="clear" w:color="auto" w:fill="FFFFFF"/>
        </w:rPr>
        <w:t xml:space="preserve">Mas A and </w:t>
      </w:r>
      <w:proofErr w:type="spellStart"/>
      <w:r w:rsidRPr="00707C19">
        <w:rPr>
          <w:shd w:val="clear" w:color="auto" w:fill="FFFFFF"/>
        </w:rPr>
        <w:t>Pallais</w:t>
      </w:r>
      <w:proofErr w:type="spellEnd"/>
      <w:r w:rsidRPr="00707C19">
        <w:rPr>
          <w:shd w:val="clear" w:color="auto" w:fill="FFFFFF"/>
        </w:rPr>
        <w:t xml:space="preserve"> A (</w:t>
      </w:r>
      <w:r w:rsidRPr="00707C19">
        <w:rPr>
          <w:bdr w:val="none" w:sz="0" w:space="0" w:color="auto" w:frame="1"/>
          <w:shd w:val="clear" w:color="auto" w:fill="FFFFFF"/>
        </w:rPr>
        <w:t xml:space="preserve">2020) ‘Alternative Work Arrangements’, </w:t>
      </w:r>
      <w:r w:rsidRPr="00707C19">
        <w:rPr>
          <w:i/>
          <w:iCs/>
          <w:shd w:val="clear" w:color="auto" w:fill="FFFFFF"/>
        </w:rPr>
        <w:t xml:space="preserve">NBER </w:t>
      </w:r>
      <w:r w:rsidRPr="00707C19">
        <w:rPr>
          <w:i/>
          <w:iCs/>
        </w:rPr>
        <w:t>Working Paper No. 26605</w:t>
      </w:r>
      <w:r w:rsidRPr="00707C19">
        <w:t xml:space="preserve">, </w:t>
      </w:r>
      <w:r w:rsidRPr="00707C19">
        <w:rPr>
          <w:color w:val="222222"/>
          <w:shd w:val="clear" w:color="auto" w:fill="FFFFFF"/>
        </w:rPr>
        <w:t>National Bureau of Economic Research, Cambridge.</w:t>
      </w:r>
    </w:p>
    <w:p w14:paraId="1F26D53C" w14:textId="77777777" w:rsidR="00707C19" w:rsidRPr="00707C19" w:rsidRDefault="00707C19" w:rsidP="004D124D">
      <w:pPr>
        <w:pStyle w:val="References"/>
        <w:rPr>
          <w:shd w:val="clear" w:color="auto" w:fill="FFFFFF"/>
        </w:rPr>
      </w:pPr>
      <w:proofErr w:type="spellStart"/>
      <w:r w:rsidRPr="00707C19">
        <w:rPr>
          <w:shd w:val="clear" w:color="auto" w:fill="FFFFFF"/>
        </w:rPr>
        <w:t>Neumark</w:t>
      </w:r>
      <w:proofErr w:type="spellEnd"/>
      <w:r w:rsidRPr="00707C19">
        <w:rPr>
          <w:shd w:val="clear" w:color="auto" w:fill="FFFFFF"/>
        </w:rPr>
        <w:t xml:space="preserve"> D, Bank RJ and van Nort KD (1996) ‘Sex Discrimination in Restaurant Hiring: An Audit Study’, </w:t>
      </w:r>
      <w:r w:rsidRPr="00707C19">
        <w:rPr>
          <w:i/>
          <w:iCs/>
          <w:shd w:val="clear" w:color="auto" w:fill="FFFFFF"/>
        </w:rPr>
        <w:t>The Quarterly Journal of Economics</w:t>
      </w:r>
      <w:r w:rsidRPr="00707C19">
        <w:rPr>
          <w:shd w:val="clear" w:color="auto" w:fill="FFFFFF"/>
        </w:rPr>
        <w:t>, 111(3):915</w:t>
      </w:r>
      <w:r w:rsidRPr="00707C19">
        <w:t>–</w:t>
      </w:r>
      <w:r w:rsidRPr="00707C19">
        <w:rPr>
          <w:shd w:val="clear" w:color="auto" w:fill="FFFFFF"/>
        </w:rPr>
        <w:t xml:space="preserve">941. </w:t>
      </w:r>
    </w:p>
    <w:p w14:paraId="2FCF1426" w14:textId="77777777" w:rsidR="00707C19" w:rsidRPr="00707C19" w:rsidRDefault="00707C19" w:rsidP="004D124D">
      <w:pPr>
        <w:pStyle w:val="References"/>
        <w:rPr>
          <w:shd w:val="clear" w:color="auto" w:fill="FFFFFF"/>
        </w:rPr>
      </w:pPr>
      <w:r w:rsidRPr="00707C19">
        <w:rPr>
          <w:shd w:val="clear" w:color="auto" w:fill="FFFFFF"/>
        </w:rPr>
        <w:t xml:space="preserve">Organisation for Economic Cooperation and Development (2020) </w:t>
      </w:r>
      <w:hyperlink r:id="rId40" w:history="1">
        <w:r w:rsidRPr="00707C19">
          <w:rPr>
            <w:rStyle w:val="Hyperlink"/>
            <w:rFonts w:cs="Calibri Light"/>
            <w:i/>
            <w:iCs/>
            <w:shd w:val="clear" w:color="auto" w:fill="FFFFFF"/>
          </w:rPr>
          <w:t xml:space="preserve">Is </w:t>
        </w:r>
        <w:proofErr w:type="gramStart"/>
        <w:r w:rsidRPr="00707C19">
          <w:rPr>
            <w:rStyle w:val="Hyperlink"/>
            <w:rFonts w:cs="Calibri Light"/>
            <w:i/>
            <w:iCs/>
            <w:shd w:val="clear" w:color="auto" w:fill="FFFFFF"/>
          </w:rPr>
          <w:t>Child care</w:t>
        </w:r>
        <w:proofErr w:type="gramEnd"/>
        <w:r w:rsidRPr="00707C19">
          <w:rPr>
            <w:rStyle w:val="Hyperlink"/>
            <w:rFonts w:cs="Calibri Light"/>
            <w:i/>
            <w:iCs/>
            <w:shd w:val="clear" w:color="auto" w:fill="FFFFFF"/>
          </w:rPr>
          <w:t xml:space="preserve"> Affordable?</w:t>
        </w:r>
        <w:r w:rsidRPr="00707C19">
          <w:rPr>
            <w:rStyle w:val="Hyperlink"/>
            <w:rFonts w:cs="Calibri Light"/>
            <w:shd w:val="clear" w:color="auto" w:fill="FFFFFF"/>
          </w:rPr>
          <w:t xml:space="preserve"> </w:t>
        </w:r>
        <w:r w:rsidRPr="00707C19">
          <w:rPr>
            <w:rStyle w:val="Hyperlink"/>
            <w:rFonts w:cs="Calibri Light"/>
            <w:i/>
            <w:iCs/>
            <w:shd w:val="clear" w:color="auto" w:fill="FFFFFF"/>
          </w:rPr>
          <w:t>Policy Brief on Employment, Labour and Social Affairs</w:t>
        </w:r>
      </w:hyperlink>
      <w:r w:rsidRPr="00707C19">
        <w:rPr>
          <w:shd w:val="clear" w:color="auto" w:fill="FFFFFF"/>
        </w:rPr>
        <w:t>, OECD Publishing, Paris.</w:t>
      </w:r>
    </w:p>
    <w:p w14:paraId="3644B5DF" w14:textId="77777777" w:rsidR="00707C19" w:rsidRPr="00707C19" w:rsidRDefault="00707C19" w:rsidP="004D124D">
      <w:pPr>
        <w:pStyle w:val="References"/>
        <w:rPr>
          <w:shd w:val="clear" w:color="auto" w:fill="FFFFFF"/>
        </w:rPr>
      </w:pPr>
      <w:proofErr w:type="spellStart"/>
      <w:r w:rsidRPr="00707C19">
        <w:rPr>
          <w:shd w:val="clear" w:color="auto" w:fill="FFFFFF"/>
        </w:rPr>
        <w:t>Ostry</w:t>
      </w:r>
      <w:proofErr w:type="spellEnd"/>
      <w:r w:rsidRPr="00707C19">
        <w:rPr>
          <w:shd w:val="clear" w:color="auto" w:fill="FFFFFF"/>
        </w:rPr>
        <w:t xml:space="preserve"> JD, Alvarez J, Espinoza R and </w:t>
      </w:r>
      <w:proofErr w:type="spellStart"/>
      <w:r w:rsidRPr="00707C19">
        <w:rPr>
          <w:shd w:val="clear" w:color="auto" w:fill="FFFFFF"/>
        </w:rPr>
        <w:t>Papageorgiou</w:t>
      </w:r>
      <w:proofErr w:type="spellEnd"/>
      <w:r w:rsidRPr="00707C19">
        <w:rPr>
          <w:shd w:val="clear" w:color="auto" w:fill="FFFFFF"/>
        </w:rPr>
        <w:t xml:space="preserve"> C (2018) ‘Economic Gains from Gender Inclusion: New Mechanisms, New Evidence’, </w:t>
      </w:r>
      <w:r w:rsidRPr="00707C19">
        <w:rPr>
          <w:i/>
          <w:iCs/>
          <w:shd w:val="clear" w:color="auto" w:fill="FFFFFF"/>
        </w:rPr>
        <w:t>IMF Staff Discussion Note No. 2018/006</w:t>
      </w:r>
      <w:r w:rsidRPr="00707C19">
        <w:rPr>
          <w:shd w:val="clear" w:color="auto" w:fill="FFFFFF"/>
        </w:rPr>
        <w:t>, International Monetary Fund, Washington.</w:t>
      </w:r>
    </w:p>
    <w:p w14:paraId="0501EB1B" w14:textId="77777777" w:rsidR="00707C19" w:rsidRPr="00707C19" w:rsidRDefault="00707C19" w:rsidP="004D124D">
      <w:pPr>
        <w:pStyle w:val="References"/>
        <w:rPr>
          <w:shd w:val="clear" w:color="auto" w:fill="FFFFFF"/>
        </w:rPr>
      </w:pPr>
      <w:r w:rsidRPr="00707C19">
        <w:rPr>
          <w:shd w:val="clear" w:color="auto" w:fill="FFFFFF"/>
        </w:rPr>
        <w:t xml:space="preserve">Patnaik A (2019) ‘Reserving time for daddy: The consequences of fathers’ quotas’, </w:t>
      </w:r>
      <w:r w:rsidRPr="00707C19">
        <w:rPr>
          <w:i/>
          <w:iCs/>
          <w:shd w:val="clear" w:color="auto" w:fill="FFFFFF"/>
        </w:rPr>
        <w:t>Journal of Labor Economics</w:t>
      </w:r>
      <w:r w:rsidRPr="00707C19">
        <w:rPr>
          <w:shd w:val="clear" w:color="auto" w:fill="FFFFFF"/>
        </w:rPr>
        <w:t>, 37(4):1009</w:t>
      </w:r>
      <w:r w:rsidRPr="00707C19">
        <w:t>–</w:t>
      </w:r>
      <w:r w:rsidRPr="00707C19">
        <w:rPr>
          <w:shd w:val="clear" w:color="auto" w:fill="FFFFFF"/>
        </w:rPr>
        <w:t>1059.</w:t>
      </w:r>
    </w:p>
    <w:p w14:paraId="35A51C0A" w14:textId="77777777" w:rsidR="00707C19" w:rsidRPr="00707C19" w:rsidRDefault="00707C19" w:rsidP="004D124D">
      <w:pPr>
        <w:pStyle w:val="References"/>
        <w:rPr>
          <w:shd w:val="clear" w:color="auto" w:fill="FFFFFF"/>
        </w:rPr>
      </w:pPr>
      <w:r w:rsidRPr="00707C19">
        <w:rPr>
          <w:shd w:val="clear" w:color="auto" w:fill="FFFFFF"/>
        </w:rPr>
        <w:t xml:space="preserve">Pocock B (1999) ‘Equal Pay Thirty Years On: The Policy and Practice’, </w:t>
      </w:r>
      <w:r w:rsidRPr="00707C19">
        <w:rPr>
          <w:i/>
          <w:shd w:val="clear" w:color="auto" w:fill="FFFFFF"/>
        </w:rPr>
        <w:t>Australian Economic Review</w:t>
      </w:r>
      <w:r w:rsidRPr="00707C19">
        <w:rPr>
          <w:shd w:val="clear" w:color="auto" w:fill="FFFFFF"/>
        </w:rPr>
        <w:t>, 32(3):279–285.</w:t>
      </w:r>
    </w:p>
    <w:p w14:paraId="1A316C13" w14:textId="77777777" w:rsidR="00707C19" w:rsidRPr="00707C19" w:rsidRDefault="00707C19" w:rsidP="004D124D">
      <w:pPr>
        <w:pStyle w:val="References"/>
        <w:rPr>
          <w:shd w:val="clear" w:color="auto" w:fill="FFFFFF"/>
        </w:rPr>
      </w:pPr>
      <w:r w:rsidRPr="00707C19">
        <w:rPr>
          <w:shd w:val="clear" w:color="auto" w:fill="FFFFFF"/>
        </w:rPr>
        <w:t xml:space="preserve">Rosenbaum P (2021) ‘Pregnancy or motherhood cost? A comparison of the child penalty for adopting and biological parents’, </w:t>
      </w:r>
      <w:r w:rsidRPr="00707C19">
        <w:rPr>
          <w:i/>
          <w:iCs/>
          <w:shd w:val="clear" w:color="auto" w:fill="FFFFFF"/>
        </w:rPr>
        <w:t>Applied Economics</w:t>
      </w:r>
      <w:r w:rsidRPr="00707C19">
        <w:rPr>
          <w:shd w:val="clear" w:color="auto" w:fill="FFFFFF"/>
        </w:rPr>
        <w:t>, 53(29):3408</w:t>
      </w:r>
      <w:r w:rsidRPr="00707C19">
        <w:t>–</w:t>
      </w:r>
      <w:r w:rsidRPr="00707C19">
        <w:rPr>
          <w:shd w:val="clear" w:color="auto" w:fill="FFFFFF"/>
        </w:rPr>
        <w:t>3422.</w:t>
      </w:r>
    </w:p>
    <w:p w14:paraId="750BD078" w14:textId="77777777" w:rsidR="00707C19" w:rsidRPr="00707C19" w:rsidRDefault="00707C19" w:rsidP="004D124D">
      <w:pPr>
        <w:pStyle w:val="References"/>
        <w:rPr>
          <w:shd w:val="clear" w:color="auto" w:fill="FFFFFF"/>
        </w:rPr>
      </w:pPr>
      <w:proofErr w:type="spellStart"/>
      <w:r w:rsidRPr="00707C19">
        <w:rPr>
          <w:shd w:val="clear" w:color="auto" w:fill="FFFFFF"/>
        </w:rPr>
        <w:t>Sieppi</w:t>
      </w:r>
      <w:proofErr w:type="spellEnd"/>
      <w:r w:rsidRPr="00707C19">
        <w:rPr>
          <w:shd w:val="clear" w:color="auto" w:fill="FFFFFF"/>
        </w:rPr>
        <w:t xml:space="preserve"> A and </w:t>
      </w:r>
      <w:proofErr w:type="spellStart"/>
      <w:r w:rsidRPr="00707C19">
        <w:rPr>
          <w:shd w:val="clear" w:color="auto" w:fill="FFFFFF"/>
        </w:rPr>
        <w:t>Pehkonen</w:t>
      </w:r>
      <w:proofErr w:type="spellEnd"/>
      <w:r w:rsidRPr="00707C19">
        <w:rPr>
          <w:shd w:val="clear" w:color="auto" w:fill="FFFFFF"/>
        </w:rPr>
        <w:t xml:space="preserve"> J (2019) ‘Parenthood and gender inequality: Population-based evidence on the child penalty in Finland’, </w:t>
      </w:r>
      <w:r w:rsidRPr="00707C19">
        <w:rPr>
          <w:i/>
          <w:shd w:val="clear" w:color="auto" w:fill="FFFFFF"/>
        </w:rPr>
        <w:t>Economics letters</w:t>
      </w:r>
      <w:r w:rsidRPr="00707C19">
        <w:rPr>
          <w:shd w:val="clear" w:color="auto" w:fill="FFFFFF"/>
        </w:rPr>
        <w:t>, 182:5</w:t>
      </w:r>
      <w:r w:rsidRPr="00707C19">
        <w:t>–</w:t>
      </w:r>
      <w:r w:rsidRPr="00707C19">
        <w:rPr>
          <w:shd w:val="clear" w:color="auto" w:fill="FFFFFF"/>
        </w:rPr>
        <w:t xml:space="preserve">9. </w:t>
      </w:r>
    </w:p>
    <w:p w14:paraId="614974F1" w14:textId="77777777" w:rsidR="00707C19" w:rsidRPr="00707C19" w:rsidRDefault="00707C19" w:rsidP="004D124D">
      <w:pPr>
        <w:pStyle w:val="References"/>
      </w:pPr>
      <w:r w:rsidRPr="00707C19">
        <w:t xml:space="preserve">Wasserman M (2022) ‘Hours Constraints, Occupational Choice, and Gender: Evidence from Medical Residents’, </w:t>
      </w:r>
      <w:r w:rsidRPr="00707C19">
        <w:rPr>
          <w:i/>
          <w:iCs/>
        </w:rPr>
        <w:t>The Review of Economic Studies</w:t>
      </w:r>
      <w:r w:rsidRPr="00707C19">
        <w:t xml:space="preserve">, Advance online publication. </w:t>
      </w:r>
    </w:p>
    <w:p w14:paraId="5A182A60" w14:textId="12038DA7" w:rsidR="00707C19" w:rsidRPr="00707C19" w:rsidRDefault="00707C19" w:rsidP="004D124D">
      <w:pPr>
        <w:pStyle w:val="References"/>
        <w:rPr>
          <w:shd w:val="clear" w:color="auto" w:fill="FFFFFF"/>
        </w:rPr>
      </w:pPr>
      <w:r w:rsidRPr="00707C19">
        <w:rPr>
          <w:shd w:val="clear" w:color="auto" w:fill="FFFFFF"/>
        </w:rPr>
        <w:t xml:space="preserve">Wood D, Griffiths K and Emslie O (2020) ‘Cheaper </w:t>
      </w:r>
      <w:proofErr w:type="gramStart"/>
      <w:r w:rsidRPr="00707C19">
        <w:rPr>
          <w:shd w:val="clear" w:color="auto" w:fill="FFFFFF"/>
        </w:rPr>
        <w:t>child care</w:t>
      </w:r>
      <w:proofErr w:type="gramEnd"/>
      <w:r w:rsidRPr="00707C19">
        <w:rPr>
          <w:shd w:val="clear" w:color="auto" w:fill="FFFFFF"/>
        </w:rPr>
        <w:t xml:space="preserve">: A practical plan to boost female workforce participation’, Grattan Institute, Melbourne. </w:t>
      </w:r>
    </w:p>
    <w:p w14:paraId="6C1E8322" w14:textId="27F5B789" w:rsidR="00707C19" w:rsidRPr="00707C19" w:rsidRDefault="00707C19" w:rsidP="004D124D">
      <w:pPr>
        <w:pStyle w:val="References"/>
        <w:rPr>
          <w:rStyle w:val="Hyperlink"/>
          <w:rFonts w:cs="Calibri Light"/>
        </w:rPr>
      </w:pPr>
      <w:r w:rsidRPr="00707C19">
        <w:t>Workplace Gender Equality Agency (WGEA) (202</w:t>
      </w:r>
      <w:r w:rsidR="00F469B7">
        <w:t>3</w:t>
      </w:r>
      <w:r w:rsidRPr="00707C19">
        <w:t xml:space="preserve">) </w:t>
      </w:r>
      <w:hyperlink r:id="rId41" w:history="1">
        <w:r w:rsidRPr="00707C19">
          <w:rPr>
            <w:rStyle w:val="Hyperlink"/>
            <w:rFonts w:cs="Calibri Light"/>
            <w:i/>
            <w:iCs/>
          </w:rPr>
          <w:t>Australia’s Gender Pay Gap Statistics</w:t>
        </w:r>
      </w:hyperlink>
      <w:r w:rsidRPr="00707C19">
        <w:rPr>
          <w:i/>
          <w:iCs/>
        </w:rPr>
        <w:t xml:space="preserve"> – </w:t>
      </w:r>
      <w:r w:rsidRPr="00707C19">
        <w:t>February 202</w:t>
      </w:r>
      <w:r w:rsidR="00616CDB">
        <w:t>3</w:t>
      </w:r>
      <w:r w:rsidRPr="00707C19">
        <w:t xml:space="preserve">, accessed </w:t>
      </w:r>
      <w:r w:rsidR="00616CDB">
        <w:t>8 March</w:t>
      </w:r>
      <w:r w:rsidRPr="00707C19">
        <w:t xml:space="preserve"> 202</w:t>
      </w:r>
      <w:r w:rsidR="00616CDB">
        <w:t>3</w:t>
      </w:r>
      <w:r w:rsidRPr="00707C19">
        <w:t>.</w:t>
      </w:r>
      <w:r w:rsidR="00FF7AC3">
        <w:t xml:space="preserve"> </w:t>
      </w:r>
    </w:p>
    <w:p w14:paraId="45168D2E" w14:textId="4B262C1E" w:rsidR="00707C19" w:rsidRPr="00707C19" w:rsidRDefault="00707C19" w:rsidP="004D124D">
      <w:pPr>
        <w:pStyle w:val="References"/>
        <w:rPr>
          <w:shd w:val="clear" w:color="auto" w:fill="FFFFFF"/>
        </w:rPr>
      </w:pPr>
      <w:r w:rsidRPr="00707C19">
        <w:rPr>
          <w:shd w:val="clear" w:color="auto" w:fill="FFFFFF"/>
        </w:rPr>
        <w:t xml:space="preserve">Yu W and Hara Y (2021) ‘Motherhood Penalties and Fatherhood Premiums: Effects of Parenthood on Earnings Growth Within and Across Firms’, </w:t>
      </w:r>
      <w:r w:rsidRPr="00707C19">
        <w:rPr>
          <w:i/>
          <w:shd w:val="clear" w:color="auto" w:fill="FFFFFF"/>
        </w:rPr>
        <w:t>Demography</w:t>
      </w:r>
      <w:r w:rsidRPr="00707C19">
        <w:rPr>
          <w:shd w:val="clear" w:color="auto" w:fill="FFFFFF"/>
        </w:rPr>
        <w:t>, 58(1):247</w:t>
      </w:r>
      <w:r w:rsidRPr="00707C19">
        <w:t>–</w:t>
      </w:r>
      <w:r w:rsidRPr="00707C19">
        <w:rPr>
          <w:shd w:val="clear" w:color="auto" w:fill="FFFFFF"/>
        </w:rPr>
        <w:t xml:space="preserve">272. </w:t>
      </w:r>
    </w:p>
    <w:p w14:paraId="3740180A" w14:textId="77777777" w:rsidR="00F012EA" w:rsidRDefault="00F012EA" w:rsidP="008627B1"/>
    <w:p w14:paraId="626D7D0A" w14:textId="0115AAA4" w:rsidR="00697AD0" w:rsidRDefault="00697AD0" w:rsidP="008627B1">
      <w:pPr>
        <w:sectPr w:rsidR="00697AD0" w:rsidSect="00F26FFC">
          <w:pgSz w:w="11906" w:h="16838" w:code="9"/>
          <w:pgMar w:top="1843" w:right="1418" w:bottom="1418" w:left="1418" w:header="709" w:footer="709" w:gutter="0"/>
          <w:cols w:space="708"/>
          <w:titlePg/>
          <w:docGrid w:linePitch="360"/>
        </w:sectPr>
      </w:pPr>
    </w:p>
    <w:p w14:paraId="1D62D0B6" w14:textId="332046F3" w:rsidR="00F012EA" w:rsidRDefault="00F26FFC" w:rsidP="00F012EA">
      <w:pPr>
        <w:pStyle w:val="AppendixHeadingLevel2NotNumbered"/>
      </w:pPr>
      <w:r>
        <w:t>Appendix</w:t>
      </w:r>
    </w:p>
    <w:p w14:paraId="1A10035B" w14:textId="2C70CDE0" w:rsidR="00F012EA" w:rsidRPr="00F26FFC" w:rsidRDefault="00F26FFC" w:rsidP="00191DDA">
      <w:pPr>
        <w:pStyle w:val="Heading3"/>
      </w:pPr>
      <w:r w:rsidRPr="00F26FFC">
        <w:t xml:space="preserve">Penalties using </w:t>
      </w:r>
      <w:proofErr w:type="spellStart"/>
      <w:r w:rsidRPr="00F26FFC">
        <w:t>ALife</w:t>
      </w:r>
      <w:proofErr w:type="spellEnd"/>
      <w:r w:rsidRPr="00F26FFC">
        <w:t xml:space="preserve"> </w:t>
      </w:r>
      <w:proofErr w:type="gramStart"/>
      <w:r w:rsidRPr="00F26FFC">
        <w:t>data</w:t>
      </w:r>
      <w:proofErr w:type="gramEnd"/>
    </w:p>
    <w:p w14:paraId="22951B01" w14:textId="716745A5" w:rsidR="00F26FFC" w:rsidRDefault="00F26FFC" w:rsidP="00F26FFC">
      <w:r>
        <w:t xml:space="preserve">As described in the data section, the </w:t>
      </w:r>
      <w:proofErr w:type="spellStart"/>
      <w:r>
        <w:t>ALife</w:t>
      </w:r>
      <w:proofErr w:type="spellEnd"/>
      <w:r>
        <w:t xml:space="preserve"> data provides longitudinal tax return data from the 1991 financial</w:t>
      </w:r>
      <w:r w:rsidR="00C35188">
        <w:t xml:space="preserve"> </w:t>
      </w:r>
      <w:r>
        <w:t xml:space="preserve">year onwards. This allows us to extend our analysis to follow individuals for </w:t>
      </w:r>
      <w:r w:rsidR="00C87A6F">
        <w:t>10</w:t>
      </w:r>
      <w:r>
        <w:t xml:space="preserve"> years after entry into parenthood. However, we are only able to observe births for parents who are required to record the number of dependent children in their care whilst lodging their individual tax return. </w:t>
      </w:r>
    </w:p>
    <w:p w14:paraId="4D39B859" w14:textId="485C65AD" w:rsidR="00F26FFC" w:rsidRDefault="003E4186" w:rsidP="00F26FFC">
      <w:r>
        <w:t>Chart </w:t>
      </w:r>
      <w:r w:rsidR="00F26FFC">
        <w:t>A1 plots the gender</w:t>
      </w:r>
      <w:r>
        <w:noBreakHyphen/>
      </w:r>
      <w:r w:rsidR="00F26FFC">
        <w:t xml:space="preserve">specific impacts of children on wage and salary earnings over time, relative to earnings in the year before children. Unlike HILDA, the earnings profiles for men and women prior to birth are not parallel. The positive trend in men’s earnings prior to </w:t>
      </w:r>
      <w:r w:rsidR="00B72A5B">
        <w:t>parenthood</w:t>
      </w:r>
      <w:r w:rsidR="00F26FFC">
        <w:t xml:space="preserve"> is in line with other papers in the literature and indicates some earnings growth preceding </w:t>
      </w:r>
      <w:r w:rsidR="00B72A5B">
        <w:t>parenthood</w:t>
      </w:r>
      <w:r w:rsidR="00F26FFC">
        <w:t xml:space="preserve"> above age profiles. In contrast, the small decline in women’s earnings the year before </w:t>
      </w:r>
      <w:r w:rsidR="00B72A5B">
        <w:t xml:space="preserve">parenthood </w:t>
      </w:r>
      <w:r w:rsidR="00F26FFC">
        <w:t>is unsurprising and likely reflects the impacts of pregnancy, including potential anticipatory effects, and pregnancy</w:t>
      </w:r>
      <w:r>
        <w:noBreakHyphen/>
      </w:r>
      <w:r w:rsidR="00F26FFC">
        <w:t>related leave which is not fully covered by paid parental leave. While small, we should be cautious of these pre</w:t>
      </w:r>
      <w:r>
        <w:noBreakHyphen/>
      </w:r>
      <w:r w:rsidR="00F26FFC">
        <w:t xml:space="preserve">trends when interpreting the results in the </w:t>
      </w:r>
      <w:proofErr w:type="spellStart"/>
      <w:r w:rsidR="00F26FFC">
        <w:t>ALife</w:t>
      </w:r>
      <w:proofErr w:type="spellEnd"/>
      <w:r w:rsidR="00F26FFC">
        <w:t xml:space="preserve"> dataset. </w:t>
      </w:r>
    </w:p>
    <w:p w14:paraId="735D7ADE" w14:textId="07114B2D" w:rsidR="00C40D84" w:rsidRDefault="00F26FFC" w:rsidP="00F26FFC">
      <w:r>
        <w:t xml:space="preserve">Following children, women’s earnings begin to significantly decline. While the penalty on </w:t>
      </w:r>
      <w:r w:rsidR="00B72A5B">
        <w:t>female</w:t>
      </w:r>
      <w:r>
        <w:t xml:space="preserve"> earnings improves slightly over time, it remains persistent for a decade after birth. In contrast, male earnings appear to grow slightly due to children. This may be reflective of fathers</w:t>
      </w:r>
      <w:r w:rsidR="00B72A5B">
        <w:t>’</w:t>
      </w:r>
      <w:r>
        <w:t xml:space="preserve"> increased specialisation in paid work following entry into parenthood, or employers’ greater trust in fathers, sometimes referred to as the ‘fatherhood premium’ (Yu &amp; Hara 2021).</w:t>
      </w:r>
    </w:p>
    <w:p w14:paraId="643F9B6B" w14:textId="5A8E2A60" w:rsidR="00C40D84" w:rsidRDefault="003E4186" w:rsidP="00191DDA">
      <w:pPr>
        <w:pStyle w:val="ChartMainHeading"/>
      </w:pPr>
      <w:r>
        <w:t>Chart </w:t>
      </w:r>
      <w:r w:rsidR="00F26FFC" w:rsidRPr="00C360D1">
        <w:t xml:space="preserve">A1: Long </w:t>
      </w:r>
      <w:r w:rsidR="005D48FC">
        <w:t>run</w:t>
      </w:r>
      <w:r w:rsidR="00F26FFC" w:rsidRPr="00C360D1">
        <w:t xml:space="preserve"> impact of children on earnings, by sex</w:t>
      </w:r>
    </w:p>
    <w:p w14:paraId="499C3101" w14:textId="1DBA84E4" w:rsidR="00F348BA" w:rsidRPr="00C360D1" w:rsidRDefault="00F348BA" w:rsidP="00191DDA">
      <w:pPr>
        <w:pStyle w:val="ChartGraphic"/>
      </w:pPr>
      <w:r>
        <w:rPr>
          <w:noProof/>
        </w:rPr>
        <w:drawing>
          <wp:inline distT="0" distB="0" distL="0" distR="0" wp14:anchorId="0E54E8D0" wp14:editId="0C687A13">
            <wp:extent cx="4680000" cy="3404247"/>
            <wp:effectExtent l="0" t="0" r="6350" b="5715"/>
            <wp:docPr id="9" name="Picture 9" descr="This is an event study chart which plots the estimated impact of children on earnings for men and women separately, for 3 years before and up to 10 years after the arrival of the first child. It shows a steep decline in female earnings after the arrival of a child, only recovering slightly towards the end of the 10 year period. Men's earnings trend slightly upwards during this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n event study chart which plots the estimated impact of children on earnings for men and women separately, for 3 years before and up to 10 years after the arrival of the first child. It shows a steep decline in female earnings after the arrival of a child, only recovering slightly towards the end of the 10 year period. Men's earnings trend slightly upwards during this same perio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5F518EB2" w14:textId="196F7111" w:rsidR="00F26FFC" w:rsidRPr="003B2859" w:rsidRDefault="00F26FFC" w:rsidP="00191DDA">
      <w:pPr>
        <w:pStyle w:val="ChartorTableNote"/>
        <w:rPr>
          <w:spacing w:val="-2"/>
        </w:rPr>
      </w:pPr>
      <w:r w:rsidRPr="00191DDA">
        <w:t xml:space="preserve">Notes: </w:t>
      </w:r>
      <w:r w:rsidRPr="003B2859">
        <w:rPr>
          <w:spacing w:val="-2"/>
        </w:rPr>
        <w:t>Plots estimated motherhood penalty as defined by Equation (2)</w:t>
      </w:r>
      <w:r w:rsidR="000C6031" w:rsidRPr="003B2859">
        <w:rPr>
          <w:spacing w:val="-2"/>
        </w:rPr>
        <w:t xml:space="preserve"> </w:t>
      </w:r>
      <w:r w:rsidRPr="003B2859">
        <w:rPr>
          <w:spacing w:val="-2"/>
        </w:rPr>
        <w:t>but</w:t>
      </w:r>
      <w:r w:rsidR="009E4E0E" w:rsidRPr="003B2859">
        <w:rPr>
          <w:spacing w:val="-2"/>
        </w:rPr>
        <w:t xml:space="preserve"> extends </w:t>
      </w:r>
      <w:r w:rsidRPr="003B2859">
        <w:rPr>
          <w:spacing w:val="-2"/>
        </w:rPr>
        <w:t xml:space="preserve">sample to 10 years after first birth. Shaded area shows 95% confidence intervals, based on robust standard errors. </w:t>
      </w:r>
      <w:r w:rsidR="009E4E0E" w:rsidRPr="003B2859">
        <w:rPr>
          <w:spacing w:val="-2"/>
        </w:rPr>
        <w:t>V</w:t>
      </w:r>
      <w:r w:rsidRPr="003B2859">
        <w:rPr>
          <w:spacing w:val="-2"/>
        </w:rPr>
        <w:t>ertical line signifies year before first child arrives.</w:t>
      </w:r>
      <w:r w:rsidR="00FB5CE7" w:rsidRPr="003B2859">
        <w:rPr>
          <w:spacing w:val="-2"/>
        </w:rPr>
        <w:t xml:space="preserve"> </w:t>
      </w:r>
    </w:p>
    <w:p w14:paraId="61607C81" w14:textId="5F1F8A27" w:rsidR="00F26FFC" w:rsidRPr="00191DDA" w:rsidRDefault="00F26FFC" w:rsidP="00191DDA">
      <w:pPr>
        <w:pStyle w:val="ChartorTableNote"/>
      </w:pPr>
      <w:r w:rsidRPr="00191DDA">
        <w:t xml:space="preserve">Source: Treasury analysis of </w:t>
      </w:r>
      <w:proofErr w:type="spellStart"/>
      <w:r w:rsidRPr="00191DDA">
        <w:t>ALife</w:t>
      </w:r>
      <w:proofErr w:type="spellEnd"/>
      <w:r w:rsidRPr="00191DDA">
        <w:t xml:space="preserve"> 2019.</w:t>
      </w:r>
    </w:p>
    <w:p w14:paraId="5803DE32" w14:textId="57117CAC" w:rsidR="00F26FFC" w:rsidRPr="00F26FFC" w:rsidRDefault="00F26FFC" w:rsidP="00191DDA">
      <w:pPr>
        <w:pStyle w:val="Heading3"/>
      </w:pPr>
      <w:r w:rsidRPr="00F26FFC">
        <w:t xml:space="preserve">Main regression results </w:t>
      </w:r>
    </w:p>
    <w:p w14:paraId="54E8B683" w14:textId="7196C945" w:rsidR="00F26FFC" w:rsidRDefault="003E4186" w:rsidP="00191DDA">
      <w:pPr>
        <w:pStyle w:val="TableMainHeading"/>
      </w:pPr>
      <w:r>
        <w:t>Table </w:t>
      </w:r>
      <w:r w:rsidR="00F26FFC" w:rsidRPr="00C360D1">
        <w:t>A1: Event study regression results</w:t>
      </w:r>
    </w:p>
    <w:tbl>
      <w:tblPr>
        <w:tblStyle w:val="PlainTable2"/>
        <w:tblW w:w="0" w:type="auto"/>
        <w:tblInd w:w="98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480"/>
        <w:gridCol w:w="2481"/>
      </w:tblGrid>
      <w:tr w:rsidR="00E67E49" w14:paraId="5CB5C8CD" w14:textId="77777777" w:rsidTr="00727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2D2948D" w14:textId="77777777" w:rsidR="00E67E49" w:rsidRDefault="00E67E49" w:rsidP="00727049">
            <w:pPr>
              <w:spacing w:before="0" w:after="0"/>
            </w:pPr>
          </w:p>
        </w:tc>
        <w:tc>
          <w:tcPr>
            <w:tcW w:w="2480" w:type="dxa"/>
            <w:tcBorders>
              <w:top w:val="none" w:sz="0" w:space="0" w:color="auto"/>
              <w:bottom w:val="none" w:sz="0" w:space="0" w:color="auto"/>
            </w:tcBorders>
          </w:tcPr>
          <w:p w14:paraId="4A607AE7" w14:textId="77777777" w:rsidR="00E67E49" w:rsidRDefault="00E67E49" w:rsidP="00727049">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(1)</w:t>
            </w:r>
          </w:p>
          <w:p w14:paraId="1399DE29" w14:textId="7F32D1D2" w:rsidR="00E67E49" w:rsidRDefault="00E67E49" w:rsidP="00727049">
            <w:pPr>
              <w:spacing w:before="0" w:after="0"/>
              <w:jc w:val="center"/>
              <w:cnfStyle w:val="100000000000" w:firstRow="1" w:lastRow="0" w:firstColumn="0" w:lastColumn="0" w:oddVBand="0" w:evenVBand="0" w:oddHBand="0" w:evenHBand="0" w:firstRowFirstColumn="0" w:firstRowLastColumn="0" w:lastRowFirstColumn="0" w:lastRowLastColumn="0"/>
            </w:pPr>
            <w:r>
              <w:t>Income</w:t>
            </w:r>
          </w:p>
        </w:tc>
        <w:tc>
          <w:tcPr>
            <w:tcW w:w="2481" w:type="dxa"/>
            <w:tcBorders>
              <w:top w:val="none" w:sz="0" w:space="0" w:color="auto"/>
              <w:bottom w:val="none" w:sz="0" w:space="0" w:color="auto"/>
            </w:tcBorders>
          </w:tcPr>
          <w:p w14:paraId="09CDD1EA" w14:textId="77777777" w:rsidR="00E67E49" w:rsidRDefault="00EE23D5" w:rsidP="00727049">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(2)</w:t>
            </w:r>
          </w:p>
          <w:p w14:paraId="10EC84F8" w14:textId="5BA85934" w:rsidR="00EE23D5" w:rsidRDefault="00EE23D5" w:rsidP="00727049">
            <w:pPr>
              <w:spacing w:before="0" w:after="0"/>
              <w:jc w:val="center"/>
              <w:cnfStyle w:val="100000000000" w:firstRow="1" w:lastRow="0" w:firstColumn="0" w:lastColumn="0" w:oddVBand="0" w:evenVBand="0" w:oddHBand="0" w:evenHBand="0" w:firstRowFirstColumn="0" w:firstRowLastColumn="0" w:lastRowFirstColumn="0" w:lastRowLastColumn="0"/>
            </w:pPr>
            <w:r>
              <w:t>Income</w:t>
            </w:r>
          </w:p>
        </w:tc>
      </w:tr>
      <w:tr w:rsidR="00E67E49" w14:paraId="1BD3B6B9"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44E54ED8" w14:textId="084B52C4" w:rsidR="00E67E49" w:rsidRDefault="00EE23D5" w:rsidP="00727049">
            <w:pPr>
              <w:spacing w:before="0" w:after="0"/>
            </w:pPr>
            <w:r>
              <w:t xml:space="preserve">t=-3 </w:t>
            </w:r>
          </w:p>
        </w:tc>
        <w:tc>
          <w:tcPr>
            <w:tcW w:w="2480" w:type="dxa"/>
            <w:tcBorders>
              <w:top w:val="none" w:sz="0" w:space="0" w:color="auto"/>
              <w:bottom w:val="none" w:sz="0" w:space="0" w:color="auto"/>
            </w:tcBorders>
          </w:tcPr>
          <w:p w14:paraId="332874E6" w14:textId="77777777" w:rsidR="00306DBA"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550.7</w:t>
            </w:r>
          </w:p>
          <w:p w14:paraId="2C0E7D4D" w14:textId="32195C72" w:rsidR="00E67E49"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(3131.5)</w:t>
            </w:r>
          </w:p>
        </w:tc>
        <w:tc>
          <w:tcPr>
            <w:tcW w:w="2481" w:type="dxa"/>
            <w:tcBorders>
              <w:top w:val="none" w:sz="0" w:space="0" w:color="auto"/>
              <w:bottom w:val="none" w:sz="0" w:space="0" w:color="auto"/>
            </w:tcBorders>
          </w:tcPr>
          <w:p w14:paraId="20E6D3CC" w14:textId="77777777" w:rsidR="00306DBA"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660.9</w:t>
            </w:r>
          </w:p>
          <w:p w14:paraId="42E9BBBA" w14:textId="5257F666" w:rsidR="00E67E49"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(1923.2)</w:t>
            </w:r>
          </w:p>
        </w:tc>
      </w:tr>
      <w:tr w:rsidR="00E67E49" w14:paraId="0C83BAFA" w14:textId="77777777" w:rsidTr="00727049">
        <w:tc>
          <w:tcPr>
            <w:cnfStyle w:val="001000000000" w:firstRow="0" w:lastRow="0" w:firstColumn="1" w:lastColumn="0" w:oddVBand="0" w:evenVBand="0" w:oddHBand="0" w:evenHBand="0" w:firstRowFirstColumn="0" w:firstRowLastColumn="0" w:lastRowFirstColumn="0" w:lastRowLastColumn="0"/>
            <w:tcW w:w="2551" w:type="dxa"/>
          </w:tcPr>
          <w:p w14:paraId="24159D1E" w14:textId="1BDDC42F" w:rsidR="00E67E49" w:rsidRDefault="00EE23D5" w:rsidP="00727049">
            <w:pPr>
              <w:spacing w:before="0" w:after="0"/>
            </w:pPr>
            <w:r>
              <w:t>t=-2</w:t>
            </w:r>
          </w:p>
        </w:tc>
        <w:tc>
          <w:tcPr>
            <w:tcW w:w="2480" w:type="dxa"/>
          </w:tcPr>
          <w:p w14:paraId="5EC01990" w14:textId="77777777" w:rsidR="00306DBA" w:rsidRDefault="00306DBA" w:rsidP="00727049">
            <w:pPr>
              <w:spacing w:before="0" w:after="0"/>
              <w:jc w:val="center"/>
              <w:cnfStyle w:val="000000000000" w:firstRow="0" w:lastRow="0" w:firstColumn="0" w:lastColumn="0" w:oddVBand="0" w:evenVBand="0" w:oddHBand="0" w:evenHBand="0" w:firstRowFirstColumn="0" w:firstRowLastColumn="0" w:lastRowFirstColumn="0" w:lastRowLastColumn="0"/>
            </w:pPr>
            <w:r>
              <w:t>-154.1</w:t>
            </w:r>
          </w:p>
          <w:p w14:paraId="6C394D6E" w14:textId="0AA1A1CD" w:rsidR="00E67E49" w:rsidRDefault="00306DBA" w:rsidP="00727049">
            <w:pPr>
              <w:spacing w:before="0" w:after="0"/>
              <w:jc w:val="center"/>
              <w:cnfStyle w:val="000000000000" w:firstRow="0" w:lastRow="0" w:firstColumn="0" w:lastColumn="0" w:oddVBand="0" w:evenVBand="0" w:oddHBand="0" w:evenHBand="0" w:firstRowFirstColumn="0" w:firstRowLastColumn="0" w:lastRowFirstColumn="0" w:lastRowLastColumn="0"/>
            </w:pPr>
            <w:r>
              <w:t>(3248.6)</w:t>
            </w:r>
          </w:p>
        </w:tc>
        <w:tc>
          <w:tcPr>
            <w:tcW w:w="2481" w:type="dxa"/>
          </w:tcPr>
          <w:p w14:paraId="4F994215" w14:textId="77777777" w:rsidR="00306DBA" w:rsidRDefault="00306DBA" w:rsidP="00727049">
            <w:pPr>
              <w:spacing w:before="0" w:after="0"/>
              <w:jc w:val="center"/>
              <w:cnfStyle w:val="000000000000" w:firstRow="0" w:lastRow="0" w:firstColumn="0" w:lastColumn="0" w:oddVBand="0" w:evenVBand="0" w:oddHBand="0" w:evenHBand="0" w:firstRowFirstColumn="0" w:firstRowLastColumn="0" w:lastRowFirstColumn="0" w:lastRowLastColumn="0"/>
            </w:pPr>
            <w:r>
              <w:t>608.5</w:t>
            </w:r>
          </w:p>
          <w:p w14:paraId="6D5C6460" w14:textId="4588F8F2" w:rsidR="00E67E49" w:rsidRDefault="00306DBA" w:rsidP="00727049">
            <w:pPr>
              <w:spacing w:before="0" w:after="0"/>
              <w:jc w:val="center"/>
              <w:cnfStyle w:val="000000000000" w:firstRow="0" w:lastRow="0" w:firstColumn="0" w:lastColumn="0" w:oddVBand="0" w:evenVBand="0" w:oddHBand="0" w:evenHBand="0" w:firstRowFirstColumn="0" w:firstRowLastColumn="0" w:lastRowFirstColumn="0" w:lastRowLastColumn="0"/>
            </w:pPr>
            <w:r>
              <w:t>(1975.1)</w:t>
            </w:r>
          </w:p>
        </w:tc>
      </w:tr>
      <w:tr w:rsidR="00E67E49" w14:paraId="7EFDE16A"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34A8C54A" w14:textId="3C03C62E" w:rsidR="00E67E49" w:rsidRDefault="00EE23D5" w:rsidP="00727049">
            <w:pPr>
              <w:spacing w:before="0" w:after="0"/>
            </w:pPr>
            <w:r>
              <w:t>t=0</w:t>
            </w:r>
          </w:p>
        </w:tc>
        <w:tc>
          <w:tcPr>
            <w:tcW w:w="2480" w:type="dxa"/>
            <w:tcBorders>
              <w:top w:val="none" w:sz="0" w:space="0" w:color="auto"/>
              <w:bottom w:val="none" w:sz="0" w:space="0" w:color="auto"/>
            </w:tcBorders>
          </w:tcPr>
          <w:p w14:paraId="4580A601" w14:textId="77777777" w:rsidR="00306DBA"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3116.0</w:t>
            </w:r>
          </w:p>
          <w:p w14:paraId="49A571C3" w14:textId="736D4762" w:rsidR="00E67E49"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(3421.2)</w:t>
            </w:r>
          </w:p>
        </w:tc>
        <w:tc>
          <w:tcPr>
            <w:tcW w:w="2481" w:type="dxa"/>
            <w:tcBorders>
              <w:top w:val="none" w:sz="0" w:space="0" w:color="auto"/>
              <w:bottom w:val="none" w:sz="0" w:space="0" w:color="auto"/>
            </w:tcBorders>
          </w:tcPr>
          <w:p w14:paraId="0536948B" w14:textId="77777777" w:rsidR="00306DBA"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-11752.5***</w:t>
            </w:r>
          </w:p>
          <w:p w14:paraId="6B0A236C" w14:textId="19ED41A2" w:rsidR="00E67E49" w:rsidRDefault="00306DBA" w:rsidP="00727049">
            <w:pPr>
              <w:spacing w:before="0" w:after="0"/>
              <w:jc w:val="center"/>
              <w:cnfStyle w:val="000000100000" w:firstRow="0" w:lastRow="0" w:firstColumn="0" w:lastColumn="0" w:oddVBand="0" w:evenVBand="0" w:oddHBand="1" w:evenHBand="0" w:firstRowFirstColumn="0" w:firstRowLastColumn="0" w:lastRowFirstColumn="0" w:lastRowLastColumn="0"/>
            </w:pPr>
            <w:r>
              <w:t>(2084.4)</w:t>
            </w:r>
          </w:p>
        </w:tc>
      </w:tr>
      <w:tr w:rsidR="00E67E49" w14:paraId="2D856C2D" w14:textId="77777777" w:rsidTr="00727049">
        <w:tc>
          <w:tcPr>
            <w:cnfStyle w:val="001000000000" w:firstRow="0" w:lastRow="0" w:firstColumn="1" w:lastColumn="0" w:oddVBand="0" w:evenVBand="0" w:oddHBand="0" w:evenHBand="0" w:firstRowFirstColumn="0" w:firstRowLastColumn="0" w:lastRowFirstColumn="0" w:lastRowLastColumn="0"/>
            <w:tcW w:w="2551" w:type="dxa"/>
          </w:tcPr>
          <w:p w14:paraId="6CBD9106" w14:textId="438FFB50" w:rsidR="00E67E49" w:rsidRDefault="00EE23D5" w:rsidP="00727049">
            <w:pPr>
              <w:spacing w:before="0" w:after="0"/>
            </w:pPr>
            <w:r>
              <w:t>t=1</w:t>
            </w:r>
          </w:p>
        </w:tc>
        <w:tc>
          <w:tcPr>
            <w:tcW w:w="2480" w:type="dxa"/>
          </w:tcPr>
          <w:p w14:paraId="02CAD0CD" w14:textId="77777777" w:rsidR="002E0E6C" w:rsidRDefault="002E0E6C" w:rsidP="00727049">
            <w:pPr>
              <w:spacing w:before="0" w:after="0"/>
              <w:jc w:val="center"/>
              <w:cnfStyle w:val="000000000000" w:firstRow="0" w:lastRow="0" w:firstColumn="0" w:lastColumn="0" w:oddVBand="0" w:evenVBand="0" w:oddHBand="0" w:evenHBand="0" w:firstRowFirstColumn="0" w:firstRowLastColumn="0" w:lastRowFirstColumn="0" w:lastRowLastColumn="0"/>
            </w:pPr>
            <w:r>
              <w:t>500.3</w:t>
            </w:r>
          </w:p>
          <w:p w14:paraId="3F717436" w14:textId="39B8E878" w:rsidR="00E67E49" w:rsidRDefault="002E0E6C" w:rsidP="00727049">
            <w:pPr>
              <w:spacing w:before="0" w:after="0"/>
              <w:jc w:val="center"/>
              <w:cnfStyle w:val="000000000000" w:firstRow="0" w:lastRow="0" w:firstColumn="0" w:lastColumn="0" w:oddVBand="0" w:evenVBand="0" w:oddHBand="0" w:evenHBand="0" w:firstRowFirstColumn="0" w:firstRowLastColumn="0" w:lastRowFirstColumn="0" w:lastRowLastColumn="0"/>
            </w:pPr>
            <w:r>
              <w:t>(3713.1)</w:t>
            </w:r>
          </w:p>
        </w:tc>
        <w:tc>
          <w:tcPr>
            <w:tcW w:w="2481" w:type="dxa"/>
          </w:tcPr>
          <w:p w14:paraId="4DE1A7EB" w14:textId="77777777" w:rsidR="002E0E6C" w:rsidRDefault="002E0E6C" w:rsidP="00727049">
            <w:pPr>
              <w:spacing w:before="0" w:after="0"/>
              <w:jc w:val="center"/>
              <w:cnfStyle w:val="000000000000" w:firstRow="0" w:lastRow="0" w:firstColumn="0" w:lastColumn="0" w:oddVBand="0" w:evenVBand="0" w:oddHBand="0" w:evenHBand="0" w:firstRowFirstColumn="0" w:firstRowLastColumn="0" w:lastRowFirstColumn="0" w:lastRowLastColumn="0"/>
            </w:pPr>
            <w:r>
              <w:t>-31629.0***</w:t>
            </w:r>
          </w:p>
          <w:p w14:paraId="7E841E25" w14:textId="64F3D070" w:rsidR="00E67E49" w:rsidRDefault="002E0E6C" w:rsidP="00727049">
            <w:pPr>
              <w:spacing w:before="0" w:after="0"/>
              <w:jc w:val="center"/>
              <w:cnfStyle w:val="000000000000" w:firstRow="0" w:lastRow="0" w:firstColumn="0" w:lastColumn="0" w:oddVBand="0" w:evenVBand="0" w:oddHBand="0" w:evenHBand="0" w:firstRowFirstColumn="0" w:firstRowLastColumn="0" w:lastRowFirstColumn="0" w:lastRowLastColumn="0"/>
            </w:pPr>
            <w:r>
              <w:t>(1941.4)</w:t>
            </w:r>
          </w:p>
        </w:tc>
      </w:tr>
      <w:tr w:rsidR="00E67E49" w14:paraId="1CE06F9E"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293C233" w14:textId="5DBE66FB" w:rsidR="00E67E49" w:rsidRDefault="00EE23D5" w:rsidP="00727049">
            <w:pPr>
              <w:spacing w:before="0" w:after="0"/>
            </w:pPr>
            <w:r>
              <w:t>t=2</w:t>
            </w:r>
          </w:p>
        </w:tc>
        <w:tc>
          <w:tcPr>
            <w:tcW w:w="2480" w:type="dxa"/>
            <w:tcBorders>
              <w:top w:val="none" w:sz="0" w:space="0" w:color="auto"/>
              <w:bottom w:val="none" w:sz="0" w:space="0" w:color="auto"/>
            </w:tcBorders>
          </w:tcPr>
          <w:p w14:paraId="31391FAC" w14:textId="77777777" w:rsidR="002E0E6C" w:rsidRDefault="002E0E6C" w:rsidP="00727049">
            <w:pPr>
              <w:spacing w:before="0" w:after="0"/>
              <w:jc w:val="center"/>
              <w:cnfStyle w:val="000000100000" w:firstRow="0" w:lastRow="0" w:firstColumn="0" w:lastColumn="0" w:oddVBand="0" w:evenVBand="0" w:oddHBand="1" w:evenHBand="0" w:firstRowFirstColumn="0" w:firstRowLastColumn="0" w:lastRowFirstColumn="0" w:lastRowLastColumn="0"/>
            </w:pPr>
            <w:r>
              <w:t>-1207.4</w:t>
            </w:r>
          </w:p>
          <w:p w14:paraId="298E2626" w14:textId="7780CBDE" w:rsidR="00E67E49" w:rsidRDefault="002E0E6C" w:rsidP="00727049">
            <w:pPr>
              <w:spacing w:before="0" w:after="0"/>
              <w:jc w:val="center"/>
              <w:cnfStyle w:val="000000100000" w:firstRow="0" w:lastRow="0" w:firstColumn="0" w:lastColumn="0" w:oddVBand="0" w:evenVBand="0" w:oddHBand="1" w:evenHBand="0" w:firstRowFirstColumn="0" w:firstRowLastColumn="0" w:lastRowFirstColumn="0" w:lastRowLastColumn="0"/>
            </w:pPr>
            <w:r>
              <w:t>(4007.4)</w:t>
            </w:r>
          </w:p>
        </w:tc>
        <w:tc>
          <w:tcPr>
            <w:tcW w:w="2481" w:type="dxa"/>
            <w:tcBorders>
              <w:top w:val="none" w:sz="0" w:space="0" w:color="auto"/>
              <w:bottom w:val="none" w:sz="0" w:space="0" w:color="auto"/>
            </w:tcBorders>
          </w:tcPr>
          <w:p w14:paraId="661275C7" w14:textId="77777777" w:rsidR="002E0E6C" w:rsidRDefault="002E0E6C" w:rsidP="00727049">
            <w:pPr>
              <w:spacing w:before="0" w:after="0"/>
              <w:jc w:val="center"/>
              <w:cnfStyle w:val="000000100000" w:firstRow="0" w:lastRow="0" w:firstColumn="0" w:lastColumn="0" w:oddVBand="0" w:evenVBand="0" w:oddHBand="1" w:evenHBand="0" w:firstRowFirstColumn="0" w:firstRowLastColumn="0" w:lastRowFirstColumn="0" w:lastRowLastColumn="0"/>
            </w:pPr>
            <w:r>
              <w:t>-30428.6***</w:t>
            </w:r>
          </w:p>
          <w:p w14:paraId="4D5A50F4" w14:textId="6D3D4302" w:rsidR="00E67E49" w:rsidRDefault="002E0E6C" w:rsidP="00727049">
            <w:pPr>
              <w:spacing w:before="0" w:after="0"/>
              <w:jc w:val="center"/>
              <w:cnfStyle w:val="000000100000" w:firstRow="0" w:lastRow="0" w:firstColumn="0" w:lastColumn="0" w:oddVBand="0" w:evenVBand="0" w:oddHBand="1" w:evenHBand="0" w:firstRowFirstColumn="0" w:firstRowLastColumn="0" w:lastRowFirstColumn="0" w:lastRowLastColumn="0"/>
            </w:pPr>
            <w:r>
              <w:t>(2023.1)</w:t>
            </w:r>
          </w:p>
        </w:tc>
      </w:tr>
      <w:tr w:rsidR="00E67E49" w14:paraId="58A5CD9C" w14:textId="77777777" w:rsidTr="00727049">
        <w:tc>
          <w:tcPr>
            <w:cnfStyle w:val="001000000000" w:firstRow="0" w:lastRow="0" w:firstColumn="1" w:lastColumn="0" w:oddVBand="0" w:evenVBand="0" w:oddHBand="0" w:evenHBand="0" w:firstRowFirstColumn="0" w:firstRowLastColumn="0" w:lastRowFirstColumn="0" w:lastRowLastColumn="0"/>
            <w:tcW w:w="2551" w:type="dxa"/>
          </w:tcPr>
          <w:p w14:paraId="6926C51B" w14:textId="6017DDD8" w:rsidR="00E67E49" w:rsidRDefault="00EE23D5" w:rsidP="00727049">
            <w:pPr>
              <w:spacing w:before="0" w:after="0"/>
            </w:pPr>
            <w:r>
              <w:t>t=3</w:t>
            </w:r>
          </w:p>
        </w:tc>
        <w:tc>
          <w:tcPr>
            <w:tcW w:w="2480" w:type="dxa"/>
          </w:tcPr>
          <w:p w14:paraId="608913EC" w14:textId="77777777" w:rsidR="00335580"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-484.9</w:t>
            </w:r>
          </w:p>
          <w:p w14:paraId="0F648C4E" w14:textId="05CE392D" w:rsidR="00E67E49"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(4294.3)</w:t>
            </w:r>
          </w:p>
        </w:tc>
        <w:tc>
          <w:tcPr>
            <w:tcW w:w="2481" w:type="dxa"/>
          </w:tcPr>
          <w:p w14:paraId="474FCE6E" w14:textId="77777777" w:rsidR="00335580"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-32907.4***</w:t>
            </w:r>
          </w:p>
          <w:p w14:paraId="1F674A9B" w14:textId="5BAF33BE" w:rsidR="00E67E49"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(2136.3)</w:t>
            </w:r>
          </w:p>
        </w:tc>
      </w:tr>
      <w:tr w:rsidR="00E67E49" w14:paraId="2BB46B19"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6BCDC771" w14:textId="242ABAC1" w:rsidR="00E67E49" w:rsidRDefault="00EE23D5" w:rsidP="00727049">
            <w:pPr>
              <w:spacing w:before="0" w:after="0"/>
            </w:pPr>
            <w:r>
              <w:t>t=4</w:t>
            </w:r>
          </w:p>
        </w:tc>
        <w:tc>
          <w:tcPr>
            <w:tcW w:w="2480" w:type="dxa"/>
            <w:tcBorders>
              <w:top w:val="none" w:sz="0" w:space="0" w:color="auto"/>
              <w:bottom w:val="none" w:sz="0" w:space="0" w:color="auto"/>
            </w:tcBorders>
          </w:tcPr>
          <w:p w14:paraId="00D07AF6" w14:textId="77777777" w:rsidR="00335580" w:rsidRDefault="00335580" w:rsidP="00727049">
            <w:pPr>
              <w:spacing w:before="0" w:after="0"/>
              <w:jc w:val="center"/>
              <w:cnfStyle w:val="000000100000" w:firstRow="0" w:lastRow="0" w:firstColumn="0" w:lastColumn="0" w:oddVBand="0" w:evenVBand="0" w:oddHBand="1" w:evenHBand="0" w:firstRowFirstColumn="0" w:firstRowLastColumn="0" w:lastRowFirstColumn="0" w:lastRowLastColumn="0"/>
            </w:pPr>
            <w:r>
              <w:t>-126.7</w:t>
            </w:r>
          </w:p>
          <w:p w14:paraId="506917DC" w14:textId="5909E264" w:rsidR="00E67E49" w:rsidRDefault="00335580" w:rsidP="00727049">
            <w:pPr>
              <w:spacing w:before="0" w:after="0"/>
              <w:jc w:val="center"/>
              <w:cnfStyle w:val="000000100000" w:firstRow="0" w:lastRow="0" w:firstColumn="0" w:lastColumn="0" w:oddVBand="0" w:evenVBand="0" w:oddHBand="1" w:evenHBand="0" w:firstRowFirstColumn="0" w:firstRowLastColumn="0" w:lastRowFirstColumn="0" w:lastRowLastColumn="0"/>
            </w:pPr>
            <w:r>
              <w:t>(4304.5)</w:t>
            </w:r>
          </w:p>
        </w:tc>
        <w:tc>
          <w:tcPr>
            <w:tcW w:w="2481" w:type="dxa"/>
            <w:tcBorders>
              <w:top w:val="none" w:sz="0" w:space="0" w:color="auto"/>
              <w:bottom w:val="none" w:sz="0" w:space="0" w:color="auto"/>
            </w:tcBorders>
          </w:tcPr>
          <w:p w14:paraId="091510D4" w14:textId="77777777" w:rsidR="00335580" w:rsidRDefault="00335580" w:rsidP="00727049">
            <w:pPr>
              <w:spacing w:before="0" w:after="0"/>
              <w:jc w:val="center"/>
              <w:cnfStyle w:val="000000100000" w:firstRow="0" w:lastRow="0" w:firstColumn="0" w:lastColumn="0" w:oddVBand="0" w:evenVBand="0" w:oddHBand="1" w:evenHBand="0" w:firstRowFirstColumn="0" w:firstRowLastColumn="0" w:lastRowFirstColumn="0" w:lastRowLastColumn="0"/>
            </w:pPr>
            <w:r>
              <w:t>-34177.3***</w:t>
            </w:r>
          </w:p>
          <w:p w14:paraId="6AC53CA5" w14:textId="08335DC6" w:rsidR="00E67E49" w:rsidRDefault="00335580" w:rsidP="00727049">
            <w:pPr>
              <w:spacing w:before="0" w:after="0"/>
              <w:jc w:val="center"/>
              <w:cnfStyle w:val="000000100000" w:firstRow="0" w:lastRow="0" w:firstColumn="0" w:lastColumn="0" w:oddVBand="0" w:evenVBand="0" w:oddHBand="1" w:evenHBand="0" w:firstRowFirstColumn="0" w:firstRowLastColumn="0" w:lastRowFirstColumn="0" w:lastRowLastColumn="0"/>
            </w:pPr>
            <w:r>
              <w:t>(2264.2)</w:t>
            </w:r>
          </w:p>
        </w:tc>
      </w:tr>
      <w:tr w:rsidR="00E67E49" w14:paraId="6D97A21A" w14:textId="77777777" w:rsidTr="00727049">
        <w:tc>
          <w:tcPr>
            <w:cnfStyle w:val="001000000000" w:firstRow="0" w:lastRow="0" w:firstColumn="1" w:lastColumn="0" w:oddVBand="0" w:evenVBand="0" w:oddHBand="0" w:evenHBand="0" w:firstRowFirstColumn="0" w:firstRowLastColumn="0" w:lastRowFirstColumn="0" w:lastRowLastColumn="0"/>
            <w:tcW w:w="2551" w:type="dxa"/>
          </w:tcPr>
          <w:p w14:paraId="437D59F3" w14:textId="0C423855" w:rsidR="00E67E49" w:rsidRDefault="00EE23D5" w:rsidP="00727049">
            <w:pPr>
              <w:spacing w:before="0" w:after="0"/>
            </w:pPr>
            <w:r>
              <w:t>t=5</w:t>
            </w:r>
          </w:p>
        </w:tc>
        <w:tc>
          <w:tcPr>
            <w:tcW w:w="2480" w:type="dxa"/>
          </w:tcPr>
          <w:p w14:paraId="2E83EE85" w14:textId="77777777" w:rsidR="00335580"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-815.4</w:t>
            </w:r>
          </w:p>
          <w:p w14:paraId="3AF09E23" w14:textId="166232EB" w:rsidR="00E67E49"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(4593.9)</w:t>
            </w:r>
          </w:p>
        </w:tc>
        <w:tc>
          <w:tcPr>
            <w:tcW w:w="2481" w:type="dxa"/>
          </w:tcPr>
          <w:p w14:paraId="43C28DA0" w14:textId="77777777" w:rsidR="00335580"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-33017.1***</w:t>
            </w:r>
          </w:p>
          <w:p w14:paraId="3BEF7CE8" w14:textId="19C00C71" w:rsidR="00E67E49" w:rsidRDefault="00335580" w:rsidP="00727049">
            <w:pPr>
              <w:spacing w:before="0" w:after="0"/>
              <w:jc w:val="center"/>
              <w:cnfStyle w:val="000000000000" w:firstRow="0" w:lastRow="0" w:firstColumn="0" w:lastColumn="0" w:oddVBand="0" w:evenVBand="0" w:oddHBand="0" w:evenHBand="0" w:firstRowFirstColumn="0" w:firstRowLastColumn="0" w:lastRowFirstColumn="0" w:lastRowLastColumn="0"/>
            </w:pPr>
            <w:r>
              <w:t>(2411.1)</w:t>
            </w:r>
          </w:p>
        </w:tc>
      </w:tr>
      <w:tr w:rsidR="00E67E49" w14:paraId="0307F04A" w14:textId="77777777" w:rsidTr="00727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616D32D2" w14:textId="77777777" w:rsidR="006942C5" w:rsidRDefault="006942C5" w:rsidP="00727049">
            <w:pPr>
              <w:spacing w:before="0" w:after="0"/>
            </w:pPr>
            <w:r>
              <w:t>Sex</w:t>
            </w:r>
          </w:p>
          <w:p w14:paraId="354392E8" w14:textId="77777777" w:rsidR="006942C5" w:rsidRDefault="006942C5" w:rsidP="00727049">
            <w:pPr>
              <w:spacing w:before="0" w:after="0"/>
            </w:pPr>
            <w:r>
              <w:t>Age and year coefficients</w:t>
            </w:r>
          </w:p>
          <w:p w14:paraId="7C67A857" w14:textId="77777777" w:rsidR="006942C5" w:rsidRDefault="006942C5" w:rsidP="00727049">
            <w:pPr>
              <w:spacing w:before="0" w:after="0"/>
            </w:pPr>
            <w:r>
              <w:t>N</w:t>
            </w:r>
          </w:p>
          <w:p w14:paraId="2FB21E8C" w14:textId="77777777" w:rsidR="006942C5" w:rsidRDefault="006942C5" w:rsidP="00727049">
            <w:pPr>
              <w:spacing w:before="0" w:after="0"/>
            </w:pPr>
            <w:proofErr w:type="spellStart"/>
            <w:r>
              <w:t>Rsquared</w:t>
            </w:r>
            <w:proofErr w:type="spellEnd"/>
          </w:p>
          <w:p w14:paraId="6D32A6C5" w14:textId="5F4AADF6" w:rsidR="00E67E49" w:rsidRDefault="006942C5" w:rsidP="00727049">
            <w:pPr>
              <w:spacing w:before="0" w:after="0"/>
            </w:pPr>
            <w:r>
              <w:t xml:space="preserve">Adjusted </w:t>
            </w:r>
            <w:proofErr w:type="spellStart"/>
            <w:r>
              <w:t>Rsquared</w:t>
            </w:r>
            <w:proofErr w:type="spellEnd"/>
          </w:p>
        </w:tc>
        <w:tc>
          <w:tcPr>
            <w:tcW w:w="2480" w:type="dxa"/>
            <w:tcBorders>
              <w:top w:val="none" w:sz="0" w:space="0" w:color="auto"/>
              <w:bottom w:val="none" w:sz="0" w:space="0" w:color="auto"/>
            </w:tcBorders>
          </w:tcPr>
          <w:p w14:paraId="5E8AB290"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Male</w:t>
            </w:r>
          </w:p>
          <w:p w14:paraId="09F13647"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05BBEDDB"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5716</w:t>
            </w:r>
          </w:p>
          <w:p w14:paraId="15A0968B"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0.168</w:t>
            </w:r>
          </w:p>
          <w:p w14:paraId="4B34BFFD" w14:textId="4CBC1DE0" w:rsidR="00E67E49"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0.154</w:t>
            </w:r>
          </w:p>
        </w:tc>
        <w:tc>
          <w:tcPr>
            <w:tcW w:w="2481" w:type="dxa"/>
            <w:tcBorders>
              <w:top w:val="none" w:sz="0" w:space="0" w:color="auto"/>
              <w:bottom w:val="none" w:sz="0" w:space="0" w:color="auto"/>
            </w:tcBorders>
          </w:tcPr>
          <w:p w14:paraId="79A79352"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Female</w:t>
            </w:r>
          </w:p>
          <w:p w14:paraId="2CCBAE4C"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1CEA56AE"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6366</w:t>
            </w:r>
          </w:p>
          <w:p w14:paraId="650C061C" w14:textId="77777777" w:rsidR="006942C5"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0.232</w:t>
            </w:r>
          </w:p>
          <w:p w14:paraId="41B62075" w14:textId="19534328" w:rsidR="00E67E49" w:rsidRDefault="006942C5" w:rsidP="00727049">
            <w:pPr>
              <w:spacing w:before="0" w:after="0"/>
              <w:jc w:val="center"/>
              <w:cnfStyle w:val="000000100000" w:firstRow="0" w:lastRow="0" w:firstColumn="0" w:lastColumn="0" w:oddVBand="0" w:evenVBand="0" w:oddHBand="1" w:evenHBand="0" w:firstRowFirstColumn="0" w:firstRowLastColumn="0" w:lastRowFirstColumn="0" w:lastRowLastColumn="0"/>
            </w:pPr>
            <w:r>
              <w:t>0.221</w:t>
            </w:r>
          </w:p>
        </w:tc>
      </w:tr>
    </w:tbl>
    <w:p w14:paraId="59272680" w14:textId="6130A13A" w:rsidR="00FD10C0" w:rsidRPr="00BC7627" w:rsidRDefault="00F26FFC" w:rsidP="00BC7627">
      <w:pPr>
        <w:pStyle w:val="ChartorTableNote"/>
      </w:pPr>
      <w:r w:rsidRPr="00191DDA">
        <w:t xml:space="preserve">Notes: </w:t>
      </w:r>
      <w:r w:rsidR="003E4186">
        <w:t>Table </w:t>
      </w:r>
      <w:r w:rsidRPr="00191DDA">
        <w:t xml:space="preserve">uses an event study model of the same form as Equation (1). Variables as described in text. Constant, and coefficients on age and year dummies are omitted. </w:t>
      </w:r>
      <w:r w:rsidRPr="00BC7627">
        <w:t>Robust</w:t>
      </w:r>
      <w:r w:rsidRPr="00191DDA">
        <w:t xml:space="preserve"> standard errors in parentheses. *p&lt;0.05, **p&lt;0.01, ***p&lt;0.001.</w:t>
      </w:r>
    </w:p>
    <w:p w14:paraId="43610979" w14:textId="5E114F96" w:rsidR="00F26FFC" w:rsidRPr="00BC7627" w:rsidRDefault="00F26FFC" w:rsidP="00191DDA">
      <w:pPr>
        <w:pStyle w:val="ChartorTableNote"/>
      </w:pPr>
      <w:r w:rsidRPr="00191DDA">
        <w:t>Source: Treasury analysis of HILDA Release 19.0.</w:t>
      </w:r>
    </w:p>
    <w:p w14:paraId="51F6B915" w14:textId="77777777" w:rsidR="00816B48" w:rsidRDefault="00816B48" w:rsidP="00191DDA">
      <w:r>
        <w:br w:type="page"/>
      </w:r>
    </w:p>
    <w:p w14:paraId="6FBA7CBB" w14:textId="3B9EB0F0" w:rsidR="00F26FFC" w:rsidRPr="00F26FFC" w:rsidRDefault="00F26FFC" w:rsidP="00191DDA">
      <w:pPr>
        <w:pStyle w:val="Heading3"/>
      </w:pPr>
      <w:r w:rsidRPr="00F26FFC">
        <w:t xml:space="preserve">Predicted wages in </w:t>
      </w:r>
      <w:proofErr w:type="gramStart"/>
      <w:r w:rsidRPr="00F26FFC">
        <w:t>levels</w:t>
      </w:r>
      <w:proofErr w:type="gramEnd"/>
      <w:r w:rsidRPr="00F26FFC">
        <w:t xml:space="preserve"> </w:t>
      </w:r>
    </w:p>
    <w:p w14:paraId="1028E49D" w14:textId="64A9F7BC" w:rsidR="00FB5CE7" w:rsidRDefault="003E4186" w:rsidP="00191DDA">
      <w:pPr>
        <w:pStyle w:val="ChartMainHeading"/>
      </w:pPr>
      <w:r>
        <w:t>Chart </w:t>
      </w:r>
      <w:r w:rsidR="00F26FFC" w:rsidRPr="00C360D1">
        <w:t xml:space="preserve">A2: Mean financial year salary and wages since </w:t>
      </w:r>
      <w:r w:rsidR="00B72A5B">
        <w:t>parenthood</w:t>
      </w:r>
      <w:r w:rsidR="00F26FFC" w:rsidRPr="00C360D1">
        <w:t xml:space="preserve">, by </w:t>
      </w:r>
      <w:proofErr w:type="gramStart"/>
      <w:r w:rsidR="00F26FFC" w:rsidRPr="00C360D1">
        <w:t>sex</w:t>
      </w:r>
      <w:proofErr w:type="gramEnd"/>
    </w:p>
    <w:p w14:paraId="23B5DF79" w14:textId="77777777" w:rsidR="00FB5CE7" w:rsidRPr="00ED212F" w:rsidRDefault="00FB5CE7" w:rsidP="00ED212F">
      <w:pPr>
        <w:pStyle w:val="ChartGraphic"/>
      </w:pPr>
      <w:r>
        <w:rPr>
          <w:noProof/>
        </w:rPr>
        <w:drawing>
          <wp:inline distT="0" distB="0" distL="0" distR="0" wp14:anchorId="0E12ADC1" wp14:editId="2C4C4838">
            <wp:extent cx="4680000" cy="3404247"/>
            <wp:effectExtent l="0" t="0" r="6350" b="5715"/>
            <wp:docPr id="15" name="Picture 15" descr="This is an event study chart which plots the estimated impact of children on earnings for men and women separately, for 3 years before and up to 5 years after the arrival of the first child. The chart displays the impact on earnings in levels. It shows that fathers experience an average increase in their earnings from about $60,000 to over $80,000 five years after the arrival of a child, while mothers experience a fall from about $40,000 to $30,000. Mothers earnings in levels lie below those of fathers before the arrival of the first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n event study chart which plots the estimated impact of children on earnings for men and women separately, for 3 years before and up to 5 years after the arrival of the first child. The chart displays the impact on earnings in levels. It shows that fathers experience an average increase in their earnings from about $60,000 to over $80,000 five years after the arrival of a child, while mothers experience a fall from about $40,000 to $30,000. Mothers earnings in levels lie below those of fathers before the arrival of the first chil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5E35E5C5" w14:textId="5E454D5D" w:rsidR="00FB5CE7" w:rsidRPr="00191DDA" w:rsidRDefault="00F26FFC" w:rsidP="00191DDA">
      <w:pPr>
        <w:pStyle w:val="ChartorTableNote"/>
      </w:pPr>
      <w:r w:rsidRPr="00191DDA">
        <w:t xml:space="preserve">Notes: Predicted wages obtained after running event study model of the same form as Equation (1) for each sex. Wages are not adjusted for inflation. </w:t>
      </w:r>
      <w:r w:rsidR="00FB5CE7" w:rsidRPr="00191DDA">
        <w:t>V</w:t>
      </w:r>
      <w:r w:rsidRPr="00191DDA">
        <w:t>ertical line signifies year before first child arrives.</w:t>
      </w:r>
      <w:r w:rsidR="00FB5CE7" w:rsidRPr="00191DDA">
        <w:t xml:space="preserve"> </w:t>
      </w:r>
    </w:p>
    <w:p w14:paraId="254193E2" w14:textId="21E80C8B" w:rsidR="00F26FFC" w:rsidRPr="00191DDA" w:rsidRDefault="00F26FFC" w:rsidP="00191DDA">
      <w:pPr>
        <w:pStyle w:val="ChartorTableNote"/>
      </w:pPr>
      <w:r w:rsidRPr="00191DDA">
        <w:t>Source: Treasury analysis of HILDA Release 19.0.</w:t>
      </w:r>
      <w:r w:rsidR="00FB5CE7" w:rsidRPr="00191DDA">
        <w:t xml:space="preserve"> </w:t>
      </w:r>
    </w:p>
    <w:p w14:paraId="6CC5135C" w14:textId="77777777" w:rsidR="00C62556" w:rsidRPr="00C62556" w:rsidRDefault="00C62556" w:rsidP="00C62556">
      <w:r>
        <w:br w:type="page"/>
      </w:r>
    </w:p>
    <w:p w14:paraId="742F2112" w14:textId="6FD5810F" w:rsidR="00F26FFC" w:rsidRPr="00F26FFC" w:rsidRDefault="00F26FFC" w:rsidP="00191DDA">
      <w:pPr>
        <w:pStyle w:val="Heading3"/>
      </w:pPr>
      <w:r w:rsidRPr="00F26FFC">
        <w:t>Additional summary statistics</w:t>
      </w:r>
    </w:p>
    <w:p w14:paraId="5CA76E19" w14:textId="7C50475F" w:rsidR="00F26FFC" w:rsidRDefault="003E4186" w:rsidP="00191DDA">
      <w:pPr>
        <w:pStyle w:val="TableMainHeading"/>
      </w:pPr>
      <w:r>
        <w:t>Table </w:t>
      </w:r>
      <w:r w:rsidR="00F26FFC" w:rsidRPr="00C360D1">
        <w:t>A</w:t>
      </w:r>
      <w:r w:rsidR="00816B48">
        <w:t>2</w:t>
      </w:r>
      <w:r w:rsidR="00F26FFC" w:rsidRPr="00C360D1">
        <w:t>: Labour force status, by sex</w:t>
      </w:r>
    </w:p>
    <w:tbl>
      <w:tblPr>
        <w:tblStyle w:val="PlainTable2"/>
        <w:tblW w:w="5000" w:type="pct"/>
        <w:tblLook w:val="0620" w:firstRow="1" w:lastRow="0" w:firstColumn="0" w:lastColumn="0" w:noHBand="1" w:noVBand="1"/>
      </w:tblPr>
      <w:tblGrid>
        <w:gridCol w:w="993"/>
        <w:gridCol w:w="2268"/>
        <w:gridCol w:w="1345"/>
        <w:gridCol w:w="1345"/>
        <w:gridCol w:w="1346"/>
        <w:gridCol w:w="1773"/>
      </w:tblGrid>
      <w:tr w:rsidR="00C62556" w:rsidRPr="00500C6C" w14:paraId="2A91AB9B" w14:textId="77777777" w:rsidTr="00C62556">
        <w:trPr>
          <w:cnfStyle w:val="100000000000" w:firstRow="1" w:lastRow="0" w:firstColumn="0" w:lastColumn="0" w:oddVBand="0" w:evenVBand="0" w:oddHBand="0" w:evenHBand="0" w:firstRowFirstColumn="0" w:firstRowLastColumn="0" w:lastRowFirstColumn="0" w:lastRowLastColumn="0"/>
          <w:trHeight w:val="20"/>
        </w:trPr>
        <w:tc>
          <w:tcPr>
            <w:tcW w:w="993" w:type="dxa"/>
          </w:tcPr>
          <w:p w14:paraId="5839AE5A" w14:textId="6DD913B5" w:rsidR="00FD10C0" w:rsidRPr="00500C6C" w:rsidRDefault="00FD10C0" w:rsidP="00D20CB5">
            <w:pPr>
              <w:pStyle w:val="TableColumnHeadingLeft"/>
              <w:rPr>
                <w:b/>
              </w:rPr>
            </w:pPr>
            <w:r w:rsidRPr="00500C6C">
              <w:rPr>
                <w:b/>
              </w:rPr>
              <w:t>Sex</w:t>
            </w:r>
          </w:p>
        </w:tc>
        <w:tc>
          <w:tcPr>
            <w:tcW w:w="2268" w:type="dxa"/>
          </w:tcPr>
          <w:p w14:paraId="37E29321" w14:textId="351D3685" w:rsidR="00FD10C0" w:rsidRPr="00500C6C" w:rsidRDefault="00FD10C0" w:rsidP="00C62556">
            <w:pPr>
              <w:pStyle w:val="TableColumnHeadingCentred"/>
              <w:rPr>
                <w:b/>
              </w:rPr>
            </w:pPr>
            <w:r w:rsidRPr="00500C6C">
              <w:rPr>
                <w:b/>
              </w:rPr>
              <w:t>Time since child</w:t>
            </w:r>
            <w:r w:rsidR="00D20CB5">
              <w:rPr>
                <w:b/>
              </w:rPr>
              <w:t> </w:t>
            </w:r>
            <w:r w:rsidRPr="00500C6C">
              <w:rPr>
                <w:b/>
              </w:rPr>
              <w:t xml:space="preserve">arrival </w:t>
            </w:r>
          </w:p>
        </w:tc>
        <w:tc>
          <w:tcPr>
            <w:tcW w:w="1345" w:type="dxa"/>
          </w:tcPr>
          <w:p w14:paraId="0A332A10" w14:textId="31D996EF" w:rsidR="00FD10C0" w:rsidRPr="00500C6C" w:rsidRDefault="00FD10C0" w:rsidP="00C62556">
            <w:pPr>
              <w:pStyle w:val="TableColumnHeadingCentred"/>
              <w:rPr>
                <w:b/>
              </w:rPr>
            </w:pPr>
            <w:r w:rsidRPr="00500C6C">
              <w:rPr>
                <w:b/>
              </w:rPr>
              <w:t>Full</w:t>
            </w:r>
            <w:r w:rsidR="00D11577">
              <w:rPr>
                <w:b/>
              </w:rPr>
              <w:t>-</w:t>
            </w:r>
            <w:r w:rsidRPr="00500C6C">
              <w:rPr>
                <w:b/>
              </w:rPr>
              <w:t>time</w:t>
            </w:r>
          </w:p>
        </w:tc>
        <w:tc>
          <w:tcPr>
            <w:tcW w:w="1345" w:type="dxa"/>
          </w:tcPr>
          <w:p w14:paraId="67E16FD1" w14:textId="4EDA579F" w:rsidR="00FD10C0" w:rsidRPr="00500C6C" w:rsidRDefault="00FD10C0" w:rsidP="00C62556">
            <w:pPr>
              <w:pStyle w:val="TableColumnHeadingCentred"/>
              <w:rPr>
                <w:b/>
              </w:rPr>
            </w:pPr>
            <w:r w:rsidRPr="00500C6C">
              <w:rPr>
                <w:b/>
              </w:rPr>
              <w:t>Part</w:t>
            </w:r>
            <w:r w:rsidR="00D11577">
              <w:rPr>
                <w:b/>
              </w:rPr>
              <w:t>-</w:t>
            </w:r>
            <w:r w:rsidRPr="00500C6C">
              <w:rPr>
                <w:b/>
              </w:rPr>
              <w:t>time</w:t>
            </w:r>
          </w:p>
        </w:tc>
        <w:tc>
          <w:tcPr>
            <w:tcW w:w="1346" w:type="dxa"/>
          </w:tcPr>
          <w:p w14:paraId="4E8B941E" w14:textId="6A5CA9C0" w:rsidR="00FD10C0" w:rsidRPr="00500C6C" w:rsidRDefault="00FD10C0" w:rsidP="00C62556">
            <w:pPr>
              <w:pStyle w:val="TableColumnHeadingCentred"/>
              <w:rPr>
                <w:b/>
              </w:rPr>
            </w:pPr>
            <w:r w:rsidRPr="00500C6C">
              <w:rPr>
                <w:b/>
              </w:rPr>
              <w:t>Unemployed</w:t>
            </w:r>
          </w:p>
        </w:tc>
        <w:tc>
          <w:tcPr>
            <w:tcW w:w="1773" w:type="dxa"/>
          </w:tcPr>
          <w:p w14:paraId="5BBE3204" w14:textId="4F152D74" w:rsidR="00FD10C0" w:rsidRPr="00500C6C" w:rsidRDefault="00FD10C0" w:rsidP="00C62556">
            <w:pPr>
              <w:pStyle w:val="TableColumnHeadingCentred"/>
              <w:rPr>
                <w:b/>
              </w:rPr>
            </w:pPr>
            <w:r w:rsidRPr="00500C6C">
              <w:rPr>
                <w:b/>
              </w:rPr>
              <w:t>Not in labour</w:t>
            </w:r>
            <w:r w:rsidR="00D20CB5">
              <w:rPr>
                <w:b/>
              </w:rPr>
              <w:t> </w:t>
            </w:r>
            <w:r w:rsidRPr="00500C6C">
              <w:rPr>
                <w:b/>
              </w:rPr>
              <w:t>force</w:t>
            </w:r>
          </w:p>
        </w:tc>
      </w:tr>
      <w:tr w:rsidR="00FD10C0" w:rsidRPr="00FD10C0" w14:paraId="709E3DDE" w14:textId="77777777" w:rsidTr="00C62556">
        <w:trPr>
          <w:trHeight w:val="20"/>
        </w:trPr>
        <w:tc>
          <w:tcPr>
            <w:tcW w:w="993" w:type="dxa"/>
          </w:tcPr>
          <w:p w14:paraId="31711F38" w14:textId="29E060D7" w:rsidR="00FD10C0" w:rsidRPr="00500C6C" w:rsidRDefault="00FD10C0" w:rsidP="00500C6C">
            <w:pPr>
              <w:pStyle w:val="TableColumnHeadingLeft"/>
            </w:pPr>
            <w:r w:rsidRPr="00500C6C">
              <w:t>Male</w:t>
            </w:r>
          </w:p>
        </w:tc>
        <w:tc>
          <w:tcPr>
            <w:tcW w:w="2268" w:type="dxa"/>
          </w:tcPr>
          <w:p w14:paraId="5BC76CE0" w14:textId="1FEFD5C6" w:rsidR="00FD10C0" w:rsidRPr="00500C6C" w:rsidRDefault="00FD10C0" w:rsidP="00500C6C">
            <w:pPr>
              <w:pStyle w:val="TableTextCentered"/>
            </w:pPr>
            <w:r w:rsidRPr="00500C6C">
              <w:t>-3</w:t>
            </w:r>
          </w:p>
        </w:tc>
        <w:tc>
          <w:tcPr>
            <w:tcW w:w="1345" w:type="dxa"/>
          </w:tcPr>
          <w:p w14:paraId="0CA8BCCC" w14:textId="4EE8D336" w:rsidR="00FD10C0" w:rsidRPr="00500C6C" w:rsidRDefault="00FD10C0" w:rsidP="00500C6C">
            <w:pPr>
              <w:pStyle w:val="TableTextCentered"/>
            </w:pPr>
            <w:r w:rsidRPr="00500C6C">
              <w:t>82</w:t>
            </w:r>
          </w:p>
        </w:tc>
        <w:tc>
          <w:tcPr>
            <w:tcW w:w="1345" w:type="dxa"/>
          </w:tcPr>
          <w:p w14:paraId="405F9568" w14:textId="54FBA6FE" w:rsidR="00FD10C0" w:rsidRPr="00500C6C" w:rsidRDefault="00FD10C0" w:rsidP="00500C6C">
            <w:pPr>
              <w:pStyle w:val="TableTextCentered"/>
            </w:pPr>
            <w:r w:rsidRPr="00500C6C">
              <w:t>8</w:t>
            </w:r>
          </w:p>
        </w:tc>
        <w:tc>
          <w:tcPr>
            <w:tcW w:w="1346" w:type="dxa"/>
          </w:tcPr>
          <w:p w14:paraId="2DF39292" w14:textId="55423916" w:rsidR="00FD10C0" w:rsidRPr="00500C6C" w:rsidRDefault="00FD10C0" w:rsidP="00500C6C">
            <w:pPr>
              <w:pStyle w:val="TableTextCentered"/>
            </w:pPr>
            <w:r w:rsidRPr="00500C6C">
              <w:t>4</w:t>
            </w:r>
          </w:p>
        </w:tc>
        <w:tc>
          <w:tcPr>
            <w:tcW w:w="1773" w:type="dxa"/>
          </w:tcPr>
          <w:p w14:paraId="744AB211" w14:textId="6894E086" w:rsidR="00FD10C0" w:rsidRPr="00500C6C" w:rsidRDefault="00FD10C0" w:rsidP="00500C6C">
            <w:pPr>
              <w:pStyle w:val="TableTextCentered"/>
            </w:pPr>
            <w:r w:rsidRPr="00500C6C">
              <w:t>5</w:t>
            </w:r>
          </w:p>
        </w:tc>
      </w:tr>
      <w:tr w:rsidR="00FD10C0" w:rsidRPr="00FD10C0" w14:paraId="2D514FFC" w14:textId="77777777" w:rsidTr="00C62556">
        <w:trPr>
          <w:trHeight w:val="20"/>
        </w:trPr>
        <w:tc>
          <w:tcPr>
            <w:tcW w:w="993" w:type="dxa"/>
          </w:tcPr>
          <w:p w14:paraId="01B86C0E" w14:textId="77777777" w:rsidR="00FD10C0" w:rsidRPr="00500C6C" w:rsidRDefault="00FD10C0" w:rsidP="00500C6C">
            <w:pPr>
              <w:pStyle w:val="TableTextCentered"/>
            </w:pPr>
          </w:p>
        </w:tc>
        <w:tc>
          <w:tcPr>
            <w:tcW w:w="2268" w:type="dxa"/>
          </w:tcPr>
          <w:p w14:paraId="1B16190C" w14:textId="32766539" w:rsidR="00FD10C0" w:rsidRPr="00500C6C" w:rsidRDefault="00FD10C0" w:rsidP="00500C6C">
            <w:pPr>
              <w:pStyle w:val="TableTextCentered"/>
            </w:pPr>
            <w:r w:rsidRPr="00500C6C">
              <w:t>-2</w:t>
            </w:r>
          </w:p>
        </w:tc>
        <w:tc>
          <w:tcPr>
            <w:tcW w:w="1345" w:type="dxa"/>
          </w:tcPr>
          <w:p w14:paraId="39CBB189" w14:textId="03160ECE" w:rsidR="00FD10C0" w:rsidRPr="00500C6C" w:rsidRDefault="00FD10C0" w:rsidP="00500C6C">
            <w:pPr>
              <w:pStyle w:val="TableTextCentered"/>
            </w:pPr>
            <w:r w:rsidRPr="00500C6C">
              <w:t>82</w:t>
            </w:r>
          </w:p>
        </w:tc>
        <w:tc>
          <w:tcPr>
            <w:tcW w:w="1345" w:type="dxa"/>
          </w:tcPr>
          <w:p w14:paraId="5666ACE2" w14:textId="0042B92D" w:rsidR="00FD10C0" w:rsidRPr="00500C6C" w:rsidRDefault="00FD10C0" w:rsidP="00500C6C">
            <w:pPr>
              <w:pStyle w:val="TableTextCentered"/>
            </w:pPr>
            <w:r w:rsidRPr="00500C6C">
              <w:t>6</w:t>
            </w:r>
          </w:p>
        </w:tc>
        <w:tc>
          <w:tcPr>
            <w:tcW w:w="1346" w:type="dxa"/>
          </w:tcPr>
          <w:p w14:paraId="3C034B52" w14:textId="1AC699A4" w:rsidR="00FD10C0" w:rsidRPr="00500C6C" w:rsidRDefault="00FD10C0" w:rsidP="00500C6C">
            <w:pPr>
              <w:pStyle w:val="TableTextCentered"/>
            </w:pPr>
            <w:r w:rsidRPr="00500C6C">
              <w:t>5</w:t>
            </w:r>
          </w:p>
        </w:tc>
        <w:tc>
          <w:tcPr>
            <w:tcW w:w="1773" w:type="dxa"/>
          </w:tcPr>
          <w:p w14:paraId="656D4DDF" w14:textId="5000EC15" w:rsidR="00FD10C0" w:rsidRPr="00500C6C" w:rsidRDefault="00FD10C0" w:rsidP="00500C6C">
            <w:pPr>
              <w:pStyle w:val="TableTextCentered"/>
            </w:pPr>
            <w:r w:rsidRPr="00500C6C">
              <w:t>7</w:t>
            </w:r>
          </w:p>
        </w:tc>
      </w:tr>
      <w:tr w:rsidR="00FD10C0" w:rsidRPr="00FD10C0" w14:paraId="72F475F9" w14:textId="77777777" w:rsidTr="00C62556">
        <w:trPr>
          <w:trHeight w:val="20"/>
        </w:trPr>
        <w:tc>
          <w:tcPr>
            <w:tcW w:w="993" w:type="dxa"/>
          </w:tcPr>
          <w:p w14:paraId="23764693" w14:textId="77777777" w:rsidR="00FD10C0" w:rsidRPr="00500C6C" w:rsidRDefault="00FD10C0" w:rsidP="00500C6C">
            <w:pPr>
              <w:pStyle w:val="TableTextCentered"/>
            </w:pPr>
          </w:p>
        </w:tc>
        <w:tc>
          <w:tcPr>
            <w:tcW w:w="2268" w:type="dxa"/>
          </w:tcPr>
          <w:p w14:paraId="0B7E2895" w14:textId="4E6DC475" w:rsidR="00FD10C0" w:rsidRPr="00500C6C" w:rsidRDefault="00FD10C0" w:rsidP="00500C6C">
            <w:pPr>
              <w:pStyle w:val="TableTextCentered"/>
            </w:pPr>
            <w:r w:rsidRPr="00500C6C">
              <w:t>-1</w:t>
            </w:r>
          </w:p>
        </w:tc>
        <w:tc>
          <w:tcPr>
            <w:tcW w:w="1345" w:type="dxa"/>
          </w:tcPr>
          <w:p w14:paraId="01E791EE" w14:textId="6416ACBF" w:rsidR="00FD10C0" w:rsidRPr="00500C6C" w:rsidRDefault="00FD10C0" w:rsidP="00500C6C">
            <w:pPr>
              <w:pStyle w:val="TableTextCentered"/>
            </w:pPr>
            <w:r w:rsidRPr="00500C6C">
              <w:t>84</w:t>
            </w:r>
          </w:p>
        </w:tc>
        <w:tc>
          <w:tcPr>
            <w:tcW w:w="1345" w:type="dxa"/>
          </w:tcPr>
          <w:p w14:paraId="2BD61AF9" w14:textId="54EDF8F9" w:rsidR="00FD10C0" w:rsidRPr="00500C6C" w:rsidRDefault="00FD10C0" w:rsidP="00500C6C">
            <w:pPr>
              <w:pStyle w:val="TableTextCentered"/>
            </w:pPr>
            <w:r w:rsidRPr="00500C6C">
              <w:t>6</w:t>
            </w:r>
          </w:p>
        </w:tc>
        <w:tc>
          <w:tcPr>
            <w:tcW w:w="1346" w:type="dxa"/>
          </w:tcPr>
          <w:p w14:paraId="4FD58F2F" w14:textId="48753D47" w:rsidR="00FD10C0" w:rsidRPr="00500C6C" w:rsidRDefault="00FD10C0" w:rsidP="00500C6C">
            <w:pPr>
              <w:pStyle w:val="TableTextCentered"/>
            </w:pPr>
            <w:r w:rsidRPr="00500C6C">
              <w:t>4</w:t>
            </w:r>
          </w:p>
        </w:tc>
        <w:tc>
          <w:tcPr>
            <w:tcW w:w="1773" w:type="dxa"/>
          </w:tcPr>
          <w:p w14:paraId="4EE2EEEA" w14:textId="54BC97F2" w:rsidR="00FD10C0" w:rsidRPr="00500C6C" w:rsidRDefault="00FD10C0" w:rsidP="00500C6C">
            <w:pPr>
              <w:pStyle w:val="TableTextCentered"/>
            </w:pPr>
            <w:r w:rsidRPr="00500C6C">
              <w:t>6</w:t>
            </w:r>
          </w:p>
        </w:tc>
      </w:tr>
      <w:tr w:rsidR="00FD10C0" w:rsidRPr="00FD10C0" w14:paraId="1541F2BF" w14:textId="77777777" w:rsidTr="00C62556">
        <w:trPr>
          <w:trHeight w:val="20"/>
        </w:trPr>
        <w:tc>
          <w:tcPr>
            <w:tcW w:w="993" w:type="dxa"/>
          </w:tcPr>
          <w:p w14:paraId="275ED209" w14:textId="77777777" w:rsidR="00FD10C0" w:rsidRPr="00500C6C" w:rsidRDefault="00FD10C0" w:rsidP="00500C6C">
            <w:pPr>
              <w:pStyle w:val="TableTextCentered"/>
            </w:pPr>
          </w:p>
        </w:tc>
        <w:tc>
          <w:tcPr>
            <w:tcW w:w="2268" w:type="dxa"/>
          </w:tcPr>
          <w:p w14:paraId="7BAC716B" w14:textId="621DFFDF" w:rsidR="00FD10C0" w:rsidRPr="00500C6C" w:rsidRDefault="00FD10C0" w:rsidP="00500C6C">
            <w:pPr>
              <w:pStyle w:val="TableTextCentered"/>
            </w:pPr>
            <w:r w:rsidRPr="00500C6C">
              <w:t>0</w:t>
            </w:r>
          </w:p>
        </w:tc>
        <w:tc>
          <w:tcPr>
            <w:tcW w:w="1345" w:type="dxa"/>
          </w:tcPr>
          <w:p w14:paraId="21880105" w14:textId="33EDE980" w:rsidR="00FD10C0" w:rsidRPr="00500C6C" w:rsidRDefault="00FD10C0" w:rsidP="00500C6C">
            <w:pPr>
              <w:pStyle w:val="TableTextCentered"/>
            </w:pPr>
            <w:r w:rsidRPr="00500C6C">
              <w:t>85</w:t>
            </w:r>
          </w:p>
        </w:tc>
        <w:tc>
          <w:tcPr>
            <w:tcW w:w="1345" w:type="dxa"/>
          </w:tcPr>
          <w:p w14:paraId="799BED10" w14:textId="4923A506" w:rsidR="00FD10C0" w:rsidRPr="00500C6C" w:rsidRDefault="00FD10C0" w:rsidP="00500C6C">
            <w:pPr>
              <w:pStyle w:val="TableTextCentered"/>
            </w:pPr>
            <w:r w:rsidRPr="00500C6C">
              <w:t>5</w:t>
            </w:r>
          </w:p>
        </w:tc>
        <w:tc>
          <w:tcPr>
            <w:tcW w:w="1346" w:type="dxa"/>
          </w:tcPr>
          <w:p w14:paraId="6DE26D41" w14:textId="777EA2A1" w:rsidR="00FD10C0" w:rsidRPr="00500C6C" w:rsidRDefault="00FD10C0" w:rsidP="00500C6C">
            <w:pPr>
              <w:pStyle w:val="TableTextCentered"/>
            </w:pPr>
            <w:r w:rsidRPr="00500C6C">
              <w:t>2</w:t>
            </w:r>
          </w:p>
        </w:tc>
        <w:tc>
          <w:tcPr>
            <w:tcW w:w="1773" w:type="dxa"/>
          </w:tcPr>
          <w:p w14:paraId="22864CED" w14:textId="5031F751" w:rsidR="00FD10C0" w:rsidRPr="00500C6C" w:rsidRDefault="00FD10C0" w:rsidP="00500C6C">
            <w:pPr>
              <w:pStyle w:val="TableTextCentered"/>
            </w:pPr>
            <w:r w:rsidRPr="00500C6C">
              <w:t>8</w:t>
            </w:r>
          </w:p>
        </w:tc>
      </w:tr>
      <w:tr w:rsidR="00FD10C0" w:rsidRPr="00FD10C0" w14:paraId="3699E57A" w14:textId="77777777" w:rsidTr="00C62556">
        <w:trPr>
          <w:trHeight w:val="20"/>
        </w:trPr>
        <w:tc>
          <w:tcPr>
            <w:tcW w:w="993" w:type="dxa"/>
          </w:tcPr>
          <w:p w14:paraId="1E0A4A47" w14:textId="77777777" w:rsidR="00FD10C0" w:rsidRPr="00500C6C" w:rsidRDefault="00FD10C0" w:rsidP="00500C6C">
            <w:pPr>
              <w:pStyle w:val="TableTextCentered"/>
            </w:pPr>
          </w:p>
        </w:tc>
        <w:tc>
          <w:tcPr>
            <w:tcW w:w="2268" w:type="dxa"/>
          </w:tcPr>
          <w:p w14:paraId="0BD044D0" w14:textId="27E9CFF2" w:rsidR="00FD10C0" w:rsidRPr="00500C6C" w:rsidRDefault="00FD10C0" w:rsidP="00500C6C">
            <w:pPr>
              <w:pStyle w:val="TableTextCentered"/>
            </w:pPr>
            <w:r w:rsidRPr="00500C6C">
              <w:t>1</w:t>
            </w:r>
          </w:p>
        </w:tc>
        <w:tc>
          <w:tcPr>
            <w:tcW w:w="1345" w:type="dxa"/>
          </w:tcPr>
          <w:p w14:paraId="4FEC89D2" w14:textId="4FDB3182" w:rsidR="00FD10C0" w:rsidRPr="00500C6C" w:rsidRDefault="00FD10C0" w:rsidP="00500C6C">
            <w:pPr>
              <w:pStyle w:val="TableTextCentered"/>
            </w:pPr>
            <w:r w:rsidRPr="00500C6C">
              <w:t>84</w:t>
            </w:r>
          </w:p>
        </w:tc>
        <w:tc>
          <w:tcPr>
            <w:tcW w:w="1345" w:type="dxa"/>
          </w:tcPr>
          <w:p w14:paraId="40702836" w14:textId="270723B7" w:rsidR="00FD10C0" w:rsidRPr="00500C6C" w:rsidRDefault="00FD10C0" w:rsidP="00500C6C">
            <w:pPr>
              <w:pStyle w:val="TableTextCentered"/>
            </w:pPr>
            <w:r w:rsidRPr="00500C6C">
              <w:t>7</w:t>
            </w:r>
          </w:p>
        </w:tc>
        <w:tc>
          <w:tcPr>
            <w:tcW w:w="1346" w:type="dxa"/>
          </w:tcPr>
          <w:p w14:paraId="29C3812D" w14:textId="57F1F500" w:rsidR="00FD10C0" w:rsidRPr="00500C6C" w:rsidRDefault="00FD10C0" w:rsidP="00500C6C">
            <w:pPr>
              <w:pStyle w:val="TableTextCentered"/>
            </w:pPr>
            <w:r w:rsidRPr="00500C6C">
              <w:t>3</w:t>
            </w:r>
          </w:p>
        </w:tc>
        <w:tc>
          <w:tcPr>
            <w:tcW w:w="1773" w:type="dxa"/>
          </w:tcPr>
          <w:p w14:paraId="4C3F61DB" w14:textId="7850F2D0" w:rsidR="00FD10C0" w:rsidRPr="00500C6C" w:rsidRDefault="00FD10C0" w:rsidP="00500C6C">
            <w:pPr>
              <w:pStyle w:val="TableTextCentered"/>
            </w:pPr>
            <w:r w:rsidRPr="00500C6C">
              <w:t>6</w:t>
            </w:r>
          </w:p>
        </w:tc>
      </w:tr>
      <w:tr w:rsidR="00FD10C0" w:rsidRPr="00FD10C0" w14:paraId="6CE73FA4" w14:textId="77777777" w:rsidTr="00C62556">
        <w:trPr>
          <w:trHeight w:val="20"/>
        </w:trPr>
        <w:tc>
          <w:tcPr>
            <w:tcW w:w="993" w:type="dxa"/>
          </w:tcPr>
          <w:p w14:paraId="490547C5" w14:textId="77777777" w:rsidR="00FD10C0" w:rsidRPr="00500C6C" w:rsidRDefault="00FD10C0" w:rsidP="00500C6C">
            <w:pPr>
              <w:pStyle w:val="TableTextCentered"/>
            </w:pPr>
          </w:p>
        </w:tc>
        <w:tc>
          <w:tcPr>
            <w:tcW w:w="2268" w:type="dxa"/>
          </w:tcPr>
          <w:p w14:paraId="6A9F3139" w14:textId="54801264" w:rsidR="00FD10C0" w:rsidRPr="00500C6C" w:rsidRDefault="00FD10C0" w:rsidP="00500C6C">
            <w:pPr>
              <w:pStyle w:val="TableTextCentered"/>
            </w:pPr>
            <w:r w:rsidRPr="00500C6C">
              <w:t>2</w:t>
            </w:r>
          </w:p>
        </w:tc>
        <w:tc>
          <w:tcPr>
            <w:tcW w:w="1345" w:type="dxa"/>
          </w:tcPr>
          <w:p w14:paraId="78303DAE" w14:textId="504E77D8" w:rsidR="00FD10C0" w:rsidRPr="00500C6C" w:rsidRDefault="00FD10C0" w:rsidP="00500C6C">
            <w:pPr>
              <w:pStyle w:val="TableTextCentered"/>
            </w:pPr>
            <w:r w:rsidRPr="00500C6C">
              <w:t>82</w:t>
            </w:r>
          </w:p>
        </w:tc>
        <w:tc>
          <w:tcPr>
            <w:tcW w:w="1345" w:type="dxa"/>
          </w:tcPr>
          <w:p w14:paraId="6DBB4494" w14:textId="6D587A6C" w:rsidR="00FD10C0" w:rsidRPr="00500C6C" w:rsidRDefault="00FD10C0" w:rsidP="00500C6C">
            <w:pPr>
              <w:pStyle w:val="TableTextCentered"/>
            </w:pPr>
            <w:r w:rsidRPr="00500C6C">
              <w:t>8</w:t>
            </w:r>
          </w:p>
        </w:tc>
        <w:tc>
          <w:tcPr>
            <w:tcW w:w="1346" w:type="dxa"/>
          </w:tcPr>
          <w:p w14:paraId="4442D215" w14:textId="765D8315" w:rsidR="00FD10C0" w:rsidRPr="00500C6C" w:rsidRDefault="00FD10C0" w:rsidP="00500C6C">
            <w:pPr>
              <w:pStyle w:val="TableTextCentered"/>
            </w:pPr>
            <w:r w:rsidRPr="00500C6C">
              <w:t>2</w:t>
            </w:r>
          </w:p>
        </w:tc>
        <w:tc>
          <w:tcPr>
            <w:tcW w:w="1773" w:type="dxa"/>
          </w:tcPr>
          <w:p w14:paraId="52825442" w14:textId="7C7AB496" w:rsidR="00FD10C0" w:rsidRPr="00500C6C" w:rsidRDefault="00FD10C0" w:rsidP="00500C6C">
            <w:pPr>
              <w:pStyle w:val="TableTextCentered"/>
            </w:pPr>
            <w:r w:rsidRPr="00500C6C">
              <w:t>9</w:t>
            </w:r>
          </w:p>
        </w:tc>
      </w:tr>
      <w:tr w:rsidR="00FD10C0" w:rsidRPr="00FD10C0" w14:paraId="55FB75ED" w14:textId="77777777" w:rsidTr="00C62556">
        <w:trPr>
          <w:trHeight w:val="20"/>
        </w:trPr>
        <w:tc>
          <w:tcPr>
            <w:tcW w:w="993" w:type="dxa"/>
          </w:tcPr>
          <w:p w14:paraId="7E816458" w14:textId="77777777" w:rsidR="00FD10C0" w:rsidRPr="00500C6C" w:rsidRDefault="00FD10C0" w:rsidP="00500C6C">
            <w:pPr>
              <w:pStyle w:val="TableTextCentered"/>
            </w:pPr>
          </w:p>
        </w:tc>
        <w:tc>
          <w:tcPr>
            <w:tcW w:w="2268" w:type="dxa"/>
          </w:tcPr>
          <w:p w14:paraId="44F38838" w14:textId="0A6ED75B" w:rsidR="00FD10C0" w:rsidRPr="00500C6C" w:rsidRDefault="00FD10C0" w:rsidP="00500C6C">
            <w:pPr>
              <w:pStyle w:val="TableTextCentered"/>
            </w:pPr>
            <w:r w:rsidRPr="00500C6C">
              <w:t>3</w:t>
            </w:r>
          </w:p>
        </w:tc>
        <w:tc>
          <w:tcPr>
            <w:tcW w:w="1345" w:type="dxa"/>
          </w:tcPr>
          <w:p w14:paraId="4DBD96BF" w14:textId="59487115" w:rsidR="00FD10C0" w:rsidRPr="00500C6C" w:rsidRDefault="00FD10C0" w:rsidP="00500C6C">
            <w:pPr>
              <w:pStyle w:val="TableTextCentered"/>
            </w:pPr>
            <w:r w:rsidRPr="00500C6C">
              <w:t>81</w:t>
            </w:r>
          </w:p>
        </w:tc>
        <w:tc>
          <w:tcPr>
            <w:tcW w:w="1345" w:type="dxa"/>
          </w:tcPr>
          <w:p w14:paraId="7D4D0562" w14:textId="4B272738" w:rsidR="00FD10C0" w:rsidRPr="00500C6C" w:rsidRDefault="00FD10C0" w:rsidP="00500C6C">
            <w:pPr>
              <w:pStyle w:val="TableTextCentered"/>
            </w:pPr>
            <w:r w:rsidRPr="00500C6C">
              <w:t>8</w:t>
            </w:r>
          </w:p>
        </w:tc>
        <w:tc>
          <w:tcPr>
            <w:tcW w:w="1346" w:type="dxa"/>
          </w:tcPr>
          <w:p w14:paraId="0ED4854E" w14:textId="38185B19" w:rsidR="00FD10C0" w:rsidRPr="00500C6C" w:rsidRDefault="00FD10C0" w:rsidP="00500C6C">
            <w:pPr>
              <w:pStyle w:val="TableTextCentered"/>
            </w:pPr>
            <w:r w:rsidRPr="00500C6C">
              <w:t>3</w:t>
            </w:r>
          </w:p>
        </w:tc>
        <w:tc>
          <w:tcPr>
            <w:tcW w:w="1773" w:type="dxa"/>
          </w:tcPr>
          <w:p w14:paraId="0A0AA8D4" w14:textId="196B9A10" w:rsidR="00FD10C0" w:rsidRPr="00500C6C" w:rsidRDefault="00FD10C0" w:rsidP="00500C6C">
            <w:pPr>
              <w:pStyle w:val="TableTextCentered"/>
            </w:pPr>
            <w:r w:rsidRPr="00500C6C">
              <w:t>8</w:t>
            </w:r>
          </w:p>
        </w:tc>
      </w:tr>
      <w:tr w:rsidR="00FD10C0" w:rsidRPr="00FD10C0" w14:paraId="76260F3C" w14:textId="77777777" w:rsidTr="00C62556">
        <w:trPr>
          <w:trHeight w:val="20"/>
        </w:trPr>
        <w:tc>
          <w:tcPr>
            <w:tcW w:w="993" w:type="dxa"/>
            <w:tcBorders>
              <w:bottom w:val="nil"/>
            </w:tcBorders>
          </w:tcPr>
          <w:p w14:paraId="2AE7E5AF" w14:textId="77777777" w:rsidR="00FD10C0" w:rsidRPr="00500C6C" w:rsidRDefault="00FD10C0" w:rsidP="00500C6C">
            <w:pPr>
              <w:pStyle w:val="TableTextCentered"/>
            </w:pPr>
          </w:p>
        </w:tc>
        <w:tc>
          <w:tcPr>
            <w:tcW w:w="2268" w:type="dxa"/>
            <w:tcBorders>
              <w:bottom w:val="nil"/>
            </w:tcBorders>
          </w:tcPr>
          <w:p w14:paraId="1D632339" w14:textId="50021255" w:rsidR="00FD10C0" w:rsidRPr="00500C6C" w:rsidRDefault="00FD10C0" w:rsidP="00500C6C">
            <w:pPr>
              <w:pStyle w:val="TableTextCentered"/>
            </w:pPr>
            <w:r w:rsidRPr="00500C6C">
              <w:t>4</w:t>
            </w:r>
          </w:p>
        </w:tc>
        <w:tc>
          <w:tcPr>
            <w:tcW w:w="1345" w:type="dxa"/>
            <w:tcBorders>
              <w:bottom w:val="nil"/>
            </w:tcBorders>
          </w:tcPr>
          <w:p w14:paraId="7F4B0178" w14:textId="7A861B65" w:rsidR="00FD10C0" w:rsidRPr="00500C6C" w:rsidRDefault="00FD10C0" w:rsidP="00500C6C">
            <w:pPr>
              <w:pStyle w:val="TableTextCentered"/>
            </w:pPr>
            <w:r w:rsidRPr="00500C6C">
              <w:t>83</w:t>
            </w:r>
          </w:p>
        </w:tc>
        <w:tc>
          <w:tcPr>
            <w:tcW w:w="1345" w:type="dxa"/>
            <w:tcBorders>
              <w:bottom w:val="nil"/>
            </w:tcBorders>
          </w:tcPr>
          <w:p w14:paraId="7B844889" w14:textId="05D5EDB4" w:rsidR="00FD10C0" w:rsidRPr="00500C6C" w:rsidRDefault="00FD10C0" w:rsidP="00500C6C">
            <w:pPr>
              <w:pStyle w:val="TableTextCentered"/>
            </w:pPr>
            <w:r w:rsidRPr="00500C6C">
              <w:t>7</w:t>
            </w:r>
          </w:p>
        </w:tc>
        <w:tc>
          <w:tcPr>
            <w:tcW w:w="1346" w:type="dxa"/>
            <w:tcBorders>
              <w:bottom w:val="nil"/>
            </w:tcBorders>
          </w:tcPr>
          <w:p w14:paraId="1CDF97FF" w14:textId="7B0CB72D" w:rsidR="00FD10C0" w:rsidRPr="00500C6C" w:rsidRDefault="00FD10C0" w:rsidP="00500C6C">
            <w:pPr>
              <w:pStyle w:val="TableTextCentered"/>
            </w:pPr>
            <w:r w:rsidRPr="00500C6C">
              <w:t>3</w:t>
            </w:r>
          </w:p>
        </w:tc>
        <w:tc>
          <w:tcPr>
            <w:tcW w:w="1773" w:type="dxa"/>
            <w:tcBorders>
              <w:bottom w:val="nil"/>
            </w:tcBorders>
          </w:tcPr>
          <w:p w14:paraId="48D6DE96" w14:textId="31DC40AB" w:rsidR="00FD10C0" w:rsidRPr="00500C6C" w:rsidRDefault="00FD10C0" w:rsidP="00500C6C">
            <w:pPr>
              <w:pStyle w:val="TableTextCentered"/>
            </w:pPr>
            <w:r w:rsidRPr="00500C6C">
              <w:t>8</w:t>
            </w:r>
          </w:p>
        </w:tc>
      </w:tr>
      <w:tr w:rsidR="00FD10C0" w:rsidRPr="00FD10C0" w14:paraId="214F6993" w14:textId="77777777" w:rsidTr="00C62556">
        <w:trPr>
          <w:trHeight w:val="20"/>
        </w:trPr>
        <w:tc>
          <w:tcPr>
            <w:tcW w:w="993" w:type="dxa"/>
            <w:tcBorders>
              <w:top w:val="nil"/>
              <w:bottom w:val="single" w:sz="4" w:space="0" w:color="auto"/>
            </w:tcBorders>
          </w:tcPr>
          <w:p w14:paraId="2D235C78" w14:textId="77777777" w:rsidR="00FD10C0" w:rsidRPr="00500C6C" w:rsidRDefault="00FD10C0" w:rsidP="00500C6C">
            <w:pPr>
              <w:pStyle w:val="TableTextCentered"/>
            </w:pPr>
          </w:p>
        </w:tc>
        <w:tc>
          <w:tcPr>
            <w:tcW w:w="2268" w:type="dxa"/>
            <w:tcBorders>
              <w:top w:val="nil"/>
              <w:bottom w:val="single" w:sz="4" w:space="0" w:color="auto"/>
            </w:tcBorders>
          </w:tcPr>
          <w:p w14:paraId="409F422F" w14:textId="69A9BBC2" w:rsidR="00FD10C0" w:rsidRPr="00500C6C" w:rsidRDefault="00FD10C0" w:rsidP="00500C6C">
            <w:pPr>
              <w:pStyle w:val="TableTextCentered"/>
            </w:pPr>
            <w:r w:rsidRPr="00500C6C">
              <w:t>5</w:t>
            </w:r>
          </w:p>
        </w:tc>
        <w:tc>
          <w:tcPr>
            <w:tcW w:w="1345" w:type="dxa"/>
            <w:tcBorders>
              <w:top w:val="nil"/>
              <w:bottom w:val="single" w:sz="4" w:space="0" w:color="auto"/>
            </w:tcBorders>
          </w:tcPr>
          <w:p w14:paraId="38BACFB4" w14:textId="2F94E0F0" w:rsidR="00FD10C0" w:rsidRPr="00500C6C" w:rsidRDefault="00FD10C0" w:rsidP="00500C6C">
            <w:pPr>
              <w:pStyle w:val="TableTextCentered"/>
            </w:pPr>
            <w:r w:rsidRPr="00500C6C">
              <w:t>83</w:t>
            </w:r>
          </w:p>
        </w:tc>
        <w:tc>
          <w:tcPr>
            <w:tcW w:w="1345" w:type="dxa"/>
            <w:tcBorders>
              <w:top w:val="nil"/>
              <w:bottom w:val="single" w:sz="4" w:space="0" w:color="auto"/>
            </w:tcBorders>
          </w:tcPr>
          <w:p w14:paraId="71BF02EE" w14:textId="7D861A65" w:rsidR="00FD10C0" w:rsidRPr="00500C6C" w:rsidRDefault="00FD10C0" w:rsidP="00500C6C">
            <w:pPr>
              <w:pStyle w:val="TableTextCentered"/>
            </w:pPr>
            <w:r w:rsidRPr="00500C6C">
              <w:t>8</w:t>
            </w:r>
          </w:p>
        </w:tc>
        <w:tc>
          <w:tcPr>
            <w:tcW w:w="1346" w:type="dxa"/>
            <w:tcBorders>
              <w:top w:val="nil"/>
              <w:bottom w:val="single" w:sz="4" w:space="0" w:color="auto"/>
            </w:tcBorders>
          </w:tcPr>
          <w:p w14:paraId="47E05CCC" w14:textId="1CAF9246" w:rsidR="00FD10C0" w:rsidRPr="00500C6C" w:rsidRDefault="00FD10C0" w:rsidP="00500C6C">
            <w:pPr>
              <w:pStyle w:val="TableTextCentered"/>
            </w:pPr>
            <w:r w:rsidRPr="00500C6C">
              <w:t>2</w:t>
            </w:r>
          </w:p>
        </w:tc>
        <w:tc>
          <w:tcPr>
            <w:tcW w:w="1773" w:type="dxa"/>
            <w:tcBorders>
              <w:top w:val="nil"/>
              <w:bottom w:val="single" w:sz="4" w:space="0" w:color="auto"/>
            </w:tcBorders>
          </w:tcPr>
          <w:p w14:paraId="0554CD2A" w14:textId="168B4B64" w:rsidR="00FD10C0" w:rsidRPr="00500C6C" w:rsidRDefault="00FD10C0" w:rsidP="00500C6C">
            <w:pPr>
              <w:pStyle w:val="TableTextCentered"/>
            </w:pPr>
            <w:r w:rsidRPr="00500C6C">
              <w:t>8</w:t>
            </w:r>
          </w:p>
        </w:tc>
      </w:tr>
      <w:tr w:rsidR="00FD10C0" w:rsidRPr="00FD10C0" w14:paraId="2AD5595D" w14:textId="77777777" w:rsidTr="00C62556">
        <w:trPr>
          <w:trHeight w:val="20"/>
        </w:trPr>
        <w:tc>
          <w:tcPr>
            <w:tcW w:w="993" w:type="dxa"/>
            <w:tcBorders>
              <w:top w:val="single" w:sz="4" w:space="0" w:color="auto"/>
            </w:tcBorders>
          </w:tcPr>
          <w:p w14:paraId="7E91F168" w14:textId="78D80B80" w:rsidR="00FD10C0" w:rsidRPr="00500C6C" w:rsidRDefault="00FD10C0" w:rsidP="00500C6C">
            <w:pPr>
              <w:pStyle w:val="TableColumnHeadingLeft"/>
            </w:pPr>
            <w:r w:rsidRPr="00500C6C">
              <w:t xml:space="preserve">Female </w:t>
            </w:r>
          </w:p>
        </w:tc>
        <w:tc>
          <w:tcPr>
            <w:tcW w:w="2268" w:type="dxa"/>
            <w:tcBorders>
              <w:top w:val="single" w:sz="4" w:space="0" w:color="auto"/>
            </w:tcBorders>
          </w:tcPr>
          <w:p w14:paraId="3FE72E26" w14:textId="133E14FB" w:rsidR="00FD10C0" w:rsidRPr="00500C6C" w:rsidRDefault="00FD10C0" w:rsidP="00500C6C">
            <w:pPr>
              <w:pStyle w:val="TableTextCentered"/>
            </w:pPr>
            <w:r w:rsidRPr="00500C6C">
              <w:t>-3</w:t>
            </w:r>
          </w:p>
        </w:tc>
        <w:tc>
          <w:tcPr>
            <w:tcW w:w="1345" w:type="dxa"/>
            <w:tcBorders>
              <w:top w:val="single" w:sz="4" w:space="0" w:color="auto"/>
            </w:tcBorders>
          </w:tcPr>
          <w:p w14:paraId="22E23BF4" w14:textId="4FB78ED0" w:rsidR="00FD10C0" w:rsidRPr="00500C6C" w:rsidRDefault="00FD10C0" w:rsidP="00500C6C">
            <w:pPr>
              <w:pStyle w:val="TableTextCentered"/>
            </w:pPr>
            <w:r w:rsidRPr="00500C6C">
              <w:t>69</w:t>
            </w:r>
          </w:p>
        </w:tc>
        <w:tc>
          <w:tcPr>
            <w:tcW w:w="1345" w:type="dxa"/>
            <w:tcBorders>
              <w:top w:val="single" w:sz="4" w:space="0" w:color="auto"/>
            </w:tcBorders>
          </w:tcPr>
          <w:p w14:paraId="5C22B271" w14:textId="4FEEB327" w:rsidR="00FD10C0" w:rsidRPr="00500C6C" w:rsidRDefault="00FD10C0" w:rsidP="00500C6C">
            <w:pPr>
              <w:pStyle w:val="TableTextCentered"/>
            </w:pPr>
            <w:r w:rsidRPr="00500C6C">
              <w:t>19</w:t>
            </w:r>
          </w:p>
        </w:tc>
        <w:tc>
          <w:tcPr>
            <w:tcW w:w="1346" w:type="dxa"/>
            <w:tcBorders>
              <w:top w:val="single" w:sz="4" w:space="0" w:color="auto"/>
            </w:tcBorders>
          </w:tcPr>
          <w:p w14:paraId="3A2478BC" w14:textId="135BC719" w:rsidR="00FD10C0" w:rsidRPr="00500C6C" w:rsidRDefault="00FD10C0" w:rsidP="00500C6C">
            <w:pPr>
              <w:pStyle w:val="TableTextCentered"/>
            </w:pPr>
            <w:r w:rsidRPr="00500C6C">
              <w:t>4</w:t>
            </w:r>
          </w:p>
        </w:tc>
        <w:tc>
          <w:tcPr>
            <w:tcW w:w="1773" w:type="dxa"/>
            <w:tcBorders>
              <w:top w:val="single" w:sz="4" w:space="0" w:color="auto"/>
            </w:tcBorders>
          </w:tcPr>
          <w:p w14:paraId="24389C6A" w14:textId="42F1BB16" w:rsidR="00FD10C0" w:rsidRPr="00500C6C" w:rsidRDefault="00FD10C0" w:rsidP="00500C6C">
            <w:pPr>
              <w:pStyle w:val="TableTextCentered"/>
            </w:pPr>
            <w:r w:rsidRPr="00500C6C">
              <w:t>9</w:t>
            </w:r>
          </w:p>
        </w:tc>
      </w:tr>
      <w:tr w:rsidR="00FD10C0" w:rsidRPr="00FD10C0" w14:paraId="702C84F9" w14:textId="77777777" w:rsidTr="00C62556">
        <w:trPr>
          <w:trHeight w:val="20"/>
        </w:trPr>
        <w:tc>
          <w:tcPr>
            <w:tcW w:w="993" w:type="dxa"/>
          </w:tcPr>
          <w:p w14:paraId="55D209DE" w14:textId="77777777" w:rsidR="00FD10C0" w:rsidRPr="00500C6C" w:rsidRDefault="00FD10C0" w:rsidP="00500C6C">
            <w:pPr>
              <w:pStyle w:val="TableTextCentered"/>
            </w:pPr>
          </w:p>
        </w:tc>
        <w:tc>
          <w:tcPr>
            <w:tcW w:w="2268" w:type="dxa"/>
          </w:tcPr>
          <w:p w14:paraId="75D1759E" w14:textId="4EA30CE3" w:rsidR="00FD10C0" w:rsidRPr="00500C6C" w:rsidRDefault="00FD10C0" w:rsidP="00500C6C">
            <w:pPr>
              <w:pStyle w:val="TableTextCentered"/>
            </w:pPr>
            <w:r w:rsidRPr="00500C6C">
              <w:t>-2</w:t>
            </w:r>
          </w:p>
        </w:tc>
        <w:tc>
          <w:tcPr>
            <w:tcW w:w="1345" w:type="dxa"/>
          </w:tcPr>
          <w:p w14:paraId="7F9A24C8" w14:textId="60324EC2" w:rsidR="00FD10C0" w:rsidRPr="00500C6C" w:rsidRDefault="00FD10C0" w:rsidP="00500C6C">
            <w:pPr>
              <w:pStyle w:val="TableTextCentered"/>
            </w:pPr>
            <w:r w:rsidRPr="00500C6C">
              <w:t>72</w:t>
            </w:r>
          </w:p>
        </w:tc>
        <w:tc>
          <w:tcPr>
            <w:tcW w:w="1345" w:type="dxa"/>
          </w:tcPr>
          <w:p w14:paraId="57820C8F" w14:textId="050450B5" w:rsidR="00FD10C0" w:rsidRPr="00500C6C" w:rsidRDefault="00FD10C0" w:rsidP="00500C6C">
            <w:pPr>
              <w:pStyle w:val="TableTextCentered"/>
            </w:pPr>
            <w:r w:rsidRPr="00500C6C">
              <w:t>17</w:t>
            </w:r>
          </w:p>
        </w:tc>
        <w:tc>
          <w:tcPr>
            <w:tcW w:w="1346" w:type="dxa"/>
          </w:tcPr>
          <w:p w14:paraId="3328A630" w14:textId="1198D645" w:rsidR="00FD10C0" w:rsidRPr="00500C6C" w:rsidRDefault="00FD10C0" w:rsidP="00500C6C">
            <w:pPr>
              <w:pStyle w:val="TableTextCentered"/>
            </w:pPr>
            <w:r w:rsidRPr="00500C6C">
              <w:t>5</w:t>
            </w:r>
          </w:p>
        </w:tc>
        <w:tc>
          <w:tcPr>
            <w:tcW w:w="1773" w:type="dxa"/>
          </w:tcPr>
          <w:p w14:paraId="397C49EB" w14:textId="2F60D67B" w:rsidR="00FD10C0" w:rsidRPr="00500C6C" w:rsidRDefault="00FD10C0" w:rsidP="00500C6C">
            <w:pPr>
              <w:pStyle w:val="TableTextCentered"/>
            </w:pPr>
            <w:r w:rsidRPr="00500C6C">
              <w:t>7</w:t>
            </w:r>
          </w:p>
        </w:tc>
      </w:tr>
      <w:tr w:rsidR="00FD10C0" w:rsidRPr="00FD10C0" w14:paraId="277EA4E4" w14:textId="77777777" w:rsidTr="00C62556">
        <w:trPr>
          <w:trHeight w:val="20"/>
        </w:trPr>
        <w:tc>
          <w:tcPr>
            <w:tcW w:w="993" w:type="dxa"/>
          </w:tcPr>
          <w:p w14:paraId="76F64508" w14:textId="77777777" w:rsidR="00FD10C0" w:rsidRPr="00500C6C" w:rsidRDefault="00FD10C0" w:rsidP="00500C6C">
            <w:pPr>
              <w:pStyle w:val="TableTextCentered"/>
            </w:pPr>
          </w:p>
        </w:tc>
        <w:tc>
          <w:tcPr>
            <w:tcW w:w="2268" w:type="dxa"/>
          </w:tcPr>
          <w:p w14:paraId="60C3386B" w14:textId="3110F61D" w:rsidR="00FD10C0" w:rsidRPr="00500C6C" w:rsidRDefault="00FD10C0" w:rsidP="00500C6C">
            <w:pPr>
              <w:pStyle w:val="TableTextCentered"/>
            </w:pPr>
            <w:r w:rsidRPr="00500C6C">
              <w:t>-1</w:t>
            </w:r>
          </w:p>
        </w:tc>
        <w:tc>
          <w:tcPr>
            <w:tcW w:w="1345" w:type="dxa"/>
          </w:tcPr>
          <w:p w14:paraId="3C584C18" w14:textId="72BE90AC" w:rsidR="00FD10C0" w:rsidRPr="00500C6C" w:rsidRDefault="00FD10C0" w:rsidP="00500C6C">
            <w:pPr>
              <w:pStyle w:val="TableTextCentered"/>
            </w:pPr>
            <w:r w:rsidRPr="00500C6C">
              <w:t>67</w:t>
            </w:r>
          </w:p>
        </w:tc>
        <w:tc>
          <w:tcPr>
            <w:tcW w:w="1345" w:type="dxa"/>
          </w:tcPr>
          <w:p w14:paraId="226C0BCA" w14:textId="13C10408" w:rsidR="00FD10C0" w:rsidRPr="00500C6C" w:rsidRDefault="00FD10C0" w:rsidP="00500C6C">
            <w:pPr>
              <w:pStyle w:val="TableTextCentered"/>
            </w:pPr>
            <w:r w:rsidRPr="00500C6C">
              <w:t>16</w:t>
            </w:r>
          </w:p>
        </w:tc>
        <w:tc>
          <w:tcPr>
            <w:tcW w:w="1346" w:type="dxa"/>
          </w:tcPr>
          <w:p w14:paraId="260CFA68" w14:textId="6EC46FF5" w:rsidR="00FD10C0" w:rsidRPr="00500C6C" w:rsidRDefault="00FD10C0" w:rsidP="00500C6C">
            <w:pPr>
              <w:pStyle w:val="TableTextCentered"/>
            </w:pPr>
            <w:r w:rsidRPr="00500C6C">
              <w:t>2</w:t>
            </w:r>
          </w:p>
        </w:tc>
        <w:tc>
          <w:tcPr>
            <w:tcW w:w="1773" w:type="dxa"/>
          </w:tcPr>
          <w:p w14:paraId="5AEF4032" w14:textId="01080E08" w:rsidR="00FD10C0" w:rsidRPr="00500C6C" w:rsidRDefault="00FD10C0" w:rsidP="00500C6C">
            <w:pPr>
              <w:pStyle w:val="TableTextCentered"/>
            </w:pPr>
            <w:r w:rsidRPr="00500C6C">
              <w:t>16</w:t>
            </w:r>
          </w:p>
        </w:tc>
      </w:tr>
      <w:tr w:rsidR="00FD10C0" w:rsidRPr="00FD10C0" w14:paraId="40432343" w14:textId="77777777" w:rsidTr="00C62556">
        <w:trPr>
          <w:trHeight w:val="20"/>
        </w:trPr>
        <w:tc>
          <w:tcPr>
            <w:tcW w:w="993" w:type="dxa"/>
          </w:tcPr>
          <w:p w14:paraId="408899CB" w14:textId="77777777" w:rsidR="00FD10C0" w:rsidRPr="00500C6C" w:rsidRDefault="00FD10C0" w:rsidP="00500C6C">
            <w:pPr>
              <w:pStyle w:val="TableTextCentered"/>
            </w:pPr>
          </w:p>
        </w:tc>
        <w:tc>
          <w:tcPr>
            <w:tcW w:w="2268" w:type="dxa"/>
          </w:tcPr>
          <w:p w14:paraId="5380C7DA" w14:textId="2D0EFE7B" w:rsidR="00FD10C0" w:rsidRPr="00500C6C" w:rsidRDefault="00FD10C0" w:rsidP="00500C6C">
            <w:pPr>
              <w:pStyle w:val="TableTextCentered"/>
            </w:pPr>
            <w:r w:rsidRPr="00500C6C">
              <w:t>0</w:t>
            </w:r>
          </w:p>
        </w:tc>
        <w:tc>
          <w:tcPr>
            <w:tcW w:w="1345" w:type="dxa"/>
          </w:tcPr>
          <w:p w14:paraId="0E7FDE80" w14:textId="334589A8" w:rsidR="00FD10C0" w:rsidRPr="00500C6C" w:rsidRDefault="00FD10C0" w:rsidP="00500C6C">
            <w:pPr>
              <w:pStyle w:val="TableTextCentered"/>
            </w:pPr>
            <w:r w:rsidRPr="00500C6C">
              <w:t>21</w:t>
            </w:r>
          </w:p>
        </w:tc>
        <w:tc>
          <w:tcPr>
            <w:tcW w:w="1345" w:type="dxa"/>
          </w:tcPr>
          <w:p w14:paraId="5A8781FB" w14:textId="0DBEB043" w:rsidR="00FD10C0" w:rsidRPr="00500C6C" w:rsidRDefault="00FD10C0" w:rsidP="00500C6C">
            <w:pPr>
              <w:pStyle w:val="TableTextCentered"/>
            </w:pPr>
            <w:r w:rsidRPr="00500C6C">
              <w:t>26</w:t>
            </w:r>
          </w:p>
        </w:tc>
        <w:tc>
          <w:tcPr>
            <w:tcW w:w="1346" w:type="dxa"/>
          </w:tcPr>
          <w:p w14:paraId="1B925DD7" w14:textId="677CBB57" w:rsidR="00FD10C0" w:rsidRPr="00500C6C" w:rsidRDefault="00FD10C0" w:rsidP="00500C6C">
            <w:pPr>
              <w:pStyle w:val="TableTextCentered"/>
            </w:pPr>
            <w:r w:rsidRPr="00500C6C">
              <w:t>1</w:t>
            </w:r>
          </w:p>
        </w:tc>
        <w:tc>
          <w:tcPr>
            <w:tcW w:w="1773" w:type="dxa"/>
          </w:tcPr>
          <w:p w14:paraId="5926CAE9" w14:textId="372BD541" w:rsidR="00FD10C0" w:rsidRPr="00500C6C" w:rsidRDefault="00FD10C0" w:rsidP="00500C6C">
            <w:pPr>
              <w:pStyle w:val="TableTextCentered"/>
            </w:pPr>
            <w:r w:rsidRPr="00500C6C">
              <w:t>52</w:t>
            </w:r>
          </w:p>
        </w:tc>
      </w:tr>
      <w:tr w:rsidR="00FD10C0" w:rsidRPr="00FD10C0" w14:paraId="59FCDE16" w14:textId="77777777" w:rsidTr="00C62556">
        <w:trPr>
          <w:trHeight w:val="20"/>
        </w:trPr>
        <w:tc>
          <w:tcPr>
            <w:tcW w:w="993" w:type="dxa"/>
          </w:tcPr>
          <w:p w14:paraId="6AAC9A47" w14:textId="77777777" w:rsidR="00FD10C0" w:rsidRPr="00500C6C" w:rsidRDefault="00FD10C0" w:rsidP="00500C6C">
            <w:pPr>
              <w:pStyle w:val="TableTextCentered"/>
            </w:pPr>
          </w:p>
        </w:tc>
        <w:tc>
          <w:tcPr>
            <w:tcW w:w="2268" w:type="dxa"/>
          </w:tcPr>
          <w:p w14:paraId="7AA786EE" w14:textId="27A0FC47" w:rsidR="00FD10C0" w:rsidRPr="00500C6C" w:rsidRDefault="00FD10C0" w:rsidP="00500C6C">
            <w:pPr>
              <w:pStyle w:val="TableTextCentered"/>
            </w:pPr>
            <w:r w:rsidRPr="00500C6C">
              <w:t>1</w:t>
            </w:r>
          </w:p>
        </w:tc>
        <w:tc>
          <w:tcPr>
            <w:tcW w:w="1345" w:type="dxa"/>
          </w:tcPr>
          <w:p w14:paraId="07F0634F" w14:textId="65FAE537" w:rsidR="00FD10C0" w:rsidRPr="00500C6C" w:rsidRDefault="00FD10C0" w:rsidP="00500C6C">
            <w:pPr>
              <w:pStyle w:val="TableTextCentered"/>
            </w:pPr>
            <w:r w:rsidRPr="00500C6C">
              <w:t>16</w:t>
            </w:r>
          </w:p>
        </w:tc>
        <w:tc>
          <w:tcPr>
            <w:tcW w:w="1345" w:type="dxa"/>
          </w:tcPr>
          <w:p w14:paraId="2C1E7124" w14:textId="65385C60" w:rsidR="00FD10C0" w:rsidRPr="00500C6C" w:rsidRDefault="00FD10C0" w:rsidP="00500C6C">
            <w:pPr>
              <w:pStyle w:val="TableTextCentered"/>
            </w:pPr>
            <w:r w:rsidRPr="00500C6C">
              <w:t>46</w:t>
            </w:r>
          </w:p>
        </w:tc>
        <w:tc>
          <w:tcPr>
            <w:tcW w:w="1346" w:type="dxa"/>
          </w:tcPr>
          <w:p w14:paraId="26E748B2" w14:textId="3E3CB035" w:rsidR="00FD10C0" w:rsidRPr="00500C6C" w:rsidRDefault="00FD10C0" w:rsidP="00500C6C">
            <w:pPr>
              <w:pStyle w:val="TableTextCentered"/>
            </w:pPr>
            <w:r w:rsidRPr="00500C6C">
              <w:t>2</w:t>
            </w:r>
          </w:p>
        </w:tc>
        <w:tc>
          <w:tcPr>
            <w:tcW w:w="1773" w:type="dxa"/>
          </w:tcPr>
          <w:p w14:paraId="11DCAD9B" w14:textId="3940B938" w:rsidR="00FD10C0" w:rsidRPr="00500C6C" w:rsidRDefault="00FD10C0" w:rsidP="00500C6C">
            <w:pPr>
              <w:pStyle w:val="TableTextCentered"/>
            </w:pPr>
            <w:r w:rsidRPr="00500C6C">
              <w:t>36</w:t>
            </w:r>
          </w:p>
        </w:tc>
      </w:tr>
      <w:tr w:rsidR="00FD10C0" w:rsidRPr="00FD10C0" w14:paraId="029275DB" w14:textId="77777777" w:rsidTr="00C62556">
        <w:trPr>
          <w:trHeight w:val="20"/>
        </w:trPr>
        <w:tc>
          <w:tcPr>
            <w:tcW w:w="993" w:type="dxa"/>
          </w:tcPr>
          <w:p w14:paraId="54E0D678" w14:textId="77777777" w:rsidR="00FD10C0" w:rsidRPr="00500C6C" w:rsidRDefault="00FD10C0" w:rsidP="00500C6C">
            <w:pPr>
              <w:pStyle w:val="TableTextCentered"/>
            </w:pPr>
          </w:p>
        </w:tc>
        <w:tc>
          <w:tcPr>
            <w:tcW w:w="2268" w:type="dxa"/>
          </w:tcPr>
          <w:p w14:paraId="5090A9B0" w14:textId="030E7CA1" w:rsidR="00FD10C0" w:rsidRPr="00500C6C" w:rsidRDefault="00FD10C0" w:rsidP="00500C6C">
            <w:pPr>
              <w:pStyle w:val="TableTextCentered"/>
            </w:pPr>
            <w:r w:rsidRPr="00500C6C">
              <w:t>2</w:t>
            </w:r>
          </w:p>
        </w:tc>
        <w:tc>
          <w:tcPr>
            <w:tcW w:w="1345" w:type="dxa"/>
          </w:tcPr>
          <w:p w14:paraId="58CA9496" w14:textId="5DCFD373" w:rsidR="00FD10C0" w:rsidRPr="00500C6C" w:rsidRDefault="00FD10C0" w:rsidP="00500C6C">
            <w:pPr>
              <w:pStyle w:val="TableTextCentered"/>
            </w:pPr>
            <w:r w:rsidRPr="00500C6C">
              <w:t>20</w:t>
            </w:r>
          </w:p>
        </w:tc>
        <w:tc>
          <w:tcPr>
            <w:tcW w:w="1345" w:type="dxa"/>
          </w:tcPr>
          <w:p w14:paraId="6EB31B8D" w14:textId="08EFCE01" w:rsidR="00FD10C0" w:rsidRPr="00500C6C" w:rsidRDefault="00FD10C0" w:rsidP="00500C6C">
            <w:pPr>
              <w:pStyle w:val="TableTextCentered"/>
            </w:pPr>
            <w:r w:rsidRPr="00500C6C">
              <w:t>42</w:t>
            </w:r>
          </w:p>
        </w:tc>
        <w:tc>
          <w:tcPr>
            <w:tcW w:w="1346" w:type="dxa"/>
          </w:tcPr>
          <w:p w14:paraId="6834E0FD" w14:textId="72BEC411" w:rsidR="00FD10C0" w:rsidRPr="00500C6C" w:rsidRDefault="00FD10C0" w:rsidP="00500C6C">
            <w:pPr>
              <w:pStyle w:val="TableTextCentered"/>
            </w:pPr>
            <w:r w:rsidRPr="00500C6C">
              <w:t>2</w:t>
            </w:r>
          </w:p>
        </w:tc>
        <w:tc>
          <w:tcPr>
            <w:tcW w:w="1773" w:type="dxa"/>
          </w:tcPr>
          <w:p w14:paraId="4FA831FC" w14:textId="1B74B9DD" w:rsidR="00FD10C0" w:rsidRPr="00500C6C" w:rsidRDefault="00FD10C0" w:rsidP="00500C6C">
            <w:pPr>
              <w:pStyle w:val="TableTextCentered"/>
            </w:pPr>
            <w:r w:rsidRPr="00500C6C">
              <w:t>36</w:t>
            </w:r>
          </w:p>
        </w:tc>
      </w:tr>
      <w:tr w:rsidR="00FD10C0" w:rsidRPr="00FD10C0" w14:paraId="1A88140C" w14:textId="77777777" w:rsidTr="00C62556">
        <w:trPr>
          <w:trHeight w:val="20"/>
        </w:trPr>
        <w:tc>
          <w:tcPr>
            <w:tcW w:w="993" w:type="dxa"/>
          </w:tcPr>
          <w:p w14:paraId="47BFF5DA" w14:textId="77777777" w:rsidR="00FD10C0" w:rsidRPr="00500C6C" w:rsidRDefault="00FD10C0" w:rsidP="00500C6C">
            <w:pPr>
              <w:pStyle w:val="TableTextCentered"/>
            </w:pPr>
          </w:p>
        </w:tc>
        <w:tc>
          <w:tcPr>
            <w:tcW w:w="2268" w:type="dxa"/>
          </w:tcPr>
          <w:p w14:paraId="2A4774E1" w14:textId="680B0629" w:rsidR="00FD10C0" w:rsidRPr="00500C6C" w:rsidRDefault="00FD10C0" w:rsidP="00500C6C">
            <w:pPr>
              <w:pStyle w:val="TableTextCentered"/>
            </w:pPr>
            <w:r w:rsidRPr="00500C6C">
              <w:t>3</w:t>
            </w:r>
          </w:p>
        </w:tc>
        <w:tc>
          <w:tcPr>
            <w:tcW w:w="1345" w:type="dxa"/>
          </w:tcPr>
          <w:p w14:paraId="125BAD90" w14:textId="09F8398D" w:rsidR="00FD10C0" w:rsidRPr="00500C6C" w:rsidRDefault="00FD10C0" w:rsidP="00500C6C">
            <w:pPr>
              <w:pStyle w:val="TableTextCentered"/>
            </w:pPr>
            <w:r w:rsidRPr="00500C6C">
              <w:t>18</w:t>
            </w:r>
          </w:p>
        </w:tc>
        <w:tc>
          <w:tcPr>
            <w:tcW w:w="1345" w:type="dxa"/>
          </w:tcPr>
          <w:p w14:paraId="621E2E46" w14:textId="12C483DB" w:rsidR="00FD10C0" w:rsidRPr="00500C6C" w:rsidRDefault="00FD10C0" w:rsidP="00500C6C">
            <w:pPr>
              <w:pStyle w:val="TableTextCentered"/>
            </w:pPr>
            <w:r w:rsidRPr="00500C6C">
              <w:t>43</w:t>
            </w:r>
          </w:p>
        </w:tc>
        <w:tc>
          <w:tcPr>
            <w:tcW w:w="1346" w:type="dxa"/>
          </w:tcPr>
          <w:p w14:paraId="3AE21FC7" w14:textId="180333CA" w:rsidR="00FD10C0" w:rsidRPr="00500C6C" w:rsidRDefault="00FD10C0" w:rsidP="00500C6C">
            <w:pPr>
              <w:pStyle w:val="TableTextCentered"/>
            </w:pPr>
            <w:r w:rsidRPr="00500C6C">
              <w:t>2</w:t>
            </w:r>
          </w:p>
        </w:tc>
        <w:tc>
          <w:tcPr>
            <w:tcW w:w="1773" w:type="dxa"/>
          </w:tcPr>
          <w:p w14:paraId="0FE9E1CC" w14:textId="4DE68DF2" w:rsidR="00FD10C0" w:rsidRPr="00500C6C" w:rsidRDefault="00FD10C0" w:rsidP="00500C6C">
            <w:pPr>
              <w:pStyle w:val="TableTextCentered"/>
            </w:pPr>
            <w:r w:rsidRPr="00500C6C">
              <w:t>38</w:t>
            </w:r>
          </w:p>
        </w:tc>
      </w:tr>
      <w:tr w:rsidR="00FD10C0" w:rsidRPr="00FD10C0" w14:paraId="2F6ABF88" w14:textId="77777777" w:rsidTr="00C62556">
        <w:trPr>
          <w:trHeight w:val="20"/>
        </w:trPr>
        <w:tc>
          <w:tcPr>
            <w:tcW w:w="993" w:type="dxa"/>
          </w:tcPr>
          <w:p w14:paraId="7175C807" w14:textId="77777777" w:rsidR="00FD10C0" w:rsidRPr="00FD10C0" w:rsidRDefault="00FD10C0" w:rsidP="00500C6C">
            <w:pPr>
              <w:pStyle w:val="TableTextCentered"/>
              <w:rPr>
                <w:color w:val="4D7861" w:themeColor="accent2"/>
                <w:kern w:val="32"/>
              </w:rPr>
            </w:pPr>
          </w:p>
        </w:tc>
        <w:tc>
          <w:tcPr>
            <w:tcW w:w="2268" w:type="dxa"/>
          </w:tcPr>
          <w:p w14:paraId="4E87B32C" w14:textId="20E05448" w:rsidR="00FD10C0" w:rsidRPr="00FD10C0" w:rsidRDefault="00FD10C0" w:rsidP="00500C6C">
            <w:pPr>
              <w:pStyle w:val="TableTextCentered"/>
              <w:rPr>
                <w:color w:val="4D7861" w:themeColor="accent2"/>
                <w:kern w:val="32"/>
              </w:rPr>
            </w:pPr>
            <w:r w:rsidRPr="00FD10C0">
              <w:t>4</w:t>
            </w:r>
          </w:p>
        </w:tc>
        <w:tc>
          <w:tcPr>
            <w:tcW w:w="1345" w:type="dxa"/>
          </w:tcPr>
          <w:p w14:paraId="46F177ED" w14:textId="590E200D" w:rsidR="00FD10C0" w:rsidRPr="00FD10C0" w:rsidRDefault="00FD10C0" w:rsidP="00500C6C">
            <w:pPr>
              <w:pStyle w:val="TableTextCentered"/>
              <w:rPr>
                <w:color w:val="4D7861" w:themeColor="accent2"/>
                <w:kern w:val="32"/>
              </w:rPr>
            </w:pPr>
            <w:r w:rsidRPr="00FD10C0">
              <w:t>20</w:t>
            </w:r>
          </w:p>
        </w:tc>
        <w:tc>
          <w:tcPr>
            <w:tcW w:w="1345" w:type="dxa"/>
          </w:tcPr>
          <w:p w14:paraId="389289E0" w14:textId="0DF08105" w:rsidR="00FD10C0" w:rsidRPr="00FD10C0" w:rsidRDefault="00FD10C0" w:rsidP="00500C6C">
            <w:pPr>
              <w:pStyle w:val="TableTextCentered"/>
              <w:rPr>
                <w:color w:val="4D7861" w:themeColor="accent2"/>
                <w:kern w:val="32"/>
              </w:rPr>
            </w:pPr>
            <w:r w:rsidRPr="00FD10C0">
              <w:t>45</w:t>
            </w:r>
          </w:p>
        </w:tc>
        <w:tc>
          <w:tcPr>
            <w:tcW w:w="1346" w:type="dxa"/>
          </w:tcPr>
          <w:p w14:paraId="68C03ADA" w14:textId="5E925EAD" w:rsidR="00FD10C0" w:rsidRPr="00FD10C0" w:rsidRDefault="00FD10C0" w:rsidP="00500C6C">
            <w:pPr>
              <w:pStyle w:val="TableTextCentered"/>
              <w:rPr>
                <w:color w:val="4D7861" w:themeColor="accent2"/>
                <w:kern w:val="32"/>
              </w:rPr>
            </w:pPr>
            <w:r w:rsidRPr="00FD10C0">
              <w:t>2</w:t>
            </w:r>
          </w:p>
        </w:tc>
        <w:tc>
          <w:tcPr>
            <w:tcW w:w="1773" w:type="dxa"/>
          </w:tcPr>
          <w:p w14:paraId="319EAD4A" w14:textId="30470617" w:rsidR="00FD10C0" w:rsidRPr="00FD10C0" w:rsidRDefault="00FD10C0" w:rsidP="00500C6C">
            <w:pPr>
              <w:pStyle w:val="TableTextCentered"/>
              <w:rPr>
                <w:color w:val="4D7861" w:themeColor="accent2"/>
                <w:kern w:val="32"/>
              </w:rPr>
            </w:pPr>
            <w:r w:rsidRPr="00FD10C0">
              <w:t>33</w:t>
            </w:r>
          </w:p>
        </w:tc>
      </w:tr>
      <w:tr w:rsidR="00FD10C0" w:rsidRPr="00FD10C0" w14:paraId="4F1EF30A" w14:textId="77777777" w:rsidTr="00C62556">
        <w:trPr>
          <w:trHeight w:val="20"/>
        </w:trPr>
        <w:tc>
          <w:tcPr>
            <w:tcW w:w="993" w:type="dxa"/>
          </w:tcPr>
          <w:p w14:paraId="2D42A178" w14:textId="77777777" w:rsidR="00FD10C0" w:rsidRPr="00FD10C0" w:rsidRDefault="00FD10C0" w:rsidP="00500C6C">
            <w:pPr>
              <w:pStyle w:val="TableTextCentered"/>
              <w:rPr>
                <w:color w:val="4D7861" w:themeColor="accent2"/>
                <w:kern w:val="32"/>
              </w:rPr>
            </w:pPr>
          </w:p>
        </w:tc>
        <w:tc>
          <w:tcPr>
            <w:tcW w:w="2268" w:type="dxa"/>
          </w:tcPr>
          <w:p w14:paraId="703942FF" w14:textId="2FC161C5" w:rsidR="00FD10C0" w:rsidRPr="00FD10C0" w:rsidRDefault="00FD10C0" w:rsidP="00500C6C">
            <w:pPr>
              <w:pStyle w:val="TableTextCentered"/>
              <w:rPr>
                <w:color w:val="4D7861" w:themeColor="accent2"/>
                <w:kern w:val="32"/>
              </w:rPr>
            </w:pPr>
            <w:r w:rsidRPr="00FD10C0">
              <w:t>5</w:t>
            </w:r>
          </w:p>
        </w:tc>
        <w:tc>
          <w:tcPr>
            <w:tcW w:w="1345" w:type="dxa"/>
          </w:tcPr>
          <w:p w14:paraId="5FCC18A3" w14:textId="28D08BFF" w:rsidR="00FD10C0" w:rsidRPr="00FD10C0" w:rsidRDefault="00FD10C0" w:rsidP="00500C6C">
            <w:pPr>
              <w:pStyle w:val="TableTextCentered"/>
              <w:rPr>
                <w:color w:val="4D7861" w:themeColor="accent2"/>
                <w:kern w:val="32"/>
              </w:rPr>
            </w:pPr>
            <w:r w:rsidRPr="00FD10C0">
              <w:t>21</w:t>
            </w:r>
          </w:p>
        </w:tc>
        <w:tc>
          <w:tcPr>
            <w:tcW w:w="1345" w:type="dxa"/>
          </w:tcPr>
          <w:p w14:paraId="33DA038D" w14:textId="63978FC6" w:rsidR="00FD10C0" w:rsidRPr="00FD10C0" w:rsidRDefault="00FD10C0" w:rsidP="00500C6C">
            <w:pPr>
              <w:pStyle w:val="TableTextCentered"/>
              <w:rPr>
                <w:color w:val="4D7861" w:themeColor="accent2"/>
                <w:kern w:val="32"/>
              </w:rPr>
            </w:pPr>
            <w:r w:rsidRPr="00FD10C0">
              <w:t>49</w:t>
            </w:r>
          </w:p>
        </w:tc>
        <w:tc>
          <w:tcPr>
            <w:tcW w:w="1346" w:type="dxa"/>
          </w:tcPr>
          <w:p w14:paraId="4DC705FF" w14:textId="48738C7A" w:rsidR="00FD10C0" w:rsidRPr="00FD10C0" w:rsidRDefault="00FD10C0" w:rsidP="00500C6C">
            <w:pPr>
              <w:pStyle w:val="TableTextCentered"/>
              <w:rPr>
                <w:color w:val="4D7861" w:themeColor="accent2"/>
                <w:kern w:val="32"/>
              </w:rPr>
            </w:pPr>
            <w:r w:rsidRPr="00FD10C0">
              <w:t>2</w:t>
            </w:r>
          </w:p>
        </w:tc>
        <w:tc>
          <w:tcPr>
            <w:tcW w:w="1773" w:type="dxa"/>
          </w:tcPr>
          <w:p w14:paraId="673DF64E" w14:textId="13E0ED3B" w:rsidR="00FD10C0" w:rsidRPr="00FD10C0" w:rsidRDefault="00FD10C0" w:rsidP="00500C6C">
            <w:pPr>
              <w:pStyle w:val="TableTextCentered"/>
              <w:rPr>
                <w:color w:val="4D7861" w:themeColor="accent2"/>
                <w:kern w:val="32"/>
              </w:rPr>
            </w:pPr>
            <w:r w:rsidRPr="00FD10C0">
              <w:t>28</w:t>
            </w:r>
          </w:p>
        </w:tc>
      </w:tr>
    </w:tbl>
    <w:p w14:paraId="39206A33" w14:textId="5445CD3C" w:rsidR="00F26FFC" w:rsidRPr="00191DDA" w:rsidRDefault="00F26FFC" w:rsidP="00191DDA">
      <w:pPr>
        <w:pStyle w:val="ChartorTableNote"/>
      </w:pPr>
      <w:r w:rsidRPr="00191DDA">
        <w:t xml:space="preserve">Notes: </w:t>
      </w:r>
      <w:r w:rsidR="003E4186">
        <w:t>Table </w:t>
      </w:r>
      <w:r w:rsidRPr="00191DDA">
        <w:t>reports percent share of sample population in each labour force status group by sex. Time since child arrival is zero the year of first child’s arrival. Population weights have been used.</w:t>
      </w:r>
      <w:r w:rsidR="00FD10C0" w:rsidRPr="00191DDA">
        <w:t xml:space="preserve"> </w:t>
      </w:r>
    </w:p>
    <w:p w14:paraId="4329ACCB" w14:textId="1B4C6424" w:rsidR="00F26FFC" w:rsidRPr="00191DDA" w:rsidRDefault="00F26FFC" w:rsidP="00191DDA">
      <w:pPr>
        <w:pStyle w:val="ChartorTableNote"/>
      </w:pPr>
      <w:r w:rsidRPr="00191DDA">
        <w:t>Source: Treasury analysis of HILDA Release 19.0.</w:t>
      </w:r>
    </w:p>
    <w:p w14:paraId="29231E84" w14:textId="77777777" w:rsidR="00F26FFC" w:rsidRPr="00F26FFC" w:rsidRDefault="00F26FFC" w:rsidP="00191DDA">
      <w:pPr>
        <w:pStyle w:val="Heading3"/>
      </w:pPr>
      <w:r w:rsidRPr="00F26FFC">
        <w:t>Multiple children</w:t>
      </w:r>
    </w:p>
    <w:p w14:paraId="435667DF" w14:textId="618DC0A3" w:rsidR="00F26FFC" w:rsidRPr="00C360D1" w:rsidRDefault="003E4186" w:rsidP="00191DDA">
      <w:pPr>
        <w:pStyle w:val="ChartMainHeading"/>
      </w:pPr>
      <w:r>
        <w:t>Chart </w:t>
      </w:r>
      <w:r w:rsidR="00F26FFC" w:rsidRPr="00C360D1">
        <w:t>A3: Impact of children on women’s earnings, by number of children</w:t>
      </w:r>
    </w:p>
    <w:p w14:paraId="3FDCB068" w14:textId="464C0A53" w:rsidR="00F26FFC" w:rsidRPr="00816B48" w:rsidRDefault="00F26FFC" w:rsidP="00191DDA">
      <w:pPr>
        <w:pStyle w:val="ChartSecondHeading"/>
      </w:pPr>
      <w:r w:rsidRPr="00816B48">
        <w:t xml:space="preserve">Panel A: Short </w:t>
      </w:r>
      <w:r w:rsidR="005D48FC">
        <w:t>run</w:t>
      </w:r>
      <w:r w:rsidRPr="00816B48">
        <w:t xml:space="preserve"> motherhood penalty (HILDA)</w:t>
      </w:r>
    </w:p>
    <w:p w14:paraId="63F039E0" w14:textId="7DF0EE57" w:rsidR="00F348BA" w:rsidRPr="00C360D1" w:rsidRDefault="00F348BA" w:rsidP="00191DDA">
      <w:pPr>
        <w:pStyle w:val="ChartGraphic"/>
      </w:pPr>
      <w:r>
        <w:rPr>
          <w:noProof/>
        </w:rPr>
        <w:drawing>
          <wp:inline distT="0" distB="0" distL="0" distR="0" wp14:anchorId="1E92A43B" wp14:editId="676DB78E">
            <wp:extent cx="4680000" cy="3404247"/>
            <wp:effectExtent l="0" t="0" r="6350" b="5715"/>
            <wp:docPr id="17" name="Picture 17" descr="This is an event study chart which plots the estimated impact of children on earnings for women who only have one child and for women who have multiple children. It uses HILDA and charts effects up to 5 years after child arrival. It shows a bigger decline in earnings for women who have multipl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n event study chart which plots the estimated impact of children on earnings for women who only have one child and for women who have multiple children. It uses HILDA and charts effects up to 5 years after child arrival. It shows a bigger decline in earnings for women who have multiple childre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271C2877" w14:textId="5E010874" w:rsidR="00F26FFC" w:rsidRPr="00816B48" w:rsidRDefault="00F26FFC" w:rsidP="00191DDA">
      <w:pPr>
        <w:pStyle w:val="ChartSecondHeading"/>
      </w:pPr>
      <w:r w:rsidRPr="00816B48">
        <w:t xml:space="preserve">Panel B: Long </w:t>
      </w:r>
      <w:r w:rsidR="005D48FC">
        <w:t>run</w:t>
      </w:r>
      <w:r w:rsidRPr="00816B48">
        <w:t xml:space="preserve"> motherhood penalty (</w:t>
      </w:r>
      <w:proofErr w:type="spellStart"/>
      <w:r w:rsidRPr="00816B48">
        <w:t>ALife</w:t>
      </w:r>
      <w:proofErr w:type="spellEnd"/>
      <w:r w:rsidRPr="00816B48">
        <w:t>)</w:t>
      </w:r>
      <w:r w:rsidR="00816B48">
        <w:t xml:space="preserve"> </w:t>
      </w:r>
    </w:p>
    <w:p w14:paraId="154B9843" w14:textId="7DCFEF9A" w:rsidR="00F348BA" w:rsidRPr="00C360D1" w:rsidRDefault="00F348BA" w:rsidP="00191DDA">
      <w:pPr>
        <w:pStyle w:val="ChartGraphic"/>
      </w:pPr>
      <w:r>
        <w:rPr>
          <w:noProof/>
        </w:rPr>
        <w:drawing>
          <wp:inline distT="0" distB="0" distL="0" distR="0" wp14:anchorId="4F143D95" wp14:editId="23BB5B48">
            <wp:extent cx="4680000" cy="3404247"/>
            <wp:effectExtent l="0" t="0" r="6350" b="5715"/>
            <wp:docPr id="18" name="Picture 18" descr="This is an event study chart which plots the estimated impact of children on earnings for women who only have one child and for women who have multiple children. It uses ALife and charts effects up to 10 years after child arrival. It shows a bigger decline in earnings for women who have multiple children, though earnings track upwards to reach a similar level as women who only have one child by the 10t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an event study chart which plots the estimated impact of children on earnings for women who only have one child and for women who have multiple children. It uses ALife and charts effects up to 10 years after child arrival. It shows a bigger decline in earnings for women who have multiple children, though earnings track upwards to reach a similar level as women who only have one child by the 10th yea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22DD443B" w14:textId="73CD6F92" w:rsidR="00F26FFC" w:rsidRPr="00191DDA" w:rsidRDefault="00F26FFC" w:rsidP="00191DDA">
      <w:pPr>
        <w:pStyle w:val="ChartorTableNote"/>
      </w:pPr>
      <w:r w:rsidRPr="00191DDA">
        <w:t xml:space="preserve">Notes: Separate regressions are run for women who go on to have one child, and two or more children within the observation period. Shaded area shows 95% confidence intervals, based on robust standard errors. </w:t>
      </w:r>
      <w:r w:rsidR="00816B48" w:rsidRPr="00191DDA">
        <w:t>V</w:t>
      </w:r>
      <w:r w:rsidRPr="00191DDA">
        <w:t>ertical line signifies year before first child arrives.</w:t>
      </w:r>
      <w:r w:rsidR="00816B48" w:rsidRPr="00191DDA">
        <w:t xml:space="preserve"> </w:t>
      </w:r>
    </w:p>
    <w:p w14:paraId="10712DC8" w14:textId="2D7953FE" w:rsidR="00F26FFC" w:rsidRPr="00191DDA" w:rsidRDefault="00F26FFC" w:rsidP="00191DDA">
      <w:pPr>
        <w:pStyle w:val="ChartorTableNote"/>
      </w:pPr>
      <w:r w:rsidRPr="00191DDA">
        <w:t xml:space="preserve">Source: Treasury analysis of HILDA Release 19.0 (Panel A) and </w:t>
      </w:r>
      <w:proofErr w:type="spellStart"/>
      <w:r w:rsidRPr="00191DDA">
        <w:t>ALife</w:t>
      </w:r>
      <w:proofErr w:type="spellEnd"/>
      <w:r w:rsidRPr="00191DDA">
        <w:t xml:space="preserve"> 2019 (Panel B).</w:t>
      </w:r>
    </w:p>
    <w:p w14:paraId="5498E11D" w14:textId="77777777" w:rsidR="00F26FFC" w:rsidRPr="00F26FFC" w:rsidRDefault="00F26FFC" w:rsidP="00191DDA">
      <w:pPr>
        <w:pStyle w:val="Heading3"/>
      </w:pPr>
      <w:r w:rsidRPr="00F26FFC">
        <w:t>Breadwinner mothers</w:t>
      </w:r>
    </w:p>
    <w:p w14:paraId="510D19A9" w14:textId="03E6BF72" w:rsidR="00F26FFC" w:rsidRDefault="003E4186" w:rsidP="00191DDA">
      <w:pPr>
        <w:pStyle w:val="ChartMainHeading"/>
      </w:pPr>
      <w:r>
        <w:t>Chart </w:t>
      </w:r>
      <w:r w:rsidR="00F26FFC" w:rsidRPr="00C360D1">
        <w:t>A4: Motherhood penalty for primary earners</w:t>
      </w:r>
    </w:p>
    <w:p w14:paraId="62C95916" w14:textId="74C8AB21" w:rsidR="00F348BA" w:rsidRPr="00C360D1" w:rsidRDefault="00F348BA" w:rsidP="00191DDA">
      <w:pPr>
        <w:pStyle w:val="ChartGraphic"/>
      </w:pPr>
      <w:r>
        <w:rPr>
          <w:noProof/>
        </w:rPr>
        <w:drawing>
          <wp:inline distT="0" distB="0" distL="0" distR="0" wp14:anchorId="3C60037C" wp14:editId="5F9B4EBF">
            <wp:extent cx="4680000" cy="3404247"/>
            <wp:effectExtent l="0" t="0" r="6350" b="5715"/>
            <wp:docPr id="19" name="Picture 19" descr="This is an event study chart which plots the estimated impact of children on earnings for women based on how much they out-earn their partner (0-25%, 25-75% and 75-100%). It shows a very similar decline in earnings for all three groups. Confidence intervals are large on thi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s an event study chart which plots the estimated impact of children on earnings for women based on how much they out-earn their partner (0-25%, 25-75% and 75-100%). It shows a very similar decline in earnings for all three groups. Confidence intervals are large on this char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19CEFA7F" w14:textId="19EDBC32" w:rsidR="00F26FFC" w:rsidRPr="00191DDA" w:rsidRDefault="00F26FFC" w:rsidP="00191DDA">
      <w:pPr>
        <w:pStyle w:val="ChartorTableNote"/>
      </w:pPr>
      <w:r w:rsidRPr="00191DDA">
        <w:t xml:space="preserve">Notes: Primary earner status defined in t=-1. Includes women with partners who earn zero income. Shaded area shows 95% confidence intervals, based on robust standard errors. </w:t>
      </w:r>
      <w:r w:rsidR="00816B48" w:rsidRPr="00191DDA">
        <w:t>V</w:t>
      </w:r>
      <w:r w:rsidRPr="00191DDA">
        <w:t>ertical line signifies year before first child arrives.</w:t>
      </w:r>
      <w:r w:rsidR="00816B48" w:rsidRPr="00191DDA">
        <w:t xml:space="preserve"> </w:t>
      </w:r>
    </w:p>
    <w:p w14:paraId="79B2B655" w14:textId="5C46B873" w:rsidR="00C40D84" w:rsidRPr="00191DDA" w:rsidRDefault="00F26FFC" w:rsidP="00191DDA">
      <w:pPr>
        <w:pStyle w:val="ChartorTableNote"/>
      </w:pPr>
      <w:r w:rsidRPr="00191DDA">
        <w:t>Source: Treasury analysis of HILDA Release 19.0.</w:t>
      </w:r>
    </w:p>
    <w:p w14:paraId="510F6B6C" w14:textId="77777777" w:rsidR="00816B48" w:rsidRPr="00191DDA" w:rsidRDefault="00816B48" w:rsidP="00191DDA">
      <w:r>
        <w:br w:type="page"/>
      </w:r>
    </w:p>
    <w:p w14:paraId="495199C1" w14:textId="254E89F6" w:rsidR="00F26FFC" w:rsidRPr="00F26FFC" w:rsidRDefault="00F26FFC" w:rsidP="00191DDA">
      <w:pPr>
        <w:pStyle w:val="Heading3"/>
      </w:pPr>
      <w:r w:rsidRPr="00F26FFC">
        <w:t xml:space="preserve">Education </w:t>
      </w:r>
    </w:p>
    <w:p w14:paraId="5809DB01" w14:textId="4C21E409" w:rsidR="00C40D84" w:rsidRDefault="003E4186" w:rsidP="00191DDA">
      <w:pPr>
        <w:pStyle w:val="ChartMainHeading"/>
      </w:pPr>
      <w:r>
        <w:t>Chart </w:t>
      </w:r>
      <w:r w:rsidR="00F26FFC" w:rsidRPr="00C360D1">
        <w:t>A5: Motherhood penalty, by education cohort</w:t>
      </w:r>
    </w:p>
    <w:p w14:paraId="2575D4EA" w14:textId="2E0B30BA" w:rsidR="00F348BA" w:rsidRPr="00C360D1" w:rsidRDefault="00F348BA" w:rsidP="00191DDA">
      <w:pPr>
        <w:pStyle w:val="ChartGraphic"/>
      </w:pPr>
      <w:r>
        <w:rPr>
          <w:noProof/>
        </w:rPr>
        <w:drawing>
          <wp:inline distT="0" distB="0" distL="0" distR="0" wp14:anchorId="05D01E90" wp14:editId="101D3D8B">
            <wp:extent cx="4680000" cy="3404247"/>
            <wp:effectExtent l="0" t="0" r="6350" b="5715"/>
            <wp:docPr id="20" name="Picture 20" descr="This is an event study chart which plots the estimated impact of children on earnings for women based on their level of education. It shows that women who have a university degree have a much bigger penalty, reaching almost 80 per cent 5 years after the arrival of a child. Women with a high school or diploma level education have a penalty around 40 per cent in yea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s an event study chart which plots the estimated impact of children on earnings for women based on their level of education. It shows that women who have a university degree have a much bigger penalty, reaching almost 80 per cent 5 years after the arrival of a child. Women with a high school or diploma level education have a penalty around 40 per cent in year 5.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0032AB4D" w14:textId="5F04F23E" w:rsidR="00F26FFC" w:rsidRPr="00191DDA" w:rsidRDefault="00F26FFC" w:rsidP="00191DDA">
      <w:pPr>
        <w:pStyle w:val="ChartorTableNote"/>
      </w:pPr>
      <w:r w:rsidRPr="00191DDA">
        <w:t>Notes: ‘High school or diploma’ refers to high school or some basic, non</w:t>
      </w:r>
      <w:r w:rsidR="003E4186">
        <w:noBreakHyphen/>
      </w:r>
      <w:r w:rsidRPr="00191DDA">
        <w:t>university tertiary education (</w:t>
      </w:r>
      <w:proofErr w:type="gramStart"/>
      <w:r w:rsidRPr="00191DDA">
        <w:t>i.e.</w:t>
      </w:r>
      <w:proofErr w:type="gramEnd"/>
      <w:r w:rsidRPr="00191DDA">
        <w:t xml:space="preserve"> diploma or certificate). ‘University’ refers to any university level qualification. Education cohorts defined in year before children. Shaded area shows 95% confidence intervals, based on robust standard errors. </w:t>
      </w:r>
      <w:r w:rsidR="00816B48" w:rsidRPr="00191DDA">
        <w:t>V</w:t>
      </w:r>
      <w:r w:rsidRPr="00191DDA">
        <w:t>ertical line signifies year before first child arrives.</w:t>
      </w:r>
      <w:r w:rsidR="00816B48" w:rsidRPr="00191DDA">
        <w:t xml:space="preserve"> </w:t>
      </w:r>
    </w:p>
    <w:p w14:paraId="14B2850D" w14:textId="3B7186D1" w:rsidR="00F26FFC" w:rsidRPr="00191DDA" w:rsidRDefault="00F26FFC" w:rsidP="00191DDA">
      <w:pPr>
        <w:pStyle w:val="ChartorTableNote"/>
      </w:pPr>
      <w:r w:rsidRPr="00191DDA">
        <w:t>Source: Treasury analysis of HILDA Release 19.0.</w:t>
      </w:r>
    </w:p>
    <w:p w14:paraId="4F8B8D14" w14:textId="680A7128" w:rsidR="00F26FFC" w:rsidRPr="00F26FFC" w:rsidRDefault="00F26FFC" w:rsidP="00191DDA">
      <w:pPr>
        <w:pStyle w:val="Heading3"/>
      </w:pPr>
      <w:r w:rsidRPr="00F26FFC">
        <w:t>Work</w:t>
      </w:r>
      <w:r w:rsidR="003E4186">
        <w:noBreakHyphen/>
      </w:r>
      <w:r w:rsidRPr="00F26FFC">
        <w:t xml:space="preserve">family balance indexes </w:t>
      </w:r>
    </w:p>
    <w:p w14:paraId="37B016FA" w14:textId="3573A47E" w:rsidR="00F26FFC" w:rsidRDefault="00F26FFC" w:rsidP="00F26FFC">
      <w:r>
        <w:t>In HILDA, survey participants are given statements relating to work</w:t>
      </w:r>
      <w:r w:rsidR="003E4186">
        <w:noBreakHyphen/>
      </w:r>
      <w:r>
        <w:t>family balance and asked to state how much they agree on a measured 7</w:t>
      </w:r>
      <w:r w:rsidR="003E4186">
        <w:noBreakHyphen/>
      </w:r>
      <w:r>
        <w:t>point Likert scale (where 1 is ‘strongly disagree’ and 7 is ‘strongly agree’). Using these questions, we construct two indexes to measure work</w:t>
      </w:r>
      <w:r w:rsidR="003E4186">
        <w:noBreakHyphen/>
      </w:r>
      <w:r>
        <w:t xml:space="preserve">family conflicts. </w:t>
      </w:r>
    </w:p>
    <w:p w14:paraId="796E3F12" w14:textId="77777777" w:rsidR="00F26FFC" w:rsidRDefault="00F26FFC" w:rsidP="00AC0257">
      <w:pPr>
        <w:pStyle w:val="Heading4"/>
      </w:pPr>
      <w:r>
        <w:t xml:space="preserve">Index 1: Work’s impact on family life </w:t>
      </w:r>
    </w:p>
    <w:p w14:paraId="7682C0D1" w14:textId="77777777" w:rsidR="00F26FFC" w:rsidRDefault="00F26FFC" w:rsidP="00F26FFC">
      <w:pPr>
        <w:pStyle w:val="Bullet"/>
      </w:pPr>
      <w:r>
        <w:t xml:space="preserve">Because of the requirements of my job, I miss out on home or family activities that I would prefer to participate in </w:t>
      </w:r>
    </w:p>
    <w:p w14:paraId="52A040A9" w14:textId="77777777" w:rsidR="00F26FFC" w:rsidRDefault="00F26FFC" w:rsidP="00F26FFC">
      <w:pPr>
        <w:pStyle w:val="Bullet"/>
      </w:pPr>
      <w:r>
        <w:t xml:space="preserve">Because of the requirements of my job, my family time is less enjoyable and more </w:t>
      </w:r>
      <w:proofErr w:type="gramStart"/>
      <w:r>
        <w:t>pressured</w:t>
      </w:r>
      <w:proofErr w:type="gramEnd"/>
    </w:p>
    <w:p w14:paraId="20219B68" w14:textId="77777777" w:rsidR="00F26FFC" w:rsidRDefault="00F26FFC" w:rsidP="00F26FFC">
      <w:pPr>
        <w:pStyle w:val="Bullet"/>
      </w:pPr>
      <w:r>
        <w:t xml:space="preserve">Working </w:t>
      </w:r>
      <w:proofErr w:type="gramStart"/>
      <w:r>
        <w:t>leaves</w:t>
      </w:r>
      <w:proofErr w:type="gramEnd"/>
      <w:r>
        <w:t xml:space="preserve"> me with too little time or energy to be the kind of parent I want to be</w:t>
      </w:r>
    </w:p>
    <w:p w14:paraId="5D9F32F1" w14:textId="5360B231" w:rsidR="00F26FFC" w:rsidRDefault="00F26FFC" w:rsidP="00F26FFC">
      <w:pPr>
        <w:pStyle w:val="Bullet"/>
      </w:pPr>
      <w:r>
        <w:t xml:space="preserve">Working causes me to miss out on some of the rewarding aspects of being a </w:t>
      </w:r>
      <w:proofErr w:type="gramStart"/>
      <w:r>
        <w:t>parent</w:t>
      </w:r>
      <w:proofErr w:type="gramEnd"/>
      <w:r>
        <w:t xml:space="preserve"> </w:t>
      </w:r>
    </w:p>
    <w:p w14:paraId="2339EBB1" w14:textId="77777777" w:rsidR="00F26FFC" w:rsidRDefault="00F26FFC" w:rsidP="00AC0257">
      <w:pPr>
        <w:pStyle w:val="Heading4"/>
      </w:pPr>
      <w:r>
        <w:t xml:space="preserve">Index 2: Family’s impact on work life </w:t>
      </w:r>
    </w:p>
    <w:p w14:paraId="4B02FED6" w14:textId="77777777" w:rsidR="00F26FFC" w:rsidRDefault="00F26FFC" w:rsidP="00F26FFC">
      <w:pPr>
        <w:pStyle w:val="Bullet"/>
      </w:pPr>
      <w:r>
        <w:t xml:space="preserve">Because of my family responsibilities, the time I spend working is less enjoyable and more </w:t>
      </w:r>
      <w:proofErr w:type="gramStart"/>
      <w:r>
        <w:t>pressured</w:t>
      </w:r>
      <w:proofErr w:type="gramEnd"/>
    </w:p>
    <w:p w14:paraId="4228B016" w14:textId="77777777" w:rsidR="00F26FFC" w:rsidRDefault="00F26FFC" w:rsidP="00F26FFC">
      <w:pPr>
        <w:pStyle w:val="Bullet"/>
      </w:pPr>
      <w:r>
        <w:t xml:space="preserve">Because of my family responsibilities, I have to turn down work activities or opportunities that I would prefer to take </w:t>
      </w:r>
      <w:proofErr w:type="gramStart"/>
      <w:r>
        <w:t>on</w:t>
      </w:r>
      <w:proofErr w:type="gramEnd"/>
    </w:p>
    <w:p w14:paraId="1D665F73" w14:textId="77777777" w:rsidR="00F26FFC" w:rsidRDefault="00F26FFC" w:rsidP="00F26FFC">
      <w:pPr>
        <w:pStyle w:val="Bullet"/>
      </w:pPr>
      <w:r>
        <w:t xml:space="preserve">I worry about what goes on with my children while I’m at </w:t>
      </w:r>
      <w:proofErr w:type="gramStart"/>
      <w:r>
        <w:t>work</w:t>
      </w:r>
      <w:proofErr w:type="gramEnd"/>
    </w:p>
    <w:p w14:paraId="0FCFF5F9" w14:textId="62E59A89" w:rsidR="00F26FFC" w:rsidRDefault="00F26FFC" w:rsidP="00F26FFC">
      <w:pPr>
        <w:pStyle w:val="Bullet"/>
      </w:pPr>
      <w:r>
        <w:t xml:space="preserve">Thinking about the children interferes with my performance at </w:t>
      </w:r>
      <w:proofErr w:type="gramStart"/>
      <w:r>
        <w:t>work</w:t>
      </w:r>
      <w:proofErr w:type="gramEnd"/>
    </w:p>
    <w:p w14:paraId="381C0BD4" w14:textId="77777777" w:rsidR="00F26FFC" w:rsidRDefault="00F26FFC" w:rsidP="00F26FFC">
      <w:r>
        <w:t xml:space="preserve">To construct the indexes, we sum the individual’s answers to each question, and divide by 4. We make an adjustment for people who only answer 3 of the questions and exclude anyone who answers less than 3. </w:t>
      </w:r>
    </w:p>
    <w:p w14:paraId="26FE8A9A" w14:textId="77777777" w:rsidR="00F26FFC" w:rsidRPr="00F26FFC" w:rsidRDefault="00F26FFC" w:rsidP="00B16547">
      <w:pPr>
        <w:pStyle w:val="Heading3"/>
      </w:pPr>
      <w:r w:rsidRPr="00F26FFC">
        <w:t xml:space="preserve">Additional results on flexibility </w:t>
      </w:r>
    </w:p>
    <w:p w14:paraId="0D23A695" w14:textId="732E89AB" w:rsidR="00C40D84" w:rsidRDefault="003E4186" w:rsidP="00B87F8B">
      <w:pPr>
        <w:pStyle w:val="ChartMainHeading"/>
      </w:pPr>
      <w:r>
        <w:t>Chart </w:t>
      </w:r>
      <w:r w:rsidR="00F26FFC" w:rsidRPr="00C360D1">
        <w:t>A6: Motherhood penalty, by occupational flexibility</w:t>
      </w:r>
    </w:p>
    <w:p w14:paraId="231F9FB0" w14:textId="5EBCE787" w:rsidR="00F348BA" w:rsidRPr="00C360D1" w:rsidRDefault="00F348BA" w:rsidP="00B87F8B">
      <w:pPr>
        <w:pStyle w:val="ChartGraphic"/>
      </w:pPr>
      <w:r>
        <w:rPr>
          <w:noProof/>
        </w:rPr>
        <w:drawing>
          <wp:inline distT="0" distB="0" distL="0" distR="0" wp14:anchorId="766CB1A5" wp14:editId="09FA9601">
            <wp:extent cx="4680000" cy="3404247"/>
            <wp:effectExtent l="0" t="0" r="6350" b="5715"/>
            <wp:docPr id="21" name="Picture 21" descr="This is an event study chart which plots the estimated impact of children on earnings for women based on their occupational flexibility. It shows the same drop in earnings for both more or less flexibl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n event study chart which plots the estimated impact of children on earnings for women based on their occupational flexibility. It shows the same drop in earnings for both more or less flexible group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5ABDE573" w14:textId="57D6AB25" w:rsidR="00F26FFC" w:rsidRPr="00B87F8B" w:rsidRDefault="00F26FFC" w:rsidP="00B87F8B">
      <w:pPr>
        <w:pStyle w:val="ChartorTableNote"/>
      </w:pPr>
      <w:r w:rsidRPr="00B87F8B">
        <w:t xml:space="preserve">Notes: Occupational flexibility as defined in text. Shaded area shows 95% confidence intervals, based on robust standard errors. </w:t>
      </w:r>
      <w:r w:rsidR="00816B48" w:rsidRPr="00B87F8B">
        <w:t>V</w:t>
      </w:r>
      <w:r w:rsidRPr="00B87F8B">
        <w:t>ertical line signifies year before first child arrives.</w:t>
      </w:r>
      <w:r w:rsidR="00816B48" w:rsidRPr="00B87F8B">
        <w:t xml:space="preserve"> </w:t>
      </w:r>
    </w:p>
    <w:p w14:paraId="29166E97" w14:textId="1F3F5DC7" w:rsidR="00C40D84" w:rsidRPr="00B87F8B" w:rsidRDefault="00F26FFC" w:rsidP="00B87F8B">
      <w:pPr>
        <w:pStyle w:val="ChartorTableNote"/>
      </w:pPr>
      <w:r w:rsidRPr="00B87F8B">
        <w:t>Source: Treasury analysis of HILDA Release 19.0.</w:t>
      </w:r>
    </w:p>
    <w:p w14:paraId="2C5A5DAC" w14:textId="77777777" w:rsidR="00816B48" w:rsidRPr="00B87F8B" w:rsidRDefault="00816B48" w:rsidP="00B87F8B">
      <w:r>
        <w:br w:type="page"/>
      </w:r>
    </w:p>
    <w:p w14:paraId="1D809F48" w14:textId="33C9C755" w:rsidR="00C40D84" w:rsidRDefault="003E4186" w:rsidP="00B87F8B">
      <w:pPr>
        <w:pStyle w:val="ChartMainHeading"/>
      </w:pPr>
      <w:r>
        <w:t>Chart </w:t>
      </w:r>
      <w:r w:rsidR="00F26FFC" w:rsidRPr="00C360D1">
        <w:t>A7: Motherhood penalty, by quartiles of occupational flexibility</w:t>
      </w:r>
    </w:p>
    <w:p w14:paraId="58720672" w14:textId="35080DBD" w:rsidR="00F348BA" w:rsidRPr="00C360D1" w:rsidRDefault="00F348BA" w:rsidP="00B87F8B">
      <w:pPr>
        <w:pStyle w:val="ChartGraphic"/>
      </w:pPr>
      <w:r>
        <w:rPr>
          <w:noProof/>
        </w:rPr>
        <w:drawing>
          <wp:inline distT="0" distB="0" distL="0" distR="0" wp14:anchorId="123D90BD" wp14:editId="2C40EA88">
            <wp:extent cx="4680000" cy="3404247"/>
            <wp:effectExtent l="0" t="0" r="6350" b="5715"/>
            <wp:docPr id="22" name="Picture 22" descr="This is an event study chart which plots the estimated impact of children on earnings for women based on their occupational flexibility. It groups women into the most flexible quartile vs all other quartiles. Both groups have a similar penalty after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s an event study chart which plots the estimated impact of children on earnings for women based on their occupational flexibility. It groups women into the most flexible quartile vs all other quartiles. Both groups have a similar penalty after childre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0FF1CD03" w14:textId="2F53D67E" w:rsidR="00F26FFC" w:rsidRPr="00B87F8B" w:rsidRDefault="00F26FFC" w:rsidP="00B87F8B">
      <w:pPr>
        <w:pStyle w:val="ChartorTableNote"/>
      </w:pPr>
      <w:r w:rsidRPr="00B87F8B">
        <w:t xml:space="preserve">Notes: Occupational flexibility as defined in text. Shaded area shows 95% confidence intervals, based on robust standard errors. </w:t>
      </w:r>
      <w:r w:rsidR="00816B48" w:rsidRPr="00B87F8B">
        <w:t>V</w:t>
      </w:r>
      <w:r w:rsidRPr="00B87F8B">
        <w:t>ertical line signifies year before first child arrives.</w:t>
      </w:r>
      <w:r w:rsidR="00816B48" w:rsidRPr="00B87F8B">
        <w:t xml:space="preserve"> </w:t>
      </w:r>
    </w:p>
    <w:p w14:paraId="4A52ACAD" w14:textId="77777777" w:rsidR="00F26FFC" w:rsidRPr="00B87F8B" w:rsidRDefault="00F26FFC" w:rsidP="00B87F8B">
      <w:pPr>
        <w:pStyle w:val="ChartorTableNote"/>
      </w:pPr>
      <w:r w:rsidRPr="00B87F8B">
        <w:t xml:space="preserve">Source: Treasury analysis of HILDA Release 19.0. </w:t>
      </w:r>
    </w:p>
    <w:p w14:paraId="6A6B42F4" w14:textId="5AE1F813" w:rsidR="00C40D84" w:rsidRDefault="003E4186" w:rsidP="00B87F8B">
      <w:pPr>
        <w:pStyle w:val="ChartMainHeading"/>
      </w:pPr>
      <w:r>
        <w:t>Chart </w:t>
      </w:r>
      <w:r w:rsidR="00F26FFC" w:rsidRPr="00C360D1">
        <w:t>A8: Motherhood penalty, by partner’s occupational flexibility</w:t>
      </w:r>
      <w:r w:rsidR="00816B48">
        <w:t xml:space="preserve"> </w:t>
      </w:r>
    </w:p>
    <w:p w14:paraId="4A234CDC" w14:textId="6F90BD3D" w:rsidR="00F348BA" w:rsidRPr="00C360D1" w:rsidRDefault="00F348BA" w:rsidP="00B87F8B">
      <w:pPr>
        <w:pStyle w:val="ChartGraphic"/>
      </w:pPr>
      <w:r>
        <w:rPr>
          <w:noProof/>
        </w:rPr>
        <w:drawing>
          <wp:inline distT="0" distB="0" distL="0" distR="0" wp14:anchorId="51E18464" wp14:editId="5756FA55">
            <wp:extent cx="4680000" cy="3404247"/>
            <wp:effectExtent l="0" t="0" r="6350" b="5715"/>
            <wp:docPr id="23" name="Picture 23" descr="This is an event study chart which plots the estimated impact of children on earnings for women based on their partner's occupational flexibility. It shows the same drop in earnings regardless of partner's flex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n event study chart which plots the estimated impact of children on earnings for women based on their partner's occupational flexibility. It shows the same drop in earnings regardless of partner's flexibility.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79134FA2" w14:textId="6360D9C9" w:rsidR="00F26FFC" w:rsidRPr="00B87F8B" w:rsidRDefault="00F26FFC" w:rsidP="00B87F8B">
      <w:pPr>
        <w:pStyle w:val="ChartorTableNote"/>
      </w:pPr>
      <w:r w:rsidRPr="00B87F8B">
        <w:t xml:space="preserve">Notes: Occupational flexibility as defined in text. Shaded area shows 95% confidence intervals, based on robust standard errors. </w:t>
      </w:r>
      <w:r w:rsidR="006B6BF6" w:rsidRPr="00B87F8B">
        <w:t>V</w:t>
      </w:r>
      <w:r w:rsidRPr="00B87F8B">
        <w:t>ertical line signifies year before first child arrives.</w:t>
      </w:r>
      <w:r w:rsidR="00816B48" w:rsidRPr="00B87F8B">
        <w:t xml:space="preserve"> </w:t>
      </w:r>
    </w:p>
    <w:p w14:paraId="74E2E140" w14:textId="77777777" w:rsidR="00F26FFC" w:rsidRPr="00B87F8B" w:rsidRDefault="00F26FFC" w:rsidP="00B87F8B">
      <w:pPr>
        <w:pStyle w:val="ChartorTableNote"/>
      </w:pPr>
      <w:r w:rsidRPr="00B87F8B">
        <w:t xml:space="preserve">Source: Treasury analysis of HILDA Release 19.0. </w:t>
      </w:r>
    </w:p>
    <w:p w14:paraId="2FF47484" w14:textId="7CA442FE" w:rsidR="00C40D84" w:rsidRDefault="003E4186" w:rsidP="00B87F8B">
      <w:pPr>
        <w:pStyle w:val="ChartMainHeading"/>
      </w:pPr>
      <w:r>
        <w:t>Chart </w:t>
      </w:r>
      <w:r w:rsidR="00F26FFC" w:rsidRPr="00C360D1">
        <w:t xml:space="preserve">A9: Outcomes for women controlling for education, by workplace </w:t>
      </w:r>
      <w:proofErr w:type="gramStart"/>
      <w:r w:rsidR="00F26FFC" w:rsidRPr="00C360D1">
        <w:t>flexibility</w:t>
      </w:r>
      <w:proofErr w:type="gramEnd"/>
    </w:p>
    <w:tbl>
      <w:tblPr>
        <w:tblStyle w:val="TableGrid"/>
        <w:tblW w:w="5000" w:type="pct"/>
        <w:jc w:val="center"/>
        <w:tblLook w:val="04A0" w:firstRow="1" w:lastRow="0" w:firstColumn="1" w:lastColumn="0" w:noHBand="0" w:noVBand="1"/>
      </w:tblPr>
      <w:tblGrid>
        <w:gridCol w:w="3024"/>
        <w:gridCol w:w="3023"/>
        <w:gridCol w:w="3023"/>
      </w:tblGrid>
      <w:tr w:rsidR="00B12C39" w:rsidRPr="00597952" w14:paraId="797ACE65" w14:textId="037E3C18" w:rsidTr="00597952">
        <w:trPr>
          <w:trHeight w:val="3271"/>
          <w:jc w:val="center"/>
        </w:trPr>
        <w:tc>
          <w:tcPr>
            <w:tcW w:w="4736" w:type="dxa"/>
            <w:shd w:val="clear" w:color="auto" w:fill="auto"/>
          </w:tcPr>
          <w:p w14:paraId="4B64EA3C" w14:textId="230FA3A9" w:rsidR="00597952" w:rsidRPr="00597952" w:rsidRDefault="00597952" w:rsidP="00597952">
            <w:pPr>
              <w:pStyle w:val="ChartGraphic"/>
            </w:pPr>
            <w:r w:rsidRPr="00597952">
              <w:rPr>
                <w:noProof/>
              </w:rPr>
              <w:drawing>
                <wp:inline distT="0" distB="0" distL="0" distR="0" wp14:anchorId="5E399A6A" wp14:editId="41E73DA2">
                  <wp:extent cx="1800000" cy="2250968"/>
                  <wp:effectExtent l="0" t="0" r="0" b="0"/>
                  <wp:docPr id="26" name="Picture 26" descr="This is an event study chart which plots the estimated impact of children on the probability of employment for women based on their level of workplace flexibility controlling for education, for 3 years before and up to 5 years after the arrival of the first child. It shows a bigger decline in employment for women who have access to less flexibility. Both groups experience a slight recovery in employment around 4 or 5 years after child arrival, but still remains below pre-child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n event study chart which plots the estimated impact of children on the probability of employment for women based on their level of workplace flexibility controlling for education, for 3 years before and up to 5 years after the arrival of the first child. It shows a bigger decline in employment for women who have access to less flexibility. Both groups experience a slight recovery in employment around 4 or 5 years after child arrival, but still remains below pre-child level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0" cy="2250968"/>
                          </a:xfrm>
                          <a:prstGeom prst="rect">
                            <a:avLst/>
                          </a:prstGeom>
                          <a:noFill/>
                          <a:ln>
                            <a:noFill/>
                          </a:ln>
                        </pic:spPr>
                      </pic:pic>
                    </a:graphicData>
                  </a:graphic>
                </wp:inline>
              </w:drawing>
            </w:r>
          </w:p>
        </w:tc>
        <w:tc>
          <w:tcPr>
            <w:tcW w:w="2167" w:type="dxa"/>
            <w:shd w:val="clear" w:color="auto" w:fill="auto"/>
          </w:tcPr>
          <w:p w14:paraId="324DBBA6" w14:textId="6051A7F1" w:rsidR="00597952" w:rsidRPr="00597952" w:rsidRDefault="00597952" w:rsidP="00597952">
            <w:pPr>
              <w:pStyle w:val="ChartGraphic"/>
            </w:pPr>
            <w:r w:rsidRPr="00597952">
              <w:rPr>
                <w:noProof/>
              </w:rPr>
              <w:drawing>
                <wp:inline distT="0" distB="0" distL="0" distR="0" wp14:anchorId="37A4A277" wp14:editId="0DB94A67">
                  <wp:extent cx="1800000" cy="2251483"/>
                  <wp:effectExtent l="0" t="0" r="0" b="0"/>
                  <wp:docPr id="28" name="Picture 28" descr="This is an event study chart which plots the estimated impact of children on hours worked for women based on their level of workplace flexibility controlling for education, for 3 years before and up to 5 years after the arrival of the first child. It shows both women in more and less flexible jobs experience a similar drop in their hours worked after child arrival, which doesn't recover in the subsequent 5 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n event study chart which plots the estimated impact of children on hours worked for women based on their level of workplace flexibility controlling for education, for 3 years before and up to 5 years after the arrival of the first child. It shows both women in more and less flexible jobs experience a similar drop in their hours worked after child arrival, which doesn't recover in the subsequent 5 year period.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000" cy="2251483"/>
                          </a:xfrm>
                          <a:prstGeom prst="rect">
                            <a:avLst/>
                          </a:prstGeom>
                          <a:noFill/>
                          <a:ln>
                            <a:noFill/>
                          </a:ln>
                        </pic:spPr>
                      </pic:pic>
                    </a:graphicData>
                  </a:graphic>
                </wp:inline>
              </w:drawing>
            </w:r>
          </w:p>
        </w:tc>
        <w:tc>
          <w:tcPr>
            <w:tcW w:w="2167" w:type="dxa"/>
            <w:shd w:val="clear" w:color="auto" w:fill="auto"/>
          </w:tcPr>
          <w:p w14:paraId="1CD4192C" w14:textId="41637E8B" w:rsidR="00597952" w:rsidRPr="00597952" w:rsidRDefault="00597952" w:rsidP="00597952">
            <w:pPr>
              <w:pStyle w:val="ChartGraphic"/>
            </w:pPr>
            <w:r w:rsidRPr="00597952">
              <w:rPr>
                <w:noProof/>
              </w:rPr>
              <w:drawing>
                <wp:inline distT="0" distB="0" distL="0" distR="0" wp14:anchorId="20FA6C52" wp14:editId="43784E23">
                  <wp:extent cx="1800000" cy="2251483"/>
                  <wp:effectExtent l="0" t="0" r="0" b="0"/>
                  <wp:docPr id="29" name="Picture 29" descr="This is an event study chart which plots the estimated impact of children on hourly wage for women based on their level of workplace flexibility controlling for education, for 3 years before and up to 5 years after the arrival of the first child. It shows a bigger decline in wage for women who have access to more flexibility. However, confidence intervals are wide on thi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an event study chart which plots the estimated impact of children on hourly wage for women based on their level of workplace flexibility controlling for education, for 3 years before and up to 5 years after the arrival of the first child. It shows a bigger decline in wage for women who have access to more flexibility. However, confidence intervals are wide on this chart.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000" cy="2251483"/>
                          </a:xfrm>
                          <a:prstGeom prst="rect">
                            <a:avLst/>
                          </a:prstGeom>
                          <a:noFill/>
                          <a:ln>
                            <a:noFill/>
                          </a:ln>
                        </pic:spPr>
                      </pic:pic>
                    </a:graphicData>
                  </a:graphic>
                </wp:inline>
              </w:drawing>
            </w:r>
          </w:p>
        </w:tc>
      </w:tr>
    </w:tbl>
    <w:p w14:paraId="3B2AC5D4" w14:textId="0C242F54" w:rsidR="00F26FFC" w:rsidRPr="00B87F8B" w:rsidRDefault="00F26FFC" w:rsidP="00B87F8B">
      <w:pPr>
        <w:pStyle w:val="ChartorTableNote"/>
      </w:pPr>
      <w:r w:rsidRPr="00B87F8B">
        <w:t xml:space="preserve">Notes: Uses an event study model of the same form as Equation (1) but controls for parents’ education in the year before parenthood. </w:t>
      </w:r>
      <w:r w:rsidR="003E4186">
        <w:t>Chart </w:t>
      </w:r>
      <w:r w:rsidRPr="00B87F8B">
        <w:t>shows effects for women only. Effects on participation are estimated unconditional on employment status, while the effect on hours and wages are conditional on participation. More flexibility defined as average pre</w:t>
      </w:r>
      <w:r w:rsidR="003E4186">
        <w:noBreakHyphen/>
      </w:r>
      <w:r w:rsidRPr="00B87F8B">
        <w:t xml:space="preserve">birth occupational flexibility above median. Flexibility measure as above. Shaded area shows 95% confidence intervals, based on robust standard errors. </w:t>
      </w:r>
      <w:r w:rsidR="002E1221" w:rsidRPr="00B87F8B">
        <w:t>V</w:t>
      </w:r>
      <w:r w:rsidRPr="00B87F8B">
        <w:t>ertical line signifies year before first child arrives.</w:t>
      </w:r>
      <w:r w:rsidR="00816B48" w:rsidRPr="00B87F8B">
        <w:t xml:space="preserve"> </w:t>
      </w:r>
    </w:p>
    <w:p w14:paraId="614C72EB" w14:textId="1A7D2620" w:rsidR="00F26FFC" w:rsidRPr="00B87F8B" w:rsidRDefault="00F26FFC" w:rsidP="00B87F8B">
      <w:pPr>
        <w:pStyle w:val="ChartorTableNote"/>
      </w:pPr>
      <w:r w:rsidRPr="00B87F8B">
        <w:t>Source: Treasury analysis of HILDA Release 19.0.</w:t>
      </w:r>
    </w:p>
    <w:p w14:paraId="52C90654" w14:textId="77777777" w:rsidR="002E1221" w:rsidRPr="00C450D4" w:rsidRDefault="002E1221" w:rsidP="00C450D4">
      <w:r>
        <w:br w:type="page"/>
      </w:r>
    </w:p>
    <w:p w14:paraId="6976716B" w14:textId="55E8F19A" w:rsidR="00F26FFC" w:rsidRDefault="003E4186" w:rsidP="00C450D4">
      <w:pPr>
        <w:pStyle w:val="TableMainHeading"/>
      </w:pPr>
      <w:r>
        <w:t>Table </w:t>
      </w:r>
      <w:r w:rsidR="00F26FFC" w:rsidRPr="00C360D1">
        <w:t xml:space="preserve">A3: Children and probability of switching </w:t>
      </w:r>
      <w:proofErr w:type="gramStart"/>
      <w:r w:rsidR="00F26FFC" w:rsidRPr="00C360D1">
        <w:t>occupation</w:t>
      </w:r>
      <w:proofErr w:type="gramEnd"/>
    </w:p>
    <w:tbl>
      <w:tblPr>
        <w:tblStyle w:val="PlainTable2"/>
        <w:tblW w:w="0" w:type="auto"/>
        <w:tblInd w:w="98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480"/>
        <w:gridCol w:w="2481"/>
      </w:tblGrid>
      <w:tr w:rsidR="00677460" w14:paraId="4ACFD4BF" w14:textId="77777777" w:rsidTr="002C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315DC006" w14:textId="77777777" w:rsidR="00677460" w:rsidRDefault="00677460" w:rsidP="002C233F">
            <w:pPr>
              <w:spacing w:before="0" w:after="0"/>
            </w:pPr>
          </w:p>
        </w:tc>
        <w:tc>
          <w:tcPr>
            <w:tcW w:w="2480" w:type="dxa"/>
            <w:tcBorders>
              <w:top w:val="none" w:sz="0" w:space="0" w:color="auto"/>
              <w:bottom w:val="none" w:sz="0" w:space="0" w:color="auto"/>
            </w:tcBorders>
          </w:tcPr>
          <w:p w14:paraId="749C67AA" w14:textId="77777777" w:rsidR="00677460" w:rsidRDefault="00677460" w:rsidP="00ED663C">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(1)</w:t>
            </w:r>
          </w:p>
          <w:p w14:paraId="2F41DB85" w14:textId="218B5F12" w:rsidR="00677460" w:rsidRDefault="00677460" w:rsidP="00ED663C">
            <w:pPr>
              <w:spacing w:before="0" w:after="0"/>
              <w:jc w:val="center"/>
              <w:cnfStyle w:val="100000000000" w:firstRow="1" w:lastRow="0" w:firstColumn="0" w:lastColumn="0" w:oddVBand="0" w:evenVBand="0" w:oddHBand="0" w:evenHBand="0" w:firstRowFirstColumn="0" w:firstRowLastColumn="0" w:lastRowFirstColumn="0" w:lastRowLastColumn="0"/>
            </w:pPr>
            <w:r>
              <w:t>Switch occupation</w:t>
            </w:r>
          </w:p>
        </w:tc>
        <w:tc>
          <w:tcPr>
            <w:tcW w:w="2481" w:type="dxa"/>
            <w:tcBorders>
              <w:top w:val="none" w:sz="0" w:space="0" w:color="auto"/>
              <w:bottom w:val="none" w:sz="0" w:space="0" w:color="auto"/>
            </w:tcBorders>
          </w:tcPr>
          <w:p w14:paraId="0C8F536A" w14:textId="77777777" w:rsidR="00677460" w:rsidRDefault="00677460" w:rsidP="00ED663C">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(2)</w:t>
            </w:r>
          </w:p>
          <w:p w14:paraId="717FB1AB" w14:textId="3AE3E597" w:rsidR="00677460" w:rsidRDefault="00677460" w:rsidP="00ED663C">
            <w:pPr>
              <w:spacing w:before="0" w:after="0"/>
              <w:jc w:val="center"/>
              <w:cnfStyle w:val="100000000000" w:firstRow="1" w:lastRow="0" w:firstColumn="0" w:lastColumn="0" w:oddVBand="0" w:evenVBand="0" w:oddHBand="0" w:evenHBand="0" w:firstRowFirstColumn="0" w:firstRowLastColumn="0" w:lastRowFirstColumn="0" w:lastRowLastColumn="0"/>
            </w:pPr>
            <w:r>
              <w:t>Switch occupation</w:t>
            </w:r>
          </w:p>
        </w:tc>
      </w:tr>
      <w:tr w:rsidR="00677460" w14:paraId="5F2CFF6E"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22218552" w14:textId="77777777" w:rsidR="00677460" w:rsidRDefault="00677460" w:rsidP="002C233F">
            <w:pPr>
              <w:spacing w:before="0" w:after="0"/>
            </w:pPr>
            <w:r>
              <w:t xml:space="preserve">t=-3 </w:t>
            </w:r>
          </w:p>
        </w:tc>
        <w:tc>
          <w:tcPr>
            <w:tcW w:w="2480" w:type="dxa"/>
            <w:tcBorders>
              <w:top w:val="none" w:sz="0" w:space="0" w:color="auto"/>
              <w:bottom w:val="none" w:sz="0" w:space="0" w:color="auto"/>
            </w:tcBorders>
          </w:tcPr>
          <w:p w14:paraId="79393979"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0.410***</w:t>
            </w:r>
          </w:p>
          <w:p w14:paraId="718E5D9A" w14:textId="235EDC55" w:rsidR="00677460"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(0.0291)</w:t>
            </w:r>
          </w:p>
        </w:tc>
        <w:tc>
          <w:tcPr>
            <w:tcW w:w="2481" w:type="dxa"/>
            <w:tcBorders>
              <w:top w:val="none" w:sz="0" w:space="0" w:color="auto"/>
              <w:bottom w:val="none" w:sz="0" w:space="0" w:color="auto"/>
            </w:tcBorders>
          </w:tcPr>
          <w:p w14:paraId="65580C58"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0.420***</w:t>
            </w:r>
          </w:p>
          <w:p w14:paraId="772B9CD8" w14:textId="7DDE8952" w:rsidR="00677460"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(0.0283)</w:t>
            </w:r>
          </w:p>
        </w:tc>
      </w:tr>
      <w:tr w:rsidR="00677460" w14:paraId="557E7EC8"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5C500DA1" w14:textId="77777777" w:rsidR="00677460" w:rsidRDefault="00677460" w:rsidP="002C233F">
            <w:pPr>
              <w:spacing w:before="0" w:after="0"/>
            </w:pPr>
            <w:r>
              <w:t>t=-2</w:t>
            </w:r>
          </w:p>
        </w:tc>
        <w:tc>
          <w:tcPr>
            <w:tcW w:w="2480" w:type="dxa"/>
          </w:tcPr>
          <w:p w14:paraId="76FEE41D" w14:textId="77777777" w:rsidR="006830BD"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0.325***</w:t>
            </w:r>
          </w:p>
          <w:p w14:paraId="3DB83C70" w14:textId="2B821510" w:rsidR="00677460"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(0.0271)</w:t>
            </w:r>
          </w:p>
        </w:tc>
        <w:tc>
          <w:tcPr>
            <w:tcW w:w="2481" w:type="dxa"/>
          </w:tcPr>
          <w:p w14:paraId="684DD3E4" w14:textId="77777777" w:rsidR="006830BD"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0.356***</w:t>
            </w:r>
          </w:p>
          <w:p w14:paraId="1582C9A5" w14:textId="0CC6D136" w:rsidR="00677460"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(0.0259)</w:t>
            </w:r>
          </w:p>
        </w:tc>
      </w:tr>
      <w:tr w:rsidR="00677460" w14:paraId="52B29E96"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0D28F34" w14:textId="77777777" w:rsidR="00677460" w:rsidRDefault="00677460" w:rsidP="002C233F">
            <w:pPr>
              <w:spacing w:before="0" w:after="0"/>
            </w:pPr>
            <w:r>
              <w:t>t=0</w:t>
            </w:r>
          </w:p>
        </w:tc>
        <w:tc>
          <w:tcPr>
            <w:tcW w:w="2480" w:type="dxa"/>
            <w:tcBorders>
              <w:top w:val="none" w:sz="0" w:space="0" w:color="auto"/>
              <w:bottom w:val="none" w:sz="0" w:space="0" w:color="auto"/>
            </w:tcBorders>
          </w:tcPr>
          <w:p w14:paraId="0E572E55" w14:textId="77777777" w:rsidR="006830BD" w:rsidRDefault="006830BD" w:rsidP="00ED663C">
            <w:pPr>
              <w:spacing w:before="0" w:after="0"/>
              <w:jc w:val="center"/>
              <w:cnfStyle w:val="000000100000" w:firstRow="0" w:lastRow="0" w:firstColumn="0" w:lastColumn="0" w:oddVBand="0" w:evenVBand="0" w:oddHBand="1" w:evenHBand="0" w:firstRowFirstColumn="0" w:firstRowLastColumn="0" w:lastRowFirstColumn="0" w:lastRowLastColumn="0"/>
            </w:pPr>
            <w:r>
              <w:t>0.337***</w:t>
            </w:r>
          </w:p>
          <w:p w14:paraId="3D69C14C" w14:textId="41993185" w:rsidR="00677460" w:rsidRDefault="006830BD"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(0.0240)</w:t>
            </w:r>
          </w:p>
        </w:tc>
        <w:tc>
          <w:tcPr>
            <w:tcW w:w="2481" w:type="dxa"/>
            <w:tcBorders>
              <w:top w:val="none" w:sz="0" w:space="0" w:color="auto"/>
              <w:bottom w:val="none" w:sz="0" w:space="0" w:color="auto"/>
            </w:tcBorders>
          </w:tcPr>
          <w:p w14:paraId="333F6A7E" w14:textId="77777777" w:rsidR="006830BD" w:rsidRDefault="006830BD" w:rsidP="00ED663C">
            <w:pPr>
              <w:spacing w:before="0" w:after="0"/>
              <w:jc w:val="center"/>
              <w:cnfStyle w:val="000000100000" w:firstRow="0" w:lastRow="0" w:firstColumn="0" w:lastColumn="0" w:oddVBand="0" w:evenVBand="0" w:oddHBand="1" w:evenHBand="0" w:firstRowFirstColumn="0" w:firstRowLastColumn="0" w:lastRowFirstColumn="0" w:lastRowLastColumn="0"/>
            </w:pPr>
            <w:r>
              <w:t>0.368***</w:t>
            </w:r>
          </w:p>
          <w:p w14:paraId="55A26968" w14:textId="22E539F1" w:rsidR="00677460" w:rsidRDefault="006830BD" w:rsidP="00ED663C">
            <w:pPr>
              <w:spacing w:before="0" w:after="0"/>
              <w:jc w:val="center"/>
              <w:cnfStyle w:val="000000100000" w:firstRow="0" w:lastRow="0" w:firstColumn="0" w:lastColumn="0" w:oddVBand="0" w:evenVBand="0" w:oddHBand="1" w:evenHBand="0" w:firstRowFirstColumn="0" w:firstRowLastColumn="0" w:lastRowFirstColumn="0" w:lastRowLastColumn="0"/>
            </w:pPr>
            <w:r>
              <w:t>(0.0302)</w:t>
            </w:r>
          </w:p>
        </w:tc>
      </w:tr>
      <w:tr w:rsidR="00677460" w14:paraId="34679051"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297AB83C" w14:textId="77777777" w:rsidR="00677460" w:rsidRDefault="00677460" w:rsidP="002C233F">
            <w:pPr>
              <w:spacing w:before="0" w:after="0"/>
            </w:pPr>
            <w:r>
              <w:t>t=1</w:t>
            </w:r>
          </w:p>
        </w:tc>
        <w:tc>
          <w:tcPr>
            <w:tcW w:w="2480" w:type="dxa"/>
          </w:tcPr>
          <w:p w14:paraId="4EB449A7" w14:textId="77777777" w:rsidR="006830BD"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0.389***</w:t>
            </w:r>
          </w:p>
          <w:p w14:paraId="217905AD" w14:textId="757A72FE" w:rsidR="00677460"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(0.0244)</w:t>
            </w:r>
          </w:p>
        </w:tc>
        <w:tc>
          <w:tcPr>
            <w:tcW w:w="2481" w:type="dxa"/>
          </w:tcPr>
          <w:p w14:paraId="2C7B06EB" w14:textId="77777777" w:rsidR="006830BD"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0.438***</w:t>
            </w:r>
          </w:p>
          <w:p w14:paraId="120712C3" w14:textId="06C53420" w:rsidR="00677460" w:rsidRDefault="006830BD"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(0.0280)</w:t>
            </w:r>
          </w:p>
        </w:tc>
      </w:tr>
      <w:tr w:rsidR="00677460" w14:paraId="334A9B7F"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0418463A" w14:textId="77777777" w:rsidR="00677460" w:rsidRDefault="00677460" w:rsidP="002C233F">
            <w:pPr>
              <w:spacing w:before="0" w:after="0"/>
            </w:pPr>
            <w:r>
              <w:t>t=2</w:t>
            </w:r>
          </w:p>
        </w:tc>
        <w:tc>
          <w:tcPr>
            <w:tcW w:w="2480" w:type="dxa"/>
            <w:tcBorders>
              <w:top w:val="none" w:sz="0" w:space="0" w:color="auto"/>
              <w:bottom w:val="none" w:sz="0" w:space="0" w:color="auto"/>
            </w:tcBorders>
          </w:tcPr>
          <w:p w14:paraId="774BE421" w14:textId="77777777" w:rsidR="000B019A"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0.443***</w:t>
            </w:r>
          </w:p>
          <w:p w14:paraId="79D5898A" w14:textId="357BBD33" w:rsidR="00677460"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(0.0258)</w:t>
            </w:r>
          </w:p>
        </w:tc>
        <w:tc>
          <w:tcPr>
            <w:tcW w:w="2481" w:type="dxa"/>
            <w:tcBorders>
              <w:top w:val="none" w:sz="0" w:space="0" w:color="auto"/>
              <w:bottom w:val="none" w:sz="0" w:space="0" w:color="auto"/>
            </w:tcBorders>
          </w:tcPr>
          <w:p w14:paraId="6A0E0D39" w14:textId="77777777" w:rsidR="000B019A"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0.500***</w:t>
            </w:r>
          </w:p>
          <w:p w14:paraId="7AB2AAAD" w14:textId="381E3C44" w:rsidR="00677460"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(0.0298)</w:t>
            </w:r>
          </w:p>
        </w:tc>
      </w:tr>
      <w:tr w:rsidR="00677460" w14:paraId="3EBE4E17"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503C194C" w14:textId="77777777" w:rsidR="00677460" w:rsidRDefault="00677460" w:rsidP="002C233F">
            <w:pPr>
              <w:spacing w:before="0" w:after="0"/>
            </w:pPr>
            <w:r>
              <w:t>t=3</w:t>
            </w:r>
          </w:p>
        </w:tc>
        <w:tc>
          <w:tcPr>
            <w:tcW w:w="2480" w:type="dxa"/>
          </w:tcPr>
          <w:p w14:paraId="4010BB1E" w14:textId="77777777" w:rsidR="000B019A"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0.514***</w:t>
            </w:r>
          </w:p>
          <w:p w14:paraId="12DADDB7" w14:textId="5CE73B26" w:rsidR="00677460"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(0.0277)</w:t>
            </w:r>
          </w:p>
        </w:tc>
        <w:tc>
          <w:tcPr>
            <w:tcW w:w="2481" w:type="dxa"/>
          </w:tcPr>
          <w:p w14:paraId="5DFEE744" w14:textId="77777777" w:rsidR="000B019A"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0.545***</w:t>
            </w:r>
          </w:p>
          <w:p w14:paraId="36E30833" w14:textId="16FAFCAA" w:rsidR="00677460"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(0.0312)</w:t>
            </w:r>
          </w:p>
        </w:tc>
      </w:tr>
      <w:tr w:rsidR="00677460" w14:paraId="502A3561"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25C69FB9" w14:textId="77777777" w:rsidR="00677460" w:rsidRDefault="00677460" w:rsidP="002C233F">
            <w:pPr>
              <w:spacing w:before="0" w:after="0"/>
            </w:pPr>
            <w:r>
              <w:t>t=4</w:t>
            </w:r>
          </w:p>
        </w:tc>
        <w:tc>
          <w:tcPr>
            <w:tcW w:w="2480" w:type="dxa"/>
            <w:tcBorders>
              <w:top w:val="none" w:sz="0" w:space="0" w:color="auto"/>
              <w:bottom w:val="none" w:sz="0" w:space="0" w:color="auto"/>
            </w:tcBorders>
          </w:tcPr>
          <w:p w14:paraId="54995319" w14:textId="77777777" w:rsidR="000B019A"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0.512***</w:t>
            </w:r>
          </w:p>
          <w:p w14:paraId="6AC329BD" w14:textId="1915B9A1" w:rsidR="00677460"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(0.0292)</w:t>
            </w:r>
          </w:p>
        </w:tc>
        <w:tc>
          <w:tcPr>
            <w:tcW w:w="2481" w:type="dxa"/>
            <w:tcBorders>
              <w:top w:val="none" w:sz="0" w:space="0" w:color="auto"/>
              <w:bottom w:val="none" w:sz="0" w:space="0" w:color="auto"/>
            </w:tcBorders>
          </w:tcPr>
          <w:p w14:paraId="31E7FD96" w14:textId="77777777" w:rsidR="000B019A"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0.582***</w:t>
            </w:r>
          </w:p>
          <w:p w14:paraId="17451458" w14:textId="2BF82129" w:rsidR="00677460" w:rsidRDefault="000B019A" w:rsidP="00ED663C">
            <w:pPr>
              <w:spacing w:before="0" w:after="0"/>
              <w:jc w:val="center"/>
              <w:cnfStyle w:val="000000100000" w:firstRow="0" w:lastRow="0" w:firstColumn="0" w:lastColumn="0" w:oddVBand="0" w:evenVBand="0" w:oddHBand="1" w:evenHBand="0" w:firstRowFirstColumn="0" w:firstRowLastColumn="0" w:lastRowFirstColumn="0" w:lastRowLastColumn="0"/>
            </w:pPr>
            <w:r>
              <w:t>(0.0320)</w:t>
            </w:r>
          </w:p>
        </w:tc>
      </w:tr>
      <w:tr w:rsidR="00677460" w14:paraId="06976F50"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7E4EBA07" w14:textId="77777777" w:rsidR="00677460" w:rsidRDefault="00677460" w:rsidP="002C233F">
            <w:pPr>
              <w:spacing w:before="0" w:after="0"/>
            </w:pPr>
            <w:r>
              <w:t>t=5</w:t>
            </w:r>
          </w:p>
        </w:tc>
        <w:tc>
          <w:tcPr>
            <w:tcW w:w="2480" w:type="dxa"/>
          </w:tcPr>
          <w:p w14:paraId="04DFD8AD" w14:textId="77777777" w:rsidR="000B019A"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0.514***</w:t>
            </w:r>
          </w:p>
          <w:p w14:paraId="1639569E" w14:textId="1A880E23" w:rsidR="00677460" w:rsidRDefault="000B019A" w:rsidP="00ED663C">
            <w:pPr>
              <w:spacing w:before="0" w:after="0"/>
              <w:jc w:val="center"/>
              <w:cnfStyle w:val="000000000000" w:firstRow="0" w:lastRow="0" w:firstColumn="0" w:lastColumn="0" w:oddVBand="0" w:evenVBand="0" w:oddHBand="0" w:evenHBand="0" w:firstRowFirstColumn="0" w:firstRowLastColumn="0" w:lastRowFirstColumn="0" w:lastRowLastColumn="0"/>
            </w:pPr>
            <w:r>
              <w:t>(0.0310)</w:t>
            </w:r>
          </w:p>
        </w:tc>
        <w:tc>
          <w:tcPr>
            <w:tcW w:w="2481" w:type="dxa"/>
          </w:tcPr>
          <w:p w14:paraId="6650A940" w14:textId="77777777" w:rsidR="00ED663C" w:rsidRDefault="00ED663C" w:rsidP="00ED663C">
            <w:pPr>
              <w:spacing w:before="0" w:after="0"/>
              <w:jc w:val="center"/>
              <w:cnfStyle w:val="000000000000" w:firstRow="0" w:lastRow="0" w:firstColumn="0" w:lastColumn="0" w:oddVBand="0" w:evenVBand="0" w:oddHBand="0" w:evenHBand="0" w:firstRowFirstColumn="0" w:firstRowLastColumn="0" w:lastRowFirstColumn="0" w:lastRowLastColumn="0"/>
            </w:pPr>
            <w:r>
              <w:t>0.628***</w:t>
            </w:r>
          </w:p>
          <w:p w14:paraId="53693808" w14:textId="3F79EC45" w:rsidR="00677460" w:rsidRDefault="00ED663C" w:rsidP="00ED663C">
            <w:pPr>
              <w:spacing w:before="0" w:after="0"/>
              <w:jc w:val="center"/>
              <w:cnfStyle w:val="000000000000" w:firstRow="0" w:lastRow="0" w:firstColumn="0" w:lastColumn="0" w:oddVBand="0" w:evenVBand="0" w:oddHBand="0" w:evenHBand="0" w:firstRowFirstColumn="0" w:firstRowLastColumn="0" w:lastRowFirstColumn="0" w:lastRowLastColumn="0"/>
            </w:pPr>
            <w:r>
              <w:t>(0.0341)</w:t>
            </w:r>
          </w:p>
        </w:tc>
      </w:tr>
      <w:tr w:rsidR="00677460" w14:paraId="352F1F8C"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A9612D2" w14:textId="77777777" w:rsidR="00677460" w:rsidRDefault="00677460" w:rsidP="002C233F">
            <w:pPr>
              <w:spacing w:before="0" w:after="0"/>
            </w:pPr>
            <w:r>
              <w:t>Sex</w:t>
            </w:r>
          </w:p>
          <w:p w14:paraId="6A5CFC6C" w14:textId="77777777" w:rsidR="00677460" w:rsidRDefault="00677460" w:rsidP="002C233F">
            <w:pPr>
              <w:spacing w:before="0" w:after="0"/>
            </w:pPr>
            <w:r>
              <w:t>Age and year coefficients</w:t>
            </w:r>
          </w:p>
          <w:p w14:paraId="0C4C9813" w14:textId="77777777" w:rsidR="00677460" w:rsidRDefault="00677460" w:rsidP="002C233F">
            <w:pPr>
              <w:spacing w:before="0" w:after="0"/>
            </w:pPr>
            <w:r>
              <w:t>N</w:t>
            </w:r>
          </w:p>
          <w:p w14:paraId="7172C666" w14:textId="77777777" w:rsidR="00677460" w:rsidRDefault="00677460" w:rsidP="002C233F">
            <w:pPr>
              <w:spacing w:before="0" w:after="0"/>
            </w:pPr>
            <w:proofErr w:type="spellStart"/>
            <w:r>
              <w:t>Rsquared</w:t>
            </w:r>
            <w:proofErr w:type="spellEnd"/>
          </w:p>
          <w:p w14:paraId="5B322B6B" w14:textId="77777777" w:rsidR="00677460" w:rsidRDefault="00677460" w:rsidP="002C233F">
            <w:pPr>
              <w:spacing w:before="0" w:after="0"/>
            </w:pPr>
            <w:r>
              <w:t xml:space="preserve">Adjusted </w:t>
            </w:r>
            <w:proofErr w:type="spellStart"/>
            <w:r>
              <w:t>Rsquared</w:t>
            </w:r>
            <w:proofErr w:type="spellEnd"/>
          </w:p>
        </w:tc>
        <w:tc>
          <w:tcPr>
            <w:tcW w:w="2480" w:type="dxa"/>
            <w:tcBorders>
              <w:top w:val="none" w:sz="0" w:space="0" w:color="auto"/>
              <w:bottom w:val="none" w:sz="0" w:space="0" w:color="auto"/>
            </w:tcBorders>
          </w:tcPr>
          <w:p w14:paraId="032660B0"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Male</w:t>
            </w:r>
          </w:p>
          <w:p w14:paraId="7257E45A"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30E0352E"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5166</w:t>
            </w:r>
          </w:p>
          <w:p w14:paraId="2464E015"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0.109</w:t>
            </w:r>
          </w:p>
          <w:p w14:paraId="53D00121" w14:textId="4CF54C36" w:rsidR="00677460"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0.0945</w:t>
            </w:r>
          </w:p>
        </w:tc>
        <w:tc>
          <w:tcPr>
            <w:tcW w:w="2481" w:type="dxa"/>
            <w:tcBorders>
              <w:top w:val="none" w:sz="0" w:space="0" w:color="auto"/>
              <w:bottom w:val="none" w:sz="0" w:space="0" w:color="auto"/>
            </w:tcBorders>
          </w:tcPr>
          <w:p w14:paraId="59C45283"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Female</w:t>
            </w:r>
          </w:p>
          <w:p w14:paraId="5B9E4906"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6264586C"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4422</w:t>
            </w:r>
          </w:p>
          <w:p w14:paraId="3EA120FE" w14:textId="77777777" w:rsidR="0014663C"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0.134</w:t>
            </w:r>
          </w:p>
          <w:p w14:paraId="42EDBB16" w14:textId="467B907B" w:rsidR="00677460" w:rsidRDefault="0014663C" w:rsidP="00ED663C">
            <w:pPr>
              <w:spacing w:before="0" w:after="0"/>
              <w:jc w:val="center"/>
              <w:cnfStyle w:val="000000100000" w:firstRow="0" w:lastRow="0" w:firstColumn="0" w:lastColumn="0" w:oddVBand="0" w:evenVBand="0" w:oddHBand="1" w:evenHBand="0" w:firstRowFirstColumn="0" w:firstRowLastColumn="0" w:lastRowFirstColumn="0" w:lastRowLastColumn="0"/>
            </w:pPr>
            <w:r>
              <w:t>0.121</w:t>
            </w:r>
          </w:p>
        </w:tc>
      </w:tr>
    </w:tbl>
    <w:p w14:paraId="3C68EC47" w14:textId="2B164B92" w:rsidR="00F26FFC" w:rsidRPr="00C450D4" w:rsidRDefault="00F26FFC" w:rsidP="00C450D4">
      <w:pPr>
        <w:pStyle w:val="ChartorTableNote"/>
      </w:pPr>
      <w:r w:rsidRPr="00C450D4">
        <w:t xml:space="preserve">Notes: </w:t>
      </w:r>
      <w:r w:rsidR="003E4186">
        <w:t>Table </w:t>
      </w:r>
      <w:r w:rsidRPr="00C450D4">
        <w:t xml:space="preserve">uses an event study model of the same form as Equation (1) but with the probability of switching occupation as the dependant variable. Dependant variable is a dummy which takes a value of </w:t>
      </w:r>
      <w:r w:rsidR="009D2C61">
        <w:t xml:space="preserve">one </w:t>
      </w:r>
      <w:r w:rsidRPr="00C450D4">
        <w:t>when a respondent is in a different occupation to the one held in the year before birth (</w:t>
      </w:r>
      <w:proofErr w:type="gramStart"/>
      <w:r w:rsidRPr="00C450D4">
        <w:t>i.e.</w:t>
      </w:r>
      <w:proofErr w:type="gramEnd"/>
      <w:r w:rsidRPr="00C450D4">
        <w:t xml:space="preserve"> t=-1). Constant, and coefficients on age and year dummies are omitted. Robust standard errors in parentheses. *p&lt;0.05, **p&lt;0.01, ***p&lt;0.001.</w:t>
      </w:r>
      <w:r w:rsidR="002E1221" w:rsidRPr="00C450D4">
        <w:t xml:space="preserve"> </w:t>
      </w:r>
    </w:p>
    <w:p w14:paraId="2EF46AC0" w14:textId="1CA84B6D" w:rsidR="00F26FFC" w:rsidRPr="00C450D4" w:rsidRDefault="00F26FFC" w:rsidP="00C450D4">
      <w:pPr>
        <w:pStyle w:val="ChartorTableNote"/>
      </w:pPr>
      <w:r w:rsidRPr="00C450D4">
        <w:t>Source: Treasury analysis of HILDA Release 19.0.</w:t>
      </w:r>
    </w:p>
    <w:p w14:paraId="07EA9E88" w14:textId="77777777" w:rsidR="002E5509" w:rsidRPr="002E5509" w:rsidRDefault="002E5509" w:rsidP="002E5509">
      <w:r>
        <w:br w:type="page"/>
      </w:r>
    </w:p>
    <w:p w14:paraId="4E6AC92B" w14:textId="50A292E8" w:rsidR="00F26FFC" w:rsidRDefault="003E4186" w:rsidP="00C450D4">
      <w:pPr>
        <w:pStyle w:val="TableMainHeading"/>
      </w:pPr>
      <w:r>
        <w:t>Table </w:t>
      </w:r>
      <w:r w:rsidR="00F26FFC" w:rsidRPr="00C360D1">
        <w:t>A4: Children and occupational flexibility</w:t>
      </w:r>
    </w:p>
    <w:tbl>
      <w:tblPr>
        <w:tblStyle w:val="PlainTable2"/>
        <w:tblW w:w="0" w:type="auto"/>
        <w:tblInd w:w="988"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480"/>
        <w:gridCol w:w="2481"/>
      </w:tblGrid>
      <w:tr w:rsidR="00C82EEF" w14:paraId="5CDAE4C8" w14:textId="77777777" w:rsidTr="002C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3C206B3F" w14:textId="77777777" w:rsidR="00C82EEF" w:rsidRDefault="00C82EEF" w:rsidP="002C233F">
            <w:pPr>
              <w:spacing w:before="0" w:after="0"/>
            </w:pPr>
          </w:p>
        </w:tc>
        <w:tc>
          <w:tcPr>
            <w:tcW w:w="2480" w:type="dxa"/>
            <w:tcBorders>
              <w:top w:val="none" w:sz="0" w:space="0" w:color="auto"/>
              <w:bottom w:val="none" w:sz="0" w:space="0" w:color="auto"/>
            </w:tcBorders>
          </w:tcPr>
          <w:p w14:paraId="42BF3351" w14:textId="77777777" w:rsidR="00C82EEF" w:rsidRDefault="00C82EEF" w:rsidP="002C233F">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(1)</w:t>
            </w:r>
          </w:p>
          <w:p w14:paraId="3C2085B0" w14:textId="4A4311B9" w:rsidR="00C82EEF" w:rsidRDefault="00C82EEF" w:rsidP="002C233F">
            <w:pPr>
              <w:spacing w:before="0" w:after="0"/>
              <w:jc w:val="center"/>
              <w:cnfStyle w:val="100000000000" w:firstRow="1" w:lastRow="0" w:firstColumn="0" w:lastColumn="0" w:oddVBand="0" w:evenVBand="0" w:oddHBand="0" w:evenHBand="0" w:firstRowFirstColumn="0" w:firstRowLastColumn="0" w:lastRowFirstColumn="0" w:lastRowLastColumn="0"/>
            </w:pPr>
            <w:r>
              <w:t>Occupational flexibility</w:t>
            </w:r>
          </w:p>
        </w:tc>
        <w:tc>
          <w:tcPr>
            <w:tcW w:w="2481" w:type="dxa"/>
            <w:tcBorders>
              <w:top w:val="none" w:sz="0" w:space="0" w:color="auto"/>
              <w:bottom w:val="none" w:sz="0" w:space="0" w:color="auto"/>
            </w:tcBorders>
          </w:tcPr>
          <w:p w14:paraId="46B593EB" w14:textId="77777777" w:rsidR="00C82EEF" w:rsidRDefault="00C82EEF" w:rsidP="002C233F">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t>(2)</w:t>
            </w:r>
          </w:p>
          <w:p w14:paraId="3EF87630" w14:textId="58CA24D3" w:rsidR="00C82EEF" w:rsidRDefault="00C82EEF" w:rsidP="002C233F">
            <w:pPr>
              <w:spacing w:before="0" w:after="0"/>
              <w:jc w:val="center"/>
              <w:cnfStyle w:val="100000000000" w:firstRow="1" w:lastRow="0" w:firstColumn="0" w:lastColumn="0" w:oddVBand="0" w:evenVBand="0" w:oddHBand="0" w:evenHBand="0" w:firstRowFirstColumn="0" w:firstRowLastColumn="0" w:lastRowFirstColumn="0" w:lastRowLastColumn="0"/>
            </w:pPr>
            <w:r>
              <w:t>Occupational flexibility</w:t>
            </w:r>
          </w:p>
        </w:tc>
      </w:tr>
      <w:tr w:rsidR="00C82EEF" w14:paraId="07C3854D"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5487A239" w14:textId="77777777" w:rsidR="00C82EEF" w:rsidRDefault="00C82EEF" w:rsidP="002C233F">
            <w:pPr>
              <w:spacing w:before="0" w:after="0"/>
            </w:pPr>
            <w:r>
              <w:t xml:space="preserve">t=-3 </w:t>
            </w:r>
          </w:p>
        </w:tc>
        <w:tc>
          <w:tcPr>
            <w:tcW w:w="2480" w:type="dxa"/>
            <w:tcBorders>
              <w:top w:val="none" w:sz="0" w:space="0" w:color="auto"/>
              <w:bottom w:val="none" w:sz="0" w:space="0" w:color="auto"/>
            </w:tcBorders>
          </w:tcPr>
          <w:p w14:paraId="1C4E1215"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0.00310</w:t>
            </w:r>
          </w:p>
          <w:p w14:paraId="005575D3" w14:textId="7A187D67" w:rsidR="00C82EEF"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(0.0123)</w:t>
            </w:r>
          </w:p>
        </w:tc>
        <w:tc>
          <w:tcPr>
            <w:tcW w:w="2481" w:type="dxa"/>
            <w:tcBorders>
              <w:top w:val="none" w:sz="0" w:space="0" w:color="auto"/>
              <w:bottom w:val="none" w:sz="0" w:space="0" w:color="auto"/>
            </w:tcBorders>
          </w:tcPr>
          <w:p w14:paraId="10E26C95"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0.00479</w:t>
            </w:r>
          </w:p>
          <w:p w14:paraId="34A0615A" w14:textId="596C5CB4" w:rsidR="00C82EEF"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(0.0159)</w:t>
            </w:r>
          </w:p>
        </w:tc>
      </w:tr>
      <w:tr w:rsidR="00C82EEF" w14:paraId="51DE737B"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72DD9903" w14:textId="77777777" w:rsidR="00C82EEF" w:rsidRDefault="00C82EEF" w:rsidP="002C233F">
            <w:pPr>
              <w:spacing w:before="0" w:after="0"/>
            </w:pPr>
            <w:r>
              <w:t>t=-2</w:t>
            </w:r>
          </w:p>
        </w:tc>
        <w:tc>
          <w:tcPr>
            <w:tcW w:w="2480" w:type="dxa"/>
          </w:tcPr>
          <w:p w14:paraId="46D0E9B2" w14:textId="77777777" w:rsidR="004004D5" w:rsidRDefault="004004D5" w:rsidP="004004D5">
            <w:pPr>
              <w:spacing w:before="0" w:after="0"/>
              <w:jc w:val="center"/>
              <w:cnfStyle w:val="000000000000" w:firstRow="0" w:lastRow="0" w:firstColumn="0" w:lastColumn="0" w:oddVBand="0" w:evenVBand="0" w:oddHBand="0" w:evenHBand="0" w:firstRowFirstColumn="0" w:firstRowLastColumn="0" w:lastRowFirstColumn="0" w:lastRowLastColumn="0"/>
            </w:pPr>
            <w:r>
              <w:t>0.000110</w:t>
            </w:r>
          </w:p>
          <w:p w14:paraId="5B899ED3" w14:textId="57A23BE9" w:rsidR="00C82EEF" w:rsidRDefault="004004D5" w:rsidP="004004D5">
            <w:pPr>
              <w:spacing w:before="0" w:after="0"/>
              <w:jc w:val="center"/>
              <w:cnfStyle w:val="000000000000" w:firstRow="0" w:lastRow="0" w:firstColumn="0" w:lastColumn="0" w:oddVBand="0" w:evenVBand="0" w:oddHBand="0" w:evenHBand="0" w:firstRowFirstColumn="0" w:firstRowLastColumn="0" w:lastRowFirstColumn="0" w:lastRowLastColumn="0"/>
            </w:pPr>
            <w:r>
              <w:t>(0.0128)</w:t>
            </w:r>
          </w:p>
        </w:tc>
        <w:tc>
          <w:tcPr>
            <w:tcW w:w="2481" w:type="dxa"/>
          </w:tcPr>
          <w:p w14:paraId="4F8085B8" w14:textId="77777777" w:rsidR="00B05BA8"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0.00568</w:t>
            </w:r>
          </w:p>
          <w:p w14:paraId="7042E880" w14:textId="1096D690" w:rsidR="00C82EEF"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(0.0143)</w:t>
            </w:r>
          </w:p>
        </w:tc>
      </w:tr>
      <w:tr w:rsidR="00C82EEF" w14:paraId="5A069941"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5E010E9F" w14:textId="77777777" w:rsidR="00C82EEF" w:rsidRDefault="00C82EEF" w:rsidP="002C233F">
            <w:pPr>
              <w:spacing w:before="0" w:after="0"/>
            </w:pPr>
            <w:r>
              <w:t>t=0</w:t>
            </w:r>
          </w:p>
        </w:tc>
        <w:tc>
          <w:tcPr>
            <w:tcW w:w="2480" w:type="dxa"/>
            <w:tcBorders>
              <w:top w:val="none" w:sz="0" w:space="0" w:color="auto"/>
              <w:bottom w:val="none" w:sz="0" w:space="0" w:color="auto"/>
            </w:tcBorders>
          </w:tcPr>
          <w:p w14:paraId="4E8E6AA0" w14:textId="77777777" w:rsidR="00B05BA8"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-0.00409</w:t>
            </w:r>
          </w:p>
          <w:p w14:paraId="74CCB465" w14:textId="489D6446" w:rsidR="00C82EEF"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(0.0114)</w:t>
            </w:r>
          </w:p>
        </w:tc>
        <w:tc>
          <w:tcPr>
            <w:tcW w:w="2481" w:type="dxa"/>
            <w:tcBorders>
              <w:top w:val="none" w:sz="0" w:space="0" w:color="auto"/>
              <w:bottom w:val="none" w:sz="0" w:space="0" w:color="auto"/>
            </w:tcBorders>
          </w:tcPr>
          <w:p w14:paraId="2D264DA8" w14:textId="77777777" w:rsidR="00B05BA8"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-0.0195</w:t>
            </w:r>
          </w:p>
          <w:p w14:paraId="40A6CCAB" w14:textId="317DF48F" w:rsidR="00C82EEF"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(0.0160)</w:t>
            </w:r>
          </w:p>
        </w:tc>
      </w:tr>
      <w:tr w:rsidR="00C82EEF" w14:paraId="68B173EF"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4A324A59" w14:textId="77777777" w:rsidR="00C82EEF" w:rsidRDefault="00C82EEF" w:rsidP="002C233F">
            <w:pPr>
              <w:spacing w:before="0" w:after="0"/>
            </w:pPr>
            <w:r>
              <w:t>t=1</w:t>
            </w:r>
          </w:p>
        </w:tc>
        <w:tc>
          <w:tcPr>
            <w:tcW w:w="2480" w:type="dxa"/>
          </w:tcPr>
          <w:p w14:paraId="3D767918" w14:textId="77777777" w:rsidR="00B05BA8"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-0.00528</w:t>
            </w:r>
          </w:p>
          <w:p w14:paraId="70562253" w14:textId="051059A0" w:rsidR="00C82EEF"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(0.0115)</w:t>
            </w:r>
          </w:p>
        </w:tc>
        <w:tc>
          <w:tcPr>
            <w:tcW w:w="2481" w:type="dxa"/>
          </w:tcPr>
          <w:p w14:paraId="74B0E9D1" w14:textId="77777777" w:rsidR="00B05BA8"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-0.0133</w:t>
            </w:r>
          </w:p>
          <w:p w14:paraId="605CF1B4" w14:textId="4206F794" w:rsidR="00C82EEF" w:rsidRDefault="00B05BA8" w:rsidP="00B05BA8">
            <w:pPr>
              <w:spacing w:before="0" w:after="0"/>
              <w:jc w:val="center"/>
              <w:cnfStyle w:val="000000000000" w:firstRow="0" w:lastRow="0" w:firstColumn="0" w:lastColumn="0" w:oddVBand="0" w:evenVBand="0" w:oddHBand="0" w:evenHBand="0" w:firstRowFirstColumn="0" w:firstRowLastColumn="0" w:lastRowFirstColumn="0" w:lastRowLastColumn="0"/>
            </w:pPr>
            <w:r>
              <w:t>(0.0149)</w:t>
            </w:r>
          </w:p>
        </w:tc>
      </w:tr>
      <w:tr w:rsidR="00C82EEF" w14:paraId="78538671"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7AB98717" w14:textId="77777777" w:rsidR="00C82EEF" w:rsidRDefault="00C82EEF" w:rsidP="002C233F">
            <w:pPr>
              <w:spacing w:before="0" w:after="0"/>
            </w:pPr>
            <w:r>
              <w:t>t=2</w:t>
            </w:r>
          </w:p>
        </w:tc>
        <w:tc>
          <w:tcPr>
            <w:tcW w:w="2480" w:type="dxa"/>
            <w:tcBorders>
              <w:top w:val="none" w:sz="0" w:space="0" w:color="auto"/>
              <w:bottom w:val="none" w:sz="0" w:space="0" w:color="auto"/>
            </w:tcBorders>
          </w:tcPr>
          <w:p w14:paraId="14494026" w14:textId="77777777" w:rsidR="00B05BA8"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-0.0109</w:t>
            </w:r>
          </w:p>
          <w:p w14:paraId="6CD99A14" w14:textId="592EAF9F" w:rsidR="00C82EEF" w:rsidRDefault="00B05BA8" w:rsidP="00B05BA8">
            <w:pPr>
              <w:spacing w:before="0" w:after="0"/>
              <w:jc w:val="center"/>
              <w:cnfStyle w:val="000000100000" w:firstRow="0" w:lastRow="0" w:firstColumn="0" w:lastColumn="0" w:oddVBand="0" w:evenVBand="0" w:oddHBand="1" w:evenHBand="0" w:firstRowFirstColumn="0" w:firstRowLastColumn="0" w:lastRowFirstColumn="0" w:lastRowLastColumn="0"/>
            </w:pPr>
            <w:r>
              <w:t>(0.0121)</w:t>
            </w:r>
          </w:p>
        </w:tc>
        <w:tc>
          <w:tcPr>
            <w:tcW w:w="2481" w:type="dxa"/>
            <w:tcBorders>
              <w:top w:val="none" w:sz="0" w:space="0" w:color="auto"/>
              <w:bottom w:val="none" w:sz="0" w:space="0" w:color="auto"/>
            </w:tcBorders>
          </w:tcPr>
          <w:p w14:paraId="531DC7F6" w14:textId="77777777" w:rsidR="00415960"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-0.0262</w:t>
            </w:r>
          </w:p>
          <w:p w14:paraId="50661C2B" w14:textId="388D1AC9" w:rsidR="00C82EEF"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(0.0152)</w:t>
            </w:r>
          </w:p>
        </w:tc>
      </w:tr>
      <w:tr w:rsidR="00C82EEF" w14:paraId="0AD24046"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3759A1AD" w14:textId="77777777" w:rsidR="00C82EEF" w:rsidRDefault="00C82EEF" w:rsidP="002C233F">
            <w:pPr>
              <w:spacing w:before="0" w:after="0"/>
            </w:pPr>
            <w:r>
              <w:t>t=3</w:t>
            </w:r>
          </w:p>
        </w:tc>
        <w:tc>
          <w:tcPr>
            <w:tcW w:w="2480" w:type="dxa"/>
          </w:tcPr>
          <w:p w14:paraId="2F34F0CD" w14:textId="77777777" w:rsidR="00415960"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-0.0147</w:t>
            </w:r>
          </w:p>
          <w:p w14:paraId="77092932" w14:textId="1D06BC78" w:rsidR="00C82EEF"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(0.0123)</w:t>
            </w:r>
          </w:p>
        </w:tc>
        <w:tc>
          <w:tcPr>
            <w:tcW w:w="2481" w:type="dxa"/>
          </w:tcPr>
          <w:p w14:paraId="4779B98D" w14:textId="77777777" w:rsidR="00415960"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-0.0222</w:t>
            </w:r>
          </w:p>
          <w:p w14:paraId="4D0D1B04" w14:textId="23D034B6" w:rsidR="00C82EEF"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(0.0160)</w:t>
            </w:r>
          </w:p>
        </w:tc>
      </w:tr>
      <w:tr w:rsidR="00C82EEF" w14:paraId="49FF2D66"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3EF86C69" w14:textId="77777777" w:rsidR="00C82EEF" w:rsidRDefault="00C82EEF" w:rsidP="002C233F">
            <w:pPr>
              <w:spacing w:before="0" w:after="0"/>
            </w:pPr>
            <w:r>
              <w:t>t=4</w:t>
            </w:r>
          </w:p>
        </w:tc>
        <w:tc>
          <w:tcPr>
            <w:tcW w:w="2480" w:type="dxa"/>
            <w:tcBorders>
              <w:top w:val="none" w:sz="0" w:space="0" w:color="auto"/>
              <w:bottom w:val="none" w:sz="0" w:space="0" w:color="auto"/>
            </w:tcBorders>
          </w:tcPr>
          <w:p w14:paraId="7229E7F1" w14:textId="77777777" w:rsidR="00415960"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-0.0252</w:t>
            </w:r>
          </w:p>
          <w:p w14:paraId="1ED7A998" w14:textId="4CB3EC5B" w:rsidR="00C82EEF"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(0.0128)</w:t>
            </w:r>
          </w:p>
        </w:tc>
        <w:tc>
          <w:tcPr>
            <w:tcW w:w="2481" w:type="dxa"/>
            <w:tcBorders>
              <w:top w:val="none" w:sz="0" w:space="0" w:color="auto"/>
              <w:bottom w:val="none" w:sz="0" w:space="0" w:color="auto"/>
            </w:tcBorders>
          </w:tcPr>
          <w:p w14:paraId="41C9A034" w14:textId="77777777" w:rsidR="00415960"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-0.0226</w:t>
            </w:r>
          </w:p>
          <w:p w14:paraId="41E359F7" w14:textId="6F13C673" w:rsidR="00C82EEF" w:rsidRDefault="00415960" w:rsidP="00415960">
            <w:pPr>
              <w:spacing w:before="0" w:after="0"/>
              <w:jc w:val="center"/>
              <w:cnfStyle w:val="000000100000" w:firstRow="0" w:lastRow="0" w:firstColumn="0" w:lastColumn="0" w:oddVBand="0" w:evenVBand="0" w:oddHBand="1" w:evenHBand="0" w:firstRowFirstColumn="0" w:firstRowLastColumn="0" w:lastRowFirstColumn="0" w:lastRowLastColumn="0"/>
            </w:pPr>
            <w:r>
              <w:t>(0.0166)</w:t>
            </w:r>
          </w:p>
        </w:tc>
      </w:tr>
      <w:tr w:rsidR="00C82EEF" w14:paraId="3017CDD9" w14:textId="77777777" w:rsidTr="002C233F">
        <w:tc>
          <w:tcPr>
            <w:cnfStyle w:val="001000000000" w:firstRow="0" w:lastRow="0" w:firstColumn="1" w:lastColumn="0" w:oddVBand="0" w:evenVBand="0" w:oddHBand="0" w:evenHBand="0" w:firstRowFirstColumn="0" w:firstRowLastColumn="0" w:lastRowFirstColumn="0" w:lastRowLastColumn="0"/>
            <w:tcW w:w="2551" w:type="dxa"/>
          </w:tcPr>
          <w:p w14:paraId="5D7D85A2" w14:textId="77777777" w:rsidR="00C82EEF" w:rsidRDefault="00C82EEF" w:rsidP="002C233F">
            <w:pPr>
              <w:spacing w:before="0" w:after="0"/>
            </w:pPr>
            <w:r>
              <w:t>t=5</w:t>
            </w:r>
          </w:p>
        </w:tc>
        <w:tc>
          <w:tcPr>
            <w:tcW w:w="2480" w:type="dxa"/>
          </w:tcPr>
          <w:p w14:paraId="70DD1F88" w14:textId="77777777" w:rsidR="00415960"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-0.0266*</w:t>
            </w:r>
          </w:p>
          <w:p w14:paraId="4A6FAA76" w14:textId="6E0F8F54" w:rsidR="00C82EEF"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(0.0133)</w:t>
            </w:r>
          </w:p>
        </w:tc>
        <w:tc>
          <w:tcPr>
            <w:tcW w:w="2481" w:type="dxa"/>
          </w:tcPr>
          <w:p w14:paraId="77E14415" w14:textId="77777777" w:rsidR="00415960"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-0.0189</w:t>
            </w:r>
          </w:p>
          <w:p w14:paraId="356CF5A0" w14:textId="17FDD32A" w:rsidR="00C82EEF" w:rsidRDefault="00415960" w:rsidP="00415960">
            <w:pPr>
              <w:spacing w:before="0" w:after="0"/>
              <w:jc w:val="center"/>
              <w:cnfStyle w:val="000000000000" w:firstRow="0" w:lastRow="0" w:firstColumn="0" w:lastColumn="0" w:oddVBand="0" w:evenVBand="0" w:oddHBand="0" w:evenHBand="0" w:firstRowFirstColumn="0" w:firstRowLastColumn="0" w:lastRowFirstColumn="0" w:lastRowLastColumn="0"/>
            </w:pPr>
            <w:r>
              <w:t>(0.0172)</w:t>
            </w:r>
          </w:p>
        </w:tc>
      </w:tr>
      <w:tr w:rsidR="00C82EEF" w14:paraId="36E60792" w14:textId="77777777" w:rsidTr="002C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bottom w:val="none" w:sz="0" w:space="0" w:color="auto"/>
            </w:tcBorders>
          </w:tcPr>
          <w:p w14:paraId="1C40C5B1" w14:textId="77777777" w:rsidR="00C82EEF" w:rsidRDefault="00C82EEF" w:rsidP="002C233F">
            <w:pPr>
              <w:spacing w:before="0" w:after="0"/>
            </w:pPr>
            <w:r>
              <w:t>Sex</w:t>
            </w:r>
          </w:p>
          <w:p w14:paraId="7BECD231" w14:textId="77777777" w:rsidR="00C82EEF" w:rsidRDefault="00C82EEF" w:rsidP="002C233F">
            <w:pPr>
              <w:spacing w:before="0" w:after="0"/>
            </w:pPr>
            <w:r>
              <w:t>Age and year coefficients</w:t>
            </w:r>
          </w:p>
          <w:p w14:paraId="47489929" w14:textId="77777777" w:rsidR="00C82EEF" w:rsidRDefault="00C82EEF" w:rsidP="002C233F">
            <w:pPr>
              <w:spacing w:before="0" w:after="0"/>
            </w:pPr>
            <w:r>
              <w:t>N</w:t>
            </w:r>
          </w:p>
          <w:p w14:paraId="4728A15F" w14:textId="77777777" w:rsidR="00C82EEF" w:rsidRDefault="00C82EEF" w:rsidP="002C233F">
            <w:pPr>
              <w:spacing w:before="0" w:after="0"/>
            </w:pPr>
            <w:proofErr w:type="spellStart"/>
            <w:r>
              <w:t>Rsquared</w:t>
            </w:r>
            <w:proofErr w:type="spellEnd"/>
          </w:p>
          <w:p w14:paraId="7CC38D6E" w14:textId="77777777" w:rsidR="00C82EEF" w:rsidRDefault="00C82EEF" w:rsidP="002C233F">
            <w:pPr>
              <w:spacing w:before="0" w:after="0"/>
            </w:pPr>
            <w:r>
              <w:t xml:space="preserve">Adjusted </w:t>
            </w:r>
            <w:proofErr w:type="spellStart"/>
            <w:r>
              <w:t>Rsquared</w:t>
            </w:r>
            <w:proofErr w:type="spellEnd"/>
          </w:p>
        </w:tc>
        <w:tc>
          <w:tcPr>
            <w:tcW w:w="2480" w:type="dxa"/>
            <w:tcBorders>
              <w:top w:val="none" w:sz="0" w:space="0" w:color="auto"/>
              <w:bottom w:val="none" w:sz="0" w:space="0" w:color="auto"/>
            </w:tcBorders>
          </w:tcPr>
          <w:p w14:paraId="1899347C"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Male</w:t>
            </w:r>
          </w:p>
          <w:p w14:paraId="487F3EA8"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5493830E"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5166</w:t>
            </w:r>
          </w:p>
          <w:p w14:paraId="3A1789A0"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0.0731</w:t>
            </w:r>
          </w:p>
          <w:p w14:paraId="19D18BD0" w14:textId="34079B4A" w:rsidR="00C82EEF"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0.0580</w:t>
            </w:r>
          </w:p>
        </w:tc>
        <w:tc>
          <w:tcPr>
            <w:tcW w:w="2481" w:type="dxa"/>
            <w:tcBorders>
              <w:top w:val="none" w:sz="0" w:space="0" w:color="auto"/>
              <w:bottom w:val="none" w:sz="0" w:space="0" w:color="auto"/>
            </w:tcBorders>
          </w:tcPr>
          <w:p w14:paraId="58A2BE98"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Female</w:t>
            </w:r>
          </w:p>
          <w:p w14:paraId="7676B8BD"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[omitted]</w:t>
            </w:r>
          </w:p>
          <w:p w14:paraId="439A1D9A"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4422</w:t>
            </w:r>
          </w:p>
          <w:p w14:paraId="0A6E6900" w14:textId="77777777" w:rsidR="004004D5"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0.0254</w:t>
            </w:r>
          </w:p>
          <w:p w14:paraId="4BBD43FC" w14:textId="48BEE67D" w:rsidR="00C82EEF" w:rsidRDefault="004004D5" w:rsidP="004004D5">
            <w:pPr>
              <w:spacing w:before="0" w:after="0"/>
              <w:jc w:val="center"/>
              <w:cnfStyle w:val="000000100000" w:firstRow="0" w:lastRow="0" w:firstColumn="0" w:lastColumn="0" w:oddVBand="0" w:evenVBand="0" w:oddHBand="1" w:evenHBand="0" w:firstRowFirstColumn="0" w:firstRowLastColumn="0" w:lastRowFirstColumn="0" w:lastRowLastColumn="0"/>
            </w:pPr>
            <w:r>
              <w:t>0.0104</w:t>
            </w:r>
          </w:p>
        </w:tc>
      </w:tr>
    </w:tbl>
    <w:p w14:paraId="1ECE0503" w14:textId="4A6CF1B0" w:rsidR="00F26FFC" w:rsidRPr="00C450D4" w:rsidRDefault="00F26FFC" w:rsidP="00C450D4">
      <w:pPr>
        <w:pStyle w:val="ChartorTableNote"/>
      </w:pPr>
      <w:r w:rsidRPr="00C450D4">
        <w:t xml:space="preserve">Notes: </w:t>
      </w:r>
      <w:r w:rsidR="003E4186">
        <w:t>Table </w:t>
      </w:r>
      <w:r w:rsidRPr="00C450D4">
        <w:t xml:space="preserve">uses an event study model of the same form as Equation (1) but with average occupational flexibility score as the dependant variable. Dependant variable takes a value between </w:t>
      </w:r>
      <w:r w:rsidR="009D2C61">
        <w:t>zero</w:t>
      </w:r>
      <w:r w:rsidRPr="00C450D4">
        <w:t xml:space="preserve"> and </w:t>
      </w:r>
      <w:r w:rsidR="009D2C61">
        <w:t>one</w:t>
      </w:r>
      <w:r w:rsidRPr="00C450D4">
        <w:t xml:space="preserve">, where higher values indicate greater availability of workplace flexible entitlements in the respondent’s occupation. Constant, and coefficients on age and year dummies are omitted. Robust standard errors in parentheses. *p&lt;0.05, **p&lt;0.01, ***p&lt;0.001. </w:t>
      </w:r>
    </w:p>
    <w:p w14:paraId="0B9F5566" w14:textId="60A30A12" w:rsidR="00C40D84" w:rsidRPr="00C450D4" w:rsidRDefault="00F26FFC" w:rsidP="00C450D4">
      <w:pPr>
        <w:pStyle w:val="ChartorTableNote"/>
      </w:pPr>
      <w:r w:rsidRPr="00C450D4">
        <w:t>Source: Treasury analysis of HILDA Release 19.0.</w:t>
      </w:r>
    </w:p>
    <w:p w14:paraId="251F46FD" w14:textId="19881E4B" w:rsidR="00F26FFC" w:rsidRPr="00F26FFC" w:rsidRDefault="00F26FFC" w:rsidP="00C450D4">
      <w:pPr>
        <w:pStyle w:val="Heading3"/>
      </w:pPr>
      <w:r w:rsidRPr="00F26FFC">
        <w:t>Additional cross</w:t>
      </w:r>
      <w:r w:rsidR="003E4186">
        <w:noBreakHyphen/>
      </w:r>
      <w:r w:rsidRPr="00F26FFC">
        <w:t xml:space="preserve">country evidence </w:t>
      </w:r>
    </w:p>
    <w:p w14:paraId="7A9BDD3A" w14:textId="34D2C909" w:rsidR="00C40D84" w:rsidRDefault="003E4186" w:rsidP="00C450D4">
      <w:pPr>
        <w:pStyle w:val="ChartMainHeading"/>
      </w:pPr>
      <w:r>
        <w:t>Chart </w:t>
      </w:r>
      <w:r w:rsidR="00F26FFC" w:rsidRPr="00C360D1">
        <w:t>A10: Gender norms and income gaps across countries</w:t>
      </w:r>
    </w:p>
    <w:p w14:paraId="645788F5" w14:textId="6F440675" w:rsidR="00F348BA" w:rsidRPr="00C360D1" w:rsidRDefault="00F348BA" w:rsidP="00C450D4">
      <w:pPr>
        <w:pStyle w:val="ChartGraphic"/>
      </w:pPr>
      <w:r>
        <w:rPr>
          <w:noProof/>
        </w:rPr>
        <w:drawing>
          <wp:inline distT="0" distB="0" distL="0" distR="0" wp14:anchorId="359453A2" wp14:editId="1714F8F3">
            <wp:extent cx="4680000" cy="3404247"/>
            <wp:effectExtent l="0" t="0" r="6350" b="5715"/>
            <wp:docPr id="24" name="Picture 24" descr="This chart plots long run child penalties against the percent of respondents who agree that women's job is at home for Denmark, Sweden, USA, UK, Australia, Austria and Germany. It also plots a linear line through these observations which is increasing, showing a positive association between these two variables. Australia falls around the middle of this line, similar to the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chart plots long run child penalties against the percent of respondents who agree that women's job is at home for Denmark, Sweden, USA, UK, Australia, Austria and Germany. It also plots a linear line through these observations which is increasing, showing a positive association between these two variables. Australia falls around the middle of this line, similar to the UK.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5907D9DA" w14:textId="0B82F75B" w:rsidR="00F26FFC" w:rsidRPr="00C450D4" w:rsidRDefault="00F26FFC" w:rsidP="00C450D4">
      <w:pPr>
        <w:pStyle w:val="ChartorTableNote"/>
      </w:pPr>
      <w:r w:rsidRPr="00C450D4">
        <w:t xml:space="preserve">Notes: </w:t>
      </w:r>
      <w:r w:rsidR="003E4186">
        <w:t>Chart </w:t>
      </w:r>
      <w:r w:rsidRPr="00C450D4">
        <w:t xml:space="preserve">plots share of respondents who agree or strongly agree that “men's job is to earn money, women's job is to look after the home” against each country’s long run </w:t>
      </w:r>
      <w:r w:rsidR="002E1221" w:rsidRPr="00C450D4">
        <w:t>(</w:t>
      </w:r>
      <w:proofErr w:type="gramStart"/>
      <w:r w:rsidR="002E1221" w:rsidRPr="00C450D4">
        <w:t>i.e.</w:t>
      </w:r>
      <w:proofErr w:type="gramEnd"/>
      <w:r w:rsidR="002E1221" w:rsidRPr="00C450D4">
        <w:t xml:space="preserve"> average of years 5 to 10) </w:t>
      </w:r>
      <w:r w:rsidRPr="00C450D4">
        <w:t>child penalty, fitting a linear line through these observations.</w:t>
      </w:r>
      <w:r w:rsidR="00FF7AC3">
        <w:t xml:space="preserve"> </w:t>
      </w:r>
    </w:p>
    <w:p w14:paraId="6CFB13A9" w14:textId="5550B9D8" w:rsidR="00F26FFC" w:rsidRPr="00C450D4" w:rsidRDefault="00F26FFC" w:rsidP="00C450D4">
      <w:pPr>
        <w:pStyle w:val="ChartorTableNote"/>
      </w:pPr>
      <w:r w:rsidRPr="00C450D4">
        <w:t xml:space="preserve">Source: </w:t>
      </w:r>
      <w:proofErr w:type="spellStart"/>
      <w:r w:rsidRPr="00C450D4">
        <w:t>Kleven</w:t>
      </w:r>
      <w:proofErr w:type="spellEnd"/>
      <w:r w:rsidR="003E4186">
        <w:t> et al. </w:t>
      </w:r>
      <w:r w:rsidRPr="00C450D4">
        <w:t xml:space="preserve">(2019b), Treasury analysis of International Social Survey Programme 2012 and long run child penalty for Australia from </w:t>
      </w:r>
      <w:r w:rsidR="003E4186">
        <w:t>Chart </w:t>
      </w:r>
      <w:r w:rsidRPr="00C450D4">
        <w:t>A1.</w:t>
      </w:r>
    </w:p>
    <w:p w14:paraId="7631DEB9" w14:textId="1624CD8C" w:rsidR="00F26FFC" w:rsidRPr="00F26FFC" w:rsidRDefault="00F26FFC" w:rsidP="00C450D4">
      <w:pPr>
        <w:pStyle w:val="Heading3"/>
      </w:pPr>
      <w:r w:rsidRPr="00F26FFC">
        <w:t xml:space="preserve">High income women </w:t>
      </w:r>
    </w:p>
    <w:p w14:paraId="2499C211" w14:textId="4BB56DEA" w:rsidR="00F26FFC" w:rsidRDefault="003E4186" w:rsidP="00C450D4">
      <w:pPr>
        <w:pStyle w:val="ChartMainHeading"/>
      </w:pPr>
      <w:r>
        <w:t>Chart </w:t>
      </w:r>
      <w:r w:rsidR="00F26FFC" w:rsidRPr="00C360D1">
        <w:t>A11: Motherhood penalty for high income earners</w:t>
      </w:r>
    </w:p>
    <w:p w14:paraId="5160E053" w14:textId="1697D169" w:rsidR="00F348BA" w:rsidRPr="00C360D1" w:rsidRDefault="00F348BA" w:rsidP="00C450D4">
      <w:pPr>
        <w:pStyle w:val="ChartGraphic"/>
      </w:pPr>
      <w:r>
        <w:rPr>
          <w:noProof/>
        </w:rPr>
        <w:drawing>
          <wp:inline distT="0" distB="0" distL="0" distR="0" wp14:anchorId="4AA2559C" wp14:editId="1B13E25D">
            <wp:extent cx="4680000" cy="3404247"/>
            <wp:effectExtent l="0" t="0" r="6350" b="5715"/>
            <wp:docPr id="25" name="Picture 25" descr="This is an event study chart which plots the estimated impact of children on earnings for women, by whether they are high income or not. It shows a similar penalty for both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n event study chart which plots the estimated impact of children on earnings for women, by whether they are high income or not. It shows a similar penalty for both group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0" cy="3404247"/>
                    </a:xfrm>
                    <a:prstGeom prst="rect">
                      <a:avLst/>
                    </a:prstGeom>
                    <a:noFill/>
                    <a:ln>
                      <a:noFill/>
                    </a:ln>
                  </pic:spPr>
                </pic:pic>
              </a:graphicData>
            </a:graphic>
          </wp:inline>
        </w:drawing>
      </w:r>
    </w:p>
    <w:p w14:paraId="058028AA" w14:textId="28AD0C5E" w:rsidR="00F26FFC" w:rsidRPr="00C450D4" w:rsidRDefault="00F26FFC" w:rsidP="00C450D4">
      <w:pPr>
        <w:pStyle w:val="ChartorTableNote"/>
      </w:pPr>
      <w:r w:rsidRPr="00C450D4">
        <w:t xml:space="preserve">Notes: Income status defined in t=-1. High income defined as top 25th percentile. ‘Other women’ includes women who earn zero income. Shaded area shows 95% confidence intervals, based on robust standard errors. </w:t>
      </w:r>
      <w:r w:rsidR="002E1221" w:rsidRPr="00C450D4">
        <w:t>V</w:t>
      </w:r>
      <w:r w:rsidRPr="00C450D4">
        <w:t>ertical line signifies year before first child arrives.</w:t>
      </w:r>
      <w:r w:rsidR="002E1221" w:rsidRPr="00C450D4">
        <w:t xml:space="preserve"> </w:t>
      </w:r>
    </w:p>
    <w:p w14:paraId="1DF9C013" w14:textId="7F1B26B0" w:rsidR="00C40D84" w:rsidRPr="008627B1" w:rsidRDefault="00F26FFC" w:rsidP="00C450D4">
      <w:pPr>
        <w:pStyle w:val="ChartorTableNote"/>
      </w:pPr>
      <w:r w:rsidRPr="00C450D4">
        <w:t>Source: Treasury analysis of HILDA Release 19.0.</w:t>
      </w:r>
    </w:p>
    <w:sectPr w:rsidR="00C40D84" w:rsidRPr="008627B1" w:rsidSect="00B7535E">
      <w:pgSz w:w="11906" w:h="16838" w:code="9"/>
      <w:pgMar w:top="1843" w:right="1418" w:bottom="1418"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8803" w14:textId="77777777" w:rsidR="000232AF" w:rsidRDefault="000232AF" w:rsidP="005F100C">
      <w:pPr>
        <w:spacing w:after="0"/>
      </w:pPr>
      <w:r>
        <w:separator/>
      </w:r>
    </w:p>
  </w:endnote>
  <w:endnote w:type="continuationSeparator" w:id="0">
    <w:p w14:paraId="5B26087B" w14:textId="77777777" w:rsidR="000232AF" w:rsidRDefault="000232AF" w:rsidP="005F100C">
      <w:pPr>
        <w:spacing w:after="0"/>
      </w:pPr>
      <w:r>
        <w:continuationSeparator/>
      </w:r>
    </w:p>
  </w:endnote>
  <w:endnote w:type="continuationNotice" w:id="1">
    <w:p w14:paraId="39D7F4FC" w14:textId="77777777" w:rsidR="000232AF" w:rsidRDefault="000232A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0677" w14:textId="77777777" w:rsidR="00F012EA" w:rsidRDefault="00365C6D"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2</w:t>
    </w:r>
    <w:r w:rsidRPr="00365C6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EC5E" w14:textId="7A88A741" w:rsidR="00365C6D" w:rsidRPr="00BE084B" w:rsidRDefault="00B7535E" w:rsidP="00BE084B">
    <w:pPr>
      <w:pStyle w:val="FooterOdd"/>
    </w:pPr>
    <w:r>
      <w:rPr>
        <w:noProof/>
      </w:rPr>
      <w:drawing>
        <wp:anchor distT="0" distB="0" distL="114300" distR="114300" simplePos="0" relativeHeight="251658251" behindDoc="1" locked="0" layoutInCell="1" allowOverlap="0" wp14:anchorId="0337D809" wp14:editId="03B08F24">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365AC6">
      <w:fldChar w:fldCharType="begin"/>
    </w:r>
    <w:r w:rsidR="00365AC6">
      <w:instrText>STYLEREF  Title  \* MERGEFORMAT</w:instrText>
    </w:r>
    <w:r w:rsidR="00365AC6">
      <w:fldChar w:fldCharType="separate"/>
    </w:r>
    <w:r w:rsidR="00365AC6">
      <w:rPr>
        <w:noProof/>
      </w:rPr>
      <w:t>Children and the Gender Earnings Gap: Evidence for Australia</w:t>
    </w:r>
    <w:r w:rsidR="00365AC6">
      <w:rPr>
        <w:noProof/>
      </w:rPr>
      <w:fldChar w:fldCharType="end"/>
    </w:r>
    <w:r w:rsidRPr="00BE084B">
      <w:t xml:space="preserve"> | </w:t>
    </w:r>
    <w:r w:rsidRPr="00BE084B">
      <w:fldChar w:fldCharType="begin"/>
    </w:r>
    <w:r w:rsidRPr="00BE084B">
      <w:instrText xml:space="preserve"> PAGE   \* MERGEFORMAT </w:instrText>
    </w:r>
    <w:r w:rsidRPr="00BE084B">
      <w:fldChar w:fldCharType="separate"/>
    </w:r>
    <w:r w:rsidRPr="00BE084B">
      <w:t>3</w:t>
    </w:r>
    <w:r w:rsidRPr="00BE084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A192" w14:textId="569F6347" w:rsidR="00F012EA" w:rsidRPr="00B7535E" w:rsidRDefault="00B7535E" w:rsidP="00B7535E">
    <w:pPr>
      <w:pStyle w:val="FooterEven"/>
      <w:jc w:val="right"/>
      <w:rPr>
        <w:rStyle w:val="PageNumber"/>
        <w:rFonts w:ascii="Calibri Light" w:hAnsi="Calibri Light"/>
        <w:color w:val="2C384A" w:themeColor="accent1"/>
        <w:sz w:val="20"/>
      </w:rPr>
    </w:pPr>
    <w:r>
      <w:drawing>
        <wp:anchor distT="0" distB="0" distL="114300" distR="114300" simplePos="0" relativeHeight="251658250" behindDoc="1" locked="0" layoutInCell="1" allowOverlap="0" wp14:anchorId="06DAF217" wp14:editId="5F87626F">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365AC6">
      <w:fldChar w:fldCharType="begin"/>
    </w:r>
    <w:r w:rsidR="00365AC6">
      <w:instrText>STYLEREF  Title  \* MERGEFORMAT</w:instrText>
    </w:r>
    <w:r w:rsidR="00365AC6">
      <w:fldChar w:fldCharType="separate"/>
    </w:r>
    <w:r w:rsidR="00365AC6">
      <w:t>Children and the Gender Earnings Gap: Evidence for Australia</w:t>
    </w:r>
    <w:r w:rsidR="00365AC6">
      <w:fldChar w:fldCharType="end"/>
    </w:r>
    <w:r>
      <w:t xml:space="preserve"> | </w:t>
    </w:r>
    <w:r>
      <w:rPr>
        <w:noProof w:val="0"/>
      </w:rPr>
      <w:fldChar w:fldCharType="begin"/>
    </w:r>
    <w:r>
      <w:instrText xml:space="preserve"> PAGE   \* MERGEFORMAT </w:instrText>
    </w:r>
    <w:r>
      <w:rPr>
        <w:noProof w:val="0"/>
      </w:rP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8D26B" w14:textId="77777777" w:rsidR="000232AF" w:rsidRDefault="000232AF" w:rsidP="005F100C">
      <w:pPr>
        <w:spacing w:after="0"/>
      </w:pPr>
      <w:r>
        <w:separator/>
      </w:r>
    </w:p>
  </w:footnote>
  <w:footnote w:type="continuationSeparator" w:id="0">
    <w:p w14:paraId="60E7F5AC" w14:textId="77777777" w:rsidR="000232AF" w:rsidRDefault="000232AF" w:rsidP="005F100C">
      <w:pPr>
        <w:spacing w:after="0"/>
      </w:pPr>
      <w:r>
        <w:continuationSeparator/>
      </w:r>
    </w:p>
  </w:footnote>
  <w:footnote w:type="continuationNotice" w:id="1">
    <w:p w14:paraId="55A53607" w14:textId="77777777" w:rsidR="000232AF" w:rsidRDefault="000232AF">
      <w:pPr>
        <w:spacing w:before="0" w:after="0"/>
      </w:pPr>
    </w:p>
  </w:footnote>
  <w:footnote w:id="2">
    <w:p w14:paraId="67A78C3E" w14:textId="229F33B1" w:rsidR="00F012EA" w:rsidRPr="00614F35" w:rsidRDefault="00AF7655" w:rsidP="00F012EA">
      <w:pPr>
        <w:pStyle w:val="FootnoteText"/>
      </w:pPr>
      <w:r w:rsidRPr="00AF7655">
        <w:rPr>
          <w:rStyle w:val="FootnoteReference"/>
          <w:vertAlign w:val="baseline"/>
        </w:rPr>
        <w:footnoteRef/>
      </w:r>
      <w:r w:rsidR="00F012EA" w:rsidRPr="000464B6">
        <w:t xml:space="preserve"> </w:t>
      </w:r>
      <w:r w:rsidR="00F012EA">
        <w:tab/>
      </w:r>
      <w:r w:rsidR="00CB3AFD">
        <w:t>Macroeconomic Analysis and Policy Division, Macroeconomic Group</w:t>
      </w:r>
      <w:r w:rsidR="00F012EA">
        <w:t xml:space="preserve">, The Treasury, Langton Crescent, Parkes ACT 2600, </w:t>
      </w:r>
      <w:r w:rsidR="00F012EA" w:rsidRPr="006B4A87">
        <w:t xml:space="preserve">Australia. Correspondence: </w:t>
      </w:r>
      <w:r w:rsidR="00CB3AFD">
        <w:t>nathan.deutscher@treasury.gov.au.</w:t>
      </w:r>
      <w:r w:rsidR="00F012EA">
        <w:t xml:space="preserve"> </w:t>
      </w:r>
      <w:r w:rsidR="00F012EA" w:rsidRPr="00614F35">
        <w:t>We thank</w:t>
      </w:r>
      <w:r w:rsidR="00F012EA">
        <w:t xml:space="preserve"> </w:t>
      </w:r>
      <w:r w:rsidR="00CB3AFD" w:rsidRPr="00CB3AFD">
        <w:t>Rebecca</w:t>
      </w:r>
      <w:r w:rsidR="00544124">
        <w:t> </w:t>
      </w:r>
      <w:r w:rsidR="00CB3AFD" w:rsidRPr="00CB3AFD">
        <w:t xml:space="preserve">Cassells, Mark Cully, Pauline Grosjean, Kristen </w:t>
      </w:r>
      <w:proofErr w:type="spellStart"/>
      <w:r w:rsidR="00CB3AFD" w:rsidRPr="00CB3AFD">
        <w:t>Sobeck</w:t>
      </w:r>
      <w:proofErr w:type="spellEnd"/>
      <w:r w:rsidR="00CB3AFD" w:rsidRPr="00CB3AFD">
        <w:t>, colleagues in the Social Policy Division, and seminar participants at the Treasury, the Australian Conference of Economists 2022, and the e61 Institute for helpful feedback and suggestions</w:t>
      </w:r>
      <w:r w:rsidR="00F012EA" w:rsidRPr="00614F35">
        <w:t>.</w:t>
      </w:r>
    </w:p>
  </w:footnote>
  <w:footnote w:id="3">
    <w:p w14:paraId="1C046CAA" w14:textId="4F00331F" w:rsidR="00CB3AFD" w:rsidRDefault="00AF7655" w:rsidP="00CB3AFD">
      <w:pPr>
        <w:pStyle w:val="FootnoteText"/>
      </w:pPr>
      <w:r w:rsidRPr="00AF7655">
        <w:rPr>
          <w:rStyle w:val="FootnoteReference"/>
          <w:vertAlign w:val="baseline"/>
        </w:rPr>
        <w:footnoteRef/>
      </w:r>
      <w:r w:rsidR="00F012EA" w:rsidRPr="000464B6">
        <w:t xml:space="preserve"> </w:t>
      </w:r>
      <w:r w:rsidR="00F012EA">
        <w:tab/>
        <w:t>The views expressed in this paper are those of the authors and do not necessarily reflect those of The Australian Treasury or the Australian Government.</w:t>
      </w:r>
      <w:r w:rsidR="00CB3AFD" w:rsidRPr="00CB3AFD">
        <w:t xml:space="preserve"> </w:t>
      </w:r>
    </w:p>
    <w:p w14:paraId="57A0AD2E" w14:textId="23B96FD8" w:rsidR="00CB3AFD" w:rsidRDefault="00CB3AFD" w:rsidP="00CB3AFD">
      <w:pPr>
        <w:pStyle w:val="FootnoteText"/>
        <w:ind w:firstLine="0"/>
      </w:pPr>
      <w:r>
        <w:t xml:space="preserve">This paper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authors and should not be attributed to either DSS or the Melbourne Institute. </w:t>
      </w:r>
    </w:p>
    <w:p w14:paraId="46BCA68F" w14:textId="465EFADC" w:rsidR="000464B6" w:rsidRDefault="00CB3AFD" w:rsidP="00F012EA">
      <w:pPr>
        <w:pStyle w:val="FootnoteText"/>
      </w:pPr>
      <w:r>
        <w:tab/>
        <w:t>The paper uses data from the Australian Taxation Office (ATO) Longitudinal Information Files (</w:t>
      </w:r>
      <w:proofErr w:type="spellStart"/>
      <w:r>
        <w:t>ALife</w:t>
      </w:r>
      <w:proofErr w:type="spellEnd"/>
      <w:r>
        <w:t>), specifically the 2019 release of the individuals’ file.</w:t>
      </w:r>
      <w:r w:rsidR="00FF7AC3">
        <w:t xml:space="preserve"> </w:t>
      </w:r>
      <w:r>
        <w:t>The findings and views reported are those of the authors and should not be attributed to the ATO or the Australian Government.</w:t>
      </w:r>
      <w:r w:rsidR="00FF7AC3">
        <w:t xml:space="preserve"> </w:t>
      </w:r>
    </w:p>
  </w:footnote>
  <w:footnote w:id="4">
    <w:p w14:paraId="02E292DF" w14:textId="45812769" w:rsidR="009139F2" w:rsidRDefault="00AF7655">
      <w:pPr>
        <w:pStyle w:val="FootnoteText"/>
      </w:pPr>
      <w:r w:rsidRPr="00AF7655">
        <w:rPr>
          <w:rStyle w:val="FootnoteReference"/>
          <w:vertAlign w:val="baseline"/>
        </w:rPr>
        <w:footnoteRef/>
      </w:r>
      <w:r w:rsidR="009139F2">
        <w:t xml:space="preserve"> </w:t>
      </w:r>
      <w:r>
        <w:tab/>
      </w:r>
      <w:r w:rsidR="009139F2" w:rsidRPr="009139F2">
        <w:t>Survey respondents are asked in a self-completion questionnaire to state how much they agree with each statement, on a scale of one to seven. We define ‘agree’ as selecting a number greater than 4.</w:t>
      </w:r>
    </w:p>
  </w:footnote>
  <w:footnote w:id="5">
    <w:p w14:paraId="79355DFD" w14:textId="7B55F845" w:rsidR="009139F2" w:rsidRDefault="00AF7655">
      <w:pPr>
        <w:pStyle w:val="FootnoteText"/>
      </w:pPr>
      <w:r w:rsidRPr="00AF7655">
        <w:rPr>
          <w:rStyle w:val="FootnoteReference"/>
          <w:vertAlign w:val="baseline"/>
        </w:rPr>
        <w:footnoteRef/>
      </w:r>
      <w:r w:rsidR="009139F2">
        <w:t xml:space="preserve"> </w:t>
      </w:r>
      <w:r>
        <w:tab/>
      </w:r>
      <w:r w:rsidR="009139F2" w:rsidRPr="009139F2">
        <w:t>The 2020 release of HILDA is now available but will reflect the substantial economic impacts of the COVID</w:t>
      </w:r>
      <w:r w:rsidR="008D21CC">
        <w:noBreakHyphen/>
      </w:r>
      <w:r w:rsidR="009139F2" w:rsidRPr="009139F2">
        <w:t>19 pandemic and associated policy responses.</w:t>
      </w:r>
    </w:p>
  </w:footnote>
  <w:footnote w:id="6">
    <w:p w14:paraId="221186AF" w14:textId="3DAB8DE6" w:rsidR="009139F2" w:rsidRDefault="00AF7655">
      <w:pPr>
        <w:pStyle w:val="FootnoteText"/>
      </w:pPr>
      <w:r w:rsidRPr="00AF7655">
        <w:rPr>
          <w:rStyle w:val="FootnoteReference"/>
          <w:vertAlign w:val="baseline"/>
        </w:rPr>
        <w:footnoteRef/>
      </w:r>
      <w:r w:rsidR="009139F2">
        <w:t xml:space="preserve"> </w:t>
      </w:r>
      <w:r>
        <w:tab/>
      </w:r>
      <w:r w:rsidR="009139F2" w:rsidRPr="009139F2">
        <w:t>The individual is the primary unit of taxation in Australia (though there are few return items subject to couple income tests). Income years run from 1 July through to 30 June</w:t>
      </w:r>
      <w:r w:rsidR="002F696B">
        <w:t>; w</w:t>
      </w:r>
      <w:r w:rsidR="009139F2" w:rsidRPr="009139F2">
        <w:t>e refer to income years with reference to the year in which they end.</w:t>
      </w:r>
    </w:p>
  </w:footnote>
  <w:footnote w:id="7">
    <w:p w14:paraId="4CCC6C77" w14:textId="0F965696" w:rsidR="00CC0BB8" w:rsidRDefault="00AF7655">
      <w:pPr>
        <w:pStyle w:val="FootnoteText"/>
      </w:pPr>
      <w:r w:rsidRPr="00AF7655">
        <w:rPr>
          <w:rStyle w:val="FootnoteReference"/>
          <w:vertAlign w:val="baseline"/>
        </w:rPr>
        <w:footnoteRef/>
      </w:r>
      <w:r w:rsidR="00CC0BB8">
        <w:t xml:space="preserve"> </w:t>
      </w:r>
      <w:r w:rsidR="00985FCB">
        <w:tab/>
      </w:r>
      <w:r w:rsidR="00CC0BB8" w:rsidRPr="00CC0BB8">
        <w:t>Our sample in both datasets will include natural births and adoptions.</w:t>
      </w:r>
    </w:p>
  </w:footnote>
  <w:footnote w:id="8">
    <w:p w14:paraId="6D23CA85" w14:textId="52BB1DF0" w:rsidR="00CC0BB8" w:rsidRDefault="00AF7655">
      <w:pPr>
        <w:pStyle w:val="FootnoteText"/>
      </w:pPr>
      <w:r w:rsidRPr="00AF7655">
        <w:rPr>
          <w:rStyle w:val="FootnoteReference"/>
          <w:vertAlign w:val="baseline"/>
        </w:rPr>
        <w:footnoteRef/>
      </w:r>
      <w:r w:rsidR="00CC0BB8">
        <w:t xml:space="preserve"> </w:t>
      </w:r>
      <w:r w:rsidR="00A61CFD">
        <w:tab/>
      </w:r>
      <w:r w:rsidR="00CC0BB8" w:rsidRPr="003E4186">
        <w:t>Particularly that the timing of birth needs to be as good as randomly assigned, conditional on age and yearly</w:t>
      </w:r>
      <w:r w:rsidR="008D21CC">
        <w:t> </w:t>
      </w:r>
      <w:r w:rsidR="00CC0BB8" w:rsidRPr="003E4186">
        <w:t>shocks.</w:t>
      </w:r>
    </w:p>
  </w:footnote>
  <w:footnote w:id="9">
    <w:p w14:paraId="30D5D771" w14:textId="29AC896A" w:rsidR="00CC0BB8" w:rsidRDefault="00AF7655">
      <w:pPr>
        <w:pStyle w:val="FootnoteText"/>
      </w:pPr>
      <w:r w:rsidRPr="00AF7655">
        <w:rPr>
          <w:rStyle w:val="FootnoteReference"/>
          <w:vertAlign w:val="baseline"/>
        </w:rPr>
        <w:footnoteRef/>
      </w:r>
      <w:r w:rsidR="00CC0BB8">
        <w:t xml:space="preserve"> </w:t>
      </w:r>
      <w:r w:rsidR="00A61CFD">
        <w:tab/>
      </w:r>
      <w:proofErr w:type="spellStart"/>
      <w:r w:rsidR="00CC0BB8" w:rsidRPr="00CC0BB8">
        <w:t>Kleven</w:t>
      </w:r>
      <w:proofErr w:type="spellEnd"/>
      <w:r w:rsidR="003E4186">
        <w:t> et al. </w:t>
      </w:r>
      <w:r w:rsidR="00CC0BB8" w:rsidRPr="00CC0BB8">
        <w:t>(2019a) show several robustness tests estimating their results using difference-in-differences and IV estimators, which produce results that are almost perfectly aligned with the event study approach.</w:t>
      </w:r>
    </w:p>
  </w:footnote>
  <w:footnote w:id="10">
    <w:p w14:paraId="7D535EA6" w14:textId="6AD7F133" w:rsidR="00180A93" w:rsidRDefault="00AF7655">
      <w:pPr>
        <w:pStyle w:val="FootnoteText"/>
      </w:pPr>
      <w:r w:rsidRPr="00AF7655">
        <w:rPr>
          <w:rStyle w:val="FootnoteReference"/>
          <w:vertAlign w:val="baseline"/>
        </w:rPr>
        <w:footnoteRef/>
      </w:r>
      <w:r w:rsidR="00180A93">
        <w:t xml:space="preserve"> </w:t>
      </w:r>
      <w:r w:rsidR="001C55C5">
        <w:tab/>
      </w:r>
      <w:r w:rsidR="00180A93" w:rsidRPr="00180A93">
        <w:t xml:space="preserve">In </w:t>
      </w:r>
      <w:r w:rsidR="003E4186">
        <w:t>Appendix Chart </w:t>
      </w:r>
      <w:r w:rsidR="00180A93" w:rsidRPr="00180A93">
        <w:t xml:space="preserve">A1 we show our estimated long run penalty using administrative data, and in </w:t>
      </w:r>
      <w:r w:rsidR="003E4186">
        <w:t>Chart </w:t>
      </w:r>
      <w:r w:rsidR="00180A93" w:rsidRPr="00180A93">
        <w:t>A2 we show our main result using HILDA in levels.</w:t>
      </w:r>
    </w:p>
  </w:footnote>
  <w:footnote w:id="11">
    <w:p w14:paraId="3BE9DB21" w14:textId="31F98D25" w:rsidR="0007320C" w:rsidRDefault="00AF7655" w:rsidP="0007320C">
      <w:pPr>
        <w:pStyle w:val="FootnoteText"/>
      </w:pPr>
      <w:r w:rsidRPr="00AF7655">
        <w:rPr>
          <w:rStyle w:val="FootnoteReference"/>
          <w:vertAlign w:val="baseline"/>
        </w:rPr>
        <w:footnoteRef/>
      </w:r>
      <w:r w:rsidR="0007320C">
        <w:t xml:space="preserve"> </w:t>
      </w:r>
      <w:r w:rsidR="004B6DFA">
        <w:tab/>
      </w:r>
      <w:r w:rsidR="0007320C" w:rsidRPr="00180A93">
        <w:t xml:space="preserve">The estimated motherhood penalties estimated here do not control for the other </w:t>
      </w:r>
      <w:r w:rsidR="001B4C0C">
        <w:t>two</w:t>
      </w:r>
      <w:r w:rsidR="0007320C" w:rsidRPr="00180A93">
        <w:t xml:space="preserve"> margins. This explains why the penalties do not sum to the overall penalty.</w:t>
      </w:r>
    </w:p>
  </w:footnote>
  <w:footnote w:id="12">
    <w:p w14:paraId="5BB35AA6" w14:textId="1FCA7815" w:rsidR="0088493F" w:rsidRDefault="00AF7655" w:rsidP="0088493F">
      <w:pPr>
        <w:pStyle w:val="FootnoteText"/>
      </w:pPr>
      <w:r w:rsidRPr="00AF7655">
        <w:rPr>
          <w:rStyle w:val="FootnoteReference"/>
          <w:vertAlign w:val="baseline"/>
        </w:rPr>
        <w:footnoteRef/>
      </w:r>
      <w:r w:rsidR="0088493F">
        <w:t xml:space="preserve"> </w:t>
      </w:r>
      <w:r w:rsidR="004B6DFA">
        <w:tab/>
      </w:r>
      <w:r w:rsidR="0088493F" w:rsidRPr="00F158D4">
        <w:t xml:space="preserve">In </w:t>
      </w:r>
      <w:r w:rsidR="003E4186">
        <w:t>Appendix Table </w:t>
      </w:r>
      <w:r w:rsidR="0088493F" w:rsidRPr="00F158D4">
        <w:t>A</w:t>
      </w:r>
      <w:r w:rsidR="00816B48">
        <w:t>2</w:t>
      </w:r>
      <w:r w:rsidR="0088493F" w:rsidRPr="00F158D4">
        <w:t xml:space="preserve"> we provide summary statistics on men and women’s labour force status in HILDA to support </w:t>
      </w:r>
      <w:r w:rsidR="003E4186">
        <w:t>Chart </w:t>
      </w:r>
      <w:r w:rsidR="0088493F" w:rsidRPr="00F158D4">
        <w:t xml:space="preserve">2. The share of women working full-time decreases after </w:t>
      </w:r>
      <w:r w:rsidR="001C740D">
        <w:t>parenthood</w:t>
      </w:r>
      <w:r w:rsidR="0088493F" w:rsidRPr="00F158D4">
        <w:t>, and the share working part-time or leaving the labour force increases, while men’s labour force status remains largely unchanged.</w:t>
      </w:r>
    </w:p>
  </w:footnote>
  <w:footnote w:id="13">
    <w:p w14:paraId="12650958" w14:textId="5DEC09A1" w:rsidR="007E1994" w:rsidRDefault="00AF7655">
      <w:pPr>
        <w:pStyle w:val="FootnoteText"/>
      </w:pPr>
      <w:r w:rsidRPr="00AF7655">
        <w:rPr>
          <w:rStyle w:val="FootnoteReference"/>
          <w:vertAlign w:val="baseline"/>
        </w:rPr>
        <w:footnoteRef/>
      </w:r>
      <w:r w:rsidR="007E1994">
        <w:t xml:space="preserve"> </w:t>
      </w:r>
      <w:r w:rsidR="004B6DFA">
        <w:tab/>
      </w:r>
      <w:r w:rsidR="007E1994" w:rsidRPr="007E1994">
        <w:t xml:space="preserve">To arrive at these </w:t>
      </w:r>
      <w:proofErr w:type="gramStart"/>
      <w:r w:rsidR="007E1994" w:rsidRPr="007E1994">
        <w:t>averages</w:t>
      </w:r>
      <w:proofErr w:type="gramEnd"/>
      <w:r w:rsidR="007E1994" w:rsidRPr="007E1994">
        <w:t xml:space="preserve"> we weight the sample using the cross-sectional responding person weights.</w:t>
      </w:r>
    </w:p>
  </w:footnote>
  <w:footnote w:id="14">
    <w:p w14:paraId="65688F65" w14:textId="46CE9865" w:rsidR="007E1994" w:rsidRDefault="00AF7655">
      <w:pPr>
        <w:pStyle w:val="FootnoteText"/>
      </w:pPr>
      <w:r w:rsidRPr="00AF7655">
        <w:rPr>
          <w:rStyle w:val="FootnoteReference"/>
          <w:vertAlign w:val="baseline"/>
        </w:rPr>
        <w:footnoteRef/>
      </w:r>
      <w:r w:rsidR="007E1994">
        <w:t xml:space="preserve"> </w:t>
      </w:r>
      <w:r w:rsidR="004B6DFA">
        <w:tab/>
      </w:r>
      <w:r w:rsidR="007E1994" w:rsidRPr="007E1994">
        <w:t>Note this is larger than the commonly reported gender pay gap, which does not account for differences in participation rates or hours of work between men and women.</w:t>
      </w:r>
      <w:r w:rsidR="00FF7AC3">
        <w:t xml:space="preserve"> </w:t>
      </w:r>
      <w:r w:rsidR="007E1994" w:rsidRPr="007E1994">
        <w:t xml:space="preserve">Nonetheless, this too has been narrowing, falling from </w:t>
      </w:r>
      <w:r w:rsidR="000A2F78">
        <w:t>17.2</w:t>
      </w:r>
      <w:r w:rsidR="003E4186">
        <w:t> per </w:t>
      </w:r>
      <w:r w:rsidR="007E1994" w:rsidRPr="007E1994">
        <w:t xml:space="preserve">cent in </w:t>
      </w:r>
      <w:r w:rsidR="00DE7B3D">
        <w:t>February 2014</w:t>
      </w:r>
      <w:r w:rsidR="007E1994" w:rsidRPr="007E1994">
        <w:t xml:space="preserve"> to </w:t>
      </w:r>
      <w:r w:rsidR="00DE7B3D">
        <w:t>13.3</w:t>
      </w:r>
      <w:r w:rsidR="003E4186">
        <w:t> per </w:t>
      </w:r>
      <w:r w:rsidR="007E1994" w:rsidRPr="007E1994">
        <w:t xml:space="preserve">cent in </w:t>
      </w:r>
      <w:r w:rsidR="00DE7B3D">
        <w:t>February 2023</w:t>
      </w:r>
      <w:r w:rsidR="007E1994" w:rsidRPr="007E1994">
        <w:t xml:space="preserve"> according to the Workplace Gender Equality Agency (WGEA 202</w:t>
      </w:r>
      <w:r w:rsidR="0023263E">
        <w:t>3</w:t>
      </w:r>
      <w:r w:rsidR="007E1994" w:rsidRPr="007E1994">
        <w:t>).</w:t>
      </w:r>
      <w:r w:rsidR="00FF7AC3">
        <w:t xml:space="preserve"> </w:t>
      </w:r>
    </w:p>
  </w:footnote>
  <w:footnote w:id="15">
    <w:p w14:paraId="3DE4E488" w14:textId="4BA96485" w:rsidR="00450846" w:rsidRDefault="00AF7655" w:rsidP="00450846">
      <w:pPr>
        <w:pStyle w:val="FootnoteText"/>
      </w:pPr>
      <w:r w:rsidRPr="00AF7655">
        <w:rPr>
          <w:rStyle w:val="FootnoteReference"/>
          <w:vertAlign w:val="baseline"/>
        </w:rPr>
        <w:footnoteRef/>
      </w:r>
      <w:r w:rsidR="00450846">
        <w:t xml:space="preserve"> </w:t>
      </w:r>
      <w:r w:rsidR="00A35013">
        <w:tab/>
      </w:r>
      <w:r w:rsidR="00450846" w:rsidRPr="003E4186">
        <w:rPr>
          <w:spacing w:val="-2"/>
        </w:rPr>
        <w:t>While the size of the motherhood penalty does not change over time in this exercise, the magnitude of its effect depends not just on the size of the penalty, but also on the counterfactual earnings of women relative to men. Because non-child related gender differences in earnings have narrowed over the period, child</w:t>
      </w:r>
      <w:r w:rsidR="00BA56D4">
        <w:rPr>
          <w:spacing w:val="-2"/>
        </w:rPr>
        <w:noBreakHyphen/>
      </w:r>
      <w:r w:rsidR="00450846" w:rsidRPr="003E4186">
        <w:rPr>
          <w:spacing w:val="-2"/>
        </w:rPr>
        <w:t xml:space="preserve">related gender inequality appears to increase in </w:t>
      </w:r>
      <w:r w:rsidR="003E4186" w:rsidRPr="003E4186">
        <w:rPr>
          <w:spacing w:val="-2"/>
        </w:rPr>
        <w:t>Chart </w:t>
      </w:r>
      <w:r w:rsidR="00450846" w:rsidRPr="003E4186">
        <w:rPr>
          <w:spacing w:val="-2"/>
        </w:rPr>
        <w:t>3, because the penalty is operating on a larger</w:t>
      </w:r>
      <w:r w:rsidR="008623C2">
        <w:rPr>
          <w:spacing w:val="-2"/>
        </w:rPr>
        <w:t> </w:t>
      </w:r>
      <w:r w:rsidR="00450846" w:rsidRPr="003E4186">
        <w:rPr>
          <w:spacing w:val="-2"/>
        </w:rPr>
        <w:t>base.</w:t>
      </w:r>
      <w:r w:rsidR="00FF7AC3">
        <w:t xml:space="preserve"> </w:t>
      </w:r>
    </w:p>
  </w:footnote>
  <w:footnote w:id="16">
    <w:p w14:paraId="4CFA7FA4" w14:textId="05A7032C" w:rsidR="00F71A2E" w:rsidRDefault="00AF7655">
      <w:pPr>
        <w:pStyle w:val="FootnoteText"/>
      </w:pPr>
      <w:r w:rsidRPr="00AF7655">
        <w:rPr>
          <w:rStyle w:val="FootnoteReference"/>
          <w:vertAlign w:val="baseline"/>
        </w:rPr>
        <w:footnoteRef/>
      </w:r>
      <w:r w:rsidR="00F71A2E">
        <w:t xml:space="preserve"> </w:t>
      </w:r>
      <w:r w:rsidR="00A35013">
        <w:tab/>
      </w:r>
      <w:r w:rsidR="00F71A2E" w:rsidRPr="00F71A2E">
        <w:t xml:space="preserve">As reported in HILDA or as stated on their tax return in </w:t>
      </w:r>
      <w:proofErr w:type="spellStart"/>
      <w:r w:rsidR="00F71A2E" w:rsidRPr="00F71A2E">
        <w:t>ALife</w:t>
      </w:r>
      <w:proofErr w:type="spellEnd"/>
      <w:r w:rsidR="00F71A2E" w:rsidRPr="00F71A2E">
        <w:t>.</w:t>
      </w:r>
    </w:p>
  </w:footnote>
  <w:footnote w:id="17">
    <w:p w14:paraId="41BACA1D" w14:textId="25C2C4B8" w:rsidR="003F44D4" w:rsidRDefault="00AF7655" w:rsidP="003F44D4">
      <w:pPr>
        <w:pStyle w:val="FootnoteText"/>
      </w:pPr>
      <w:r w:rsidRPr="00AF7655">
        <w:rPr>
          <w:rStyle w:val="FootnoteReference"/>
          <w:vertAlign w:val="baseline"/>
        </w:rPr>
        <w:footnoteRef/>
      </w:r>
      <w:r w:rsidR="003F44D4">
        <w:t xml:space="preserve"> </w:t>
      </w:r>
      <w:r w:rsidR="00A35013">
        <w:tab/>
      </w:r>
      <w:r w:rsidR="003F44D4" w:rsidRPr="00F71A2E">
        <w:t xml:space="preserve">We also investigated the interaction between education cohort and the number of children women </w:t>
      </w:r>
      <w:proofErr w:type="gramStart"/>
      <w:r w:rsidR="003F44D4" w:rsidRPr="00F71A2E">
        <w:t>have, and</w:t>
      </w:r>
      <w:proofErr w:type="gramEnd"/>
      <w:r w:rsidR="003F44D4" w:rsidRPr="00F71A2E">
        <w:t xml:space="preserve"> found highly educated mothers who only have one child exhibit the worst penalty. However, these results are based on small sample sizes and therefore we refrain from providing this evidence here.</w:t>
      </w:r>
    </w:p>
  </w:footnote>
  <w:footnote w:id="18">
    <w:p w14:paraId="16403BA8" w14:textId="07CD137E" w:rsidR="002D4357" w:rsidRDefault="00AF7655">
      <w:pPr>
        <w:pStyle w:val="FootnoteText"/>
      </w:pPr>
      <w:r w:rsidRPr="00AF7655">
        <w:rPr>
          <w:rStyle w:val="FootnoteReference"/>
          <w:vertAlign w:val="baseline"/>
        </w:rPr>
        <w:footnoteRef/>
      </w:r>
      <w:r w:rsidR="002D4357">
        <w:t xml:space="preserve"> </w:t>
      </w:r>
      <w:r w:rsidR="0004226C">
        <w:tab/>
      </w:r>
      <w:r w:rsidR="002D4357" w:rsidRPr="002D4357">
        <w:t>Wood</w:t>
      </w:r>
      <w:r w:rsidR="003E4186">
        <w:t> et al. </w:t>
      </w:r>
      <w:r w:rsidR="002D4357" w:rsidRPr="002D4357">
        <w:t xml:space="preserve">(2020) </w:t>
      </w:r>
      <w:proofErr w:type="gramStart"/>
      <w:r w:rsidR="002D4357" w:rsidRPr="002D4357">
        <w:t>find</w:t>
      </w:r>
      <w:proofErr w:type="gramEnd"/>
      <w:r w:rsidR="002D4357" w:rsidRPr="002D4357">
        <w:t xml:space="preserve"> that for most women, there is no financial benefit to working more than 3 days a week. The high cost of </w:t>
      </w:r>
      <w:proofErr w:type="gramStart"/>
      <w:r w:rsidR="002D4357" w:rsidRPr="002D4357">
        <w:t>child care</w:t>
      </w:r>
      <w:proofErr w:type="gramEnd"/>
      <w:r w:rsidR="002D4357" w:rsidRPr="002D4357">
        <w:t xml:space="preserve"> in Australia is likely a major factor driving the need for couples to specialise in either paid work or care.</w:t>
      </w:r>
    </w:p>
  </w:footnote>
  <w:footnote w:id="19">
    <w:p w14:paraId="5E6581D6" w14:textId="1EE4BD02" w:rsidR="002D4357" w:rsidRDefault="00AF7655">
      <w:pPr>
        <w:pStyle w:val="FootnoteText"/>
      </w:pPr>
      <w:r w:rsidRPr="00AF7655">
        <w:rPr>
          <w:rStyle w:val="FootnoteReference"/>
          <w:vertAlign w:val="baseline"/>
        </w:rPr>
        <w:footnoteRef/>
      </w:r>
      <w:r w:rsidR="002D4357">
        <w:t xml:space="preserve"> </w:t>
      </w:r>
      <w:r w:rsidR="0004226C">
        <w:tab/>
      </w:r>
      <w:r w:rsidR="002D4357" w:rsidRPr="002D4357">
        <w:t>As</w:t>
      </w:r>
      <w:r w:rsidR="003E4186">
        <w:t> per </w:t>
      </w:r>
      <w:r w:rsidR="002D4357" w:rsidRPr="002D4357">
        <w:t xml:space="preserve">Golden (2014), “workplace flexibility is a complicated, multidimensional statement. Differences in the empirical findings and appropriate frameworks seem to depend on the definition of flexibility applied and the </w:t>
      </w:r>
      <w:proofErr w:type="gramStart"/>
      <w:r w:rsidR="002D4357" w:rsidRPr="002D4357">
        <w:t>particular type of non-</w:t>
      </w:r>
      <w:proofErr w:type="gramEnd"/>
      <w:r w:rsidR="002D4357" w:rsidRPr="002D4357">
        <w:t>wage amenity considered.”</w:t>
      </w:r>
    </w:p>
  </w:footnote>
  <w:footnote w:id="20">
    <w:p w14:paraId="34CFEACC" w14:textId="6046BE1A" w:rsidR="002D4357" w:rsidRDefault="00AF7655">
      <w:pPr>
        <w:pStyle w:val="FootnoteText"/>
      </w:pPr>
      <w:r w:rsidRPr="00AF7655">
        <w:rPr>
          <w:rStyle w:val="FootnoteReference"/>
          <w:vertAlign w:val="baseline"/>
        </w:rPr>
        <w:footnoteRef/>
      </w:r>
      <w:r w:rsidR="002D4357">
        <w:t xml:space="preserve"> </w:t>
      </w:r>
      <w:r w:rsidR="0004226C">
        <w:tab/>
      </w:r>
      <w:r w:rsidR="002D4357" w:rsidRPr="002D4357">
        <w:t xml:space="preserve">We are unable to rule out the potential for sorting into occupations before children. It is possible women tend to sort themselves into a more flexible occupation in anticipation of requiring this flexibility after they have children. We count roughly equal numbers of men and women in both high and low flexible jobs in </w:t>
      </w:r>
      <w:proofErr w:type="gramStart"/>
      <w:r w:rsidR="002D4357" w:rsidRPr="002D4357">
        <w:t>aggregate, but</w:t>
      </w:r>
      <w:proofErr w:type="gramEnd"/>
      <w:r w:rsidR="002D4357" w:rsidRPr="002D4357">
        <w:t xml:space="preserve"> do observe differences within occupations. Nonetheless, we are unable to differentiate this potential sorting from broader labour market gender segregation.</w:t>
      </w:r>
    </w:p>
  </w:footnote>
  <w:footnote w:id="21">
    <w:p w14:paraId="7E5ECC46" w14:textId="35EDBBDE" w:rsidR="0047758B" w:rsidRPr="00697AD0" w:rsidRDefault="00AF7655">
      <w:pPr>
        <w:pStyle w:val="FootnoteText"/>
        <w:rPr>
          <w:spacing w:val="-2"/>
        </w:rPr>
      </w:pPr>
      <w:r w:rsidRPr="00AF7655">
        <w:rPr>
          <w:rStyle w:val="FootnoteReference"/>
          <w:vertAlign w:val="baseline"/>
        </w:rPr>
        <w:footnoteRef/>
      </w:r>
      <w:r w:rsidR="0047758B">
        <w:t xml:space="preserve"> </w:t>
      </w:r>
      <w:r w:rsidR="00BC7627">
        <w:tab/>
      </w:r>
      <w:r w:rsidR="0047758B" w:rsidRPr="00697AD0">
        <w:rPr>
          <w:spacing w:val="-2"/>
        </w:rPr>
        <w:t>These countries typically have parental leave policies with designated, ‘use-it-or-lose-it’ leave for fathers. This</w:t>
      </w:r>
      <w:r w:rsidR="003E4186">
        <w:rPr>
          <w:spacing w:val="-2"/>
        </w:rPr>
        <w:t> </w:t>
      </w:r>
      <w:r w:rsidR="0047758B" w:rsidRPr="00697AD0">
        <w:rPr>
          <w:spacing w:val="-2"/>
        </w:rPr>
        <w:t>type of leave policy has been previously shown to encourage greater take-up amongst fathers and a more even balance of care responsibilities at home (</w:t>
      </w:r>
      <w:proofErr w:type="spellStart"/>
      <w:r w:rsidR="0047758B" w:rsidRPr="00697AD0">
        <w:rPr>
          <w:spacing w:val="-2"/>
        </w:rPr>
        <w:t>Kotsadam</w:t>
      </w:r>
      <w:proofErr w:type="spellEnd"/>
      <w:r w:rsidR="0047758B" w:rsidRPr="00697AD0">
        <w:rPr>
          <w:spacing w:val="-2"/>
        </w:rPr>
        <w:t xml:space="preserve"> &amp; </w:t>
      </w:r>
      <w:proofErr w:type="spellStart"/>
      <w:r w:rsidR="0047758B" w:rsidRPr="00697AD0">
        <w:rPr>
          <w:spacing w:val="-2"/>
        </w:rPr>
        <w:t>Finseraas</w:t>
      </w:r>
      <w:proofErr w:type="spellEnd"/>
      <w:r w:rsidR="0047758B" w:rsidRPr="00697AD0">
        <w:rPr>
          <w:spacing w:val="-2"/>
        </w:rPr>
        <w:t xml:space="preserve"> 2011; Patnaik 2019). Literature for Denmark has shown an increase in the earmarked portion of leave for </w:t>
      </w:r>
      <w:proofErr w:type="gramStart"/>
      <w:r w:rsidR="0047758B" w:rsidRPr="00697AD0">
        <w:rPr>
          <w:spacing w:val="-2"/>
        </w:rPr>
        <w:t>fathers</w:t>
      </w:r>
      <w:proofErr w:type="gramEnd"/>
      <w:r w:rsidR="0047758B" w:rsidRPr="00697AD0">
        <w:rPr>
          <w:spacing w:val="-2"/>
        </w:rPr>
        <w:t xml:space="preserve"> results in an increase in women’s labour supply (</w:t>
      </w:r>
      <w:proofErr w:type="spellStart"/>
      <w:r w:rsidR="0047758B" w:rsidRPr="00697AD0">
        <w:rPr>
          <w:spacing w:val="-2"/>
        </w:rPr>
        <w:t>Druedahl</w:t>
      </w:r>
      <w:proofErr w:type="spellEnd"/>
      <w:r w:rsidR="003E4186">
        <w:rPr>
          <w:spacing w:val="-2"/>
        </w:rPr>
        <w:t> et al. </w:t>
      </w:r>
      <w:r w:rsidR="0047758B" w:rsidRPr="00697AD0">
        <w:rPr>
          <w:spacing w:val="-2"/>
        </w:rPr>
        <w:t>2019), while other work has even shown that life satisfaction, particularly for mothers, increases with enrolment into earmarked paternal leave (</w:t>
      </w:r>
      <w:proofErr w:type="spellStart"/>
      <w:r w:rsidR="0047758B" w:rsidRPr="00697AD0">
        <w:rPr>
          <w:spacing w:val="-2"/>
        </w:rPr>
        <w:t>Korsgren</w:t>
      </w:r>
      <w:proofErr w:type="spellEnd"/>
      <w:r w:rsidR="0047758B" w:rsidRPr="00697AD0">
        <w:rPr>
          <w:spacing w:val="-2"/>
        </w:rPr>
        <w:t xml:space="preserve"> &amp; van Lent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3075" w14:textId="50763FF1" w:rsidR="00F012EA" w:rsidRPr="00F012EA" w:rsidRDefault="00B86A64" w:rsidP="00F012EA">
    <w:pPr>
      <w:pStyle w:val="Header"/>
    </w:pPr>
    <w:r>
      <w:rPr>
        <w:noProof/>
        <w:lang w:eastAsia="zh-CN"/>
      </w:rPr>
      <w:drawing>
        <wp:anchor distT="0" distB="0" distL="114300" distR="114300" simplePos="0" relativeHeight="251658240" behindDoc="1" locked="0" layoutInCell="1" allowOverlap="1" wp14:anchorId="6CD296C7" wp14:editId="2B4562BB">
          <wp:simplePos x="0" y="0"/>
          <wp:positionH relativeFrom="page">
            <wp:align>center</wp:align>
          </wp:positionH>
          <wp:positionV relativeFrom="page">
            <wp:align>top</wp:align>
          </wp:positionV>
          <wp:extent cx="7578000" cy="1515600"/>
          <wp:effectExtent l="0" t="0" r="4445"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5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38E8" w14:textId="350384D8" w:rsidR="00B86A64" w:rsidRDefault="00B86A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7059" w14:textId="630C2C28" w:rsidR="00B86A64" w:rsidRDefault="00B86A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D74B" w14:textId="78F047E8" w:rsidR="00F60530" w:rsidRPr="00F012EA" w:rsidRDefault="00F60530" w:rsidP="00F012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956D" w14:textId="547DD61E" w:rsidR="00B86A64" w:rsidRDefault="00B86A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929E" w14:textId="7A8C30BC" w:rsidR="00B86A64" w:rsidRDefault="005A1010">
    <w:pPr>
      <w:pStyle w:val="Header"/>
    </w:pPr>
    <w:r>
      <w:rPr>
        <w:noProof/>
      </w:rPr>
      <w:drawing>
        <wp:anchor distT="0" distB="0" distL="114300" distR="114300" simplePos="0" relativeHeight="251658253" behindDoc="1" locked="1" layoutInCell="1" allowOverlap="0" wp14:anchorId="371F2092" wp14:editId="2F907733">
          <wp:simplePos x="0" y="0"/>
          <wp:positionH relativeFrom="page">
            <wp:align>center</wp:align>
          </wp:positionH>
          <wp:positionV relativeFrom="page">
            <wp:align>top</wp:align>
          </wp:positionV>
          <wp:extent cx="7570800" cy="1044000"/>
          <wp:effectExtent l="0" t="0" r="0" b="381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350E" w14:textId="6506E4A1" w:rsidR="00F60530" w:rsidRPr="00B86A64" w:rsidRDefault="005A1010" w:rsidP="00B86A64">
    <w:pPr>
      <w:pStyle w:val="Header"/>
    </w:pPr>
    <w:r>
      <w:rPr>
        <w:noProof/>
      </w:rPr>
      <w:drawing>
        <wp:anchor distT="0" distB="0" distL="114300" distR="114300" simplePos="0" relativeHeight="251658252" behindDoc="1" locked="1" layoutInCell="1" allowOverlap="1" wp14:anchorId="622D973D" wp14:editId="411F25A8">
          <wp:simplePos x="0" y="0"/>
          <wp:positionH relativeFrom="page">
            <wp:align>center</wp:align>
          </wp:positionH>
          <wp:positionV relativeFrom="page">
            <wp:align>top</wp:align>
          </wp:positionV>
          <wp:extent cx="7570800" cy="1044000"/>
          <wp:effectExtent l="0" t="0" r="0" b="381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28C4"/>
    <w:multiLevelType w:val="multilevel"/>
    <w:tmpl w:val="AD6A5182"/>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Theme="majorHAnsi" w:hAnsiTheme="majorHAnsi" w:cs="Arial" w:hint="default"/>
        <w:b w:val="0"/>
        <w:bCs/>
        <w:i w:val="0"/>
        <w:color w:val="003157"/>
      </w:rPr>
    </w:lvl>
    <w:lvl w:ilvl="2">
      <w:start w:val="1"/>
      <w:numFmt w:val="decimal"/>
      <w:pStyle w:val="AppendixHeadingLevel3"/>
      <w:lvlText w:val="%1.%2.%3"/>
      <w:lvlJc w:val="left"/>
      <w:pPr>
        <w:tabs>
          <w:tab w:val="num" w:pos="1134"/>
        </w:tabs>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Level4"/>
      <w:lvlText w:val="%1.%2.%3.%4"/>
      <w:lvlJc w:val="left"/>
      <w:pPr>
        <w:tabs>
          <w:tab w:val="num" w:pos="1135"/>
        </w:tabs>
        <w:ind w:left="1" w:hanging="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8" w15:restartNumberingAfterBreak="0">
    <w:nsid w:val="2AB476BF"/>
    <w:multiLevelType w:val="hybridMultilevel"/>
    <w:tmpl w:val="87D6B698"/>
    <w:lvl w:ilvl="0" w:tplc="3FCA993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13" w15:restartNumberingAfterBreak="0">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45B0A7E"/>
    <w:multiLevelType w:val="multilevel"/>
    <w:tmpl w:val="EDEE4FB6"/>
    <w:numStyleLink w:val="RecommendationBulletList"/>
  </w:abstractNum>
  <w:abstractNum w:abstractNumId="15" w15:restartNumberingAfterBreak="0">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0D2021"/>
    <w:multiLevelType w:val="multilevel"/>
    <w:tmpl w:val="72F8140E"/>
    <w:numStyleLink w:val="OutlineList"/>
  </w:abstractNum>
  <w:abstractNum w:abstractNumId="17" w15:restartNumberingAfterBreak="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5F73129"/>
    <w:multiLevelType w:val="multilevel"/>
    <w:tmpl w:val="D9A8A212"/>
    <w:numStyleLink w:val="RomanNumeralList"/>
  </w:abstractNum>
  <w:abstractNum w:abstractNumId="19" w15:restartNumberingAfterBreak="0">
    <w:nsid w:val="66022277"/>
    <w:multiLevelType w:val="singleLevel"/>
    <w:tmpl w:val="9ECEC236"/>
    <w:name w:val="AlphaChartTableFootnoteList"/>
    <w:lvl w:ilvl="0">
      <w:start w:val="1"/>
      <w:numFmt w:val="lowerLetter"/>
      <w:lvlText w:val="(%1)"/>
      <w:lvlJc w:val="left"/>
      <w:pPr>
        <w:ind w:left="360" w:hanging="360"/>
      </w:pPr>
      <w:rPr>
        <w:rFonts w:ascii="Calibri" w:hAnsi="Calibri" w:cs="Arial" w:hint="default"/>
        <w:b w:val="0"/>
        <w:i w:val="0"/>
        <w:color w:val="000000"/>
        <w:sz w:val="20"/>
      </w:rPr>
    </w:lvl>
  </w:abstractNum>
  <w:abstractNum w:abstractNumId="20" w15:restartNumberingAfterBreak="0">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12867965">
    <w:abstractNumId w:val="9"/>
  </w:num>
  <w:num w:numId="2" w16cid:durableId="1156916943">
    <w:abstractNumId w:val="15"/>
  </w:num>
  <w:num w:numId="3" w16cid:durableId="318000185">
    <w:abstractNumId w:val="11"/>
  </w:num>
  <w:num w:numId="4" w16cid:durableId="340863283">
    <w:abstractNumId w:val="3"/>
  </w:num>
  <w:num w:numId="5" w16cid:durableId="1327633967">
    <w:abstractNumId w:val="5"/>
  </w:num>
  <w:num w:numId="6" w16cid:durableId="1886479230">
    <w:abstractNumId w:val="2"/>
  </w:num>
  <w:num w:numId="7" w16cid:durableId="622076674">
    <w:abstractNumId w:val="4"/>
  </w:num>
  <w:num w:numId="8" w16cid:durableId="595792107">
    <w:abstractNumId w:val="16"/>
  </w:num>
  <w:num w:numId="9" w16cid:durableId="724719094">
    <w:abstractNumId w:val="14"/>
  </w:num>
  <w:num w:numId="10" w16cid:durableId="304703598">
    <w:abstractNumId w:val="18"/>
  </w:num>
  <w:num w:numId="11" w16cid:durableId="1945529529">
    <w:abstractNumId w:val="17"/>
  </w:num>
  <w:num w:numId="12" w16cid:durableId="1236740513">
    <w:abstractNumId w:val="6"/>
  </w:num>
  <w:num w:numId="13" w16cid:durableId="201136785">
    <w:abstractNumId w:val="6"/>
  </w:num>
  <w:num w:numId="14" w16cid:durableId="946735013">
    <w:abstractNumId w:val="13"/>
  </w:num>
  <w:num w:numId="15" w16cid:durableId="422917830">
    <w:abstractNumId w:val="0"/>
  </w:num>
  <w:num w:numId="16" w16cid:durableId="967129213">
    <w:abstractNumId w:val="19"/>
  </w:num>
  <w:num w:numId="17" w16cid:durableId="1566529088">
    <w:abstractNumId w:val="12"/>
  </w:num>
  <w:num w:numId="18" w16cid:durableId="1829053713">
    <w:abstractNumId w:val="20"/>
  </w:num>
  <w:num w:numId="19" w16cid:durableId="1560746179">
    <w:abstractNumId w:val="1"/>
  </w:num>
  <w:num w:numId="20" w16cid:durableId="1938515285">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24691274">
    <w:abstractNumId w:val="10"/>
  </w:num>
  <w:num w:numId="22" w16cid:durableId="1994406304">
    <w:abstractNumId w:val="9"/>
  </w:num>
  <w:num w:numId="23" w16cid:durableId="1175996080">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efaultTableStyle w:val="PlainTable2"/>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6028AD"/>
    <w:rsid w:val="00003ACD"/>
    <w:rsid w:val="000044F0"/>
    <w:rsid w:val="00007CDE"/>
    <w:rsid w:val="000167A9"/>
    <w:rsid w:val="000232AF"/>
    <w:rsid w:val="0004226C"/>
    <w:rsid w:val="00043252"/>
    <w:rsid w:val="000464B6"/>
    <w:rsid w:val="00046C73"/>
    <w:rsid w:val="00050092"/>
    <w:rsid w:val="00051C46"/>
    <w:rsid w:val="0006155B"/>
    <w:rsid w:val="000622B2"/>
    <w:rsid w:val="00071303"/>
    <w:rsid w:val="000725DC"/>
    <w:rsid w:val="0007320C"/>
    <w:rsid w:val="000735C0"/>
    <w:rsid w:val="00074D78"/>
    <w:rsid w:val="00077D52"/>
    <w:rsid w:val="00084215"/>
    <w:rsid w:val="00091054"/>
    <w:rsid w:val="00091190"/>
    <w:rsid w:val="00095C3F"/>
    <w:rsid w:val="000A2F78"/>
    <w:rsid w:val="000A6BFE"/>
    <w:rsid w:val="000A6CB0"/>
    <w:rsid w:val="000A6EE6"/>
    <w:rsid w:val="000B019A"/>
    <w:rsid w:val="000B1D9E"/>
    <w:rsid w:val="000B206D"/>
    <w:rsid w:val="000B54DE"/>
    <w:rsid w:val="000C2803"/>
    <w:rsid w:val="000C6031"/>
    <w:rsid w:val="000D0A70"/>
    <w:rsid w:val="000D6C17"/>
    <w:rsid w:val="000D778D"/>
    <w:rsid w:val="000E1DD6"/>
    <w:rsid w:val="000F2E25"/>
    <w:rsid w:val="000F774B"/>
    <w:rsid w:val="0010021B"/>
    <w:rsid w:val="001122FD"/>
    <w:rsid w:val="0014663C"/>
    <w:rsid w:val="00147046"/>
    <w:rsid w:val="00151C80"/>
    <w:rsid w:val="00153F86"/>
    <w:rsid w:val="001602AB"/>
    <w:rsid w:val="00161A07"/>
    <w:rsid w:val="001676B9"/>
    <w:rsid w:val="001759E9"/>
    <w:rsid w:val="00177EF0"/>
    <w:rsid w:val="00180A93"/>
    <w:rsid w:val="00181E88"/>
    <w:rsid w:val="00191DDA"/>
    <w:rsid w:val="00193763"/>
    <w:rsid w:val="001A18CF"/>
    <w:rsid w:val="001A23A1"/>
    <w:rsid w:val="001A420D"/>
    <w:rsid w:val="001A7D0C"/>
    <w:rsid w:val="001B233A"/>
    <w:rsid w:val="001B4C0C"/>
    <w:rsid w:val="001C29A8"/>
    <w:rsid w:val="001C4800"/>
    <w:rsid w:val="001C55C5"/>
    <w:rsid w:val="001C740D"/>
    <w:rsid w:val="001E1D66"/>
    <w:rsid w:val="001E33D0"/>
    <w:rsid w:val="001E664D"/>
    <w:rsid w:val="002015AB"/>
    <w:rsid w:val="00211545"/>
    <w:rsid w:val="00213DB2"/>
    <w:rsid w:val="0021447A"/>
    <w:rsid w:val="00216DF6"/>
    <w:rsid w:val="00221A0B"/>
    <w:rsid w:val="002249D2"/>
    <w:rsid w:val="00225278"/>
    <w:rsid w:val="00225317"/>
    <w:rsid w:val="00225CA9"/>
    <w:rsid w:val="002271BB"/>
    <w:rsid w:val="0023263E"/>
    <w:rsid w:val="002330AC"/>
    <w:rsid w:val="002351C3"/>
    <w:rsid w:val="002353D1"/>
    <w:rsid w:val="002373A3"/>
    <w:rsid w:val="00237536"/>
    <w:rsid w:val="00242673"/>
    <w:rsid w:val="002447C2"/>
    <w:rsid w:val="00257A2D"/>
    <w:rsid w:val="00262725"/>
    <w:rsid w:val="00265056"/>
    <w:rsid w:val="002658B9"/>
    <w:rsid w:val="00267DB7"/>
    <w:rsid w:val="002768B3"/>
    <w:rsid w:val="00280BA1"/>
    <w:rsid w:val="00280D28"/>
    <w:rsid w:val="00291937"/>
    <w:rsid w:val="00297C46"/>
    <w:rsid w:val="002B53E2"/>
    <w:rsid w:val="002C3075"/>
    <w:rsid w:val="002C3379"/>
    <w:rsid w:val="002C5398"/>
    <w:rsid w:val="002D211F"/>
    <w:rsid w:val="002D316D"/>
    <w:rsid w:val="002D4357"/>
    <w:rsid w:val="002D642D"/>
    <w:rsid w:val="002D6988"/>
    <w:rsid w:val="002E0E6C"/>
    <w:rsid w:val="002E1221"/>
    <w:rsid w:val="002E5509"/>
    <w:rsid w:val="002E5F5C"/>
    <w:rsid w:val="002E6381"/>
    <w:rsid w:val="002E6954"/>
    <w:rsid w:val="002E7527"/>
    <w:rsid w:val="002E7BDD"/>
    <w:rsid w:val="002F3DFC"/>
    <w:rsid w:val="002F696B"/>
    <w:rsid w:val="002F73DF"/>
    <w:rsid w:val="00301A52"/>
    <w:rsid w:val="00306DBA"/>
    <w:rsid w:val="00315350"/>
    <w:rsid w:val="0031573D"/>
    <w:rsid w:val="003304D3"/>
    <w:rsid w:val="003326C6"/>
    <w:rsid w:val="00333DA8"/>
    <w:rsid w:val="00334335"/>
    <w:rsid w:val="00335580"/>
    <w:rsid w:val="003406DF"/>
    <w:rsid w:val="003431D3"/>
    <w:rsid w:val="00353936"/>
    <w:rsid w:val="003554CD"/>
    <w:rsid w:val="003557D7"/>
    <w:rsid w:val="003621C4"/>
    <w:rsid w:val="003641BA"/>
    <w:rsid w:val="00365AC6"/>
    <w:rsid w:val="00365C6D"/>
    <w:rsid w:val="003809EA"/>
    <w:rsid w:val="003822EE"/>
    <w:rsid w:val="00384738"/>
    <w:rsid w:val="00390529"/>
    <w:rsid w:val="00394599"/>
    <w:rsid w:val="00394776"/>
    <w:rsid w:val="00397ADD"/>
    <w:rsid w:val="003A10A4"/>
    <w:rsid w:val="003A1A88"/>
    <w:rsid w:val="003A3F24"/>
    <w:rsid w:val="003B0501"/>
    <w:rsid w:val="003B10C1"/>
    <w:rsid w:val="003B2859"/>
    <w:rsid w:val="003B5053"/>
    <w:rsid w:val="003C36A2"/>
    <w:rsid w:val="003C445D"/>
    <w:rsid w:val="003C720F"/>
    <w:rsid w:val="003D0DF2"/>
    <w:rsid w:val="003D27B3"/>
    <w:rsid w:val="003D296C"/>
    <w:rsid w:val="003D3DC9"/>
    <w:rsid w:val="003E0E7B"/>
    <w:rsid w:val="003E3374"/>
    <w:rsid w:val="003E4186"/>
    <w:rsid w:val="003E6B90"/>
    <w:rsid w:val="003F034A"/>
    <w:rsid w:val="003F44D4"/>
    <w:rsid w:val="003F7200"/>
    <w:rsid w:val="004004D5"/>
    <w:rsid w:val="00402149"/>
    <w:rsid w:val="00406016"/>
    <w:rsid w:val="00415960"/>
    <w:rsid w:val="00416E7C"/>
    <w:rsid w:val="004211B2"/>
    <w:rsid w:val="00421B72"/>
    <w:rsid w:val="00425A49"/>
    <w:rsid w:val="00426CC1"/>
    <w:rsid w:val="00431D60"/>
    <w:rsid w:val="004370F4"/>
    <w:rsid w:val="00445250"/>
    <w:rsid w:val="00447839"/>
    <w:rsid w:val="00450846"/>
    <w:rsid w:val="00457AC1"/>
    <w:rsid w:val="00460338"/>
    <w:rsid w:val="00460A29"/>
    <w:rsid w:val="00460C65"/>
    <w:rsid w:val="004620CC"/>
    <w:rsid w:val="004629D8"/>
    <w:rsid w:val="004644F0"/>
    <w:rsid w:val="0047758B"/>
    <w:rsid w:val="0048621B"/>
    <w:rsid w:val="00487292"/>
    <w:rsid w:val="004878C2"/>
    <w:rsid w:val="00487C5A"/>
    <w:rsid w:val="00493A19"/>
    <w:rsid w:val="004942A1"/>
    <w:rsid w:val="00494DE6"/>
    <w:rsid w:val="004A1D5A"/>
    <w:rsid w:val="004B07A5"/>
    <w:rsid w:val="004B14D9"/>
    <w:rsid w:val="004B40AA"/>
    <w:rsid w:val="004B5C5E"/>
    <w:rsid w:val="004B6DFA"/>
    <w:rsid w:val="004C167F"/>
    <w:rsid w:val="004C6A66"/>
    <w:rsid w:val="004D124D"/>
    <w:rsid w:val="004E0798"/>
    <w:rsid w:val="004E3465"/>
    <w:rsid w:val="004E4B19"/>
    <w:rsid w:val="004F4EE7"/>
    <w:rsid w:val="004F65E3"/>
    <w:rsid w:val="00500704"/>
    <w:rsid w:val="00500C6C"/>
    <w:rsid w:val="005033AC"/>
    <w:rsid w:val="00504213"/>
    <w:rsid w:val="0051251F"/>
    <w:rsid w:val="00521602"/>
    <w:rsid w:val="00521BA2"/>
    <w:rsid w:val="005244CD"/>
    <w:rsid w:val="005323B8"/>
    <w:rsid w:val="00541046"/>
    <w:rsid w:val="00543F4A"/>
    <w:rsid w:val="00544124"/>
    <w:rsid w:val="00554388"/>
    <w:rsid w:val="00555B0A"/>
    <w:rsid w:val="00562777"/>
    <w:rsid w:val="00562EFB"/>
    <w:rsid w:val="0056707F"/>
    <w:rsid w:val="0057074A"/>
    <w:rsid w:val="00575037"/>
    <w:rsid w:val="00582933"/>
    <w:rsid w:val="005904CD"/>
    <w:rsid w:val="00597952"/>
    <w:rsid w:val="005A1010"/>
    <w:rsid w:val="005A4526"/>
    <w:rsid w:val="005A5E5F"/>
    <w:rsid w:val="005B52C6"/>
    <w:rsid w:val="005B664A"/>
    <w:rsid w:val="005C0858"/>
    <w:rsid w:val="005C372F"/>
    <w:rsid w:val="005C6F31"/>
    <w:rsid w:val="005C7CED"/>
    <w:rsid w:val="005D3061"/>
    <w:rsid w:val="005D4425"/>
    <w:rsid w:val="005D48FC"/>
    <w:rsid w:val="005E60DF"/>
    <w:rsid w:val="005F100C"/>
    <w:rsid w:val="005F24CA"/>
    <w:rsid w:val="005F3390"/>
    <w:rsid w:val="005F4F17"/>
    <w:rsid w:val="005F5653"/>
    <w:rsid w:val="005F6391"/>
    <w:rsid w:val="005F652F"/>
    <w:rsid w:val="005F66EC"/>
    <w:rsid w:val="005F6EA2"/>
    <w:rsid w:val="006028AD"/>
    <w:rsid w:val="00611DE4"/>
    <w:rsid w:val="00611F75"/>
    <w:rsid w:val="006125C5"/>
    <w:rsid w:val="00614BAC"/>
    <w:rsid w:val="006158AE"/>
    <w:rsid w:val="00616CDB"/>
    <w:rsid w:val="0062161C"/>
    <w:rsid w:val="00643367"/>
    <w:rsid w:val="0064423D"/>
    <w:rsid w:val="006457CC"/>
    <w:rsid w:val="00663CBA"/>
    <w:rsid w:val="00672387"/>
    <w:rsid w:val="00676B7F"/>
    <w:rsid w:val="00677460"/>
    <w:rsid w:val="006830BD"/>
    <w:rsid w:val="0068788C"/>
    <w:rsid w:val="006930BD"/>
    <w:rsid w:val="006942C5"/>
    <w:rsid w:val="00695F69"/>
    <w:rsid w:val="00697AD0"/>
    <w:rsid w:val="006A037F"/>
    <w:rsid w:val="006A30A5"/>
    <w:rsid w:val="006A75DE"/>
    <w:rsid w:val="006B5D70"/>
    <w:rsid w:val="006B6BF6"/>
    <w:rsid w:val="006C063F"/>
    <w:rsid w:val="006C1CDB"/>
    <w:rsid w:val="006C2520"/>
    <w:rsid w:val="006C2690"/>
    <w:rsid w:val="006D299E"/>
    <w:rsid w:val="006D5F3A"/>
    <w:rsid w:val="006D6023"/>
    <w:rsid w:val="006E2931"/>
    <w:rsid w:val="006E4318"/>
    <w:rsid w:val="006E7770"/>
    <w:rsid w:val="006F3E0E"/>
    <w:rsid w:val="0070289D"/>
    <w:rsid w:val="00703CAD"/>
    <w:rsid w:val="00707C19"/>
    <w:rsid w:val="00714153"/>
    <w:rsid w:val="00716F34"/>
    <w:rsid w:val="00727049"/>
    <w:rsid w:val="00736D48"/>
    <w:rsid w:val="00745CA9"/>
    <w:rsid w:val="007628D6"/>
    <w:rsid w:val="00767F36"/>
    <w:rsid w:val="00774651"/>
    <w:rsid w:val="00775A11"/>
    <w:rsid w:val="00775BC5"/>
    <w:rsid w:val="007811F7"/>
    <w:rsid w:val="00781591"/>
    <w:rsid w:val="0078304B"/>
    <w:rsid w:val="0078560C"/>
    <w:rsid w:val="0079425F"/>
    <w:rsid w:val="007A2ACB"/>
    <w:rsid w:val="007A6961"/>
    <w:rsid w:val="007B0C23"/>
    <w:rsid w:val="007B2642"/>
    <w:rsid w:val="007B5B5E"/>
    <w:rsid w:val="007C48F0"/>
    <w:rsid w:val="007D0889"/>
    <w:rsid w:val="007D41D2"/>
    <w:rsid w:val="007E1994"/>
    <w:rsid w:val="007E33AC"/>
    <w:rsid w:val="007E66A7"/>
    <w:rsid w:val="007F400E"/>
    <w:rsid w:val="007F712B"/>
    <w:rsid w:val="00803B2A"/>
    <w:rsid w:val="00803BD0"/>
    <w:rsid w:val="00804707"/>
    <w:rsid w:val="00810EEA"/>
    <w:rsid w:val="00812433"/>
    <w:rsid w:val="008162C5"/>
    <w:rsid w:val="00816B48"/>
    <w:rsid w:val="0082097D"/>
    <w:rsid w:val="00827345"/>
    <w:rsid w:val="00833945"/>
    <w:rsid w:val="00845CED"/>
    <w:rsid w:val="00851B50"/>
    <w:rsid w:val="00856422"/>
    <w:rsid w:val="00860283"/>
    <w:rsid w:val="008623C2"/>
    <w:rsid w:val="008627B1"/>
    <w:rsid w:val="00864D1D"/>
    <w:rsid w:val="008651EE"/>
    <w:rsid w:val="00875DC3"/>
    <w:rsid w:val="00880ADB"/>
    <w:rsid w:val="00880DCF"/>
    <w:rsid w:val="008843B0"/>
    <w:rsid w:val="008847CC"/>
    <w:rsid w:val="0088493F"/>
    <w:rsid w:val="0089344E"/>
    <w:rsid w:val="008A7EDB"/>
    <w:rsid w:val="008B2485"/>
    <w:rsid w:val="008B6843"/>
    <w:rsid w:val="008C0793"/>
    <w:rsid w:val="008C1101"/>
    <w:rsid w:val="008C6E82"/>
    <w:rsid w:val="008D08BE"/>
    <w:rsid w:val="008D21CC"/>
    <w:rsid w:val="008F1ACC"/>
    <w:rsid w:val="008F373B"/>
    <w:rsid w:val="0090339D"/>
    <w:rsid w:val="009139F2"/>
    <w:rsid w:val="0091535C"/>
    <w:rsid w:val="009234C7"/>
    <w:rsid w:val="0092354D"/>
    <w:rsid w:val="00925049"/>
    <w:rsid w:val="00925340"/>
    <w:rsid w:val="00935C6D"/>
    <w:rsid w:val="00936238"/>
    <w:rsid w:val="009370E0"/>
    <w:rsid w:val="009467AF"/>
    <w:rsid w:val="0095184F"/>
    <w:rsid w:val="0095562B"/>
    <w:rsid w:val="00955F84"/>
    <w:rsid w:val="00962136"/>
    <w:rsid w:val="00963C43"/>
    <w:rsid w:val="0096584F"/>
    <w:rsid w:val="0097280B"/>
    <w:rsid w:val="00981A2A"/>
    <w:rsid w:val="009835CC"/>
    <w:rsid w:val="00984F12"/>
    <w:rsid w:val="00985FCB"/>
    <w:rsid w:val="009862D1"/>
    <w:rsid w:val="00986C3E"/>
    <w:rsid w:val="00987B60"/>
    <w:rsid w:val="00997128"/>
    <w:rsid w:val="009A3C9F"/>
    <w:rsid w:val="009A40EB"/>
    <w:rsid w:val="009A4946"/>
    <w:rsid w:val="009B2111"/>
    <w:rsid w:val="009C1116"/>
    <w:rsid w:val="009C57C2"/>
    <w:rsid w:val="009C7E17"/>
    <w:rsid w:val="009D0790"/>
    <w:rsid w:val="009D2C61"/>
    <w:rsid w:val="009E2BED"/>
    <w:rsid w:val="009E4E0E"/>
    <w:rsid w:val="009F523E"/>
    <w:rsid w:val="009F6378"/>
    <w:rsid w:val="00A05CA9"/>
    <w:rsid w:val="00A11638"/>
    <w:rsid w:val="00A14CD9"/>
    <w:rsid w:val="00A1658C"/>
    <w:rsid w:val="00A17951"/>
    <w:rsid w:val="00A20298"/>
    <w:rsid w:val="00A2599E"/>
    <w:rsid w:val="00A35013"/>
    <w:rsid w:val="00A3513E"/>
    <w:rsid w:val="00A40BA2"/>
    <w:rsid w:val="00A415C6"/>
    <w:rsid w:val="00A42F49"/>
    <w:rsid w:val="00A44201"/>
    <w:rsid w:val="00A4479F"/>
    <w:rsid w:val="00A5355B"/>
    <w:rsid w:val="00A537E0"/>
    <w:rsid w:val="00A57848"/>
    <w:rsid w:val="00A61CFD"/>
    <w:rsid w:val="00A653D1"/>
    <w:rsid w:val="00A65C5E"/>
    <w:rsid w:val="00A75F04"/>
    <w:rsid w:val="00A831CD"/>
    <w:rsid w:val="00A9300C"/>
    <w:rsid w:val="00A9572D"/>
    <w:rsid w:val="00AA4528"/>
    <w:rsid w:val="00AA66C7"/>
    <w:rsid w:val="00AB2763"/>
    <w:rsid w:val="00AB3853"/>
    <w:rsid w:val="00AB525B"/>
    <w:rsid w:val="00AC0257"/>
    <w:rsid w:val="00AC326D"/>
    <w:rsid w:val="00AD27DF"/>
    <w:rsid w:val="00AE211D"/>
    <w:rsid w:val="00AE7FE6"/>
    <w:rsid w:val="00AF0ED5"/>
    <w:rsid w:val="00AF10B8"/>
    <w:rsid w:val="00AF1F3F"/>
    <w:rsid w:val="00AF45E8"/>
    <w:rsid w:val="00AF5165"/>
    <w:rsid w:val="00AF7655"/>
    <w:rsid w:val="00B04F5B"/>
    <w:rsid w:val="00B05BA8"/>
    <w:rsid w:val="00B10FAD"/>
    <w:rsid w:val="00B11686"/>
    <w:rsid w:val="00B12C39"/>
    <w:rsid w:val="00B16547"/>
    <w:rsid w:val="00B21C89"/>
    <w:rsid w:val="00B336A3"/>
    <w:rsid w:val="00B40B86"/>
    <w:rsid w:val="00B42E9A"/>
    <w:rsid w:val="00B456B6"/>
    <w:rsid w:val="00B45898"/>
    <w:rsid w:val="00B4690E"/>
    <w:rsid w:val="00B50ED4"/>
    <w:rsid w:val="00B52FE8"/>
    <w:rsid w:val="00B55137"/>
    <w:rsid w:val="00B625CD"/>
    <w:rsid w:val="00B72A5B"/>
    <w:rsid w:val="00B74425"/>
    <w:rsid w:val="00B7535E"/>
    <w:rsid w:val="00B804EF"/>
    <w:rsid w:val="00B81DDA"/>
    <w:rsid w:val="00B86A64"/>
    <w:rsid w:val="00B87F8B"/>
    <w:rsid w:val="00BA160F"/>
    <w:rsid w:val="00BA30AA"/>
    <w:rsid w:val="00BA56D4"/>
    <w:rsid w:val="00BA6BF3"/>
    <w:rsid w:val="00BB3278"/>
    <w:rsid w:val="00BB55F2"/>
    <w:rsid w:val="00BC34EA"/>
    <w:rsid w:val="00BC475B"/>
    <w:rsid w:val="00BC4ADF"/>
    <w:rsid w:val="00BC4F0D"/>
    <w:rsid w:val="00BC5A10"/>
    <w:rsid w:val="00BC6527"/>
    <w:rsid w:val="00BC6549"/>
    <w:rsid w:val="00BC7627"/>
    <w:rsid w:val="00BD491D"/>
    <w:rsid w:val="00BD603D"/>
    <w:rsid w:val="00BD6BAE"/>
    <w:rsid w:val="00BE084B"/>
    <w:rsid w:val="00BE59DB"/>
    <w:rsid w:val="00BF70D7"/>
    <w:rsid w:val="00C07F94"/>
    <w:rsid w:val="00C12FB2"/>
    <w:rsid w:val="00C237AA"/>
    <w:rsid w:val="00C26351"/>
    <w:rsid w:val="00C31025"/>
    <w:rsid w:val="00C35188"/>
    <w:rsid w:val="00C360D1"/>
    <w:rsid w:val="00C40D84"/>
    <w:rsid w:val="00C450D4"/>
    <w:rsid w:val="00C53DA6"/>
    <w:rsid w:val="00C55F33"/>
    <w:rsid w:val="00C62556"/>
    <w:rsid w:val="00C63763"/>
    <w:rsid w:val="00C82EEF"/>
    <w:rsid w:val="00C86465"/>
    <w:rsid w:val="00C86DA5"/>
    <w:rsid w:val="00C8767F"/>
    <w:rsid w:val="00C87A6F"/>
    <w:rsid w:val="00C911C1"/>
    <w:rsid w:val="00C95C5A"/>
    <w:rsid w:val="00CA3FFE"/>
    <w:rsid w:val="00CA6229"/>
    <w:rsid w:val="00CB1E5D"/>
    <w:rsid w:val="00CB2127"/>
    <w:rsid w:val="00CB224A"/>
    <w:rsid w:val="00CB3AFD"/>
    <w:rsid w:val="00CB43FB"/>
    <w:rsid w:val="00CB4555"/>
    <w:rsid w:val="00CB6AA7"/>
    <w:rsid w:val="00CC086B"/>
    <w:rsid w:val="00CC0BB8"/>
    <w:rsid w:val="00CC1A8A"/>
    <w:rsid w:val="00CC67EF"/>
    <w:rsid w:val="00CC755F"/>
    <w:rsid w:val="00CD3A1C"/>
    <w:rsid w:val="00CD7BB8"/>
    <w:rsid w:val="00CE3545"/>
    <w:rsid w:val="00CE7152"/>
    <w:rsid w:val="00CF0660"/>
    <w:rsid w:val="00CF1FBC"/>
    <w:rsid w:val="00CF60CA"/>
    <w:rsid w:val="00CF759C"/>
    <w:rsid w:val="00D0185B"/>
    <w:rsid w:val="00D10ADC"/>
    <w:rsid w:val="00D11517"/>
    <w:rsid w:val="00D11577"/>
    <w:rsid w:val="00D20CB5"/>
    <w:rsid w:val="00D20D2E"/>
    <w:rsid w:val="00D22AA7"/>
    <w:rsid w:val="00D27B6A"/>
    <w:rsid w:val="00D4005D"/>
    <w:rsid w:val="00D46334"/>
    <w:rsid w:val="00D5280A"/>
    <w:rsid w:val="00D57D83"/>
    <w:rsid w:val="00D6257B"/>
    <w:rsid w:val="00D648EE"/>
    <w:rsid w:val="00D70526"/>
    <w:rsid w:val="00D765A3"/>
    <w:rsid w:val="00D76E37"/>
    <w:rsid w:val="00D83627"/>
    <w:rsid w:val="00D9722E"/>
    <w:rsid w:val="00DA22F8"/>
    <w:rsid w:val="00DA2927"/>
    <w:rsid w:val="00DB3CA2"/>
    <w:rsid w:val="00DC1D77"/>
    <w:rsid w:val="00DC227F"/>
    <w:rsid w:val="00DC6201"/>
    <w:rsid w:val="00DD281C"/>
    <w:rsid w:val="00DD51F0"/>
    <w:rsid w:val="00DE17DA"/>
    <w:rsid w:val="00DE2B14"/>
    <w:rsid w:val="00DE7178"/>
    <w:rsid w:val="00DE7B3D"/>
    <w:rsid w:val="00DF1300"/>
    <w:rsid w:val="00DF4F94"/>
    <w:rsid w:val="00E00DFD"/>
    <w:rsid w:val="00E115CE"/>
    <w:rsid w:val="00E13B71"/>
    <w:rsid w:val="00E17290"/>
    <w:rsid w:val="00E177C9"/>
    <w:rsid w:val="00E2176D"/>
    <w:rsid w:val="00E2425F"/>
    <w:rsid w:val="00E44260"/>
    <w:rsid w:val="00E523C1"/>
    <w:rsid w:val="00E53AB4"/>
    <w:rsid w:val="00E54BA2"/>
    <w:rsid w:val="00E54DB4"/>
    <w:rsid w:val="00E55985"/>
    <w:rsid w:val="00E6705E"/>
    <w:rsid w:val="00E67E49"/>
    <w:rsid w:val="00E713AF"/>
    <w:rsid w:val="00E96C21"/>
    <w:rsid w:val="00E97758"/>
    <w:rsid w:val="00EA29C5"/>
    <w:rsid w:val="00EA33A6"/>
    <w:rsid w:val="00EA666C"/>
    <w:rsid w:val="00EB169C"/>
    <w:rsid w:val="00EB665F"/>
    <w:rsid w:val="00EC22BD"/>
    <w:rsid w:val="00EC30E5"/>
    <w:rsid w:val="00ED212F"/>
    <w:rsid w:val="00ED5728"/>
    <w:rsid w:val="00ED663C"/>
    <w:rsid w:val="00EE18B1"/>
    <w:rsid w:val="00EE23D5"/>
    <w:rsid w:val="00EE6F94"/>
    <w:rsid w:val="00EF18B1"/>
    <w:rsid w:val="00EF2B8D"/>
    <w:rsid w:val="00EF3E90"/>
    <w:rsid w:val="00EF5D56"/>
    <w:rsid w:val="00F012EA"/>
    <w:rsid w:val="00F026D5"/>
    <w:rsid w:val="00F03579"/>
    <w:rsid w:val="00F036EF"/>
    <w:rsid w:val="00F10822"/>
    <w:rsid w:val="00F13FD3"/>
    <w:rsid w:val="00F158D4"/>
    <w:rsid w:val="00F264DD"/>
    <w:rsid w:val="00F26FFC"/>
    <w:rsid w:val="00F33A6A"/>
    <w:rsid w:val="00F348BA"/>
    <w:rsid w:val="00F366F8"/>
    <w:rsid w:val="00F379CB"/>
    <w:rsid w:val="00F41E30"/>
    <w:rsid w:val="00F469B7"/>
    <w:rsid w:val="00F47502"/>
    <w:rsid w:val="00F50D70"/>
    <w:rsid w:val="00F60530"/>
    <w:rsid w:val="00F6533B"/>
    <w:rsid w:val="00F703DE"/>
    <w:rsid w:val="00F708BF"/>
    <w:rsid w:val="00F71A2E"/>
    <w:rsid w:val="00F72D17"/>
    <w:rsid w:val="00F73064"/>
    <w:rsid w:val="00F74714"/>
    <w:rsid w:val="00F805AB"/>
    <w:rsid w:val="00F81046"/>
    <w:rsid w:val="00F8195F"/>
    <w:rsid w:val="00F8675B"/>
    <w:rsid w:val="00F87048"/>
    <w:rsid w:val="00F90417"/>
    <w:rsid w:val="00F913A3"/>
    <w:rsid w:val="00F91A71"/>
    <w:rsid w:val="00F95EC5"/>
    <w:rsid w:val="00FA0D2B"/>
    <w:rsid w:val="00FA5544"/>
    <w:rsid w:val="00FA76EE"/>
    <w:rsid w:val="00FB1CC5"/>
    <w:rsid w:val="00FB3FED"/>
    <w:rsid w:val="00FB4072"/>
    <w:rsid w:val="00FB59AE"/>
    <w:rsid w:val="00FB5CE7"/>
    <w:rsid w:val="00FB5E44"/>
    <w:rsid w:val="00FC3BD6"/>
    <w:rsid w:val="00FC45B8"/>
    <w:rsid w:val="00FC6FD8"/>
    <w:rsid w:val="00FD10C0"/>
    <w:rsid w:val="00FD2DA1"/>
    <w:rsid w:val="00FD6565"/>
    <w:rsid w:val="00FE19AB"/>
    <w:rsid w:val="00FF4CD3"/>
    <w:rsid w:val="00FF4FBD"/>
    <w:rsid w:val="00FF4FD6"/>
    <w:rsid w:val="00FF63EE"/>
    <w:rsid w:val="00FF7AC3"/>
    <w:rsid w:val="049D2A9C"/>
    <w:rsid w:val="05CFCB7B"/>
    <w:rsid w:val="05D54384"/>
    <w:rsid w:val="08A3ADA1"/>
    <w:rsid w:val="08B8A9EB"/>
    <w:rsid w:val="095B31FE"/>
    <w:rsid w:val="096B57C4"/>
    <w:rsid w:val="0D48E942"/>
    <w:rsid w:val="0ECD7963"/>
    <w:rsid w:val="136A139C"/>
    <w:rsid w:val="156C9575"/>
    <w:rsid w:val="187DA430"/>
    <w:rsid w:val="21EC3BED"/>
    <w:rsid w:val="2707030D"/>
    <w:rsid w:val="28872E02"/>
    <w:rsid w:val="2BD91958"/>
    <w:rsid w:val="2D0A433F"/>
    <w:rsid w:val="2E2B853D"/>
    <w:rsid w:val="2E4C5605"/>
    <w:rsid w:val="2F876CCC"/>
    <w:rsid w:val="2FC23A03"/>
    <w:rsid w:val="3020CED7"/>
    <w:rsid w:val="328EB60D"/>
    <w:rsid w:val="36F2C7B4"/>
    <w:rsid w:val="37BD1E53"/>
    <w:rsid w:val="3C4CC777"/>
    <w:rsid w:val="43E35FE3"/>
    <w:rsid w:val="4A3B9AF3"/>
    <w:rsid w:val="53F65ABC"/>
    <w:rsid w:val="55E03AB9"/>
    <w:rsid w:val="5E448D3F"/>
    <w:rsid w:val="6B27EB43"/>
    <w:rsid w:val="6E18ACE8"/>
    <w:rsid w:val="775541F9"/>
    <w:rsid w:val="792035D9"/>
    <w:rsid w:val="7E536989"/>
    <w:rsid w:val="7EC9259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5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638"/>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A11638"/>
    <w:pPr>
      <w:spacing w:before="600" w:line="460" w:lineRule="exact"/>
      <w:outlineLvl w:val="0"/>
    </w:pPr>
    <w:rPr>
      <w:b/>
      <w:color w:val="5D779D" w:themeColor="accent3"/>
      <w:sz w:val="44"/>
    </w:rPr>
  </w:style>
  <w:style w:type="paragraph" w:styleId="Heading2">
    <w:name w:val="heading 2"/>
    <w:basedOn w:val="HeadingBase"/>
    <w:next w:val="Normal"/>
    <w:link w:val="Heading2Char"/>
    <w:qFormat/>
    <w:rsid w:val="00A11638"/>
    <w:pPr>
      <w:numPr>
        <w:numId w:val="23"/>
      </w:numPr>
      <w:spacing w:before="360" w:line="460" w:lineRule="exact"/>
      <w:ind w:left="397" w:hanging="397"/>
      <w:outlineLvl w:val="1"/>
    </w:pPr>
    <w:rPr>
      <w:bCs w:val="0"/>
      <w:iCs/>
      <w:color w:val="2C384A"/>
      <w:sz w:val="36"/>
      <w:szCs w:val="28"/>
    </w:rPr>
  </w:style>
  <w:style w:type="paragraph" w:styleId="Heading3">
    <w:name w:val="heading 3"/>
    <w:basedOn w:val="HeadingBase"/>
    <w:next w:val="Normal"/>
    <w:link w:val="Heading3Char"/>
    <w:qFormat/>
    <w:rsid w:val="00A11638"/>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A11638"/>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qFormat/>
    <w:rsid w:val="00A11638"/>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qFormat/>
    <w:rsid w:val="00A11638"/>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rsid w:val="00A11638"/>
    <w:pPr>
      <w:spacing w:after="0"/>
      <w:outlineLvl w:val="6"/>
    </w:pPr>
    <w:rPr>
      <w:rFonts w:ascii="Arial" w:hAnsi="Arial"/>
      <w:color w:val="000080"/>
      <w:sz w:val="19"/>
      <w:u w:val="single"/>
    </w:rPr>
  </w:style>
  <w:style w:type="paragraph" w:styleId="Heading8">
    <w:name w:val="heading 8"/>
    <w:basedOn w:val="Normal"/>
    <w:next w:val="Normal"/>
    <w:link w:val="Heading8Char"/>
    <w:rsid w:val="00A11638"/>
    <w:pPr>
      <w:keepNext/>
      <w:spacing w:after="60" w:line="0" w:lineRule="atLeast"/>
      <w:outlineLvl w:val="7"/>
    </w:pPr>
    <w:rPr>
      <w:b/>
      <w:color w:val="000080"/>
    </w:rPr>
  </w:style>
  <w:style w:type="paragraph" w:styleId="Heading9">
    <w:name w:val="heading 9"/>
    <w:basedOn w:val="Normal"/>
    <w:next w:val="Normal"/>
    <w:link w:val="Heading9Char"/>
    <w:rsid w:val="00A11638"/>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qFormat/>
    <w:rsid w:val="00A11638"/>
    <w:pPr>
      <w:keepNext/>
      <w:spacing w:after="120" w:line="240" w:lineRule="auto"/>
    </w:pPr>
    <w:rPr>
      <w:rFonts w:ascii="Calibri" w:eastAsia="Times New Roman" w:hAnsi="Calibri" w:cs="Arial"/>
      <w:bCs/>
      <w:color w:val="002C4A"/>
      <w:kern w:val="32"/>
      <w:sz w:val="48"/>
      <w:szCs w:val="36"/>
      <w:lang w:eastAsia="en-AU"/>
    </w:rPr>
  </w:style>
  <w:style w:type="character" w:customStyle="1" w:styleId="Heading1Char">
    <w:name w:val="Heading 1 Char"/>
    <w:basedOn w:val="DefaultParagraphFont"/>
    <w:link w:val="Heading1"/>
    <w:rsid w:val="00A11638"/>
    <w:rPr>
      <w:rFonts w:ascii="Calibri" w:eastAsia="Times New Roman" w:hAnsi="Calibri" w:cs="Arial"/>
      <w:b/>
      <w:bCs/>
      <w:color w:val="5D779D" w:themeColor="accent3"/>
      <w:kern w:val="32"/>
      <w:sz w:val="44"/>
      <w:szCs w:val="36"/>
      <w:lang w:eastAsia="en-AU"/>
    </w:rPr>
  </w:style>
  <w:style w:type="character" w:customStyle="1" w:styleId="Heading2Char">
    <w:name w:val="Heading 2 Char"/>
    <w:basedOn w:val="DefaultParagraphFont"/>
    <w:link w:val="Heading2"/>
    <w:rsid w:val="00A11638"/>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A11638"/>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A11638"/>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A11638"/>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A11638"/>
    <w:rPr>
      <w:rFonts w:ascii="Calibri Light" w:eastAsia="Times New Roman" w:hAnsi="Calibri Light" w:cs="Arial"/>
      <w:color w:val="000000" w:themeColor="text1"/>
      <w:kern w:val="32"/>
      <w:lang w:eastAsia="en-AU"/>
    </w:rPr>
  </w:style>
  <w:style w:type="character" w:customStyle="1" w:styleId="Heading7Char">
    <w:name w:val="Heading 7 Char"/>
    <w:basedOn w:val="DefaultParagraphFont"/>
    <w:link w:val="Heading7"/>
    <w:rsid w:val="00A11638"/>
    <w:rPr>
      <w:rFonts w:ascii="Arial" w:eastAsia="Times New Roman" w:hAnsi="Arial" w:cs="Times New Roman"/>
      <w:color w:val="000080"/>
      <w:sz w:val="19"/>
      <w:szCs w:val="20"/>
      <w:u w:val="single"/>
      <w:lang w:eastAsia="en-AU"/>
    </w:rPr>
  </w:style>
  <w:style w:type="character" w:customStyle="1" w:styleId="Heading8Char">
    <w:name w:val="Heading 8 Char"/>
    <w:basedOn w:val="DefaultParagraphFont"/>
    <w:link w:val="Heading8"/>
    <w:rsid w:val="00A11638"/>
    <w:rPr>
      <w:rFonts w:ascii="Calibri Light" w:eastAsia="Times New Roman" w:hAnsi="Calibri Light" w:cs="Times New Roman"/>
      <w:b/>
      <w:color w:val="000080"/>
      <w:szCs w:val="20"/>
      <w:lang w:eastAsia="en-AU"/>
    </w:rPr>
  </w:style>
  <w:style w:type="character" w:customStyle="1" w:styleId="Heading9Char">
    <w:name w:val="Heading 9 Char"/>
    <w:basedOn w:val="DefaultParagraphFont"/>
    <w:link w:val="Heading9"/>
    <w:rsid w:val="00A11638"/>
    <w:rPr>
      <w:rFonts w:ascii="Calibri Light" w:eastAsia="Times New Roman" w:hAnsi="Calibri Light" w:cs="Times New Roman"/>
      <w:color w:val="000080"/>
      <w:szCs w:val="20"/>
      <w:u w:val="single"/>
      <w:lang w:eastAsia="en-AU"/>
    </w:rPr>
  </w:style>
  <w:style w:type="paragraph" w:customStyle="1" w:styleId="ChartGraphic">
    <w:name w:val="Chart Graphic"/>
    <w:basedOn w:val="Normal"/>
    <w:next w:val="Normal"/>
    <w:rsid w:val="00A11638"/>
    <w:pPr>
      <w:keepNext/>
      <w:spacing w:before="0" w:after="0"/>
      <w:jc w:val="center"/>
    </w:pPr>
    <w:rPr>
      <w:color w:val="004A7F"/>
      <w:sz w:val="20"/>
    </w:rPr>
  </w:style>
  <w:style w:type="paragraph" w:customStyle="1" w:styleId="TableGraphic">
    <w:name w:val="Table Graphic"/>
    <w:basedOn w:val="HeadingBase"/>
    <w:next w:val="Normal"/>
    <w:qFormat/>
    <w:rsid w:val="00A11638"/>
    <w:pPr>
      <w:spacing w:after="0"/>
    </w:pPr>
  </w:style>
  <w:style w:type="paragraph" w:customStyle="1" w:styleId="AlphaParagraph">
    <w:name w:val="Alpha Paragraph"/>
    <w:basedOn w:val="Normal"/>
    <w:qFormat/>
    <w:rsid w:val="00A11638"/>
    <w:pPr>
      <w:numPr>
        <w:numId w:val="2"/>
      </w:numPr>
    </w:pPr>
  </w:style>
  <w:style w:type="paragraph" w:customStyle="1" w:styleId="AppendixHeading">
    <w:name w:val="Appendix Heading"/>
    <w:basedOn w:val="Heading1"/>
    <w:next w:val="Normal"/>
    <w:rsid w:val="00A11638"/>
    <w:pPr>
      <w:spacing w:before="720" w:after="360"/>
    </w:pPr>
    <w:rPr>
      <w:sz w:val="36"/>
    </w:rPr>
  </w:style>
  <w:style w:type="paragraph" w:styleId="BalloonText">
    <w:name w:val="Balloon Text"/>
    <w:basedOn w:val="Normal"/>
    <w:link w:val="BalloonTextChar"/>
    <w:rsid w:val="00A11638"/>
    <w:pPr>
      <w:spacing w:after="0"/>
    </w:pPr>
    <w:rPr>
      <w:rFonts w:ascii="Tahoma" w:hAnsi="Tahoma" w:cs="Tahoma"/>
      <w:sz w:val="16"/>
      <w:szCs w:val="16"/>
    </w:rPr>
  </w:style>
  <w:style w:type="character" w:customStyle="1" w:styleId="BalloonTextChar">
    <w:name w:val="Balloon Text Char"/>
    <w:basedOn w:val="DefaultParagraphFont"/>
    <w:link w:val="BalloonText"/>
    <w:rsid w:val="00A11638"/>
    <w:rPr>
      <w:rFonts w:ascii="Tahoma" w:eastAsia="Times New Roman" w:hAnsi="Tahoma" w:cs="Tahoma"/>
      <w:sz w:val="16"/>
      <w:szCs w:val="16"/>
      <w:lang w:eastAsia="en-AU"/>
    </w:rPr>
  </w:style>
  <w:style w:type="character" w:customStyle="1" w:styleId="Bold">
    <w:name w:val="Bold"/>
    <w:basedOn w:val="DefaultParagraphFont"/>
    <w:rsid w:val="00A11638"/>
    <w:rPr>
      <w:b/>
    </w:rPr>
  </w:style>
  <w:style w:type="paragraph" w:customStyle="1" w:styleId="BoxTextBase">
    <w:name w:val="Box Text Base"/>
    <w:basedOn w:val="Normal"/>
    <w:rsid w:val="00A11638"/>
  </w:style>
  <w:style w:type="paragraph" w:customStyle="1" w:styleId="BoxHeading">
    <w:name w:val="Box Heading"/>
    <w:basedOn w:val="Normal"/>
    <w:next w:val="Normal"/>
    <w:rsid w:val="00A11638"/>
    <w:pPr>
      <w:keepNext/>
      <w:spacing w:before="240"/>
    </w:pPr>
    <w:rPr>
      <w:b/>
      <w:color w:val="2C384A" w:themeColor="accent1"/>
      <w:sz w:val="26"/>
      <w:szCs w:val="26"/>
    </w:rPr>
  </w:style>
  <w:style w:type="paragraph" w:customStyle="1" w:styleId="BoxText">
    <w:name w:val="Box Text"/>
    <w:basedOn w:val="Normal"/>
    <w:link w:val="BoxTextChar"/>
    <w:rsid w:val="00A11638"/>
  </w:style>
  <w:style w:type="paragraph" w:customStyle="1" w:styleId="Bullet">
    <w:name w:val="Bullet"/>
    <w:basedOn w:val="Normal"/>
    <w:link w:val="BulletChar"/>
    <w:rsid w:val="00B4690E"/>
    <w:pPr>
      <w:keepLines/>
      <w:numPr>
        <w:numId w:val="20"/>
      </w:numPr>
      <w:tabs>
        <w:tab w:val="clear" w:pos="520"/>
        <w:tab w:val="left" w:pos="720"/>
      </w:tabs>
      <w:spacing w:after="0" w:line="276" w:lineRule="auto"/>
      <w:ind w:left="522" w:hanging="522"/>
    </w:pPr>
  </w:style>
  <w:style w:type="paragraph" w:styleId="NormalIndent">
    <w:name w:val="Normal Indent"/>
    <w:basedOn w:val="Normal"/>
    <w:rsid w:val="00A11638"/>
    <w:pPr>
      <w:ind w:left="567"/>
    </w:pPr>
    <w:rPr>
      <w:rFonts w:ascii="Book Antiqua" w:hAnsi="Book Antiqua"/>
      <w:sz w:val="20"/>
    </w:rPr>
  </w:style>
  <w:style w:type="paragraph" w:customStyle="1" w:styleId="ChartandTableFootnoteAlpha">
    <w:name w:val="Chart and Table Footnote Alpha"/>
    <w:rsid w:val="00A11638"/>
    <w:pPr>
      <w:numPr>
        <w:numId w:val="21"/>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A11638"/>
    <w:pPr>
      <w:jc w:val="center"/>
    </w:pPr>
  </w:style>
  <w:style w:type="paragraph" w:customStyle="1" w:styleId="ChartorTableNote">
    <w:name w:val="Chart or Table Note"/>
    <w:next w:val="Normal"/>
    <w:autoRedefine/>
    <w:rsid w:val="00EE18B1"/>
    <w:pPr>
      <w:spacing w:before="60" w:after="240" w:line="240" w:lineRule="auto"/>
      <w:contextualSpacing/>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A11638"/>
    <w:pPr>
      <w:jc w:val="center"/>
    </w:pPr>
    <w:rPr>
      <w:bCs/>
    </w:rPr>
  </w:style>
  <w:style w:type="paragraph" w:customStyle="1" w:styleId="Classification">
    <w:name w:val="Classification"/>
    <w:basedOn w:val="HeadingBase"/>
    <w:next w:val="Footer"/>
    <w:rsid w:val="00A11638"/>
    <w:pPr>
      <w:jc w:val="center"/>
    </w:pPr>
    <w:rPr>
      <w:b/>
      <w:smallCaps/>
    </w:rPr>
  </w:style>
  <w:style w:type="paragraph" w:styleId="Footer">
    <w:name w:val="footer"/>
    <w:basedOn w:val="Normal"/>
    <w:link w:val="FooterChar"/>
    <w:uiPriority w:val="99"/>
    <w:rsid w:val="00A11638"/>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A11638"/>
    <w:rPr>
      <w:rFonts w:ascii="Arial" w:eastAsia="Times New Roman" w:hAnsi="Arial" w:cs="Times New Roman"/>
      <w:color w:val="003157"/>
      <w:sz w:val="18"/>
      <w:szCs w:val="20"/>
      <w:lang w:eastAsia="en-AU"/>
    </w:rPr>
  </w:style>
  <w:style w:type="paragraph" w:customStyle="1" w:styleId="ContentsHeading">
    <w:name w:val="Contents Heading"/>
    <w:basedOn w:val="Normal"/>
    <w:next w:val="Normal"/>
    <w:rsid w:val="00A11638"/>
    <w:pPr>
      <w:spacing w:before="600"/>
    </w:pPr>
    <w:rPr>
      <w:rFonts w:asciiTheme="majorHAnsi" w:hAnsiTheme="majorHAnsi"/>
      <w:b/>
      <w:color w:val="5D779D" w:themeColor="accent3"/>
      <w:kern w:val="28"/>
      <w:sz w:val="44"/>
    </w:rPr>
  </w:style>
  <w:style w:type="paragraph" w:customStyle="1" w:styleId="Dash">
    <w:name w:val="Dash"/>
    <w:basedOn w:val="Normal"/>
    <w:rsid w:val="00A11638"/>
    <w:pPr>
      <w:numPr>
        <w:ilvl w:val="1"/>
        <w:numId w:val="1"/>
      </w:numPr>
    </w:pPr>
  </w:style>
  <w:style w:type="paragraph" w:customStyle="1" w:styleId="DoubleDot">
    <w:name w:val="Double Dot"/>
    <w:basedOn w:val="Normal"/>
    <w:link w:val="DoubleDotChar"/>
    <w:uiPriority w:val="99"/>
    <w:qFormat/>
    <w:rsid w:val="00A11638"/>
    <w:pPr>
      <w:numPr>
        <w:ilvl w:val="2"/>
        <w:numId w:val="1"/>
      </w:numPr>
      <w:spacing w:before="0"/>
    </w:pPr>
  </w:style>
  <w:style w:type="paragraph" w:customStyle="1" w:styleId="TableMainHeading">
    <w:name w:val="Table Main Heading"/>
    <w:basedOn w:val="Heading3"/>
    <w:next w:val="Normal"/>
    <w:rsid w:val="00A11638"/>
    <w:pPr>
      <w:spacing w:before="120"/>
    </w:pPr>
    <w:rPr>
      <w:b w:val="0"/>
      <w:sz w:val="26"/>
    </w:rPr>
  </w:style>
  <w:style w:type="paragraph" w:customStyle="1" w:styleId="FooterCentered">
    <w:name w:val="Footer Centered"/>
    <w:basedOn w:val="Footer"/>
    <w:rsid w:val="00A11638"/>
    <w:pPr>
      <w:jc w:val="center"/>
    </w:pPr>
  </w:style>
  <w:style w:type="paragraph" w:customStyle="1" w:styleId="FooterEven">
    <w:name w:val="Footer Even"/>
    <w:basedOn w:val="Footer"/>
    <w:rsid w:val="00A11638"/>
    <w:pPr>
      <w:keepNext/>
      <w:tabs>
        <w:tab w:val="clear" w:pos="5670"/>
      </w:tabs>
      <w:spacing w:before="0"/>
      <w:jc w:val="left"/>
    </w:pPr>
    <w:rPr>
      <w:rFonts w:ascii="Calibri Light" w:hAnsi="Calibri Light"/>
      <w:noProof/>
      <w:color w:val="2C384A" w:themeColor="accent1"/>
      <w:sz w:val="20"/>
    </w:rPr>
  </w:style>
  <w:style w:type="paragraph" w:customStyle="1" w:styleId="FooterOdd">
    <w:name w:val="Footer Odd"/>
    <w:basedOn w:val="Footer"/>
    <w:rsid w:val="00A11638"/>
    <w:pPr>
      <w:keepNext/>
      <w:tabs>
        <w:tab w:val="clear" w:pos="5670"/>
      </w:tabs>
      <w:spacing w:before="0"/>
    </w:pPr>
    <w:rPr>
      <w:rFonts w:ascii="Calibri Light" w:hAnsi="Calibri Light"/>
      <w:color w:val="2C384A" w:themeColor="accent1"/>
      <w:sz w:val="20"/>
    </w:rPr>
  </w:style>
  <w:style w:type="character" w:styleId="FootnoteReference">
    <w:name w:val="footnote reference"/>
    <w:basedOn w:val="DefaultParagraphFont"/>
    <w:uiPriority w:val="99"/>
    <w:rsid w:val="00CA6229"/>
    <w:rPr>
      <w:sz w:val="18"/>
      <w:vertAlign w:val="superscript"/>
    </w:rPr>
  </w:style>
  <w:style w:type="paragraph" w:styleId="FootnoteText">
    <w:name w:val="footnote text"/>
    <w:basedOn w:val="Normal"/>
    <w:link w:val="FootnoteTextChar"/>
    <w:uiPriority w:val="99"/>
    <w:rsid w:val="00A11638"/>
    <w:pPr>
      <w:spacing w:before="0" w:after="0"/>
      <w:ind w:left="397" w:hanging="397"/>
    </w:pPr>
    <w:rPr>
      <w:sz w:val="20"/>
    </w:rPr>
  </w:style>
  <w:style w:type="character" w:customStyle="1" w:styleId="FootnoteTextChar">
    <w:name w:val="Footnote Text Char"/>
    <w:basedOn w:val="DefaultParagraphFont"/>
    <w:link w:val="FootnoteText"/>
    <w:uiPriority w:val="99"/>
    <w:rsid w:val="00A11638"/>
    <w:rPr>
      <w:rFonts w:ascii="Calibri Light" w:eastAsia="Times New Roman" w:hAnsi="Calibri Light" w:cs="Times New Roman"/>
      <w:sz w:val="20"/>
      <w:szCs w:val="20"/>
      <w:lang w:eastAsia="en-AU"/>
    </w:rPr>
  </w:style>
  <w:style w:type="character" w:customStyle="1" w:styleId="FramedFooter">
    <w:name w:val="Framed Footer"/>
    <w:rsid w:val="00A11638"/>
    <w:rPr>
      <w:rFonts w:ascii="Arial" w:hAnsi="Arial"/>
      <w:sz w:val="18"/>
    </w:rPr>
  </w:style>
  <w:style w:type="character" w:customStyle="1" w:styleId="FramedHeader">
    <w:name w:val="Framed Header"/>
    <w:basedOn w:val="DefaultParagraphFont"/>
    <w:rsid w:val="00A11638"/>
    <w:rPr>
      <w:rFonts w:ascii="Arial" w:hAnsi="Arial"/>
      <w:dstrike w:val="0"/>
      <w:color w:val="auto"/>
      <w:sz w:val="18"/>
      <w:vertAlign w:val="baseline"/>
    </w:rPr>
  </w:style>
  <w:style w:type="paragraph" w:styleId="Header">
    <w:name w:val="header"/>
    <w:basedOn w:val="HeadingBaseStyle"/>
    <w:link w:val="HeaderChar"/>
    <w:rsid w:val="00A11638"/>
    <w:pPr>
      <w:jc w:val="center"/>
    </w:pPr>
    <w:rPr>
      <w:sz w:val="18"/>
    </w:rPr>
  </w:style>
  <w:style w:type="character" w:customStyle="1" w:styleId="HeaderChar">
    <w:name w:val="Header Char"/>
    <w:basedOn w:val="DefaultParagraphFont"/>
    <w:link w:val="Header"/>
    <w:rsid w:val="00A11638"/>
    <w:rPr>
      <w:rFonts w:ascii="Arial" w:eastAsia="Times New Roman" w:hAnsi="Arial" w:cs="Times New Roman"/>
      <w:color w:val="2C384A" w:themeColor="accent1"/>
      <w:sz w:val="18"/>
      <w:szCs w:val="20"/>
      <w:lang w:eastAsia="en-AU"/>
    </w:rPr>
  </w:style>
  <w:style w:type="paragraph" w:customStyle="1" w:styleId="HeaderEven">
    <w:name w:val="Header Even"/>
    <w:basedOn w:val="Header"/>
    <w:qFormat/>
    <w:rsid w:val="00A11638"/>
    <w:pPr>
      <w:spacing w:before="0"/>
      <w:jc w:val="left"/>
    </w:pPr>
    <w:rPr>
      <w:rFonts w:ascii="Calibri Light" w:hAnsi="Calibri Light"/>
      <w:color w:val="002C47"/>
      <w:sz w:val="20"/>
    </w:rPr>
  </w:style>
  <w:style w:type="paragraph" w:customStyle="1" w:styleId="HeaderOdd">
    <w:name w:val="Header Odd"/>
    <w:basedOn w:val="Header"/>
    <w:qFormat/>
    <w:rsid w:val="00A11638"/>
    <w:pPr>
      <w:spacing w:before="0"/>
      <w:jc w:val="right"/>
    </w:pPr>
    <w:rPr>
      <w:rFonts w:ascii="Calibri Light" w:hAnsi="Calibri Light"/>
      <w:color w:val="002C47"/>
      <w:sz w:val="20"/>
    </w:rPr>
  </w:style>
  <w:style w:type="character" w:styleId="Hyperlink">
    <w:name w:val="Hyperlink"/>
    <w:basedOn w:val="DefaultParagraphFont"/>
    <w:uiPriority w:val="99"/>
    <w:rsid w:val="00A11638"/>
    <w:rPr>
      <w:color w:val="3A6FAF"/>
      <w:u w:val="none"/>
    </w:rPr>
  </w:style>
  <w:style w:type="character" w:customStyle="1" w:styleId="italic">
    <w:name w:val="italic"/>
    <w:basedOn w:val="DefaultParagraphFont"/>
    <w:rsid w:val="00A11638"/>
    <w:rPr>
      <w:i/>
    </w:rPr>
  </w:style>
  <w:style w:type="paragraph" w:styleId="NormalWeb">
    <w:name w:val="Normal (Web)"/>
    <w:basedOn w:val="Normal"/>
    <w:uiPriority w:val="99"/>
    <w:unhideWhenUsed/>
    <w:rsid w:val="00A11638"/>
    <w:pPr>
      <w:spacing w:before="100" w:beforeAutospacing="1" w:after="100" w:afterAutospacing="1"/>
    </w:pPr>
    <w:rPr>
      <w:rFonts w:ascii="Times New Roman" w:hAnsi="Times New Roman"/>
      <w:szCs w:val="24"/>
    </w:rPr>
  </w:style>
  <w:style w:type="paragraph" w:customStyle="1" w:styleId="OutlineNumbered1">
    <w:name w:val="Outline Numbered 1"/>
    <w:basedOn w:val="Normal"/>
    <w:rsid w:val="00A11638"/>
    <w:pPr>
      <w:numPr>
        <w:numId w:val="8"/>
      </w:numPr>
    </w:pPr>
  </w:style>
  <w:style w:type="paragraph" w:customStyle="1" w:styleId="OneLevelNumberedParagraph">
    <w:name w:val="One Level Numbered Paragraph"/>
    <w:basedOn w:val="Normal"/>
    <w:rsid w:val="00A11638"/>
    <w:pPr>
      <w:numPr>
        <w:numId w:val="7"/>
      </w:numPr>
    </w:pPr>
  </w:style>
  <w:style w:type="paragraph" w:customStyle="1" w:styleId="OutlineNumbered2">
    <w:name w:val="Outline Numbered 2"/>
    <w:basedOn w:val="Normal"/>
    <w:rsid w:val="00A11638"/>
    <w:pPr>
      <w:numPr>
        <w:ilvl w:val="1"/>
        <w:numId w:val="8"/>
      </w:numPr>
    </w:pPr>
  </w:style>
  <w:style w:type="paragraph" w:customStyle="1" w:styleId="OutlineNumbered3">
    <w:name w:val="Outline Numbered 3"/>
    <w:basedOn w:val="Normal"/>
    <w:rsid w:val="00A11638"/>
    <w:pPr>
      <w:numPr>
        <w:ilvl w:val="2"/>
        <w:numId w:val="8"/>
      </w:numPr>
    </w:pPr>
  </w:style>
  <w:style w:type="character" w:styleId="PageNumber">
    <w:name w:val="page number"/>
    <w:basedOn w:val="DefaultParagraphFont"/>
    <w:rsid w:val="00A11638"/>
    <w:rPr>
      <w:rFonts w:asciiTheme="minorHAnsi" w:hAnsiTheme="minorHAnsi"/>
      <w:color w:val="003057"/>
      <w:sz w:val="22"/>
    </w:rPr>
  </w:style>
  <w:style w:type="paragraph" w:customStyle="1" w:styleId="Romannumeral">
    <w:name w:val="Roman numeral"/>
    <w:basedOn w:val="Normal"/>
    <w:rsid w:val="00A11638"/>
    <w:pPr>
      <w:numPr>
        <w:numId w:val="10"/>
      </w:numPr>
    </w:pPr>
  </w:style>
  <w:style w:type="paragraph" w:customStyle="1" w:styleId="SingleParagraph">
    <w:name w:val="Single Paragraph"/>
    <w:basedOn w:val="Normal"/>
    <w:link w:val="SingleParagraphChar"/>
    <w:rsid w:val="00A11638"/>
    <w:pPr>
      <w:spacing w:before="0" w:after="0"/>
    </w:pPr>
  </w:style>
  <w:style w:type="paragraph" w:customStyle="1" w:styleId="TableSecondHeading">
    <w:name w:val="Table Second Heading"/>
    <w:basedOn w:val="Normal"/>
    <w:next w:val="Normal"/>
    <w:rsid w:val="00A11638"/>
    <w:pPr>
      <w:keepNext/>
      <w:spacing w:before="0" w:after="20"/>
    </w:pPr>
    <w:rPr>
      <w:color w:val="004A7F"/>
    </w:rPr>
  </w:style>
  <w:style w:type="paragraph" w:customStyle="1" w:styleId="TableTextBase">
    <w:name w:val="Table Text Base"/>
    <w:rsid w:val="00A11638"/>
    <w:pPr>
      <w:spacing w:before="40" w:after="40" w:line="240" w:lineRule="auto"/>
    </w:pPr>
    <w:rPr>
      <w:rFonts w:ascii="Calibri Light" w:eastAsia="Times New Roman" w:hAnsi="Calibri Light" w:cs="Times New Roman"/>
      <w:sz w:val="18"/>
      <w:szCs w:val="20"/>
      <w:lang w:eastAsia="en-AU"/>
    </w:rPr>
  </w:style>
  <w:style w:type="paragraph" w:customStyle="1" w:styleId="TableColumnHeadingCentred">
    <w:name w:val="Table Column Heading Centred"/>
    <w:basedOn w:val="TableTextLeft"/>
    <w:rsid w:val="00A11638"/>
    <w:pPr>
      <w:jc w:val="center"/>
    </w:pPr>
    <w:rPr>
      <w:b/>
      <w:color w:val="004A7F"/>
      <w:sz w:val="20"/>
    </w:rPr>
  </w:style>
  <w:style w:type="paragraph" w:customStyle="1" w:styleId="TableColumnHeadingBase">
    <w:name w:val="Table Column Heading Base"/>
    <w:basedOn w:val="Normal"/>
    <w:rsid w:val="00A11638"/>
    <w:pPr>
      <w:spacing w:before="40" w:after="40"/>
    </w:pPr>
    <w:rPr>
      <w:b/>
      <w:color w:val="5D779D" w:themeColor="accent3"/>
      <w:sz w:val="20"/>
    </w:rPr>
  </w:style>
  <w:style w:type="paragraph" w:customStyle="1" w:styleId="TableColumnHeadingLeft">
    <w:name w:val="Table Column Heading Left"/>
    <w:basedOn w:val="TableTextLeft"/>
    <w:rsid w:val="00A11638"/>
    <w:rPr>
      <w:b/>
      <w:color w:val="004A7F"/>
      <w:sz w:val="20"/>
    </w:rPr>
  </w:style>
  <w:style w:type="paragraph" w:customStyle="1" w:styleId="TableColumnHeadingRight">
    <w:name w:val="Table Column Heading Right"/>
    <w:basedOn w:val="TableTextLeft"/>
    <w:rsid w:val="00A11638"/>
    <w:pPr>
      <w:jc w:val="right"/>
    </w:pPr>
    <w:rPr>
      <w:b/>
      <w:color w:val="004A7F"/>
      <w:sz w:val="20"/>
    </w:rPr>
  </w:style>
  <w:style w:type="table" w:styleId="TableGrid">
    <w:name w:val="Table Grid"/>
    <w:basedOn w:val="TableNormal"/>
    <w:rsid w:val="00A11638"/>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A11638"/>
    <w:pPr>
      <w:pageBreakBefore/>
      <w:spacing w:after="20"/>
    </w:pPr>
    <w:rPr>
      <w:b/>
      <w:color w:val="2C384A" w:themeColor="accent1"/>
      <w:sz w:val="22"/>
    </w:rPr>
  </w:style>
  <w:style w:type="paragraph" w:customStyle="1" w:styleId="TableTextCentered">
    <w:name w:val="Table Text Centered"/>
    <w:basedOn w:val="TableTextRight"/>
    <w:rsid w:val="00A11638"/>
    <w:pPr>
      <w:jc w:val="center"/>
    </w:pPr>
  </w:style>
  <w:style w:type="paragraph" w:customStyle="1" w:styleId="TableTextIndented">
    <w:name w:val="Table Text Indented"/>
    <w:basedOn w:val="TableTextLeft"/>
    <w:qFormat/>
    <w:rsid w:val="00A11638"/>
    <w:pPr>
      <w:ind w:left="284"/>
    </w:pPr>
  </w:style>
  <w:style w:type="paragraph" w:customStyle="1" w:styleId="TableTextLeft">
    <w:name w:val="Table Text Left"/>
    <w:basedOn w:val="TableTextRight"/>
    <w:rsid w:val="00A11638"/>
    <w:pPr>
      <w:jc w:val="left"/>
    </w:pPr>
  </w:style>
  <w:style w:type="paragraph" w:customStyle="1" w:styleId="TableTextRight">
    <w:name w:val="Table Text Right"/>
    <w:basedOn w:val="Normal"/>
    <w:rsid w:val="00A11638"/>
    <w:pPr>
      <w:spacing w:before="40" w:after="40"/>
      <w:jc w:val="right"/>
    </w:pPr>
    <w:rPr>
      <w:color w:val="000000"/>
      <w:sz w:val="18"/>
    </w:rPr>
  </w:style>
  <w:style w:type="paragraph" w:styleId="TOC1">
    <w:name w:val="toc 1"/>
    <w:basedOn w:val="Normal"/>
    <w:next w:val="Normal"/>
    <w:uiPriority w:val="39"/>
    <w:qFormat/>
    <w:rsid w:val="00A11638"/>
    <w:pPr>
      <w:keepNext/>
      <w:tabs>
        <w:tab w:val="right" w:leader="dot" w:pos="9072"/>
      </w:tabs>
      <w:spacing w:before="180" w:after="0"/>
      <w:ind w:right="-2"/>
    </w:pPr>
    <w:rPr>
      <w:b/>
      <w:noProof/>
      <w:color w:val="002C4A"/>
      <w:szCs w:val="22"/>
    </w:rPr>
  </w:style>
  <w:style w:type="paragraph" w:styleId="TOC2">
    <w:name w:val="toc 2"/>
    <w:basedOn w:val="Normal"/>
    <w:next w:val="Normal"/>
    <w:uiPriority w:val="39"/>
    <w:qFormat/>
    <w:rsid w:val="00A11638"/>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A11638"/>
    <w:pPr>
      <w:tabs>
        <w:tab w:val="right" w:leader="dot" w:pos="9072"/>
      </w:tabs>
      <w:spacing w:before="20" w:after="0"/>
      <w:ind w:left="284" w:right="-2"/>
    </w:pPr>
    <w:rPr>
      <w:rFonts w:cs="Calibri"/>
      <w:noProof/>
    </w:rPr>
  </w:style>
  <w:style w:type="paragraph" w:styleId="TOC4">
    <w:name w:val="toc 4"/>
    <w:basedOn w:val="Normal"/>
    <w:next w:val="Normal"/>
    <w:autoRedefine/>
    <w:rsid w:val="00A11638"/>
    <w:pPr>
      <w:tabs>
        <w:tab w:val="left" w:pos="1531"/>
        <w:tab w:val="right" w:leader="dot" w:pos="7711"/>
      </w:tabs>
      <w:ind w:left="1560" w:hanging="959"/>
    </w:pPr>
    <w:rPr>
      <w:noProof/>
    </w:rPr>
  </w:style>
  <w:style w:type="character" w:customStyle="1" w:styleId="BoldandItalic">
    <w:name w:val="Bold and Italic"/>
    <w:basedOn w:val="DefaultParagraphFont"/>
    <w:rsid w:val="00A11638"/>
    <w:rPr>
      <w:rFonts w:ascii="Arial" w:hAnsi="Arial"/>
      <w:b/>
      <w:i/>
    </w:rPr>
  </w:style>
  <w:style w:type="paragraph" w:styleId="DocumentMap">
    <w:name w:val="Document Map"/>
    <w:basedOn w:val="Normal"/>
    <w:link w:val="DocumentMapChar"/>
    <w:semiHidden/>
    <w:rsid w:val="00A11638"/>
    <w:pPr>
      <w:shd w:val="clear" w:color="auto" w:fill="00CCFF"/>
    </w:pPr>
    <w:rPr>
      <w:rFonts w:ascii="Tahoma" w:hAnsi="Tahoma" w:cs="Tahoma"/>
    </w:rPr>
  </w:style>
  <w:style w:type="character" w:customStyle="1" w:styleId="DocumentMapChar">
    <w:name w:val="Document Map Char"/>
    <w:basedOn w:val="DefaultParagraphFont"/>
    <w:link w:val="DocumentMap"/>
    <w:semiHidden/>
    <w:rsid w:val="00A11638"/>
    <w:rPr>
      <w:rFonts w:ascii="Tahoma" w:eastAsia="Times New Roman" w:hAnsi="Tahoma" w:cs="Tahoma"/>
      <w:szCs w:val="20"/>
      <w:shd w:val="clear" w:color="auto" w:fill="00CCFF"/>
      <w:lang w:eastAsia="en-AU"/>
    </w:rPr>
  </w:style>
  <w:style w:type="character" w:styleId="EndnoteReference">
    <w:name w:val="endnote reference"/>
    <w:basedOn w:val="DefaultParagraphFont"/>
    <w:rsid w:val="00A11638"/>
    <w:rPr>
      <w:vertAlign w:val="superscript"/>
    </w:rPr>
  </w:style>
  <w:style w:type="paragraph" w:styleId="EndnoteText">
    <w:name w:val="endnote text"/>
    <w:basedOn w:val="Normal"/>
    <w:link w:val="EndnoteTextChar"/>
    <w:rsid w:val="00A11638"/>
    <w:pPr>
      <w:spacing w:after="0"/>
    </w:pPr>
    <w:rPr>
      <w:sz w:val="20"/>
    </w:rPr>
  </w:style>
  <w:style w:type="character" w:customStyle="1" w:styleId="EndnoteTextChar">
    <w:name w:val="Endnote Text Char"/>
    <w:basedOn w:val="DefaultParagraphFont"/>
    <w:link w:val="EndnoteText"/>
    <w:rsid w:val="00A11638"/>
    <w:rPr>
      <w:rFonts w:ascii="Calibri Light" w:eastAsia="Times New Roman" w:hAnsi="Calibri Light" w:cs="Times New Roman"/>
      <w:sz w:val="20"/>
      <w:szCs w:val="20"/>
      <w:lang w:eastAsia="en-AU"/>
    </w:rPr>
  </w:style>
  <w:style w:type="character" w:styleId="FollowedHyperlink">
    <w:name w:val="FollowedHyperlink"/>
    <w:basedOn w:val="DefaultParagraphFont"/>
    <w:rsid w:val="00A11638"/>
    <w:rPr>
      <w:color w:val="auto"/>
      <w:u w:val="none"/>
    </w:rPr>
  </w:style>
  <w:style w:type="paragraph" w:styleId="Index1">
    <w:name w:val="index 1"/>
    <w:basedOn w:val="Normal"/>
    <w:next w:val="Normal"/>
    <w:autoRedefine/>
    <w:semiHidden/>
    <w:rsid w:val="00A11638"/>
    <w:pPr>
      <w:spacing w:after="0"/>
      <w:ind w:left="238" w:hanging="238"/>
    </w:pPr>
  </w:style>
  <w:style w:type="paragraph" w:styleId="Index2">
    <w:name w:val="index 2"/>
    <w:basedOn w:val="Normal"/>
    <w:next w:val="Normal"/>
    <w:autoRedefine/>
    <w:semiHidden/>
    <w:rsid w:val="00A11638"/>
    <w:pPr>
      <w:spacing w:after="0"/>
      <w:ind w:left="480" w:hanging="240"/>
    </w:pPr>
    <w:rPr>
      <w:sz w:val="20"/>
    </w:rPr>
  </w:style>
  <w:style w:type="paragraph" w:styleId="Index3">
    <w:name w:val="index 3"/>
    <w:basedOn w:val="Normal"/>
    <w:next w:val="Normal"/>
    <w:autoRedefine/>
    <w:semiHidden/>
    <w:rsid w:val="00A11638"/>
    <w:pPr>
      <w:ind w:left="600" w:hanging="200"/>
    </w:pPr>
  </w:style>
  <w:style w:type="paragraph" w:styleId="Index4">
    <w:name w:val="index 4"/>
    <w:basedOn w:val="Normal"/>
    <w:next w:val="Normal"/>
    <w:autoRedefine/>
    <w:semiHidden/>
    <w:rsid w:val="00A11638"/>
    <w:pPr>
      <w:ind w:left="800" w:hanging="200"/>
    </w:pPr>
  </w:style>
  <w:style w:type="paragraph" w:styleId="Index5">
    <w:name w:val="index 5"/>
    <w:basedOn w:val="Normal"/>
    <w:next w:val="Normal"/>
    <w:autoRedefine/>
    <w:semiHidden/>
    <w:rsid w:val="00A11638"/>
    <w:pPr>
      <w:ind w:left="1000" w:hanging="200"/>
    </w:pPr>
  </w:style>
  <w:style w:type="paragraph" w:styleId="Index6">
    <w:name w:val="index 6"/>
    <w:basedOn w:val="Normal"/>
    <w:next w:val="Normal"/>
    <w:autoRedefine/>
    <w:semiHidden/>
    <w:rsid w:val="00A11638"/>
    <w:pPr>
      <w:ind w:left="1200" w:hanging="200"/>
    </w:pPr>
  </w:style>
  <w:style w:type="paragraph" w:styleId="Index7">
    <w:name w:val="index 7"/>
    <w:basedOn w:val="Normal"/>
    <w:next w:val="Normal"/>
    <w:autoRedefine/>
    <w:semiHidden/>
    <w:rsid w:val="00A11638"/>
    <w:pPr>
      <w:ind w:left="1400" w:hanging="200"/>
    </w:pPr>
  </w:style>
  <w:style w:type="paragraph" w:styleId="Index8">
    <w:name w:val="index 8"/>
    <w:basedOn w:val="Normal"/>
    <w:next w:val="Normal"/>
    <w:autoRedefine/>
    <w:semiHidden/>
    <w:rsid w:val="00A11638"/>
    <w:pPr>
      <w:ind w:left="1600" w:hanging="200"/>
    </w:pPr>
  </w:style>
  <w:style w:type="paragraph" w:styleId="Index9">
    <w:name w:val="index 9"/>
    <w:basedOn w:val="Normal"/>
    <w:next w:val="Normal"/>
    <w:autoRedefine/>
    <w:semiHidden/>
    <w:rsid w:val="00A11638"/>
    <w:pPr>
      <w:ind w:left="1800" w:hanging="200"/>
    </w:pPr>
  </w:style>
  <w:style w:type="paragraph" w:styleId="IndexHeading">
    <w:name w:val="index heading"/>
    <w:basedOn w:val="Normal"/>
    <w:next w:val="Index1"/>
    <w:semiHidden/>
    <w:rsid w:val="00A11638"/>
    <w:pPr>
      <w:pBdr>
        <w:top w:val="single" w:sz="12" w:space="0" w:color="auto"/>
      </w:pBdr>
      <w:spacing w:before="360"/>
    </w:pPr>
    <w:rPr>
      <w:rFonts w:ascii="Times New Roman" w:hAnsi="Times New Roman"/>
      <w:b/>
      <w:i/>
    </w:rPr>
  </w:style>
  <w:style w:type="paragraph" w:styleId="MacroText">
    <w:name w:val="macro"/>
    <w:link w:val="MacroTextChar"/>
    <w:semiHidden/>
    <w:rsid w:val="00A11638"/>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A11638"/>
    <w:rPr>
      <w:rFonts w:ascii="Courier New" w:eastAsia="Times New Roman" w:hAnsi="Courier New" w:cs="Courier New"/>
      <w:color w:val="000000"/>
      <w:sz w:val="20"/>
      <w:szCs w:val="20"/>
      <w:lang w:eastAsia="en-AU"/>
    </w:rPr>
  </w:style>
  <w:style w:type="numbering" w:customStyle="1" w:styleId="OutlineList">
    <w:name w:val="OutlineList"/>
    <w:uiPriority w:val="99"/>
    <w:rsid w:val="00A11638"/>
    <w:pPr>
      <w:numPr>
        <w:numId w:val="4"/>
      </w:numPr>
    </w:pPr>
  </w:style>
  <w:style w:type="paragraph" w:customStyle="1" w:styleId="PictureCentred">
    <w:name w:val="Picture Centred"/>
    <w:basedOn w:val="Normal"/>
    <w:rsid w:val="00A11638"/>
    <w:pPr>
      <w:spacing w:line="240" w:lineRule="atLeast"/>
      <w:jc w:val="center"/>
    </w:pPr>
  </w:style>
  <w:style w:type="paragraph" w:customStyle="1" w:styleId="PictureLeft">
    <w:name w:val="Picture Left"/>
    <w:basedOn w:val="PictureCentred"/>
    <w:rsid w:val="00A11638"/>
    <w:pPr>
      <w:jc w:val="left"/>
    </w:pPr>
  </w:style>
  <w:style w:type="paragraph" w:customStyle="1" w:styleId="PictureIndent">
    <w:name w:val="Picture Indent"/>
    <w:basedOn w:val="PictureLeft"/>
    <w:rsid w:val="00A11638"/>
    <w:pPr>
      <w:ind w:left="284"/>
    </w:pPr>
  </w:style>
  <w:style w:type="paragraph" w:styleId="TableofAuthorities">
    <w:name w:val="table of authorities"/>
    <w:basedOn w:val="Normal"/>
    <w:next w:val="Normal"/>
    <w:rsid w:val="00A11638"/>
    <w:pPr>
      <w:ind w:left="200" w:hanging="200"/>
    </w:pPr>
  </w:style>
  <w:style w:type="paragraph" w:styleId="TableofFigures">
    <w:name w:val="table of figures"/>
    <w:basedOn w:val="Normal"/>
    <w:next w:val="Normal"/>
    <w:rsid w:val="00A11638"/>
  </w:style>
  <w:style w:type="paragraph" w:styleId="TOAHeading">
    <w:name w:val="toa heading"/>
    <w:basedOn w:val="Normal"/>
    <w:next w:val="Normal"/>
    <w:semiHidden/>
    <w:rsid w:val="00A11638"/>
    <w:rPr>
      <w:rFonts w:ascii="Arial" w:hAnsi="Arial" w:cs="Arial"/>
      <w:b/>
      <w:bCs/>
      <w:sz w:val="24"/>
      <w:szCs w:val="24"/>
    </w:rPr>
  </w:style>
  <w:style w:type="paragraph" w:styleId="TOC5">
    <w:name w:val="toc 5"/>
    <w:basedOn w:val="Normal"/>
    <w:next w:val="Normal"/>
    <w:autoRedefine/>
    <w:semiHidden/>
    <w:rsid w:val="00A11638"/>
    <w:pPr>
      <w:ind w:left="1040"/>
    </w:pPr>
  </w:style>
  <w:style w:type="paragraph" w:styleId="TOC6">
    <w:name w:val="toc 6"/>
    <w:basedOn w:val="Normal"/>
    <w:next w:val="Normal"/>
    <w:autoRedefine/>
    <w:semiHidden/>
    <w:rsid w:val="00A11638"/>
    <w:pPr>
      <w:ind w:left="1300"/>
    </w:pPr>
  </w:style>
  <w:style w:type="paragraph" w:styleId="TOC7">
    <w:name w:val="toc 7"/>
    <w:basedOn w:val="Normal"/>
    <w:next w:val="Normal"/>
    <w:autoRedefine/>
    <w:semiHidden/>
    <w:rsid w:val="00A11638"/>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A11638"/>
    <w:pPr>
      <w:tabs>
        <w:tab w:val="right" w:leader="dot" w:pos="7711"/>
      </w:tabs>
      <w:spacing w:after="0"/>
      <w:ind w:left="1134"/>
    </w:pPr>
    <w:rPr>
      <w:noProof/>
    </w:rPr>
  </w:style>
  <w:style w:type="paragraph" w:styleId="TOC9">
    <w:name w:val="toc 9"/>
    <w:basedOn w:val="Normal"/>
    <w:next w:val="Normal"/>
    <w:autoRedefine/>
    <w:semiHidden/>
    <w:rsid w:val="00A11638"/>
    <w:pPr>
      <w:ind w:left="2080"/>
    </w:pPr>
  </w:style>
  <w:style w:type="numbering" w:customStyle="1" w:styleId="BulletedList">
    <w:name w:val="Bulleted List"/>
    <w:uiPriority w:val="99"/>
    <w:rsid w:val="00A11638"/>
    <w:pPr>
      <w:numPr>
        <w:numId w:val="1"/>
      </w:numPr>
    </w:pPr>
  </w:style>
  <w:style w:type="numbering" w:customStyle="1" w:styleId="BoxBulletedList">
    <w:name w:val="Box Bulleted List"/>
    <w:uiPriority w:val="99"/>
    <w:rsid w:val="00A11638"/>
    <w:pPr>
      <w:numPr>
        <w:numId w:val="19"/>
      </w:numPr>
    </w:pPr>
  </w:style>
  <w:style w:type="numbering" w:customStyle="1" w:styleId="AlphaParagraphList">
    <w:name w:val="Alpha Paragraph List"/>
    <w:uiPriority w:val="99"/>
    <w:rsid w:val="00A11638"/>
    <w:pPr>
      <w:numPr>
        <w:numId w:val="2"/>
      </w:numPr>
    </w:pPr>
  </w:style>
  <w:style w:type="numbering" w:customStyle="1" w:styleId="OneLevelList">
    <w:name w:val="OneLevelList"/>
    <w:uiPriority w:val="99"/>
    <w:rsid w:val="00A11638"/>
    <w:pPr>
      <w:numPr>
        <w:numId w:val="3"/>
      </w:numPr>
    </w:pPr>
  </w:style>
  <w:style w:type="numbering" w:customStyle="1" w:styleId="RecommendationBulletList">
    <w:name w:val="RecommendationBulletList"/>
    <w:uiPriority w:val="99"/>
    <w:rsid w:val="00A11638"/>
    <w:pPr>
      <w:numPr>
        <w:numId w:val="5"/>
      </w:numPr>
    </w:pPr>
  </w:style>
  <w:style w:type="numbering" w:customStyle="1" w:styleId="RomanNumeralList">
    <w:name w:val="RomanNumeralList"/>
    <w:uiPriority w:val="99"/>
    <w:rsid w:val="00A11638"/>
    <w:pPr>
      <w:numPr>
        <w:numId w:val="6"/>
      </w:numPr>
    </w:pPr>
  </w:style>
  <w:style w:type="numbering" w:customStyle="1" w:styleId="ChartandTableFootnoteAlphaList">
    <w:name w:val="ChartandTableFootnoteAlphaList"/>
    <w:uiPriority w:val="99"/>
    <w:rsid w:val="00A11638"/>
    <w:pPr>
      <w:numPr>
        <w:numId w:val="21"/>
      </w:numPr>
    </w:pPr>
  </w:style>
  <w:style w:type="paragraph" w:customStyle="1" w:styleId="TableTextBullet">
    <w:name w:val="Table Text Bullet"/>
    <w:basedOn w:val="TableTextBase"/>
    <w:rsid w:val="00A11638"/>
    <w:pPr>
      <w:numPr>
        <w:numId w:val="12"/>
      </w:numPr>
    </w:pPr>
  </w:style>
  <w:style w:type="numbering" w:customStyle="1" w:styleId="TableTestBulletList">
    <w:name w:val="Table Test Bullet List"/>
    <w:uiPriority w:val="99"/>
    <w:rsid w:val="00A11638"/>
    <w:pPr>
      <w:numPr>
        <w:numId w:val="11"/>
      </w:numPr>
    </w:pPr>
  </w:style>
  <w:style w:type="numbering" w:customStyle="1" w:styleId="TableTextBulletList">
    <w:name w:val="Table Text Bullet List"/>
    <w:uiPriority w:val="99"/>
    <w:rsid w:val="00A11638"/>
    <w:pPr>
      <w:numPr>
        <w:numId w:val="12"/>
      </w:numPr>
    </w:pPr>
  </w:style>
  <w:style w:type="paragraph" w:customStyle="1" w:styleId="SecurityClassificationHeader">
    <w:name w:val="Security Classification Header"/>
    <w:link w:val="SecurityClassificationHeaderChar"/>
    <w:rsid w:val="00A11638"/>
    <w:pPr>
      <w:spacing w:before="60" w:after="60" w:line="240" w:lineRule="auto"/>
      <w:jc w:val="center"/>
    </w:pPr>
    <w:rPr>
      <w:rFonts w:ascii="Arial" w:eastAsia="Times New Roman" w:hAnsi="Arial" w:cs="Times New Roman"/>
      <w:b/>
      <w:caps/>
      <w:color w:val="2C384A" w:themeColor="accent1"/>
      <w:sz w:val="24"/>
      <w:szCs w:val="20"/>
      <w:lang w:eastAsia="en-AU"/>
    </w:rPr>
  </w:style>
  <w:style w:type="character" w:customStyle="1" w:styleId="SecurityClassificationHeaderChar">
    <w:name w:val="Security Classification Header Char"/>
    <w:basedOn w:val="HeaderChar"/>
    <w:link w:val="SecurityClassificationHeader"/>
    <w:rsid w:val="00A11638"/>
    <w:rPr>
      <w:rFonts w:ascii="Arial" w:eastAsia="Times New Roman" w:hAnsi="Arial" w:cs="Times New Roman"/>
      <w:b/>
      <w:caps/>
      <w:color w:val="2C384A" w:themeColor="accent1"/>
      <w:sz w:val="24"/>
      <w:szCs w:val="20"/>
      <w:lang w:eastAsia="en-AU"/>
    </w:rPr>
  </w:style>
  <w:style w:type="paragraph" w:customStyle="1" w:styleId="SecurityClassificationFooter">
    <w:name w:val="Security Classification Footer"/>
    <w:link w:val="SecurityClassificationFooterChar"/>
    <w:rsid w:val="00A11638"/>
    <w:pPr>
      <w:spacing w:before="60" w:after="40" w:line="240" w:lineRule="auto"/>
      <w:jc w:val="center"/>
    </w:pPr>
    <w:rPr>
      <w:rFonts w:ascii="Arial" w:eastAsia="Times New Roman" w:hAnsi="Arial" w:cs="Times New Roman"/>
      <w:b/>
      <w:caps/>
      <w:color w:val="2C384A" w:themeColor="accent1"/>
      <w:sz w:val="24"/>
      <w:szCs w:val="20"/>
      <w:lang w:eastAsia="en-AU"/>
    </w:rPr>
  </w:style>
  <w:style w:type="character" w:customStyle="1" w:styleId="SecurityClassificationFooterChar">
    <w:name w:val="Security Classification Footer Char"/>
    <w:basedOn w:val="HeaderChar"/>
    <w:link w:val="SecurityClassificationFooter"/>
    <w:rsid w:val="00A11638"/>
    <w:rPr>
      <w:rFonts w:ascii="Arial" w:eastAsia="Times New Roman" w:hAnsi="Arial" w:cs="Times New Roman"/>
      <w:b/>
      <w:caps/>
      <w:color w:val="2C384A" w:themeColor="accent1"/>
      <w:sz w:val="24"/>
      <w:szCs w:val="20"/>
      <w:lang w:eastAsia="en-AU"/>
    </w:rPr>
  </w:style>
  <w:style w:type="paragraph" w:customStyle="1" w:styleId="DLMSecurityHeader">
    <w:name w:val="DLM Security Header"/>
    <w:link w:val="DLMSecurityHeaderChar"/>
    <w:rsid w:val="00A11638"/>
    <w:pPr>
      <w:spacing w:before="60" w:after="240"/>
      <w:jc w:val="center"/>
    </w:pPr>
    <w:rPr>
      <w:rFonts w:ascii="Times New Roman" w:eastAsia="Times New Roman" w:hAnsi="Times New Roman" w:cs="Times New Roman"/>
      <w:b/>
      <w:caps/>
      <w:color w:val="2C384A" w:themeColor="accent1"/>
      <w:sz w:val="24"/>
      <w:szCs w:val="20"/>
      <w:lang w:eastAsia="en-AU"/>
    </w:rPr>
  </w:style>
  <w:style w:type="character" w:customStyle="1" w:styleId="DLMSecurityHeaderChar">
    <w:name w:val="DLM Security Header Char"/>
    <w:basedOn w:val="HeaderChar"/>
    <w:link w:val="DLMSecurityHeader"/>
    <w:rsid w:val="00A11638"/>
    <w:rPr>
      <w:rFonts w:ascii="Times New Roman" w:eastAsia="Times New Roman" w:hAnsi="Times New Roman" w:cs="Times New Roman"/>
      <w:b/>
      <w:caps/>
      <w:color w:val="2C384A" w:themeColor="accent1"/>
      <w:sz w:val="24"/>
      <w:szCs w:val="20"/>
      <w:lang w:eastAsia="en-AU"/>
    </w:rPr>
  </w:style>
  <w:style w:type="paragraph" w:customStyle="1" w:styleId="DLMSecurityFooter">
    <w:name w:val="DLM Security Footer"/>
    <w:link w:val="DLMSecurityFooterChar"/>
    <w:rsid w:val="00A11638"/>
    <w:pPr>
      <w:spacing w:before="240" w:after="60"/>
      <w:jc w:val="center"/>
    </w:pPr>
    <w:rPr>
      <w:rFonts w:ascii="Times New Roman" w:eastAsia="Times New Roman" w:hAnsi="Times New Roman" w:cs="Times New Roman"/>
      <w:b/>
      <w:caps/>
      <w:color w:val="2C384A" w:themeColor="accent1"/>
      <w:sz w:val="24"/>
      <w:szCs w:val="20"/>
      <w:lang w:eastAsia="en-AU"/>
    </w:rPr>
  </w:style>
  <w:style w:type="character" w:customStyle="1" w:styleId="DLMSecurityFooterChar">
    <w:name w:val="DLM Security Footer Char"/>
    <w:basedOn w:val="HeaderChar"/>
    <w:link w:val="DLMSecurityFooter"/>
    <w:rsid w:val="00A11638"/>
    <w:rPr>
      <w:rFonts w:ascii="Times New Roman" w:eastAsia="Times New Roman" w:hAnsi="Times New Roman" w:cs="Times New Roman"/>
      <w:b/>
      <w:caps/>
      <w:color w:val="2C384A" w:themeColor="accent1"/>
      <w:sz w:val="24"/>
      <w:szCs w:val="20"/>
      <w:lang w:eastAsia="en-AU"/>
    </w:rPr>
  </w:style>
  <w:style w:type="paragraph" w:customStyle="1" w:styleId="AuthorName">
    <w:name w:val="Author Name"/>
    <w:basedOn w:val="Normal"/>
    <w:rsid w:val="00A11638"/>
    <w:rPr>
      <w:rFonts w:asciiTheme="minorHAnsi" w:hAnsiTheme="minorHAnsi"/>
      <w:sz w:val="24"/>
    </w:rPr>
  </w:style>
  <w:style w:type="paragraph" w:styleId="Title">
    <w:name w:val="Title"/>
    <w:basedOn w:val="Normal"/>
    <w:next w:val="Normal"/>
    <w:link w:val="TitleChar"/>
    <w:uiPriority w:val="10"/>
    <w:qFormat/>
    <w:rsid w:val="00A11638"/>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A11638"/>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HeadingBaseStyle"/>
    <w:link w:val="SubtitleChar"/>
    <w:qFormat/>
    <w:rsid w:val="00A11638"/>
    <w:pPr>
      <w:spacing w:before="360" w:after="360"/>
      <w:outlineLvl w:val="1"/>
    </w:pPr>
    <w:rPr>
      <w:rFonts w:asciiTheme="minorHAnsi" w:hAnsiTheme="minorHAnsi"/>
      <w:b/>
      <w:color w:val="auto"/>
      <w:sz w:val="40"/>
    </w:rPr>
  </w:style>
  <w:style w:type="character" w:customStyle="1" w:styleId="SubtitleChar">
    <w:name w:val="Subtitle Char"/>
    <w:basedOn w:val="DefaultParagraphFont"/>
    <w:link w:val="Subtitle"/>
    <w:rsid w:val="00A11638"/>
    <w:rPr>
      <w:rFonts w:eastAsia="Times New Roman" w:cs="Times New Roman"/>
      <w:b/>
      <w:sz w:val="40"/>
      <w:szCs w:val="20"/>
      <w:lang w:eastAsia="en-AU"/>
    </w:rPr>
  </w:style>
  <w:style w:type="paragraph" w:customStyle="1" w:styleId="SeriesNumber">
    <w:name w:val="Series Number"/>
    <w:basedOn w:val="HeadingBaseStyle"/>
    <w:rsid w:val="00A11638"/>
    <w:pPr>
      <w:spacing w:after="300"/>
    </w:pPr>
    <w:rPr>
      <w:rFonts w:asciiTheme="minorHAnsi" w:hAnsiTheme="minorHAnsi"/>
      <w:color w:val="auto"/>
      <w:sz w:val="32"/>
    </w:rPr>
  </w:style>
  <w:style w:type="character" w:customStyle="1" w:styleId="A5">
    <w:name w:val="A5"/>
    <w:uiPriority w:val="99"/>
    <w:rsid w:val="00A11638"/>
    <w:rPr>
      <w:rFonts w:cs="Swiss 721 BT"/>
      <w:color w:val="000000"/>
      <w:sz w:val="20"/>
      <w:szCs w:val="20"/>
    </w:rPr>
  </w:style>
  <w:style w:type="paragraph" w:customStyle="1" w:styleId="Abstract">
    <w:name w:val="Abstract"/>
    <w:basedOn w:val="Normal"/>
    <w:link w:val="AbstractChar"/>
    <w:qFormat/>
    <w:rsid w:val="00A11638"/>
  </w:style>
  <w:style w:type="character" w:customStyle="1" w:styleId="AbstractChar">
    <w:name w:val="Abstract Char"/>
    <w:basedOn w:val="DefaultParagraphFont"/>
    <w:link w:val="Abstract"/>
    <w:rsid w:val="00A11638"/>
    <w:rPr>
      <w:rFonts w:ascii="Calibri Light" w:eastAsia="Times New Roman" w:hAnsi="Calibri Light" w:cs="Times New Roman"/>
      <w:szCs w:val="20"/>
      <w:lang w:eastAsia="en-AU"/>
    </w:rPr>
  </w:style>
  <w:style w:type="paragraph" w:customStyle="1" w:styleId="AppendixHeadingLevel2NotNumbered">
    <w:name w:val="Appendix Heading Level 2 Not Numbered"/>
    <w:basedOn w:val="Heading2NotNumbered"/>
    <w:next w:val="Normal"/>
    <w:qFormat/>
    <w:rsid w:val="00A11638"/>
    <w:rPr>
      <w:szCs w:val="32"/>
    </w:rPr>
  </w:style>
  <w:style w:type="paragraph" w:customStyle="1" w:styleId="Acknowledgement">
    <w:name w:val="Acknowledgement"/>
    <w:basedOn w:val="Normal"/>
    <w:rsid w:val="00A11638"/>
    <w:pPr>
      <w:spacing w:after="0"/>
    </w:pPr>
  </w:style>
  <w:style w:type="paragraph" w:customStyle="1" w:styleId="Alphanumbered">
    <w:name w:val="Alpha numbered"/>
    <w:basedOn w:val="Normal"/>
    <w:rsid w:val="00A11638"/>
    <w:pPr>
      <w:numPr>
        <w:numId w:val="14"/>
      </w:numPr>
    </w:pPr>
  </w:style>
  <w:style w:type="paragraph" w:customStyle="1" w:styleId="HeadingBaseStyle">
    <w:name w:val="HeadingBaseStyle"/>
    <w:basedOn w:val="Normal"/>
    <w:rsid w:val="00A11638"/>
    <w:pPr>
      <w:keepNext/>
      <w:spacing w:after="0"/>
    </w:pPr>
    <w:rPr>
      <w:rFonts w:ascii="Arial" w:hAnsi="Arial"/>
      <w:color w:val="2C384A" w:themeColor="accent1"/>
    </w:rPr>
  </w:style>
  <w:style w:type="paragraph" w:customStyle="1" w:styleId="AppendixHeadingNotNumbered">
    <w:name w:val="Appendix Heading Not Numbered"/>
    <w:basedOn w:val="HeadingBaseStyle"/>
    <w:rsid w:val="00A11638"/>
    <w:pPr>
      <w:numPr>
        <w:numId w:val="15"/>
      </w:numPr>
      <w:spacing w:before="480" w:after="320"/>
    </w:pPr>
    <w:rPr>
      <w:b/>
      <w:smallCaps/>
      <w:sz w:val="32"/>
      <w:szCs w:val="28"/>
    </w:rPr>
  </w:style>
  <w:style w:type="paragraph" w:customStyle="1" w:styleId="AppendixHeadingLevel2">
    <w:name w:val="Appendix Heading Level 2"/>
    <w:basedOn w:val="AppendixHeadingNotNumbered"/>
    <w:next w:val="Normal"/>
    <w:rsid w:val="00A11638"/>
    <w:pPr>
      <w:numPr>
        <w:ilvl w:val="1"/>
      </w:numPr>
      <w:tabs>
        <w:tab w:val="clear" w:pos="1134"/>
      </w:tabs>
      <w:spacing w:before="360" w:after="120"/>
      <w:ind w:left="851" w:hanging="851"/>
    </w:pPr>
    <w:rPr>
      <w:rFonts w:asciiTheme="minorHAnsi" w:hAnsiTheme="minorHAnsi"/>
      <w:b w:val="0"/>
      <w:smallCaps w:val="0"/>
      <w:sz w:val="36"/>
    </w:rPr>
  </w:style>
  <w:style w:type="paragraph" w:customStyle="1" w:styleId="AppendixHeadingLevel3">
    <w:name w:val="Appendix Heading Level 3"/>
    <w:basedOn w:val="Heading3"/>
    <w:next w:val="Normal"/>
    <w:rsid w:val="00A11638"/>
    <w:pPr>
      <w:numPr>
        <w:ilvl w:val="2"/>
        <w:numId w:val="15"/>
      </w:numPr>
    </w:pPr>
  </w:style>
  <w:style w:type="paragraph" w:customStyle="1" w:styleId="AppendixHeadingLevel4">
    <w:name w:val="Appendix Heading Level 4"/>
    <w:basedOn w:val="Heading4"/>
    <w:next w:val="Normal"/>
    <w:rsid w:val="00A11638"/>
    <w:pPr>
      <w:numPr>
        <w:ilvl w:val="3"/>
        <w:numId w:val="15"/>
      </w:numPr>
    </w:pPr>
  </w:style>
  <w:style w:type="paragraph" w:customStyle="1" w:styleId="Attachment">
    <w:name w:val="Attachment"/>
    <w:basedOn w:val="HeadingBaseStyle"/>
    <w:next w:val="Normal"/>
    <w:rsid w:val="00A11638"/>
    <w:pPr>
      <w:spacing w:before="480" w:after="360"/>
    </w:pPr>
    <w:rPr>
      <w:rFonts w:ascii="Arial Bold" w:hAnsi="Arial Bold"/>
      <w:b/>
      <w:smallCaps/>
      <w:sz w:val="32"/>
    </w:rPr>
  </w:style>
  <w:style w:type="character" w:styleId="Emphasis">
    <w:name w:val="Emphasis"/>
    <w:basedOn w:val="DefaultParagraphFont"/>
    <w:qFormat/>
    <w:rsid w:val="00A11638"/>
    <w:rPr>
      <w:i/>
      <w:iCs/>
    </w:rPr>
  </w:style>
  <w:style w:type="paragraph" w:customStyle="1" w:styleId="Equation">
    <w:name w:val="Equation"/>
    <w:basedOn w:val="Normal"/>
    <w:next w:val="Normal"/>
    <w:rsid w:val="008B6843"/>
    <w:pPr>
      <w:tabs>
        <w:tab w:val="center" w:pos="4536"/>
        <w:tab w:val="right" w:pos="9072"/>
      </w:tabs>
      <w:ind w:left="357"/>
      <w:jc w:val="both"/>
    </w:pPr>
    <w:rPr>
      <w:rFonts w:ascii="Times New Roman" w:hAnsi="Times New Roman"/>
    </w:rPr>
  </w:style>
  <w:style w:type="paragraph" w:customStyle="1" w:styleId="ExampleBullet">
    <w:name w:val="Example Bullet"/>
    <w:basedOn w:val="Normal"/>
    <w:rsid w:val="00A11638"/>
    <w:pPr>
      <w:numPr>
        <w:numId w:val="17"/>
      </w:numPr>
      <w:spacing w:before="40" w:after="40"/>
    </w:pPr>
    <w:rPr>
      <w:rFonts w:ascii="Arial" w:hAnsi="Arial"/>
      <w:sz w:val="18"/>
    </w:rPr>
  </w:style>
  <w:style w:type="paragraph" w:customStyle="1" w:styleId="Heading2NotNumbered">
    <w:name w:val="Heading 2 Not Numbered"/>
    <w:basedOn w:val="HeadingBase"/>
    <w:next w:val="Normal"/>
    <w:rsid w:val="00A11638"/>
    <w:pPr>
      <w:spacing w:before="360"/>
    </w:pPr>
    <w:rPr>
      <w:rFonts w:asciiTheme="minorHAnsi" w:hAnsiTheme="minorHAnsi"/>
      <w:color w:val="2C384A" w:themeColor="accent1"/>
      <w:sz w:val="36"/>
    </w:rPr>
  </w:style>
  <w:style w:type="paragraph" w:customStyle="1" w:styleId="Indented">
    <w:name w:val="Indented"/>
    <w:basedOn w:val="Normal"/>
    <w:rsid w:val="00A11638"/>
    <w:pPr>
      <w:ind w:left="851"/>
    </w:pPr>
  </w:style>
  <w:style w:type="paragraph" w:styleId="IntenseQuote">
    <w:name w:val="Intense Quote"/>
    <w:basedOn w:val="Normal"/>
    <w:next w:val="Normal"/>
    <w:link w:val="IntenseQuoteChar"/>
    <w:uiPriority w:val="30"/>
    <w:rsid w:val="00A11638"/>
    <w:pPr>
      <w:pBdr>
        <w:bottom w:val="single" w:sz="4" w:space="4" w:color="2C384A" w:themeColor="accent1"/>
      </w:pBdr>
      <w:spacing w:before="200" w:after="280"/>
      <w:ind w:left="936" w:right="936"/>
    </w:pPr>
    <w:rPr>
      <w:b/>
      <w:bCs/>
      <w:i/>
      <w:iCs/>
      <w:color w:val="2C384A" w:themeColor="accent1"/>
    </w:rPr>
  </w:style>
  <w:style w:type="character" w:customStyle="1" w:styleId="IntenseQuoteChar">
    <w:name w:val="Intense Quote Char"/>
    <w:basedOn w:val="DefaultParagraphFont"/>
    <w:link w:val="IntenseQuote"/>
    <w:uiPriority w:val="30"/>
    <w:rsid w:val="00A11638"/>
    <w:rPr>
      <w:rFonts w:ascii="Calibri Light" w:eastAsia="Times New Roman" w:hAnsi="Calibri Light" w:cs="Times New Roman"/>
      <w:b/>
      <w:bCs/>
      <w:i/>
      <w:iCs/>
      <w:color w:val="2C384A" w:themeColor="accent1"/>
      <w:szCs w:val="20"/>
      <w:lang w:eastAsia="en-AU"/>
    </w:rPr>
  </w:style>
  <w:style w:type="paragraph" w:customStyle="1" w:styleId="MTDisplayEquation">
    <w:name w:val="MTDisplayEquation"/>
    <w:basedOn w:val="Normal"/>
    <w:next w:val="Normal"/>
    <w:link w:val="MTDisplayEquationChar"/>
    <w:rsid w:val="00A11638"/>
    <w:pPr>
      <w:tabs>
        <w:tab w:val="center" w:pos="4640"/>
        <w:tab w:val="right" w:pos="9300"/>
      </w:tabs>
    </w:pPr>
  </w:style>
  <w:style w:type="character" w:customStyle="1" w:styleId="MTDisplayEquationChar">
    <w:name w:val="MTDisplayEquation Char"/>
    <w:basedOn w:val="DefaultParagraphFont"/>
    <w:link w:val="MTDisplayEquation"/>
    <w:rsid w:val="00A11638"/>
    <w:rPr>
      <w:rFonts w:ascii="Calibri Light" w:eastAsia="Times New Roman" w:hAnsi="Calibri Light" w:cs="Times New Roman"/>
      <w:szCs w:val="20"/>
      <w:lang w:eastAsia="en-AU"/>
    </w:rPr>
  </w:style>
  <w:style w:type="character" w:customStyle="1" w:styleId="MTEquationSection">
    <w:name w:val="MTEquationSection"/>
    <w:basedOn w:val="DefaultParagraphFont"/>
    <w:rsid w:val="00A11638"/>
    <w:rPr>
      <w:vanish w:val="0"/>
      <w:color w:val="FF0000"/>
    </w:rPr>
  </w:style>
  <w:style w:type="paragraph" w:customStyle="1" w:styleId="Note">
    <w:name w:val="Note"/>
    <w:basedOn w:val="HeadingBaseStyle"/>
    <w:next w:val="Normal"/>
    <w:rsid w:val="00A11638"/>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A11638"/>
    <w:rPr>
      <w:i/>
    </w:rPr>
  </w:style>
  <w:style w:type="paragraph" w:customStyle="1" w:styleId="NumberedParagraph">
    <w:name w:val="Numbered Paragraph"/>
    <w:basedOn w:val="Normal"/>
    <w:autoRedefine/>
    <w:rsid w:val="00A11638"/>
    <w:pPr>
      <w:numPr>
        <w:numId w:val="18"/>
      </w:numPr>
    </w:pPr>
  </w:style>
  <w:style w:type="character" w:styleId="PlaceholderText">
    <w:name w:val="Placeholder Text"/>
    <w:basedOn w:val="DefaultParagraphFont"/>
    <w:uiPriority w:val="99"/>
    <w:semiHidden/>
    <w:rsid w:val="00A11638"/>
    <w:rPr>
      <w:color w:val="808080"/>
    </w:rPr>
  </w:style>
  <w:style w:type="paragraph" w:customStyle="1" w:styleId="References">
    <w:name w:val="References"/>
    <w:basedOn w:val="Normal"/>
    <w:rsid w:val="00A11638"/>
    <w:pPr>
      <w:widowControl w:val="0"/>
      <w:adjustRightInd w:val="0"/>
      <w:textAlignment w:val="baseline"/>
    </w:pPr>
  </w:style>
  <w:style w:type="paragraph" w:customStyle="1" w:styleId="SeriesMonth">
    <w:name w:val="Series Month"/>
    <w:basedOn w:val="HeadingBaseStyle"/>
    <w:rsid w:val="00A11638"/>
    <w:pPr>
      <w:spacing w:after="240"/>
      <w:jc w:val="center"/>
    </w:pPr>
    <w:rPr>
      <w:rFonts w:ascii="Arial Bold" w:hAnsi="Arial Bold"/>
      <w:b/>
      <w:color w:val="auto"/>
      <w:sz w:val="32"/>
    </w:rPr>
  </w:style>
  <w:style w:type="paragraph" w:customStyle="1" w:styleId="Boxbullet">
    <w:name w:val="Box bullet"/>
    <w:basedOn w:val="Bullet"/>
    <w:qFormat/>
    <w:rsid w:val="00A11638"/>
    <w:pPr>
      <w:tabs>
        <w:tab w:val="num" w:pos="284"/>
      </w:tabs>
      <w:spacing w:before="60"/>
      <w:ind w:left="170" w:hanging="170"/>
    </w:pPr>
    <w:rPr>
      <w:color w:val="0D0D0D" w:themeColor="text1" w:themeTint="F2"/>
    </w:rPr>
  </w:style>
  <w:style w:type="paragraph" w:customStyle="1" w:styleId="Boxdash">
    <w:name w:val="Box dash"/>
    <w:basedOn w:val="Dash"/>
    <w:qFormat/>
    <w:rsid w:val="00A11638"/>
    <w:pPr>
      <w:tabs>
        <w:tab w:val="clear" w:pos="567"/>
        <w:tab w:val="num" w:pos="1040"/>
      </w:tabs>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qFormat/>
    <w:rsid w:val="00A11638"/>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A11638"/>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B4690E"/>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A11638"/>
    <w:rPr>
      <w:rFonts w:ascii="Calibri Light" w:eastAsia="Times New Roman" w:hAnsi="Calibri Light" w:cs="Times New Roman"/>
      <w:szCs w:val="20"/>
      <w:lang w:eastAsia="en-AU"/>
    </w:rPr>
  </w:style>
  <w:style w:type="paragraph" w:customStyle="1" w:styleId="Footnoteseperator">
    <w:name w:val="Footnote seperator"/>
    <w:basedOn w:val="Normal"/>
    <w:link w:val="FootnoteseperatorChar"/>
    <w:qFormat/>
    <w:rsid w:val="00A11638"/>
    <w:pPr>
      <w:spacing w:before="0" w:after="0"/>
    </w:pPr>
  </w:style>
  <w:style w:type="character" w:customStyle="1" w:styleId="FootnoteseperatorChar">
    <w:name w:val="Footnote seperator Char"/>
    <w:basedOn w:val="DefaultParagraphFont"/>
    <w:link w:val="Footnoteseperator"/>
    <w:rsid w:val="00A11638"/>
    <w:rPr>
      <w:rFonts w:ascii="Calibri Light" w:eastAsia="Times New Roman" w:hAnsi="Calibri Light" w:cs="Times New Roman"/>
      <w:szCs w:val="20"/>
      <w:lang w:eastAsia="en-AU"/>
    </w:rPr>
  </w:style>
  <w:style w:type="character" w:customStyle="1" w:styleId="SingleParagraphChar">
    <w:name w:val="Single Paragraph Char"/>
    <w:basedOn w:val="DefaultParagraphFont"/>
    <w:link w:val="SingleParagraph"/>
    <w:rsid w:val="00A11638"/>
    <w:rPr>
      <w:rFonts w:ascii="Calibri Light" w:eastAsia="Times New Roman" w:hAnsi="Calibri Light" w:cs="Times New Roman"/>
      <w:szCs w:val="20"/>
      <w:lang w:eastAsia="en-AU"/>
    </w:rPr>
  </w:style>
  <w:style w:type="character" w:styleId="CommentReference">
    <w:name w:val="annotation reference"/>
    <w:basedOn w:val="DefaultParagraphFont"/>
    <w:semiHidden/>
    <w:unhideWhenUsed/>
    <w:rsid w:val="00CB3AFD"/>
    <w:rPr>
      <w:sz w:val="16"/>
      <w:szCs w:val="16"/>
    </w:rPr>
  </w:style>
  <w:style w:type="paragraph" w:styleId="CommentText">
    <w:name w:val="annotation text"/>
    <w:basedOn w:val="Normal"/>
    <w:link w:val="CommentTextChar"/>
    <w:semiHidden/>
    <w:unhideWhenUsed/>
    <w:rsid w:val="00CB3AFD"/>
    <w:rPr>
      <w:sz w:val="20"/>
    </w:rPr>
  </w:style>
  <w:style w:type="character" w:customStyle="1" w:styleId="CommentTextChar">
    <w:name w:val="Comment Text Char"/>
    <w:basedOn w:val="DefaultParagraphFont"/>
    <w:link w:val="CommentText"/>
    <w:semiHidden/>
    <w:rsid w:val="00CB3AFD"/>
    <w:rPr>
      <w:rFonts w:ascii="Calibri Light" w:eastAsia="Times New Roman" w:hAnsi="Calibri Light" w:cs="Times New Roman"/>
      <w:sz w:val="20"/>
      <w:szCs w:val="20"/>
      <w:lang w:eastAsia="en-AU"/>
    </w:rPr>
  </w:style>
  <w:style w:type="paragraph" w:styleId="CommentSubject">
    <w:name w:val="annotation subject"/>
    <w:basedOn w:val="CommentText"/>
    <w:next w:val="CommentText"/>
    <w:link w:val="CommentSubjectChar"/>
    <w:semiHidden/>
    <w:unhideWhenUsed/>
    <w:rsid w:val="00CB3AFD"/>
    <w:rPr>
      <w:b/>
      <w:bCs/>
    </w:rPr>
  </w:style>
  <w:style w:type="character" w:customStyle="1" w:styleId="CommentSubjectChar">
    <w:name w:val="Comment Subject Char"/>
    <w:basedOn w:val="CommentTextChar"/>
    <w:link w:val="CommentSubject"/>
    <w:semiHidden/>
    <w:rsid w:val="00CB3AFD"/>
    <w:rPr>
      <w:rFonts w:ascii="Calibri Light" w:eastAsia="Times New Roman" w:hAnsi="Calibri Light" w:cs="Times New Roman"/>
      <w:b/>
      <w:bCs/>
      <w:sz w:val="20"/>
      <w:szCs w:val="20"/>
      <w:lang w:eastAsia="en-AU"/>
    </w:rPr>
  </w:style>
  <w:style w:type="table" w:styleId="GridTable4-Accent1">
    <w:name w:val="Grid Table 4 Accent 1"/>
    <w:basedOn w:val="TableNormal"/>
    <w:uiPriority w:val="49"/>
    <w:rsid w:val="00775A11"/>
    <w:pPr>
      <w:spacing w:after="0" w:line="240" w:lineRule="auto"/>
    </w:p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insideV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insideV w:val="nil"/>
        </w:tcBorders>
        <w:shd w:val="clear" w:color="auto" w:fill="2C384A" w:themeFill="accent1"/>
      </w:tcPr>
    </w:tblStylePr>
    <w:tblStylePr w:type="lastRow">
      <w:rPr>
        <w:b/>
        <w:bCs/>
      </w:rPr>
      <w:tblPr/>
      <w:tcPr>
        <w:tcBorders>
          <w:top w:val="double" w:sz="4" w:space="0" w:color="2C384A" w:themeColor="accent1"/>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table" w:styleId="PlainTable2">
    <w:name w:val="Plain Table 2"/>
    <w:basedOn w:val="TableNormal"/>
    <w:uiPriority w:val="42"/>
    <w:rsid w:val="001676B9"/>
    <w:pPr>
      <w:spacing w:after="0" w:line="240" w:lineRule="auto"/>
    </w:pPr>
    <w:tblPr>
      <w:tblStyleRowBandSize w:val="1"/>
      <w:tblStyleColBandSize w:val="1"/>
      <w:tblBorders>
        <w:top w:val="single" w:sz="4" w:space="0" w:color="auto"/>
        <w:bottom w:val="single" w:sz="4" w:space="0" w:color="auto"/>
      </w:tblBorders>
    </w:tblPr>
    <w:tblStylePr w:type="firstRow">
      <w:rPr>
        <w:b/>
        <w:bCs/>
      </w:rPr>
      <w:tblPr/>
      <w:tcPr>
        <w:tcBorders>
          <w:top w:val="single" w:sz="4" w:space="0" w:color="auto"/>
          <w:bottom w:val="single" w:sz="4" w:space="0" w:color="auto"/>
        </w:tcBorders>
      </w:tcPr>
    </w:tblStylePr>
    <w:tblStylePr w:type="lastRow">
      <w:rPr>
        <w:b/>
        <w:bCs/>
      </w:rPr>
      <w:tblPr/>
      <w:tcPr>
        <w:tcBorders>
          <w:top w:val="single" w:sz="4" w:space="0" w:color="7F7F7F" w:themeColor="text1" w:themeTint="80"/>
          <w:bottom w:val="single" w:sz="4" w:space="0" w:color="auto"/>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CD7BB8"/>
    <w:pPr>
      <w:spacing w:after="0" w:line="240" w:lineRule="auto"/>
    </w:pPr>
    <w:rPr>
      <w:rFonts w:ascii="Calibri Light" w:eastAsia="Times New Roman" w:hAnsi="Calibri Light"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hyperlink" Target="https://www.abs.gov.au/statistics/economy/price-indexes-and-inflation/consumer-price-index-australia/jun-2022" TargetMode="External"/><Relationship Id="rId21" Type="http://schemas.openxmlformats.org/officeDocument/2006/relationships/header" Target="header7.xml"/><Relationship Id="rId34" Type="http://schemas.openxmlformats.org/officeDocument/2006/relationships/image" Target="media/image16.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hyperlink" Target="http://creativecommons.org/licenses/by/3.0/au/legalcode"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abs.gov.au/statistics/people/people-and-communities/gender-indicators-australia/2020" TargetMode="External"/><Relationship Id="rId40" Type="http://schemas.openxmlformats.org/officeDocument/2006/relationships/hyperlink" Target="http://oe.cd/childcare-brief-2020" TargetMode="External"/><Relationship Id="rId45" Type="http://schemas.openxmlformats.org/officeDocument/2006/relationships/image" Target="media/image20.png"/><Relationship Id="rId53" Type="http://schemas.openxmlformats.org/officeDocument/2006/relationships/image" Target="media/image28.png"/><Relationship Id="rId5"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pmc.gov.au/government/commonwealth-coat-arms" TargetMode="Externa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abs.gov.au/statistics/people/education/childhood-education-and-care-australia/jun-2017"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www.abs.gov.au/statistics/labour/employment-and-unemployment/labour-force-australia/aug-2022" TargetMode="External"/><Relationship Id="rId46" Type="http://schemas.openxmlformats.org/officeDocument/2006/relationships/image" Target="media/image21.png"/><Relationship Id="rId20" Type="http://schemas.openxmlformats.org/officeDocument/2006/relationships/header" Target="header6.xml"/><Relationship Id="rId41" Type="http://schemas.openxmlformats.org/officeDocument/2006/relationships/hyperlink" Target="https://www.wgea.gov.au/publications/australias-gender-pay-gap-statistics" TargetMode="External"/><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edia@treasury.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abs.gov.au/statistics/labour/employment-and-unemployment/barriers-and-incentives-labour-force-participation-australia/2018-19" TargetMode="External"/><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hyperlink" Target="http://creativecommons.org/licenses/by/3.0/au/deed.en"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10693</Words>
  <Characters>58307</Characters>
  <Application>Microsoft Office Word</Application>
  <DocSecurity>0</DocSecurity>
  <Lines>1202</Lines>
  <Paragraphs>592</Paragraphs>
  <ScaleCrop>false</ScaleCrop>
  <HeadingPairs>
    <vt:vector size="2" baseType="variant">
      <vt:variant>
        <vt:lpstr>Title</vt:lpstr>
      </vt:variant>
      <vt:variant>
        <vt:i4>1</vt:i4>
      </vt:variant>
    </vt:vector>
  </HeadingPairs>
  <TitlesOfParts>
    <vt:vector size="1" baseType="lpstr">
      <vt:lpstr>Working paper: Children and the Gender Earnings Gap: Evidence for Australia</vt:lpstr>
    </vt:vector>
  </TitlesOfParts>
  <Company/>
  <LinksUpToDate>false</LinksUpToDate>
  <CharactersWithSpaces>68538</CharactersWithSpaces>
  <SharedDoc>false</SharedDoc>
  <HLinks>
    <vt:vector size="72" baseType="variant">
      <vt:variant>
        <vt:i4>4325467</vt:i4>
      </vt:variant>
      <vt:variant>
        <vt:i4>39</vt:i4>
      </vt:variant>
      <vt:variant>
        <vt:i4>0</vt:i4>
      </vt:variant>
      <vt:variant>
        <vt:i4>5</vt:i4>
      </vt:variant>
      <vt:variant>
        <vt:lpwstr>https://www.wgea.gov.au/publications/australias-gender-pay-gap-statistics</vt:lpwstr>
      </vt:variant>
      <vt:variant>
        <vt:lpwstr/>
      </vt:variant>
      <vt:variant>
        <vt:i4>589842</vt:i4>
      </vt:variant>
      <vt:variant>
        <vt:i4>36</vt:i4>
      </vt:variant>
      <vt:variant>
        <vt:i4>0</vt:i4>
      </vt:variant>
      <vt:variant>
        <vt:i4>5</vt:i4>
      </vt:variant>
      <vt:variant>
        <vt:lpwstr>http://oe.cd/childcare-brief-2020</vt:lpwstr>
      </vt:variant>
      <vt:variant>
        <vt:lpwstr/>
      </vt:variant>
      <vt:variant>
        <vt:i4>5570570</vt:i4>
      </vt:variant>
      <vt:variant>
        <vt:i4>33</vt:i4>
      </vt:variant>
      <vt:variant>
        <vt:i4>0</vt:i4>
      </vt:variant>
      <vt:variant>
        <vt:i4>5</vt:i4>
      </vt:variant>
      <vt:variant>
        <vt:lpwstr>https://www.abs.gov.au/statistics/economy/price-indexes-and-inflation/consumer-price-index-australia/jun-2022</vt:lpwstr>
      </vt:variant>
      <vt:variant>
        <vt:lpwstr/>
      </vt:variant>
      <vt:variant>
        <vt:i4>1310745</vt:i4>
      </vt:variant>
      <vt:variant>
        <vt:i4>30</vt:i4>
      </vt:variant>
      <vt:variant>
        <vt:i4>0</vt:i4>
      </vt:variant>
      <vt:variant>
        <vt:i4>5</vt:i4>
      </vt:variant>
      <vt:variant>
        <vt:lpwstr>https://www.abs.gov.au/statistics/labour/employment-and-unemployment/labour-force-australia/aug-2022</vt:lpwstr>
      </vt:variant>
      <vt:variant>
        <vt:lpwstr/>
      </vt:variant>
      <vt:variant>
        <vt:i4>6029331</vt:i4>
      </vt:variant>
      <vt:variant>
        <vt:i4>27</vt:i4>
      </vt:variant>
      <vt:variant>
        <vt:i4>0</vt:i4>
      </vt:variant>
      <vt:variant>
        <vt:i4>5</vt:i4>
      </vt:variant>
      <vt:variant>
        <vt:lpwstr>https://www.abs.gov.au/statistics/people/people-and-communities/gender-indicators-australia/2020</vt:lpwstr>
      </vt:variant>
      <vt:variant>
        <vt:lpwstr/>
      </vt:variant>
      <vt:variant>
        <vt:i4>5767184</vt:i4>
      </vt:variant>
      <vt:variant>
        <vt:i4>24</vt:i4>
      </vt:variant>
      <vt:variant>
        <vt:i4>0</vt:i4>
      </vt:variant>
      <vt:variant>
        <vt:i4>5</vt:i4>
      </vt:variant>
      <vt:variant>
        <vt:lpwstr>https://www.abs.gov.au/statistics/labour/employment-and-unemployment/barriers-and-incentives-labour-force-participation-australia/2018-19</vt:lpwstr>
      </vt:variant>
      <vt:variant>
        <vt:lpwstr/>
      </vt:variant>
      <vt:variant>
        <vt:i4>2490425</vt:i4>
      </vt:variant>
      <vt:variant>
        <vt:i4>21</vt:i4>
      </vt:variant>
      <vt:variant>
        <vt:i4>0</vt:i4>
      </vt:variant>
      <vt:variant>
        <vt:i4>5</vt:i4>
      </vt:variant>
      <vt:variant>
        <vt:lpwstr>https://www.abs.gov.au/statistics/people/education/childhood-education-and-care-australia/jun-2017</vt:lpwstr>
      </vt:variant>
      <vt:variant>
        <vt:lpwstr/>
      </vt:variant>
      <vt:variant>
        <vt:i4>105</vt:i4>
      </vt:variant>
      <vt:variant>
        <vt:i4>16</vt:i4>
      </vt:variant>
      <vt:variant>
        <vt:i4>0</vt:i4>
      </vt:variant>
      <vt:variant>
        <vt:i4>5</vt:i4>
      </vt:variant>
      <vt:variant>
        <vt:lpwstr>mailto:media@treasury.gov.au</vt:lpwstr>
      </vt:variant>
      <vt:variant>
        <vt:lpwstr/>
      </vt:variant>
      <vt:variant>
        <vt:i4>2818104</vt:i4>
      </vt:variant>
      <vt:variant>
        <vt:i4>13</vt:i4>
      </vt:variant>
      <vt:variant>
        <vt:i4>0</vt:i4>
      </vt:variant>
      <vt:variant>
        <vt:i4>5</vt:i4>
      </vt:variant>
      <vt:variant>
        <vt:lpwstr>http://www.pmc.gov.au/government/commonwealth-coat-arms</vt:lpwstr>
      </vt:variant>
      <vt:variant>
        <vt:lpwstr/>
      </vt:variant>
      <vt:variant>
        <vt:i4>5111827</vt:i4>
      </vt:variant>
      <vt:variant>
        <vt:i4>10</vt:i4>
      </vt:variant>
      <vt:variant>
        <vt:i4>0</vt:i4>
      </vt:variant>
      <vt:variant>
        <vt:i4>5</vt:i4>
      </vt:variant>
      <vt:variant>
        <vt:lpwstr>http://creativecommons.org/licenses/by/3.0/au/deed.en</vt:lpwstr>
      </vt:variant>
      <vt:variant>
        <vt:lpwstr/>
      </vt:variant>
      <vt:variant>
        <vt:i4>2687028</vt:i4>
      </vt:variant>
      <vt:variant>
        <vt:i4>7</vt:i4>
      </vt:variant>
      <vt:variant>
        <vt:i4>0</vt:i4>
      </vt:variant>
      <vt:variant>
        <vt:i4>5</vt:i4>
      </vt:variant>
      <vt:variant>
        <vt:lpwstr>http://creativecommons.org/licenses/by/3.0/au/legalcode</vt:lpwstr>
      </vt:variant>
      <vt:variant>
        <vt:lpwstr/>
      </vt:variant>
      <vt:variant>
        <vt:i4>5111827</vt:i4>
      </vt:variant>
      <vt:variant>
        <vt:i4>4</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paper: Children and the Gender Earnings Gap: Evidence for Australia</dc:title>
  <dc:subject/>
  <dc:creator/>
  <cp:keywords/>
  <cp:lastModifiedBy/>
  <cp:revision>1</cp:revision>
  <dcterms:created xsi:type="dcterms:W3CDTF">2024-05-30T01:35:00Z</dcterms:created>
  <dcterms:modified xsi:type="dcterms:W3CDTF">2024-05-30T01:38:00Z</dcterms:modified>
  <cp:category/>
</cp:coreProperties>
</file>