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2CFBC59C" w:rsidR="00236901" w:rsidRDefault="00236901" w:rsidP="00236901">
      <w:pPr>
        <w:spacing w:before="360"/>
        <w:ind w:right="95"/>
        <w:jc w:val="center"/>
      </w:pPr>
    </w:p>
    <w:p w14:paraId="6A635D0F" w14:textId="6A7F825A" w:rsidR="003D141A" w:rsidRDefault="008A1191" w:rsidP="00FE633D">
      <w:pPr>
        <w:pStyle w:val="CoverTitleMain"/>
        <w:spacing w:before="4000"/>
      </w:pPr>
      <w:r w:rsidRPr="003D141A">
        <w:t xml:space="preserve">Australian Government response to the </w:t>
      </w:r>
      <w:sdt>
        <w:sdt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/>
        <w:sdtContent>
          <w:r w:rsidRPr="003D141A">
            <w:t>Senate</w:t>
          </w:r>
        </w:sdtContent>
      </w:sdt>
      <w:r w:rsidR="00E12215" w:rsidRPr="003D141A">
        <w:t xml:space="preserve"> </w:t>
      </w:r>
      <w:sdt>
        <w:sdt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/>
        <w:sdtContent>
          <w:r w:rsidRPr="003D141A">
            <w:t>Economics</w:t>
          </w:r>
          <w:r w:rsidR="00E51A65" w:rsidRPr="003D141A">
            <w:t xml:space="preserve"> Legislation Committee</w:t>
          </w:r>
        </w:sdtContent>
      </w:sdt>
      <w:r w:rsidR="00E12215" w:rsidRPr="003D141A">
        <w:t xml:space="preserve"> </w:t>
      </w:r>
      <w:r w:rsidR="009254A8" w:rsidRPr="003D141A">
        <w:t>Inquiry</w:t>
      </w:r>
      <w:r w:rsidR="00801BC5" w:rsidRPr="003D141A">
        <w:t xml:space="preserve"> </w:t>
      </w:r>
      <w:r w:rsidR="00FE633D">
        <w:t>R</w:t>
      </w:r>
      <w:r w:rsidR="00801BC5" w:rsidRPr="003D141A">
        <w:t>eport</w:t>
      </w:r>
    </w:p>
    <w:p w14:paraId="2C02E678" w14:textId="06504A69" w:rsidR="00FE633D" w:rsidRDefault="0056567C" w:rsidP="00FE633D">
      <w:pPr>
        <w:pStyle w:val="CoverTitleSub"/>
      </w:pPr>
      <w:sdt>
        <w:sdtPr>
          <w:rPr>
            <w:rStyle w:val="commiChar"/>
          </w:rPr>
          <w:alias w:val="Report Title"/>
          <w:tag w:val="ReportTitle"/>
          <w:id w:val="-1193765616"/>
          <w:placeholder>
            <w:docPart w:val="1B29F4479D134DC49003724617424088"/>
          </w:placeholder>
        </w:sdtPr>
        <w:sdtEndPr>
          <w:rPr>
            <w:rStyle w:val="commiChar"/>
          </w:rPr>
        </w:sdtEndPr>
        <w:sdtContent>
          <w:r w:rsidR="00FE633D" w:rsidRPr="003D141A">
            <w:t>Government Amendments to Treasury Laws Amendment (Making Multinationals Pay Their Fair Share – Integrity and Transparency) Bill 2023</w:t>
          </w:r>
        </w:sdtContent>
      </w:sdt>
    </w:p>
    <w:p w14:paraId="1455F258" w14:textId="59C95679" w:rsidR="00236901" w:rsidRPr="00783601" w:rsidRDefault="00783601" w:rsidP="003D141A">
      <w:pPr>
        <w:pStyle w:val="CoverDate"/>
        <w:rPr>
          <w:caps/>
        </w:rPr>
      </w:pPr>
      <w: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38EC6997" w14:textId="77777777" w:rsidR="00B47ECF" w:rsidRPr="00C47A9C" w:rsidRDefault="008A1191" w:rsidP="0077630F">
      <w:pPr>
        <w:pStyle w:val="Heading1"/>
      </w:pPr>
      <w:bookmarkStart w:id="0" w:name="_Toc256000000"/>
      <w:bookmarkStart w:id="1" w:name="_Toc307237589"/>
      <w:r w:rsidRPr="00C47A9C">
        <w:lastRenderedPageBreak/>
        <w:t>Introduction</w:t>
      </w:r>
      <w:bookmarkEnd w:id="0"/>
      <w:bookmarkEnd w:id="1"/>
    </w:p>
    <w:p w14:paraId="609BA264" w14:textId="29F5B612" w:rsidR="00B47ECF" w:rsidRDefault="00043A30" w:rsidP="00B47ECF">
      <w:r>
        <w:t>O</w:t>
      </w:r>
      <w:r w:rsidRPr="00043A30">
        <w:t xml:space="preserve">n 5 December 2023, the Senate referred the Government </w:t>
      </w:r>
      <w:r>
        <w:t>a</w:t>
      </w:r>
      <w:r w:rsidRPr="00043A30">
        <w:t xml:space="preserve">mendments to the </w:t>
      </w:r>
      <w:r w:rsidRPr="00043A30">
        <w:rPr>
          <w:i/>
          <w:iCs/>
        </w:rPr>
        <w:t>Treasury Laws Amendment (Making Multinationals Pay Their Fair Share</w:t>
      </w:r>
      <w:r w:rsidR="005F35F7">
        <w:rPr>
          <w:i/>
          <w:iCs/>
        </w:rPr>
        <w:noBreakHyphen/>
      </w:r>
      <w:r w:rsidRPr="00043A30">
        <w:rPr>
          <w:i/>
          <w:iCs/>
        </w:rPr>
        <w:t>Integrity and Transparency) Bill 2023</w:t>
      </w:r>
      <w:r w:rsidRPr="00043A30">
        <w:t xml:space="preserve"> </w:t>
      </w:r>
      <w:r>
        <w:t xml:space="preserve">(the Bill) </w:t>
      </w:r>
      <w:r w:rsidRPr="00043A30">
        <w:t>to the Senate Economics Legislation Committee for inquiry and report by 5 February 2024</w:t>
      </w:r>
      <w:r w:rsidR="005F3E0F">
        <w:t>.</w:t>
      </w:r>
      <w:r w:rsidR="009129C8" w:rsidRPr="005F3E0F">
        <w:rPr>
          <w:rFonts w:ascii="Calibri" w:hAnsi="Calibri" w:cs="Calibri"/>
          <w:vertAlign w:val="superscript"/>
        </w:rPr>
        <w:footnoteReference w:id="1"/>
      </w:r>
    </w:p>
    <w:p w14:paraId="2D566897" w14:textId="0C7246C5" w:rsidR="00043A30" w:rsidRDefault="009129C8" w:rsidP="00B47ECF">
      <w:r>
        <w:t xml:space="preserve">This </w:t>
      </w:r>
      <w:r w:rsidR="00043A30">
        <w:t>was the second Senate inquiry on the Bill and follow</w:t>
      </w:r>
      <w:r w:rsidR="00163DD8">
        <w:t>ed</w:t>
      </w:r>
      <w:r w:rsidR="00043A30">
        <w:t xml:space="preserve"> extensive, iterative consultation with stakeholders</w:t>
      </w:r>
      <w:r>
        <w:t xml:space="preserve"> on the Bill</w:t>
      </w:r>
      <w:r w:rsidR="00043A30">
        <w:t>.</w:t>
      </w:r>
      <w:r w:rsidR="00803F03">
        <w:t xml:space="preserve"> </w:t>
      </w:r>
    </w:p>
    <w:p w14:paraId="6B54E16D" w14:textId="45C69E02" w:rsidR="00BE3DD2" w:rsidRDefault="00BE3DD2" w:rsidP="00B47ECF">
      <w:r>
        <w:t>The Government amendments focused on the thin capitalisation schedule and responded to stakeholder feedback and the Committee</w:t>
      </w:r>
      <w:r w:rsidR="005F35F7">
        <w:t>’</w:t>
      </w:r>
      <w:r>
        <w:t>s recommendations from their first Inquiry report</w:t>
      </w:r>
      <w:r w:rsidR="005F3E0F">
        <w:t>.</w:t>
      </w:r>
      <w:r w:rsidRPr="005F3E0F">
        <w:rPr>
          <w:rFonts w:ascii="Calibri" w:hAnsi="Calibri" w:cs="Calibri"/>
          <w:vertAlign w:val="superscript"/>
        </w:rPr>
        <w:footnoteReference w:id="2"/>
      </w:r>
    </w:p>
    <w:p w14:paraId="3668D771" w14:textId="1117E50D" w:rsidR="00803F03" w:rsidRDefault="00803F03" w:rsidP="00B47ECF">
      <w:r>
        <w:t xml:space="preserve">The thin capitalisation changes </w:t>
      </w:r>
      <w:r w:rsidR="00BE3DD2">
        <w:t>are</w:t>
      </w:r>
      <w:r>
        <w:t xml:space="preserve"> an election commitment of the Government to bring Australia</w:t>
      </w:r>
      <w:r w:rsidR="005F35F7">
        <w:t>’</w:t>
      </w:r>
      <w:r>
        <w:t xml:space="preserve">s </w:t>
      </w:r>
      <w:r w:rsidR="00BE3DD2">
        <w:t>former</w:t>
      </w:r>
      <w:r>
        <w:t xml:space="preserve"> (asset</w:t>
      </w:r>
      <w:r w:rsidR="005F35F7">
        <w:noBreakHyphen/>
      </w:r>
      <w:r>
        <w:t>based) thin capitalisation rules into broad alignment with OECD best practice. Specifically, by introducing earnings</w:t>
      </w:r>
      <w:r w:rsidR="005F35F7">
        <w:noBreakHyphen/>
      </w:r>
      <w:r>
        <w:t>based interest limitation rules to limit an entity</w:t>
      </w:r>
      <w:r w:rsidR="005F35F7">
        <w:t>’</w:t>
      </w:r>
      <w:r>
        <w:t xml:space="preserve">s </w:t>
      </w:r>
      <w:r w:rsidR="00BE3DD2">
        <w:t>interest</w:t>
      </w:r>
      <w:r>
        <w:t xml:space="preserve"> deductions in line with their taxable earnings before interest, tax, depreciation, and amortisation (EBITDA).</w:t>
      </w:r>
      <w:r w:rsidR="00BE3DD2">
        <w:t xml:space="preserve"> </w:t>
      </w:r>
    </w:p>
    <w:p w14:paraId="5FAD4F33" w14:textId="4DFAE600" w:rsidR="00043A30" w:rsidRPr="00C47A9C" w:rsidRDefault="00043A30" w:rsidP="00B47ECF">
      <w:r>
        <w:t xml:space="preserve"> </w:t>
      </w:r>
    </w:p>
    <w:p w14:paraId="0EC6BF9E" w14:textId="3AD07E27" w:rsidR="00C47A9C" w:rsidRPr="00C47A9C" w:rsidRDefault="008A1191">
      <w:pPr>
        <w:spacing w:after="160" w:line="259" w:lineRule="auto"/>
        <w:rPr>
          <w:caps/>
          <w:sz w:val="28"/>
          <w:szCs w:val="28"/>
        </w:rPr>
      </w:pPr>
      <w:r w:rsidRPr="00C47A9C">
        <w:rPr>
          <w:caps/>
          <w:sz w:val="28"/>
          <w:szCs w:val="28"/>
        </w:rPr>
        <w:br w:type="page"/>
      </w:r>
    </w:p>
    <w:p w14:paraId="54B4AE1F" w14:textId="2FE108EE" w:rsidR="00C47A9C" w:rsidRPr="00C47A9C" w:rsidRDefault="008A1191" w:rsidP="005F35F7">
      <w:pPr>
        <w:pStyle w:val="Heading1"/>
      </w:pPr>
      <w:r w:rsidRPr="00C47A9C">
        <w:lastRenderedPageBreak/>
        <w:t xml:space="preserve">Response to the </w:t>
      </w:r>
      <w:r w:rsidRPr="005F35F7">
        <w:t>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6D286E" w14:paraId="5860208F" w14:textId="77777777" w:rsidTr="00FB6B0E">
        <w:trPr>
          <w:trHeight w:val="70"/>
        </w:trPr>
        <w:tc>
          <w:tcPr>
            <w:tcW w:w="9016" w:type="dxa"/>
          </w:tcPr>
          <w:p w14:paraId="66EE6193" w14:textId="0A7C278F" w:rsidR="00C47A9C" w:rsidRPr="008774BA" w:rsidRDefault="008A1191" w:rsidP="005F35F7">
            <w:pPr>
              <w:pStyle w:val="BoxHeading"/>
              <w:rPr>
                <w:caps/>
              </w:rPr>
            </w:pPr>
            <w:r w:rsidRPr="008A1191">
              <w:t>Coalition Senators</w:t>
            </w:r>
            <w:r w:rsidR="005F35F7">
              <w:t>’</w:t>
            </w:r>
            <w:r w:rsidRPr="008A1191">
              <w:t xml:space="preserve"> Dissenting Report</w:t>
            </w:r>
            <w:r w:rsidR="005F35F7">
              <w:t xml:space="preserve"> – </w:t>
            </w:r>
            <w:r w:rsidRPr="005F35F7">
              <w:t>Recommendation</w:t>
            </w:r>
            <w:r w:rsidRPr="008774BA">
              <w:t xml:space="preserve"> </w:t>
            </w:r>
            <w:r>
              <w:t>5</w:t>
            </w:r>
          </w:p>
          <w:p w14:paraId="4F16936E" w14:textId="0B698CA0" w:rsidR="00C47A9C" w:rsidRPr="008774BA" w:rsidRDefault="008A1191" w:rsidP="00FB6B0E">
            <w:pPr>
              <w:pStyle w:val="BoxText"/>
            </w:pPr>
            <w:r>
              <w:t>That the Treasury consult with industry to propose a possible carve out for the plantation forestry sector to minimise the impact of the thin capitalisation rules</w:t>
            </w:r>
            <w:r w:rsidRPr="008774BA">
              <w:t>.</w:t>
            </w:r>
          </w:p>
          <w:p w14:paraId="30A4F0C9" w14:textId="77777777" w:rsidR="00FB6B0E" w:rsidRPr="009753EB" w:rsidRDefault="008A1191" w:rsidP="00FB6B0E">
            <w:pPr>
              <w:pStyle w:val="BoxSubHeading"/>
              <w:keepNext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5532AD1A" w14:textId="54A1AD3D" w:rsidR="008774BA" w:rsidRDefault="008A1191" w:rsidP="00FB6B0E">
            <w:pPr>
              <w:pStyle w:val="BoxText"/>
            </w:pPr>
            <w:r>
              <w:rPr>
                <w:caps/>
              </w:rPr>
              <w:t>t</w:t>
            </w:r>
            <w:r>
              <w:t xml:space="preserve">he Government </w:t>
            </w:r>
            <w:r w:rsidR="00076769" w:rsidRPr="00FB6B0E">
              <w:rPr>
                <w:b/>
                <w:bCs/>
              </w:rPr>
              <w:t>notes</w:t>
            </w:r>
            <w:r w:rsidR="005C74B1">
              <w:rPr>
                <w:b/>
                <w:bCs/>
              </w:rPr>
              <w:t xml:space="preserve"> </w:t>
            </w:r>
            <w:r>
              <w:t>this recommendation.</w:t>
            </w:r>
          </w:p>
          <w:p w14:paraId="35D90786" w14:textId="06F928E4" w:rsidR="00134699" w:rsidRDefault="00134699" w:rsidP="000E6AF8">
            <w:pPr>
              <w:pStyle w:val="BoxText"/>
            </w:pPr>
            <w:r>
              <w:t xml:space="preserve">The thin capitalisation </w:t>
            </w:r>
            <w:r w:rsidR="00D61B84">
              <w:t>reform</w:t>
            </w:r>
            <w:r w:rsidR="00667169">
              <w:t>s are</w:t>
            </w:r>
            <w:r>
              <w:t xml:space="preserve"> an integrity measure</w:t>
            </w:r>
            <w:r w:rsidR="00CA1548">
              <w:t>, e</w:t>
            </w:r>
            <w:r w:rsidR="00D61B84">
              <w:t>nsuring that an entity</w:t>
            </w:r>
            <w:r w:rsidR="005F35F7">
              <w:t>’</w:t>
            </w:r>
            <w:r w:rsidR="00D61B84">
              <w:t xml:space="preserve">s debt deductions are </w:t>
            </w:r>
            <w:r w:rsidR="00667169">
              <w:t xml:space="preserve">linked directly to its economic activity and taxable income in Australia. </w:t>
            </w:r>
            <w:r w:rsidR="00CA1548">
              <w:t xml:space="preserve">The </w:t>
            </w:r>
            <w:r w:rsidR="00D61B84">
              <w:t xml:space="preserve">reforms </w:t>
            </w:r>
            <w:r>
              <w:t>w</w:t>
            </w:r>
            <w:r w:rsidR="00667169">
              <w:t>ere</w:t>
            </w:r>
            <w:r>
              <w:t xml:space="preserve"> drafted to apply to the same taxpayer base as the </w:t>
            </w:r>
            <w:r w:rsidR="00CA1548">
              <w:t>former</w:t>
            </w:r>
            <w:r w:rsidR="00163DD8">
              <w:t xml:space="preserve"> (asset</w:t>
            </w:r>
            <w:r w:rsidR="005F35F7">
              <w:noBreakHyphen/>
            </w:r>
            <w:r w:rsidR="00163DD8">
              <w:t>based)</w:t>
            </w:r>
            <w:r w:rsidR="00CA1548">
              <w:t xml:space="preserve"> </w:t>
            </w:r>
            <w:r>
              <w:t xml:space="preserve">thin </w:t>
            </w:r>
            <w:r w:rsidR="00CA1548">
              <w:t>capitalisation rules</w:t>
            </w:r>
            <w:r>
              <w:t>.</w:t>
            </w:r>
          </w:p>
          <w:p w14:paraId="2CCD8160" w14:textId="34A8CB18" w:rsidR="00F61C1A" w:rsidRDefault="00134699" w:rsidP="000E6AF8">
            <w:pPr>
              <w:pStyle w:val="BoxText"/>
            </w:pPr>
            <w:r>
              <w:t xml:space="preserve">The </w:t>
            </w:r>
            <w:r w:rsidR="00F61C1A">
              <w:t>Government</w:t>
            </w:r>
            <w:r>
              <w:t xml:space="preserve"> consulted extensively </w:t>
            </w:r>
            <w:r w:rsidR="00F61C1A">
              <w:t xml:space="preserve">with stakeholders on the amendments to the Bill, including with the plantation forestry sector. </w:t>
            </w:r>
            <w:r w:rsidR="00987072">
              <w:t xml:space="preserve">A key amendment </w:t>
            </w:r>
            <w:r w:rsidR="005F0664">
              <w:t xml:space="preserve">from this consultation </w:t>
            </w:r>
            <w:r w:rsidR="00987072">
              <w:t>was to change the taxable earnings before interest, tax, depreciation, and amortisation (EBITDA) method</w:t>
            </w:r>
            <w:r w:rsidR="005F0664">
              <w:t xml:space="preserve"> in the Fixed Ratio Test of the new </w:t>
            </w:r>
            <w:r w:rsidR="00B86AD4">
              <w:t xml:space="preserve">thin capitalisation </w:t>
            </w:r>
            <w:r w:rsidR="005F0664">
              <w:t xml:space="preserve">rules, </w:t>
            </w:r>
            <w:r w:rsidR="00B86AD4">
              <w:t xml:space="preserve">in line with initial recommendations from the Australian Forestry Products Association. This amendment </w:t>
            </w:r>
            <w:r w:rsidR="005F0664">
              <w:t>broaden</w:t>
            </w:r>
            <w:r w:rsidR="00B86AD4">
              <w:t>ed</w:t>
            </w:r>
            <w:r w:rsidR="005F0664">
              <w:t xml:space="preserve"> </w:t>
            </w:r>
            <w:r w:rsidR="00D00CA3">
              <w:t xml:space="preserve">the </w:t>
            </w:r>
            <w:r w:rsidR="005F0664">
              <w:t xml:space="preserve">eligible </w:t>
            </w:r>
            <w:r w:rsidR="00D00CA3">
              <w:t>depreciation expenses to specifically</w:t>
            </w:r>
            <w:r w:rsidR="005F0664">
              <w:t xml:space="preserve"> allow</w:t>
            </w:r>
            <w:r w:rsidR="00D00CA3">
              <w:t xml:space="preserve"> </w:t>
            </w:r>
            <w:r w:rsidR="005F0664">
              <w:t>plantation depletion and establishment costs</w:t>
            </w:r>
            <w:r w:rsidR="00D00CA3">
              <w:t xml:space="preserve"> to be added to the tax EBITDA method</w:t>
            </w:r>
            <w:r w:rsidR="00B86AD4">
              <w:t xml:space="preserve">. The effect of this </w:t>
            </w:r>
            <w:r w:rsidR="00EC62E9">
              <w:t xml:space="preserve">amendment </w:t>
            </w:r>
            <w:r w:rsidR="00B86AD4">
              <w:t>was to minimise the impact of the new thin capitalisation rules on the plantation forestry sector</w:t>
            </w:r>
            <w:r w:rsidR="003202F8">
              <w:t xml:space="preserve"> by increasing an entity</w:t>
            </w:r>
            <w:r w:rsidR="005F35F7">
              <w:t>’</w:t>
            </w:r>
            <w:r w:rsidR="003202F8">
              <w:t>s tax EBITDA, allowing for higher interest deductions</w:t>
            </w:r>
            <w:r w:rsidR="00B86AD4">
              <w:t>.</w:t>
            </w:r>
            <w:r w:rsidR="00987072">
              <w:t xml:space="preserve"> </w:t>
            </w:r>
          </w:p>
          <w:p w14:paraId="3A0858FE" w14:textId="2E1BFDA1" w:rsidR="00B86AD4" w:rsidRDefault="005C74B1" w:rsidP="00987072">
            <w:pPr>
              <w:pStyle w:val="BoxText"/>
            </w:pPr>
            <w:r>
              <w:t>The final Bill as passed by both houses of Parliament included a non</w:t>
            </w:r>
            <w:r w:rsidR="005F35F7">
              <w:noBreakHyphen/>
            </w:r>
            <w:r>
              <w:t xml:space="preserve">Government amendment </w:t>
            </w:r>
            <w:r w:rsidR="00AB7994">
              <w:t>to a</w:t>
            </w:r>
            <w:r w:rsidR="001F6E67">
              <w:t>llow</w:t>
            </w:r>
            <w:r w:rsidR="00AB7994">
              <w:t xml:space="preserve"> Australian plantation forestry entities</w:t>
            </w:r>
            <w:r w:rsidR="001F6E67">
              <w:t xml:space="preserve"> to continue to apply the former thin capitalisation law</w:t>
            </w:r>
            <w:r w:rsidR="008A1191">
              <w:t xml:space="preserve">. </w:t>
            </w:r>
            <w:r w:rsidR="00AB7994">
              <w:t xml:space="preserve">This amendment has the practical effect of carving out Australian plantation forestry entities from the </w:t>
            </w:r>
            <w:r w:rsidR="000E6AF8">
              <w:t>new earnings</w:t>
            </w:r>
            <w:r w:rsidR="005F35F7">
              <w:noBreakHyphen/>
            </w:r>
            <w:r w:rsidR="000E6AF8">
              <w:t xml:space="preserve">based </w:t>
            </w:r>
            <w:r w:rsidR="00AB7994">
              <w:t>thin capitalisation rules</w:t>
            </w:r>
            <w:r w:rsidR="000E6AF8">
              <w:t xml:space="preserve"> reflected in </w:t>
            </w:r>
            <w:r w:rsidR="000E6AF8" w:rsidRPr="000E6AF8">
              <w:rPr>
                <w:i/>
                <w:iCs/>
              </w:rPr>
              <w:t>Treasury Laws Amendment (Making Multinationals Pay Their Fair Share—Integrity and Transparency) Bill 2023</w:t>
            </w:r>
            <w:r w:rsidR="000E6AF8">
              <w:t>. Th</w:t>
            </w:r>
            <w:r w:rsidR="00043A30">
              <w:t>e</w:t>
            </w:r>
            <w:r w:rsidR="000E6AF8">
              <w:t xml:space="preserve"> Bill passed the Parliament on 27 March 2024 and received Royal Assent on 8 April 2024.</w:t>
            </w:r>
            <w:r w:rsidR="00AB7994">
              <w:t xml:space="preserve"> </w:t>
            </w:r>
          </w:p>
          <w:p w14:paraId="331C1BB8" w14:textId="4BE412D4" w:rsidR="00EC62E9" w:rsidRPr="008774BA" w:rsidRDefault="00EC62E9" w:rsidP="00EC62E9">
            <w:pPr>
              <w:pStyle w:val="BoxText"/>
              <w:rPr>
                <w:caps/>
              </w:rPr>
            </w:pPr>
            <w:r>
              <w:t>The Government has previously noted that this is</w:t>
            </w:r>
            <w:r w:rsidR="00BA66CA">
              <w:t xml:space="preserve"> a</w:t>
            </w:r>
            <w:r>
              <w:t xml:space="preserve"> technical and complex piece of tax legislation and signalled our commitment to engage with stakeholders. We note the Australian Taxation Office is working with industry </w:t>
            </w:r>
            <w:r w:rsidR="000A3E04">
              <w:t>o</w:t>
            </w:r>
            <w:r>
              <w:t xml:space="preserve">n the implementation of </w:t>
            </w:r>
            <w:r w:rsidR="004D0986">
              <w:t>this reform</w:t>
            </w:r>
            <w:r>
              <w:t xml:space="preserve"> to manage taxpayers</w:t>
            </w:r>
            <w:r w:rsidR="005F35F7">
              <w:t>’</w:t>
            </w:r>
            <w:r>
              <w:t xml:space="preserve"> transition to the new thin capitalisation regime, and in line with usual practice, the Treasury will continue to consider the technical feedback from this transition.</w:t>
            </w:r>
          </w:p>
        </w:tc>
      </w:tr>
    </w:tbl>
    <w:p w14:paraId="2EF3A908" w14:textId="5330471D" w:rsidR="00FB6B0E" w:rsidRDefault="00FB6B0E">
      <w:pPr>
        <w:spacing w:after="480"/>
        <w:rPr>
          <w:caps/>
        </w:rPr>
      </w:pPr>
    </w:p>
    <w:p w14:paraId="31D47FE6" w14:textId="12F4DCEA" w:rsidR="0077630F" w:rsidRPr="00C47A9C" w:rsidRDefault="0077630F" w:rsidP="00177D7D">
      <w:pPr>
        <w:spacing w:before="0" w:after="160" w:line="259" w:lineRule="auto"/>
        <w:rPr>
          <w:caps/>
        </w:rPr>
      </w:pPr>
    </w:p>
    <w:sectPr w:rsidR="0077630F" w:rsidRPr="00C47A9C" w:rsidSect="006F0957">
      <w:headerReference w:type="even" r:id="rId17"/>
      <w:headerReference w:type="default" r:id="rId18"/>
      <w:headerReference w:type="first" r:id="rId19"/>
      <w:footerReference w:type="first" r:id="rId20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1055" w14:textId="77777777" w:rsidR="008A1191" w:rsidRDefault="008A1191">
      <w:pPr>
        <w:spacing w:before="0" w:after="0"/>
      </w:pPr>
      <w:r>
        <w:separator/>
      </w:r>
    </w:p>
  </w:endnote>
  <w:endnote w:type="continuationSeparator" w:id="0">
    <w:p w14:paraId="47A21804" w14:textId="77777777" w:rsidR="008A1191" w:rsidRDefault="008A11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59F60929" w:rsidR="0077630F" w:rsidRPr="00F347BE" w:rsidRDefault="008A1191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56567C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0250CB6B" wp14:editId="709869F6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6C8475F0" w:rsidR="0077630F" w:rsidRPr="00F347BE" w:rsidRDefault="008A1191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2225F503" wp14:editId="25353B33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F527A8">
      <w:rPr>
        <w:noProof/>
      </w:rPr>
      <w:t>Introduction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723C" w14:textId="77777777" w:rsidR="005F35F7" w:rsidRDefault="005F35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5097AA3F" w:rsidR="0077630F" w:rsidRPr="00F347BE" w:rsidRDefault="008A1191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5FBD5E8E" wp14:editId="7EE15DC0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56567C">
      <w:rPr>
        <w:noProof/>
      </w:rPr>
      <w:t>Introduction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8A1191" w:rsidP="00B47ECF">
      <w:r>
        <w:separator/>
      </w:r>
    </w:p>
  </w:footnote>
  <w:footnote w:type="continuationSeparator" w:id="0">
    <w:p w14:paraId="4CA0E2A6" w14:textId="77777777" w:rsidR="0042266F" w:rsidRDefault="008A1191" w:rsidP="00B47ECF">
      <w:r>
        <w:continuationSeparator/>
      </w:r>
    </w:p>
  </w:footnote>
  <w:footnote w:id="1">
    <w:p w14:paraId="2A7E8DBF" w14:textId="001071A1" w:rsidR="009129C8" w:rsidRDefault="009129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BE3DD2">
        <w:t xml:space="preserve">5 February 2024, </w:t>
      </w:r>
      <w:hyperlink r:id="rId1" w:history="1">
        <w:r w:rsidR="00BE3DD2" w:rsidRPr="009A6C2B">
          <w:rPr>
            <w:rStyle w:val="Hyperlink"/>
          </w:rPr>
          <w:t>https://www.aph.gov.au/Parliamentary_Business/Committees/Senate/Economics/TLABMultinationalTax</w:t>
        </w:r>
      </w:hyperlink>
      <w:r>
        <w:t xml:space="preserve"> </w:t>
      </w:r>
    </w:p>
  </w:footnote>
  <w:footnote w:id="2">
    <w:p w14:paraId="7E127CE8" w14:textId="39951100" w:rsidR="00BE3DD2" w:rsidRDefault="00BE3D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22 </w:t>
      </w:r>
      <w:r w:rsidR="00163DD8">
        <w:t>September</w:t>
      </w:r>
      <w:r>
        <w:t xml:space="preserve"> 202</w:t>
      </w:r>
      <w:r w:rsidR="00163DD8">
        <w:t>3</w:t>
      </w:r>
      <w:r>
        <w:t xml:space="preserve">, </w:t>
      </w:r>
      <w:hyperlink r:id="rId2" w:history="1">
        <w:r w:rsidRPr="009A6C2B">
          <w:rPr>
            <w:rStyle w:val="Hyperlink"/>
          </w:rPr>
          <w:t>https://www.aph.gov.au/Parliamentary_Business/Committees/Senate/Economics/TLABMultinationalTax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468966F8" w:rsidR="008774BA" w:rsidRDefault="0056567C">
    <w:pPr>
      <w:pStyle w:val="Header"/>
    </w:pPr>
    <w:r>
      <w:rPr>
        <w:noProof/>
      </w:rPr>
      <w:pict w14:anchorId="3DBF4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255860" o:spid="_x0000_s2049" type="#_x0000_t136" style="position:absolute;left:0;text-align:left;margin-left:0;margin-top:0;width:399.6pt;height:23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347BE">
      <w:rPr>
        <w:noProof/>
      </w:rPr>
      <w:drawing>
        <wp:anchor distT="0" distB="0" distL="114300" distR="114300" simplePos="0" relativeHeight="251659264" behindDoc="1" locked="1" layoutInCell="1" allowOverlap="1" wp14:anchorId="6656F812" wp14:editId="3177C2A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039ACD9A" w:rsidR="008774BA" w:rsidRDefault="0056567C">
    <w:pPr>
      <w:pStyle w:val="Header"/>
    </w:pPr>
    <w:r>
      <w:rPr>
        <w:noProof/>
      </w:rPr>
      <w:pict w14:anchorId="7C81C2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255861" o:spid="_x0000_s2050" type="#_x0000_t136" style="position:absolute;left:0;text-align:left;margin-left:0;margin-top:0;width:399.6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347BE">
      <w:rPr>
        <w:noProof/>
      </w:rPr>
      <w:drawing>
        <wp:anchor distT="0" distB="0" distL="114300" distR="114300" simplePos="0" relativeHeight="251660288" behindDoc="1" locked="1" layoutInCell="1" allowOverlap="1" wp14:anchorId="5A733AA9" wp14:editId="119E55D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50D1" w14:textId="26BBACB3" w:rsidR="00FE633D" w:rsidRDefault="00FE633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8DD1B75" wp14:editId="16A1F90D">
          <wp:simplePos x="0" y="0"/>
          <wp:positionH relativeFrom="column">
            <wp:posOffset>0</wp:posOffset>
          </wp:positionH>
          <wp:positionV relativeFrom="paragraph">
            <wp:posOffset>452590</wp:posOffset>
          </wp:positionV>
          <wp:extent cx="2203200" cy="536400"/>
          <wp:effectExtent l="0" t="0" r="6985" b="0"/>
          <wp:wrapNone/>
          <wp:docPr id="46" name="Picture 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53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2AD3B616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387B70F0" w:rsidR="005537C9" w:rsidRDefault="0056567C">
    <w:pPr>
      <w:pStyle w:val="Header"/>
    </w:pPr>
    <w:r>
      <w:rPr>
        <w:noProof/>
      </w:rPr>
      <w:pict w14:anchorId="74C2C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255864" o:spid="_x0000_s2053" type="#_x0000_t136" style="position:absolute;left:0;text-align:left;margin-left:0;margin-top:0;width:399.6pt;height:239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6D956CD2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2CD578" wp14:editId="01060A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059A62A4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CEA4FB0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5443965">
    <w:abstractNumId w:val="2"/>
  </w:num>
  <w:num w:numId="2" w16cid:durableId="1999726851">
    <w:abstractNumId w:val="4"/>
  </w:num>
  <w:num w:numId="3" w16cid:durableId="152883550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641665">
    <w:abstractNumId w:val="0"/>
  </w:num>
  <w:num w:numId="5" w16cid:durableId="1848867028">
    <w:abstractNumId w:val="5"/>
  </w:num>
  <w:num w:numId="6" w16cid:durableId="782190484">
    <w:abstractNumId w:val="6"/>
  </w:num>
  <w:num w:numId="7" w16cid:durableId="822935959">
    <w:abstractNumId w:val="3"/>
  </w:num>
  <w:num w:numId="8" w16cid:durableId="1764305248">
    <w:abstractNumId w:val="7"/>
  </w:num>
  <w:num w:numId="9" w16cid:durableId="584463346">
    <w:abstractNumId w:val="1"/>
  </w:num>
  <w:num w:numId="10" w16cid:durableId="261569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43A30"/>
    <w:rsid w:val="00056FF5"/>
    <w:rsid w:val="00076769"/>
    <w:rsid w:val="000846EF"/>
    <w:rsid w:val="00092408"/>
    <w:rsid w:val="000A3E04"/>
    <w:rsid w:val="000C142E"/>
    <w:rsid w:val="000D051A"/>
    <w:rsid w:val="000D1C7F"/>
    <w:rsid w:val="000E6AF8"/>
    <w:rsid w:val="00134699"/>
    <w:rsid w:val="00152DD0"/>
    <w:rsid w:val="001530F7"/>
    <w:rsid w:val="00163DD8"/>
    <w:rsid w:val="00177D7D"/>
    <w:rsid w:val="001F6E67"/>
    <w:rsid w:val="00205BAC"/>
    <w:rsid w:val="00236901"/>
    <w:rsid w:val="002A30D0"/>
    <w:rsid w:val="002A31E6"/>
    <w:rsid w:val="002B4442"/>
    <w:rsid w:val="002F0EA7"/>
    <w:rsid w:val="002F52A6"/>
    <w:rsid w:val="003202F8"/>
    <w:rsid w:val="00326FB8"/>
    <w:rsid w:val="00340F54"/>
    <w:rsid w:val="003463B6"/>
    <w:rsid w:val="00350D41"/>
    <w:rsid w:val="00353FD7"/>
    <w:rsid w:val="003D141A"/>
    <w:rsid w:val="004063DC"/>
    <w:rsid w:val="0042266F"/>
    <w:rsid w:val="00495C13"/>
    <w:rsid w:val="004D0986"/>
    <w:rsid w:val="00510BCE"/>
    <w:rsid w:val="005243F9"/>
    <w:rsid w:val="005537C9"/>
    <w:rsid w:val="0056567C"/>
    <w:rsid w:val="005A000F"/>
    <w:rsid w:val="005C74B1"/>
    <w:rsid w:val="005E449B"/>
    <w:rsid w:val="005F0664"/>
    <w:rsid w:val="005F35F7"/>
    <w:rsid w:val="005F3E0F"/>
    <w:rsid w:val="006211CF"/>
    <w:rsid w:val="0066657F"/>
    <w:rsid w:val="00667169"/>
    <w:rsid w:val="006848CE"/>
    <w:rsid w:val="006D1D3B"/>
    <w:rsid w:val="006D286E"/>
    <w:rsid w:val="006E694A"/>
    <w:rsid w:val="006F0957"/>
    <w:rsid w:val="00725F12"/>
    <w:rsid w:val="0077630F"/>
    <w:rsid w:val="007820EC"/>
    <w:rsid w:val="00783601"/>
    <w:rsid w:val="007C5FCA"/>
    <w:rsid w:val="00801BC5"/>
    <w:rsid w:val="00803F03"/>
    <w:rsid w:val="00835798"/>
    <w:rsid w:val="00854626"/>
    <w:rsid w:val="008671CE"/>
    <w:rsid w:val="008706FC"/>
    <w:rsid w:val="008774BA"/>
    <w:rsid w:val="008A1191"/>
    <w:rsid w:val="008D32D4"/>
    <w:rsid w:val="008D6E34"/>
    <w:rsid w:val="008D74DF"/>
    <w:rsid w:val="009129C8"/>
    <w:rsid w:val="009254A8"/>
    <w:rsid w:val="00935E3D"/>
    <w:rsid w:val="009753EB"/>
    <w:rsid w:val="00987072"/>
    <w:rsid w:val="00A2437E"/>
    <w:rsid w:val="00A47334"/>
    <w:rsid w:val="00A7212C"/>
    <w:rsid w:val="00AB7994"/>
    <w:rsid w:val="00B11725"/>
    <w:rsid w:val="00B47ECF"/>
    <w:rsid w:val="00B86AD4"/>
    <w:rsid w:val="00BA66CA"/>
    <w:rsid w:val="00BB1B65"/>
    <w:rsid w:val="00BE31D9"/>
    <w:rsid w:val="00BE3DD2"/>
    <w:rsid w:val="00C45BA7"/>
    <w:rsid w:val="00C47A9C"/>
    <w:rsid w:val="00C77640"/>
    <w:rsid w:val="00CA1548"/>
    <w:rsid w:val="00CB3C85"/>
    <w:rsid w:val="00CB3D18"/>
    <w:rsid w:val="00CF75DF"/>
    <w:rsid w:val="00D00CA3"/>
    <w:rsid w:val="00D04818"/>
    <w:rsid w:val="00D61B84"/>
    <w:rsid w:val="00E12215"/>
    <w:rsid w:val="00E51A65"/>
    <w:rsid w:val="00EC62E9"/>
    <w:rsid w:val="00EC7701"/>
    <w:rsid w:val="00EF2F09"/>
    <w:rsid w:val="00F347BE"/>
    <w:rsid w:val="00F5279A"/>
    <w:rsid w:val="00F527A8"/>
    <w:rsid w:val="00F53754"/>
    <w:rsid w:val="00F61C1A"/>
    <w:rsid w:val="00F769CE"/>
    <w:rsid w:val="00F92A63"/>
    <w:rsid w:val="00FB6B0E"/>
    <w:rsid w:val="00FE045B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  <w15:docId w15:val="{2C3BAAE3-AC54-48FD-9422-95FA720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D0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152DD0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152DD0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152DD0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152DD0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152DD0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152DD0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152DD0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152DD0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152DD0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52DD0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152DD0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DD0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152DD0"/>
  </w:style>
  <w:style w:type="paragraph" w:customStyle="1" w:styleId="ContentsHeading">
    <w:name w:val="Contents Heading"/>
    <w:basedOn w:val="Heading1"/>
    <w:qFormat/>
    <w:rsid w:val="00152DD0"/>
    <w:pPr>
      <w:outlineLvl w:val="9"/>
    </w:pPr>
  </w:style>
  <w:style w:type="paragraph" w:customStyle="1" w:styleId="FooterCentered">
    <w:name w:val="Footer Centered"/>
    <w:basedOn w:val="Footer"/>
    <w:rsid w:val="00152DD0"/>
  </w:style>
  <w:style w:type="paragraph" w:styleId="Header">
    <w:name w:val="header"/>
    <w:basedOn w:val="Normal"/>
    <w:link w:val="HeaderChar"/>
    <w:uiPriority w:val="99"/>
    <w:unhideWhenUsed/>
    <w:rsid w:val="00152DD0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52DD0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152DD0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152DD0"/>
    <w:rPr>
      <w:sz w:val="18"/>
    </w:rPr>
  </w:style>
  <w:style w:type="character" w:customStyle="1" w:styleId="Heading1Char">
    <w:name w:val="Heading 1 Char"/>
    <w:basedOn w:val="DefaultParagraphFont"/>
    <w:link w:val="Heading1"/>
    <w:rsid w:val="00152DD0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152DD0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152DD0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DD0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DD0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152DD0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52DD0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52DD0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52DD0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152DD0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152DD0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52DD0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152DD0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152DD0"/>
    <w:pPr>
      <w:spacing w:before="0" w:after="0"/>
    </w:pPr>
  </w:style>
  <w:style w:type="character" w:styleId="Hyperlink">
    <w:name w:val="Hyperlink"/>
    <w:basedOn w:val="DefaultParagraphFont"/>
    <w:uiPriority w:val="99"/>
    <w:rsid w:val="00152DD0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D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152DD0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152DD0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152DD0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152DD0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152DD0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152DD0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152DD0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152DD0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152DD0"/>
  </w:style>
  <w:style w:type="paragraph" w:customStyle="1" w:styleId="ChartandTableFootnoteAlpha">
    <w:name w:val="Chart and Table Footnote Alpha"/>
    <w:rsid w:val="00152DD0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152DD0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152DD0"/>
    <w:pPr>
      <w:jc w:val="center"/>
    </w:pPr>
  </w:style>
  <w:style w:type="paragraph" w:customStyle="1" w:styleId="ChartorTableNote">
    <w:name w:val="Chart or Table Note"/>
    <w:next w:val="Normal"/>
    <w:rsid w:val="00152DD0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152DD0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152DD0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152DD0"/>
    <w:pPr>
      <w:keepNext/>
      <w:pBdr>
        <w:bottom w:val="single" w:sz="18" w:space="14" w:color="2C384A" w:themeColor="accent1"/>
      </w:pBdr>
      <w:spacing w:before="0" w:after="240"/>
    </w:pPr>
    <w:rPr>
      <w:rFonts w:ascii="Calibri" w:hAnsi="Calibri"/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152DD0"/>
    <w:pPr>
      <w:keepNext/>
      <w:spacing w:before="0"/>
    </w:pPr>
    <w:rPr>
      <w:rFonts w:ascii="Calibri" w:hAnsi="Calibri"/>
      <w:color w:val="2C384A" w:themeColor="accent1"/>
      <w:sz w:val="40"/>
    </w:rPr>
  </w:style>
  <w:style w:type="paragraph" w:customStyle="1" w:styleId="FooterEven">
    <w:name w:val="Footer Even"/>
    <w:basedOn w:val="Footer"/>
    <w:rsid w:val="00152DD0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152DD0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152DD0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152DD0"/>
    <w:rPr>
      <w:color w:val="002C47"/>
    </w:rPr>
  </w:style>
  <w:style w:type="paragraph" w:styleId="NormalIndent">
    <w:name w:val="Normal Indent"/>
    <w:basedOn w:val="Normal"/>
    <w:rsid w:val="00152DD0"/>
    <w:pPr>
      <w:ind w:left="567"/>
    </w:pPr>
  </w:style>
  <w:style w:type="paragraph" w:customStyle="1" w:styleId="TableTextBase">
    <w:name w:val="Table Text Base"/>
    <w:rsid w:val="00152DD0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152DD0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152DD0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152DD0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152DD0"/>
    <w:pPr>
      <w:spacing w:after="0"/>
    </w:pPr>
  </w:style>
  <w:style w:type="paragraph" w:customStyle="1" w:styleId="TableMainHeading">
    <w:name w:val="Table Main Heading"/>
    <w:basedOn w:val="Heading3"/>
    <w:next w:val="Normal"/>
    <w:rsid w:val="00152DD0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152DD0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152DD0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152DD0"/>
    <w:pPr>
      <w:jc w:val="center"/>
    </w:pPr>
  </w:style>
  <w:style w:type="paragraph" w:customStyle="1" w:styleId="TableTextIndented">
    <w:name w:val="Table Text Indented"/>
    <w:basedOn w:val="TableTextLeft"/>
    <w:rsid w:val="00152DD0"/>
    <w:pPr>
      <w:ind w:left="284"/>
    </w:pPr>
  </w:style>
  <w:style w:type="paragraph" w:customStyle="1" w:styleId="TableTextLeft">
    <w:name w:val="Table Text Left"/>
    <w:basedOn w:val="TableTextRight"/>
    <w:rsid w:val="00152DD0"/>
    <w:pPr>
      <w:jc w:val="left"/>
    </w:pPr>
  </w:style>
  <w:style w:type="paragraph" w:customStyle="1" w:styleId="TableTextRight">
    <w:name w:val="Table Text Right"/>
    <w:basedOn w:val="Normal"/>
    <w:rsid w:val="00152DD0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152DD0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152DD0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152DD0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152DD0"/>
    <w:rPr>
      <w:i/>
    </w:rPr>
  </w:style>
  <w:style w:type="paragraph" w:customStyle="1" w:styleId="OneLevelNumberedParagraph">
    <w:name w:val="One Level Numbered Paragraph"/>
    <w:basedOn w:val="Normal"/>
    <w:rsid w:val="00152DD0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152DD0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152DD0"/>
    <w:pPr>
      <w:keepNext/>
      <w:spacing w:before="840" w:after="0"/>
    </w:pPr>
    <w:rPr>
      <w:rFonts w:ascii="Calibri" w:hAnsi="Calibri"/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152DD0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152DD0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152DD0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152DD0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152DD0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152DD0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152DD0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152DD0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152DD0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152DD0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152DD0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152DD0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152DD0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152DD0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152DD0"/>
    <w:pPr>
      <w:ind w:left="720"/>
      <w:contextualSpacing/>
    </w:pPr>
  </w:style>
  <w:style w:type="paragraph" w:customStyle="1" w:styleId="NotesHeading">
    <w:name w:val="Notes Heading"/>
    <w:basedOn w:val="Normal"/>
    <w:rsid w:val="00152DD0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152DD0"/>
    <w:pPr>
      <w:numPr>
        <w:numId w:val="8"/>
      </w:numPr>
    </w:pPr>
  </w:style>
  <w:style w:type="numbering" w:customStyle="1" w:styleId="OutlineList">
    <w:name w:val="OutlineList"/>
    <w:uiPriority w:val="99"/>
    <w:rsid w:val="00152DD0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152DD0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152DD0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152DD0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152DD0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52DD0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152DD0"/>
  </w:style>
  <w:style w:type="paragraph" w:styleId="Title">
    <w:name w:val="Title"/>
    <w:basedOn w:val="Normal"/>
    <w:next w:val="Normal"/>
    <w:link w:val="TitleChar"/>
    <w:uiPriority w:val="10"/>
    <w:rsid w:val="00152DD0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2DD0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152DD0"/>
    <w:rPr>
      <w:rFonts w:ascii="Arial" w:hAnsi="Arial"/>
      <w:dstrike w:val="0"/>
      <w:color w:val="auto"/>
      <w:sz w:val="18"/>
      <w:vertAlign w:val="baseline"/>
    </w:rPr>
  </w:style>
  <w:style w:type="paragraph" w:styleId="Revision">
    <w:name w:val="Revision"/>
    <w:hidden/>
    <w:uiPriority w:val="99"/>
    <w:semiHidden/>
    <w:rsid w:val="005C74B1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129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5F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h.gov.au/Parliamentary_Business/Committees/Senate/Economics/TLABMultinationalTax" TargetMode="External"/><Relationship Id="rId1" Type="http://schemas.openxmlformats.org/officeDocument/2006/relationships/hyperlink" Target="https://www.aph.gov.au/Parliamentary_Business/Committees/Senate/Economics/TLABMultinationalT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Treasury\TSY%20Submiss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362E29" w:rsidRDefault="00362E29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362E29" w:rsidRDefault="00362E29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1B29F4479D134DC4900372461742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5088-75A8-451E-9F70-D126AB84C353}"/>
      </w:docPartPr>
      <w:docPartBody>
        <w:p w:rsidR="00700C74" w:rsidRDefault="00700C74" w:rsidP="00700C74">
          <w:pPr>
            <w:pStyle w:val="1B29F4479D134DC49003724617424088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E29" w:rsidRDefault="00362E29">
      <w:pPr>
        <w:spacing w:after="0" w:line="240" w:lineRule="auto"/>
      </w:pPr>
      <w:r>
        <w:separator/>
      </w:r>
    </w:p>
  </w:endnote>
  <w:endnote w:type="continuationSeparator" w:id="0">
    <w:p w:rsidR="00362E29" w:rsidRDefault="00362E2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E29" w:rsidRDefault="00362E29">
      <w:pPr>
        <w:spacing w:after="0" w:line="240" w:lineRule="auto"/>
      </w:pPr>
      <w:r>
        <w:separator/>
      </w:r>
    </w:p>
  </w:footnote>
  <w:footnote w:type="continuationSeparator" w:id="0">
    <w:p w:rsidR="00362E29" w:rsidRDefault="00362E2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362E29"/>
    <w:rsid w:val="00700C74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1B29F4479D134DC49003724617424088">
    <w:name w:val="1B29F4479D134DC49003724617424088"/>
    <w:rsid w:val="00700C7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493447ADB9EC7468CD6CD7BC7B639D7" ma:contentTypeVersion="" ma:contentTypeDescription="PDMS Document Site Content Type" ma:contentTypeScope="" ma:versionID="ebe21f0ed2aff22c53201189d73bd059">
  <xsd:schema xmlns:xsd="http://www.w3.org/2001/XMLSchema" xmlns:xs="http://www.w3.org/2001/XMLSchema" xmlns:p="http://schemas.microsoft.com/office/2006/metadata/properties" xmlns:ns2="5A5D19DF-A3D8-4F4E-BDFE-3B7BBACF8C40" targetNamespace="http://schemas.microsoft.com/office/2006/metadata/properties" ma:root="true" ma:fieldsID="6d435d3b90990d617b8c0b9c43c02132" ns2:_="">
    <xsd:import namespace="5A5D19DF-A3D8-4F4E-BDFE-3B7BBACF8C4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D19DF-A3D8-4F4E-BDFE-3B7BBACF8C4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A5D19DF-A3D8-4F4E-BDFE-3B7BBACF8C40" xsi:nil="true"/>
  </documentManagement>
</p:properties>
</file>

<file path=customXml/itemProps1.xml><?xml version="1.0" encoding="utf-8"?>
<ds:datastoreItem xmlns:ds="http://schemas.openxmlformats.org/officeDocument/2006/customXml" ds:itemID="{0B82325E-3071-46B8-B886-27A85734C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64057-5240-4F21-BF4C-17BB06B7B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D19DF-A3D8-4F4E-BDFE-3B7BBACF8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CB199-62DB-4C70-B602-E7121FF65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BDDE6-5D41-4767-BC2E-D7BB6539D6F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5A5D19DF-A3D8-4F4E-BDFE-3B7BBACF8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TSY Submission.dotm</Template>
  <TotalTime>7</TotalTime>
  <Pages>4</Pages>
  <Words>519</Words>
  <Characters>3128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Senate Economics Legislation Committee Inquiry Report</vt:lpstr>
    </vt:vector>
  </TitlesOfParts>
  <Company>Department of the Prime Minister and Cabinet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Senate Economics Legislation Committee Inquiry Report</dc:title>
  <dc:subject>Government Amendments to the Treasury Laws Amendment (Making Multinationals Pay Their Fair Share – Integrity and Transparency) Bill 2023</dc:subject>
  <dc:creator>Australian Government</dc:creator>
  <cp:lastModifiedBy>van der Hoeven, Megan</cp:lastModifiedBy>
  <cp:revision>4</cp:revision>
  <cp:lastPrinted>2024-05-23T05:42:00Z</cp:lastPrinted>
  <dcterms:created xsi:type="dcterms:W3CDTF">2024-05-30T23:04:00Z</dcterms:created>
  <dcterms:modified xsi:type="dcterms:W3CDTF">2024-05-30T23:09:00Z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Government Amendments to the Treasury Laws Amendment (Making Multinationals Pay Their Fair Share – Integrity and Transparency) Bill 2023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2024-05-30T23:05:12Z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023304bb-d378-402e-bbe1-b8b567594193</vt:lpwstr>
  </property>
  <property fmtid="{D5CDD505-2E9C-101B-9397-08002B2CF9AE}" pid="9" name="MSIP_Label_4f932d64-9ab1-4d9b-81d2-a3a8b82dd47d_ContentBits">
    <vt:lpwstr>0</vt:lpwstr>
  </property>
</Properties>
</file>