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5B56" w14:textId="7AAFB5E0" w:rsidR="00E24AA1" w:rsidRDefault="007B4AEC"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2024</w:t>
      </w:r>
    </w:p>
    <w:p w14:paraId="6ADBBB25" w14:textId="77777777" w:rsidR="00E24AA1" w:rsidRDefault="00E24AA1" w:rsidP="00E24AA1">
      <w:pPr>
        <w:pStyle w:val="Baseparagraphcentred"/>
      </w:pPr>
    </w:p>
    <w:p w14:paraId="0AA77088" w14:textId="77777777" w:rsidR="00E24AA1" w:rsidRDefault="00E24AA1" w:rsidP="00E24AA1">
      <w:pPr>
        <w:pStyle w:val="Baseparagraphcentred"/>
      </w:pPr>
      <w:r>
        <w:t>THE PARLIAMENT OF THE COMMONWEALTH OF AUSTRALIA</w:t>
      </w:r>
    </w:p>
    <w:p w14:paraId="5494CF12" w14:textId="77777777" w:rsidR="00E24AA1" w:rsidRDefault="00E24AA1" w:rsidP="00E24AA1">
      <w:pPr>
        <w:pStyle w:val="Baseparagraphcentred"/>
      </w:pPr>
    </w:p>
    <w:p w14:paraId="6BD8D22F" w14:textId="77777777" w:rsidR="00E24AA1" w:rsidRDefault="00E24AA1" w:rsidP="00E24AA1">
      <w:pPr>
        <w:pStyle w:val="Baseparagraphcentred"/>
      </w:pPr>
    </w:p>
    <w:p w14:paraId="78043D72" w14:textId="77777777" w:rsidR="00E24AA1" w:rsidRDefault="00E24AA1" w:rsidP="00E24AA1">
      <w:pPr>
        <w:pStyle w:val="Baseparagraphcentred"/>
      </w:pPr>
    </w:p>
    <w:p w14:paraId="55B63FAA" w14:textId="65072470" w:rsidR="000A4EB2" w:rsidRDefault="00BC7A7E" w:rsidP="000A4EB2">
      <w:pPr>
        <w:pStyle w:val="Baseparagraphcentred"/>
      </w:pPr>
      <w:r>
        <w:t>HOUSE OF REPRESENTATIVES</w:t>
      </w:r>
    </w:p>
    <w:p w14:paraId="4BB54356" w14:textId="77777777" w:rsidR="00E24AA1" w:rsidRDefault="00E24AA1" w:rsidP="00E24AA1">
      <w:pPr>
        <w:pStyle w:val="Baseparagraphcentred"/>
      </w:pPr>
    </w:p>
    <w:p w14:paraId="03E50746" w14:textId="77777777" w:rsidR="00E24AA1" w:rsidRDefault="00E24AA1" w:rsidP="00E24AA1">
      <w:pPr>
        <w:pStyle w:val="Baseparagraphcentred"/>
      </w:pPr>
    </w:p>
    <w:p w14:paraId="0454B16B" w14:textId="77777777" w:rsidR="00E24AA1" w:rsidRDefault="00E24AA1" w:rsidP="00E24AA1">
      <w:pPr>
        <w:pStyle w:val="Baseparagraphcentred"/>
        <w:pBdr>
          <w:bottom w:val="single" w:sz="4" w:space="1" w:color="auto"/>
        </w:pBdr>
      </w:pPr>
    </w:p>
    <w:p w14:paraId="17132E12" w14:textId="77777777" w:rsidR="00BC7A7E" w:rsidRPr="00E24AA1" w:rsidRDefault="00BC7A7E" w:rsidP="00BC7A7E">
      <w:pPr>
        <w:pStyle w:val="BillName"/>
      </w:pPr>
      <w:bookmarkStart w:id="6" w:name="BillName"/>
      <w:bookmarkEnd w:id="6"/>
      <w:r>
        <w:t>Treasury Laws Amendment Bill 2024: Foreign Resident Capital Gains Withholding Payments</w:t>
      </w:r>
    </w:p>
    <w:p w14:paraId="36AC7557" w14:textId="77777777" w:rsidR="00E24AA1" w:rsidRDefault="00E24AA1" w:rsidP="00E24AA1">
      <w:pPr>
        <w:pStyle w:val="Baseparagraphcentred"/>
        <w:pBdr>
          <w:top w:val="single" w:sz="4" w:space="1" w:color="auto"/>
        </w:pBdr>
      </w:pPr>
    </w:p>
    <w:p w14:paraId="111E4ABF" w14:textId="77777777" w:rsidR="00E24AA1" w:rsidRDefault="00E24AA1" w:rsidP="00E24AA1">
      <w:pPr>
        <w:pStyle w:val="Baseparagraphcentred"/>
      </w:pPr>
    </w:p>
    <w:p w14:paraId="52264772" w14:textId="77777777" w:rsidR="00E24AA1" w:rsidRDefault="00E24AA1" w:rsidP="00E24AA1">
      <w:pPr>
        <w:pStyle w:val="Baseparagraphcentred"/>
      </w:pPr>
    </w:p>
    <w:p w14:paraId="218FB3E3" w14:textId="77777777" w:rsidR="00E24AA1" w:rsidRDefault="00E24AA1" w:rsidP="00E24AA1">
      <w:pPr>
        <w:pStyle w:val="Baseparagraphcentred"/>
      </w:pPr>
    </w:p>
    <w:p w14:paraId="60AD24AD" w14:textId="77777777" w:rsidR="004F1DCC" w:rsidRDefault="004F1DCC" w:rsidP="00E24AA1">
      <w:pPr>
        <w:pStyle w:val="Baseparagraphcentred"/>
      </w:pPr>
      <w:r>
        <w:t>EXPOSURE DRAFT EXPLANATORY MATERIALS</w:t>
      </w:r>
    </w:p>
    <w:p w14:paraId="6A4D9E33" w14:textId="644FB3AF" w:rsidR="00E24AA1" w:rsidRDefault="00E24AA1" w:rsidP="00E24AA1">
      <w:pPr>
        <w:pStyle w:val="Baseparagraphcentred"/>
      </w:pPr>
    </w:p>
    <w:p w14:paraId="3EBB05A3" w14:textId="77777777" w:rsidR="00E24AA1" w:rsidRDefault="00E24AA1" w:rsidP="00E24AA1">
      <w:pPr>
        <w:pStyle w:val="Baseparagraphcentred"/>
      </w:pPr>
    </w:p>
    <w:p w14:paraId="27D40267" w14:textId="77777777" w:rsidR="00E24AA1" w:rsidRDefault="00E24AA1" w:rsidP="00E24AA1">
      <w:pPr>
        <w:pStyle w:val="ParaCentredNoSpacing"/>
      </w:pPr>
    </w:p>
    <w:p w14:paraId="0B6CE823" w14:textId="77777777" w:rsidR="00E24AA1" w:rsidRPr="00967273" w:rsidRDefault="00E24AA1" w:rsidP="00E24AA1">
      <w:pPr>
        <w:pStyle w:val="Normalparatextnonumbers"/>
        <w:jc w:val="center"/>
        <w:rPr>
          <w:rFonts w:cs="Calibri"/>
          <w:color w:val="000000" w:themeColor="text1"/>
        </w:rPr>
      </w:pPr>
    </w:p>
    <w:p w14:paraId="12801947" w14:textId="77777777" w:rsidR="008A3B5F" w:rsidRPr="00020288" w:rsidRDefault="008A3B5F" w:rsidP="008A3B5F">
      <w:pPr>
        <w:pStyle w:val="Normalparatextnonumbers"/>
      </w:pPr>
    </w:p>
    <w:p w14:paraId="777C1B3B" w14:textId="77777777" w:rsidR="004F1DCC" w:rsidRPr="0090171F" w:rsidRDefault="004F1DCC" w:rsidP="0090171F">
      <w:pPr>
        <w:pStyle w:val="Normalparatextnonumbers"/>
      </w:pPr>
      <w:bookmarkStart w:id="7" w:name="ConsultPreamble"/>
      <w:bookmarkEnd w:id="7"/>
      <w:r w:rsidRPr="0090171F">
        <w:br w:type="page"/>
      </w:r>
    </w:p>
    <w:p w14:paraId="6F2DB159" w14:textId="77777777" w:rsidR="004F1DCC" w:rsidRPr="0090171F" w:rsidRDefault="004F1DCC" w:rsidP="004F1DCC">
      <w:pPr>
        <w:pStyle w:val="Normalparatextnonumbers"/>
        <w:numPr>
          <w:ilvl w:val="4"/>
          <w:numId w:val="2"/>
        </w:numPr>
        <w:rPr>
          <w:b/>
        </w:rPr>
      </w:pPr>
      <w:r w:rsidRPr="0090171F">
        <w:rPr>
          <w:b/>
        </w:rPr>
        <w:lastRenderedPageBreak/>
        <w:t>Consultation preamble</w:t>
      </w:r>
    </w:p>
    <w:p w14:paraId="46F99A8B" w14:textId="77777777" w:rsidR="004F1DCC" w:rsidRPr="0090171F" w:rsidRDefault="004F1DCC"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70AAA008" w14:textId="77777777" w:rsidR="004F1DCC" w:rsidRPr="0090171F" w:rsidRDefault="004F1DCC" w:rsidP="0090171F">
      <w:pPr>
        <w:pStyle w:val="Normalparatextnonumbers"/>
      </w:pPr>
      <w:r w:rsidRPr="0090171F">
        <w:t>•</w:t>
      </w:r>
      <w:r w:rsidRPr="0090171F">
        <w:tab/>
        <w:t xml:space="preserve">how the new law is intended to </w:t>
      </w:r>
      <w:proofErr w:type="gramStart"/>
      <w:r w:rsidRPr="0090171F">
        <w:t>operate;</w:t>
      </w:r>
      <w:proofErr w:type="gramEnd"/>
    </w:p>
    <w:p w14:paraId="5CCA556E" w14:textId="77777777" w:rsidR="004F1DCC" w:rsidRPr="0090171F" w:rsidRDefault="004F1DCC" w:rsidP="00924E28">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593C46FC" w14:textId="77777777" w:rsidR="004F1DCC" w:rsidRPr="0090171F" w:rsidRDefault="004F1DCC" w:rsidP="0090171F">
      <w:pPr>
        <w:pStyle w:val="Normalparatextnonumbers"/>
        <w:ind w:left="709" w:hanging="709"/>
      </w:pPr>
      <w:r w:rsidRPr="0090171F">
        <w:t>•</w:t>
      </w:r>
      <w:r w:rsidRPr="0090171F">
        <w:tab/>
        <w:t>the use of relevant examples, illustrations or diagrams as explanatory aids;</w:t>
      </w:r>
      <w:r w:rsidRPr="0090171F">
        <w:br/>
        <w:t>and</w:t>
      </w:r>
    </w:p>
    <w:p w14:paraId="787C0C35" w14:textId="77777777" w:rsidR="004F1DCC" w:rsidRPr="0090171F" w:rsidRDefault="004F1DCC" w:rsidP="0090171F">
      <w:pPr>
        <w:pStyle w:val="Normalparatextnonumbers"/>
        <w:ind w:left="709" w:hanging="709"/>
      </w:pPr>
      <w:r w:rsidRPr="0090171F">
        <w:t>•</w:t>
      </w:r>
      <w:r w:rsidRPr="0090171F">
        <w:tab/>
        <w:t>any other matters affecting the readability or presentation of the explanatory material.</w:t>
      </w:r>
    </w:p>
    <w:p w14:paraId="49ED4537" w14:textId="77777777" w:rsidR="004F1DCC" w:rsidRPr="0090171F" w:rsidRDefault="004F1DCC" w:rsidP="0090171F">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2E85217A" w14:textId="6A2DE036" w:rsidR="004F1DCC" w:rsidRPr="0090171F" w:rsidRDefault="004F1DCC" w:rsidP="0090171F">
      <w:pPr>
        <w:pStyle w:val="Normalparatextnonumbers"/>
      </w:pPr>
      <w:r w:rsidRPr="00F434AB">
        <w:t>Treasury and the ATO work closely to identify aspects of new tax laws which may benefit from ATO public advice and guidance (PAG). Feedback is also sought on any aspects of the new law where ATO PAG should be considered, to support stakeholders’ understanding and application of the new law. Stakeholder feedback on this question will be shared with the ATO.</w:t>
      </w:r>
    </w:p>
    <w:p w14:paraId="2A75D9E0" w14:textId="77777777" w:rsidR="00924E28" w:rsidRPr="00020288" w:rsidRDefault="00924E28" w:rsidP="00873094">
      <w:pPr>
        <w:pStyle w:val="Normalparatextnonumbers"/>
      </w:pPr>
    </w:p>
    <w:p w14:paraId="06343EDF" w14:textId="77777777" w:rsidR="00873094" w:rsidRPr="00020288" w:rsidRDefault="00873094" w:rsidP="00873094">
      <w:pPr>
        <w:pStyle w:val="TOC1"/>
        <w:sectPr w:rsidR="00873094" w:rsidRPr="00020288" w:rsidSect="00000BFC">
          <w:footerReference w:type="even" r:id="rId7"/>
          <w:footerReference w:type="default" r:id="rId8"/>
          <w:headerReference w:type="first" r:id="rId9"/>
          <w:footerReference w:type="first" r:id="rId10"/>
          <w:type w:val="oddPage"/>
          <w:pgSz w:w="9979" w:h="14175" w:code="138"/>
          <w:pgMar w:top="567" w:right="1134" w:bottom="567" w:left="1134" w:header="709" w:footer="709" w:gutter="0"/>
          <w:cols w:space="708"/>
          <w:titlePg/>
          <w:docGrid w:linePitch="360"/>
        </w:sectPr>
      </w:pPr>
    </w:p>
    <w:p w14:paraId="1D5C91FC"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4F0B3B2F" w14:textId="729C1378" w:rsidR="004F1DCC" w:rsidRDefault="00873094" w:rsidP="004F1DCC">
      <w:pPr>
        <w:pStyle w:val="TOC1"/>
        <w:tabs>
          <w:tab w:val="clear" w:pos="7655"/>
          <w:tab w:val="right" w:leader="dot" w:pos="7654"/>
        </w:tabs>
        <w:ind w:left="0" w:firstLine="0"/>
        <w:rPr>
          <w:rFonts w:asciiTheme="minorHAnsi" w:eastAsiaTheme="minorEastAsia" w:hAnsiTheme="minorHAnsi" w:cstheme="minorBidi"/>
          <w:bCs w:val="0"/>
          <w:noProof/>
          <w:kern w:val="2"/>
          <w:sz w:val="22"/>
          <w:szCs w:val="22"/>
          <w:lang w:eastAsia="en-AU"/>
          <w14:ligatures w14:val="standardContextual"/>
        </w:rPr>
      </w:pPr>
      <w:r w:rsidRPr="00BC2E4A">
        <w:fldChar w:fldCharType="begin"/>
      </w:r>
      <w:r w:rsidRPr="00BC2E4A">
        <w:instrText xml:space="preserve"> TOC \o "1-1" \u </w:instrText>
      </w:r>
      <w:r w:rsidRPr="00BC2E4A">
        <w:fldChar w:fldCharType="separate"/>
      </w:r>
      <w:r w:rsidR="004F1DCC">
        <w:rPr>
          <w:noProof/>
        </w:rPr>
        <w:t>Glossary</w:t>
      </w:r>
      <w:r w:rsidR="004F1DCC">
        <w:rPr>
          <w:noProof/>
        </w:rPr>
        <w:tab/>
      </w:r>
      <w:r w:rsidR="004F1DCC">
        <w:rPr>
          <w:noProof/>
        </w:rPr>
        <w:fldChar w:fldCharType="begin"/>
      </w:r>
      <w:r w:rsidR="004F1DCC">
        <w:rPr>
          <w:noProof/>
        </w:rPr>
        <w:instrText xml:space="preserve"> PAGEREF _Toc170735899 \h </w:instrText>
      </w:r>
      <w:r w:rsidR="004F1DCC">
        <w:rPr>
          <w:noProof/>
        </w:rPr>
      </w:r>
      <w:r w:rsidR="004F1DCC">
        <w:rPr>
          <w:noProof/>
        </w:rPr>
        <w:fldChar w:fldCharType="separate"/>
      </w:r>
      <w:r w:rsidR="00F6221D">
        <w:rPr>
          <w:noProof/>
        </w:rPr>
        <w:t>iii</w:t>
      </w:r>
      <w:r w:rsidR="004F1DCC">
        <w:rPr>
          <w:noProof/>
        </w:rPr>
        <w:fldChar w:fldCharType="end"/>
      </w:r>
    </w:p>
    <w:p w14:paraId="7CEA6225" w14:textId="72ECF618" w:rsidR="004F1DCC" w:rsidRDefault="004F1DCC" w:rsidP="004F1DCC">
      <w:pPr>
        <w:pStyle w:val="TOC1"/>
        <w:tabs>
          <w:tab w:val="clear" w:pos="7655"/>
          <w:tab w:val="left" w:pos="1757"/>
          <w:tab w:val="right" w:leader="dot" w:pos="7654"/>
        </w:tabs>
        <w:rPr>
          <w:rFonts w:asciiTheme="minorHAnsi" w:eastAsiaTheme="minorEastAsia" w:hAnsiTheme="minorHAnsi" w:cstheme="minorBidi"/>
          <w:bCs w:val="0"/>
          <w:noProof/>
          <w:kern w:val="2"/>
          <w:sz w:val="22"/>
          <w:szCs w:val="22"/>
          <w:lang w:eastAsia="en-AU"/>
          <w14:ligatures w14:val="standardContextual"/>
        </w:rPr>
      </w:pPr>
      <w:r w:rsidRPr="006E51A6">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 w:val="22"/>
          <w:szCs w:val="22"/>
          <w:lang w:eastAsia="en-AU"/>
          <w14:ligatures w14:val="standardContextual"/>
        </w:rPr>
        <w:tab/>
      </w:r>
      <w:r>
        <w:rPr>
          <w:noProof/>
        </w:rPr>
        <w:t>Foreign resident capital gains withholding</w:t>
      </w:r>
      <w:r>
        <w:rPr>
          <w:noProof/>
        </w:rPr>
        <w:tab/>
      </w:r>
      <w:r>
        <w:rPr>
          <w:noProof/>
        </w:rPr>
        <w:fldChar w:fldCharType="begin"/>
      </w:r>
      <w:r>
        <w:rPr>
          <w:noProof/>
        </w:rPr>
        <w:instrText xml:space="preserve"> PAGEREF _Toc170735900 \h </w:instrText>
      </w:r>
      <w:r>
        <w:rPr>
          <w:noProof/>
        </w:rPr>
      </w:r>
      <w:r>
        <w:rPr>
          <w:noProof/>
        </w:rPr>
        <w:fldChar w:fldCharType="separate"/>
      </w:r>
      <w:r w:rsidR="00F6221D">
        <w:rPr>
          <w:noProof/>
        </w:rPr>
        <w:t>5</w:t>
      </w:r>
      <w:r>
        <w:rPr>
          <w:noProof/>
        </w:rPr>
        <w:fldChar w:fldCharType="end"/>
      </w:r>
    </w:p>
    <w:p w14:paraId="1F70424E" w14:textId="46C4311C" w:rsidR="00873094" w:rsidRPr="00020288" w:rsidRDefault="00873094" w:rsidP="00BC2E4A">
      <w:pPr>
        <w:pStyle w:val="TOC1"/>
      </w:pPr>
      <w:r w:rsidRPr="00BC2E4A">
        <w:fldChar w:fldCharType="end"/>
      </w:r>
    </w:p>
    <w:p w14:paraId="6D09F67F" w14:textId="77777777" w:rsidR="00873094" w:rsidRPr="00020288" w:rsidRDefault="00873094" w:rsidP="00873094"/>
    <w:p w14:paraId="32425FE5" w14:textId="77777777" w:rsidR="00873094" w:rsidRPr="00020288" w:rsidRDefault="00873094" w:rsidP="00873094">
      <w:pPr>
        <w:sectPr w:rsidR="00873094" w:rsidRPr="00020288" w:rsidSect="00000BFC">
          <w:headerReference w:type="even" r:id="rId11"/>
          <w:headerReference w:type="default" r:id="rId12"/>
          <w:headerReference w:type="first" r:id="rId13"/>
          <w:footerReference w:type="first" r:id="rId14"/>
          <w:type w:val="oddPage"/>
          <w:pgSz w:w="9979" w:h="14175" w:code="9"/>
          <w:pgMar w:top="567" w:right="1134" w:bottom="567" w:left="1134" w:header="709" w:footer="709" w:gutter="0"/>
          <w:pgNumType w:start="1"/>
          <w:cols w:space="708"/>
          <w:titlePg/>
          <w:docGrid w:linePitch="360"/>
        </w:sectPr>
      </w:pPr>
    </w:p>
    <w:p w14:paraId="3765B47A" w14:textId="77777777" w:rsidR="00873094" w:rsidRPr="00020288" w:rsidRDefault="00873094" w:rsidP="00873094">
      <w:pPr>
        <w:pStyle w:val="Heading1"/>
      </w:pPr>
      <w:bookmarkStart w:id="20" w:name="_Toc82021619"/>
      <w:bookmarkStart w:id="21" w:name="_Toc82067318"/>
      <w:bookmarkStart w:id="22" w:name="_Toc82072959"/>
      <w:bookmarkStart w:id="23" w:name="_Toc82073275"/>
      <w:bookmarkStart w:id="24" w:name="_Toc82073912"/>
      <w:bookmarkStart w:id="25" w:name="_Toc82074016"/>
      <w:bookmarkStart w:id="26" w:name="_Toc170735899"/>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A12BAA">
        <w:tab/>
      </w:r>
      <w:r w:rsidR="001F670B">
        <w:t xml:space="preserve"> </w:t>
      </w:r>
    </w:p>
    <w:p w14:paraId="53C96F75"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0264F51E" w14:textId="77777777" w:rsidTr="002425D9">
        <w:tc>
          <w:tcPr>
            <w:tcW w:w="3776" w:type="dxa"/>
            <w:shd w:val="clear" w:color="auto" w:fill="auto"/>
          </w:tcPr>
          <w:p w14:paraId="71C5ABC0" w14:textId="77777777" w:rsidR="00873094" w:rsidRPr="002E7A73" w:rsidRDefault="00873094" w:rsidP="00B7393A">
            <w:pPr>
              <w:pStyle w:val="Tableheaderrowtext"/>
            </w:pPr>
            <w:bookmarkStart w:id="30" w:name="GlossaryTableStart"/>
            <w:bookmarkEnd w:id="30"/>
            <w:r w:rsidRPr="002E7A73">
              <w:t>Abbreviation</w:t>
            </w:r>
          </w:p>
        </w:tc>
        <w:tc>
          <w:tcPr>
            <w:tcW w:w="3874" w:type="dxa"/>
            <w:shd w:val="clear" w:color="auto" w:fill="auto"/>
          </w:tcPr>
          <w:p w14:paraId="475AD332" w14:textId="77777777" w:rsidR="00873094" w:rsidRPr="002E7A73" w:rsidRDefault="00873094" w:rsidP="00B7393A">
            <w:pPr>
              <w:pStyle w:val="Tableheaderrowtext"/>
            </w:pPr>
            <w:r w:rsidRPr="002E7A73">
              <w:t>Definition</w:t>
            </w:r>
          </w:p>
        </w:tc>
      </w:tr>
      <w:tr w:rsidR="00BC7A7E" w:rsidRPr="00020288" w14:paraId="4FD8BADB" w14:textId="77777777" w:rsidTr="002425D9">
        <w:tc>
          <w:tcPr>
            <w:tcW w:w="3776" w:type="dxa"/>
          </w:tcPr>
          <w:p w14:paraId="761C2C1A" w14:textId="681F0500" w:rsidR="00BC7A7E" w:rsidRPr="00020288" w:rsidRDefault="00BC7A7E" w:rsidP="00BC7A7E">
            <w:pPr>
              <w:pStyle w:val="Normalparatextnonumbers"/>
            </w:pPr>
            <w:r>
              <w:t xml:space="preserve">Commissioner </w:t>
            </w:r>
          </w:p>
        </w:tc>
        <w:tc>
          <w:tcPr>
            <w:tcW w:w="3874" w:type="dxa"/>
          </w:tcPr>
          <w:p w14:paraId="31D4E818" w14:textId="0E5FBC73" w:rsidR="00BC7A7E" w:rsidRPr="00020288" w:rsidRDefault="00BC7A7E" w:rsidP="00BC7A7E">
            <w:pPr>
              <w:pStyle w:val="Normalparatextnonumbers"/>
            </w:pPr>
            <w:r w:rsidRPr="00BC673B">
              <w:t xml:space="preserve">Commissioner of Taxation </w:t>
            </w:r>
          </w:p>
        </w:tc>
      </w:tr>
      <w:tr w:rsidR="00BC7A7E" w:rsidRPr="00020288" w14:paraId="3C36D934" w14:textId="77777777" w:rsidTr="002425D9">
        <w:tc>
          <w:tcPr>
            <w:tcW w:w="3776" w:type="dxa"/>
          </w:tcPr>
          <w:p w14:paraId="4885511B" w14:textId="090FCFC8" w:rsidR="00BC7A7E" w:rsidRPr="00020288" w:rsidRDefault="00BC7A7E" w:rsidP="00BC7A7E">
            <w:pPr>
              <w:pStyle w:val="Normalparatextnonumbers"/>
            </w:pPr>
            <w:r>
              <w:t>CGT</w:t>
            </w:r>
          </w:p>
        </w:tc>
        <w:tc>
          <w:tcPr>
            <w:tcW w:w="3874" w:type="dxa"/>
          </w:tcPr>
          <w:p w14:paraId="3D8541B7" w14:textId="09CD4FDD" w:rsidR="00BC7A7E" w:rsidRPr="00020288" w:rsidRDefault="00BC7A7E" w:rsidP="00BC7A7E">
            <w:pPr>
              <w:pStyle w:val="Normalparatextnonumbers"/>
            </w:pPr>
            <w:r>
              <w:t xml:space="preserve">Capital gains tax </w:t>
            </w:r>
          </w:p>
        </w:tc>
      </w:tr>
      <w:tr w:rsidR="00BC7A7E" w:rsidRPr="00020288" w14:paraId="5C2F70D4" w14:textId="77777777" w:rsidTr="002425D9">
        <w:tc>
          <w:tcPr>
            <w:tcW w:w="3776" w:type="dxa"/>
          </w:tcPr>
          <w:p w14:paraId="1F3783EC" w14:textId="3EA2EC05" w:rsidR="00BC7A7E" w:rsidRPr="00020288" w:rsidRDefault="00BC7A7E" w:rsidP="00BC7A7E">
            <w:pPr>
              <w:pStyle w:val="Normalparatextnonumbers"/>
            </w:pPr>
            <w:r>
              <w:t>ITAA 1997</w:t>
            </w:r>
          </w:p>
        </w:tc>
        <w:tc>
          <w:tcPr>
            <w:tcW w:w="3874" w:type="dxa"/>
          </w:tcPr>
          <w:p w14:paraId="2FCCBB05" w14:textId="247D7AB9" w:rsidR="00BC7A7E" w:rsidRPr="00020288" w:rsidRDefault="00BC7A7E" w:rsidP="00BC7A7E">
            <w:pPr>
              <w:pStyle w:val="Normalparatextnonumbers"/>
            </w:pPr>
            <w:r>
              <w:rPr>
                <w:i/>
                <w:iCs/>
              </w:rPr>
              <w:t>Income Tax Assessment</w:t>
            </w:r>
            <w:r w:rsidRPr="00B06E16">
              <w:rPr>
                <w:i/>
                <w:iCs/>
              </w:rPr>
              <w:t xml:space="preserve"> Act 19</w:t>
            </w:r>
            <w:r>
              <w:rPr>
                <w:i/>
                <w:iCs/>
              </w:rPr>
              <w:t>97</w:t>
            </w:r>
          </w:p>
        </w:tc>
      </w:tr>
      <w:tr w:rsidR="00BC7A7E" w:rsidRPr="00020288" w14:paraId="2F8A8667" w14:textId="77777777" w:rsidTr="002425D9">
        <w:tc>
          <w:tcPr>
            <w:tcW w:w="3776" w:type="dxa"/>
          </w:tcPr>
          <w:p w14:paraId="23084FD5" w14:textId="0B4556C8" w:rsidR="00BC7A7E" w:rsidRPr="00020288" w:rsidRDefault="00BC7A7E" w:rsidP="00BC7A7E">
            <w:pPr>
              <w:pStyle w:val="Normalparatextnonumbers"/>
            </w:pPr>
            <w:r>
              <w:t>FRCGW</w:t>
            </w:r>
          </w:p>
        </w:tc>
        <w:tc>
          <w:tcPr>
            <w:tcW w:w="3874" w:type="dxa"/>
          </w:tcPr>
          <w:p w14:paraId="10EB578D" w14:textId="7CD9CFD7" w:rsidR="00BC7A7E" w:rsidRPr="00020288" w:rsidRDefault="00BC7A7E" w:rsidP="00BC7A7E">
            <w:pPr>
              <w:pStyle w:val="Normalparatextnonumbers"/>
            </w:pPr>
            <w:r>
              <w:t xml:space="preserve">Foreign residents’ capital gains withholding </w:t>
            </w:r>
          </w:p>
        </w:tc>
      </w:tr>
      <w:tr w:rsidR="00BC7A7E" w:rsidRPr="00020288" w14:paraId="47012F89" w14:textId="77777777" w:rsidTr="002425D9">
        <w:tc>
          <w:tcPr>
            <w:tcW w:w="3776" w:type="dxa"/>
          </w:tcPr>
          <w:p w14:paraId="7052F083" w14:textId="7E1EFDC2" w:rsidR="00BC7A7E" w:rsidRPr="00020288" w:rsidRDefault="00BC7A7E" w:rsidP="00BC7A7E">
            <w:pPr>
              <w:pStyle w:val="Normalparatextnonumbers"/>
            </w:pPr>
            <w:r>
              <w:t>TAA 1953</w:t>
            </w:r>
          </w:p>
        </w:tc>
        <w:tc>
          <w:tcPr>
            <w:tcW w:w="3874" w:type="dxa"/>
          </w:tcPr>
          <w:p w14:paraId="38E1BC4A" w14:textId="4B0753A1" w:rsidR="00BC7A7E" w:rsidRPr="00020288" w:rsidRDefault="00BC7A7E" w:rsidP="00BC7A7E">
            <w:pPr>
              <w:pStyle w:val="Normalparatextnonumbers"/>
            </w:pPr>
            <w:r w:rsidRPr="00B06E16">
              <w:rPr>
                <w:i/>
                <w:iCs/>
              </w:rPr>
              <w:t>Taxation Administration Act 1953</w:t>
            </w:r>
          </w:p>
        </w:tc>
      </w:tr>
    </w:tbl>
    <w:p w14:paraId="54D13FCA" w14:textId="77777777" w:rsidR="00873094" w:rsidRPr="00020288" w:rsidRDefault="00873094" w:rsidP="00873094"/>
    <w:p w14:paraId="569714FC" w14:textId="77777777" w:rsidR="00873094" w:rsidRPr="00020288" w:rsidRDefault="00873094" w:rsidP="00873094"/>
    <w:p w14:paraId="7D0CD9BD" w14:textId="77777777" w:rsidR="00873094" w:rsidRPr="00020288" w:rsidRDefault="00873094" w:rsidP="00873094">
      <w:pPr>
        <w:pStyle w:val="Heading1"/>
        <w:sectPr w:rsidR="00873094" w:rsidRPr="00020288" w:rsidSect="00000BFC">
          <w:headerReference w:type="even" r:id="rId15"/>
          <w:headerReference w:type="default" r:id="rId16"/>
          <w:headerReference w:type="first" r:id="rId17"/>
          <w:footerReference w:type="first" r:id="rId18"/>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16EDD430" w14:textId="0461C9B9" w:rsidR="00873094" w:rsidRPr="00020288" w:rsidRDefault="00BC7A7E" w:rsidP="00873094">
      <w:pPr>
        <w:pStyle w:val="Chapterheading"/>
      </w:pPr>
      <w:bookmarkStart w:id="41" w:name="GeneralOutline"/>
      <w:bookmarkStart w:id="42" w:name="_Toc170735900"/>
      <w:bookmarkEnd w:id="27"/>
      <w:bookmarkEnd w:id="28"/>
      <w:bookmarkEnd w:id="29"/>
      <w:bookmarkEnd w:id="31"/>
      <w:bookmarkEnd w:id="32"/>
      <w:bookmarkEnd w:id="33"/>
      <w:bookmarkEnd w:id="34"/>
      <w:bookmarkEnd w:id="35"/>
      <w:bookmarkEnd w:id="36"/>
      <w:bookmarkEnd w:id="37"/>
      <w:bookmarkEnd w:id="38"/>
      <w:bookmarkEnd w:id="39"/>
      <w:bookmarkEnd w:id="40"/>
      <w:bookmarkEnd w:id="41"/>
      <w:r>
        <w:lastRenderedPageBreak/>
        <w:t>Foreign resident capital gains withholding</w:t>
      </w:r>
      <w:bookmarkEnd w:id="42"/>
    </w:p>
    <w:p w14:paraId="4434763C" w14:textId="77777777" w:rsidR="00873094" w:rsidRPr="00020288" w:rsidRDefault="00873094" w:rsidP="005D0844">
      <w:pPr>
        <w:pStyle w:val="Heading2"/>
      </w:pPr>
      <w:r w:rsidRPr="00020288">
        <w:t xml:space="preserve">Outline </w:t>
      </w:r>
      <w:r w:rsidRPr="005D0844">
        <w:t>of</w:t>
      </w:r>
      <w:r w:rsidRPr="00020288">
        <w:t xml:space="preserve"> chapter</w:t>
      </w:r>
    </w:p>
    <w:p w14:paraId="32A56B56" w14:textId="77777777" w:rsidR="00BC7A7E" w:rsidRDefault="00BC7A7E" w:rsidP="00BC7A7E">
      <w:pPr>
        <w:pStyle w:val="Normalparatextwithnumbers"/>
      </w:pPr>
      <w:r>
        <w:t xml:space="preserve">Schedule 1 to the Bill amends </w:t>
      </w:r>
      <w:r w:rsidRPr="00855093">
        <w:t xml:space="preserve">Subdivision 14-D </w:t>
      </w:r>
      <w:r>
        <w:t>in</w:t>
      </w:r>
      <w:r w:rsidRPr="00855093">
        <w:t xml:space="preserve"> </w:t>
      </w:r>
      <w:r>
        <w:t>Schedule 1 to the TAA 1953 to modify the FRCGW regime to:</w:t>
      </w:r>
    </w:p>
    <w:p w14:paraId="0F138B4D" w14:textId="77777777" w:rsidR="00BC7A7E" w:rsidRDefault="00BC7A7E" w:rsidP="00BC7A7E">
      <w:pPr>
        <w:pStyle w:val="Bullet"/>
        <w:numPr>
          <w:ilvl w:val="0"/>
          <w:numId w:val="24"/>
        </w:numPr>
        <w:rPr>
          <w:color w:val="auto"/>
        </w:rPr>
      </w:pPr>
      <w:r w:rsidRPr="00B06E16">
        <w:rPr>
          <w:color w:val="auto"/>
        </w:rPr>
        <w:t>increase the withholding rate to 15 per cent</w:t>
      </w:r>
      <w:r>
        <w:rPr>
          <w:color w:val="auto"/>
        </w:rPr>
        <w:t xml:space="preserve"> (from 12.5 per cent)</w:t>
      </w:r>
      <w:r w:rsidRPr="00B06E16">
        <w:rPr>
          <w:color w:val="auto"/>
        </w:rPr>
        <w:t>; and</w:t>
      </w:r>
    </w:p>
    <w:p w14:paraId="7BD3C044" w14:textId="77777777" w:rsidR="00BC7A7E" w:rsidRPr="00522B32" w:rsidRDefault="00BC7A7E" w:rsidP="00BC7A7E">
      <w:pPr>
        <w:pStyle w:val="Bullet"/>
        <w:numPr>
          <w:ilvl w:val="0"/>
          <w:numId w:val="24"/>
        </w:numPr>
        <w:rPr>
          <w:color w:val="auto"/>
        </w:rPr>
      </w:pPr>
      <w:r w:rsidRPr="70DAC194">
        <w:rPr>
          <w:color w:val="auto"/>
        </w:rPr>
        <w:t xml:space="preserve">remove the threshold </w:t>
      </w:r>
      <w:r>
        <w:rPr>
          <w:color w:val="auto"/>
        </w:rPr>
        <w:t xml:space="preserve">before which withholding applies </w:t>
      </w:r>
      <w:r w:rsidRPr="70DAC194">
        <w:rPr>
          <w:color w:val="auto"/>
        </w:rPr>
        <w:t>so that disposals of relevant CGT assets by a foreign resident are subject to FRCGW requirements regardless of the market value of the CGT asset.</w:t>
      </w:r>
    </w:p>
    <w:p w14:paraId="0583F2DC" w14:textId="77777777" w:rsidR="00BC7A7E" w:rsidRDefault="00BC7A7E" w:rsidP="00BC7A7E">
      <w:pPr>
        <w:pStyle w:val="Normalparatextwithnumbers"/>
      </w:pPr>
      <w:r>
        <w:t>These amendments seek to ensure better compliance by foreign residents with their Australian tax obligations and support the collection of tax liabilities from foreign residents.</w:t>
      </w:r>
    </w:p>
    <w:p w14:paraId="2BA8B111" w14:textId="6F2AC049" w:rsidR="00873094" w:rsidRPr="000E521B" w:rsidRDefault="00BC7A7E" w:rsidP="00BC7A7E">
      <w:pPr>
        <w:pStyle w:val="Normalparatextwithnumbers"/>
      </w:pPr>
      <w:r>
        <w:t>All legislative references in this Chapter are to Schedule 1 to the TAA 1953 unless otherwise specified</w:t>
      </w:r>
      <w:r w:rsidR="003E6CE2">
        <w:t>.</w:t>
      </w:r>
    </w:p>
    <w:p w14:paraId="400CF1B6" w14:textId="77777777" w:rsidR="00873094" w:rsidRPr="00020288" w:rsidRDefault="00873094" w:rsidP="005D0844">
      <w:pPr>
        <w:pStyle w:val="Heading2"/>
      </w:pPr>
      <w:r w:rsidRPr="00020288">
        <w:t xml:space="preserve">Context of </w:t>
      </w:r>
      <w:r w:rsidRPr="005D0844">
        <w:t>amendments</w:t>
      </w:r>
    </w:p>
    <w:p w14:paraId="479CA790" w14:textId="77777777" w:rsidR="00BC7A7E" w:rsidRDefault="00BC7A7E" w:rsidP="00BC7A7E">
      <w:pPr>
        <w:pStyle w:val="Normalparatextwithnumbers"/>
        <w:numPr>
          <w:ilvl w:val="1"/>
          <w:numId w:val="3"/>
        </w:numPr>
      </w:pPr>
      <w:r>
        <w:t xml:space="preserve">As part of the 2023-24 Mid-Year Economic and Fiscal Outlook, the Government announced that it will increase the integrity of the FRCGW regime by increasing the FRCGW rate to 15 per cent, from 12.5 per cent, and removing the threshold before which withholding applies.  The threshold being removed exempted </w:t>
      </w:r>
      <w:r w:rsidRPr="00822671">
        <w:t xml:space="preserve">transactions </w:t>
      </w:r>
      <w:r>
        <w:t>of less than $750,000</w:t>
      </w:r>
      <w:r w:rsidRPr="00822671">
        <w:t xml:space="preserve"> involving </w:t>
      </w:r>
      <w:r>
        <w:t>either</w:t>
      </w:r>
      <w:r w:rsidRPr="00822671">
        <w:t xml:space="preserve"> taxable Australian real property or an indirect Australian real property interest that provides company title interests</w:t>
      </w:r>
      <w:r>
        <w:t>. This measure complements the Government’s initiatives to improve housing affordability for Australians.</w:t>
      </w:r>
    </w:p>
    <w:p w14:paraId="5FD528E3" w14:textId="77777777" w:rsidR="00BC7A7E" w:rsidRPr="00855093" w:rsidRDefault="00BC7A7E" w:rsidP="00BC7A7E">
      <w:pPr>
        <w:pStyle w:val="Normalparatextwithnumbers"/>
      </w:pPr>
      <w:r>
        <w:t>T</w:t>
      </w:r>
      <w:r w:rsidRPr="00855093">
        <w:t>he FRCGW regime</w:t>
      </w:r>
      <w:r>
        <w:t xml:space="preserve">, as set out in </w:t>
      </w:r>
      <w:r w:rsidRPr="00855093">
        <w:t xml:space="preserve">Subdivision 14-D </w:t>
      </w:r>
      <w:r>
        <w:t>in</w:t>
      </w:r>
      <w:r w:rsidRPr="00855093">
        <w:t xml:space="preserve"> Schedule 1 to the TAA</w:t>
      </w:r>
      <w:r>
        <w:t> </w:t>
      </w:r>
      <w:r w:rsidRPr="00855093">
        <w:t>1953</w:t>
      </w:r>
      <w:r>
        <w:t>,</w:t>
      </w:r>
      <w:r w:rsidRPr="00855093">
        <w:t xml:space="preserve"> imposes a non-final withholding obligation on the purchaser of certain Australian real property and related interests where the property is acquired from a foreign resident vendor.</w:t>
      </w:r>
    </w:p>
    <w:p w14:paraId="0F8E63AF" w14:textId="77777777" w:rsidR="00BC7A7E" w:rsidRPr="008E49E6" w:rsidRDefault="00BC7A7E" w:rsidP="00BC7A7E">
      <w:pPr>
        <w:pStyle w:val="Normalparatextwithnumbers"/>
        <w:numPr>
          <w:ilvl w:val="1"/>
          <w:numId w:val="3"/>
        </w:numPr>
      </w:pPr>
      <w:r w:rsidRPr="008E49E6">
        <w:t>The FRCGW regime first came into effect on 1 July 2016 to:</w:t>
      </w:r>
    </w:p>
    <w:p w14:paraId="6492F488" w14:textId="77777777" w:rsidR="00BC7A7E" w:rsidRPr="008E49E6" w:rsidRDefault="00BC7A7E" w:rsidP="00BC7A7E">
      <w:pPr>
        <w:pStyle w:val="Bullet"/>
        <w:numPr>
          <w:ilvl w:val="0"/>
          <w:numId w:val="24"/>
        </w:numPr>
        <w:rPr>
          <w:color w:val="auto"/>
        </w:rPr>
      </w:pPr>
      <w:r w:rsidRPr="008E49E6">
        <w:rPr>
          <w:color w:val="auto"/>
        </w:rPr>
        <w:t>assist with the collection of CGT liabilities owed by foreign residents; and</w:t>
      </w:r>
    </w:p>
    <w:p w14:paraId="74BBFBF1" w14:textId="77777777" w:rsidR="00BC7A7E" w:rsidRPr="008E49E6" w:rsidRDefault="00BC7A7E" w:rsidP="00BC7A7E">
      <w:pPr>
        <w:pStyle w:val="Bullet"/>
        <w:numPr>
          <w:ilvl w:val="0"/>
          <w:numId w:val="24"/>
        </w:numPr>
      </w:pPr>
      <w:r w:rsidRPr="008E49E6">
        <w:rPr>
          <w:color w:val="auto"/>
        </w:rPr>
        <w:t>address low levels of compliance by foreign residents with their Australian tax obligations.</w:t>
      </w:r>
    </w:p>
    <w:p w14:paraId="6ABD3406" w14:textId="77777777" w:rsidR="00BC7A7E" w:rsidRDefault="00BC7A7E" w:rsidP="00BC7A7E">
      <w:pPr>
        <w:pStyle w:val="Normalparatextwithnumbers"/>
      </w:pPr>
      <w:r w:rsidRPr="00855093">
        <w:lastRenderedPageBreak/>
        <w:t xml:space="preserve">Under the current law, if a FRCGW obligation arises, the purchaser is required to </w:t>
      </w:r>
      <w:r>
        <w:t>withhold</w:t>
      </w:r>
      <w:r w:rsidRPr="00855093">
        <w:t xml:space="preserve"> </w:t>
      </w:r>
      <w:r>
        <w:t xml:space="preserve">from the seller/vendor </w:t>
      </w:r>
      <w:r w:rsidRPr="00855093">
        <w:t>12.5 per cent of the first element of the cost base of the CGT asset</w:t>
      </w:r>
      <w:r>
        <w:t xml:space="preserve"> that they acquired and pay that amount</w:t>
      </w:r>
      <w:r w:rsidRPr="00855093">
        <w:t xml:space="preserve"> to the Commissioner. The first element of the cost base of the CGT asset is usually the purchase price of the asset. </w:t>
      </w:r>
    </w:p>
    <w:p w14:paraId="7781C489" w14:textId="77777777" w:rsidR="00BC7A7E" w:rsidRPr="00855093" w:rsidRDefault="00BC7A7E" w:rsidP="00BC7A7E">
      <w:pPr>
        <w:pStyle w:val="Normalparatextwithnumbers"/>
      </w:pPr>
      <w:r>
        <w:t>The vendor is entitled to a credit for amounts withheld upon the lodgement of an income tax return and the making of an income tax assessment. Excess credits are refundable to the vendor by the Commissioner.</w:t>
      </w:r>
    </w:p>
    <w:p w14:paraId="485DAD5C" w14:textId="77777777" w:rsidR="00BC7A7E" w:rsidRPr="00855093" w:rsidRDefault="00BC7A7E" w:rsidP="00BC7A7E">
      <w:pPr>
        <w:pStyle w:val="Normalparatextwithnumbers"/>
      </w:pPr>
      <w:r w:rsidRPr="00855093">
        <w:t xml:space="preserve">However, a </w:t>
      </w:r>
      <w:r>
        <w:t>FRCGW</w:t>
      </w:r>
      <w:r w:rsidRPr="00855093">
        <w:t xml:space="preserve"> obligation does not arise in relation to a CGT asset if, so far as is relevant, the market value of the CGT asset is less than $750,000 and the CGT asset is:</w:t>
      </w:r>
    </w:p>
    <w:p w14:paraId="4CD08A59" w14:textId="77777777" w:rsidR="00BC7A7E" w:rsidRPr="00855093" w:rsidRDefault="00BC7A7E" w:rsidP="00BC7A7E">
      <w:pPr>
        <w:pStyle w:val="Bullet"/>
        <w:numPr>
          <w:ilvl w:val="0"/>
          <w:numId w:val="24"/>
        </w:numPr>
      </w:pPr>
      <w:r w:rsidRPr="00855093">
        <w:rPr>
          <w:color w:val="auto"/>
        </w:rPr>
        <w:t>taxable Australian real property; or</w:t>
      </w:r>
    </w:p>
    <w:p w14:paraId="77584FB2" w14:textId="77777777" w:rsidR="00BC7A7E" w:rsidRPr="00855093" w:rsidRDefault="00BC7A7E" w:rsidP="00BC7A7E">
      <w:pPr>
        <w:pStyle w:val="Bullet"/>
        <w:numPr>
          <w:ilvl w:val="0"/>
          <w:numId w:val="24"/>
        </w:numPr>
      </w:pPr>
      <w:r w:rsidRPr="00855093">
        <w:rPr>
          <w:color w:val="auto"/>
        </w:rPr>
        <w:t>an indirect taxable Australian real property interest, the holding of which causes a company title interest to arise.</w:t>
      </w:r>
    </w:p>
    <w:p w14:paraId="11F657ED" w14:textId="77777777" w:rsidR="00BC7A7E" w:rsidRPr="003C0B69" w:rsidRDefault="00BC7A7E" w:rsidP="00BC7A7E">
      <w:pPr>
        <w:pStyle w:val="Normalparatextwithnumbers"/>
        <w:rPr>
          <w:rStyle w:val="CommentReference"/>
          <w:sz w:val="22"/>
        </w:rPr>
      </w:pPr>
      <w:r>
        <w:t>The withholding rate was last increased to the current 12.5 per cent, from 10 per cent, and the withholding threshold was reduced to the current $750,000, from $2 million, from 1 July 2017.</w:t>
      </w:r>
    </w:p>
    <w:p w14:paraId="3297E71B" w14:textId="77777777" w:rsidR="00BC7A7E" w:rsidRDefault="00BC7A7E" w:rsidP="00BC7A7E">
      <w:pPr>
        <w:pStyle w:val="Normalparatextwithnumbers"/>
        <w:numPr>
          <w:ilvl w:val="1"/>
          <w:numId w:val="3"/>
        </w:numPr>
      </w:pPr>
      <w:r>
        <w:t>The current 12.5 per cent withholding rate is increasingly falling short of assessed CGT liabilities of foreign residents in respect of income tax payable on capital gains. This reflects the upwards shifts in Australian real property valuations, particularly for residential property.</w:t>
      </w:r>
    </w:p>
    <w:p w14:paraId="0889BFA5" w14:textId="77777777" w:rsidR="00BC7A7E" w:rsidRDefault="00BC7A7E" w:rsidP="00BC7A7E">
      <w:pPr>
        <w:pStyle w:val="Normalparatextwithnumbers"/>
        <w:numPr>
          <w:ilvl w:val="1"/>
          <w:numId w:val="3"/>
        </w:numPr>
      </w:pPr>
      <w:r>
        <w:t>Where a final CGT liability is greater than an amount withheld by the purchaser, there is an incentive for foreign residents to not lodge an Australian income tax return and, in doing so, delay (and possibly avoid) the payment of their Australian income tax liability. Increasing the withholding rate will better support the collection of income tax liabilities and further incentivise foreign residents to lodge an Australian income tax return so their final tax liabilities can be properly assessed and collected.</w:t>
      </w:r>
    </w:p>
    <w:p w14:paraId="4BA1B935" w14:textId="26873C29" w:rsidR="00873094" w:rsidRPr="00020288" w:rsidRDefault="00BC7A7E" w:rsidP="00BC7A7E">
      <w:pPr>
        <w:pStyle w:val="Normalparatextwithnumbers"/>
        <w:numPr>
          <w:ilvl w:val="1"/>
          <w:numId w:val="3"/>
        </w:numPr>
      </w:pPr>
      <w:r>
        <w:t xml:space="preserve">By removing the threshold before which FRCGW applies the integrity of the FRCGW regime will be increased </w:t>
      </w:r>
      <w:r w:rsidRPr="00C80275">
        <w:t xml:space="preserve">by ensuring that </w:t>
      </w:r>
      <w:r>
        <w:t xml:space="preserve">amounts are withheld to cover liabilities from the </w:t>
      </w:r>
      <w:r w:rsidRPr="00C80275">
        <w:t xml:space="preserve">disposal of </w:t>
      </w:r>
      <w:r>
        <w:t xml:space="preserve">certain Australian real property </w:t>
      </w:r>
      <w:r w:rsidRPr="00C80275">
        <w:t xml:space="preserve">assets by foreign residents </w:t>
      </w:r>
      <w:r>
        <w:t>regardless of</w:t>
      </w:r>
      <w:r w:rsidRPr="00C80275">
        <w:t xml:space="preserve"> the market value</w:t>
      </w:r>
      <w:r>
        <w:t xml:space="preserve"> of underlying CGT asset. </w:t>
      </w:r>
      <w:r w:rsidRPr="00855093">
        <w:t>This provides for a more equitable treatment of disposals of Australian real property interests by foreign residents with respect to Australia’s FRCGW regime</w:t>
      </w:r>
      <w:r>
        <w:t>.</w:t>
      </w:r>
    </w:p>
    <w:p w14:paraId="1FAF7D60" w14:textId="77777777" w:rsidR="00873094" w:rsidRPr="00020288" w:rsidRDefault="00873094" w:rsidP="00AF50CE">
      <w:pPr>
        <w:pStyle w:val="Heading2"/>
      </w:pPr>
      <w:r w:rsidRPr="00AF50CE">
        <w:lastRenderedPageBreak/>
        <w:t>Comparison</w:t>
      </w:r>
      <w:r w:rsidRPr="00020288">
        <w:t xml:space="preserve"> of key features of new law and current law</w:t>
      </w:r>
    </w:p>
    <w:p w14:paraId="46BEACB6"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047489EC" w14:textId="77777777" w:rsidTr="002425D9">
        <w:trPr>
          <w:cnfStyle w:val="100000000000" w:firstRow="1" w:lastRow="0" w:firstColumn="0" w:lastColumn="0" w:oddVBand="0" w:evenVBand="0" w:oddHBand="0" w:evenHBand="0" w:firstRowFirstColumn="0" w:firstRowLastColumn="0" w:lastRowFirstColumn="0" w:lastRowLastColumn="0"/>
          <w:cantSplit w:val="0"/>
        </w:trPr>
        <w:tc>
          <w:tcPr>
            <w:tcW w:w="3776" w:type="dxa"/>
          </w:tcPr>
          <w:p w14:paraId="1BF4AA92"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14405E76" w14:textId="77777777" w:rsidR="00873094" w:rsidRPr="00A61FE9" w:rsidRDefault="00873094" w:rsidP="00873094">
            <w:pPr>
              <w:pStyle w:val="Tableheaderrowtext"/>
              <w:numPr>
                <w:ilvl w:val="3"/>
                <w:numId w:val="2"/>
              </w:numPr>
              <w:ind w:left="1701" w:hanging="1701"/>
            </w:pPr>
            <w:r w:rsidRPr="00A61FE9">
              <w:t>Current law</w:t>
            </w:r>
          </w:p>
        </w:tc>
      </w:tr>
      <w:tr w:rsidR="00873094" w:rsidRPr="00020288" w14:paraId="3CC33994" w14:textId="77777777" w:rsidTr="002425D9">
        <w:tc>
          <w:tcPr>
            <w:tcW w:w="3776" w:type="dxa"/>
          </w:tcPr>
          <w:p w14:paraId="23D8E881" w14:textId="77777777" w:rsidR="00BC7A7E" w:rsidRDefault="00BC7A7E" w:rsidP="00BC7A7E">
            <w:pPr>
              <w:pStyle w:val="Tabletext"/>
            </w:pPr>
            <w:r>
              <w:t>Subdivision 14-D</w:t>
            </w:r>
            <w:r w:rsidDel="002F0E95">
              <w:t xml:space="preserve"> </w:t>
            </w:r>
            <w:r>
              <w:t>in Schedule 1 to the TAA 1953 imposes a non-final withholding obligation on the purchaser of certain Australian real property and related interests where the property is acquired from a foreign resident vendor.</w:t>
            </w:r>
          </w:p>
          <w:p w14:paraId="535C6132" w14:textId="77777777" w:rsidR="00BC7A7E" w:rsidRDefault="00BC7A7E" w:rsidP="00BC7A7E">
            <w:pPr>
              <w:pStyle w:val="Tabletext"/>
            </w:pPr>
            <w:r>
              <w:t>If a FRCGW obligation arises, the purchaser will be required to withhold from the seller/vendor 15 per cent of the first element of the cost base of the CGT asset that they acquired and pay that amount to the Commissioner.</w:t>
            </w:r>
          </w:p>
          <w:p w14:paraId="1A09AE2E" w14:textId="77777777" w:rsidR="00BC7A7E" w:rsidRDefault="00BC7A7E" w:rsidP="00BC7A7E">
            <w:pPr>
              <w:pStyle w:val="Tabletext"/>
            </w:pPr>
            <w:r>
              <w:t xml:space="preserve">The first element of the cost base of the CGT asset is usually the purchase price of the asset. This amount may be withheld from the payment the purchaser makes to the vendor. </w:t>
            </w:r>
          </w:p>
          <w:p w14:paraId="006BED96" w14:textId="77777777" w:rsidR="00BC7A7E" w:rsidRPr="00422298" w:rsidRDefault="00BC7A7E" w:rsidP="00BC7A7E">
            <w:pPr>
              <w:pStyle w:val="Tabletext"/>
              <w:rPr>
                <w:color w:val="FF0000"/>
              </w:rPr>
            </w:pPr>
            <w:r>
              <w:t>A FRCGW</w:t>
            </w:r>
            <w:r w:rsidRPr="00C80275">
              <w:t xml:space="preserve"> payments obligation will arise in relation to</w:t>
            </w:r>
            <w:r>
              <w:t xml:space="preserve"> the</w:t>
            </w:r>
            <w:r w:rsidRPr="00C80275">
              <w:t xml:space="preserve"> disposal of a </w:t>
            </w:r>
            <w:r>
              <w:t xml:space="preserve">relevant </w:t>
            </w:r>
            <w:r w:rsidRPr="00C80275">
              <w:t xml:space="preserve">CGT asset by a foreign resident, regardless of </w:t>
            </w:r>
            <w:r>
              <w:t xml:space="preserve">the </w:t>
            </w:r>
            <w:r w:rsidRPr="00C80275">
              <w:t xml:space="preserve">market value </w:t>
            </w:r>
            <w:r>
              <w:t xml:space="preserve">of the CGT asset. </w:t>
            </w:r>
          </w:p>
          <w:p w14:paraId="05DBC6EE" w14:textId="77777777" w:rsidR="00873094" w:rsidRPr="00020288" w:rsidRDefault="00873094" w:rsidP="002425D9">
            <w:pPr>
              <w:pStyle w:val="Tabletext"/>
            </w:pPr>
          </w:p>
        </w:tc>
        <w:tc>
          <w:tcPr>
            <w:tcW w:w="3874" w:type="dxa"/>
          </w:tcPr>
          <w:p w14:paraId="1C206315" w14:textId="77777777" w:rsidR="00BC7A7E" w:rsidRPr="007D470E" w:rsidRDefault="00BC7A7E" w:rsidP="00BC7A7E">
            <w:pPr>
              <w:pStyle w:val="Tabletext"/>
            </w:pPr>
            <w:r w:rsidRPr="007D470E">
              <w:t>Subdivision 14-D</w:t>
            </w:r>
            <w:r w:rsidRPr="007D470E" w:rsidDel="002F0E95">
              <w:t xml:space="preserve"> </w:t>
            </w:r>
            <w:r>
              <w:t>in</w:t>
            </w:r>
            <w:r w:rsidRPr="007D470E">
              <w:t xml:space="preserve"> Schedule 1 to the TAA 1953 imposes a non-final withholding obligation on the purchaser of certain Australian real property and related interests where the property is acquired from a foreign resident vendor.</w:t>
            </w:r>
          </w:p>
          <w:p w14:paraId="2185E5E9" w14:textId="77777777" w:rsidR="00BC7A7E" w:rsidRPr="007D470E" w:rsidRDefault="00BC7A7E" w:rsidP="00BC7A7E">
            <w:pPr>
              <w:pStyle w:val="Tabletext"/>
            </w:pPr>
            <w:r w:rsidRPr="007D470E">
              <w:t xml:space="preserve">If a FRCGW obligation arises, the purchaser will be required to </w:t>
            </w:r>
            <w:r>
              <w:t>withhold</w:t>
            </w:r>
            <w:r w:rsidRPr="007D470E">
              <w:t xml:space="preserve"> </w:t>
            </w:r>
            <w:r>
              <w:t xml:space="preserve">from the seller/vendor </w:t>
            </w:r>
            <w:r w:rsidRPr="007D470E">
              <w:t xml:space="preserve">12.5 per cent of the first element of the cost base of the CGT asset </w:t>
            </w:r>
            <w:r>
              <w:t xml:space="preserve">that they acquired and pay that amount </w:t>
            </w:r>
            <w:r w:rsidRPr="007D470E">
              <w:t>to the Commissioner.</w:t>
            </w:r>
          </w:p>
          <w:p w14:paraId="28D1E7D9" w14:textId="77777777" w:rsidR="00BC7A7E" w:rsidRPr="007D470E" w:rsidRDefault="00BC7A7E" w:rsidP="00BC7A7E">
            <w:pPr>
              <w:pStyle w:val="Tabletext"/>
            </w:pPr>
            <w:r w:rsidRPr="007D470E">
              <w:t xml:space="preserve">The first element of the cost base of the CGT asset is usually the purchase price of the asset. This amount may be withheld from the payment the purchaser makes to the vendor. </w:t>
            </w:r>
          </w:p>
          <w:p w14:paraId="17B83F42" w14:textId="77777777" w:rsidR="00BC7A7E" w:rsidRPr="007D470E" w:rsidRDefault="00BC7A7E" w:rsidP="00BC7A7E">
            <w:pPr>
              <w:pStyle w:val="Tabletext"/>
            </w:pPr>
            <w:r w:rsidRPr="007D470E">
              <w:t>However, a FRCGW obligation will not arise in relation to a CGT asset if, so far as is relevant, the market value of the CGT asset is less than $750,000 and the CGT asset is:</w:t>
            </w:r>
          </w:p>
          <w:p w14:paraId="3A131719" w14:textId="77777777" w:rsidR="00FB6B94" w:rsidRDefault="00BC7A7E" w:rsidP="00FB6B94">
            <w:pPr>
              <w:pStyle w:val="Bullet"/>
              <w:numPr>
                <w:ilvl w:val="0"/>
                <w:numId w:val="24"/>
              </w:numPr>
              <w:rPr>
                <w:color w:val="auto"/>
                <w:sz w:val="20"/>
                <w:szCs w:val="20"/>
              </w:rPr>
            </w:pPr>
            <w:r w:rsidRPr="007D470E">
              <w:rPr>
                <w:color w:val="auto"/>
                <w:sz w:val="20"/>
                <w:szCs w:val="20"/>
              </w:rPr>
              <w:t>taxable Australian real property; or</w:t>
            </w:r>
          </w:p>
          <w:p w14:paraId="5B6B41AC" w14:textId="7874F620" w:rsidR="00873094" w:rsidRPr="00FB6B94" w:rsidRDefault="00BC7A7E" w:rsidP="00FB6B94">
            <w:pPr>
              <w:pStyle w:val="Bullet"/>
              <w:numPr>
                <w:ilvl w:val="0"/>
                <w:numId w:val="24"/>
              </w:numPr>
              <w:rPr>
                <w:color w:val="auto"/>
                <w:sz w:val="20"/>
                <w:szCs w:val="20"/>
              </w:rPr>
            </w:pPr>
            <w:r w:rsidRPr="00A828C2">
              <w:rPr>
                <w:color w:val="auto"/>
                <w:sz w:val="20"/>
                <w:szCs w:val="20"/>
              </w:rPr>
              <w:t>an indirect taxable Australian real property interest, the holding of which causes a company title interest to arise.</w:t>
            </w:r>
          </w:p>
        </w:tc>
      </w:tr>
    </w:tbl>
    <w:p w14:paraId="64395C77" w14:textId="77777777" w:rsidR="00873094" w:rsidRPr="00020288" w:rsidRDefault="00873094" w:rsidP="00873094">
      <w:pPr>
        <w:pStyle w:val="Heading2"/>
        <w:numPr>
          <w:ilvl w:val="1"/>
          <w:numId w:val="2"/>
        </w:numPr>
        <w:tabs>
          <w:tab w:val="num" w:pos="567"/>
        </w:tabs>
        <w:ind w:left="567" w:hanging="567"/>
      </w:pPr>
      <w:r w:rsidRPr="00020288">
        <w:t>Detailed explanation of new law</w:t>
      </w:r>
    </w:p>
    <w:p w14:paraId="5BF03907" w14:textId="77777777" w:rsidR="00904F16" w:rsidRDefault="00904F16" w:rsidP="00904F16">
      <w:pPr>
        <w:pStyle w:val="Heading5"/>
        <w:numPr>
          <w:ilvl w:val="4"/>
          <w:numId w:val="2"/>
        </w:numPr>
      </w:pPr>
      <w:r>
        <w:t xml:space="preserve">Increasing the withholding tax rate </w:t>
      </w:r>
    </w:p>
    <w:p w14:paraId="29C8B2D6" w14:textId="77777777" w:rsidR="00904F16" w:rsidRDefault="00904F16" w:rsidP="00904F16">
      <w:pPr>
        <w:pStyle w:val="Normalparatextwithnumbers"/>
      </w:pPr>
      <w:r>
        <w:t>Currently, if a FRCGW obligation arises in relation to the acquisition of a CGT asset from a foreign resident, the amount of withholding is 12.5 per cent of the first element of the cost base of the CGT asset. The first element of the cost base of the CGT asset is usually the purchase price of the asset. This amount may be withheld from the payment the purchaser makes to the vendor.</w:t>
      </w:r>
    </w:p>
    <w:p w14:paraId="138187CC" w14:textId="77777777" w:rsidR="00904F16" w:rsidRDefault="00904F16" w:rsidP="00904F16">
      <w:pPr>
        <w:pStyle w:val="Normalparatextwithnumbers"/>
        <w:spacing w:before="0" w:after="0"/>
      </w:pPr>
      <w:r>
        <w:lastRenderedPageBreak/>
        <w:t>These amendments increase the rate of withholding to 15 per cent.</w:t>
      </w:r>
    </w:p>
    <w:p w14:paraId="6B435E98" w14:textId="77777777" w:rsidR="00904F16" w:rsidRDefault="00904F16" w:rsidP="00904F16">
      <w:pPr>
        <w:pStyle w:val="Normalparatextwithnumbers"/>
        <w:numPr>
          <w:ilvl w:val="0"/>
          <w:numId w:val="0"/>
        </w:numPr>
        <w:spacing w:before="0" w:after="0"/>
        <w:ind w:left="709"/>
        <w:rPr>
          <w:rStyle w:val="References"/>
        </w:rPr>
      </w:pPr>
      <w:r w:rsidRPr="00915FFA">
        <w:rPr>
          <w:rStyle w:val="References"/>
        </w:rPr>
        <w:t xml:space="preserve">[Schedule 1, items 1 and 2, paragraphs 14-200(3)(a) and 14-205(4)(a) of Schedule 1 to the </w:t>
      </w:r>
      <w:r>
        <w:rPr>
          <w:rStyle w:val="References"/>
        </w:rPr>
        <w:t>TAA</w:t>
      </w:r>
      <w:r w:rsidRPr="00915FFA">
        <w:rPr>
          <w:rStyle w:val="References"/>
        </w:rPr>
        <w:t xml:space="preserve"> 1953]</w:t>
      </w:r>
    </w:p>
    <w:p w14:paraId="1290E3FC" w14:textId="77777777" w:rsidR="00904F16" w:rsidRDefault="00904F16" w:rsidP="00904F16">
      <w:pPr>
        <w:pStyle w:val="Normalparatextwithnumbers"/>
        <w:rPr>
          <w:rStyle w:val="References"/>
          <w:b w:val="0"/>
          <w:bCs w:val="0"/>
          <w:i w:val="0"/>
          <w:iCs w:val="0"/>
        </w:rPr>
      </w:pPr>
      <w:r w:rsidRPr="23077414">
        <w:rPr>
          <w:rStyle w:val="References"/>
          <w:b w:val="0"/>
          <w:bCs w:val="0"/>
          <w:i w:val="0"/>
          <w:iCs w:val="0"/>
        </w:rPr>
        <w:t>Consequently, if a FRCGW obligation arises, purchasers will need to</w:t>
      </w:r>
      <w:r>
        <w:rPr>
          <w:rStyle w:val="References"/>
          <w:b w:val="0"/>
          <w:bCs w:val="0"/>
          <w:i w:val="0"/>
          <w:iCs w:val="0"/>
        </w:rPr>
        <w:t xml:space="preserve"> withhold from the vendor </w:t>
      </w:r>
      <w:r w:rsidRPr="23077414">
        <w:rPr>
          <w:rStyle w:val="References"/>
          <w:b w:val="0"/>
          <w:bCs w:val="0"/>
          <w:i w:val="0"/>
          <w:iCs w:val="0"/>
        </w:rPr>
        <w:t xml:space="preserve">15 per cent of, generally, the purchase price of the CGT asset </w:t>
      </w:r>
      <w:r>
        <w:rPr>
          <w:rStyle w:val="References"/>
          <w:b w:val="0"/>
          <w:bCs w:val="0"/>
          <w:i w:val="0"/>
          <w:iCs w:val="0"/>
        </w:rPr>
        <w:t xml:space="preserve">and pay the withheld amount </w:t>
      </w:r>
      <w:r w:rsidRPr="23077414">
        <w:rPr>
          <w:rStyle w:val="References"/>
          <w:b w:val="0"/>
          <w:bCs w:val="0"/>
          <w:i w:val="0"/>
          <w:iCs w:val="0"/>
        </w:rPr>
        <w:t xml:space="preserve">to the Commissioner. This amount will subsequently be available </w:t>
      </w:r>
      <w:r>
        <w:rPr>
          <w:rStyle w:val="References"/>
          <w:b w:val="0"/>
          <w:bCs w:val="0"/>
          <w:i w:val="0"/>
          <w:iCs w:val="0"/>
        </w:rPr>
        <w:t xml:space="preserve">to the vendor </w:t>
      </w:r>
      <w:r w:rsidRPr="23077414">
        <w:rPr>
          <w:rStyle w:val="References"/>
          <w:b w:val="0"/>
          <w:bCs w:val="0"/>
          <w:i w:val="0"/>
          <w:iCs w:val="0"/>
        </w:rPr>
        <w:t>as a credit to apply to any income tax liability</w:t>
      </w:r>
      <w:r>
        <w:rPr>
          <w:rStyle w:val="References"/>
          <w:b w:val="0"/>
          <w:bCs w:val="0"/>
          <w:i w:val="0"/>
          <w:iCs w:val="0"/>
        </w:rPr>
        <w:t xml:space="preserve"> </w:t>
      </w:r>
      <w:r w:rsidRPr="23077414">
        <w:rPr>
          <w:rStyle w:val="References"/>
          <w:b w:val="0"/>
          <w:bCs w:val="0"/>
          <w:i w:val="0"/>
          <w:iCs w:val="0"/>
        </w:rPr>
        <w:t>that arises upon the making of an income tax assessment.</w:t>
      </w:r>
    </w:p>
    <w:p w14:paraId="5B86EA46" w14:textId="77777777" w:rsidR="00904F16" w:rsidRDefault="00904F16" w:rsidP="00904F16">
      <w:pPr>
        <w:pStyle w:val="Heading5"/>
        <w:numPr>
          <w:ilvl w:val="4"/>
          <w:numId w:val="2"/>
        </w:numPr>
      </w:pPr>
      <w:r>
        <w:t>Removing the withholding threshold</w:t>
      </w:r>
    </w:p>
    <w:p w14:paraId="61D67451" w14:textId="77777777" w:rsidR="00904F16" w:rsidRPr="001D4E54" w:rsidRDefault="00904F16" w:rsidP="00904F16">
      <w:pPr>
        <w:pStyle w:val="Normalparatextwithnumbers"/>
      </w:pPr>
      <w:r w:rsidRPr="001D4E54">
        <w:t xml:space="preserve">Currently, a </w:t>
      </w:r>
      <w:r>
        <w:t>FRCGW</w:t>
      </w:r>
      <w:r w:rsidRPr="001D4E54">
        <w:t xml:space="preserve"> obligation does not arise in relation to a CGT asset if, so far as is relevant, the market value of the CGT asset is less than $</w:t>
      </w:r>
      <w:r>
        <w:t>750,000</w:t>
      </w:r>
      <w:r w:rsidRPr="001D4E54">
        <w:t xml:space="preserve"> and the CGT asset is:</w:t>
      </w:r>
    </w:p>
    <w:p w14:paraId="7B392F0C" w14:textId="77777777" w:rsidR="00904F16" w:rsidRDefault="00904F16" w:rsidP="00904F16">
      <w:pPr>
        <w:pStyle w:val="Bullet"/>
        <w:numPr>
          <w:ilvl w:val="0"/>
          <w:numId w:val="24"/>
        </w:numPr>
        <w:rPr>
          <w:color w:val="auto"/>
        </w:rPr>
      </w:pPr>
      <w:r w:rsidRPr="001D4E54">
        <w:rPr>
          <w:color w:val="auto"/>
        </w:rPr>
        <w:t>taxable Australian real property; or</w:t>
      </w:r>
    </w:p>
    <w:p w14:paraId="5BCEE794" w14:textId="77777777" w:rsidR="00904F16" w:rsidRPr="00C441DE" w:rsidRDefault="00904F16" w:rsidP="00904F16">
      <w:pPr>
        <w:pStyle w:val="Bullet"/>
        <w:numPr>
          <w:ilvl w:val="0"/>
          <w:numId w:val="24"/>
        </w:numPr>
        <w:rPr>
          <w:color w:val="auto"/>
        </w:rPr>
      </w:pPr>
      <w:r w:rsidRPr="00C441DE">
        <w:rPr>
          <w:color w:val="auto"/>
        </w:rPr>
        <w:t>an indirect taxable Australian real property interest, the holding of which causes a company title interest to arise.</w:t>
      </w:r>
    </w:p>
    <w:p w14:paraId="2B96FB4C" w14:textId="77777777" w:rsidR="00904F16" w:rsidRDefault="00904F16" w:rsidP="00904F16">
      <w:pPr>
        <w:pStyle w:val="Normalparatextwithnumbers"/>
        <w:spacing w:before="0" w:after="0"/>
      </w:pPr>
      <w:r w:rsidRPr="001D4E54">
        <w:t xml:space="preserve">These amendments </w:t>
      </w:r>
      <w:r>
        <w:t>remove the $750,000 exclusion threshold.</w:t>
      </w:r>
    </w:p>
    <w:p w14:paraId="5A3366FA" w14:textId="77777777" w:rsidR="00904F16" w:rsidRPr="00AD3AE1" w:rsidRDefault="00904F16" w:rsidP="00904F16">
      <w:pPr>
        <w:pStyle w:val="Normalparatextwithnumbers"/>
        <w:numPr>
          <w:ilvl w:val="0"/>
          <w:numId w:val="0"/>
        </w:numPr>
        <w:spacing w:before="0" w:after="0"/>
        <w:ind w:left="709"/>
        <w:rPr>
          <w:rStyle w:val="References"/>
        </w:rPr>
      </w:pPr>
      <w:r w:rsidRPr="00AD3AE1">
        <w:rPr>
          <w:rStyle w:val="References"/>
        </w:rPr>
        <w:t xml:space="preserve">[Schedule 1, items 3 to 6, subsection 14-215(1) heading, subsection 14-215(1), paragraph 14-215(1)(a) and subsections 14-215(2) and (3) of Schedule 1 to the </w:t>
      </w:r>
      <w:r>
        <w:rPr>
          <w:rStyle w:val="References"/>
        </w:rPr>
        <w:t>TAA</w:t>
      </w:r>
      <w:r w:rsidRPr="00AD3AE1">
        <w:rPr>
          <w:rStyle w:val="References"/>
        </w:rPr>
        <w:t xml:space="preserve"> 1953]</w:t>
      </w:r>
    </w:p>
    <w:p w14:paraId="010272E5" w14:textId="77777777" w:rsidR="00904F16" w:rsidRPr="00671FF7" w:rsidRDefault="00904F16" w:rsidP="00904F16">
      <w:pPr>
        <w:pStyle w:val="Normalparatextwithnumbers"/>
        <w:rPr>
          <w:rStyle w:val="References"/>
          <w:b w:val="0"/>
          <w:bCs w:val="0"/>
          <w:i w:val="0"/>
          <w:iCs w:val="0"/>
        </w:rPr>
      </w:pPr>
      <w:r w:rsidRPr="00671FF7">
        <w:rPr>
          <w:rStyle w:val="References"/>
          <w:b w:val="0"/>
          <w:bCs w:val="0"/>
          <w:i w:val="0"/>
          <w:iCs w:val="0"/>
        </w:rPr>
        <w:t xml:space="preserve">Consequently, a </w:t>
      </w:r>
      <w:r>
        <w:rPr>
          <w:rStyle w:val="References"/>
          <w:b w:val="0"/>
          <w:bCs w:val="0"/>
          <w:i w:val="0"/>
          <w:iCs w:val="0"/>
        </w:rPr>
        <w:t>FRCGW</w:t>
      </w:r>
      <w:r w:rsidRPr="00671FF7">
        <w:rPr>
          <w:rStyle w:val="References"/>
          <w:b w:val="0"/>
          <w:bCs w:val="0"/>
          <w:i w:val="0"/>
          <w:iCs w:val="0"/>
        </w:rPr>
        <w:t xml:space="preserve"> obligation </w:t>
      </w:r>
      <w:r>
        <w:rPr>
          <w:rStyle w:val="References"/>
          <w:b w:val="0"/>
          <w:bCs w:val="0"/>
          <w:i w:val="0"/>
          <w:iCs w:val="0"/>
        </w:rPr>
        <w:t xml:space="preserve">will </w:t>
      </w:r>
      <w:r w:rsidRPr="00671FF7">
        <w:rPr>
          <w:rStyle w:val="References"/>
          <w:b w:val="0"/>
          <w:bCs w:val="0"/>
          <w:i w:val="0"/>
          <w:iCs w:val="0"/>
        </w:rPr>
        <w:t>arise</w:t>
      </w:r>
      <w:r>
        <w:rPr>
          <w:rStyle w:val="References"/>
          <w:b w:val="0"/>
          <w:bCs w:val="0"/>
          <w:i w:val="0"/>
          <w:iCs w:val="0"/>
        </w:rPr>
        <w:t xml:space="preserve"> in relation to the disposal of a relevant </w:t>
      </w:r>
      <w:r w:rsidRPr="00671FF7">
        <w:rPr>
          <w:rStyle w:val="References"/>
          <w:b w:val="0"/>
          <w:bCs w:val="0"/>
          <w:i w:val="0"/>
          <w:iCs w:val="0"/>
        </w:rPr>
        <w:t xml:space="preserve">CGT asset by a foreign resident, regardless of the </w:t>
      </w:r>
      <w:r>
        <w:rPr>
          <w:rStyle w:val="References"/>
          <w:b w:val="0"/>
          <w:bCs w:val="0"/>
          <w:i w:val="0"/>
          <w:iCs w:val="0"/>
        </w:rPr>
        <w:t>market value</w:t>
      </w:r>
      <w:r w:rsidRPr="00671FF7">
        <w:rPr>
          <w:rStyle w:val="References"/>
          <w:b w:val="0"/>
          <w:bCs w:val="0"/>
          <w:i w:val="0"/>
          <w:iCs w:val="0"/>
        </w:rPr>
        <w:t xml:space="preserve"> of the </w:t>
      </w:r>
      <w:r>
        <w:rPr>
          <w:rStyle w:val="References"/>
          <w:b w:val="0"/>
          <w:bCs w:val="0"/>
          <w:i w:val="0"/>
          <w:iCs w:val="0"/>
        </w:rPr>
        <w:t xml:space="preserve">CGT </w:t>
      </w:r>
      <w:r w:rsidRPr="00671FF7">
        <w:rPr>
          <w:rStyle w:val="References"/>
          <w:b w:val="0"/>
          <w:bCs w:val="0"/>
          <w:i w:val="0"/>
          <w:iCs w:val="0"/>
        </w:rPr>
        <w:t xml:space="preserve">asset. </w:t>
      </w:r>
      <w:r>
        <w:rPr>
          <w:rStyle w:val="References"/>
          <w:b w:val="0"/>
          <w:bCs w:val="0"/>
          <w:i w:val="0"/>
          <w:iCs w:val="0"/>
        </w:rPr>
        <w:t>O</w:t>
      </w:r>
      <w:r w:rsidRPr="00671FF7">
        <w:rPr>
          <w:rStyle w:val="References"/>
          <w:b w:val="0"/>
          <w:bCs w:val="0"/>
          <w:i w:val="0"/>
          <w:iCs w:val="0"/>
        </w:rPr>
        <w:t xml:space="preserve">ther transactions that are currently excluded from the </w:t>
      </w:r>
      <w:r>
        <w:rPr>
          <w:rStyle w:val="References"/>
          <w:b w:val="0"/>
          <w:bCs w:val="0"/>
          <w:i w:val="0"/>
          <w:iCs w:val="0"/>
        </w:rPr>
        <w:t>FRCGW</w:t>
      </w:r>
      <w:r w:rsidRPr="00671FF7">
        <w:rPr>
          <w:rStyle w:val="References"/>
          <w:b w:val="0"/>
          <w:bCs w:val="0"/>
          <w:i w:val="0"/>
          <w:iCs w:val="0"/>
        </w:rPr>
        <w:t xml:space="preserve"> regime </w:t>
      </w:r>
      <w:r>
        <w:rPr>
          <w:rStyle w:val="References"/>
          <w:b w:val="0"/>
          <w:bCs w:val="0"/>
          <w:i w:val="0"/>
          <w:iCs w:val="0"/>
        </w:rPr>
        <w:t>remain</w:t>
      </w:r>
      <w:r w:rsidRPr="00671FF7">
        <w:rPr>
          <w:rStyle w:val="References"/>
          <w:b w:val="0"/>
          <w:bCs w:val="0"/>
          <w:i w:val="0"/>
          <w:iCs w:val="0"/>
        </w:rPr>
        <w:t xml:space="preserve"> unamended and continue to apply. </w:t>
      </w:r>
      <w:r>
        <w:rPr>
          <w:rStyle w:val="References"/>
          <w:b w:val="0"/>
          <w:bCs w:val="0"/>
          <w:i w:val="0"/>
          <w:iCs w:val="0"/>
        </w:rPr>
        <w:t xml:space="preserve">The Commissioner’s power to vary </w:t>
      </w:r>
      <w:proofErr w:type="gramStart"/>
      <w:r>
        <w:rPr>
          <w:rStyle w:val="References"/>
          <w:b w:val="0"/>
          <w:bCs w:val="0"/>
          <w:i w:val="0"/>
          <w:iCs w:val="0"/>
        </w:rPr>
        <w:t>particular amounts</w:t>
      </w:r>
      <w:proofErr w:type="gramEnd"/>
      <w:r w:rsidDel="00DA4552">
        <w:rPr>
          <w:rStyle w:val="References"/>
          <w:b w:val="0"/>
          <w:bCs w:val="0"/>
          <w:i w:val="0"/>
          <w:iCs w:val="0"/>
        </w:rPr>
        <w:t>,</w:t>
      </w:r>
      <w:r>
        <w:rPr>
          <w:rStyle w:val="References"/>
          <w:b w:val="0"/>
          <w:bCs w:val="0"/>
          <w:i w:val="0"/>
          <w:iCs w:val="0"/>
        </w:rPr>
        <w:t xml:space="preserve"> or classes of amounts, of withholding by a purchaser under the FRCGW regime also continues to apply.</w:t>
      </w:r>
    </w:p>
    <w:p w14:paraId="55FE6826" w14:textId="77777777" w:rsidR="00904F16" w:rsidRDefault="00904F16" w:rsidP="00904F16">
      <w:pPr>
        <w:pStyle w:val="Normalparatextwithnumbers"/>
      </w:pPr>
      <w:r w:rsidRPr="00F5378C">
        <w:rPr>
          <w:rStyle w:val="References"/>
          <w:b w:val="0"/>
          <w:bCs w:val="0"/>
          <w:i w:val="0"/>
          <w:iCs w:val="0"/>
        </w:rPr>
        <w:t xml:space="preserve">Vendors </w:t>
      </w:r>
      <w:r w:rsidRPr="26F1B12A" w:rsidDel="00C102B4">
        <w:rPr>
          <w:rStyle w:val="References"/>
          <w:b w:val="0"/>
          <w:bCs w:val="0"/>
          <w:i w:val="0"/>
          <w:iCs w:val="0"/>
        </w:rPr>
        <w:t>can</w:t>
      </w:r>
      <w:r>
        <w:rPr>
          <w:rStyle w:val="References"/>
          <w:b w:val="0"/>
          <w:bCs w:val="0"/>
          <w:i w:val="0"/>
          <w:iCs w:val="0"/>
        </w:rPr>
        <w:t xml:space="preserve"> continue to</w:t>
      </w:r>
      <w:r w:rsidRPr="26F1B12A">
        <w:rPr>
          <w:rStyle w:val="References"/>
          <w:b w:val="0"/>
          <w:bCs w:val="0"/>
          <w:i w:val="0"/>
          <w:iCs w:val="0"/>
        </w:rPr>
        <w:t xml:space="preserve"> apply for clearance certificate</w:t>
      </w:r>
      <w:r>
        <w:rPr>
          <w:rStyle w:val="References"/>
          <w:b w:val="0"/>
          <w:bCs w:val="0"/>
          <w:i w:val="0"/>
          <w:iCs w:val="0"/>
        </w:rPr>
        <w:t>s</w:t>
      </w:r>
      <w:r w:rsidRPr="26F1B12A">
        <w:rPr>
          <w:rStyle w:val="References"/>
          <w:b w:val="0"/>
          <w:bCs w:val="0"/>
          <w:i w:val="0"/>
          <w:iCs w:val="0"/>
        </w:rPr>
        <w:t xml:space="preserve"> from the Commissioner to advise purchaser</w:t>
      </w:r>
      <w:r>
        <w:rPr>
          <w:rStyle w:val="References"/>
          <w:b w:val="0"/>
          <w:bCs w:val="0"/>
          <w:i w:val="0"/>
          <w:iCs w:val="0"/>
        </w:rPr>
        <w:t>s</w:t>
      </w:r>
      <w:r w:rsidRPr="26F1B12A">
        <w:rPr>
          <w:rStyle w:val="References"/>
          <w:b w:val="0"/>
          <w:bCs w:val="0"/>
          <w:i w:val="0"/>
          <w:iCs w:val="0"/>
        </w:rPr>
        <w:t xml:space="preserve"> that they are not a foreign resident in respect of an Australian real property </w:t>
      </w:r>
      <w:r w:rsidRPr="00F5378C">
        <w:rPr>
          <w:rStyle w:val="References"/>
          <w:b w:val="0"/>
          <w:bCs w:val="0"/>
          <w:i w:val="0"/>
          <w:iCs w:val="0"/>
        </w:rPr>
        <w:t xml:space="preserve">transaction or </w:t>
      </w:r>
      <w:r>
        <w:t>an indirect Australian real property interest that provides company title interests.</w:t>
      </w:r>
    </w:p>
    <w:p w14:paraId="079D29C2" w14:textId="03962D2A" w:rsidR="00873094" w:rsidRPr="00020288" w:rsidRDefault="00904F16" w:rsidP="00904F16">
      <w:pPr>
        <w:pStyle w:val="Normalparatextwithnumbers"/>
        <w:numPr>
          <w:ilvl w:val="1"/>
          <w:numId w:val="3"/>
        </w:numPr>
      </w:pPr>
      <w:r w:rsidRPr="1E0CC520">
        <w:rPr>
          <w:rStyle w:val="References"/>
          <w:b w:val="0"/>
          <w:bCs w:val="0"/>
          <w:i w:val="0"/>
          <w:iCs w:val="0"/>
        </w:rPr>
        <w:t xml:space="preserve">For any other relevant asset, the vendor can still make a residency declaration or a declaration that </w:t>
      </w:r>
      <w:r w:rsidRPr="1E0CC520" w:rsidDel="00163F22">
        <w:rPr>
          <w:rStyle w:val="References"/>
          <w:b w:val="0"/>
          <w:bCs w:val="0"/>
          <w:i w:val="0"/>
          <w:iCs w:val="0"/>
        </w:rPr>
        <w:t xml:space="preserve">the </w:t>
      </w:r>
      <w:r w:rsidRPr="1E0CC520" w:rsidDel="00C102B4">
        <w:rPr>
          <w:rStyle w:val="References"/>
          <w:b w:val="0"/>
          <w:bCs w:val="0"/>
          <w:i w:val="0"/>
          <w:iCs w:val="0"/>
        </w:rPr>
        <w:t>asset</w:t>
      </w:r>
      <w:r w:rsidRPr="1E0CC520">
        <w:rPr>
          <w:rStyle w:val="References"/>
          <w:b w:val="0"/>
          <w:bCs w:val="0"/>
          <w:i w:val="0"/>
          <w:iCs w:val="0"/>
        </w:rPr>
        <w:t xml:space="preserve"> is a not an indirect Australian real property interest. Th</w:t>
      </w:r>
      <w:r>
        <w:rPr>
          <w:rStyle w:val="References"/>
          <w:b w:val="0"/>
          <w:bCs w:val="0"/>
          <w:i w:val="0"/>
          <w:iCs w:val="0"/>
        </w:rPr>
        <w:t xml:space="preserve">is measure does not amend the approach to these </w:t>
      </w:r>
      <w:r w:rsidRPr="1E0CC520">
        <w:rPr>
          <w:rStyle w:val="References"/>
          <w:b w:val="0"/>
          <w:bCs w:val="0"/>
          <w:i w:val="0"/>
          <w:iCs w:val="0"/>
        </w:rPr>
        <w:t>processes</w:t>
      </w:r>
      <w:r w:rsidR="003814F6">
        <w:rPr>
          <w:rStyle w:val="References"/>
          <w:b w:val="0"/>
          <w:bCs w:val="0"/>
          <w:i w:val="0"/>
          <w:iCs w:val="0"/>
        </w:rPr>
        <w:t>.</w:t>
      </w:r>
    </w:p>
    <w:p w14:paraId="5FAFEEC1" w14:textId="77777777" w:rsidR="00873094" w:rsidRPr="00020288" w:rsidRDefault="00873094" w:rsidP="00AF50CE">
      <w:pPr>
        <w:pStyle w:val="Heading2"/>
      </w:pPr>
      <w:bookmarkStart w:id="43" w:name="_Toc78193246"/>
      <w:bookmarkStart w:id="44" w:name="_Toc78193403"/>
      <w:bookmarkStart w:id="45" w:name="_Toc78548476"/>
      <w:bookmarkStart w:id="46" w:name="_Toc78549747"/>
      <w:bookmarkStart w:id="47" w:name="_Toc78549791"/>
      <w:r w:rsidRPr="00020288">
        <w:t xml:space="preserve">Commencement, </w:t>
      </w:r>
      <w:r w:rsidRPr="00AF50CE">
        <w:t>application</w:t>
      </w:r>
      <w:r w:rsidRPr="00020288">
        <w:t>, and transitional provisions</w:t>
      </w:r>
    </w:p>
    <w:p w14:paraId="6CD5CEAD" w14:textId="77777777" w:rsidR="004F1DCC" w:rsidRPr="007617C7" w:rsidRDefault="004F1DCC" w:rsidP="004F1DCC">
      <w:pPr>
        <w:pStyle w:val="Normalparatextwithnumbers"/>
      </w:pPr>
      <w:r>
        <w:t>Schedule 1 to the Bill commences on the first 1 January, 1 April, 1 July or 1 October to occur after the day the Bill receives Royal Assent.</w:t>
      </w:r>
    </w:p>
    <w:p w14:paraId="0D7C2F61" w14:textId="77777777" w:rsidR="006721CA" w:rsidRDefault="0064447C" w:rsidP="006721CA">
      <w:pPr>
        <w:pStyle w:val="Normalparatextwithnumbers"/>
      </w:pPr>
      <w:r w:rsidRPr="007617C7">
        <w:lastRenderedPageBreak/>
        <w:t xml:space="preserve">The amendments apply to acquisitions made on or after the later of </w:t>
      </w:r>
      <w:r>
        <w:t xml:space="preserve">the start of </w:t>
      </w:r>
      <w:r w:rsidRPr="007617C7">
        <w:t>1 January 2025 and the commencement of Schedule 1.</w:t>
      </w:r>
    </w:p>
    <w:p w14:paraId="2F1B0AC6" w14:textId="084300A3" w:rsidR="002677B9" w:rsidRDefault="00961916" w:rsidP="006721CA">
      <w:pPr>
        <w:pStyle w:val="Normalparatextwithnumbers"/>
      </w:pPr>
      <w:r w:rsidRPr="007617C7">
        <w:t xml:space="preserve">A purchaser is generally taken to have acquired an asset on the date they </w:t>
      </w:r>
      <w:proofErr w:type="gramStart"/>
      <w:r w:rsidRPr="007617C7">
        <w:t>entered into</w:t>
      </w:r>
      <w:proofErr w:type="gramEnd"/>
      <w:r w:rsidRPr="007617C7">
        <w:t xml:space="preserve"> the contract to acquire it (see Division 109 of the ITAA</w:t>
      </w:r>
      <w:r>
        <w:t> </w:t>
      </w:r>
      <w:r w:rsidRPr="007617C7">
        <w:t xml:space="preserve">1997). Therefore, these amendments will not apply to transfers that occur under a contract </w:t>
      </w:r>
      <w:proofErr w:type="gramStart"/>
      <w:r w:rsidRPr="007617C7">
        <w:t>entered into</w:t>
      </w:r>
      <w:proofErr w:type="gramEnd"/>
      <w:r w:rsidRPr="007617C7">
        <w:t xml:space="preserve"> prior to the later of </w:t>
      </w:r>
      <w:r>
        <w:t xml:space="preserve">the start of </w:t>
      </w:r>
      <w:r w:rsidRPr="007617C7">
        <w:t>1</w:t>
      </w:r>
      <w:r>
        <w:t> </w:t>
      </w:r>
      <w:r w:rsidRPr="007617C7">
        <w:t>January</w:t>
      </w:r>
      <w:r>
        <w:t> </w:t>
      </w:r>
      <w:r w:rsidRPr="007617C7">
        <w:t>2025 and the commencement of Schedule 1.</w:t>
      </w:r>
    </w:p>
    <w:p w14:paraId="6231C680" w14:textId="6F5D8334" w:rsidR="00961916" w:rsidRDefault="00961916" w:rsidP="00FA77C4">
      <w:pPr>
        <w:pStyle w:val="Normalparatextwithnumbers"/>
        <w:numPr>
          <w:ilvl w:val="0"/>
          <w:numId w:val="0"/>
        </w:numPr>
        <w:spacing w:before="0" w:after="0"/>
        <w:ind w:left="709"/>
      </w:pPr>
      <w:r w:rsidRPr="007617C7">
        <w:rPr>
          <w:rStyle w:val="References"/>
        </w:rPr>
        <w:t>[Schedule 1, item 7</w:t>
      </w:r>
      <w:r w:rsidR="002677B9">
        <w:rPr>
          <w:rStyle w:val="References"/>
        </w:rPr>
        <w:t>]</w:t>
      </w:r>
    </w:p>
    <w:p w14:paraId="530DEF05" w14:textId="77777777" w:rsidR="006479AC" w:rsidRPr="006479AC" w:rsidRDefault="006479AC" w:rsidP="006479AC">
      <w:pPr>
        <w:pStyle w:val="Normalparatextnonumbers"/>
      </w:pPr>
    </w:p>
    <w:p w14:paraId="589765D6" w14:textId="3D2A73B2" w:rsidR="00873094" w:rsidRDefault="00873094" w:rsidP="006479AC">
      <w:pPr>
        <w:pStyle w:val="Normalparatextnonumbers"/>
      </w:pPr>
    </w:p>
    <w:p w14:paraId="432AA679" w14:textId="77777777" w:rsidR="00873094" w:rsidRDefault="00873094" w:rsidP="00873094">
      <w:pPr>
        <w:spacing w:after="0" w:line="360" w:lineRule="auto"/>
        <w:contextualSpacing/>
      </w:pPr>
      <w:bookmarkStart w:id="48" w:name="_Hlk83390738"/>
    </w:p>
    <w:bookmarkEnd w:id="5"/>
    <w:bookmarkEnd w:id="43"/>
    <w:bookmarkEnd w:id="44"/>
    <w:bookmarkEnd w:id="45"/>
    <w:bookmarkEnd w:id="46"/>
    <w:bookmarkEnd w:id="47"/>
    <w:bookmarkEnd w:id="48"/>
    <w:p w14:paraId="503C5EEB" w14:textId="77777777" w:rsidR="00B77D03" w:rsidRDefault="00B77D03" w:rsidP="004F1DCC">
      <w:pPr>
        <w:pStyle w:val="Normalparatextnonumbers"/>
      </w:pPr>
    </w:p>
    <w:sectPr w:rsidR="00B77D03" w:rsidSect="00000BFC">
      <w:headerReference w:type="first" r:id="rId19"/>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094C" w14:textId="77777777" w:rsidR="000D22F5" w:rsidRDefault="000D22F5">
      <w:pPr>
        <w:spacing w:before="0" w:after="0"/>
      </w:pPr>
      <w:r>
        <w:separator/>
      </w:r>
    </w:p>
  </w:endnote>
  <w:endnote w:type="continuationSeparator" w:id="0">
    <w:p w14:paraId="32351CCE" w14:textId="77777777" w:rsidR="000D22F5" w:rsidRDefault="000D22F5">
      <w:pPr>
        <w:spacing w:before="0" w:after="0"/>
      </w:pPr>
      <w:r>
        <w:continuationSeparator/>
      </w:r>
    </w:p>
  </w:endnote>
  <w:endnote w:type="continuationNotice" w:id="1">
    <w:p w14:paraId="7C10DA04" w14:textId="77777777" w:rsidR="000D22F5" w:rsidRDefault="000D22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FBA4" w14:textId="75B7154A" w:rsidR="004F1DCC" w:rsidRDefault="004F1DCC" w:rsidP="004F1DCC">
    <w:pPr>
      <w:pStyle w:val="leftfooter"/>
    </w:pPr>
    <w:r>
      <w:fldChar w:fldCharType="begin"/>
    </w:r>
    <w:r>
      <w:instrText xml:space="preserve"> PAGE  \* MERGEFORMAT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9719" w14:textId="3E9D9D7E" w:rsidR="004F1DCC" w:rsidRDefault="004F1DCC" w:rsidP="004F1DCC">
    <w:pPr>
      <w:pStyle w:val="rightfooter"/>
    </w:pPr>
    <w:r>
      <w:fldChar w:fldCharType="begin"/>
    </w:r>
    <w:r>
      <w:instrText xml:space="preserve"> PAGE  \* MERGEFORMAT </w:instrText>
    </w:r>
    <w:r>
      <w:fldChar w:fldCharType="separate"/>
    </w:r>
    <w:r>
      <w:rPr>
        <w:noProof/>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CE8E"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7D3E" w14:textId="77777777"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E44F" w14:textId="77777777" w:rsidR="007A2DBD" w:rsidRPr="00091474" w:rsidRDefault="007A2DBD" w:rsidP="004F1DCC">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794D" w14:textId="77777777" w:rsidR="000D22F5" w:rsidRDefault="000D22F5">
      <w:pPr>
        <w:spacing w:before="0" w:after="0"/>
      </w:pPr>
      <w:r>
        <w:separator/>
      </w:r>
    </w:p>
  </w:footnote>
  <w:footnote w:type="continuationSeparator" w:id="0">
    <w:p w14:paraId="6F6E0E10" w14:textId="77777777" w:rsidR="000D22F5" w:rsidRDefault="000D22F5">
      <w:pPr>
        <w:spacing w:before="0" w:after="0"/>
      </w:pPr>
      <w:r>
        <w:continuationSeparator/>
      </w:r>
    </w:p>
  </w:footnote>
  <w:footnote w:type="continuationNotice" w:id="1">
    <w:p w14:paraId="664F50CE" w14:textId="77777777" w:rsidR="000D22F5" w:rsidRDefault="000D22F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4AEA2379" w14:textId="77777777" w:rsidR="007A2DBD" w:rsidRDefault="007C1417">
        <w:pPr>
          <w:pStyle w:val="Header"/>
        </w:pPr>
        <w:r>
          <w:rPr>
            <w:noProof/>
          </w:rPr>
          <w:pict w14:anchorId="0AEB8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385E"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7A2B" w14:textId="2DDFA33A"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F6221D">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5F02"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00C6" w14:textId="4630EABF" w:rsidR="007A2DBD" w:rsidRPr="004F1DCC" w:rsidRDefault="00D53C06" w:rsidP="004F1DCC">
    <w:pPr>
      <w:pStyle w:val="leftheader"/>
    </w:pPr>
    <w:fldSimple w:instr=" STYLEREF &quot;Chapter heading&quot; \* MERGEFORMAT ">
      <w:r w:rsidR="007C1417">
        <w:rPr>
          <w:noProof/>
        </w:rPr>
        <w:t>Foreign resident capital gains withholding</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60ED" w14:textId="6D71E6E3" w:rsidR="007A2DBD" w:rsidRPr="004F1DCC" w:rsidRDefault="00D53C06" w:rsidP="004F1DCC">
    <w:pPr>
      <w:pStyle w:val="rightheader"/>
    </w:pPr>
    <w:fldSimple w:instr=" STYLEREF &quot;Bill Name&quot; \* MERGEFORMAT ">
      <w:r w:rsidR="007C1417">
        <w:rPr>
          <w:noProof/>
        </w:rPr>
        <w:t>Treasury Laws Amendment Bill 2024: Foreign Resident Capital Gains Withholding Payments</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FA24"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9975" w14:textId="77777777" w:rsidR="004F1DCC" w:rsidRDefault="004F1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5D2CC9"/>
    <w:multiLevelType w:val="multilevel"/>
    <w:tmpl w:val="EB40A84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7" w15:restartNumberingAfterBreak="0">
    <w:nsid w:val="4A9578C1"/>
    <w:multiLevelType w:val="hybridMultilevel"/>
    <w:tmpl w:val="FE12BAA4"/>
    <w:lvl w:ilvl="0" w:tplc="9B767494">
      <w:start w:val="1"/>
      <w:numFmt w:val="bullet"/>
      <w:lvlText w:val=""/>
      <w:lvlJc w:val="left"/>
      <w:pPr>
        <w:ind w:left="1069" w:hanging="360"/>
      </w:pPr>
      <w:rPr>
        <w:rFonts w:ascii="Symbol" w:hAnsi="Symbol"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0"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599739">
    <w:abstractNumId w:val="0"/>
  </w:num>
  <w:num w:numId="2" w16cid:durableId="1948731128">
    <w:abstractNumId w:val="12"/>
  </w:num>
  <w:num w:numId="3" w16cid:durableId="182970768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22813120">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3"/>
  </w:num>
  <w:num w:numId="7" w16cid:durableId="102290195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4"/>
  </w:num>
  <w:num w:numId="9" w16cid:durableId="911041120">
    <w:abstractNumId w:val="14"/>
  </w:num>
  <w:num w:numId="10" w16cid:durableId="2017876939">
    <w:abstractNumId w:val="8"/>
  </w:num>
  <w:num w:numId="11" w16cid:durableId="679544403">
    <w:abstractNumId w:val="6"/>
  </w:num>
  <w:num w:numId="12" w16cid:durableId="974681568">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12"/>
  </w:num>
  <w:num w:numId="14" w16cid:durableId="1648515472">
    <w:abstractNumId w:val="10"/>
  </w:num>
  <w:num w:numId="15" w16cid:durableId="407070147">
    <w:abstractNumId w:val="11"/>
  </w:num>
  <w:num w:numId="16" w16cid:durableId="1102265301">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05204720">
    <w:abstractNumId w:val="4"/>
  </w:num>
  <w:num w:numId="18" w16cid:durableId="680205999">
    <w:abstractNumId w:val="2"/>
  </w:num>
  <w:num w:numId="19" w16cid:durableId="1491290959">
    <w:abstractNumId w:val="9"/>
  </w:num>
  <w:num w:numId="20" w16cid:durableId="1101536722">
    <w:abstractNumId w:val="13"/>
  </w:num>
  <w:num w:numId="21" w16cid:durableId="1399742980">
    <w:abstractNumId w:val="12"/>
  </w:num>
  <w:num w:numId="22" w16cid:durableId="397169042">
    <w:abstractNumId w:val="1"/>
  </w:num>
  <w:num w:numId="23" w16cid:durableId="785856834">
    <w:abstractNumId w:val="5"/>
  </w:num>
  <w:num w:numId="24" w16cid:durableId="795442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7E"/>
    <w:rsid w:val="00000BFC"/>
    <w:rsid w:val="00017B8A"/>
    <w:rsid w:val="00021DAA"/>
    <w:rsid w:val="00040058"/>
    <w:rsid w:val="00041348"/>
    <w:rsid w:val="00043E8E"/>
    <w:rsid w:val="00047FF2"/>
    <w:rsid w:val="00087F47"/>
    <w:rsid w:val="00087FE9"/>
    <w:rsid w:val="00090A2C"/>
    <w:rsid w:val="000A3230"/>
    <w:rsid w:val="000A4EB2"/>
    <w:rsid w:val="000B6B3E"/>
    <w:rsid w:val="000B7D6E"/>
    <w:rsid w:val="000D22F5"/>
    <w:rsid w:val="000D4CC3"/>
    <w:rsid w:val="000E4D39"/>
    <w:rsid w:val="000E521B"/>
    <w:rsid w:val="00105E85"/>
    <w:rsid w:val="001064C7"/>
    <w:rsid w:val="00106FDC"/>
    <w:rsid w:val="00115509"/>
    <w:rsid w:val="001227A2"/>
    <w:rsid w:val="00141701"/>
    <w:rsid w:val="00157FCF"/>
    <w:rsid w:val="00163457"/>
    <w:rsid w:val="00170C78"/>
    <w:rsid w:val="001741A2"/>
    <w:rsid w:val="00195D1C"/>
    <w:rsid w:val="001B07FA"/>
    <w:rsid w:val="001B1306"/>
    <w:rsid w:val="001C5CBF"/>
    <w:rsid w:val="001E01BF"/>
    <w:rsid w:val="001F670B"/>
    <w:rsid w:val="00230C17"/>
    <w:rsid w:val="0023409D"/>
    <w:rsid w:val="002425D9"/>
    <w:rsid w:val="00242B2A"/>
    <w:rsid w:val="0024784F"/>
    <w:rsid w:val="00250844"/>
    <w:rsid w:val="00260B8B"/>
    <w:rsid w:val="002677B9"/>
    <w:rsid w:val="0027000D"/>
    <w:rsid w:val="002704BC"/>
    <w:rsid w:val="0027322A"/>
    <w:rsid w:val="00274D5C"/>
    <w:rsid w:val="00276753"/>
    <w:rsid w:val="00280FA9"/>
    <w:rsid w:val="002872AB"/>
    <w:rsid w:val="002935AC"/>
    <w:rsid w:val="00297081"/>
    <w:rsid w:val="002A2137"/>
    <w:rsid w:val="002A52E5"/>
    <w:rsid w:val="002B0B67"/>
    <w:rsid w:val="002B13DC"/>
    <w:rsid w:val="002B1D9E"/>
    <w:rsid w:val="002B623C"/>
    <w:rsid w:val="002B6F60"/>
    <w:rsid w:val="002C78D6"/>
    <w:rsid w:val="002D080A"/>
    <w:rsid w:val="002F0CC5"/>
    <w:rsid w:val="002F1CB0"/>
    <w:rsid w:val="002F4B60"/>
    <w:rsid w:val="002F5302"/>
    <w:rsid w:val="00315D81"/>
    <w:rsid w:val="003510A8"/>
    <w:rsid w:val="00351274"/>
    <w:rsid w:val="00351D4D"/>
    <w:rsid w:val="003556BF"/>
    <w:rsid w:val="0036790F"/>
    <w:rsid w:val="003814F6"/>
    <w:rsid w:val="00387402"/>
    <w:rsid w:val="0039391C"/>
    <w:rsid w:val="003971ED"/>
    <w:rsid w:val="003A0372"/>
    <w:rsid w:val="003E6CE2"/>
    <w:rsid w:val="003F1AD7"/>
    <w:rsid w:val="003F45D8"/>
    <w:rsid w:val="00414017"/>
    <w:rsid w:val="00427EDF"/>
    <w:rsid w:val="00430A32"/>
    <w:rsid w:val="004411F1"/>
    <w:rsid w:val="004603EF"/>
    <w:rsid w:val="0047593B"/>
    <w:rsid w:val="00477C04"/>
    <w:rsid w:val="00485FD0"/>
    <w:rsid w:val="00492729"/>
    <w:rsid w:val="00496642"/>
    <w:rsid w:val="00496C21"/>
    <w:rsid w:val="004971E2"/>
    <w:rsid w:val="004B1C70"/>
    <w:rsid w:val="004B1F33"/>
    <w:rsid w:val="004D717B"/>
    <w:rsid w:val="004F1DCC"/>
    <w:rsid w:val="004F23C3"/>
    <w:rsid w:val="004F7C15"/>
    <w:rsid w:val="00505347"/>
    <w:rsid w:val="005066F5"/>
    <w:rsid w:val="00517D6E"/>
    <w:rsid w:val="005206B5"/>
    <w:rsid w:val="00531C67"/>
    <w:rsid w:val="005356CB"/>
    <w:rsid w:val="00542299"/>
    <w:rsid w:val="005515C0"/>
    <w:rsid w:val="0056675C"/>
    <w:rsid w:val="0057163B"/>
    <w:rsid w:val="0059200B"/>
    <w:rsid w:val="005A3AA3"/>
    <w:rsid w:val="005C2BD1"/>
    <w:rsid w:val="005C7CE8"/>
    <w:rsid w:val="005D0844"/>
    <w:rsid w:val="005D169F"/>
    <w:rsid w:val="005D5F12"/>
    <w:rsid w:val="005E1542"/>
    <w:rsid w:val="006042C2"/>
    <w:rsid w:val="00622763"/>
    <w:rsid w:val="006235C8"/>
    <w:rsid w:val="00624905"/>
    <w:rsid w:val="00630725"/>
    <w:rsid w:val="00642420"/>
    <w:rsid w:val="0064447C"/>
    <w:rsid w:val="006479AC"/>
    <w:rsid w:val="006721CA"/>
    <w:rsid w:val="00683847"/>
    <w:rsid w:val="006A2BC6"/>
    <w:rsid w:val="006C192F"/>
    <w:rsid w:val="006C40A4"/>
    <w:rsid w:val="006C67F6"/>
    <w:rsid w:val="006D5DF8"/>
    <w:rsid w:val="006E0237"/>
    <w:rsid w:val="006E699E"/>
    <w:rsid w:val="007145E8"/>
    <w:rsid w:val="007316F6"/>
    <w:rsid w:val="00731BE4"/>
    <w:rsid w:val="0073326A"/>
    <w:rsid w:val="00734238"/>
    <w:rsid w:val="007426A8"/>
    <w:rsid w:val="007479A1"/>
    <w:rsid w:val="00752137"/>
    <w:rsid w:val="00752190"/>
    <w:rsid w:val="00752E4D"/>
    <w:rsid w:val="00763484"/>
    <w:rsid w:val="00766AE2"/>
    <w:rsid w:val="00766B37"/>
    <w:rsid w:val="007670BA"/>
    <w:rsid w:val="00777A92"/>
    <w:rsid w:val="007850A3"/>
    <w:rsid w:val="007A2DBD"/>
    <w:rsid w:val="007B1509"/>
    <w:rsid w:val="007B4AEC"/>
    <w:rsid w:val="007B6304"/>
    <w:rsid w:val="007C1417"/>
    <w:rsid w:val="007C1F94"/>
    <w:rsid w:val="007C6371"/>
    <w:rsid w:val="007D0737"/>
    <w:rsid w:val="007E1ED8"/>
    <w:rsid w:val="007E62B0"/>
    <w:rsid w:val="007F3B53"/>
    <w:rsid w:val="007F6450"/>
    <w:rsid w:val="00806DC6"/>
    <w:rsid w:val="008111C7"/>
    <w:rsid w:val="008132B7"/>
    <w:rsid w:val="0082284C"/>
    <w:rsid w:val="00840882"/>
    <w:rsid w:val="00870071"/>
    <w:rsid w:val="00873094"/>
    <w:rsid w:val="00883A1C"/>
    <w:rsid w:val="008A3B5F"/>
    <w:rsid w:val="008A4656"/>
    <w:rsid w:val="008A5A27"/>
    <w:rsid w:val="008C53E5"/>
    <w:rsid w:val="008C5717"/>
    <w:rsid w:val="008E3DC9"/>
    <w:rsid w:val="0090171F"/>
    <w:rsid w:val="00904F16"/>
    <w:rsid w:val="00907EB9"/>
    <w:rsid w:val="00924E28"/>
    <w:rsid w:val="009275EE"/>
    <w:rsid w:val="00943861"/>
    <w:rsid w:val="00945DEC"/>
    <w:rsid w:val="00961916"/>
    <w:rsid w:val="00966650"/>
    <w:rsid w:val="009673E0"/>
    <w:rsid w:val="009732E4"/>
    <w:rsid w:val="009747C3"/>
    <w:rsid w:val="0099381D"/>
    <w:rsid w:val="009A1994"/>
    <w:rsid w:val="009A5A85"/>
    <w:rsid w:val="009D095E"/>
    <w:rsid w:val="009F3FA5"/>
    <w:rsid w:val="009F5D38"/>
    <w:rsid w:val="00A04BF2"/>
    <w:rsid w:val="00A07C8D"/>
    <w:rsid w:val="00A12BAA"/>
    <w:rsid w:val="00A13BEA"/>
    <w:rsid w:val="00A14B48"/>
    <w:rsid w:val="00A26C75"/>
    <w:rsid w:val="00A42136"/>
    <w:rsid w:val="00A444AF"/>
    <w:rsid w:val="00A50270"/>
    <w:rsid w:val="00A5614F"/>
    <w:rsid w:val="00A63A51"/>
    <w:rsid w:val="00A70F09"/>
    <w:rsid w:val="00A7111A"/>
    <w:rsid w:val="00A74B1A"/>
    <w:rsid w:val="00A828C2"/>
    <w:rsid w:val="00A855B9"/>
    <w:rsid w:val="00A85CDE"/>
    <w:rsid w:val="00A9588A"/>
    <w:rsid w:val="00AA2654"/>
    <w:rsid w:val="00AC0E87"/>
    <w:rsid w:val="00AC3AD8"/>
    <w:rsid w:val="00AE2BC7"/>
    <w:rsid w:val="00AE66AC"/>
    <w:rsid w:val="00AF50CE"/>
    <w:rsid w:val="00AF7CC4"/>
    <w:rsid w:val="00B06C7A"/>
    <w:rsid w:val="00B07271"/>
    <w:rsid w:val="00B255C5"/>
    <w:rsid w:val="00B36649"/>
    <w:rsid w:val="00B61EF2"/>
    <w:rsid w:val="00B65CF9"/>
    <w:rsid w:val="00B7393A"/>
    <w:rsid w:val="00B77D03"/>
    <w:rsid w:val="00B8187E"/>
    <w:rsid w:val="00B93385"/>
    <w:rsid w:val="00B96479"/>
    <w:rsid w:val="00BA54C2"/>
    <w:rsid w:val="00BC2E4A"/>
    <w:rsid w:val="00BC3F1E"/>
    <w:rsid w:val="00BC7A7E"/>
    <w:rsid w:val="00BD0751"/>
    <w:rsid w:val="00BD38FF"/>
    <w:rsid w:val="00BE5BC9"/>
    <w:rsid w:val="00BE6382"/>
    <w:rsid w:val="00C2087B"/>
    <w:rsid w:val="00C2649F"/>
    <w:rsid w:val="00C57052"/>
    <w:rsid w:val="00C93E28"/>
    <w:rsid w:val="00CB3CB6"/>
    <w:rsid w:val="00CB4F57"/>
    <w:rsid w:val="00CC0025"/>
    <w:rsid w:val="00CD3358"/>
    <w:rsid w:val="00CE2639"/>
    <w:rsid w:val="00CE30B7"/>
    <w:rsid w:val="00CE5B6B"/>
    <w:rsid w:val="00CF04CD"/>
    <w:rsid w:val="00CF16E1"/>
    <w:rsid w:val="00CF6524"/>
    <w:rsid w:val="00D02601"/>
    <w:rsid w:val="00D04320"/>
    <w:rsid w:val="00D04933"/>
    <w:rsid w:val="00D21B7A"/>
    <w:rsid w:val="00D33AF3"/>
    <w:rsid w:val="00D34E72"/>
    <w:rsid w:val="00D366DF"/>
    <w:rsid w:val="00D4083B"/>
    <w:rsid w:val="00D53C06"/>
    <w:rsid w:val="00D55F59"/>
    <w:rsid w:val="00D62D5A"/>
    <w:rsid w:val="00D7166A"/>
    <w:rsid w:val="00D71A86"/>
    <w:rsid w:val="00D750C3"/>
    <w:rsid w:val="00D85918"/>
    <w:rsid w:val="00D85956"/>
    <w:rsid w:val="00D85D04"/>
    <w:rsid w:val="00D92D54"/>
    <w:rsid w:val="00DA3496"/>
    <w:rsid w:val="00DB0A95"/>
    <w:rsid w:val="00DD6655"/>
    <w:rsid w:val="00DD6CB7"/>
    <w:rsid w:val="00DE6EBD"/>
    <w:rsid w:val="00DF5D0C"/>
    <w:rsid w:val="00DF647C"/>
    <w:rsid w:val="00E020D6"/>
    <w:rsid w:val="00E1142A"/>
    <w:rsid w:val="00E17D90"/>
    <w:rsid w:val="00E2336E"/>
    <w:rsid w:val="00E24AA1"/>
    <w:rsid w:val="00E26B56"/>
    <w:rsid w:val="00E27D54"/>
    <w:rsid w:val="00E326A8"/>
    <w:rsid w:val="00E4061F"/>
    <w:rsid w:val="00E50554"/>
    <w:rsid w:val="00E57971"/>
    <w:rsid w:val="00E70865"/>
    <w:rsid w:val="00E72862"/>
    <w:rsid w:val="00E7751B"/>
    <w:rsid w:val="00E92E7C"/>
    <w:rsid w:val="00E93DEB"/>
    <w:rsid w:val="00E95EB2"/>
    <w:rsid w:val="00ED2FE6"/>
    <w:rsid w:val="00ED5E39"/>
    <w:rsid w:val="00EF0E5B"/>
    <w:rsid w:val="00EF6DB8"/>
    <w:rsid w:val="00F04C67"/>
    <w:rsid w:val="00F16C15"/>
    <w:rsid w:val="00F178FF"/>
    <w:rsid w:val="00F209F8"/>
    <w:rsid w:val="00F22F58"/>
    <w:rsid w:val="00F254C2"/>
    <w:rsid w:val="00F426D8"/>
    <w:rsid w:val="00F434AB"/>
    <w:rsid w:val="00F554CF"/>
    <w:rsid w:val="00F6221D"/>
    <w:rsid w:val="00F62519"/>
    <w:rsid w:val="00F71310"/>
    <w:rsid w:val="00F72AEE"/>
    <w:rsid w:val="00F76029"/>
    <w:rsid w:val="00FB6B94"/>
    <w:rsid w:val="00FC62AB"/>
    <w:rsid w:val="00FE2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429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tabs>
        <w:tab w:val="num" w:pos="520"/>
        <w:tab w:val="left" w:pos="720"/>
      </w:tabs>
      <w:ind w:left="520" w:hanging="520"/>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tabs>
        <w:tab w:val="left" w:pos="720"/>
        <w:tab w:val="num" w:pos="1560"/>
      </w:tabs>
      <w:ind w:left="1560" w:hanging="520"/>
    </w:pPr>
    <w:rPr>
      <w:rFonts w:eastAsia="Calibri"/>
      <w:color w:val="2F5496" w:themeColor="accent1" w:themeShade="BF"/>
      <w:lang w:eastAsia="en-GB"/>
    </w:rPr>
  </w:style>
  <w:style w:type="character" w:styleId="CommentReference">
    <w:name w:val="annotation reference"/>
    <w:basedOn w:val="DefaultParagraphFont"/>
    <w:uiPriority w:val="99"/>
    <w:semiHidden/>
    <w:unhideWhenUsed/>
    <w:rsid w:val="00BC7A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1707</Words>
  <Characters>9341</Characters>
  <Application>Microsoft Office Word</Application>
  <DocSecurity>0</DocSecurity>
  <Lines>518</Lines>
  <Paragraphs>380</Paragraphs>
  <ScaleCrop>false</ScaleCrop>
  <HeadingPairs>
    <vt:vector size="2" baseType="variant">
      <vt:variant>
        <vt:lpstr>Title</vt:lpstr>
      </vt:variant>
      <vt:variant>
        <vt:i4>1</vt:i4>
      </vt:variant>
    </vt:vector>
  </HeadingPairs>
  <TitlesOfParts>
    <vt:vector size="1" baseType="lpstr">
      <vt:lpstr>Explanatory Materials: Treasury Laws Amendment Bill 2024: Foreign Resident Capital Gains Withholding Payments</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Treasury Laws Amendment Bill 2024: Foreign Resident Capital Gains Withholding Payments</dc:title>
  <dc:subject/>
  <dc:creator/>
  <cp:keywords/>
  <dc:description/>
  <cp:lastModifiedBy/>
  <cp:revision>1</cp:revision>
  <dcterms:created xsi:type="dcterms:W3CDTF">2024-07-22T00:43:00Z</dcterms:created>
  <dcterms:modified xsi:type="dcterms:W3CDTF">2024-07-22T00:46:00Z</dcterms:modified>
</cp:coreProperties>
</file>